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37" w:rsidRDefault="009F5408">
      <w:pPr>
        <w:pStyle w:val="ConsPlusNormal"/>
      </w:pPr>
      <w:bookmarkStart w:id="0" w:name="_GoBack"/>
      <w:bookmarkEnd w:id="0"/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8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9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10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11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2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>
      <w:headerReference w:type="default" r:id="rId13"/>
      <w:footerReference w:type="defaul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BD" w:rsidRDefault="005621BD">
      <w:r>
        <w:separator/>
      </w:r>
    </w:p>
  </w:endnote>
  <w:endnote w:type="continuationSeparator" w:id="0">
    <w:p w:rsidR="005621BD" w:rsidRDefault="0056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0237"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5621BD">
          <w:pPr>
            <w:pStyle w:val="ConsPlusNormal"/>
            <w:jc w:val="center"/>
          </w:pPr>
          <w:hyperlink r:id="rId1">
            <w:r w:rsidR="009F540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BD" w:rsidRDefault="005621BD">
      <w:r>
        <w:separator/>
      </w:r>
    </w:p>
  </w:footnote>
  <w:footnote w:type="continuationSeparator" w:id="0">
    <w:p w:rsidR="005621BD" w:rsidRDefault="0056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A0237"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распространении на работников, замещающих отдельные должности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основа...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37"/>
    <w:rsid w:val="005621BD"/>
    <w:rsid w:val="00906570"/>
    <w:rsid w:val="009F5408"/>
    <w:rsid w:val="00CD0036"/>
    <w:rsid w:val="00D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2" Type="http://schemas.openxmlformats.org/officeDocument/2006/relationships/hyperlink" Target="consultantplus://offline/ref=2F370B2BD71CB901C7AC3DF442DCDE13536662487AD5E7CE1E92BFB29AEEFED1535C351954F5889D8F4B0434DAIAv9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</vt:lpstr>
    </vt:vector>
  </TitlesOfParts>
  <Company>КонсультантПлюс Версия 4022.00.55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:creator>Фартушная Анастасия Сергеевна</dc:creator>
  <cp:lastModifiedBy>Фартушная Анастасия Сергеевна</cp:lastModifiedBy>
  <cp:revision>2</cp:revision>
  <dcterms:created xsi:type="dcterms:W3CDTF">2024-12-10T06:48:00Z</dcterms:created>
  <dcterms:modified xsi:type="dcterms:W3CDTF">2024-12-10T06:48:00Z</dcterms:modified>
</cp:coreProperties>
</file>