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8.xml" ContentType="application/vnd.openxmlformats-officedocument.wordprocessingml.header+xml"/>
  <Override PartName="/word/charts/chart4.xml" ContentType="application/vnd.openxmlformats-officedocument.drawingml.chart+xml"/>
  <Override PartName="/word/theme/themeOverride3.xml" ContentType="application/vnd.openxmlformats-officedocument.themeOverride+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0" w:type="dxa"/>
          <w:right w:w="0" w:type="dxa"/>
        </w:tblCellMar>
        <w:tblLook w:val="04A0" w:firstRow="1" w:lastRow="0" w:firstColumn="1" w:lastColumn="0" w:noHBand="0" w:noVBand="1"/>
      </w:tblPr>
      <w:tblGrid>
        <w:gridCol w:w="4536"/>
        <w:gridCol w:w="567"/>
        <w:gridCol w:w="4536"/>
      </w:tblGrid>
      <w:tr w:rsidR="00B10467" w:rsidRPr="00D337FA" w:rsidTr="00221D2B">
        <w:trPr>
          <w:trHeight w:val="729"/>
        </w:trPr>
        <w:tc>
          <w:tcPr>
            <w:tcW w:w="4536" w:type="dxa"/>
          </w:tcPr>
          <w:p w:rsidR="00B10467" w:rsidRPr="00D337FA" w:rsidRDefault="00707D4F" w:rsidP="00221D2B">
            <w:pPr>
              <w:pStyle w:val="afd"/>
              <w:rPr>
                <w:color w:val="auto"/>
                <w:sz w:val="20"/>
                <w:szCs w:val="20"/>
              </w:rPr>
            </w:pPr>
            <w:r w:rsidRPr="00D337FA">
              <w:rPr>
                <w:color w:val="auto"/>
                <w:sz w:val="20"/>
                <w:szCs w:val="20"/>
              </w:rPr>
              <w:t>Инновационная</w:t>
            </w:r>
            <w:r w:rsidR="006C680D" w:rsidRPr="00D337FA">
              <w:rPr>
                <w:color w:val="auto"/>
                <w:sz w:val="20"/>
                <w:szCs w:val="20"/>
              </w:rPr>
              <w:t xml:space="preserve"> </w:t>
            </w:r>
            <w:r w:rsidRPr="00D337FA">
              <w:rPr>
                <w:color w:val="auto"/>
                <w:sz w:val="20"/>
                <w:szCs w:val="20"/>
              </w:rPr>
              <w:t>деятельность</w:t>
            </w:r>
          </w:p>
          <w:p w:rsidR="00B10467" w:rsidRPr="00D337FA" w:rsidRDefault="00B10467" w:rsidP="00221D2B">
            <w:pPr>
              <w:pStyle w:val="afd"/>
              <w:spacing w:after="140"/>
              <w:rPr>
                <w:color w:val="auto"/>
                <w:sz w:val="20"/>
                <w:szCs w:val="20"/>
              </w:rPr>
            </w:pPr>
            <w:r w:rsidRPr="00D337FA">
              <w:rPr>
                <w:color w:val="auto"/>
                <w:sz w:val="20"/>
                <w:szCs w:val="20"/>
              </w:rPr>
              <w:t>20</w:t>
            </w:r>
            <w:r w:rsidR="005375C4" w:rsidRPr="00D337FA">
              <w:rPr>
                <w:color w:val="auto"/>
                <w:sz w:val="20"/>
                <w:szCs w:val="20"/>
              </w:rPr>
              <w:t>26</w:t>
            </w:r>
            <w:r w:rsidR="00825120" w:rsidRPr="00D337FA">
              <w:rPr>
                <w:color w:val="auto"/>
                <w:sz w:val="20"/>
                <w:szCs w:val="20"/>
              </w:rPr>
              <w:t>.</w:t>
            </w:r>
            <w:r w:rsidR="006C680D" w:rsidRPr="00D337FA">
              <w:rPr>
                <w:color w:val="auto"/>
                <w:sz w:val="20"/>
                <w:szCs w:val="20"/>
              </w:rPr>
              <w:t xml:space="preserve"> </w:t>
            </w:r>
            <w:r w:rsidR="00825120" w:rsidRPr="00D337FA">
              <w:rPr>
                <w:color w:val="auto"/>
                <w:sz w:val="20"/>
                <w:szCs w:val="20"/>
              </w:rPr>
              <w:t>№</w:t>
            </w:r>
            <w:r w:rsidR="006C680D" w:rsidRPr="00D337FA">
              <w:rPr>
                <w:color w:val="auto"/>
                <w:sz w:val="20"/>
                <w:szCs w:val="20"/>
              </w:rPr>
              <w:t xml:space="preserve"> </w:t>
            </w:r>
            <w:r w:rsidR="005375C4" w:rsidRPr="00D337FA">
              <w:rPr>
                <w:color w:val="auto"/>
                <w:sz w:val="20"/>
                <w:szCs w:val="20"/>
              </w:rPr>
              <w:t>1</w:t>
            </w:r>
            <w:r w:rsidR="006C680D" w:rsidRPr="00D337FA">
              <w:rPr>
                <w:color w:val="auto"/>
                <w:sz w:val="20"/>
                <w:szCs w:val="20"/>
              </w:rPr>
              <w:t xml:space="preserve"> </w:t>
            </w:r>
            <w:r w:rsidR="00825120" w:rsidRPr="00D337FA">
              <w:rPr>
                <w:color w:val="auto"/>
                <w:sz w:val="20"/>
                <w:szCs w:val="20"/>
              </w:rPr>
              <w:t>(7</w:t>
            </w:r>
            <w:r w:rsidR="005375C4" w:rsidRPr="00D337FA">
              <w:rPr>
                <w:color w:val="auto"/>
                <w:sz w:val="20"/>
                <w:szCs w:val="20"/>
              </w:rPr>
              <w:t>6</w:t>
            </w:r>
            <w:r w:rsidRPr="00D337FA">
              <w:rPr>
                <w:color w:val="auto"/>
                <w:sz w:val="20"/>
                <w:szCs w:val="20"/>
              </w:rPr>
              <w:t>)</w:t>
            </w:r>
          </w:p>
          <w:p w:rsidR="00915916" w:rsidRPr="00D337FA" w:rsidRDefault="00915916" w:rsidP="00221D2B">
            <w:pPr>
              <w:pStyle w:val="aff"/>
              <w:rPr>
                <w:color w:val="auto"/>
                <w:sz w:val="20"/>
                <w:szCs w:val="20"/>
              </w:rPr>
            </w:pPr>
            <w:r w:rsidRPr="00D337FA">
              <w:rPr>
                <w:color w:val="auto"/>
                <w:sz w:val="20"/>
                <w:szCs w:val="20"/>
              </w:rPr>
              <w:t>Научно-аналитический</w:t>
            </w:r>
            <w:r w:rsidR="006C680D" w:rsidRPr="00D337FA">
              <w:rPr>
                <w:color w:val="auto"/>
                <w:sz w:val="20"/>
                <w:szCs w:val="20"/>
              </w:rPr>
              <w:t xml:space="preserve"> </w:t>
            </w:r>
            <w:r w:rsidRPr="00D337FA">
              <w:rPr>
                <w:color w:val="auto"/>
                <w:sz w:val="20"/>
                <w:szCs w:val="20"/>
              </w:rPr>
              <w:t>журнал</w:t>
            </w:r>
            <w:r w:rsidR="006C680D" w:rsidRPr="00D337FA">
              <w:rPr>
                <w:color w:val="auto"/>
                <w:sz w:val="20"/>
                <w:szCs w:val="20"/>
              </w:rPr>
              <w:t xml:space="preserve"> </w:t>
            </w:r>
            <w:r w:rsidRPr="00D337FA">
              <w:rPr>
                <w:color w:val="auto"/>
                <w:sz w:val="20"/>
                <w:szCs w:val="20"/>
              </w:rPr>
              <w:t>для</w:t>
            </w:r>
            <w:r w:rsidR="006C680D" w:rsidRPr="00D337FA">
              <w:rPr>
                <w:color w:val="auto"/>
                <w:sz w:val="20"/>
                <w:szCs w:val="20"/>
              </w:rPr>
              <w:t xml:space="preserve"> </w:t>
            </w:r>
            <w:r w:rsidRPr="00D337FA">
              <w:rPr>
                <w:color w:val="auto"/>
                <w:sz w:val="20"/>
                <w:szCs w:val="20"/>
              </w:rPr>
              <w:t>ученых,</w:t>
            </w:r>
            <w:r w:rsidR="006C680D" w:rsidRPr="00D337FA">
              <w:rPr>
                <w:color w:val="auto"/>
                <w:sz w:val="20"/>
                <w:szCs w:val="20"/>
              </w:rPr>
              <w:t xml:space="preserve"> </w:t>
            </w:r>
            <w:r w:rsidRPr="00D337FA">
              <w:rPr>
                <w:color w:val="auto"/>
                <w:sz w:val="20"/>
                <w:szCs w:val="20"/>
              </w:rPr>
              <w:t>производственников,</w:t>
            </w:r>
            <w:r w:rsidR="006C680D" w:rsidRPr="00D337FA">
              <w:rPr>
                <w:color w:val="auto"/>
                <w:sz w:val="20"/>
                <w:szCs w:val="20"/>
              </w:rPr>
              <w:t xml:space="preserve"> </w:t>
            </w:r>
            <w:r w:rsidRPr="00D337FA">
              <w:rPr>
                <w:color w:val="auto"/>
                <w:sz w:val="20"/>
                <w:szCs w:val="20"/>
              </w:rPr>
              <w:t>разработчиков</w:t>
            </w:r>
            <w:r w:rsidR="006C680D" w:rsidRPr="00D337FA">
              <w:rPr>
                <w:color w:val="auto"/>
                <w:sz w:val="20"/>
                <w:szCs w:val="20"/>
              </w:rPr>
              <w:t xml:space="preserve"> </w:t>
            </w:r>
            <w:r w:rsidRPr="00D337FA">
              <w:rPr>
                <w:color w:val="auto"/>
                <w:sz w:val="20"/>
                <w:szCs w:val="20"/>
              </w:rPr>
              <w:t>новой</w:t>
            </w:r>
            <w:r w:rsidR="006C680D" w:rsidRPr="00D337FA">
              <w:rPr>
                <w:color w:val="auto"/>
                <w:sz w:val="20"/>
                <w:szCs w:val="20"/>
              </w:rPr>
              <w:t xml:space="preserve"> </w:t>
            </w:r>
            <w:r w:rsidRPr="00D337FA">
              <w:rPr>
                <w:color w:val="auto"/>
                <w:sz w:val="20"/>
                <w:szCs w:val="20"/>
              </w:rPr>
              <w:t>продукции,</w:t>
            </w:r>
            <w:r w:rsidR="006C680D" w:rsidRPr="00D337FA">
              <w:rPr>
                <w:color w:val="auto"/>
                <w:sz w:val="20"/>
                <w:szCs w:val="20"/>
              </w:rPr>
              <w:t xml:space="preserve"> </w:t>
            </w:r>
            <w:r w:rsidRPr="00D337FA">
              <w:rPr>
                <w:color w:val="auto"/>
                <w:sz w:val="20"/>
                <w:szCs w:val="20"/>
              </w:rPr>
              <w:t>инвесторов,</w:t>
            </w:r>
            <w:r w:rsidR="006C680D" w:rsidRPr="00D337FA">
              <w:rPr>
                <w:color w:val="auto"/>
                <w:sz w:val="20"/>
                <w:szCs w:val="20"/>
              </w:rPr>
              <w:t xml:space="preserve"> </w:t>
            </w:r>
            <w:r w:rsidRPr="00D337FA">
              <w:rPr>
                <w:color w:val="auto"/>
                <w:sz w:val="20"/>
                <w:szCs w:val="20"/>
              </w:rPr>
              <w:t>властных</w:t>
            </w:r>
            <w:r w:rsidR="006C680D" w:rsidRPr="00D337FA">
              <w:rPr>
                <w:color w:val="auto"/>
                <w:sz w:val="20"/>
                <w:szCs w:val="20"/>
              </w:rPr>
              <w:t xml:space="preserve"> </w:t>
            </w:r>
            <w:r w:rsidRPr="00D337FA">
              <w:rPr>
                <w:color w:val="auto"/>
                <w:sz w:val="20"/>
                <w:szCs w:val="20"/>
              </w:rPr>
              <w:t>структур</w:t>
            </w:r>
            <w:r w:rsidR="006C680D" w:rsidRPr="00D337FA">
              <w:rPr>
                <w:color w:val="auto"/>
                <w:sz w:val="20"/>
                <w:szCs w:val="20"/>
              </w:rPr>
              <w:t xml:space="preserve"> </w:t>
            </w:r>
            <w:r w:rsidRPr="00D337FA">
              <w:rPr>
                <w:color w:val="auto"/>
                <w:sz w:val="20"/>
                <w:szCs w:val="20"/>
              </w:rPr>
              <w:t>и</w:t>
            </w:r>
            <w:r w:rsidR="006C680D" w:rsidRPr="00D337FA">
              <w:rPr>
                <w:color w:val="auto"/>
                <w:sz w:val="20"/>
                <w:szCs w:val="20"/>
              </w:rPr>
              <w:t xml:space="preserve"> </w:t>
            </w:r>
            <w:r w:rsidRPr="00D337FA">
              <w:rPr>
                <w:color w:val="auto"/>
                <w:sz w:val="20"/>
                <w:szCs w:val="20"/>
              </w:rPr>
              <w:t>организаторов</w:t>
            </w:r>
            <w:r w:rsidR="006C680D" w:rsidRPr="00D337FA">
              <w:rPr>
                <w:color w:val="auto"/>
                <w:sz w:val="20"/>
                <w:szCs w:val="20"/>
              </w:rPr>
              <w:t xml:space="preserve"> </w:t>
            </w:r>
            <w:r w:rsidRPr="00D337FA">
              <w:rPr>
                <w:color w:val="auto"/>
                <w:sz w:val="20"/>
                <w:szCs w:val="20"/>
              </w:rPr>
              <w:t>инновационной</w:t>
            </w:r>
            <w:r w:rsidR="006C680D" w:rsidRPr="00D337FA">
              <w:rPr>
                <w:color w:val="auto"/>
                <w:sz w:val="20"/>
                <w:szCs w:val="20"/>
              </w:rPr>
              <w:t xml:space="preserve"> </w:t>
            </w:r>
            <w:r w:rsidRPr="00D337FA">
              <w:rPr>
                <w:color w:val="auto"/>
                <w:sz w:val="20"/>
                <w:szCs w:val="20"/>
              </w:rPr>
              <w:t>деятельности,</w:t>
            </w:r>
            <w:r w:rsidR="006C680D" w:rsidRPr="00D337FA">
              <w:rPr>
                <w:color w:val="auto"/>
                <w:sz w:val="20"/>
                <w:szCs w:val="20"/>
              </w:rPr>
              <w:t xml:space="preserve"> </w:t>
            </w:r>
            <w:r w:rsidRPr="00D337FA">
              <w:rPr>
                <w:color w:val="auto"/>
                <w:sz w:val="20"/>
                <w:szCs w:val="20"/>
              </w:rPr>
              <w:t>зарубежных</w:t>
            </w:r>
            <w:r w:rsidR="006C680D" w:rsidRPr="00D337FA">
              <w:rPr>
                <w:color w:val="auto"/>
                <w:sz w:val="20"/>
                <w:szCs w:val="20"/>
              </w:rPr>
              <w:t xml:space="preserve"> </w:t>
            </w:r>
            <w:r w:rsidRPr="00D337FA">
              <w:rPr>
                <w:color w:val="auto"/>
                <w:sz w:val="20"/>
                <w:szCs w:val="20"/>
              </w:rPr>
              <w:t>партнеров</w:t>
            </w:r>
          </w:p>
          <w:p w:rsidR="00221D2B" w:rsidRPr="00D337FA" w:rsidRDefault="00221D2B" w:rsidP="00221D2B">
            <w:pPr>
              <w:pStyle w:val="aff"/>
              <w:jc w:val="center"/>
              <w:rPr>
                <w:b/>
                <w:color w:val="auto"/>
                <w:sz w:val="18"/>
                <w:szCs w:val="20"/>
              </w:rPr>
            </w:pPr>
          </w:p>
          <w:p w:rsidR="00915916" w:rsidRPr="00D337FA" w:rsidRDefault="00915916" w:rsidP="00221D2B">
            <w:pPr>
              <w:pStyle w:val="aff"/>
              <w:jc w:val="left"/>
              <w:rPr>
                <w:color w:val="auto"/>
                <w:sz w:val="20"/>
                <w:szCs w:val="20"/>
              </w:rPr>
            </w:pPr>
            <w:r w:rsidRPr="00D337FA">
              <w:rPr>
                <w:b/>
                <w:color w:val="auto"/>
                <w:sz w:val="20"/>
                <w:szCs w:val="20"/>
              </w:rPr>
              <w:t>Издатель:</w:t>
            </w:r>
            <w:r w:rsidR="006C680D" w:rsidRPr="00D337FA">
              <w:rPr>
                <w:color w:val="auto"/>
                <w:sz w:val="20"/>
                <w:szCs w:val="20"/>
              </w:rPr>
              <w:t xml:space="preserve"> </w:t>
            </w:r>
            <w:r w:rsidRPr="00D337FA">
              <w:rPr>
                <w:color w:val="auto"/>
                <w:sz w:val="20"/>
                <w:szCs w:val="20"/>
              </w:rPr>
              <w:t>Саратовский</w:t>
            </w:r>
            <w:r w:rsidR="006C680D" w:rsidRPr="00D337FA">
              <w:rPr>
                <w:color w:val="auto"/>
                <w:sz w:val="20"/>
                <w:szCs w:val="20"/>
              </w:rPr>
              <w:t xml:space="preserve"> </w:t>
            </w:r>
            <w:r w:rsidRPr="00D337FA">
              <w:rPr>
                <w:color w:val="auto"/>
                <w:sz w:val="20"/>
                <w:szCs w:val="20"/>
              </w:rPr>
              <w:t>государственный</w:t>
            </w:r>
            <w:r w:rsidR="006C680D" w:rsidRPr="00D337FA">
              <w:rPr>
                <w:color w:val="auto"/>
                <w:sz w:val="20"/>
                <w:szCs w:val="20"/>
              </w:rPr>
              <w:t xml:space="preserve"> </w:t>
            </w:r>
            <w:r w:rsidR="00221D2B" w:rsidRPr="00D337FA">
              <w:rPr>
                <w:color w:val="auto"/>
                <w:sz w:val="20"/>
                <w:szCs w:val="20"/>
              </w:rPr>
              <w:br/>
            </w:r>
            <w:r w:rsidRPr="00D337FA">
              <w:rPr>
                <w:color w:val="auto"/>
                <w:sz w:val="20"/>
                <w:szCs w:val="20"/>
              </w:rPr>
              <w:t>тех</w:t>
            </w:r>
            <w:r w:rsidR="00E51224" w:rsidRPr="00D337FA">
              <w:rPr>
                <w:color w:val="auto"/>
                <w:sz w:val="20"/>
                <w:szCs w:val="20"/>
              </w:rPr>
              <w:t>нический</w:t>
            </w:r>
            <w:r w:rsidR="006C680D" w:rsidRPr="00D337FA">
              <w:rPr>
                <w:color w:val="auto"/>
                <w:sz w:val="20"/>
                <w:szCs w:val="20"/>
              </w:rPr>
              <w:t xml:space="preserve"> </w:t>
            </w:r>
            <w:r w:rsidR="00E51224" w:rsidRPr="00D337FA">
              <w:rPr>
                <w:color w:val="auto"/>
                <w:sz w:val="20"/>
                <w:szCs w:val="20"/>
              </w:rPr>
              <w:t>университет</w:t>
            </w:r>
            <w:r w:rsidR="006C680D" w:rsidRPr="00D337FA">
              <w:rPr>
                <w:color w:val="auto"/>
                <w:sz w:val="20"/>
                <w:szCs w:val="20"/>
              </w:rPr>
              <w:t xml:space="preserve"> </w:t>
            </w:r>
            <w:r w:rsidR="00E51224" w:rsidRPr="00D337FA">
              <w:rPr>
                <w:color w:val="auto"/>
                <w:sz w:val="20"/>
                <w:szCs w:val="20"/>
              </w:rPr>
              <w:t>имени</w:t>
            </w:r>
            <w:r w:rsidR="006C680D" w:rsidRPr="00D337FA">
              <w:rPr>
                <w:color w:val="auto"/>
                <w:sz w:val="20"/>
                <w:szCs w:val="20"/>
              </w:rPr>
              <w:t xml:space="preserve"> </w:t>
            </w:r>
            <w:r w:rsidR="00E51224" w:rsidRPr="00D337FA">
              <w:rPr>
                <w:color w:val="auto"/>
                <w:sz w:val="20"/>
                <w:szCs w:val="20"/>
              </w:rPr>
              <w:t>Гагарина</w:t>
            </w:r>
            <w:r w:rsidR="006C680D" w:rsidRPr="00D337FA">
              <w:rPr>
                <w:color w:val="auto"/>
                <w:sz w:val="20"/>
                <w:szCs w:val="20"/>
              </w:rPr>
              <w:t xml:space="preserve"> </w:t>
            </w:r>
            <w:r w:rsidR="00E51224" w:rsidRPr="00D337FA">
              <w:rPr>
                <w:color w:val="auto"/>
                <w:sz w:val="20"/>
                <w:szCs w:val="20"/>
              </w:rPr>
              <w:t>Ю.А.</w:t>
            </w:r>
          </w:p>
          <w:p w:rsidR="00221D2B" w:rsidRPr="00D337FA" w:rsidRDefault="00221D2B" w:rsidP="00221D2B">
            <w:pPr>
              <w:pStyle w:val="aff"/>
              <w:jc w:val="left"/>
              <w:rPr>
                <w:color w:val="auto"/>
                <w:sz w:val="18"/>
                <w:szCs w:val="20"/>
              </w:rPr>
            </w:pPr>
          </w:p>
          <w:p w:rsidR="00E51224" w:rsidRPr="00D337FA" w:rsidRDefault="00E51224" w:rsidP="00221D2B">
            <w:pPr>
              <w:pStyle w:val="aff"/>
              <w:jc w:val="left"/>
              <w:rPr>
                <w:b/>
                <w:i/>
                <w:color w:val="auto"/>
                <w:sz w:val="20"/>
                <w:szCs w:val="20"/>
              </w:rPr>
            </w:pPr>
            <w:r w:rsidRPr="00D337FA">
              <w:rPr>
                <w:b/>
                <w:i/>
                <w:color w:val="auto"/>
                <w:sz w:val="20"/>
                <w:szCs w:val="20"/>
              </w:rPr>
              <w:t>Главный</w:t>
            </w:r>
            <w:r w:rsidR="006C680D" w:rsidRPr="00D337FA">
              <w:rPr>
                <w:b/>
                <w:i/>
                <w:color w:val="auto"/>
                <w:sz w:val="20"/>
                <w:szCs w:val="20"/>
              </w:rPr>
              <w:t xml:space="preserve"> </w:t>
            </w:r>
            <w:r w:rsidRPr="00D337FA">
              <w:rPr>
                <w:b/>
                <w:i/>
                <w:color w:val="auto"/>
                <w:sz w:val="20"/>
                <w:szCs w:val="20"/>
              </w:rPr>
              <w:t>редактор:</w:t>
            </w:r>
          </w:p>
          <w:p w:rsidR="00E51224" w:rsidRPr="00D337FA" w:rsidRDefault="00825120" w:rsidP="00221D2B">
            <w:pPr>
              <w:pStyle w:val="aff"/>
              <w:jc w:val="left"/>
              <w:rPr>
                <w:b/>
                <w:i/>
                <w:color w:val="auto"/>
                <w:sz w:val="20"/>
                <w:szCs w:val="20"/>
              </w:rPr>
            </w:pPr>
            <w:r w:rsidRPr="00D337FA">
              <w:rPr>
                <w:b/>
                <w:bCs/>
                <w:i/>
                <w:color w:val="auto"/>
                <w:sz w:val="20"/>
                <w:szCs w:val="20"/>
              </w:rPr>
              <w:t>Горячева</w:t>
            </w:r>
            <w:r w:rsidR="006C680D" w:rsidRPr="00D337FA">
              <w:rPr>
                <w:b/>
                <w:bCs/>
                <w:i/>
                <w:color w:val="auto"/>
                <w:sz w:val="20"/>
                <w:szCs w:val="20"/>
              </w:rPr>
              <w:t xml:space="preserve"> </w:t>
            </w:r>
            <w:r w:rsidRPr="00D337FA">
              <w:rPr>
                <w:b/>
                <w:bCs/>
                <w:i/>
                <w:color w:val="auto"/>
                <w:sz w:val="20"/>
                <w:szCs w:val="20"/>
              </w:rPr>
              <w:t>Татьяна</w:t>
            </w:r>
            <w:r w:rsidR="006C680D" w:rsidRPr="00D337FA">
              <w:rPr>
                <w:b/>
                <w:bCs/>
                <w:i/>
                <w:color w:val="auto"/>
                <w:sz w:val="20"/>
                <w:szCs w:val="20"/>
              </w:rPr>
              <w:t xml:space="preserve"> </w:t>
            </w:r>
            <w:r w:rsidRPr="00D337FA">
              <w:rPr>
                <w:b/>
                <w:bCs/>
                <w:i/>
                <w:color w:val="auto"/>
                <w:sz w:val="20"/>
                <w:szCs w:val="20"/>
              </w:rPr>
              <w:t>Владимировна</w:t>
            </w:r>
          </w:p>
          <w:p w:rsidR="00221D2B" w:rsidRPr="00D337FA" w:rsidRDefault="00221D2B" w:rsidP="00221D2B">
            <w:pPr>
              <w:pStyle w:val="aff"/>
              <w:jc w:val="left"/>
              <w:rPr>
                <w:color w:val="auto"/>
                <w:sz w:val="14"/>
                <w:szCs w:val="20"/>
              </w:rPr>
            </w:pPr>
          </w:p>
          <w:p w:rsidR="00E51224" w:rsidRPr="00D337FA" w:rsidRDefault="00E51224" w:rsidP="00221D2B">
            <w:pPr>
              <w:pStyle w:val="aff"/>
              <w:jc w:val="left"/>
              <w:rPr>
                <w:color w:val="auto"/>
                <w:sz w:val="20"/>
                <w:szCs w:val="20"/>
              </w:rPr>
            </w:pPr>
            <w:r w:rsidRPr="00D337FA">
              <w:rPr>
                <w:color w:val="auto"/>
                <w:sz w:val="20"/>
                <w:szCs w:val="20"/>
              </w:rPr>
              <w:t>Издается</w:t>
            </w:r>
            <w:r w:rsidR="006C680D" w:rsidRPr="00D337FA">
              <w:rPr>
                <w:color w:val="auto"/>
                <w:sz w:val="20"/>
                <w:szCs w:val="20"/>
              </w:rPr>
              <w:t xml:space="preserve"> </w:t>
            </w:r>
            <w:r w:rsidRPr="00D337FA">
              <w:rPr>
                <w:color w:val="auto"/>
                <w:sz w:val="20"/>
                <w:szCs w:val="20"/>
              </w:rPr>
              <w:t>с</w:t>
            </w:r>
            <w:r w:rsidR="006C680D" w:rsidRPr="00D337FA">
              <w:rPr>
                <w:color w:val="auto"/>
                <w:sz w:val="20"/>
                <w:szCs w:val="20"/>
              </w:rPr>
              <w:t xml:space="preserve"> </w:t>
            </w:r>
            <w:r w:rsidRPr="00D337FA">
              <w:rPr>
                <w:color w:val="auto"/>
                <w:sz w:val="20"/>
                <w:szCs w:val="20"/>
              </w:rPr>
              <w:t>1997</w:t>
            </w:r>
            <w:r w:rsidR="006C680D" w:rsidRPr="00D337FA">
              <w:rPr>
                <w:color w:val="auto"/>
                <w:sz w:val="20"/>
                <w:szCs w:val="20"/>
              </w:rPr>
              <w:t xml:space="preserve"> </w:t>
            </w:r>
            <w:r w:rsidRPr="00D337FA">
              <w:rPr>
                <w:color w:val="auto"/>
                <w:sz w:val="20"/>
                <w:szCs w:val="20"/>
              </w:rPr>
              <w:t>года</w:t>
            </w:r>
          </w:p>
          <w:p w:rsidR="00B10467" w:rsidRPr="00D337FA" w:rsidRDefault="00E51224" w:rsidP="00221D2B">
            <w:pPr>
              <w:pStyle w:val="aff"/>
              <w:jc w:val="left"/>
              <w:rPr>
                <w:color w:val="auto"/>
                <w:sz w:val="20"/>
                <w:szCs w:val="20"/>
              </w:rPr>
            </w:pPr>
            <w:r w:rsidRPr="00D337FA">
              <w:rPr>
                <w:color w:val="auto"/>
                <w:sz w:val="20"/>
                <w:szCs w:val="20"/>
              </w:rPr>
              <w:t>Выходит</w:t>
            </w:r>
            <w:r w:rsidR="006C680D" w:rsidRPr="00D337FA">
              <w:rPr>
                <w:color w:val="auto"/>
                <w:sz w:val="20"/>
                <w:szCs w:val="20"/>
              </w:rPr>
              <w:t xml:space="preserve"> </w:t>
            </w:r>
            <w:r w:rsidRPr="00D337FA">
              <w:rPr>
                <w:color w:val="auto"/>
                <w:sz w:val="20"/>
                <w:szCs w:val="20"/>
              </w:rPr>
              <w:t>один</w:t>
            </w:r>
            <w:r w:rsidR="006C680D" w:rsidRPr="00D337FA">
              <w:rPr>
                <w:color w:val="auto"/>
                <w:sz w:val="20"/>
                <w:szCs w:val="20"/>
              </w:rPr>
              <w:t xml:space="preserve"> </w:t>
            </w:r>
            <w:r w:rsidRPr="00D337FA">
              <w:rPr>
                <w:color w:val="auto"/>
                <w:sz w:val="20"/>
                <w:szCs w:val="20"/>
              </w:rPr>
              <w:t>раз</w:t>
            </w:r>
            <w:r w:rsidR="006C680D" w:rsidRPr="00D337FA">
              <w:rPr>
                <w:color w:val="auto"/>
                <w:sz w:val="20"/>
                <w:szCs w:val="20"/>
              </w:rPr>
              <w:t xml:space="preserve"> </w:t>
            </w:r>
            <w:r w:rsidRPr="00D337FA">
              <w:rPr>
                <w:color w:val="auto"/>
                <w:sz w:val="20"/>
                <w:szCs w:val="20"/>
              </w:rPr>
              <w:t>в</w:t>
            </w:r>
            <w:r w:rsidR="006C680D" w:rsidRPr="00D337FA">
              <w:rPr>
                <w:color w:val="auto"/>
                <w:sz w:val="20"/>
                <w:szCs w:val="20"/>
              </w:rPr>
              <w:t xml:space="preserve"> </w:t>
            </w:r>
            <w:r w:rsidRPr="00D337FA">
              <w:rPr>
                <w:color w:val="auto"/>
                <w:sz w:val="20"/>
                <w:szCs w:val="20"/>
              </w:rPr>
              <w:t>квартал</w:t>
            </w:r>
          </w:p>
        </w:tc>
        <w:tc>
          <w:tcPr>
            <w:tcW w:w="567" w:type="dxa"/>
          </w:tcPr>
          <w:p w:rsidR="00B10467" w:rsidRPr="00D337FA" w:rsidRDefault="00B10467" w:rsidP="00221D2B">
            <w:pPr>
              <w:kinsoku w:val="0"/>
              <w:overflowPunct w:val="0"/>
              <w:autoSpaceDE w:val="0"/>
              <w:autoSpaceDN w:val="0"/>
              <w:jc w:val="center"/>
              <w:rPr>
                <w:rFonts w:ascii="Bookman Old Style" w:hAnsi="Bookman Old Style" w:cs="Aharoni"/>
                <w:b/>
                <w:spacing w:val="-30"/>
                <w:sz w:val="20"/>
                <w:szCs w:val="20"/>
                <w:lang w:bidi="he-IL"/>
              </w:rPr>
            </w:pPr>
          </w:p>
        </w:tc>
        <w:tc>
          <w:tcPr>
            <w:tcW w:w="4536" w:type="dxa"/>
          </w:tcPr>
          <w:p w:rsidR="00F26EEA" w:rsidRPr="00D337FA" w:rsidRDefault="00B10467" w:rsidP="00221D2B">
            <w:pPr>
              <w:pStyle w:val="aff3"/>
              <w:jc w:val="center"/>
              <w:rPr>
                <w:i/>
                <w:color w:val="auto"/>
                <w:sz w:val="20"/>
                <w:szCs w:val="20"/>
              </w:rPr>
            </w:pPr>
            <w:r w:rsidRPr="00D337FA">
              <w:rPr>
                <w:i/>
                <w:color w:val="auto"/>
                <w:sz w:val="20"/>
                <w:szCs w:val="20"/>
              </w:rPr>
              <w:t>Журнал</w:t>
            </w:r>
            <w:r w:rsidR="006C680D" w:rsidRPr="00D337FA">
              <w:rPr>
                <w:i/>
                <w:color w:val="auto"/>
                <w:sz w:val="20"/>
                <w:szCs w:val="20"/>
              </w:rPr>
              <w:t xml:space="preserve"> </w:t>
            </w:r>
            <w:r w:rsidRPr="00D337FA">
              <w:rPr>
                <w:i/>
                <w:color w:val="auto"/>
                <w:sz w:val="20"/>
                <w:szCs w:val="20"/>
              </w:rPr>
              <w:t>включен</w:t>
            </w:r>
            <w:r w:rsidR="006C680D" w:rsidRPr="00D337FA">
              <w:rPr>
                <w:i/>
                <w:color w:val="auto"/>
                <w:sz w:val="20"/>
                <w:szCs w:val="20"/>
              </w:rPr>
              <w:t xml:space="preserve"> </w:t>
            </w:r>
            <w:r w:rsidRPr="00D337FA">
              <w:rPr>
                <w:i/>
                <w:color w:val="auto"/>
                <w:sz w:val="20"/>
                <w:szCs w:val="20"/>
              </w:rPr>
              <w:t>в</w:t>
            </w:r>
            <w:r w:rsidR="006C680D" w:rsidRPr="00D337FA">
              <w:rPr>
                <w:i/>
                <w:color w:val="auto"/>
                <w:sz w:val="20"/>
                <w:szCs w:val="20"/>
              </w:rPr>
              <w:t xml:space="preserve"> </w:t>
            </w:r>
            <w:r w:rsidRPr="00D337FA">
              <w:rPr>
                <w:i/>
                <w:color w:val="auto"/>
                <w:sz w:val="20"/>
                <w:szCs w:val="20"/>
              </w:rPr>
              <w:t>перечень</w:t>
            </w:r>
            <w:r w:rsidR="006C680D" w:rsidRPr="00D337FA">
              <w:rPr>
                <w:i/>
                <w:color w:val="auto"/>
                <w:sz w:val="20"/>
                <w:szCs w:val="20"/>
              </w:rPr>
              <w:t xml:space="preserve"> </w:t>
            </w:r>
            <w:r w:rsidRPr="00D337FA">
              <w:rPr>
                <w:i/>
                <w:color w:val="auto"/>
                <w:sz w:val="20"/>
                <w:szCs w:val="20"/>
              </w:rPr>
              <w:t>ведущих</w:t>
            </w:r>
            <w:r w:rsidR="006C680D" w:rsidRPr="00D337FA">
              <w:rPr>
                <w:i/>
                <w:color w:val="auto"/>
                <w:sz w:val="20"/>
                <w:szCs w:val="20"/>
              </w:rPr>
              <w:t xml:space="preserve"> </w:t>
            </w:r>
            <w:r w:rsidRPr="00D337FA">
              <w:rPr>
                <w:i/>
                <w:color w:val="auto"/>
                <w:sz w:val="20"/>
                <w:szCs w:val="20"/>
              </w:rPr>
              <w:t>рецензируемых</w:t>
            </w:r>
            <w:r w:rsidR="006C680D" w:rsidRPr="00D337FA">
              <w:rPr>
                <w:i/>
                <w:color w:val="auto"/>
                <w:sz w:val="20"/>
                <w:szCs w:val="20"/>
              </w:rPr>
              <w:t xml:space="preserve"> </w:t>
            </w:r>
            <w:r w:rsidRPr="00D337FA">
              <w:rPr>
                <w:i/>
                <w:color w:val="auto"/>
                <w:sz w:val="20"/>
                <w:szCs w:val="20"/>
              </w:rPr>
              <w:t>журналов</w:t>
            </w:r>
            <w:r w:rsidR="006C680D" w:rsidRPr="00D337FA">
              <w:rPr>
                <w:i/>
                <w:color w:val="auto"/>
                <w:sz w:val="20"/>
                <w:szCs w:val="20"/>
              </w:rPr>
              <w:t xml:space="preserve"> </w:t>
            </w:r>
            <w:r w:rsidRPr="00D337FA">
              <w:rPr>
                <w:i/>
                <w:color w:val="auto"/>
                <w:sz w:val="20"/>
                <w:szCs w:val="20"/>
              </w:rPr>
              <w:t>и</w:t>
            </w:r>
            <w:r w:rsidR="006C680D" w:rsidRPr="00D337FA">
              <w:rPr>
                <w:i/>
                <w:color w:val="auto"/>
                <w:sz w:val="20"/>
                <w:szCs w:val="20"/>
              </w:rPr>
              <w:t xml:space="preserve"> </w:t>
            </w:r>
            <w:r w:rsidRPr="00D337FA">
              <w:rPr>
                <w:i/>
                <w:color w:val="auto"/>
                <w:sz w:val="20"/>
                <w:szCs w:val="20"/>
              </w:rPr>
              <w:t>научных</w:t>
            </w:r>
            <w:r w:rsidR="006C680D" w:rsidRPr="00D337FA">
              <w:rPr>
                <w:i/>
                <w:color w:val="auto"/>
                <w:sz w:val="20"/>
                <w:szCs w:val="20"/>
              </w:rPr>
              <w:t xml:space="preserve"> </w:t>
            </w:r>
            <w:r w:rsidRPr="00D337FA">
              <w:rPr>
                <w:i/>
                <w:color w:val="auto"/>
                <w:sz w:val="20"/>
                <w:szCs w:val="20"/>
              </w:rPr>
              <w:t>изданий,</w:t>
            </w:r>
            <w:r w:rsidR="006C680D" w:rsidRPr="00D337FA">
              <w:rPr>
                <w:i/>
                <w:color w:val="auto"/>
                <w:sz w:val="20"/>
                <w:szCs w:val="20"/>
              </w:rPr>
              <w:t xml:space="preserve"> </w:t>
            </w:r>
            <w:r w:rsidRPr="00D337FA">
              <w:rPr>
                <w:i/>
                <w:color w:val="auto"/>
                <w:sz w:val="20"/>
                <w:szCs w:val="20"/>
              </w:rPr>
              <w:t>утвержденный</w:t>
            </w:r>
            <w:r w:rsidR="006C680D" w:rsidRPr="00D337FA">
              <w:rPr>
                <w:i/>
                <w:color w:val="auto"/>
                <w:sz w:val="20"/>
                <w:szCs w:val="20"/>
              </w:rPr>
              <w:t xml:space="preserve"> </w:t>
            </w:r>
          </w:p>
          <w:p w:rsidR="00B10467" w:rsidRPr="00D337FA" w:rsidRDefault="00B10467" w:rsidP="00221D2B">
            <w:pPr>
              <w:pStyle w:val="aff3"/>
              <w:jc w:val="center"/>
              <w:rPr>
                <w:i/>
                <w:color w:val="auto"/>
                <w:sz w:val="20"/>
                <w:szCs w:val="20"/>
              </w:rPr>
            </w:pPr>
            <w:r w:rsidRPr="00D337FA">
              <w:rPr>
                <w:i/>
                <w:color w:val="auto"/>
                <w:sz w:val="20"/>
                <w:szCs w:val="20"/>
              </w:rPr>
              <w:t>президиумом</w:t>
            </w:r>
            <w:r w:rsidR="006C680D" w:rsidRPr="00D337FA">
              <w:rPr>
                <w:i/>
                <w:color w:val="auto"/>
                <w:sz w:val="20"/>
                <w:szCs w:val="20"/>
              </w:rPr>
              <w:t xml:space="preserve"> </w:t>
            </w:r>
            <w:r w:rsidRPr="00D337FA">
              <w:rPr>
                <w:i/>
                <w:color w:val="auto"/>
                <w:sz w:val="20"/>
                <w:szCs w:val="20"/>
              </w:rPr>
              <w:t>ВАК</w:t>
            </w:r>
            <w:r w:rsidR="006C680D" w:rsidRPr="00D337FA">
              <w:rPr>
                <w:i/>
                <w:color w:val="auto"/>
                <w:sz w:val="20"/>
                <w:szCs w:val="20"/>
              </w:rPr>
              <w:t xml:space="preserve"> </w:t>
            </w:r>
            <w:r w:rsidRPr="00D337FA">
              <w:rPr>
                <w:i/>
                <w:color w:val="auto"/>
                <w:sz w:val="20"/>
                <w:szCs w:val="20"/>
              </w:rPr>
              <w:t>Министерства</w:t>
            </w:r>
            <w:r w:rsidR="006C680D" w:rsidRPr="00D337FA">
              <w:rPr>
                <w:i/>
                <w:color w:val="auto"/>
                <w:sz w:val="20"/>
                <w:szCs w:val="20"/>
              </w:rPr>
              <w:t xml:space="preserve"> </w:t>
            </w:r>
            <w:r w:rsidR="00F26EEA" w:rsidRPr="00D337FA">
              <w:rPr>
                <w:i/>
                <w:color w:val="auto"/>
                <w:sz w:val="20"/>
                <w:szCs w:val="20"/>
              </w:rPr>
              <w:t>науки</w:t>
            </w:r>
            <w:r w:rsidR="006C680D" w:rsidRPr="00D337FA">
              <w:rPr>
                <w:i/>
                <w:color w:val="auto"/>
                <w:sz w:val="20"/>
                <w:szCs w:val="20"/>
              </w:rPr>
              <w:t xml:space="preserve"> </w:t>
            </w:r>
            <w:r w:rsidR="00F26EEA" w:rsidRPr="00D337FA">
              <w:rPr>
                <w:i/>
                <w:color w:val="auto"/>
                <w:sz w:val="20"/>
                <w:szCs w:val="20"/>
              </w:rPr>
              <w:br/>
              <w:t>и</w:t>
            </w:r>
            <w:r w:rsidR="006C680D" w:rsidRPr="00D337FA">
              <w:rPr>
                <w:i/>
                <w:color w:val="auto"/>
                <w:sz w:val="20"/>
                <w:szCs w:val="20"/>
              </w:rPr>
              <w:t xml:space="preserve"> </w:t>
            </w:r>
            <w:r w:rsidR="00F26EEA" w:rsidRPr="00D337FA">
              <w:rPr>
                <w:i/>
                <w:color w:val="auto"/>
                <w:sz w:val="20"/>
                <w:szCs w:val="20"/>
              </w:rPr>
              <w:t>высшего</w:t>
            </w:r>
            <w:r w:rsidR="006C680D" w:rsidRPr="00D337FA">
              <w:rPr>
                <w:i/>
                <w:color w:val="auto"/>
                <w:sz w:val="20"/>
                <w:szCs w:val="20"/>
              </w:rPr>
              <w:t xml:space="preserve"> </w:t>
            </w:r>
            <w:r w:rsidRPr="00D337FA">
              <w:rPr>
                <w:i/>
                <w:color w:val="auto"/>
                <w:sz w:val="20"/>
                <w:szCs w:val="20"/>
              </w:rPr>
              <w:t>образования</w:t>
            </w:r>
            <w:r w:rsidR="006C680D" w:rsidRPr="00D337FA">
              <w:rPr>
                <w:i/>
                <w:color w:val="auto"/>
                <w:sz w:val="20"/>
                <w:szCs w:val="20"/>
              </w:rPr>
              <w:t xml:space="preserve"> </w:t>
            </w:r>
            <w:r w:rsidRPr="00D337FA">
              <w:rPr>
                <w:i/>
                <w:color w:val="auto"/>
                <w:sz w:val="20"/>
                <w:szCs w:val="20"/>
              </w:rPr>
              <w:t>Р</w:t>
            </w:r>
            <w:r w:rsidR="00F26EEA" w:rsidRPr="00D337FA">
              <w:rPr>
                <w:i/>
                <w:color w:val="auto"/>
                <w:sz w:val="20"/>
                <w:szCs w:val="20"/>
              </w:rPr>
              <w:t>оссии</w:t>
            </w:r>
            <w:r w:rsidRPr="00D337FA">
              <w:rPr>
                <w:i/>
                <w:color w:val="auto"/>
                <w:sz w:val="20"/>
                <w:szCs w:val="20"/>
              </w:rPr>
              <w:t>,</w:t>
            </w:r>
            <w:r w:rsidR="00915916" w:rsidRPr="00D337FA">
              <w:rPr>
                <w:i/>
                <w:color w:val="auto"/>
                <w:sz w:val="20"/>
                <w:szCs w:val="20"/>
              </w:rPr>
              <w:br/>
            </w:r>
            <w:r w:rsidRPr="00D337FA">
              <w:rPr>
                <w:i/>
                <w:color w:val="auto"/>
                <w:sz w:val="20"/>
                <w:szCs w:val="20"/>
              </w:rPr>
              <w:t>в</w:t>
            </w:r>
            <w:r w:rsidR="006C680D" w:rsidRPr="00D337FA">
              <w:rPr>
                <w:i/>
                <w:color w:val="auto"/>
                <w:sz w:val="20"/>
                <w:szCs w:val="20"/>
              </w:rPr>
              <w:t xml:space="preserve"> </w:t>
            </w:r>
            <w:r w:rsidRPr="00D337FA">
              <w:rPr>
                <w:i/>
                <w:color w:val="auto"/>
                <w:sz w:val="20"/>
                <w:szCs w:val="20"/>
              </w:rPr>
              <w:t>которых</w:t>
            </w:r>
            <w:r w:rsidR="006C680D" w:rsidRPr="00D337FA">
              <w:rPr>
                <w:i/>
                <w:color w:val="auto"/>
                <w:sz w:val="20"/>
                <w:szCs w:val="20"/>
              </w:rPr>
              <w:t xml:space="preserve"> </w:t>
            </w:r>
            <w:r w:rsidRPr="00D337FA">
              <w:rPr>
                <w:i/>
                <w:color w:val="auto"/>
                <w:sz w:val="20"/>
                <w:szCs w:val="20"/>
              </w:rPr>
              <w:t>публикуются</w:t>
            </w:r>
            <w:r w:rsidR="006C680D" w:rsidRPr="00D337FA">
              <w:rPr>
                <w:i/>
                <w:color w:val="auto"/>
                <w:sz w:val="20"/>
                <w:szCs w:val="20"/>
              </w:rPr>
              <w:t xml:space="preserve"> </w:t>
            </w:r>
            <w:r w:rsidRPr="00D337FA">
              <w:rPr>
                <w:i/>
                <w:color w:val="auto"/>
                <w:sz w:val="20"/>
                <w:szCs w:val="20"/>
              </w:rPr>
              <w:t>основные</w:t>
            </w:r>
            <w:r w:rsidR="006C680D" w:rsidRPr="00D337FA">
              <w:rPr>
                <w:i/>
                <w:color w:val="auto"/>
                <w:sz w:val="20"/>
                <w:szCs w:val="20"/>
              </w:rPr>
              <w:t xml:space="preserve"> </w:t>
            </w:r>
            <w:r w:rsidRPr="00D337FA">
              <w:rPr>
                <w:i/>
                <w:color w:val="auto"/>
                <w:sz w:val="20"/>
                <w:szCs w:val="20"/>
              </w:rPr>
              <w:t>научные</w:t>
            </w:r>
            <w:r w:rsidR="006C680D" w:rsidRPr="00D337FA">
              <w:rPr>
                <w:i/>
                <w:color w:val="auto"/>
                <w:sz w:val="20"/>
                <w:szCs w:val="20"/>
              </w:rPr>
              <w:t xml:space="preserve"> </w:t>
            </w:r>
            <w:r w:rsidR="00915916" w:rsidRPr="00D337FA">
              <w:rPr>
                <w:i/>
                <w:color w:val="auto"/>
                <w:sz w:val="20"/>
                <w:szCs w:val="20"/>
              </w:rPr>
              <w:br/>
            </w:r>
            <w:r w:rsidRPr="00D337FA">
              <w:rPr>
                <w:i/>
                <w:color w:val="auto"/>
                <w:sz w:val="20"/>
                <w:szCs w:val="20"/>
              </w:rPr>
              <w:t>результаты</w:t>
            </w:r>
            <w:r w:rsidR="006C680D" w:rsidRPr="00D337FA">
              <w:rPr>
                <w:i/>
                <w:color w:val="auto"/>
                <w:sz w:val="20"/>
                <w:szCs w:val="20"/>
              </w:rPr>
              <w:t xml:space="preserve"> </w:t>
            </w:r>
            <w:r w:rsidRPr="00D337FA">
              <w:rPr>
                <w:i/>
                <w:color w:val="auto"/>
                <w:sz w:val="20"/>
                <w:szCs w:val="20"/>
              </w:rPr>
              <w:t>диссертаций</w:t>
            </w:r>
            <w:r w:rsidR="006C680D" w:rsidRPr="00D337FA">
              <w:rPr>
                <w:i/>
                <w:color w:val="auto"/>
                <w:sz w:val="20"/>
                <w:szCs w:val="20"/>
              </w:rPr>
              <w:t xml:space="preserve"> </w:t>
            </w:r>
            <w:r w:rsidRPr="00D337FA">
              <w:rPr>
                <w:i/>
                <w:color w:val="auto"/>
                <w:sz w:val="20"/>
                <w:szCs w:val="20"/>
              </w:rPr>
              <w:t>на</w:t>
            </w:r>
            <w:r w:rsidR="006C680D" w:rsidRPr="00D337FA">
              <w:rPr>
                <w:i/>
                <w:color w:val="auto"/>
                <w:sz w:val="20"/>
                <w:szCs w:val="20"/>
              </w:rPr>
              <w:t xml:space="preserve"> </w:t>
            </w:r>
            <w:r w:rsidRPr="00D337FA">
              <w:rPr>
                <w:i/>
                <w:color w:val="auto"/>
                <w:sz w:val="20"/>
                <w:szCs w:val="20"/>
              </w:rPr>
              <w:t>соискание</w:t>
            </w:r>
            <w:r w:rsidR="006C680D" w:rsidRPr="00D337FA">
              <w:rPr>
                <w:i/>
                <w:color w:val="auto"/>
                <w:sz w:val="20"/>
                <w:szCs w:val="20"/>
              </w:rPr>
              <w:t xml:space="preserve"> </w:t>
            </w:r>
            <w:r w:rsidR="00915916" w:rsidRPr="00D337FA">
              <w:rPr>
                <w:i/>
                <w:color w:val="auto"/>
                <w:sz w:val="20"/>
                <w:szCs w:val="20"/>
              </w:rPr>
              <w:br/>
            </w:r>
            <w:r w:rsidRPr="00D337FA">
              <w:rPr>
                <w:i/>
                <w:color w:val="auto"/>
                <w:sz w:val="20"/>
                <w:szCs w:val="20"/>
              </w:rPr>
              <w:t>ученых</w:t>
            </w:r>
            <w:r w:rsidR="006C680D" w:rsidRPr="00D337FA">
              <w:rPr>
                <w:i/>
                <w:color w:val="auto"/>
                <w:sz w:val="20"/>
                <w:szCs w:val="20"/>
              </w:rPr>
              <w:t xml:space="preserve"> </w:t>
            </w:r>
            <w:r w:rsidRPr="00D337FA">
              <w:rPr>
                <w:i/>
                <w:color w:val="auto"/>
                <w:sz w:val="20"/>
                <w:szCs w:val="20"/>
              </w:rPr>
              <w:t>степеней</w:t>
            </w:r>
            <w:r w:rsidR="006C680D" w:rsidRPr="00D337FA">
              <w:rPr>
                <w:i/>
                <w:color w:val="auto"/>
                <w:sz w:val="20"/>
                <w:szCs w:val="20"/>
              </w:rPr>
              <w:t xml:space="preserve"> </w:t>
            </w:r>
            <w:r w:rsidRPr="00D337FA">
              <w:rPr>
                <w:i/>
                <w:color w:val="auto"/>
                <w:sz w:val="20"/>
                <w:szCs w:val="20"/>
              </w:rPr>
              <w:t>доктора</w:t>
            </w:r>
            <w:r w:rsidR="006C680D" w:rsidRPr="00D337FA">
              <w:rPr>
                <w:i/>
                <w:color w:val="auto"/>
                <w:sz w:val="20"/>
                <w:szCs w:val="20"/>
              </w:rPr>
              <w:t xml:space="preserve"> </w:t>
            </w:r>
            <w:r w:rsidRPr="00D337FA">
              <w:rPr>
                <w:i/>
                <w:color w:val="auto"/>
                <w:sz w:val="20"/>
                <w:szCs w:val="20"/>
              </w:rPr>
              <w:t>и</w:t>
            </w:r>
            <w:r w:rsidR="006C680D" w:rsidRPr="00D337FA">
              <w:rPr>
                <w:i/>
                <w:color w:val="auto"/>
                <w:sz w:val="20"/>
                <w:szCs w:val="20"/>
              </w:rPr>
              <w:t xml:space="preserve"> </w:t>
            </w:r>
            <w:r w:rsidRPr="00D337FA">
              <w:rPr>
                <w:i/>
                <w:color w:val="auto"/>
                <w:sz w:val="20"/>
                <w:szCs w:val="20"/>
              </w:rPr>
              <w:t>кандидата</w:t>
            </w:r>
            <w:r w:rsidR="006C680D" w:rsidRPr="00D337FA">
              <w:rPr>
                <w:i/>
                <w:color w:val="auto"/>
                <w:sz w:val="20"/>
                <w:szCs w:val="20"/>
              </w:rPr>
              <w:t xml:space="preserve"> </w:t>
            </w:r>
            <w:r w:rsidRPr="00D337FA">
              <w:rPr>
                <w:i/>
                <w:color w:val="auto"/>
                <w:sz w:val="20"/>
                <w:szCs w:val="20"/>
              </w:rPr>
              <w:t>наук</w:t>
            </w:r>
          </w:p>
          <w:p w:rsidR="00B10467" w:rsidRPr="00D337FA" w:rsidRDefault="00B10467" w:rsidP="00221D2B">
            <w:pPr>
              <w:pStyle w:val="aff3"/>
              <w:jc w:val="center"/>
              <w:rPr>
                <w:color w:val="auto"/>
                <w:sz w:val="12"/>
                <w:szCs w:val="20"/>
              </w:rPr>
            </w:pPr>
          </w:p>
          <w:p w:rsidR="00B10467" w:rsidRPr="00D337FA" w:rsidRDefault="00825120" w:rsidP="00221D2B">
            <w:pPr>
              <w:pStyle w:val="aff3"/>
              <w:jc w:val="center"/>
              <w:rPr>
                <w:color w:val="auto"/>
                <w:sz w:val="20"/>
                <w:szCs w:val="20"/>
              </w:rPr>
            </w:pPr>
            <w:r w:rsidRPr="00D337FA">
              <w:rPr>
                <w:color w:val="auto"/>
                <w:sz w:val="20"/>
                <w:szCs w:val="20"/>
              </w:rPr>
              <w:t>Журнал</w:t>
            </w:r>
            <w:r w:rsidR="006C680D" w:rsidRPr="00D337FA">
              <w:rPr>
                <w:color w:val="auto"/>
                <w:sz w:val="20"/>
                <w:szCs w:val="20"/>
              </w:rPr>
              <w:t xml:space="preserve"> </w:t>
            </w:r>
            <w:r w:rsidRPr="00D337FA">
              <w:rPr>
                <w:color w:val="auto"/>
                <w:sz w:val="20"/>
                <w:szCs w:val="20"/>
              </w:rPr>
              <w:t>публикует</w:t>
            </w:r>
            <w:r w:rsidR="006C680D" w:rsidRPr="00D337FA">
              <w:rPr>
                <w:color w:val="auto"/>
                <w:sz w:val="20"/>
                <w:szCs w:val="20"/>
              </w:rPr>
              <w:t xml:space="preserve"> </w:t>
            </w:r>
            <w:r w:rsidRPr="00D337FA">
              <w:rPr>
                <w:color w:val="auto"/>
                <w:sz w:val="20"/>
                <w:szCs w:val="20"/>
              </w:rPr>
              <w:t>научные</w:t>
            </w:r>
            <w:r w:rsidR="006C680D" w:rsidRPr="00D337FA">
              <w:rPr>
                <w:color w:val="auto"/>
                <w:sz w:val="20"/>
                <w:szCs w:val="20"/>
              </w:rPr>
              <w:t xml:space="preserve"> </w:t>
            </w:r>
            <w:r w:rsidRPr="00D337FA">
              <w:rPr>
                <w:color w:val="auto"/>
                <w:sz w:val="20"/>
                <w:szCs w:val="20"/>
              </w:rPr>
              <w:t>статьи</w:t>
            </w:r>
            <w:r w:rsidR="00B32FD0" w:rsidRPr="00D337FA">
              <w:rPr>
                <w:color w:val="auto"/>
                <w:sz w:val="20"/>
                <w:szCs w:val="20"/>
              </w:rPr>
              <w:br/>
            </w:r>
            <w:r w:rsidRPr="00D337FA">
              <w:rPr>
                <w:color w:val="auto"/>
                <w:sz w:val="20"/>
                <w:szCs w:val="20"/>
              </w:rPr>
              <w:t>по</w:t>
            </w:r>
            <w:r w:rsidR="006C680D" w:rsidRPr="00D337FA">
              <w:rPr>
                <w:color w:val="auto"/>
                <w:sz w:val="20"/>
                <w:szCs w:val="20"/>
              </w:rPr>
              <w:t xml:space="preserve"> </w:t>
            </w:r>
            <w:r w:rsidRPr="00D337FA">
              <w:rPr>
                <w:color w:val="auto"/>
                <w:sz w:val="20"/>
                <w:szCs w:val="20"/>
              </w:rPr>
              <w:t>экономическим</w:t>
            </w:r>
            <w:r w:rsidR="006C680D" w:rsidRPr="00D337FA">
              <w:rPr>
                <w:color w:val="auto"/>
                <w:sz w:val="20"/>
                <w:szCs w:val="20"/>
              </w:rPr>
              <w:t xml:space="preserve"> </w:t>
            </w:r>
            <w:r w:rsidRPr="00D337FA">
              <w:rPr>
                <w:color w:val="auto"/>
                <w:sz w:val="20"/>
                <w:szCs w:val="20"/>
              </w:rPr>
              <w:t>наукам</w:t>
            </w:r>
            <w:r w:rsidR="006C680D" w:rsidRPr="00D337FA">
              <w:rPr>
                <w:color w:val="auto"/>
                <w:sz w:val="20"/>
                <w:szCs w:val="20"/>
              </w:rPr>
              <w:t xml:space="preserve"> </w:t>
            </w:r>
            <w:r w:rsidRPr="00D337FA">
              <w:rPr>
                <w:color w:val="auto"/>
                <w:sz w:val="20"/>
                <w:szCs w:val="20"/>
              </w:rPr>
              <w:t>(специальности</w:t>
            </w:r>
            <w:r w:rsidR="00B32FD0" w:rsidRPr="00D337FA">
              <w:rPr>
                <w:color w:val="auto"/>
                <w:sz w:val="20"/>
                <w:szCs w:val="20"/>
              </w:rPr>
              <w:br/>
            </w:r>
            <w:r w:rsidRPr="00D337FA">
              <w:rPr>
                <w:color w:val="auto"/>
                <w:sz w:val="20"/>
                <w:szCs w:val="20"/>
              </w:rPr>
              <w:t>5.2.3.</w:t>
            </w:r>
            <w:r w:rsidR="006C680D" w:rsidRPr="00D337FA">
              <w:rPr>
                <w:color w:val="auto"/>
                <w:sz w:val="20"/>
                <w:szCs w:val="20"/>
              </w:rPr>
              <w:t xml:space="preserve"> </w:t>
            </w:r>
            <w:r w:rsidRPr="00D337FA">
              <w:rPr>
                <w:color w:val="auto"/>
                <w:sz w:val="20"/>
                <w:szCs w:val="20"/>
              </w:rPr>
              <w:t>«Региональная</w:t>
            </w:r>
            <w:r w:rsidR="006C680D" w:rsidRPr="00D337FA">
              <w:rPr>
                <w:color w:val="auto"/>
                <w:sz w:val="20"/>
                <w:szCs w:val="20"/>
              </w:rPr>
              <w:t xml:space="preserve"> </w:t>
            </w:r>
            <w:r w:rsidRPr="00D337FA">
              <w:rPr>
                <w:color w:val="auto"/>
                <w:sz w:val="20"/>
                <w:szCs w:val="20"/>
              </w:rPr>
              <w:t>и</w:t>
            </w:r>
            <w:r w:rsidR="006C680D" w:rsidRPr="00D337FA">
              <w:rPr>
                <w:color w:val="auto"/>
                <w:sz w:val="20"/>
                <w:szCs w:val="20"/>
              </w:rPr>
              <w:t xml:space="preserve"> </w:t>
            </w:r>
            <w:r w:rsidRPr="00D337FA">
              <w:rPr>
                <w:color w:val="auto"/>
                <w:sz w:val="20"/>
                <w:szCs w:val="20"/>
              </w:rPr>
              <w:t>отраслевая</w:t>
            </w:r>
            <w:r w:rsidR="00B32FD0" w:rsidRPr="00D337FA">
              <w:rPr>
                <w:color w:val="auto"/>
                <w:sz w:val="20"/>
                <w:szCs w:val="20"/>
              </w:rPr>
              <w:br/>
            </w:r>
            <w:r w:rsidRPr="00D337FA">
              <w:rPr>
                <w:color w:val="auto"/>
                <w:sz w:val="20"/>
                <w:szCs w:val="20"/>
              </w:rPr>
              <w:t>экономика»;</w:t>
            </w:r>
            <w:r w:rsidR="006C680D" w:rsidRPr="00D337FA">
              <w:rPr>
                <w:color w:val="auto"/>
                <w:sz w:val="20"/>
                <w:szCs w:val="20"/>
              </w:rPr>
              <w:t xml:space="preserve"> </w:t>
            </w:r>
            <w:r w:rsidRPr="00D337FA">
              <w:rPr>
                <w:color w:val="auto"/>
                <w:sz w:val="20"/>
                <w:szCs w:val="20"/>
              </w:rPr>
              <w:t>5.2.4.</w:t>
            </w:r>
            <w:r w:rsidR="006C680D" w:rsidRPr="00D337FA">
              <w:rPr>
                <w:color w:val="auto"/>
                <w:sz w:val="20"/>
                <w:szCs w:val="20"/>
              </w:rPr>
              <w:t xml:space="preserve"> </w:t>
            </w:r>
            <w:r w:rsidRPr="00D337FA">
              <w:rPr>
                <w:color w:val="auto"/>
                <w:sz w:val="20"/>
                <w:szCs w:val="20"/>
              </w:rPr>
              <w:t>«Финансы»;</w:t>
            </w:r>
            <w:r w:rsidR="00B32FD0" w:rsidRPr="00D337FA">
              <w:rPr>
                <w:color w:val="auto"/>
                <w:sz w:val="20"/>
                <w:szCs w:val="20"/>
              </w:rPr>
              <w:br/>
            </w:r>
            <w:r w:rsidRPr="00D337FA">
              <w:rPr>
                <w:color w:val="auto"/>
                <w:sz w:val="20"/>
                <w:szCs w:val="20"/>
              </w:rPr>
              <w:t>5.2.6.</w:t>
            </w:r>
            <w:r w:rsidR="006C680D" w:rsidRPr="00D337FA">
              <w:rPr>
                <w:color w:val="auto"/>
                <w:sz w:val="20"/>
                <w:szCs w:val="20"/>
              </w:rPr>
              <w:t xml:space="preserve"> </w:t>
            </w:r>
            <w:r w:rsidRPr="00D337FA">
              <w:rPr>
                <w:color w:val="auto"/>
                <w:sz w:val="20"/>
                <w:szCs w:val="20"/>
              </w:rPr>
              <w:t>«Менеджмент»)</w:t>
            </w:r>
          </w:p>
          <w:p w:rsidR="002C4EDB" w:rsidRPr="00D337FA" w:rsidRDefault="002C4EDB" w:rsidP="00221D2B">
            <w:pPr>
              <w:pStyle w:val="aff3"/>
              <w:jc w:val="center"/>
              <w:rPr>
                <w:color w:val="auto"/>
                <w:sz w:val="12"/>
                <w:szCs w:val="20"/>
              </w:rPr>
            </w:pPr>
          </w:p>
          <w:p w:rsidR="00B10467" w:rsidRPr="00D337FA" w:rsidRDefault="00B10467" w:rsidP="00221D2B">
            <w:pPr>
              <w:pStyle w:val="aff3"/>
              <w:jc w:val="center"/>
              <w:rPr>
                <w:rFonts w:ascii="Bookman Old Style" w:hAnsi="Bookman Old Style" w:cs="Aharoni"/>
                <w:b/>
                <w:color w:val="auto"/>
                <w:spacing w:val="-30"/>
                <w:sz w:val="18"/>
                <w:szCs w:val="18"/>
                <w:lang w:bidi="he-IL"/>
              </w:rPr>
            </w:pPr>
            <w:r w:rsidRPr="00D337FA">
              <w:rPr>
                <w:color w:val="auto"/>
                <w:sz w:val="18"/>
                <w:szCs w:val="18"/>
              </w:rPr>
              <w:t>Полная</w:t>
            </w:r>
            <w:r w:rsidR="006C680D" w:rsidRPr="00D337FA">
              <w:rPr>
                <w:color w:val="auto"/>
                <w:sz w:val="18"/>
                <w:szCs w:val="18"/>
              </w:rPr>
              <w:t xml:space="preserve"> </w:t>
            </w:r>
            <w:r w:rsidRPr="00D337FA">
              <w:rPr>
                <w:color w:val="auto"/>
                <w:sz w:val="18"/>
                <w:szCs w:val="18"/>
              </w:rPr>
              <w:t>электронная</w:t>
            </w:r>
            <w:r w:rsidR="006C680D" w:rsidRPr="00D337FA">
              <w:rPr>
                <w:color w:val="auto"/>
                <w:sz w:val="18"/>
                <w:szCs w:val="18"/>
              </w:rPr>
              <w:t xml:space="preserve"> </w:t>
            </w:r>
            <w:r w:rsidRPr="00D337FA">
              <w:rPr>
                <w:color w:val="auto"/>
                <w:sz w:val="18"/>
                <w:szCs w:val="18"/>
              </w:rPr>
              <w:t>версия</w:t>
            </w:r>
            <w:r w:rsidR="006C680D" w:rsidRPr="00D337FA">
              <w:rPr>
                <w:color w:val="auto"/>
                <w:sz w:val="18"/>
                <w:szCs w:val="18"/>
              </w:rPr>
              <w:t xml:space="preserve"> </w:t>
            </w:r>
            <w:r w:rsidRPr="00D337FA">
              <w:rPr>
                <w:color w:val="auto"/>
                <w:sz w:val="18"/>
                <w:szCs w:val="18"/>
              </w:rPr>
              <w:t>журнала</w:t>
            </w:r>
            <w:r w:rsidR="006C680D" w:rsidRPr="00D337FA">
              <w:rPr>
                <w:color w:val="auto"/>
                <w:sz w:val="18"/>
                <w:szCs w:val="18"/>
              </w:rPr>
              <w:t xml:space="preserve"> </w:t>
            </w:r>
            <w:r w:rsidRPr="00D337FA">
              <w:rPr>
                <w:color w:val="auto"/>
                <w:sz w:val="18"/>
                <w:szCs w:val="18"/>
              </w:rPr>
              <w:t>размещена</w:t>
            </w:r>
            <w:r w:rsidR="006C680D" w:rsidRPr="00D337FA">
              <w:rPr>
                <w:color w:val="auto"/>
                <w:sz w:val="18"/>
                <w:szCs w:val="18"/>
              </w:rPr>
              <w:t xml:space="preserve"> </w:t>
            </w:r>
            <w:r w:rsidRPr="00D337FA">
              <w:rPr>
                <w:color w:val="auto"/>
                <w:sz w:val="18"/>
                <w:szCs w:val="18"/>
              </w:rPr>
              <w:t>в</w:t>
            </w:r>
            <w:r w:rsidR="006C680D" w:rsidRPr="00D337FA">
              <w:rPr>
                <w:color w:val="auto"/>
                <w:sz w:val="18"/>
                <w:szCs w:val="18"/>
              </w:rPr>
              <w:t xml:space="preserve"> </w:t>
            </w:r>
            <w:r w:rsidRPr="00D337FA">
              <w:rPr>
                <w:color w:val="auto"/>
                <w:sz w:val="18"/>
                <w:szCs w:val="18"/>
              </w:rPr>
              <w:t>системе</w:t>
            </w:r>
            <w:r w:rsidR="006C680D" w:rsidRPr="00D337FA">
              <w:rPr>
                <w:color w:val="auto"/>
                <w:sz w:val="18"/>
                <w:szCs w:val="18"/>
              </w:rPr>
              <w:t xml:space="preserve"> </w:t>
            </w:r>
            <w:r w:rsidRPr="00D337FA">
              <w:rPr>
                <w:color w:val="auto"/>
                <w:sz w:val="18"/>
                <w:szCs w:val="18"/>
              </w:rPr>
              <w:t>РИНЦ</w:t>
            </w:r>
            <w:r w:rsidR="006C680D" w:rsidRPr="00D337FA">
              <w:rPr>
                <w:color w:val="auto"/>
                <w:sz w:val="18"/>
                <w:szCs w:val="18"/>
              </w:rPr>
              <w:t xml:space="preserve"> </w:t>
            </w:r>
            <w:r w:rsidRPr="00D337FA">
              <w:rPr>
                <w:color w:val="auto"/>
                <w:sz w:val="18"/>
                <w:szCs w:val="18"/>
              </w:rPr>
              <w:t>в</w:t>
            </w:r>
            <w:r w:rsidR="006C680D" w:rsidRPr="00D337FA">
              <w:rPr>
                <w:color w:val="auto"/>
                <w:sz w:val="18"/>
                <w:szCs w:val="18"/>
              </w:rPr>
              <w:t xml:space="preserve"> </w:t>
            </w:r>
            <w:r w:rsidRPr="00D337FA">
              <w:rPr>
                <w:color w:val="auto"/>
                <w:sz w:val="18"/>
                <w:szCs w:val="18"/>
              </w:rPr>
              <w:t>открытом</w:t>
            </w:r>
            <w:r w:rsidR="006C680D" w:rsidRPr="00D337FA">
              <w:rPr>
                <w:color w:val="auto"/>
                <w:sz w:val="18"/>
                <w:szCs w:val="18"/>
              </w:rPr>
              <w:t xml:space="preserve"> </w:t>
            </w:r>
            <w:r w:rsidRPr="00D337FA">
              <w:rPr>
                <w:color w:val="auto"/>
                <w:sz w:val="18"/>
                <w:szCs w:val="18"/>
              </w:rPr>
              <w:t>доступе</w:t>
            </w:r>
            <w:r w:rsidR="006C680D" w:rsidRPr="00D337FA">
              <w:rPr>
                <w:color w:val="auto"/>
                <w:sz w:val="18"/>
                <w:szCs w:val="18"/>
              </w:rPr>
              <w:t xml:space="preserve"> </w:t>
            </w:r>
            <w:r w:rsidRPr="00D337FA">
              <w:rPr>
                <w:color w:val="auto"/>
                <w:sz w:val="18"/>
                <w:szCs w:val="18"/>
              </w:rPr>
              <w:t>на</w:t>
            </w:r>
            <w:r w:rsidR="006C680D" w:rsidRPr="00D337FA">
              <w:rPr>
                <w:color w:val="auto"/>
                <w:sz w:val="18"/>
                <w:szCs w:val="18"/>
              </w:rPr>
              <w:t xml:space="preserve"> </w:t>
            </w:r>
            <w:r w:rsidRPr="00D337FA">
              <w:rPr>
                <w:color w:val="auto"/>
                <w:sz w:val="18"/>
                <w:szCs w:val="18"/>
              </w:rPr>
              <w:t>платформе</w:t>
            </w:r>
            <w:r w:rsidR="006C680D" w:rsidRPr="00D337FA">
              <w:rPr>
                <w:color w:val="auto"/>
                <w:sz w:val="18"/>
                <w:szCs w:val="18"/>
              </w:rPr>
              <w:t xml:space="preserve"> </w:t>
            </w:r>
            <w:r w:rsidRPr="00D337FA">
              <w:rPr>
                <w:color w:val="auto"/>
                <w:sz w:val="18"/>
                <w:szCs w:val="18"/>
                <w:lang w:val="en-GB"/>
              </w:rPr>
              <w:t>eLIBRARY</w:t>
            </w:r>
            <w:r w:rsidRPr="00D337FA">
              <w:rPr>
                <w:color w:val="auto"/>
                <w:sz w:val="18"/>
                <w:szCs w:val="18"/>
              </w:rPr>
              <w:t>.</w:t>
            </w:r>
            <w:r w:rsidRPr="00D337FA">
              <w:rPr>
                <w:color w:val="auto"/>
                <w:sz w:val="18"/>
                <w:szCs w:val="18"/>
                <w:lang w:val="en-GB"/>
              </w:rPr>
              <w:t>RU</w:t>
            </w:r>
          </w:p>
        </w:tc>
      </w:tr>
    </w:tbl>
    <w:p w:rsidR="00915916" w:rsidRPr="00D337FA" w:rsidRDefault="00915916" w:rsidP="00825120">
      <w:pPr>
        <w:pStyle w:val="aff0"/>
        <w:pBdr>
          <w:bottom w:val="double" w:sz="12" w:space="0" w:color="auto"/>
        </w:pBdr>
        <w:rPr>
          <w:sz w:val="16"/>
          <w:szCs w:val="16"/>
          <w:lang w:val="ru-RU" w:bidi="he-IL"/>
        </w:rPr>
      </w:pPr>
    </w:p>
    <w:p w:rsidR="00163B06" w:rsidRPr="00D337FA" w:rsidRDefault="00163B06" w:rsidP="002C4EDB">
      <w:pPr>
        <w:suppressAutoHyphens/>
        <w:autoSpaceDE w:val="0"/>
        <w:autoSpaceDN w:val="0"/>
        <w:adjustRightInd w:val="0"/>
        <w:spacing w:before="120" w:line="288" w:lineRule="auto"/>
        <w:ind w:firstLine="0"/>
        <w:jc w:val="center"/>
        <w:textAlignment w:val="center"/>
        <w:rPr>
          <w:sz w:val="22"/>
          <w:szCs w:val="22"/>
          <w:lang w:eastAsia="ru-RU"/>
        </w:rPr>
      </w:pPr>
      <w:r w:rsidRPr="00D337FA">
        <w:rPr>
          <w:b/>
          <w:bCs/>
          <w:sz w:val="22"/>
          <w:szCs w:val="22"/>
          <w:lang w:eastAsia="ru-RU"/>
        </w:rPr>
        <w:t>РЕДАКЦИОННЫЙ</w:t>
      </w:r>
      <w:r w:rsidR="006C680D" w:rsidRPr="00D337FA">
        <w:rPr>
          <w:b/>
          <w:bCs/>
          <w:sz w:val="22"/>
          <w:szCs w:val="22"/>
          <w:lang w:eastAsia="ru-RU"/>
        </w:rPr>
        <w:t xml:space="preserve"> </w:t>
      </w:r>
      <w:r w:rsidRPr="00D337FA">
        <w:rPr>
          <w:b/>
          <w:bCs/>
          <w:sz w:val="22"/>
          <w:szCs w:val="22"/>
          <w:lang w:eastAsia="ru-RU"/>
        </w:rPr>
        <w:t>СОВЕТ:</w:t>
      </w:r>
    </w:p>
    <w:p w:rsidR="00825120" w:rsidRPr="00D337FA" w:rsidRDefault="00825120" w:rsidP="00825120">
      <w:pPr>
        <w:pStyle w:val="aff3"/>
        <w:rPr>
          <w:color w:val="auto"/>
          <w:sz w:val="21"/>
          <w:szCs w:val="21"/>
        </w:rPr>
      </w:pPr>
      <w:r w:rsidRPr="00D337FA">
        <w:rPr>
          <w:b/>
          <w:i/>
          <w:color w:val="auto"/>
          <w:spacing w:val="-4"/>
          <w:sz w:val="21"/>
          <w:szCs w:val="21"/>
        </w:rPr>
        <w:t>Председатель</w:t>
      </w:r>
      <w:r w:rsidR="006C680D" w:rsidRPr="00D337FA">
        <w:rPr>
          <w:b/>
          <w:i/>
          <w:color w:val="auto"/>
          <w:spacing w:val="-4"/>
          <w:sz w:val="21"/>
          <w:szCs w:val="21"/>
        </w:rPr>
        <w:t xml:space="preserve"> </w:t>
      </w:r>
      <w:r w:rsidRPr="00D337FA">
        <w:rPr>
          <w:b/>
          <w:i/>
          <w:color w:val="auto"/>
          <w:spacing w:val="-4"/>
          <w:sz w:val="21"/>
          <w:szCs w:val="21"/>
        </w:rPr>
        <w:t>совета</w:t>
      </w:r>
      <w:r w:rsidR="006C680D" w:rsidRPr="00D337FA">
        <w:rPr>
          <w:b/>
          <w:i/>
          <w:color w:val="auto"/>
          <w:spacing w:val="-4"/>
          <w:sz w:val="21"/>
          <w:szCs w:val="21"/>
        </w:rPr>
        <w:t xml:space="preserve"> </w:t>
      </w:r>
      <w:r w:rsidRPr="00D337FA">
        <w:rPr>
          <w:b/>
          <w:i/>
          <w:color w:val="auto"/>
          <w:spacing w:val="-4"/>
          <w:sz w:val="21"/>
          <w:szCs w:val="21"/>
        </w:rPr>
        <w:t>–</w:t>
      </w:r>
      <w:r w:rsidR="006C680D" w:rsidRPr="00D337FA">
        <w:rPr>
          <w:b/>
          <w:i/>
          <w:color w:val="auto"/>
          <w:spacing w:val="-4"/>
          <w:sz w:val="21"/>
          <w:szCs w:val="21"/>
        </w:rPr>
        <w:t xml:space="preserve"> </w:t>
      </w:r>
      <w:r w:rsidRPr="00D337FA">
        <w:rPr>
          <w:b/>
          <w:color w:val="auto"/>
          <w:spacing w:val="-4"/>
          <w:sz w:val="21"/>
          <w:szCs w:val="21"/>
        </w:rPr>
        <w:t>Горячева</w:t>
      </w:r>
      <w:r w:rsidR="006C680D" w:rsidRPr="00D337FA">
        <w:rPr>
          <w:b/>
          <w:color w:val="auto"/>
          <w:spacing w:val="-4"/>
          <w:sz w:val="21"/>
          <w:szCs w:val="21"/>
        </w:rPr>
        <w:t xml:space="preserve"> </w:t>
      </w:r>
      <w:r w:rsidRPr="00D337FA">
        <w:rPr>
          <w:b/>
          <w:color w:val="auto"/>
          <w:spacing w:val="-4"/>
          <w:sz w:val="21"/>
          <w:szCs w:val="21"/>
        </w:rPr>
        <w:t>Т.В.</w:t>
      </w:r>
      <w:r w:rsidR="006C680D" w:rsidRPr="00D337FA">
        <w:rPr>
          <w:b/>
          <w:color w:val="auto"/>
          <w:spacing w:val="-4"/>
          <w:sz w:val="21"/>
          <w:szCs w:val="21"/>
        </w:rPr>
        <w:t xml:space="preserve"> </w:t>
      </w:r>
      <w:r w:rsidRPr="00D337FA">
        <w:rPr>
          <w:b/>
          <w:color w:val="auto"/>
          <w:spacing w:val="-4"/>
          <w:sz w:val="21"/>
          <w:szCs w:val="21"/>
        </w:rPr>
        <w:t>–</w:t>
      </w:r>
      <w:r w:rsidR="006C680D" w:rsidRPr="00D337FA">
        <w:rPr>
          <w:b/>
          <w:color w:val="auto"/>
          <w:spacing w:val="-4"/>
          <w:sz w:val="21"/>
          <w:szCs w:val="21"/>
        </w:rPr>
        <w:t xml:space="preserve"> </w:t>
      </w:r>
      <w:r w:rsidRPr="00D337FA">
        <w:rPr>
          <w:color w:val="auto"/>
          <w:spacing w:val="-4"/>
          <w:sz w:val="21"/>
          <w:szCs w:val="21"/>
        </w:rPr>
        <w:t>д.э.н.,</w:t>
      </w:r>
      <w:r w:rsidR="006C680D" w:rsidRPr="00D337FA">
        <w:rPr>
          <w:color w:val="auto"/>
          <w:spacing w:val="-4"/>
          <w:sz w:val="21"/>
          <w:szCs w:val="21"/>
        </w:rPr>
        <w:t xml:space="preserve"> </w:t>
      </w:r>
      <w:r w:rsidRPr="00D337FA">
        <w:rPr>
          <w:color w:val="auto"/>
          <w:spacing w:val="-4"/>
          <w:sz w:val="21"/>
          <w:szCs w:val="21"/>
        </w:rPr>
        <w:t>профессор</w:t>
      </w:r>
      <w:r w:rsidR="006C680D" w:rsidRPr="00D337FA">
        <w:rPr>
          <w:color w:val="auto"/>
          <w:spacing w:val="-4"/>
          <w:sz w:val="21"/>
          <w:szCs w:val="21"/>
        </w:rPr>
        <w:t xml:space="preserve"> </w:t>
      </w:r>
      <w:r w:rsidRPr="00D337FA">
        <w:rPr>
          <w:color w:val="auto"/>
          <w:spacing w:val="-4"/>
          <w:sz w:val="21"/>
          <w:szCs w:val="21"/>
        </w:rPr>
        <w:t>кафедры</w:t>
      </w:r>
      <w:r w:rsidR="006C680D" w:rsidRPr="00D337FA">
        <w:rPr>
          <w:color w:val="auto"/>
          <w:spacing w:val="-4"/>
          <w:sz w:val="21"/>
          <w:szCs w:val="21"/>
        </w:rPr>
        <w:t xml:space="preserve"> </w:t>
      </w:r>
      <w:r w:rsidRPr="00D337FA">
        <w:rPr>
          <w:color w:val="auto"/>
          <w:spacing w:val="-4"/>
          <w:sz w:val="21"/>
          <w:szCs w:val="21"/>
        </w:rPr>
        <w:t>«Отраслевое</w:t>
      </w:r>
      <w:r w:rsidR="006C680D" w:rsidRPr="00D337FA">
        <w:rPr>
          <w:color w:val="auto"/>
          <w:spacing w:val="-4"/>
          <w:sz w:val="21"/>
          <w:szCs w:val="21"/>
        </w:rPr>
        <w:t xml:space="preserve"> </w:t>
      </w:r>
      <w:r w:rsidRPr="00D337FA">
        <w:rPr>
          <w:color w:val="auto"/>
          <w:spacing w:val="-4"/>
          <w:sz w:val="21"/>
          <w:szCs w:val="21"/>
        </w:rPr>
        <w:t>управление</w:t>
      </w:r>
      <w:r w:rsidR="006C680D" w:rsidRPr="00D337FA">
        <w:rPr>
          <w:color w:val="auto"/>
          <w:spacing w:val="-4"/>
          <w:sz w:val="21"/>
          <w:szCs w:val="21"/>
        </w:rPr>
        <w:t xml:space="preserve"> </w:t>
      </w:r>
      <w:r w:rsidRPr="00D337FA">
        <w:rPr>
          <w:color w:val="auto"/>
          <w:spacing w:val="-4"/>
          <w:sz w:val="21"/>
          <w:szCs w:val="21"/>
        </w:rPr>
        <w:t>и</w:t>
      </w:r>
      <w:r w:rsidR="006C680D" w:rsidRPr="00D337FA">
        <w:rPr>
          <w:color w:val="auto"/>
          <w:spacing w:val="-4"/>
          <w:sz w:val="21"/>
          <w:szCs w:val="21"/>
        </w:rPr>
        <w:t xml:space="preserve"> </w:t>
      </w:r>
      <w:r w:rsidRPr="00D337FA">
        <w:rPr>
          <w:color w:val="auto"/>
          <w:spacing w:val="-4"/>
          <w:sz w:val="21"/>
          <w:szCs w:val="21"/>
        </w:rPr>
        <w:t>экономическая</w:t>
      </w:r>
      <w:r w:rsidR="006C680D" w:rsidRPr="00D337FA">
        <w:rPr>
          <w:color w:val="auto"/>
          <w:sz w:val="21"/>
          <w:szCs w:val="21"/>
        </w:rPr>
        <w:t xml:space="preserve"> </w:t>
      </w:r>
      <w:r w:rsidRPr="00D337FA">
        <w:rPr>
          <w:color w:val="auto"/>
          <w:sz w:val="21"/>
          <w:szCs w:val="21"/>
        </w:rPr>
        <w:t>безопасность»</w:t>
      </w:r>
      <w:r w:rsidR="006C680D" w:rsidRPr="00D337FA">
        <w:rPr>
          <w:color w:val="auto"/>
          <w:sz w:val="21"/>
          <w:szCs w:val="21"/>
        </w:rPr>
        <w:t xml:space="preserve"> </w:t>
      </w:r>
      <w:r w:rsidRPr="00D337FA">
        <w:rPr>
          <w:color w:val="auto"/>
          <w:sz w:val="21"/>
          <w:szCs w:val="21"/>
        </w:rPr>
        <w:t>СГТУ</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Pr="00D337FA">
        <w:rPr>
          <w:color w:val="auto"/>
          <w:sz w:val="21"/>
          <w:szCs w:val="21"/>
        </w:rPr>
        <w:t>Гагарина</w:t>
      </w:r>
      <w:r w:rsidR="006C680D" w:rsidRPr="00D337FA">
        <w:rPr>
          <w:color w:val="auto"/>
          <w:sz w:val="21"/>
          <w:szCs w:val="21"/>
        </w:rPr>
        <w:t xml:space="preserve"> </w:t>
      </w:r>
      <w:r w:rsidRPr="00D337FA">
        <w:rPr>
          <w:color w:val="auto"/>
          <w:sz w:val="21"/>
          <w:szCs w:val="21"/>
        </w:rPr>
        <w:t>Ю.А.</w:t>
      </w:r>
      <w:r w:rsidR="006C680D" w:rsidRPr="00D337FA">
        <w:rPr>
          <w:color w:val="auto"/>
          <w:sz w:val="21"/>
          <w:szCs w:val="21"/>
        </w:rPr>
        <w:t xml:space="preserve"> </w:t>
      </w:r>
    </w:p>
    <w:p w:rsidR="00825120" w:rsidRPr="00D337FA" w:rsidRDefault="00825120" w:rsidP="00825120">
      <w:pPr>
        <w:pStyle w:val="aff3"/>
        <w:rPr>
          <w:b/>
          <w:i/>
          <w:color w:val="auto"/>
          <w:sz w:val="21"/>
          <w:szCs w:val="21"/>
        </w:rPr>
      </w:pPr>
      <w:r w:rsidRPr="00D337FA">
        <w:rPr>
          <w:b/>
          <w:i/>
          <w:color w:val="auto"/>
          <w:sz w:val="21"/>
          <w:szCs w:val="21"/>
        </w:rPr>
        <w:t>Члены</w:t>
      </w:r>
      <w:r w:rsidR="006C680D" w:rsidRPr="00D337FA">
        <w:rPr>
          <w:b/>
          <w:i/>
          <w:color w:val="auto"/>
          <w:sz w:val="21"/>
          <w:szCs w:val="21"/>
        </w:rPr>
        <w:t xml:space="preserve"> </w:t>
      </w:r>
      <w:r w:rsidRPr="00D337FA">
        <w:rPr>
          <w:b/>
          <w:i/>
          <w:color w:val="auto"/>
          <w:sz w:val="21"/>
          <w:szCs w:val="21"/>
        </w:rPr>
        <w:t>редакционного</w:t>
      </w:r>
      <w:r w:rsidR="006C680D" w:rsidRPr="00D337FA">
        <w:rPr>
          <w:b/>
          <w:i/>
          <w:color w:val="auto"/>
          <w:sz w:val="21"/>
          <w:szCs w:val="21"/>
        </w:rPr>
        <w:t xml:space="preserve"> </w:t>
      </w:r>
      <w:r w:rsidRPr="00D337FA">
        <w:rPr>
          <w:b/>
          <w:i/>
          <w:color w:val="auto"/>
          <w:sz w:val="21"/>
          <w:szCs w:val="21"/>
        </w:rPr>
        <w:t>совета:</w:t>
      </w:r>
      <w:r w:rsidR="006C680D" w:rsidRPr="00D337FA">
        <w:rPr>
          <w:b/>
          <w:i/>
          <w:color w:val="auto"/>
          <w:sz w:val="21"/>
          <w:szCs w:val="21"/>
        </w:rPr>
        <w:t xml:space="preserve"> </w:t>
      </w:r>
    </w:p>
    <w:p w:rsidR="00825120" w:rsidRPr="00D337FA" w:rsidRDefault="00825120" w:rsidP="00825120">
      <w:pPr>
        <w:pStyle w:val="aff3"/>
        <w:rPr>
          <w:color w:val="auto"/>
          <w:sz w:val="21"/>
          <w:szCs w:val="21"/>
        </w:rPr>
      </w:pPr>
      <w:r w:rsidRPr="00D337FA">
        <w:rPr>
          <w:b/>
          <w:color w:val="auto"/>
          <w:sz w:val="21"/>
          <w:szCs w:val="21"/>
        </w:rPr>
        <w:t>Фатеев</w:t>
      </w:r>
      <w:r w:rsidR="006C680D" w:rsidRPr="00D337FA">
        <w:rPr>
          <w:b/>
          <w:color w:val="auto"/>
          <w:sz w:val="21"/>
          <w:szCs w:val="21"/>
        </w:rPr>
        <w:t xml:space="preserve"> </w:t>
      </w:r>
      <w:r w:rsidRPr="00D337FA">
        <w:rPr>
          <w:b/>
          <w:color w:val="auto"/>
          <w:sz w:val="21"/>
          <w:szCs w:val="21"/>
        </w:rPr>
        <w:t>М.А.</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к.э.н.,</w:t>
      </w:r>
      <w:r w:rsidR="006C680D" w:rsidRPr="00D337FA">
        <w:rPr>
          <w:color w:val="auto"/>
          <w:sz w:val="21"/>
          <w:szCs w:val="21"/>
        </w:rPr>
        <w:t xml:space="preserve"> </w:t>
      </w:r>
      <w:r w:rsidRPr="00D337FA">
        <w:rPr>
          <w:color w:val="auto"/>
          <w:sz w:val="21"/>
          <w:szCs w:val="21"/>
        </w:rPr>
        <w:t>генеральный</w:t>
      </w:r>
      <w:r w:rsidR="006C680D" w:rsidRPr="00D337FA">
        <w:rPr>
          <w:color w:val="auto"/>
          <w:sz w:val="21"/>
          <w:szCs w:val="21"/>
        </w:rPr>
        <w:t xml:space="preserve"> </w:t>
      </w:r>
      <w:r w:rsidRPr="00D337FA">
        <w:rPr>
          <w:color w:val="auto"/>
          <w:sz w:val="21"/>
          <w:szCs w:val="21"/>
        </w:rPr>
        <w:t>директор</w:t>
      </w:r>
      <w:r w:rsidR="006C680D" w:rsidRPr="00D337FA">
        <w:rPr>
          <w:color w:val="auto"/>
          <w:sz w:val="21"/>
          <w:szCs w:val="21"/>
        </w:rPr>
        <w:t xml:space="preserve"> </w:t>
      </w:r>
      <w:r w:rsidRPr="00D337FA">
        <w:rPr>
          <w:color w:val="auto"/>
          <w:sz w:val="21"/>
          <w:szCs w:val="21"/>
        </w:rPr>
        <w:t>АО</w:t>
      </w:r>
      <w:r w:rsidR="006C680D" w:rsidRPr="00D337FA">
        <w:rPr>
          <w:color w:val="auto"/>
          <w:sz w:val="21"/>
          <w:szCs w:val="21"/>
        </w:rPr>
        <w:t xml:space="preserve"> </w:t>
      </w:r>
      <w:r w:rsidRPr="00D337FA">
        <w:rPr>
          <w:color w:val="auto"/>
          <w:sz w:val="21"/>
          <w:szCs w:val="21"/>
        </w:rPr>
        <w:t>«Экспоцентр»,</w:t>
      </w:r>
      <w:r w:rsidR="006C680D" w:rsidRPr="00D337FA">
        <w:rPr>
          <w:color w:val="auto"/>
          <w:sz w:val="21"/>
          <w:szCs w:val="21"/>
        </w:rPr>
        <w:t xml:space="preserve"> </w:t>
      </w:r>
      <w:r w:rsidRPr="00D337FA">
        <w:rPr>
          <w:color w:val="auto"/>
          <w:sz w:val="21"/>
          <w:szCs w:val="21"/>
        </w:rPr>
        <w:t>председатель</w:t>
      </w:r>
      <w:r w:rsidR="006C680D" w:rsidRPr="00D337FA">
        <w:rPr>
          <w:color w:val="auto"/>
          <w:sz w:val="21"/>
          <w:szCs w:val="21"/>
        </w:rPr>
        <w:t xml:space="preserve"> </w:t>
      </w:r>
      <w:r w:rsidRPr="00D337FA">
        <w:rPr>
          <w:color w:val="auto"/>
          <w:sz w:val="21"/>
          <w:szCs w:val="21"/>
        </w:rPr>
        <w:t>Комитета</w:t>
      </w:r>
      <w:r w:rsidR="006C680D" w:rsidRPr="00D337FA">
        <w:rPr>
          <w:color w:val="auto"/>
          <w:sz w:val="21"/>
          <w:szCs w:val="21"/>
        </w:rPr>
        <w:t xml:space="preserve"> </w:t>
      </w:r>
      <w:r w:rsidRPr="00D337FA">
        <w:rPr>
          <w:color w:val="auto"/>
          <w:sz w:val="21"/>
          <w:szCs w:val="21"/>
        </w:rPr>
        <w:t>ТПП</w:t>
      </w:r>
      <w:r w:rsidR="006C680D" w:rsidRPr="00D337FA">
        <w:rPr>
          <w:color w:val="auto"/>
          <w:sz w:val="21"/>
          <w:szCs w:val="21"/>
        </w:rPr>
        <w:t xml:space="preserve"> </w:t>
      </w:r>
      <w:r w:rsidRPr="00D337FA">
        <w:rPr>
          <w:color w:val="auto"/>
          <w:sz w:val="21"/>
          <w:szCs w:val="21"/>
        </w:rPr>
        <w:t>РФ</w:t>
      </w:r>
      <w:r w:rsidR="006C680D" w:rsidRPr="00D337FA">
        <w:rPr>
          <w:color w:val="auto"/>
          <w:sz w:val="21"/>
          <w:szCs w:val="21"/>
        </w:rPr>
        <w:t xml:space="preserve"> </w:t>
      </w:r>
      <w:r w:rsidR="002C4EDB" w:rsidRPr="00D337FA">
        <w:rPr>
          <w:color w:val="auto"/>
          <w:sz w:val="21"/>
          <w:szCs w:val="21"/>
        </w:rPr>
        <w:br/>
      </w:r>
      <w:r w:rsidRPr="00D337FA">
        <w:rPr>
          <w:color w:val="auto"/>
          <w:sz w:val="21"/>
          <w:szCs w:val="21"/>
        </w:rPr>
        <w:t>по</w:t>
      </w:r>
      <w:r w:rsidR="006C680D" w:rsidRPr="00D337FA">
        <w:rPr>
          <w:color w:val="auto"/>
          <w:sz w:val="21"/>
          <w:szCs w:val="21"/>
        </w:rPr>
        <w:t xml:space="preserve"> </w:t>
      </w:r>
      <w:r w:rsidRPr="00D337FA">
        <w:rPr>
          <w:color w:val="auto"/>
          <w:sz w:val="21"/>
          <w:szCs w:val="21"/>
        </w:rPr>
        <w:t>выставочно-ярмарочной</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конгрессной</w:t>
      </w:r>
      <w:r w:rsidR="006C680D" w:rsidRPr="00D337FA">
        <w:rPr>
          <w:color w:val="auto"/>
          <w:sz w:val="21"/>
          <w:szCs w:val="21"/>
        </w:rPr>
        <w:t xml:space="preserve"> </w:t>
      </w:r>
      <w:r w:rsidRPr="00D337FA">
        <w:rPr>
          <w:color w:val="auto"/>
          <w:sz w:val="21"/>
          <w:szCs w:val="21"/>
        </w:rPr>
        <w:t>деятельности,</w:t>
      </w:r>
      <w:r w:rsidR="006C680D" w:rsidRPr="00D337FA">
        <w:rPr>
          <w:color w:val="auto"/>
          <w:sz w:val="21"/>
          <w:szCs w:val="21"/>
        </w:rPr>
        <w:t xml:space="preserve"> </w:t>
      </w:r>
      <w:r w:rsidRPr="00D337FA">
        <w:rPr>
          <w:color w:val="auto"/>
          <w:sz w:val="21"/>
          <w:szCs w:val="21"/>
        </w:rPr>
        <w:t>заведующий</w:t>
      </w:r>
      <w:r w:rsidR="006C680D" w:rsidRPr="00D337FA">
        <w:rPr>
          <w:color w:val="auto"/>
          <w:sz w:val="21"/>
          <w:szCs w:val="21"/>
        </w:rPr>
        <w:t xml:space="preserve"> </w:t>
      </w:r>
      <w:r w:rsidRPr="00D337FA">
        <w:rPr>
          <w:color w:val="auto"/>
          <w:sz w:val="21"/>
          <w:szCs w:val="21"/>
        </w:rPr>
        <w:t>базовой</w:t>
      </w:r>
      <w:r w:rsidR="006C680D" w:rsidRPr="00D337FA">
        <w:rPr>
          <w:color w:val="auto"/>
          <w:sz w:val="21"/>
          <w:szCs w:val="21"/>
        </w:rPr>
        <w:t xml:space="preserve"> </w:t>
      </w:r>
      <w:r w:rsidRPr="00D337FA">
        <w:rPr>
          <w:color w:val="auto"/>
          <w:sz w:val="21"/>
          <w:szCs w:val="21"/>
        </w:rPr>
        <w:t>кафедрой</w:t>
      </w:r>
      <w:r w:rsidR="006C680D" w:rsidRPr="00D337FA">
        <w:rPr>
          <w:color w:val="auto"/>
          <w:sz w:val="21"/>
          <w:szCs w:val="21"/>
        </w:rPr>
        <w:t xml:space="preserve"> </w:t>
      </w:r>
      <w:r w:rsidRPr="00D337FA">
        <w:rPr>
          <w:color w:val="auto"/>
          <w:sz w:val="21"/>
          <w:szCs w:val="21"/>
        </w:rPr>
        <w:t>Торгово-промышленной</w:t>
      </w:r>
      <w:r w:rsidR="006C680D" w:rsidRPr="00D337FA">
        <w:rPr>
          <w:color w:val="auto"/>
          <w:sz w:val="21"/>
          <w:szCs w:val="21"/>
        </w:rPr>
        <w:t xml:space="preserve"> </w:t>
      </w:r>
      <w:r w:rsidRPr="00D337FA">
        <w:rPr>
          <w:color w:val="auto"/>
          <w:sz w:val="21"/>
          <w:szCs w:val="21"/>
        </w:rPr>
        <w:t>палаты</w:t>
      </w:r>
      <w:r w:rsidR="006C680D" w:rsidRPr="00D337FA">
        <w:rPr>
          <w:color w:val="auto"/>
          <w:sz w:val="21"/>
          <w:szCs w:val="21"/>
        </w:rPr>
        <w:t xml:space="preserve"> </w:t>
      </w:r>
      <w:r w:rsidRPr="00D337FA">
        <w:rPr>
          <w:color w:val="auto"/>
          <w:sz w:val="21"/>
          <w:szCs w:val="21"/>
        </w:rPr>
        <w:t>РФ</w:t>
      </w:r>
      <w:r w:rsidR="006C680D" w:rsidRPr="00D337FA">
        <w:rPr>
          <w:color w:val="auto"/>
          <w:sz w:val="21"/>
          <w:szCs w:val="21"/>
        </w:rPr>
        <w:t xml:space="preserve"> </w:t>
      </w:r>
      <w:r w:rsidRPr="00D337FA">
        <w:rPr>
          <w:color w:val="auto"/>
          <w:sz w:val="21"/>
          <w:szCs w:val="21"/>
        </w:rPr>
        <w:t>«Управление</w:t>
      </w:r>
      <w:r w:rsidR="006C680D" w:rsidRPr="00D337FA">
        <w:rPr>
          <w:color w:val="auto"/>
          <w:sz w:val="21"/>
          <w:szCs w:val="21"/>
        </w:rPr>
        <w:t xml:space="preserve"> </w:t>
      </w:r>
      <w:r w:rsidRPr="00D337FA">
        <w:rPr>
          <w:color w:val="auto"/>
          <w:sz w:val="21"/>
          <w:szCs w:val="21"/>
        </w:rPr>
        <w:t>человеческими</w:t>
      </w:r>
      <w:r w:rsidR="006C680D" w:rsidRPr="00D337FA">
        <w:rPr>
          <w:color w:val="auto"/>
          <w:sz w:val="21"/>
          <w:szCs w:val="21"/>
        </w:rPr>
        <w:t xml:space="preserve"> </w:t>
      </w:r>
      <w:r w:rsidRPr="00D337FA">
        <w:rPr>
          <w:color w:val="auto"/>
          <w:sz w:val="21"/>
          <w:szCs w:val="21"/>
        </w:rPr>
        <w:t>ресурсами»</w:t>
      </w:r>
      <w:r w:rsidR="006C680D" w:rsidRPr="00D337FA">
        <w:rPr>
          <w:color w:val="auto"/>
          <w:sz w:val="21"/>
          <w:szCs w:val="21"/>
        </w:rPr>
        <w:t xml:space="preserve"> </w:t>
      </w:r>
      <w:r w:rsidRPr="00D337FA">
        <w:rPr>
          <w:color w:val="auto"/>
          <w:sz w:val="21"/>
          <w:szCs w:val="21"/>
        </w:rPr>
        <w:t>Российского</w:t>
      </w:r>
      <w:r w:rsidR="006C680D" w:rsidRPr="00D337FA">
        <w:rPr>
          <w:color w:val="auto"/>
          <w:sz w:val="21"/>
          <w:szCs w:val="21"/>
        </w:rPr>
        <w:t xml:space="preserve"> </w:t>
      </w:r>
      <w:r w:rsidRPr="00D337FA">
        <w:rPr>
          <w:color w:val="auto"/>
          <w:sz w:val="21"/>
          <w:szCs w:val="21"/>
        </w:rPr>
        <w:t>экономического</w:t>
      </w:r>
      <w:r w:rsidR="006C680D" w:rsidRPr="00D337FA">
        <w:rPr>
          <w:color w:val="auto"/>
          <w:sz w:val="21"/>
          <w:szCs w:val="21"/>
        </w:rPr>
        <w:t xml:space="preserve"> </w:t>
      </w:r>
      <w:r w:rsidR="002C4EDB" w:rsidRPr="00D337FA">
        <w:rPr>
          <w:color w:val="auto"/>
          <w:sz w:val="21"/>
          <w:szCs w:val="21"/>
        </w:rPr>
        <w:br/>
      </w:r>
      <w:r w:rsidRPr="00D337FA">
        <w:rPr>
          <w:color w:val="auto"/>
          <w:sz w:val="21"/>
          <w:szCs w:val="21"/>
        </w:rPr>
        <w:t>университета</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Pr="00D337FA">
        <w:rPr>
          <w:color w:val="auto"/>
          <w:sz w:val="21"/>
          <w:szCs w:val="21"/>
        </w:rPr>
        <w:t>Г.В.</w:t>
      </w:r>
      <w:r w:rsidR="006C680D" w:rsidRPr="00D337FA">
        <w:rPr>
          <w:color w:val="auto"/>
          <w:sz w:val="21"/>
          <w:szCs w:val="21"/>
        </w:rPr>
        <w:t xml:space="preserve"> </w:t>
      </w:r>
      <w:r w:rsidRPr="00D337FA">
        <w:rPr>
          <w:color w:val="auto"/>
          <w:sz w:val="21"/>
          <w:szCs w:val="21"/>
        </w:rPr>
        <w:t>Плеханова</w:t>
      </w:r>
    </w:p>
    <w:p w:rsidR="00825120" w:rsidRPr="00D337FA" w:rsidRDefault="00825120" w:rsidP="00825120">
      <w:pPr>
        <w:pStyle w:val="aff3"/>
        <w:rPr>
          <w:color w:val="auto"/>
          <w:sz w:val="21"/>
          <w:szCs w:val="21"/>
        </w:rPr>
      </w:pPr>
      <w:r w:rsidRPr="00D337FA">
        <w:rPr>
          <w:b/>
          <w:color w:val="auto"/>
          <w:sz w:val="21"/>
          <w:szCs w:val="21"/>
        </w:rPr>
        <w:t>Гришин</w:t>
      </w:r>
      <w:r w:rsidR="006C680D" w:rsidRPr="00D337FA">
        <w:rPr>
          <w:b/>
          <w:color w:val="auto"/>
          <w:sz w:val="21"/>
          <w:szCs w:val="21"/>
        </w:rPr>
        <w:t xml:space="preserve"> </w:t>
      </w:r>
      <w:r w:rsidRPr="00D337FA">
        <w:rPr>
          <w:b/>
          <w:color w:val="auto"/>
          <w:sz w:val="21"/>
          <w:szCs w:val="21"/>
        </w:rPr>
        <w:t>С.Ю.</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проректор</w:t>
      </w:r>
      <w:r w:rsidR="006C680D" w:rsidRPr="00D337FA">
        <w:rPr>
          <w:color w:val="auto"/>
          <w:sz w:val="21"/>
          <w:szCs w:val="21"/>
        </w:rPr>
        <w:t xml:space="preserve"> </w:t>
      </w:r>
      <w:r w:rsidRPr="00D337FA">
        <w:rPr>
          <w:color w:val="auto"/>
          <w:sz w:val="21"/>
          <w:szCs w:val="21"/>
        </w:rPr>
        <w:t>по</w:t>
      </w:r>
      <w:r w:rsidR="006C680D" w:rsidRPr="00D337FA">
        <w:rPr>
          <w:color w:val="auto"/>
          <w:sz w:val="21"/>
          <w:szCs w:val="21"/>
        </w:rPr>
        <w:t xml:space="preserve"> </w:t>
      </w:r>
      <w:r w:rsidRPr="00D337FA">
        <w:rPr>
          <w:color w:val="auto"/>
          <w:sz w:val="21"/>
          <w:szCs w:val="21"/>
        </w:rPr>
        <w:t>социально-воспитательной</w:t>
      </w:r>
      <w:r w:rsidR="006C680D" w:rsidRPr="00D337FA">
        <w:rPr>
          <w:color w:val="auto"/>
          <w:sz w:val="21"/>
          <w:szCs w:val="21"/>
        </w:rPr>
        <w:t xml:space="preserve"> </w:t>
      </w:r>
      <w:r w:rsidRPr="00D337FA">
        <w:rPr>
          <w:color w:val="auto"/>
          <w:sz w:val="21"/>
          <w:szCs w:val="21"/>
        </w:rPr>
        <w:t>работе,</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«Экономика</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управление</w:t>
      </w:r>
      <w:r w:rsidR="006C680D" w:rsidRPr="00D337FA">
        <w:rPr>
          <w:color w:val="auto"/>
          <w:sz w:val="21"/>
          <w:szCs w:val="21"/>
        </w:rPr>
        <w:t xml:space="preserve"> </w:t>
      </w:r>
      <w:r w:rsidRPr="00D337FA">
        <w:rPr>
          <w:color w:val="auto"/>
          <w:sz w:val="21"/>
          <w:szCs w:val="21"/>
        </w:rPr>
        <w:t>в</w:t>
      </w:r>
      <w:r w:rsidR="006C680D" w:rsidRPr="00D337FA">
        <w:rPr>
          <w:color w:val="auto"/>
          <w:sz w:val="21"/>
          <w:szCs w:val="21"/>
        </w:rPr>
        <w:t xml:space="preserve"> </w:t>
      </w:r>
      <w:r w:rsidRPr="00D337FA">
        <w:rPr>
          <w:color w:val="auto"/>
          <w:sz w:val="21"/>
          <w:szCs w:val="21"/>
        </w:rPr>
        <w:t>сфере</w:t>
      </w:r>
      <w:r w:rsidR="006C680D" w:rsidRPr="00D337FA">
        <w:rPr>
          <w:color w:val="auto"/>
          <w:sz w:val="21"/>
          <w:szCs w:val="21"/>
        </w:rPr>
        <w:t xml:space="preserve"> </w:t>
      </w:r>
      <w:r w:rsidRPr="00D337FA">
        <w:rPr>
          <w:color w:val="auto"/>
          <w:sz w:val="21"/>
          <w:szCs w:val="21"/>
        </w:rPr>
        <w:t>услуг»</w:t>
      </w:r>
      <w:r w:rsidR="006C680D" w:rsidRPr="00D337FA">
        <w:rPr>
          <w:color w:val="auto"/>
          <w:sz w:val="21"/>
          <w:szCs w:val="21"/>
        </w:rPr>
        <w:t xml:space="preserve"> </w:t>
      </w:r>
      <w:r w:rsidRPr="00D337FA">
        <w:rPr>
          <w:color w:val="auto"/>
          <w:sz w:val="21"/>
          <w:szCs w:val="21"/>
        </w:rPr>
        <w:t>Санкт-Петербургского</w:t>
      </w:r>
      <w:r w:rsidR="006C680D" w:rsidRPr="00D337FA">
        <w:rPr>
          <w:color w:val="auto"/>
          <w:sz w:val="21"/>
          <w:szCs w:val="21"/>
        </w:rPr>
        <w:t xml:space="preserve"> </w:t>
      </w:r>
      <w:r w:rsidRPr="00D337FA">
        <w:rPr>
          <w:color w:val="auto"/>
          <w:sz w:val="21"/>
          <w:szCs w:val="21"/>
        </w:rPr>
        <w:t>государственного</w:t>
      </w:r>
      <w:r w:rsidR="006C680D" w:rsidRPr="00D337FA">
        <w:rPr>
          <w:color w:val="auto"/>
          <w:sz w:val="21"/>
          <w:szCs w:val="21"/>
        </w:rPr>
        <w:t xml:space="preserve"> </w:t>
      </w:r>
      <w:r w:rsidRPr="00D337FA">
        <w:rPr>
          <w:color w:val="auto"/>
          <w:sz w:val="21"/>
          <w:szCs w:val="21"/>
        </w:rPr>
        <w:t>экономического</w:t>
      </w:r>
      <w:r w:rsidR="006C680D" w:rsidRPr="00D337FA">
        <w:rPr>
          <w:color w:val="auto"/>
          <w:sz w:val="21"/>
          <w:szCs w:val="21"/>
        </w:rPr>
        <w:t xml:space="preserve"> </w:t>
      </w:r>
      <w:r w:rsidRPr="00D337FA">
        <w:rPr>
          <w:color w:val="auto"/>
          <w:sz w:val="21"/>
          <w:szCs w:val="21"/>
        </w:rPr>
        <w:t>университета</w:t>
      </w:r>
    </w:p>
    <w:p w:rsidR="00825120" w:rsidRPr="00D337FA" w:rsidRDefault="00825120" w:rsidP="00825120">
      <w:pPr>
        <w:pStyle w:val="aff3"/>
        <w:rPr>
          <w:b/>
          <w:color w:val="auto"/>
          <w:sz w:val="21"/>
          <w:szCs w:val="21"/>
        </w:rPr>
      </w:pPr>
      <w:r w:rsidRPr="00D337FA">
        <w:rPr>
          <w:b/>
          <w:color w:val="auto"/>
          <w:sz w:val="21"/>
          <w:szCs w:val="21"/>
        </w:rPr>
        <w:t>Гагарина</w:t>
      </w:r>
      <w:r w:rsidR="006C680D" w:rsidRPr="00D337FA">
        <w:rPr>
          <w:b/>
          <w:color w:val="auto"/>
          <w:sz w:val="21"/>
          <w:szCs w:val="21"/>
        </w:rPr>
        <w:t xml:space="preserve"> </w:t>
      </w:r>
      <w:r w:rsidRPr="00D337FA">
        <w:rPr>
          <w:b/>
          <w:color w:val="auto"/>
          <w:sz w:val="21"/>
          <w:szCs w:val="21"/>
        </w:rPr>
        <w:t>Г.Ю.</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заведующий</w:t>
      </w:r>
      <w:r w:rsidR="006C680D" w:rsidRPr="00D337FA">
        <w:rPr>
          <w:color w:val="auto"/>
          <w:sz w:val="21"/>
          <w:szCs w:val="21"/>
        </w:rPr>
        <w:t xml:space="preserve"> </w:t>
      </w:r>
      <w:r w:rsidRPr="00D337FA">
        <w:rPr>
          <w:color w:val="auto"/>
          <w:sz w:val="21"/>
          <w:szCs w:val="21"/>
        </w:rPr>
        <w:t>кафедрой</w:t>
      </w:r>
      <w:r w:rsidR="006C680D" w:rsidRPr="00D337FA">
        <w:rPr>
          <w:color w:val="auto"/>
          <w:sz w:val="21"/>
          <w:szCs w:val="21"/>
        </w:rPr>
        <w:t xml:space="preserve"> </w:t>
      </w:r>
      <w:r w:rsidRPr="00D337FA">
        <w:rPr>
          <w:color w:val="auto"/>
          <w:sz w:val="21"/>
          <w:szCs w:val="21"/>
        </w:rPr>
        <w:t>национальной</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региональной</w:t>
      </w:r>
      <w:r w:rsidR="006C680D" w:rsidRPr="00D337FA">
        <w:rPr>
          <w:color w:val="auto"/>
          <w:sz w:val="21"/>
          <w:szCs w:val="21"/>
        </w:rPr>
        <w:t xml:space="preserve"> </w:t>
      </w:r>
      <w:r w:rsidRPr="00D337FA">
        <w:rPr>
          <w:color w:val="auto"/>
          <w:sz w:val="21"/>
          <w:szCs w:val="21"/>
        </w:rPr>
        <w:t>экономики</w:t>
      </w:r>
      <w:r w:rsidR="006C680D" w:rsidRPr="00D337FA">
        <w:rPr>
          <w:color w:val="auto"/>
          <w:sz w:val="21"/>
          <w:szCs w:val="21"/>
        </w:rPr>
        <w:t xml:space="preserve"> </w:t>
      </w:r>
      <w:r w:rsidR="006D6729" w:rsidRPr="00D337FA">
        <w:rPr>
          <w:color w:val="auto"/>
          <w:sz w:val="21"/>
          <w:szCs w:val="21"/>
        </w:rPr>
        <w:br/>
      </w:r>
      <w:r w:rsidRPr="00D337FA">
        <w:rPr>
          <w:color w:val="auto"/>
          <w:sz w:val="21"/>
          <w:szCs w:val="21"/>
        </w:rPr>
        <w:t>Российского</w:t>
      </w:r>
      <w:r w:rsidR="006C680D" w:rsidRPr="00D337FA">
        <w:rPr>
          <w:color w:val="auto"/>
          <w:sz w:val="21"/>
          <w:szCs w:val="21"/>
        </w:rPr>
        <w:t xml:space="preserve"> </w:t>
      </w:r>
      <w:r w:rsidRPr="00D337FA">
        <w:rPr>
          <w:color w:val="auto"/>
          <w:sz w:val="21"/>
          <w:szCs w:val="21"/>
        </w:rPr>
        <w:t>экономического</w:t>
      </w:r>
      <w:r w:rsidR="006C680D" w:rsidRPr="00D337FA">
        <w:rPr>
          <w:color w:val="auto"/>
          <w:sz w:val="21"/>
          <w:szCs w:val="21"/>
        </w:rPr>
        <w:t xml:space="preserve"> </w:t>
      </w:r>
      <w:r w:rsidRPr="00D337FA">
        <w:rPr>
          <w:color w:val="auto"/>
          <w:sz w:val="21"/>
          <w:szCs w:val="21"/>
        </w:rPr>
        <w:t>университета</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Pr="00D337FA">
        <w:rPr>
          <w:color w:val="auto"/>
          <w:sz w:val="21"/>
          <w:szCs w:val="21"/>
        </w:rPr>
        <w:t>Г.В.</w:t>
      </w:r>
      <w:r w:rsidR="006C680D" w:rsidRPr="00D337FA">
        <w:rPr>
          <w:color w:val="auto"/>
          <w:sz w:val="21"/>
          <w:szCs w:val="21"/>
        </w:rPr>
        <w:t xml:space="preserve"> </w:t>
      </w:r>
      <w:r w:rsidRPr="00D337FA">
        <w:rPr>
          <w:color w:val="auto"/>
          <w:sz w:val="21"/>
          <w:szCs w:val="21"/>
        </w:rPr>
        <w:t>Плеханова</w:t>
      </w:r>
    </w:p>
    <w:p w:rsidR="00825120" w:rsidRPr="00D337FA" w:rsidRDefault="00825120" w:rsidP="00825120">
      <w:pPr>
        <w:pStyle w:val="aff3"/>
        <w:rPr>
          <w:b/>
          <w:color w:val="auto"/>
          <w:sz w:val="21"/>
          <w:szCs w:val="21"/>
        </w:rPr>
      </w:pPr>
      <w:r w:rsidRPr="00D337FA">
        <w:rPr>
          <w:b/>
          <w:color w:val="auto"/>
          <w:sz w:val="21"/>
          <w:szCs w:val="21"/>
        </w:rPr>
        <w:t>Попкова</w:t>
      </w:r>
      <w:r w:rsidR="006C680D" w:rsidRPr="00D337FA">
        <w:rPr>
          <w:b/>
          <w:color w:val="auto"/>
          <w:sz w:val="21"/>
          <w:szCs w:val="21"/>
        </w:rPr>
        <w:t xml:space="preserve"> </w:t>
      </w:r>
      <w:r w:rsidRPr="00D337FA">
        <w:rPr>
          <w:b/>
          <w:color w:val="auto"/>
          <w:sz w:val="21"/>
          <w:szCs w:val="21"/>
        </w:rPr>
        <w:t>Е.Г.</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«Международные</w:t>
      </w:r>
      <w:r w:rsidR="006C680D" w:rsidRPr="00D337FA">
        <w:rPr>
          <w:color w:val="auto"/>
          <w:sz w:val="21"/>
          <w:szCs w:val="21"/>
        </w:rPr>
        <w:t xml:space="preserve"> </w:t>
      </w:r>
      <w:r w:rsidRPr="00D337FA">
        <w:rPr>
          <w:color w:val="auto"/>
          <w:sz w:val="21"/>
          <w:szCs w:val="21"/>
        </w:rPr>
        <w:t>экономические</w:t>
      </w:r>
      <w:r w:rsidR="006C680D" w:rsidRPr="00D337FA">
        <w:rPr>
          <w:color w:val="auto"/>
          <w:sz w:val="21"/>
          <w:szCs w:val="21"/>
        </w:rPr>
        <w:t xml:space="preserve"> </w:t>
      </w:r>
      <w:r w:rsidRPr="00D337FA">
        <w:rPr>
          <w:color w:val="auto"/>
          <w:sz w:val="21"/>
          <w:szCs w:val="21"/>
        </w:rPr>
        <w:t>отношения»</w:t>
      </w:r>
      <w:r w:rsidR="006C680D" w:rsidRPr="00D337FA">
        <w:rPr>
          <w:color w:val="auto"/>
          <w:sz w:val="21"/>
          <w:szCs w:val="21"/>
        </w:rPr>
        <w:t xml:space="preserve"> </w:t>
      </w:r>
      <w:r w:rsidRPr="00D337FA">
        <w:rPr>
          <w:color w:val="auto"/>
          <w:sz w:val="21"/>
          <w:szCs w:val="21"/>
        </w:rPr>
        <w:t>Российского</w:t>
      </w:r>
      <w:r w:rsidR="006C680D" w:rsidRPr="00D337FA">
        <w:rPr>
          <w:color w:val="auto"/>
          <w:sz w:val="21"/>
          <w:szCs w:val="21"/>
        </w:rPr>
        <w:t xml:space="preserve"> </w:t>
      </w:r>
      <w:r w:rsidR="002C4EDB" w:rsidRPr="00D337FA">
        <w:rPr>
          <w:color w:val="auto"/>
          <w:sz w:val="21"/>
          <w:szCs w:val="21"/>
        </w:rPr>
        <w:br/>
      </w:r>
      <w:r w:rsidRPr="00D337FA">
        <w:rPr>
          <w:color w:val="auto"/>
          <w:spacing w:val="-6"/>
          <w:sz w:val="21"/>
          <w:szCs w:val="21"/>
        </w:rPr>
        <w:t>университета</w:t>
      </w:r>
      <w:r w:rsidR="006C680D" w:rsidRPr="00D337FA">
        <w:rPr>
          <w:color w:val="auto"/>
          <w:spacing w:val="-6"/>
          <w:sz w:val="21"/>
          <w:szCs w:val="21"/>
        </w:rPr>
        <w:t xml:space="preserve"> </w:t>
      </w:r>
      <w:r w:rsidRPr="00D337FA">
        <w:rPr>
          <w:color w:val="auto"/>
          <w:spacing w:val="-6"/>
          <w:sz w:val="21"/>
          <w:szCs w:val="21"/>
        </w:rPr>
        <w:t>дружбы</w:t>
      </w:r>
      <w:r w:rsidR="006C680D" w:rsidRPr="00D337FA">
        <w:rPr>
          <w:color w:val="auto"/>
          <w:spacing w:val="-6"/>
          <w:sz w:val="21"/>
          <w:szCs w:val="21"/>
        </w:rPr>
        <w:t xml:space="preserve"> </w:t>
      </w:r>
      <w:r w:rsidRPr="00D337FA">
        <w:rPr>
          <w:color w:val="auto"/>
          <w:spacing w:val="-6"/>
          <w:sz w:val="21"/>
          <w:szCs w:val="21"/>
        </w:rPr>
        <w:t>народов</w:t>
      </w:r>
      <w:r w:rsidR="006C680D" w:rsidRPr="00D337FA">
        <w:rPr>
          <w:color w:val="auto"/>
          <w:spacing w:val="-6"/>
          <w:sz w:val="21"/>
          <w:szCs w:val="21"/>
        </w:rPr>
        <w:t xml:space="preserve"> </w:t>
      </w:r>
      <w:r w:rsidRPr="00D337FA">
        <w:rPr>
          <w:color w:val="auto"/>
          <w:spacing w:val="-6"/>
          <w:sz w:val="21"/>
          <w:szCs w:val="21"/>
        </w:rPr>
        <w:t>имени</w:t>
      </w:r>
      <w:r w:rsidR="006C680D" w:rsidRPr="00D337FA">
        <w:rPr>
          <w:color w:val="auto"/>
          <w:spacing w:val="-6"/>
          <w:sz w:val="21"/>
          <w:szCs w:val="21"/>
        </w:rPr>
        <w:t xml:space="preserve"> </w:t>
      </w:r>
      <w:r w:rsidRPr="00D337FA">
        <w:rPr>
          <w:color w:val="auto"/>
          <w:spacing w:val="-6"/>
          <w:sz w:val="21"/>
          <w:szCs w:val="21"/>
        </w:rPr>
        <w:t>Патриса</w:t>
      </w:r>
      <w:r w:rsidR="006C680D" w:rsidRPr="00D337FA">
        <w:rPr>
          <w:color w:val="auto"/>
          <w:spacing w:val="-6"/>
          <w:sz w:val="21"/>
          <w:szCs w:val="21"/>
        </w:rPr>
        <w:t xml:space="preserve"> </w:t>
      </w:r>
      <w:r w:rsidRPr="00D337FA">
        <w:rPr>
          <w:color w:val="auto"/>
          <w:spacing w:val="-6"/>
          <w:sz w:val="21"/>
          <w:szCs w:val="21"/>
        </w:rPr>
        <w:t>Лумумбы,</w:t>
      </w:r>
      <w:r w:rsidR="006C680D" w:rsidRPr="00D337FA">
        <w:rPr>
          <w:color w:val="auto"/>
          <w:spacing w:val="-6"/>
          <w:sz w:val="21"/>
          <w:szCs w:val="21"/>
        </w:rPr>
        <w:t xml:space="preserve"> </w:t>
      </w:r>
      <w:r w:rsidRPr="00D337FA">
        <w:rPr>
          <w:color w:val="auto"/>
          <w:spacing w:val="-6"/>
          <w:sz w:val="21"/>
          <w:szCs w:val="21"/>
        </w:rPr>
        <w:t>президент</w:t>
      </w:r>
      <w:r w:rsidR="006C680D" w:rsidRPr="00D337FA">
        <w:rPr>
          <w:color w:val="auto"/>
          <w:spacing w:val="-6"/>
          <w:sz w:val="21"/>
          <w:szCs w:val="21"/>
        </w:rPr>
        <w:t xml:space="preserve"> </w:t>
      </w:r>
      <w:r w:rsidRPr="00D337FA">
        <w:rPr>
          <w:color w:val="auto"/>
          <w:spacing w:val="-6"/>
          <w:sz w:val="21"/>
          <w:szCs w:val="21"/>
        </w:rPr>
        <w:t>АНО</w:t>
      </w:r>
      <w:r w:rsidR="006C680D" w:rsidRPr="00D337FA">
        <w:rPr>
          <w:color w:val="auto"/>
          <w:spacing w:val="-6"/>
          <w:sz w:val="21"/>
          <w:szCs w:val="21"/>
        </w:rPr>
        <w:t xml:space="preserve"> </w:t>
      </w:r>
      <w:r w:rsidRPr="00D337FA">
        <w:rPr>
          <w:color w:val="auto"/>
          <w:spacing w:val="-6"/>
          <w:sz w:val="21"/>
          <w:szCs w:val="21"/>
        </w:rPr>
        <w:t>«Институт</w:t>
      </w:r>
      <w:r w:rsidR="006C680D" w:rsidRPr="00D337FA">
        <w:rPr>
          <w:color w:val="auto"/>
          <w:spacing w:val="-6"/>
          <w:sz w:val="21"/>
          <w:szCs w:val="21"/>
        </w:rPr>
        <w:t xml:space="preserve"> </w:t>
      </w:r>
      <w:r w:rsidRPr="00D337FA">
        <w:rPr>
          <w:color w:val="auto"/>
          <w:spacing w:val="-6"/>
          <w:sz w:val="21"/>
          <w:szCs w:val="21"/>
        </w:rPr>
        <w:t>научных</w:t>
      </w:r>
      <w:r w:rsidR="006C680D" w:rsidRPr="00D337FA">
        <w:rPr>
          <w:color w:val="auto"/>
          <w:spacing w:val="-6"/>
          <w:sz w:val="21"/>
          <w:szCs w:val="21"/>
        </w:rPr>
        <w:t xml:space="preserve"> </w:t>
      </w:r>
      <w:r w:rsidRPr="00D337FA">
        <w:rPr>
          <w:color w:val="auto"/>
          <w:spacing w:val="-6"/>
          <w:sz w:val="21"/>
          <w:szCs w:val="21"/>
        </w:rPr>
        <w:t>коммуникаций»</w:t>
      </w:r>
      <w:r w:rsidR="006C680D" w:rsidRPr="00D337FA">
        <w:rPr>
          <w:b/>
          <w:color w:val="auto"/>
          <w:sz w:val="21"/>
          <w:szCs w:val="21"/>
        </w:rPr>
        <w:t xml:space="preserve"> </w:t>
      </w:r>
    </w:p>
    <w:p w:rsidR="00825120" w:rsidRPr="00D337FA" w:rsidRDefault="00825120" w:rsidP="00825120">
      <w:pPr>
        <w:pStyle w:val="aff3"/>
        <w:rPr>
          <w:b/>
          <w:color w:val="auto"/>
          <w:sz w:val="21"/>
          <w:szCs w:val="21"/>
        </w:rPr>
      </w:pPr>
      <w:r w:rsidRPr="00D337FA">
        <w:rPr>
          <w:b/>
          <w:color w:val="auto"/>
          <w:sz w:val="21"/>
          <w:szCs w:val="21"/>
        </w:rPr>
        <w:t>Рахманов</w:t>
      </w:r>
      <w:r w:rsidR="006C680D" w:rsidRPr="00D337FA">
        <w:rPr>
          <w:b/>
          <w:color w:val="auto"/>
          <w:sz w:val="21"/>
          <w:szCs w:val="21"/>
        </w:rPr>
        <w:t xml:space="preserve"> </w:t>
      </w:r>
      <w:r w:rsidRPr="00D337FA">
        <w:rPr>
          <w:b/>
          <w:color w:val="auto"/>
          <w:sz w:val="21"/>
          <w:szCs w:val="21"/>
        </w:rPr>
        <w:t>Ф.П.</w:t>
      </w:r>
      <w:r w:rsidR="006C680D" w:rsidRPr="00D337FA">
        <w:rPr>
          <w:b/>
          <w:color w:val="auto"/>
          <w:sz w:val="21"/>
          <w:szCs w:val="21"/>
        </w:rPr>
        <w:t xml:space="preserve"> </w:t>
      </w:r>
      <w:r w:rsidRPr="00D337FA">
        <w:rPr>
          <w:b/>
          <w:color w:val="auto"/>
          <w:sz w:val="21"/>
          <w:szCs w:val="21"/>
        </w:rPr>
        <w:t>оглы</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«Экономика»</w:t>
      </w:r>
      <w:r w:rsidR="006C680D" w:rsidRPr="00D337FA">
        <w:rPr>
          <w:color w:val="auto"/>
          <w:sz w:val="21"/>
          <w:szCs w:val="21"/>
        </w:rPr>
        <w:t xml:space="preserve"> </w:t>
      </w:r>
      <w:r w:rsidRPr="00D337FA">
        <w:rPr>
          <w:color w:val="auto"/>
          <w:sz w:val="21"/>
          <w:szCs w:val="21"/>
        </w:rPr>
        <w:t>Азербайджанского</w:t>
      </w:r>
      <w:r w:rsidR="006C680D" w:rsidRPr="00D337FA">
        <w:rPr>
          <w:color w:val="auto"/>
          <w:sz w:val="21"/>
          <w:szCs w:val="21"/>
        </w:rPr>
        <w:t xml:space="preserve"> </w:t>
      </w:r>
      <w:r w:rsidRPr="00D337FA">
        <w:rPr>
          <w:color w:val="auto"/>
          <w:sz w:val="21"/>
          <w:szCs w:val="21"/>
        </w:rPr>
        <w:t>государственного</w:t>
      </w:r>
      <w:r w:rsidR="006C680D" w:rsidRPr="00D337FA">
        <w:rPr>
          <w:color w:val="auto"/>
          <w:sz w:val="21"/>
          <w:szCs w:val="21"/>
        </w:rPr>
        <w:t xml:space="preserve"> </w:t>
      </w:r>
      <w:r w:rsidR="005A1469" w:rsidRPr="00D337FA">
        <w:rPr>
          <w:color w:val="auto"/>
          <w:sz w:val="21"/>
          <w:szCs w:val="21"/>
        </w:rPr>
        <w:br/>
      </w:r>
      <w:r w:rsidRPr="00D337FA">
        <w:rPr>
          <w:color w:val="auto"/>
          <w:sz w:val="21"/>
          <w:szCs w:val="21"/>
        </w:rPr>
        <w:t>экономического</w:t>
      </w:r>
      <w:r w:rsidR="006C680D" w:rsidRPr="00D337FA">
        <w:rPr>
          <w:color w:val="auto"/>
          <w:sz w:val="21"/>
          <w:szCs w:val="21"/>
        </w:rPr>
        <w:t xml:space="preserve"> </w:t>
      </w:r>
      <w:r w:rsidRPr="00D337FA">
        <w:rPr>
          <w:color w:val="auto"/>
          <w:sz w:val="21"/>
          <w:szCs w:val="21"/>
        </w:rPr>
        <w:t>университета,</w:t>
      </w:r>
      <w:r w:rsidR="006C680D" w:rsidRPr="00D337FA">
        <w:rPr>
          <w:color w:val="auto"/>
          <w:sz w:val="21"/>
          <w:szCs w:val="21"/>
        </w:rPr>
        <w:t xml:space="preserve"> </w:t>
      </w:r>
      <w:r w:rsidRPr="00D337FA">
        <w:rPr>
          <w:color w:val="auto"/>
          <w:sz w:val="21"/>
          <w:szCs w:val="21"/>
        </w:rPr>
        <w:t>г.</w:t>
      </w:r>
      <w:r w:rsidR="006C680D" w:rsidRPr="00D337FA">
        <w:rPr>
          <w:color w:val="auto"/>
          <w:sz w:val="21"/>
          <w:szCs w:val="21"/>
        </w:rPr>
        <w:t xml:space="preserve"> </w:t>
      </w:r>
      <w:r w:rsidRPr="00D337FA">
        <w:rPr>
          <w:color w:val="auto"/>
          <w:sz w:val="21"/>
          <w:szCs w:val="21"/>
        </w:rPr>
        <w:t>Баку</w:t>
      </w:r>
    </w:p>
    <w:p w:rsidR="00163B06" w:rsidRPr="00D337FA" w:rsidRDefault="00825120" w:rsidP="00825120">
      <w:pPr>
        <w:pStyle w:val="aff3"/>
        <w:rPr>
          <w:color w:val="auto"/>
          <w:sz w:val="21"/>
          <w:szCs w:val="21"/>
        </w:rPr>
      </w:pPr>
      <w:r w:rsidRPr="00D337FA">
        <w:rPr>
          <w:b/>
          <w:color w:val="auto"/>
          <w:spacing w:val="-4"/>
          <w:sz w:val="21"/>
          <w:szCs w:val="21"/>
        </w:rPr>
        <w:t>Сулейманов</w:t>
      </w:r>
      <w:r w:rsidR="006C680D" w:rsidRPr="00D337FA">
        <w:rPr>
          <w:b/>
          <w:color w:val="auto"/>
          <w:spacing w:val="-4"/>
          <w:sz w:val="21"/>
          <w:szCs w:val="21"/>
        </w:rPr>
        <w:t xml:space="preserve"> </w:t>
      </w:r>
      <w:r w:rsidRPr="00D337FA">
        <w:rPr>
          <w:b/>
          <w:color w:val="auto"/>
          <w:spacing w:val="-4"/>
          <w:sz w:val="21"/>
          <w:szCs w:val="21"/>
        </w:rPr>
        <w:t>Э.Б.</w:t>
      </w:r>
      <w:r w:rsidR="006C680D" w:rsidRPr="00D337FA">
        <w:rPr>
          <w:b/>
          <w:color w:val="auto"/>
          <w:spacing w:val="-4"/>
          <w:sz w:val="21"/>
          <w:szCs w:val="21"/>
        </w:rPr>
        <w:t xml:space="preserve"> </w:t>
      </w:r>
      <w:r w:rsidRPr="00D337FA">
        <w:rPr>
          <w:b/>
          <w:color w:val="auto"/>
          <w:spacing w:val="-4"/>
          <w:sz w:val="21"/>
          <w:szCs w:val="21"/>
        </w:rPr>
        <w:t>оглы</w:t>
      </w:r>
      <w:r w:rsidR="006C680D" w:rsidRPr="00D337FA">
        <w:rPr>
          <w:b/>
          <w:color w:val="auto"/>
          <w:spacing w:val="-4"/>
          <w:sz w:val="21"/>
          <w:szCs w:val="21"/>
        </w:rPr>
        <w:t xml:space="preserve"> </w:t>
      </w:r>
      <w:r w:rsidRPr="00D337FA">
        <w:rPr>
          <w:color w:val="auto"/>
          <w:spacing w:val="-4"/>
          <w:sz w:val="21"/>
          <w:szCs w:val="21"/>
        </w:rPr>
        <w:t>–</w:t>
      </w:r>
      <w:r w:rsidR="006C680D" w:rsidRPr="00D337FA">
        <w:rPr>
          <w:color w:val="auto"/>
          <w:spacing w:val="-4"/>
          <w:sz w:val="21"/>
          <w:szCs w:val="21"/>
        </w:rPr>
        <w:t xml:space="preserve"> </w:t>
      </w:r>
      <w:r w:rsidRPr="00D337FA">
        <w:rPr>
          <w:color w:val="auto"/>
          <w:spacing w:val="-4"/>
          <w:sz w:val="21"/>
          <w:szCs w:val="21"/>
        </w:rPr>
        <w:t>доктор</w:t>
      </w:r>
      <w:r w:rsidR="006C680D" w:rsidRPr="00D337FA">
        <w:rPr>
          <w:color w:val="auto"/>
          <w:spacing w:val="-4"/>
          <w:sz w:val="21"/>
          <w:szCs w:val="21"/>
        </w:rPr>
        <w:t xml:space="preserve"> </w:t>
      </w:r>
      <w:r w:rsidRPr="00D337FA">
        <w:rPr>
          <w:color w:val="auto"/>
          <w:spacing w:val="-4"/>
          <w:sz w:val="21"/>
          <w:szCs w:val="21"/>
        </w:rPr>
        <w:t>философии</w:t>
      </w:r>
      <w:r w:rsidR="006C680D" w:rsidRPr="00D337FA">
        <w:rPr>
          <w:color w:val="auto"/>
          <w:spacing w:val="-4"/>
          <w:sz w:val="21"/>
          <w:szCs w:val="21"/>
        </w:rPr>
        <w:t xml:space="preserve"> </w:t>
      </w:r>
      <w:r w:rsidRPr="00D337FA">
        <w:rPr>
          <w:color w:val="auto"/>
          <w:spacing w:val="-4"/>
          <w:sz w:val="21"/>
          <w:szCs w:val="21"/>
        </w:rPr>
        <w:t>по</w:t>
      </w:r>
      <w:r w:rsidR="006C680D" w:rsidRPr="00D337FA">
        <w:rPr>
          <w:color w:val="auto"/>
          <w:spacing w:val="-4"/>
          <w:sz w:val="21"/>
          <w:szCs w:val="21"/>
        </w:rPr>
        <w:t xml:space="preserve"> </w:t>
      </w:r>
      <w:r w:rsidRPr="00D337FA">
        <w:rPr>
          <w:color w:val="auto"/>
          <w:spacing w:val="-4"/>
          <w:sz w:val="21"/>
          <w:szCs w:val="21"/>
        </w:rPr>
        <w:t>экономике,</w:t>
      </w:r>
      <w:r w:rsidR="006C680D" w:rsidRPr="00D337FA">
        <w:rPr>
          <w:color w:val="auto"/>
          <w:spacing w:val="-4"/>
          <w:sz w:val="21"/>
          <w:szCs w:val="21"/>
        </w:rPr>
        <w:t xml:space="preserve"> </w:t>
      </w:r>
      <w:r w:rsidRPr="00D337FA">
        <w:rPr>
          <w:color w:val="auto"/>
          <w:spacing w:val="-4"/>
          <w:sz w:val="21"/>
          <w:szCs w:val="21"/>
        </w:rPr>
        <w:t>заместитель</w:t>
      </w:r>
      <w:r w:rsidR="006C680D" w:rsidRPr="00D337FA">
        <w:rPr>
          <w:color w:val="auto"/>
          <w:spacing w:val="-4"/>
          <w:sz w:val="21"/>
          <w:szCs w:val="21"/>
        </w:rPr>
        <w:t xml:space="preserve"> </w:t>
      </w:r>
      <w:r w:rsidRPr="00D337FA">
        <w:rPr>
          <w:color w:val="auto"/>
          <w:spacing w:val="-4"/>
          <w:sz w:val="21"/>
          <w:szCs w:val="21"/>
        </w:rPr>
        <w:t>председателя</w:t>
      </w:r>
      <w:r w:rsidR="006C680D" w:rsidRPr="00D337FA">
        <w:rPr>
          <w:color w:val="auto"/>
          <w:spacing w:val="-4"/>
          <w:sz w:val="21"/>
          <w:szCs w:val="21"/>
        </w:rPr>
        <w:t xml:space="preserve"> </w:t>
      </w:r>
      <w:r w:rsidRPr="00D337FA">
        <w:rPr>
          <w:color w:val="auto"/>
          <w:spacing w:val="-4"/>
          <w:sz w:val="21"/>
          <w:szCs w:val="21"/>
        </w:rPr>
        <w:t>Совета</w:t>
      </w:r>
      <w:r w:rsidR="006C680D" w:rsidRPr="00D337FA">
        <w:rPr>
          <w:color w:val="auto"/>
          <w:spacing w:val="-4"/>
          <w:sz w:val="21"/>
          <w:szCs w:val="21"/>
        </w:rPr>
        <w:t xml:space="preserve"> </w:t>
      </w:r>
      <w:r w:rsidRPr="00D337FA">
        <w:rPr>
          <w:color w:val="auto"/>
          <w:spacing w:val="-4"/>
          <w:sz w:val="21"/>
          <w:szCs w:val="21"/>
        </w:rPr>
        <w:t>директоров</w:t>
      </w:r>
      <w:r w:rsidR="006C680D" w:rsidRPr="00D337FA">
        <w:rPr>
          <w:color w:val="auto"/>
          <w:sz w:val="21"/>
          <w:szCs w:val="21"/>
        </w:rPr>
        <w:t xml:space="preserve"> </w:t>
      </w:r>
      <w:r w:rsidRPr="00D337FA">
        <w:rPr>
          <w:color w:val="auto"/>
          <w:sz w:val="21"/>
          <w:szCs w:val="21"/>
        </w:rPr>
        <w:t>Национальной</w:t>
      </w:r>
      <w:r w:rsidR="006C680D" w:rsidRPr="00D337FA">
        <w:rPr>
          <w:color w:val="auto"/>
          <w:sz w:val="21"/>
          <w:szCs w:val="21"/>
        </w:rPr>
        <w:t xml:space="preserve"> </w:t>
      </w:r>
      <w:r w:rsidRPr="00D337FA">
        <w:rPr>
          <w:color w:val="auto"/>
          <w:sz w:val="21"/>
          <w:szCs w:val="21"/>
        </w:rPr>
        <w:t>обсерватории</w:t>
      </w:r>
      <w:r w:rsidR="006C680D" w:rsidRPr="00D337FA">
        <w:rPr>
          <w:color w:val="auto"/>
          <w:sz w:val="21"/>
          <w:szCs w:val="21"/>
        </w:rPr>
        <w:t xml:space="preserve"> </w:t>
      </w:r>
      <w:r w:rsidRPr="00D337FA">
        <w:rPr>
          <w:color w:val="auto"/>
          <w:sz w:val="21"/>
          <w:szCs w:val="21"/>
        </w:rPr>
        <w:t>по</w:t>
      </w:r>
      <w:r w:rsidR="006C680D" w:rsidRPr="00D337FA">
        <w:rPr>
          <w:color w:val="auto"/>
          <w:sz w:val="21"/>
          <w:szCs w:val="21"/>
        </w:rPr>
        <w:t xml:space="preserve"> </w:t>
      </w:r>
      <w:r w:rsidRPr="00D337FA">
        <w:rPr>
          <w:color w:val="auto"/>
          <w:sz w:val="21"/>
          <w:szCs w:val="21"/>
        </w:rPr>
        <w:t>рынку</w:t>
      </w:r>
      <w:r w:rsidR="006C680D" w:rsidRPr="00D337FA">
        <w:rPr>
          <w:color w:val="auto"/>
          <w:sz w:val="21"/>
          <w:szCs w:val="21"/>
        </w:rPr>
        <w:t xml:space="preserve"> </w:t>
      </w:r>
      <w:r w:rsidRPr="00D337FA">
        <w:rPr>
          <w:color w:val="auto"/>
          <w:sz w:val="21"/>
          <w:szCs w:val="21"/>
        </w:rPr>
        <w:t>труда</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социальной</w:t>
      </w:r>
      <w:r w:rsidR="006C680D" w:rsidRPr="00D337FA">
        <w:rPr>
          <w:color w:val="auto"/>
          <w:sz w:val="21"/>
          <w:szCs w:val="21"/>
        </w:rPr>
        <w:t xml:space="preserve"> </w:t>
      </w:r>
      <w:r w:rsidRPr="00D337FA">
        <w:rPr>
          <w:color w:val="auto"/>
          <w:sz w:val="21"/>
          <w:szCs w:val="21"/>
        </w:rPr>
        <w:t>защите</w:t>
      </w:r>
      <w:r w:rsidR="006C680D" w:rsidRPr="00D337FA">
        <w:rPr>
          <w:color w:val="auto"/>
          <w:sz w:val="21"/>
          <w:szCs w:val="21"/>
        </w:rPr>
        <w:t xml:space="preserve"> </w:t>
      </w:r>
      <w:r w:rsidRPr="00D337FA">
        <w:rPr>
          <w:color w:val="auto"/>
          <w:sz w:val="21"/>
          <w:szCs w:val="21"/>
        </w:rPr>
        <w:t>Азербайджанской</w:t>
      </w:r>
      <w:r w:rsidR="006C680D" w:rsidRPr="00D337FA">
        <w:rPr>
          <w:color w:val="auto"/>
          <w:sz w:val="21"/>
          <w:szCs w:val="21"/>
        </w:rPr>
        <w:t xml:space="preserve"> </w:t>
      </w:r>
      <w:r w:rsidRPr="00D337FA">
        <w:rPr>
          <w:color w:val="auto"/>
          <w:sz w:val="21"/>
          <w:szCs w:val="21"/>
        </w:rPr>
        <w:t>Республики</w:t>
      </w:r>
    </w:p>
    <w:p w:rsidR="00D207AF" w:rsidRPr="00D337FA" w:rsidRDefault="00D207AF" w:rsidP="00163B06">
      <w:pPr>
        <w:suppressAutoHyphens/>
        <w:autoSpaceDE w:val="0"/>
        <w:autoSpaceDN w:val="0"/>
        <w:adjustRightInd w:val="0"/>
        <w:spacing w:line="288" w:lineRule="auto"/>
        <w:ind w:firstLine="0"/>
        <w:jc w:val="center"/>
        <w:textAlignment w:val="center"/>
        <w:rPr>
          <w:b/>
          <w:bCs/>
          <w:sz w:val="16"/>
          <w:szCs w:val="24"/>
          <w:highlight w:val="yellow"/>
          <w:lang w:eastAsia="ru-RU"/>
        </w:rPr>
      </w:pPr>
    </w:p>
    <w:p w:rsidR="00163B06" w:rsidRPr="00D337FA" w:rsidRDefault="00163B06" w:rsidP="00163B06">
      <w:pPr>
        <w:suppressAutoHyphens/>
        <w:autoSpaceDE w:val="0"/>
        <w:autoSpaceDN w:val="0"/>
        <w:adjustRightInd w:val="0"/>
        <w:spacing w:line="288" w:lineRule="auto"/>
        <w:ind w:firstLine="0"/>
        <w:jc w:val="center"/>
        <w:textAlignment w:val="center"/>
        <w:rPr>
          <w:szCs w:val="24"/>
          <w:lang w:eastAsia="ru-RU"/>
        </w:rPr>
      </w:pPr>
      <w:r w:rsidRPr="00D337FA">
        <w:rPr>
          <w:b/>
          <w:bCs/>
          <w:szCs w:val="24"/>
          <w:lang w:eastAsia="ru-RU"/>
        </w:rPr>
        <w:t>РЕДКОЛЛЕГИЯ:</w:t>
      </w:r>
    </w:p>
    <w:p w:rsidR="00825120" w:rsidRPr="00D337FA" w:rsidRDefault="00825120" w:rsidP="00825120">
      <w:pPr>
        <w:pStyle w:val="aff3"/>
        <w:rPr>
          <w:b/>
          <w:i/>
          <w:color w:val="auto"/>
          <w:sz w:val="21"/>
          <w:szCs w:val="21"/>
        </w:rPr>
      </w:pPr>
      <w:r w:rsidRPr="00D337FA">
        <w:rPr>
          <w:b/>
          <w:i/>
          <w:color w:val="auto"/>
          <w:sz w:val="21"/>
          <w:szCs w:val="21"/>
        </w:rPr>
        <w:t>Заместитель</w:t>
      </w:r>
      <w:r w:rsidR="006C680D" w:rsidRPr="00D337FA">
        <w:rPr>
          <w:b/>
          <w:i/>
          <w:color w:val="auto"/>
          <w:sz w:val="21"/>
          <w:szCs w:val="21"/>
        </w:rPr>
        <w:t xml:space="preserve"> </w:t>
      </w:r>
      <w:r w:rsidRPr="00D337FA">
        <w:rPr>
          <w:b/>
          <w:i/>
          <w:color w:val="auto"/>
          <w:sz w:val="21"/>
          <w:szCs w:val="21"/>
        </w:rPr>
        <w:t>главного</w:t>
      </w:r>
      <w:r w:rsidR="006C680D" w:rsidRPr="00D337FA">
        <w:rPr>
          <w:b/>
          <w:i/>
          <w:color w:val="auto"/>
          <w:sz w:val="21"/>
          <w:szCs w:val="21"/>
        </w:rPr>
        <w:t xml:space="preserve"> </w:t>
      </w:r>
      <w:r w:rsidRPr="00D337FA">
        <w:rPr>
          <w:b/>
          <w:i/>
          <w:color w:val="auto"/>
          <w:sz w:val="21"/>
          <w:szCs w:val="21"/>
        </w:rPr>
        <w:t>редактора</w:t>
      </w:r>
      <w:r w:rsidR="006C680D" w:rsidRPr="00D337FA">
        <w:rPr>
          <w:b/>
          <w:i/>
          <w:color w:val="auto"/>
          <w:sz w:val="21"/>
          <w:szCs w:val="21"/>
        </w:rPr>
        <w:t xml:space="preserve"> </w:t>
      </w:r>
      <w:r w:rsidRPr="00D337FA">
        <w:rPr>
          <w:b/>
          <w:i/>
          <w:color w:val="auto"/>
          <w:sz w:val="21"/>
          <w:szCs w:val="21"/>
        </w:rPr>
        <w:t>–</w:t>
      </w:r>
      <w:r w:rsidR="006C680D" w:rsidRPr="00D337FA">
        <w:rPr>
          <w:b/>
          <w:i/>
          <w:color w:val="auto"/>
          <w:sz w:val="21"/>
          <w:szCs w:val="21"/>
        </w:rPr>
        <w:t xml:space="preserve">  </w:t>
      </w:r>
    </w:p>
    <w:p w:rsidR="00825120" w:rsidRPr="00D337FA" w:rsidRDefault="00825120" w:rsidP="007F0B79">
      <w:pPr>
        <w:ind w:firstLine="0"/>
        <w:rPr>
          <w:sz w:val="21"/>
          <w:szCs w:val="21"/>
        </w:rPr>
      </w:pPr>
      <w:r w:rsidRPr="00D337FA">
        <w:rPr>
          <w:b/>
          <w:sz w:val="21"/>
          <w:szCs w:val="21"/>
        </w:rPr>
        <w:t>Киселева</w:t>
      </w:r>
      <w:r w:rsidR="006C680D" w:rsidRPr="00D337FA">
        <w:rPr>
          <w:b/>
          <w:sz w:val="21"/>
          <w:szCs w:val="21"/>
        </w:rPr>
        <w:t xml:space="preserve"> </w:t>
      </w:r>
      <w:r w:rsidRPr="00D337FA">
        <w:rPr>
          <w:b/>
          <w:sz w:val="21"/>
          <w:szCs w:val="21"/>
        </w:rPr>
        <w:t>О.Н.</w:t>
      </w:r>
      <w:r w:rsidR="006C680D" w:rsidRPr="00D337FA">
        <w:rPr>
          <w:b/>
          <w:sz w:val="21"/>
          <w:szCs w:val="21"/>
        </w:rPr>
        <w:t xml:space="preserve"> </w:t>
      </w:r>
      <w:r w:rsidRPr="00D337FA">
        <w:rPr>
          <w:sz w:val="21"/>
          <w:szCs w:val="21"/>
        </w:rPr>
        <w:t>–</w:t>
      </w:r>
      <w:r w:rsidR="006C680D" w:rsidRPr="00D337FA">
        <w:rPr>
          <w:sz w:val="21"/>
          <w:szCs w:val="21"/>
        </w:rPr>
        <w:t xml:space="preserve"> </w:t>
      </w:r>
      <w:r w:rsidRPr="00D337FA">
        <w:rPr>
          <w:sz w:val="21"/>
          <w:szCs w:val="21"/>
        </w:rPr>
        <w:t>д.э.н.,</w:t>
      </w:r>
      <w:r w:rsidR="006C680D" w:rsidRPr="00D337FA">
        <w:rPr>
          <w:sz w:val="21"/>
          <w:szCs w:val="21"/>
        </w:rPr>
        <w:t xml:space="preserve"> </w:t>
      </w:r>
      <w:r w:rsidRPr="00D337FA">
        <w:rPr>
          <w:sz w:val="21"/>
          <w:szCs w:val="21"/>
        </w:rPr>
        <w:t>профессор</w:t>
      </w:r>
      <w:r w:rsidR="006C680D" w:rsidRPr="00D337FA">
        <w:rPr>
          <w:sz w:val="21"/>
          <w:szCs w:val="21"/>
        </w:rPr>
        <w:t xml:space="preserve"> </w:t>
      </w:r>
      <w:r w:rsidRPr="00D337FA">
        <w:rPr>
          <w:sz w:val="21"/>
          <w:szCs w:val="21"/>
        </w:rPr>
        <w:t>кафедры</w:t>
      </w:r>
      <w:r w:rsidR="006C680D" w:rsidRPr="00D337FA">
        <w:rPr>
          <w:sz w:val="21"/>
          <w:szCs w:val="21"/>
        </w:rPr>
        <w:t xml:space="preserve"> </w:t>
      </w:r>
      <w:r w:rsidRPr="00D337FA">
        <w:rPr>
          <w:sz w:val="21"/>
          <w:szCs w:val="21"/>
        </w:rPr>
        <w:t>«Отраслевое</w:t>
      </w:r>
      <w:r w:rsidR="006C680D" w:rsidRPr="00D337FA">
        <w:rPr>
          <w:sz w:val="21"/>
          <w:szCs w:val="21"/>
        </w:rPr>
        <w:t xml:space="preserve"> </w:t>
      </w:r>
      <w:r w:rsidRPr="00D337FA">
        <w:rPr>
          <w:sz w:val="21"/>
          <w:szCs w:val="21"/>
        </w:rPr>
        <w:t>управление</w:t>
      </w:r>
      <w:r w:rsidR="006C680D" w:rsidRPr="00D337FA">
        <w:rPr>
          <w:sz w:val="21"/>
          <w:szCs w:val="21"/>
        </w:rPr>
        <w:t xml:space="preserve"> </w:t>
      </w:r>
      <w:r w:rsidRPr="00D337FA">
        <w:rPr>
          <w:sz w:val="21"/>
          <w:szCs w:val="21"/>
        </w:rPr>
        <w:t>и</w:t>
      </w:r>
      <w:r w:rsidR="006C680D" w:rsidRPr="00D337FA">
        <w:rPr>
          <w:sz w:val="21"/>
          <w:szCs w:val="21"/>
        </w:rPr>
        <w:t xml:space="preserve"> </w:t>
      </w:r>
      <w:r w:rsidRPr="00D337FA">
        <w:rPr>
          <w:sz w:val="21"/>
          <w:szCs w:val="21"/>
        </w:rPr>
        <w:t>экономическая</w:t>
      </w:r>
      <w:r w:rsidR="006C680D" w:rsidRPr="00D337FA">
        <w:rPr>
          <w:sz w:val="21"/>
          <w:szCs w:val="21"/>
        </w:rPr>
        <w:t xml:space="preserve"> </w:t>
      </w:r>
      <w:r w:rsidRPr="00D337FA">
        <w:rPr>
          <w:sz w:val="21"/>
          <w:szCs w:val="21"/>
        </w:rPr>
        <w:t>безопасность»</w:t>
      </w:r>
      <w:r w:rsidR="006C680D" w:rsidRPr="00D337FA">
        <w:rPr>
          <w:sz w:val="21"/>
          <w:szCs w:val="21"/>
        </w:rPr>
        <w:t xml:space="preserve"> </w:t>
      </w:r>
      <w:r w:rsidRPr="00D337FA">
        <w:rPr>
          <w:sz w:val="21"/>
          <w:szCs w:val="21"/>
        </w:rPr>
        <w:t>СГТУ</w:t>
      </w:r>
      <w:r w:rsidR="006C680D" w:rsidRPr="00D337FA">
        <w:rPr>
          <w:sz w:val="21"/>
          <w:szCs w:val="21"/>
        </w:rPr>
        <w:t xml:space="preserve"> </w:t>
      </w:r>
      <w:r w:rsidRPr="00D337FA">
        <w:rPr>
          <w:sz w:val="21"/>
          <w:szCs w:val="21"/>
        </w:rPr>
        <w:t>имени</w:t>
      </w:r>
      <w:r w:rsidR="006C680D" w:rsidRPr="00D337FA">
        <w:rPr>
          <w:sz w:val="21"/>
          <w:szCs w:val="21"/>
        </w:rPr>
        <w:t xml:space="preserve"> </w:t>
      </w:r>
      <w:r w:rsidRPr="00D337FA">
        <w:rPr>
          <w:sz w:val="21"/>
          <w:szCs w:val="21"/>
        </w:rPr>
        <w:t>Гагарина</w:t>
      </w:r>
      <w:r w:rsidR="006C680D" w:rsidRPr="00D337FA">
        <w:rPr>
          <w:sz w:val="21"/>
          <w:szCs w:val="21"/>
        </w:rPr>
        <w:t xml:space="preserve"> </w:t>
      </w:r>
      <w:r w:rsidRPr="00D337FA">
        <w:rPr>
          <w:sz w:val="21"/>
          <w:szCs w:val="21"/>
        </w:rPr>
        <w:t>Ю.А.</w:t>
      </w:r>
    </w:p>
    <w:p w:rsidR="00825120" w:rsidRPr="00D337FA" w:rsidRDefault="00825120" w:rsidP="00825120">
      <w:pPr>
        <w:pStyle w:val="aff3"/>
        <w:rPr>
          <w:color w:val="auto"/>
          <w:sz w:val="21"/>
          <w:szCs w:val="21"/>
        </w:rPr>
      </w:pPr>
      <w:r w:rsidRPr="00D337FA">
        <w:rPr>
          <w:b/>
          <w:color w:val="auto"/>
          <w:sz w:val="21"/>
          <w:szCs w:val="21"/>
        </w:rPr>
        <w:t>Гилева</w:t>
      </w:r>
      <w:r w:rsidR="006C680D" w:rsidRPr="00D337FA">
        <w:rPr>
          <w:b/>
          <w:color w:val="auto"/>
          <w:sz w:val="21"/>
          <w:szCs w:val="21"/>
        </w:rPr>
        <w:t xml:space="preserve"> </w:t>
      </w:r>
      <w:r w:rsidRPr="00D337FA">
        <w:rPr>
          <w:b/>
          <w:color w:val="auto"/>
          <w:sz w:val="21"/>
          <w:szCs w:val="21"/>
        </w:rPr>
        <w:t>Т.А.</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стратегического</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инновационного</w:t>
      </w:r>
      <w:r w:rsidR="006C680D" w:rsidRPr="00D337FA">
        <w:rPr>
          <w:color w:val="auto"/>
          <w:sz w:val="21"/>
          <w:szCs w:val="21"/>
        </w:rPr>
        <w:t xml:space="preserve"> </w:t>
      </w:r>
      <w:r w:rsidRPr="00D337FA">
        <w:rPr>
          <w:color w:val="auto"/>
          <w:sz w:val="21"/>
          <w:szCs w:val="21"/>
        </w:rPr>
        <w:t>развития</w:t>
      </w:r>
      <w:r w:rsidR="006C680D" w:rsidRPr="00D337FA">
        <w:rPr>
          <w:color w:val="auto"/>
          <w:sz w:val="21"/>
          <w:szCs w:val="21"/>
        </w:rPr>
        <w:t xml:space="preserve"> </w:t>
      </w:r>
      <w:r w:rsidRPr="00D337FA">
        <w:rPr>
          <w:color w:val="auto"/>
          <w:sz w:val="21"/>
          <w:szCs w:val="21"/>
        </w:rPr>
        <w:t>Финансового</w:t>
      </w:r>
      <w:r w:rsidR="006C680D" w:rsidRPr="00D337FA">
        <w:rPr>
          <w:color w:val="auto"/>
          <w:sz w:val="21"/>
          <w:szCs w:val="21"/>
        </w:rPr>
        <w:t xml:space="preserve">  </w:t>
      </w:r>
      <w:r w:rsidR="005A1469" w:rsidRPr="00D337FA">
        <w:rPr>
          <w:color w:val="auto"/>
          <w:sz w:val="21"/>
          <w:szCs w:val="21"/>
        </w:rPr>
        <w:br/>
      </w:r>
      <w:r w:rsidRPr="00D337FA">
        <w:rPr>
          <w:color w:val="auto"/>
          <w:sz w:val="21"/>
          <w:szCs w:val="21"/>
        </w:rPr>
        <w:t>университета</w:t>
      </w:r>
      <w:r w:rsidR="006C680D" w:rsidRPr="00D337FA">
        <w:rPr>
          <w:color w:val="auto"/>
          <w:sz w:val="21"/>
          <w:szCs w:val="21"/>
        </w:rPr>
        <w:t xml:space="preserve"> </w:t>
      </w:r>
      <w:r w:rsidRPr="00D337FA">
        <w:rPr>
          <w:color w:val="auto"/>
          <w:sz w:val="21"/>
          <w:szCs w:val="21"/>
        </w:rPr>
        <w:t>при</w:t>
      </w:r>
      <w:r w:rsidR="006C680D" w:rsidRPr="00D337FA">
        <w:rPr>
          <w:color w:val="auto"/>
          <w:sz w:val="21"/>
          <w:szCs w:val="21"/>
        </w:rPr>
        <w:t xml:space="preserve"> </w:t>
      </w:r>
      <w:r w:rsidRPr="00D337FA">
        <w:rPr>
          <w:color w:val="auto"/>
          <w:sz w:val="21"/>
          <w:szCs w:val="21"/>
        </w:rPr>
        <w:t>Правительстве</w:t>
      </w:r>
      <w:r w:rsidR="006C680D" w:rsidRPr="00D337FA">
        <w:rPr>
          <w:color w:val="auto"/>
          <w:sz w:val="21"/>
          <w:szCs w:val="21"/>
        </w:rPr>
        <w:t xml:space="preserve"> </w:t>
      </w:r>
      <w:r w:rsidRPr="00D337FA">
        <w:rPr>
          <w:color w:val="auto"/>
          <w:sz w:val="21"/>
          <w:szCs w:val="21"/>
        </w:rPr>
        <w:t>Российской</w:t>
      </w:r>
      <w:r w:rsidR="006C680D" w:rsidRPr="00D337FA">
        <w:rPr>
          <w:color w:val="auto"/>
          <w:sz w:val="21"/>
          <w:szCs w:val="21"/>
        </w:rPr>
        <w:t xml:space="preserve"> </w:t>
      </w:r>
      <w:r w:rsidRPr="00D337FA">
        <w:rPr>
          <w:color w:val="auto"/>
          <w:sz w:val="21"/>
          <w:szCs w:val="21"/>
        </w:rPr>
        <w:t>Федерации</w:t>
      </w:r>
    </w:p>
    <w:p w:rsidR="00825120" w:rsidRPr="00D337FA" w:rsidRDefault="00825120" w:rsidP="00825120">
      <w:pPr>
        <w:pStyle w:val="aff3"/>
        <w:rPr>
          <w:color w:val="auto"/>
          <w:sz w:val="21"/>
          <w:szCs w:val="21"/>
        </w:rPr>
      </w:pPr>
      <w:r w:rsidRPr="00D337FA">
        <w:rPr>
          <w:b/>
          <w:color w:val="auto"/>
          <w:sz w:val="21"/>
          <w:szCs w:val="21"/>
        </w:rPr>
        <w:t>Ермакова</w:t>
      </w:r>
      <w:r w:rsidR="006C680D" w:rsidRPr="00D337FA">
        <w:rPr>
          <w:b/>
          <w:color w:val="auto"/>
          <w:sz w:val="21"/>
          <w:szCs w:val="21"/>
        </w:rPr>
        <w:t xml:space="preserve"> </w:t>
      </w:r>
      <w:r w:rsidRPr="00D337FA">
        <w:rPr>
          <w:b/>
          <w:color w:val="auto"/>
          <w:sz w:val="21"/>
          <w:szCs w:val="21"/>
        </w:rPr>
        <w:t>Е.А.</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«Финансы</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банковское</w:t>
      </w:r>
      <w:r w:rsidR="006C680D" w:rsidRPr="00D337FA">
        <w:rPr>
          <w:color w:val="auto"/>
          <w:sz w:val="21"/>
          <w:szCs w:val="21"/>
        </w:rPr>
        <w:t xml:space="preserve"> </w:t>
      </w:r>
      <w:r w:rsidRPr="00D337FA">
        <w:rPr>
          <w:color w:val="auto"/>
          <w:sz w:val="21"/>
          <w:szCs w:val="21"/>
        </w:rPr>
        <w:t>дело»</w:t>
      </w:r>
      <w:r w:rsidR="006C680D" w:rsidRPr="00D337FA">
        <w:rPr>
          <w:color w:val="auto"/>
          <w:sz w:val="21"/>
          <w:szCs w:val="21"/>
        </w:rPr>
        <w:t xml:space="preserve"> </w:t>
      </w:r>
      <w:r w:rsidRPr="00D337FA">
        <w:rPr>
          <w:color w:val="auto"/>
          <w:sz w:val="21"/>
          <w:szCs w:val="21"/>
        </w:rPr>
        <w:t>СГТУ</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Pr="00D337FA">
        <w:rPr>
          <w:color w:val="auto"/>
          <w:sz w:val="21"/>
          <w:szCs w:val="21"/>
        </w:rPr>
        <w:t>Гагарина</w:t>
      </w:r>
      <w:r w:rsidR="006C680D" w:rsidRPr="00D337FA">
        <w:rPr>
          <w:color w:val="auto"/>
          <w:sz w:val="21"/>
          <w:szCs w:val="21"/>
        </w:rPr>
        <w:t xml:space="preserve"> </w:t>
      </w:r>
      <w:r w:rsidRPr="00D337FA">
        <w:rPr>
          <w:color w:val="auto"/>
          <w:sz w:val="21"/>
          <w:szCs w:val="21"/>
        </w:rPr>
        <w:t>Ю.А.</w:t>
      </w:r>
      <w:r w:rsidR="006C680D" w:rsidRPr="00D337FA">
        <w:rPr>
          <w:color w:val="auto"/>
          <w:sz w:val="21"/>
          <w:szCs w:val="21"/>
        </w:rPr>
        <w:t xml:space="preserve"> </w:t>
      </w:r>
    </w:p>
    <w:p w:rsidR="00270FB2" w:rsidRPr="00D337FA" w:rsidRDefault="00825120" w:rsidP="00163B06">
      <w:pPr>
        <w:pStyle w:val="aff3"/>
        <w:rPr>
          <w:color w:val="auto"/>
          <w:sz w:val="21"/>
          <w:szCs w:val="21"/>
        </w:rPr>
      </w:pPr>
      <w:r w:rsidRPr="00D337FA">
        <w:rPr>
          <w:b/>
          <w:color w:val="auto"/>
          <w:sz w:val="21"/>
          <w:szCs w:val="21"/>
        </w:rPr>
        <w:t>Злобина</w:t>
      </w:r>
      <w:r w:rsidR="006C680D" w:rsidRPr="00D337FA">
        <w:rPr>
          <w:b/>
          <w:color w:val="auto"/>
          <w:sz w:val="21"/>
          <w:szCs w:val="21"/>
        </w:rPr>
        <w:t xml:space="preserve"> </w:t>
      </w:r>
      <w:r w:rsidRPr="00D337FA">
        <w:rPr>
          <w:b/>
          <w:color w:val="auto"/>
          <w:sz w:val="21"/>
          <w:szCs w:val="21"/>
        </w:rPr>
        <w:t>Н.В.</w:t>
      </w:r>
      <w:r w:rsidR="006C680D" w:rsidRPr="00D337FA">
        <w:rPr>
          <w:b/>
          <w:color w:val="auto"/>
          <w:sz w:val="21"/>
          <w:szCs w:val="21"/>
        </w:rPr>
        <w:t xml:space="preserve"> </w:t>
      </w:r>
      <w:r w:rsidRPr="00D337FA">
        <w:rPr>
          <w:b/>
          <w:color w:val="auto"/>
          <w:sz w:val="21"/>
          <w:szCs w:val="21"/>
        </w:rPr>
        <w:t>–</w:t>
      </w:r>
      <w:r w:rsidR="006C680D" w:rsidRPr="00D337FA">
        <w:rPr>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«Экономическая</w:t>
      </w:r>
      <w:r w:rsidR="006C680D" w:rsidRPr="00D337FA">
        <w:rPr>
          <w:color w:val="auto"/>
          <w:sz w:val="21"/>
          <w:szCs w:val="21"/>
        </w:rPr>
        <w:t xml:space="preserve"> </w:t>
      </w:r>
      <w:r w:rsidRPr="00D337FA">
        <w:rPr>
          <w:color w:val="auto"/>
          <w:sz w:val="21"/>
          <w:szCs w:val="21"/>
        </w:rPr>
        <w:t>безопасность</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качество»</w:t>
      </w:r>
      <w:r w:rsidR="006C680D" w:rsidRPr="00D337FA">
        <w:rPr>
          <w:color w:val="auto"/>
          <w:sz w:val="21"/>
          <w:szCs w:val="21"/>
        </w:rPr>
        <w:t xml:space="preserve"> </w:t>
      </w:r>
      <w:r w:rsidRPr="00D337FA">
        <w:rPr>
          <w:color w:val="auto"/>
          <w:sz w:val="21"/>
          <w:szCs w:val="21"/>
        </w:rPr>
        <w:t>Тамбовского</w:t>
      </w:r>
      <w:r w:rsidR="006C680D" w:rsidRPr="00D337FA">
        <w:rPr>
          <w:color w:val="auto"/>
          <w:sz w:val="21"/>
          <w:szCs w:val="21"/>
        </w:rPr>
        <w:t xml:space="preserve"> </w:t>
      </w:r>
      <w:r w:rsidR="002C4EDB" w:rsidRPr="00D337FA">
        <w:rPr>
          <w:color w:val="auto"/>
          <w:sz w:val="21"/>
          <w:szCs w:val="21"/>
        </w:rPr>
        <w:br/>
      </w:r>
      <w:r w:rsidRPr="00D337FA">
        <w:rPr>
          <w:color w:val="auto"/>
          <w:sz w:val="21"/>
          <w:szCs w:val="21"/>
        </w:rPr>
        <w:t>государственного</w:t>
      </w:r>
      <w:r w:rsidR="006C680D" w:rsidRPr="00D337FA">
        <w:rPr>
          <w:color w:val="auto"/>
          <w:sz w:val="21"/>
          <w:szCs w:val="21"/>
        </w:rPr>
        <w:t xml:space="preserve"> </w:t>
      </w:r>
      <w:r w:rsidRPr="00D337FA">
        <w:rPr>
          <w:color w:val="auto"/>
          <w:sz w:val="21"/>
          <w:szCs w:val="21"/>
        </w:rPr>
        <w:t>технического</w:t>
      </w:r>
      <w:r w:rsidR="006C680D" w:rsidRPr="00D337FA">
        <w:rPr>
          <w:color w:val="auto"/>
          <w:sz w:val="21"/>
          <w:szCs w:val="21"/>
        </w:rPr>
        <w:t xml:space="preserve"> </w:t>
      </w:r>
      <w:r w:rsidRPr="00D337FA">
        <w:rPr>
          <w:color w:val="auto"/>
          <w:sz w:val="21"/>
          <w:szCs w:val="21"/>
        </w:rPr>
        <w:t>университета</w:t>
      </w:r>
    </w:p>
    <w:p w:rsidR="00163B06" w:rsidRPr="00D337FA" w:rsidRDefault="00270FB2" w:rsidP="00163B06">
      <w:pPr>
        <w:pStyle w:val="aff3"/>
        <w:rPr>
          <w:color w:val="auto"/>
          <w:sz w:val="21"/>
          <w:szCs w:val="21"/>
        </w:rPr>
      </w:pPr>
      <w:r w:rsidRPr="00D337FA">
        <w:rPr>
          <w:b/>
          <w:color w:val="auto"/>
          <w:sz w:val="21"/>
          <w:szCs w:val="21"/>
        </w:rPr>
        <w:t>Кушников</w:t>
      </w:r>
      <w:r w:rsidR="006C680D" w:rsidRPr="00D337FA">
        <w:rPr>
          <w:b/>
          <w:color w:val="auto"/>
          <w:sz w:val="21"/>
          <w:szCs w:val="21"/>
        </w:rPr>
        <w:t xml:space="preserve"> </w:t>
      </w:r>
      <w:r w:rsidRPr="00D337FA">
        <w:rPr>
          <w:b/>
          <w:color w:val="auto"/>
          <w:sz w:val="21"/>
          <w:szCs w:val="21"/>
        </w:rPr>
        <w:t>В.А.</w:t>
      </w:r>
      <w:r w:rsidR="006C680D" w:rsidRPr="00D337FA">
        <w:rPr>
          <w:color w:val="auto"/>
          <w:sz w:val="21"/>
          <w:szCs w:val="21"/>
        </w:rPr>
        <w:t xml:space="preserve"> </w:t>
      </w:r>
      <w:r w:rsidR="00163B06" w:rsidRPr="00D337FA">
        <w:rPr>
          <w:color w:val="auto"/>
          <w:sz w:val="21"/>
          <w:szCs w:val="21"/>
        </w:rPr>
        <w:t>–</w:t>
      </w:r>
      <w:r w:rsidR="006C680D" w:rsidRPr="00D337FA">
        <w:rPr>
          <w:color w:val="auto"/>
          <w:sz w:val="21"/>
          <w:szCs w:val="21"/>
        </w:rPr>
        <w:t xml:space="preserve"> </w:t>
      </w:r>
      <w:r w:rsidR="00707D4F" w:rsidRPr="00D337FA">
        <w:rPr>
          <w:color w:val="auto"/>
          <w:sz w:val="21"/>
          <w:szCs w:val="21"/>
        </w:rPr>
        <w:t>д.</w:t>
      </w:r>
      <w:r w:rsidRPr="00D337FA">
        <w:rPr>
          <w:color w:val="auto"/>
          <w:sz w:val="21"/>
          <w:szCs w:val="21"/>
        </w:rPr>
        <w:t>т</w:t>
      </w:r>
      <w:r w:rsidR="00707D4F" w:rsidRPr="00D337FA">
        <w:rPr>
          <w:color w:val="auto"/>
          <w:sz w:val="21"/>
          <w:szCs w:val="21"/>
        </w:rPr>
        <w:t>.н.,</w:t>
      </w:r>
      <w:r w:rsidR="006C680D" w:rsidRPr="00D337FA">
        <w:rPr>
          <w:color w:val="auto"/>
          <w:sz w:val="21"/>
          <w:szCs w:val="21"/>
        </w:rPr>
        <w:t xml:space="preserve"> </w:t>
      </w:r>
      <w:r w:rsidR="00707D4F" w:rsidRPr="00D337FA">
        <w:rPr>
          <w:color w:val="auto"/>
          <w:sz w:val="21"/>
          <w:szCs w:val="21"/>
        </w:rPr>
        <w:t>профессор</w:t>
      </w:r>
      <w:r w:rsidR="006C680D" w:rsidRPr="00D337FA">
        <w:rPr>
          <w:color w:val="auto"/>
          <w:sz w:val="21"/>
          <w:szCs w:val="21"/>
        </w:rPr>
        <w:t xml:space="preserve"> </w:t>
      </w:r>
      <w:r w:rsidR="00707D4F" w:rsidRPr="00D337FA">
        <w:rPr>
          <w:color w:val="auto"/>
          <w:sz w:val="21"/>
          <w:szCs w:val="21"/>
        </w:rPr>
        <w:t>кафедры</w:t>
      </w:r>
      <w:r w:rsidR="006C680D" w:rsidRPr="00D337FA">
        <w:rPr>
          <w:color w:val="auto"/>
          <w:sz w:val="21"/>
          <w:szCs w:val="21"/>
        </w:rPr>
        <w:t xml:space="preserve"> </w:t>
      </w:r>
      <w:r w:rsidR="00707D4F" w:rsidRPr="00D337FA">
        <w:rPr>
          <w:color w:val="auto"/>
          <w:sz w:val="21"/>
          <w:szCs w:val="21"/>
        </w:rPr>
        <w:t>«Прикладные</w:t>
      </w:r>
      <w:r w:rsidR="006C680D" w:rsidRPr="00D337FA">
        <w:rPr>
          <w:color w:val="auto"/>
          <w:sz w:val="21"/>
          <w:szCs w:val="21"/>
        </w:rPr>
        <w:t xml:space="preserve"> </w:t>
      </w:r>
      <w:r w:rsidR="00707D4F" w:rsidRPr="00D337FA">
        <w:rPr>
          <w:color w:val="auto"/>
          <w:sz w:val="21"/>
          <w:szCs w:val="21"/>
        </w:rPr>
        <w:t>информационные</w:t>
      </w:r>
      <w:r w:rsidR="006C680D" w:rsidRPr="00D337FA">
        <w:rPr>
          <w:color w:val="auto"/>
          <w:sz w:val="21"/>
          <w:szCs w:val="21"/>
        </w:rPr>
        <w:t xml:space="preserve"> </w:t>
      </w:r>
      <w:r w:rsidR="00707D4F" w:rsidRPr="00D337FA">
        <w:rPr>
          <w:color w:val="auto"/>
          <w:sz w:val="21"/>
          <w:szCs w:val="21"/>
        </w:rPr>
        <w:t>технологии»</w:t>
      </w:r>
      <w:r w:rsidR="006C680D" w:rsidRPr="00D337FA">
        <w:rPr>
          <w:color w:val="auto"/>
          <w:sz w:val="21"/>
          <w:szCs w:val="21"/>
        </w:rPr>
        <w:t xml:space="preserve"> </w:t>
      </w:r>
      <w:r w:rsidR="00707D4F" w:rsidRPr="00D337FA">
        <w:rPr>
          <w:color w:val="auto"/>
          <w:sz w:val="21"/>
          <w:szCs w:val="21"/>
        </w:rPr>
        <w:t>СГТУ</w:t>
      </w:r>
      <w:r w:rsidR="006C680D" w:rsidRPr="00D337FA">
        <w:rPr>
          <w:color w:val="auto"/>
          <w:sz w:val="21"/>
          <w:szCs w:val="21"/>
        </w:rPr>
        <w:t xml:space="preserve"> </w:t>
      </w:r>
      <w:r w:rsidR="002C4EDB" w:rsidRPr="00D337FA">
        <w:rPr>
          <w:color w:val="auto"/>
          <w:sz w:val="21"/>
          <w:szCs w:val="21"/>
        </w:rPr>
        <w:br/>
      </w:r>
      <w:r w:rsidR="00707D4F" w:rsidRPr="00D337FA">
        <w:rPr>
          <w:color w:val="auto"/>
          <w:sz w:val="21"/>
          <w:szCs w:val="21"/>
        </w:rPr>
        <w:t>имени</w:t>
      </w:r>
      <w:r w:rsidR="006C680D" w:rsidRPr="00D337FA">
        <w:rPr>
          <w:color w:val="auto"/>
          <w:sz w:val="21"/>
          <w:szCs w:val="21"/>
        </w:rPr>
        <w:t xml:space="preserve"> </w:t>
      </w:r>
      <w:r w:rsidR="00707D4F" w:rsidRPr="00D337FA">
        <w:rPr>
          <w:color w:val="auto"/>
          <w:sz w:val="21"/>
          <w:szCs w:val="21"/>
        </w:rPr>
        <w:t>Гагарина</w:t>
      </w:r>
      <w:r w:rsidR="006C680D" w:rsidRPr="00D337FA">
        <w:rPr>
          <w:color w:val="auto"/>
          <w:sz w:val="21"/>
          <w:szCs w:val="21"/>
        </w:rPr>
        <w:t xml:space="preserve"> </w:t>
      </w:r>
      <w:r w:rsidR="00707D4F" w:rsidRPr="00D337FA">
        <w:rPr>
          <w:color w:val="auto"/>
          <w:sz w:val="21"/>
          <w:szCs w:val="21"/>
        </w:rPr>
        <w:t>Ю.А.</w:t>
      </w:r>
    </w:p>
    <w:p w:rsidR="00707D4F" w:rsidRPr="00D337FA" w:rsidRDefault="00707D4F" w:rsidP="00707D4F">
      <w:pPr>
        <w:pStyle w:val="aff3"/>
        <w:rPr>
          <w:b/>
          <w:color w:val="auto"/>
          <w:sz w:val="21"/>
          <w:szCs w:val="21"/>
        </w:rPr>
      </w:pPr>
      <w:r w:rsidRPr="00D337FA">
        <w:rPr>
          <w:b/>
          <w:color w:val="auto"/>
          <w:sz w:val="21"/>
          <w:szCs w:val="21"/>
        </w:rPr>
        <w:t>Уколова</w:t>
      </w:r>
      <w:r w:rsidR="006C680D" w:rsidRPr="00D337FA">
        <w:rPr>
          <w:b/>
          <w:color w:val="auto"/>
          <w:sz w:val="21"/>
          <w:szCs w:val="21"/>
        </w:rPr>
        <w:t xml:space="preserve"> </w:t>
      </w:r>
      <w:r w:rsidRPr="00D337FA">
        <w:rPr>
          <w:b/>
          <w:color w:val="auto"/>
          <w:sz w:val="21"/>
          <w:szCs w:val="21"/>
        </w:rPr>
        <w:t>Н.В.</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доцент</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«Бухгалтерский</w:t>
      </w:r>
      <w:r w:rsidR="006C680D" w:rsidRPr="00D337FA">
        <w:rPr>
          <w:color w:val="auto"/>
          <w:sz w:val="21"/>
          <w:szCs w:val="21"/>
        </w:rPr>
        <w:t xml:space="preserve"> </w:t>
      </w:r>
      <w:r w:rsidRPr="00D337FA">
        <w:rPr>
          <w:color w:val="auto"/>
          <w:sz w:val="21"/>
          <w:szCs w:val="21"/>
        </w:rPr>
        <w:t>учет</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статистика»</w:t>
      </w:r>
      <w:r w:rsidR="006C680D" w:rsidRPr="00D337FA">
        <w:rPr>
          <w:color w:val="auto"/>
          <w:sz w:val="21"/>
          <w:szCs w:val="21"/>
        </w:rPr>
        <w:t xml:space="preserve"> </w:t>
      </w:r>
      <w:r w:rsidRPr="00D337FA">
        <w:rPr>
          <w:color w:val="auto"/>
          <w:sz w:val="21"/>
          <w:szCs w:val="21"/>
        </w:rPr>
        <w:t>Саратовского</w:t>
      </w:r>
      <w:r w:rsidR="006C680D" w:rsidRPr="00D337FA">
        <w:rPr>
          <w:color w:val="auto"/>
          <w:sz w:val="21"/>
          <w:szCs w:val="21"/>
        </w:rPr>
        <w:t xml:space="preserve"> </w:t>
      </w:r>
      <w:r w:rsidR="002C4EDB" w:rsidRPr="00D337FA">
        <w:rPr>
          <w:color w:val="auto"/>
          <w:sz w:val="21"/>
          <w:szCs w:val="21"/>
        </w:rPr>
        <w:br/>
      </w:r>
      <w:r w:rsidRPr="00D337FA">
        <w:rPr>
          <w:color w:val="auto"/>
          <w:sz w:val="21"/>
          <w:szCs w:val="21"/>
        </w:rPr>
        <w:t>государственного</w:t>
      </w:r>
      <w:r w:rsidR="006C680D" w:rsidRPr="00D337FA">
        <w:rPr>
          <w:color w:val="auto"/>
          <w:sz w:val="21"/>
          <w:szCs w:val="21"/>
        </w:rPr>
        <w:t xml:space="preserve"> </w:t>
      </w:r>
      <w:r w:rsidRPr="00D337FA">
        <w:rPr>
          <w:color w:val="auto"/>
          <w:sz w:val="21"/>
          <w:szCs w:val="21"/>
        </w:rPr>
        <w:t>университета</w:t>
      </w:r>
      <w:r w:rsidR="006C680D" w:rsidRPr="00D337FA">
        <w:rPr>
          <w:color w:val="auto"/>
          <w:sz w:val="21"/>
          <w:szCs w:val="21"/>
        </w:rPr>
        <w:t xml:space="preserve"> </w:t>
      </w:r>
      <w:r w:rsidRPr="00D337FA">
        <w:rPr>
          <w:color w:val="auto"/>
          <w:sz w:val="21"/>
          <w:szCs w:val="21"/>
        </w:rPr>
        <w:t>генетики,</w:t>
      </w:r>
      <w:r w:rsidR="006C680D" w:rsidRPr="00D337FA">
        <w:rPr>
          <w:color w:val="auto"/>
          <w:sz w:val="21"/>
          <w:szCs w:val="21"/>
        </w:rPr>
        <w:t xml:space="preserve"> </w:t>
      </w:r>
      <w:r w:rsidRPr="00D337FA">
        <w:rPr>
          <w:color w:val="auto"/>
          <w:sz w:val="21"/>
          <w:szCs w:val="21"/>
        </w:rPr>
        <w:t>биотехнологии</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инженерии</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Pr="00D337FA">
        <w:rPr>
          <w:color w:val="auto"/>
          <w:sz w:val="21"/>
          <w:szCs w:val="21"/>
        </w:rPr>
        <w:t>Н.И.</w:t>
      </w:r>
      <w:r w:rsidR="006C680D" w:rsidRPr="00D337FA">
        <w:rPr>
          <w:color w:val="auto"/>
          <w:sz w:val="21"/>
          <w:szCs w:val="21"/>
        </w:rPr>
        <w:t xml:space="preserve"> </w:t>
      </w:r>
      <w:r w:rsidRPr="00D337FA">
        <w:rPr>
          <w:color w:val="auto"/>
          <w:sz w:val="21"/>
          <w:szCs w:val="21"/>
        </w:rPr>
        <w:t>Вавилова</w:t>
      </w:r>
    </w:p>
    <w:p w:rsidR="00707D4F" w:rsidRPr="00D337FA" w:rsidRDefault="00707D4F" w:rsidP="00707D4F">
      <w:pPr>
        <w:pStyle w:val="aff3"/>
        <w:rPr>
          <w:color w:val="auto"/>
          <w:sz w:val="21"/>
          <w:szCs w:val="21"/>
        </w:rPr>
      </w:pPr>
      <w:r w:rsidRPr="00D337FA">
        <w:rPr>
          <w:b/>
          <w:color w:val="auto"/>
          <w:sz w:val="21"/>
          <w:szCs w:val="21"/>
        </w:rPr>
        <w:t>Фирсова</w:t>
      </w:r>
      <w:r w:rsidR="006C680D" w:rsidRPr="00D337FA">
        <w:rPr>
          <w:b/>
          <w:color w:val="auto"/>
          <w:sz w:val="21"/>
          <w:szCs w:val="21"/>
        </w:rPr>
        <w:t xml:space="preserve"> </w:t>
      </w:r>
      <w:r w:rsidRPr="00D337FA">
        <w:rPr>
          <w:b/>
          <w:color w:val="auto"/>
          <w:sz w:val="21"/>
          <w:szCs w:val="21"/>
        </w:rPr>
        <w:t>А.А.</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«Финансы</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кредит»</w:t>
      </w:r>
      <w:r w:rsidR="006C680D" w:rsidRPr="00D337FA">
        <w:rPr>
          <w:color w:val="auto"/>
          <w:sz w:val="21"/>
          <w:szCs w:val="21"/>
        </w:rPr>
        <w:t xml:space="preserve"> </w:t>
      </w:r>
      <w:r w:rsidRPr="00D337FA">
        <w:rPr>
          <w:color w:val="auto"/>
          <w:sz w:val="21"/>
          <w:szCs w:val="21"/>
        </w:rPr>
        <w:t>Саратовского</w:t>
      </w:r>
      <w:r w:rsidR="006C680D" w:rsidRPr="00D337FA">
        <w:rPr>
          <w:color w:val="auto"/>
          <w:sz w:val="21"/>
          <w:szCs w:val="21"/>
        </w:rPr>
        <w:t xml:space="preserve"> </w:t>
      </w:r>
      <w:r w:rsidRPr="00D337FA">
        <w:rPr>
          <w:color w:val="auto"/>
          <w:sz w:val="21"/>
          <w:szCs w:val="21"/>
        </w:rPr>
        <w:t>национального</w:t>
      </w:r>
      <w:r w:rsidR="006C680D" w:rsidRPr="00D337FA">
        <w:rPr>
          <w:color w:val="auto"/>
          <w:sz w:val="21"/>
          <w:szCs w:val="21"/>
        </w:rPr>
        <w:t xml:space="preserve"> </w:t>
      </w:r>
      <w:r w:rsidR="002C4EDB" w:rsidRPr="00D337FA">
        <w:rPr>
          <w:color w:val="auto"/>
          <w:sz w:val="21"/>
          <w:szCs w:val="21"/>
        </w:rPr>
        <w:br/>
      </w:r>
      <w:r w:rsidRPr="00D337FA">
        <w:rPr>
          <w:color w:val="auto"/>
          <w:sz w:val="21"/>
          <w:szCs w:val="21"/>
        </w:rPr>
        <w:t>исследовательского</w:t>
      </w:r>
      <w:r w:rsidR="006C680D" w:rsidRPr="00D337FA">
        <w:rPr>
          <w:color w:val="auto"/>
          <w:sz w:val="21"/>
          <w:szCs w:val="21"/>
        </w:rPr>
        <w:t xml:space="preserve"> </w:t>
      </w:r>
      <w:r w:rsidRPr="00D337FA">
        <w:rPr>
          <w:color w:val="auto"/>
          <w:sz w:val="21"/>
          <w:szCs w:val="21"/>
        </w:rPr>
        <w:t>государственного</w:t>
      </w:r>
      <w:r w:rsidR="006C680D" w:rsidRPr="00D337FA">
        <w:rPr>
          <w:color w:val="auto"/>
          <w:sz w:val="21"/>
          <w:szCs w:val="21"/>
        </w:rPr>
        <w:t xml:space="preserve"> </w:t>
      </w:r>
      <w:r w:rsidRPr="00D337FA">
        <w:rPr>
          <w:color w:val="auto"/>
          <w:sz w:val="21"/>
          <w:szCs w:val="21"/>
        </w:rPr>
        <w:t>университета</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Pr="00D337FA">
        <w:rPr>
          <w:color w:val="auto"/>
          <w:sz w:val="21"/>
          <w:szCs w:val="21"/>
        </w:rPr>
        <w:t>Н.Г.</w:t>
      </w:r>
      <w:r w:rsidR="006C680D" w:rsidRPr="00D337FA">
        <w:rPr>
          <w:color w:val="auto"/>
          <w:sz w:val="21"/>
          <w:szCs w:val="21"/>
        </w:rPr>
        <w:t xml:space="preserve"> </w:t>
      </w:r>
      <w:r w:rsidRPr="00D337FA">
        <w:rPr>
          <w:color w:val="auto"/>
          <w:sz w:val="21"/>
          <w:szCs w:val="21"/>
        </w:rPr>
        <w:t>Чернышевского</w:t>
      </w:r>
    </w:p>
    <w:p w:rsidR="00707D4F" w:rsidRPr="00D337FA" w:rsidRDefault="00707D4F" w:rsidP="00707D4F">
      <w:pPr>
        <w:pStyle w:val="aff3"/>
        <w:rPr>
          <w:color w:val="auto"/>
          <w:sz w:val="21"/>
          <w:szCs w:val="21"/>
        </w:rPr>
      </w:pPr>
      <w:r w:rsidRPr="00D337FA">
        <w:rPr>
          <w:b/>
          <w:color w:val="auto"/>
          <w:spacing w:val="-4"/>
          <w:sz w:val="21"/>
          <w:szCs w:val="21"/>
        </w:rPr>
        <w:t>Шевченко</w:t>
      </w:r>
      <w:r w:rsidR="006C680D" w:rsidRPr="00D337FA">
        <w:rPr>
          <w:b/>
          <w:color w:val="auto"/>
          <w:spacing w:val="-4"/>
          <w:sz w:val="21"/>
          <w:szCs w:val="21"/>
        </w:rPr>
        <w:t xml:space="preserve"> </w:t>
      </w:r>
      <w:r w:rsidRPr="00D337FA">
        <w:rPr>
          <w:b/>
          <w:color w:val="auto"/>
          <w:spacing w:val="-4"/>
          <w:sz w:val="21"/>
          <w:szCs w:val="21"/>
        </w:rPr>
        <w:t>С.Ю.</w:t>
      </w:r>
      <w:r w:rsidR="006C680D" w:rsidRPr="00D337FA">
        <w:rPr>
          <w:b/>
          <w:color w:val="auto"/>
          <w:spacing w:val="-4"/>
          <w:sz w:val="21"/>
          <w:szCs w:val="21"/>
        </w:rPr>
        <w:t xml:space="preserve"> </w:t>
      </w:r>
      <w:r w:rsidRPr="00D337FA">
        <w:rPr>
          <w:b/>
          <w:color w:val="auto"/>
          <w:spacing w:val="-4"/>
          <w:sz w:val="21"/>
          <w:szCs w:val="21"/>
        </w:rPr>
        <w:t>–</w:t>
      </w:r>
      <w:r w:rsidR="006C680D" w:rsidRPr="00D337FA">
        <w:rPr>
          <w:b/>
          <w:color w:val="auto"/>
          <w:spacing w:val="-4"/>
          <w:sz w:val="21"/>
          <w:szCs w:val="21"/>
        </w:rPr>
        <w:t xml:space="preserve"> </w:t>
      </w:r>
      <w:r w:rsidRPr="00D337FA">
        <w:rPr>
          <w:color w:val="auto"/>
          <w:spacing w:val="-4"/>
          <w:sz w:val="21"/>
          <w:szCs w:val="21"/>
        </w:rPr>
        <w:t>д.э.н.,</w:t>
      </w:r>
      <w:r w:rsidR="006C680D" w:rsidRPr="00D337FA">
        <w:rPr>
          <w:color w:val="auto"/>
          <w:spacing w:val="-4"/>
          <w:sz w:val="21"/>
          <w:szCs w:val="21"/>
        </w:rPr>
        <w:t xml:space="preserve"> </w:t>
      </w:r>
      <w:r w:rsidRPr="00D337FA">
        <w:rPr>
          <w:color w:val="auto"/>
          <w:spacing w:val="-4"/>
          <w:sz w:val="21"/>
          <w:szCs w:val="21"/>
        </w:rPr>
        <w:t>профессор</w:t>
      </w:r>
      <w:r w:rsidR="006C680D" w:rsidRPr="00D337FA">
        <w:rPr>
          <w:color w:val="auto"/>
          <w:spacing w:val="-4"/>
          <w:sz w:val="21"/>
          <w:szCs w:val="21"/>
        </w:rPr>
        <w:t xml:space="preserve"> </w:t>
      </w:r>
      <w:r w:rsidRPr="00D337FA">
        <w:rPr>
          <w:color w:val="auto"/>
          <w:spacing w:val="-4"/>
          <w:sz w:val="21"/>
          <w:szCs w:val="21"/>
        </w:rPr>
        <w:t>кафедры</w:t>
      </w:r>
      <w:r w:rsidR="006C680D" w:rsidRPr="00D337FA">
        <w:rPr>
          <w:color w:val="auto"/>
          <w:spacing w:val="-4"/>
          <w:sz w:val="21"/>
          <w:szCs w:val="21"/>
        </w:rPr>
        <w:t xml:space="preserve"> </w:t>
      </w:r>
      <w:r w:rsidRPr="00D337FA">
        <w:rPr>
          <w:color w:val="auto"/>
          <w:spacing w:val="-4"/>
          <w:sz w:val="21"/>
          <w:szCs w:val="21"/>
        </w:rPr>
        <w:t>экономики</w:t>
      </w:r>
      <w:r w:rsidR="006C680D" w:rsidRPr="00D337FA">
        <w:rPr>
          <w:color w:val="auto"/>
          <w:spacing w:val="-4"/>
          <w:sz w:val="21"/>
          <w:szCs w:val="21"/>
        </w:rPr>
        <w:t xml:space="preserve"> </w:t>
      </w:r>
      <w:r w:rsidRPr="00D337FA">
        <w:rPr>
          <w:color w:val="auto"/>
          <w:spacing w:val="-4"/>
          <w:sz w:val="21"/>
          <w:szCs w:val="21"/>
        </w:rPr>
        <w:t>и</w:t>
      </w:r>
      <w:r w:rsidR="006C680D" w:rsidRPr="00D337FA">
        <w:rPr>
          <w:color w:val="auto"/>
          <w:spacing w:val="-4"/>
          <w:sz w:val="21"/>
          <w:szCs w:val="21"/>
        </w:rPr>
        <w:t xml:space="preserve"> </w:t>
      </w:r>
      <w:r w:rsidRPr="00D337FA">
        <w:rPr>
          <w:color w:val="auto"/>
          <w:spacing w:val="-4"/>
          <w:sz w:val="21"/>
          <w:szCs w:val="21"/>
        </w:rPr>
        <w:t>управления</w:t>
      </w:r>
      <w:r w:rsidR="006C680D" w:rsidRPr="00D337FA">
        <w:rPr>
          <w:color w:val="auto"/>
          <w:spacing w:val="-4"/>
          <w:sz w:val="21"/>
          <w:szCs w:val="21"/>
        </w:rPr>
        <w:t xml:space="preserve"> </w:t>
      </w:r>
      <w:r w:rsidRPr="00D337FA">
        <w:rPr>
          <w:color w:val="auto"/>
          <w:spacing w:val="-4"/>
          <w:sz w:val="21"/>
          <w:szCs w:val="21"/>
        </w:rPr>
        <w:t>предприятиями</w:t>
      </w:r>
      <w:r w:rsidR="006C680D" w:rsidRPr="00D337FA">
        <w:rPr>
          <w:color w:val="auto"/>
          <w:spacing w:val="-4"/>
          <w:sz w:val="21"/>
          <w:szCs w:val="21"/>
        </w:rPr>
        <w:t xml:space="preserve"> </w:t>
      </w:r>
      <w:r w:rsidRPr="00D337FA">
        <w:rPr>
          <w:color w:val="auto"/>
          <w:spacing w:val="-4"/>
          <w:sz w:val="21"/>
          <w:szCs w:val="21"/>
        </w:rPr>
        <w:t>и</w:t>
      </w:r>
      <w:r w:rsidR="006C680D" w:rsidRPr="00D337FA">
        <w:rPr>
          <w:color w:val="auto"/>
          <w:spacing w:val="-4"/>
          <w:sz w:val="21"/>
          <w:szCs w:val="21"/>
        </w:rPr>
        <w:t xml:space="preserve"> </w:t>
      </w:r>
      <w:r w:rsidRPr="00D337FA">
        <w:rPr>
          <w:color w:val="auto"/>
          <w:spacing w:val="-4"/>
          <w:sz w:val="21"/>
          <w:szCs w:val="21"/>
        </w:rPr>
        <w:t>производственными</w:t>
      </w:r>
      <w:r w:rsidR="006C680D" w:rsidRPr="00D337FA">
        <w:rPr>
          <w:color w:val="auto"/>
          <w:spacing w:val="-4"/>
          <w:sz w:val="21"/>
          <w:szCs w:val="21"/>
        </w:rPr>
        <w:t xml:space="preserve"> </w:t>
      </w:r>
      <w:r w:rsidRPr="00D337FA">
        <w:rPr>
          <w:color w:val="auto"/>
          <w:sz w:val="21"/>
          <w:szCs w:val="21"/>
        </w:rPr>
        <w:t>комплексами</w:t>
      </w:r>
      <w:r w:rsidR="006C680D" w:rsidRPr="00D337FA">
        <w:rPr>
          <w:color w:val="auto"/>
          <w:sz w:val="21"/>
          <w:szCs w:val="21"/>
        </w:rPr>
        <w:t xml:space="preserve"> </w:t>
      </w:r>
      <w:r w:rsidRPr="00D337FA">
        <w:rPr>
          <w:color w:val="auto"/>
          <w:sz w:val="21"/>
          <w:szCs w:val="21"/>
        </w:rPr>
        <w:t>Санкт-Петербургского</w:t>
      </w:r>
      <w:r w:rsidR="006C680D" w:rsidRPr="00D337FA">
        <w:rPr>
          <w:color w:val="auto"/>
          <w:sz w:val="21"/>
          <w:szCs w:val="21"/>
        </w:rPr>
        <w:t xml:space="preserve"> </w:t>
      </w:r>
      <w:r w:rsidRPr="00D337FA">
        <w:rPr>
          <w:color w:val="auto"/>
          <w:sz w:val="21"/>
          <w:szCs w:val="21"/>
        </w:rPr>
        <w:t>государственного</w:t>
      </w:r>
      <w:r w:rsidR="006C680D" w:rsidRPr="00D337FA">
        <w:rPr>
          <w:color w:val="auto"/>
          <w:sz w:val="21"/>
          <w:szCs w:val="21"/>
        </w:rPr>
        <w:t xml:space="preserve"> </w:t>
      </w:r>
      <w:r w:rsidRPr="00D337FA">
        <w:rPr>
          <w:color w:val="auto"/>
          <w:sz w:val="21"/>
          <w:szCs w:val="21"/>
        </w:rPr>
        <w:t>экономического</w:t>
      </w:r>
      <w:r w:rsidR="006C680D" w:rsidRPr="00D337FA">
        <w:rPr>
          <w:color w:val="auto"/>
          <w:sz w:val="21"/>
          <w:szCs w:val="21"/>
        </w:rPr>
        <w:t xml:space="preserve"> </w:t>
      </w:r>
      <w:r w:rsidRPr="00D337FA">
        <w:rPr>
          <w:color w:val="auto"/>
          <w:sz w:val="21"/>
          <w:szCs w:val="21"/>
        </w:rPr>
        <w:t>университета</w:t>
      </w:r>
    </w:p>
    <w:p w:rsidR="00707D4F" w:rsidRPr="00D337FA" w:rsidRDefault="00707D4F" w:rsidP="00707D4F">
      <w:pPr>
        <w:pStyle w:val="aff3"/>
        <w:rPr>
          <w:color w:val="auto"/>
          <w:sz w:val="21"/>
          <w:szCs w:val="21"/>
        </w:rPr>
      </w:pPr>
      <w:r w:rsidRPr="00D337FA">
        <w:rPr>
          <w:b/>
          <w:color w:val="auto"/>
          <w:sz w:val="21"/>
          <w:szCs w:val="21"/>
        </w:rPr>
        <w:t>Якунина</w:t>
      </w:r>
      <w:r w:rsidR="006C680D" w:rsidRPr="00D337FA">
        <w:rPr>
          <w:b/>
          <w:color w:val="auto"/>
          <w:sz w:val="21"/>
          <w:szCs w:val="21"/>
        </w:rPr>
        <w:t xml:space="preserve"> </w:t>
      </w:r>
      <w:r w:rsidRPr="00D337FA">
        <w:rPr>
          <w:b/>
          <w:color w:val="auto"/>
          <w:sz w:val="21"/>
          <w:szCs w:val="21"/>
        </w:rPr>
        <w:t>А.В.</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«Финансы</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банковское</w:t>
      </w:r>
      <w:r w:rsidR="006C680D" w:rsidRPr="00D337FA">
        <w:rPr>
          <w:color w:val="auto"/>
          <w:sz w:val="21"/>
          <w:szCs w:val="21"/>
        </w:rPr>
        <w:t xml:space="preserve"> </w:t>
      </w:r>
      <w:r w:rsidRPr="00D337FA">
        <w:rPr>
          <w:color w:val="auto"/>
          <w:sz w:val="21"/>
          <w:szCs w:val="21"/>
        </w:rPr>
        <w:t>дело»</w:t>
      </w:r>
      <w:r w:rsidR="006C680D" w:rsidRPr="00D337FA">
        <w:rPr>
          <w:color w:val="auto"/>
          <w:sz w:val="21"/>
          <w:szCs w:val="21"/>
        </w:rPr>
        <w:t xml:space="preserve"> </w:t>
      </w:r>
      <w:r w:rsidRPr="00D337FA">
        <w:rPr>
          <w:color w:val="auto"/>
          <w:sz w:val="21"/>
          <w:szCs w:val="21"/>
        </w:rPr>
        <w:t>СГТУ</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Pr="00D337FA">
        <w:rPr>
          <w:color w:val="auto"/>
          <w:sz w:val="21"/>
          <w:szCs w:val="21"/>
        </w:rPr>
        <w:t>Гагарина</w:t>
      </w:r>
      <w:r w:rsidR="006C680D" w:rsidRPr="00D337FA">
        <w:rPr>
          <w:color w:val="auto"/>
          <w:sz w:val="21"/>
          <w:szCs w:val="21"/>
        </w:rPr>
        <w:t xml:space="preserve"> </w:t>
      </w:r>
      <w:r w:rsidRPr="00D337FA">
        <w:rPr>
          <w:color w:val="auto"/>
          <w:sz w:val="21"/>
          <w:szCs w:val="21"/>
        </w:rPr>
        <w:t>Ю.А.</w:t>
      </w:r>
    </w:p>
    <w:p w:rsidR="00707D4F" w:rsidRPr="00D337FA" w:rsidRDefault="00707D4F" w:rsidP="00707D4F">
      <w:pPr>
        <w:pStyle w:val="aff3"/>
        <w:rPr>
          <w:b/>
          <w:color w:val="auto"/>
          <w:sz w:val="21"/>
          <w:szCs w:val="21"/>
        </w:rPr>
      </w:pPr>
      <w:r w:rsidRPr="00D337FA">
        <w:rPr>
          <w:b/>
          <w:color w:val="auto"/>
          <w:sz w:val="21"/>
          <w:szCs w:val="21"/>
        </w:rPr>
        <w:t>Янченко</w:t>
      </w:r>
      <w:r w:rsidR="006C680D" w:rsidRPr="00D337FA">
        <w:rPr>
          <w:b/>
          <w:color w:val="auto"/>
          <w:sz w:val="21"/>
          <w:szCs w:val="21"/>
        </w:rPr>
        <w:t xml:space="preserve"> </w:t>
      </w:r>
      <w:r w:rsidRPr="00D337FA">
        <w:rPr>
          <w:b/>
          <w:color w:val="auto"/>
          <w:sz w:val="21"/>
          <w:szCs w:val="21"/>
        </w:rPr>
        <w:t>Е.В.</w:t>
      </w:r>
      <w:r w:rsidR="006C680D" w:rsidRPr="00D337FA">
        <w:rPr>
          <w:b/>
          <w:color w:val="auto"/>
          <w:sz w:val="21"/>
          <w:szCs w:val="21"/>
        </w:rPr>
        <w:t xml:space="preserve"> </w:t>
      </w:r>
      <w:r w:rsidRPr="00D337FA">
        <w:rPr>
          <w:b/>
          <w:color w:val="auto"/>
          <w:sz w:val="21"/>
          <w:szCs w:val="21"/>
        </w:rPr>
        <w:t>–</w:t>
      </w:r>
      <w:r w:rsidR="006C680D" w:rsidRPr="00D337FA">
        <w:rPr>
          <w:b/>
          <w:color w:val="auto"/>
          <w:sz w:val="21"/>
          <w:szCs w:val="21"/>
        </w:rPr>
        <w:t xml:space="preserve"> </w:t>
      </w:r>
      <w:r w:rsidRPr="00D337FA">
        <w:rPr>
          <w:color w:val="auto"/>
          <w:sz w:val="21"/>
          <w:szCs w:val="21"/>
        </w:rPr>
        <w:t>д.э.н.,</w:t>
      </w:r>
      <w:r w:rsidR="006C680D" w:rsidRPr="00D337FA">
        <w:rPr>
          <w:color w:val="auto"/>
          <w:sz w:val="21"/>
          <w:szCs w:val="21"/>
        </w:rPr>
        <w:t xml:space="preserve"> </w:t>
      </w:r>
      <w:r w:rsidRPr="00D337FA">
        <w:rPr>
          <w:color w:val="auto"/>
          <w:sz w:val="21"/>
          <w:szCs w:val="21"/>
        </w:rPr>
        <w:t>профессор</w:t>
      </w:r>
      <w:r w:rsidR="006C680D" w:rsidRPr="00D337FA">
        <w:rPr>
          <w:color w:val="auto"/>
          <w:sz w:val="21"/>
          <w:szCs w:val="21"/>
        </w:rPr>
        <w:t xml:space="preserve"> </w:t>
      </w:r>
      <w:r w:rsidRPr="00D337FA">
        <w:rPr>
          <w:color w:val="auto"/>
          <w:sz w:val="21"/>
          <w:szCs w:val="21"/>
        </w:rPr>
        <w:t>кафедры</w:t>
      </w:r>
      <w:r w:rsidR="006C680D" w:rsidRPr="00D337FA">
        <w:rPr>
          <w:color w:val="auto"/>
          <w:sz w:val="21"/>
          <w:szCs w:val="21"/>
        </w:rPr>
        <w:t xml:space="preserve"> </w:t>
      </w:r>
      <w:r w:rsidRPr="00D337FA">
        <w:rPr>
          <w:color w:val="auto"/>
          <w:sz w:val="21"/>
          <w:szCs w:val="21"/>
        </w:rPr>
        <w:t>«Экономика</w:t>
      </w:r>
      <w:r w:rsidR="006C680D" w:rsidRPr="00D337FA">
        <w:rPr>
          <w:color w:val="auto"/>
          <w:sz w:val="21"/>
          <w:szCs w:val="21"/>
        </w:rPr>
        <w:t xml:space="preserve"> </w:t>
      </w:r>
      <w:r w:rsidRPr="00D337FA">
        <w:rPr>
          <w:color w:val="auto"/>
          <w:sz w:val="21"/>
          <w:szCs w:val="21"/>
        </w:rPr>
        <w:t>и</w:t>
      </w:r>
      <w:r w:rsidR="006C680D" w:rsidRPr="00D337FA">
        <w:rPr>
          <w:color w:val="auto"/>
          <w:sz w:val="21"/>
          <w:szCs w:val="21"/>
        </w:rPr>
        <w:t xml:space="preserve"> </w:t>
      </w:r>
      <w:r w:rsidRPr="00D337FA">
        <w:rPr>
          <w:color w:val="auto"/>
          <w:sz w:val="21"/>
          <w:szCs w:val="21"/>
        </w:rPr>
        <w:t>ма</w:t>
      </w:r>
      <w:r w:rsidR="00082749" w:rsidRPr="00D337FA">
        <w:rPr>
          <w:color w:val="auto"/>
          <w:sz w:val="21"/>
          <w:szCs w:val="21"/>
        </w:rPr>
        <w:t>ркетинг»</w:t>
      </w:r>
      <w:r w:rsidR="006C680D" w:rsidRPr="00D337FA">
        <w:rPr>
          <w:color w:val="auto"/>
          <w:sz w:val="21"/>
          <w:szCs w:val="21"/>
        </w:rPr>
        <w:t xml:space="preserve"> </w:t>
      </w:r>
      <w:r w:rsidR="00082749" w:rsidRPr="00D337FA">
        <w:rPr>
          <w:color w:val="auto"/>
          <w:sz w:val="21"/>
          <w:szCs w:val="21"/>
        </w:rPr>
        <w:t>СГТУ</w:t>
      </w:r>
      <w:r w:rsidR="006C680D" w:rsidRPr="00D337FA">
        <w:rPr>
          <w:color w:val="auto"/>
          <w:sz w:val="21"/>
          <w:szCs w:val="21"/>
        </w:rPr>
        <w:t xml:space="preserve"> </w:t>
      </w:r>
      <w:r w:rsidR="00082749" w:rsidRPr="00D337FA">
        <w:rPr>
          <w:color w:val="auto"/>
          <w:sz w:val="21"/>
          <w:szCs w:val="21"/>
        </w:rPr>
        <w:t>имени</w:t>
      </w:r>
      <w:r w:rsidR="006C680D" w:rsidRPr="00D337FA">
        <w:rPr>
          <w:color w:val="auto"/>
          <w:sz w:val="21"/>
          <w:szCs w:val="21"/>
        </w:rPr>
        <w:t xml:space="preserve"> </w:t>
      </w:r>
      <w:r w:rsidR="00082749" w:rsidRPr="00D337FA">
        <w:rPr>
          <w:color w:val="auto"/>
          <w:sz w:val="21"/>
          <w:szCs w:val="21"/>
        </w:rPr>
        <w:t>Гагарина</w:t>
      </w:r>
      <w:r w:rsidR="006C680D" w:rsidRPr="00D337FA">
        <w:rPr>
          <w:color w:val="auto"/>
          <w:sz w:val="21"/>
          <w:szCs w:val="21"/>
        </w:rPr>
        <w:t xml:space="preserve"> </w:t>
      </w:r>
      <w:r w:rsidR="00082749" w:rsidRPr="00D337FA">
        <w:rPr>
          <w:color w:val="auto"/>
          <w:sz w:val="21"/>
          <w:szCs w:val="21"/>
        </w:rPr>
        <w:t>Ю.</w:t>
      </w:r>
      <w:r w:rsidRPr="00D337FA">
        <w:rPr>
          <w:color w:val="auto"/>
          <w:sz w:val="21"/>
          <w:szCs w:val="21"/>
        </w:rPr>
        <w:t>А.</w:t>
      </w:r>
    </w:p>
    <w:p w:rsidR="00707D4F" w:rsidRPr="00D337FA" w:rsidRDefault="00707D4F" w:rsidP="00707D4F">
      <w:pPr>
        <w:pStyle w:val="aff3"/>
        <w:rPr>
          <w:color w:val="auto"/>
          <w:sz w:val="21"/>
          <w:szCs w:val="21"/>
        </w:rPr>
      </w:pPr>
      <w:r w:rsidRPr="00D337FA">
        <w:rPr>
          <w:b/>
          <w:color w:val="auto"/>
          <w:sz w:val="21"/>
          <w:szCs w:val="21"/>
        </w:rPr>
        <w:t>Славнецкова</w:t>
      </w:r>
      <w:r w:rsidR="006C680D" w:rsidRPr="00D337FA">
        <w:rPr>
          <w:b/>
          <w:color w:val="auto"/>
          <w:sz w:val="21"/>
          <w:szCs w:val="21"/>
        </w:rPr>
        <w:t xml:space="preserve"> </w:t>
      </w:r>
      <w:r w:rsidRPr="00D337FA">
        <w:rPr>
          <w:b/>
          <w:color w:val="auto"/>
          <w:sz w:val="21"/>
          <w:szCs w:val="21"/>
        </w:rPr>
        <w:t>Л.В.</w:t>
      </w:r>
      <w:r w:rsidR="006C680D" w:rsidRPr="00D337FA">
        <w:rPr>
          <w:b/>
          <w:color w:val="auto"/>
          <w:sz w:val="21"/>
          <w:szCs w:val="21"/>
        </w:rPr>
        <w:t xml:space="preserve"> </w:t>
      </w:r>
      <w:r w:rsidRPr="00D337FA">
        <w:rPr>
          <w:color w:val="auto"/>
          <w:sz w:val="21"/>
          <w:szCs w:val="21"/>
        </w:rPr>
        <w:t>–</w:t>
      </w:r>
      <w:r w:rsidR="006C680D" w:rsidRPr="00D337FA">
        <w:rPr>
          <w:color w:val="auto"/>
          <w:sz w:val="21"/>
          <w:szCs w:val="21"/>
        </w:rPr>
        <w:t xml:space="preserve"> </w:t>
      </w:r>
      <w:r w:rsidRPr="00D337FA">
        <w:rPr>
          <w:color w:val="auto"/>
          <w:sz w:val="21"/>
          <w:szCs w:val="21"/>
        </w:rPr>
        <w:t>к.э.н.,</w:t>
      </w:r>
      <w:r w:rsidR="006C680D" w:rsidRPr="00D337FA">
        <w:rPr>
          <w:color w:val="auto"/>
          <w:sz w:val="21"/>
          <w:szCs w:val="21"/>
        </w:rPr>
        <w:t xml:space="preserve"> </w:t>
      </w:r>
      <w:r w:rsidRPr="00D337FA">
        <w:rPr>
          <w:color w:val="auto"/>
          <w:sz w:val="21"/>
          <w:szCs w:val="21"/>
        </w:rPr>
        <w:t>заведующий</w:t>
      </w:r>
      <w:r w:rsidR="006C680D" w:rsidRPr="00D337FA">
        <w:rPr>
          <w:color w:val="auto"/>
          <w:sz w:val="21"/>
          <w:szCs w:val="21"/>
        </w:rPr>
        <w:t xml:space="preserve"> </w:t>
      </w:r>
      <w:r w:rsidRPr="00D337FA">
        <w:rPr>
          <w:color w:val="auto"/>
          <w:sz w:val="21"/>
          <w:szCs w:val="21"/>
        </w:rPr>
        <w:t>кафедрой</w:t>
      </w:r>
      <w:r w:rsidR="006C680D" w:rsidRPr="00D337FA">
        <w:rPr>
          <w:color w:val="auto"/>
          <w:sz w:val="21"/>
          <w:szCs w:val="21"/>
        </w:rPr>
        <w:t xml:space="preserve"> </w:t>
      </w:r>
      <w:r w:rsidRPr="00D337FA">
        <w:rPr>
          <w:color w:val="auto"/>
          <w:sz w:val="21"/>
          <w:szCs w:val="21"/>
        </w:rPr>
        <w:t>«Производственный</w:t>
      </w:r>
      <w:r w:rsidR="006C680D" w:rsidRPr="00D337FA">
        <w:rPr>
          <w:color w:val="auto"/>
          <w:sz w:val="21"/>
          <w:szCs w:val="21"/>
        </w:rPr>
        <w:t xml:space="preserve"> </w:t>
      </w:r>
      <w:r w:rsidRPr="00D337FA">
        <w:rPr>
          <w:color w:val="auto"/>
          <w:sz w:val="21"/>
          <w:szCs w:val="21"/>
        </w:rPr>
        <w:t>менеджмент»</w:t>
      </w:r>
      <w:r w:rsidR="006C680D" w:rsidRPr="00D337FA">
        <w:rPr>
          <w:color w:val="auto"/>
          <w:sz w:val="21"/>
          <w:szCs w:val="21"/>
        </w:rPr>
        <w:t xml:space="preserve"> </w:t>
      </w:r>
      <w:r w:rsidRPr="00D337FA">
        <w:rPr>
          <w:color w:val="auto"/>
          <w:sz w:val="21"/>
          <w:szCs w:val="21"/>
        </w:rPr>
        <w:t>СГТУ</w:t>
      </w:r>
      <w:r w:rsidR="006C680D" w:rsidRPr="00D337FA">
        <w:rPr>
          <w:color w:val="auto"/>
          <w:sz w:val="21"/>
          <w:szCs w:val="21"/>
        </w:rPr>
        <w:t xml:space="preserve"> </w:t>
      </w:r>
      <w:r w:rsidRPr="00D337FA">
        <w:rPr>
          <w:color w:val="auto"/>
          <w:sz w:val="21"/>
          <w:szCs w:val="21"/>
        </w:rPr>
        <w:t>имени</w:t>
      </w:r>
      <w:r w:rsidR="006C680D" w:rsidRPr="00D337FA">
        <w:rPr>
          <w:color w:val="auto"/>
          <w:sz w:val="21"/>
          <w:szCs w:val="21"/>
        </w:rPr>
        <w:t xml:space="preserve"> </w:t>
      </w:r>
      <w:r w:rsidR="002C4EDB" w:rsidRPr="00D337FA">
        <w:rPr>
          <w:color w:val="auto"/>
          <w:sz w:val="21"/>
          <w:szCs w:val="21"/>
        </w:rPr>
        <w:br/>
      </w:r>
      <w:r w:rsidRPr="00D337FA">
        <w:rPr>
          <w:color w:val="auto"/>
          <w:sz w:val="21"/>
          <w:szCs w:val="21"/>
        </w:rPr>
        <w:t>Гагарина</w:t>
      </w:r>
      <w:r w:rsidR="006C680D" w:rsidRPr="00D337FA">
        <w:rPr>
          <w:color w:val="auto"/>
          <w:sz w:val="21"/>
          <w:szCs w:val="21"/>
        </w:rPr>
        <w:t xml:space="preserve"> </w:t>
      </w:r>
      <w:r w:rsidRPr="00D337FA">
        <w:rPr>
          <w:color w:val="auto"/>
          <w:sz w:val="21"/>
          <w:szCs w:val="21"/>
        </w:rPr>
        <w:t>Ю.А.</w:t>
      </w:r>
    </w:p>
    <w:tbl>
      <w:tblPr>
        <w:tblW w:w="9639" w:type="dxa"/>
        <w:tblLayout w:type="fixed"/>
        <w:tblCellMar>
          <w:left w:w="0" w:type="dxa"/>
          <w:right w:w="0" w:type="dxa"/>
        </w:tblCellMar>
        <w:tblLook w:val="04A0" w:firstRow="1" w:lastRow="0" w:firstColumn="1" w:lastColumn="0" w:noHBand="0" w:noVBand="1"/>
      </w:tblPr>
      <w:tblGrid>
        <w:gridCol w:w="4536"/>
        <w:gridCol w:w="567"/>
        <w:gridCol w:w="4536"/>
      </w:tblGrid>
      <w:tr w:rsidR="00D337FA" w:rsidRPr="00300205" w:rsidTr="00643F01">
        <w:trPr>
          <w:trHeight w:val="729"/>
        </w:trPr>
        <w:tc>
          <w:tcPr>
            <w:tcW w:w="4536" w:type="dxa"/>
          </w:tcPr>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Arial CYR" w:hAnsi="Arial CYR" w:cs="Arial CYR"/>
                <w:b/>
                <w:bCs/>
                <w:i/>
                <w:iCs/>
                <w:sz w:val="20"/>
                <w:szCs w:val="20"/>
                <w:lang w:val="en-US" w:eastAsia="ru-RU"/>
              </w:rPr>
            </w:pPr>
            <w:r w:rsidRPr="00D337FA">
              <w:rPr>
                <w:rFonts w:ascii="Arial CYR" w:hAnsi="Arial CYR" w:cs="Arial CYR"/>
                <w:b/>
                <w:bCs/>
                <w:i/>
                <w:iCs/>
                <w:sz w:val="20"/>
                <w:szCs w:val="20"/>
                <w:lang w:val="en-US" w:eastAsia="ru-RU"/>
              </w:rPr>
              <w:lastRenderedPageBreak/>
              <w:t>Innovation</w:t>
            </w:r>
            <w:r w:rsidR="006C680D" w:rsidRPr="00D337FA">
              <w:rPr>
                <w:rFonts w:ascii="Arial CYR" w:hAnsi="Arial CYR" w:cs="Arial CYR"/>
                <w:b/>
                <w:bCs/>
                <w:i/>
                <w:iCs/>
                <w:sz w:val="20"/>
                <w:szCs w:val="20"/>
                <w:lang w:val="en-US" w:eastAsia="ru-RU"/>
              </w:rPr>
              <w:t xml:space="preserve"> </w:t>
            </w:r>
            <w:r w:rsidRPr="00D337FA">
              <w:rPr>
                <w:rFonts w:ascii="Arial CYR" w:hAnsi="Arial CYR" w:cs="Arial CYR"/>
                <w:b/>
                <w:bCs/>
                <w:i/>
                <w:iCs/>
                <w:sz w:val="20"/>
                <w:szCs w:val="20"/>
                <w:lang w:val="en-US" w:eastAsia="ru-RU"/>
              </w:rPr>
              <w:t>Activity</w:t>
            </w:r>
            <w:r w:rsidR="006C680D" w:rsidRPr="00D337FA">
              <w:rPr>
                <w:rFonts w:ascii="Arial CYR" w:hAnsi="Arial CYR" w:cs="Arial CYR"/>
                <w:b/>
                <w:bCs/>
                <w:i/>
                <w:iCs/>
                <w:sz w:val="20"/>
                <w:szCs w:val="20"/>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b/>
                <w:bCs/>
                <w:sz w:val="20"/>
                <w:szCs w:val="20"/>
                <w:lang w:val="en-US" w:eastAsia="ru-RU"/>
              </w:rPr>
            </w:pPr>
            <w:r w:rsidRPr="00D337FA">
              <w:rPr>
                <w:rFonts w:ascii="Arial CYR" w:hAnsi="Arial CYR" w:cs="Arial CYR"/>
                <w:b/>
                <w:bCs/>
                <w:i/>
                <w:iCs/>
                <w:sz w:val="20"/>
                <w:szCs w:val="20"/>
                <w:lang w:val="en-US" w:eastAsia="ru-RU"/>
              </w:rPr>
              <w:t>202</w:t>
            </w:r>
            <w:r w:rsidR="005375C4" w:rsidRPr="00D337FA">
              <w:rPr>
                <w:rFonts w:ascii="Arial CYR" w:hAnsi="Arial CYR" w:cs="Arial CYR"/>
                <w:b/>
                <w:bCs/>
                <w:i/>
                <w:iCs/>
                <w:sz w:val="20"/>
                <w:szCs w:val="20"/>
                <w:lang w:val="en-US" w:eastAsia="ru-RU"/>
              </w:rPr>
              <w:t>6</w:t>
            </w:r>
            <w:r w:rsidRPr="00D337FA">
              <w:rPr>
                <w:rFonts w:ascii="Arial CYR" w:hAnsi="Arial CYR" w:cs="Arial CYR"/>
                <w:b/>
                <w:bCs/>
                <w:i/>
                <w:iCs/>
                <w:sz w:val="20"/>
                <w:szCs w:val="20"/>
                <w:lang w:val="en-US" w:eastAsia="ru-RU"/>
              </w:rPr>
              <w:t>.</w:t>
            </w:r>
            <w:r w:rsidR="006C680D" w:rsidRPr="00D337FA">
              <w:rPr>
                <w:rFonts w:ascii="Arial CYR" w:hAnsi="Arial CYR" w:cs="Arial CYR"/>
                <w:b/>
                <w:bCs/>
                <w:i/>
                <w:iCs/>
                <w:sz w:val="20"/>
                <w:szCs w:val="20"/>
                <w:lang w:val="en-US" w:eastAsia="ru-RU"/>
              </w:rPr>
              <w:t xml:space="preserve"> </w:t>
            </w:r>
            <w:r w:rsidRPr="00D337FA">
              <w:rPr>
                <w:rFonts w:ascii="Arial CYR" w:hAnsi="Arial CYR" w:cs="Arial CYR"/>
                <w:b/>
                <w:bCs/>
                <w:i/>
                <w:iCs/>
                <w:sz w:val="20"/>
                <w:szCs w:val="20"/>
                <w:lang w:val="en-US" w:eastAsia="ru-RU"/>
              </w:rPr>
              <w:t>№</w:t>
            </w:r>
            <w:r w:rsidR="006C680D" w:rsidRPr="00D337FA">
              <w:rPr>
                <w:rFonts w:ascii="Arial CYR" w:hAnsi="Arial CYR" w:cs="Arial CYR"/>
                <w:b/>
                <w:bCs/>
                <w:i/>
                <w:iCs/>
                <w:sz w:val="20"/>
                <w:szCs w:val="20"/>
                <w:lang w:val="en-US" w:eastAsia="ru-RU"/>
              </w:rPr>
              <w:t xml:space="preserve"> </w:t>
            </w:r>
            <w:r w:rsidR="005375C4" w:rsidRPr="00D337FA">
              <w:rPr>
                <w:rFonts w:ascii="Arial CYR" w:hAnsi="Arial CYR" w:cs="Arial CYR"/>
                <w:b/>
                <w:bCs/>
                <w:i/>
                <w:iCs/>
                <w:sz w:val="20"/>
                <w:szCs w:val="20"/>
                <w:lang w:val="en-US" w:eastAsia="ru-RU"/>
              </w:rPr>
              <w:t>1</w:t>
            </w:r>
            <w:r w:rsidR="006C680D" w:rsidRPr="00D337FA">
              <w:rPr>
                <w:rFonts w:ascii="Arial CYR" w:hAnsi="Arial CYR" w:cs="Arial CYR"/>
                <w:b/>
                <w:bCs/>
                <w:i/>
                <w:iCs/>
                <w:sz w:val="20"/>
                <w:szCs w:val="20"/>
                <w:lang w:val="en-US" w:eastAsia="ru-RU"/>
              </w:rPr>
              <w:t xml:space="preserve"> </w:t>
            </w:r>
            <w:r w:rsidR="00270FB2" w:rsidRPr="00D337FA">
              <w:rPr>
                <w:rFonts w:ascii="Arial CYR" w:hAnsi="Arial CYR" w:cs="Arial CYR"/>
                <w:b/>
                <w:bCs/>
                <w:i/>
                <w:iCs/>
                <w:sz w:val="20"/>
                <w:szCs w:val="20"/>
                <w:lang w:val="en-US" w:eastAsia="ru-RU"/>
              </w:rPr>
              <w:t>(7</w:t>
            </w:r>
            <w:r w:rsidR="005375C4" w:rsidRPr="00D337FA">
              <w:rPr>
                <w:rFonts w:ascii="Arial CYR" w:hAnsi="Arial CYR" w:cs="Arial CYR"/>
                <w:b/>
                <w:bCs/>
                <w:i/>
                <w:iCs/>
                <w:sz w:val="20"/>
                <w:szCs w:val="20"/>
                <w:lang w:val="en-US" w:eastAsia="ru-RU"/>
              </w:rPr>
              <w:t>6</w:t>
            </w:r>
            <w:r w:rsidRPr="00D337FA">
              <w:rPr>
                <w:rFonts w:ascii="Arial CYR" w:hAnsi="Arial CYR" w:cs="Arial CYR"/>
                <w:b/>
                <w:bCs/>
                <w:i/>
                <w:iCs/>
                <w:sz w:val="20"/>
                <w:szCs w:val="20"/>
                <w:lang w:val="en-US" w:eastAsia="ru-RU"/>
              </w:rPr>
              <w:t>).</w:t>
            </w:r>
            <w:r w:rsidR="006C680D" w:rsidRPr="00D337FA">
              <w:rPr>
                <w:rFonts w:ascii="Arial CYR" w:hAnsi="Arial CYR" w:cs="Arial CYR"/>
                <w:b/>
                <w:bCs/>
                <w:i/>
                <w:iCs/>
                <w:sz w:val="20"/>
                <w:szCs w:val="20"/>
                <w:lang w:val="en-US" w:eastAsia="ru-RU"/>
              </w:rPr>
              <w:t xml:space="preserve"> </w:t>
            </w:r>
          </w:p>
          <w:p w:rsidR="00707D4F" w:rsidRPr="00D337FA" w:rsidRDefault="00707D4F" w:rsidP="00707D4F">
            <w:pPr>
              <w:autoSpaceDE w:val="0"/>
              <w:autoSpaceDN w:val="0"/>
              <w:adjustRightInd w:val="0"/>
              <w:ind w:firstLine="0"/>
              <w:rPr>
                <w:b/>
                <w:bCs/>
                <w:sz w:val="20"/>
                <w:szCs w:val="20"/>
                <w:lang w:val="en-US" w:eastAsia="ru-RU"/>
              </w:rPr>
            </w:pPr>
            <w:r w:rsidRPr="00D337FA">
              <w:rPr>
                <w:sz w:val="20"/>
                <w:szCs w:val="20"/>
                <w:lang w:val="en-US" w:eastAsia="ru-RU"/>
              </w:rPr>
              <w:t>This</w:t>
            </w:r>
            <w:r w:rsidR="006C680D" w:rsidRPr="00D337FA">
              <w:rPr>
                <w:sz w:val="20"/>
                <w:szCs w:val="20"/>
                <w:lang w:val="en-US" w:eastAsia="ru-RU"/>
              </w:rPr>
              <w:t xml:space="preserve"> </w:t>
            </w:r>
            <w:r w:rsidRPr="00D337FA">
              <w:rPr>
                <w:sz w:val="20"/>
                <w:szCs w:val="20"/>
                <w:lang w:val="en-US" w:eastAsia="ru-RU"/>
              </w:rPr>
              <w:t>research</w:t>
            </w:r>
            <w:r w:rsidR="006C680D" w:rsidRPr="00D337FA">
              <w:rPr>
                <w:sz w:val="20"/>
                <w:szCs w:val="20"/>
                <w:lang w:val="en-US" w:eastAsia="ru-RU"/>
              </w:rPr>
              <w:t xml:space="preserve"> </w:t>
            </w:r>
            <w:r w:rsidRPr="00D337FA">
              <w:rPr>
                <w:sz w:val="20"/>
                <w:szCs w:val="20"/>
                <w:lang w:val="en-US" w:eastAsia="ru-RU"/>
              </w:rPr>
              <w:t>and</w:t>
            </w:r>
            <w:r w:rsidR="006C680D" w:rsidRPr="00D337FA">
              <w:rPr>
                <w:sz w:val="20"/>
                <w:szCs w:val="20"/>
                <w:lang w:val="en-US" w:eastAsia="ru-RU"/>
              </w:rPr>
              <w:t xml:space="preserve"> </w:t>
            </w:r>
            <w:r w:rsidRPr="00D337FA">
              <w:rPr>
                <w:sz w:val="20"/>
                <w:szCs w:val="20"/>
                <w:lang w:val="en-US" w:eastAsia="ru-RU"/>
              </w:rPr>
              <w:t>analysis</w:t>
            </w:r>
            <w:r w:rsidR="006C680D" w:rsidRPr="00D337FA">
              <w:rPr>
                <w:sz w:val="20"/>
                <w:szCs w:val="20"/>
                <w:lang w:val="en-US" w:eastAsia="ru-RU"/>
              </w:rPr>
              <w:t xml:space="preserve"> </w:t>
            </w:r>
            <w:r w:rsidRPr="00D337FA">
              <w:rPr>
                <w:sz w:val="20"/>
                <w:szCs w:val="20"/>
                <w:lang w:val="en-US" w:eastAsia="ru-RU"/>
              </w:rPr>
              <w:t>journal</w:t>
            </w:r>
            <w:r w:rsidR="006C680D" w:rsidRPr="00D337FA">
              <w:rPr>
                <w:sz w:val="20"/>
                <w:szCs w:val="20"/>
                <w:lang w:val="en-US" w:eastAsia="ru-RU"/>
              </w:rPr>
              <w:t xml:space="preserve"> </w:t>
            </w:r>
            <w:r w:rsidRPr="00D337FA">
              <w:rPr>
                <w:sz w:val="20"/>
                <w:szCs w:val="20"/>
                <w:lang w:val="en-US" w:eastAsia="ru-RU"/>
              </w:rPr>
              <w:t>is</w:t>
            </w:r>
            <w:r w:rsidR="006C680D" w:rsidRPr="00D337FA">
              <w:rPr>
                <w:sz w:val="20"/>
                <w:szCs w:val="20"/>
                <w:lang w:val="en-US" w:eastAsia="ru-RU"/>
              </w:rPr>
              <w:t xml:space="preserve"> </w:t>
            </w:r>
            <w:r w:rsidRPr="00D337FA">
              <w:rPr>
                <w:sz w:val="20"/>
                <w:szCs w:val="20"/>
                <w:lang w:val="en-US" w:eastAsia="ru-RU"/>
              </w:rPr>
              <w:t>of</w:t>
            </w:r>
            <w:r w:rsidR="006C680D" w:rsidRPr="00D337FA">
              <w:rPr>
                <w:sz w:val="20"/>
                <w:szCs w:val="20"/>
                <w:lang w:val="en-US" w:eastAsia="ru-RU"/>
              </w:rPr>
              <w:t xml:space="preserve"> </w:t>
            </w:r>
            <w:r w:rsidRPr="00D337FA">
              <w:rPr>
                <w:sz w:val="20"/>
                <w:szCs w:val="20"/>
                <w:lang w:val="en-US" w:eastAsia="ru-RU"/>
              </w:rPr>
              <w:t>interest</w:t>
            </w:r>
            <w:r w:rsidR="006C680D" w:rsidRPr="00D337FA">
              <w:rPr>
                <w:sz w:val="20"/>
                <w:szCs w:val="20"/>
                <w:lang w:val="en-US" w:eastAsia="ru-RU"/>
              </w:rPr>
              <w:t xml:space="preserve"> </w:t>
            </w:r>
            <w:r w:rsidRPr="00D337FA">
              <w:rPr>
                <w:sz w:val="20"/>
                <w:szCs w:val="20"/>
                <w:lang w:val="en-US" w:eastAsia="ru-RU"/>
              </w:rPr>
              <w:t>to</w:t>
            </w:r>
            <w:r w:rsidR="006C680D" w:rsidRPr="00D337FA">
              <w:rPr>
                <w:sz w:val="20"/>
                <w:szCs w:val="20"/>
                <w:lang w:val="en-US" w:eastAsia="ru-RU"/>
              </w:rPr>
              <w:t xml:space="preserve"> </w:t>
            </w:r>
            <w:r w:rsidRPr="00D337FA">
              <w:rPr>
                <w:sz w:val="20"/>
                <w:szCs w:val="20"/>
                <w:lang w:val="en-US" w:eastAsia="ru-RU"/>
              </w:rPr>
              <w:t>scientists,</w:t>
            </w:r>
            <w:r w:rsidR="006C680D" w:rsidRPr="00D337FA">
              <w:rPr>
                <w:sz w:val="20"/>
                <w:szCs w:val="20"/>
                <w:lang w:val="en-US" w:eastAsia="ru-RU"/>
              </w:rPr>
              <w:t xml:space="preserve"> </w:t>
            </w:r>
            <w:r w:rsidRPr="00D337FA">
              <w:rPr>
                <w:sz w:val="20"/>
                <w:szCs w:val="20"/>
                <w:lang w:val="en-US" w:eastAsia="ru-RU"/>
              </w:rPr>
              <w:t>production</w:t>
            </w:r>
            <w:r w:rsidR="006C680D" w:rsidRPr="00D337FA">
              <w:rPr>
                <w:sz w:val="20"/>
                <w:szCs w:val="20"/>
                <w:lang w:val="en-US" w:eastAsia="ru-RU"/>
              </w:rPr>
              <w:t xml:space="preserve"> </w:t>
            </w:r>
            <w:r w:rsidRPr="00D337FA">
              <w:rPr>
                <w:sz w:val="20"/>
                <w:szCs w:val="20"/>
                <w:lang w:val="en-US" w:eastAsia="ru-RU"/>
              </w:rPr>
              <w:t>workers,</w:t>
            </w:r>
            <w:r w:rsidR="006C680D" w:rsidRPr="00D337FA">
              <w:rPr>
                <w:sz w:val="20"/>
                <w:szCs w:val="20"/>
                <w:lang w:val="en-US" w:eastAsia="ru-RU"/>
              </w:rPr>
              <w:t xml:space="preserve"> </w:t>
            </w:r>
            <w:r w:rsidRPr="00D337FA">
              <w:rPr>
                <w:sz w:val="20"/>
                <w:szCs w:val="20"/>
                <w:lang w:val="en-US" w:eastAsia="ru-RU"/>
              </w:rPr>
              <w:t>design</w:t>
            </w:r>
            <w:r w:rsidR="006C680D" w:rsidRPr="00D337FA">
              <w:rPr>
                <w:sz w:val="20"/>
                <w:szCs w:val="20"/>
                <w:lang w:val="en-US" w:eastAsia="ru-RU"/>
              </w:rPr>
              <w:t xml:space="preserve"> </w:t>
            </w:r>
            <w:r w:rsidRPr="00D337FA">
              <w:rPr>
                <w:sz w:val="20"/>
                <w:szCs w:val="20"/>
                <w:lang w:val="en-US" w:eastAsia="ru-RU"/>
              </w:rPr>
              <w:t>engineers,</w:t>
            </w:r>
            <w:r w:rsidR="006C680D" w:rsidRPr="00D337FA">
              <w:rPr>
                <w:sz w:val="20"/>
                <w:szCs w:val="20"/>
                <w:lang w:val="en-US" w:eastAsia="ru-RU"/>
              </w:rPr>
              <w:t xml:space="preserve"> </w:t>
            </w:r>
            <w:r w:rsidRPr="00D337FA">
              <w:rPr>
                <w:sz w:val="20"/>
                <w:szCs w:val="20"/>
                <w:lang w:val="en-US" w:eastAsia="ru-RU"/>
              </w:rPr>
              <w:t>investors,</w:t>
            </w:r>
            <w:r w:rsidR="006C680D" w:rsidRPr="00D337FA">
              <w:rPr>
                <w:sz w:val="20"/>
                <w:szCs w:val="20"/>
                <w:lang w:val="en-US" w:eastAsia="ru-RU"/>
              </w:rPr>
              <w:t xml:space="preserve"> </w:t>
            </w:r>
            <w:r w:rsidRPr="00D337FA">
              <w:rPr>
                <w:sz w:val="20"/>
                <w:szCs w:val="20"/>
                <w:lang w:val="en-US" w:eastAsia="ru-RU"/>
              </w:rPr>
              <w:t>government</w:t>
            </w:r>
            <w:r w:rsidR="006C680D" w:rsidRPr="00D337FA">
              <w:rPr>
                <w:sz w:val="20"/>
                <w:szCs w:val="20"/>
                <w:lang w:val="en-US" w:eastAsia="ru-RU"/>
              </w:rPr>
              <w:t xml:space="preserve"> </w:t>
            </w:r>
            <w:r w:rsidRPr="00D337FA">
              <w:rPr>
                <w:sz w:val="20"/>
                <w:szCs w:val="20"/>
                <w:lang w:val="en-US" w:eastAsia="ru-RU"/>
              </w:rPr>
              <w:t>agencies,</w:t>
            </w:r>
            <w:r w:rsidR="006C680D" w:rsidRPr="00D337FA">
              <w:rPr>
                <w:sz w:val="20"/>
                <w:szCs w:val="20"/>
                <w:lang w:val="en-US" w:eastAsia="ru-RU"/>
              </w:rPr>
              <w:t xml:space="preserve"> </w:t>
            </w:r>
            <w:r w:rsidRPr="00D337FA">
              <w:rPr>
                <w:sz w:val="20"/>
                <w:szCs w:val="20"/>
                <w:lang w:val="en-US" w:eastAsia="ru-RU"/>
              </w:rPr>
              <w:t>those</w:t>
            </w:r>
            <w:r w:rsidR="006C680D" w:rsidRPr="00D337FA">
              <w:rPr>
                <w:sz w:val="20"/>
                <w:szCs w:val="20"/>
                <w:lang w:val="en-US" w:eastAsia="ru-RU"/>
              </w:rPr>
              <w:t xml:space="preserve"> </w:t>
            </w:r>
            <w:r w:rsidRPr="00D337FA">
              <w:rPr>
                <w:sz w:val="20"/>
                <w:szCs w:val="20"/>
                <w:lang w:val="en-US" w:eastAsia="ru-RU"/>
              </w:rPr>
              <w:t>who</w:t>
            </w:r>
            <w:r w:rsidR="006C680D" w:rsidRPr="00D337FA">
              <w:rPr>
                <w:sz w:val="20"/>
                <w:szCs w:val="20"/>
                <w:lang w:val="en-US" w:eastAsia="ru-RU"/>
              </w:rPr>
              <w:t xml:space="preserve"> </w:t>
            </w:r>
            <w:r w:rsidRPr="00D337FA">
              <w:rPr>
                <w:sz w:val="20"/>
                <w:szCs w:val="20"/>
                <w:lang w:val="en-US" w:eastAsia="ru-RU"/>
              </w:rPr>
              <w:t>initiate</w:t>
            </w:r>
            <w:r w:rsidR="006C680D" w:rsidRPr="00D337FA">
              <w:rPr>
                <w:sz w:val="20"/>
                <w:szCs w:val="20"/>
                <w:lang w:val="en-US" w:eastAsia="ru-RU"/>
              </w:rPr>
              <w:t xml:space="preserve"> </w:t>
            </w:r>
            <w:r w:rsidRPr="00D337FA">
              <w:rPr>
                <w:sz w:val="20"/>
                <w:szCs w:val="20"/>
                <w:lang w:val="en-US" w:eastAsia="ru-RU"/>
              </w:rPr>
              <w:t>innovative</w:t>
            </w:r>
            <w:r w:rsidR="006C680D" w:rsidRPr="00D337FA">
              <w:rPr>
                <w:sz w:val="20"/>
                <w:szCs w:val="20"/>
                <w:lang w:val="en-US" w:eastAsia="ru-RU"/>
              </w:rPr>
              <w:t xml:space="preserve"> </w:t>
            </w:r>
            <w:r w:rsidRPr="00D337FA">
              <w:rPr>
                <w:sz w:val="20"/>
                <w:szCs w:val="20"/>
                <w:lang w:val="en-US" w:eastAsia="ru-RU"/>
              </w:rPr>
              <w:t>activities,</w:t>
            </w:r>
            <w:r w:rsidR="006C680D" w:rsidRPr="00D337FA">
              <w:rPr>
                <w:sz w:val="20"/>
                <w:szCs w:val="20"/>
                <w:lang w:val="en-US" w:eastAsia="ru-RU"/>
              </w:rPr>
              <w:t xml:space="preserve"> </w:t>
            </w:r>
            <w:r w:rsidRPr="00D337FA">
              <w:rPr>
                <w:sz w:val="20"/>
                <w:szCs w:val="20"/>
                <w:lang w:val="en-US" w:eastAsia="ru-RU"/>
              </w:rPr>
              <w:t>and</w:t>
            </w:r>
            <w:r w:rsidR="006C680D" w:rsidRPr="00D337FA">
              <w:rPr>
                <w:sz w:val="20"/>
                <w:szCs w:val="20"/>
                <w:lang w:val="en-US" w:eastAsia="ru-RU"/>
              </w:rPr>
              <w:t xml:space="preserve"> </w:t>
            </w:r>
            <w:r w:rsidRPr="00D337FA">
              <w:rPr>
                <w:sz w:val="20"/>
                <w:szCs w:val="20"/>
                <w:lang w:val="en-US" w:eastAsia="ru-RU"/>
              </w:rPr>
              <w:t>our</w:t>
            </w:r>
            <w:r w:rsidR="006C680D" w:rsidRPr="00D337FA">
              <w:rPr>
                <w:sz w:val="20"/>
                <w:szCs w:val="20"/>
                <w:lang w:val="en-US" w:eastAsia="ru-RU"/>
              </w:rPr>
              <w:t xml:space="preserve"> </w:t>
            </w:r>
            <w:r w:rsidRPr="00D337FA">
              <w:rPr>
                <w:sz w:val="20"/>
                <w:szCs w:val="20"/>
                <w:lang w:val="en-US" w:eastAsia="ru-RU"/>
              </w:rPr>
              <w:t>foreign</w:t>
            </w:r>
            <w:r w:rsidR="006C680D" w:rsidRPr="00D337FA">
              <w:rPr>
                <w:sz w:val="20"/>
                <w:szCs w:val="20"/>
                <w:lang w:val="en-US" w:eastAsia="ru-RU"/>
              </w:rPr>
              <w:t xml:space="preserve"> </w:t>
            </w:r>
            <w:r w:rsidRPr="00D337FA">
              <w:rPr>
                <w:sz w:val="20"/>
                <w:szCs w:val="20"/>
                <w:lang w:val="en-US" w:eastAsia="ru-RU"/>
              </w:rPr>
              <w:t>partners.</w:t>
            </w:r>
          </w:p>
          <w:p w:rsidR="00707D4F" w:rsidRPr="00D337FA" w:rsidRDefault="00707D4F" w:rsidP="00707D4F">
            <w:pPr>
              <w:autoSpaceDE w:val="0"/>
              <w:autoSpaceDN w:val="0"/>
              <w:adjustRightInd w:val="0"/>
              <w:ind w:firstLine="0"/>
              <w:rPr>
                <w:sz w:val="20"/>
                <w:szCs w:val="20"/>
                <w:lang w:val="en-US" w:eastAsia="ru-RU"/>
              </w:rPr>
            </w:pPr>
            <w:r w:rsidRPr="00D337FA">
              <w:rPr>
                <w:b/>
                <w:bCs/>
                <w:sz w:val="20"/>
                <w:szCs w:val="20"/>
                <w:lang w:val="en-US" w:eastAsia="ru-RU"/>
              </w:rPr>
              <w:t>Published</w:t>
            </w:r>
            <w:r w:rsidR="006C680D" w:rsidRPr="00D337FA">
              <w:rPr>
                <w:b/>
                <w:bCs/>
                <w:sz w:val="20"/>
                <w:szCs w:val="20"/>
                <w:lang w:val="en-US" w:eastAsia="ru-RU"/>
              </w:rPr>
              <w:t xml:space="preserve"> </w:t>
            </w:r>
            <w:r w:rsidRPr="00D337FA">
              <w:rPr>
                <w:b/>
                <w:bCs/>
                <w:sz w:val="20"/>
                <w:szCs w:val="20"/>
                <w:lang w:val="en-US" w:eastAsia="ru-RU"/>
              </w:rPr>
              <w:t>Quarterly</w:t>
            </w:r>
            <w:r w:rsidR="006C680D" w:rsidRPr="00D337FA">
              <w:rPr>
                <w:b/>
                <w:bCs/>
                <w:sz w:val="20"/>
                <w:szCs w:val="20"/>
                <w:lang w:val="en-US" w:eastAsia="ru-RU"/>
              </w:rPr>
              <w:t xml:space="preserve"> </w:t>
            </w:r>
            <w:r w:rsidRPr="00D337FA">
              <w:rPr>
                <w:sz w:val="20"/>
                <w:szCs w:val="20"/>
                <w:lang w:val="en-US" w:eastAsia="ru-RU"/>
              </w:rPr>
              <w:t>by</w:t>
            </w:r>
            <w:r w:rsidR="006C680D" w:rsidRPr="00D337FA">
              <w:rPr>
                <w:sz w:val="20"/>
                <w:szCs w:val="20"/>
                <w:lang w:val="en-US" w:eastAsia="ru-RU"/>
              </w:rPr>
              <w:t xml:space="preserve"> </w:t>
            </w:r>
            <w:r w:rsidRPr="00D337FA">
              <w:rPr>
                <w:sz w:val="20"/>
                <w:szCs w:val="20"/>
                <w:lang w:val="en-US" w:eastAsia="ru-RU"/>
              </w:rPr>
              <w:t>Yuri</w:t>
            </w:r>
            <w:r w:rsidR="006C680D" w:rsidRPr="00D337FA">
              <w:rPr>
                <w:sz w:val="20"/>
                <w:szCs w:val="20"/>
                <w:lang w:val="en-US" w:eastAsia="ru-RU"/>
              </w:rPr>
              <w:t xml:space="preserve"> </w:t>
            </w:r>
            <w:r w:rsidRPr="00D337FA">
              <w:rPr>
                <w:sz w:val="20"/>
                <w:szCs w:val="20"/>
                <w:lang w:val="en-US" w:eastAsia="ru-RU"/>
              </w:rPr>
              <w:t>Gagarin</w:t>
            </w:r>
            <w:r w:rsidR="006C680D" w:rsidRPr="00D337FA">
              <w:rPr>
                <w:sz w:val="20"/>
                <w:szCs w:val="20"/>
                <w:lang w:val="en-US" w:eastAsia="ru-RU"/>
              </w:rPr>
              <w:t xml:space="preserve"> </w:t>
            </w:r>
            <w:r w:rsidRPr="00D337FA">
              <w:rPr>
                <w:sz w:val="20"/>
                <w:szCs w:val="20"/>
                <w:lang w:val="en-US" w:eastAsia="ru-RU"/>
              </w:rPr>
              <w:t>State</w:t>
            </w:r>
            <w:r w:rsidR="006C680D" w:rsidRPr="00D337FA">
              <w:rPr>
                <w:sz w:val="20"/>
                <w:szCs w:val="20"/>
                <w:lang w:val="en-US" w:eastAsia="ru-RU"/>
              </w:rPr>
              <w:t xml:space="preserve"> </w:t>
            </w:r>
            <w:r w:rsidRPr="00D337FA">
              <w:rPr>
                <w:sz w:val="20"/>
                <w:szCs w:val="20"/>
                <w:lang w:val="en-US" w:eastAsia="ru-RU"/>
              </w:rPr>
              <w:t>Technical</w:t>
            </w:r>
            <w:r w:rsidR="006C680D" w:rsidRPr="00D337FA">
              <w:rPr>
                <w:sz w:val="20"/>
                <w:szCs w:val="20"/>
                <w:lang w:val="en-US" w:eastAsia="ru-RU"/>
              </w:rPr>
              <w:t xml:space="preserve"> </w:t>
            </w:r>
            <w:r w:rsidRPr="00D337FA">
              <w:rPr>
                <w:sz w:val="20"/>
                <w:szCs w:val="20"/>
                <w:lang w:val="en-US" w:eastAsia="ru-RU"/>
              </w:rPr>
              <w:t>University</w:t>
            </w:r>
            <w:r w:rsidR="006C680D" w:rsidRPr="00D337FA">
              <w:rPr>
                <w:sz w:val="20"/>
                <w:szCs w:val="20"/>
                <w:lang w:val="en-US" w:eastAsia="ru-RU"/>
              </w:rPr>
              <w:t xml:space="preserve"> </w:t>
            </w:r>
            <w:r w:rsidRPr="00D337FA">
              <w:rPr>
                <w:sz w:val="20"/>
                <w:szCs w:val="20"/>
                <w:lang w:val="en-US" w:eastAsia="ru-RU"/>
              </w:rPr>
              <w:t>of</w:t>
            </w:r>
            <w:r w:rsidR="006C680D" w:rsidRPr="00D337FA">
              <w:rPr>
                <w:sz w:val="20"/>
                <w:szCs w:val="20"/>
                <w:lang w:val="en-US" w:eastAsia="ru-RU"/>
              </w:rPr>
              <w:t xml:space="preserve"> </w:t>
            </w:r>
            <w:r w:rsidRPr="00D337FA">
              <w:rPr>
                <w:sz w:val="20"/>
                <w:szCs w:val="20"/>
                <w:lang w:val="en-US" w:eastAsia="ru-RU"/>
              </w:rPr>
              <w:t>Saratov</w:t>
            </w:r>
          </w:p>
          <w:p w:rsidR="00643F01" w:rsidRPr="00D337FA" w:rsidRDefault="00707D4F" w:rsidP="00812765">
            <w:pPr>
              <w:autoSpaceDE w:val="0"/>
              <w:autoSpaceDN w:val="0"/>
              <w:adjustRightInd w:val="0"/>
              <w:ind w:firstLine="0"/>
              <w:rPr>
                <w:sz w:val="20"/>
                <w:szCs w:val="20"/>
                <w:lang w:val="en-US"/>
              </w:rPr>
            </w:pPr>
            <w:r w:rsidRPr="00D337FA">
              <w:rPr>
                <w:b/>
                <w:bCs/>
                <w:i/>
                <w:iCs/>
                <w:sz w:val="20"/>
                <w:szCs w:val="20"/>
                <w:lang w:val="en-US" w:eastAsia="ru-RU"/>
              </w:rPr>
              <w:t>Editor</w:t>
            </w:r>
            <w:r w:rsidR="006C680D" w:rsidRPr="00D337FA">
              <w:rPr>
                <w:b/>
                <w:bCs/>
                <w:i/>
                <w:iCs/>
                <w:sz w:val="20"/>
                <w:szCs w:val="20"/>
                <w:lang w:val="en-US" w:eastAsia="ru-RU"/>
              </w:rPr>
              <w:t xml:space="preserve"> </w:t>
            </w:r>
            <w:r w:rsidRPr="00D337FA">
              <w:rPr>
                <w:b/>
                <w:bCs/>
                <w:i/>
                <w:iCs/>
                <w:sz w:val="20"/>
                <w:szCs w:val="20"/>
                <w:lang w:val="en-US" w:eastAsia="ru-RU"/>
              </w:rPr>
              <w:t>in</w:t>
            </w:r>
            <w:r w:rsidR="006C680D" w:rsidRPr="00D337FA">
              <w:rPr>
                <w:b/>
                <w:bCs/>
                <w:i/>
                <w:iCs/>
                <w:sz w:val="20"/>
                <w:szCs w:val="20"/>
                <w:lang w:val="en-US" w:eastAsia="ru-RU"/>
              </w:rPr>
              <w:t xml:space="preserve"> </w:t>
            </w:r>
            <w:r w:rsidRPr="00D337FA">
              <w:rPr>
                <w:b/>
                <w:bCs/>
                <w:i/>
                <w:iCs/>
                <w:sz w:val="20"/>
                <w:szCs w:val="20"/>
                <w:lang w:val="en-US" w:eastAsia="ru-RU"/>
              </w:rPr>
              <w:t>Chief:</w:t>
            </w:r>
            <w:r w:rsidR="006C680D" w:rsidRPr="00D337FA">
              <w:rPr>
                <w:b/>
                <w:bCs/>
                <w:i/>
                <w:iCs/>
                <w:sz w:val="20"/>
                <w:szCs w:val="20"/>
                <w:lang w:val="en-US" w:eastAsia="ru-RU"/>
              </w:rPr>
              <w:t xml:space="preserve"> </w:t>
            </w:r>
            <w:r w:rsidRPr="00D337FA">
              <w:rPr>
                <w:i/>
                <w:iCs/>
                <w:sz w:val="20"/>
                <w:szCs w:val="20"/>
                <w:lang w:val="en-US" w:eastAsia="ru-RU"/>
              </w:rPr>
              <w:t>Tatyana</w:t>
            </w:r>
            <w:r w:rsidR="006C680D" w:rsidRPr="00D337FA">
              <w:rPr>
                <w:i/>
                <w:iCs/>
                <w:sz w:val="20"/>
                <w:szCs w:val="20"/>
                <w:lang w:val="en-US" w:eastAsia="ru-RU"/>
              </w:rPr>
              <w:t xml:space="preserve"> </w:t>
            </w:r>
            <w:r w:rsidRPr="00D337FA">
              <w:rPr>
                <w:i/>
                <w:iCs/>
                <w:sz w:val="20"/>
                <w:szCs w:val="20"/>
                <w:lang w:val="en-US" w:eastAsia="ru-RU"/>
              </w:rPr>
              <w:t>V.</w:t>
            </w:r>
            <w:r w:rsidR="006C680D" w:rsidRPr="00D337FA">
              <w:rPr>
                <w:i/>
                <w:iCs/>
                <w:sz w:val="20"/>
                <w:szCs w:val="20"/>
                <w:lang w:val="en-US" w:eastAsia="ru-RU"/>
              </w:rPr>
              <w:t xml:space="preserve"> </w:t>
            </w:r>
            <w:r w:rsidRPr="00D337FA">
              <w:rPr>
                <w:i/>
                <w:iCs/>
                <w:sz w:val="20"/>
                <w:szCs w:val="20"/>
                <w:lang w:val="en-US" w:eastAsia="ru-RU"/>
              </w:rPr>
              <w:t>Goryacheva</w:t>
            </w:r>
          </w:p>
        </w:tc>
        <w:tc>
          <w:tcPr>
            <w:tcW w:w="567" w:type="dxa"/>
          </w:tcPr>
          <w:p w:rsidR="00643F01" w:rsidRPr="00D337FA" w:rsidRDefault="00643F01" w:rsidP="00CC3B65">
            <w:pPr>
              <w:kinsoku w:val="0"/>
              <w:overflowPunct w:val="0"/>
              <w:autoSpaceDE w:val="0"/>
              <w:autoSpaceDN w:val="0"/>
              <w:jc w:val="right"/>
              <w:rPr>
                <w:rFonts w:ascii="Bookman Old Style" w:hAnsi="Bookman Old Style" w:cs="Aharoni"/>
                <w:b/>
                <w:spacing w:val="-30"/>
                <w:sz w:val="20"/>
                <w:szCs w:val="20"/>
                <w:lang w:val="en-US" w:bidi="he-IL"/>
              </w:rPr>
            </w:pPr>
          </w:p>
        </w:tc>
        <w:tc>
          <w:tcPr>
            <w:tcW w:w="4536" w:type="dxa"/>
          </w:tcPr>
          <w:p w:rsidR="00707D4F" w:rsidRPr="00D337FA" w:rsidRDefault="00707D4F" w:rsidP="00643F01">
            <w:pPr>
              <w:pStyle w:val="aff3"/>
              <w:jc w:val="center"/>
              <w:rPr>
                <w:i/>
                <w:color w:val="auto"/>
                <w:sz w:val="20"/>
                <w:szCs w:val="20"/>
                <w:lang w:val="en-US"/>
              </w:rPr>
            </w:pPr>
          </w:p>
          <w:p w:rsidR="00643F01" w:rsidRPr="00D337FA" w:rsidRDefault="00707D4F" w:rsidP="00643F01">
            <w:pPr>
              <w:pStyle w:val="aff3"/>
              <w:jc w:val="center"/>
              <w:rPr>
                <w:i/>
                <w:color w:val="auto"/>
                <w:sz w:val="20"/>
                <w:szCs w:val="20"/>
                <w:lang w:val="en-US"/>
              </w:rPr>
            </w:pP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journal</w:t>
            </w:r>
            <w:r w:rsidR="006C680D" w:rsidRPr="00D337FA">
              <w:rPr>
                <w:i/>
                <w:color w:val="auto"/>
                <w:sz w:val="20"/>
                <w:szCs w:val="20"/>
                <w:lang w:val="en-US"/>
              </w:rPr>
              <w:t xml:space="preserve"> </w:t>
            </w:r>
            <w:r w:rsidRPr="00D337FA">
              <w:rPr>
                <w:i/>
                <w:color w:val="auto"/>
                <w:sz w:val="20"/>
                <w:szCs w:val="20"/>
                <w:lang w:val="en-US"/>
              </w:rPr>
              <w:t>is</w:t>
            </w:r>
            <w:r w:rsidR="006C680D" w:rsidRPr="00D337FA">
              <w:rPr>
                <w:i/>
                <w:color w:val="auto"/>
                <w:sz w:val="20"/>
                <w:szCs w:val="20"/>
                <w:lang w:val="en-US"/>
              </w:rPr>
              <w:t xml:space="preserve"> </w:t>
            </w:r>
            <w:r w:rsidRPr="00D337FA">
              <w:rPr>
                <w:i/>
                <w:color w:val="auto"/>
                <w:sz w:val="20"/>
                <w:szCs w:val="20"/>
                <w:lang w:val="en-US"/>
              </w:rPr>
              <w:t>in</w:t>
            </w:r>
            <w:r w:rsidR="006C680D" w:rsidRPr="00D337FA">
              <w:rPr>
                <w:i/>
                <w:color w:val="auto"/>
                <w:sz w:val="20"/>
                <w:szCs w:val="20"/>
                <w:lang w:val="en-US"/>
              </w:rPr>
              <w:t xml:space="preserve"> </w:t>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list</w:t>
            </w:r>
            <w:r w:rsidR="006C680D" w:rsidRPr="00D337FA">
              <w:rPr>
                <w:i/>
                <w:color w:val="auto"/>
                <w:sz w:val="20"/>
                <w:szCs w:val="20"/>
                <w:lang w:val="en-US"/>
              </w:rPr>
              <w:t xml:space="preserve"> </w:t>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leading</w:t>
            </w:r>
            <w:r w:rsidR="006C680D" w:rsidRPr="00D337FA">
              <w:rPr>
                <w:i/>
                <w:color w:val="auto"/>
                <w:sz w:val="20"/>
                <w:szCs w:val="20"/>
                <w:lang w:val="en-US"/>
              </w:rPr>
              <w:t xml:space="preserve"> </w:t>
            </w:r>
            <w:r w:rsidRPr="00D337FA">
              <w:rPr>
                <w:i/>
                <w:color w:val="auto"/>
                <w:sz w:val="20"/>
                <w:szCs w:val="20"/>
                <w:lang w:val="en-US"/>
              </w:rPr>
              <w:t>peer-reviewed</w:t>
            </w:r>
            <w:r w:rsidR="006C680D" w:rsidRPr="00D337FA">
              <w:rPr>
                <w:i/>
                <w:color w:val="auto"/>
                <w:sz w:val="20"/>
                <w:szCs w:val="20"/>
                <w:lang w:val="en-US"/>
              </w:rPr>
              <w:t xml:space="preserve"> </w:t>
            </w:r>
            <w:r w:rsidRPr="00D337FA">
              <w:rPr>
                <w:i/>
                <w:color w:val="auto"/>
                <w:sz w:val="20"/>
                <w:szCs w:val="20"/>
                <w:lang w:val="en-US"/>
              </w:rPr>
              <w:t>scientific</w:t>
            </w:r>
            <w:r w:rsidR="006C680D" w:rsidRPr="00D337FA">
              <w:rPr>
                <w:i/>
                <w:color w:val="auto"/>
                <w:sz w:val="20"/>
                <w:szCs w:val="20"/>
                <w:lang w:val="en-US"/>
              </w:rPr>
              <w:t xml:space="preserve"> </w:t>
            </w:r>
            <w:r w:rsidRPr="00D337FA">
              <w:rPr>
                <w:i/>
                <w:color w:val="auto"/>
                <w:sz w:val="20"/>
                <w:szCs w:val="20"/>
                <w:lang w:val="en-US"/>
              </w:rPr>
              <w:t>publications</w:t>
            </w:r>
            <w:r w:rsidR="006C680D" w:rsidRPr="00D337FA">
              <w:rPr>
                <w:i/>
                <w:color w:val="auto"/>
                <w:sz w:val="20"/>
                <w:szCs w:val="20"/>
                <w:lang w:val="en-US"/>
              </w:rPr>
              <w:t xml:space="preserve"> </w:t>
            </w:r>
            <w:r w:rsidRPr="00D337FA">
              <w:rPr>
                <w:i/>
                <w:color w:val="auto"/>
                <w:sz w:val="20"/>
                <w:szCs w:val="20"/>
                <w:lang w:val="en-US"/>
              </w:rPr>
              <w:t>approved</w:t>
            </w:r>
            <w:r w:rsidR="006C680D" w:rsidRPr="00D337FA">
              <w:rPr>
                <w:i/>
                <w:color w:val="auto"/>
                <w:sz w:val="20"/>
                <w:szCs w:val="20"/>
                <w:lang w:val="en-US"/>
              </w:rPr>
              <w:t xml:space="preserve"> </w:t>
            </w:r>
            <w:r w:rsidRPr="00D337FA">
              <w:rPr>
                <w:i/>
                <w:color w:val="auto"/>
                <w:sz w:val="20"/>
                <w:szCs w:val="20"/>
                <w:lang w:val="en-US"/>
              </w:rPr>
              <w:t>by</w:t>
            </w:r>
            <w:r w:rsidR="006C680D" w:rsidRPr="00D337FA">
              <w:rPr>
                <w:i/>
                <w:color w:val="auto"/>
                <w:sz w:val="20"/>
                <w:szCs w:val="20"/>
                <w:lang w:val="en-US"/>
              </w:rPr>
              <w:t xml:space="preserve"> </w:t>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Presidium</w:t>
            </w:r>
            <w:r w:rsidR="006C680D" w:rsidRPr="00D337FA">
              <w:rPr>
                <w:i/>
                <w:color w:val="auto"/>
                <w:sz w:val="20"/>
                <w:szCs w:val="20"/>
                <w:lang w:val="en-US"/>
              </w:rPr>
              <w:t xml:space="preserve"> </w:t>
            </w:r>
            <w:r w:rsidR="00812765" w:rsidRPr="00D337FA">
              <w:rPr>
                <w:i/>
                <w:color w:val="auto"/>
                <w:sz w:val="20"/>
                <w:szCs w:val="20"/>
                <w:lang w:val="en-US"/>
              </w:rPr>
              <w:br/>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Higher</w:t>
            </w:r>
            <w:r w:rsidR="006C680D" w:rsidRPr="00D337FA">
              <w:rPr>
                <w:i/>
                <w:color w:val="auto"/>
                <w:sz w:val="20"/>
                <w:szCs w:val="20"/>
                <w:lang w:val="en-US"/>
              </w:rPr>
              <w:t xml:space="preserve"> </w:t>
            </w:r>
            <w:r w:rsidRPr="00D337FA">
              <w:rPr>
                <w:i/>
                <w:color w:val="auto"/>
                <w:sz w:val="20"/>
                <w:szCs w:val="20"/>
                <w:lang w:val="en-US"/>
              </w:rPr>
              <w:t>Attestation</w:t>
            </w:r>
            <w:r w:rsidR="006C680D" w:rsidRPr="00D337FA">
              <w:rPr>
                <w:i/>
                <w:color w:val="auto"/>
                <w:sz w:val="20"/>
                <w:szCs w:val="20"/>
                <w:lang w:val="en-US"/>
              </w:rPr>
              <w:t xml:space="preserve"> </w:t>
            </w:r>
            <w:r w:rsidRPr="00D337FA">
              <w:rPr>
                <w:i/>
                <w:color w:val="auto"/>
                <w:sz w:val="20"/>
                <w:szCs w:val="20"/>
                <w:lang w:val="en-US"/>
              </w:rPr>
              <w:t>Commission</w:t>
            </w:r>
            <w:r w:rsidR="006C680D" w:rsidRPr="00D337FA">
              <w:rPr>
                <w:i/>
                <w:color w:val="auto"/>
                <w:sz w:val="20"/>
                <w:szCs w:val="20"/>
                <w:lang w:val="en-US"/>
              </w:rPr>
              <w:t xml:space="preserve"> </w:t>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Ministry</w:t>
            </w:r>
            <w:r w:rsidR="006C680D" w:rsidRPr="00D337FA">
              <w:rPr>
                <w:i/>
                <w:color w:val="auto"/>
                <w:sz w:val="20"/>
                <w:szCs w:val="20"/>
                <w:lang w:val="en-US"/>
              </w:rPr>
              <w:t xml:space="preserve"> </w:t>
            </w:r>
            <w:r w:rsidR="00812765" w:rsidRPr="00D337FA">
              <w:rPr>
                <w:i/>
                <w:color w:val="auto"/>
                <w:sz w:val="20"/>
                <w:szCs w:val="20"/>
                <w:lang w:val="en-US"/>
              </w:rPr>
              <w:br/>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Education</w:t>
            </w:r>
            <w:r w:rsidR="006C680D" w:rsidRPr="00D337FA">
              <w:rPr>
                <w:i/>
                <w:color w:val="auto"/>
                <w:sz w:val="20"/>
                <w:szCs w:val="20"/>
                <w:lang w:val="en-US"/>
              </w:rPr>
              <w:t xml:space="preserve"> </w:t>
            </w:r>
            <w:r w:rsidRPr="00D337FA">
              <w:rPr>
                <w:i/>
                <w:color w:val="auto"/>
                <w:sz w:val="20"/>
                <w:szCs w:val="20"/>
                <w:lang w:val="en-US"/>
              </w:rPr>
              <w:t>and</w:t>
            </w:r>
            <w:r w:rsidR="006C680D" w:rsidRPr="00D337FA">
              <w:rPr>
                <w:i/>
                <w:color w:val="auto"/>
                <w:sz w:val="20"/>
                <w:szCs w:val="20"/>
                <w:lang w:val="en-US"/>
              </w:rPr>
              <w:t xml:space="preserve"> </w:t>
            </w:r>
            <w:r w:rsidRPr="00D337FA">
              <w:rPr>
                <w:i/>
                <w:color w:val="auto"/>
                <w:sz w:val="20"/>
                <w:szCs w:val="20"/>
                <w:lang w:val="en-US"/>
              </w:rPr>
              <w:t>Science</w:t>
            </w:r>
            <w:r w:rsidR="006C680D" w:rsidRPr="00D337FA">
              <w:rPr>
                <w:i/>
                <w:color w:val="auto"/>
                <w:sz w:val="20"/>
                <w:szCs w:val="20"/>
                <w:lang w:val="en-US"/>
              </w:rPr>
              <w:t xml:space="preserve"> </w:t>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Russian</w:t>
            </w:r>
            <w:r w:rsidR="006C680D" w:rsidRPr="00D337FA">
              <w:rPr>
                <w:i/>
                <w:color w:val="auto"/>
                <w:sz w:val="20"/>
                <w:szCs w:val="20"/>
                <w:lang w:val="en-US"/>
              </w:rPr>
              <w:t xml:space="preserve"> </w:t>
            </w:r>
            <w:r w:rsidRPr="00D337FA">
              <w:rPr>
                <w:i/>
                <w:color w:val="auto"/>
                <w:sz w:val="20"/>
                <w:szCs w:val="20"/>
                <w:lang w:val="en-US"/>
              </w:rPr>
              <w:t>Federation.</w:t>
            </w:r>
            <w:r w:rsidR="006C680D" w:rsidRPr="00D337FA">
              <w:rPr>
                <w:i/>
                <w:color w:val="auto"/>
                <w:sz w:val="20"/>
                <w:szCs w:val="20"/>
                <w:lang w:val="en-US"/>
              </w:rPr>
              <w:t xml:space="preserve"> </w:t>
            </w:r>
            <w:r w:rsidR="00812765" w:rsidRPr="00D337FA">
              <w:rPr>
                <w:i/>
                <w:color w:val="auto"/>
                <w:sz w:val="20"/>
                <w:szCs w:val="20"/>
                <w:lang w:val="en-US"/>
              </w:rPr>
              <w:br/>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journal</w:t>
            </w:r>
            <w:r w:rsidR="006C680D" w:rsidRPr="00D337FA">
              <w:rPr>
                <w:i/>
                <w:color w:val="auto"/>
                <w:sz w:val="20"/>
                <w:szCs w:val="20"/>
                <w:lang w:val="en-US"/>
              </w:rPr>
              <w:t xml:space="preserve"> </w:t>
            </w:r>
            <w:r w:rsidRPr="00D337FA">
              <w:rPr>
                <w:i/>
                <w:color w:val="auto"/>
                <w:sz w:val="20"/>
                <w:szCs w:val="20"/>
                <w:lang w:val="en-US"/>
              </w:rPr>
              <w:t>publishes</w:t>
            </w:r>
            <w:r w:rsidR="006C680D" w:rsidRPr="00D337FA">
              <w:rPr>
                <w:i/>
                <w:color w:val="auto"/>
                <w:sz w:val="20"/>
                <w:szCs w:val="20"/>
                <w:lang w:val="en-US"/>
              </w:rPr>
              <w:t xml:space="preserve"> </w:t>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main</w:t>
            </w:r>
            <w:r w:rsidR="006C680D" w:rsidRPr="00D337FA">
              <w:rPr>
                <w:i/>
                <w:color w:val="auto"/>
                <w:sz w:val="20"/>
                <w:szCs w:val="20"/>
                <w:lang w:val="en-US"/>
              </w:rPr>
              <w:t xml:space="preserve"> </w:t>
            </w:r>
            <w:r w:rsidRPr="00D337FA">
              <w:rPr>
                <w:i/>
                <w:color w:val="auto"/>
                <w:sz w:val="20"/>
                <w:szCs w:val="20"/>
                <w:lang w:val="en-US"/>
              </w:rPr>
              <w:t>research</w:t>
            </w:r>
            <w:r w:rsidR="006C680D" w:rsidRPr="00D337FA">
              <w:rPr>
                <w:i/>
                <w:color w:val="auto"/>
                <w:sz w:val="20"/>
                <w:szCs w:val="20"/>
                <w:lang w:val="en-US"/>
              </w:rPr>
              <w:t xml:space="preserve"> </w:t>
            </w:r>
            <w:r w:rsidRPr="00D337FA">
              <w:rPr>
                <w:i/>
                <w:color w:val="auto"/>
                <w:sz w:val="20"/>
                <w:szCs w:val="20"/>
                <w:lang w:val="en-US"/>
              </w:rPr>
              <w:t>findings</w:t>
            </w:r>
            <w:r w:rsidR="006C680D" w:rsidRPr="00D337FA">
              <w:rPr>
                <w:i/>
                <w:color w:val="auto"/>
                <w:sz w:val="20"/>
                <w:szCs w:val="20"/>
                <w:lang w:val="en-US"/>
              </w:rPr>
              <w:t xml:space="preserve"> </w:t>
            </w:r>
            <w:r w:rsidRPr="00D337FA">
              <w:rPr>
                <w:i/>
                <w:color w:val="auto"/>
                <w:sz w:val="20"/>
                <w:szCs w:val="20"/>
                <w:lang w:val="en-US"/>
              </w:rPr>
              <w:t>which</w:t>
            </w:r>
            <w:r w:rsidR="006C680D" w:rsidRPr="00D337FA">
              <w:rPr>
                <w:i/>
                <w:color w:val="auto"/>
                <w:sz w:val="20"/>
                <w:szCs w:val="20"/>
                <w:lang w:val="en-US"/>
              </w:rPr>
              <w:t xml:space="preserve"> </w:t>
            </w:r>
            <w:r w:rsidRPr="00D337FA">
              <w:rPr>
                <w:i/>
                <w:color w:val="auto"/>
                <w:sz w:val="20"/>
                <w:szCs w:val="20"/>
                <w:lang w:val="en-US"/>
              </w:rPr>
              <w:t>present</w:t>
            </w:r>
            <w:r w:rsidR="006C680D" w:rsidRPr="00D337FA">
              <w:rPr>
                <w:i/>
                <w:color w:val="auto"/>
                <w:sz w:val="20"/>
                <w:szCs w:val="20"/>
                <w:lang w:val="en-US"/>
              </w:rPr>
              <w:t xml:space="preserve"> </w:t>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results</w:t>
            </w:r>
            <w:r w:rsidR="006C680D" w:rsidRPr="00D337FA">
              <w:rPr>
                <w:i/>
                <w:color w:val="auto"/>
                <w:sz w:val="20"/>
                <w:szCs w:val="20"/>
                <w:lang w:val="en-US"/>
              </w:rPr>
              <w:t xml:space="preserve"> </w:t>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the</w:t>
            </w:r>
            <w:r w:rsidR="006C680D" w:rsidRPr="00D337FA">
              <w:rPr>
                <w:i/>
                <w:color w:val="auto"/>
                <w:sz w:val="20"/>
                <w:szCs w:val="20"/>
                <w:lang w:val="en-US"/>
              </w:rPr>
              <w:t xml:space="preserve"> </w:t>
            </w:r>
            <w:r w:rsidRPr="00D337FA">
              <w:rPr>
                <w:i/>
                <w:color w:val="auto"/>
                <w:sz w:val="20"/>
                <w:szCs w:val="20"/>
                <w:lang w:val="en-US"/>
              </w:rPr>
              <w:t>theses</w:t>
            </w:r>
            <w:r w:rsidR="006C680D" w:rsidRPr="00D337FA">
              <w:rPr>
                <w:i/>
                <w:color w:val="auto"/>
                <w:sz w:val="20"/>
                <w:szCs w:val="20"/>
                <w:lang w:val="en-US"/>
              </w:rPr>
              <w:t xml:space="preserve"> </w:t>
            </w:r>
            <w:r w:rsidRPr="00D337FA">
              <w:rPr>
                <w:i/>
                <w:color w:val="auto"/>
                <w:sz w:val="20"/>
                <w:szCs w:val="20"/>
                <w:lang w:val="en-US"/>
              </w:rPr>
              <w:t>submitted</w:t>
            </w:r>
            <w:r w:rsidR="006C680D" w:rsidRPr="00D337FA">
              <w:rPr>
                <w:i/>
                <w:color w:val="auto"/>
                <w:sz w:val="20"/>
                <w:szCs w:val="20"/>
                <w:lang w:val="en-US"/>
              </w:rPr>
              <w:t xml:space="preserve"> </w:t>
            </w:r>
            <w:r w:rsidRPr="00D337FA">
              <w:rPr>
                <w:i/>
                <w:color w:val="auto"/>
                <w:sz w:val="20"/>
                <w:szCs w:val="20"/>
                <w:lang w:val="en-US"/>
              </w:rPr>
              <w:t>in</w:t>
            </w:r>
            <w:r w:rsidR="006C680D" w:rsidRPr="00D337FA">
              <w:rPr>
                <w:i/>
                <w:color w:val="auto"/>
                <w:sz w:val="20"/>
                <w:szCs w:val="20"/>
                <w:lang w:val="en-US"/>
              </w:rPr>
              <w:t xml:space="preserve"> </w:t>
            </w:r>
            <w:r w:rsidRPr="00D337FA">
              <w:rPr>
                <w:i/>
                <w:color w:val="auto"/>
                <w:sz w:val="20"/>
                <w:szCs w:val="20"/>
                <w:lang w:val="en-US"/>
              </w:rPr>
              <w:t>support</w:t>
            </w:r>
            <w:r w:rsidR="006C680D" w:rsidRPr="00D337FA">
              <w:rPr>
                <w:i/>
                <w:color w:val="auto"/>
                <w:sz w:val="20"/>
                <w:szCs w:val="20"/>
                <w:lang w:val="en-US"/>
              </w:rPr>
              <w:t xml:space="preserve"> </w:t>
            </w:r>
            <w:r w:rsidR="00812765" w:rsidRPr="00D337FA">
              <w:rPr>
                <w:i/>
                <w:color w:val="auto"/>
                <w:sz w:val="20"/>
                <w:szCs w:val="20"/>
                <w:lang w:val="en-US"/>
              </w:rPr>
              <w:br/>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a</w:t>
            </w:r>
            <w:r w:rsidR="006C680D" w:rsidRPr="00D337FA">
              <w:rPr>
                <w:i/>
                <w:color w:val="auto"/>
                <w:sz w:val="20"/>
                <w:szCs w:val="20"/>
                <w:lang w:val="en-US"/>
              </w:rPr>
              <w:t xml:space="preserve"> </w:t>
            </w:r>
            <w:r w:rsidRPr="00D337FA">
              <w:rPr>
                <w:i/>
                <w:color w:val="auto"/>
                <w:sz w:val="20"/>
                <w:szCs w:val="20"/>
                <w:lang w:val="en-US"/>
              </w:rPr>
              <w:t>Candidate</w:t>
            </w:r>
            <w:r w:rsidR="006C680D" w:rsidRPr="00D337FA">
              <w:rPr>
                <w:i/>
                <w:color w:val="auto"/>
                <w:sz w:val="20"/>
                <w:szCs w:val="20"/>
                <w:lang w:val="en-US"/>
              </w:rPr>
              <w:t xml:space="preserve"> </w:t>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Science</w:t>
            </w:r>
            <w:r w:rsidR="006C680D" w:rsidRPr="00D337FA">
              <w:rPr>
                <w:i/>
                <w:color w:val="auto"/>
                <w:sz w:val="20"/>
                <w:szCs w:val="20"/>
                <w:lang w:val="en-US"/>
              </w:rPr>
              <w:t xml:space="preserve"> </w:t>
            </w:r>
            <w:r w:rsidRPr="00D337FA">
              <w:rPr>
                <w:i/>
                <w:color w:val="auto"/>
                <w:sz w:val="20"/>
                <w:szCs w:val="20"/>
                <w:lang w:val="en-US"/>
              </w:rPr>
              <w:t>or</w:t>
            </w:r>
            <w:r w:rsidR="006C680D" w:rsidRPr="00D337FA">
              <w:rPr>
                <w:i/>
                <w:color w:val="auto"/>
                <w:sz w:val="20"/>
                <w:szCs w:val="20"/>
                <w:lang w:val="en-US"/>
              </w:rPr>
              <w:t xml:space="preserve"> </w:t>
            </w:r>
            <w:r w:rsidRPr="00D337FA">
              <w:rPr>
                <w:i/>
                <w:color w:val="auto"/>
                <w:sz w:val="20"/>
                <w:szCs w:val="20"/>
                <w:lang w:val="en-US"/>
              </w:rPr>
              <w:t>Doctor</w:t>
            </w:r>
            <w:r w:rsidR="006C680D" w:rsidRPr="00D337FA">
              <w:rPr>
                <w:i/>
                <w:color w:val="auto"/>
                <w:sz w:val="20"/>
                <w:szCs w:val="20"/>
                <w:lang w:val="en-US"/>
              </w:rPr>
              <w:t xml:space="preserve"> </w:t>
            </w:r>
            <w:r w:rsidRPr="00D337FA">
              <w:rPr>
                <w:i/>
                <w:color w:val="auto"/>
                <w:sz w:val="20"/>
                <w:szCs w:val="20"/>
                <w:lang w:val="en-US"/>
              </w:rPr>
              <w:t>of</w:t>
            </w:r>
            <w:r w:rsidR="006C680D" w:rsidRPr="00D337FA">
              <w:rPr>
                <w:i/>
                <w:color w:val="auto"/>
                <w:sz w:val="20"/>
                <w:szCs w:val="20"/>
                <w:lang w:val="en-US"/>
              </w:rPr>
              <w:t xml:space="preserve"> </w:t>
            </w:r>
            <w:r w:rsidRPr="00D337FA">
              <w:rPr>
                <w:i/>
                <w:color w:val="auto"/>
                <w:sz w:val="20"/>
                <w:szCs w:val="20"/>
                <w:lang w:val="en-US"/>
              </w:rPr>
              <w:t>Science</w:t>
            </w:r>
            <w:r w:rsidR="006C680D" w:rsidRPr="00D337FA">
              <w:rPr>
                <w:i/>
                <w:color w:val="auto"/>
                <w:sz w:val="20"/>
                <w:szCs w:val="20"/>
                <w:lang w:val="en-US"/>
              </w:rPr>
              <w:t xml:space="preserve"> </w:t>
            </w:r>
            <w:r w:rsidRPr="00D337FA">
              <w:rPr>
                <w:i/>
                <w:color w:val="auto"/>
                <w:sz w:val="20"/>
                <w:szCs w:val="20"/>
                <w:lang w:val="en-US"/>
              </w:rPr>
              <w:t>degrees</w:t>
            </w:r>
          </w:p>
        </w:tc>
      </w:tr>
    </w:tbl>
    <w:p w:rsidR="00643F01" w:rsidRPr="00D337FA" w:rsidRDefault="00643F01" w:rsidP="00643F01">
      <w:pPr>
        <w:pStyle w:val="aff0"/>
        <w:rPr>
          <w:sz w:val="16"/>
          <w:szCs w:val="16"/>
          <w:highlight w:val="yellow"/>
          <w:lang w:bidi="he-IL"/>
        </w:rPr>
      </w:pP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center"/>
        <w:rPr>
          <w:rFonts w:ascii="Times New Roman CYR" w:hAnsi="Times New Roman CYR" w:cs="Times New Roman CYR"/>
          <w:b/>
          <w:bCs/>
          <w:sz w:val="22"/>
          <w:szCs w:val="22"/>
          <w:lang w:val="en-US" w:eastAsia="ru-RU"/>
        </w:rPr>
      </w:pP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center"/>
        <w:rPr>
          <w:b/>
          <w:bCs/>
          <w:sz w:val="22"/>
          <w:szCs w:val="22"/>
          <w:u w:val="single"/>
          <w:lang w:val="en-US" w:eastAsia="ru-RU"/>
        </w:rPr>
      </w:pPr>
      <w:r w:rsidRPr="00D337FA">
        <w:rPr>
          <w:rFonts w:ascii="Times New Roman CYR" w:hAnsi="Times New Roman CYR" w:cs="Times New Roman CYR"/>
          <w:b/>
          <w:bCs/>
          <w:sz w:val="22"/>
          <w:szCs w:val="22"/>
          <w:lang w:val="en-US" w:eastAsia="ru-RU"/>
        </w:rPr>
        <w:t>DRAFTING</w:t>
      </w:r>
      <w:r w:rsidR="006C680D" w:rsidRPr="00D337FA">
        <w:rPr>
          <w:rFonts w:ascii="Times New Roman CYR" w:hAnsi="Times New Roman CYR" w:cs="Times New Roman CYR"/>
          <w:b/>
          <w:bCs/>
          <w:sz w:val="22"/>
          <w:szCs w:val="22"/>
          <w:lang w:val="en-US" w:eastAsia="ru-RU"/>
        </w:rPr>
        <w:t xml:space="preserve"> </w:t>
      </w:r>
      <w:r w:rsidRPr="00D337FA">
        <w:rPr>
          <w:rFonts w:ascii="Times New Roman CYR" w:hAnsi="Times New Roman CYR" w:cs="Times New Roman CYR"/>
          <w:b/>
          <w:bCs/>
          <w:sz w:val="22"/>
          <w:szCs w:val="22"/>
          <w:lang w:val="en-US" w:eastAsia="ru-RU"/>
        </w:rPr>
        <w:t>COMMITTEE:</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b/>
          <w:bCs/>
          <w:i/>
          <w:iCs/>
          <w:sz w:val="21"/>
          <w:szCs w:val="21"/>
          <w:lang w:val="en-US" w:eastAsia="ru-RU"/>
        </w:rPr>
      </w:pPr>
      <w:r w:rsidRPr="00D337FA">
        <w:rPr>
          <w:rFonts w:ascii="Times New Roman CYR" w:hAnsi="Times New Roman CYR" w:cs="Times New Roman CYR"/>
          <w:b/>
          <w:bCs/>
          <w:i/>
          <w:iCs/>
          <w:sz w:val="21"/>
          <w:szCs w:val="21"/>
          <w:lang w:val="en-US" w:eastAsia="ru-RU"/>
        </w:rPr>
        <w:t>Chairman</w:t>
      </w:r>
      <w:r w:rsidR="006C680D" w:rsidRPr="00D337FA">
        <w:rPr>
          <w:rFonts w:ascii="Times New Roman CYR" w:hAnsi="Times New Roman CYR" w:cs="Times New Roman CYR"/>
          <w:b/>
          <w:bCs/>
          <w:i/>
          <w:iCs/>
          <w:sz w:val="21"/>
          <w:szCs w:val="21"/>
          <w:lang w:val="en-US" w:eastAsia="ru-RU"/>
        </w:rPr>
        <w:t xml:space="preserve"> </w:t>
      </w:r>
      <w:r w:rsidRPr="00D337FA">
        <w:rPr>
          <w:rFonts w:ascii="Times New Roman CYR" w:hAnsi="Times New Roman CYR" w:cs="Times New Roman CYR"/>
          <w:b/>
          <w:bCs/>
          <w:sz w:val="21"/>
          <w:szCs w:val="21"/>
          <w:lang w:val="en-US" w:eastAsia="ru-RU"/>
        </w:rPr>
        <w:t>–</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pacing w:val="-2"/>
          <w:sz w:val="21"/>
          <w:szCs w:val="21"/>
          <w:lang w:val="en-US" w:eastAsia="ru-RU"/>
        </w:rPr>
        <w:t>T.V.</w:t>
      </w:r>
      <w:r w:rsidR="006C680D" w:rsidRPr="00D337FA">
        <w:rPr>
          <w:rFonts w:ascii="Times New Roman CYR" w:hAnsi="Times New Roman CYR" w:cs="Times New Roman CYR"/>
          <w:b/>
          <w:bCs/>
          <w:spacing w:val="-2"/>
          <w:sz w:val="21"/>
          <w:szCs w:val="21"/>
          <w:lang w:val="en-US" w:eastAsia="ru-RU"/>
        </w:rPr>
        <w:t xml:space="preserve"> </w:t>
      </w:r>
      <w:r w:rsidRPr="00D337FA">
        <w:rPr>
          <w:rFonts w:ascii="Times New Roman CYR" w:hAnsi="Times New Roman CYR" w:cs="Times New Roman CYR"/>
          <w:b/>
          <w:bCs/>
          <w:spacing w:val="-2"/>
          <w:sz w:val="21"/>
          <w:szCs w:val="21"/>
          <w:lang w:val="en-US" w:eastAsia="ru-RU"/>
        </w:rPr>
        <w:t>Goryacheva</w:t>
      </w:r>
      <w:r w:rsidR="006C680D" w:rsidRPr="00D337FA">
        <w:rPr>
          <w:rFonts w:ascii="Times New Roman CYR" w:hAnsi="Times New Roman CYR" w:cs="Times New Roman CYR"/>
          <w:b/>
          <w:bCs/>
          <w:spacing w:val="-2"/>
          <w:sz w:val="21"/>
          <w:szCs w:val="21"/>
          <w:lang w:val="en-US" w:eastAsia="ru-RU"/>
        </w:rPr>
        <w:t xml:space="preserve"> </w:t>
      </w:r>
      <w:r w:rsidRPr="00D337FA">
        <w:rPr>
          <w:rFonts w:ascii="Times New Roman CYR" w:hAnsi="Times New Roman CYR" w:cs="Times New Roman CYR"/>
          <w:b/>
          <w:bCs/>
          <w:spacing w:val="-2"/>
          <w:sz w:val="21"/>
          <w:szCs w:val="21"/>
          <w:lang w:val="en-US" w:eastAsia="ru-RU"/>
        </w:rPr>
        <w:t>–</w:t>
      </w:r>
      <w:r w:rsidR="006C680D" w:rsidRPr="00D337FA">
        <w:rPr>
          <w:rFonts w:ascii="Times New Roman CYR" w:hAnsi="Times New Roman CYR" w:cs="Times New Roman CYR"/>
          <w:b/>
          <w:bCs/>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Dr.</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Sc.</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(Economics),</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Professor,</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Department</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of</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Industry</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Management</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and</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Economic</w:t>
      </w:r>
      <w:r w:rsidR="006C680D" w:rsidRPr="00D337FA">
        <w:rPr>
          <w:rFonts w:ascii="Times New Roman CYR" w:hAnsi="Times New Roman CYR" w:cs="Times New Roman CYR"/>
          <w:spacing w:val="-2"/>
          <w:sz w:val="21"/>
          <w:szCs w:val="21"/>
          <w:lang w:val="en-US" w:eastAsia="ru-RU"/>
        </w:rPr>
        <w:t xml:space="preserve"> </w:t>
      </w:r>
      <w:r w:rsidRPr="00D337FA">
        <w:rPr>
          <w:rFonts w:ascii="Times New Roman CYR" w:hAnsi="Times New Roman CYR" w:cs="Times New Roman CYR"/>
          <w:spacing w:val="-2"/>
          <w:sz w:val="21"/>
          <w:szCs w:val="21"/>
          <w:lang w:val="en-US" w:eastAsia="ru-RU"/>
        </w:rPr>
        <w:t>Security,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Yuri</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Gagarin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r w:rsidR="006C680D" w:rsidRPr="00D337FA">
        <w:rPr>
          <w:rFonts w:ascii="Times New Roman CYR" w:hAnsi="Times New Roman CYR" w:cs="Times New Roman CYR"/>
          <w:b/>
          <w:bCs/>
          <w:sz w:val="21"/>
          <w:szCs w:val="21"/>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en-US" w:eastAsia="ru-RU"/>
        </w:rPr>
        <w:t>Members</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of</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the</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Administrative</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Committee:</w:t>
      </w:r>
      <w:r w:rsidR="006C680D" w:rsidRPr="00D337FA">
        <w:rPr>
          <w:rFonts w:ascii="Times New Roman CYR" w:hAnsi="Times New Roman CYR" w:cs="Times New Roman CYR"/>
          <w:b/>
          <w:bCs/>
          <w:sz w:val="21"/>
          <w:szCs w:val="21"/>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en-US" w:eastAsia="ru-RU"/>
        </w:rPr>
        <w:t>M.A.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Fateev</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PhD</w:t>
      </w:r>
      <w:r w:rsidR="006C680D" w:rsidRPr="00D337FA">
        <w:rPr>
          <w:rFonts w:ascii="Times New Roman CYR" w:hAnsi="Times New Roman CYR" w:cs="Times New Roman CYR"/>
          <w:sz w:val="21"/>
          <w:szCs w:val="21"/>
          <w:lang w:val="en-US" w:eastAsia="ru-RU"/>
        </w:rPr>
        <w:t xml:space="preserve"> </w:t>
      </w:r>
      <w:r w:rsidRPr="00D337FA">
        <w:rPr>
          <w:sz w:val="21"/>
          <w:szCs w:val="21"/>
          <w:lang w:val="en-US" w:eastAsia="ru-RU"/>
        </w:rPr>
        <w:t>(Economics)</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Director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General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002C4EDB" w:rsidRPr="00D337FA">
        <w:rPr>
          <w:rFonts w:ascii="Times New Roman CYR" w:hAnsi="Times New Roman CYR" w:cs="Times New Roman CYR"/>
          <w:sz w:val="21"/>
          <w:szCs w:val="21"/>
          <w:lang w:val="en-US" w:eastAsia="ru-RU"/>
        </w:rPr>
        <w:t>Expocentre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AO,</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Chairman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Committee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002C4EDB" w:rsidRPr="00D337FA">
        <w:rPr>
          <w:rFonts w:ascii="Times New Roman CYR" w:hAnsi="Times New Roman CYR" w:cs="Times New Roman CYR"/>
          <w:sz w:val="21"/>
          <w:szCs w:val="21"/>
          <w:lang w:val="en-US" w:eastAsia="ru-RU"/>
        </w:rPr>
        <w:br/>
      </w:r>
      <w:r w:rsidRPr="00D337FA">
        <w:rPr>
          <w:rFonts w:ascii="Times New Roman CYR" w:hAnsi="Times New Roman CYR" w:cs="Times New Roman CYR"/>
          <w:sz w:val="21"/>
          <w:szCs w:val="21"/>
          <w:lang w:val="en-US" w:eastAsia="ru-RU"/>
        </w:rPr>
        <w:t>Chamber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Commerce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Industry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Russian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Federation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Exhibition,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Fair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Congress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Activities,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Head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Basic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Human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Resources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Management,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Plekhanov</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Russian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de-DE" w:eastAsia="ru-RU"/>
        </w:rPr>
        <w:t>S.Yu.</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b/>
          <w:bCs/>
          <w:sz w:val="21"/>
          <w:szCs w:val="21"/>
          <w:lang w:val="de-DE" w:eastAsia="ru-RU"/>
        </w:rPr>
        <w:t>Grishin</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sz w:val="21"/>
          <w:szCs w:val="21"/>
          <w:lang w:val="de-DE" w:eastAsia="ru-RU"/>
        </w:rPr>
        <w:t>–</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de-DE" w:eastAsia="ru-RU"/>
        </w:rPr>
        <w:t>Dr.</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de-DE" w:eastAsia="ru-RU"/>
        </w:rPr>
        <w:t>Sc.</w:t>
      </w:r>
      <w:r w:rsidR="006C680D" w:rsidRPr="00D337FA">
        <w:rPr>
          <w:rFonts w:ascii="Times New Roman CYR" w:hAnsi="Times New Roman CYR" w:cs="Times New Roman CYR"/>
          <w:sz w:val="21"/>
          <w:szCs w:val="21"/>
          <w:lang w:val="de-DE" w:eastAsia="ru-RU"/>
        </w:rPr>
        <w:t xml:space="preserve"> </w:t>
      </w:r>
      <w:r w:rsidRPr="00D337FA">
        <w:rPr>
          <w:sz w:val="21"/>
          <w:szCs w:val="21"/>
          <w:lang w:val="en-US" w:eastAsia="ru-RU"/>
        </w:rPr>
        <w:t>(Economics)</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Vice-Rector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Social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Educational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Work,</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Associate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Management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in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Sphere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Services,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Saint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Petersburg</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en-US" w:eastAsia="ru-RU"/>
        </w:rPr>
        <w:t>G.Yu.</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Gagarina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sz w:val="21"/>
          <w:szCs w:val="21"/>
          <w:lang w:val="en-US" w:eastAsia="ru-RU"/>
        </w:rPr>
        <w:t>(Economics)</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Head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National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Regional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002C4EDB" w:rsidRPr="00D337FA">
        <w:rPr>
          <w:rFonts w:ascii="Times New Roman CYR" w:hAnsi="Times New Roman CYR" w:cs="Times New Roman CYR"/>
          <w:sz w:val="21"/>
          <w:szCs w:val="21"/>
          <w:lang w:val="en-US" w:eastAsia="ru-RU"/>
        </w:rPr>
        <w:br/>
      </w:r>
      <w:r w:rsidRPr="00D337FA">
        <w:rPr>
          <w:rFonts w:ascii="Times New Roman CYR" w:hAnsi="Times New Roman CYR" w:cs="Times New Roman CYR"/>
          <w:sz w:val="21"/>
          <w:szCs w:val="21"/>
          <w:lang w:val="en-US" w:eastAsia="ru-RU"/>
        </w:rPr>
        <w:t>Plekhanov</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Russian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en-US" w:eastAsia="ru-RU"/>
        </w:rPr>
        <w:t>E.G.</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Popkova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International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Relations,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Patrice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Lumumba</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Peoples’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Friendship</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Russia,</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President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ANO</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Institute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Scientific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Communications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(Moscow,</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Volgograd)</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val="de-DE" w:eastAsia="ru-RU"/>
        </w:rPr>
        <w:t>F.P.</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b/>
          <w:bCs/>
          <w:sz w:val="21"/>
          <w:szCs w:val="21"/>
          <w:lang w:val="de-DE" w:eastAsia="ru-RU"/>
        </w:rPr>
        <w:t>Rahmanov</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sz w:val="21"/>
          <w:szCs w:val="21"/>
          <w:lang w:val="de-DE" w:eastAsia="ru-RU"/>
        </w:rPr>
        <w:t>–</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sz w:val="21"/>
          <w:szCs w:val="21"/>
          <w:lang w:val="de-DE" w:eastAsia="ru-RU"/>
        </w:rPr>
        <w:t>Dr.</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de-DE" w:eastAsia="ru-RU"/>
        </w:rPr>
        <w:t>Sc.</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00812765"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00812765"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00812765"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00812765" w:rsidRPr="00D337FA">
        <w:rPr>
          <w:rFonts w:ascii="Times New Roman CYR" w:hAnsi="Times New Roman CYR" w:cs="Times New Roman CYR"/>
          <w:sz w:val="21"/>
          <w:szCs w:val="21"/>
          <w:lang w:val="en-US" w:eastAsia="ru-RU"/>
        </w:rPr>
        <w:t>Economy</w:t>
      </w:r>
      <w:r w:rsidR="006C680D" w:rsidRPr="00D337FA">
        <w:rPr>
          <w:rFonts w:ascii="Times New Roman CYR" w:hAnsi="Times New Roman CYR" w:cs="Times New Roman CYR"/>
          <w:sz w:val="21"/>
          <w:szCs w:val="21"/>
          <w:lang w:val="en-US" w:eastAsia="ru-RU"/>
        </w:rPr>
        <w:t xml:space="preserve"> </w:t>
      </w:r>
      <w:r w:rsidR="00812765"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Azerbaijan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en-US" w:eastAsia="ru-RU"/>
        </w:rPr>
        <w:t>E.B.</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Suleymanov</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PhD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Associate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Deputy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Chairman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Board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Directors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National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Observatory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Labor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Market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Social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Protection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Republic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Azerbaijan</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center"/>
        <w:rPr>
          <w:rFonts w:ascii="Times New Roman CYR" w:hAnsi="Times New Roman CYR" w:cs="Times New Roman CYR"/>
          <w:b/>
          <w:bCs/>
          <w:sz w:val="22"/>
          <w:szCs w:val="22"/>
          <w:lang w:val="en-US" w:eastAsia="ru-RU"/>
        </w:rPr>
      </w:pP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center"/>
        <w:rPr>
          <w:rFonts w:ascii="Times New Roman CYR" w:hAnsi="Times New Roman CYR" w:cs="Times New Roman CYR"/>
          <w:b/>
          <w:bCs/>
          <w:sz w:val="22"/>
          <w:szCs w:val="22"/>
          <w:lang w:val="en-US" w:eastAsia="ru-RU"/>
        </w:rPr>
      </w:pPr>
      <w:r w:rsidRPr="00D337FA">
        <w:rPr>
          <w:rFonts w:ascii="Times New Roman CYR" w:hAnsi="Times New Roman CYR" w:cs="Times New Roman CYR"/>
          <w:b/>
          <w:bCs/>
          <w:sz w:val="22"/>
          <w:szCs w:val="22"/>
          <w:lang w:val="en-US" w:eastAsia="ru-RU"/>
        </w:rPr>
        <w:t>EDITORIAL</w:t>
      </w:r>
      <w:r w:rsidR="006C680D" w:rsidRPr="00D337FA">
        <w:rPr>
          <w:rFonts w:ascii="Times New Roman CYR" w:hAnsi="Times New Roman CYR" w:cs="Times New Roman CYR"/>
          <w:b/>
          <w:bCs/>
          <w:sz w:val="22"/>
          <w:szCs w:val="22"/>
          <w:lang w:val="en-US" w:eastAsia="ru-RU"/>
        </w:rPr>
        <w:t xml:space="preserve"> </w:t>
      </w:r>
      <w:r w:rsidRPr="00D337FA">
        <w:rPr>
          <w:rFonts w:ascii="Times New Roman CYR" w:hAnsi="Times New Roman CYR" w:cs="Times New Roman CYR"/>
          <w:b/>
          <w:bCs/>
          <w:sz w:val="22"/>
          <w:szCs w:val="22"/>
          <w:lang w:val="en-US" w:eastAsia="ru-RU"/>
        </w:rPr>
        <w:t>BOARD:</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i/>
          <w:iCs/>
          <w:sz w:val="21"/>
          <w:szCs w:val="21"/>
          <w:lang w:val="en-US" w:eastAsia="ru-RU"/>
        </w:rPr>
      </w:pPr>
      <w:r w:rsidRPr="00D337FA">
        <w:rPr>
          <w:rFonts w:ascii="Times New Roman CYR" w:hAnsi="Times New Roman CYR" w:cs="Times New Roman CYR"/>
          <w:b/>
          <w:bCs/>
          <w:i/>
          <w:iCs/>
          <w:sz w:val="21"/>
          <w:szCs w:val="21"/>
          <w:lang w:val="en-US" w:eastAsia="ru-RU"/>
        </w:rPr>
        <w:t>Assistant</w:t>
      </w:r>
      <w:r w:rsidR="006C680D" w:rsidRPr="00D337FA">
        <w:rPr>
          <w:rFonts w:ascii="Times New Roman CYR" w:hAnsi="Times New Roman CYR" w:cs="Times New Roman CYR"/>
          <w:b/>
          <w:bCs/>
          <w:i/>
          <w:iCs/>
          <w:sz w:val="21"/>
          <w:szCs w:val="21"/>
          <w:lang w:val="en-US" w:eastAsia="ru-RU"/>
        </w:rPr>
        <w:t xml:space="preserve"> </w:t>
      </w:r>
      <w:r w:rsidRPr="00D337FA">
        <w:rPr>
          <w:rFonts w:ascii="Times New Roman CYR" w:hAnsi="Times New Roman CYR" w:cs="Times New Roman CYR"/>
          <w:b/>
          <w:bCs/>
          <w:i/>
          <w:iCs/>
          <w:sz w:val="21"/>
          <w:szCs w:val="21"/>
          <w:lang w:val="en-US" w:eastAsia="ru-RU"/>
        </w:rPr>
        <w:t>Editor</w:t>
      </w:r>
      <w:r w:rsidR="006C680D" w:rsidRPr="00D337FA">
        <w:rPr>
          <w:rFonts w:ascii="Times New Roman CYR" w:hAnsi="Times New Roman CYR" w:cs="Times New Roman CYR"/>
          <w:b/>
          <w:bCs/>
          <w:i/>
          <w:iCs/>
          <w:sz w:val="21"/>
          <w:szCs w:val="21"/>
          <w:lang w:val="en-US" w:eastAsia="ru-RU"/>
        </w:rPr>
        <w:t xml:space="preserve"> </w:t>
      </w:r>
      <w:r w:rsidRPr="00D337FA">
        <w:rPr>
          <w:rFonts w:ascii="Times New Roman CYR" w:hAnsi="Times New Roman CYR" w:cs="Times New Roman CYR"/>
          <w:b/>
          <w:bCs/>
          <w:sz w:val="21"/>
          <w:szCs w:val="21"/>
          <w:lang w:val="en-US" w:eastAsia="ru-RU"/>
        </w:rPr>
        <w:t>–</w:t>
      </w:r>
      <w:r w:rsidR="006C680D" w:rsidRPr="00D337FA">
        <w:rPr>
          <w:rFonts w:ascii="Times New Roman CYR" w:hAnsi="Times New Roman CYR" w:cs="Times New Roman CYR"/>
          <w:b/>
          <w:bCs/>
          <w:i/>
          <w:iCs/>
          <w:sz w:val="21"/>
          <w:szCs w:val="21"/>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val="en-US" w:eastAsia="ru-RU"/>
        </w:rPr>
        <w:t>O.N.</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Kiseleva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Industry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Management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Security,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Yuri</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Gagarin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val="en-US" w:eastAsia="ru-RU"/>
        </w:rPr>
        <w:t>T.A.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Gileva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Associate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Strategic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Innovative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Development,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Financial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under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Government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Russian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Federation</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val="en-US" w:eastAsia="ru-RU"/>
        </w:rPr>
        <w:t>N.V.</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Zlobina</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the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Security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Quality,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Tambov</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p>
    <w:p w:rsidR="00270FB2"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val="de-DE" w:eastAsia="ru-RU"/>
        </w:rPr>
        <w:t>E.A.</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b/>
          <w:bCs/>
          <w:sz w:val="21"/>
          <w:szCs w:val="21"/>
          <w:lang w:val="de-DE" w:eastAsia="ru-RU"/>
        </w:rPr>
        <w:t>Ermakova</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sz w:val="21"/>
          <w:szCs w:val="21"/>
          <w:lang w:val="de-DE" w:eastAsia="ru-RU"/>
        </w:rPr>
        <w:t>–</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de-DE" w:eastAsia="ru-RU"/>
        </w:rPr>
        <w:t>Dr.</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de-DE" w:eastAsia="ru-RU"/>
        </w:rPr>
        <w:t>Sc.</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Finance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Banking,</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Yuri</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Gagarin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002C4EDB" w:rsidRPr="00D337FA">
        <w:rPr>
          <w:rFonts w:ascii="Times New Roman CYR" w:hAnsi="Times New Roman CYR" w:cs="Times New Roman CYR"/>
          <w:sz w:val="21"/>
          <w:szCs w:val="21"/>
          <w:lang w:val="en-US" w:eastAsia="ru-RU"/>
        </w:rPr>
        <w:br/>
      </w:r>
      <w:r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p>
    <w:p w:rsidR="00707D4F" w:rsidRPr="00D337FA" w:rsidRDefault="00270FB2"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sz w:val="21"/>
          <w:szCs w:val="21"/>
          <w:lang w:val="en-US" w:eastAsia="ru-RU"/>
        </w:rPr>
        <w:t>Kushnikov</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V.A.</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b/>
          <w:bCs/>
          <w:sz w:val="21"/>
          <w:szCs w:val="21"/>
          <w:lang w:val="de-DE" w:eastAsia="ru-RU"/>
        </w:rPr>
        <w:t>–</w:t>
      </w:r>
      <w:r w:rsidR="006C680D" w:rsidRPr="00D337FA">
        <w:rPr>
          <w:rFonts w:ascii="Times New Roman CYR" w:hAnsi="Times New Roman CYR" w:cs="Times New Roman CYR"/>
          <w:b/>
          <w:bCs/>
          <w:sz w:val="21"/>
          <w:szCs w:val="21"/>
          <w:lang w:val="de-DE" w:eastAsia="ru-RU"/>
        </w:rPr>
        <w:t xml:space="preserve"> </w:t>
      </w:r>
      <w:r w:rsidR="00707D4F" w:rsidRPr="00D337FA">
        <w:rPr>
          <w:rFonts w:ascii="Times New Roman CYR" w:hAnsi="Times New Roman CYR" w:cs="Times New Roman CYR"/>
          <w:sz w:val="21"/>
          <w:szCs w:val="21"/>
          <w:lang w:val="de-DE" w:eastAsia="ru-RU"/>
        </w:rPr>
        <w:t>Dr.</w:t>
      </w:r>
      <w:r w:rsidR="006C680D" w:rsidRPr="00D337FA">
        <w:rPr>
          <w:rFonts w:ascii="Times New Roman CYR" w:hAnsi="Times New Roman CYR" w:cs="Times New Roman CYR"/>
          <w:sz w:val="21"/>
          <w:szCs w:val="21"/>
          <w:lang w:val="de-DE" w:eastAsia="ru-RU"/>
        </w:rPr>
        <w:t xml:space="preserve"> </w:t>
      </w:r>
      <w:r w:rsidR="00707D4F" w:rsidRPr="00D337FA">
        <w:rPr>
          <w:rFonts w:ascii="Times New Roman CYR" w:hAnsi="Times New Roman CYR" w:cs="Times New Roman CYR"/>
          <w:sz w:val="21"/>
          <w:szCs w:val="21"/>
          <w:lang w:val="de-DE" w:eastAsia="ru-RU"/>
        </w:rPr>
        <w:t>Sc.</w:t>
      </w:r>
      <w:r w:rsidR="006C680D" w:rsidRPr="00D337FA">
        <w:rPr>
          <w:rFonts w:ascii="Times New Roman CYR" w:hAnsi="Times New Roman CYR" w:cs="Times New Roman CYR"/>
          <w:sz w:val="21"/>
          <w:szCs w:val="21"/>
          <w:lang w:val="de-DE" w:eastAsia="ru-RU"/>
        </w:rPr>
        <w:t xml:space="preserve"> </w:t>
      </w:r>
      <w:r w:rsidR="00707D4F" w:rsidRPr="00D337FA">
        <w:rPr>
          <w:rFonts w:ascii="Times New Roman CYR" w:hAnsi="Times New Roman CYR" w:cs="Times New Roman CYR"/>
          <w:sz w:val="21"/>
          <w:szCs w:val="21"/>
          <w:lang w:val="en-US" w:eastAsia="ru-RU"/>
        </w:rPr>
        <w:t>(</w:t>
      </w:r>
      <w:r w:rsidRPr="00D337FA">
        <w:rPr>
          <w:rFonts w:ascii="Times New Roman CYR" w:hAnsi="Times New Roman CYR" w:cs="Times New Roman CYR"/>
          <w:sz w:val="21"/>
          <w:szCs w:val="21"/>
          <w:lang w:val="en-US" w:eastAsia="ru-RU"/>
        </w:rPr>
        <w:t>Technics</w:t>
      </w:r>
      <w:r w:rsidR="00707D4F"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Applied</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Information</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Technologies,</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Yuri</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Gagarin</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00707D4F" w:rsidRPr="00D337FA">
        <w:rPr>
          <w:rFonts w:ascii="Times New Roman CYR" w:hAnsi="Times New Roman CYR" w:cs="Times New Roman CYR"/>
          <w:sz w:val="21"/>
          <w:szCs w:val="21"/>
          <w:lang w:val="en-US" w:eastAsia="ru-RU"/>
        </w:rPr>
        <w:t>Saratov</w:t>
      </w:r>
      <w:r w:rsidR="006C680D" w:rsidRPr="00D337FA">
        <w:rPr>
          <w:rFonts w:ascii="Times New Roman CYR" w:hAnsi="Times New Roman CYR" w:cs="Times New Roman CYR"/>
          <w:sz w:val="21"/>
          <w:szCs w:val="21"/>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val="en-US" w:eastAsia="ru-RU"/>
        </w:rPr>
        <w:t>N.V.</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Ukolova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Associate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Accounting</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Statistics,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Vavilov</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Agrarian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eastAsia="ru-RU"/>
        </w:rPr>
        <w:t>А</w:t>
      </w:r>
      <w:r w:rsidRPr="00D337FA">
        <w:rPr>
          <w:rFonts w:ascii="Times New Roman CYR" w:hAnsi="Times New Roman CYR" w:cs="Times New Roman CYR"/>
          <w:b/>
          <w:bCs/>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eastAsia="ru-RU"/>
        </w:rPr>
        <w:t>А</w:t>
      </w:r>
      <w:r w:rsidRPr="00D337FA">
        <w:rPr>
          <w:rFonts w:ascii="Times New Roman CYR" w:hAnsi="Times New Roman CYR" w:cs="Times New Roman CYR"/>
          <w:b/>
          <w:bCs/>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Firsova</w:t>
      </w:r>
      <w:r w:rsidR="006C680D" w:rsidRPr="00D337FA">
        <w:rPr>
          <w:rFonts w:ascii="Times New Roman CYR" w:hAnsi="Times New Roman CYR" w:cs="Times New Roman CYR"/>
          <w:sz w:val="21"/>
          <w:szCs w:val="21"/>
          <w:lang w:val="en-US" w:eastAsia="ru-RU"/>
        </w:rPr>
        <w:t xml:space="preserve"> </w:t>
      </w:r>
      <w:r w:rsidR="002C4EDB"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002C4EDB"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Finance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Credit,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z w:val="21"/>
          <w:szCs w:val="21"/>
          <w:lang w:val="en-US" w:eastAsia="ru-RU"/>
        </w:rPr>
      </w:pPr>
      <w:r w:rsidRPr="00D337FA">
        <w:rPr>
          <w:rFonts w:ascii="Times New Roman CYR" w:hAnsi="Times New Roman CYR" w:cs="Times New Roman CYR"/>
          <w:b/>
          <w:bCs/>
          <w:sz w:val="21"/>
          <w:szCs w:val="21"/>
          <w:lang w:val="en-US" w:eastAsia="ru-RU"/>
        </w:rPr>
        <w:t>S.Yu.</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Shevchenko</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002C4EDB"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Management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Enterprises,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Saint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Petersburg</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en-US" w:eastAsia="ru-RU"/>
        </w:rPr>
        <w:t>A.V.</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Yakunina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002C4EDB" w:rsidRPr="00D337FA">
        <w:rPr>
          <w:rFonts w:ascii="Times New Roman CYR" w:hAnsi="Times New Roman CYR" w:cs="Times New Roman CYR"/>
          <w:sz w:val="21"/>
          <w:szCs w:val="21"/>
          <w:lang w:val="en-US" w:eastAsia="ru-RU"/>
        </w:rPr>
        <w:t>Dr.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Sc.</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Finance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and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Banking,</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Yuri</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Gagarin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de-DE" w:eastAsia="ru-RU"/>
        </w:rPr>
        <w:t>E.V.</w:t>
      </w:r>
      <w:r w:rsidR="006C680D" w:rsidRPr="00D337FA">
        <w:rPr>
          <w:rFonts w:ascii="Times New Roman CYR" w:hAnsi="Times New Roman CYR" w:cs="Times New Roman CYR"/>
          <w:b/>
          <w:bCs/>
          <w:sz w:val="21"/>
          <w:szCs w:val="21"/>
          <w:lang w:val="de-DE" w:eastAsia="ru-RU"/>
        </w:rPr>
        <w:t xml:space="preserve"> </w:t>
      </w:r>
      <w:r w:rsidRPr="00D337FA">
        <w:rPr>
          <w:rFonts w:ascii="Times New Roman CYR" w:hAnsi="Times New Roman CYR" w:cs="Times New Roman CYR"/>
          <w:b/>
          <w:bCs/>
          <w:sz w:val="21"/>
          <w:szCs w:val="21"/>
          <w:lang w:val="de-DE" w:eastAsia="ru-RU"/>
        </w:rPr>
        <w:t>Yanchenko</w:t>
      </w:r>
      <w:r w:rsidR="006C680D" w:rsidRPr="00D337FA">
        <w:rPr>
          <w:rFonts w:ascii="Times New Roman CYR" w:hAnsi="Times New Roman CYR" w:cs="Times New Roman CYR"/>
          <w:b/>
          <w:bCs/>
          <w:sz w:val="21"/>
          <w:szCs w:val="21"/>
          <w:lang w:val="de-DE" w:eastAsia="ru-RU"/>
        </w:rPr>
        <w:t xml:space="preserve"> </w:t>
      </w:r>
      <w:r w:rsidR="00D337FA" w:rsidRPr="00D337FA">
        <w:rPr>
          <w:rFonts w:ascii="Times New Roman CYR" w:hAnsi="Times New Roman CYR" w:cs="Times New Roman CYR"/>
          <w:b/>
          <w:bCs/>
          <w:sz w:val="21"/>
          <w:szCs w:val="21"/>
          <w:lang w:val="en-US" w:eastAsia="ru-RU"/>
        </w:rPr>
        <w:t xml:space="preserve">– </w:t>
      </w:r>
      <w:r w:rsidR="002C4EDB" w:rsidRPr="00D337FA">
        <w:rPr>
          <w:rFonts w:ascii="Times New Roman CYR" w:hAnsi="Times New Roman CYR" w:cs="Times New Roman CYR"/>
          <w:sz w:val="21"/>
          <w:szCs w:val="21"/>
          <w:lang w:val="de-DE" w:eastAsia="ru-RU"/>
        </w:rPr>
        <w:t>Dr.</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de-DE" w:eastAsia="ru-RU"/>
        </w:rPr>
        <w:t>Sc.</w:t>
      </w:r>
      <w:r w:rsidR="006C680D" w:rsidRPr="00D337FA">
        <w:rPr>
          <w:rFonts w:ascii="Times New Roman CYR" w:hAnsi="Times New Roman CYR" w:cs="Times New Roman CYR"/>
          <w:sz w:val="21"/>
          <w:szCs w:val="21"/>
          <w:lang w:val="de-DE"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sz w:val="21"/>
          <w:szCs w:val="21"/>
          <w:lang w:val="en-US" w:eastAsia="ru-RU"/>
        </w:rPr>
        <w:t>Economics</w:t>
      </w:r>
      <w:r w:rsidR="006C680D" w:rsidRPr="00D337FA">
        <w:rPr>
          <w:sz w:val="21"/>
          <w:szCs w:val="21"/>
          <w:lang w:val="en-US" w:eastAsia="ru-RU"/>
        </w:rPr>
        <w:t xml:space="preserve"> </w:t>
      </w:r>
      <w:r w:rsidRPr="00D337FA">
        <w:rPr>
          <w:sz w:val="21"/>
          <w:szCs w:val="21"/>
          <w:lang w:val="en-US" w:eastAsia="ru-RU"/>
        </w:rPr>
        <w:t>and</w:t>
      </w:r>
      <w:r w:rsidR="006C680D" w:rsidRPr="00D337FA">
        <w:rPr>
          <w:sz w:val="21"/>
          <w:szCs w:val="21"/>
          <w:lang w:val="en-US" w:eastAsia="ru-RU"/>
        </w:rPr>
        <w:t xml:space="preserve"> </w:t>
      </w:r>
      <w:r w:rsidRPr="00D337FA">
        <w:rPr>
          <w:sz w:val="21"/>
          <w:szCs w:val="21"/>
          <w:lang w:val="en-US" w:eastAsia="ru-RU"/>
        </w:rPr>
        <w:t>Marketing</w:t>
      </w:r>
      <w:r w:rsidRPr="00D337FA">
        <w:rPr>
          <w:rFonts w:ascii="Times New Roman CYR" w:hAnsi="Times New Roman CYR" w:cs="Times New Roman CYR"/>
          <w:sz w:val="21"/>
          <w:szCs w:val="21"/>
          <w:lang w:val="en-US" w:eastAsia="ru-RU"/>
        </w:rPr>
        <w: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Yuri</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Gagarin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 w:val="21"/>
          <w:szCs w:val="21"/>
          <w:lang w:val="en-US" w:eastAsia="ru-RU"/>
        </w:rPr>
      </w:pPr>
      <w:r w:rsidRPr="00D337FA">
        <w:rPr>
          <w:rFonts w:ascii="Times New Roman CYR" w:hAnsi="Times New Roman CYR" w:cs="Times New Roman CYR"/>
          <w:b/>
          <w:bCs/>
          <w:sz w:val="21"/>
          <w:szCs w:val="21"/>
          <w:lang w:val="en-US" w:eastAsia="ru-RU"/>
        </w:rPr>
        <w:t>L.V.</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Slavnetskova</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b/>
          <w:bCs/>
          <w:sz w:val="21"/>
          <w:szCs w:val="21"/>
          <w:lang w:val="en-US" w:eastAsia="ru-RU"/>
        </w:rPr>
        <w:t>–</w:t>
      </w:r>
      <w:r w:rsidR="006C680D" w:rsidRPr="00D337FA">
        <w:rPr>
          <w:rFonts w:ascii="Times New Roman CYR" w:hAnsi="Times New Roman CYR" w:cs="Times New Roman CYR"/>
          <w:b/>
          <w:bCs/>
          <w:sz w:val="21"/>
          <w:szCs w:val="21"/>
          <w:lang w:val="en-US" w:eastAsia="ru-RU"/>
        </w:rPr>
        <w:t xml:space="preserve"> </w:t>
      </w:r>
      <w:r w:rsidRPr="00D337FA">
        <w:rPr>
          <w:rFonts w:ascii="Times New Roman CYR" w:hAnsi="Times New Roman CYR" w:cs="Times New Roman CYR"/>
          <w:sz w:val="21"/>
          <w:szCs w:val="21"/>
          <w:lang w:val="en-US" w:eastAsia="ru-RU"/>
        </w:rPr>
        <w:t>PhD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(Economics),</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Associate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Professor,</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Head</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Department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Industrial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Management,</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Yuri</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Gagarin</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State</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Technical</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University</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of</w:t>
      </w:r>
      <w:r w:rsidR="006C680D" w:rsidRPr="00D337FA">
        <w:rPr>
          <w:rFonts w:ascii="Times New Roman CYR" w:hAnsi="Times New Roman CYR" w:cs="Times New Roman CYR"/>
          <w:sz w:val="21"/>
          <w:szCs w:val="21"/>
          <w:lang w:val="en-US" w:eastAsia="ru-RU"/>
        </w:rPr>
        <w:t xml:space="preserve"> </w:t>
      </w:r>
      <w:r w:rsidRPr="00D337FA">
        <w:rPr>
          <w:rFonts w:ascii="Times New Roman CYR" w:hAnsi="Times New Roman CYR" w:cs="Times New Roman CYR"/>
          <w:sz w:val="21"/>
          <w:szCs w:val="21"/>
          <w:lang w:val="en-US" w:eastAsia="ru-RU"/>
        </w:rPr>
        <w:t>Saratov</w:t>
      </w:r>
      <w:r w:rsidR="006C680D" w:rsidRPr="00D337FA">
        <w:rPr>
          <w:rFonts w:ascii="Times New Roman CYR" w:hAnsi="Times New Roman CYR" w:cs="Times New Roman CYR"/>
          <w:sz w:val="21"/>
          <w:szCs w:val="21"/>
          <w:lang w:val="en-US" w:eastAsia="ru-RU"/>
        </w:rPr>
        <w:t xml:space="preserve"> </w:t>
      </w:r>
    </w:p>
    <w:p w:rsidR="00707D4F" w:rsidRPr="00D337FA" w:rsidRDefault="00707D4F" w:rsidP="00707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szCs w:val="24"/>
          <w:highlight w:val="yellow"/>
          <w:lang w:val="en-US" w:eastAsia="ru-RU"/>
        </w:rPr>
      </w:pPr>
    </w:p>
    <w:p w:rsidR="00DC2541" w:rsidRPr="00D337FA" w:rsidRDefault="00DC2541" w:rsidP="00DC2541">
      <w:pPr>
        <w:rPr>
          <w:sz w:val="28"/>
          <w:szCs w:val="28"/>
          <w:highlight w:val="yellow"/>
          <w:lang w:val="en-US"/>
        </w:rPr>
        <w:sectPr w:rsidR="00DC2541" w:rsidRPr="00D337FA" w:rsidSect="00165CF6">
          <w:headerReference w:type="even" r:id="rId9"/>
          <w:headerReference w:type="default" r:id="rId10"/>
          <w:footerReference w:type="even" r:id="rId11"/>
          <w:footerReference w:type="default" r:id="rId12"/>
          <w:footnotePr>
            <w:numRestart w:val="eachPage"/>
          </w:footnotePr>
          <w:type w:val="continuous"/>
          <w:pgSz w:w="11907" w:h="16840" w:code="9"/>
          <w:pgMar w:top="1418" w:right="1134" w:bottom="1418" w:left="1134" w:header="1021" w:footer="1021" w:gutter="0"/>
          <w:cols w:space="720"/>
        </w:sectPr>
      </w:pPr>
    </w:p>
    <w:p w:rsidR="000B48BE" w:rsidRPr="00D337FA" w:rsidRDefault="000B48BE" w:rsidP="00DD11DE">
      <w:pPr>
        <w:pStyle w:val="afd"/>
        <w:rPr>
          <w:color w:val="auto"/>
          <w:sz w:val="16"/>
          <w:szCs w:val="16"/>
        </w:rPr>
      </w:pPr>
      <w:r w:rsidRPr="00D337FA">
        <w:rPr>
          <w:color w:val="auto"/>
        </w:rPr>
        <w:lastRenderedPageBreak/>
        <w:t>СОДЕРЖАНИЕ</w:t>
      </w:r>
    </w:p>
    <w:p w:rsidR="000B48BE" w:rsidRPr="00D337FA" w:rsidRDefault="000B48BE" w:rsidP="00327797">
      <w:pPr>
        <w:rPr>
          <w:szCs w:val="40"/>
        </w:rPr>
      </w:pPr>
    </w:p>
    <w:p w:rsidR="001A7621" w:rsidRPr="00D337FA" w:rsidRDefault="001A7621" w:rsidP="009554DB">
      <w:pPr>
        <w:pStyle w:val="afc"/>
        <w:spacing w:line="240" w:lineRule="auto"/>
        <w:rPr>
          <w:rFonts w:ascii="Arial" w:hAnsi="Arial" w:cs="Arial"/>
          <w:b/>
          <w:bCs/>
          <w:i/>
          <w:iCs/>
          <w:caps/>
          <w:color w:val="auto"/>
          <w:u w:val="single" w:color="000000"/>
        </w:rPr>
      </w:pPr>
      <w:r w:rsidRPr="00D337FA">
        <w:rPr>
          <w:rFonts w:ascii="Arial" w:hAnsi="Arial" w:cs="Arial"/>
          <w:b/>
          <w:bCs/>
          <w:i/>
          <w:iCs/>
          <w:caps/>
          <w:color w:val="auto"/>
          <w:u w:val="single" w:color="000000"/>
        </w:rPr>
        <w:t>Региональная</w:t>
      </w:r>
      <w:r w:rsidR="006C680D" w:rsidRPr="00D337FA">
        <w:rPr>
          <w:rFonts w:ascii="Arial" w:hAnsi="Arial" w:cs="Arial"/>
          <w:b/>
          <w:bCs/>
          <w:i/>
          <w:iCs/>
          <w:caps/>
          <w:color w:val="auto"/>
          <w:u w:val="single" w:color="000000"/>
        </w:rPr>
        <w:t xml:space="preserve"> </w:t>
      </w:r>
      <w:r w:rsidRPr="00D337FA">
        <w:rPr>
          <w:rFonts w:ascii="Arial" w:hAnsi="Arial" w:cs="Arial"/>
          <w:b/>
          <w:bCs/>
          <w:i/>
          <w:iCs/>
          <w:caps/>
          <w:color w:val="auto"/>
          <w:u w:val="single" w:color="000000"/>
        </w:rPr>
        <w:t>и</w:t>
      </w:r>
      <w:r w:rsidR="006C680D" w:rsidRPr="00D337FA">
        <w:rPr>
          <w:rFonts w:ascii="Arial" w:hAnsi="Arial" w:cs="Arial"/>
          <w:b/>
          <w:bCs/>
          <w:i/>
          <w:iCs/>
          <w:caps/>
          <w:color w:val="auto"/>
          <w:u w:val="single" w:color="000000"/>
        </w:rPr>
        <w:t xml:space="preserve"> </w:t>
      </w:r>
      <w:r w:rsidRPr="00D337FA">
        <w:rPr>
          <w:rFonts w:ascii="Arial" w:hAnsi="Arial" w:cs="Arial"/>
          <w:b/>
          <w:bCs/>
          <w:i/>
          <w:iCs/>
          <w:caps/>
          <w:color w:val="auto"/>
          <w:u w:val="single" w:color="000000"/>
        </w:rPr>
        <w:t>отраслевая</w:t>
      </w:r>
      <w:r w:rsidR="006C680D" w:rsidRPr="00D337FA">
        <w:rPr>
          <w:rFonts w:ascii="Arial" w:hAnsi="Arial" w:cs="Arial"/>
          <w:b/>
          <w:bCs/>
          <w:i/>
          <w:iCs/>
          <w:caps/>
          <w:color w:val="auto"/>
          <w:u w:val="single" w:color="000000"/>
        </w:rPr>
        <w:t xml:space="preserve"> </w:t>
      </w:r>
      <w:r w:rsidRPr="00D337FA">
        <w:rPr>
          <w:rFonts w:ascii="Arial" w:hAnsi="Arial" w:cs="Arial"/>
          <w:b/>
          <w:bCs/>
          <w:i/>
          <w:iCs/>
          <w:caps/>
          <w:color w:val="auto"/>
          <w:u w:val="single" w:color="000000"/>
        </w:rPr>
        <w:t>экономика</w:t>
      </w:r>
    </w:p>
    <w:p w:rsidR="006F3AE9" w:rsidRPr="00D337FA" w:rsidRDefault="006F3AE9" w:rsidP="009554DB">
      <w:pPr>
        <w:pStyle w:val="afc"/>
        <w:spacing w:line="240" w:lineRule="auto"/>
        <w:rPr>
          <w:rFonts w:ascii="Arial" w:hAnsi="Arial" w:cs="Arial"/>
          <w:b/>
          <w:bCs/>
          <w:i/>
          <w:iCs/>
          <w:caps/>
          <w:color w:val="auto"/>
          <w:u w:val="thick" w:color="000000"/>
        </w:rPr>
      </w:pPr>
    </w:p>
    <w:tbl>
      <w:tblPr>
        <w:tblStyle w:val="af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708"/>
      </w:tblGrid>
      <w:tr w:rsidR="005C327C" w:rsidRPr="00D337FA" w:rsidTr="00CB3FDB">
        <w:tc>
          <w:tcPr>
            <w:tcW w:w="9039" w:type="dxa"/>
          </w:tcPr>
          <w:p w:rsidR="005C327C" w:rsidRPr="005C327C" w:rsidRDefault="005C327C" w:rsidP="005C327C">
            <w:pPr>
              <w:autoSpaceDE w:val="0"/>
              <w:autoSpaceDN w:val="0"/>
              <w:adjustRightInd w:val="0"/>
              <w:ind w:firstLine="0"/>
              <w:jc w:val="left"/>
              <w:textAlignment w:val="center"/>
              <w:rPr>
                <w:i/>
                <w:sz w:val="23"/>
                <w:szCs w:val="23"/>
              </w:rPr>
            </w:pPr>
            <w:r w:rsidRPr="005C327C">
              <w:rPr>
                <w:rFonts w:ascii="Arial" w:hAnsi="Arial" w:cs="Arial"/>
                <w:b/>
                <w:bCs/>
                <w:i/>
                <w:iCs/>
                <w:sz w:val="23"/>
                <w:szCs w:val="23"/>
                <w:lang w:eastAsia="ru-RU"/>
              </w:rPr>
              <w:t xml:space="preserve">Власов Д.В.  </w:t>
            </w:r>
            <w:r w:rsidRPr="005C327C">
              <w:rPr>
                <w:rFonts w:ascii="Arial" w:hAnsi="Arial" w:cs="Arial"/>
                <w:bCs/>
                <w:i/>
                <w:iCs/>
                <w:sz w:val="23"/>
                <w:szCs w:val="23"/>
                <w:lang w:eastAsia="ru-RU"/>
              </w:rPr>
              <w:t>Совершенствование методического подхода к оценке информационно-аналитического обеспечения управления инновациями машиностроительного предприятия</w:t>
            </w:r>
          </w:p>
          <w:p w:rsidR="005C327C" w:rsidRPr="00D337FA" w:rsidRDefault="005C327C" w:rsidP="005C327C">
            <w:pPr>
              <w:pStyle w:val="afd"/>
              <w:jc w:val="left"/>
              <w:rPr>
                <w:i/>
                <w:color w:val="auto"/>
                <w:sz w:val="23"/>
                <w:szCs w:val="23"/>
                <w:highlight w:val="yellow"/>
              </w:rPr>
            </w:pPr>
            <w:r w:rsidRPr="005C327C">
              <w:rPr>
                <w:i/>
                <w:color w:val="auto"/>
                <w:sz w:val="23"/>
                <w:szCs w:val="23"/>
              </w:rPr>
              <w:t xml:space="preserve">Севастьянов Д.В., Прущак О.В. </w:t>
            </w:r>
            <w:r w:rsidRPr="005C327C">
              <w:rPr>
                <w:b w:val="0"/>
                <w:i/>
                <w:color w:val="auto"/>
                <w:sz w:val="23"/>
                <w:szCs w:val="23"/>
              </w:rPr>
              <w:t>Проблемы повышения устойчивости развития национального</w:t>
            </w:r>
            <w:r w:rsidRPr="00D337FA">
              <w:rPr>
                <w:b w:val="0"/>
                <w:i/>
                <w:color w:val="auto"/>
                <w:sz w:val="23"/>
                <w:szCs w:val="23"/>
              </w:rPr>
              <w:t xml:space="preserve"> продовольственного комплекса в условиях геоэкономических потрясений </w:t>
            </w:r>
          </w:p>
        </w:tc>
        <w:tc>
          <w:tcPr>
            <w:tcW w:w="708" w:type="dxa"/>
            <w:vMerge w:val="restart"/>
          </w:tcPr>
          <w:p w:rsidR="005C327C" w:rsidRPr="00E956D3" w:rsidRDefault="005C327C" w:rsidP="005C327C">
            <w:pPr>
              <w:pStyle w:val="aff4"/>
              <w:spacing w:line="240" w:lineRule="auto"/>
              <w:jc w:val="right"/>
              <w:rPr>
                <w:color w:val="auto"/>
                <w:sz w:val="23"/>
                <w:szCs w:val="23"/>
                <w:lang w:val="ru-RU"/>
              </w:rPr>
            </w:pPr>
          </w:p>
          <w:p w:rsidR="005C327C" w:rsidRDefault="005C327C" w:rsidP="005C327C">
            <w:pPr>
              <w:pStyle w:val="aff4"/>
              <w:spacing w:line="240" w:lineRule="auto"/>
              <w:jc w:val="right"/>
              <w:rPr>
                <w:color w:val="auto"/>
                <w:sz w:val="23"/>
                <w:szCs w:val="23"/>
                <w:lang w:val="ru-RU"/>
              </w:rPr>
            </w:pPr>
          </w:p>
          <w:p w:rsidR="005C327C" w:rsidRPr="00E956D3" w:rsidRDefault="005C327C" w:rsidP="005C327C">
            <w:pPr>
              <w:pStyle w:val="aff4"/>
              <w:spacing w:line="240" w:lineRule="auto"/>
              <w:jc w:val="right"/>
              <w:rPr>
                <w:color w:val="auto"/>
                <w:sz w:val="23"/>
                <w:szCs w:val="23"/>
                <w:lang w:val="ru-RU"/>
              </w:rPr>
            </w:pPr>
            <w:r w:rsidRPr="00E956D3">
              <w:rPr>
                <w:color w:val="auto"/>
                <w:sz w:val="23"/>
                <w:szCs w:val="23"/>
                <w:lang w:val="ru-RU"/>
              </w:rPr>
              <w:t>5</w:t>
            </w:r>
          </w:p>
          <w:p w:rsidR="005C327C" w:rsidRPr="00E956D3" w:rsidRDefault="005C327C" w:rsidP="005C327C">
            <w:pPr>
              <w:pStyle w:val="aff4"/>
              <w:spacing w:line="240" w:lineRule="auto"/>
              <w:jc w:val="right"/>
              <w:rPr>
                <w:color w:val="auto"/>
                <w:sz w:val="23"/>
                <w:szCs w:val="23"/>
                <w:lang w:val="ru-RU"/>
              </w:rPr>
            </w:pPr>
          </w:p>
          <w:p w:rsidR="005C327C" w:rsidRDefault="005C327C" w:rsidP="005C327C">
            <w:pPr>
              <w:pStyle w:val="aff4"/>
              <w:spacing w:line="240" w:lineRule="auto"/>
              <w:jc w:val="right"/>
              <w:rPr>
                <w:color w:val="auto"/>
                <w:sz w:val="23"/>
                <w:szCs w:val="23"/>
                <w:lang w:val="ru-RU"/>
              </w:rPr>
            </w:pPr>
          </w:p>
          <w:p w:rsidR="005C327C" w:rsidRPr="00E956D3" w:rsidRDefault="00CB3FDB" w:rsidP="005C327C">
            <w:pPr>
              <w:pStyle w:val="aff4"/>
              <w:spacing w:line="240" w:lineRule="auto"/>
              <w:jc w:val="right"/>
              <w:rPr>
                <w:color w:val="auto"/>
                <w:sz w:val="23"/>
                <w:szCs w:val="23"/>
                <w:lang w:val="ru-RU"/>
              </w:rPr>
            </w:pPr>
            <w:r>
              <w:rPr>
                <w:color w:val="auto"/>
                <w:sz w:val="23"/>
                <w:szCs w:val="23"/>
                <w:lang w:val="en-US"/>
              </w:rPr>
              <w:t>13</w:t>
            </w:r>
          </w:p>
          <w:p w:rsidR="005C327C" w:rsidRPr="00E956D3" w:rsidRDefault="005C327C" w:rsidP="005C327C">
            <w:pPr>
              <w:pStyle w:val="aff4"/>
              <w:spacing w:line="240" w:lineRule="auto"/>
              <w:jc w:val="right"/>
              <w:rPr>
                <w:color w:val="auto"/>
                <w:sz w:val="23"/>
                <w:szCs w:val="23"/>
                <w:lang w:val="ru-RU"/>
              </w:rPr>
            </w:pPr>
          </w:p>
          <w:p w:rsidR="005C327C" w:rsidRPr="00E956D3" w:rsidRDefault="005C327C" w:rsidP="005C327C">
            <w:pPr>
              <w:pStyle w:val="aff4"/>
              <w:spacing w:line="240" w:lineRule="auto"/>
              <w:jc w:val="right"/>
              <w:rPr>
                <w:color w:val="auto"/>
                <w:sz w:val="23"/>
                <w:szCs w:val="23"/>
                <w:lang w:val="ru-RU"/>
              </w:rPr>
            </w:pPr>
          </w:p>
          <w:p w:rsidR="00CB3FDB" w:rsidRDefault="00CB3FDB" w:rsidP="005C327C">
            <w:pPr>
              <w:pStyle w:val="aff4"/>
              <w:spacing w:line="240" w:lineRule="auto"/>
              <w:jc w:val="right"/>
              <w:rPr>
                <w:color w:val="auto"/>
                <w:sz w:val="23"/>
                <w:szCs w:val="23"/>
                <w:lang w:val="ru-RU"/>
              </w:rPr>
            </w:pPr>
          </w:p>
          <w:p w:rsidR="00CB3FDB" w:rsidRDefault="00CB3FDB" w:rsidP="005C327C">
            <w:pPr>
              <w:pStyle w:val="aff4"/>
              <w:spacing w:line="240" w:lineRule="auto"/>
              <w:jc w:val="right"/>
              <w:rPr>
                <w:color w:val="auto"/>
                <w:sz w:val="23"/>
                <w:szCs w:val="23"/>
                <w:lang w:val="ru-RU"/>
              </w:rPr>
            </w:pPr>
          </w:p>
          <w:p w:rsidR="005C327C" w:rsidRPr="00E956D3" w:rsidRDefault="005C327C" w:rsidP="005C327C">
            <w:pPr>
              <w:pStyle w:val="aff4"/>
              <w:spacing w:line="240" w:lineRule="auto"/>
              <w:jc w:val="right"/>
              <w:rPr>
                <w:color w:val="auto"/>
                <w:sz w:val="23"/>
                <w:szCs w:val="23"/>
                <w:lang w:val="ru-RU"/>
              </w:rPr>
            </w:pPr>
            <w:r w:rsidRPr="00E956D3">
              <w:rPr>
                <w:color w:val="auto"/>
                <w:sz w:val="23"/>
                <w:szCs w:val="23"/>
                <w:lang w:val="ru-RU"/>
              </w:rPr>
              <w:t>3</w:t>
            </w:r>
            <w:r w:rsidR="00CB3FDB">
              <w:rPr>
                <w:color w:val="auto"/>
                <w:sz w:val="23"/>
                <w:szCs w:val="23"/>
                <w:lang w:val="en-US"/>
              </w:rPr>
              <w:t>0</w:t>
            </w:r>
          </w:p>
          <w:p w:rsidR="005C327C" w:rsidRPr="001B6DB3" w:rsidRDefault="005C327C" w:rsidP="005C327C">
            <w:pPr>
              <w:pStyle w:val="aff4"/>
              <w:spacing w:line="240" w:lineRule="auto"/>
              <w:jc w:val="right"/>
              <w:rPr>
                <w:color w:val="auto"/>
                <w:sz w:val="23"/>
                <w:szCs w:val="23"/>
                <w:lang w:val="ru-RU"/>
              </w:rPr>
            </w:pPr>
          </w:p>
          <w:p w:rsidR="005C327C" w:rsidRPr="001B6DB3" w:rsidRDefault="005C327C" w:rsidP="005C327C">
            <w:pPr>
              <w:pStyle w:val="aff4"/>
              <w:spacing w:line="240" w:lineRule="auto"/>
              <w:jc w:val="right"/>
              <w:rPr>
                <w:color w:val="auto"/>
                <w:sz w:val="23"/>
                <w:szCs w:val="23"/>
                <w:lang w:val="ru-RU"/>
              </w:rPr>
            </w:pPr>
          </w:p>
          <w:p w:rsidR="005C327C" w:rsidRPr="00E956D3" w:rsidRDefault="00C2048E" w:rsidP="005C327C">
            <w:pPr>
              <w:pStyle w:val="aff4"/>
              <w:spacing w:line="240" w:lineRule="auto"/>
              <w:jc w:val="right"/>
              <w:rPr>
                <w:color w:val="auto"/>
                <w:sz w:val="23"/>
                <w:szCs w:val="23"/>
                <w:lang w:val="ru-RU"/>
              </w:rPr>
            </w:pPr>
            <w:r>
              <w:rPr>
                <w:color w:val="auto"/>
                <w:sz w:val="23"/>
                <w:szCs w:val="23"/>
                <w:lang w:val="en-US"/>
              </w:rPr>
              <w:t>47</w:t>
            </w:r>
          </w:p>
          <w:p w:rsidR="005C327C" w:rsidRPr="001B6DB3" w:rsidRDefault="005C327C" w:rsidP="009554DB">
            <w:pPr>
              <w:pStyle w:val="aff4"/>
              <w:spacing w:line="240" w:lineRule="auto"/>
              <w:jc w:val="right"/>
              <w:rPr>
                <w:color w:val="auto"/>
                <w:sz w:val="23"/>
                <w:szCs w:val="23"/>
                <w:lang w:val="ru-RU"/>
              </w:rPr>
            </w:pPr>
          </w:p>
          <w:p w:rsidR="00CB3FDB" w:rsidRDefault="00CB3FDB" w:rsidP="001B6DB3">
            <w:pPr>
              <w:pStyle w:val="aff4"/>
              <w:spacing w:line="240" w:lineRule="auto"/>
              <w:jc w:val="right"/>
              <w:rPr>
                <w:color w:val="auto"/>
                <w:sz w:val="23"/>
                <w:szCs w:val="23"/>
                <w:lang w:val="en-US"/>
              </w:rPr>
            </w:pPr>
          </w:p>
          <w:p w:rsidR="00CB3FDB" w:rsidRDefault="00CB3FDB" w:rsidP="001B6DB3">
            <w:pPr>
              <w:pStyle w:val="aff4"/>
              <w:spacing w:line="240" w:lineRule="auto"/>
              <w:jc w:val="right"/>
              <w:rPr>
                <w:color w:val="auto"/>
                <w:sz w:val="23"/>
                <w:szCs w:val="23"/>
                <w:lang w:val="en-US"/>
              </w:rPr>
            </w:pPr>
          </w:p>
          <w:p w:rsidR="00CB3FDB" w:rsidRDefault="00CB3FDB" w:rsidP="001B6DB3">
            <w:pPr>
              <w:pStyle w:val="aff4"/>
              <w:spacing w:line="240" w:lineRule="auto"/>
              <w:jc w:val="right"/>
              <w:rPr>
                <w:color w:val="auto"/>
                <w:sz w:val="23"/>
                <w:szCs w:val="23"/>
                <w:lang w:val="en-US"/>
              </w:rPr>
            </w:pPr>
          </w:p>
          <w:p w:rsidR="005C327C" w:rsidRPr="001B6DB3" w:rsidRDefault="00C2048E" w:rsidP="001B6DB3">
            <w:pPr>
              <w:pStyle w:val="aff4"/>
              <w:spacing w:line="240" w:lineRule="auto"/>
              <w:jc w:val="right"/>
              <w:rPr>
                <w:color w:val="auto"/>
                <w:sz w:val="23"/>
                <w:szCs w:val="23"/>
                <w:lang w:val="ru-RU"/>
              </w:rPr>
            </w:pPr>
            <w:r>
              <w:rPr>
                <w:color w:val="auto"/>
                <w:sz w:val="23"/>
                <w:szCs w:val="23"/>
                <w:lang w:val="en-US"/>
              </w:rPr>
              <w:t>68</w:t>
            </w:r>
          </w:p>
          <w:p w:rsidR="005C327C" w:rsidRPr="001B6DB3" w:rsidRDefault="005C327C" w:rsidP="009554DB">
            <w:pPr>
              <w:pStyle w:val="aff4"/>
              <w:spacing w:line="240" w:lineRule="auto"/>
              <w:jc w:val="right"/>
              <w:rPr>
                <w:color w:val="auto"/>
                <w:sz w:val="23"/>
                <w:szCs w:val="23"/>
                <w:lang w:val="ru-RU"/>
              </w:rPr>
            </w:pPr>
          </w:p>
          <w:p w:rsidR="005C327C" w:rsidRPr="001B6DB3" w:rsidRDefault="00C2048E" w:rsidP="001B6DB3">
            <w:pPr>
              <w:pStyle w:val="aff4"/>
              <w:spacing w:line="240" w:lineRule="auto"/>
              <w:jc w:val="right"/>
              <w:rPr>
                <w:color w:val="auto"/>
                <w:sz w:val="23"/>
                <w:szCs w:val="23"/>
                <w:lang w:val="ru-RU"/>
              </w:rPr>
            </w:pPr>
            <w:r>
              <w:rPr>
                <w:color w:val="auto"/>
                <w:sz w:val="23"/>
                <w:szCs w:val="23"/>
                <w:lang w:val="en-US"/>
              </w:rPr>
              <w:t>78</w:t>
            </w:r>
          </w:p>
          <w:p w:rsidR="00CB3FDB" w:rsidRDefault="00CB3FDB" w:rsidP="001B6DB3">
            <w:pPr>
              <w:pStyle w:val="aff4"/>
              <w:spacing w:line="240" w:lineRule="auto"/>
              <w:jc w:val="right"/>
              <w:rPr>
                <w:color w:val="auto"/>
                <w:sz w:val="23"/>
                <w:szCs w:val="23"/>
                <w:lang w:val="en-US"/>
              </w:rPr>
            </w:pPr>
          </w:p>
          <w:p w:rsidR="005C327C" w:rsidRDefault="00C2048E" w:rsidP="001B6DB3">
            <w:pPr>
              <w:pStyle w:val="aff4"/>
              <w:spacing w:line="240" w:lineRule="auto"/>
              <w:jc w:val="right"/>
              <w:rPr>
                <w:color w:val="auto"/>
                <w:sz w:val="23"/>
                <w:szCs w:val="23"/>
                <w:lang w:val="en-US"/>
              </w:rPr>
            </w:pPr>
            <w:r>
              <w:rPr>
                <w:color w:val="auto"/>
                <w:sz w:val="23"/>
                <w:szCs w:val="23"/>
                <w:lang w:val="en-US"/>
              </w:rPr>
              <w:t>88</w:t>
            </w:r>
          </w:p>
          <w:p w:rsidR="00CB3FDB" w:rsidRDefault="00CB3FDB" w:rsidP="001B6DB3">
            <w:pPr>
              <w:pStyle w:val="aff4"/>
              <w:spacing w:line="240" w:lineRule="auto"/>
              <w:jc w:val="right"/>
              <w:rPr>
                <w:color w:val="auto"/>
                <w:sz w:val="23"/>
                <w:szCs w:val="23"/>
                <w:lang w:val="en-US"/>
              </w:rPr>
            </w:pPr>
          </w:p>
          <w:p w:rsidR="00CB3FDB" w:rsidRDefault="00CB3FDB" w:rsidP="00C2048E">
            <w:pPr>
              <w:pStyle w:val="aff4"/>
              <w:spacing w:line="240" w:lineRule="auto"/>
              <w:jc w:val="right"/>
              <w:rPr>
                <w:color w:val="auto"/>
                <w:sz w:val="23"/>
                <w:szCs w:val="23"/>
                <w:lang w:val="en-US"/>
              </w:rPr>
            </w:pPr>
            <w:r>
              <w:rPr>
                <w:color w:val="auto"/>
                <w:sz w:val="23"/>
                <w:szCs w:val="23"/>
                <w:lang w:val="ru-RU"/>
              </w:rPr>
              <w:t>10</w:t>
            </w:r>
            <w:r w:rsidR="00C2048E">
              <w:rPr>
                <w:color w:val="auto"/>
                <w:sz w:val="23"/>
                <w:szCs w:val="23"/>
                <w:lang w:val="en-US"/>
              </w:rPr>
              <w:t>2</w:t>
            </w:r>
          </w:p>
          <w:p w:rsidR="00C2048E" w:rsidRDefault="00C2048E" w:rsidP="00C2048E">
            <w:pPr>
              <w:pStyle w:val="aff4"/>
              <w:spacing w:line="240" w:lineRule="auto"/>
              <w:jc w:val="right"/>
              <w:rPr>
                <w:color w:val="auto"/>
                <w:sz w:val="23"/>
                <w:szCs w:val="23"/>
                <w:lang w:val="en-US"/>
              </w:rPr>
            </w:pPr>
          </w:p>
          <w:p w:rsidR="00C2048E" w:rsidRDefault="00C2048E" w:rsidP="00C2048E">
            <w:pPr>
              <w:pStyle w:val="aff4"/>
              <w:spacing w:line="240" w:lineRule="auto"/>
              <w:jc w:val="right"/>
              <w:rPr>
                <w:color w:val="auto"/>
                <w:sz w:val="23"/>
                <w:szCs w:val="23"/>
                <w:lang w:val="en-US"/>
              </w:rPr>
            </w:pPr>
            <w:r>
              <w:rPr>
                <w:color w:val="auto"/>
                <w:sz w:val="23"/>
                <w:szCs w:val="23"/>
                <w:lang w:val="en-US"/>
              </w:rPr>
              <w:t>116</w:t>
            </w:r>
          </w:p>
          <w:p w:rsidR="00C2048E" w:rsidRPr="00CB3FDB" w:rsidRDefault="00C2048E" w:rsidP="00C2048E">
            <w:pPr>
              <w:pStyle w:val="aff4"/>
              <w:spacing w:line="240" w:lineRule="auto"/>
              <w:jc w:val="right"/>
              <w:rPr>
                <w:color w:val="auto"/>
                <w:sz w:val="23"/>
                <w:szCs w:val="23"/>
                <w:lang w:val="ru-RU"/>
              </w:rPr>
            </w:pPr>
          </w:p>
        </w:tc>
      </w:tr>
      <w:tr w:rsidR="005C327C" w:rsidRPr="00D337FA" w:rsidTr="00CB3FDB">
        <w:trPr>
          <w:trHeight w:val="5293"/>
        </w:trPr>
        <w:tc>
          <w:tcPr>
            <w:tcW w:w="9039" w:type="dxa"/>
            <w:tcBorders>
              <w:bottom w:val="nil"/>
            </w:tcBorders>
          </w:tcPr>
          <w:p w:rsidR="005C327C" w:rsidRPr="00E956D3" w:rsidRDefault="005C327C" w:rsidP="005C327C">
            <w:pPr>
              <w:pStyle w:val="afc"/>
              <w:spacing w:line="240" w:lineRule="auto"/>
              <w:rPr>
                <w:rFonts w:ascii="Arial" w:hAnsi="Arial" w:cs="Arial"/>
                <w:b/>
                <w:bCs/>
                <w:i/>
                <w:iCs/>
                <w:caps/>
                <w:color w:val="auto"/>
                <w:u w:val="single" w:color="000000"/>
              </w:rPr>
            </w:pPr>
          </w:p>
          <w:p w:rsidR="005C327C" w:rsidRPr="00E956D3" w:rsidRDefault="005C327C" w:rsidP="005C327C">
            <w:pPr>
              <w:pStyle w:val="afc"/>
              <w:spacing w:line="240" w:lineRule="auto"/>
              <w:rPr>
                <w:rFonts w:ascii="Arial" w:hAnsi="Arial" w:cs="Arial"/>
                <w:b/>
                <w:bCs/>
                <w:i/>
                <w:iCs/>
                <w:caps/>
                <w:color w:val="auto"/>
                <w:u w:val="single" w:color="000000"/>
              </w:rPr>
            </w:pPr>
            <w:r w:rsidRPr="00E956D3">
              <w:rPr>
                <w:rFonts w:ascii="Arial" w:hAnsi="Arial" w:cs="Arial"/>
                <w:b/>
                <w:bCs/>
                <w:i/>
                <w:iCs/>
                <w:caps/>
                <w:color w:val="auto"/>
                <w:u w:val="single" w:color="000000"/>
              </w:rPr>
              <w:t>ФИНАНСЫ</w:t>
            </w:r>
          </w:p>
          <w:p w:rsidR="005C327C" w:rsidRPr="00E956D3" w:rsidRDefault="005C327C" w:rsidP="005C327C">
            <w:pPr>
              <w:ind w:firstLine="0"/>
              <w:jc w:val="left"/>
              <w:rPr>
                <w:rFonts w:ascii="Arial" w:hAnsi="Arial" w:cs="Arial"/>
                <w:b/>
                <w:i/>
                <w:sz w:val="23"/>
                <w:szCs w:val="23"/>
              </w:rPr>
            </w:pPr>
          </w:p>
          <w:p w:rsidR="005C327C" w:rsidRPr="00E956D3" w:rsidRDefault="005C327C" w:rsidP="005C327C">
            <w:pPr>
              <w:ind w:firstLine="0"/>
              <w:jc w:val="left"/>
              <w:rPr>
                <w:rFonts w:ascii="Arial" w:hAnsi="Arial" w:cs="Arial"/>
                <w:i/>
                <w:sz w:val="23"/>
                <w:szCs w:val="23"/>
              </w:rPr>
            </w:pPr>
            <w:r w:rsidRPr="00E956D3">
              <w:rPr>
                <w:rFonts w:ascii="Arial" w:hAnsi="Arial" w:cs="Arial"/>
                <w:b/>
                <w:i/>
                <w:sz w:val="23"/>
                <w:szCs w:val="23"/>
              </w:rPr>
              <w:t xml:space="preserve">Ильина Л.В., Копченко Ю.Е., Кукляева О.А. </w:t>
            </w:r>
            <w:r w:rsidRPr="00E956D3">
              <w:rPr>
                <w:rFonts w:ascii="Arial" w:hAnsi="Arial" w:cs="Arial"/>
                <w:i/>
                <w:sz w:val="23"/>
                <w:szCs w:val="23"/>
              </w:rPr>
              <w:t>Санация в системе управления дефолтом банка: оценка целесообразности и эффективности</w:t>
            </w:r>
          </w:p>
          <w:p w:rsidR="005C327C" w:rsidRPr="00E956D3" w:rsidRDefault="005C327C" w:rsidP="005C327C">
            <w:pPr>
              <w:ind w:firstLine="0"/>
              <w:rPr>
                <w:rFonts w:ascii="Arial" w:hAnsi="Arial" w:cs="Arial"/>
                <w:i/>
                <w:sz w:val="23"/>
                <w:szCs w:val="23"/>
              </w:rPr>
            </w:pPr>
            <w:r w:rsidRPr="00E956D3">
              <w:rPr>
                <w:rFonts w:ascii="Arial" w:hAnsi="Arial" w:cs="Arial"/>
                <w:b/>
                <w:i/>
                <w:sz w:val="23"/>
                <w:szCs w:val="23"/>
              </w:rPr>
              <w:t xml:space="preserve">Усманова А.С., Миронов М.Г., Швейкин И.Е., Шиндряева А.П. </w:t>
            </w:r>
            <w:r w:rsidRPr="00E956D3">
              <w:rPr>
                <w:rFonts w:ascii="Arial" w:hAnsi="Arial" w:cs="Arial"/>
                <w:i/>
                <w:sz w:val="23"/>
                <w:szCs w:val="23"/>
              </w:rPr>
              <w:t>Эволюция форм банковского обслуживания предприятий малого бизнеса в условиях цифровой трансформации</w:t>
            </w:r>
          </w:p>
          <w:p w:rsidR="005C327C" w:rsidRPr="00E956D3" w:rsidRDefault="005C327C" w:rsidP="005C327C">
            <w:pPr>
              <w:pStyle w:val="afc"/>
              <w:spacing w:line="240" w:lineRule="auto"/>
              <w:rPr>
                <w:rFonts w:ascii="Arial" w:hAnsi="Arial" w:cs="Arial"/>
                <w:b/>
                <w:bCs/>
                <w:i/>
                <w:iCs/>
                <w:caps/>
                <w:color w:val="auto"/>
                <w:u w:val="single" w:color="000000"/>
              </w:rPr>
            </w:pPr>
          </w:p>
          <w:p w:rsidR="005C327C" w:rsidRPr="00E956D3" w:rsidRDefault="005C327C" w:rsidP="005C327C">
            <w:pPr>
              <w:pStyle w:val="afc"/>
              <w:spacing w:line="240" w:lineRule="auto"/>
              <w:rPr>
                <w:rFonts w:ascii="Arial" w:hAnsi="Arial" w:cs="Arial"/>
                <w:b/>
                <w:bCs/>
                <w:i/>
                <w:iCs/>
                <w:caps/>
                <w:color w:val="auto"/>
                <w:u w:val="single" w:color="000000"/>
              </w:rPr>
            </w:pPr>
            <w:r w:rsidRPr="00E956D3">
              <w:rPr>
                <w:rFonts w:ascii="Arial" w:hAnsi="Arial" w:cs="Arial"/>
                <w:b/>
                <w:bCs/>
                <w:i/>
                <w:iCs/>
                <w:caps/>
                <w:color w:val="auto"/>
                <w:u w:val="single" w:color="000000"/>
              </w:rPr>
              <w:t>МЕНЕДЖМЕНТ</w:t>
            </w:r>
          </w:p>
          <w:p w:rsidR="005C327C" w:rsidRPr="00E956D3" w:rsidRDefault="005C327C" w:rsidP="005C327C">
            <w:pPr>
              <w:tabs>
                <w:tab w:val="left" w:pos="8710"/>
              </w:tabs>
              <w:ind w:right="-79"/>
              <w:rPr>
                <w:rFonts w:ascii="Arial" w:hAnsi="Arial" w:cs="Arial"/>
                <w:b/>
                <w:bCs/>
                <w:i/>
                <w:iCs/>
                <w:sz w:val="23"/>
                <w:szCs w:val="23"/>
              </w:rPr>
            </w:pPr>
          </w:p>
          <w:p w:rsidR="005C327C" w:rsidRPr="00E956D3" w:rsidRDefault="005C327C" w:rsidP="005C327C">
            <w:pPr>
              <w:tabs>
                <w:tab w:val="left" w:pos="8710"/>
              </w:tabs>
              <w:ind w:right="-79" w:firstLine="0"/>
              <w:rPr>
                <w:rFonts w:ascii="Arial" w:hAnsi="Arial" w:cs="Arial"/>
                <w:bCs/>
                <w:i/>
                <w:iCs/>
                <w:sz w:val="23"/>
                <w:szCs w:val="23"/>
              </w:rPr>
            </w:pPr>
            <w:r w:rsidRPr="00E956D3">
              <w:rPr>
                <w:rFonts w:ascii="Arial" w:hAnsi="Arial" w:cs="Arial"/>
                <w:b/>
                <w:bCs/>
                <w:i/>
                <w:iCs/>
                <w:sz w:val="23"/>
                <w:szCs w:val="23"/>
              </w:rPr>
              <w:t xml:space="preserve">Мартынова Ю. А. </w:t>
            </w:r>
            <w:r w:rsidRPr="00E956D3">
              <w:rPr>
                <w:rFonts w:ascii="Arial" w:hAnsi="Arial" w:cs="Arial"/>
                <w:bCs/>
                <w:i/>
                <w:iCs/>
                <w:sz w:val="23"/>
                <w:szCs w:val="23"/>
              </w:rPr>
              <w:t>Совершенствование управления инновационными процессами предприятия на основе методологии гибкого проектного управления</w:t>
            </w:r>
          </w:p>
          <w:p w:rsidR="00CB3FDB" w:rsidRPr="00CB3FDB" w:rsidRDefault="00CB3FDB" w:rsidP="00CB3FDB">
            <w:pPr>
              <w:ind w:firstLine="0"/>
              <w:jc w:val="left"/>
              <w:rPr>
                <w:rFonts w:ascii="Arial" w:hAnsi="Arial" w:cs="Arial"/>
                <w:i/>
                <w:sz w:val="23"/>
                <w:szCs w:val="23"/>
              </w:rPr>
            </w:pPr>
            <w:r w:rsidRPr="00CB3FDB">
              <w:rPr>
                <w:rFonts w:ascii="Arial" w:hAnsi="Arial" w:cs="Arial"/>
                <w:b/>
                <w:i/>
                <w:sz w:val="23"/>
                <w:szCs w:val="23"/>
              </w:rPr>
              <w:t>Тимонина В.А.</w:t>
            </w:r>
            <w:r>
              <w:rPr>
                <w:rFonts w:ascii="Arial" w:hAnsi="Arial" w:cs="Arial"/>
                <w:b/>
                <w:i/>
                <w:sz w:val="23"/>
                <w:szCs w:val="23"/>
              </w:rPr>
              <w:t xml:space="preserve"> </w:t>
            </w:r>
            <w:r w:rsidRPr="00CB3FDB">
              <w:rPr>
                <w:rFonts w:ascii="Arial" w:hAnsi="Arial" w:cs="Arial"/>
                <w:i/>
                <w:sz w:val="23"/>
                <w:szCs w:val="23"/>
              </w:rPr>
              <w:t>Исследование методических подходов к оценке трудоустройства выпускников как важного фактора стратегического развития вузов</w:t>
            </w:r>
          </w:p>
          <w:p w:rsidR="005C327C" w:rsidRPr="00E956D3" w:rsidRDefault="005C327C" w:rsidP="005C327C">
            <w:pPr>
              <w:ind w:firstLine="0"/>
              <w:jc w:val="left"/>
              <w:rPr>
                <w:rFonts w:ascii="Arial" w:hAnsi="Arial" w:cs="Arial"/>
                <w:i/>
                <w:sz w:val="23"/>
                <w:szCs w:val="23"/>
              </w:rPr>
            </w:pPr>
            <w:r w:rsidRPr="00E956D3">
              <w:rPr>
                <w:rFonts w:ascii="Arial" w:hAnsi="Arial" w:cs="Arial"/>
                <w:b/>
                <w:i/>
                <w:sz w:val="23"/>
                <w:szCs w:val="23"/>
              </w:rPr>
              <w:t xml:space="preserve">Третьякова Л.А., Прядко С.Н., Третьякова М.С. </w:t>
            </w:r>
            <w:r w:rsidRPr="00E956D3">
              <w:rPr>
                <w:rFonts w:ascii="Arial" w:hAnsi="Arial" w:cs="Arial"/>
                <w:i/>
                <w:sz w:val="23"/>
                <w:szCs w:val="23"/>
              </w:rPr>
              <w:t>Управление процессом формирования конкурентных преимуществ на рынке страховых услуг</w:t>
            </w:r>
          </w:p>
          <w:p w:rsidR="005C327C" w:rsidRPr="00E956D3" w:rsidRDefault="005C327C" w:rsidP="005C327C">
            <w:pPr>
              <w:ind w:firstLine="0"/>
              <w:jc w:val="left"/>
              <w:rPr>
                <w:rFonts w:ascii="Arial" w:hAnsi="Arial" w:cs="Arial"/>
                <w:i/>
                <w:sz w:val="23"/>
                <w:szCs w:val="23"/>
              </w:rPr>
            </w:pPr>
            <w:r w:rsidRPr="00E956D3">
              <w:rPr>
                <w:rFonts w:ascii="Arial" w:hAnsi="Arial" w:cs="Arial"/>
                <w:b/>
                <w:i/>
                <w:sz w:val="23"/>
                <w:szCs w:val="23"/>
              </w:rPr>
              <w:t>Яковлев И.Г., Яковлев Г.И.</w:t>
            </w:r>
            <w:r w:rsidRPr="00E956D3">
              <w:rPr>
                <w:rFonts w:ascii="Arial" w:hAnsi="Arial" w:cs="Arial"/>
                <w:i/>
                <w:sz w:val="23"/>
                <w:szCs w:val="23"/>
              </w:rPr>
              <w:t xml:space="preserve"> Реализация методов промпт-инжиниринга в контексте классического менеджмента</w:t>
            </w:r>
          </w:p>
          <w:p w:rsidR="005C327C" w:rsidRPr="00E956D3" w:rsidRDefault="005C327C" w:rsidP="005C327C">
            <w:pPr>
              <w:ind w:firstLine="0"/>
              <w:jc w:val="left"/>
              <w:rPr>
                <w:rFonts w:ascii="Arial" w:hAnsi="Arial" w:cs="Arial"/>
                <w:i/>
                <w:sz w:val="23"/>
                <w:szCs w:val="23"/>
              </w:rPr>
            </w:pPr>
          </w:p>
        </w:tc>
        <w:tc>
          <w:tcPr>
            <w:tcW w:w="708" w:type="dxa"/>
            <w:vMerge/>
            <w:tcBorders>
              <w:bottom w:val="nil"/>
            </w:tcBorders>
          </w:tcPr>
          <w:p w:rsidR="005C327C" w:rsidRPr="00E956D3" w:rsidRDefault="005C327C" w:rsidP="001B6DB3">
            <w:pPr>
              <w:pStyle w:val="aff4"/>
              <w:spacing w:line="240" w:lineRule="auto"/>
              <w:jc w:val="right"/>
              <w:rPr>
                <w:color w:val="auto"/>
                <w:sz w:val="23"/>
                <w:szCs w:val="23"/>
                <w:lang w:val="ru-RU"/>
              </w:rPr>
            </w:pPr>
          </w:p>
        </w:tc>
      </w:tr>
      <w:tr w:rsidR="005C327C" w:rsidRPr="00D337FA" w:rsidTr="00CB3FDB">
        <w:tc>
          <w:tcPr>
            <w:tcW w:w="9039" w:type="dxa"/>
          </w:tcPr>
          <w:p w:rsidR="005C327C" w:rsidRPr="00E956D3" w:rsidRDefault="005C327C" w:rsidP="005158BC">
            <w:pPr>
              <w:spacing w:after="60"/>
              <w:ind w:firstLine="0"/>
              <w:jc w:val="left"/>
              <w:rPr>
                <w:rFonts w:ascii="Arial" w:hAnsi="Arial" w:cs="Arial"/>
                <w:b/>
                <w:bCs/>
                <w:i/>
                <w:sz w:val="23"/>
                <w:szCs w:val="23"/>
              </w:rPr>
            </w:pPr>
            <w:r w:rsidRPr="00E956D3">
              <w:rPr>
                <w:rFonts w:ascii="Arial" w:hAnsi="Arial" w:cs="Arial"/>
                <w:i/>
                <w:sz w:val="23"/>
                <w:szCs w:val="23"/>
              </w:rPr>
              <w:t>Для авторов</w:t>
            </w:r>
          </w:p>
        </w:tc>
        <w:tc>
          <w:tcPr>
            <w:tcW w:w="708" w:type="dxa"/>
            <w:vMerge/>
          </w:tcPr>
          <w:p w:rsidR="005C327C" w:rsidRPr="001B6DB3" w:rsidRDefault="005C327C" w:rsidP="001B6DB3">
            <w:pPr>
              <w:pStyle w:val="aff4"/>
              <w:spacing w:line="240" w:lineRule="auto"/>
              <w:jc w:val="right"/>
              <w:rPr>
                <w:color w:val="auto"/>
                <w:sz w:val="23"/>
                <w:szCs w:val="23"/>
                <w:lang w:val="ru-RU"/>
              </w:rPr>
            </w:pPr>
          </w:p>
        </w:tc>
      </w:tr>
    </w:tbl>
    <w:p w:rsidR="00565A06" w:rsidRPr="00D337FA" w:rsidRDefault="00565A06" w:rsidP="00565A06">
      <w:pPr>
        <w:pStyle w:val="aff4"/>
        <w:ind w:right="849"/>
        <w:rPr>
          <w:color w:val="auto"/>
          <w:highlight w:val="yellow"/>
          <w:lang w:val="ru-RU"/>
        </w:rPr>
      </w:pPr>
    </w:p>
    <w:p w:rsidR="00E57478" w:rsidRPr="00D337FA" w:rsidRDefault="00E57478" w:rsidP="00E57478">
      <w:pPr>
        <w:pStyle w:val="afd"/>
        <w:rPr>
          <w:color w:val="auto"/>
          <w:highlight w:val="yellow"/>
          <w:lang w:val="en-US"/>
        </w:rPr>
      </w:pPr>
    </w:p>
    <w:p w:rsidR="00E57478" w:rsidRPr="00D337FA" w:rsidRDefault="00E57478" w:rsidP="00E57478">
      <w:pPr>
        <w:ind w:firstLine="0"/>
        <w:contextualSpacing/>
        <w:jc w:val="center"/>
        <w:rPr>
          <w:rStyle w:val="anegp0gi0b9av8jahpyh"/>
          <w:rFonts w:ascii="Arial" w:hAnsi="Arial" w:cs="Arial"/>
          <w:b/>
          <w:szCs w:val="24"/>
          <w:highlight w:val="yellow"/>
          <w:lang w:val="en-US"/>
        </w:rPr>
      </w:pPr>
    </w:p>
    <w:p w:rsidR="00565A06" w:rsidRPr="00E956D3" w:rsidRDefault="00DD11DE" w:rsidP="006F3AE9">
      <w:pPr>
        <w:pStyle w:val="aff4"/>
        <w:ind w:right="849"/>
        <w:rPr>
          <w:color w:val="auto"/>
          <w:lang w:val="en-US"/>
        </w:rPr>
      </w:pPr>
      <w:r w:rsidRPr="00E956D3">
        <w:rPr>
          <w:color w:val="auto"/>
          <w:lang w:val="en-US"/>
        </w:rPr>
        <w:tab/>
      </w:r>
    </w:p>
    <w:p w:rsidR="000B48BE" w:rsidRPr="00D337FA" w:rsidRDefault="00F14C9A" w:rsidP="00DD11DE">
      <w:pPr>
        <w:pStyle w:val="afd"/>
        <w:rPr>
          <w:color w:val="auto"/>
          <w:sz w:val="16"/>
          <w:szCs w:val="16"/>
        </w:rPr>
      </w:pPr>
      <w:r w:rsidRPr="00D337FA">
        <w:rPr>
          <w:color w:val="auto"/>
          <w:highlight w:val="yellow"/>
          <w:lang w:val="en-US"/>
        </w:rPr>
        <w:br w:type="page"/>
      </w:r>
      <w:r w:rsidR="000B48BE" w:rsidRPr="00D337FA">
        <w:rPr>
          <w:color w:val="auto"/>
          <w:lang w:val="en-US"/>
        </w:rPr>
        <w:lastRenderedPageBreak/>
        <w:t>CONTENTS</w:t>
      </w:r>
    </w:p>
    <w:p w:rsidR="0045446F" w:rsidRPr="00D337FA" w:rsidRDefault="0045446F" w:rsidP="0025757E">
      <w:pPr>
        <w:pStyle w:val="a4"/>
        <w:tabs>
          <w:tab w:val="right" w:leader="dot" w:pos="4535"/>
        </w:tabs>
        <w:ind w:right="424" w:firstLine="0"/>
      </w:pPr>
    </w:p>
    <w:p w:rsidR="00DD11DE" w:rsidRPr="00D337FA" w:rsidRDefault="0093400A" w:rsidP="005C6561">
      <w:pPr>
        <w:pStyle w:val="afc"/>
        <w:spacing w:line="240" w:lineRule="auto"/>
        <w:rPr>
          <w:rFonts w:ascii="Arial" w:hAnsi="Arial" w:cs="Arial"/>
          <w:b/>
          <w:bCs/>
          <w:i/>
          <w:iCs/>
          <w:caps/>
          <w:color w:val="auto"/>
          <w:u w:val="thick" w:color="000000"/>
        </w:rPr>
      </w:pPr>
      <w:r w:rsidRPr="00D337FA">
        <w:rPr>
          <w:rFonts w:ascii="Arial" w:hAnsi="Arial" w:cs="Arial"/>
          <w:b/>
          <w:bCs/>
          <w:i/>
          <w:iCs/>
          <w:caps/>
          <w:color w:val="auto"/>
          <w:u w:val="single" w:color="000000"/>
        </w:rPr>
        <w:t>Regional</w:t>
      </w:r>
      <w:r w:rsidR="006C680D" w:rsidRPr="00D337FA">
        <w:rPr>
          <w:rFonts w:ascii="Arial" w:hAnsi="Arial" w:cs="Arial"/>
          <w:b/>
          <w:bCs/>
          <w:i/>
          <w:iCs/>
          <w:caps/>
          <w:color w:val="auto"/>
          <w:u w:val="single" w:color="000000"/>
        </w:rPr>
        <w:t xml:space="preserve"> </w:t>
      </w:r>
      <w:r w:rsidRPr="00D337FA">
        <w:rPr>
          <w:rFonts w:ascii="Arial" w:hAnsi="Arial" w:cs="Arial"/>
          <w:b/>
          <w:bCs/>
          <w:i/>
          <w:iCs/>
          <w:caps/>
          <w:color w:val="auto"/>
          <w:u w:val="single" w:color="000000"/>
        </w:rPr>
        <w:t>and</w:t>
      </w:r>
      <w:r w:rsidR="006C680D" w:rsidRPr="00D337FA">
        <w:rPr>
          <w:rFonts w:ascii="Arial" w:hAnsi="Arial" w:cs="Arial"/>
          <w:b/>
          <w:bCs/>
          <w:i/>
          <w:iCs/>
          <w:caps/>
          <w:color w:val="auto"/>
          <w:u w:val="single" w:color="000000"/>
        </w:rPr>
        <w:t xml:space="preserve"> </w:t>
      </w:r>
      <w:r w:rsidRPr="00D337FA">
        <w:rPr>
          <w:rFonts w:ascii="Arial" w:hAnsi="Arial" w:cs="Arial"/>
          <w:b/>
          <w:bCs/>
          <w:i/>
          <w:iCs/>
          <w:caps/>
          <w:color w:val="auto"/>
          <w:u w:val="single" w:color="000000"/>
        </w:rPr>
        <w:t>sectoral</w:t>
      </w:r>
      <w:r w:rsidR="006C680D" w:rsidRPr="00D337FA">
        <w:rPr>
          <w:rFonts w:ascii="Arial" w:hAnsi="Arial" w:cs="Arial"/>
          <w:b/>
          <w:bCs/>
          <w:i/>
          <w:iCs/>
          <w:caps/>
          <w:color w:val="auto"/>
          <w:u w:val="single" w:color="000000"/>
        </w:rPr>
        <w:t xml:space="preserve"> </w:t>
      </w:r>
      <w:r w:rsidRPr="00D337FA">
        <w:rPr>
          <w:rFonts w:ascii="Arial" w:hAnsi="Arial" w:cs="Arial"/>
          <w:b/>
          <w:bCs/>
          <w:i/>
          <w:iCs/>
          <w:caps/>
          <w:color w:val="auto"/>
          <w:u w:val="single" w:color="000000"/>
        </w:rPr>
        <w:t>economy</w:t>
      </w:r>
    </w:p>
    <w:p w:rsidR="00DD11DE" w:rsidRPr="005C327C" w:rsidRDefault="00DD11DE" w:rsidP="005C327C">
      <w:pPr>
        <w:pStyle w:val="aff4"/>
        <w:ind w:right="707"/>
        <w:rPr>
          <w:color w:val="auto"/>
          <w:lang w:val="en-US"/>
        </w:rPr>
      </w:pPr>
    </w:p>
    <w:tbl>
      <w:tblPr>
        <w:tblStyle w:val="af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gridCol w:w="709"/>
      </w:tblGrid>
      <w:tr w:rsidR="00D337FA" w:rsidRPr="00D337FA" w:rsidTr="00C2048E">
        <w:tc>
          <w:tcPr>
            <w:tcW w:w="9322" w:type="dxa"/>
          </w:tcPr>
          <w:p w:rsidR="00CB3FDB" w:rsidRPr="00CB3FDB" w:rsidRDefault="00CB3FDB" w:rsidP="005C6561">
            <w:pPr>
              <w:pStyle w:val="afd"/>
              <w:jc w:val="left"/>
              <w:rPr>
                <w:b w:val="0"/>
                <w:i/>
                <w:color w:val="auto"/>
                <w:sz w:val="23"/>
                <w:szCs w:val="23"/>
                <w:lang w:val="en-US"/>
              </w:rPr>
            </w:pPr>
            <w:r w:rsidRPr="00CB3FDB">
              <w:rPr>
                <w:i/>
                <w:color w:val="auto"/>
                <w:lang w:val="en-US"/>
              </w:rPr>
              <w:t xml:space="preserve">Vlasov D. V. </w:t>
            </w:r>
            <w:r w:rsidRPr="00CB3FDB">
              <w:rPr>
                <w:b w:val="0"/>
                <w:i/>
                <w:color w:val="auto"/>
                <w:lang w:val="en-US"/>
              </w:rPr>
              <w:t>I</w:t>
            </w:r>
            <w:r w:rsidRPr="00CB3FDB">
              <w:rPr>
                <w:b w:val="0"/>
                <w:i/>
                <w:color w:val="auto"/>
                <w:sz w:val="23"/>
                <w:szCs w:val="23"/>
                <w:lang w:val="en-US"/>
              </w:rPr>
              <w:t xml:space="preserve">mproving the methodological approach to evaluating information and analytical support for innovation management in a machine-building enterprise </w:t>
            </w:r>
          </w:p>
          <w:p w:rsidR="00D64FAE" w:rsidRPr="00CB3FDB" w:rsidRDefault="00D64FAE" w:rsidP="005C6561">
            <w:pPr>
              <w:pStyle w:val="afd"/>
              <w:jc w:val="left"/>
              <w:rPr>
                <w:b w:val="0"/>
                <w:i/>
                <w:color w:val="auto"/>
                <w:sz w:val="23"/>
                <w:szCs w:val="23"/>
                <w:lang w:val="en-US"/>
              </w:rPr>
            </w:pPr>
            <w:r w:rsidRPr="00CB3FDB">
              <w:rPr>
                <w:i/>
                <w:color w:val="auto"/>
                <w:sz w:val="23"/>
                <w:szCs w:val="23"/>
                <w:lang w:val="en-US"/>
              </w:rPr>
              <w:t>Sevastyanov</w:t>
            </w:r>
            <w:r w:rsidR="006C680D" w:rsidRPr="00CB3FDB">
              <w:rPr>
                <w:i/>
                <w:color w:val="auto"/>
                <w:sz w:val="23"/>
                <w:szCs w:val="23"/>
                <w:lang w:val="en-US"/>
              </w:rPr>
              <w:t xml:space="preserve"> </w:t>
            </w:r>
            <w:r w:rsidRPr="00CB3FDB">
              <w:rPr>
                <w:i/>
                <w:color w:val="auto"/>
                <w:sz w:val="23"/>
                <w:szCs w:val="23"/>
                <w:lang w:val="en-US"/>
              </w:rPr>
              <w:t>D.V.,</w:t>
            </w:r>
            <w:r w:rsidR="006C680D" w:rsidRPr="00CB3FDB">
              <w:rPr>
                <w:i/>
                <w:color w:val="auto"/>
                <w:sz w:val="23"/>
                <w:szCs w:val="23"/>
                <w:lang w:val="en-US"/>
              </w:rPr>
              <w:t xml:space="preserve"> </w:t>
            </w:r>
            <w:r w:rsidRPr="00CB3FDB">
              <w:rPr>
                <w:i/>
                <w:color w:val="auto"/>
                <w:sz w:val="23"/>
                <w:szCs w:val="23"/>
                <w:lang w:val="en-US"/>
              </w:rPr>
              <w:t>Pruschak</w:t>
            </w:r>
            <w:r w:rsidR="006C680D" w:rsidRPr="00CB3FDB">
              <w:rPr>
                <w:i/>
                <w:color w:val="auto"/>
                <w:sz w:val="23"/>
                <w:szCs w:val="23"/>
                <w:lang w:val="en-US"/>
              </w:rPr>
              <w:t xml:space="preserve"> </w:t>
            </w:r>
            <w:r w:rsidRPr="00CB3FDB">
              <w:rPr>
                <w:i/>
                <w:color w:val="auto"/>
                <w:sz w:val="23"/>
                <w:szCs w:val="23"/>
                <w:lang w:val="en-US"/>
              </w:rPr>
              <w:t>O.V.</w:t>
            </w:r>
            <w:r w:rsidR="006C680D" w:rsidRPr="00CB3FDB">
              <w:rPr>
                <w:i/>
                <w:color w:val="auto"/>
                <w:sz w:val="23"/>
                <w:szCs w:val="23"/>
                <w:lang w:val="en-US"/>
              </w:rPr>
              <w:t xml:space="preserve"> </w:t>
            </w:r>
            <w:r w:rsidRPr="00CB3FDB">
              <w:rPr>
                <w:rStyle w:val="anegp0gi0b9av8jahpyh"/>
                <w:b w:val="0"/>
                <w:i/>
                <w:color w:val="auto"/>
                <w:sz w:val="23"/>
                <w:szCs w:val="23"/>
                <w:lang w:val="en-US"/>
              </w:rPr>
              <w:t>Problems</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of</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increasing</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the</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sustainability</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of</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the</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national</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food</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complex</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in</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the</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context</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of</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geoeconomic</w:t>
            </w:r>
            <w:r w:rsidR="006C680D" w:rsidRPr="00CB3FDB">
              <w:rPr>
                <w:rStyle w:val="anegp0gi0b9av8jahpyh"/>
                <w:b w:val="0"/>
                <w:i/>
                <w:color w:val="auto"/>
                <w:sz w:val="23"/>
                <w:szCs w:val="23"/>
                <w:lang w:val="en-US"/>
              </w:rPr>
              <w:t xml:space="preserve"> </w:t>
            </w:r>
            <w:r w:rsidRPr="00CB3FDB">
              <w:rPr>
                <w:rStyle w:val="anegp0gi0b9av8jahpyh"/>
                <w:b w:val="0"/>
                <w:i/>
                <w:color w:val="auto"/>
                <w:sz w:val="23"/>
                <w:szCs w:val="23"/>
                <w:lang w:val="en-US"/>
              </w:rPr>
              <w:t>shocks</w:t>
            </w:r>
          </w:p>
          <w:p w:rsidR="00D64FAE" w:rsidRPr="00CB3FDB" w:rsidRDefault="00D64FAE" w:rsidP="005C6561">
            <w:pPr>
              <w:pStyle w:val="afc"/>
              <w:spacing w:line="240" w:lineRule="auto"/>
              <w:rPr>
                <w:rFonts w:ascii="Arial" w:hAnsi="Arial" w:cs="Arial"/>
                <w:b/>
                <w:bCs/>
                <w:i/>
                <w:iCs/>
                <w:caps/>
                <w:color w:val="auto"/>
                <w:u w:val="single" w:color="000000"/>
                <w:lang w:val="en-US"/>
              </w:rPr>
            </w:pPr>
          </w:p>
          <w:p w:rsidR="00D64FAE" w:rsidRPr="00D337FA" w:rsidRDefault="00605AFF" w:rsidP="005C6561">
            <w:pPr>
              <w:pStyle w:val="afc"/>
              <w:spacing w:line="240" w:lineRule="auto"/>
              <w:rPr>
                <w:rFonts w:ascii="Arial" w:hAnsi="Arial" w:cs="Arial"/>
                <w:b/>
                <w:bCs/>
                <w:i/>
                <w:iCs/>
                <w:caps/>
                <w:color w:val="auto"/>
                <w:u w:val="thick" w:color="000000"/>
              </w:rPr>
            </w:pPr>
            <w:r w:rsidRPr="00D337FA">
              <w:rPr>
                <w:rFonts w:ascii="Arial" w:hAnsi="Arial" w:cs="Arial"/>
                <w:b/>
                <w:bCs/>
                <w:i/>
                <w:iCs/>
                <w:caps/>
                <w:color w:val="auto"/>
                <w:u w:val="single" w:color="000000"/>
                <w:lang w:val="en-US"/>
              </w:rPr>
              <w:t>FINANCE</w:t>
            </w:r>
          </w:p>
          <w:p w:rsidR="0093400A" w:rsidRPr="00D337FA" w:rsidRDefault="0093400A" w:rsidP="005C6561">
            <w:pPr>
              <w:pStyle w:val="aff4"/>
              <w:spacing w:line="240" w:lineRule="auto"/>
              <w:rPr>
                <w:color w:val="auto"/>
                <w:sz w:val="23"/>
                <w:szCs w:val="23"/>
                <w:lang w:val="en-US"/>
              </w:rPr>
            </w:pPr>
          </w:p>
        </w:tc>
        <w:tc>
          <w:tcPr>
            <w:tcW w:w="709" w:type="dxa"/>
          </w:tcPr>
          <w:p w:rsidR="00CB3FDB" w:rsidRDefault="00CB3FDB" w:rsidP="00CB3FDB">
            <w:pPr>
              <w:pStyle w:val="aff4"/>
              <w:spacing w:line="240" w:lineRule="auto"/>
              <w:rPr>
                <w:color w:val="auto"/>
                <w:sz w:val="23"/>
                <w:szCs w:val="23"/>
              </w:rPr>
            </w:pPr>
          </w:p>
          <w:p w:rsidR="0093400A" w:rsidRDefault="00CB3FDB" w:rsidP="00CB3FDB">
            <w:pPr>
              <w:pStyle w:val="aff4"/>
              <w:spacing w:line="240" w:lineRule="auto"/>
              <w:rPr>
                <w:color w:val="auto"/>
                <w:sz w:val="23"/>
                <w:szCs w:val="23"/>
              </w:rPr>
            </w:pPr>
            <w:r>
              <w:rPr>
                <w:color w:val="auto"/>
                <w:sz w:val="23"/>
                <w:szCs w:val="23"/>
                <w:lang w:val="ru-RU"/>
              </w:rPr>
              <w:t xml:space="preserve"> </w:t>
            </w:r>
            <w:r w:rsidR="00300205">
              <w:rPr>
                <w:color w:val="auto"/>
                <w:sz w:val="23"/>
                <w:szCs w:val="23"/>
                <w:lang w:val="en-US"/>
              </w:rPr>
              <w:t xml:space="preserve">   </w:t>
            </w:r>
            <w:r w:rsidR="00FE6EAF" w:rsidRPr="00D337FA">
              <w:rPr>
                <w:color w:val="auto"/>
                <w:sz w:val="23"/>
                <w:szCs w:val="23"/>
              </w:rPr>
              <w:t>5</w:t>
            </w:r>
          </w:p>
          <w:p w:rsidR="00CB3FDB" w:rsidRDefault="00CB3FDB" w:rsidP="00CB3FDB">
            <w:pPr>
              <w:pStyle w:val="aff4"/>
              <w:spacing w:line="240" w:lineRule="auto"/>
              <w:rPr>
                <w:color w:val="auto"/>
                <w:sz w:val="23"/>
                <w:szCs w:val="23"/>
              </w:rPr>
            </w:pPr>
          </w:p>
          <w:p w:rsidR="00CB3FDB" w:rsidRPr="00CB3FDB" w:rsidRDefault="00300205" w:rsidP="00CB3FDB">
            <w:pPr>
              <w:pStyle w:val="aff4"/>
              <w:spacing w:line="240" w:lineRule="auto"/>
              <w:rPr>
                <w:color w:val="auto"/>
                <w:sz w:val="23"/>
                <w:szCs w:val="23"/>
                <w:lang w:val="ru-RU"/>
              </w:rPr>
            </w:pPr>
            <w:r>
              <w:rPr>
                <w:color w:val="auto"/>
                <w:sz w:val="23"/>
                <w:szCs w:val="23"/>
                <w:lang w:val="en-US"/>
              </w:rPr>
              <w:t xml:space="preserve">   </w:t>
            </w:r>
            <w:r w:rsidR="00CB3FDB">
              <w:rPr>
                <w:color w:val="auto"/>
                <w:sz w:val="23"/>
                <w:szCs w:val="23"/>
                <w:lang w:val="ru-RU"/>
              </w:rPr>
              <w:t>13</w:t>
            </w:r>
          </w:p>
        </w:tc>
      </w:tr>
      <w:tr w:rsidR="009554DB" w:rsidRPr="001B6DB3" w:rsidTr="00C2048E">
        <w:trPr>
          <w:trHeight w:val="3714"/>
        </w:trPr>
        <w:tc>
          <w:tcPr>
            <w:tcW w:w="9322" w:type="dxa"/>
          </w:tcPr>
          <w:p w:rsidR="009554DB" w:rsidRPr="00E956D3" w:rsidRDefault="009554DB" w:rsidP="005C6561">
            <w:pPr>
              <w:pStyle w:val="afd"/>
              <w:jc w:val="left"/>
              <w:rPr>
                <w:b w:val="0"/>
                <w:i/>
                <w:sz w:val="23"/>
                <w:szCs w:val="23"/>
                <w:lang w:val="en-US"/>
              </w:rPr>
            </w:pPr>
            <w:r w:rsidRPr="00E956D3">
              <w:rPr>
                <w:i/>
                <w:color w:val="auto"/>
                <w:sz w:val="23"/>
                <w:szCs w:val="23"/>
                <w:lang w:val="en-US"/>
              </w:rPr>
              <w:t xml:space="preserve">Ilyina L.V., Kopchenko Yu.E., Kuklyaeva O.A. </w:t>
            </w:r>
            <w:r w:rsidRPr="00E956D3">
              <w:rPr>
                <w:b w:val="0"/>
                <w:i/>
                <w:color w:val="auto"/>
                <w:sz w:val="23"/>
                <w:szCs w:val="23"/>
                <w:lang w:val="en-US"/>
              </w:rPr>
              <w:t>Resolution in a bank's default management system: assessing its feasibility and effectiveness</w:t>
            </w:r>
            <w:r w:rsidRPr="00E956D3">
              <w:rPr>
                <w:b w:val="0"/>
                <w:i/>
                <w:sz w:val="23"/>
                <w:szCs w:val="23"/>
                <w:lang w:val="en-US"/>
              </w:rPr>
              <w:t xml:space="preserve"> </w:t>
            </w:r>
          </w:p>
          <w:p w:rsidR="009554DB" w:rsidRPr="00E956D3" w:rsidRDefault="009554DB" w:rsidP="005C6561">
            <w:pPr>
              <w:pStyle w:val="afd"/>
              <w:jc w:val="left"/>
              <w:rPr>
                <w:i/>
                <w:color w:val="auto"/>
                <w:sz w:val="23"/>
                <w:szCs w:val="23"/>
                <w:lang w:val="en-US"/>
              </w:rPr>
            </w:pPr>
            <w:r w:rsidRPr="00E956D3">
              <w:rPr>
                <w:i/>
                <w:sz w:val="23"/>
                <w:szCs w:val="23"/>
                <w:lang w:val="en-US"/>
              </w:rPr>
              <w:t>Usmanova A.S., Mironov M.G., Shveikin I.E., Shindryaeva A.P.</w:t>
            </w:r>
            <w:r w:rsidRPr="00E956D3">
              <w:rPr>
                <w:b w:val="0"/>
                <w:i/>
                <w:sz w:val="23"/>
                <w:szCs w:val="23"/>
                <w:lang w:val="en-US"/>
              </w:rPr>
              <w:t xml:space="preserve"> Evolution of forms of banking services for small businesses in the context of digital transformation</w:t>
            </w:r>
          </w:p>
          <w:p w:rsidR="009554DB" w:rsidRPr="00E956D3" w:rsidRDefault="009554DB" w:rsidP="005C6561">
            <w:pPr>
              <w:ind w:firstLine="142"/>
              <w:rPr>
                <w:rFonts w:ascii="Arial" w:hAnsi="Arial" w:cs="Arial"/>
                <w:i/>
                <w:szCs w:val="24"/>
                <w:lang w:val="en-US"/>
              </w:rPr>
            </w:pPr>
          </w:p>
          <w:p w:rsidR="009554DB" w:rsidRPr="00D74067" w:rsidRDefault="009554DB" w:rsidP="005C6561">
            <w:pPr>
              <w:pStyle w:val="afd"/>
              <w:jc w:val="left"/>
              <w:rPr>
                <w:i/>
                <w:color w:val="auto"/>
                <w:sz w:val="23"/>
                <w:szCs w:val="23"/>
                <w:u w:val="single"/>
                <w:lang w:val="en-US"/>
              </w:rPr>
            </w:pPr>
            <w:r w:rsidRPr="00E956D3">
              <w:rPr>
                <w:i/>
                <w:color w:val="auto"/>
                <w:sz w:val="23"/>
                <w:szCs w:val="23"/>
                <w:u w:val="single"/>
                <w:lang w:val="en-US"/>
              </w:rPr>
              <w:t>MANAGEMENT</w:t>
            </w:r>
          </w:p>
          <w:p w:rsidR="009554DB" w:rsidRPr="00D74067" w:rsidRDefault="009554DB" w:rsidP="005C6561">
            <w:pPr>
              <w:pStyle w:val="afd"/>
              <w:jc w:val="left"/>
              <w:rPr>
                <w:i/>
                <w:color w:val="auto"/>
                <w:sz w:val="23"/>
                <w:szCs w:val="23"/>
                <w:lang w:val="en-US"/>
              </w:rPr>
            </w:pPr>
          </w:p>
          <w:p w:rsidR="009554DB" w:rsidRPr="00E956D3" w:rsidRDefault="009554DB" w:rsidP="009554DB">
            <w:pPr>
              <w:tabs>
                <w:tab w:val="left" w:pos="8710"/>
              </w:tabs>
              <w:ind w:right="-79" w:firstLine="0"/>
              <w:rPr>
                <w:rFonts w:ascii="Arial" w:hAnsi="Arial" w:cs="Arial"/>
                <w:bCs/>
                <w:i/>
                <w:iCs/>
                <w:sz w:val="23"/>
                <w:szCs w:val="23"/>
                <w:lang w:val="en-US"/>
              </w:rPr>
            </w:pPr>
            <w:r w:rsidRPr="00E956D3">
              <w:rPr>
                <w:rFonts w:ascii="Arial" w:hAnsi="Arial" w:cs="Arial"/>
                <w:b/>
                <w:bCs/>
                <w:i/>
                <w:iCs/>
                <w:sz w:val="23"/>
                <w:szCs w:val="23"/>
                <w:lang w:val="en-US"/>
              </w:rPr>
              <w:t xml:space="preserve">Martynova Yu. A. </w:t>
            </w:r>
            <w:r w:rsidRPr="00E956D3">
              <w:rPr>
                <w:rFonts w:ascii="Arial" w:hAnsi="Arial" w:cs="Arial"/>
                <w:bCs/>
                <w:i/>
                <w:iCs/>
                <w:sz w:val="23"/>
                <w:szCs w:val="23"/>
                <w:lang w:val="en-US"/>
              </w:rPr>
              <w:t>Improving the management of enterprise innovation processes based on the flexible project management methodology</w:t>
            </w:r>
          </w:p>
          <w:p w:rsidR="00CB3FDB" w:rsidRDefault="00CB3FDB" w:rsidP="00CB3FDB">
            <w:pPr>
              <w:ind w:firstLine="0"/>
              <w:jc w:val="left"/>
              <w:rPr>
                <w:rFonts w:ascii="Arial" w:hAnsi="Arial" w:cs="Arial"/>
                <w:i/>
                <w:sz w:val="23"/>
                <w:szCs w:val="23"/>
                <w:lang w:val="en-US"/>
              </w:rPr>
            </w:pPr>
            <w:r w:rsidRPr="00CB3FDB">
              <w:rPr>
                <w:rFonts w:ascii="Arial" w:hAnsi="Arial" w:cs="Arial"/>
                <w:b/>
                <w:i/>
                <w:sz w:val="23"/>
                <w:szCs w:val="23"/>
                <w:lang w:val="en-US"/>
              </w:rPr>
              <w:t xml:space="preserve">Timonina   V.A. </w:t>
            </w:r>
            <w:r w:rsidRPr="00CB3FDB">
              <w:rPr>
                <w:rFonts w:ascii="Arial" w:hAnsi="Arial" w:cs="Arial"/>
                <w:i/>
                <w:sz w:val="23"/>
                <w:szCs w:val="23"/>
                <w:lang w:val="en-US"/>
              </w:rPr>
              <w:t>A</w:t>
            </w:r>
            <w:r w:rsidRPr="00CB3FDB">
              <w:rPr>
                <w:rFonts w:ascii="Arial" w:hAnsi="Arial" w:cs="Arial"/>
                <w:b/>
                <w:i/>
                <w:sz w:val="23"/>
                <w:szCs w:val="23"/>
                <w:lang w:val="en-US"/>
              </w:rPr>
              <w:t xml:space="preserve"> </w:t>
            </w:r>
            <w:r w:rsidRPr="00CB3FDB">
              <w:rPr>
                <w:rFonts w:ascii="Arial" w:hAnsi="Arial" w:cs="Arial"/>
                <w:i/>
                <w:sz w:val="23"/>
                <w:szCs w:val="23"/>
                <w:lang w:val="en-US"/>
              </w:rPr>
              <w:t>study of methodological approaches to assessing employment of graduates as an important factor in the strategic development of universities</w:t>
            </w:r>
          </w:p>
          <w:p w:rsidR="009554DB" w:rsidRPr="00E956D3" w:rsidRDefault="009554DB" w:rsidP="00CB3FDB">
            <w:pPr>
              <w:ind w:firstLine="0"/>
              <w:jc w:val="left"/>
              <w:rPr>
                <w:rFonts w:ascii="Arial" w:hAnsi="Arial" w:cs="Arial"/>
                <w:i/>
                <w:sz w:val="23"/>
                <w:szCs w:val="23"/>
                <w:lang w:val="en-US"/>
              </w:rPr>
            </w:pPr>
            <w:r w:rsidRPr="00E956D3">
              <w:rPr>
                <w:rFonts w:ascii="Arial" w:hAnsi="Arial" w:cs="Arial"/>
                <w:b/>
                <w:i/>
                <w:sz w:val="23"/>
                <w:szCs w:val="23"/>
                <w:lang w:val="en-US"/>
              </w:rPr>
              <w:t xml:space="preserve">Tretyakova L.A., Pryadko S.N., Tretyakova M.S. </w:t>
            </w:r>
            <w:r w:rsidRPr="00E956D3">
              <w:rPr>
                <w:rFonts w:ascii="Arial" w:hAnsi="Arial" w:cs="Arial"/>
                <w:i/>
                <w:sz w:val="23"/>
                <w:szCs w:val="23"/>
                <w:lang w:val="en-US"/>
              </w:rPr>
              <w:t>Managing the process of forming competitive advantages in the insurance market</w:t>
            </w:r>
          </w:p>
          <w:p w:rsidR="00E956D3" w:rsidRPr="00E956D3" w:rsidRDefault="00E956D3" w:rsidP="00E956D3">
            <w:pPr>
              <w:ind w:firstLine="0"/>
              <w:rPr>
                <w:rFonts w:ascii="Arial" w:eastAsia="Times New Roman" w:hAnsi="Arial" w:cs="Arial"/>
                <w:i/>
                <w:caps/>
                <w:sz w:val="23"/>
                <w:szCs w:val="23"/>
                <w:lang w:val="en-US" w:eastAsia="ru-RU"/>
              </w:rPr>
            </w:pPr>
            <w:r w:rsidRPr="00E956D3">
              <w:rPr>
                <w:rFonts w:ascii="Arial" w:eastAsia="Times New Roman" w:hAnsi="Arial" w:cs="Arial"/>
                <w:b/>
                <w:i/>
                <w:sz w:val="23"/>
                <w:szCs w:val="23"/>
                <w:lang w:val="en-US" w:eastAsia="ru-RU"/>
              </w:rPr>
              <w:t>Yakovlev I.G., Yakovlev G.</w:t>
            </w:r>
            <w:r w:rsidRPr="00E956D3">
              <w:rPr>
                <w:rFonts w:ascii="Arial" w:eastAsia="Times New Roman" w:hAnsi="Arial" w:cs="Arial"/>
                <w:i/>
                <w:sz w:val="23"/>
                <w:szCs w:val="23"/>
                <w:lang w:val="en-US" w:eastAsia="ru-RU"/>
              </w:rPr>
              <w:t xml:space="preserve"> </w:t>
            </w:r>
            <w:r w:rsidRPr="00E956D3">
              <w:rPr>
                <w:rFonts w:ascii="Arial" w:eastAsia="Times New Roman" w:hAnsi="Arial" w:cs="Arial"/>
                <w:b/>
                <w:i/>
                <w:sz w:val="23"/>
                <w:szCs w:val="23"/>
                <w:lang w:val="en-US" w:eastAsia="ru-RU"/>
              </w:rPr>
              <w:t xml:space="preserve">I. </w:t>
            </w:r>
            <w:r w:rsidRPr="00E956D3">
              <w:rPr>
                <w:rFonts w:ascii="Arial" w:eastAsia="Times New Roman" w:hAnsi="Arial" w:cs="Arial"/>
                <w:i/>
                <w:sz w:val="23"/>
                <w:szCs w:val="23"/>
                <w:lang w:val="en-US" w:eastAsia="ru-RU"/>
              </w:rPr>
              <w:t>Implementation</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of</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prompt</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engineering</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methods</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in</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the</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context</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of</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classical</w:t>
            </w:r>
            <w:r w:rsidRPr="00E956D3">
              <w:rPr>
                <w:rFonts w:ascii="Arial" w:eastAsia="Times New Roman" w:hAnsi="Arial" w:cs="Arial"/>
                <w:i/>
                <w:caps/>
                <w:sz w:val="23"/>
                <w:szCs w:val="23"/>
                <w:lang w:val="en-US" w:eastAsia="ru-RU"/>
              </w:rPr>
              <w:t xml:space="preserve"> </w:t>
            </w:r>
            <w:r w:rsidRPr="00E956D3">
              <w:rPr>
                <w:rFonts w:ascii="Arial" w:eastAsia="Times New Roman" w:hAnsi="Arial" w:cs="Arial"/>
                <w:i/>
                <w:sz w:val="23"/>
                <w:szCs w:val="23"/>
                <w:lang w:val="en-US" w:eastAsia="ru-RU"/>
              </w:rPr>
              <w:t>management</w:t>
            </w:r>
          </w:p>
          <w:p w:rsidR="00E956D3" w:rsidRPr="00E956D3" w:rsidRDefault="00E956D3" w:rsidP="009554DB">
            <w:pPr>
              <w:ind w:firstLine="0"/>
              <w:jc w:val="left"/>
              <w:rPr>
                <w:i/>
                <w:sz w:val="23"/>
                <w:szCs w:val="23"/>
                <w:lang w:val="en-US"/>
              </w:rPr>
            </w:pPr>
          </w:p>
        </w:tc>
        <w:tc>
          <w:tcPr>
            <w:tcW w:w="709" w:type="dxa"/>
            <w:vMerge w:val="restart"/>
            <w:tcBorders>
              <w:bottom w:val="nil"/>
            </w:tcBorders>
          </w:tcPr>
          <w:p w:rsidR="009554DB" w:rsidRPr="001B6DB3" w:rsidRDefault="009554DB" w:rsidP="005C6561">
            <w:pPr>
              <w:pStyle w:val="aff4"/>
              <w:spacing w:line="240" w:lineRule="auto"/>
              <w:jc w:val="right"/>
              <w:rPr>
                <w:color w:val="auto"/>
                <w:sz w:val="23"/>
                <w:szCs w:val="23"/>
              </w:rPr>
            </w:pPr>
          </w:p>
          <w:p w:rsidR="009554DB" w:rsidRPr="001B6DB3" w:rsidRDefault="00CB3FDB" w:rsidP="005C6561">
            <w:pPr>
              <w:pStyle w:val="aff4"/>
              <w:spacing w:line="240" w:lineRule="auto"/>
              <w:jc w:val="right"/>
              <w:rPr>
                <w:color w:val="auto"/>
                <w:sz w:val="23"/>
                <w:szCs w:val="23"/>
              </w:rPr>
            </w:pPr>
            <w:r>
              <w:rPr>
                <w:color w:val="auto"/>
                <w:sz w:val="23"/>
                <w:szCs w:val="23"/>
                <w:lang w:val="en-US"/>
              </w:rPr>
              <w:t>30</w:t>
            </w:r>
          </w:p>
          <w:p w:rsidR="009554DB" w:rsidRPr="001B6DB3" w:rsidRDefault="009554DB" w:rsidP="005C6561">
            <w:pPr>
              <w:pStyle w:val="aff4"/>
              <w:spacing w:line="240" w:lineRule="auto"/>
              <w:jc w:val="right"/>
              <w:rPr>
                <w:color w:val="auto"/>
                <w:sz w:val="23"/>
                <w:szCs w:val="23"/>
              </w:rPr>
            </w:pPr>
          </w:p>
          <w:p w:rsidR="009554DB" w:rsidRPr="001B6DB3" w:rsidRDefault="00C2048E" w:rsidP="005C6561">
            <w:pPr>
              <w:pStyle w:val="aff4"/>
              <w:spacing w:line="240" w:lineRule="auto"/>
              <w:jc w:val="right"/>
              <w:rPr>
                <w:color w:val="auto"/>
                <w:sz w:val="23"/>
                <w:szCs w:val="23"/>
              </w:rPr>
            </w:pPr>
            <w:r>
              <w:rPr>
                <w:color w:val="auto"/>
                <w:sz w:val="23"/>
                <w:szCs w:val="23"/>
                <w:lang w:val="en-US"/>
              </w:rPr>
              <w:t>47</w:t>
            </w:r>
          </w:p>
          <w:p w:rsidR="009554DB" w:rsidRPr="001B6DB3" w:rsidRDefault="009554DB" w:rsidP="005C6561">
            <w:pPr>
              <w:pStyle w:val="aff4"/>
              <w:spacing w:line="240" w:lineRule="auto"/>
              <w:jc w:val="right"/>
              <w:rPr>
                <w:color w:val="auto"/>
                <w:sz w:val="23"/>
                <w:szCs w:val="23"/>
              </w:rPr>
            </w:pPr>
          </w:p>
          <w:p w:rsidR="009554DB" w:rsidRPr="001B6DB3" w:rsidRDefault="009554DB" w:rsidP="005C6561">
            <w:pPr>
              <w:pStyle w:val="aff4"/>
              <w:spacing w:line="240" w:lineRule="auto"/>
              <w:jc w:val="right"/>
              <w:rPr>
                <w:color w:val="auto"/>
                <w:sz w:val="23"/>
                <w:szCs w:val="23"/>
              </w:rPr>
            </w:pPr>
          </w:p>
          <w:p w:rsidR="009554DB" w:rsidRPr="001B6DB3" w:rsidRDefault="009554DB" w:rsidP="005C6561">
            <w:pPr>
              <w:pStyle w:val="aff4"/>
              <w:spacing w:line="240" w:lineRule="auto"/>
              <w:jc w:val="right"/>
              <w:rPr>
                <w:color w:val="auto"/>
                <w:sz w:val="23"/>
                <w:szCs w:val="23"/>
              </w:rPr>
            </w:pPr>
          </w:p>
          <w:p w:rsidR="009554DB" w:rsidRPr="001B6DB3" w:rsidRDefault="009554DB" w:rsidP="005C6561">
            <w:pPr>
              <w:pStyle w:val="aff4"/>
              <w:spacing w:line="240" w:lineRule="auto"/>
              <w:jc w:val="right"/>
              <w:rPr>
                <w:color w:val="auto"/>
                <w:sz w:val="23"/>
                <w:szCs w:val="23"/>
              </w:rPr>
            </w:pPr>
          </w:p>
          <w:p w:rsidR="009554DB" w:rsidRPr="001B6DB3" w:rsidRDefault="001B6DB3" w:rsidP="005C6561">
            <w:pPr>
              <w:pStyle w:val="aff4"/>
              <w:spacing w:line="240" w:lineRule="auto"/>
              <w:jc w:val="right"/>
              <w:rPr>
                <w:color w:val="auto"/>
                <w:sz w:val="23"/>
                <w:szCs w:val="23"/>
              </w:rPr>
            </w:pPr>
            <w:r w:rsidRPr="001B6DB3">
              <w:rPr>
                <w:color w:val="auto"/>
                <w:sz w:val="23"/>
                <w:szCs w:val="23"/>
              </w:rPr>
              <w:t>6</w:t>
            </w:r>
            <w:r w:rsidR="00C2048E">
              <w:rPr>
                <w:color w:val="auto"/>
                <w:sz w:val="23"/>
                <w:szCs w:val="23"/>
              </w:rPr>
              <w:t>8</w:t>
            </w:r>
          </w:p>
          <w:p w:rsidR="009554DB" w:rsidRPr="001B6DB3" w:rsidRDefault="009554DB" w:rsidP="005C6561">
            <w:pPr>
              <w:pStyle w:val="aff4"/>
              <w:spacing w:line="240" w:lineRule="auto"/>
              <w:jc w:val="right"/>
              <w:rPr>
                <w:color w:val="auto"/>
                <w:sz w:val="23"/>
                <w:szCs w:val="23"/>
              </w:rPr>
            </w:pPr>
          </w:p>
          <w:p w:rsidR="009554DB" w:rsidRPr="001B6DB3" w:rsidRDefault="001B6DB3" w:rsidP="005C6561">
            <w:pPr>
              <w:pStyle w:val="aff4"/>
              <w:spacing w:line="240" w:lineRule="auto"/>
              <w:jc w:val="right"/>
              <w:rPr>
                <w:color w:val="auto"/>
                <w:sz w:val="23"/>
                <w:szCs w:val="23"/>
              </w:rPr>
            </w:pPr>
            <w:r w:rsidRPr="001B6DB3">
              <w:rPr>
                <w:color w:val="auto"/>
                <w:sz w:val="23"/>
                <w:szCs w:val="23"/>
              </w:rPr>
              <w:t>7</w:t>
            </w:r>
            <w:r w:rsidR="00C2048E">
              <w:rPr>
                <w:color w:val="auto"/>
                <w:sz w:val="23"/>
                <w:szCs w:val="23"/>
              </w:rPr>
              <w:t>8</w:t>
            </w:r>
          </w:p>
          <w:p w:rsidR="009554DB" w:rsidRPr="001B6DB3" w:rsidRDefault="009554DB" w:rsidP="005C6561">
            <w:pPr>
              <w:pStyle w:val="aff4"/>
              <w:spacing w:line="240" w:lineRule="auto"/>
              <w:jc w:val="right"/>
              <w:rPr>
                <w:color w:val="auto"/>
                <w:sz w:val="23"/>
                <w:szCs w:val="23"/>
              </w:rPr>
            </w:pPr>
          </w:p>
          <w:p w:rsidR="009554DB" w:rsidRPr="001B6DB3" w:rsidRDefault="001B6DB3" w:rsidP="005C6561">
            <w:pPr>
              <w:pStyle w:val="aff4"/>
              <w:spacing w:line="240" w:lineRule="auto"/>
              <w:jc w:val="right"/>
              <w:rPr>
                <w:color w:val="auto"/>
                <w:sz w:val="23"/>
                <w:szCs w:val="23"/>
              </w:rPr>
            </w:pPr>
            <w:r>
              <w:rPr>
                <w:color w:val="auto"/>
                <w:sz w:val="23"/>
                <w:szCs w:val="23"/>
              </w:rPr>
              <w:t>8</w:t>
            </w:r>
            <w:r w:rsidR="00C2048E">
              <w:rPr>
                <w:color w:val="auto"/>
                <w:sz w:val="23"/>
                <w:szCs w:val="23"/>
              </w:rPr>
              <w:t>8</w:t>
            </w:r>
          </w:p>
          <w:p w:rsidR="00E956D3" w:rsidRPr="001B6DB3" w:rsidRDefault="00E956D3" w:rsidP="005C6561">
            <w:pPr>
              <w:pStyle w:val="aff4"/>
              <w:spacing w:line="240" w:lineRule="auto"/>
              <w:jc w:val="right"/>
              <w:rPr>
                <w:color w:val="auto"/>
                <w:sz w:val="23"/>
                <w:szCs w:val="23"/>
                <w:lang w:val="ru-RU"/>
              </w:rPr>
            </w:pPr>
          </w:p>
          <w:p w:rsidR="009554DB" w:rsidRPr="001B6DB3" w:rsidRDefault="00C2048E" w:rsidP="00C2048E">
            <w:pPr>
              <w:pStyle w:val="aff4"/>
              <w:spacing w:line="240" w:lineRule="auto"/>
              <w:jc w:val="right"/>
              <w:rPr>
                <w:color w:val="auto"/>
                <w:sz w:val="23"/>
                <w:szCs w:val="23"/>
              </w:rPr>
            </w:pPr>
            <w:r>
              <w:rPr>
                <w:color w:val="auto"/>
                <w:sz w:val="23"/>
                <w:szCs w:val="23"/>
                <w:lang w:val="en-US"/>
              </w:rPr>
              <w:t>102</w:t>
            </w:r>
          </w:p>
        </w:tc>
      </w:tr>
      <w:tr w:rsidR="009554DB" w:rsidRPr="00D337FA" w:rsidTr="00C2048E">
        <w:tc>
          <w:tcPr>
            <w:tcW w:w="9322" w:type="dxa"/>
          </w:tcPr>
          <w:p w:rsidR="009554DB" w:rsidRPr="00E956D3" w:rsidRDefault="009554DB" w:rsidP="005C6561">
            <w:pPr>
              <w:ind w:firstLine="0"/>
              <w:jc w:val="left"/>
              <w:rPr>
                <w:rFonts w:ascii="Arial" w:hAnsi="Arial" w:cs="Arial"/>
                <w:b/>
                <w:bCs/>
                <w:i/>
                <w:sz w:val="23"/>
                <w:szCs w:val="23"/>
              </w:rPr>
            </w:pPr>
            <w:r w:rsidRPr="00E956D3">
              <w:rPr>
                <w:rFonts w:ascii="Arial" w:hAnsi="Arial" w:cs="Arial"/>
                <w:i/>
                <w:spacing w:val="-4"/>
                <w:sz w:val="23"/>
                <w:szCs w:val="23"/>
                <w:lang w:val="en-US"/>
              </w:rPr>
              <w:t>For</w:t>
            </w:r>
            <w:r w:rsidRPr="00E956D3">
              <w:rPr>
                <w:rFonts w:ascii="Arial" w:hAnsi="Arial" w:cs="Arial"/>
                <w:i/>
                <w:spacing w:val="-4"/>
                <w:sz w:val="23"/>
                <w:szCs w:val="23"/>
              </w:rPr>
              <w:t xml:space="preserve"> </w:t>
            </w:r>
            <w:r w:rsidRPr="00E956D3">
              <w:rPr>
                <w:rFonts w:ascii="Arial" w:hAnsi="Arial" w:cs="Arial"/>
                <w:i/>
                <w:spacing w:val="-4"/>
                <w:sz w:val="23"/>
                <w:szCs w:val="23"/>
                <w:lang w:val="en-US"/>
              </w:rPr>
              <w:t>Authors</w:t>
            </w:r>
          </w:p>
        </w:tc>
        <w:tc>
          <w:tcPr>
            <w:tcW w:w="709" w:type="dxa"/>
            <w:vMerge/>
          </w:tcPr>
          <w:p w:rsidR="009554DB" w:rsidRPr="00D337FA" w:rsidRDefault="009554DB" w:rsidP="005C6561">
            <w:pPr>
              <w:pStyle w:val="aff4"/>
              <w:spacing w:line="240" w:lineRule="auto"/>
              <w:jc w:val="right"/>
              <w:rPr>
                <w:color w:val="auto"/>
                <w:sz w:val="23"/>
                <w:szCs w:val="23"/>
                <w:highlight w:val="yellow"/>
                <w:lang w:val="ru-RU"/>
              </w:rPr>
            </w:pPr>
          </w:p>
        </w:tc>
      </w:tr>
    </w:tbl>
    <w:p w:rsidR="0093400A" w:rsidRPr="00D337FA" w:rsidRDefault="0093400A" w:rsidP="00DD11DE">
      <w:pPr>
        <w:pStyle w:val="aff4"/>
        <w:ind w:right="707"/>
        <w:rPr>
          <w:color w:val="auto"/>
          <w:sz w:val="23"/>
          <w:szCs w:val="23"/>
          <w:highlight w:val="yellow"/>
        </w:rPr>
      </w:pPr>
    </w:p>
    <w:p w:rsidR="0093400A" w:rsidRPr="00D337FA" w:rsidRDefault="0093400A" w:rsidP="00DD11DE">
      <w:pPr>
        <w:pStyle w:val="aff4"/>
        <w:ind w:right="707"/>
        <w:rPr>
          <w:color w:val="auto"/>
          <w:sz w:val="23"/>
          <w:szCs w:val="23"/>
          <w:highlight w:val="yellow"/>
        </w:rPr>
      </w:pPr>
    </w:p>
    <w:p w:rsidR="0045446F" w:rsidRPr="00D337FA" w:rsidRDefault="0045446F" w:rsidP="0045446F">
      <w:pPr>
        <w:widowControl w:val="0"/>
        <w:tabs>
          <w:tab w:val="right" w:leader="dot" w:pos="4590"/>
        </w:tabs>
        <w:ind w:firstLine="0"/>
        <w:rPr>
          <w:sz w:val="22"/>
          <w:szCs w:val="22"/>
          <w:highlight w:val="yellow"/>
          <w:lang w:val="en-GB"/>
        </w:rPr>
        <w:sectPr w:rsidR="0045446F" w:rsidRPr="00D337FA" w:rsidSect="00165CF6">
          <w:footerReference w:type="even" r:id="rId13"/>
          <w:footerReference w:type="default" r:id="rId14"/>
          <w:footnotePr>
            <w:numRestart w:val="eachPage"/>
          </w:footnotePr>
          <w:pgSz w:w="11906" w:h="16838" w:code="9"/>
          <w:pgMar w:top="1418" w:right="1134" w:bottom="1418" w:left="1134" w:header="1021" w:footer="1021" w:gutter="0"/>
          <w:cols w:space="567"/>
          <w:docGrid w:linePitch="435"/>
        </w:sectPr>
      </w:pPr>
    </w:p>
    <w:p w:rsidR="006F3AE9" w:rsidRPr="00D337FA" w:rsidRDefault="006F3AE9" w:rsidP="006F3AE9">
      <w:pPr>
        <w:pStyle w:val="aff4"/>
        <w:rPr>
          <w:rFonts w:ascii="Calibri" w:hAnsi="Calibri" w:cs="Times New Roman"/>
          <w:b/>
          <w:bCs w:val="0"/>
          <w:i w:val="0"/>
          <w:iCs w:val="0"/>
          <w:color w:val="auto"/>
          <w:sz w:val="28"/>
          <w:szCs w:val="28"/>
          <w:highlight w:val="yellow"/>
          <w:lang w:val="en-US" w:eastAsia="en-US"/>
        </w:rPr>
      </w:pPr>
    </w:p>
    <w:p w:rsidR="006F3AE9" w:rsidRPr="00D337FA" w:rsidRDefault="006F3AE9" w:rsidP="006F3AE9">
      <w:pPr>
        <w:ind w:firstLine="567"/>
        <w:jc w:val="right"/>
        <w:outlineLvl w:val="1"/>
        <w:rPr>
          <w:sz w:val="28"/>
          <w:szCs w:val="28"/>
          <w:highlight w:val="yellow"/>
          <w:lang w:val="en-US"/>
        </w:rPr>
      </w:pPr>
    </w:p>
    <w:p w:rsidR="006F3AE9" w:rsidRPr="00D337FA" w:rsidRDefault="006F3AE9" w:rsidP="006F3AE9">
      <w:pPr>
        <w:ind w:firstLine="567"/>
        <w:outlineLvl w:val="1"/>
        <w:rPr>
          <w:bCs/>
          <w:sz w:val="28"/>
          <w:szCs w:val="28"/>
          <w:highlight w:val="yellow"/>
          <w:lang w:val="en-US"/>
        </w:rPr>
      </w:pPr>
    </w:p>
    <w:p w:rsidR="006F3AE9" w:rsidRPr="00D337FA" w:rsidRDefault="006F3AE9" w:rsidP="006F3AE9">
      <w:pPr>
        <w:pStyle w:val="afd"/>
        <w:jc w:val="left"/>
        <w:rPr>
          <w:i/>
          <w:color w:val="auto"/>
          <w:highlight w:val="yellow"/>
          <w:lang w:val="en-US"/>
        </w:rPr>
      </w:pPr>
    </w:p>
    <w:p w:rsidR="006F3AE9" w:rsidRPr="00D337FA" w:rsidRDefault="006F3AE9" w:rsidP="006F3AE9">
      <w:pPr>
        <w:pStyle w:val="afd"/>
        <w:jc w:val="left"/>
        <w:rPr>
          <w:i/>
          <w:color w:val="auto"/>
          <w:highlight w:val="yellow"/>
          <w:lang w:val="en-US"/>
        </w:rPr>
      </w:pPr>
    </w:p>
    <w:p w:rsidR="006F3AE9" w:rsidRPr="00D337FA" w:rsidRDefault="006F3AE9" w:rsidP="006F3AE9">
      <w:pPr>
        <w:pStyle w:val="afd"/>
        <w:jc w:val="left"/>
        <w:rPr>
          <w:i/>
          <w:color w:val="auto"/>
          <w:highlight w:val="yellow"/>
          <w:lang w:val="en-US"/>
        </w:rPr>
      </w:pPr>
    </w:p>
    <w:p w:rsidR="00F905DC" w:rsidRPr="00D337FA" w:rsidRDefault="00F905DC" w:rsidP="00F905DC">
      <w:pPr>
        <w:widowControl w:val="0"/>
        <w:tabs>
          <w:tab w:val="right" w:leader="dot" w:pos="4590"/>
        </w:tabs>
        <w:ind w:firstLine="0"/>
        <w:rPr>
          <w:sz w:val="22"/>
          <w:szCs w:val="22"/>
          <w:highlight w:val="yellow"/>
          <w:lang w:val="en-US"/>
        </w:rPr>
        <w:sectPr w:rsidR="00F905DC" w:rsidRPr="00D337FA" w:rsidSect="00E61989">
          <w:headerReference w:type="even" r:id="rId15"/>
          <w:footerReference w:type="even" r:id="rId16"/>
          <w:footerReference w:type="default" r:id="rId17"/>
          <w:footnotePr>
            <w:numRestart w:val="eachPage"/>
          </w:footnotePr>
          <w:type w:val="continuous"/>
          <w:pgSz w:w="11906" w:h="16838" w:code="9"/>
          <w:pgMar w:top="1418" w:right="1134" w:bottom="1418" w:left="1134" w:header="1021" w:footer="1021" w:gutter="0"/>
          <w:cols w:num="2" w:space="708" w:equalWidth="0">
            <w:col w:w="4465" w:space="708"/>
            <w:col w:w="4465"/>
          </w:cols>
          <w:docGrid w:linePitch="435"/>
        </w:sectPr>
      </w:pPr>
    </w:p>
    <w:p w:rsidR="001A7621" w:rsidRPr="00D337FA" w:rsidRDefault="001A7621" w:rsidP="001A7621">
      <w:pPr>
        <w:tabs>
          <w:tab w:val="center" w:pos="4677"/>
        </w:tabs>
        <w:ind w:right="-1" w:firstLine="0"/>
        <w:jc w:val="right"/>
        <w:rPr>
          <w:b/>
          <w:i/>
        </w:rPr>
      </w:pPr>
      <w:r w:rsidRPr="00D337FA">
        <w:rPr>
          <w:rFonts w:ascii="Arial CYR" w:hAnsi="Arial CYR" w:cs="Arial CYR"/>
          <w:b/>
          <w:bCs/>
          <w:i/>
          <w:iCs/>
          <w:caps/>
          <w:szCs w:val="24"/>
          <w:u w:val="single"/>
          <w:lang w:eastAsia="ru-RU"/>
        </w:rPr>
        <w:lastRenderedPageBreak/>
        <w:t>Региональная</w:t>
      </w:r>
      <w:r w:rsidR="006C680D" w:rsidRPr="00D337FA">
        <w:rPr>
          <w:rFonts w:ascii="Arial CYR" w:hAnsi="Arial CYR" w:cs="Arial CYR"/>
          <w:b/>
          <w:bCs/>
          <w:i/>
          <w:iCs/>
          <w:caps/>
          <w:szCs w:val="24"/>
          <w:u w:val="single"/>
          <w:lang w:eastAsia="ru-RU"/>
        </w:rPr>
        <w:t xml:space="preserve"> </w:t>
      </w:r>
      <w:r w:rsidRPr="00D337FA">
        <w:rPr>
          <w:rFonts w:ascii="Arial CYR" w:hAnsi="Arial CYR" w:cs="Arial CYR"/>
          <w:b/>
          <w:bCs/>
          <w:i/>
          <w:iCs/>
          <w:caps/>
          <w:szCs w:val="24"/>
          <w:u w:val="single"/>
          <w:lang w:eastAsia="ru-RU"/>
        </w:rPr>
        <w:t>и</w:t>
      </w:r>
      <w:r w:rsidR="006C680D" w:rsidRPr="00D337FA">
        <w:rPr>
          <w:rFonts w:ascii="Arial CYR" w:hAnsi="Arial CYR" w:cs="Arial CYR"/>
          <w:b/>
          <w:bCs/>
          <w:i/>
          <w:iCs/>
          <w:caps/>
          <w:szCs w:val="24"/>
          <w:u w:val="single"/>
          <w:lang w:eastAsia="ru-RU"/>
        </w:rPr>
        <w:t xml:space="preserve"> </w:t>
      </w:r>
      <w:r w:rsidRPr="00D337FA">
        <w:rPr>
          <w:rFonts w:ascii="Arial CYR" w:hAnsi="Arial CYR" w:cs="Arial CYR"/>
          <w:b/>
          <w:bCs/>
          <w:i/>
          <w:iCs/>
          <w:caps/>
          <w:szCs w:val="24"/>
          <w:u w:val="single"/>
          <w:lang w:eastAsia="ru-RU"/>
        </w:rPr>
        <w:t>отраслевая</w:t>
      </w:r>
      <w:r w:rsidR="006C680D" w:rsidRPr="00D337FA">
        <w:rPr>
          <w:rFonts w:ascii="Arial CYR" w:hAnsi="Arial CYR" w:cs="Arial CYR"/>
          <w:b/>
          <w:bCs/>
          <w:i/>
          <w:iCs/>
          <w:caps/>
          <w:szCs w:val="24"/>
          <w:u w:val="single"/>
          <w:lang w:eastAsia="ru-RU"/>
        </w:rPr>
        <w:t xml:space="preserve"> </w:t>
      </w:r>
      <w:r w:rsidRPr="00D337FA">
        <w:rPr>
          <w:rFonts w:ascii="Arial CYR" w:hAnsi="Arial CYR" w:cs="Arial CYR"/>
          <w:b/>
          <w:bCs/>
          <w:i/>
          <w:iCs/>
          <w:caps/>
          <w:szCs w:val="24"/>
          <w:u w:val="single"/>
          <w:lang w:eastAsia="ru-RU"/>
        </w:rPr>
        <w:t>экономика</w:t>
      </w:r>
    </w:p>
    <w:p w:rsidR="00B8312E" w:rsidRPr="00B8312E" w:rsidRDefault="00B8312E" w:rsidP="00B8312E">
      <w:pPr>
        <w:autoSpaceDE w:val="0"/>
        <w:autoSpaceDN w:val="0"/>
        <w:adjustRightInd w:val="0"/>
        <w:ind w:firstLine="0"/>
        <w:jc w:val="left"/>
        <w:textAlignment w:val="center"/>
        <w:rPr>
          <w:rFonts w:ascii="Arial" w:hAnsi="Arial" w:cs="Arial"/>
          <w:bCs/>
          <w:i/>
          <w:iCs/>
          <w:szCs w:val="28"/>
          <w:lang w:eastAsia="ru-RU"/>
        </w:rPr>
      </w:pPr>
      <w:r w:rsidRPr="00B8312E">
        <w:rPr>
          <w:rFonts w:ascii="Arial" w:hAnsi="Arial" w:cs="Arial"/>
          <w:bCs/>
          <w:i/>
          <w:iCs/>
          <w:szCs w:val="28"/>
          <w:lang w:eastAsia="ru-RU"/>
        </w:rPr>
        <w:t xml:space="preserve">УДК 338.24  </w:t>
      </w:r>
    </w:p>
    <w:p w:rsidR="00B8312E" w:rsidRPr="00B8312E" w:rsidRDefault="00B8312E" w:rsidP="00B8312E">
      <w:pPr>
        <w:autoSpaceDE w:val="0"/>
        <w:autoSpaceDN w:val="0"/>
        <w:adjustRightInd w:val="0"/>
        <w:ind w:firstLine="0"/>
        <w:jc w:val="left"/>
        <w:textAlignment w:val="center"/>
        <w:rPr>
          <w:rFonts w:ascii="Arial" w:hAnsi="Arial" w:cs="Arial"/>
          <w:b/>
          <w:bCs/>
          <w:i/>
          <w:iCs/>
          <w:szCs w:val="28"/>
          <w:lang w:eastAsia="ru-RU"/>
        </w:rPr>
      </w:pPr>
      <w:r w:rsidRPr="00B8312E">
        <w:rPr>
          <w:rFonts w:ascii="Arial" w:hAnsi="Arial" w:cs="Arial"/>
          <w:b/>
          <w:bCs/>
          <w:i/>
          <w:iCs/>
          <w:szCs w:val="28"/>
          <w:lang w:eastAsia="ru-RU"/>
        </w:rPr>
        <w:t xml:space="preserve">Д.В. Власов </w:t>
      </w:r>
    </w:p>
    <w:p w:rsidR="00D74067" w:rsidRPr="00B8312E" w:rsidRDefault="00B8312E" w:rsidP="00B8312E">
      <w:pPr>
        <w:autoSpaceDE w:val="0"/>
        <w:autoSpaceDN w:val="0"/>
        <w:adjustRightInd w:val="0"/>
        <w:ind w:firstLine="0"/>
        <w:jc w:val="left"/>
        <w:textAlignment w:val="center"/>
        <w:rPr>
          <w:rFonts w:ascii="Arial" w:hAnsi="Arial" w:cs="Arial"/>
          <w:b/>
          <w:bCs/>
          <w:i/>
          <w:iCs/>
          <w:szCs w:val="28"/>
          <w:lang w:val="en-US" w:eastAsia="ru-RU"/>
        </w:rPr>
      </w:pPr>
      <w:r w:rsidRPr="00B8312E">
        <w:rPr>
          <w:rFonts w:ascii="Arial" w:hAnsi="Arial" w:cs="Arial"/>
          <w:b/>
          <w:bCs/>
          <w:i/>
          <w:iCs/>
          <w:szCs w:val="28"/>
          <w:lang w:eastAsia="ru-RU"/>
        </w:rPr>
        <w:t xml:space="preserve">D. V. Vlasov </w:t>
      </w:r>
      <w:r w:rsidR="00D74067" w:rsidRPr="00B8312E">
        <w:rPr>
          <w:rFonts w:ascii="Arial" w:hAnsi="Arial" w:cs="Arial"/>
          <w:b/>
          <w:bCs/>
          <w:i/>
          <w:iCs/>
          <w:szCs w:val="28"/>
          <w:lang w:val="en-US" w:eastAsia="ru-RU"/>
        </w:rPr>
        <w:t xml:space="preserve"> </w:t>
      </w:r>
    </w:p>
    <w:p w:rsidR="00D74067" w:rsidRPr="00D74067" w:rsidRDefault="00D74067" w:rsidP="00D74067">
      <w:pPr>
        <w:autoSpaceDE w:val="0"/>
        <w:autoSpaceDN w:val="0"/>
        <w:adjustRightInd w:val="0"/>
        <w:ind w:firstLine="0"/>
        <w:jc w:val="center"/>
        <w:textAlignment w:val="center"/>
        <w:rPr>
          <w:rFonts w:ascii="Arial" w:hAnsi="Arial" w:cs="Arial"/>
          <w:b/>
          <w:bCs/>
          <w:iCs/>
          <w:szCs w:val="28"/>
          <w:lang w:val="en-US" w:eastAsia="ru-RU"/>
        </w:rPr>
      </w:pPr>
    </w:p>
    <w:p w:rsidR="00B8312E" w:rsidRDefault="00B8312E" w:rsidP="00B8312E">
      <w:pPr>
        <w:autoSpaceDE w:val="0"/>
        <w:autoSpaceDN w:val="0"/>
        <w:adjustRightInd w:val="0"/>
        <w:ind w:firstLine="0"/>
        <w:jc w:val="center"/>
        <w:textAlignment w:val="center"/>
        <w:rPr>
          <w:rFonts w:ascii="Arial" w:hAnsi="Arial" w:cs="Arial"/>
          <w:b/>
          <w:bCs/>
          <w:iCs/>
          <w:szCs w:val="28"/>
          <w:lang w:eastAsia="ru-RU"/>
        </w:rPr>
      </w:pPr>
      <w:r w:rsidRPr="00B8312E">
        <w:rPr>
          <w:rFonts w:ascii="Arial" w:hAnsi="Arial" w:cs="Arial"/>
          <w:b/>
          <w:bCs/>
          <w:iCs/>
          <w:szCs w:val="28"/>
          <w:lang w:eastAsia="ru-RU"/>
        </w:rPr>
        <w:t>СОВЕРШЕНСТВОВАНИЕ МЕТОДИЧЕСКОГО ПОДХОДА К ОЦЕНКЕ ИНФОРМАЦИОННО-АНАЛИТИЧЕСКОГО ОБЕСПЕЧЕНИЯ УПРАВЛЕНИЯ ИННОВАЦИЯМИ МАШИНОСТРОИТЕЛЬНОГО ПРЕДПРИЯТИЯ</w:t>
      </w:r>
    </w:p>
    <w:p w:rsidR="00B8312E" w:rsidRPr="00B8312E" w:rsidRDefault="00B8312E" w:rsidP="00B8312E">
      <w:pPr>
        <w:autoSpaceDE w:val="0"/>
        <w:autoSpaceDN w:val="0"/>
        <w:adjustRightInd w:val="0"/>
        <w:ind w:firstLine="0"/>
        <w:jc w:val="center"/>
        <w:textAlignment w:val="center"/>
        <w:rPr>
          <w:rFonts w:ascii="Arial" w:hAnsi="Arial" w:cs="Arial"/>
          <w:b/>
          <w:bCs/>
          <w:iCs/>
          <w:szCs w:val="28"/>
          <w:lang w:eastAsia="ru-RU"/>
        </w:rPr>
      </w:pPr>
    </w:p>
    <w:p w:rsidR="00D74067" w:rsidRPr="00B8312E" w:rsidRDefault="00B8312E" w:rsidP="00B8312E">
      <w:pPr>
        <w:autoSpaceDE w:val="0"/>
        <w:autoSpaceDN w:val="0"/>
        <w:adjustRightInd w:val="0"/>
        <w:ind w:firstLine="0"/>
        <w:jc w:val="center"/>
        <w:textAlignment w:val="center"/>
        <w:rPr>
          <w:rFonts w:ascii="Arial" w:hAnsi="Arial" w:cs="Arial"/>
          <w:b/>
          <w:bCs/>
          <w:iCs/>
          <w:szCs w:val="28"/>
          <w:lang w:val="en-US" w:eastAsia="ru-RU"/>
        </w:rPr>
      </w:pPr>
      <w:r w:rsidRPr="00B8312E">
        <w:rPr>
          <w:rFonts w:ascii="Arial" w:hAnsi="Arial" w:cs="Arial"/>
          <w:b/>
          <w:bCs/>
          <w:iCs/>
          <w:szCs w:val="28"/>
          <w:lang w:val="en-US" w:eastAsia="ru-RU"/>
        </w:rPr>
        <w:t>IMPROVING THE METHODOLOGICAL APPROACH TO EVALUATING INFORMATION AND ANALYTICAL SUPPORT FOR INNOVATION MANAGEMENT IN A MACHINE-BUILDING ENTERPRISE</w:t>
      </w:r>
    </w:p>
    <w:p w:rsidR="00D74067" w:rsidRPr="00D74067" w:rsidRDefault="00D74067" w:rsidP="00D74067">
      <w:pPr>
        <w:autoSpaceDE w:val="0"/>
        <w:autoSpaceDN w:val="0"/>
        <w:adjustRightInd w:val="0"/>
        <w:ind w:firstLine="0"/>
        <w:jc w:val="center"/>
        <w:textAlignment w:val="center"/>
        <w:rPr>
          <w:rFonts w:ascii="Arial" w:hAnsi="Arial" w:cs="Arial"/>
          <w:b/>
          <w:bCs/>
          <w:iCs/>
          <w:szCs w:val="24"/>
          <w:lang w:val="en-US" w:eastAsia="ru-RU"/>
        </w:rPr>
      </w:pPr>
    </w:p>
    <w:p w:rsidR="008F2C3F" w:rsidRPr="00316F9B" w:rsidRDefault="008F2C3F" w:rsidP="00D74067">
      <w:pPr>
        <w:autoSpaceDE w:val="0"/>
        <w:autoSpaceDN w:val="0"/>
        <w:adjustRightInd w:val="0"/>
        <w:ind w:firstLine="0"/>
        <w:textAlignment w:val="center"/>
        <w:rPr>
          <w:b/>
          <w:i/>
          <w:iCs/>
          <w:spacing w:val="-4"/>
          <w:szCs w:val="24"/>
          <w:lang w:val="en-US" w:eastAsia="ru-RU"/>
        </w:rPr>
        <w:sectPr w:rsidR="008F2C3F" w:rsidRPr="00316F9B" w:rsidSect="00726A61">
          <w:headerReference w:type="default" r:id="rId18"/>
          <w:footnotePr>
            <w:numRestart w:val="eachPage"/>
          </w:footnotePr>
          <w:pgSz w:w="11907" w:h="16840" w:code="9"/>
          <w:pgMar w:top="1418" w:right="1134" w:bottom="1418" w:left="1134" w:header="1021" w:footer="1021" w:gutter="0"/>
          <w:cols w:space="708"/>
          <w:docGrid w:linePitch="360"/>
        </w:sectPr>
      </w:pPr>
    </w:p>
    <w:p w:rsidR="008F2C3F" w:rsidRPr="00D74067" w:rsidRDefault="008F2C3F" w:rsidP="00D74067">
      <w:pPr>
        <w:autoSpaceDE w:val="0"/>
        <w:autoSpaceDN w:val="0"/>
        <w:adjustRightInd w:val="0"/>
        <w:ind w:firstLine="0"/>
        <w:textAlignment w:val="center"/>
        <w:rPr>
          <w:i/>
          <w:iCs/>
          <w:spacing w:val="-2"/>
          <w:szCs w:val="24"/>
          <w:lang w:eastAsia="ru-RU"/>
        </w:rPr>
      </w:pPr>
      <w:r w:rsidRPr="00D74067">
        <w:rPr>
          <w:b/>
          <w:i/>
          <w:iCs/>
          <w:spacing w:val="-4"/>
          <w:szCs w:val="24"/>
          <w:lang w:eastAsia="ru-RU"/>
        </w:rPr>
        <w:lastRenderedPageBreak/>
        <w:t>Аннотация.</w:t>
      </w:r>
      <w:r w:rsidRPr="00D74067">
        <w:rPr>
          <w:i/>
          <w:iCs/>
          <w:spacing w:val="-4"/>
          <w:szCs w:val="24"/>
          <w:lang w:eastAsia="ru-RU"/>
        </w:rPr>
        <w:t xml:space="preserve"> </w:t>
      </w:r>
      <w:r>
        <w:rPr>
          <w:i/>
          <w:iCs/>
          <w:spacing w:val="-4"/>
          <w:szCs w:val="24"/>
          <w:lang w:eastAsia="ru-RU"/>
        </w:rPr>
        <w:t>П</w:t>
      </w:r>
      <w:r w:rsidRPr="00B8312E">
        <w:rPr>
          <w:i/>
          <w:iCs/>
          <w:spacing w:val="-4"/>
          <w:szCs w:val="24"/>
          <w:lang w:eastAsia="ru-RU"/>
        </w:rPr>
        <w:t xml:space="preserve">освящена вопросу совершенствования методического подхода к оценке информационно-аналитического обеспечения (ИАО) управления инновациями машиностроительного предприятия. Выявлено, что в настоящее время, </w:t>
      </w:r>
      <w:r>
        <w:rPr>
          <w:i/>
          <w:iCs/>
          <w:spacing w:val="-4"/>
          <w:szCs w:val="24"/>
          <w:lang w:eastAsia="ru-RU"/>
        </w:rPr>
        <w:t>в</w:t>
      </w:r>
      <w:r w:rsidRPr="00B8312E">
        <w:rPr>
          <w:i/>
          <w:iCs/>
          <w:spacing w:val="-4"/>
          <w:szCs w:val="24"/>
          <w:lang w:eastAsia="ru-RU"/>
        </w:rPr>
        <w:t xml:space="preserve"> большей степени разработаны вопросы оценки информационной компоненты, сочетающие экспертную оценку качественных параметров с расчетом некоторых количественных. В отличие от информационной, оценка аналитической поддержки управления инновациями имеет менее разработанную процедуру. Поэтому, рекомендуется проводить комплексную оценку аналитического обеспечения, совместно с информационным, применяя экспертный подход с расширенным, по сравнению с существующими, составом показателей, учитывающих, как полноту и достаточность аналитической работы, так и качество её представления. Введен новый показатель отдачи затрат на информационное обеспечение, рассчитываемый как отношение результата инновационной деятельности предприятия (отгруженный объем инновационной продукции) к указанным затратам. Элементы расчета показателя доступны из статистической отчетности и позволяют обеспечить сопоставимость оценки между разными предприятиями по открытым данным</w:t>
      </w:r>
      <w:r w:rsidRPr="00D74067">
        <w:rPr>
          <w:i/>
          <w:iCs/>
          <w:spacing w:val="-4"/>
          <w:szCs w:val="24"/>
          <w:lang w:eastAsia="ru-RU"/>
        </w:rPr>
        <w:t>.</w:t>
      </w:r>
    </w:p>
    <w:p w:rsidR="008F2C3F" w:rsidRDefault="008F2C3F" w:rsidP="00D74067">
      <w:pPr>
        <w:autoSpaceDE w:val="0"/>
        <w:autoSpaceDN w:val="0"/>
        <w:adjustRightInd w:val="0"/>
        <w:ind w:firstLine="0"/>
        <w:textAlignment w:val="center"/>
        <w:rPr>
          <w:i/>
          <w:iCs/>
          <w:szCs w:val="24"/>
          <w:lang w:val="en-US" w:eastAsia="ru-RU"/>
        </w:rPr>
      </w:pPr>
      <w:r w:rsidRPr="00D74067">
        <w:rPr>
          <w:b/>
          <w:i/>
          <w:iCs/>
          <w:szCs w:val="24"/>
          <w:lang w:val="en-GB" w:eastAsia="ru-RU"/>
        </w:rPr>
        <w:lastRenderedPageBreak/>
        <w:t>Abstract.</w:t>
      </w:r>
      <w:r w:rsidRPr="00D74067">
        <w:rPr>
          <w:i/>
          <w:iCs/>
          <w:szCs w:val="24"/>
          <w:lang w:val="en-GB" w:eastAsia="ru-RU"/>
        </w:rPr>
        <w:t xml:space="preserve"> </w:t>
      </w:r>
      <w:r w:rsidRPr="00B8312E">
        <w:rPr>
          <w:i/>
          <w:iCs/>
          <w:szCs w:val="24"/>
          <w:lang w:val="en-US" w:eastAsia="ru-RU"/>
        </w:rPr>
        <w:t>This article is devoted to the issue of improving the methodological approach to assessing information and analytical support (IAO) for innovation management in a machine-building enterprise. The study revealed that currently, to a greater extent, the issues of evaluating the information component have been developed, combining an expert assessment of qualitative parameters with the calculation of some quantitative ones. Unlike information support, the evaluation of analytical support for innovation management has a less developed procedure. Therefore, the article recommends conducting a comprehensive assessment of analytical support, together with information, using an expert approach with an expanded set of indicators that take into account both the completeness and sufficiency of analytical work and the quality of its presentation. A new indicator of the return on information support costs has been introduced, calculated as the ratio of the result of an enterprise's innovation activity (shipped volume of innovative products) to the specified costs. The calculation elements of the indicator are available from statistical reports and allow for comparability of estimates between different enterprises based on open data</w:t>
      </w:r>
      <w:r w:rsidRPr="00D74067">
        <w:rPr>
          <w:i/>
          <w:iCs/>
          <w:szCs w:val="24"/>
          <w:lang w:val="en-US" w:eastAsia="ru-RU"/>
        </w:rPr>
        <w:t>.</w:t>
      </w:r>
    </w:p>
    <w:p w:rsidR="008F2C3F" w:rsidRPr="00D74067" w:rsidRDefault="008F2C3F" w:rsidP="00D74067">
      <w:pPr>
        <w:autoSpaceDE w:val="0"/>
        <w:autoSpaceDN w:val="0"/>
        <w:adjustRightInd w:val="0"/>
        <w:ind w:firstLine="0"/>
        <w:textAlignment w:val="center"/>
        <w:rPr>
          <w:i/>
          <w:iCs/>
          <w:spacing w:val="-2"/>
          <w:szCs w:val="24"/>
          <w:lang w:val="en-GB" w:eastAsia="ru-RU"/>
        </w:rPr>
      </w:pPr>
    </w:p>
    <w:p w:rsidR="008F2C3F" w:rsidRDefault="008F2C3F" w:rsidP="00D74067">
      <w:pPr>
        <w:autoSpaceDE w:val="0"/>
        <w:autoSpaceDN w:val="0"/>
        <w:adjustRightInd w:val="0"/>
        <w:ind w:firstLine="284"/>
        <w:textAlignment w:val="center"/>
        <w:rPr>
          <w:iCs/>
          <w:szCs w:val="24"/>
          <w:lang w:val="en-US" w:eastAsia="ru-RU"/>
        </w:rPr>
        <w:sectPr w:rsidR="008F2C3F" w:rsidSect="008F2C3F">
          <w:footnotePr>
            <w:numRestart w:val="eachPage"/>
          </w:footnotePr>
          <w:type w:val="continuous"/>
          <w:pgSz w:w="11907" w:h="16840" w:code="9"/>
          <w:pgMar w:top="1418" w:right="1134" w:bottom="1418" w:left="1134" w:header="1021" w:footer="1021" w:gutter="0"/>
          <w:cols w:num="2" w:space="708"/>
          <w:docGrid w:linePitch="360"/>
        </w:sectPr>
      </w:pPr>
    </w:p>
    <w:p w:rsidR="008F2C3F" w:rsidRDefault="008F2C3F" w:rsidP="00D74067">
      <w:pPr>
        <w:autoSpaceDE w:val="0"/>
        <w:autoSpaceDN w:val="0"/>
        <w:adjustRightInd w:val="0"/>
        <w:ind w:firstLine="284"/>
        <w:textAlignment w:val="center"/>
        <w:rPr>
          <w:iCs/>
          <w:szCs w:val="24"/>
          <w:lang w:val="en-US" w:eastAsia="ru-RU"/>
        </w:rPr>
      </w:pPr>
    </w:p>
    <w:p w:rsidR="008F2C3F" w:rsidRDefault="008F2C3F" w:rsidP="00D74067">
      <w:pPr>
        <w:autoSpaceDE w:val="0"/>
        <w:autoSpaceDN w:val="0"/>
        <w:adjustRightInd w:val="0"/>
        <w:ind w:firstLine="284"/>
        <w:textAlignment w:val="center"/>
        <w:rPr>
          <w:iCs/>
          <w:szCs w:val="24"/>
          <w:lang w:val="en-US" w:eastAsia="ru-RU"/>
        </w:rPr>
      </w:pPr>
    </w:p>
    <w:p w:rsidR="008F2C3F" w:rsidRPr="00D74067" w:rsidRDefault="008F2C3F" w:rsidP="00D74067">
      <w:pPr>
        <w:autoSpaceDE w:val="0"/>
        <w:autoSpaceDN w:val="0"/>
        <w:adjustRightInd w:val="0"/>
        <w:ind w:firstLine="284"/>
        <w:textAlignment w:val="center"/>
        <w:rPr>
          <w:iCs/>
          <w:szCs w:val="24"/>
          <w:lang w:val="en-US" w:eastAsia="ru-RU"/>
        </w:rPr>
      </w:pPr>
    </w:p>
    <w:p w:rsidR="008F2C3F" w:rsidRPr="00D337FA" w:rsidRDefault="008F2C3F" w:rsidP="008F2C3F">
      <w:pPr>
        <w:ind w:firstLine="0"/>
        <w:jc w:val="left"/>
        <w:rPr>
          <w:b/>
          <w:szCs w:val="24"/>
        </w:rPr>
      </w:pPr>
      <w:r w:rsidRPr="00D337FA">
        <w:rPr>
          <w:rFonts w:ascii="Times New Roman CYR" w:hAnsi="Times New Roman CYR" w:cs="Times New Roman CYR"/>
          <w:sz w:val="20"/>
          <w:szCs w:val="20"/>
        </w:rPr>
        <w:t xml:space="preserve">© </w:t>
      </w:r>
      <w:r>
        <w:rPr>
          <w:rFonts w:ascii="Times New Roman CYR" w:hAnsi="Times New Roman CYR" w:cs="Times New Roman CYR"/>
          <w:sz w:val="20"/>
          <w:szCs w:val="20"/>
        </w:rPr>
        <w:t>Власов</w:t>
      </w:r>
      <w:r w:rsidRPr="00D337FA">
        <w:rPr>
          <w:rFonts w:ascii="Times New Roman CYR" w:hAnsi="Times New Roman CYR" w:cs="Times New Roman CYR"/>
          <w:spacing w:val="-4"/>
          <w:sz w:val="20"/>
          <w:szCs w:val="20"/>
        </w:rPr>
        <w:t xml:space="preserve"> Д.В., 2026</w:t>
      </w:r>
    </w:p>
    <w:p w:rsidR="008F2C3F" w:rsidRDefault="008F2C3F" w:rsidP="008F2C3F">
      <w:pPr>
        <w:autoSpaceDE w:val="0"/>
        <w:autoSpaceDN w:val="0"/>
        <w:adjustRightInd w:val="0"/>
        <w:ind w:firstLine="0"/>
        <w:textAlignment w:val="center"/>
        <w:rPr>
          <w:iCs/>
          <w:spacing w:val="-4"/>
          <w:szCs w:val="24"/>
          <w:lang w:eastAsia="ru-RU"/>
        </w:rPr>
        <w:sectPr w:rsidR="008F2C3F" w:rsidSect="008F2C3F">
          <w:footnotePr>
            <w:numRestart w:val="eachPage"/>
          </w:footnotePr>
          <w:type w:val="continuous"/>
          <w:pgSz w:w="11907" w:h="16840" w:code="9"/>
          <w:pgMar w:top="1418" w:right="1134" w:bottom="1418" w:left="1134" w:header="1021" w:footer="1021" w:gutter="0"/>
          <w:cols w:space="708"/>
          <w:docGrid w:linePitch="360"/>
        </w:sectPr>
      </w:pPr>
    </w:p>
    <w:p w:rsidR="008F2C3F" w:rsidRPr="00D74067" w:rsidRDefault="008F2C3F" w:rsidP="008F2C3F">
      <w:pPr>
        <w:autoSpaceDE w:val="0"/>
        <w:autoSpaceDN w:val="0"/>
        <w:adjustRightInd w:val="0"/>
        <w:ind w:firstLine="0"/>
        <w:textAlignment w:val="center"/>
        <w:rPr>
          <w:iCs/>
          <w:spacing w:val="-4"/>
          <w:szCs w:val="24"/>
          <w:lang w:eastAsia="ru-RU"/>
        </w:rPr>
      </w:pPr>
      <w:r>
        <w:rPr>
          <w:iCs/>
          <w:spacing w:val="-4"/>
          <w:szCs w:val="24"/>
          <w:lang w:eastAsia="ru-RU"/>
        </w:rPr>
        <w:lastRenderedPageBreak/>
        <w:t>М</w:t>
      </w:r>
      <w:r w:rsidRPr="00B8312E">
        <w:rPr>
          <w:iCs/>
          <w:spacing w:val="-4"/>
          <w:szCs w:val="24"/>
          <w:lang w:eastAsia="ru-RU"/>
        </w:rPr>
        <w:t>етодический подход, управление инновациями, машиностроительное</w:t>
      </w:r>
      <w:r>
        <w:rPr>
          <w:iCs/>
          <w:spacing w:val="-4"/>
          <w:szCs w:val="24"/>
          <w:lang w:eastAsia="ru-RU"/>
        </w:rPr>
        <w:t xml:space="preserve"> </w:t>
      </w:r>
      <w:r w:rsidRPr="00B8312E">
        <w:rPr>
          <w:iCs/>
          <w:spacing w:val="-4"/>
          <w:szCs w:val="24"/>
          <w:lang w:eastAsia="ru-RU"/>
        </w:rPr>
        <w:t>предприятие, информационно-аналитическое обеспечение, качество, показатели, экспертная оценка, затрата отдач на информационное обеспечение</w:t>
      </w:r>
    </w:p>
    <w:p w:rsidR="008F2C3F" w:rsidRPr="00D74067" w:rsidRDefault="008F2C3F" w:rsidP="008F2C3F">
      <w:pPr>
        <w:tabs>
          <w:tab w:val="left" w:pos="4531"/>
          <w:tab w:val="left" w:pos="5098"/>
        </w:tabs>
        <w:autoSpaceDE w:val="0"/>
        <w:autoSpaceDN w:val="0"/>
        <w:adjustRightInd w:val="0"/>
        <w:ind w:left="-5" w:firstLine="0"/>
        <w:jc w:val="left"/>
        <w:textAlignment w:val="center"/>
        <w:rPr>
          <w:i/>
          <w:iCs/>
          <w:szCs w:val="24"/>
          <w:lang w:val="en-GB" w:eastAsia="ru-RU"/>
        </w:rPr>
      </w:pPr>
      <w:r w:rsidRPr="00B8312E">
        <w:rPr>
          <w:szCs w:val="24"/>
          <w:lang w:val="en-US"/>
        </w:rPr>
        <w:lastRenderedPageBreak/>
        <w:t>Methodological approach, innovation management, machine-building enterprise, information and analytical support, quality, indicators, expert assessment, cost of information support</w:t>
      </w:r>
    </w:p>
    <w:p w:rsidR="008F2C3F" w:rsidRDefault="008F2C3F" w:rsidP="00F450AD">
      <w:pPr>
        <w:pStyle w:val="afd"/>
        <w:jc w:val="both"/>
        <w:rPr>
          <w:b w:val="0"/>
          <w:i/>
          <w:color w:val="auto"/>
          <w:lang w:val="en-GB"/>
        </w:rPr>
        <w:sectPr w:rsidR="008F2C3F" w:rsidSect="008F2C3F">
          <w:headerReference w:type="default" r:id="rId19"/>
          <w:footnotePr>
            <w:numRestart w:val="eachPage"/>
          </w:footnotePr>
          <w:pgSz w:w="11907" w:h="16840" w:code="9"/>
          <w:pgMar w:top="1418" w:right="1134" w:bottom="1418" w:left="1134" w:header="1021" w:footer="1021" w:gutter="0"/>
          <w:cols w:num="2" w:space="708"/>
          <w:docGrid w:linePitch="360"/>
        </w:sectPr>
      </w:pPr>
    </w:p>
    <w:p w:rsidR="008F2C3F" w:rsidRPr="008F2C3F" w:rsidRDefault="008F2C3F" w:rsidP="00F450AD">
      <w:pPr>
        <w:pStyle w:val="afd"/>
        <w:jc w:val="both"/>
        <w:rPr>
          <w:b w:val="0"/>
          <w:i/>
          <w:color w:val="auto"/>
          <w:lang w:val="en-GB"/>
        </w:rPr>
      </w:pPr>
    </w:p>
    <w:p w:rsidR="008F2C3F" w:rsidRDefault="008F2C3F" w:rsidP="00F450AD">
      <w:pPr>
        <w:pStyle w:val="afd"/>
        <w:jc w:val="both"/>
        <w:rPr>
          <w:b w:val="0"/>
          <w:i/>
          <w:color w:val="auto"/>
          <w:lang w:val="en-US"/>
        </w:rPr>
        <w:sectPr w:rsidR="008F2C3F" w:rsidSect="008F2C3F">
          <w:footnotePr>
            <w:numRestart w:val="eachPage"/>
          </w:footnotePr>
          <w:type w:val="continuous"/>
          <w:pgSz w:w="11907" w:h="16840" w:code="9"/>
          <w:pgMar w:top="1418" w:right="1134" w:bottom="1418" w:left="1134" w:header="1021" w:footer="1021" w:gutter="0"/>
          <w:cols w:space="708"/>
          <w:docGrid w:linePitch="360"/>
        </w:sectPr>
      </w:pPr>
    </w:p>
    <w:p w:rsidR="008F2C3F" w:rsidRPr="008F2C3F" w:rsidRDefault="008F2C3F" w:rsidP="008F2C3F">
      <w:pPr>
        <w:tabs>
          <w:tab w:val="left" w:pos="4140"/>
        </w:tabs>
        <w:ind w:firstLine="284"/>
        <w:jc w:val="left"/>
        <w:rPr>
          <w:b/>
          <w:szCs w:val="24"/>
        </w:rPr>
      </w:pPr>
      <w:r w:rsidRPr="008F2C3F">
        <w:rPr>
          <w:b/>
          <w:szCs w:val="24"/>
        </w:rPr>
        <w:lastRenderedPageBreak/>
        <w:t>Введение</w:t>
      </w:r>
    </w:p>
    <w:p w:rsidR="008F2C3F" w:rsidRPr="008F2C3F" w:rsidRDefault="008F2C3F" w:rsidP="008F2C3F">
      <w:pPr>
        <w:autoSpaceDE w:val="0"/>
        <w:autoSpaceDN w:val="0"/>
        <w:adjustRightInd w:val="0"/>
        <w:ind w:firstLine="284"/>
        <w:rPr>
          <w:rFonts w:eastAsia="Times New Roman"/>
          <w:szCs w:val="24"/>
          <w:lang w:eastAsia="ru-RU"/>
        </w:rPr>
      </w:pPr>
      <w:r w:rsidRPr="008F2C3F">
        <w:rPr>
          <w:szCs w:val="24"/>
        </w:rPr>
        <w:t xml:space="preserve">Важнейшим фактором обеспечения должной эффективности управления инновациями на машиностроительном предприятии является качество информационно-аналитического обеспечения такого управления, определяемое достоверностью, полнотой, актуальностью, релевантностью, фактологичностью информационной составляющей, а также, полнотой, обоснованностью, своевременностью и понятностью выкладок и рекомендаций, формируемых аналитической компонентой. Отсюда, вытекает необходимость совершенствования методов оценки, упомянутого выше, качества. Следует обратить внимание на то важное обстоятельство, что </w:t>
      </w:r>
      <w:r w:rsidRPr="008F2C3F">
        <w:rPr>
          <w:rFonts w:eastAsia="Times New Roman"/>
          <w:szCs w:val="24"/>
          <w:lang w:eastAsia="ru-RU"/>
        </w:rPr>
        <w:t xml:space="preserve">специфика управления инновациями на конкретном машиностроительном предприятии, обусловливаемая комплексом внешних и внутренних факторов, накладывает свои требования к объему, составу и функционалу ИАО. К указанным факторам следует отнести: приоритеты государственной научно-технологической политики (насколько вовлечено в них предприятие); прямые и косвенные меры государственной поддержки инновационного развития высокотехнологичного сектора экономики (степень их влияния на деятельность предприятия); уровень автономии предприятия в принятии инновационных решений (в первую очередь определяется характером и степенью вертикальной интегрированности); степень вовлеченности в конкурентную борьбу на рынках инноваций (ориентированность предприятия на рыночных потребителей или государственный заказ, то или иное сочетание указанных направлений); широта охвата этапов инновационного процесса; многообразие видов инновационной </w:t>
      </w:r>
      <w:r w:rsidRPr="008F2C3F">
        <w:rPr>
          <w:rFonts w:eastAsia="Times New Roman"/>
          <w:szCs w:val="24"/>
          <w:lang w:eastAsia="ru-RU"/>
        </w:rPr>
        <w:lastRenderedPageBreak/>
        <w:t xml:space="preserve">деятельности и имеющийся инновационный потенциал. </w:t>
      </w:r>
    </w:p>
    <w:p w:rsidR="008F2C3F" w:rsidRPr="008F2C3F" w:rsidRDefault="008F2C3F" w:rsidP="008F2C3F">
      <w:pPr>
        <w:ind w:firstLine="284"/>
        <w:contextualSpacing/>
        <w:rPr>
          <w:szCs w:val="24"/>
        </w:rPr>
      </w:pPr>
      <w:r w:rsidRPr="008F2C3F">
        <w:rPr>
          <w:szCs w:val="24"/>
        </w:rPr>
        <w:t>Как показывает анализ литературы, вопросы оценки информационного обеспечения инновационной деятельности исследуются достаточно активно. Этой</w:t>
      </w:r>
      <w:r w:rsidRPr="008F2C3F">
        <w:rPr>
          <w:szCs w:val="24"/>
        </w:rPr>
        <w:tab/>
        <w:t xml:space="preserve"> проблематике посвящены, в частности, работы </w:t>
      </w:r>
      <w:r w:rsidRPr="008F2C3F">
        <w:rPr>
          <w:bCs/>
          <w:iCs/>
          <w:szCs w:val="24"/>
        </w:rPr>
        <w:t xml:space="preserve">[1-4]. </w:t>
      </w:r>
      <w:r w:rsidRPr="008F2C3F">
        <w:rPr>
          <w:szCs w:val="24"/>
        </w:rPr>
        <w:t xml:space="preserve"> При этом установлены определенные недоиспользованные возможности в формировании набора качественных показателей, используемых при проведении экспертных оценочных процедур, а также недостаточность количественных параметров, отражающих отдачу затрат на информационное обеспечение.</w:t>
      </w:r>
      <w:r w:rsidRPr="008F2C3F">
        <w:rPr>
          <w:rFonts w:eastAsia="Times New Roman"/>
          <w:szCs w:val="24"/>
          <w:lang w:eastAsia="ru-RU"/>
        </w:rPr>
        <w:t xml:space="preserve"> </w:t>
      </w:r>
      <w:r w:rsidRPr="008F2C3F">
        <w:rPr>
          <w:szCs w:val="24"/>
        </w:rPr>
        <w:t>Оценка аналитической компоненты ИАО управления инновациями сталкивается с проблемой фрагментарности описания. Из анализа работ [5,</w:t>
      </w:r>
      <w:r w:rsidR="00316F9B">
        <w:rPr>
          <w:szCs w:val="24"/>
        </w:rPr>
        <w:t xml:space="preserve"> </w:t>
      </w:r>
      <w:r w:rsidRPr="008F2C3F">
        <w:rPr>
          <w:szCs w:val="24"/>
        </w:rPr>
        <w:t>6] ясно, что при проведении такой оценки рассматриваются показатели, являющиеся объектом инновационного анализа, методы и нормативные документы, но каких-либо оценочных показателей собственно, аналитического обеспечения не приводится.</w:t>
      </w:r>
    </w:p>
    <w:p w:rsidR="008F2C3F" w:rsidRDefault="008F2C3F" w:rsidP="008F2C3F">
      <w:pPr>
        <w:ind w:firstLine="284"/>
        <w:contextualSpacing/>
        <w:rPr>
          <w:bCs/>
          <w:szCs w:val="24"/>
        </w:rPr>
      </w:pPr>
      <w:r w:rsidRPr="008F2C3F">
        <w:rPr>
          <w:szCs w:val="24"/>
        </w:rPr>
        <w:t xml:space="preserve">Изложенное, актуализирует тематику настоящего исследования и определяет его цель: предложить рекомендации по совершенствованию методического подхода к оценке </w:t>
      </w:r>
      <w:r w:rsidRPr="008F2C3F">
        <w:rPr>
          <w:bCs/>
          <w:szCs w:val="24"/>
        </w:rPr>
        <w:t>информационно-аналитического обеспечения управления инновациями машиностроительного предприятия на основе расширения набора качественных показателей и введения количественного показателя затраты отдач на информационное обеспечение.</w:t>
      </w:r>
    </w:p>
    <w:p w:rsidR="008F2C3F" w:rsidRPr="008F2C3F" w:rsidRDefault="008F2C3F" w:rsidP="008F2C3F">
      <w:pPr>
        <w:ind w:firstLine="284"/>
        <w:contextualSpacing/>
        <w:rPr>
          <w:bCs/>
          <w:szCs w:val="24"/>
        </w:rPr>
      </w:pPr>
    </w:p>
    <w:p w:rsidR="008F2C3F" w:rsidRPr="008F2C3F" w:rsidRDefault="008F2C3F" w:rsidP="008F2C3F">
      <w:pPr>
        <w:ind w:firstLine="284"/>
        <w:contextualSpacing/>
        <w:rPr>
          <w:b/>
          <w:szCs w:val="24"/>
        </w:rPr>
      </w:pPr>
      <w:r w:rsidRPr="008F2C3F">
        <w:rPr>
          <w:b/>
          <w:szCs w:val="24"/>
        </w:rPr>
        <w:t>Теоретический анализ</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Начнем с того, что авторская позиция по поводу состава и функционала ИАО управления инновациями предприятия изложена в работах [7,</w:t>
      </w:r>
      <w:r w:rsidR="00316F9B">
        <w:rPr>
          <w:rFonts w:eastAsia="Times New Roman"/>
          <w:szCs w:val="24"/>
          <w:lang w:eastAsia="ru-RU"/>
        </w:rPr>
        <w:t xml:space="preserve"> </w:t>
      </w:r>
      <w:r w:rsidRPr="008F2C3F">
        <w:rPr>
          <w:rFonts w:eastAsia="Times New Roman"/>
          <w:szCs w:val="24"/>
          <w:lang w:eastAsia="ru-RU"/>
        </w:rPr>
        <w:t>8] и подразумевает целостность данной системы, обеспечива</w:t>
      </w:r>
      <w:r w:rsidRPr="008F2C3F">
        <w:rPr>
          <w:rFonts w:eastAsia="Times New Roman"/>
          <w:szCs w:val="24"/>
          <w:lang w:eastAsia="ru-RU"/>
        </w:rPr>
        <w:lastRenderedPageBreak/>
        <w:t xml:space="preserve">ющей интеграцию всех усилий по сбору, хранению, преобразованию, систематизации различных видов информации, значимой для функционирования и развития инновационной сферы и дальнейшей обработки данной информации и представления ее результатов менеджменту. Исходя из этого, и должна строиться оценка ИАО. </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 xml:space="preserve">Итак, рассмотрим более подробно, существующие наработки в исследуемой области. Курышева Н.Ф, в работе [1], на основе обобщения результатов исследований ряда авторов (Камшилов С.Г., Прохорова Л.В., Т. Мазоренко Т.И. Лепейко О.В. и др.) показывает, что оценка информационного обеспечения (ИО) инновационной сферы базируется как на количественных показателях (технических, логических, экономических, позволяющих прямо измерить объективный уровень качества), так и на качественных (например, результативность, ресурсная обеспеченность, достаточность). Это вполне обоснованно и справедливо, поскольку не все параметры информационного обеспечения можно подвергнуть прямому измерению. Однако, методика расчетов оценочных показателей представлена вполне фрагментарно. Афанасьев в М.А. в [2] приводит группировку критериев оценки эффективности ИАО управления предприятием по нескольким группам (функциональные возможности, организационная инфраструктура, содержательные). Отметим, что это качественные критерии, которые могут использоваться в экспертной оценке и они носят достаточно разбросанный характер. Бурцева Т.А. в [3] предлагает достаточно интересный подход к оценке эффективности ИО управления инновациями, предполагающий формирование и анализ конкурентной карты рынка, диагностику конкурентной среды с целью выявления взаимосвязи между уровнем конкурентоспособности предприятия и эффективностью системы управления инновациями. Достаточно подробно представлена технология построения такой карты, причем для обеспечения сопоставимости оценки по </w:t>
      </w:r>
      <w:r w:rsidRPr="008F2C3F">
        <w:rPr>
          <w:rFonts w:eastAsia="Times New Roman"/>
          <w:szCs w:val="24"/>
          <w:lang w:eastAsia="ru-RU"/>
        </w:rPr>
        <w:lastRenderedPageBreak/>
        <w:t>разным предприятиям.</w:t>
      </w:r>
      <w:r w:rsidRPr="008F2C3F">
        <w:rPr>
          <w:rFonts w:ascii="Calibri" w:hAnsi="Calibri"/>
          <w:szCs w:val="24"/>
        </w:rPr>
        <w:t xml:space="preserve"> </w:t>
      </w:r>
      <w:r w:rsidRPr="008F2C3F">
        <w:rPr>
          <w:rFonts w:eastAsia="Times New Roman"/>
          <w:szCs w:val="24"/>
          <w:lang w:eastAsia="ru-RU"/>
        </w:rPr>
        <w:t xml:space="preserve">Для оценки эффективности информационного обеспечения инновационной деятельности предприятия предложено осуществлять хорошо известную процедуру коллективной экспертизы. Анализируемая система оценки инновационной деятельности охватывает три фундаментальных аспекта: эффективность управления инновационными процессами и уровень квалификации инновационного персонала, инновационный потенциал предприятия, а также оценку технико-экономического уровня выпускаемой продукции. Данный методологический каркас является обоснованным и апробированным. Тем не менее, вопросы, предназначенные для проведения экспертной процедуры, требуют дальнейшего уточнения и расширения, в особенности с точки зрения рассмотрения информационно-аналитического обеспечения как объекта оценки. В свою очередь, Т. В. Якубов, Т. Б. Елбазова, К. А. Исакова [4], представляя свои соображения относительно оценки эффективности информационного обеспечения инновационной деятельности организации, правомерно указывают на доминирование внешних источников информации в таком обеспечении (при этом, степень данного доминирования обусловлена, ранее обозначенными в статье особенностями управления инновациями). В упомянутой работе представлено качественное описание ряда характеристик, позволяющих судить о соответствии информационного обеспечения установленным требованиям по различным составляющим (достоверность, полнота, точность и др.). Однако, методика оценки в данном контексте не детализирована. Особый интерес представляет предложенный в цитируемом исследовании методический прием, направленный на оценку эффективности информационного обеспечения инновационной деятельности. Его основой является проведение корреляционно-регрессионного анализа взаимосвязи суммарных затрат на информационное обеспечение (СЗИО) и затрат на инновационную деятельность организации, а </w:t>
      </w:r>
      <w:r w:rsidRPr="008F2C3F">
        <w:rPr>
          <w:rFonts w:eastAsia="Times New Roman"/>
          <w:szCs w:val="24"/>
          <w:lang w:eastAsia="ru-RU"/>
        </w:rPr>
        <w:lastRenderedPageBreak/>
        <w:t>также СЗИО и обобщенного показателя эффективности деятельности организации.</w:t>
      </w:r>
    </w:p>
    <w:p w:rsid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Обратим внима</w:t>
      </w:r>
      <w:r>
        <w:rPr>
          <w:rFonts w:eastAsia="Times New Roman"/>
          <w:szCs w:val="24"/>
          <w:lang w:eastAsia="ru-RU"/>
        </w:rPr>
        <w:t>ние на следующие важные моменты:</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 показатель затрат на информационное обеспечение инновационной деятельности предлагается брать из данных управленческого учета, которая в плане инновационной сферы не сложилась;</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 под затратами на инновационную деятельность</w:t>
      </w:r>
      <w:r w:rsidRPr="008F2C3F">
        <w:rPr>
          <w:rFonts w:ascii="Calibri" w:hAnsi="Calibri"/>
          <w:szCs w:val="24"/>
        </w:rPr>
        <w:t xml:space="preserve"> </w:t>
      </w:r>
      <w:r w:rsidRPr="008F2C3F">
        <w:rPr>
          <w:rFonts w:eastAsia="Times New Roman"/>
          <w:szCs w:val="24"/>
          <w:lang w:eastAsia="ru-RU"/>
        </w:rPr>
        <w:t>понимается в «первую очередь стоимость реализации инновационных проектов за отчетный период», что некорректно;</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 применение корреляционно-регрессионного подхода в практической деятельности машиностроительных предприятий имеет некоторые сложности.</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 xml:space="preserve">Оценка аналитической составляющей в управлении инновациями прописана гораздо более неполно. Из работ [5,6] следует, что при такой оценке анализируются показатели, методы и нормативные документы, используемые для оценки инноваций и принятия решений в этой области, однако сами оценочные критерии аналитического обеспечения не приводятся. </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Подводя итог проведенному теоретическому анализу, автор статьи выделяет, по крайней мере, две проблемы совершенствования методического подхода к оценке ИАО:</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 недостаточность набора оценочных качественных показателей, используемых в экспертной оценке, характеризующих в комплексе информационно- аналитическое обеспечение управления инновациями машиностроительного предприятия (учитывая аналитическую составляющую);</w:t>
      </w:r>
    </w:p>
    <w:p w:rsidR="008F2C3F" w:rsidRPr="008F2C3F" w:rsidRDefault="008F2C3F" w:rsidP="008F2C3F">
      <w:pPr>
        <w:autoSpaceDE w:val="0"/>
        <w:autoSpaceDN w:val="0"/>
        <w:adjustRightInd w:val="0"/>
        <w:ind w:firstLine="284"/>
        <w:rPr>
          <w:rFonts w:eastAsia="Times New Roman"/>
          <w:szCs w:val="24"/>
          <w:lang w:eastAsia="ru-RU"/>
        </w:rPr>
      </w:pPr>
      <w:r w:rsidRPr="008F2C3F">
        <w:rPr>
          <w:rFonts w:eastAsia="Times New Roman"/>
          <w:szCs w:val="24"/>
          <w:lang w:eastAsia="ru-RU"/>
        </w:rPr>
        <w:t>- необходимость выведения относительных количественных показателей, характеризующих отдачу ИО, позволяющих вести сопоставительный анализ между различными предприятиями на основе открытых статистических данных.</w:t>
      </w:r>
      <w:r w:rsidRPr="008F2C3F">
        <w:rPr>
          <w:rFonts w:eastAsia="Times New Roman"/>
          <w:szCs w:val="24"/>
          <w:lang w:eastAsia="ru-RU"/>
        </w:rPr>
        <w:br/>
      </w:r>
    </w:p>
    <w:p w:rsidR="008F2C3F" w:rsidRPr="008F2C3F" w:rsidRDefault="008F2C3F" w:rsidP="008F2C3F">
      <w:pPr>
        <w:widowControl w:val="0"/>
        <w:ind w:firstLine="284"/>
        <w:rPr>
          <w:rFonts w:eastAsia="DengXian"/>
          <w:b/>
          <w:kern w:val="2"/>
          <w:szCs w:val="24"/>
          <w:lang w:eastAsia="zh-CN"/>
        </w:rPr>
      </w:pPr>
      <w:r w:rsidRPr="008F2C3F">
        <w:rPr>
          <w:rFonts w:eastAsia="DengXian"/>
          <w:b/>
          <w:kern w:val="2"/>
          <w:szCs w:val="24"/>
          <w:lang w:eastAsia="zh-CN"/>
        </w:rPr>
        <w:t>Результаты</w:t>
      </w:r>
    </w:p>
    <w:p w:rsidR="00316F9B" w:rsidRPr="00316F9B" w:rsidRDefault="008F2C3F" w:rsidP="00316F9B">
      <w:pPr>
        <w:pStyle w:val="afd"/>
        <w:ind w:firstLine="284"/>
        <w:jc w:val="both"/>
        <w:rPr>
          <w:rFonts w:ascii="Times New Roman" w:hAnsi="Times New Roman" w:cs="Times New Roman"/>
          <w:b w:val="0"/>
          <w:color w:val="auto"/>
          <w:szCs w:val="24"/>
        </w:rPr>
      </w:pPr>
      <w:r w:rsidRPr="008F2C3F">
        <w:rPr>
          <w:rFonts w:ascii="Times New Roman" w:eastAsia="SimSun" w:hAnsi="Times New Roman" w:cs="Times New Roman"/>
          <w:b w:val="0"/>
          <w:bCs w:val="0"/>
          <w:iCs w:val="0"/>
          <w:color w:val="auto"/>
          <w:kern w:val="1"/>
          <w:szCs w:val="24"/>
          <w:lang w:bidi="hi-IN"/>
        </w:rPr>
        <w:t>Учитывая, сделанные выше выводы, предлагаются следующие рекомендации. Для выполнения оценки информационно-</w:t>
      </w:r>
      <w:r w:rsidRPr="008F2C3F">
        <w:rPr>
          <w:rFonts w:ascii="Times New Roman" w:eastAsia="SimSun" w:hAnsi="Times New Roman" w:cs="Times New Roman"/>
          <w:b w:val="0"/>
          <w:bCs w:val="0"/>
          <w:iCs w:val="0"/>
          <w:color w:val="auto"/>
          <w:kern w:val="1"/>
          <w:szCs w:val="24"/>
          <w:lang w:bidi="hi-IN"/>
        </w:rPr>
        <w:lastRenderedPageBreak/>
        <w:t xml:space="preserve">аналитического обеспечения необходимо проведения коллективной экспертной оценки. Сама процедура достаточно хорошо описана и отработана [9]. Набор оценочных показателей разработан автором. Апробация методики оценки производится на примере машиностроительного предприятия «П-автоматика», ведущего свою деятельность на рынке корпоративных потребителей. Предприятие осуществляет продуктовые инновации в виде подготовки и организации производства усовершенствованной продукции и ее дальнейшей рыночной диффузии. Информационное обеспечение управления инновациями предприятия включает системы автоматизированного проектирования, автоматизированные системы технологической подготовки производства, программное обеспечение, данные патентной, научно-технической, маркетинговой, рыночно-конъюнктурной, статистической информации, финансовой отчетности. Для проведения экспертной процедуры отобраны 12 экспертов, являющихся руководителями структурных подразделений и топ-менеджерами предприятия, пользователями результатов функционирования ИАО. Для проведения оценки каждому индивидуально </w:t>
      </w:r>
      <w:r w:rsidRPr="00316F9B">
        <w:rPr>
          <w:rFonts w:ascii="Times New Roman" w:eastAsia="SimSun" w:hAnsi="Times New Roman" w:cs="Times New Roman"/>
          <w:b w:val="0"/>
          <w:bCs w:val="0"/>
          <w:iCs w:val="0"/>
          <w:color w:val="auto"/>
          <w:kern w:val="1"/>
          <w:szCs w:val="24"/>
          <w:lang w:bidi="hi-IN"/>
        </w:rPr>
        <w:t>был предложен набор критериев, оцениваемых с использованием 5-балльной шкалы</w:t>
      </w:r>
      <w:r w:rsidRPr="00316F9B">
        <w:rPr>
          <w:rFonts w:ascii="Times New Roman" w:eastAsia="SimSun" w:hAnsi="Times New Roman" w:cs="Times New Roman"/>
          <w:bCs w:val="0"/>
          <w:iCs w:val="0"/>
          <w:color w:val="auto"/>
          <w:kern w:val="1"/>
          <w:szCs w:val="24"/>
          <w:lang w:bidi="hi-IN"/>
        </w:rPr>
        <w:t xml:space="preserve">, </w:t>
      </w:r>
      <w:r w:rsidRPr="00316F9B">
        <w:rPr>
          <w:rFonts w:ascii="Times New Roman" w:eastAsia="SimSun" w:hAnsi="Times New Roman" w:cs="Times New Roman"/>
          <w:b w:val="0"/>
          <w:bCs w:val="0"/>
          <w:iCs w:val="0"/>
          <w:color w:val="auto"/>
          <w:kern w:val="1"/>
          <w:szCs w:val="24"/>
          <w:lang w:bidi="hi-IN"/>
        </w:rPr>
        <w:t>представленный в табл. 1</w:t>
      </w:r>
      <w:r w:rsidR="00316F9B" w:rsidRPr="00316F9B">
        <w:rPr>
          <w:rFonts w:ascii="Times New Roman" w:eastAsia="SimSun" w:hAnsi="Times New Roman" w:cs="Times New Roman"/>
          <w:b w:val="0"/>
          <w:bCs w:val="0"/>
          <w:iCs w:val="0"/>
          <w:color w:val="auto"/>
          <w:kern w:val="1"/>
          <w:szCs w:val="24"/>
          <w:lang w:bidi="hi-IN"/>
        </w:rPr>
        <w:t>.</w:t>
      </w:r>
    </w:p>
    <w:p w:rsidR="00B07E32" w:rsidRDefault="00316F9B" w:rsidP="00B07E32">
      <w:pPr>
        <w:pStyle w:val="afd"/>
        <w:ind w:firstLine="284"/>
        <w:jc w:val="both"/>
      </w:pPr>
      <w:r w:rsidRPr="00316F9B">
        <w:rPr>
          <w:rFonts w:ascii="Times New Roman" w:hAnsi="Times New Roman" w:cs="Times New Roman"/>
          <w:b w:val="0"/>
          <w:color w:val="auto"/>
        </w:rPr>
        <w:t>Для интерпретации результатов экспертной оценки используем шкалу, которая представлена в табл</w:t>
      </w:r>
      <w:r>
        <w:rPr>
          <w:rFonts w:ascii="Times New Roman" w:hAnsi="Times New Roman" w:cs="Times New Roman"/>
          <w:b w:val="0"/>
          <w:color w:val="auto"/>
        </w:rPr>
        <w:t>.</w:t>
      </w:r>
      <w:r w:rsidRPr="00316F9B">
        <w:rPr>
          <w:rFonts w:ascii="Times New Roman" w:hAnsi="Times New Roman" w:cs="Times New Roman"/>
          <w:b w:val="0"/>
          <w:color w:val="auto"/>
        </w:rPr>
        <w:t xml:space="preserve"> 2.</w:t>
      </w:r>
      <w:r w:rsidR="00B07E32" w:rsidRPr="00B07E32">
        <w:t xml:space="preserve"> </w:t>
      </w:r>
    </w:p>
    <w:p w:rsidR="008F2C3F" w:rsidRPr="00B07E32" w:rsidRDefault="00B07E32" w:rsidP="00B07E32">
      <w:pPr>
        <w:pStyle w:val="afd"/>
        <w:ind w:firstLine="284"/>
        <w:jc w:val="both"/>
        <w:rPr>
          <w:rFonts w:ascii="Times New Roman" w:hAnsi="Times New Roman" w:cs="Times New Roman"/>
          <w:b w:val="0"/>
          <w:color w:val="auto"/>
        </w:rPr>
      </w:pPr>
      <w:r w:rsidRPr="00B07E32">
        <w:rPr>
          <w:rFonts w:ascii="Times New Roman" w:hAnsi="Times New Roman" w:cs="Times New Roman"/>
          <w:b w:val="0"/>
          <w:color w:val="auto"/>
        </w:rPr>
        <w:t>По итогам оценки можно сделать вывод о том, что информационно-аналитическое обеспечение управления инновациями на анализируемом предприятии в целом сформировано, однако ряд составляющих имеет достаточно низкий рейтинг, в наивысшей степени это проявляется по аналитической компоненте, как в части проведения аналитических работ, так и представления их результатов менеджменту предприятия, а также согласованности информационных источников и адекватности общей информационной базы для управления инновациями на предприятии.</w:t>
      </w:r>
    </w:p>
    <w:p w:rsidR="00316F9B" w:rsidRPr="00316F9B" w:rsidRDefault="00316F9B" w:rsidP="00316F9B">
      <w:pPr>
        <w:pStyle w:val="afd"/>
        <w:ind w:firstLine="284"/>
        <w:jc w:val="both"/>
        <w:rPr>
          <w:rFonts w:ascii="Times New Roman" w:hAnsi="Times New Roman" w:cs="Times New Roman"/>
          <w:b w:val="0"/>
          <w:color w:val="auto"/>
        </w:rPr>
        <w:sectPr w:rsidR="00316F9B" w:rsidRPr="00316F9B" w:rsidSect="008F2C3F">
          <w:footnotePr>
            <w:numRestart w:val="eachPage"/>
          </w:footnotePr>
          <w:type w:val="continuous"/>
          <w:pgSz w:w="11907" w:h="16840" w:code="9"/>
          <w:pgMar w:top="1418" w:right="1134" w:bottom="1418" w:left="1134" w:header="1021" w:footer="1021" w:gutter="0"/>
          <w:cols w:num="2" w:space="708"/>
          <w:docGrid w:linePitch="360"/>
        </w:sectPr>
      </w:pPr>
    </w:p>
    <w:p w:rsidR="00316F9B" w:rsidRPr="00316F9B" w:rsidRDefault="00316F9B" w:rsidP="00316F9B">
      <w:pPr>
        <w:pStyle w:val="afd"/>
        <w:jc w:val="right"/>
        <w:rPr>
          <w:b w:val="0"/>
          <w:i/>
          <w:color w:val="auto"/>
          <w:sz w:val="22"/>
          <w:szCs w:val="22"/>
        </w:rPr>
      </w:pPr>
      <w:r w:rsidRPr="00316F9B">
        <w:rPr>
          <w:b w:val="0"/>
          <w:i/>
          <w:color w:val="auto"/>
          <w:sz w:val="22"/>
          <w:szCs w:val="22"/>
        </w:rPr>
        <w:lastRenderedPageBreak/>
        <w:t>Таблица 1</w:t>
      </w:r>
    </w:p>
    <w:p w:rsidR="00943CCB" w:rsidRDefault="00316F9B" w:rsidP="00B07E32">
      <w:pPr>
        <w:pStyle w:val="afd"/>
        <w:rPr>
          <w:b w:val="0"/>
          <w:i/>
          <w:color w:val="auto"/>
          <w:sz w:val="22"/>
          <w:szCs w:val="22"/>
        </w:rPr>
      </w:pPr>
      <w:r w:rsidRPr="00316F9B">
        <w:rPr>
          <w:b w:val="0"/>
          <w:i/>
          <w:color w:val="auto"/>
          <w:sz w:val="22"/>
          <w:szCs w:val="22"/>
        </w:rPr>
        <w:t xml:space="preserve">Оценка информационно-аналитического обеспечения управления инновациями </w:t>
      </w:r>
    </w:p>
    <w:p w:rsidR="008F2C3F" w:rsidRPr="00316F9B" w:rsidRDefault="00316F9B" w:rsidP="00B07E32">
      <w:pPr>
        <w:pStyle w:val="afd"/>
        <w:rPr>
          <w:b w:val="0"/>
          <w:i/>
          <w:color w:val="auto"/>
          <w:sz w:val="22"/>
          <w:szCs w:val="22"/>
        </w:rPr>
      </w:pPr>
      <w:r w:rsidRPr="00316F9B">
        <w:rPr>
          <w:b w:val="0"/>
          <w:i/>
          <w:color w:val="auto"/>
          <w:sz w:val="22"/>
          <w:szCs w:val="22"/>
        </w:rPr>
        <w:t>ООО «П-автоматика»</w:t>
      </w:r>
    </w:p>
    <w:tbl>
      <w:tblPr>
        <w:tblW w:w="9709" w:type="dxa"/>
        <w:tblLayout w:type="fixed"/>
        <w:tblCellMar>
          <w:left w:w="0" w:type="dxa"/>
          <w:right w:w="0" w:type="dxa"/>
        </w:tblCellMar>
        <w:tblLook w:val="01E0" w:firstRow="1" w:lastRow="1" w:firstColumn="1" w:lastColumn="1" w:noHBand="0" w:noVBand="0"/>
      </w:tblPr>
      <w:tblGrid>
        <w:gridCol w:w="4323"/>
        <w:gridCol w:w="567"/>
        <w:gridCol w:w="567"/>
        <w:gridCol w:w="567"/>
        <w:gridCol w:w="567"/>
        <w:gridCol w:w="709"/>
        <w:gridCol w:w="708"/>
        <w:gridCol w:w="1701"/>
      </w:tblGrid>
      <w:tr w:rsidR="00316F9B" w:rsidRPr="00316F9B" w:rsidTr="00B07E32">
        <w:trPr>
          <w:trHeight w:val="182"/>
        </w:trPr>
        <w:tc>
          <w:tcPr>
            <w:tcW w:w="43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bCs/>
                <w:color w:val="000000"/>
                <w:kern w:val="24"/>
                <w:sz w:val="20"/>
                <w:szCs w:val="20"/>
                <w:lang w:eastAsia="ru-RU"/>
              </w:rPr>
              <w:t>Элементы обеспечения</w:t>
            </w:r>
          </w:p>
        </w:tc>
        <w:tc>
          <w:tcPr>
            <w:tcW w:w="368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bCs/>
                <w:color w:val="000000"/>
                <w:kern w:val="24"/>
                <w:sz w:val="20"/>
                <w:szCs w:val="20"/>
                <w:lang w:eastAsia="ru-RU"/>
              </w:rPr>
              <w:t>Экспертная оценка, баллы</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bCs/>
                <w:color w:val="000000"/>
                <w:kern w:val="24"/>
                <w:sz w:val="20"/>
                <w:szCs w:val="20"/>
                <w:lang w:eastAsia="ru-RU"/>
              </w:rPr>
              <w:t>Средний балл</w:t>
            </w:r>
          </w:p>
        </w:tc>
      </w:tr>
      <w:tr w:rsidR="00316F9B" w:rsidRPr="00316F9B" w:rsidTr="00B07E32">
        <w:trPr>
          <w:trHeight w:val="321"/>
        </w:trPr>
        <w:tc>
          <w:tcPr>
            <w:tcW w:w="4323" w:type="dxa"/>
            <w:vMerge/>
            <w:tcBorders>
              <w:top w:val="single" w:sz="8" w:space="0" w:color="000000"/>
              <w:left w:val="single" w:sz="8" w:space="0" w:color="000000"/>
              <w:bottom w:val="single" w:sz="8" w:space="0" w:color="000000"/>
              <w:right w:val="single" w:sz="8" w:space="0" w:color="000000"/>
            </w:tcBorders>
            <w:vAlign w:val="center"/>
            <w:hideMark/>
          </w:tcPr>
          <w:p w:rsidR="00316F9B" w:rsidRPr="00316F9B" w:rsidRDefault="00316F9B" w:rsidP="00316F9B">
            <w:pPr>
              <w:ind w:firstLine="0"/>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r w:rsidRPr="00316F9B">
              <w:rPr>
                <w:rFonts w:eastAsia="Times New Roman"/>
                <w:color w:val="000000"/>
                <w:kern w:val="24"/>
                <w:sz w:val="20"/>
                <w:szCs w:val="20"/>
                <w:lang w:eastAsia="ru-RU"/>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5</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316F9B" w:rsidRPr="00316F9B" w:rsidRDefault="00316F9B" w:rsidP="00316F9B">
            <w:pPr>
              <w:ind w:firstLine="0"/>
              <w:jc w:val="center"/>
              <w:rPr>
                <w:rFonts w:eastAsia="Times New Roman"/>
                <w:sz w:val="20"/>
                <w:szCs w:val="20"/>
                <w:lang w:eastAsia="ru-RU"/>
              </w:rPr>
            </w:pPr>
          </w:p>
        </w:tc>
      </w:tr>
      <w:tr w:rsidR="00316F9B" w:rsidRPr="00316F9B" w:rsidTr="00B07E32">
        <w:trPr>
          <w:trHeight w:val="321"/>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Полнота и своевременность проведения стратегического инновационного анализа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2,25</w:t>
            </w:r>
          </w:p>
        </w:tc>
      </w:tr>
      <w:tr w:rsidR="00316F9B" w:rsidRPr="00316F9B" w:rsidTr="00B07E32">
        <w:trPr>
          <w:trHeight w:val="674"/>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Полнота и своевременность проведения  анализа инновационного потенциала и эффективности инновационной деятельности предприятия</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2,58</w:t>
            </w:r>
          </w:p>
        </w:tc>
      </w:tr>
      <w:tr w:rsidR="00316F9B" w:rsidRPr="00316F9B" w:rsidTr="00B07E32">
        <w:trPr>
          <w:trHeight w:val="664"/>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Адекватность и своевременность представления аналитических наработок в сфере управления инновациями предприятия</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2,92</w:t>
            </w:r>
          </w:p>
        </w:tc>
      </w:tr>
      <w:tr w:rsidR="00316F9B" w:rsidRPr="00316F9B" w:rsidTr="00B07E32">
        <w:trPr>
          <w:trHeight w:val="454"/>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color w:val="000000"/>
                <w:kern w:val="24"/>
                <w:sz w:val="20"/>
                <w:szCs w:val="20"/>
                <w:lang w:eastAsia="ru-RU"/>
              </w:rPr>
              <w:t xml:space="preserve">Полнота информационного обеспечения подготовки и организации производства новой продукции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3,58</w:t>
            </w:r>
          </w:p>
        </w:tc>
      </w:tr>
      <w:tr w:rsidR="00316F9B" w:rsidRPr="00316F9B" w:rsidTr="00B07E32">
        <w:trPr>
          <w:trHeight w:val="454"/>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Полнота данных  бухгалтерского  финансового учета для целей инновационной деятельности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2,75</w:t>
            </w:r>
          </w:p>
        </w:tc>
      </w:tr>
      <w:tr w:rsidR="00316F9B" w:rsidRPr="00316F9B" w:rsidTr="00B07E32">
        <w:trPr>
          <w:trHeight w:val="454"/>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Полнота данных  управленческого учета инновационной деятельности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2,58</w:t>
            </w:r>
          </w:p>
        </w:tc>
      </w:tr>
      <w:tr w:rsidR="00316F9B" w:rsidRPr="00316F9B" w:rsidTr="00B07E32">
        <w:trPr>
          <w:trHeight w:val="456"/>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Полнота статистической информации в сфере управления инновациями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3,33</w:t>
            </w:r>
          </w:p>
        </w:tc>
      </w:tr>
      <w:tr w:rsidR="00316F9B" w:rsidRPr="00316F9B" w:rsidTr="00B07E32">
        <w:trPr>
          <w:trHeight w:val="504"/>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Полнота маркетинговой информации для целей управления инновациями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3,42</w:t>
            </w:r>
          </w:p>
        </w:tc>
      </w:tr>
      <w:tr w:rsidR="00316F9B" w:rsidRPr="00316F9B" w:rsidTr="00B07E32">
        <w:trPr>
          <w:trHeight w:val="358"/>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Полнота научно-технической и патентной информации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3,92</w:t>
            </w:r>
          </w:p>
        </w:tc>
      </w:tr>
      <w:tr w:rsidR="00316F9B" w:rsidRPr="00316F9B" w:rsidTr="00B07E32">
        <w:trPr>
          <w:trHeight w:val="321"/>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Согласованность источников информационного обеспечения для создания единой базы принятия управленческих решений в  сфере управления инновациями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color w:val="000000"/>
                <w:kern w:val="24"/>
                <w:sz w:val="20"/>
                <w:szCs w:val="20"/>
                <w:lang w:eastAsia="ru-RU"/>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3,25</w:t>
            </w:r>
          </w:p>
        </w:tc>
      </w:tr>
      <w:tr w:rsidR="00316F9B" w:rsidRPr="00316F9B" w:rsidTr="00B07E32">
        <w:trPr>
          <w:trHeight w:val="665"/>
        </w:trPr>
        <w:tc>
          <w:tcPr>
            <w:tcW w:w="432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16F9B" w:rsidRPr="00316F9B" w:rsidRDefault="00316F9B" w:rsidP="00316F9B">
            <w:pPr>
              <w:ind w:firstLine="0"/>
              <w:rPr>
                <w:rFonts w:ascii="Arial" w:eastAsia="Times New Roman" w:hAnsi="Arial" w:cs="Arial"/>
                <w:sz w:val="20"/>
                <w:szCs w:val="20"/>
                <w:lang w:eastAsia="ru-RU"/>
              </w:rPr>
            </w:pPr>
            <w:r w:rsidRPr="00316F9B">
              <w:rPr>
                <w:rFonts w:eastAsia="Times New Roman"/>
                <w:color w:val="000000"/>
                <w:kern w:val="24"/>
                <w:sz w:val="20"/>
                <w:szCs w:val="20"/>
                <w:lang w:eastAsia="ru-RU"/>
              </w:rPr>
              <w:t>Общая  оценка информационно-аналитического обеспечения управления инновациями предприятия</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ascii="Arial" w:eastAsia="Times New Roman" w:hAnsi="Arial" w:cs="Arial"/>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16F9B" w:rsidRPr="00316F9B" w:rsidRDefault="00316F9B" w:rsidP="00316F9B">
            <w:pPr>
              <w:ind w:firstLine="0"/>
              <w:jc w:val="center"/>
              <w:rPr>
                <w:rFonts w:eastAsia="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3,06</w:t>
            </w:r>
          </w:p>
        </w:tc>
      </w:tr>
    </w:tbl>
    <w:p w:rsidR="00316F9B" w:rsidRDefault="00316F9B" w:rsidP="00316F9B">
      <w:pPr>
        <w:pStyle w:val="afd"/>
        <w:jc w:val="right"/>
        <w:rPr>
          <w:b w:val="0"/>
          <w:i/>
          <w:color w:val="auto"/>
          <w:sz w:val="22"/>
          <w:szCs w:val="22"/>
        </w:rPr>
      </w:pPr>
    </w:p>
    <w:p w:rsidR="00316F9B" w:rsidRPr="00316F9B" w:rsidRDefault="00316F9B" w:rsidP="00316F9B">
      <w:pPr>
        <w:pStyle w:val="afd"/>
        <w:jc w:val="right"/>
        <w:rPr>
          <w:b w:val="0"/>
          <w:i/>
          <w:color w:val="auto"/>
          <w:sz w:val="22"/>
          <w:szCs w:val="22"/>
        </w:rPr>
      </w:pPr>
      <w:r w:rsidRPr="00316F9B">
        <w:rPr>
          <w:b w:val="0"/>
          <w:i/>
          <w:color w:val="auto"/>
          <w:sz w:val="22"/>
          <w:szCs w:val="22"/>
        </w:rPr>
        <w:t>Таблица 2</w:t>
      </w:r>
    </w:p>
    <w:p w:rsidR="008F2C3F" w:rsidRPr="00316F9B" w:rsidRDefault="00316F9B" w:rsidP="00316F9B">
      <w:pPr>
        <w:pStyle w:val="afd"/>
        <w:rPr>
          <w:b w:val="0"/>
          <w:i/>
          <w:color w:val="auto"/>
          <w:sz w:val="22"/>
          <w:szCs w:val="22"/>
        </w:rPr>
      </w:pPr>
      <w:r w:rsidRPr="00316F9B">
        <w:rPr>
          <w:b w:val="0"/>
          <w:i/>
          <w:color w:val="auto"/>
          <w:sz w:val="22"/>
          <w:szCs w:val="22"/>
        </w:rPr>
        <w:t>Оценочная шкала информационно-аналитического обеспечения управления инновациями ООО «П-автоматика»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646"/>
      </w:tblGrid>
      <w:tr w:rsidR="00316F9B" w:rsidRPr="00316F9B" w:rsidTr="00B07E32">
        <w:tc>
          <w:tcPr>
            <w:tcW w:w="1101" w:type="dxa"/>
            <w:shd w:val="clear" w:color="auto" w:fill="auto"/>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Оценка, баллов</w:t>
            </w:r>
          </w:p>
        </w:tc>
        <w:tc>
          <w:tcPr>
            <w:tcW w:w="8646" w:type="dxa"/>
            <w:shd w:val="clear" w:color="auto" w:fill="auto"/>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Характеристика информационно-аналитического обеспечения управления инновациями</w:t>
            </w:r>
          </w:p>
        </w:tc>
      </w:tr>
      <w:tr w:rsidR="00316F9B" w:rsidRPr="00316F9B" w:rsidTr="00B07E32">
        <w:tc>
          <w:tcPr>
            <w:tcW w:w="1101" w:type="dxa"/>
            <w:shd w:val="clear" w:color="auto" w:fill="auto"/>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(0-1)</w:t>
            </w:r>
          </w:p>
        </w:tc>
        <w:tc>
          <w:tcPr>
            <w:tcW w:w="8646" w:type="dxa"/>
            <w:shd w:val="clear" w:color="auto" w:fill="auto"/>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Информационно-аналитическое  обеспечение  управления инновациями практически отсутствует</w:t>
            </w:r>
          </w:p>
        </w:tc>
      </w:tr>
      <w:tr w:rsidR="00316F9B" w:rsidRPr="00316F9B" w:rsidTr="00B07E32">
        <w:tc>
          <w:tcPr>
            <w:tcW w:w="1101" w:type="dxa"/>
            <w:shd w:val="clear" w:color="auto" w:fill="auto"/>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(1-2,5)</w:t>
            </w:r>
          </w:p>
        </w:tc>
        <w:tc>
          <w:tcPr>
            <w:tcW w:w="8646" w:type="dxa"/>
            <w:shd w:val="clear" w:color="auto" w:fill="auto"/>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Информационно-аналитическое обеспечение управления инновациями находится в стадии формирования</w:t>
            </w:r>
          </w:p>
        </w:tc>
      </w:tr>
      <w:tr w:rsidR="00316F9B" w:rsidRPr="00316F9B" w:rsidTr="00B07E32">
        <w:tc>
          <w:tcPr>
            <w:tcW w:w="1101" w:type="dxa"/>
            <w:shd w:val="clear" w:color="auto" w:fill="auto"/>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(2,5-4)</w:t>
            </w:r>
          </w:p>
        </w:tc>
        <w:tc>
          <w:tcPr>
            <w:tcW w:w="8646" w:type="dxa"/>
            <w:shd w:val="clear" w:color="auto" w:fill="auto"/>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Информационно-аналитическое обеспечение управления инновациями в основном сформировано</w:t>
            </w:r>
          </w:p>
        </w:tc>
      </w:tr>
      <w:tr w:rsidR="00316F9B" w:rsidRPr="00316F9B" w:rsidTr="00B07E32">
        <w:tc>
          <w:tcPr>
            <w:tcW w:w="1101" w:type="dxa"/>
            <w:shd w:val="clear" w:color="auto" w:fill="auto"/>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(4-5)</w:t>
            </w:r>
          </w:p>
        </w:tc>
        <w:tc>
          <w:tcPr>
            <w:tcW w:w="8646" w:type="dxa"/>
            <w:shd w:val="clear" w:color="auto" w:fill="auto"/>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Информационно-аналитическое обеспечение управления инновациями сформировано  как целостная система</w:t>
            </w:r>
          </w:p>
        </w:tc>
      </w:tr>
    </w:tbl>
    <w:p w:rsidR="008F2C3F" w:rsidRPr="008F2C3F" w:rsidRDefault="008F2C3F" w:rsidP="00F450AD">
      <w:pPr>
        <w:pStyle w:val="afd"/>
        <w:jc w:val="both"/>
        <w:rPr>
          <w:b w:val="0"/>
          <w:i/>
          <w:color w:val="auto"/>
        </w:rPr>
      </w:pPr>
    </w:p>
    <w:p w:rsidR="00316F9B" w:rsidRDefault="00316F9B" w:rsidP="00316F9B">
      <w:pPr>
        <w:ind w:firstLine="284"/>
        <w:rPr>
          <w:rFonts w:eastAsia="Times New Roman"/>
          <w:szCs w:val="24"/>
          <w:lang w:eastAsia="ru-RU"/>
        </w:rPr>
        <w:sectPr w:rsidR="00316F9B" w:rsidSect="008F2C3F">
          <w:footnotePr>
            <w:numRestart w:val="eachPage"/>
          </w:footnotePr>
          <w:type w:val="continuous"/>
          <w:pgSz w:w="11907" w:h="16840" w:code="9"/>
          <w:pgMar w:top="1418" w:right="1134" w:bottom="1418" w:left="1134" w:header="1021" w:footer="1021" w:gutter="0"/>
          <w:cols w:space="708"/>
          <w:docGrid w:linePitch="360"/>
        </w:sectPr>
      </w:pPr>
    </w:p>
    <w:p w:rsidR="008F2C3F" w:rsidRPr="00316F9B" w:rsidRDefault="00316F9B" w:rsidP="00316F9B">
      <w:pPr>
        <w:ind w:firstLine="284"/>
        <w:rPr>
          <w:b/>
          <w:i/>
          <w:szCs w:val="24"/>
        </w:rPr>
      </w:pPr>
      <w:r w:rsidRPr="00316F9B">
        <w:rPr>
          <w:rFonts w:eastAsia="Times New Roman"/>
          <w:szCs w:val="24"/>
          <w:lang w:eastAsia="ru-RU"/>
        </w:rPr>
        <w:lastRenderedPageBreak/>
        <w:t xml:space="preserve">Для экономической оценки эффективности информационного обеспечения управления инновациями предприятия, автор предлагает ввести показатель отдачи затрат на данное обеспечение, рассчитываемый как отношение результата инновационной деятельности предприятия (отгруженный объем инновационной продукции) </w:t>
      </w:r>
      <w:r w:rsidRPr="00316F9B">
        <w:rPr>
          <w:rFonts w:eastAsia="Times New Roman"/>
          <w:szCs w:val="24"/>
          <w:lang w:eastAsia="ru-RU"/>
        </w:rPr>
        <w:lastRenderedPageBreak/>
        <w:t>к указанным затратам. Следует подчеркнуть, что элементы расчета показателя доступны из статистической отчетности (форма 4 –  Инновация) и позволяют обеспечить сопоставимость оценки между разными предприятиями по открытым данным. Кроме того, для количественной экономической оценки предлагается ис</w:t>
      </w:r>
      <w:r w:rsidRPr="00316F9B">
        <w:rPr>
          <w:rFonts w:eastAsia="Times New Roman"/>
          <w:szCs w:val="24"/>
          <w:lang w:eastAsia="ru-RU"/>
        </w:rPr>
        <w:lastRenderedPageBreak/>
        <w:t xml:space="preserve">пользовать показатель доли затрат на информационное обеспечение в сумме расходов на инновационную деятельность и   </w:t>
      </w:r>
      <w:r w:rsidRPr="00316F9B">
        <w:rPr>
          <w:rFonts w:eastAsia="Times New Roman"/>
          <w:bCs/>
          <w:szCs w:val="24"/>
          <w:lang w:eastAsia="ru-RU"/>
        </w:rPr>
        <w:t xml:space="preserve">коэффициент актуальности программного </w:t>
      </w:r>
      <w:r w:rsidRPr="00316F9B">
        <w:rPr>
          <w:rFonts w:eastAsia="Times New Roman"/>
          <w:bCs/>
          <w:szCs w:val="24"/>
          <w:lang w:eastAsia="ru-RU"/>
        </w:rPr>
        <w:lastRenderedPageBreak/>
        <w:t>обеспечения [1]. Апробацию проведем на примере вышеуказанного предприятия. Данные расчетов представлены в табл</w:t>
      </w:r>
      <w:r>
        <w:rPr>
          <w:rFonts w:eastAsia="Times New Roman"/>
          <w:bCs/>
          <w:szCs w:val="24"/>
          <w:lang w:eastAsia="ru-RU"/>
        </w:rPr>
        <w:t>.</w:t>
      </w:r>
      <w:r w:rsidRPr="00316F9B">
        <w:rPr>
          <w:rFonts w:eastAsia="Times New Roman"/>
          <w:bCs/>
          <w:szCs w:val="24"/>
          <w:lang w:eastAsia="ru-RU"/>
        </w:rPr>
        <w:t xml:space="preserve"> 3.</w:t>
      </w:r>
    </w:p>
    <w:p w:rsidR="008F2C3F" w:rsidRPr="00316F9B" w:rsidRDefault="008F2C3F" w:rsidP="00F450AD">
      <w:pPr>
        <w:pStyle w:val="afd"/>
        <w:jc w:val="both"/>
        <w:rPr>
          <w:b w:val="0"/>
          <w:i/>
          <w:color w:val="auto"/>
          <w:szCs w:val="24"/>
        </w:rPr>
      </w:pPr>
    </w:p>
    <w:p w:rsidR="00316F9B" w:rsidRDefault="00316F9B" w:rsidP="00F450AD">
      <w:pPr>
        <w:pStyle w:val="afd"/>
        <w:jc w:val="both"/>
        <w:rPr>
          <w:b w:val="0"/>
          <w:i/>
          <w:color w:val="auto"/>
        </w:rPr>
        <w:sectPr w:rsidR="00316F9B" w:rsidSect="00316F9B">
          <w:footnotePr>
            <w:numRestart w:val="eachPage"/>
          </w:footnotePr>
          <w:type w:val="continuous"/>
          <w:pgSz w:w="11907" w:h="16840" w:code="9"/>
          <w:pgMar w:top="1418" w:right="1134" w:bottom="1418" w:left="1134" w:header="1021" w:footer="1021" w:gutter="0"/>
          <w:cols w:num="2" w:space="708"/>
          <w:docGrid w:linePitch="360"/>
        </w:sectPr>
      </w:pPr>
    </w:p>
    <w:p w:rsidR="008F2C3F" w:rsidRPr="008F2C3F" w:rsidRDefault="008F2C3F" w:rsidP="00F450AD">
      <w:pPr>
        <w:pStyle w:val="afd"/>
        <w:jc w:val="both"/>
        <w:rPr>
          <w:b w:val="0"/>
          <w:i/>
          <w:color w:val="auto"/>
        </w:rPr>
      </w:pPr>
    </w:p>
    <w:p w:rsidR="00316F9B" w:rsidRPr="00316F9B" w:rsidRDefault="00316F9B" w:rsidP="00316F9B">
      <w:pPr>
        <w:pStyle w:val="afd"/>
        <w:jc w:val="right"/>
        <w:rPr>
          <w:b w:val="0"/>
          <w:i/>
          <w:color w:val="auto"/>
          <w:sz w:val="22"/>
          <w:szCs w:val="22"/>
        </w:rPr>
      </w:pPr>
      <w:r w:rsidRPr="00316F9B">
        <w:rPr>
          <w:b w:val="0"/>
          <w:i/>
          <w:color w:val="auto"/>
          <w:sz w:val="22"/>
          <w:szCs w:val="22"/>
        </w:rPr>
        <w:t>Таблица 3</w:t>
      </w:r>
    </w:p>
    <w:p w:rsidR="00943CCB" w:rsidRDefault="00316F9B" w:rsidP="00B07E32">
      <w:pPr>
        <w:pStyle w:val="afd"/>
        <w:rPr>
          <w:b w:val="0"/>
          <w:i/>
          <w:color w:val="auto"/>
          <w:sz w:val="22"/>
          <w:szCs w:val="22"/>
        </w:rPr>
      </w:pPr>
      <w:r w:rsidRPr="00316F9B">
        <w:rPr>
          <w:b w:val="0"/>
          <w:i/>
          <w:color w:val="auto"/>
          <w:sz w:val="22"/>
          <w:szCs w:val="22"/>
        </w:rPr>
        <w:t xml:space="preserve">Показатели экономической оценки информационного обеспечения </w:t>
      </w:r>
    </w:p>
    <w:p w:rsidR="008F2C3F" w:rsidRPr="00316F9B" w:rsidRDefault="00316F9B" w:rsidP="00B07E32">
      <w:pPr>
        <w:pStyle w:val="afd"/>
        <w:rPr>
          <w:b w:val="0"/>
          <w:i/>
          <w:color w:val="auto"/>
          <w:sz w:val="22"/>
          <w:szCs w:val="22"/>
        </w:rPr>
      </w:pPr>
      <w:r w:rsidRPr="00316F9B">
        <w:rPr>
          <w:b w:val="0"/>
          <w:i/>
          <w:color w:val="auto"/>
          <w:sz w:val="22"/>
          <w:szCs w:val="22"/>
        </w:rPr>
        <w:t>управления инновациями предприятия «П-Автоматика»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992"/>
        <w:gridCol w:w="1135"/>
        <w:gridCol w:w="1133"/>
        <w:gridCol w:w="993"/>
        <w:gridCol w:w="1133"/>
        <w:gridCol w:w="1134"/>
      </w:tblGrid>
      <w:tr w:rsidR="00316F9B" w:rsidRPr="00316F9B" w:rsidTr="00316F9B">
        <w:trPr>
          <w:trHeight w:hRule="exact" w:val="796"/>
        </w:trPr>
        <w:tc>
          <w:tcPr>
            <w:tcW w:w="3261"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Наименование показателя, ед. изм.  (информационный источник)</w:t>
            </w:r>
          </w:p>
        </w:tc>
        <w:tc>
          <w:tcPr>
            <w:tcW w:w="992"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2022 год</w:t>
            </w:r>
          </w:p>
        </w:tc>
        <w:tc>
          <w:tcPr>
            <w:tcW w:w="1135"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2023 год</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Темп изм.</w:t>
            </w:r>
          </w:p>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2023 /2022 год</w:t>
            </w:r>
          </w:p>
        </w:tc>
        <w:tc>
          <w:tcPr>
            <w:tcW w:w="993"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2024 год</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Темп изм.</w:t>
            </w:r>
          </w:p>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2024 /2023 год</w:t>
            </w:r>
          </w:p>
        </w:tc>
        <w:tc>
          <w:tcPr>
            <w:tcW w:w="1134"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Темп изм.</w:t>
            </w:r>
          </w:p>
          <w:p w:rsidR="00316F9B" w:rsidRPr="00316F9B" w:rsidRDefault="00316F9B" w:rsidP="00316F9B">
            <w:pPr>
              <w:ind w:firstLine="0"/>
              <w:jc w:val="center"/>
              <w:rPr>
                <w:rFonts w:eastAsia="Times New Roman"/>
                <w:bCs/>
                <w:sz w:val="20"/>
                <w:szCs w:val="20"/>
                <w:lang w:eastAsia="ru-RU"/>
              </w:rPr>
            </w:pPr>
            <w:r w:rsidRPr="00316F9B">
              <w:rPr>
                <w:rFonts w:eastAsia="Times New Roman"/>
                <w:bCs/>
                <w:sz w:val="20"/>
                <w:szCs w:val="20"/>
                <w:lang w:eastAsia="ru-RU"/>
              </w:rPr>
              <w:t>2024 /2022 год</w:t>
            </w:r>
          </w:p>
        </w:tc>
      </w:tr>
      <w:tr w:rsidR="00316F9B" w:rsidRPr="00316F9B" w:rsidTr="00316F9B">
        <w:trPr>
          <w:trHeight w:hRule="exact" w:val="708"/>
        </w:trPr>
        <w:tc>
          <w:tcPr>
            <w:tcW w:w="3261" w:type="dxa"/>
            <w:tcBorders>
              <w:top w:val="single" w:sz="4" w:space="0" w:color="auto"/>
              <w:left w:val="single" w:sz="4" w:space="0" w:color="auto"/>
              <w:bottom w:val="single" w:sz="4" w:space="0" w:color="auto"/>
              <w:right w:val="single" w:sz="4" w:space="0" w:color="auto"/>
            </w:tcBorders>
            <w:hideMark/>
          </w:tcPr>
          <w:p w:rsidR="00316F9B" w:rsidRPr="00316F9B" w:rsidRDefault="00316F9B" w:rsidP="00943CCB">
            <w:pPr>
              <w:ind w:firstLine="0"/>
              <w:rPr>
                <w:rFonts w:eastAsia="Times New Roman"/>
                <w:sz w:val="20"/>
                <w:szCs w:val="20"/>
                <w:lang w:eastAsia="ru-RU"/>
              </w:rPr>
            </w:pPr>
            <w:r w:rsidRPr="00316F9B">
              <w:rPr>
                <w:rFonts w:eastAsia="Times New Roman"/>
                <w:sz w:val="20"/>
                <w:szCs w:val="20"/>
                <w:lang w:eastAsia="ru-RU"/>
              </w:rPr>
              <w:t xml:space="preserve">Выручка от инновационной деятельности, млн руб.  (форма 4 </w:t>
            </w:r>
            <w:r w:rsidRPr="00316F9B">
              <w:rPr>
                <w:rFonts w:eastAsia="Times New Roman"/>
                <w:b/>
                <w:sz w:val="20"/>
                <w:szCs w:val="20"/>
                <w:lang w:eastAsia="ru-RU"/>
              </w:rPr>
              <w:t>–</w:t>
            </w:r>
            <w:r w:rsidRPr="00316F9B">
              <w:rPr>
                <w:rFonts w:eastAsia="Times New Roman"/>
                <w:sz w:val="20"/>
                <w:szCs w:val="20"/>
                <w:lang w:eastAsia="ru-RU"/>
              </w:rPr>
              <w:t>Инновация)</w:t>
            </w:r>
          </w:p>
        </w:tc>
        <w:tc>
          <w:tcPr>
            <w:tcW w:w="992"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61</w:t>
            </w:r>
          </w:p>
        </w:tc>
        <w:tc>
          <w:tcPr>
            <w:tcW w:w="1135"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64</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104,92</w:t>
            </w:r>
          </w:p>
        </w:tc>
        <w:tc>
          <w:tcPr>
            <w:tcW w:w="993"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69</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107,81</w:t>
            </w:r>
          </w:p>
        </w:tc>
        <w:tc>
          <w:tcPr>
            <w:tcW w:w="1134"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113,11</w:t>
            </w:r>
          </w:p>
        </w:tc>
      </w:tr>
      <w:tr w:rsidR="00316F9B" w:rsidRPr="00316F9B" w:rsidTr="00316F9B">
        <w:trPr>
          <w:trHeight w:hRule="exact" w:val="990"/>
        </w:trPr>
        <w:tc>
          <w:tcPr>
            <w:tcW w:w="3261" w:type="dxa"/>
            <w:tcBorders>
              <w:top w:val="single" w:sz="4" w:space="0" w:color="auto"/>
              <w:left w:val="single" w:sz="4" w:space="0" w:color="auto"/>
              <w:bottom w:val="single" w:sz="4" w:space="0" w:color="auto"/>
              <w:right w:val="single" w:sz="4" w:space="0" w:color="auto"/>
            </w:tcBorders>
            <w:hideMark/>
          </w:tcPr>
          <w:p w:rsidR="00316F9B" w:rsidRPr="00316F9B" w:rsidRDefault="00316F9B" w:rsidP="00943CCB">
            <w:pPr>
              <w:ind w:firstLine="0"/>
              <w:rPr>
                <w:rFonts w:eastAsia="Times New Roman"/>
                <w:b/>
                <w:sz w:val="20"/>
                <w:szCs w:val="20"/>
                <w:lang w:eastAsia="ru-RU"/>
              </w:rPr>
            </w:pPr>
            <w:r w:rsidRPr="00316F9B">
              <w:rPr>
                <w:rFonts w:eastAsia="Times New Roman"/>
                <w:sz w:val="20"/>
                <w:szCs w:val="20"/>
                <w:lang w:eastAsia="ru-RU"/>
              </w:rPr>
              <w:t>Расходы на инновационную деятельность (текущие и капитальные), млн руб.   (форма 4-Инновация)</w:t>
            </w:r>
          </w:p>
        </w:tc>
        <w:tc>
          <w:tcPr>
            <w:tcW w:w="992"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49</w:t>
            </w:r>
          </w:p>
        </w:tc>
        <w:tc>
          <w:tcPr>
            <w:tcW w:w="1135"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53</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108,16</w:t>
            </w:r>
          </w:p>
        </w:tc>
        <w:tc>
          <w:tcPr>
            <w:tcW w:w="993" w:type="dxa"/>
            <w:tcBorders>
              <w:top w:val="single" w:sz="4" w:space="0" w:color="auto"/>
              <w:left w:val="single" w:sz="4" w:space="0" w:color="auto"/>
              <w:bottom w:val="single" w:sz="4" w:space="0" w:color="auto"/>
              <w:right w:val="single" w:sz="4" w:space="0" w:color="auto"/>
            </w:tcBorders>
            <w:hideMark/>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60</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113,21</w:t>
            </w:r>
          </w:p>
        </w:tc>
        <w:tc>
          <w:tcPr>
            <w:tcW w:w="1134"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122,45</w:t>
            </w:r>
          </w:p>
        </w:tc>
      </w:tr>
      <w:tr w:rsidR="00316F9B" w:rsidRPr="00316F9B" w:rsidTr="00316F9B">
        <w:trPr>
          <w:trHeight w:hRule="exact" w:val="1002"/>
        </w:trPr>
        <w:tc>
          <w:tcPr>
            <w:tcW w:w="3261" w:type="dxa"/>
            <w:tcBorders>
              <w:top w:val="single" w:sz="4" w:space="0" w:color="auto"/>
              <w:left w:val="single" w:sz="4" w:space="0" w:color="auto"/>
              <w:bottom w:val="single" w:sz="4" w:space="0" w:color="auto"/>
              <w:right w:val="single" w:sz="4" w:space="0" w:color="auto"/>
            </w:tcBorders>
          </w:tcPr>
          <w:p w:rsidR="00316F9B" w:rsidRPr="00316F9B" w:rsidRDefault="00316F9B" w:rsidP="00943CCB">
            <w:pPr>
              <w:ind w:firstLine="0"/>
              <w:rPr>
                <w:rFonts w:eastAsia="Times New Roman"/>
                <w:sz w:val="20"/>
                <w:szCs w:val="20"/>
                <w:lang w:eastAsia="ru-RU"/>
              </w:rPr>
            </w:pPr>
            <w:r w:rsidRPr="00316F9B">
              <w:rPr>
                <w:rFonts w:eastAsia="Times New Roman"/>
                <w:sz w:val="20"/>
                <w:szCs w:val="20"/>
                <w:lang w:eastAsia="ru-RU"/>
              </w:rPr>
              <w:t>Затраты на приобретение и разработку программного обеспечения и баз данных, млн</w:t>
            </w:r>
            <w:r w:rsidR="00943CCB">
              <w:rPr>
                <w:rFonts w:eastAsia="Times New Roman"/>
                <w:sz w:val="20"/>
                <w:szCs w:val="20"/>
                <w:lang w:eastAsia="ru-RU"/>
              </w:rPr>
              <w:t xml:space="preserve"> </w:t>
            </w:r>
            <w:r w:rsidRPr="00316F9B">
              <w:rPr>
                <w:rFonts w:eastAsia="Times New Roman"/>
                <w:sz w:val="20"/>
                <w:szCs w:val="20"/>
                <w:lang w:eastAsia="ru-RU"/>
              </w:rPr>
              <w:t>руб. (</w:t>
            </w:r>
            <w:r w:rsidRPr="00316F9B">
              <w:rPr>
                <w:rFonts w:eastAsia="Times New Roman"/>
                <w:bCs/>
                <w:sz w:val="20"/>
                <w:szCs w:val="20"/>
                <w:lang w:eastAsia="ru-RU"/>
              </w:rPr>
              <w:t xml:space="preserve">форма 4- Инновация) </w:t>
            </w:r>
          </w:p>
        </w:tc>
        <w:tc>
          <w:tcPr>
            <w:tcW w:w="992"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4,5</w:t>
            </w:r>
          </w:p>
        </w:tc>
        <w:tc>
          <w:tcPr>
            <w:tcW w:w="1135"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6,6</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146,67</w:t>
            </w:r>
          </w:p>
        </w:tc>
        <w:tc>
          <w:tcPr>
            <w:tcW w:w="99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7</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131,71</w:t>
            </w:r>
          </w:p>
        </w:tc>
        <w:tc>
          <w:tcPr>
            <w:tcW w:w="1134"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145,95</w:t>
            </w:r>
          </w:p>
        </w:tc>
      </w:tr>
      <w:tr w:rsidR="00316F9B" w:rsidRPr="00316F9B" w:rsidTr="00316F9B">
        <w:trPr>
          <w:trHeight w:hRule="exact" w:val="704"/>
        </w:trPr>
        <w:tc>
          <w:tcPr>
            <w:tcW w:w="3261"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Стоимость программного обеспечения, млн руб. (бухгалтерская отчетность)</w:t>
            </w:r>
          </w:p>
        </w:tc>
        <w:tc>
          <w:tcPr>
            <w:tcW w:w="992"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18</w:t>
            </w:r>
          </w:p>
        </w:tc>
        <w:tc>
          <w:tcPr>
            <w:tcW w:w="1135"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24</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133,33</w:t>
            </w:r>
          </w:p>
        </w:tc>
        <w:tc>
          <w:tcPr>
            <w:tcW w:w="99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27</w:t>
            </w:r>
          </w:p>
        </w:tc>
        <w:tc>
          <w:tcPr>
            <w:tcW w:w="1133"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112,5</w:t>
            </w:r>
          </w:p>
        </w:tc>
        <w:tc>
          <w:tcPr>
            <w:tcW w:w="1134"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jc w:val="center"/>
              <w:rPr>
                <w:rFonts w:eastAsia="Times New Roman"/>
                <w:sz w:val="20"/>
                <w:szCs w:val="20"/>
                <w:lang w:eastAsia="ru-RU"/>
              </w:rPr>
            </w:pPr>
            <w:r w:rsidRPr="00316F9B">
              <w:rPr>
                <w:rFonts w:eastAsia="Times New Roman"/>
                <w:sz w:val="20"/>
                <w:szCs w:val="20"/>
                <w:lang w:eastAsia="ru-RU"/>
              </w:rPr>
              <w:t>150</w:t>
            </w:r>
          </w:p>
        </w:tc>
      </w:tr>
      <w:tr w:rsidR="00316F9B" w:rsidRPr="00316F9B" w:rsidTr="00316F9B">
        <w:trPr>
          <w:trHeight w:hRule="exact" w:val="702"/>
        </w:trPr>
        <w:tc>
          <w:tcPr>
            <w:tcW w:w="3261"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Стоимость современного программного обеспечения, млн руб. (бухгалтерская отчетность)</w:t>
            </w:r>
          </w:p>
        </w:tc>
        <w:tc>
          <w:tcPr>
            <w:tcW w:w="992"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7,50</w:t>
            </w:r>
          </w:p>
        </w:tc>
        <w:tc>
          <w:tcPr>
            <w:tcW w:w="1135"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11,00</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146,67</w:t>
            </w:r>
          </w:p>
        </w:tc>
        <w:tc>
          <w:tcPr>
            <w:tcW w:w="99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14,00</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127,27</w:t>
            </w:r>
          </w:p>
        </w:tc>
        <w:tc>
          <w:tcPr>
            <w:tcW w:w="1134"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186,67</w:t>
            </w:r>
          </w:p>
        </w:tc>
      </w:tr>
      <w:tr w:rsidR="00316F9B" w:rsidRPr="00316F9B" w:rsidTr="00316F9B">
        <w:trPr>
          <w:trHeight w:hRule="exact" w:val="724"/>
        </w:trPr>
        <w:tc>
          <w:tcPr>
            <w:tcW w:w="3261"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 xml:space="preserve">Отдача затрат на информационное обеспечение деятельность млн </w:t>
            </w:r>
            <w:r w:rsidR="002C7AB0">
              <w:rPr>
                <w:rFonts w:eastAsia="Times New Roman"/>
                <w:sz w:val="20"/>
                <w:szCs w:val="20"/>
                <w:lang w:eastAsia="ru-RU"/>
              </w:rPr>
              <w:t>р</w:t>
            </w:r>
            <w:r w:rsidRPr="00316F9B">
              <w:rPr>
                <w:rFonts w:eastAsia="Times New Roman"/>
                <w:sz w:val="20"/>
                <w:szCs w:val="20"/>
                <w:lang w:eastAsia="ru-RU"/>
              </w:rPr>
              <w:t>уб./млн  руб. (стр1/стр.3)</w:t>
            </w:r>
          </w:p>
        </w:tc>
        <w:tc>
          <w:tcPr>
            <w:tcW w:w="992"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13,56</w:t>
            </w:r>
          </w:p>
        </w:tc>
        <w:tc>
          <w:tcPr>
            <w:tcW w:w="1135"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9,70</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71,54</w:t>
            </w:r>
          </w:p>
        </w:tc>
        <w:tc>
          <w:tcPr>
            <w:tcW w:w="99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9,86</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101,65</w:t>
            </w:r>
          </w:p>
        </w:tc>
        <w:tc>
          <w:tcPr>
            <w:tcW w:w="1134"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jc w:val="center"/>
              <w:rPr>
                <w:color w:val="000000"/>
                <w:sz w:val="20"/>
                <w:szCs w:val="20"/>
              </w:rPr>
            </w:pPr>
            <w:r w:rsidRPr="00316F9B">
              <w:rPr>
                <w:color w:val="000000"/>
                <w:sz w:val="20"/>
                <w:szCs w:val="20"/>
              </w:rPr>
              <w:t>72,72</w:t>
            </w:r>
          </w:p>
        </w:tc>
      </w:tr>
      <w:tr w:rsidR="00316F9B" w:rsidRPr="00316F9B" w:rsidTr="00316F9B">
        <w:trPr>
          <w:trHeight w:hRule="exact" w:val="976"/>
        </w:trPr>
        <w:tc>
          <w:tcPr>
            <w:tcW w:w="3261"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rPr>
                <w:rFonts w:eastAsia="Times New Roman"/>
                <w:sz w:val="20"/>
                <w:szCs w:val="20"/>
                <w:lang w:eastAsia="ru-RU"/>
              </w:rPr>
            </w:pPr>
            <w:r w:rsidRPr="00316F9B">
              <w:rPr>
                <w:rFonts w:eastAsia="Times New Roman"/>
                <w:sz w:val="20"/>
                <w:szCs w:val="20"/>
                <w:lang w:eastAsia="ru-RU"/>
              </w:rPr>
              <w:t>Доля затрат на информационное обеспечение в сумме расходов на инновационную деятельность  (стр.3/стр.2)</w:t>
            </w:r>
          </w:p>
        </w:tc>
        <w:tc>
          <w:tcPr>
            <w:tcW w:w="992"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0,09</w:t>
            </w:r>
          </w:p>
        </w:tc>
        <w:tc>
          <w:tcPr>
            <w:tcW w:w="1135"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0,12</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135,60</w:t>
            </w:r>
          </w:p>
        </w:tc>
        <w:tc>
          <w:tcPr>
            <w:tcW w:w="99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0,12</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93,69</w:t>
            </w:r>
          </w:p>
        </w:tc>
        <w:tc>
          <w:tcPr>
            <w:tcW w:w="1134"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127,04</w:t>
            </w:r>
          </w:p>
        </w:tc>
      </w:tr>
      <w:tr w:rsidR="00316F9B" w:rsidRPr="00316F9B" w:rsidTr="00316F9B">
        <w:trPr>
          <w:trHeight w:hRule="exact" w:val="720"/>
        </w:trPr>
        <w:tc>
          <w:tcPr>
            <w:tcW w:w="3261" w:type="dxa"/>
            <w:tcBorders>
              <w:top w:val="single" w:sz="4" w:space="0" w:color="auto"/>
              <w:left w:val="single" w:sz="4" w:space="0" w:color="auto"/>
              <w:bottom w:val="single" w:sz="4" w:space="0" w:color="auto"/>
              <w:right w:val="single" w:sz="4" w:space="0" w:color="auto"/>
            </w:tcBorders>
          </w:tcPr>
          <w:p w:rsidR="00316F9B" w:rsidRPr="00316F9B" w:rsidRDefault="00316F9B" w:rsidP="00316F9B">
            <w:pPr>
              <w:ind w:firstLine="0"/>
              <w:rPr>
                <w:rFonts w:eastAsia="Times New Roman"/>
                <w:bCs/>
                <w:sz w:val="20"/>
                <w:szCs w:val="20"/>
                <w:lang w:eastAsia="ru-RU"/>
              </w:rPr>
            </w:pPr>
            <w:r w:rsidRPr="00316F9B">
              <w:rPr>
                <w:rFonts w:eastAsia="Times New Roman"/>
                <w:bCs/>
                <w:sz w:val="20"/>
                <w:szCs w:val="20"/>
                <w:lang w:eastAsia="ru-RU"/>
              </w:rPr>
              <w:t>Коэффициент актуальности программного обеспечения (стр. 5/стр.4</w:t>
            </w:r>
          </w:p>
        </w:tc>
        <w:tc>
          <w:tcPr>
            <w:tcW w:w="992"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0,42</w:t>
            </w:r>
          </w:p>
        </w:tc>
        <w:tc>
          <w:tcPr>
            <w:tcW w:w="1135"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0,46</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110,00</w:t>
            </w:r>
          </w:p>
        </w:tc>
        <w:tc>
          <w:tcPr>
            <w:tcW w:w="99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0,52</w:t>
            </w:r>
          </w:p>
        </w:tc>
        <w:tc>
          <w:tcPr>
            <w:tcW w:w="1133"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113,13</w:t>
            </w:r>
          </w:p>
        </w:tc>
        <w:tc>
          <w:tcPr>
            <w:tcW w:w="1134" w:type="dxa"/>
            <w:tcBorders>
              <w:top w:val="single" w:sz="4" w:space="0" w:color="auto"/>
              <w:left w:val="single" w:sz="4" w:space="0" w:color="auto"/>
              <w:bottom w:val="single" w:sz="4" w:space="0" w:color="auto"/>
              <w:right w:val="single" w:sz="4" w:space="0" w:color="auto"/>
            </w:tcBorders>
            <w:vAlign w:val="center"/>
          </w:tcPr>
          <w:p w:rsidR="00316F9B" w:rsidRPr="00316F9B" w:rsidRDefault="00316F9B" w:rsidP="00316F9B">
            <w:pPr>
              <w:ind w:firstLine="0"/>
              <w:rPr>
                <w:color w:val="000000"/>
                <w:sz w:val="20"/>
                <w:szCs w:val="20"/>
              </w:rPr>
            </w:pPr>
            <w:r w:rsidRPr="00316F9B">
              <w:rPr>
                <w:color w:val="000000"/>
                <w:sz w:val="20"/>
                <w:szCs w:val="20"/>
              </w:rPr>
              <w:t>124,44</w:t>
            </w:r>
          </w:p>
        </w:tc>
      </w:tr>
    </w:tbl>
    <w:p w:rsidR="008F2C3F" w:rsidRPr="00316F9B" w:rsidRDefault="008F2C3F" w:rsidP="00F450AD">
      <w:pPr>
        <w:pStyle w:val="afd"/>
        <w:jc w:val="both"/>
        <w:rPr>
          <w:b w:val="0"/>
          <w:i/>
          <w:color w:val="auto"/>
          <w:sz w:val="22"/>
          <w:szCs w:val="22"/>
        </w:rPr>
      </w:pPr>
    </w:p>
    <w:p w:rsidR="00316F9B" w:rsidRDefault="00316F9B" w:rsidP="00316F9B">
      <w:pPr>
        <w:ind w:firstLine="709"/>
        <w:rPr>
          <w:rFonts w:eastAsia="Times New Roman"/>
          <w:sz w:val="28"/>
          <w:szCs w:val="28"/>
          <w:lang w:eastAsia="ru-RU"/>
        </w:rPr>
        <w:sectPr w:rsidR="00316F9B" w:rsidSect="008F2C3F">
          <w:footnotePr>
            <w:numRestart w:val="eachPage"/>
          </w:footnotePr>
          <w:type w:val="continuous"/>
          <w:pgSz w:w="11907" w:h="16840" w:code="9"/>
          <w:pgMar w:top="1418" w:right="1134" w:bottom="1418" w:left="1134" w:header="1021" w:footer="1021" w:gutter="0"/>
          <w:cols w:space="708"/>
          <w:docGrid w:linePitch="360"/>
        </w:sectPr>
      </w:pPr>
    </w:p>
    <w:p w:rsidR="00316F9B" w:rsidRDefault="00316F9B" w:rsidP="00316F9B">
      <w:pPr>
        <w:ind w:firstLine="284"/>
        <w:rPr>
          <w:rFonts w:eastAsia="Times New Roman"/>
          <w:bCs/>
          <w:szCs w:val="24"/>
          <w:lang w:eastAsia="ru-RU"/>
        </w:rPr>
      </w:pPr>
      <w:r w:rsidRPr="00316F9B">
        <w:rPr>
          <w:rFonts w:eastAsia="Times New Roman"/>
          <w:szCs w:val="24"/>
          <w:lang w:eastAsia="ru-RU"/>
        </w:rPr>
        <w:lastRenderedPageBreak/>
        <w:t xml:space="preserve">По результатам экономической оценки эффективности ИАО можно отметить следующее. За анализируемый период выручка от инновационной деятельности выросла более на 113,1% против 103,9%. Это свидетельствует о положительной тенденции развития инновационной сферы. Показатель отдачи затрат на информационное обеспечение управления инновациями в анализируемом периоде растет более низкими темпами (72,72%). Это связано с тем, что активность политики предприятия в анализируемом периоде по обновлению указанного обеспечения (расходы возросли почти в 1,5 раза) пока не обеспечиваются </w:t>
      </w:r>
      <w:r w:rsidRPr="00316F9B">
        <w:rPr>
          <w:rFonts w:eastAsia="Times New Roman"/>
          <w:szCs w:val="24"/>
          <w:lang w:eastAsia="ru-RU"/>
        </w:rPr>
        <w:lastRenderedPageBreak/>
        <w:t xml:space="preserve">соответствующим результатом. Показатель доли затрат на информационное обеспечение в сумме расходов на инновационную деятельность сам по себе малоинформативен, поскольку зависит от специфики инновационной сферы предприятия, описанной ранее. Важно, чтобы темпы его изменения были положительными, что мы и наблюдаем на анализируемом предприятии. Показатель </w:t>
      </w:r>
      <w:r w:rsidRPr="00316F9B">
        <w:rPr>
          <w:rFonts w:eastAsia="Times New Roman"/>
          <w:bCs/>
          <w:szCs w:val="24"/>
          <w:lang w:eastAsia="ru-RU"/>
        </w:rPr>
        <w:t xml:space="preserve">коэффициента актуальности программного обеспечения достаточно трудно пронормировать в условиях отсутствия соответствующего массива аналитических данных, но его динамика является положительной, что свидетельствует о </w:t>
      </w:r>
      <w:r w:rsidRPr="00316F9B">
        <w:rPr>
          <w:rFonts w:eastAsia="Times New Roman"/>
          <w:bCs/>
          <w:szCs w:val="24"/>
          <w:lang w:eastAsia="ru-RU"/>
        </w:rPr>
        <w:lastRenderedPageBreak/>
        <w:t>стремлении менеджмента предприятия к актуализации программного обеспечения управления инновациями.</w:t>
      </w:r>
    </w:p>
    <w:p w:rsidR="00316F9B" w:rsidRPr="00316F9B" w:rsidRDefault="00316F9B" w:rsidP="00316F9B">
      <w:pPr>
        <w:ind w:firstLine="284"/>
        <w:rPr>
          <w:rFonts w:eastAsia="Times New Roman"/>
          <w:szCs w:val="24"/>
          <w:lang w:eastAsia="ru-RU"/>
        </w:rPr>
      </w:pPr>
    </w:p>
    <w:p w:rsidR="00316F9B" w:rsidRPr="00316F9B" w:rsidRDefault="00316F9B" w:rsidP="00316F9B">
      <w:pPr>
        <w:shd w:val="clear" w:color="auto" w:fill="FFFFFF"/>
        <w:ind w:firstLine="284"/>
        <w:outlineLvl w:val="0"/>
        <w:rPr>
          <w:b/>
          <w:szCs w:val="24"/>
        </w:rPr>
      </w:pPr>
      <w:r w:rsidRPr="00316F9B">
        <w:rPr>
          <w:b/>
          <w:szCs w:val="24"/>
        </w:rPr>
        <w:t>Заключение</w:t>
      </w:r>
    </w:p>
    <w:p w:rsidR="00316F9B" w:rsidRDefault="00316F9B" w:rsidP="00316F9B">
      <w:pPr>
        <w:shd w:val="clear" w:color="auto" w:fill="FFFFFF"/>
        <w:ind w:firstLine="284"/>
        <w:outlineLvl w:val="0"/>
        <w:rPr>
          <w:b/>
          <w:i/>
        </w:rPr>
        <w:sectPr w:rsidR="00316F9B" w:rsidSect="00316F9B">
          <w:footnotePr>
            <w:numRestart w:val="eachPage"/>
          </w:footnotePr>
          <w:type w:val="continuous"/>
          <w:pgSz w:w="11907" w:h="16840" w:code="9"/>
          <w:pgMar w:top="1418" w:right="1134" w:bottom="1418" w:left="1134" w:header="1021" w:footer="1021" w:gutter="0"/>
          <w:cols w:num="2" w:space="708"/>
          <w:docGrid w:linePitch="360"/>
        </w:sectPr>
      </w:pPr>
      <w:r w:rsidRPr="00316F9B">
        <w:rPr>
          <w:szCs w:val="24"/>
        </w:rPr>
        <w:t>По результатам проведенного исследования установлено, что актуальный методический подход к проведению оценки информационно-аналитического обеспечения управления инновациями на машиностроительном предприятии сформирован не в полной мере. По результатам теоретического анализа выявлены две группы проблем, обусловливающих данное утверждение. Рекомендовано в целях повышения объективности и полноты оценки ин</w:t>
      </w:r>
      <w:r w:rsidRPr="00316F9B">
        <w:rPr>
          <w:szCs w:val="24"/>
        </w:rPr>
        <w:lastRenderedPageBreak/>
        <w:t>формационно-аналитического обеспечения управления инновациями применять экспертный подход, с предложенными автором статьи качественными показателями, отсутствующими в работах предшественников. Для экономической оценки указанного обеспечения предложен новый показатель отдачи затрат на информационное обеспечение, рассчитываемый как отношение результата инновационной деятельности предприятия (отгруженный объем инновационной продукции) к указанным затратам. Проведена апробация усовершенствованного методического подхода на примере машиностроительного предприятия.</w:t>
      </w:r>
    </w:p>
    <w:p w:rsidR="008F2C3F" w:rsidRPr="008F2C3F" w:rsidRDefault="008F2C3F" w:rsidP="00F450AD">
      <w:pPr>
        <w:pStyle w:val="afd"/>
        <w:jc w:val="both"/>
        <w:rPr>
          <w:b w:val="0"/>
          <w:i/>
          <w:color w:val="auto"/>
        </w:rPr>
      </w:pPr>
    </w:p>
    <w:p w:rsidR="00316F9B" w:rsidRPr="00316F9B" w:rsidRDefault="00316F9B" w:rsidP="00316F9B">
      <w:pPr>
        <w:ind w:firstLine="284"/>
        <w:jc w:val="center"/>
        <w:rPr>
          <w:rFonts w:eastAsia="Times New Roman"/>
          <w:b/>
          <w:szCs w:val="24"/>
        </w:rPr>
      </w:pPr>
      <w:r w:rsidRPr="00316F9B">
        <w:rPr>
          <w:rFonts w:eastAsia="Times New Roman"/>
          <w:b/>
          <w:szCs w:val="24"/>
        </w:rPr>
        <w:t>ЛИТЕРАТУРА</w:t>
      </w:r>
    </w:p>
    <w:p w:rsidR="00316F9B" w:rsidRPr="00316F9B" w:rsidRDefault="00316F9B" w:rsidP="005A0605">
      <w:pPr>
        <w:pStyle w:val="affb"/>
        <w:numPr>
          <w:ilvl w:val="0"/>
          <w:numId w:val="16"/>
        </w:numPr>
        <w:tabs>
          <w:tab w:val="left" w:pos="567"/>
        </w:tabs>
        <w:spacing w:after="0" w:line="240" w:lineRule="auto"/>
        <w:ind w:left="0" w:firstLine="284"/>
        <w:jc w:val="both"/>
        <w:rPr>
          <w:rFonts w:ascii="Times New Roman" w:hAnsi="Times New Roman" w:cs="Times New Roman"/>
          <w:i/>
          <w:sz w:val="24"/>
          <w:szCs w:val="24"/>
        </w:rPr>
      </w:pPr>
      <w:r w:rsidRPr="00316F9B">
        <w:rPr>
          <w:rFonts w:ascii="Times New Roman" w:eastAsia="Times New Roman" w:hAnsi="Times New Roman" w:cs="Times New Roman"/>
          <w:bCs/>
          <w:i/>
          <w:sz w:val="24"/>
          <w:szCs w:val="24"/>
          <w:lang w:eastAsia="ru-RU"/>
        </w:rPr>
        <w:t>Курышева Н.Ф. Виды информационного обеспечения управления инновационной деятельностью машиностроительного предприятия // Атояновские чтения: альманах</w:t>
      </w:r>
      <w:r w:rsidR="00F65EDF">
        <w:rPr>
          <w:rFonts w:ascii="Times New Roman" w:eastAsia="Times New Roman" w:hAnsi="Times New Roman" w:cs="Times New Roman"/>
          <w:bCs/>
          <w:i/>
          <w:sz w:val="24"/>
          <w:szCs w:val="24"/>
          <w:lang w:eastAsia="ru-RU"/>
        </w:rPr>
        <w:t>.</w:t>
      </w:r>
      <w:r w:rsidRPr="00316F9B">
        <w:rPr>
          <w:rFonts w:ascii="Times New Roman" w:eastAsia="Times New Roman" w:hAnsi="Times New Roman" w:cs="Times New Roman"/>
          <w:bCs/>
          <w:i/>
          <w:sz w:val="24"/>
          <w:szCs w:val="24"/>
          <w:lang w:eastAsia="ru-RU"/>
        </w:rPr>
        <w:t xml:space="preserve"> – Саратов: Издательство ООО «КУБиК», 2020.  С. 35-39.</w:t>
      </w:r>
    </w:p>
    <w:p w:rsidR="00316F9B" w:rsidRPr="00316F9B" w:rsidRDefault="00316F9B" w:rsidP="005A0605">
      <w:pPr>
        <w:pStyle w:val="affb"/>
        <w:numPr>
          <w:ilvl w:val="0"/>
          <w:numId w:val="16"/>
        </w:numPr>
        <w:tabs>
          <w:tab w:val="left" w:pos="567"/>
        </w:tabs>
        <w:spacing w:after="0" w:line="240" w:lineRule="auto"/>
        <w:ind w:left="0" w:firstLine="284"/>
        <w:jc w:val="both"/>
        <w:rPr>
          <w:rFonts w:ascii="Times New Roman" w:hAnsi="Times New Roman" w:cs="Times New Roman"/>
          <w:i/>
          <w:sz w:val="24"/>
          <w:szCs w:val="24"/>
        </w:rPr>
      </w:pPr>
      <w:r w:rsidRPr="00316F9B">
        <w:rPr>
          <w:rFonts w:ascii="Times New Roman" w:hAnsi="Times New Roman" w:cs="Times New Roman"/>
          <w:i/>
          <w:sz w:val="24"/>
          <w:szCs w:val="24"/>
        </w:rPr>
        <w:t>Афанасьев М. А. Оценка эффективности информационно-аналитического обеспечения экспортно-ориентированных предприятий промышленности: методический подход // Альманах современной науки и образования. 2012.  № 4. С. 17-23.</w:t>
      </w:r>
    </w:p>
    <w:p w:rsidR="00316F9B" w:rsidRPr="00316F9B" w:rsidRDefault="00316F9B" w:rsidP="005A0605">
      <w:pPr>
        <w:pStyle w:val="affb"/>
        <w:numPr>
          <w:ilvl w:val="0"/>
          <w:numId w:val="16"/>
        </w:numPr>
        <w:tabs>
          <w:tab w:val="left" w:pos="567"/>
        </w:tabs>
        <w:spacing w:after="0" w:line="240" w:lineRule="auto"/>
        <w:ind w:left="0" w:firstLine="284"/>
        <w:jc w:val="both"/>
        <w:rPr>
          <w:rFonts w:ascii="Times New Roman" w:hAnsi="Times New Roman" w:cs="Times New Roman"/>
          <w:i/>
          <w:sz w:val="24"/>
          <w:szCs w:val="24"/>
        </w:rPr>
      </w:pPr>
      <w:r w:rsidRPr="00316F9B">
        <w:rPr>
          <w:rFonts w:ascii="Times New Roman" w:hAnsi="Times New Roman" w:cs="Times New Roman"/>
          <w:i/>
          <w:sz w:val="24"/>
          <w:szCs w:val="24"/>
        </w:rPr>
        <w:t>Бурцева Т.А. Оценка эффективности информационного обеспечения управления инновациями</w:t>
      </w:r>
      <w:r w:rsidR="00F65EDF">
        <w:rPr>
          <w:rFonts w:ascii="Times New Roman" w:hAnsi="Times New Roman" w:cs="Times New Roman"/>
          <w:i/>
          <w:sz w:val="24"/>
          <w:szCs w:val="24"/>
        </w:rPr>
        <w:t xml:space="preserve"> </w:t>
      </w:r>
      <w:r w:rsidRPr="00316F9B">
        <w:rPr>
          <w:rFonts w:ascii="Times New Roman" w:hAnsi="Times New Roman" w:cs="Times New Roman"/>
          <w:i/>
          <w:sz w:val="24"/>
          <w:szCs w:val="24"/>
        </w:rPr>
        <w:t>//</w:t>
      </w:r>
      <w:r w:rsidR="00F65EDF">
        <w:rPr>
          <w:rFonts w:ascii="Times New Roman" w:hAnsi="Times New Roman" w:cs="Times New Roman"/>
          <w:i/>
          <w:sz w:val="24"/>
          <w:szCs w:val="24"/>
        </w:rPr>
        <w:t xml:space="preserve"> </w:t>
      </w:r>
      <w:r w:rsidRPr="00316F9B">
        <w:rPr>
          <w:rFonts w:ascii="Times New Roman" w:hAnsi="Times New Roman" w:cs="Times New Roman"/>
          <w:i/>
          <w:sz w:val="24"/>
          <w:szCs w:val="24"/>
        </w:rPr>
        <w:t>Вестник Московского университета имени С.Ю. Витте. Сер</w:t>
      </w:r>
      <w:r w:rsidR="005C327C">
        <w:rPr>
          <w:rFonts w:ascii="Times New Roman" w:hAnsi="Times New Roman" w:cs="Times New Roman"/>
          <w:i/>
          <w:sz w:val="24"/>
          <w:szCs w:val="24"/>
          <w:lang w:val="en-US"/>
        </w:rPr>
        <w:t>.</w:t>
      </w:r>
      <w:r w:rsidRPr="00316F9B">
        <w:rPr>
          <w:rFonts w:ascii="Times New Roman" w:hAnsi="Times New Roman" w:cs="Times New Roman"/>
          <w:i/>
          <w:sz w:val="24"/>
          <w:szCs w:val="24"/>
        </w:rPr>
        <w:t xml:space="preserve"> 1. Экономика и управление. 2020. № 1 (32). С. 78-86. </w:t>
      </w:r>
    </w:p>
    <w:p w:rsidR="00316F9B" w:rsidRPr="00316F9B" w:rsidRDefault="00316F9B" w:rsidP="005A0605">
      <w:pPr>
        <w:numPr>
          <w:ilvl w:val="0"/>
          <w:numId w:val="16"/>
        </w:numPr>
        <w:tabs>
          <w:tab w:val="left" w:pos="567"/>
        </w:tabs>
        <w:ind w:left="0" w:firstLine="284"/>
        <w:rPr>
          <w:i/>
          <w:szCs w:val="24"/>
        </w:rPr>
      </w:pPr>
      <w:r w:rsidRPr="00316F9B">
        <w:rPr>
          <w:i/>
          <w:szCs w:val="24"/>
        </w:rPr>
        <w:t xml:space="preserve"> Якубов Т.В., Елбазова Т.Б., Исакова К.А. Проблемы оценки эффективности информационного обеспечения инновационной деятельности организации //</w:t>
      </w:r>
      <w:r w:rsidR="00F65EDF">
        <w:rPr>
          <w:i/>
          <w:szCs w:val="24"/>
        </w:rPr>
        <w:t xml:space="preserve"> </w:t>
      </w:r>
      <w:r w:rsidRPr="00316F9B">
        <w:rPr>
          <w:i/>
          <w:szCs w:val="24"/>
        </w:rPr>
        <w:t>Вестник ГГНТУ. Гуманитарные и социально-экономические науки. 2019. Том XV. № 4 (18). С.38-43.</w:t>
      </w:r>
    </w:p>
    <w:p w:rsidR="00316F9B" w:rsidRPr="00316F9B" w:rsidRDefault="00316F9B" w:rsidP="005A0605">
      <w:pPr>
        <w:numPr>
          <w:ilvl w:val="0"/>
          <w:numId w:val="16"/>
        </w:numPr>
        <w:tabs>
          <w:tab w:val="left" w:pos="567"/>
        </w:tabs>
        <w:ind w:left="0" w:firstLine="284"/>
        <w:rPr>
          <w:i/>
          <w:szCs w:val="24"/>
        </w:rPr>
      </w:pPr>
      <w:r w:rsidRPr="00316F9B">
        <w:rPr>
          <w:i/>
          <w:szCs w:val="24"/>
        </w:rPr>
        <w:t>Бакиева М.Ю. Система учетно-аналитического обеспечения в управлении инновационной деятельностью предприятий</w:t>
      </w:r>
      <w:r w:rsidR="00F65EDF">
        <w:rPr>
          <w:i/>
          <w:szCs w:val="24"/>
        </w:rPr>
        <w:t xml:space="preserve"> </w:t>
      </w:r>
      <w:r w:rsidRPr="00316F9B">
        <w:rPr>
          <w:i/>
          <w:szCs w:val="24"/>
        </w:rPr>
        <w:t>//</w:t>
      </w:r>
      <w:r w:rsidR="00F65EDF">
        <w:rPr>
          <w:i/>
          <w:szCs w:val="24"/>
        </w:rPr>
        <w:t xml:space="preserve"> </w:t>
      </w:r>
      <w:hyperlink r:id="rId20" w:history="1">
        <w:r w:rsidRPr="00F65EDF">
          <w:rPr>
            <w:rStyle w:val="af7"/>
            <w:i/>
            <w:color w:val="auto"/>
            <w:szCs w:val="24"/>
            <w:u w:val="none"/>
          </w:rPr>
          <w:t>Экономическая безопасность и качество</w:t>
        </w:r>
      </w:hyperlink>
      <w:r w:rsidRPr="00F65EDF">
        <w:rPr>
          <w:i/>
          <w:szCs w:val="24"/>
        </w:rPr>
        <w:t xml:space="preserve">. </w:t>
      </w:r>
      <w:r w:rsidRPr="00316F9B">
        <w:rPr>
          <w:i/>
          <w:szCs w:val="24"/>
        </w:rPr>
        <w:t>2018. №</w:t>
      </w:r>
      <w:r w:rsidR="00F65EDF">
        <w:rPr>
          <w:i/>
          <w:szCs w:val="24"/>
        </w:rPr>
        <w:t xml:space="preserve"> </w:t>
      </w:r>
      <w:r w:rsidRPr="00316F9B">
        <w:rPr>
          <w:i/>
          <w:szCs w:val="24"/>
        </w:rPr>
        <w:t>4. С.</w:t>
      </w:r>
      <w:r w:rsidR="00F65EDF">
        <w:rPr>
          <w:i/>
          <w:szCs w:val="24"/>
        </w:rPr>
        <w:t xml:space="preserve"> </w:t>
      </w:r>
      <w:r w:rsidRPr="00316F9B">
        <w:rPr>
          <w:i/>
          <w:szCs w:val="24"/>
        </w:rPr>
        <w:t>32-38.</w:t>
      </w:r>
    </w:p>
    <w:p w:rsidR="00316F9B" w:rsidRPr="00316F9B" w:rsidRDefault="00316F9B" w:rsidP="005A0605">
      <w:pPr>
        <w:numPr>
          <w:ilvl w:val="0"/>
          <w:numId w:val="16"/>
        </w:numPr>
        <w:tabs>
          <w:tab w:val="left" w:pos="567"/>
        </w:tabs>
        <w:ind w:left="0" w:firstLine="284"/>
        <w:rPr>
          <w:i/>
          <w:szCs w:val="24"/>
        </w:rPr>
      </w:pPr>
      <w:r w:rsidRPr="00316F9B">
        <w:rPr>
          <w:i/>
          <w:szCs w:val="24"/>
        </w:rPr>
        <w:t>Орлов Е.В. Учётно-аналитическое обеспечение инновационных проектов в машиностроении</w:t>
      </w:r>
      <w:r w:rsidR="00F65EDF">
        <w:rPr>
          <w:i/>
          <w:szCs w:val="24"/>
        </w:rPr>
        <w:t xml:space="preserve"> </w:t>
      </w:r>
      <w:r w:rsidRPr="00316F9B">
        <w:rPr>
          <w:i/>
          <w:szCs w:val="24"/>
        </w:rPr>
        <w:t>// дисс. на соискание уч. степени к.э.н. М., 2022.  174 с.</w:t>
      </w:r>
    </w:p>
    <w:p w:rsidR="00316F9B" w:rsidRPr="00316F9B" w:rsidRDefault="00316F9B" w:rsidP="005A0605">
      <w:pPr>
        <w:pStyle w:val="affb"/>
        <w:numPr>
          <w:ilvl w:val="0"/>
          <w:numId w:val="16"/>
        </w:numPr>
        <w:tabs>
          <w:tab w:val="left" w:pos="567"/>
        </w:tabs>
        <w:spacing w:after="0" w:line="240" w:lineRule="auto"/>
        <w:ind w:left="0" w:firstLine="284"/>
        <w:jc w:val="both"/>
        <w:rPr>
          <w:rFonts w:ascii="Times New Roman" w:hAnsi="Times New Roman" w:cs="Times New Roman"/>
          <w:bCs/>
          <w:i/>
          <w:sz w:val="24"/>
          <w:szCs w:val="24"/>
        </w:rPr>
      </w:pPr>
      <w:r w:rsidRPr="00316F9B">
        <w:rPr>
          <w:rFonts w:ascii="Times New Roman" w:hAnsi="Times New Roman" w:cs="Times New Roman"/>
          <w:bCs/>
          <w:i/>
          <w:sz w:val="24"/>
          <w:szCs w:val="24"/>
        </w:rPr>
        <w:t>Власов Д. В. Совершенствование информационно-аналитического обеспечения управления инновационным развитием организации // Инновационная деятельность. 2024. № 1 (68). C. 66</w:t>
      </w:r>
      <w:r w:rsidR="00F65EDF">
        <w:rPr>
          <w:rFonts w:ascii="Times New Roman" w:hAnsi="Times New Roman" w:cs="Times New Roman"/>
          <w:bCs/>
          <w:i/>
          <w:sz w:val="24"/>
          <w:szCs w:val="24"/>
        </w:rPr>
        <w:t>-</w:t>
      </w:r>
      <w:r w:rsidRPr="00316F9B">
        <w:rPr>
          <w:rFonts w:ascii="Times New Roman" w:hAnsi="Times New Roman" w:cs="Times New Roman"/>
          <w:bCs/>
          <w:i/>
          <w:sz w:val="24"/>
          <w:szCs w:val="24"/>
        </w:rPr>
        <w:t>73.</w:t>
      </w:r>
    </w:p>
    <w:p w:rsidR="00316F9B" w:rsidRPr="00316F9B" w:rsidRDefault="00316F9B" w:rsidP="005A0605">
      <w:pPr>
        <w:pStyle w:val="affb"/>
        <w:numPr>
          <w:ilvl w:val="0"/>
          <w:numId w:val="16"/>
        </w:numPr>
        <w:tabs>
          <w:tab w:val="left" w:pos="567"/>
        </w:tabs>
        <w:spacing w:after="0" w:line="240" w:lineRule="auto"/>
        <w:ind w:left="0" w:firstLine="284"/>
        <w:jc w:val="both"/>
        <w:rPr>
          <w:rFonts w:ascii="Times New Roman" w:hAnsi="Times New Roman" w:cs="Times New Roman"/>
          <w:bCs/>
          <w:i/>
          <w:sz w:val="24"/>
          <w:szCs w:val="24"/>
        </w:rPr>
      </w:pPr>
      <w:r w:rsidRPr="00316F9B">
        <w:rPr>
          <w:rFonts w:ascii="Times New Roman" w:hAnsi="Times New Roman" w:cs="Times New Roman"/>
          <w:bCs/>
          <w:i/>
          <w:sz w:val="24"/>
          <w:szCs w:val="24"/>
        </w:rPr>
        <w:t>Власов Д. В. Некоторые аспекты развития аналитического обеспечения управления инновациями предприятия //</w:t>
      </w:r>
      <w:r w:rsidR="00F65EDF">
        <w:rPr>
          <w:rFonts w:ascii="Times New Roman" w:hAnsi="Times New Roman" w:cs="Times New Roman"/>
          <w:bCs/>
          <w:i/>
          <w:sz w:val="24"/>
          <w:szCs w:val="24"/>
        </w:rPr>
        <w:t xml:space="preserve"> </w:t>
      </w:r>
      <w:r w:rsidRPr="00316F9B">
        <w:rPr>
          <w:rFonts w:ascii="Times New Roman" w:hAnsi="Times New Roman" w:cs="Times New Roman"/>
          <w:bCs/>
          <w:i/>
          <w:sz w:val="24"/>
          <w:szCs w:val="24"/>
        </w:rPr>
        <w:t xml:space="preserve">Научные открытия: Междисциплинарный взгляд на исследования: </w:t>
      </w:r>
      <w:r w:rsidR="00F65EDF">
        <w:rPr>
          <w:rFonts w:ascii="Times New Roman" w:hAnsi="Times New Roman" w:cs="Times New Roman"/>
          <w:bCs/>
          <w:i/>
          <w:sz w:val="24"/>
          <w:szCs w:val="24"/>
        </w:rPr>
        <w:t>с</w:t>
      </w:r>
      <w:r w:rsidRPr="00316F9B">
        <w:rPr>
          <w:rFonts w:ascii="Times New Roman" w:hAnsi="Times New Roman" w:cs="Times New Roman"/>
          <w:bCs/>
          <w:i/>
          <w:sz w:val="24"/>
          <w:szCs w:val="24"/>
        </w:rPr>
        <w:t xml:space="preserve">борник статей по итогам Международной научно–практической конференции – Стерлитамак: АМИ, 2025. С. 212-214. </w:t>
      </w:r>
      <w:bookmarkStart w:id="0" w:name="_GoBack"/>
      <w:bookmarkEnd w:id="0"/>
    </w:p>
    <w:p w:rsidR="00316F9B" w:rsidRDefault="00316F9B" w:rsidP="005A0605">
      <w:pPr>
        <w:pStyle w:val="affb"/>
        <w:numPr>
          <w:ilvl w:val="0"/>
          <w:numId w:val="16"/>
        </w:numPr>
        <w:tabs>
          <w:tab w:val="left" w:pos="567"/>
        </w:tabs>
        <w:spacing w:after="0" w:line="240" w:lineRule="auto"/>
        <w:ind w:left="0" w:firstLine="284"/>
        <w:jc w:val="both"/>
        <w:rPr>
          <w:rFonts w:ascii="Times New Roman" w:hAnsi="Times New Roman" w:cs="Times New Roman"/>
          <w:bCs/>
          <w:i/>
          <w:sz w:val="24"/>
          <w:szCs w:val="24"/>
        </w:rPr>
      </w:pPr>
      <w:r w:rsidRPr="00F65EDF">
        <w:rPr>
          <w:rFonts w:ascii="Times New Roman" w:hAnsi="Times New Roman" w:cs="Times New Roman"/>
          <w:bCs/>
          <w:i/>
          <w:sz w:val="24"/>
          <w:szCs w:val="24"/>
        </w:rPr>
        <w:t>Дорофеюк А.А., Гольдовская М.В., Киселева Н.Е., Покровская И.В., Чернявский А.Л. Процедуры коллективной многовариантной экспертизы в задачах анализа и совершенствования социально-экономических систем</w:t>
      </w:r>
      <w:r w:rsidR="00F65EDF">
        <w:rPr>
          <w:rFonts w:ascii="Times New Roman" w:hAnsi="Times New Roman" w:cs="Times New Roman"/>
          <w:bCs/>
          <w:i/>
          <w:sz w:val="24"/>
          <w:szCs w:val="24"/>
        </w:rPr>
        <w:t xml:space="preserve"> </w:t>
      </w:r>
      <w:r w:rsidRPr="00F65EDF">
        <w:rPr>
          <w:rFonts w:ascii="Times New Roman" w:hAnsi="Times New Roman" w:cs="Times New Roman"/>
          <w:bCs/>
          <w:i/>
          <w:sz w:val="24"/>
          <w:szCs w:val="24"/>
        </w:rPr>
        <w:t>управления // Информационные технологии и вычислительные системы. 2016. №</w:t>
      </w:r>
      <w:r w:rsidR="00F65EDF">
        <w:rPr>
          <w:rFonts w:ascii="Times New Roman" w:hAnsi="Times New Roman" w:cs="Times New Roman"/>
          <w:bCs/>
          <w:i/>
          <w:sz w:val="24"/>
          <w:szCs w:val="24"/>
        </w:rPr>
        <w:t xml:space="preserve"> </w:t>
      </w:r>
      <w:r w:rsidRPr="00F65EDF">
        <w:rPr>
          <w:rFonts w:ascii="Times New Roman" w:hAnsi="Times New Roman" w:cs="Times New Roman"/>
          <w:bCs/>
          <w:i/>
          <w:sz w:val="24"/>
          <w:szCs w:val="24"/>
        </w:rPr>
        <w:t>4. С. 53</w:t>
      </w:r>
      <w:r w:rsidR="00F65EDF">
        <w:rPr>
          <w:rFonts w:ascii="Times New Roman" w:hAnsi="Times New Roman" w:cs="Times New Roman"/>
          <w:bCs/>
          <w:i/>
          <w:sz w:val="24"/>
          <w:szCs w:val="24"/>
        </w:rPr>
        <w:t>-</w:t>
      </w:r>
      <w:r w:rsidRPr="00F65EDF">
        <w:rPr>
          <w:rFonts w:ascii="Times New Roman" w:hAnsi="Times New Roman" w:cs="Times New Roman"/>
          <w:bCs/>
          <w:i/>
          <w:sz w:val="24"/>
          <w:szCs w:val="24"/>
        </w:rPr>
        <w:t>65.</w:t>
      </w:r>
    </w:p>
    <w:p w:rsidR="00B07E32" w:rsidRPr="00F65EDF" w:rsidRDefault="00B07E32" w:rsidP="00F65EDF">
      <w:pPr>
        <w:tabs>
          <w:tab w:val="left" w:pos="567"/>
        </w:tabs>
        <w:jc w:val="center"/>
        <w:rPr>
          <w:b/>
          <w:bCs/>
          <w:szCs w:val="24"/>
        </w:rPr>
      </w:pPr>
    </w:p>
    <w:p w:rsidR="00F65EDF" w:rsidRPr="00F65EDF" w:rsidRDefault="00F65EDF" w:rsidP="00F65EDF">
      <w:pPr>
        <w:tabs>
          <w:tab w:val="left" w:pos="567"/>
        </w:tabs>
        <w:jc w:val="center"/>
        <w:rPr>
          <w:b/>
          <w:bCs/>
          <w:szCs w:val="24"/>
          <w:lang w:val="en-US"/>
        </w:rPr>
      </w:pPr>
      <w:r w:rsidRPr="00F65EDF">
        <w:rPr>
          <w:b/>
          <w:bCs/>
          <w:szCs w:val="24"/>
          <w:lang w:val="en-US"/>
        </w:rPr>
        <w:t>REFERENCES</w:t>
      </w:r>
    </w:p>
    <w:p w:rsidR="00F65EDF" w:rsidRPr="00F65EDF" w:rsidRDefault="00F65EDF" w:rsidP="00F65EDF">
      <w:pPr>
        <w:tabs>
          <w:tab w:val="left" w:pos="567"/>
        </w:tabs>
        <w:rPr>
          <w:bCs/>
          <w:i/>
          <w:szCs w:val="24"/>
          <w:lang w:val="en-US"/>
        </w:rPr>
      </w:pPr>
      <w:r w:rsidRPr="00F65EDF">
        <w:rPr>
          <w:bCs/>
          <w:i/>
          <w:szCs w:val="24"/>
          <w:lang w:val="en-US"/>
        </w:rPr>
        <w:t xml:space="preserve">1. Kurysheva N.F. Vidy informacionnogo obespecheniya upravleniya innovacionnoj deyatel'nost'yu mashinostroitel'nogo predpriyatiya </w:t>
      </w:r>
      <w:r>
        <w:rPr>
          <w:bCs/>
          <w:i/>
          <w:szCs w:val="24"/>
          <w:lang w:val="en-US"/>
        </w:rPr>
        <w:t>[</w:t>
      </w:r>
      <w:r w:rsidRPr="00F65EDF">
        <w:rPr>
          <w:bCs/>
          <w:i/>
          <w:szCs w:val="24"/>
          <w:lang w:val="en-US"/>
        </w:rPr>
        <w:t>Types of information support for managing in</w:t>
      </w:r>
      <w:r w:rsidRPr="00F65EDF">
        <w:rPr>
          <w:bCs/>
          <w:i/>
          <w:szCs w:val="24"/>
          <w:lang w:val="en-US"/>
        </w:rPr>
        <w:lastRenderedPageBreak/>
        <w:t>novation activities of a mechanical engineering enterprise</w:t>
      </w:r>
      <w:r>
        <w:rPr>
          <w:bCs/>
          <w:i/>
          <w:szCs w:val="24"/>
          <w:lang w:val="en-US"/>
        </w:rPr>
        <w:t>]</w:t>
      </w:r>
      <w:r w:rsidRPr="00F65EDF">
        <w:rPr>
          <w:bCs/>
          <w:i/>
          <w:szCs w:val="24"/>
          <w:lang w:val="en-US"/>
        </w:rPr>
        <w:t xml:space="preserve"> // Atoyanovskie readings: almanac. – Saratov: Publishing house OOO "KUBiK", 2020. pp. 35-39.</w:t>
      </w:r>
    </w:p>
    <w:p w:rsidR="00F65EDF" w:rsidRPr="00F65EDF" w:rsidRDefault="00F65EDF" w:rsidP="00F65EDF">
      <w:pPr>
        <w:tabs>
          <w:tab w:val="left" w:pos="567"/>
        </w:tabs>
        <w:rPr>
          <w:bCs/>
          <w:i/>
          <w:szCs w:val="24"/>
          <w:lang w:val="en-US"/>
        </w:rPr>
      </w:pPr>
      <w:r w:rsidRPr="00F65EDF">
        <w:rPr>
          <w:bCs/>
          <w:i/>
          <w:szCs w:val="24"/>
          <w:lang w:val="en-US"/>
        </w:rPr>
        <w:t>2. Afanasyev M.A. Ocenka effektivnosti informacionno-analiticheskogo obespecheniya eksportno-orientirovannyh predpriyatij promyshlennosti: metodicheskij podhod</w:t>
      </w:r>
      <w:r>
        <w:rPr>
          <w:bCs/>
          <w:i/>
          <w:szCs w:val="24"/>
          <w:lang w:val="en-US"/>
        </w:rPr>
        <w:t xml:space="preserve"> [</w:t>
      </w:r>
      <w:r w:rsidRPr="00F65EDF">
        <w:rPr>
          <w:bCs/>
          <w:i/>
          <w:szCs w:val="24"/>
          <w:lang w:val="en-US"/>
        </w:rPr>
        <w:t>Assessing the effectiveness of information and analytical support for export-oriented industrial enterprises: a methodological approach</w:t>
      </w:r>
      <w:r>
        <w:rPr>
          <w:bCs/>
          <w:i/>
          <w:szCs w:val="24"/>
          <w:lang w:val="en-US"/>
        </w:rPr>
        <w:t>]</w:t>
      </w:r>
      <w:r w:rsidRPr="00F65EDF">
        <w:rPr>
          <w:bCs/>
          <w:i/>
          <w:szCs w:val="24"/>
          <w:lang w:val="en-US"/>
        </w:rPr>
        <w:t xml:space="preserve"> // Almanac of modern science and education. 2012. No. 4. pp. 17-23.</w:t>
      </w:r>
    </w:p>
    <w:p w:rsidR="00F65EDF" w:rsidRPr="00F65EDF" w:rsidRDefault="00F65EDF" w:rsidP="00F65EDF">
      <w:pPr>
        <w:tabs>
          <w:tab w:val="left" w:pos="567"/>
        </w:tabs>
        <w:rPr>
          <w:bCs/>
          <w:i/>
          <w:szCs w:val="24"/>
          <w:lang w:val="en-US"/>
        </w:rPr>
      </w:pPr>
      <w:r w:rsidRPr="00F65EDF">
        <w:rPr>
          <w:bCs/>
          <w:i/>
          <w:szCs w:val="24"/>
          <w:lang w:val="en-US"/>
        </w:rPr>
        <w:t>3. Burtseva T.A. Ocenka effektivnosti informacionnogo obespecheniya upravleniya innovaciyami</w:t>
      </w:r>
      <w:r>
        <w:rPr>
          <w:bCs/>
          <w:i/>
          <w:szCs w:val="24"/>
          <w:lang w:val="en-US"/>
        </w:rPr>
        <w:t xml:space="preserve"> [</w:t>
      </w:r>
      <w:r w:rsidRPr="00F65EDF">
        <w:rPr>
          <w:bCs/>
          <w:i/>
          <w:szCs w:val="24"/>
          <w:lang w:val="en-US"/>
        </w:rPr>
        <w:t>Assessing the effectiveness of information support for innovation management</w:t>
      </w:r>
      <w:r>
        <w:rPr>
          <w:bCs/>
          <w:i/>
          <w:szCs w:val="24"/>
          <w:lang w:val="en-US"/>
        </w:rPr>
        <w:t>]</w:t>
      </w:r>
      <w:r w:rsidRPr="00F65EDF">
        <w:rPr>
          <w:bCs/>
          <w:i/>
          <w:szCs w:val="24"/>
          <w:lang w:val="en-US"/>
        </w:rPr>
        <w:t xml:space="preserve"> // </w:t>
      </w:r>
      <w:r w:rsidR="005C327C" w:rsidRPr="005C327C">
        <w:rPr>
          <w:bCs/>
          <w:i/>
          <w:szCs w:val="24"/>
          <w:lang w:val="en-US"/>
        </w:rPr>
        <w:t>Vestnik Moskovskogo universiteta imeni S.Yu. Vitte</w:t>
      </w:r>
      <w:r w:rsidR="005C327C">
        <w:rPr>
          <w:bCs/>
          <w:i/>
          <w:szCs w:val="24"/>
          <w:lang w:val="en-US"/>
        </w:rPr>
        <w:t xml:space="preserve"> – </w:t>
      </w:r>
      <w:r w:rsidRPr="00F65EDF">
        <w:rPr>
          <w:bCs/>
          <w:i/>
          <w:szCs w:val="24"/>
          <w:lang w:val="en-US"/>
        </w:rPr>
        <w:t>Bulletin of Moscow University named after S.Yu. Witte. Series 1. Economics and Management. 2020. No. 1 (32). pp. 78-86.</w:t>
      </w:r>
    </w:p>
    <w:p w:rsidR="00F65EDF" w:rsidRPr="00F65EDF" w:rsidRDefault="00F65EDF" w:rsidP="00F65EDF">
      <w:pPr>
        <w:tabs>
          <w:tab w:val="left" w:pos="567"/>
        </w:tabs>
        <w:rPr>
          <w:bCs/>
          <w:i/>
          <w:szCs w:val="24"/>
          <w:lang w:val="en-US"/>
        </w:rPr>
      </w:pPr>
      <w:r w:rsidRPr="00F65EDF">
        <w:rPr>
          <w:bCs/>
          <w:i/>
          <w:szCs w:val="24"/>
          <w:lang w:val="en-US"/>
        </w:rPr>
        <w:t xml:space="preserve">4. Yakubov T.V., Elbazova T.B., Isakova K.A. </w:t>
      </w:r>
      <w:r w:rsidR="005C327C" w:rsidRPr="005C327C">
        <w:rPr>
          <w:bCs/>
          <w:i/>
          <w:szCs w:val="24"/>
          <w:lang w:val="en-US"/>
        </w:rPr>
        <w:t>Problemy ocenki effektivnosti informacionnogo obespecheniya innovacionnoj deyatel'nosti organizacii</w:t>
      </w:r>
      <w:r w:rsidR="005C327C">
        <w:rPr>
          <w:bCs/>
          <w:i/>
          <w:szCs w:val="24"/>
          <w:lang w:val="en-US"/>
        </w:rPr>
        <w:t xml:space="preserve"> [</w:t>
      </w:r>
      <w:r w:rsidRPr="00F65EDF">
        <w:rPr>
          <w:bCs/>
          <w:i/>
          <w:szCs w:val="24"/>
          <w:lang w:val="en-US"/>
        </w:rPr>
        <w:t>Problems of assessing the effectiveness of information support for an organization's innovative activities</w:t>
      </w:r>
      <w:r w:rsidR="005C327C">
        <w:rPr>
          <w:bCs/>
          <w:i/>
          <w:szCs w:val="24"/>
          <w:lang w:val="en-US"/>
        </w:rPr>
        <w:t>]</w:t>
      </w:r>
      <w:r w:rsidRPr="00F65EDF">
        <w:rPr>
          <w:bCs/>
          <w:i/>
          <w:szCs w:val="24"/>
          <w:lang w:val="en-US"/>
        </w:rPr>
        <w:t xml:space="preserve"> // </w:t>
      </w:r>
      <w:r w:rsidR="005C327C" w:rsidRPr="005C327C">
        <w:rPr>
          <w:bCs/>
          <w:i/>
          <w:szCs w:val="24"/>
          <w:lang w:val="en-US"/>
        </w:rPr>
        <w:t>Vestnik GGNTU. Gumanitarnye i social'no-ekonomicheskie nauki</w:t>
      </w:r>
      <w:r w:rsidR="005C327C">
        <w:rPr>
          <w:bCs/>
          <w:i/>
          <w:szCs w:val="24"/>
          <w:lang w:val="en-US"/>
        </w:rPr>
        <w:t xml:space="preserve"> – </w:t>
      </w:r>
      <w:r w:rsidRPr="00F65EDF">
        <w:rPr>
          <w:bCs/>
          <w:i/>
          <w:szCs w:val="24"/>
          <w:lang w:val="en-US"/>
        </w:rPr>
        <w:t>Bulletin of GGNTU. Humanitarian and socio-economic sciences. 2019. Vol. XV. No. 4 (18). Pp. 38-43.</w:t>
      </w:r>
    </w:p>
    <w:p w:rsidR="00F65EDF" w:rsidRPr="00F65EDF" w:rsidRDefault="00F65EDF" w:rsidP="00F65EDF">
      <w:pPr>
        <w:tabs>
          <w:tab w:val="left" w:pos="567"/>
        </w:tabs>
        <w:rPr>
          <w:bCs/>
          <w:i/>
          <w:szCs w:val="24"/>
          <w:lang w:val="en-US"/>
        </w:rPr>
      </w:pPr>
      <w:r w:rsidRPr="00F65EDF">
        <w:rPr>
          <w:bCs/>
          <w:i/>
          <w:szCs w:val="24"/>
          <w:lang w:val="en-US"/>
        </w:rPr>
        <w:t xml:space="preserve">5. Bakieva M.Yu. </w:t>
      </w:r>
      <w:r w:rsidR="005C327C" w:rsidRPr="005C327C">
        <w:rPr>
          <w:bCs/>
          <w:i/>
          <w:szCs w:val="24"/>
          <w:lang w:val="en-US"/>
        </w:rPr>
        <w:t>Sistema uchetno-analiticheskogo obespecheniya v upravlenii innovacionnoj deyatel'nost'yu predpriyatij</w:t>
      </w:r>
      <w:r w:rsidR="005C327C">
        <w:rPr>
          <w:bCs/>
          <w:i/>
          <w:szCs w:val="24"/>
          <w:lang w:val="en-US"/>
        </w:rPr>
        <w:t xml:space="preserve"> [</w:t>
      </w:r>
      <w:r w:rsidRPr="00F65EDF">
        <w:rPr>
          <w:bCs/>
          <w:i/>
          <w:szCs w:val="24"/>
          <w:lang w:val="en-US"/>
        </w:rPr>
        <w:t>The system of accounting and analytical support in managing the innovative activities of enterprises</w:t>
      </w:r>
      <w:r w:rsidR="005C327C">
        <w:rPr>
          <w:bCs/>
          <w:i/>
          <w:szCs w:val="24"/>
          <w:lang w:val="en-US"/>
        </w:rPr>
        <w:t>]</w:t>
      </w:r>
      <w:r w:rsidRPr="00F65EDF">
        <w:rPr>
          <w:bCs/>
          <w:i/>
          <w:szCs w:val="24"/>
          <w:lang w:val="en-US"/>
        </w:rPr>
        <w:t xml:space="preserve"> // </w:t>
      </w:r>
      <w:r w:rsidR="005C327C" w:rsidRPr="005C327C">
        <w:rPr>
          <w:bCs/>
          <w:i/>
          <w:szCs w:val="24"/>
          <w:lang w:val="en-US"/>
        </w:rPr>
        <w:t>Ekonomicheskaya bezopasnost' i kachestvo</w:t>
      </w:r>
      <w:r w:rsidR="005C327C">
        <w:rPr>
          <w:bCs/>
          <w:i/>
          <w:szCs w:val="24"/>
          <w:lang w:val="en-US"/>
        </w:rPr>
        <w:t xml:space="preserve"> – </w:t>
      </w:r>
      <w:r w:rsidRPr="00F65EDF">
        <w:rPr>
          <w:bCs/>
          <w:i/>
          <w:szCs w:val="24"/>
          <w:lang w:val="en-US"/>
        </w:rPr>
        <w:t>Economic security and quality. 2018. No. 4. Pp. 32-38.</w:t>
      </w:r>
    </w:p>
    <w:p w:rsidR="00F65EDF" w:rsidRPr="00F65EDF" w:rsidRDefault="00F65EDF" w:rsidP="00F65EDF">
      <w:pPr>
        <w:tabs>
          <w:tab w:val="left" w:pos="567"/>
        </w:tabs>
        <w:rPr>
          <w:bCs/>
          <w:i/>
          <w:szCs w:val="24"/>
          <w:lang w:val="en-US"/>
        </w:rPr>
      </w:pPr>
      <w:r w:rsidRPr="00F65EDF">
        <w:rPr>
          <w:bCs/>
          <w:i/>
          <w:szCs w:val="24"/>
          <w:lang w:val="en-US"/>
        </w:rPr>
        <w:t xml:space="preserve">6. Orlov E.V. </w:t>
      </w:r>
      <w:r w:rsidR="005C327C" w:rsidRPr="005C327C">
        <w:rPr>
          <w:bCs/>
          <w:i/>
          <w:szCs w:val="24"/>
          <w:lang w:val="en-US"/>
        </w:rPr>
        <w:t>Uchyotno-analiticheskoe obespechenie innovacionnyh proektov v mashinostroenii</w:t>
      </w:r>
      <w:r w:rsidR="005C327C">
        <w:rPr>
          <w:bCs/>
          <w:i/>
          <w:szCs w:val="24"/>
          <w:lang w:val="en-US"/>
        </w:rPr>
        <w:t xml:space="preserve"> [</w:t>
      </w:r>
      <w:r w:rsidRPr="00F65EDF">
        <w:rPr>
          <w:bCs/>
          <w:i/>
          <w:szCs w:val="24"/>
          <w:lang w:val="en-US"/>
        </w:rPr>
        <w:t>Accounting and analytical support for innovative projects in mechanical engineering</w:t>
      </w:r>
      <w:r w:rsidR="005C327C">
        <w:rPr>
          <w:bCs/>
          <w:i/>
          <w:szCs w:val="24"/>
          <w:lang w:val="en-US"/>
        </w:rPr>
        <w:t>]</w:t>
      </w:r>
      <w:r w:rsidR="005C327C" w:rsidRPr="005C327C">
        <w:rPr>
          <w:bCs/>
          <w:i/>
          <w:szCs w:val="24"/>
          <w:lang w:val="en-US"/>
        </w:rPr>
        <w:t xml:space="preserve">: </w:t>
      </w:r>
      <w:r w:rsidRPr="00F65EDF">
        <w:rPr>
          <w:bCs/>
          <w:i/>
          <w:szCs w:val="24"/>
          <w:lang w:val="en-US"/>
        </w:rPr>
        <w:t>diss. for the degree of Candidate of Sciences (Econ.). Moscow, 2022. 174 p.</w:t>
      </w:r>
    </w:p>
    <w:p w:rsidR="00F65EDF" w:rsidRPr="00F65EDF" w:rsidRDefault="00F65EDF" w:rsidP="00F65EDF">
      <w:pPr>
        <w:tabs>
          <w:tab w:val="left" w:pos="567"/>
        </w:tabs>
        <w:rPr>
          <w:bCs/>
          <w:i/>
          <w:szCs w:val="24"/>
          <w:lang w:val="en-US"/>
        </w:rPr>
      </w:pPr>
      <w:r w:rsidRPr="00F65EDF">
        <w:rPr>
          <w:bCs/>
          <w:i/>
          <w:szCs w:val="24"/>
          <w:lang w:val="en-US"/>
        </w:rPr>
        <w:t xml:space="preserve">7. Vlasov D.V. </w:t>
      </w:r>
      <w:r w:rsidR="005C327C" w:rsidRPr="005C327C">
        <w:rPr>
          <w:bCs/>
          <w:i/>
          <w:szCs w:val="24"/>
          <w:lang w:val="en-US"/>
        </w:rPr>
        <w:t xml:space="preserve">Sovershenstvovanie informacionno-analiticheskogo obespecheniya upravleniya innovacionnym razvitiem organizacii </w:t>
      </w:r>
      <w:r w:rsidR="005C327C">
        <w:rPr>
          <w:bCs/>
          <w:i/>
          <w:szCs w:val="24"/>
          <w:lang w:val="en-US"/>
        </w:rPr>
        <w:t>[</w:t>
      </w:r>
      <w:r w:rsidRPr="00F65EDF">
        <w:rPr>
          <w:bCs/>
          <w:i/>
          <w:szCs w:val="24"/>
          <w:lang w:val="en-US"/>
        </w:rPr>
        <w:t>Improving the information and analytical support for managing the innovative development of an organization</w:t>
      </w:r>
      <w:r w:rsidR="005C327C">
        <w:rPr>
          <w:bCs/>
          <w:i/>
          <w:szCs w:val="24"/>
          <w:lang w:val="en-US"/>
        </w:rPr>
        <w:t>]</w:t>
      </w:r>
      <w:r w:rsidRPr="00F65EDF">
        <w:rPr>
          <w:bCs/>
          <w:i/>
          <w:szCs w:val="24"/>
          <w:lang w:val="en-US"/>
        </w:rPr>
        <w:t xml:space="preserve"> //</w:t>
      </w:r>
      <w:r w:rsidR="005C327C" w:rsidRPr="005C327C">
        <w:rPr>
          <w:lang w:val="en-US"/>
        </w:rPr>
        <w:t xml:space="preserve"> </w:t>
      </w:r>
      <w:r w:rsidR="005C327C" w:rsidRPr="005C327C">
        <w:rPr>
          <w:bCs/>
          <w:i/>
          <w:szCs w:val="24"/>
          <w:lang w:val="en-US"/>
        </w:rPr>
        <w:t>Innovacionnaya deyatel'nost'</w:t>
      </w:r>
      <w:r w:rsidR="005C327C">
        <w:rPr>
          <w:bCs/>
          <w:i/>
          <w:szCs w:val="24"/>
          <w:lang w:val="en-US"/>
        </w:rPr>
        <w:t xml:space="preserve"> – </w:t>
      </w:r>
      <w:r w:rsidRPr="00F65EDF">
        <w:rPr>
          <w:bCs/>
          <w:i/>
          <w:szCs w:val="24"/>
          <w:lang w:val="en-US"/>
        </w:rPr>
        <w:t xml:space="preserve"> </w:t>
      </w:r>
      <w:r w:rsidR="005C327C">
        <w:rPr>
          <w:bCs/>
          <w:i/>
          <w:szCs w:val="24"/>
          <w:lang w:val="en-US"/>
        </w:rPr>
        <w:t>Innovation Activity</w:t>
      </w:r>
      <w:r w:rsidRPr="00F65EDF">
        <w:rPr>
          <w:bCs/>
          <w:i/>
          <w:szCs w:val="24"/>
          <w:lang w:val="en-US"/>
        </w:rPr>
        <w:t>. 2024. No. 1 (68). P. 66-73.</w:t>
      </w:r>
    </w:p>
    <w:p w:rsidR="00F65EDF" w:rsidRPr="005C327C" w:rsidRDefault="00F65EDF" w:rsidP="00F65EDF">
      <w:pPr>
        <w:tabs>
          <w:tab w:val="left" w:pos="567"/>
        </w:tabs>
        <w:rPr>
          <w:bCs/>
          <w:i/>
          <w:szCs w:val="24"/>
          <w:lang w:val="en-US"/>
        </w:rPr>
      </w:pPr>
      <w:r w:rsidRPr="00F65EDF">
        <w:rPr>
          <w:bCs/>
          <w:i/>
          <w:szCs w:val="24"/>
          <w:lang w:val="en-US"/>
        </w:rPr>
        <w:t xml:space="preserve">8. Vlasov D. V. </w:t>
      </w:r>
      <w:r w:rsidR="005C327C" w:rsidRPr="005C327C">
        <w:rPr>
          <w:bCs/>
          <w:i/>
          <w:szCs w:val="24"/>
          <w:lang w:val="en-US"/>
        </w:rPr>
        <w:t>Nekotorye aspekty razvitiya analiticheskogo obespecheniya upravleniya innovaciyami predpriyatiya</w:t>
      </w:r>
      <w:r w:rsidR="005C327C">
        <w:rPr>
          <w:bCs/>
          <w:i/>
          <w:szCs w:val="24"/>
          <w:lang w:val="en-US"/>
        </w:rPr>
        <w:t xml:space="preserve"> [</w:t>
      </w:r>
      <w:r w:rsidRPr="00F65EDF">
        <w:rPr>
          <w:bCs/>
          <w:i/>
          <w:szCs w:val="24"/>
          <w:lang w:val="en-US"/>
        </w:rPr>
        <w:t>Some aspects of the development of analytical support for enterprise innovation management</w:t>
      </w:r>
      <w:r w:rsidR="005C327C">
        <w:rPr>
          <w:bCs/>
          <w:i/>
          <w:szCs w:val="24"/>
          <w:lang w:val="en-US"/>
        </w:rPr>
        <w:t>]</w:t>
      </w:r>
      <w:r w:rsidRPr="00F65EDF">
        <w:rPr>
          <w:bCs/>
          <w:i/>
          <w:szCs w:val="24"/>
          <w:lang w:val="en-US"/>
        </w:rPr>
        <w:t xml:space="preserve"> // Scientific discoveries: An interdisciplinary view of research: a collection of articles based on the results of the International scientific and practical conference</w:t>
      </w:r>
      <w:r w:rsidR="005C327C">
        <w:rPr>
          <w:bCs/>
          <w:i/>
          <w:szCs w:val="24"/>
          <w:lang w:val="en-US"/>
        </w:rPr>
        <w:t>.</w:t>
      </w:r>
      <w:r w:rsidRPr="00F65EDF">
        <w:rPr>
          <w:bCs/>
          <w:i/>
          <w:szCs w:val="24"/>
          <w:lang w:val="en-US"/>
        </w:rPr>
        <w:t xml:space="preserve"> </w:t>
      </w:r>
      <w:r w:rsidR="005C327C">
        <w:rPr>
          <w:bCs/>
          <w:i/>
          <w:szCs w:val="24"/>
          <w:lang w:val="en-US"/>
        </w:rPr>
        <w:t>–</w:t>
      </w:r>
      <w:r w:rsidRPr="00F65EDF">
        <w:rPr>
          <w:bCs/>
          <w:i/>
          <w:szCs w:val="24"/>
          <w:lang w:val="en-US"/>
        </w:rPr>
        <w:t xml:space="preserve"> Sterlitamak: AMI, 2025. </w:t>
      </w:r>
      <w:r w:rsidRPr="005C327C">
        <w:rPr>
          <w:bCs/>
          <w:i/>
          <w:szCs w:val="24"/>
          <w:lang w:val="en-US"/>
        </w:rPr>
        <w:t>Pp. 212-214.</w:t>
      </w:r>
    </w:p>
    <w:p w:rsidR="00B07E32" w:rsidRPr="007C1C9B" w:rsidRDefault="00F65EDF" w:rsidP="00B07E32">
      <w:pPr>
        <w:tabs>
          <w:tab w:val="left" w:pos="567"/>
        </w:tabs>
        <w:rPr>
          <w:i/>
          <w:szCs w:val="24"/>
        </w:rPr>
      </w:pPr>
      <w:r w:rsidRPr="00F65EDF">
        <w:rPr>
          <w:bCs/>
          <w:i/>
          <w:szCs w:val="24"/>
          <w:lang w:val="en-US"/>
        </w:rPr>
        <w:t xml:space="preserve">9. Dorofeyuk A. A., Goldovskaya M. V., Kiseleva N. E., Pokrovskaya I. V., Chernyavsky A. L. </w:t>
      </w:r>
      <w:r w:rsidR="005C327C" w:rsidRPr="005C327C">
        <w:rPr>
          <w:bCs/>
          <w:i/>
          <w:szCs w:val="24"/>
          <w:lang w:val="en-US"/>
        </w:rPr>
        <w:t xml:space="preserve">Procedury kollektivnoj mnogovariantnoj ekspertizy v zadachah analiza i sovershenstvovaniya social'no-ekonomicheskih </w:t>
      </w:r>
      <w:r w:rsidR="005C327C">
        <w:rPr>
          <w:bCs/>
          <w:i/>
          <w:szCs w:val="24"/>
          <w:lang w:val="en-US"/>
        </w:rPr>
        <w:t xml:space="preserve">system </w:t>
      </w:r>
      <w:r w:rsidR="005C327C" w:rsidRPr="005C327C">
        <w:rPr>
          <w:bCs/>
          <w:i/>
          <w:szCs w:val="24"/>
          <w:lang w:val="en-US"/>
        </w:rPr>
        <w:t xml:space="preserve">upravleniya </w:t>
      </w:r>
      <w:r w:rsidR="005C327C">
        <w:rPr>
          <w:bCs/>
          <w:i/>
          <w:szCs w:val="24"/>
          <w:lang w:val="en-US"/>
        </w:rPr>
        <w:t>[</w:t>
      </w:r>
      <w:r w:rsidRPr="00F65EDF">
        <w:rPr>
          <w:bCs/>
          <w:i/>
          <w:szCs w:val="24"/>
          <w:lang w:val="en-US"/>
        </w:rPr>
        <w:t>Procedures for collective multivariate expertise in the problems of analysis and improvement of socio-economic management systems</w:t>
      </w:r>
      <w:r w:rsidR="005C327C">
        <w:rPr>
          <w:bCs/>
          <w:i/>
          <w:szCs w:val="24"/>
          <w:lang w:val="en-US"/>
        </w:rPr>
        <w:t>]</w:t>
      </w:r>
      <w:r w:rsidRPr="00F65EDF">
        <w:rPr>
          <w:bCs/>
          <w:i/>
          <w:szCs w:val="24"/>
          <w:lang w:val="en-US"/>
        </w:rPr>
        <w:t xml:space="preserve"> // </w:t>
      </w:r>
      <w:r w:rsidR="005C327C" w:rsidRPr="005C327C">
        <w:rPr>
          <w:bCs/>
          <w:i/>
          <w:szCs w:val="24"/>
          <w:lang w:val="en-US"/>
        </w:rPr>
        <w:t>Informacionnye tekhnologii i vychislitel'nye sistemy</w:t>
      </w:r>
      <w:r w:rsidR="005C327C">
        <w:rPr>
          <w:bCs/>
          <w:i/>
          <w:szCs w:val="24"/>
          <w:lang w:val="en-US"/>
        </w:rPr>
        <w:t xml:space="preserve"> – </w:t>
      </w:r>
      <w:r w:rsidRPr="00F65EDF">
        <w:rPr>
          <w:bCs/>
          <w:i/>
          <w:szCs w:val="24"/>
          <w:lang w:val="en-US"/>
        </w:rPr>
        <w:t xml:space="preserve">Information technology and computing systems. </w:t>
      </w:r>
      <w:r w:rsidRPr="005C327C">
        <w:rPr>
          <w:bCs/>
          <w:i/>
          <w:szCs w:val="24"/>
          <w:lang w:val="en-US"/>
        </w:rPr>
        <w:t>2016. No. 4. Pp</w:t>
      </w:r>
      <w:r w:rsidRPr="007C1C9B">
        <w:rPr>
          <w:bCs/>
          <w:i/>
          <w:szCs w:val="24"/>
        </w:rPr>
        <w:t>. 53-65.</w:t>
      </w:r>
    </w:p>
    <w:p w:rsidR="00B07E32" w:rsidRPr="007C1C9B" w:rsidRDefault="00B07E32" w:rsidP="00F65EDF">
      <w:pPr>
        <w:tabs>
          <w:tab w:val="left" w:pos="567"/>
        </w:tabs>
        <w:ind w:firstLine="284"/>
        <w:rPr>
          <w:i/>
          <w:szCs w:val="24"/>
        </w:rPr>
      </w:pPr>
    </w:p>
    <w:p w:rsidR="00B07E32" w:rsidRDefault="00B07E32" w:rsidP="00B07E32">
      <w:pPr>
        <w:tabs>
          <w:tab w:val="left" w:pos="567"/>
        </w:tabs>
        <w:ind w:firstLine="284"/>
        <w:rPr>
          <w:i/>
          <w:szCs w:val="24"/>
        </w:rPr>
        <w:sectPr w:rsidR="00B07E32" w:rsidSect="008F2C3F">
          <w:footnotePr>
            <w:numRestart w:val="eachPage"/>
          </w:footnotePr>
          <w:type w:val="continuous"/>
          <w:pgSz w:w="11907" w:h="16840" w:code="9"/>
          <w:pgMar w:top="1418" w:right="1134" w:bottom="1418" w:left="1134" w:header="1021" w:footer="1021" w:gutter="0"/>
          <w:cols w:space="708"/>
          <w:docGrid w:linePitch="360"/>
        </w:sectPr>
      </w:pPr>
    </w:p>
    <w:p w:rsidR="00B07E32" w:rsidRPr="00CB3FDB" w:rsidRDefault="00B07E32" w:rsidP="00B07E32">
      <w:pPr>
        <w:tabs>
          <w:tab w:val="left" w:pos="567"/>
        </w:tabs>
        <w:ind w:firstLine="284"/>
        <w:rPr>
          <w:i/>
          <w:szCs w:val="24"/>
        </w:rPr>
      </w:pPr>
      <w:r w:rsidRPr="00B07E32">
        <w:rPr>
          <w:b/>
          <w:i/>
          <w:szCs w:val="24"/>
        </w:rPr>
        <w:lastRenderedPageBreak/>
        <w:t>Власов Дмитрий Владимирович</w:t>
      </w:r>
      <w:r w:rsidRPr="00B07E32">
        <w:rPr>
          <w:i/>
          <w:szCs w:val="24"/>
        </w:rPr>
        <w:t xml:space="preserve"> – аспирант кафедры </w:t>
      </w:r>
      <w:r>
        <w:rPr>
          <w:i/>
          <w:szCs w:val="24"/>
        </w:rPr>
        <w:t>отраслевого управления и экономической безопасности</w:t>
      </w:r>
      <w:r w:rsidRPr="00B07E32">
        <w:rPr>
          <w:i/>
          <w:szCs w:val="24"/>
        </w:rPr>
        <w:t>, Саратовский государственный технический университет имени Гагарина Ю.А., Россия, 410054, г. Саратов, ул. Политехническая</w:t>
      </w:r>
      <w:r w:rsidRPr="00CB3FDB">
        <w:rPr>
          <w:i/>
          <w:szCs w:val="24"/>
        </w:rPr>
        <w:t xml:space="preserve">, </w:t>
      </w:r>
      <w:r w:rsidRPr="00B07E32">
        <w:rPr>
          <w:i/>
          <w:szCs w:val="24"/>
        </w:rPr>
        <w:t>д</w:t>
      </w:r>
      <w:r w:rsidRPr="00CB3FDB">
        <w:rPr>
          <w:i/>
          <w:szCs w:val="24"/>
        </w:rPr>
        <w:t xml:space="preserve">. 77; </w:t>
      </w:r>
      <w:r w:rsidRPr="00B07E32">
        <w:rPr>
          <w:i/>
          <w:szCs w:val="24"/>
          <w:lang w:val="en-US"/>
        </w:rPr>
        <w:t>E</w:t>
      </w:r>
      <w:r w:rsidRPr="00CB3FDB">
        <w:rPr>
          <w:i/>
          <w:szCs w:val="24"/>
        </w:rPr>
        <w:t>-</w:t>
      </w:r>
      <w:r w:rsidRPr="00B07E32">
        <w:rPr>
          <w:i/>
          <w:szCs w:val="24"/>
          <w:lang w:val="en-US"/>
        </w:rPr>
        <w:t>mail</w:t>
      </w:r>
      <w:r w:rsidRPr="00CB3FDB">
        <w:rPr>
          <w:i/>
          <w:szCs w:val="24"/>
        </w:rPr>
        <w:t xml:space="preserve">: </w:t>
      </w:r>
      <w:r w:rsidRPr="00B07E32">
        <w:rPr>
          <w:i/>
          <w:szCs w:val="24"/>
          <w:lang w:val="en-US"/>
        </w:rPr>
        <w:t>e</w:t>
      </w:r>
      <w:r w:rsidRPr="00CB3FDB">
        <w:rPr>
          <w:i/>
          <w:szCs w:val="24"/>
        </w:rPr>
        <w:t>-</w:t>
      </w:r>
      <w:r w:rsidRPr="00B07E32">
        <w:rPr>
          <w:i/>
          <w:szCs w:val="24"/>
          <w:lang w:val="en-US"/>
        </w:rPr>
        <w:t>mail</w:t>
      </w:r>
      <w:r w:rsidRPr="00CB3FDB">
        <w:rPr>
          <w:i/>
          <w:szCs w:val="24"/>
        </w:rPr>
        <w:t>: 935973@</w:t>
      </w:r>
      <w:r w:rsidRPr="00B07E32">
        <w:rPr>
          <w:i/>
          <w:szCs w:val="24"/>
          <w:lang w:val="en-US"/>
        </w:rPr>
        <w:t>bk</w:t>
      </w:r>
      <w:r w:rsidRPr="00CB3FDB">
        <w:rPr>
          <w:i/>
          <w:szCs w:val="24"/>
        </w:rPr>
        <w:t>.</w:t>
      </w:r>
      <w:r w:rsidRPr="00B07E32">
        <w:rPr>
          <w:i/>
          <w:szCs w:val="24"/>
          <w:lang w:val="en-US"/>
        </w:rPr>
        <w:t>ru</w:t>
      </w:r>
    </w:p>
    <w:p w:rsidR="00B07E32" w:rsidRPr="00CB3FDB" w:rsidRDefault="00B07E32" w:rsidP="00B07E32">
      <w:pPr>
        <w:tabs>
          <w:tab w:val="left" w:pos="567"/>
        </w:tabs>
        <w:ind w:firstLine="284"/>
        <w:rPr>
          <w:i/>
          <w:szCs w:val="24"/>
          <w:lang w:val="en-US"/>
        </w:rPr>
      </w:pPr>
      <w:r w:rsidRPr="00B07E32">
        <w:rPr>
          <w:b/>
          <w:i/>
          <w:szCs w:val="24"/>
          <w:lang w:val="en-US"/>
        </w:rPr>
        <w:lastRenderedPageBreak/>
        <w:t>Dmitry</w:t>
      </w:r>
      <w:r w:rsidRPr="00CB3FDB">
        <w:rPr>
          <w:b/>
          <w:i/>
          <w:szCs w:val="24"/>
          <w:lang w:val="en-US"/>
        </w:rPr>
        <w:t xml:space="preserve"> </w:t>
      </w:r>
      <w:r w:rsidRPr="00B07E32">
        <w:rPr>
          <w:b/>
          <w:i/>
          <w:szCs w:val="24"/>
          <w:lang w:val="en-US"/>
        </w:rPr>
        <w:t>V</w:t>
      </w:r>
      <w:r w:rsidRPr="00CB3FDB">
        <w:rPr>
          <w:b/>
          <w:i/>
          <w:szCs w:val="24"/>
          <w:lang w:val="en-US"/>
        </w:rPr>
        <w:t xml:space="preserve">. </w:t>
      </w:r>
      <w:r w:rsidR="00CB3FDB">
        <w:rPr>
          <w:b/>
          <w:i/>
          <w:szCs w:val="24"/>
          <w:lang w:val="en-US"/>
        </w:rPr>
        <w:t>Vlasov</w:t>
      </w:r>
      <w:r w:rsidRPr="00CB3FDB">
        <w:rPr>
          <w:i/>
          <w:szCs w:val="24"/>
          <w:lang w:val="en-US"/>
        </w:rPr>
        <w:t xml:space="preserve"> – </w:t>
      </w:r>
      <w:r w:rsidRPr="00B07E32">
        <w:rPr>
          <w:i/>
          <w:szCs w:val="24"/>
          <w:lang w:val="en-US"/>
        </w:rPr>
        <w:t>Postgraduate</w:t>
      </w:r>
      <w:r w:rsidRPr="00CB3FDB">
        <w:rPr>
          <w:i/>
          <w:szCs w:val="24"/>
          <w:lang w:val="en-US"/>
        </w:rPr>
        <w:t xml:space="preserve"> </w:t>
      </w:r>
      <w:r w:rsidRPr="00B07E32">
        <w:rPr>
          <w:i/>
          <w:szCs w:val="24"/>
          <w:lang w:val="en-US"/>
        </w:rPr>
        <w:t>student</w:t>
      </w:r>
      <w:r w:rsidRPr="00CB3FDB">
        <w:rPr>
          <w:i/>
          <w:szCs w:val="24"/>
          <w:lang w:val="en-US"/>
        </w:rPr>
        <w:t xml:space="preserve">, </w:t>
      </w:r>
      <w:r w:rsidRPr="00B07E32">
        <w:rPr>
          <w:i/>
          <w:szCs w:val="24"/>
          <w:lang w:val="en-US"/>
        </w:rPr>
        <w:t>Yuri</w:t>
      </w:r>
      <w:r w:rsidRPr="00CB3FDB">
        <w:rPr>
          <w:i/>
          <w:szCs w:val="24"/>
          <w:lang w:val="en-US"/>
        </w:rPr>
        <w:t xml:space="preserve"> </w:t>
      </w:r>
      <w:r w:rsidRPr="00B07E32">
        <w:rPr>
          <w:i/>
          <w:szCs w:val="24"/>
          <w:lang w:val="en-US"/>
        </w:rPr>
        <w:t>Gagarin</w:t>
      </w:r>
      <w:r w:rsidRPr="00CB3FDB">
        <w:rPr>
          <w:i/>
          <w:szCs w:val="24"/>
          <w:lang w:val="en-US"/>
        </w:rPr>
        <w:t xml:space="preserve"> </w:t>
      </w:r>
      <w:r w:rsidRPr="00B07E32">
        <w:rPr>
          <w:i/>
          <w:szCs w:val="24"/>
          <w:lang w:val="en-US"/>
        </w:rPr>
        <w:t>State</w:t>
      </w:r>
      <w:r w:rsidRPr="00CB3FDB">
        <w:rPr>
          <w:i/>
          <w:szCs w:val="24"/>
          <w:lang w:val="en-US"/>
        </w:rPr>
        <w:t xml:space="preserve"> </w:t>
      </w:r>
      <w:r w:rsidRPr="00B07E32">
        <w:rPr>
          <w:i/>
          <w:szCs w:val="24"/>
          <w:lang w:val="en-US"/>
        </w:rPr>
        <w:t>Technical</w:t>
      </w:r>
      <w:r w:rsidRPr="00CB3FDB">
        <w:rPr>
          <w:i/>
          <w:szCs w:val="24"/>
          <w:lang w:val="en-US"/>
        </w:rPr>
        <w:t xml:space="preserve"> </w:t>
      </w:r>
      <w:r w:rsidRPr="00B07E32">
        <w:rPr>
          <w:i/>
          <w:szCs w:val="24"/>
          <w:lang w:val="en-US"/>
        </w:rPr>
        <w:t>University</w:t>
      </w:r>
      <w:r w:rsidRPr="00CB3FDB">
        <w:rPr>
          <w:i/>
          <w:szCs w:val="24"/>
          <w:lang w:val="en-US"/>
        </w:rPr>
        <w:t xml:space="preserve"> </w:t>
      </w:r>
      <w:r w:rsidRPr="00B07E32">
        <w:rPr>
          <w:i/>
          <w:szCs w:val="24"/>
          <w:lang w:val="en-US"/>
        </w:rPr>
        <w:t>of</w:t>
      </w:r>
      <w:r w:rsidRPr="00CB3FDB">
        <w:rPr>
          <w:i/>
          <w:szCs w:val="24"/>
          <w:lang w:val="en-US"/>
        </w:rPr>
        <w:t xml:space="preserve"> </w:t>
      </w:r>
      <w:r w:rsidRPr="00B07E32">
        <w:rPr>
          <w:i/>
          <w:szCs w:val="24"/>
          <w:lang w:val="en-US"/>
        </w:rPr>
        <w:t>Saratov</w:t>
      </w:r>
      <w:r w:rsidRPr="00CB3FDB">
        <w:rPr>
          <w:i/>
          <w:szCs w:val="24"/>
          <w:lang w:val="en-US"/>
        </w:rPr>
        <w:t xml:space="preserve">, 77, </w:t>
      </w:r>
      <w:r w:rsidRPr="00B07E32">
        <w:rPr>
          <w:i/>
          <w:szCs w:val="24"/>
          <w:lang w:val="en-US"/>
        </w:rPr>
        <w:t>Politechnicheskaya</w:t>
      </w:r>
      <w:r w:rsidRPr="00CB3FDB">
        <w:rPr>
          <w:i/>
          <w:szCs w:val="24"/>
          <w:lang w:val="en-US"/>
        </w:rPr>
        <w:t xml:space="preserve"> </w:t>
      </w:r>
      <w:r w:rsidRPr="00B07E32">
        <w:rPr>
          <w:i/>
          <w:szCs w:val="24"/>
          <w:lang w:val="en-US"/>
        </w:rPr>
        <w:t>St</w:t>
      </w:r>
      <w:r w:rsidRPr="00CB3FDB">
        <w:rPr>
          <w:i/>
          <w:szCs w:val="24"/>
          <w:lang w:val="en-US"/>
        </w:rPr>
        <w:t xml:space="preserve">., </w:t>
      </w:r>
      <w:r w:rsidRPr="00B07E32">
        <w:rPr>
          <w:i/>
          <w:szCs w:val="24"/>
          <w:lang w:val="en-US"/>
        </w:rPr>
        <w:t>Saratov</w:t>
      </w:r>
      <w:r w:rsidRPr="00CB3FDB">
        <w:rPr>
          <w:i/>
          <w:szCs w:val="24"/>
          <w:lang w:val="en-US"/>
        </w:rPr>
        <w:t xml:space="preserve">, 410054, </w:t>
      </w:r>
      <w:r w:rsidRPr="00B07E32">
        <w:rPr>
          <w:i/>
          <w:szCs w:val="24"/>
          <w:lang w:val="en-US"/>
        </w:rPr>
        <w:t>Russia</w:t>
      </w:r>
      <w:r w:rsidRPr="00CB3FDB">
        <w:rPr>
          <w:i/>
          <w:szCs w:val="24"/>
          <w:lang w:val="en-US"/>
        </w:rPr>
        <w:t xml:space="preserve">; </w:t>
      </w:r>
      <w:r w:rsidRPr="00B07E32">
        <w:rPr>
          <w:i/>
          <w:szCs w:val="24"/>
          <w:lang w:val="en-US"/>
        </w:rPr>
        <w:t>E</w:t>
      </w:r>
      <w:r w:rsidRPr="00CB3FDB">
        <w:rPr>
          <w:i/>
          <w:szCs w:val="24"/>
          <w:lang w:val="en-US"/>
        </w:rPr>
        <w:t>-</w:t>
      </w:r>
      <w:r w:rsidRPr="00B07E32">
        <w:rPr>
          <w:i/>
          <w:szCs w:val="24"/>
          <w:lang w:val="en-US"/>
        </w:rPr>
        <w:t>mail</w:t>
      </w:r>
      <w:r w:rsidRPr="00CB3FDB">
        <w:rPr>
          <w:i/>
          <w:szCs w:val="24"/>
          <w:lang w:val="en-US"/>
        </w:rPr>
        <w:t>: 935973@</w:t>
      </w:r>
      <w:r w:rsidRPr="00B07E32">
        <w:rPr>
          <w:i/>
          <w:szCs w:val="24"/>
          <w:lang w:val="en-US"/>
        </w:rPr>
        <w:t>bk</w:t>
      </w:r>
      <w:r w:rsidRPr="00CB3FDB">
        <w:rPr>
          <w:i/>
          <w:szCs w:val="24"/>
          <w:lang w:val="en-US"/>
        </w:rPr>
        <w:t>.</w:t>
      </w:r>
      <w:r w:rsidRPr="00B07E32">
        <w:rPr>
          <w:i/>
          <w:szCs w:val="24"/>
          <w:lang w:val="en-US"/>
        </w:rPr>
        <w:t>ru</w:t>
      </w:r>
      <w:r w:rsidRPr="00CB3FDB">
        <w:rPr>
          <w:i/>
          <w:szCs w:val="24"/>
          <w:lang w:val="en-US"/>
        </w:rPr>
        <w:t xml:space="preserve"> </w:t>
      </w:r>
    </w:p>
    <w:p w:rsidR="00B07E32" w:rsidRPr="00CB3FDB" w:rsidRDefault="00B07E32" w:rsidP="00B07E32">
      <w:pPr>
        <w:tabs>
          <w:tab w:val="left" w:pos="567"/>
        </w:tabs>
        <w:ind w:firstLine="284"/>
        <w:rPr>
          <w:i/>
          <w:szCs w:val="24"/>
          <w:lang w:val="en-US"/>
        </w:rPr>
      </w:pPr>
    </w:p>
    <w:p w:rsidR="00B07E32" w:rsidRPr="00CB3FDB" w:rsidRDefault="00B07E32" w:rsidP="00B07E32">
      <w:pPr>
        <w:tabs>
          <w:tab w:val="left" w:pos="567"/>
        </w:tabs>
        <w:ind w:firstLine="284"/>
        <w:rPr>
          <w:i/>
          <w:szCs w:val="24"/>
          <w:lang w:val="en-US"/>
        </w:rPr>
        <w:sectPr w:rsidR="00B07E32" w:rsidRPr="00CB3FDB" w:rsidSect="00B07E32">
          <w:footnotePr>
            <w:numRestart w:val="eachPage"/>
          </w:footnotePr>
          <w:type w:val="continuous"/>
          <w:pgSz w:w="11907" w:h="16840" w:code="9"/>
          <w:pgMar w:top="1418" w:right="1134" w:bottom="1418" w:left="1134" w:header="1021" w:footer="1021" w:gutter="0"/>
          <w:cols w:num="2" w:space="708"/>
          <w:docGrid w:linePitch="360"/>
        </w:sectPr>
      </w:pPr>
    </w:p>
    <w:p w:rsidR="00943CCB" w:rsidRPr="00300205" w:rsidRDefault="00943CCB" w:rsidP="00B07E32">
      <w:pPr>
        <w:tabs>
          <w:tab w:val="left" w:pos="567"/>
        </w:tabs>
        <w:ind w:firstLine="284"/>
        <w:jc w:val="right"/>
        <w:rPr>
          <w:i/>
          <w:sz w:val="22"/>
          <w:szCs w:val="22"/>
          <w:lang w:val="en-US"/>
        </w:rPr>
      </w:pPr>
    </w:p>
    <w:p w:rsidR="00B07E32" w:rsidRPr="00CB3FDB" w:rsidRDefault="00B07E32" w:rsidP="00B07E32">
      <w:pPr>
        <w:tabs>
          <w:tab w:val="left" w:pos="567"/>
        </w:tabs>
        <w:ind w:firstLine="284"/>
        <w:jc w:val="right"/>
        <w:rPr>
          <w:i/>
          <w:sz w:val="22"/>
          <w:szCs w:val="22"/>
        </w:rPr>
      </w:pPr>
      <w:r w:rsidRPr="00B07E32">
        <w:rPr>
          <w:i/>
          <w:sz w:val="22"/>
          <w:szCs w:val="22"/>
        </w:rPr>
        <w:t>Статья поступила в редакцию 2</w:t>
      </w:r>
      <w:r w:rsidR="003E3A6F">
        <w:rPr>
          <w:i/>
          <w:sz w:val="22"/>
          <w:szCs w:val="22"/>
        </w:rPr>
        <w:t>5</w:t>
      </w:r>
      <w:r w:rsidRPr="00B07E32">
        <w:rPr>
          <w:i/>
          <w:sz w:val="22"/>
          <w:szCs w:val="22"/>
        </w:rPr>
        <w:t>.</w:t>
      </w:r>
      <w:r w:rsidR="003E3A6F">
        <w:rPr>
          <w:i/>
          <w:sz w:val="22"/>
          <w:szCs w:val="22"/>
        </w:rPr>
        <w:t>12</w:t>
      </w:r>
      <w:r w:rsidRPr="00B07E32">
        <w:rPr>
          <w:i/>
          <w:sz w:val="22"/>
          <w:szCs w:val="22"/>
        </w:rPr>
        <w:t>.2</w:t>
      </w:r>
      <w:r w:rsidR="003E3A6F">
        <w:rPr>
          <w:i/>
          <w:sz w:val="22"/>
          <w:szCs w:val="22"/>
        </w:rPr>
        <w:t>5</w:t>
      </w:r>
      <w:r w:rsidRPr="00B07E32">
        <w:rPr>
          <w:i/>
          <w:sz w:val="22"/>
          <w:szCs w:val="22"/>
        </w:rPr>
        <w:t xml:space="preserve">, принята к опубликованию </w:t>
      </w:r>
      <w:r w:rsidRPr="00CB3FDB">
        <w:rPr>
          <w:i/>
          <w:sz w:val="22"/>
          <w:szCs w:val="22"/>
        </w:rPr>
        <w:t>15.03.26</w:t>
      </w:r>
    </w:p>
    <w:p w:rsidR="00B07E32" w:rsidRDefault="00B07E32" w:rsidP="00F65EDF">
      <w:pPr>
        <w:tabs>
          <w:tab w:val="left" w:pos="567"/>
        </w:tabs>
        <w:ind w:firstLine="284"/>
        <w:rPr>
          <w:i/>
          <w:szCs w:val="24"/>
        </w:rPr>
      </w:pPr>
    </w:p>
    <w:p w:rsidR="00943CCB" w:rsidRDefault="00943CCB" w:rsidP="00F65EDF">
      <w:pPr>
        <w:tabs>
          <w:tab w:val="left" w:pos="567"/>
        </w:tabs>
        <w:ind w:firstLine="284"/>
        <w:rPr>
          <w:i/>
          <w:szCs w:val="24"/>
        </w:rPr>
      </w:pPr>
    </w:p>
    <w:p w:rsidR="00943CCB" w:rsidRPr="00CB3FDB" w:rsidRDefault="00943CCB" w:rsidP="00F65EDF">
      <w:pPr>
        <w:tabs>
          <w:tab w:val="left" w:pos="567"/>
        </w:tabs>
        <w:ind w:firstLine="284"/>
        <w:rPr>
          <w:i/>
          <w:szCs w:val="24"/>
        </w:rPr>
      </w:pPr>
    </w:p>
    <w:p w:rsidR="00F450AD" w:rsidRPr="007C1C9B" w:rsidRDefault="00F450AD" w:rsidP="00F450AD">
      <w:pPr>
        <w:pStyle w:val="afd"/>
        <w:jc w:val="both"/>
        <w:rPr>
          <w:b w:val="0"/>
          <w:i/>
          <w:color w:val="auto"/>
        </w:rPr>
      </w:pPr>
      <w:r w:rsidRPr="00D337FA">
        <w:rPr>
          <w:b w:val="0"/>
          <w:i/>
          <w:color w:val="auto"/>
        </w:rPr>
        <w:lastRenderedPageBreak/>
        <w:t>УДК</w:t>
      </w:r>
      <w:r w:rsidR="006C680D" w:rsidRPr="007C1C9B">
        <w:rPr>
          <w:b w:val="0"/>
          <w:i/>
          <w:color w:val="auto"/>
        </w:rPr>
        <w:t xml:space="preserve"> </w:t>
      </w:r>
      <w:r w:rsidR="00CC397F" w:rsidRPr="007C1C9B">
        <w:rPr>
          <w:b w:val="0"/>
          <w:i/>
          <w:color w:val="auto"/>
        </w:rPr>
        <w:t>338.43</w:t>
      </w:r>
    </w:p>
    <w:p w:rsidR="00270FB2" w:rsidRPr="007C1C9B" w:rsidRDefault="00CC397F" w:rsidP="00270FB2">
      <w:pPr>
        <w:pStyle w:val="afd"/>
        <w:jc w:val="left"/>
        <w:rPr>
          <w:i/>
          <w:color w:val="auto"/>
        </w:rPr>
      </w:pPr>
      <w:r w:rsidRPr="00D337FA">
        <w:rPr>
          <w:i/>
          <w:color w:val="auto"/>
        </w:rPr>
        <w:t>Д</w:t>
      </w:r>
      <w:r w:rsidRPr="007C1C9B">
        <w:rPr>
          <w:i/>
          <w:color w:val="auto"/>
        </w:rPr>
        <w:t>.</w:t>
      </w:r>
      <w:r w:rsidRPr="00D337FA">
        <w:rPr>
          <w:i/>
          <w:color w:val="auto"/>
        </w:rPr>
        <w:t>В</w:t>
      </w:r>
      <w:r w:rsidRPr="007C1C9B">
        <w:rPr>
          <w:i/>
          <w:color w:val="auto"/>
        </w:rPr>
        <w:t>.</w:t>
      </w:r>
      <w:r w:rsidR="006C680D" w:rsidRPr="007C1C9B">
        <w:rPr>
          <w:i/>
          <w:color w:val="auto"/>
        </w:rPr>
        <w:t xml:space="preserve"> </w:t>
      </w:r>
      <w:r w:rsidRPr="00D337FA">
        <w:rPr>
          <w:i/>
          <w:color w:val="auto"/>
        </w:rPr>
        <w:t>Севастьянов</w:t>
      </w:r>
      <w:r w:rsidRPr="007C1C9B">
        <w:rPr>
          <w:i/>
          <w:color w:val="auto"/>
        </w:rPr>
        <w:t>,</w:t>
      </w:r>
      <w:r w:rsidR="006C680D" w:rsidRPr="007C1C9B">
        <w:rPr>
          <w:i/>
          <w:color w:val="auto"/>
        </w:rPr>
        <w:t xml:space="preserve"> </w:t>
      </w:r>
      <w:r w:rsidRPr="00D337FA">
        <w:rPr>
          <w:i/>
          <w:color w:val="auto"/>
        </w:rPr>
        <w:t>О</w:t>
      </w:r>
      <w:r w:rsidRPr="007C1C9B">
        <w:rPr>
          <w:i/>
          <w:color w:val="auto"/>
        </w:rPr>
        <w:t>.</w:t>
      </w:r>
      <w:r w:rsidRPr="00D337FA">
        <w:rPr>
          <w:i/>
          <w:color w:val="auto"/>
        </w:rPr>
        <w:t>В</w:t>
      </w:r>
      <w:r w:rsidRPr="007C1C9B">
        <w:rPr>
          <w:i/>
          <w:color w:val="auto"/>
        </w:rPr>
        <w:t>.</w:t>
      </w:r>
      <w:r w:rsidR="006C680D" w:rsidRPr="007C1C9B">
        <w:rPr>
          <w:i/>
          <w:color w:val="auto"/>
        </w:rPr>
        <w:t xml:space="preserve"> </w:t>
      </w:r>
      <w:r w:rsidRPr="00D337FA">
        <w:rPr>
          <w:i/>
          <w:color w:val="auto"/>
        </w:rPr>
        <w:t>Прущак</w:t>
      </w:r>
    </w:p>
    <w:p w:rsidR="00253534" w:rsidRPr="00D337FA" w:rsidRDefault="00CC397F" w:rsidP="00270FB2">
      <w:pPr>
        <w:pStyle w:val="afd"/>
        <w:jc w:val="left"/>
        <w:rPr>
          <w:i/>
          <w:color w:val="auto"/>
          <w:lang w:val="en-US"/>
        </w:rPr>
      </w:pPr>
      <w:r w:rsidRPr="00D337FA">
        <w:rPr>
          <w:i/>
          <w:color w:val="auto"/>
          <w:lang w:val="en-US"/>
        </w:rPr>
        <w:t>D</w:t>
      </w:r>
      <w:r w:rsidRPr="002C7AB0">
        <w:rPr>
          <w:i/>
          <w:color w:val="auto"/>
          <w:lang w:val="en-US"/>
        </w:rPr>
        <w:t>.</w:t>
      </w:r>
      <w:r w:rsidRPr="00D337FA">
        <w:rPr>
          <w:i/>
          <w:color w:val="auto"/>
          <w:lang w:val="en-US"/>
        </w:rPr>
        <w:t>V</w:t>
      </w:r>
      <w:r w:rsidRPr="002C7AB0">
        <w:rPr>
          <w:i/>
          <w:color w:val="auto"/>
          <w:lang w:val="en-US"/>
        </w:rPr>
        <w:t>.</w:t>
      </w:r>
      <w:r w:rsidR="006C680D" w:rsidRPr="002C7AB0">
        <w:rPr>
          <w:i/>
          <w:color w:val="auto"/>
          <w:lang w:val="en-US"/>
        </w:rPr>
        <w:t xml:space="preserve"> </w:t>
      </w:r>
      <w:r w:rsidRPr="00D337FA">
        <w:rPr>
          <w:i/>
          <w:color w:val="auto"/>
          <w:lang w:val="en-US"/>
        </w:rPr>
        <w:t>Sevastyanov,</w:t>
      </w:r>
      <w:r w:rsidR="006C680D" w:rsidRPr="00D337FA">
        <w:rPr>
          <w:i/>
          <w:color w:val="auto"/>
          <w:lang w:val="en-US"/>
        </w:rPr>
        <w:t xml:space="preserve"> </w:t>
      </w:r>
      <w:r w:rsidRPr="00D337FA">
        <w:rPr>
          <w:i/>
          <w:color w:val="auto"/>
          <w:lang w:val="en-US"/>
        </w:rPr>
        <w:t>O.V.</w:t>
      </w:r>
      <w:r w:rsidR="006C680D" w:rsidRPr="00D337FA">
        <w:rPr>
          <w:i/>
          <w:color w:val="auto"/>
          <w:lang w:val="en-US"/>
        </w:rPr>
        <w:t xml:space="preserve"> </w:t>
      </w:r>
      <w:r w:rsidRPr="00D337FA">
        <w:rPr>
          <w:i/>
          <w:color w:val="auto"/>
          <w:lang w:val="en-US"/>
        </w:rPr>
        <w:t>Pruschak</w:t>
      </w:r>
      <w:r w:rsidR="006C680D" w:rsidRPr="00D337FA">
        <w:rPr>
          <w:i/>
          <w:color w:val="auto"/>
          <w:lang w:val="en-US"/>
        </w:rPr>
        <w:t xml:space="preserve"> </w:t>
      </w:r>
    </w:p>
    <w:p w:rsidR="00F450AD" w:rsidRPr="00D337FA" w:rsidRDefault="00F450AD" w:rsidP="00F450AD">
      <w:pPr>
        <w:pStyle w:val="afd"/>
        <w:rPr>
          <w:color w:val="auto"/>
          <w:lang w:val="en-US"/>
        </w:rPr>
      </w:pPr>
    </w:p>
    <w:p w:rsidR="00253534" w:rsidRPr="00D337FA" w:rsidRDefault="00CC397F" w:rsidP="00B32FD0">
      <w:pPr>
        <w:pStyle w:val="afd"/>
        <w:rPr>
          <w:color w:val="auto"/>
        </w:rPr>
      </w:pPr>
      <w:r w:rsidRPr="00D337FA">
        <w:rPr>
          <w:color w:val="auto"/>
        </w:rPr>
        <w:t>ПРОБЛЕМЫ</w:t>
      </w:r>
      <w:r w:rsidR="006C680D" w:rsidRPr="00D337FA">
        <w:rPr>
          <w:color w:val="auto"/>
        </w:rPr>
        <w:t xml:space="preserve"> </w:t>
      </w:r>
      <w:r w:rsidRPr="00D337FA">
        <w:rPr>
          <w:color w:val="auto"/>
        </w:rPr>
        <w:t>ПОВЫШЕНИЯ</w:t>
      </w:r>
      <w:r w:rsidR="006C680D" w:rsidRPr="00D337FA">
        <w:rPr>
          <w:color w:val="auto"/>
        </w:rPr>
        <w:t xml:space="preserve"> </w:t>
      </w:r>
      <w:r w:rsidRPr="00D337FA">
        <w:rPr>
          <w:color w:val="auto"/>
        </w:rPr>
        <w:t>УСТОЙЧИВОСТИ</w:t>
      </w:r>
      <w:r w:rsidR="006C680D" w:rsidRPr="00D337FA">
        <w:rPr>
          <w:color w:val="auto"/>
        </w:rPr>
        <w:t xml:space="preserve"> </w:t>
      </w:r>
      <w:r w:rsidRPr="00D337FA">
        <w:rPr>
          <w:color w:val="auto"/>
        </w:rPr>
        <w:t>РАЗВИТИЯ</w:t>
      </w:r>
      <w:r w:rsidR="006C680D" w:rsidRPr="00D337FA">
        <w:rPr>
          <w:color w:val="auto"/>
        </w:rPr>
        <w:t xml:space="preserve"> </w:t>
      </w:r>
      <w:r w:rsidRPr="00D337FA">
        <w:rPr>
          <w:color w:val="auto"/>
        </w:rPr>
        <w:t>НАЦИОНАЛЬНОГО</w:t>
      </w:r>
      <w:r w:rsidR="006C680D" w:rsidRPr="00D337FA">
        <w:rPr>
          <w:color w:val="auto"/>
        </w:rPr>
        <w:t xml:space="preserve"> </w:t>
      </w:r>
      <w:r w:rsidRPr="00D337FA">
        <w:rPr>
          <w:color w:val="auto"/>
        </w:rPr>
        <w:t>ПРОДОВОЛЬСТВЕННОГО</w:t>
      </w:r>
      <w:r w:rsidR="006C680D" w:rsidRPr="00D337FA">
        <w:rPr>
          <w:color w:val="auto"/>
        </w:rPr>
        <w:t xml:space="preserve"> </w:t>
      </w:r>
      <w:r w:rsidRPr="00D337FA">
        <w:rPr>
          <w:color w:val="auto"/>
        </w:rPr>
        <w:t>КОМПЛЕКСА</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УСЛОВИЯХ</w:t>
      </w:r>
      <w:r w:rsidR="006C680D" w:rsidRPr="00D337FA">
        <w:rPr>
          <w:color w:val="auto"/>
        </w:rPr>
        <w:t xml:space="preserve"> </w:t>
      </w:r>
      <w:r w:rsidRPr="00D337FA">
        <w:rPr>
          <w:color w:val="auto"/>
        </w:rPr>
        <w:t>ГЕОЭКОНОМИЧЕСКИХ</w:t>
      </w:r>
      <w:r w:rsidR="006C680D" w:rsidRPr="00D337FA">
        <w:rPr>
          <w:color w:val="auto"/>
        </w:rPr>
        <w:t xml:space="preserve"> </w:t>
      </w:r>
      <w:r w:rsidRPr="00D337FA">
        <w:rPr>
          <w:color w:val="auto"/>
        </w:rPr>
        <w:t>ПОТРЯСЕНИЙ</w:t>
      </w:r>
      <w:r w:rsidR="006C680D" w:rsidRPr="00D337FA">
        <w:rPr>
          <w:color w:val="auto"/>
        </w:rPr>
        <w:t xml:space="preserve"> </w:t>
      </w:r>
    </w:p>
    <w:p w:rsidR="00253534" w:rsidRPr="00D337FA" w:rsidRDefault="00253534" w:rsidP="00775E72">
      <w:pPr>
        <w:ind w:firstLine="0"/>
        <w:contextualSpacing/>
        <w:jc w:val="center"/>
        <w:rPr>
          <w:rStyle w:val="anegp0gi0b9av8jahpyh"/>
          <w:rFonts w:ascii="Arial" w:hAnsi="Arial" w:cs="Arial"/>
          <w:b/>
          <w:szCs w:val="24"/>
        </w:rPr>
      </w:pPr>
    </w:p>
    <w:p w:rsidR="00F450AD" w:rsidRPr="00D337FA" w:rsidRDefault="00CC397F" w:rsidP="00591917">
      <w:pPr>
        <w:pStyle w:val="afd"/>
        <w:rPr>
          <w:color w:val="auto"/>
          <w:lang w:val="en-US"/>
        </w:rPr>
      </w:pPr>
      <w:r w:rsidRPr="00D337FA">
        <w:rPr>
          <w:rStyle w:val="anegp0gi0b9av8jahpyh"/>
          <w:color w:val="auto"/>
          <w:szCs w:val="24"/>
          <w:lang w:val="en-US"/>
        </w:rPr>
        <w:t>PROBLEMS</w:t>
      </w:r>
      <w:r w:rsidR="006C680D" w:rsidRPr="00D337FA">
        <w:rPr>
          <w:rStyle w:val="anegp0gi0b9av8jahpyh"/>
          <w:color w:val="auto"/>
          <w:szCs w:val="24"/>
          <w:lang w:val="en-US"/>
        </w:rPr>
        <w:t xml:space="preserve"> </w:t>
      </w:r>
      <w:r w:rsidRPr="00D337FA">
        <w:rPr>
          <w:rStyle w:val="anegp0gi0b9av8jahpyh"/>
          <w:color w:val="auto"/>
          <w:szCs w:val="24"/>
          <w:lang w:val="en-US"/>
        </w:rPr>
        <w:t>OF</w:t>
      </w:r>
      <w:r w:rsidR="006C680D" w:rsidRPr="00D337FA">
        <w:rPr>
          <w:rStyle w:val="anegp0gi0b9av8jahpyh"/>
          <w:color w:val="auto"/>
          <w:szCs w:val="24"/>
          <w:lang w:val="en-US"/>
        </w:rPr>
        <w:t xml:space="preserve"> </w:t>
      </w:r>
      <w:r w:rsidRPr="00D337FA">
        <w:rPr>
          <w:rStyle w:val="anegp0gi0b9av8jahpyh"/>
          <w:color w:val="auto"/>
          <w:szCs w:val="24"/>
          <w:lang w:val="en-US"/>
        </w:rPr>
        <w:t>INCREASING</w:t>
      </w:r>
      <w:r w:rsidR="006C680D" w:rsidRPr="00D337FA">
        <w:rPr>
          <w:rStyle w:val="anegp0gi0b9av8jahpyh"/>
          <w:color w:val="auto"/>
          <w:szCs w:val="24"/>
          <w:lang w:val="en-US"/>
        </w:rPr>
        <w:t xml:space="preserve"> </w:t>
      </w:r>
      <w:r w:rsidRPr="00D337FA">
        <w:rPr>
          <w:rStyle w:val="anegp0gi0b9av8jahpyh"/>
          <w:color w:val="auto"/>
          <w:szCs w:val="24"/>
          <w:lang w:val="en-US"/>
        </w:rPr>
        <w:t>THE</w:t>
      </w:r>
      <w:r w:rsidR="006C680D" w:rsidRPr="00D337FA">
        <w:rPr>
          <w:rStyle w:val="anegp0gi0b9av8jahpyh"/>
          <w:color w:val="auto"/>
          <w:szCs w:val="24"/>
          <w:lang w:val="en-US"/>
        </w:rPr>
        <w:t xml:space="preserve"> </w:t>
      </w:r>
      <w:r w:rsidRPr="00D337FA">
        <w:rPr>
          <w:rStyle w:val="anegp0gi0b9av8jahpyh"/>
          <w:color w:val="auto"/>
          <w:szCs w:val="24"/>
          <w:lang w:val="en-US"/>
        </w:rPr>
        <w:t>SUSTAINABILITY</w:t>
      </w:r>
      <w:r w:rsidR="006C680D" w:rsidRPr="00D337FA">
        <w:rPr>
          <w:rStyle w:val="anegp0gi0b9av8jahpyh"/>
          <w:color w:val="auto"/>
          <w:szCs w:val="24"/>
          <w:lang w:val="en-US"/>
        </w:rPr>
        <w:t xml:space="preserve"> </w:t>
      </w:r>
      <w:r w:rsidRPr="00D337FA">
        <w:rPr>
          <w:rStyle w:val="anegp0gi0b9av8jahpyh"/>
          <w:color w:val="auto"/>
          <w:szCs w:val="24"/>
          <w:lang w:val="en-US"/>
        </w:rPr>
        <w:t>OF</w:t>
      </w:r>
      <w:r w:rsidR="006C680D" w:rsidRPr="00D337FA">
        <w:rPr>
          <w:rStyle w:val="anegp0gi0b9av8jahpyh"/>
          <w:color w:val="auto"/>
          <w:szCs w:val="24"/>
          <w:lang w:val="en-US"/>
        </w:rPr>
        <w:t xml:space="preserve"> </w:t>
      </w:r>
      <w:r w:rsidRPr="00D337FA">
        <w:rPr>
          <w:rStyle w:val="anegp0gi0b9av8jahpyh"/>
          <w:color w:val="auto"/>
          <w:szCs w:val="24"/>
          <w:lang w:val="en-US"/>
        </w:rPr>
        <w:t>THE</w:t>
      </w:r>
      <w:r w:rsidR="006C680D" w:rsidRPr="00D337FA">
        <w:rPr>
          <w:rStyle w:val="anegp0gi0b9av8jahpyh"/>
          <w:color w:val="auto"/>
          <w:szCs w:val="24"/>
          <w:lang w:val="en-US"/>
        </w:rPr>
        <w:t xml:space="preserve"> </w:t>
      </w:r>
      <w:r w:rsidRPr="00D337FA">
        <w:rPr>
          <w:rStyle w:val="anegp0gi0b9av8jahpyh"/>
          <w:color w:val="auto"/>
          <w:szCs w:val="24"/>
          <w:lang w:val="en-US"/>
        </w:rPr>
        <w:t>NATIONAL</w:t>
      </w:r>
      <w:r w:rsidR="006C680D" w:rsidRPr="00D337FA">
        <w:rPr>
          <w:rStyle w:val="anegp0gi0b9av8jahpyh"/>
          <w:color w:val="auto"/>
          <w:szCs w:val="24"/>
          <w:lang w:val="en-US"/>
        </w:rPr>
        <w:t xml:space="preserve"> </w:t>
      </w:r>
      <w:r w:rsidRPr="00D337FA">
        <w:rPr>
          <w:rStyle w:val="anegp0gi0b9av8jahpyh"/>
          <w:color w:val="auto"/>
          <w:szCs w:val="24"/>
          <w:lang w:val="en-US"/>
        </w:rPr>
        <w:t>FOOD</w:t>
      </w:r>
      <w:r w:rsidR="006C680D" w:rsidRPr="00D337FA">
        <w:rPr>
          <w:rStyle w:val="anegp0gi0b9av8jahpyh"/>
          <w:color w:val="auto"/>
          <w:szCs w:val="24"/>
          <w:lang w:val="en-US"/>
        </w:rPr>
        <w:t xml:space="preserve"> </w:t>
      </w:r>
      <w:r w:rsidRPr="00D337FA">
        <w:rPr>
          <w:rStyle w:val="anegp0gi0b9av8jahpyh"/>
          <w:color w:val="auto"/>
          <w:szCs w:val="24"/>
          <w:lang w:val="en-US"/>
        </w:rPr>
        <w:t>COMPLEX</w:t>
      </w:r>
      <w:r w:rsidR="006C680D" w:rsidRPr="00D337FA">
        <w:rPr>
          <w:rStyle w:val="anegp0gi0b9av8jahpyh"/>
          <w:color w:val="auto"/>
          <w:szCs w:val="24"/>
          <w:lang w:val="en-US"/>
        </w:rPr>
        <w:t xml:space="preserve"> </w:t>
      </w:r>
      <w:r w:rsidRPr="00D337FA">
        <w:rPr>
          <w:rStyle w:val="anegp0gi0b9av8jahpyh"/>
          <w:color w:val="auto"/>
          <w:szCs w:val="24"/>
          <w:lang w:val="en-US"/>
        </w:rPr>
        <w:t>IN</w:t>
      </w:r>
      <w:r w:rsidR="006C680D" w:rsidRPr="00D337FA">
        <w:rPr>
          <w:rStyle w:val="anegp0gi0b9av8jahpyh"/>
          <w:color w:val="auto"/>
          <w:szCs w:val="24"/>
          <w:lang w:val="en-US"/>
        </w:rPr>
        <w:t xml:space="preserve"> </w:t>
      </w:r>
      <w:r w:rsidRPr="00D337FA">
        <w:rPr>
          <w:rStyle w:val="anegp0gi0b9av8jahpyh"/>
          <w:color w:val="auto"/>
          <w:szCs w:val="24"/>
          <w:lang w:val="en-US"/>
        </w:rPr>
        <w:t>THE</w:t>
      </w:r>
      <w:r w:rsidR="006C680D" w:rsidRPr="00D337FA">
        <w:rPr>
          <w:rStyle w:val="anegp0gi0b9av8jahpyh"/>
          <w:color w:val="auto"/>
          <w:szCs w:val="24"/>
          <w:lang w:val="en-US"/>
        </w:rPr>
        <w:t xml:space="preserve"> </w:t>
      </w:r>
      <w:r w:rsidRPr="00D337FA">
        <w:rPr>
          <w:rStyle w:val="anegp0gi0b9av8jahpyh"/>
          <w:color w:val="auto"/>
          <w:szCs w:val="24"/>
          <w:lang w:val="en-US"/>
        </w:rPr>
        <w:t>CONTEXT</w:t>
      </w:r>
      <w:r w:rsidR="006C680D" w:rsidRPr="00D337FA">
        <w:rPr>
          <w:rStyle w:val="anegp0gi0b9av8jahpyh"/>
          <w:color w:val="auto"/>
          <w:szCs w:val="24"/>
          <w:lang w:val="en-US"/>
        </w:rPr>
        <w:t xml:space="preserve"> </w:t>
      </w:r>
      <w:r w:rsidRPr="00D337FA">
        <w:rPr>
          <w:rStyle w:val="anegp0gi0b9av8jahpyh"/>
          <w:color w:val="auto"/>
          <w:szCs w:val="24"/>
          <w:lang w:val="en-US"/>
        </w:rPr>
        <w:t>OF</w:t>
      </w:r>
      <w:r w:rsidR="006C680D" w:rsidRPr="00D337FA">
        <w:rPr>
          <w:rStyle w:val="anegp0gi0b9av8jahpyh"/>
          <w:color w:val="auto"/>
          <w:szCs w:val="24"/>
          <w:lang w:val="en-US"/>
        </w:rPr>
        <w:t xml:space="preserve"> </w:t>
      </w:r>
      <w:r w:rsidRPr="00D337FA">
        <w:rPr>
          <w:rStyle w:val="anegp0gi0b9av8jahpyh"/>
          <w:color w:val="auto"/>
          <w:szCs w:val="24"/>
          <w:lang w:val="en-US"/>
        </w:rPr>
        <w:t>GEOECONOMIC</w:t>
      </w:r>
      <w:r w:rsidR="006C680D" w:rsidRPr="00D337FA">
        <w:rPr>
          <w:rStyle w:val="anegp0gi0b9av8jahpyh"/>
          <w:color w:val="auto"/>
          <w:szCs w:val="24"/>
          <w:lang w:val="en-US"/>
        </w:rPr>
        <w:t xml:space="preserve"> </w:t>
      </w:r>
      <w:r w:rsidRPr="00D337FA">
        <w:rPr>
          <w:rStyle w:val="anegp0gi0b9av8jahpyh"/>
          <w:color w:val="auto"/>
          <w:szCs w:val="24"/>
          <w:lang w:val="en-US"/>
        </w:rPr>
        <w:t>SHOCKS</w:t>
      </w:r>
    </w:p>
    <w:p w:rsidR="00F450AD" w:rsidRPr="00D337FA" w:rsidRDefault="00F450AD" w:rsidP="00F450AD">
      <w:pPr>
        <w:pStyle w:val="afd"/>
        <w:rPr>
          <w:color w:val="auto"/>
          <w:szCs w:val="24"/>
          <w:lang w:val="en-US"/>
        </w:rPr>
      </w:pPr>
    </w:p>
    <w:tbl>
      <w:tblPr>
        <w:tblW w:w="9639" w:type="dxa"/>
        <w:tblLayout w:type="fixed"/>
        <w:tblCellMar>
          <w:left w:w="0" w:type="dxa"/>
          <w:right w:w="0" w:type="dxa"/>
        </w:tblCellMar>
        <w:tblLook w:val="04A0" w:firstRow="1" w:lastRow="0" w:firstColumn="1" w:lastColumn="0" w:noHBand="0" w:noVBand="1"/>
      </w:tblPr>
      <w:tblGrid>
        <w:gridCol w:w="4536"/>
        <w:gridCol w:w="567"/>
        <w:gridCol w:w="4536"/>
      </w:tblGrid>
      <w:tr w:rsidR="00D337FA" w:rsidRPr="00300205" w:rsidTr="00EB41AE">
        <w:tc>
          <w:tcPr>
            <w:tcW w:w="4536" w:type="dxa"/>
          </w:tcPr>
          <w:p w:rsidR="00775E72" w:rsidRPr="00D337FA" w:rsidRDefault="00B779DD" w:rsidP="00CC397F">
            <w:pPr>
              <w:pStyle w:val="aff"/>
              <w:rPr>
                <w:i/>
                <w:color w:val="auto"/>
                <w:spacing w:val="-2"/>
              </w:rPr>
            </w:pPr>
            <w:r w:rsidRPr="00D337FA">
              <w:rPr>
                <w:b/>
                <w:i/>
                <w:color w:val="auto"/>
                <w:spacing w:val="-4"/>
              </w:rPr>
              <w:t>Аннотация.</w:t>
            </w:r>
            <w:r w:rsidR="006C680D" w:rsidRPr="00D337FA">
              <w:rPr>
                <w:i/>
                <w:color w:val="auto"/>
                <w:spacing w:val="-4"/>
              </w:rPr>
              <w:t xml:space="preserve"> </w:t>
            </w:r>
            <w:r w:rsidR="00CC397F" w:rsidRPr="00D337FA">
              <w:rPr>
                <w:i/>
                <w:color w:val="auto"/>
                <w:spacing w:val="-4"/>
              </w:rPr>
              <w:t>Статья</w:t>
            </w:r>
            <w:r w:rsidR="006C680D" w:rsidRPr="00D337FA">
              <w:rPr>
                <w:i/>
                <w:color w:val="auto"/>
                <w:spacing w:val="-4"/>
              </w:rPr>
              <w:t xml:space="preserve"> </w:t>
            </w:r>
            <w:r w:rsidR="00CC397F" w:rsidRPr="00D337FA">
              <w:rPr>
                <w:i/>
                <w:color w:val="auto"/>
                <w:spacing w:val="-4"/>
              </w:rPr>
              <w:t>посвящена</w:t>
            </w:r>
            <w:r w:rsidR="006C680D" w:rsidRPr="00D337FA">
              <w:rPr>
                <w:i/>
                <w:color w:val="auto"/>
                <w:spacing w:val="-4"/>
              </w:rPr>
              <w:t xml:space="preserve"> </w:t>
            </w:r>
            <w:r w:rsidR="00CC397F" w:rsidRPr="00D337FA">
              <w:rPr>
                <w:i/>
                <w:color w:val="auto"/>
                <w:spacing w:val="-4"/>
              </w:rPr>
              <w:t>изучению</w:t>
            </w:r>
            <w:r w:rsidR="006C680D" w:rsidRPr="00D337FA">
              <w:rPr>
                <w:i/>
                <w:color w:val="auto"/>
                <w:spacing w:val="-4"/>
              </w:rPr>
              <w:t xml:space="preserve"> </w:t>
            </w:r>
            <w:r w:rsidR="00CC397F" w:rsidRPr="00D337FA">
              <w:rPr>
                <w:i/>
                <w:color w:val="auto"/>
                <w:spacing w:val="-4"/>
              </w:rPr>
              <w:t>тенденций</w:t>
            </w:r>
            <w:r w:rsidR="006C680D" w:rsidRPr="00D337FA">
              <w:rPr>
                <w:i/>
                <w:color w:val="auto"/>
                <w:spacing w:val="-4"/>
              </w:rPr>
              <w:t xml:space="preserve"> </w:t>
            </w:r>
            <w:r w:rsidR="00CC397F" w:rsidRPr="00D337FA">
              <w:rPr>
                <w:i/>
                <w:color w:val="auto"/>
                <w:spacing w:val="-4"/>
              </w:rPr>
              <w:t>и</w:t>
            </w:r>
            <w:r w:rsidR="006C680D" w:rsidRPr="00D337FA">
              <w:rPr>
                <w:i/>
                <w:color w:val="auto"/>
                <w:spacing w:val="-4"/>
              </w:rPr>
              <w:t xml:space="preserve"> </w:t>
            </w:r>
            <w:r w:rsidR="00CC397F" w:rsidRPr="00D337FA">
              <w:rPr>
                <w:i/>
                <w:color w:val="auto"/>
                <w:spacing w:val="-4"/>
              </w:rPr>
              <w:t>динамики</w:t>
            </w:r>
            <w:r w:rsidR="006C680D" w:rsidRPr="00D337FA">
              <w:rPr>
                <w:i/>
                <w:color w:val="auto"/>
                <w:spacing w:val="-4"/>
              </w:rPr>
              <w:t xml:space="preserve"> </w:t>
            </w:r>
            <w:r w:rsidR="00CC397F" w:rsidRPr="00D337FA">
              <w:rPr>
                <w:i/>
                <w:color w:val="auto"/>
                <w:spacing w:val="-4"/>
              </w:rPr>
              <w:t>развития</w:t>
            </w:r>
            <w:r w:rsidR="006C680D" w:rsidRPr="00D337FA">
              <w:rPr>
                <w:i/>
                <w:color w:val="auto"/>
                <w:spacing w:val="-4"/>
              </w:rPr>
              <w:t xml:space="preserve"> </w:t>
            </w:r>
            <w:r w:rsidR="00CC397F" w:rsidRPr="00D337FA">
              <w:rPr>
                <w:i/>
                <w:color w:val="auto"/>
                <w:spacing w:val="-4"/>
              </w:rPr>
              <w:t>мер</w:t>
            </w:r>
            <w:r w:rsidR="006C680D" w:rsidRPr="00D337FA">
              <w:rPr>
                <w:i/>
                <w:color w:val="auto"/>
                <w:spacing w:val="-4"/>
              </w:rPr>
              <w:t xml:space="preserve"> </w:t>
            </w:r>
            <w:r w:rsidR="00CC397F" w:rsidRPr="00D337FA">
              <w:rPr>
                <w:i/>
                <w:color w:val="auto"/>
                <w:spacing w:val="-4"/>
              </w:rPr>
              <w:t>государственной</w:t>
            </w:r>
            <w:r w:rsidR="006C680D" w:rsidRPr="00D337FA">
              <w:rPr>
                <w:i/>
                <w:color w:val="auto"/>
                <w:spacing w:val="-4"/>
              </w:rPr>
              <w:t xml:space="preserve"> </w:t>
            </w:r>
            <w:r w:rsidR="00CC397F" w:rsidRPr="00D337FA">
              <w:rPr>
                <w:i/>
                <w:color w:val="auto"/>
                <w:spacing w:val="-4"/>
              </w:rPr>
              <w:t>поддержки</w:t>
            </w:r>
            <w:r w:rsidR="006C680D" w:rsidRPr="00D337FA">
              <w:rPr>
                <w:i/>
                <w:color w:val="auto"/>
                <w:spacing w:val="-4"/>
              </w:rPr>
              <w:t xml:space="preserve"> </w:t>
            </w:r>
            <w:r w:rsidR="00CC397F" w:rsidRPr="00D337FA">
              <w:rPr>
                <w:i/>
                <w:color w:val="auto"/>
                <w:spacing w:val="-4"/>
              </w:rPr>
              <w:t>сельского</w:t>
            </w:r>
            <w:r w:rsidR="006C680D" w:rsidRPr="00D337FA">
              <w:rPr>
                <w:i/>
                <w:color w:val="auto"/>
                <w:spacing w:val="-4"/>
              </w:rPr>
              <w:t xml:space="preserve"> </w:t>
            </w:r>
            <w:r w:rsidR="00CC397F" w:rsidRPr="00D337FA">
              <w:rPr>
                <w:i/>
                <w:color w:val="auto"/>
                <w:spacing w:val="-4"/>
              </w:rPr>
              <w:t>хозяйства</w:t>
            </w:r>
            <w:r w:rsidR="006C680D" w:rsidRPr="00D337FA">
              <w:rPr>
                <w:i/>
                <w:color w:val="auto"/>
                <w:spacing w:val="-4"/>
              </w:rPr>
              <w:t xml:space="preserve"> </w:t>
            </w:r>
            <w:r w:rsidR="00CC397F" w:rsidRPr="00D337FA">
              <w:rPr>
                <w:i/>
                <w:color w:val="auto"/>
                <w:spacing w:val="-4"/>
              </w:rPr>
              <w:t>Российской</w:t>
            </w:r>
            <w:r w:rsidR="006C680D" w:rsidRPr="00D337FA">
              <w:rPr>
                <w:i/>
                <w:color w:val="auto"/>
                <w:spacing w:val="-4"/>
              </w:rPr>
              <w:t xml:space="preserve"> </w:t>
            </w:r>
            <w:r w:rsidR="00CC397F" w:rsidRPr="00D337FA">
              <w:rPr>
                <w:i/>
                <w:color w:val="auto"/>
                <w:spacing w:val="-4"/>
              </w:rPr>
              <w:t>Федерации</w:t>
            </w:r>
            <w:r w:rsidR="006C680D" w:rsidRPr="00D337FA">
              <w:rPr>
                <w:i/>
                <w:color w:val="auto"/>
                <w:spacing w:val="-4"/>
              </w:rPr>
              <w:t xml:space="preserve"> </w:t>
            </w:r>
            <w:r w:rsidR="00CC397F" w:rsidRPr="00D337FA">
              <w:rPr>
                <w:i/>
                <w:color w:val="auto"/>
                <w:spacing w:val="-4"/>
              </w:rPr>
              <w:t>в</w:t>
            </w:r>
            <w:r w:rsidR="006C680D" w:rsidRPr="00D337FA">
              <w:rPr>
                <w:i/>
                <w:color w:val="auto"/>
                <w:spacing w:val="-4"/>
              </w:rPr>
              <w:t xml:space="preserve"> </w:t>
            </w:r>
            <w:r w:rsidR="00CC397F" w:rsidRPr="00D337FA">
              <w:rPr>
                <w:i/>
                <w:color w:val="auto"/>
                <w:spacing w:val="-4"/>
              </w:rPr>
              <w:t>период</w:t>
            </w:r>
            <w:r w:rsidR="006C680D" w:rsidRPr="00D337FA">
              <w:rPr>
                <w:i/>
                <w:color w:val="auto"/>
                <w:spacing w:val="-4"/>
              </w:rPr>
              <w:t xml:space="preserve"> </w:t>
            </w:r>
            <w:r w:rsidR="00CC397F" w:rsidRPr="00D337FA">
              <w:rPr>
                <w:i/>
                <w:color w:val="auto"/>
                <w:spacing w:val="-4"/>
              </w:rPr>
              <w:t>санкционных</w:t>
            </w:r>
            <w:r w:rsidR="006C680D" w:rsidRPr="00D337FA">
              <w:rPr>
                <w:i/>
                <w:color w:val="auto"/>
                <w:spacing w:val="-4"/>
              </w:rPr>
              <w:t xml:space="preserve"> </w:t>
            </w:r>
            <w:r w:rsidR="00CC397F" w:rsidRPr="00D337FA">
              <w:rPr>
                <w:i/>
                <w:color w:val="auto"/>
                <w:spacing w:val="-4"/>
              </w:rPr>
              <w:t>ограничений</w:t>
            </w:r>
            <w:r w:rsidR="006C680D" w:rsidRPr="00D337FA">
              <w:rPr>
                <w:i/>
                <w:color w:val="auto"/>
                <w:spacing w:val="-4"/>
              </w:rPr>
              <w:t xml:space="preserve"> </w:t>
            </w:r>
            <w:r w:rsidR="00CC397F" w:rsidRPr="00D337FA">
              <w:rPr>
                <w:i/>
                <w:color w:val="auto"/>
                <w:spacing w:val="-4"/>
              </w:rPr>
              <w:t>при</w:t>
            </w:r>
            <w:r w:rsidR="006C680D" w:rsidRPr="00D337FA">
              <w:rPr>
                <w:i/>
                <w:color w:val="auto"/>
                <w:spacing w:val="-4"/>
              </w:rPr>
              <w:t xml:space="preserve"> </w:t>
            </w:r>
            <w:r w:rsidR="00CC397F" w:rsidRPr="00D337FA">
              <w:rPr>
                <w:i/>
                <w:color w:val="auto"/>
                <w:spacing w:val="-4"/>
              </w:rPr>
              <w:t>реализации</w:t>
            </w:r>
            <w:r w:rsidR="006C680D" w:rsidRPr="00D337FA">
              <w:rPr>
                <w:i/>
                <w:color w:val="auto"/>
                <w:spacing w:val="-4"/>
              </w:rPr>
              <w:t xml:space="preserve"> </w:t>
            </w:r>
            <w:r w:rsidR="00CC397F" w:rsidRPr="00D337FA">
              <w:rPr>
                <w:i/>
                <w:color w:val="auto"/>
                <w:spacing w:val="-4"/>
              </w:rPr>
              <w:t>политики</w:t>
            </w:r>
            <w:r w:rsidR="006C680D" w:rsidRPr="00D337FA">
              <w:rPr>
                <w:i/>
                <w:color w:val="auto"/>
                <w:spacing w:val="-4"/>
              </w:rPr>
              <w:t xml:space="preserve"> </w:t>
            </w:r>
            <w:r w:rsidR="00CC397F" w:rsidRPr="00D337FA">
              <w:rPr>
                <w:i/>
                <w:color w:val="auto"/>
                <w:spacing w:val="-4"/>
              </w:rPr>
              <w:t>импортозамещения.</w:t>
            </w:r>
            <w:r w:rsidR="006C680D" w:rsidRPr="00D337FA">
              <w:rPr>
                <w:i/>
                <w:color w:val="auto"/>
                <w:spacing w:val="-4"/>
              </w:rPr>
              <w:t xml:space="preserve"> </w:t>
            </w:r>
            <w:r w:rsidR="00CC397F" w:rsidRPr="00D337FA">
              <w:rPr>
                <w:i/>
                <w:color w:val="auto"/>
                <w:spacing w:val="-4"/>
              </w:rPr>
              <w:t>Исследована</w:t>
            </w:r>
            <w:r w:rsidR="006C680D" w:rsidRPr="00D337FA">
              <w:rPr>
                <w:i/>
                <w:color w:val="auto"/>
                <w:spacing w:val="-4"/>
              </w:rPr>
              <w:t xml:space="preserve"> </w:t>
            </w:r>
            <w:r w:rsidR="00CC397F" w:rsidRPr="00D337FA">
              <w:rPr>
                <w:i/>
                <w:color w:val="auto"/>
                <w:spacing w:val="-4"/>
              </w:rPr>
              <w:t>проблематика</w:t>
            </w:r>
            <w:r w:rsidR="006C680D" w:rsidRPr="00D337FA">
              <w:rPr>
                <w:i/>
                <w:color w:val="auto"/>
                <w:spacing w:val="-4"/>
              </w:rPr>
              <w:t xml:space="preserve"> </w:t>
            </w:r>
            <w:r w:rsidR="00CC397F" w:rsidRPr="00D337FA">
              <w:rPr>
                <w:i/>
                <w:color w:val="auto"/>
                <w:spacing w:val="-4"/>
              </w:rPr>
              <w:t>обеспечения</w:t>
            </w:r>
            <w:r w:rsidR="006C680D" w:rsidRPr="00D337FA">
              <w:rPr>
                <w:i/>
                <w:color w:val="auto"/>
                <w:spacing w:val="-4"/>
              </w:rPr>
              <w:t xml:space="preserve"> </w:t>
            </w:r>
            <w:r w:rsidR="00CC397F" w:rsidRPr="00D337FA">
              <w:rPr>
                <w:i/>
                <w:color w:val="auto"/>
                <w:spacing w:val="-4"/>
              </w:rPr>
              <w:t>эффективных</w:t>
            </w:r>
            <w:r w:rsidR="006C680D" w:rsidRPr="00D337FA">
              <w:rPr>
                <w:i/>
                <w:color w:val="auto"/>
                <w:spacing w:val="-4"/>
              </w:rPr>
              <w:t xml:space="preserve"> </w:t>
            </w:r>
            <w:r w:rsidR="00CC397F" w:rsidRPr="00D337FA">
              <w:rPr>
                <w:i/>
                <w:color w:val="auto"/>
                <w:spacing w:val="-4"/>
              </w:rPr>
              <w:t>мер</w:t>
            </w:r>
            <w:r w:rsidR="006C680D" w:rsidRPr="00D337FA">
              <w:rPr>
                <w:i/>
                <w:color w:val="auto"/>
                <w:spacing w:val="-4"/>
              </w:rPr>
              <w:t xml:space="preserve"> </w:t>
            </w:r>
            <w:r w:rsidR="00CC397F" w:rsidRPr="00D337FA">
              <w:rPr>
                <w:i/>
                <w:color w:val="auto"/>
                <w:spacing w:val="-4"/>
              </w:rPr>
              <w:t>комплексной</w:t>
            </w:r>
            <w:r w:rsidR="006C680D" w:rsidRPr="00D337FA">
              <w:rPr>
                <w:i/>
                <w:color w:val="auto"/>
                <w:spacing w:val="-4"/>
              </w:rPr>
              <w:t xml:space="preserve"> </w:t>
            </w:r>
            <w:r w:rsidR="00CC397F" w:rsidRPr="00D337FA">
              <w:rPr>
                <w:i/>
                <w:color w:val="auto"/>
                <w:spacing w:val="-4"/>
              </w:rPr>
              <w:t>поддержки</w:t>
            </w:r>
            <w:r w:rsidR="006C680D" w:rsidRPr="00D337FA">
              <w:rPr>
                <w:i/>
                <w:color w:val="auto"/>
                <w:spacing w:val="-4"/>
              </w:rPr>
              <w:t xml:space="preserve"> </w:t>
            </w:r>
            <w:r w:rsidR="00CC397F" w:rsidRPr="00D337FA">
              <w:rPr>
                <w:i/>
                <w:color w:val="auto"/>
                <w:spacing w:val="-4"/>
              </w:rPr>
              <w:t>аграрного</w:t>
            </w:r>
            <w:r w:rsidR="006C680D" w:rsidRPr="00D337FA">
              <w:rPr>
                <w:i/>
                <w:color w:val="auto"/>
                <w:spacing w:val="-4"/>
              </w:rPr>
              <w:t xml:space="preserve"> </w:t>
            </w:r>
            <w:r w:rsidR="00CC397F" w:rsidRPr="00D337FA">
              <w:rPr>
                <w:i/>
                <w:color w:val="auto"/>
                <w:spacing w:val="-4"/>
              </w:rPr>
              <w:t>сектора,</w:t>
            </w:r>
            <w:r w:rsidR="006C680D" w:rsidRPr="00D337FA">
              <w:rPr>
                <w:i/>
                <w:color w:val="auto"/>
                <w:spacing w:val="-4"/>
              </w:rPr>
              <w:t xml:space="preserve"> </w:t>
            </w:r>
            <w:r w:rsidR="00CC397F" w:rsidRPr="00D337FA">
              <w:rPr>
                <w:i/>
                <w:color w:val="auto"/>
                <w:spacing w:val="-4"/>
              </w:rPr>
              <w:t>а</w:t>
            </w:r>
            <w:r w:rsidR="006C680D" w:rsidRPr="00D337FA">
              <w:rPr>
                <w:i/>
                <w:color w:val="auto"/>
                <w:spacing w:val="-4"/>
              </w:rPr>
              <w:t xml:space="preserve"> </w:t>
            </w:r>
            <w:r w:rsidR="00CC397F" w:rsidRPr="00D337FA">
              <w:rPr>
                <w:i/>
                <w:color w:val="auto"/>
                <w:spacing w:val="-4"/>
              </w:rPr>
              <w:t>также</w:t>
            </w:r>
            <w:r w:rsidR="006C680D" w:rsidRPr="00D337FA">
              <w:rPr>
                <w:i/>
                <w:color w:val="auto"/>
                <w:spacing w:val="-4"/>
              </w:rPr>
              <w:t xml:space="preserve"> </w:t>
            </w:r>
            <w:r w:rsidR="00CC397F" w:rsidRPr="00D337FA">
              <w:rPr>
                <w:i/>
                <w:color w:val="auto"/>
                <w:spacing w:val="-4"/>
              </w:rPr>
              <w:t>основных</w:t>
            </w:r>
            <w:r w:rsidR="006C680D" w:rsidRPr="00D337FA">
              <w:rPr>
                <w:i/>
                <w:color w:val="auto"/>
                <w:spacing w:val="-4"/>
              </w:rPr>
              <w:t xml:space="preserve"> </w:t>
            </w:r>
            <w:r w:rsidR="00CC397F" w:rsidRPr="00D337FA">
              <w:rPr>
                <w:i/>
                <w:color w:val="auto"/>
                <w:spacing w:val="-4"/>
              </w:rPr>
              <w:t>направлений</w:t>
            </w:r>
            <w:r w:rsidR="006C680D" w:rsidRPr="00D337FA">
              <w:rPr>
                <w:i/>
                <w:color w:val="auto"/>
                <w:spacing w:val="-4"/>
              </w:rPr>
              <w:t xml:space="preserve"> </w:t>
            </w:r>
            <w:r w:rsidR="00CC397F" w:rsidRPr="00D337FA">
              <w:rPr>
                <w:i/>
                <w:color w:val="auto"/>
                <w:spacing w:val="-4"/>
              </w:rPr>
              <w:t>повышения</w:t>
            </w:r>
            <w:r w:rsidR="006C680D" w:rsidRPr="00D337FA">
              <w:rPr>
                <w:i/>
                <w:color w:val="auto"/>
                <w:spacing w:val="-4"/>
              </w:rPr>
              <w:t xml:space="preserve"> </w:t>
            </w:r>
            <w:r w:rsidR="00CC397F" w:rsidRPr="00D337FA">
              <w:rPr>
                <w:i/>
                <w:color w:val="auto"/>
                <w:spacing w:val="-4"/>
              </w:rPr>
              <w:t>устойчивости</w:t>
            </w:r>
            <w:r w:rsidR="006C680D" w:rsidRPr="00D337FA">
              <w:rPr>
                <w:i/>
                <w:color w:val="auto"/>
                <w:spacing w:val="-4"/>
              </w:rPr>
              <w:t xml:space="preserve"> </w:t>
            </w:r>
            <w:r w:rsidR="00CC397F" w:rsidRPr="00D337FA">
              <w:rPr>
                <w:i/>
                <w:color w:val="auto"/>
                <w:spacing w:val="-4"/>
              </w:rPr>
              <w:t>развития</w:t>
            </w:r>
            <w:r w:rsidR="006C680D" w:rsidRPr="00D337FA">
              <w:rPr>
                <w:i/>
                <w:color w:val="auto"/>
                <w:spacing w:val="-4"/>
              </w:rPr>
              <w:t xml:space="preserve"> </w:t>
            </w:r>
            <w:r w:rsidR="00CC397F" w:rsidRPr="00D337FA">
              <w:rPr>
                <w:i/>
                <w:color w:val="auto"/>
                <w:spacing w:val="-4"/>
              </w:rPr>
              <w:t>АПК.</w:t>
            </w:r>
            <w:r w:rsidR="006C680D" w:rsidRPr="00D337FA">
              <w:rPr>
                <w:i/>
                <w:color w:val="auto"/>
                <w:spacing w:val="-4"/>
              </w:rPr>
              <w:t xml:space="preserve"> </w:t>
            </w:r>
            <w:r w:rsidR="00CC397F" w:rsidRPr="00D337FA">
              <w:rPr>
                <w:i/>
                <w:color w:val="auto"/>
                <w:spacing w:val="-4"/>
              </w:rPr>
              <w:t>Проведён</w:t>
            </w:r>
            <w:r w:rsidR="006C680D" w:rsidRPr="00D337FA">
              <w:rPr>
                <w:i/>
                <w:color w:val="auto"/>
                <w:spacing w:val="-4"/>
              </w:rPr>
              <w:t xml:space="preserve"> </w:t>
            </w:r>
            <w:r w:rsidR="00CC397F" w:rsidRPr="00D337FA">
              <w:rPr>
                <w:i/>
                <w:color w:val="auto"/>
                <w:spacing w:val="-4"/>
              </w:rPr>
              <w:t>анализ</w:t>
            </w:r>
            <w:r w:rsidR="006C680D" w:rsidRPr="00D337FA">
              <w:rPr>
                <w:i/>
                <w:color w:val="auto"/>
                <w:spacing w:val="-4"/>
              </w:rPr>
              <w:t xml:space="preserve"> </w:t>
            </w:r>
            <w:r w:rsidR="00CC397F" w:rsidRPr="00D337FA">
              <w:rPr>
                <w:i/>
                <w:color w:val="auto"/>
                <w:spacing w:val="-4"/>
              </w:rPr>
              <w:t>объема</w:t>
            </w:r>
            <w:r w:rsidR="006C680D" w:rsidRPr="00D337FA">
              <w:rPr>
                <w:i/>
                <w:color w:val="auto"/>
                <w:spacing w:val="-4"/>
              </w:rPr>
              <w:t xml:space="preserve"> </w:t>
            </w:r>
            <w:r w:rsidR="00CC397F" w:rsidRPr="00D337FA">
              <w:rPr>
                <w:i/>
                <w:color w:val="auto"/>
                <w:spacing w:val="-4"/>
              </w:rPr>
              <w:t>государственной</w:t>
            </w:r>
            <w:r w:rsidR="006C680D" w:rsidRPr="00D337FA">
              <w:rPr>
                <w:i/>
                <w:color w:val="auto"/>
                <w:spacing w:val="-4"/>
              </w:rPr>
              <w:t xml:space="preserve"> </w:t>
            </w:r>
            <w:r w:rsidR="00CC397F" w:rsidRPr="00D337FA">
              <w:rPr>
                <w:i/>
                <w:color w:val="auto"/>
                <w:spacing w:val="-4"/>
              </w:rPr>
              <w:t>поддержки</w:t>
            </w:r>
            <w:r w:rsidR="006C680D" w:rsidRPr="00D337FA">
              <w:rPr>
                <w:i/>
                <w:color w:val="auto"/>
                <w:spacing w:val="-4"/>
              </w:rPr>
              <w:t xml:space="preserve"> </w:t>
            </w:r>
            <w:r w:rsidR="00CC397F" w:rsidRPr="00D337FA">
              <w:rPr>
                <w:i/>
                <w:color w:val="auto"/>
                <w:spacing w:val="-4"/>
              </w:rPr>
              <w:t>сельского</w:t>
            </w:r>
            <w:r w:rsidR="006C680D" w:rsidRPr="00D337FA">
              <w:rPr>
                <w:i/>
                <w:color w:val="auto"/>
                <w:spacing w:val="-4"/>
              </w:rPr>
              <w:t xml:space="preserve"> </w:t>
            </w:r>
            <w:r w:rsidR="00CC397F" w:rsidRPr="00D337FA">
              <w:rPr>
                <w:i/>
                <w:color w:val="auto"/>
                <w:spacing w:val="-4"/>
              </w:rPr>
              <w:t>хозяйства</w:t>
            </w:r>
            <w:r w:rsidR="006C680D" w:rsidRPr="00D337FA">
              <w:rPr>
                <w:i/>
                <w:color w:val="auto"/>
                <w:spacing w:val="-4"/>
              </w:rPr>
              <w:t xml:space="preserve"> </w:t>
            </w:r>
            <w:r w:rsidR="00CC397F" w:rsidRPr="00D337FA">
              <w:rPr>
                <w:i/>
                <w:color w:val="auto"/>
                <w:spacing w:val="-4"/>
              </w:rPr>
              <w:t>в</w:t>
            </w:r>
            <w:r w:rsidR="006C680D" w:rsidRPr="00D337FA">
              <w:rPr>
                <w:i/>
                <w:color w:val="auto"/>
                <w:spacing w:val="-4"/>
              </w:rPr>
              <w:t xml:space="preserve"> </w:t>
            </w:r>
            <w:r w:rsidR="00CC397F" w:rsidRPr="00D337FA">
              <w:rPr>
                <w:i/>
                <w:color w:val="auto"/>
                <w:spacing w:val="-4"/>
              </w:rPr>
              <w:t>разных</w:t>
            </w:r>
            <w:r w:rsidR="006C680D" w:rsidRPr="00D337FA">
              <w:rPr>
                <w:i/>
                <w:color w:val="auto"/>
                <w:spacing w:val="-4"/>
              </w:rPr>
              <w:t xml:space="preserve"> </w:t>
            </w:r>
            <w:r w:rsidR="00CC397F" w:rsidRPr="00D337FA">
              <w:rPr>
                <w:i/>
                <w:color w:val="auto"/>
                <w:spacing w:val="-4"/>
              </w:rPr>
              <w:t>странах</w:t>
            </w:r>
            <w:r w:rsidR="006C680D" w:rsidRPr="00D337FA">
              <w:rPr>
                <w:i/>
                <w:color w:val="auto"/>
                <w:spacing w:val="-4"/>
              </w:rPr>
              <w:t xml:space="preserve"> </w:t>
            </w:r>
            <w:r w:rsidR="00CC397F" w:rsidRPr="00D337FA">
              <w:rPr>
                <w:i/>
                <w:color w:val="auto"/>
                <w:spacing w:val="-4"/>
              </w:rPr>
              <w:t>мира.</w:t>
            </w:r>
            <w:r w:rsidR="006C680D" w:rsidRPr="00D337FA">
              <w:rPr>
                <w:i/>
                <w:color w:val="auto"/>
                <w:spacing w:val="-4"/>
              </w:rPr>
              <w:t xml:space="preserve"> </w:t>
            </w:r>
            <w:r w:rsidR="00CC397F" w:rsidRPr="00D337FA">
              <w:rPr>
                <w:i/>
                <w:color w:val="auto"/>
                <w:spacing w:val="-4"/>
              </w:rPr>
              <w:t>Представлена</w:t>
            </w:r>
            <w:r w:rsidR="006C680D" w:rsidRPr="00D337FA">
              <w:rPr>
                <w:i/>
                <w:color w:val="auto"/>
                <w:spacing w:val="-4"/>
              </w:rPr>
              <w:t xml:space="preserve"> </w:t>
            </w:r>
            <w:r w:rsidR="00CC397F" w:rsidRPr="00D337FA">
              <w:rPr>
                <w:i/>
                <w:color w:val="auto"/>
                <w:spacing w:val="-4"/>
              </w:rPr>
              <w:t>ежегодная</w:t>
            </w:r>
            <w:r w:rsidR="006C680D" w:rsidRPr="00D337FA">
              <w:rPr>
                <w:i/>
                <w:color w:val="auto"/>
                <w:spacing w:val="-4"/>
              </w:rPr>
              <w:t xml:space="preserve"> </w:t>
            </w:r>
            <w:r w:rsidR="00CC397F" w:rsidRPr="00D337FA">
              <w:rPr>
                <w:i/>
                <w:color w:val="auto"/>
                <w:spacing w:val="-4"/>
              </w:rPr>
              <w:t>оценка</w:t>
            </w:r>
            <w:r w:rsidR="006C680D" w:rsidRPr="00D337FA">
              <w:rPr>
                <w:i/>
                <w:color w:val="auto"/>
                <w:spacing w:val="-4"/>
              </w:rPr>
              <w:t xml:space="preserve"> </w:t>
            </w:r>
            <w:r w:rsidR="00CC397F" w:rsidRPr="00D337FA">
              <w:rPr>
                <w:i/>
                <w:color w:val="auto"/>
                <w:spacing w:val="-4"/>
              </w:rPr>
              <w:t>динамики</w:t>
            </w:r>
            <w:r w:rsidR="006C680D" w:rsidRPr="00D337FA">
              <w:rPr>
                <w:i/>
                <w:color w:val="auto"/>
                <w:spacing w:val="-4"/>
              </w:rPr>
              <w:t xml:space="preserve"> </w:t>
            </w:r>
            <w:r w:rsidR="00CC397F" w:rsidRPr="00D337FA">
              <w:rPr>
                <w:i/>
                <w:color w:val="auto"/>
                <w:spacing w:val="-4"/>
              </w:rPr>
              <w:t>развития</w:t>
            </w:r>
            <w:r w:rsidR="006C680D" w:rsidRPr="00D337FA">
              <w:rPr>
                <w:i/>
                <w:color w:val="auto"/>
                <w:spacing w:val="-4"/>
              </w:rPr>
              <w:t xml:space="preserve"> </w:t>
            </w:r>
            <w:r w:rsidR="00CC397F" w:rsidRPr="00D337FA">
              <w:rPr>
                <w:i/>
                <w:color w:val="auto"/>
                <w:spacing w:val="-4"/>
              </w:rPr>
              <w:t>мер</w:t>
            </w:r>
            <w:r w:rsidR="006C680D" w:rsidRPr="00D337FA">
              <w:rPr>
                <w:i/>
                <w:color w:val="auto"/>
                <w:spacing w:val="-4"/>
              </w:rPr>
              <w:t xml:space="preserve"> </w:t>
            </w:r>
            <w:r w:rsidR="00CC397F" w:rsidRPr="00D337FA">
              <w:rPr>
                <w:i/>
                <w:color w:val="auto"/>
                <w:spacing w:val="-4"/>
              </w:rPr>
              <w:t>государственной</w:t>
            </w:r>
            <w:r w:rsidR="006C680D" w:rsidRPr="00D337FA">
              <w:rPr>
                <w:i/>
                <w:color w:val="auto"/>
                <w:spacing w:val="-4"/>
              </w:rPr>
              <w:t xml:space="preserve"> </w:t>
            </w:r>
            <w:r w:rsidR="00CC397F" w:rsidRPr="00D337FA">
              <w:rPr>
                <w:i/>
                <w:color w:val="auto"/>
                <w:spacing w:val="-4"/>
              </w:rPr>
              <w:t>поддержки</w:t>
            </w:r>
            <w:r w:rsidR="006C680D" w:rsidRPr="00D337FA">
              <w:rPr>
                <w:i/>
                <w:color w:val="auto"/>
                <w:spacing w:val="-4"/>
              </w:rPr>
              <w:t xml:space="preserve"> </w:t>
            </w:r>
            <w:r w:rsidR="00CC397F" w:rsidRPr="00D337FA">
              <w:rPr>
                <w:i/>
                <w:color w:val="auto"/>
                <w:spacing w:val="-4"/>
              </w:rPr>
              <w:t>АПК,</w:t>
            </w:r>
            <w:r w:rsidR="006C680D" w:rsidRPr="00D337FA">
              <w:rPr>
                <w:i/>
                <w:color w:val="auto"/>
                <w:spacing w:val="-4"/>
              </w:rPr>
              <w:t xml:space="preserve"> </w:t>
            </w:r>
            <w:r w:rsidR="00CC397F" w:rsidRPr="00D337FA">
              <w:rPr>
                <w:i/>
                <w:color w:val="auto"/>
                <w:spacing w:val="-4"/>
              </w:rPr>
              <w:t>а</w:t>
            </w:r>
            <w:r w:rsidR="006C680D" w:rsidRPr="00D337FA">
              <w:rPr>
                <w:i/>
                <w:color w:val="auto"/>
                <w:spacing w:val="-4"/>
              </w:rPr>
              <w:t xml:space="preserve"> </w:t>
            </w:r>
            <w:r w:rsidR="00CC397F" w:rsidRPr="00D337FA">
              <w:rPr>
                <w:i/>
                <w:color w:val="auto"/>
                <w:spacing w:val="-4"/>
              </w:rPr>
              <w:t>также</w:t>
            </w:r>
            <w:r w:rsidR="006C680D" w:rsidRPr="00D337FA">
              <w:rPr>
                <w:i/>
                <w:color w:val="auto"/>
                <w:spacing w:val="-4"/>
              </w:rPr>
              <w:t xml:space="preserve"> </w:t>
            </w:r>
            <w:r w:rsidR="00CC397F" w:rsidRPr="00D337FA">
              <w:rPr>
                <w:i/>
                <w:color w:val="auto"/>
                <w:spacing w:val="-4"/>
              </w:rPr>
              <w:t>ключевых</w:t>
            </w:r>
            <w:r w:rsidR="006C680D" w:rsidRPr="00D337FA">
              <w:rPr>
                <w:i/>
                <w:color w:val="auto"/>
                <w:spacing w:val="-4"/>
              </w:rPr>
              <w:t xml:space="preserve"> </w:t>
            </w:r>
            <w:r w:rsidR="00CC397F" w:rsidRPr="00D337FA">
              <w:rPr>
                <w:i/>
                <w:color w:val="auto"/>
                <w:spacing w:val="-4"/>
              </w:rPr>
              <w:t>событий.</w:t>
            </w:r>
            <w:r w:rsidR="006C680D" w:rsidRPr="00D337FA">
              <w:rPr>
                <w:i/>
                <w:color w:val="auto"/>
                <w:spacing w:val="-4"/>
              </w:rPr>
              <w:t xml:space="preserve"> </w:t>
            </w:r>
            <w:r w:rsidR="00CC397F" w:rsidRPr="00D337FA">
              <w:rPr>
                <w:i/>
                <w:color w:val="auto"/>
                <w:spacing w:val="-4"/>
              </w:rPr>
              <w:t>В</w:t>
            </w:r>
            <w:r w:rsidR="006C680D" w:rsidRPr="00D337FA">
              <w:rPr>
                <w:i/>
                <w:color w:val="auto"/>
                <w:spacing w:val="-4"/>
              </w:rPr>
              <w:t xml:space="preserve"> </w:t>
            </w:r>
            <w:r w:rsidR="00CC397F" w:rsidRPr="00D337FA">
              <w:rPr>
                <w:i/>
                <w:color w:val="auto"/>
                <w:spacing w:val="-4"/>
              </w:rPr>
              <w:t>целях</w:t>
            </w:r>
            <w:r w:rsidR="006C680D" w:rsidRPr="00D337FA">
              <w:rPr>
                <w:i/>
                <w:color w:val="auto"/>
                <w:spacing w:val="-4"/>
              </w:rPr>
              <w:t xml:space="preserve"> </w:t>
            </w:r>
            <w:r w:rsidR="00CC397F" w:rsidRPr="00D337FA">
              <w:rPr>
                <w:i/>
                <w:color w:val="auto"/>
                <w:spacing w:val="-4"/>
              </w:rPr>
              <w:t>повышения</w:t>
            </w:r>
            <w:r w:rsidR="006C680D" w:rsidRPr="00D337FA">
              <w:rPr>
                <w:i/>
                <w:color w:val="auto"/>
                <w:spacing w:val="-4"/>
              </w:rPr>
              <w:t xml:space="preserve"> </w:t>
            </w:r>
            <w:r w:rsidR="00CC397F" w:rsidRPr="00D337FA">
              <w:rPr>
                <w:i/>
                <w:color w:val="auto"/>
                <w:spacing w:val="-4"/>
              </w:rPr>
              <w:t>эффективности</w:t>
            </w:r>
            <w:r w:rsidR="006C680D" w:rsidRPr="00D337FA">
              <w:rPr>
                <w:i/>
                <w:color w:val="auto"/>
                <w:spacing w:val="-4"/>
              </w:rPr>
              <w:t xml:space="preserve"> </w:t>
            </w:r>
            <w:r w:rsidR="00CC397F" w:rsidRPr="00D337FA">
              <w:rPr>
                <w:i/>
                <w:color w:val="auto"/>
                <w:spacing w:val="-4"/>
              </w:rPr>
              <w:t>и</w:t>
            </w:r>
            <w:r w:rsidR="006C680D" w:rsidRPr="00D337FA">
              <w:rPr>
                <w:i/>
                <w:color w:val="auto"/>
                <w:spacing w:val="-4"/>
              </w:rPr>
              <w:t xml:space="preserve"> </w:t>
            </w:r>
            <w:r w:rsidR="00CC397F" w:rsidRPr="00D337FA">
              <w:rPr>
                <w:i/>
                <w:color w:val="auto"/>
                <w:spacing w:val="-4"/>
              </w:rPr>
              <w:t>расширения</w:t>
            </w:r>
            <w:r w:rsidR="006C680D" w:rsidRPr="00D337FA">
              <w:rPr>
                <w:i/>
                <w:color w:val="auto"/>
                <w:spacing w:val="-4"/>
              </w:rPr>
              <w:t xml:space="preserve"> </w:t>
            </w:r>
            <w:r w:rsidR="00CC397F" w:rsidRPr="00D337FA">
              <w:rPr>
                <w:i/>
                <w:color w:val="auto"/>
                <w:spacing w:val="-4"/>
              </w:rPr>
              <w:t>перечня</w:t>
            </w:r>
            <w:r w:rsidR="006C680D" w:rsidRPr="00D337FA">
              <w:rPr>
                <w:i/>
                <w:color w:val="auto"/>
                <w:spacing w:val="-4"/>
              </w:rPr>
              <w:t xml:space="preserve"> </w:t>
            </w:r>
            <w:r w:rsidR="00CC397F" w:rsidRPr="00D337FA">
              <w:rPr>
                <w:i/>
                <w:color w:val="auto"/>
                <w:spacing w:val="-4"/>
              </w:rPr>
              <w:t>мер</w:t>
            </w:r>
            <w:r w:rsidR="006C680D" w:rsidRPr="00D337FA">
              <w:rPr>
                <w:i/>
                <w:color w:val="auto"/>
                <w:spacing w:val="-4"/>
              </w:rPr>
              <w:t xml:space="preserve"> </w:t>
            </w:r>
            <w:r w:rsidR="00CC397F" w:rsidRPr="00D337FA">
              <w:rPr>
                <w:i/>
                <w:color w:val="auto"/>
                <w:spacing w:val="-4"/>
              </w:rPr>
              <w:t>и</w:t>
            </w:r>
            <w:r w:rsidR="006C680D" w:rsidRPr="00D337FA">
              <w:rPr>
                <w:i/>
                <w:color w:val="auto"/>
                <w:spacing w:val="-4"/>
              </w:rPr>
              <w:t xml:space="preserve"> </w:t>
            </w:r>
            <w:r w:rsidR="00CC397F" w:rsidRPr="00D337FA">
              <w:rPr>
                <w:i/>
                <w:color w:val="auto"/>
                <w:spacing w:val="-4"/>
              </w:rPr>
              <w:t>программ</w:t>
            </w:r>
            <w:r w:rsidR="006C680D" w:rsidRPr="00D337FA">
              <w:rPr>
                <w:i/>
                <w:color w:val="auto"/>
                <w:spacing w:val="-4"/>
              </w:rPr>
              <w:t xml:space="preserve"> </w:t>
            </w:r>
            <w:r w:rsidR="00CC397F" w:rsidRPr="00D337FA">
              <w:rPr>
                <w:i/>
                <w:color w:val="auto"/>
                <w:spacing w:val="-4"/>
              </w:rPr>
              <w:t>государственной</w:t>
            </w:r>
            <w:r w:rsidR="006C680D" w:rsidRPr="00D337FA">
              <w:rPr>
                <w:i/>
                <w:color w:val="auto"/>
                <w:spacing w:val="-4"/>
              </w:rPr>
              <w:t xml:space="preserve"> </w:t>
            </w:r>
            <w:r w:rsidR="00CC397F" w:rsidRPr="00D337FA">
              <w:rPr>
                <w:i/>
                <w:color w:val="auto"/>
                <w:spacing w:val="-4"/>
              </w:rPr>
              <w:t>поддержки</w:t>
            </w:r>
            <w:r w:rsidR="006C680D" w:rsidRPr="00D337FA">
              <w:rPr>
                <w:i/>
                <w:color w:val="auto"/>
                <w:spacing w:val="-4"/>
              </w:rPr>
              <w:t xml:space="preserve"> </w:t>
            </w:r>
            <w:r w:rsidR="00CC397F" w:rsidRPr="00D337FA">
              <w:rPr>
                <w:i/>
                <w:color w:val="auto"/>
                <w:spacing w:val="-4"/>
              </w:rPr>
              <w:t>АПК</w:t>
            </w:r>
            <w:r w:rsidR="006C680D" w:rsidRPr="00D337FA">
              <w:rPr>
                <w:i/>
                <w:color w:val="auto"/>
                <w:spacing w:val="-4"/>
              </w:rPr>
              <w:t xml:space="preserve"> </w:t>
            </w:r>
            <w:r w:rsidR="00CC397F" w:rsidRPr="00D337FA">
              <w:rPr>
                <w:i/>
                <w:color w:val="auto"/>
                <w:spacing w:val="-4"/>
              </w:rPr>
              <w:t>Российской</w:t>
            </w:r>
            <w:r w:rsidR="006C680D" w:rsidRPr="00D337FA">
              <w:rPr>
                <w:i/>
                <w:color w:val="auto"/>
                <w:spacing w:val="-4"/>
              </w:rPr>
              <w:t xml:space="preserve"> </w:t>
            </w:r>
            <w:r w:rsidR="00CC397F" w:rsidRPr="00D337FA">
              <w:rPr>
                <w:i/>
                <w:color w:val="auto"/>
                <w:spacing w:val="-4"/>
              </w:rPr>
              <w:t>Федерации</w:t>
            </w:r>
            <w:r w:rsidR="006C680D" w:rsidRPr="00D337FA">
              <w:rPr>
                <w:i/>
                <w:color w:val="auto"/>
                <w:spacing w:val="-4"/>
              </w:rPr>
              <w:t xml:space="preserve"> </w:t>
            </w:r>
            <w:r w:rsidR="00CC397F" w:rsidRPr="00D337FA">
              <w:rPr>
                <w:i/>
                <w:color w:val="auto"/>
                <w:spacing w:val="-4"/>
              </w:rPr>
              <w:t>сформирован</w:t>
            </w:r>
            <w:r w:rsidR="006C680D" w:rsidRPr="00D337FA">
              <w:rPr>
                <w:i/>
                <w:color w:val="auto"/>
                <w:spacing w:val="-4"/>
              </w:rPr>
              <w:t xml:space="preserve"> </w:t>
            </w:r>
            <w:r w:rsidR="00CC397F" w:rsidRPr="00D337FA">
              <w:rPr>
                <w:i/>
                <w:color w:val="auto"/>
                <w:spacing w:val="-4"/>
              </w:rPr>
              <w:t>ряд</w:t>
            </w:r>
            <w:r w:rsidR="006C680D" w:rsidRPr="00D337FA">
              <w:rPr>
                <w:i/>
                <w:color w:val="auto"/>
                <w:spacing w:val="-4"/>
              </w:rPr>
              <w:t xml:space="preserve"> </w:t>
            </w:r>
            <w:r w:rsidR="00CC397F" w:rsidRPr="00D337FA">
              <w:rPr>
                <w:i/>
                <w:color w:val="auto"/>
                <w:spacing w:val="-4"/>
              </w:rPr>
              <w:t>предложений</w:t>
            </w:r>
            <w:r w:rsidR="006C680D" w:rsidRPr="00D337FA">
              <w:rPr>
                <w:i/>
                <w:color w:val="auto"/>
                <w:spacing w:val="-4"/>
              </w:rPr>
              <w:t xml:space="preserve"> </w:t>
            </w:r>
            <w:r w:rsidR="00CC397F" w:rsidRPr="00D337FA">
              <w:rPr>
                <w:i/>
                <w:color w:val="auto"/>
                <w:spacing w:val="-4"/>
              </w:rPr>
              <w:t>на</w:t>
            </w:r>
            <w:r w:rsidR="006C680D" w:rsidRPr="00D337FA">
              <w:rPr>
                <w:i/>
                <w:color w:val="auto"/>
                <w:spacing w:val="-4"/>
              </w:rPr>
              <w:t xml:space="preserve"> </w:t>
            </w:r>
            <w:r w:rsidR="00CC397F" w:rsidRPr="00D337FA">
              <w:rPr>
                <w:i/>
                <w:color w:val="auto"/>
                <w:spacing w:val="-4"/>
              </w:rPr>
              <w:t>долгосрочную</w:t>
            </w:r>
            <w:r w:rsidR="006C680D" w:rsidRPr="00D337FA">
              <w:rPr>
                <w:i/>
                <w:color w:val="auto"/>
                <w:spacing w:val="-4"/>
              </w:rPr>
              <w:t xml:space="preserve"> </w:t>
            </w:r>
            <w:r w:rsidR="00CC397F" w:rsidRPr="00D337FA">
              <w:rPr>
                <w:i/>
                <w:color w:val="auto"/>
                <w:spacing w:val="-4"/>
              </w:rPr>
              <w:t>перспективу,</w:t>
            </w:r>
            <w:r w:rsidR="006C680D" w:rsidRPr="00D337FA">
              <w:rPr>
                <w:i/>
                <w:color w:val="auto"/>
                <w:spacing w:val="-4"/>
              </w:rPr>
              <w:t xml:space="preserve"> </w:t>
            </w:r>
            <w:r w:rsidR="00CC397F" w:rsidRPr="00D337FA">
              <w:rPr>
                <w:i/>
                <w:color w:val="auto"/>
                <w:spacing w:val="-4"/>
              </w:rPr>
              <w:t>направленных</w:t>
            </w:r>
            <w:r w:rsidR="006C680D" w:rsidRPr="00D337FA">
              <w:rPr>
                <w:i/>
                <w:color w:val="auto"/>
                <w:spacing w:val="-4"/>
              </w:rPr>
              <w:t xml:space="preserve"> </w:t>
            </w:r>
            <w:r w:rsidR="00CC397F" w:rsidRPr="00D337FA">
              <w:rPr>
                <w:i/>
                <w:color w:val="auto"/>
                <w:spacing w:val="-4"/>
              </w:rPr>
              <w:t>на</w:t>
            </w:r>
            <w:r w:rsidR="006C680D" w:rsidRPr="00D337FA">
              <w:rPr>
                <w:i/>
                <w:color w:val="auto"/>
                <w:spacing w:val="-4"/>
              </w:rPr>
              <w:t xml:space="preserve"> </w:t>
            </w:r>
            <w:r w:rsidR="00CC397F" w:rsidRPr="00D337FA">
              <w:rPr>
                <w:i/>
                <w:color w:val="auto"/>
                <w:spacing w:val="-4"/>
              </w:rPr>
              <w:t>улучшение</w:t>
            </w:r>
            <w:r w:rsidR="006C680D" w:rsidRPr="00D337FA">
              <w:rPr>
                <w:i/>
                <w:color w:val="auto"/>
                <w:spacing w:val="-4"/>
              </w:rPr>
              <w:t xml:space="preserve"> </w:t>
            </w:r>
            <w:r w:rsidR="00CC397F" w:rsidRPr="00D337FA">
              <w:rPr>
                <w:i/>
                <w:color w:val="auto"/>
                <w:spacing w:val="-4"/>
              </w:rPr>
              <w:t>условий</w:t>
            </w:r>
            <w:r w:rsidR="006C680D" w:rsidRPr="00D337FA">
              <w:rPr>
                <w:i/>
                <w:color w:val="auto"/>
                <w:spacing w:val="-4"/>
              </w:rPr>
              <w:t xml:space="preserve"> </w:t>
            </w:r>
            <w:r w:rsidR="00CC397F" w:rsidRPr="00D337FA">
              <w:rPr>
                <w:i/>
                <w:color w:val="auto"/>
                <w:spacing w:val="-4"/>
              </w:rPr>
              <w:t>функционирования</w:t>
            </w:r>
            <w:r w:rsidR="006C680D" w:rsidRPr="00D337FA">
              <w:rPr>
                <w:i/>
                <w:color w:val="auto"/>
                <w:spacing w:val="-4"/>
              </w:rPr>
              <w:t xml:space="preserve"> </w:t>
            </w:r>
            <w:r w:rsidR="00CC397F" w:rsidRPr="00D337FA">
              <w:rPr>
                <w:i/>
                <w:color w:val="auto"/>
                <w:spacing w:val="-4"/>
              </w:rPr>
              <w:t>сельскохозяйственных</w:t>
            </w:r>
            <w:r w:rsidR="006C680D" w:rsidRPr="00D337FA">
              <w:rPr>
                <w:i/>
                <w:color w:val="auto"/>
                <w:spacing w:val="-4"/>
              </w:rPr>
              <w:t xml:space="preserve"> </w:t>
            </w:r>
            <w:r w:rsidR="00CC397F" w:rsidRPr="00D337FA">
              <w:rPr>
                <w:i/>
                <w:color w:val="auto"/>
                <w:spacing w:val="-4"/>
              </w:rPr>
              <w:t>предприятий</w:t>
            </w:r>
            <w:r w:rsidR="006C680D" w:rsidRPr="00D337FA">
              <w:rPr>
                <w:i/>
                <w:color w:val="auto"/>
                <w:spacing w:val="-4"/>
              </w:rPr>
              <w:t xml:space="preserve"> </w:t>
            </w:r>
            <w:r w:rsidR="00CC397F" w:rsidRPr="00D337FA">
              <w:rPr>
                <w:i/>
                <w:color w:val="auto"/>
                <w:spacing w:val="-4"/>
              </w:rPr>
              <w:t>как</w:t>
            </w:r>
            <w:r w:rsidR="006C680D" w:rsidRPr="00D337FA">
              <w:rPr>
                <w:i/>
                <w:color w:val="auto"/>
                <w:spacing w:val="-4"/>
              </w:rPr>
              <w:t xml:space="preserve"> </w:t>
            </w:r>
            <w:r w:rsidR="00CC397F" w:rsidRPr="00D337FA">
              <w:rPr>
                <w:i/>
                <w:color w:val="auto"/>
                <w:spacing w:val="-4"/>
              </w:rPr>
              <w:t>в</w:t>
            </w:r>
            <w:r w:rsidR="006C680D" w:rsidRPr="00D337FA">
              <w:rPr>
                <w:i/>
                <w:color w:val="auto"/>
                <w:spacing w:val="-4"/>
              </w:rPr>
              <w:t xml:space="preserve"> </w:t>
            </w:r>
            <w:r w:rsidR="00CC397F" w:rsidRPr="00D337FA">
              <w:rPr>
                <w:i/>
                <w:color w:val="auto"/>
                <w:spacing w:val="-4"/>
              </w:rPr>
              <w:t>городе,</w:t>
            </w:r>
            <w:r w:rsidR="006C680D" w:rsidRPr="00D337FA">
              <w:rPr>
                <w:i/>
                <w:color w:val="auto"/>
                <w:spacing w:val="-4"/>
              </w:rPr>
              <w:t xml:space="preserve"> </w:t>
            </w:r>
            <w:r w:rsidR="00CC397F" w:rsidRPr="00D337FA">
              <w:rPr>
                <w:i/>
                <w:color w:val="auto"/>
                <w:spacing w:val="-4"/>
              </w:rPr>
              <w:t>так</w:t>
            </w:r>
            <w:r w:rsidR="006C680D" w:rsidRPr="00D337FA">
              <w:rPr>
                <w:i/>
                <w:color w:val="auto"/>
                <w:spacing w:val="-4"/>
              </w:rPr>
              <w:t xml:space="preserve"> </w:t>
            </w:r>
            <w:r w:rsidR="00CC397F" w:rsidRPr="00D337FA">
              <w:rPr>
                <w:i/>
                <w:color w:val="auto"/>
                <w:spacing w:val="-4"/>
              </w:rPr>
              <w:t>и</w:t>
            </w:r>
            <w:r w:rsidR="006C680D" w:rsidRPr="00D337FA">
              <w:rPr>
                <w:i/>
                <w:color w:val="auto"/>
                <w:spacing w:val="-4"/>
              </w:rPr>
              <w:t xml:space="preserve"> </w:t>
            </w:r>
            <w:r w:rsidR="00CC397F" w:rsidRPr="00D337FA">
              <w:rPr>
                <w:i/>
                <w:color w:val="auto"/>
                <w:spacing w:val="-4"/>
              </w:rPr>
              <w:t>в</w:t>
            </w:r>
            <w:r w:rsidR="006C680D" w:rsidRPr="00D337FA">
              <w:rPr>
                <w:i/>
                <w:color w:val="auto"/>
                <w:spacing w:val="-4"/>
              </w:rPr>
              <w:t xml:space="preserve"> </w:t>
            </w:r>
            <w:r w:rsidR="00CC397F" w:rsidRPr="00D337FA">
              <w:rPr>
                <w:i/>
                <w:color w:val="auto"/>
                <w:spacing w:val="-4"/>
              </w:rPr>
              <w:t>сельских</w:t>
            </w:r>
            <w:r w:rsidR="006C680D" w:rsidRPr="00D337FA">
              <w:rPr>
                <w:i/>
                <w:color w:val="auto"/>
                <w:spacing w:val="-4"/>
              </w:rPr>
              <w:t xml:space="preserve"> </w:t>
            </w:r>
            <w:r w:rsidR="00CC397F" w:rsidRPr="00D337FA">
              <w:rPr>
                <w:i/>
                <w:color w:val="auto"/>
                <w:spacing w:val="-4"/>
              </w:rPr>
              <w:t>муниципальных</w:t>
            </w:r>
            <w:r w:rsidR="006C680D" w:rsidRPr="00D337FA">
              <w:rPr>
                <w:i/>
                <w:color w:val="auto"/>
                <w:spacing w:val="-4"/>
              </w:rPr>
              <w:t xml:space="preserve"> </w:t>
            </w:r>
            <w:r w:rsidR="00CC397F" w:rsidRPr="00D337FA">
              <w:rPr>
                <w:i/>
                <w:color w:val="auto"/>
                <w:spacing w:val="-4"/>
              </w:rPr>
              <w:t>образованиях,</w:t>
            </w:r>
            <w:r w:rsidR="006C680D" w:rsidRPr="00D337FA">
              <w:rPr>
                <w:i/>
                <w:color w:val="auto"/>
                <w:spacing w:val="-4"/>
              </w:rPr>
              <w:t xml:space="preserve"> </w:t>
            </w:r>
            <w:r w:rsidR="00CC397F" w:rsidRPr="00D337FA">
              <w:rPr>
                <w:i/>
                <w:color w:val="auto"/>
                <w:spacing w:val="-4"/>
              </w:rPr>
              <w:t>что</w:t>
            </w:r>
            <w:r w:rsidR="006C680D" w:rsidRPr="00D337FA">
              <w:rPr>
                <w:i/>
                <w:color w:val="auto"/>
                <w:spacing w:val="-4"/>
              </w:rPr>
              <w:t xml:space="preserve"> </w:t>
            </w:r>
            <w:r w:rsidR="00CC397F" w:rsidRPr="00D337FA">
              <w:rPr>
                <w:i/>
                <w:color w:val="auto"/>
                <w:spacing w:val="-4"/>
              </w:rPr>
              <w:t>положительно</w:t>
            </w:r>
            <w:r w:rsidR="006C680D" w:rsidRPr="00D337FA">
              <w:rPr>
                <w:i/>
                <w:color w:val="auto"/>
                <w:spacing w:val="-4"/>
              </w:rPr>
              <w:t xml:space="preserve"> </w:t>
            </w:r>
            <w:r w:rsidR="00CC397F" w:rsidRPr="00D337FA">
              <w:rPr>
                <w:i/>
                <w:color w:val="auto"/>
                <w:spacing w:val="-4"/>
              </w:rPr>
              <w:t>отразится</w:t>
            </w:r>
            <w:r w:rsidR="006C680D" w:rsidRPr="00D337FA">
              <w:rPr>
                <w:i/>
                <w:color w:val="auto"/>
                <w:spacing w:val="-4"/>
              </w:rPr>
              <w:t xml:space="preserve"> </w:t>
            </w:r>
            <w:r w:rsidR="00CC397F" w:rsidRPr="00D337FA">
              <w:rPr>
                <w:i/>
                <w:color w:val="auto"/>
                <w:spacing w:val="-4"/>
              </w:rPr>
              <w:t>на</w:t>
            </w:r>
            <w:r w:rsidR="006C680D" w:rsidRPr="00D337FA">
              <w:rPr>
                <w:i/>
                <w:color w:val="auto"/>
                <w:spacing w:val="-4"/>
              </w:rPr>
              <w:t xml:space="preserve"> </w:t>
            </w:r>
            <w:r w:rsidR="00CC397F" w:rsidRPr="00D337FA">
              <w:rPr>
                <w:i/>
                <w:color w:val="auto"/>
                <w:spacing w:val="-4"/>
              </w:rPr>
              <w:t>повышении</w:t>
            </w:r>
            <w:r w:rsidR="006C680D" w:rsidRPr="00D337FA">
              <w:rPr>
                <w:i/>
                <w:color w:val="auto"/>
                <w:spacing w:val="-4"/>
              </w:rPr>
              <w:t xml:space="preserve"> </w:t>
            </w:r>
            <w:r w:rsidR="00CC397F" w:rsidRPr="00D337FA">
              <w:rPr>
                <w:i/>
                <w:color w:val="auto"/>
                <w:spacing w:val="-4"/>
              </w:rPr>
              <w:t>устойчивости</w:t>
            </w:r>
            <w:r w:rsidR="006C680D" w:rsidRPr="00D337FA">
              <w:rPr>
                <w:i/>
                <w:color w:val="auto"/>
                <w:spacing w:val="-4"/>
              </w:rPr>
              <w:t xml:space="preserve"> </w:t>
            </w:r>
            <w:r w:rsidR="00CC397F" w:rsidRPr="00D337FA">
              <w:rPr>
                <w:i/>
                <w:color w:val="auto"/>
                <w:spacing w:val="-4"/>
              </w:rPr>
              <w:t>функционирования</w:t>
            </w:r>
            <w:r w:rsidR="006C680D" w:rsidRPr="00D337FA">
              <w:rPr>
                <w:i/>
                <w:color w:val="auto"/>
                <w:spacing w:val="-4"/>
              </w:rPr>
              <w:t xml:space="preserve"> </w:t>
            </w:r>
            <w:r w:rsidR="00CC397F" w:rsidRPr="00D337FA">
              <w:rPr>
                <w:i/>
                <w:color w:val="auto"/>
                <w:spacing w:val="-4"/>
              </w:rPr>
              <w:t>российского</w:t>
            </w:r>
            <w:r w:rsidR="006C680D" w:rsidRPr="00D337FA">
              <w:rPr>
                <w:i/>
                <w:color w:val="auto"/>
                <w:spacing w:val="-4"/>
              </w:rPr>
              <w:t xml:space="preserve"> </w:t>
            </w:r>
            <w:r w:rsidR="00CC397F" w:rsidRPr="00D337FA">
              <w:rPr>
                <w:i/>
                <w:color w:val="auto"/>
                <w:spacing w:val="-4"/>
              </w:rPr>
              <w:t>АПК.</w:t>
            </w:r>
          </w:p>
          <w:p w:rsidR="00591917" w:rsidRPr="00D337FA" w:rsidRDefault="00591917" w:rsidP="00CC397F">
            <w:pPr>
              <w:pStyle w:val="aff"/>
              <w:rPr>
                <w:i/>
                <w:color w:val="auto"/>
              </w:rPr>
            </w:pPr>
          </w:p>
          <w:p w:rsidR="00CC397F" w:rsidRPr="00D337FA" w:rsidRDefault="00CC397F" w:rsidP="00CC397F">
            <w:pPr>
              <w:pStyle w:val="aff"/>
              <w:rPr>
                <w:color w:val="auto"/>
                <w:spacing w:val="-4"/>
              </w:rPr>
            </w:pPr>
            <w:r w:rsidRPr="00D337FA">
              <w:rPr>
                <w:color w:val="auto"/>
                <w:spacing w:val="-4"/>
              </w:rPr>
              <w:t>Агропромышленный</w:t>
            </w:r>
            <w:r w:rsidR="006C680D" w:rsidRPr="00D337FA">
              <w:rPr>
                <w:color w:val="auto"/>
                <w:spacing w:val="-4"/>
              </w:rPr>
              <w:t xml:space="preserve"> </w:t>
            </w:r>
            <w:r w:rsidRPr="00D337FA">
              <w:rPr>
                <w:color w:val="auto"/>
                <w:spacing w:val="-4"/>
              </w:rPr>
              <w:t>комплекс,</w:t>
            </w:r>
            <w:r w:rsidR="006C680D" w:rsidRPr="00D337FA">
              <w:rPr>
                <w:color w:val="auto"/>
                <w:spacing w:val="-4"/>
              </w:rPr>
              <w:t xml:space="preserve"> </w:t>
            </w:r>
            <w:r w:rsidRPr="00D337FA">
              <w:rPr>
                <w:color w:val="auto"/>
                <w:spacing w:val="-4"/>
              </w:rPr>
              <w:t>сельское</w:t>
            </w:r>
            <w:r w:rsidR="006C680D" w:rsidRPr="00D337FA">
              <w:rPr>
                <w:color w:val="auto"/>
                <w:spacing w:val="-4"/>
              </w:rPr>
              <w:t xml:space="preserve"> </w:t>
            </w:r>
            <w:r w:rsidRPr="00D337FA">
              <w:rPr>
                <w:color w:val="auto"/>
                <w:spacing w:val="-4"/>
              </w:rPr>
              <w:t>хозяйство,</w:t>
            </w:r>
            <w:r w:rsidR="006C680D" w:rsidRPr="00D337FA">
              <w:rPr>
                <w:color w:val="auto"/>
                <w:spacing w:val="-4"/>
              </w:rPr>
              <w:t xml:space="preserve"> </w:t>
            </w:r>
            <w:r w:rsidRPr="00D337FA">
              <w:rPr>
                <w:color w:val="auto"/>
                <w:spacing w:val="-4"/>
              </w:rPr>
              <w:t>продовольственная</w:t>
            </w:r>
            <w:r w:rsidR="006C680D" w:rsidRPr="00D337FA">
              <w:rPr>
                <w:color w:val="auto"/>
                <w:spacing w:val="-4"/>
              </w:rPr>
              <w:t xml:space="preserve"> </w:t>
            </w:r>
            <w:r w:rsidRPr="00D337FA">
              <w:rPr>
                <w:color w:val="auto"/>
                <w:spacing w:val="-4"/>
              </w:rPr>
              <w:t>безопасность,</w:t>
            </w:r>
            <w:r w:rsidR="006C680D" w:rsidRPr="00D337FA">
              <w:rPr>
                <w:color w:val="auto"/>
                <w:spacing w:val="-4"/>
              </w:rPr>
              <w:t xml:space="preserve"> </w:t>
            </w:r>
            <w:r w:rsidRPr="00D337FA">
              <w:rPr>
                <w:color w:val="auto"/>
                <w:spacing w:val="-4"/>
              </w:rPr>
              <w:t>государственная</w:t>
            </w:r>
            <w:r w:rsidR="006C680D" w:rsidRPr="00D337FA">
              <w:rPr>
                <w:color w:val="auto"/>
                <w:spacing w:val="-4"/>
              </w:rPr>
              <w:t xml:space="preserve"> </w:t>
            </w:r>
            <w:r w:rsidRPr="00D337FA">
              <w:rPr>
                <w:color w:val="auto"/>
                <w:spacing w:val="-4"/>
              </w:rPr>
              <w:t>поддержка</w:t>
            </w:r>
            <w:r w:rsidR="006C680D" w:rsidRPr="00D337FA">
              <w:rPr>
                <w:color w:val="auto"/>
                <w:spacing w:val="-4"/>
              </w:rPr>
              <w:t xml:space="preserve"> </w:t>
            </w:r>
            <w:r w:rsidRPr="00D337FA">
              <w:rPr>
                <w:color w:val="auto"/>
                <w:spacing w:val="-4"/>
              </w:rPr>
              <w:t>аграрного</w:t>
            </w:r>
            <w:r w:rsidR="006C680D" w:rsidRPr="00D337FA">
              <w:rPr>
                <w:color w:val="auto"/>
                <w:spacing w:val="-4"/>
              </w:rPr>
              <w:t xml:space="preserve"> </w:t>
            </w:r>
            <w:r w:rsidRPr="00D337FA">
              <w:rPr>
                <w:color w:val="auto"/>
                <w:spacing w:val="-4"/>
              </w:rPr>
              <w:t>сектора,</w:t>
            </w:r>
            <w:r w:rsidR="006C680D" w:rsidRPr="00D337FA">
              <w:rPr>
                <w:color w:val="auto"/>
                <w:spacing w:val="-4"/>
              </w:rPr>
              <w:t xml:space="preserve"> </w:t>
            </w:r>
            <w:r w:rsidRPr="00D337FA">
              <w:rPr>
                <w:color w:val="auto"/>
                <w:spacing w:val="-4"/>
              </w:rPr>
              <w:t>устойчивое</w:t>
            </w:r>
            <w:r w:rsidR="006C680D" w:rsidRPr="00D337FA">
              <w:rPr>
                <w:color w:val="auto"/>
                <w:spacing w:val="-4"/>
              </w:rPr>
              <w:t xml:space="preserve"> </w:t>
            </w:r>
            <w:r w:rsidRPr="00D337FA">
              <w:rPr>
                <w:color w:val="auto"/>
                <w:spacing w:val="-4"/>
              </w:rPr>
              <w:t>развития</w:t>
            </w:r>
          </w:p>
          <w:p w:rsidR="008403F6" w:rsidRPr="00D337FA" w:rsidRDefault="008403F6" w:rsidP="00C8298C">
            <w:pPr>
              <w:pStyle w:val="aff"/>
              <w:ind w:right="-706"/>
              <w:rPr>
                <w:i/>
                <w:color w:val="auto"/>
                <w:spacing w:val="-4"/>
              </w:rPr>
            </w:pPr>
          </w:p>
        </w:tc>
        <w:tc>
          <w:tcPr>
            <w:tcW w:w="567" w:type="dxa"/>
          </w:tcPr>
          <w:p w:rsidR="008403F6" w:rsidRPr="00D337FA" w:rsidRDefault="008403F6" w:rsidP="00EB41AE">
            <w:pPr>
              <w:pStyle w:val="a4"/>
              <w:rPr>
                <w:i/>
                <w:sz w:val="28"/>
                <w:szCs w:val="28"/>
              </w:rPr>
            </w:pPr>
          </w:p>
        </w:tc>
        <w:tc>
          <w:tcPr>
            <w:tcW w:w="4536" w:type="dxa"/>
          </w:tcPr>
          <w:p w:rsidR="00B779DD" w:rsidRPr="00D337FA" w:rsidRDefault="005C53E7" w:rsidP="005C53E7">
            <w:pPr>
              <w:pStyle w:val="aff"/>
              <w:rPr>
                <w:i/>
                <w:color w:val="auto"/>
                <w:spacing w:val="-2"/>
                <w:lang w:val="en-GB"/>
              </w:rPr>
            </w:pPr>
            <w:r w:rsidRPr="00D337FA">
              <w:rPr>
                <w:b/>
                <w:i/>
                <w:color w:val="auto"/>
                <w:lang w:val="en-GB"/>
              </w:rPr>
              <w:t>Abstract.</w:t>
            </w:r>
            <w:r w:rsidR="006C680D" w:rsidRPr="00D337FA">
              <w:rPr>
                <w:i/>
                <w:color w:val="auto"/>
                <w:lang w:val="en-GB"/>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article</w:t>
            </w:r>
            <w:r w:rsidR="006C680D" w:rsidRPr="00D337FA">
              <w:rPr>
                <w:i/>
                <w:color w:val="auto"/>
                <w:lang w:val="en-US"/>
              </w:rPr>
              <w:t xml:space="preserve"> </w:t>
            </w:r>
            <w:r w:rsidR="00CC397F" w:rsidRPr="00D337FA">
              <w:rPr>
                <w:i/>
                <w:color w:val="auto"/>
                <w:lang w:val="en-US"/>
              </w:rPr>
              <w:t>is</w:t>
            </w:r>
            <w:r w:rsidR="006C680D" w:rsidRPr="00D337FA">
              <w:rPr>
                <w:i/>
                <w:color w:val="auto"/>
                <w:lang w:val="en-US"/>
              </w:rPr>
              <w:t xml:space="preserve"> </w:t>
            </w:r>
            <w:r w:rsidR="00CC397F" w:rsidRPr="00D337FA">
              <w:rPr>
                <w:i/>
                <w:color w:val="auto"/>
                <w:lang w:val="en-US"/>
              </w:rPr>
              <w:t>devoted</w:t>
            </w:r>
            <w:r w:rsidR="006C680D" w:rsidRPr="00D337FA">
              <w:rPr>
                <w:i/>
                <w:color w:val="auto"/>
                <w:lang w:val="en-US"/>
              </w:rPr>
              <w:t xml:space="preserve"> </w:t>
            </w:r>
            <w:r w:rsidR="00CC397F" w:rsidRPr="00D337FA">
              <w:rPr>
                <w:i/>
                <w:color w:val="auto"/>
                <w:lang w:val="en-US"/>
              </w:rPr>
              <w:t>to</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study</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trends</w:t>
            </w:r>
            <w:r w:rsidR="006C680D" w:rsidRPr="00D337FA">
              <w:rPr>
                <w:i/>
                <w:color w:val="auto"/>
                <w:lang w:val="en-US"/>
              </w:rPr>
              <w:t xml:space="preserve"> </w:t>
            </w:r>
            <w:r w:rsidR="00CC397F" w:rsidRPr="00D337FA">
              <w:rPr>
                <w:i/>
                <w:color w:val="auto"/>
                <w:lang w:val="en-US"/>
              </w:rPr>
              <w:t>and</w:t>
            </w:r>
            <w:r w:rsidR="006C680D" w:rsidRPr="00D337FA">
              <w:rPr>
                <w:i/>
                <w:color w:val="auto"/>
                <w:lang w:val="en-US"/>
              </w:rPr>
              <w:t xml:space="preserve"> </w:t>
            </w:r>
            <w:r w:rsidR="00CC397F" w:rsidRPr="00D337FA">
              <w:rPr>
                <w:i/>
                <w:color w:val="auto"/>
                <w:lang w:val="en-US"/>
              </w:rPr>
              <w:t>dynamics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development</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state</w:t>
            </w:r>
            <w:r w:rsidR="006C680D" w:rsidRPr="00D337FA">
              <w:rPr>
                <w:i/>
                <w:color w:val="auto"/>
                <w:lang w:val="en-US"/>
              </w:rPr>
              <w:t xml:space="preserve"> </w:t>
            </w:r>
            <w:r w:rsidR="00CC397F" w:rsidRPr="00D337FA">
              <w:rPr>
                <w:i/>
                <w:color w:val="auto"/>
                <w:lang w:val="en-US"/>
              </w:rPr>
              <w:t>support</w:t>
            </w:r>
            <w:r w:rsidR="006C680D" w:rsidRPr="00D337FA">
              <w:rPr>
                <w:i/>
                <w:color w:val="auto"/>
                <w:lang w:val="en-US"/>
              </w:rPr>
              <w:t xml:space="preserve"> </w:t>
            </w:r>
            <w:r w:rsidR="00CC397F" w:rsidRPr="00D337FA">
              <w:rPr>
                <w:i/>
                <w:color w:val="auto"/>
                <w:lang w:val="en-US"/>
              </w:rPr>
              <w:t>measures</w:t>
            </w:r>
            <w:r w:rsidR="006C680D" w:rsidRPr="00D337FA">
              <w:rPr>
                <w:i/>
                <w:color w:val="auto"/>
                <w:lang w:val="en-US"/>
              </w:rPr>
              <w:t xml:space="preserve"> </w:t>
            </w:r>
            <w:r w:rsidR="00CC397F" w:rsidRPr="00D337FA">
              <w:rPr>
                <w:i/>
                <w:color w:val="auto"/>
                <w:lang w:val="en-US"/>
              </w:rPr>
              <w:t>for</w:t>
            </w:r>
            <w:r w:rsidR="006C680D" w:rsidRPr="00D337FA">
              <w:rPr>
                <w:i/>
                <w:color w:val="auto"/>
                <w:lang w:val="en-US"/>
              </w:rPr>
              <w:t xml:space="preserve"> </w:t>
            </w:r>
            <w:r w:rsidR="00CC397F" w:rsidRPr="00D337FA">
              <w:rPr>
                <w:i/>
                <w:color w:val="auto"/>
                <w:lang w:val="en-US"/>
              </w:rPr>
              <w:t>agriculture</w:t>
            </w:r>
            <w:r w:rsidR="006C680D" w:rsidRPr="00D337FA">
              <w:rPr>
                <w:i/>
                <w:color w:val="auto"/>
                <w:lang w:val="en-US"/>
              </w:rPr>
              <w:t xml:space="preserve"> </w:t>
            </w:r>
            <w:r w:rsidR="00CC397F" w:rsidRPr="00D337FA">
              <w:rPr>
                <w:i/>
                <w:color w:val="auto"/>
                <w:lang w:val="en-US"/>
              </w:rPr>
              <w:t>in</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Russian</w:t>
            </w:r>
            <w:r w:rsidR="006C680D" w:rsidRPr="00D337FA">
              <w:rPr>
                <w:i/>
                <w:color w:val="auto"/>
                <w:lang w:val="en-US"/>
              </w:rPr>
              <w:t xml:space="preserve"> </w:t>
            </w:r>
            <w:r w:rsidR="00CC397F" w:rsidRPr="00D337FA">
              <w:rPr>
                <w:i/>
                <w:color w:val="auto"/>
                <w:lang w:val="en-US"/>
              </w:rPr>
              <w:t>Federation</w:t>
            </w:r>
            <w:r w:rsidR="006C680D" w:rsidRPr="00D337FA">
              <w:rPr>
                <w:i/>
                <w:color w:val="auto"/>
                <w:lang w:val="en-US"/>
              </w:rPr>
              <w:t xml:space="preserve"> </w:t>
            </w:r>
            <w:r w:rsidR="00CC397F" w:rsidRPr="00D337FA">
              <w:rPr>
                <w:i/>
                <w:color w:val="auto"/>
                <w:lang w:val="en-US"/>
              </w:rPr>
              <w:t>during</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period</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sanctions</w:t>
            </w:r>
            <w:r w:rsidR="006C680D" w:rsidRPr="00D337FA">
              <w:rPr>
                <w:i/>
                <w:color w:val="auto"/>
                <w:lang w:val="en-US"/>
              </w:rPr>
              <w:t xml:space="preserve"> </w:t>
            </w:r>
            <w:r w:rsidR="00CC397F" w:rsidRPr="00D337FA">
              <w:rPr>
                <w:i/>
                <w:color w:val="auto"/>
                <w:lang w:val="en-US"/>
              </w:rPr>
              <w:t>restrictions</w:t>
            </w:r>
            <w:r w:rsidR="006C680D" w:rsidRPr="00D337FA">
              <w:rPr>
                <w:i/>
                <w:color w:val="auto"/>
                <w:lang w:val="en-US"/>
              </w:rPr>
              <w:t xml:space="preserve"> </w:t>
            </w:r>
            <w:r w:rsidR="00CC397F" w:rsidRPr="00D337FA">
              <w:rPr>
                <w:i/>
                <w:color w:val="auto"/>
                <w:lang w:val="en-US"/>
              </w:rPr>
              <w:t>in</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implementation</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import</w:t>
            </w:r>
            <w:r w:rsidR="006C680D" w:rsidRPr="00D337FA">
              <w:rPr>
                <w:i/>
                <w:color w:val="auto"/>
                <w:lang w:val="en-US"/>
              </w:rPr>
              <w:t xml:space="preserve"> </w:t>
            </w:r>
            <w:r w:rsidR="00CC397F" w:rsidRPr="00D337FA">
              <w:rPr>
                <w:i/>
                <w:color w:val="auto"/>
                <w:lang w:val="en-US"/>
              </w:rPr>
              <w:t>substitution</w:t>
            </w:r>
            <w:r w:rsidR="006C680D" w:rsidRPr="00D337FA">
              <w:rPr>
                <w:i/>
                <w:color w:val="auto"/>
                <w:lang w:val="en-US"/>
              </w:rPr>
              <w:t xml:space="preserve"> </w:t>
            </w:r>
            <w:r w:rsidR="00CC397F" w:rsidRPr="00D337FA">
              <w:rPr>
                <w:i/>
                <w:color w:val="auto"/>
                <w:lang w:val="en-US"/>
              </w:rPr>
              <w:t>policy.</w:t>
            </w:r>
            <w:r w:rsidR="006C680D" w:rsidRPr="00D337FA">
              <w:rPr>
                <w:i/>
                <w:color w:val="auto"/>
                <w:lang w:val="en-US"/>
              </w:rPr>
              <w:t xml:space="preserve"> </w:t>
            </w:r>
            <w:r w:rsidR="00CC397F" w:rsidRPr="00D337FA">
              <w:rPr>
                <w:i/>
                <w:color w:val="auto"/>
                <w:lang w:val="en-US"/>
              </w:rPr>
              <w:t>In</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course</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work,</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problems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ensuring</w:t>
            </w:r>
            <w:r w:rsidR="006C680D" w:rsidRPr="00D337FA">
              <w:rPr>
                <w:i/>
                <w:color w:val="auto"/>
                <w:lang w:val="en-US"/>
              </w:rPr>
              <w:t xml:space="preserve"> </w:t>
            </w:r>
            <w:r w:rsidR="00CC397F" w:rsidRPr="00D337FA">
              <w:rPr>
                <w:i/>
                <w:color w:val="auto"/>
                <w:lang w:val="en-US"/>
              </w:rPr>
              <w:t>effective</w:t>
            </w:r>
            <w:r w:rsidR="006C680D" w:rsidRPr="00D337FA">
              <w:rPr>
                <w:i/>
                <w:color w:val="auto"/>
                <w:lang w:val="en-US"/>
              </w:rPr>
              <w:t xml:space="preserve"> </w:t>
            </w:r>
            <w:r w:rsidR="00CC397F" w:rsidRPr="00D337FA">
              <w:rPr>
                <w:i/>
                <w:color w:val="auto"/>
                <w:lang w:val="en-US"/>
              </w:rPr>
              <w:t>measures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comprehensive</w:t>
            </w:r>
            <w:r w:rsidR="006C680D" w:rsidRPr="00D337FA">
              <w:rPr>
                <w:i/>
                <w:color w:val="auto"/>
                <w:lang w:val="en-US"/>
              </w:rPr>
              <w:t xml:space="preserve"> </w:t>
            </w:r>
            <w:r w:rsidR="00CC397F" w:rsidRPr="00D337FA">
              <w:rPr>
                <w:i/>
                <w:color w:val="auto"/>
                <w:lang w:val="en-US"/>
              </w:rPr>
              <w:t>support</w:t>
            </w:r>
            <w:r w:rsidR="006C680D" w:rsidRPr="00D337FA">
              <w:rPr>
                <w:i/>
                <w:color w:val="auto"/>
                <w:lang w:val="en-US"/>
              </w:rPr>
              <w:t xml:space="preserve"> </w:t>
            </w:r>
            <w:r w:rsidR="00CC397F" w:rsidRPr="00D337FA">
              <w:rPr>
                <w:i/>
                <w:color w:val="auto"/>
                <w:lang w:val="en-US"/>
              </w:rPr>
              <w:t>for</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agricultural</w:t>
            </w:r>
            <w:r w:rsidR="006C680D" w:rsidRPr="00D337FA">
              <w:rPr>
                <w:i/>
                <w:color w:val="auto"/>
                <w:lang w:val="en-US"/>
              </w:rPr>
              <w:t xml:space="preserve"> </w:t>
            </w:r>
            <w:r w:rsidR="00CC397F" w:rsidRPr="00D337FA">
              <w:rPr>
                <w:i/>
                <w:color w:val="auto"/>
                <w:lang w:val="en-US"/>
              </w:rPr>
              <w:t>sector,</w:t>
            </w:r>
            <w:r w:rsidR="006C680D" w:rsidRPr="00D337FA">
              <w:rPr>
                <w:i/>
                <w:color w:val="auto"/>
                <w:lang w:val="en-US"/>
              </w:rPr>
              <w:t xml:space="preserve"> </w:t>
            </w:r>
            <w:r w:rsidR="00CC397F" w:rsidRPr="00D337FA">
              <w:rPr>
                <w:i/>
                <w:color w:val="auto"/>
                <w:lang w:val="en-US"/>
              </w:rPr>
              <w:t>as</w:t>
            </w:r>
            <w:r w:rsidR="006C680D" w:rsidRPr="00D337FA">
              <w:rPr>
                <w:i/>
                <w:color w:val="auto"/>
                <w:lang w:val="en-US"/>
              </w:rPr>
              <w:t xml:space="preserve"> </w:t>
            </w:r>
            <w:r w:rsidR="00CC397F" w:rsidRPr="00D337FA">
              <w:rPr>
                <w:i/>
                <w:color w:val="auto"/>
                <w:lang w:val="en-US"/>
              </w:rPr>
              <w:t>well</w:t>
            </w:r>
            <w:r w:rsidR="006C680D" w:rsidRPr="00D337FA">
              <w:rPr>
                <w:i/>
                <w:color w:val="auto"/>
                <w:lang w:val="en-US"/>
              </w:rPr>
              <w:t xml:space="preserve"> </w:t>
            </w:r>
            <w:r w:rsidR="00CC397F" w:rsidRPr="00D337FA">
              <w:rPr>
                <w:i/>
                <w:color w:val="auto"/>
                <w:lang w:val="en-US"/>
              </w:rPr>
              <w:t>as</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main</w:t>
            </w:r>
            <w:r w:rsidR="006C680D" w:rsidRPr="00D337FA">
              <w:rPr>
                <w:i/>
                <w:color w:val="auto"/>
                <w:lang w:val="en-US"/>
              </w:rPr>
              <w:t xml:space="preserve"> </w:t>
            </w:r>
            <w:r w:rsidR="00CC397F" w:rsidRPr="00D337FA">
              <w:rPr>
                <w:i/>
                <w:color w:val="auto"/>
                <w:lang w:val="en-US"/>
              </w:rPr>
              <w:t>directions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its</w:t>
            </w:r>
            <w:r w:rsidR="006C680D" w:rsidRPr="00D337FA">
              <w:rPr>
                <w:i/>
                <w:color w:val="auto"/>
                <w:lang w:val="en-US"/>
              </w:rPr>
              <w:t xml:space="preserve"> </w:t>
            </w:r>
            <w:r w:rsidR="00CC397F" w:rsidRPr="00D337FA">
              <w:rPr>
                <w:i/>
                <w:color w:val="auto"/>
                <w:lang w:val="en-US"/>
              </w:rPr>
              <w:t>development,</w:t>
            </w:r>
            <w:r w:rsidR="006C680D" w:rsidRPr="00D337FA">
              <w:rPr>
                <w:i/>
                <w:color w:val="auto"/>
                <w:lang w:val="en-US"/>
              </w:rPr>
              <w:t xml:space="preserve"> </w:t>
            </w:r>
            <w:r w:rsidR="00CC397F" w:rsidRPr="00D337FA">
              <w:rPr>
                <w:i/>
                <w:color w:val="auto"/>
                <w:lang w:val="en-US"/>
              </w:rPr>
              <w:t>were</w:t>
            </w:r>
            <w:r w:rsidR="006C680D" w:rsidRPr="00D337FA">
              <w:rPr>
                <w:i/>
                <w:color w:val="auto"/>
                <w:lang w:val="en-US"/>
              </w:rPr>
              <w:t xml:space="preserve"> </w:t>
            </w:r>
            <w:r w:rsidR="00CC397F" w:rsidRPr="00D337FA">
              <w:rPr>
                <w:i/>
                <w:color w:val="auto"/>
                <w:lang w:val="en-US"/>
              </w:rPr>
              <w:t>investigated.</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analysis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volume</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state</w:t>
            </w:r>
            <w:r w:rsidR="006C680D" w:rsidRPr="00D337FA">
              <w:rPr>
                <w:i/>
                <w:color w:val="auto"/>
                <w:lang w:val="en-US"/>
              </w:rPr>
              <w:t xml:space="preserve"> </w:t>
            </w:r>
            <w:r w:rsidR="00CC397F" w:rsidRPr="00D337FA">
              <w:rPr>
                <w:i/>
                <w:color w:val="auto"/>
                <w:lang w:val="en-US"/>
              </w:rPr>
              <w:t>support</w:t>
            </w:r>
            <w:r w:rsidR="006C680D" w:rsidRPr="00D337FA">
              <w:rPr>
                <w:i/>
                <w:color w:val="auto"/>
                <w:lang w:val="en-US"/>
              </w:rPr>
              <w:t xml:space="preserve"> </w:t>
            </w:r>
            <w:r w:rsidR="00CC397F" w:rsidRPr="00D337FA">
              <w:rPr>
                <w:i/>
                <w:color w:val="auto"/>
                <w:lang w:val="en-US"/>
              </w:rPr>
              <w:t>for</w:t>
            </w:r>
            <w:r w:rsidR="006C680D" w:rsidRPr="00D337FA">
              <w:rPr>
                <w:i/>
                <w:color w:val="auto"/>
                <w:lang w:val="en-US"/>
              </w:rPr>
              <w:t xml:space="preserve"> </w:t>
            </w:r>
            <w:r w:rsidR="00CC397F" w:rsidRPr="00D337FA">
              <w:rPr>
                <w:i/>
                <w:color w:val="auto"/>
                <w:lang w:val="en-US"/>
              </w:rPr>
              <w:t>agriculture</w:t>
            </w:r>
            <w:r w:rsidR="006C680D" w:rsidRPr="00D337FA">
              <w:rPr>
                <w:i/>
                <w:color w:val="auto"/>
                <w:lang w:val="en-US"/>
              </w:rPr>
              <w:t xml:space="preserve"> </w:t>
            </w:r>
            <w:r w:rsidR="00CC397F" w:rsidRPr="00D337FA">
              <w:rPr>
                <w:i/>
                <w:color w:val="auto"/>
                <w:lang w:val="en-US"/>
              </w:rPr>
              <w:t>in</w:t>
            </w:r>
            <w:r w:rsidR="006C680D" w:rsidRPr="00D337FA">
              <w:rPr>
                <w:i/>
                <w:color w:val="auto"/>
                <w:lang w:val="en-US"/>
              </w:rPr>
              <w:t xml:space="preserve"> </w:t>
            </w:r>
            <w:r w:rsidR="00CC397F" w:rsidRPr="00D337FA">
              <w:rPr>
                <w:i/>
                <w:color w:val="auto"/>
                <w:lang w:val="en-US"/>
              </w:rPr>
              <w:t>different</w:t>
            </w:r>
            <w:r w:rsidR="006C680D" w:rsidRPr="00D337FA">
              <w:rPr>
                <w:i/>
                <w:color w:val="auto"/>
                <w:lang w:val="en-US"/>
              </w:rPr>
              <w:t xml:space="preserve"> </w:t>
            </w:r>
            <w:r w:rsidR="00CC397F" w:rsidRPr="00D337FA">
              <w:rPr>
                <w:i/>
                <w:color w:val="auto"/>
                <w:lang w:val="en-US"/>
              </w:rPr>
              <w:t>countries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world</w:t>
            </w:r>
            <w:r w:rsidR="006C680D" w:rsidRPr="00D337FA">
              <w:rPr>
                <w:i/>
                <w:color w:val="auto"/>
                <w:lang w:val="en-US"/>
              </w:rPr>
              <w:t xml:space="preserve"> </w:t>
            </w:r>
            <w:r w:rsidR="00CC397F" w:rsidRPr="00D337FA">
              <w:rPr>
                <w:i/>
                <w:color w:val="auto"/>
                <w:lang w:val="en-US"/>
              </w:rPr>
              <w:t>is</w:t>
            </w:r>
            <w:r w:rsidR="006C680D" w:rsidRPr="00D337FA">
              <w:rPr>
                <w:i/>
                <w:color w:val="auto"/>
                <w:lang w:val="en-US"/>
              </w:rPr>
              <w:t xml:space="preserve"> </w:t>
            </w:r>
            <w:r w:rsidR="00CC397F" w:rsidRPr="00D337FA">
              <w:rPr>
                <w:i/>
                <w:color w:val="auto"/>
                <w:lang w:val="en-US"/>
              </w:rPr>
              <w:t>carried</w:t>
            </w:r>
            <w:r w:rsidR="006C680D" w:rsidRPr="00D337FA">
              <w:rPr>
                <w:i/>
                <w:color w:val="auto"/>
                <w:lang w:val="en-US"/>
              </w:rPr>
              <w:t xml:space="preserve"> </w:t>
            </w:r>
            <w:r w:rsidR="00CC397F" w:rsidRPr="00D337FA">
              <w:rPr>
                <w:i/>
                <w:color w:val="auto"/>
                <w:lang w:val="en-US"/>
              </w:rPr>
              <w:t>out.</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annual</w:t>
            </w:r>
            <w:r w:rsidR="006C680D" w:rsidRPr="00D337FA">
              <w:rPr>
                <w:i/>
                <w:color w:val="auto"/>
                <w:lang w:val="en-US"/>
              </w:rPr>
              <w:t xml:space="preserve"> </w:t>
            </w:r>
            <w:r w:rsidR="00CC397F" w:rsidRPr="00D337FA">
              <w:rPr>
                <w:i/>
                <w:color w:val="auto"/>
                <w:lang w:val="en-US"/>
              </w:rPr>
              <w:t>assessment</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dynamics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development</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state</w:t>
            </w:r>
            <w:r w:rsidR="006C680D" w:rsidRPr="00D337FA">
              <w:rPr>
                <w:i/>
                <w:color w:val="auto"/>
                <w:lang w:val="en-US"/>
              </w:rPr>
              <w:t xml:space="preserve"> </w:t>
            </w:r>
            <w:r w:rsidR="00CC397F" w:rsidRPr="00D337FA">
              <w:rPr>
                <w:i/>
                <w:color w:val="auto"/>
                <w:lang w:val="en-US"/>
              </w:rPr>
              <w:t>support</w:t>
            </w:r>
            <w:r w:rsidR="006C680D" w:rsidRPr="00D337FA">
              <w:rPr>
                <w:i/>
                <w:color w:val="auto"/>
                <w:lang w:val="en-US"/>
              </w:rPr>
              <w:t xml:space="preserve"> </w:t>
            </w:r>
            <w:r w:rsidR="00CC397F" w:rsidRPr="00D337FA">
              <w:rPr>
                <w:i/>
                <w:color w:val="auto"/>
                <w:lang w:val="en-US"/>
              </w:rPr>
              <w:t>measures</w:t>
            </w:r>
            <w:r w:rsidR="006C680D" w:rsidRPr="00D337FA">
              <w:rPr>
                <w:i/>
                <w:color w:val="auto"/>
                <w:lang w:val="en-US"/>
              </w:rPr>
              <w:t xml:space="preserve"> </w:t>
            </w:r>
            <w:r w:rsidR="00CC397F" w:rsidRPr="00D337FA">
              <w:rPr>
                <w:i/>
                <w:color w:val="auto"/>
                <w:lang w:val="en-US"/>
              </w:rPr>
              <w:t>for</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agro-industrial</w:t>
            </w:r>
            <w:r w:rsidR="006C680D" w:rsidRPr="00D337FA">
              <w:rPr>
                <w:i/>
                <w:color w:val="auto"/>
                <w:lang w:val="en-US"/>
              </w:rPr>
              <w:t xml:space="preserve"> </w:t>
            </w:r>
            <w:r w:rsidR="00CC397F" w:rsidRPr="00D337FA">
              <w:rPr>
                <w:i/>
                <w:color w:val="auto"/>
                <w:lang w:val="en-US"/>
              </w:rPr>
              <w:t>complex,</w:t>
            </w:r>
            <w:r w:rsidR="006C680D" w:rsidRPr="00D337FA">
              <w:rPr>
                <w:i/>
                <w:color w:val="auto"/>
                <w:lang w:val="en-US"/>
              </w:rPr>
              <w:t xml:space="preserve"> </w:t>
            </w:r>
            <w:r w:rsidR="00CC397F" w:rsidRPr="00D337FA">
              <w:rPr>
                <w:i/>
                <w:color w:val="auto"/>
                <w:lang w:val="en-US"/>
              </w:rPr>
              <w:t>as</w:t>
            </w:r>
            <w:r w:rsidR="006C680D" w:rsidRPr="00D337FA">
              <w:rPr>
                <w:i/>
                <w:color w:val="auto"/>
                <w:lang w:val="en-US"/>
              </w:rPr>
              <w:t xml:space="preserve"> </w:t>
            </w:r>
            <w:r w:rsidR="00CC397F" w:rsidRPr="00D337FA">
              <w:rPr>
                <w:i/>
                <w:color w:val="auto"/>
                <w:lang w:val="en-US"/>
              </w:rPr>
              <w:t>well</w:t>
            </w:r>
            <w:r w:rsidR="006C680D" w:rsidRPr="00D337FA">
              <w:rPr>
                <w:i/>
                <w:color w:val="auto"/>
                <w:lang w:val="en-US"/>
              </w:rPr>
              <w:t xml:space="preserve"> </w:t>
            </w:r>
            <w:r w:rsidR="00CC397F" w:rsidRPr="00D337FA">
              <w:rPr>
                <w:i/>
                <w:color w:val="auto"/>
                <w:lang w:val="en-US"/>
              </w:rPr>
              <w:t>as</w:t>
            </w:r>
            <w:r w:rsidR="006C680D" w:rsidRPr="00D337FA">
              <w:rPr>
                <w:i/>
                <w:color w:val="auto"/>
                <w:lang w:val="en-US"/>
              </w:rPr>
              <w:t xml:space="preserve"> </w:t>
            </w:r>
            <w:r w:rsidR="00CC397F" w:rsidRPr="00D337FA">
              <w:rPr>
                <w:i/>
                <w:color w:val="auto"/>
                <w:lang w:val="en-US"/>
              </w:rPr>
              <w:t>key</w:t>
            </w:r>
            <w:r w:rsidR="006C680D" w:rsidRPr="00D337FA">
              <w:rPr>
                <w:i/>
                <w:color w:val="auto"/>
                <w:lang w:val="en-US"/>
              </w:rPr>
              <w:t xml:space="preserve"> </w:t>
            </w:r>
            <w:r w:rsidR="00CC397F" w:rsidRPr="00D337FA">
              <w:rPr>
                <w:i/>
                <w:color w:val="auto"/>
                <w:lang w:val="en-US"/>
              </w:rPr>
              <w:t>events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each</w:t>
            </w:r>
            <w:r w:rsidR="006C680D" w:rsidRPr="00D337FA">
              <w:rPr>
                <w:i/>
                <w:color w:val="auto"/>
                <w:lang w:val="en-US"/>
              </w:rPr>
              <w:t xml:space="preserve"> </w:t>
            </w:r>
            <w:r w:rsidR="00CC397F" w:rsidRPr="00D337FA">
              <w:rPr>
                <w:i/>
                <w:color w:val="auto"/>
                <w:lang w:val="en-US"/>
              </w:rPr>
              <w:t>period,</w:t>
            </w:r>
            <w:r w:rsidR="006C680D" w:rsidRPr="00D337FA">
              <w:rPr>
                <w:i/>
                <w:color w:val="auto"/>
                <w:lang w:val="en-US"/>
              </w:rPr>
              <w:t xml:space="preserve"> </w:t>
            </w:r>
            <w:r w:rsidR="00CC397F" w:rsidRPr="00D337FA">
              <w:rPr>
                <w:i/>
                <w:color w:val="auto"/>
                <w:lang w:val="en-US"/>
              </w:rPr>
              <w:t>is</w:t>
            </w:r>
            <w:r w:rsidR="006C680D" w:rsidRPr="00D337FA">
              <w:rPr>
                <w:i/>
                <w:color w:val="auto"/>
                <w:lang w:val="en-US"/>
              </w:rPr>
              <w:t xml:space="preserve"> </w:t>
            </w:r>
            <w:r w:rsidR="00CC397F" w:rsidRPr="00D337FA">
              <w:rPr>
                <w:i/>
                <w:color w:val="auto"/>
                <w:lang w:val="en-US"/>
              </w:rPr>
              <w:t>presented.</w:t>
            </w:r>
            <w:r w:rsidR="006C680D" w:rsidRPr="00D337FA">
              <w:rPr>
                <w:i/>
                <w:color w:val="auto"/>
                <w:lang w:val="en-US"/>
              </w:rPr>
              <w:t xml:space="preserve"> </w:t>
            </w:r>
            <w:r w:rsidR="00CC397F" w:rsidRPr="00D337FA">
              <w:rPr>
                <w:i/>
                <w:color w:val="auto"/>
                <w:lang w:val="en-US"/>
              </w:rPr>
              <w:t>In</w:t>
            </w:r>
            <w:r w:rsidR="006C680D" w:rsidRPr="00D337FA">
              <w:rPr>
                <w:i/>
                <w:color w:val="auto"/>
                <w:lang w:val="en-US"/>
              </w:rPr>
              <w:t xml:space="preserve"> </w:t>
            </w:r>
            <w:r w:rsidR="00CC397F" w:rsidRPr="00D337FA">
              <w:rPr>
                <w:i/>
                <w:color w:val="auto"/>
                <w:lang w:val="en-US"/>
              </w:rPr>
              <w:t>order</w:t>
            </w:r>
            <w:r w:rsidR="006C680D" w:rsidRPr="00D337FA">
              <w:rPr>
                <w:i/>
                <w:color w:val="auto"/>
                <w:lang w:val="en-US"/>
              </w:rPr>
              <w:t xml:space="preserve"> </w:t>
            </w:r>
            <w:r w:rsidR="00CC397F" w:rsidRPr="00D337FA">
              <w:rPr>
                <w:i/>
                <w:color w:val="auto"/>
                <w:lang w:val="en-US"/>
              </w:rPr>
              <w:t>to</w:t>
            </w:r>
            <w:r w:rsidR="006C680D" w:rsidRPr="00D337FA">
              <w:rPr>
                <w:i/>
                <w:color w:val="auto"/>
                <w:lang w:val="en-US"/>
              </w:rPr>
              <w:t xml:space="preserve"> </w:t>
            </w:r>
            <w:r w:rsidR="00CC397F" w:rsidRPr="00D337FA">
              <w:rPr>
                <w:i/>
                <w:color w:val="auto"/>
                <w:lang w:val="en-US"/>
              </w:rPr>
              <w:t>increase</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effectiveness</w:t>
            </w:r>
            <w:r w:rsidR="006C680D" w:rsidRPr="00D337FA">
              <w:rPr>
                <w:i/>
                <w:color w:val="auto"/>
                <w:lang w:val="en-US"/>
              </w:rPr>
              <w:t xml:space="preserve"> </w:t>
            </w:r>
            <w:r w:rsidR="00CC397F" w:rsidRPr="00D337FA">
              <w:rPr>
                <w:i/>
                <w:color w:val="auto"/>
                <w:lang w:val="en-US"/>
              </w:rPr>
              <w:t>and</w:t>
            </w:r>
            <w:r w:rsidR="006C680D" w:rsidRPr="00D337FA">
              <w:rPr>
                <w:i/>
                <w:color w:val="auto"/>
                <w:lang w:val="en-US"/>
              </w:rPr>
              <w:t xml:space="preserve"> </w:t>
            </w:r>
            <w:r w:rsidR="00CC397F" w:rsidRPr="00D337FA">
              <w:rPr>
                <w:i/>
                <w:color w:val="auto"/>
                <w:lang w:val="en-US"/>
              </w:rPr>
              <w:t>expand</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list</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measures</w:t>
            </w:r>
            <w:r w:rsidR="006C680D" w:rsidRPr="00D337FA">
              <w:rPr>
                <w:i/>
                <w:color w:val="auto"/>
                <w:lang w:val="en-US"/>
              </w:rPr>
              <w:t xml:space="preserve"> </w:t>
            </w:r>
            <w:r w:rsidR="00CC397F" w:rsidRPr="00D337FA">
              <w:rPr>
                <w:i/>
                <w:color w:val="auto"/>
                <w:lang w:val="en-US"/>
              </w:rPr>
              <w:t>and</w:t>
            </w:r>
            <w:r w:rsidR="006C680D" w:rsidRPr="00D337FA">
              <w:rPr>
                <w:i/>
                <w:color w:val="auto"/>
                <w:lang w:val="en-US"/>
              </w:rPr>
              <w:t xml:space="preserve"> </w:t>
            </w:r>
            <w:r w:rsidR="00CC397F" w:rsidRPr="00D337FA">
              <w:rPr>
                <w:i/>
                <w:color w:val="auto"/>
                <w:lang w:val="en-US"/>
              </w:rPr>
              <w:t>programs</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state</w:t>
            </w:r>
            <w:r w:rsidR="006C680D" w:rsidRPr="00D337FA">
              <w:rPr>
                <w:i/>
                <w:color w:val="auto"/>
                <w:lang w:val="en-US"/>
              </w:rPr>
              <w:t xml:space="preserve"> </w:t>
            </w:r>
            <w:r w:rsidR="00CC397F" w:rsidRPr="00D337FA">
              <w:rPr>
                <w:i/>
                <w:color w:val="auto"/>
                <w:lang w:val="en-US"/>
              </w:rPr>
              <w:t>support</w:t>
            </w:r>
            <w:r w:rsidR="006C680D" w:rsidRPr="00D337FA">
              <w:rPr>
                <w:i/>
                <w:color w:val="auto"/>
                <w:lang w:val="en-US"/>
              </w:rPr>
              <w:t xml:space="preserve"> </w:t>
            </w:r>
            <w:r w:rsidR="00CC397F" w:rsidRPr="00D337FA">
              <w:rPr>
                <w:i/>
                <w:color w:val="auto"/>
                <w:lang w:val="en-US"/>
              </w:rPr>
              <w:t>for</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agro-industrial</w:t>
            </w:r>
            <w:r w:rsidR="006C680D" w:rsidRPr="00D337FA">
              <w:rPr>
                <w:i/>
                <w:color w:val="auto"/>
                <w:lang w:val="en-US"/>
              </w:rPr>
              <w:t xml:space="preserve"> </w:t>
            </w:r>
            <w:r w:rsidR="00CC397F" w:rsidRPr="00D337FA">
              <w:rPr>
                <w:i/>
                <w:color w:val="auto"/>
                <w:lang w:val="en-US"/>
              </w:rPr>
              <w:t>complex</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Russian</w:t>
            </w:r>
            <w:r w:rsidR="006C680D" w:rsidRPr="00D337FA">
              <w:rPr>
                <w:i/>
                <w:color w:val="auto"/>
                <w:lang w:val="en-US"/>
              </w:rPr>
              <w:t xml:space="preserve"> </w:t>
            </w:r>
            <w:r w:rsidR="00CC397F" w:rsidRPr="00D337FA">
              <w:rPr>
                <w:i/>
                <w:color w:val="auto"/>
                <w:lang w:val="en-US"/>
              </w:rPr>
              <w:t>Federation,</w:t>
            </w:r>
            <w:r w:rsidR="006C680D" w:rsidRPr="00D337FA">
              <w:rPr>
                <w:i/>
                <w:color w:val="auto"/>
                <w:lang w:val="en-US"/>
              </w:rPr>
              <w:t xml:space="preserve"> </w:t>
            </w:r>
            <w:r w:rsidR="00CC397F" w:rsidRPr="00D337FA">
              <w:rPr>
                <w:i/>
                <w:color w:val="auto"/>
                <w:lang w:val="en-US"/>
              </w:rPr>
              <w:t>a</w:t>
            </w:r>
            <w:r w:rsidR="006C680D" w:rsidRPr="00D337FA">
              <w:rPr>
                <w:i/>
                <w:color w:val="auto"/>
                <w:lang w:val="en-US"/>
              </w:rPr>
              <w:t xml:space="preserve"> </w:t>
            </w:r>
            <w:r w:rsidR="00CC397F" w:rsidRPr="00D337FA">
              <w:rPr>
                <w:i/>
                <w:color w:val="auto"/>
                <w:lang w:val="en-US"/>
              </w:rPr>
              <w:t>number</w:t>
            </w:r>
            <w:r w:rsidR="006C680D" w:rsidRPr="00D337FA">
              <w:rPr>
                <w:i/>
                <w:color w:val="auto"/>
                <w:lang w:val="en-US"/>
              </w:rPr>
              <w:t xml:space="preserve"> </w:t>
            </w:r>
            <w:r w:rsidR="00CC397F" w:rsidRPr="00D337FA">
              <w:rPr>
                <w:i/>
                <w:color w:val="auto"/>
                <w:lang w:val="en-US"/>
              </w:rPr>
              <w:t>of</w:t>
            </w:r>
            <w:r w:rsidR="006C680D" w:rsidRPr="00D337FA">
              <w:rPr>
                <w:i/>
                <w:color w:val="auto"/>
                <w:lang w:val="en-US"/>
              </w:rPr>
              <w:t xml:space="preserve"> </w:t>
            </w:r>
            <w:r w:rsidR="00CC397F" w:rsidRPr="00D337FA">
              <w:rPr>
                <w:i/>
                <w:color w:val="auto"/>
                <w:lang w:val="en-US"/>
              </w:rPr>
              <w:t>long-term</w:t>
            </w:r>
            <w:r w:rsidR="006C680D" w:rsidRPr="00D337FA">
              <w:rPr>
                <w:i/>
                <w:color w:val="auto"/>
                <w:lang w:val="en-US"/>
              </w:rPr>
              <w:t xml:space="preserve"> </w:t>
            </w:r>
            <w:r w:rsidR="00CC397F" w:rsidRPr="00D337FA">
              <w:rPr>
                <w:i/>
                <w:color w:val="auto"/>
                <w:lang w:val="en-US"/>
              </w:rPr>
              <w:t>proposals</w:t>
            </w:r>
            <w:r w:rsidR="006C680D" w:rsidRPr="00D337FA">
              <w:rPr>
                <w:i/>
                <w:color w:val="auto"/>
                <w:lang w:val="en-US"/>
              </w:rPr>
              <w:t xml:space="preserve"> </w:t>
            </w:r>
            <w:r w:rsidR="00CC397F" w:rsidRPr="00D337FA">
              <w:rPr>
                <w:i/>
                <w:color w:val="auto"/>
                <w:lang w:val="en-US"/>
              </w:rPr>
              <w:t>have</w:t>
            </w:r>
            <w:r w:rsidR="006C680D" w:rsidRPr="00D337FA">
              <w:rPr>
                <w:i/>
                <w:color w:val="auto"/>
                <w:lang w:val="en-US"/>
              </w:rPr>
              <w:t xml:space="preserve"> </w:t>
            </w:r>
            <w:r w:rsidR="00CC397F" w:rsidRPr="00D337FA">
              <w:rPr>
                <w:i/>
                <w:color w:val="auto"/>
                <w:lang w:val="en-US"/>
              </w:rPr>
              <w:t>been</w:t>
            </w:r>
            <w:r w:rsidR="006C680D" w:rsidRPr="00D337FA">
              <w:rPr>
                <w:i/>
                <w:color w:val="auto"/>
                <w:lang w:val="en-US"/>
              </w:rPr>
              <w:t xml:space="preserve"> </w:t>
            </w:r>
            <w:r w:rsidR="00CC397F" w:rsidRPr="00D337FA">
              <w:rPr>
                <w:i/>
                <w:color w:val="auto"/>
                <w:lang w:val="en-US"/>
              </w:rPr>
              <w:t>formulated</w:t>
            </w:r>
            <w:r w:rsidR="006C680D" w:rsidRPr="00D337FA">
              <w:rPr>
                <w:i/>
                <w:color w:val="auto"/>
                <w:lang w:val="en-US"/>
              </w:rPr>
              <w:t xml:space="preserve"> </w:t>
            </w:r>
            <w:r w:rsidR="00CC397F" w:rsidRPr="00D337FA">
              <w:rPr>
                <w:i/>
                <w:color w:val="auto"/>
                <w:lang w:val="en-US"/>
              </w:rPr>
              <w:t>aimed</w:t>
            </w:r>
            <w:r w:rsidR="006C680D" w:rsidRPr="00D337FA">
              <w:rPr>
                <w:i/>
                <w:color w:val="auto"/>
                <w:lang w:val="en-US"/>
              </w:rPr>
              <w:t xml:space="preserve"> </w:t>
            </w:r>
            <w:r w:rsidR="00CC397F" w:rsidRPr="00D337FA">
              <w:rPr>
                <w:i/>
                <w:color w:val="auto"/>
                <w:lang w:val="en-US"/>
              </w:rPr>
              <w:t>at</w:t>
            </w:r>
            <w:r w:rsidR="006C680D" w:rsidRPr="00D337FA">
              <w:rPr>
                <w:i/>
                <w:color w:val="auto"/>
                <w:lang w:val="en-US"/>
              </w:rPr>
              <w:t xml:space="preserve"> </w:t>
            </w:r>
            <w:r w:rsidR="00CC397F" w:rsidRPr="00D337FA">
              <w:rPr>
                <w:i/>
                <w:color w:val="auto"/>
                <w:lang w:val="en-US"/>
              </w:rPr>
              <w:t>improving</w:t>
            </w:r>
            <w:r w:rsidR="006C680D" w:rsidRPr="00D337FA">
              <w:rPr>
                <w:i/>
                <w:color w:val="auto"/>
                <w:lang w:val="en-US"/>
              </w:rPr>
              <w:t xml:space="preserve"> </w:t>
            </w:r>
            <w:r w:rsidR="00CC397F" w:rsidRPr="00D337FA">
              <w:rPr>
                <w:i/>
                <w:color w:val="auto"/>
                <w:lang w:val="en-US"/>
              </w:rPr>
              <w:t>the</w:t>
            </w:r>
            <w:r w:rsidR="006C680D" w:rsidRPr="00D337FA">
              <w:rPr>
                <w:i/>
                <w:color w:val="auto"/>
                <w:lang w:val="en-US"/>
              </w:rPr>
              <w:t xml:space="preserve"> </w:t>
            </w:r>
            <w:r w:rsidR="00CC397F" w:rsidRPr="00D337FA">
              <w:rPr>
                <w:i/>
                <w:color w:val="auto"/>
                <w:lang w:val="en-US"/>
              </w:rPr>
              <w:t>conditions</w:t>
            </w:r>
            <w:r w:rsidR="006C680D" w:rsidRPr="00D337FA">
              <w:rPr>
                <w:i/>
                <w:color w:val="auto"/>
                <w:lang w:val="en-US"/>
              </w:rPr>
              <w:t xml:space="preserve"> </w:t>
            </w:r>
            <w:r w:rsidR="00CC397F" w:rsidRPr="00D337FA">
              <w:rPr>
                <w:i/>
                <w:color w:val="auto"/>
                <w:lang w:val="en-US"/>
              </w:rPr>
              <w:t>for</w:t>
            </w:r>
            <w:r w:rsidR="006C680D" w:rsidRPr="00D337FA">
              <w:rPr>
                <w:i/>
                <w:color w:val="auto"/>
                <w:lang w:val="en-US"/>
              </w:rPr>
              <w:t xml:space="preserve"> </w:t>
            </w:r>
            <w:r w:rsidR="00CC397F" w:rsidRPr="00D337FA">
              <w:rPr>
                <w:i/>
                <w:color w:val="auto"/>
                <w:lang w:val="en-US"/>
              </w:rPr>
              <w:t>agricultural</w:t>
            </w:r>
            <w:r w:rsidR="006C680D" w:rsidRPr="00D337FA">
              <w:rPr>
                <w:i/>
                <w:color w:val="auto"/>
                <w:lang w:val="en-US"/>
              </w:rPr>
              <w:t xml:space="preserve"> </w:t>
            </w:r>
            <w:r w:rsidR="00CC397F" w:rsidRPr="00D337FA">
              <w:rPr>
                <w:i/>
                <w:color w:val="auto"/>
                <w:lang w:val="en-US"/>
              </w:rPr>
              <w:t>activities</w:t>
            </w:r>
            <w:r w:rsidR="006C680D" w:rsidRPr="00D337FA">
              <w:rPr>
                <w:i/>
                <w:color w:val="auto"/>
                <w:lang w:val="en-US"/>
              </w:rPr>
              <w:t xml:space="preserve"> </w:t>
            </w:r>
            <w:r w:rsidR="00CC397F" w:rsidRPr="00D337FA">
              <w:rPr>
                <w:i/>
                <w:color w:val="auto"/>
                <w:lang w:val="en-US"/>
              </w:rPr>
              <w:t>in</w:t>
            </w:r>
            <w:r w:rsidR="006C680D" w:rsidRPr="00D337FA">
              <w:rPr>
                <w:i/>
                <w:color w:val="auto"/>
                <w:lang w:val="en-US"/>
              </w:rPr>
              <w:t xml:space="preserve"> </w:t>
            </w:r>
            <w:r w:rsidR="00CC397F" w:rsidRPr="00D337FA">
              <w:rPr>
                <w:i/>
                <w:color w:val="auto"/>
                <w:lang w:val="en-US"/>
              </w:rPr>
              <w:t>both</w:t>
            </w:r>
            <w:r w:rsidR="006C680D" w:rsidRPr="00D337FA">
              <w:rPr>
                <w:i/>
                <w:color w:val="auto"/>
                <w:lang w:val="en-US"/>
              </w:rPr>
              <w:t xml:space="preserve"> </w:t>
            </w:r>
            <w:r w:rsidR="00CC397F" w:rsidRPr="00D337FA">
              <w:rPr>
                <w:i/>
                <w:color w:val="auto"/>
                <w:lang w:val="en-US"/>
              </w:rPr>
              <w:t>urban</w:t>
            </w:r>
            <w:r w:rsidR="006C680D" w:rsidRPr="00D337FA">
              <w:rPr>
                <w:i/>
                <w:color w:val="auto"/>
                <w:lang w:val="en-US"/>
              </w:rPr>
              <w:t xml:space="preserve"> </w:t>
            </w:r>
            <w:r w:rsidR="00CC397F" w:rsidRPr="00D337FA">
              <w:rPr>
                <w:i/>
                <w:color w:val="auto"/>
                <w:lang w:val="en-US"/>
              </w:rPr>
              <w:t>and</w:t>
            </w:r>
            <w:r w:rsidR="006C680D" w:rsidRPr="00D337FA">
              <w:rPr>
                <w:i/>
                <w:color w:val="auto"/>
                <w:lang w:val="en-US"/>
              </w:rPr>
              <w:t xml:space="preserve"> </w:t>
            </w:r>
            <w:r w:rsidR="00CC397F" w:rsidRPr="00D337FA">
              <w:rPr>
                <w:i/>
                <w:color w:val="auto"/>
                <w:lang w:val="en-US"/>
              </w:rPr>
              <w:t>rural</w:t>
            </w:r>
            <w:r w:rsidR="006C680D" w:rsidRPr="00D337FA">
              <w:rPr>
                <w:i/>
                <w:color w:val="auto"/>
                <w:lang w:val="en-US"/>
              </w:rPr>
              <w:t xml:space="preserve"> </w:t>
            </w:r>
            <w:r w:rsidR="00CC397F" w:rsidRPr="00D337FA">
              <w:rPr>
                <w:i/>
                <w:color w:val="auto"/>
                <w:lang w:val="en-US"/>
              </w:rPr>
              <w:t>municipalities</w:t>
            </w:r>
            <w:r w:rsidR="00270FB2" w:rsidRPr="00D337FA">
              <w:rPr>
                <w:i/>
                <w:color w:val="auto"/>
                <w:lang w:val="en-US"/>
              </w:rPr>
              <w:t>.</w:t>
            </w:r>
          </w:p>
          <w:p w:rsidR="00B779DD" w:rsidRPr="00D337FA" w:rsidRDefault="00B779DD" w:rsidP="00B779DD">
            <w:pPr>
              <w:pStyle w:val="afe"/>
              <w:rPr>
                <w:color w:val="auto"/>
                <w:lang w:val="en-US"/>
              </w:rPr>
            </w:pPr>
          </w:p>
          <w:p w:rsidR="00253534" w:rsidRPr="00D337FA" w:rsidRDefault="00253534" w:rsidP="00B779DD">
            <w:pPr>
              <w:pStyle w:val="afe"/>
              <w:rPr>
                <w:color w:val="auto"/>
                <w:lang w:val="en-US"/>
              </w:rPr>
            </w:pPr>
          </w:p>
          <w:p w:rsidR="00253534" w:rsidRPr="00D337FA" w:rsidRDefault="00253534" w:rsidP="00B779DD">
            <w:pPr>
              <w:pStyle w:val="afe"/>
              <w:rPr>
                <w:color w:val="auto"/>
                <w:lang w:val="en-US"/>
              </w:rPr>
            </w:pPr>
          </w:p>
          <w:p w:rsidR="00253534" w:rsidRPr="00D337FA" w:rsidRDefault="00253534" w:rsidP="00B779DD">
            <w:pPr>
              <w:pStyle w:val="afe"/>
              <w:rPr>
                <w:color w:val="auto"/>
                <w:lang w:val="en-US"/>
              </w:rPr>
            </w:pPr>
          </w:p>
          <w:p w:rsidR="008403F6" w:rsidRPr="00D337FA" w:rsidRDefault="00CC397F" w:rsidP="00CC397F">
            <w:pPr>
              <w:pStyle w:val="afe"/>
              <w:ind w:firstLine="0"/>
              <w:rPr>
                <w:i/>
                <w:color w:val="auto"/>
                <w:lang w:val="en-GB"/>
              </w:rPr>
            </w:pPr>
            <w:r w:rsidRPr="00D337FA">
              <w:rPr>
                <w:iCs w:val="0"/>
                <w:color w:val="auto"/>
                <w:lang w:val="en-US" w:eastAsia="en-US"/>
              </w:rPr>
              <w:t>Agro-industrial</w:t>
            </w:r>
            <w:r w:rsidR="006C680D" w:rsidRPr="00D337FA">
              <w:rPr>
                <w:iCs w:val="0"/>
                <w:color w:val="auto"/>
                <w:lang w:val="en-US" w:eastAsia="en-US"/>
              </w:rPr>
              <w:t xml:space="preserve"> </w:t>
            </w:r>
            <w:r w:rsidRPr="00D337FA">
              <w:rPr>
                <w:iCs w:val="0"/>
                <w:color w:val="auto"/>
                <w:lang w:val="en-US" w:eastAsia="en-US"/>
              </w:rPr>
              <w:t>complex,</w:t>
            </w:r>
            <w:r w:rsidR="006C680D" w:rsidRPr="00D337FA">
              <w:rPr>
                <w:iCs w:val="0"/>
                <w:color w:val="auto"/>
                <w:lang w:val="en-US" w:eastAsia="en-US"/>
              </w:rPr>
              <w:t xml:space="preserve"> </w:t>
            </w:r>
            <w:r w:rsidRPr="00D337FA">
              <w:rPr>
                <w:iCs w:val="0"/>
                <w:color w:val="auto"/>
                <w:lang w:val="en-US" w:eastAsia="en-US"/>
              </w:rPr>
              <w:t>agriculture,</w:t>
            </w:r>
            <w:r w:rsidR="006C680D" w:rsidRPr="00D337FA">
              <w:rPr>
                <w:iCs w:val="0"/>
                <w:color w:val="auto"/>
                <w:lang w:val="en-US" w:eastAsia="en-US"/>
              </w:rPr>
              <w:t xml:space="preserve"> </w:t>
            </w:r>
            <w:r w:rsidRPr="00D337FA">
              <w:rPr>
                <w:iCs w:val="0"/>
                <w:color w:val="auto"/>
                <w:lang w:val="en-US" w:eastAsia="en-US"/>
              </w:rPr>
              <w:t>food</w:t>
            </w:r>
            <w:r w:rsidR="006C680D" w:rsidRPr="00D337FA">
              <w:rPr>
                <w:iCs w:val="0"/>
                <w:color w:val="auto"/>
                <w:lang w:val="en-US" w:eastAsia="en-US"/>
              </w:rPr>
              <w:t xml:space="preserve"> </w:t>
            </w:r>
            <w:r w:rsidRPr="00D337FA">
              <w:rPr>
                <w:iCs w:val="0"/>
                <w:color w:val="auto"/>
                <w:lang w:val="en-US" w:eastAsia="en-US"/>
              </w:rPr>
              <w:t>security,</w:t>
            </w:r>
            <w:r w:rsidR="006C680D" w:rsidRPr="00D337FA">
              <w:rPr>
                <w:iCs w:val="0"/>
                <w:color w:val="auto"/>
                <w:lang w:val="en-US" w:eastAsia="en-US"/>
              </w:rPr>
              <w:t xml:space="preserve"> </w:t>
            </w:r>
            <w:r w:rsidRPr="00D337FA">
              <w:rPr>
                <w:iCs w:val="0"/>
                <w:color w:val="auto"/>
                <w:lang w:val="en-US" w:eastAsia="en-US"/>
              </w:rPr>
              <w:t>state</w:t>
            </w:r>
            <w:r w:rsidR="006C680D" w:rsidRPr="00D337FA">
              <w:rPr>
                <w:iCs w:val="0"/>
                <w:color w:val="auto"/>
                <w:lang w:val="en-US" w:eastAsia="en-US"/>
              </w:rPr>
              <w:t xml:space="preserve"> </w:t>
            </w:r>
            <w:r w:rsidRPr="00D337FA">
              <w:rPr>
                <w:iCs w:val="0"/>
                <w:color w:val="auto"/>
                <w:lang w:val="en-US" w:eastAsia="en-US"/>
              </w:rPr>
              <w:t>support</w:t>
            </w:r>
            <w:r w:rsidR="006C680D" w:rsidRPr="00D337FA">
              <w:rPr>
                <w:iCs w:val="0"/>
                <w:color w:val="auto"/>
                <w:lang w:val="en-US" w:eastAsia="en-US"/>
              </w:rPr>
              <w:t xml:space="preserve"> </w:t>
            </w:r>
            <w:r w:rsidRPr="00D337FA">
              <w:rPr>
                <w:iCs w:val="0"/>
                <w:color w:val="auto"/>
                <w:lang w:val="en-US" w:eastAsia="en-US"/>
              </w:rPr>
              <w:t>for</w:t>
            </w:r>
            <w:r w:rsidR="006C680D" w:rsidRPr="00D337FA">
              <w:rPr>
                <w:iCs w:val="0"/>
                <w:color w:val="auto"/>
                <w:lang w:val="en-US" w:eastAsia="en-US"/>
              </w:rPr>
              <w:t xml:space="preserve"> </w:t>
            </w:r>
            <w:r w:rsidRPr="00D337FA">
              <w:rPr>
                <w:iCs w:val="0"/>
                <w:color w:val="auto"/>
                <w:lang w:val="en-US" w:eastAsia="en-US"/>
              </w:rPr>
              <w:t>the</w:t>
            </w:r>
            <w:r w:rsidR="006C680D" w:rsidRPr="00D337FA">
              <w:rPr>
                <w:iCs w:val="0"/>
                <w:color w:val="auto"/>
                <w:lang w:val="en-US" w:eastAsia="en-US"/>
              </w:rPr>
              <w:t xml:space="preserve"> </w:t>
            </w:r>
            <w:r w:rsidRPr="00D337FA">
              <w:rPr>
                <w:iCs w:val="0"/>
                <w:color w:val="auto"/>
                <w:lang w:val="en-US" w:eastAsia="en-US"/>
              </w:rPr>
              <w:t>agricultural</w:t>
            </w:r>
            <w:r w:rsidR="006C680D" w:rsidRPr="00D337FA">
              <w:rPr>
                <w:iCs w:val="0"/>
                <w:color w:val="auto"/>
                <w:lang w:val="en-US" w:eastAsia="en-US"/>
              </w:rPr>
              <w:t xml:space="preserve"> </w:t>
            </w:r>
            <w:r w:rsidRPr="00D337FA">
              <w:rPr>
                <w:iCs w:val="0"/>
                <w:color w:val="auto"/>
                <w:lang w:val="en-US" w:eastAsia="en-US"/>
              </w:rPr>
              <w:t>sector,</w:t>
            </w:r>
            <w:r w:rsidR="006C680D" w:rsidRPr="00D337FA">
              <w:rPr>
                <w:iCs w:val="0"/>
                <w:color w:val="auto"/>
                <w:lang w:val="en-US" w:eastAsia="en-US"/>
              </w:rPr>
              <w:t xml:space="preserve"> </w:t>
            </w:r>
            <w:r w:rsidRPr="00D337FA">
              <w:rPr>
                <w:iCs w:val="0"/>
                <w:color w:val="auto"/>
                <w:lang w:val="en-US" w:eastAsia="en-US"/>
              </w:rPr>
              <w:t>sustainable</w:t>
            </w:r>
            <w:r w:rsidR="006C680D" w:rsidRPr="00D337FA">
              <w:rPr>
                <w:iCs w:val="0"/>
                <w:color w:val="auto"/>
                <w:lang w:val="en-US" w:eastAsia="en-US"/>
              </w:rPr>
              <w:t xml:space="preserve"> </w:t>
            </w:r>
            <w:r w:rsidRPr="00D337FA">
              <w:rPr>
                <w:iCs w:val="0"/>
                <w:color w:val="auto"/>
                <w:lang w:val="en-US" w:eastAsia="en-US"/>
              </w:rPr>
              <w:t>development</w:t>
            </w:r>
          </w:p>
        </w:tc>
      </w:tr>
    </w:tbl>
    <w:p w:rsidR="000B60C3" w:rsidRPr="00D337FA" w:rsidRDefault="000B60C3" w:rsidP="00EB02CD">
      <w:pPr>
        <w:pStyle w:val="aff0"/>
        <w:rPr>
          <w:sz w:val="28"/>
          <w:highlight w:val="yellow"/>
        </w:rPr>
        <w:sectPr w:rsidR="000B60C3" w:rsidRPr="00D337FA" w:rsidSect="008F2C3F">
          <w:footnotePr>
            <w:numRestart w:val="eachPage"/>
          </w:footnotePr>
          <w:type w:val="continuous"/>
          <w:pgSz w:w="11907" w:h="16840" w:code="9"/>
          <w:pgMar w:top="1418" w:right="1134" w:bottom="1418" w:left="1134" w:header="1021" w:footer="1021" w:gutter="0"/>
          <w:cols w:space="708"/>
          <w:docGrid w:linePitch="360"/>
        </w:sectPr>
      </w:pPr>
    </w:p>
    <w:p w:rsidR="00C8298C" w:rsidRPr="00D337FA" w:rsidRDefault="00C8298C" w:rsidP="00544DD6">
      <w:pPr>
        <w:ind w:firstLine="284"/>
        <w:jc w:val="left"/>
        <w:rPr>
          <w:rFonts w:ascii="Times New Roman CYR" w:hAnsi="Times New Roman CYR" w:cs="Times New Roman CYR"/>
          <w:sz w:val="20"/>
          <w:szCs w:val="20"/>
          <w:lang w:val="en-US"/>
        </w:rPr>
      </w:pPr>
    </w:p>
    <w:p w:rsidR="00C8298C" w:rsidRPr="007C1C9B" w:rsidRDefault="00C8298C" w:rsidP="00544DD6">
      <w:pPr>
        <w:ind w:firstLine="284"/>
        <w:jc w:val="left"/>
        <w:rPr>
          <w:rFonts w:ascii="Times New Roman CYR" w:hAnsi="Times New Roman CYR" w:cs="Times New Roman CYR"/>
          <w:sz w:val="20"/>
          <w:szCs w:val="20"/>
          <w:lang w:val="en-US"/>
        </w:rPr>
      </w:pPr>
    </w:p>
    <w:p w:rsidR="00D74067" w:rsidRPr="007C1C9B" w:rsidRDefault="00D74067" w:rsidP="00544DD6">
      <w:pPr>
        <w:ind w:firstLine="284"/>
        <w:jc w:val="left"/>
        <w:rPr>
          <w:rFonts w:ascii="Times New Roman CYR" w:hAnsi="Times New Roman CYR" w:cs="Times New Roman CYR"/>
          <w:sz w:val="20"/>
          <w:szCs w:val="20"/>
          <w:lang w:val="en-US"/>
        </w:rPr>
      </w:pPr>
    </w:p>
    <w:p w:rsidR="00D74067" w:rsidRPr="007C1C9B" w:rsidRDefault="00D74067" w:rsidP="00544DD6">
      <w:pPr>
        <w:ind w:firstLine="284"/>
        <w:jc w:val="left"/>
        <w:rPr>
          <w:rFonts w:ascii="Times New Roman CYR" w:hAnsi="Times New Roman CYR" w:cs="Times New Roman CYR"/>
          <w:sz w:val="20"/>
          <w:szCs w:val="20"/>
          <w:lang w:val="en-US"/>
        </w:rPr>
      </w:pPr>
    </w:p>
    <w:p w:rsidR="0042656C" w:rsidRPr="007C1C9B" w:rsidRDefault="0042656C" w:rsidP="00544DD6">
      <w:pPr>
        <w:ind w:firstLine="284"/>
        <w:jc w:val="left"/>
        <w:rPr>
          <w:rFonts w:ascii="Times New Roman CYR" w:hAnsi="Times New Roman CYR" w:cs="Times New Roman CYR"/>
          <w:sz w:val="20"/>
          <w:szCs w:val="20"/>
          <w:lang w:val="en-US"/>
        </w:rPr>
      </w:pPr>
    </w:p>
    <w:p w:rsidR="0042656C" w:rsidRPr="007C1C9B" w:rsidRDefault="0042656C" w:rsidP="00544DD6">
      <w:pPr>
        <w:ind w:firstLine="284"/>
        <w:jc w:val="left"/>
        <w:rPr>
          <w:rFonts w:ascii="Times New Roman CYR" w:hAnsi="Times New Roman CYR" w:cs="Times New Roman CYR"/>
          <w:sz w:val="20"/>
          <w:szCs w:val="20"/>
          <w:lang w:val="en-US"/>
        </w:rPr>
      </w:pPr>
    </w:p>
    <w:p w:rsidR="00C8298C" w:rsidRPr="007C1C9B" w:rsidRDefault="00C8298C" w:rsidP="00544DD6">
      <w:pPr>
        <w:ind w:firstLine="284"/>
        <w:jc w:val="left"/>
        <w:rPr>
          <w:rFonts w:ascii="Times New Roman CYR" w:hAnsi="Times New Roman CYR" w:cs="Times New Roman CYR"/>
          <w:sz w:val="20"/>
          <w:szCs w:val="20"/>
          <w:lang w:val="en-US"/>
        </w:rPr>
      </w:pPr>
    </w:p>
    <w:p w:rsidR="00C8298C" w:rsidRPr="00D337FA" w:rsidRDefault="00C8298C" w:rsidP="0042656C">
      <w:pPr>
        <w:ind w:firstLine="0"/>
        <w:jc w:val="left"/>
        <w:rPr>
          <w:b/>
          <w:szCs w:val="24"/>
        </w:rPr>
      </w:pPr>
      <w:r w:rsidRPr="00D337FA">
        <w:rPr>
          <w:rFonts w:ascii="Times New Roman CYR" w:hAnsi="Times New Roman CYR" w:cs="Times New Roman CYR"/>
          <w:sz w:val="20"/>
          <w:szCs w:val="20"/>
        </w:rPr>
        <w:t>©</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pacing w:val="-4"/>
          <w:sz w:val="20"/>
          <w:szCs w:val="20"/>
        </w:rPr>
        <w:t>Севастьянов</w:t>
      </w:r>
      <w:r w:rsidR="006C680D" w:rsidRPr="00D337FA">
        <w:rPr>
          <w:rFonts w:ascii="Times New Roman CYR" w:hAnsi="Times New Roman CYR" w:cs="Times New Roman CYR"/>
          <w:spacing w:val="-4"/>
          <w:sz w:val="20"/>
          <w:szCs w:val="20"/>
        </w:rPr>
        <w:t xml:space="preserve"> </w:t>
      </w:r>
      <w:r w:rsidRPr="00D337FA">
        <w:rPr>
          <w:rFonts w:ascii="Times New Roman CYR" w:hAnsi="Times New Roman CYR" w:cs="Times New Roman CYR"/>
          <w:spacing w:val="-4"/>
          <w:sz w:val="20"/>
          <w:szCs w:val="20"/>
        </w:rPr>
        <w:t>Д.В.,</w:t>
      </w:r>
      <w:r w:rsidR="006C680D" w:rsidRPr="00D337FA">
        <w:rPr>
          <w:rFonts w:ascii="Times New Roman CYR" w:hAnsi="Times New Roman CYR" w:cs="Times New Roman CYR"/>
          <w:spacing w:val="-4"/>
          <w:sz w:val="20"/>
          <w:szCs w:val="20"/>
        </w:rPr>
        <w:t xml:space="preserve"> </w:t>
      </w:r>
      <w:r w:rsidRPr="00D337FA">
        <w:rPr>
          <w:rFonts w:ascii="Times New Roman CYR" w:hAnsi="Times New Roman CYR" w:cs="Times New Roman CYR"/>
          <w:spacing w:val="-4"/>
          <w:sz w:val="20"/>
          <w:szCs w:val="20"/>
        </w:rPr>
        <w:t>Прущак</w:t>
      </w:r>
      <w:r w:rsidR="006C680D" w:rsidRPr="00D337FA">
        <w:rPr>
          <w:rFonts w:ascii="Times New Roman CYR" w:hAnsi="Times New Roman CYR" w:cs="Times New Roman CYR"/>
          <w:spacing w:val="-4"/>
          <w:sz w:val="20"/>
          <w:szCs w:val="20"/>
        </w:rPr>
        <w:t xml:space="preserve"> </w:t>
      </w:r>
      <w:r w:rsidRPr="00D337FA">
        <w:rPr>
          <w:rFonts w:ascii="Times New Roman CYR" w:hAnsi="Times New Roman CYR" w:cs="Times New Roman CYR"/>
          <w:spacing w:val="-4"/>
          <w:sz w:val="20"/>
          <w:szCs w:val="20"/>
        </w:rPr>
        <w:t>О.В.,</w:t>
      </w:r>
      <w:r w:rsidR="006C680D" w:rsidRPr="00D337FA">
        <w:rPr>
          <w:rFonts w:ascii="Times New Roman CYR" w:hAnsi="Times New Roman CYR" w:cs="Times New Roman CYR"/>
          <w:spacing w:val="-4"/>
          <w:sz w:val="20"/>
          <w:szCs w:val="20"/>
        </w:rPr>
        <w:t xml:space="preserve"> </w:t>
      </w:r>
      <w:r w:rsidRPr="00D337FA">
        <w:rPr>
          <w:rFonts w:ascii="Times New Roman CYR" w:hAnsi="Times New Roman CYR" w:cs="Times New Roman CYR"/>
          <w:spacing w:val="-4"/>
          <w:sz w:val="20"/>
          <w:szCs w:val="20"/>
        </w:rPr>
        <w:t>2026</w:t>
      </w:r>
    </w:p>
    <w:p w:rsidR="00C8298C" w:rsidRPr="00D337FA" w:rsidRDefault="00C8298C" w:rsidP="00544DD6">
      <w:pPr>
        <w:ind w:firstLine="284"/>
        <w:jc w:val="left"/>
        <w:rPr>
          <w:b/>
          <w:szCs w:val="24"/>
        </w:rPr>
      </w:pPr>
    </w:p>
    <w:p w:rsidR="00C8298C" w:rsidRPr="00D337FA" w:rsidRDefault="00C8298C" w:rsidP="00544DD6">
      <w:pPr>
        <w:ind w:firstLine="284"/>
        <w:jc w:val="left"/>
        <w:rPr>
          <w:b/>
          <w:szCs w:val="24"/>
        </w:rPr>
      </w:pPr>
    </w:p>
    <w:p w:rsidR="0042656C" w:rsidRDefault="0042656C" w:rsidP="00544DD6">
      <w:pPr>
        <w:ind w:firstLine="284"/>
        <w:jc w:val="left"/>
        <w:rPr>
          <w:b/>
          <w:szCs w:val="24"/>
        </w:rPr>
      </w:pPr>
    </w:p>
    <w:p w:rsidR="00D74067" w:rsidRDefault="00D74067" w:rsidP="00544DD6">
      <w:pPr>
        <w:ind w:firstLine="284"/>
        <w:jc w:val="left"/>
        <w:rPr>
          <w:b/>
          <w:szCs w:val="24"/>
        </w:rPr>
      </w:pPr>
    </w:p>
    <w:p w:rsidR="00D74067" w:rsidRPr="00D337FA" w:rsidRDefault="00D74067" w:rsidP="00544DD6">
      <w:pPr>
        <w:ind w:firstLine="284"/>
        <w:jc w:val="left"/>
        <w:rPr>
          <w:b/>
          <w:szCs w:val="24"/>
        </w:rPr>
      </w:pPr>
    </w:p>
    <w:p w:rsidR="0042656C" w:rsidRDefault="0042656C" w:rsidP="00544DD6">
      <w:pPr>
        <w:ind w:firstLine="284"/>
        <w:jc w:val="left"/>
        <w:rPr>
          <w:b/>
          <w:szCs w:val="24"/>
        </w:rPr>
      </w:pPr>
    </w:p>
    <w:p w:rsidR="00D74067" w:rsidRPr="00D337FA" w:rsidRDefault="00D74067" w:rsidP="00544DD6">
      <w:pPr>
        <w:ind w:firstLine="284"/>
        <w:jc w:val="left"/>
        <w:rPr>
          <w:b/>
          <w:szCs w:val="24"/>
        </w:rPr>
      </w:pPr>
    </w:p>
    <w:p w:rsidR="00CC397F" w:rsidRPr="00D337FA" w:rsidRDefault="00CC397F" w:rsidP="00544DD6">
      <w:pPr>
        <w:ind w:firstLine="284"/>
        <w:jc w:val="left"/>
        <w:rPr>
          <w:b/>
          <w:szCs w:val="24"/>
        </w:rPr>
      </w:pPr>
      <w:r w:rsidRPr="00D337FA">
        <w:rPr>
          <w:b/>
          <w:szCs w:val="24"/>
        </w:rPr>
        <w:lastRenderedPageBreak/>
        <w:t>Введение</w:t>
      </w:r>
    </w:p>
    <w:p w:rsidR="00CC397F" w:rsidRPr="00D337FA" w:rsidRDefault="00CC397F" w:rsidP="00544DD6">
      <w:pPr>
        <w:ind w:firstLine="284"/>
        <w:rPr>
          <w:szCs w:val="24"/>
        </w:rPr>
      </w:pPr>
      <w:r w:rsidRPr="00D337FA">
        <w:rPr>
          <w:szCs w:val="24"/>
        </w:rPr>
        <w:t>За</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несколько</w:t>
      </w:r>
      <w:r w:rsidR="006C680D" w:rsidRPr="00D337FA">
        <w:rPr>
          <w:szCs w:val="24"/>
        </w:rPr>
        <w:t xml:space="preserve"> </w:t>
      </w:r>
      <w:r w:rsidRPr="00D337FA">
        <w:rPr>
          <w:szCs w:val="24"/>
        </w:rPr>
        <w:t>лет</w:t>
      </w:r>
      <w:r w:rsidR="006C680D" w:rsidRPr="00D337FA">
        <w:rPr>
          <w:szCs w:val="24"/>
        </w:rPr>
        <w:t xml:space="preserve"> </w:t>
      </w:r>
      <w:r w:rsidRPr="00D337FA">
        <w:rPr>
          <w:szCs w:val="24"/>
        </w:rPr>
        <w:t>экономическая</w:t>
      </w:r>
      <w:r w:rsidR="006C680D" w:rsidRPr="00D337FA">
        <w:rPr>
          <w:szCs w:val="24"/>
        </w:rPr>
        <w:t xml:space="preserve"> </w:t>
      </w:r>
      <w:r w:rsidRPr="00D337FA">
        <w:rPr>
          <w:szCs w:val="24"/>
        </w:rPr>
        <w:t>система</w:t>
      </w:r>
      <w:r w:rsidR="006C680D" w:rsidRPr="00D337FA">
        <w:rPr>
          <w:szCs w:val="24"/>
        </w:rPr>
        <w:t xml:space="preserve"> </w:t>
      </w:r>
      <w:r w:rsidRPr="00D337FA">
        <w:rPr>
          <w:szCs w:val="24"/>
        </w:rPr>
        <w:t>многих</w:t>
      </w:r>
      <w:r w:rsidR="006C680D" w:rsidRPr="00D337FA">
        <w:rPr>
          <w:szCs w:val="24"/>
        </w:rPr>
        <w:t xml:space="preserve"> </w:t>
      </w:r>
      <w:r w:rsidRPr="00D337FA">
        <w:rPr>
          <w:szCs w:val="24"/>
        </w:rPr>
        <w:t>стран</w:t>
      </w:r>
      <w:r w:rsidR="006C680D" w:rsidRPr="00D337FA">
        <w:rPr>
          <w:szCs w:val="24"/>
        </w:rPr>
        <w:t xml:space="preserve"> </w:t>
      </w:r>
      <w:r w:rsidRPr="00D337FA">
        <w:rPr>
          <w:szCs w:val="24"/>
        </w:rPr>
        <w:t>претерпела</w:t>
      </w:r>
      <w:r w:rsidR="006C680D" w:rsidRPr="00D337FA">
        <w:rPr>
          <w:szCs w:val="24"/>
        </w:rPr>
        <w:t xml:space="preserve"> </w:t>
      </w:r>
      <w:r w:rsidRPr="00D337FA">
        <w:rPr>
          <w:szCs w:val="24"/>
        </w:rPr>
        <w:t>множественные</w:t>
      </w:r>
      <w:r w:rsidR="006C680D" w:rsidRPr="00D337FA">
        <w:rPr>
          <w:szCs w:val="24"/>
        </w:rPr>
        <w:t xml:space="preserve"> </w:t>
      </w:r>
      <w:r w:rsidRPr="00D337FA">
        <w:rPr>
          <w:szCs w:val="24"/>
        </w:rPr>
        <w:t>качественные</w:t>
      </w:r>
      <w:r w:rsidR="006C680D" w:rsidRPr="00D337FA">
        <w:rPr>
          <w:szCs w:val="24"/>
        </w:rPr>
        <w:t xml:space="preserve"> </w:t>
      </w:r>
      <w:r w:rsidRPr="00D337FA">
        <w:rPr>
          <w:szCs w:val="24"/>
        </w:rPr>
        <w:t>изменения</w:t>
      </w:r>
      <w:r w:rsidR="006C680D" w:rsidRPr="00D337FA">
        <w:rPr>
          <w:szCs w:val="24"/>
        </w:rPr>
        <w:t xml:space="preserve"> </w:t>
      </w:r>
      <w:r w:rsidRPr="00D337FA">
        <w:rPr>
          <w:szCs w:val="24"/>
        </w:rPr>
        <w:t>с</w:t>
      </w:r>
      <w:r w:rsidR="006C680D" w:rsidRPr="00D337FA">
        <w:rPr>
          <w:szCs w:val="24"/>
        </w:rPr>
        <w:t xml:space="preserve"> </w:t>
      </w:r>
      <w:r w:rsidRPr="00D337FA">
        <w:rPr>
          <w:szCs w:val="24"/>
        </w:rPr>
        <w:t>переходом</w:t>
      </w:r>
      <w:r w:rsidR="006C680D" w:rsidRPr="00D337FA">
        <w:rPr>
          <w:szCs w:val="24"/>
        </w:rPr>
        <w:t xml:space="preserve"> </w:t>
      </w:r>
      <w:r w:rsidRPr="00D337FA">
        <w:rPr>
          <w:szCs w:val="24"/>
        </w:rPr>
        <w:t>в</w:t>
      </w:r>
      <w:r w:rsidR="006C680D" w:rsidRPr="00D337FA">
        <w:rPr>
          <w:szCs w:val="24"/>
        </w:rPr>
        <w:t xml:space="preserve"> </w:t>
      </w:r>
      <w:r w:rsidRPr="00D337FA">
        <w:rPr>
          <w:szCs w:val="24"/>
        </w:rPr>
        <w:t>новую</w:t>
      </w:r>
      <w:r w:rsidR="006C680D" w:rsidRPr="00D337FA">
        <w:rPr>
          <w:szCs w:val="24"/>
        </w:rPr>
        <w:t xml:space="preserve"> </w:t>
      </w:r>
      <w:r w:rsidRPr="00D337FA">
        <w:rPr>
          <w:szCs w:val="24"/>
        </w:rPr>
        <w:t>экономическую</w:t>
      </w:r>
      <w:r w:rsidR="006C680D" w:rsidRPr="00D337FA">
        <w:rPr>
          <w:szCs w:val="24"/>
        </w:rPr>
        <w:t xml:space="preserve"> </w:t>
      </w:r>
      <w:r w:rsidRPr="00D337FA">
        <w:rPr>
          <w:szCs w:val="24"/>
        </w:rPr>
        <w:t>эпоху,</w:t>
      </w:r>
      <w:r w:rsidR="006C680D" w:rsidRPr="00D337FA">
        <w:rPr>
          <w:szCs w:val="24"/>
        </w:rPr>
        <w:t xml:space="preserve"> </w:t>
      </w:r>
      <w:r w:rsidRPr="00D337FA">
        <w:rPr>
          <w:szCs w:val="24"/>
        </w:rPr>
        <w:t>ознаменовавшуюся</w:t>
      </w:r>
      <w:r w:rsidR="006C680D" w:rsidRPr="00D337FA">
        <w:rPr>
          <w:szCs w:val="24"/>
        </w:rPr>
        <w:t xml:space="preserve"> </w:t>
      </w:r>
      <w:r w:rsidRPr="00D337FA">
        <w:rPr>
          <w:szCs w:val="24"/>
        </w:rPr>
        <w:t>переходом</w:t>
      </w:r>
      <w:r w:rsidR="006C680D" w:rsidRPr="00D337FA">
        <w:rPr>
          <w:szCs w:val="24"/>
        </w:rPr>
        <w:t xml:space="preserve"> </w:t>
      </w:r>
      <w:r w:rsidRPr="00D337FA">
        <w:rPr>
          <w:szCs w:val="24"/>
        </w:rPr>
        <w:t>к</w:t>
      </w:r>
      <w:r w:rsidR="006C680D" w:rsidRPr="00D337FA">
        <w:rPr>
          <w:szCs w:val="24"/>
        </w:rPr>
        <w:t xml:space="preserve"> </w:t>
      </w:r>
      <w:r w:rsidRPr="00D337FA">
        <w:rPr>
          <w:szCs w:val="24"/>
        </w:rPr>
        <w:t>инновационно-цифровому</w:t>
      </w:r>
      <w:r w:rsidR="006C680D" w:rsidRPr="00D337FA">
        <w:rPr>
          <w:szCs w:val="24"/>
        </w:rPr>
        <w:t xml:space="preserve"> </w:t>
      </w:r>
      <w:r w:rsidRPr="00D337FA">
        <w:rPr>
          <w:szCs w:val="24"/>
        </w:rPr>
        <w:t>курсу</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Уходящие</w:t>
      </w:r>
      <w:r w:rsidR="006C680D" w:rsidRPr="00D337FA">
        <w:rPr>
          <w:szCs w:val="24"/>
        </w:rPr>
        <w:t xml:space="preserve"> </w:t>
      </w:r>
      <w:r w:rsidRPr="00D337FA">
        <w:rPr>
          <w:szCs w:val="24"/>
        </w:rPr>
        <w:t>годы</w:t>
      </w:r>
      <w:r w:rsidR="006C680D" w:rsidRPr="00D337FA">
        <w:rPr>
          <w:szCs w:val="24"/>
        </w:rPr>
        <w:t xml:space="preserve"> </w:t>
      </w:r>
      <w:r w:rsidRPr="00D337FA">
        <w:rPr>
          <w:szCs w:val="24"/>
        </w:rPr>
        <w:t>характеризовались</w:t>
      </w:r>
      <w:r w:rsidR="006C680D" w:rsidRPr="00D337FA">
        <w:rPr>
          <w:szCs w:val="24"/>
        </w:rPr>
        <w:t xml:space="preserve"> </w:t>
      </w:r>
      <w:r w:rsidRPr="00D337FA">
        <w:rPr>
          <w:szCs w:val="24"/>
        </w:rPr>
        <w:t>в</w:t>
      </w:r>
      <w:r w:rsidR="006C680D" w:rsidRPr="00D337FA">
        <w:rPr>
          <w:szCs w:val="24"/>
        </w:rPr>
        <w:t xml:space="preserve"> </w:t>
      </w:r>
      <w:r w:rsidRPr="00D337FA">
        <w:rPr>
          <w:szCs w:val="24"/>
        </w:rPr>
        <w:t>большей</w:t>
      </w:r>
      <w:r w:rsidR="006C680D" w:rsidRPr="00D337FA">
        <w:rPr>
          <w:szCs w:val="24"/>
        </w:rPr>
        <w:t xml:space="preserve"> </w:t>
      </w:r>
      <w:r w:rsidRPr="00D337FA">
        <w:rPr>
          <w:szCs w:val="24"/>
        </w:rPr>
        <w:t>степени</w:t>
      </w:r>
      <w:r w:rsidR="006C680D" w:rsidRPr="00D337FA">
        <w:rPr>
          <w:szCs w:val="24"/>
        </w:rPr>
        <w:t xml:space="preserve"> </w:t>
      </w:r>
      <w:r w:rsidRPr="00D337FA">
        <w:rPr>
          <w:szCs w:val="24"/>
        </w:rPr>
        <w:t>периодом</w:t>
      </w:r>
      <w:r w:rsidR="006C680D" w:rsidRPr="00D337FA">
        <w:rPr>
          <w:szCs w:val="24"/>
        </w:rPr>
        <w:t xml:space="preserve"> </w:t>
      </w:r>
      <w:r w:rsidRPr="00D337FA">
        <w:rPr>
          <w:szCs w:val="24"/>
        </w:rPr>
        <w:t>стабильности</w:t>
      </w:r>
      <w:r w:rsidR="006C680D" w:rsidRPr="00D337FA">
        <w:rPr>
          <w:szCs w:val="24"/>
        </w:rPr>
        <w:t xml:space="preserve"> </w:t>
      </w:r>
      <w:r w:rsidRPr="00D337FA">
        <w:rPr>
          <w:szCs w:val="24"/>
        </w:rPr>
        <w:t>с</w:t>
      </w:r>
      <w:r w:rsidR="006C680D" w:rsidRPr="00D337FA">
        <w:rPr>
          <w:szCs w:val="24"/>
        </w:rPr>
        <w:t xml:space="preserve"> </w:t>
      </w:r>
      <w:r w:rsidRPr="00D337FA">
        <w:rPr>
          <w:szCs w:val="24"/>
        </w:rPr>
        <w:t>минимальными</w:t>
      </w:r>
      <w:r w:rsidR="006C680D" w:rsidRPr="00D337FA">
        <w:rPr>
          <w:szCs w:val="24"/>
        </w:rPr>
        <w:t xml:space="preserve"> </w:t>
      </w:r>
      <w:r w:rsidRPr="00D337FA">
        <w:rPr>
          <w:szCs w:val="24"/>
        </w:rPr>
        <w:t>изменениями,</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события</w:t>
      </w:r>
      <w:r w:rsidR="006C680D" w:rsidRPr="00D337FA">
        <w:rPr>
          <w:szCs w:val="24"/>
        </w:rPr>
        <w:t xml:space="preserve"> </w:t>
      </w:r>
      <w:r w:rsidRPr="00D337FA">
        <w:rPr>
          <w:szCs w:val="24"/>
        </w:rPr>
        <w:t>2022</w:t>
      </w:r>
      <w:r w:rsidR="006C680D" w:rsidRPr="00D337FA">
        <w:rPr>
          <w:szCs w:val="24"/>
        </w:rPr>
        <w:t xml:space="preserve"> </w:t>
      </w:r>
      <w:r w:rsidRPr="00D337FA">
        <w:rPr>
          <w:szCs w:val="24"/>
        </w:rPr>
        <w:t>года</w:t>
      </w:r>
      <w:r w:rsidR="006C680D" w:rsidRPr="00D337FA">
        <w:rPr>
          <w:szCs w:val="24"/>
        </w:rPr>
        <w:t xml:space="preserve"> </w:t>
      </w:r>
      <w:r w:rsidRPr="00D337FA">
        <w:rPr>
          <w:szCs w:val="24"/>
        </w:rPr>
        <w:t>послужили</w:t>
      </w:r>
      <w:r w:rsidR="006C680D" w:rsidRPr="00D337FA">
        <w:rPr>
          <w:szCs w:val="24"/>
        </w:rPr>
        <w:t xml:space="preserve"> </w:t>
      </w:r>
      <w:r w:rsidRPr="00D337FA">
        <w:rPr>
          <w:szCs w:val="24"/>
        </w:rPr>
        <w:t>отправной</w:t>
      </w:r>
      <w:r w:rsidR="006C680D" w:rsidRPr="00D337FA">
        <w:rPr>
          <w:szCs w:val="24"/>
        </w:rPr>
        <w:t xml:space="preserve"> </w:t>
      </w:r>
      <w:r w:rsidRPr="00D337FA">
        <w:rPr>
          <w:szCs w:val="24"/>
        </w:rPr>
        <w:t>точкой</w:t>
      </w:r>
      <w:r w:rsidR="006C680D" w:rsidRPr="00D337FA">
        <w:rPr>
          <w:szCs w:val="24"/>
        </w:rPr>
        <w:t xml:space="preserve"> </w:t>
      </w:r>
      <w:r w:rsidRPr="00D337FA">
        <w:rPr>
          <w:szCs w:val="24"/>
        </w:rPr>
        <w:t>к</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всей</w:t>
      </w:r>
      <w:r w:rsidR="006C680D" w:rsidRPr="00D337FA">
        <w:rPr>
          <w:szCs w:val="24"/>
        </w:rPr>
        <w:t xml:space="preserve"> </w:t>
      </w:r>
      <w:r w:rsidRPr="00D337FA">
        <w:rPr>
          <w:szCs w:val="24"/>
        </w:rPr>
        <w:t>производственно-продовольственной</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Всего</w:t>
      </w:r>
      <w:r w:rsidR="006C680D" w:rsidRPr="00D337FA">
        <w:rPr>
          <w:szCs w:val="24"/>
        </w:rPr>
        <w:t xml:space="preserve"> </w:t>
      </w:r>
      <w:r w:rsidRPr="00D337FA">
        <w:rPr>
          <w:szCs w:val="24"/>
        </w:rPr>
        <w:t>за</w:t>
      </w:r>
      <w:r w:rsidR="006C680D" w:rsidRPr="00D337FA">
        <w:rPr>
          <w:szCs w:val="24"/>
        </w:rPr>
        <w:t xml:space="preserve"> </w:t>
      </w:r>
      <w:r w:rsidRPr="00D337FA">
        <w:rPr>
          <w:szCs w:val="24"/>
        </w:rPr>
        <w:t>несколько</w:t>
      </w:r>
      <w:r w:rsidR="006C680D" w:rsidRPr="00D337FA">
        <w:rPr>
          <w:szCs w:val="24"/>
        </w:rPr>
        <w:t xml:space="preserve"> </w:t>
      </w:r>
      <w:r w:rsidRPr="00D337FA">
        <w:rPr>
          <w:szCs w:val="24"/>
        </w:rPr>
        <w:t>месяцев</w:t>
      </w:r>
      <w:r w:rsidR="006C680D" w:rsidRPr="00D337FA">
        <w:rPr>
          <w:szCs w:val="24"/>
        </w:rPr>
        <w:t xml:space="preserve"> </w:t>
      </w:r>
      <w:r w:rsidRPr="00D337FA">
        <w:rPr>
          <w:szCs w:val="24"/>
        </w:rPr>
        <w:t>стали</w:t>
      </w:r>
      <w:r w:rsidR="006C680D" w:rsidRPr="00D337FA">
        <w:rPr>
          <w:szCs w:val="24"/>
        </w:rPr>
        <w:t xml:space="preserve"> </w:t>
      </w:r>
      <w:r w:rsidRPr="00D337FA">
        <w:rPr>
          <w:szCs w:val="24"/>
        </w:rPr>
        <w:t>свидетелями,</w:t>
      </w:r>
      <w:r w:rsidR="006C680D" w:rsidRPr="00D337FA">
        <w:rPr>
          <w:szCs w:val="24"/>
        </w:rPr>
        <w:t xml:space="preserve"> </w:t>
      </w:r>
      <w:r w:rsidRPr="00D337FA">
        <w:rPr>
          <w:szCs w:val="24"/>
        </w:rPr>
        <w:t>как</w:t>
      </w:r>
      <w:r w:rsidR="006C680D" w:rsidRPr="00D337FA">
        <w:rPr>
          <w:szCs w:val="24"/>
        </w:rPr>
        <w:t xml:space="preserve"> </w:t>
      </w:r>
      <w:r w:rsidRPr="00D337FA">
        <w:rPr>
          <w:szCs w:val="24"/>
        </w:rPr>
        <w:t>устоявшиеся</w:t>
      </w:r>
      <w:r w:rsidR="006C680D" w:rsidRPr="00D337FA">
        <w:rPr>
          <w:szCs w:val="24"/>
        </w:rPr>
        <w:t xml:space="preserve"> </w:t>
      </w:r>
      <w:r w:rsidRPr="00D337FA">
        <w:rPr>
          <w:szCs w:val="24"/>
        </w:rPr>
        <w:t>долгосрочные</w:t>
      </w:r>
      <w:r w:rsidR="006C680D" w:rsidRPr="00D337FA">
        <w:rPr>
          <w:szCs w:val="24"/>
        </w:rPr>
        <w:t xml:space="preserve"> </w:t>
      </w:r>
      <w:r w:rsidRPr="00D337FA">
        <w:rPr>
          <w:szCs w:val="24"/>
        </w:rPr>
        <w:t>торговые</w:t>
      </w:r>
      <w:r w:rsidR="006C680D" w:rsidRPr="00D337FA">
        <w:rPr>
          <w:szCs w:val="24"/>
        </w:rPr>
        <w:t xml:space="preserve"> </w:t>
      </w:r>
      <w:r w:rsidRPr="00D337FA">
        <w:rPr>
          <w:szCs w:val="24"/>
        </w:rPr>
        <w:t>связи</w:t>
      </w:r>
      <w:r w:rsidR="006C680D" w:rsidRPr="00D337FA">
        <w:rPr>
          <w:szCs w:val="24"/>
        </w:rPr>
        <w:t xml:space="preserve"> </w:t>
      </w:r>
      <w:r w:rsidRPr="00D337FA">
        <w:rPr>
          <w:szCs w:val="24"/>
        </w:rPr>
        <w:t>разрушаются,</w:t>
      </w:r>
      <w:r w:rsidR="006C680D" w:rsidRPr="00D337FA">
        <w:rPr>
          <w:szCs w:val="24"/>
        </w:rPr>
        <w:t xml:space="preserve"> </w:t>
      </w:r>
      <w:r w:rsidRPr="00D337FA">
        <w:rPr>
          <w:szCs w:val="24"/>
        </w:rPr>
        <w:t>вводятся</w:t>
      </w:r>
      <w:r w:rsidR="006C680D" w:rsidRPr="00D337FA">
        <w:rPr>
          <w:szCs w:val="24"/>
        </w:rPr>
        <w:t xml:space="preserve"> </w:t>
      </w:r>
      <w:r w:rsidRPr="00D337FA">
        <w:rPr>
          <w:szCs w:val="24"/>
        </w:rPr>
        <w:t>масштабные</w:t>
      </w:r>
      <w:r w:rsidR="006C680D" w:rsidRPr="00D337FA">
        <w:rPr>
          <w:szCs w:val="24"/>
        </w:rPr>
        <w:t xml:space="preserve"> </w:t>
      </w:r>
      <w:r w:rsidRPr="00D337FA">
        <w:rPr>
          <w:szCs w:val="24"/>
        </w:rPr>
        <w:t>санкции,</w:t>
      </w:r>
      <w:r w:rsidR="006C680D" w:rsidRPr="00D337FA">
        <w:rPr>
          <w:szCs w:val="24"/>
        </w:rPr>
        <w:t xml:space="preserve"> </w:t>
      </w:r>
      <w:r w:rsidRPr="00D337FA">
        <w:rPr>
          <w:szCs w:val="24"/>
        </w:rPr>
        <w:t>доступ</w:t>
      </w:r>
      <w:r w:rsidR="006C680D" w:rsidRPr="00D337FA">
        <w:rPr>
          <w:szCs w:val="24"/>
        </w:rPr>
        <w:t xml:space="preserve"> </w:t>
      </w:r>
      <w:r w:rsidRPr="00D337FA">
        <w:rPr>
          <w:szCs w:val="24"/>
        </w:rPr>
        <w:t>к</w:t>
      </w:r>
      <w:r w:rsidR="006C680D" w:rsidRPr="00D337FA">
        <w:rPr>
          <w:szCs w:val="24"/>
        </w:rPr>
        <w:t xml:space="preserve"> </w:t>
      </w:r>
      <w:r w:rsidRPr="00D337FA">
        <w:rPr>
          <w:szCs w:val="24"/>
        </w:rPr>
        <w:t>мировым</w:t>
      </w:r>
      <w:r w:rsidR="006C680D" w:rsidRPr="00D337FA">
        <w:rPr>
          <w:szCs w:val="24"/>
        </w:rPr>
        <w:t xml:space="preserve"> </w:t>
      </w:r>
      <w:r w:rsidRPr="00D337FA">
        <w:rPr>
          <w:szCs w:val="24"/>
        </w:rPr>
        <w:t>рынкам</w:t>
      </w:r>
      <w:r w:rsidR="006C680D" w:rsidRPr="00D337FA">
        <w:rPr>
          <w:szCs w:val="24"/>
        </w:rPr>
        <w:t xml:space="preserve"> </w:t>
      </w:r>
      <w:r w:rsidRPr="00D337FA">
        <w:rPr>
          <w:szCs w:val="24"/>
        </w:rPr>
        <w:t>сокращается,</w:t>
      </w:r>
      <w:r w:rsidR="006C680D" w:rsidRPr="00D337FA">
        <w:rPr>
          <w:szCs w:val="24"/>
        </w:rPr>
        <w:t xml:space="preserve"> </w:t>
      </w:r>
      <w:r w:rsidRPr="00D337FA">
        <w:rPr>
          <w:szCs w:val="24"/>
        </w:rPr>
        <w:t>а</w:t>
      </w:r>
      <w:r w:rsidR="006C680D" w:rsidRPr="00D337FA">
        <w:rPr>
          <w:szCs w:val="24"/>
        </w:rPr>
        <w:t xml:space="preserve"> </w:t>
      </w:r>
      <w:r w:rsidRPr="00D337FA">
        <w:rPr>
          <w:szCs w:val="24"/>
        </w:rPr>
        <w:t>участники</w:t>
      </w:r>
      <w:r w:rsidR="006C680D" w:rsidRPr="00D337FA">
        <w:rPr>
          <w:szCs w:val="24"/>
        </w:rPr>
        <w:t xml:space="preserve"> </w:t>
      </w:r>
      <w:r w:rsidRPr="00D337FA">
        <w:rPr>
          <w:szCs w:val="24"/>
        </w:rPr>
        <w:t>торгово-посреднических</w:t>
      </w:r>
      <w:r w:rsidR="006C680D" w:rsidRPr="00D337FA">
        <w:rPr>
          <w:szCs w:val="24"/>
        </w:rPr>
        <w:t xml:space="preserve"> </w:t>
      </w:r>
      <w:r w:rsidRPr="00D337FA">
        <w:rPr>
          <w:szCs w:val="24"/>
        </w:rPr>
        <w:t>операций</w:t>
      </w:r>
      <w:r w:rsidR="006C680D" w:rsidRPr="00D337FA">
        <w:rPr>
          <w:szCs w:val="24"/>
        </w:rPr>
        <w:t xml:space="preserve"> </w:t>
      </w:r>
      <w:r w:rsidRPr="00D337FA">
        <w:rPr>
          <w:szCs w:val="24"/>
        </w:rPr>
        <w:t>попадают</w:t>
      </w:r>
      <w:r w:rsidR="006C680D" w:rsidRPr="00D337FA">
        <w:rPr>
          <w:szCs w:val="24"/>
        </w:rPr>
        <w:t xml:space="preserve"> </w:t>
      </w:r>
      <w:r w:rsidRPr="00D337FA">
        <w:rPr>
          <w:szCs w:val="24"/>
        </w:rPr>
        <w:t>в</w:t>
      </w:r>
      <w:r w:rsidR="006C680D" w:rsidRPr="00D337FA">
        <w:rPr>
          <w:szCs w:val="24"/>
        </w:rPr>
        <w:t xml:space="preserve"> </w:t>
      </w:r>
      <w:r w:rsidRPr="00D337FA">
        <w:rPr>
          <w:szCs w:val="24"/>
        </w:rPr>
        <w:t>затруднительное</w:t>
      </w:r>
      <w:r w:rsidR="006C680D" w:rsidRPr="00D337FA">
        <w:rPr>
          <w:szCs w:val="24"/>
        </w:rPr>
        <w:t xml:space="preserve"> </w:t>
      </w:r>
      <w:r w:rsidRPr="00D337FA">
        <w:rPr>
          <w:szCs w:val="24"/>
        </w:rPr>
        <w:t>финансовое</w:t>
      </w:r>
      <w:r w:rsidR="006C680D" w:rsidRPr="00D337FA">
        <w:rPr>
          <w:szCs w:val="24"/>
        </w:rPr>
        <w:t xml:space="preserve"> </w:t>
      </w:r>
      <w:r w:rsidRPr="00D337FA">
        <w:rPr>
          <w:szCs w:val="24"/>
        </w:rPr>
        <w:t>положение.</w:t>
      </w:r>
      <w:r w:rsidR="006C680D" w:rsidRPr="00D337FA">
        <w:rPr>
          <w:szCs w:val="24"/>
        </w:rPr>
        <w:t xml:space="preserve"> </w:t>
      </w:r>
      <w:r w:rsidRPr="00D337FA">
        <w:rPr>
          <w:szCs w:val="24"/>
        </w:rPr>
        <w:t>Формирующиеся</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мирового</w:t>
      </w:r>
      <w:r w:rsidR="006C680D" w:rsidRPr="00D337FA">
        <w:rPr>
          <w:szCs w:val="24"/>
        </w:rPr>
        <w:t xml:space="preserve"> </w:t>
      </w:r>
      <w:r w:rsidRPr="00D337FA">
        <w:rPr>
          <w:szCs w:val="24"/>
        </w:rPr>
        <w:t>рынка</w:t>
      </w:r>
      <w:r w:rsidR="006C680D" w:rsidRPr="00D337FA">
        <w:rPr>
          <w:szCs w:val="24"/>
        </w:rPr>
        <w:t xml:space="preserve"> </w:t>
      </w:r>
      <w:r w:rsidRPr="00D337FA">
        <w:rPr>
          <w:szCs w:val="24"/>
        </w:rPr>
        <w:t>делают</w:t>
      </w:r>
      <w:r w:rsidR="006C680D" w:rsidRPr="00D337FA">
        <w:rPr>
          <w:szCs w:val="24"/>
        </w:rPr>
        <w:t xml:space="preserve"> </w:t>
      </w:r>
      <w:r w:rsidRPr="00D337FA">
        <w:rPr>
          <w:szCs w:val="24"/>
        </w:rPr>
        <w:t>ранее</w:t>
      </w:r>
      <w:r w:rsidR="006C680D" w:rsidRPr="00D337FA">
        <w:rPr>
          <w:szCs w:val="24"/>
        </w:rPr>
        <w:t xml:space="preserve"> </w:t>
      </w:r>
      <w:r w:rsidRPr="00D337FA">
        <w:rPr>
          <w:szCs w:val="24"/>
        </w:rPr>
        <w:t>недоступные</w:t>
      </w:r>
      <w:r w:rsidR="006C680D" w:rsidRPr="00D337FA">
        <w:rPr>
          <w:szCs w:val="24"/>
        </w:rPr>
        <w:t xml:space="preserve"> </w:t>
      </w:r>
      <w:r w:rsidRPr="00D337FA">
        <w:rPr>
          <w:szCs w:val="24"/>
        </w:rPr>
        <w:t>вещи</w:t>
      </w:r>
      <w:r w:rsidR="006C680D" w:rsidRPr="00D337FA">
        <w:rPr>
          <w:szCs w:val="24"/>
        </w:rPr>
        <w:t xml:space="preserve"> </w:t>
      </w:r>
      <w:r w:rsidRPr="00D337FA">
        <w:rPr>
          <w:szCs w:val="24"/>
        </w:rPr>
        <w:t>(товар</w:t>
      </w:r>
      <w:r w:rsidR="006C680D" w:rsidRPr="00D337FA">
        <w:rPr>
          <w:szCs w:val="24"/>
        </w:rPr>
        <w:t xml:space="preserve"> </w:t>
      </w:r>
      <w:r w:rsidRPr="00D337FA">
        <w:rPr>
          <w:szCs w:val="24"/>
        </w:rPr>
        <w:t>или</w:t>
      </w:r>
      <w:r w:rsidR="006C680D" w:rsidRPr="00D337FA">
        <w:rPr>
          <w:szCs w:val="24"/>
        </w:rPr>
        <w:t xml:space="preserve"> </w:t>
      </w:r>
      <w:r w:rsidRPr="00D337FA">
        <w:rPr>
          <w:szCs w:val="24"/>
        </w:rPr>
        <w:t>услугу)</w:t>
      </w:r>
      <w:r w:rsidR="006C680D" w:rsidRPr="00D337FA">
        <w:rPr>
          <w:szCs w:val="24"/>
        </w:rPr>
        <w:t xml:space="preserve"> </w:t>
      </w:r>
      <w:r w:rsidRPr="00D337FA">
        <w:rPr>
          <w:szCs w:val="24"/>
        </w:rPr>
        <w:t>стратегическим</w:t>
      </w:r>
      <w:r w:rsidR="006C680D" w:rsidRPr="00D337FA">
        <w:rPr>
          <w:szCs w:val="24"/>
        </w:rPr>
        <w:t xml:space="preserve"> </w:t>
      </w:r>
      <w:r w:rsidRPr="00D337FA">
        <w:rPr>
          <w:szCs w:val="24"/>
        </w:rPr>
        <w:t>ресурсом,</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определяет</w:t>
      </w:r>
      <w:r w:rsidR="006C680D" w:rsidRPr="00D337FA">
        <w:rPr>
          <w:szCs w:val="24"/>
        </w:rPr>
        <w:t xml:space="preserve"> </w:t>
      </w:r>
      <w:r w:rsidRPr="00D337FA">
        <w:rPr>
          <w:szCs w:val="24"/>
        </w:rPr>
        <w:t>влияние</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на</w:t>
      </w:r>
      <w:r w:rsidR="006C680D" w:rsidRPr="00D337FA">
        <w:rPr>
          <w:szCs w:val="24"/>
        </w:rPr>
        <w:t xml:space="preserve"> </w:t>
      </w:r>
      <w:r w:rsidRPr="00D337FA">
        <w:rPr>
          <w:szCs w:val="24"/>
        </w:rPr>
        <w:t>мировой</w:t>
      </w:r>
      <w:r w:rsidR="006C680D" w:rsidRPr="00D337FA">
        <w:rPr>
          <w:szCs w:val="24"/>
        </w:rPr>
        <w:t xml:space="preserve"> </w:t>
      </w:r>
      <w:r w:rsidRPr="00D337FA">
        <w:rPr>
          <w:szCs w:val="24"/>
        </w:rPr>
        <w:t>арене.</w:t>
      </w:r>
      <w:r w:rsidR="006C680D" w:rsidRPr="00D337FA">
        <w:rPr>
          <w:szCs w:val="24"/>
        </w:rPr>
        <w:t xml:space="preserve"> </w:t>
      </w:r>
      <w:r w:rsidRPr="00D337FA">
        <w:rPr>
          <w:szCs w:val="24"/>
        </w:rPr>
        <w:t>Одним</w:t>
      </w:r>
      <w:r w:rsidR="006C680D" w:rsidRPr="00D337FA">
        <w:rPr>
          <w:szCs w:val="24"/>
        </w:rPr>
        <w:t xml:space="preserve"> </w:t>
      </w:r>
      <w:r w:rsidRPr="00D337FA">
        <w:rPr>
          <w:szCs w:val="24"/>
        </w:rPr>
        <w:t>из</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по</w:t>
      </w:r>
      <w:r w:rsidR="006C680D" w:rsidRPr="00D337FA">
        <w:rPr>
          <w:szCs w:val="24"/>
        </w:rPr>
        <w:t xml:space="preserve"> </w:t>
      </w:r>
      <w:r w:rsidRPr="00D337FA">
        <w:rPr>
          <w:szCs w:val="24"/>
        </w:rPr>
        <w:t>праву</w:t>
      </w:r>
      <w:r w:rsidR="006C680D" w:rsidRPr="00D337FA">
        <w:rPr>
          <w:szCs w:val="24"/>
        </w:rPr>
        <w:t xml:space="preserve"> </w:t>
      </w:r>
      <w:r w:rsidRPr="00D337FA">
        <w:rPr>
          <w:szCs w:val="24"/>
        </w:rPr>
        <w:t>становится</w:t>
      </w:r>
      <w:r w:rsidR="006C680D" w:rsidRPr="00D337FA">
        <w:rPr>
          <w:szCs w:val="24"/>
        </w:rPr>
        <w:t xml:space="preserve"> </w:t>
      </w:r>
      <w:r w:rsidRPr="00D337FA">
        <w:rPr>
          <w:szCs w:val="24"/>
        </w:rPr>
        <w:t>–</w:t>
      </w:r>
      <w:r w:rsidR="006C680D" w:rsidRPr="00D337FA">
        <w:rPr>
          <w:szCs w:val="24"/>
        </w:rPr>
        <w:t xml:space="preserve"> </w:t>
      </w:r>
      <w:r w:rsidRPr="00D337FA">
        <w:rPr>
          <w:szCs w:val="24"/>
        </w:rPr>
        <w:t>продовольствие,</w:t>
      </w:r>
      <w:r w:rsidR="006C680D" w:rsidRPr="00D337FA">
        <w:rPr>
          <w:szCs w:val="24"/>
        </w:rPr>
        <w:t xml:space="preserve"> </w:t>
      </w:r>
      <w:r w:rsidRPr="00D337FA">
        <w:rPr>
          <w:szCs w:val="24"/>
        </w:rPr>
        <w:t>являясь</w:t>
      </w:r>
      <w:r w:rsidR="006C680D" w:rsidRPr="00D337FA">
        <w:rPr>
          <w:szCs w:val="24"/>
        </w:rPr>
        <w:t xml:space="preserve"> </w:t>
      </w:r>
      <w:r w:rsidRPr="00D337FA">
        <w:rPr>
          <w:szCs w:val="24"/>
        </w:rPr>
        <w:t>не</w:t>
      </w:r>
      <w:r w:rsidR="006C680D" w:rsidRPr="00D337FA">
        <w:rPr>
          <w:szCs w:val="24"/>
        </w:rPr>
        <w:t xml:space="preserve"> </w:t>
      </w:r>
      <w:r w:rsidRPr="00D337FA">
        <w:rPr>
          <w:szCs w:val="24"/>
        </w:rPr>
        <w:t>просто</w:t>
      </w:r>
      <w:r w:rsidR="006C680D" w:rsidRPr="00D337FA">
        <w:rPr>
          <w:szCs w:val="24"/>
        </w:rPr>
        <w:t xml:space="preserve"> </w:t>
      </w:r>
      <w:r w:rsidRPr="00D337FA">
        <w:rPr>
          <w:szCs w:val="24"/>
        </w:rPr>
        <w:t>элементом</w:t>
      </w:r>
      <w:r w:rsidR="006C680D" w:rsidRPr="00D337FA">
        <w:rPr>
          <w:szCs w:val="24"/>
        </w:rPr>
        <w:t xml:space="preserve"> </w:t>
      </w:r>
      <w:r w:rsidRPr="00D337FA">
        <w:rPr>
          <w:szCs w:val="24"/>
        </w:rPr>
        <w:t>социальной</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а</w:t>
      </w:r>
      <w:r w:rsidR="006C680D" w:rsidRPr="00D337FA">
        <w:rPr>
          <w:szCs w:val="24"/>
        </w:rPr>
        <w:t xml:space="preserve"> </w:t>
      </w:r>
      <w:r w:rsidRPr="00D337FA">
        <w:rPr>
          <w:szCs w:val="24"/>
        </w:rPr>
        <w:t>фундаментальным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национальной</w:t>
      </w:r>
      <w:r w:rsidR="006C680D" w:rsidRPr="00D337FA">
        <w:rPr>
          <w:szCs w:val="24"/>
        </w:rPr>
        <w:t xml:space="preserve"> </w:t>
      </w:r>
      <w:r w:rsidRPr="00D337FA">
        <w:rPr>
          <w:szCs w:val="24"/>
        </w:rPr>
        <w:t>продовольственной</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Так,</w:t>
      </w:r>
      <w:r w:rsidR="006C680D" w:rsidRPr="00D337FA">
        <w:rPr>
          <w:szCs w:val="24"/>
        </w:rPr>
        <w:t xml:space="preserve"> </w:t>
      </w:r>
      <w:r w:rsidRPr="00D337FA">
        <w:rPr>
          <w:szCs w:val="24"/>
        </w:rPr>
        <w:t>когда</w:t>
      </w:r>
      <w:r w:rsidR="006C680D" w:rsidRPr="00D337FA">
        <w:rPr>
          <w:szCs w:val="24"/>
        </w:rPr>
        <w:t xml:space="preserve"> </w:t>
      </w:r>
      <w:r w:rsidRPr="00D337FA">
        <w:rPr>
          <w:szCs w:val="24"/>
        </w:rPr>
        <w:t>глобальные</w:t>
      </w:r>
      <w:r w:rsidR="006C680D" w:rsidRPr="00D337FA">
        <w:rPr>
          <w:szCs w:val="24"/>
        </w:rPr>
        <w:t xml:space="preserve"> </w:t>
      </w:r>
      <w:r w:rsidRPr="00D337FA">
        <w:rPr>
          <w:szCs w:val="24"/>
        </w:rPr>
        <w:t>рынки</w:t>
      </w:r>
      <w:r w:rsidR="006C680D" w:rsidRPr="00D337FA">
        <w:rPr>
          <w:szCs w:val="24"/>
        </w:rPr>
        <w:t xml:space="preserve"> </w:t>
      </w:r>
      <w:r w:rsidRPr="00D337FA">
        <w:rPr>
          <w:szCs w:val="24"/>
        </w:rPr>
        <w:t>находятся</w:t>
      </w:r>
      <w:r w:rsidR="006C680D" w:rsidRPr="00D337FA">
        <w:rPr>
          <w:szCs w:val="24"/>
        </w:rPr>
        <w:t xml:space="preserve"> </w:t>
      </w:r>
      <w:r w:rsidRPr="00D337FA">
        <w:rPr>
          <w:szCs w:val="24"/>
        </w:rPr>
        <w:t>в</w:t>
      </w:r>
      <w:r w:rsidR="006C680D" w:rsidRPr="00D337FA">
        <w:rPr>
          <w:szCs w:val="24"/>
        </w:rPr>
        <w:t xml:space="preserve"> </w:t>
      </w:r>
      <w:r w:rsidRPr="00D337FA">
        <w:rPr>
          <w:szCs w:val="24"/>
        </w:rPr>
        <w:t>неустойчивом</w:t>
      </w:r>
      <w:r w:rsidR="006C680D" w:rsidRPr="00D337FA">
        <w:rPr>
          <w:szCs w:val="24"/>
        </w:rPr>
        <w:t xml:space="preserve"> </w:t>
      </w:r>
      <w:r w:rsidRPr="00D337FA">
        <w:rPr>
          <w:szCs w:val="24"/>
        </w:rPr>
        <w:t>состоянии,</w:t>
      </w:r>
      <w:r w:rsidR="006C680D" w:rsidRPr="00D337FA">
        <w:rPr>
          <w:szCs w:val="24"/>
        </w:rPr>
        <w:t xml:space="preserve"> </w:t>
      </w:r>
      <w:r w:rsidRPr="00D337FA">
        <w:rPr>
          <w:szCs w:val="24"/>
        </w:rPr>
        <w:t>страна</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быть</w:t>
      </w:r>
      <w:r w:rsidR="006C680D" w:rsidRPr="00D337FA">
        <w:rPr>
          <w:szCs w:val="24"/>
        </w:rPr>
        <w:t xml:space="preserve"> </w:t>
      </w:r>
      <w:r w:rsidRPr="00D337FA">
        <w:rPr>
          <w:szCs w:val="24"/>
        </w:rPr>
        <w:t>способна</w:t>
      </w:r>
      <w:r w:rsidR="006C680D" w:rsidRPr="00D337FA">
        <w:rPr>
          <w:szCs w:val="24"/>
        </w:rPr>
        <w:t xml:space="preserve"> </w:t>
      </w:r>
      <w:r w:rsidRPr="00D337FA">
        <w:rPr>
          <w:szCs w:val="24"/>
        </w:rPr>
        <w:t>самостоятельно</w:t>
      </w:r>
      <w:r w:rsidR="006C680D" w:rsidRPr="00D337FA">
        <w:rPr>
          <w:szCs w:val="24"/>
        </w:rPr>
        <w:t xml:space="preserve"> </w:t>
      </w:r>
      <w:r w:rsidRPr="00D337FA">
        <w:rPr>
          <w:szCs w:val="24"/>
        </w:rPr>
        <w:t>обеспечить</w:t>
      </w:r>
      <w:r w:rsidR="006C680D" w:rsidRPr="00D337FA">
        <w:rPr>
          <w:szCs w:val="24"/>
        </w:rPr>
        <w:t xml:space="preserve"> </w:t>
      </w:r>
      <w:r w:rsidRPr="00D337FA">
        <w:rPr>
          <w:szCs w:val="24"/>
        </w:rPr>
        <w:t>население</w:t>
      </w:r>
      <w:r w:rsidR="006C680D" w:rsidRPr="00D337FA">
        <w:rPr>
          <w:szCs w:val="24"/>
        </w:rPr>
        <w:t xml:space="preserve"> </w:t>
      </w:r>
      <w:r w:rsidRPr="00D337FA">
        <w:rPr>
          <w:szCs w:val="24"/>
        </w:rPr>
        <w:t>продуктами</w:t>
      </w:r>
      <w:r w:rsidR="006C680D" w:rsidRPr="00D337FA">
        <w:rPr>
          <w:szCs w:val="24"/>
        </w:rPr>
        <w:t xml:space="preserve"> </w:t>
      </w:r>
      <w:r w:rsidRPr="00D337FA">
        <w:rPr>
          <w:szCs w:val="24"/>
        </w:rPr>
        <w:t>питания,</w:t>
      </w:r>
      <w:r w:rsidR="006C680D" w:rsidRPr="00D337FA">
        <w:rPr>
          <w:szCs w:val="24"/>
        </w:rPr>
        <w:t xml:space="preserve"> </w:t>
      </w:r>
      <w:r w:rsidRPr="00D337FA">
        <w:rPr>
          <w:szCs w:val="24"/>
        </w:rPr>
        <w:t>полностью</w:t>
      </w:r>
      <w:r w:rsidR="006C680D" w:rsidRPr="00D337FA">
        <w:rPr>
          <w:szCs w:val="24"/>
        </w:rPr>
        <w:t xml:space="preserve"> </w:t>
      </w:r>
      <w:r w:rsidRPr="00D337FA">
        <w:rPr>
          <w:szCs w:val="24"/>
        </w:rPr>
        <w:t>исключая</w:t>
      </w:r>
      <w:r w:rsidR="006C680D" w:rsidRPr="00D337FA">
        <w:rPr>
          <w:szCs w:val="24"/>
        </w:rPr>
        <w:t xml:space="preserve"> </w:t>
      </w:r>
      <w:r w:rsidRPr="00D337FA">
        <w:rPr>
          <w:szCs w:val="24"/>
        </w:rPr>
        <w:t>импортные</w:t>
      </w:r>
      <w:r w:rsidR="006C680D" w:rsidRPr="00D337FA">
        <w:rPr>
          <w:szCs w:val="24"/>
        </w:rPr>
        <w:t xml:space="preserve"> </w:t>
      </w:r>
      <w:r w:rsidRPr="00D337FA">
        <w:rPr>
          <w:szCs w:val="24"/>
        </w:rPr>
        <w:t>поставки,</w:t>
      </w:r>
      <w:r w:rsidR="006C680D" w:rsidRPr="00D337FA">
        <w:rPr>
          <w:szCs w:val="24"/>
        </w:rPr>
        <w:t xml:space="preserve"> </w:t>
      </w:r>
      <w:r w:rsidRPr="00D337FA">
        <w:rPr>
          <w:szCs w:val="24"/>
        </w:rPr>
        <w:t>что</w:t>
      </w:r>
      <w:r w:rsidR="006C680D" w:rsidRPr="00D337FA">
        <w:rPr>
          <w:szCs w:val="24"/>
        </w:rPr>
        <w:t xml:space="preserve"> </w:t>
      </w:r>
      <w:r w:rsidRPr="00D337FA">
        <w:rPr>
          <w:szCs w:val="24"/>
        </w:rPr>
        <w:t>делает</w:t>
      </w:r>
      <w:r w:rsidR="006C680D" w:rsidRPr="00D337FA">
        <w:rPr>
          <w:szCs w:val="24"/>
        </w:rPr>
        <w:t xml:space="preserve"> </w:t>
      </w:r>
      <w:r w:rsidRPr="00D337FA">
        <w:rPr>
          <w:szCs w:val="24"/>
        </w:rPr>
        <w:t>этот</w:t>
      </w:r>
      <w:r w:rsidR="006C680D" w:rsidRPr="00D337FA">
        <w:rPr>
          <w:szCs w:val="24"/>
        </w:rPr>
        <w:t xml:space="preserve"> </w:t>
      </w:r>
      <w:r w:rsidRPr="00D337FA">
        <w:rPr>
          <w:szCs w:val="24"/>
        </w:rPr>
        <w:t>вопрос</w:t>
      </w:r>
      <w:r w:rsidR="006C680D" w:rsidRPr="00D337FA">
        <w:rPr>
          <w:szCs w:val="24"/>
        </w:rPr>
        <w:t xml:space="preserve"> </w:t>
      </w:r>
      <w:r w:rsidRPr="00D337FA">
        <w:rPr>
          <w:szCs w:val="24"/>
        </w:rPr>
        <w:t>объектом</w:t>
      </w:r>
      <w:r w:rsidR="006C680D" w:rsidRPr="00D337FA">
        <w:rPr>
          <w:szCs w:val="24"/>
        </w:rPr>
        <w:t xml:space="preserve"> </w:t>
      </w:r>
      <w:r w:rsidRPr="00D337FA">
        <w:rPr>
          <w:szCs w:val="24"/>
        </w:rPr>
        <w:t>национальной</w:t>
      </w:r>
      <w:r w:rsidR="006C680D" w:rsidRPr="00D337FA">
        <w:rPr>
          <w:szCs w:val="24"/>
        </w:rPr>
        <w:t xml:space="preserve"> </w:t>
      </w:r>
      <w:r w:rsidRPr="00D337FA">
        <w:rPr>
          <w:szCs w:val="24"/>
        </w:rPr>
        <w:t>важности.</w:t>
      </w:r>
      <w:r w:rsidR="006C680D" w:rsidRPr="00D337FA">
        <w:rPr>
          <w:szCs w:val="24"/>
        </w:rPr>
        <w:t xml:space="preserve"> </w:t>
      </w:r>
    </w:p>
    <w:p w:rsidR="00CC397F" w:rsidRPr="00D337FA" w:rsidRDefault="00CC397F" w:rsidP="00544DD6">
      <w:pPr>
        <w:ind w:firstLine="284"/>
        <w:rPr>
          <w:szCs w:val="24"/>
        </w:rPr>
      </w:pPr>
      <w:r w:rsidRPr="00D337FA">
        <w:rPr>
          <w:szCs w:val="24"/>
        </w:rPr>
        <w:t>Современная</w:t>
      </w:r>
      <w:r w:rsidR="006C680D" w:rsidRPr="00D337FA">
        <w:rPr>
          <w:szCs w:val="24"/>
        </w:rPr>
        <w:t xml:space="preserve"> </w:t>
      </w:r>
      <w:r w:rsidRPr="00D337FA">
        <w:rPr>
          <w:szCs w:val="24"/>
        </w:rPr>
        <w:t>трансформация</w:t>
      </w:r>
      <w:r w:rsidR="006C680D" w:rsidRPr="00D337FA">
        <w:rPr>
          <w:szCs w:val="24"/>
        </w:rPr>
        <w:t xml:space="preserve"> </w:t>
      </w:r>
      <w:r w:rsidRPr="00D337FA">
        <w:rPr>
          <w:szCs w:val="24"/>
        </w:rPr>
        <w:t>глобальных</w:t>
      </w:r>
      <w:r w:rsidR="006C680D" w:rsidRPr="00D337FA">
        <w:rPr>
          <w:szCs w:val="24"/>
        </w:rPr>
        <w:t xml:space="preserve"> </w:t>
      </w:r>
      <w:r w:rsidRPr="00D337FA">
        <w:rPr>
          <w:szCs w:val="24"/>
        </w:rPr>
        <w:t>рынков</w:t>
      </w:r>
      <w:r w:rsidR="006C680D" w:rsidRPr="00D337FA">
        <w:rPr>
          <w:szCs w:val="24"/>
        </w:rPr>
        <w:t xml:space="preserve"> </w:t>
      </w:r>
      <w:r w:rsidRPr="00D337FA">
        <w:rPr>
          <w:szCs w:val="24"/>
        </w:rPr>
        <w:t>характеризуется</w:t>
      </w:r>
      <w:r w:rsidR="006C680D" w:rsidRPr="00D337FA">
        <w:rPr>
          <w:szCs w:val="24"/>
        </w:rPr>
        <w:t xml:space="preserve"> </w:t>
      </w:r>
      <w:r w:rsidRPr="00D337FA">
        <w:rPr>
          <w:szCs w:val="24"/>
        </w:rPr>
        <w:t>повышением</w:t>
      </w:r>
      <w:r w:rsidR="006C680D" w:rsidRPr="00D337FA">
        <w:rPr>
          <w:szCs w:val="24"/>
        </w:rPr>
        <w:t xml:space="preserve"> </w:t>
      </w:r>
      <w:r w:rsidRPr="00D337FA">
        <w:rPr>
          <w:szCs w:val="24"/>
        </w:rPr>
        <w:t>внимания</w:t>
      </w:r>
      <w:r w:rsidR="006C680D" w:rsidRPr="00D337FA">
        <w:rPr>
          <w:szCs w:val="24"/>
        </w:rPr>
        <w:t xml:space="preserve"> </w:t>
      </w:r>
      <w:r w:rsidRPr="00D337FA">
        <w:rPr>
          <w:szCs w:val="24"/>
        </w:rPr>
        <w:t>конкуренции</w:t>
      </w:r>
      <w:r w:rsidR="006C680D" w:rsidRPr="00D337FA">
        <w:rPr>
          <w:szCs w:val="24"/>
        </w:rPr>
        <w:t xml:space="preserve"> </w:t>
      </w:r>
      <w:r w:rsidRPr="00D337FA">
        <w:rPr>
          <w:szCs w:val="24"/>
        </w:rPr>
        <w:t>на</w:t>
      </w:r>
      <w:r w:rsidR="006C680D" w:rsidRPr="00D337FA">
        <w:rPr>
          <w:szCs w:val="24"/>
        </w:rPr>
        <w:t xml:space="preserve"> </w:t>
      </w:r>
      <w:r w:rsidRPr="00D337FA">
        <w:rPr>
          <w:szCs w:val="24"/>
        </w:rPr>
        <w:t>агропродовольственных</w:t>
      </w:r>
      <w:r w:rsidR="006C680D" w:rsidRPr="00D337FA">
        <w:rPr>
          <w:szCs w:val="24"/>
        </w:rPr>
        <w:t xml:space="preserve"> </w:t>
      </w:r>
      <w:r w:rsidRPr="00D337FA">
        <w:rPr>
          <w:szCs w:val="24"/>
        </w:rPr>
        <w:t>рынках,</w:t>
      </w:r>
      <w:r w:rsidR="006C680D" w:rsidRPr="00D337FA">
        <w:rPr>
          <w:szCs w:val="24"/>
        </w:rPr>
        <w:t xml:space="preserve"> </w:t>
      </w:r>
      <w:r w:rsidRPr="00D337FA">
        <w:rPr>
          <w:szCs w:val="24"/>
        </w:rPr>
        <w:t>усилением</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протекционизма</w:t>
      </w:r>
      <w:r w:rsidR="006C680D" w:rsidRPr="00D337FA">
        <w:rPr>
          <w:szCs w:val="24"/>
        </w:rPr>
        <w:t xml:space="preserve"> </w:t>
      </w:r>
      <w:r w:rsidRPr="00D337FA">
        <w:rPr>
          <w:szCs w:val="24"/>
        </w:rPr>
        <w:t>и</w:t>
      </w:r>
      <w:r w:rsidR="006C680D" w:rsidRPr="00D337FA">
        <w:rPr>
          <w:szCs w:val="24"/>
        </w:rPr>
        <w:t xml:space="preserve"> </w:t>
      </w:r>
      <w:r w:rsidRPr="00D337FA">
        <w:rPr>
          <w:szCs w:val="24"/>
        </w:rPr>
        <w:t>геоэкономической</w:t>
      </w:r>
      <w:r w:rsidR="006C680D" w:rsidRPr="00D337FA">
        <w:rPr>
          <w:szCs w:val="24"/>
        </w:rPr>
        <w:t xml:space="preserve"> </w:t>
      </w:r>
      <w:r w:rsidRPr="00D337FA">
        <w:rPr>
          <w:szCs w:val="24"/>
        </w:rPr>
        <w:t>устойчивости.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этих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государственная</w:t>
      </w:r>
      <w:r w:rsidR="006C680D" w:rsidRPr="00D337FA">
        <w:rPr>
          <w:szCs w:val="24"/>
        </w:rPr>
        <w:t xml:space="preserve"> </w:t>
      </w:r>
      <w:r w:rsidRPr="00D337FA">
        <w:rPr>
          <w:szCs w:val="24"/>
        </w:rPr>
        <w:t>поддержка</w:t>
      </w:r>
      <w:r w:rsidR="006C680D" w:rsidRPr="00D337FA">
        <w:rPr>
          <w:szCs w:val="24"/>
        </w:rPr>
        <w:t xml:space="preserve"> </w:t>
      </w:r>
      <w:r w:rsidRPr="00D337FA">
        <w:rPr>
          <w:szCs w:val="24"/>
        </w:rPr>
        <w:t>становится</w:t>
      </w:r>
      <w:r w:rsidR="006C680D" w:rsidRPr="00D337FA">
        <w:rPr>
          <w:szCs w:val="24"/>
        </w:rPr>
        <w:t xml:space="preserve"> </w:t>
      </w:r>
      <w:r w:rsidRPr="00D337FA">
        <w:rPr>
          <w:szCs w:val="24"/>
        </w:rPr>
        <w:t>важнейшим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устойчивого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АПК,</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всей</w:t>
      </w:r>
      <w:r w:rsidR="006C680D" w:rsidRPr="00D337FA">
        <w:rPr>
          <w:szCs w:val="24"/>
        </w:rPr>
        <w:t xml:space="preserve"> </w:t>
      </w:r>
      <w:r w:rsidRPr="00D337FA">
        <w:rPr>
          <w:szCs w:val="24"/>
        </w:rPr>
        <w:t>экономики.</w:t>
      </w:r>
      <w:r w:rsidR="006C680D" w:rsidRPr="00D337FA">
        <w:rPr>
          <w:szCs w:val="24"/>
        </w:rPr>
        <w:t xml:space="preserve"> </w:t>
      </w:r>
      <w:r w:rsidRPr="00D337FA">
        <w:rPr>
          <w:szCs w:val="24"/>
        </w:rPr>
        <w:t>Особое</w:t>
      </w:r>
      <w:r w:rsidR="006C680D" w:rsidRPr="00D337FA">
        <w:rPr>
          <w:szCs w:val="24"/>
        </w:rPr>
        <w:t xml:space="preserve"> </w:t>
      </w:r>
      <w:r w:rsidRPr="00D337FA">
        <w:rPr>
          <w:szCs w:val="24"/>
        </w:rPr>
        <w:t>значение</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удаляться</w:t>
      </w:r>
      <w:r w:rsidR="006C680D" w:rsidRPr="00D337FA">
        <w:rPr>
          <w:szCs w:val="24"/>
        </w:rPr>
        <w:t xml:space="preserve"> </w:t>
      </w:r>
      <w:r w:rsidRPr="00D337FA">
        <w:rPr>
          <w:szCs w:val="24"/>
        </w:rPr>
        <w:t>её</w:t>
      </w:r>
      <w:r w:rsidR="006C680D" w:rsidRPr="00D337FA">
        <w:rPr>
          <w:szCs w:val="24"/>
        </w:rPr>
        <w:t xml:space="preserve"> </w:t>
      </w:r>
      <w:r w:rsidRPr="00D337FA">
        <w:rPr>
          <w:szCs w:val="24"/>
        </w:rPr>
        <w:t>инструментарию,</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должен</w:t>
      </w:r>
      <w:r w:rsidR="006C680D" w:rsidRPr="00D337FA">
        <w:rPr>
          <w:szCs w:val="24"/>
        </w:rPr>
        <w:t xml:space="preserve"> </w:t>
      </w:r>
      <w:r w:rsidRPr="00D337FA">
        <w:rPr>
          <w:szCs w:val="24"/>
        </w:rPr>
        <w:t>включать</w:t>
      </w:r>
      <w:r w:rsidR="006C680D" w:rsidRPr="00D337FA">
        <w:rPr>
          <w:szCs w:val="24"/>
        </w:rPr>
        <w:t xml:space="preserve"> </w:t>
      </w:r>
      <w:r w:rsidRPr="00D337FA">
        <w:rPr>
          <w:szCs w:val="24"/>
        </w:rPr>
        <w:t>в</w:t>
      </w:r>
      <w:r w:rsidR="006C680D" w:rsidRPr="00D337FA">
        <w:rPr>
          <w:szCs w:val="24"/>
        </w:rPr>
        <w:t xml:space="preserve"> </w:t>
      </w:r>
      <w:r w:rsidRPr="00D337FA">
        <w:rPr>
          <w:szCs w:val="24"/>
        </w:rPr>
        <w:t>себя</w:t>
      </w:r>
      <w:r w:rsidR="006C680D" w:rsidRPr="00D337FA">
        <w:rPr>
          <w:szCs w:val="24"/>
        </w:rPr>
        <w:t xml:space="preserve"> </w:t>
      </w:r>
      <w:r w:rsidRPr="00D337FA">
        <w:rPr>
          <w:szCs w:val="24"/>
        </w:rPr>
        <w:t>широкий</w:t>
      </w:r>
      <w:r w:rsidR="006C680D" w:rsidRPr="00D337FA">
        <w:rPr>
          <w:szCs w:val="24"/>
        </w:rPr>
        <w:t xml:space="preserve"> </w:t>
      </w:r>
      <w:r w:rsidRPr="00D337FA">
        <w:rPr>
          <w:szCs w:val="24"/>
        </w:rPr>
        <w:t>спектр</w:t>
      </w:r>
      <w:r w:rsidR="006C680D" w:rsidRPr="00D337FA">
        <w:rPr>
          <w:szCs w:val="24"/>
        </w:rPr>
        <w:t xml:space="preserve"> </w:t>
      </w:r>
      <w:r w:rsidRPr="00D337FA">
        <w:rPr>
          <w:szCs w:val="24"/>
        </w:rPr>
        <w:t>мер</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способный</w:t>
      </w:r>
      <w:r w:rsidR="006C680D" w:rsidRPr="00D337FA">
        <w:rPr>
          <w:szCs w:val="24"/>
        </w:rPr>
        <w:t xml:space="preserve"> </w:t>
      </w:r>
      <w:r w:rsidRPr="00D337FA">
        <w:rPr>
          <w:szCs w:val="24"/>
        </w:rPr>
        <w:t>не</w:t>
      </w:r>
      <w:r w:rsidR="006C680D" w:rsidRPr="00D337FA">
        <w:rPr>
          <w:szCs w:val="24"/>
        </w:rPr>
        <w:t xml:space="preserve"> </w:t>
      </w:r>
      <w:r w:rsidRPr="00D337FA">
        <w:rPr>
          <w:szCs w:val="24"/>
        </w:rPr>
        <w:t>просто</w:t>
      </w:r>
      <w:r w:rsidR="006C680D" w:rsidRPr="00D337FA">
        <w:rPr>
          <w:szCs w:val="24"/>
        </w:rPr>
        <w:t xml:space="preserve"> </w:t>
      </w:r>
      <w:r w:rsidRPr="00D337FA">
        <w:rPr>
          <w:szCs w:val="24"/>
        </w:rPr>
        <w:t>поддер</w:t>
      </w:r>
      <w:r w:rsidRPr="00D337FA">
        <w:rPr>
          <w:szCs w:val="24"/>
        </w:rPr>
        <w:lastRenderedPageBreak/>
        <w:t>живать</w:t>
      </w:r>
      <w:r w:rsidR="006C680D" w:rsidRPr="00D337FA">
        <w:rPr>
          <w:szCs w:val="24"/>
        </w:rPr>
        <w:t xml:space="preserve"> </w:t>
      </w:r>
      <w:r w:rsidRPr="00D337FA">
        <w:rPr>
          <w:szCs w:val="24"/>
        </w:rPr>
        <w:t>АПК</w:t>
      </w:r>
      <w:r w:rsidR="006C680D" w:rsidRPr="00D337FA">
        <w:rPr>
          <w:szCs w:val="24"/>
        </w:rPr>
        <w:t xml:space="preserve"> </w:t>
      </w:r>
      <w:r w:rsidRPr="00D337FA">
        <w:rPr>
          <w:szCs w:val="24"/>
        </w:rPr>
        <w:t>на</w:t>
      </w:r>
      <w:r w:rsidR="006C680D" w:rsidRPr="00D337FA">
        <w:rPr>
          <w:szCs w:val="24"/>
        </w:rPr>
        <w:t xml:space="preserve"> </w:t>
      </w:r>
      <w:r w:rsidRPr="00D337FA">
        <w:rPr>
          <w:szCs w:val="24"/>
        </w:rPr>
        <w:t>уровне</w:t>
      </w:r>
      <w:r w:rsidR="006C680D" w:rsidRPr="00D337FA">
        <w:rPr>
          <w:szCs w:val="24"/>
        </w:rPr>
        <w:t xml:space="preserve"> </w:t>
      </w:r>
      <w:r w:rsidRPr="00D337FA">
        <w:rPr>
          <w:szCs w:val="24"/>
        </w:rPr>
        <w:t>необходимого</w:t>
      </w:r>
      <w:r w:rsidR="006C680D" w:rsidRPr="00D337FA">
        <w:rPr>
          <w:szCs w:val="24"/>
        </w:rPr>
        <w:t xml:space="preserve"> </w:t>
      </w:r>
      <w:r w:rsidRPr="00D337FA">
        <w:rPr>
          <w:szCs w:val="24"/>
        </w:rPr>
        <w:t>для</w:t>
      </w:r>
      <w:r w:rsidR="006C680D" w:rsidRPr="00D337FA">
        <w:rPr>
          <w:szCs w:val="24"/>
        </w:rPr>
        <w:t xml:space="preserve"> </w:t>
      </w:r>
      <w:r w:rsidRPr="00D337FA">
        <w:rPr>
          <w:szCs w:val="24"/>
        </w:rPr>
        <w:t>выживания,</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формировать</w:t>
      </w:r>
      <w:r w:rsidR="006C680D" w:rsidRPr="00D337FA">
        <w:rPr>
          <w:szCs w:val="24"/>
        </w:rPr>
        <w:t xml:space="preserve"> </w:t>
      </w:r>
      <w:r w:rsidRPr="00D337FA">
        <w:rPr>
          <w:szCs w:val="24"/>
        </w:rPr>
        <w:t>конкурентные</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устойчивого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Каждая</w:t>
      </w:r>
      <w:r w:rsidR="006C680D" w:rsidRPr="00D337FA">
        <w:rPr>
          <w:szCs w:val="24"/>
        </w:rPr>
        <w:t xml:space="preserve"> </w:t>
      </w:r>
      <w:r w:rsidRPr="00D337FA">
        <w:rPr>
          <w:szCs w:val="24"/>
        </w:rPr>
        <w:t>страна</w:t>
      </w:r>
      <w:r w:rsidR="006C680D" w:rsidRPr="00D337FA">
        <w:rPr>
          <w:szCs w:val="24"/>
        </w:rPr>
        <w:t xml:space="preserve"> </w:t>
      </w:r>
      <w:r w:rsidRPr="00D337FA">
        <w:rPr>
          <w:szCs w:val="24"/>
        </w:rPr>
        <w:t>стремится</w:t>
      </w:r>
      <w:r w:rsidR="006C680D" w:rsidRPr="00D337FA">
        <w:rPr>
          <w:szCs w:val="24"/>
        </w:rPr>
        <w:t xml:space="preserve"> </w:t>
      </w:r>
      <w:r w:rsidRPr="00D337FA">
        <w:rPr>
          <w:szCs w:val="24"/>
        </w:rPr>
        <w:t>в</w:t>
      </w:r>
      <w:r w:rsidR="006C680D" w:rsidRPr="00D337FA">
        <w:rPr>
          <w:szCs w:val="24"/>
        </w:rPr>
        <w:t xml:space="preserve"> </w:t>
      </w:r>
      <w:r w:rsidRPr="00D337FA">
        <w:rPr>
          <w:szCs w:val="24"/>
        </w:rPr>
        <w:t>процессе</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своей</w:t>
      </w:r>
      <w:r w:rsidR="006C680D" w:rsidRPr="00D337FA">
        <w:rPr>
          <w:szCs w:val="24"/>
        </w:rPr>
        <w:t xml:space="preserve"> </w:t>
      </w:r>
      <w:r w:rsidRPr="00D337FA">
        <w:rPr>
          <w:szCs w:val="24"/>
        </w:rPr>
        <w:t>экономической</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активно</w:t>
      </w:r>
      <w:r w:rsidR="006C680D" w:rsidRPr="00D337FA">
        <w:rPr>
          <w:szCs w:val="24"/>
        </w:rPr>
        <w:t xml:space="preserve"> </w:t>
      </w:r>
      <w:r w:rsidRPr="00D337FA">
        <w:rPr>
          <w:szCs w:val="24"/>
        </w:rPr>
        <w:t>переходить</w:t>
      </w:r>
      <w:r w:rsidR="006C680D" w:rsidRPr="00D337FA">
        <w:rPr>
          <w:szCs w:val="24"/>
        </w:rPr>
        <w:t xml:space="preserve"> </w:t>
      </w:r>
      <w:r w:rsidRPr="00D337FA">
        <w:rPr>
          <w:szCs w:val="24"/>
        </w:rPr>
        <w:t>к</w:t>
      </w:r>
      <w:r w:rsidR="006C680D" w:rsidRPr="00D337FA">
        <w:rPr>
          <w:szCs w:val="24"/>
        </w:rPr>
        <w:t xml:space="preserve"> </w:t>
      </w:r>
      <w:r w:rsidRPr="00D337FA">
        <w:rPr>
          <w:szCs w:val="24"/>
        </w:rPr>
        <w:t>политике</w:t>
      </w:r>
      <w:r w:rsidR="006C680D" w:rsidRPr="00D337FA">
        <w:rPr>
          <w:szCs w:val="24"/>
        </w:rPr>
        <w:t xml:space="preserve"> </w:t>
      </w:r>
      <w:r w:rsidRPr="00D337FA">
        <w:rPr>
          <w:szCs w:val="24"/>
        </w:rPr>
        <w:t>импортозамещения,</w:t>
      </w:r>
      <w:r w:rsidR="006C680D" w:rsidRPr="00D337FA">
        <w:rPr>
          <w:szCs w:val="24"/>
        </w:rPr>
        <w:t xml:space="preserve"> </w:t>
      </w:r>
      <w:r w:rsidRPr="00D337FA">
        <w:rPr>
          <w:szCs w:val="24"/>
        </w:rPr>
        <w:t>поскольку</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отечественной</w:t>
      </w:r>
      <w:r w:rsidR="006C680D" w:rsidRPr="00D337FA">
        <w:rPr>
          <w:szCs w:val="24"/>
        </w:rPr>
        <w:t xml:space="preserve"> </w:t>
      </w:r>
      <w:r w:rsidRPr="00D337FA">
        <w:rPr>
          <w:szCs w:val="24"/>
        </w:rPr>
        <w:t>технологической</w:t>
      </w:r>
      <w:r w:rsidR="006C680D" w:rsidRPr="00D337FA">
        <w:rPr>
          <w:szCs w:val="24"/>
        </w:rPr>
        <w:t xml:space="preserve"> </w:t>
      </w:r>
      <w:r w:rsidRPr="00D337FA">
        <w:rPr>
          <w:szCs w:val="24"/>
        </w:rPr>
        <w:t>независимости</w:t>
      </w:r>
      <w:r w:rsidR="006C680D" w:rsidRPr="00D337FA">
        <w:rPr>
          <w:szCs w:val="24"/>
        </w:rPr>
        <w:t xml:space="preserve"> </w:t>
      </w:r>
      <w:r w:rsidRPr="00D337FA">
        <w:rPr>
          <w:szCs w:val="24"/>
        </w:rPr>
        <w:t>(техника,</w:t>
      </w:r>
      <w:r w:rsidR="006C680D" w:rsidRPr="00D337FA">
        <w:rPr>
          <w:szCs w:val="24"/>
        </w:rPr>
        <w:t xml:space="preserve"> </w:t>
      </w:r>
      <w:r w:rsidRPr="00D337FA">
        <w:rPr>
          <w:szCs w:val="24"/>
        </w:rPr>
        <w:t>семена,</w:t>
      </w:r>
      <w:r w:rsidR="006C680D" w:rsidRPr="00D337FA">
        <w:rPr>
          <w:szCs w:val="24"/>
        </w:rPr>
        <w:t xml:space="preserve"> </w:t>
      </w:r>
      <w:r w:rsidRPr="00D337FA">
        <w:rPr>
          <w:szCs w:val="24"/>
        </w:rPr>
        <w:t>оборудование</w:t>
      </w:r>
      <w:r w:rsidR="006C680D" w:rsidRPr="00D337FA">
        <w:rPr>
          <w:szCs w:val="24"/>
        </w:rPr>
        <w:t xml:space="preserve"> </w:t>
      </w:r>
      <w:r w:rsidRPr="00D337FA">
        <w:rPr>
          <w:szCs w:val="24"/>
        </w:rPr>
        <w:t>и</w:t>
      </w:r>
      <w:r w:rsidR="006C680D" w:rsidRPr="00D337FA">
        <w:rPr>
          <w:szCs w:val="24"/>
        </w:rPr>
        <w:t xml:space="preserve"> </w:t>
      </w:r>
      <w:r w:rsidRPr="00D337FA">
        <w:rPr>
          <w:szCs w:val="24"/>
        </w:rPr>
        <w:t>др.)</w:t>
      </w:r>
      <w:r w:rsidR="006C680D" w:rsidRPr="00D337FA">
        <w:rPr>
          <w:szCs w:val="24"/>
        </w:rPr>
        <w:t xml:space="preserve"> </w:t>
      </w:r>
      <w:r w:rsidRPr="00D337FA">
        <w:rPr>
          <w:szCs w:val="24"/>
        </w:rPr>
        <w:t>в</w:t>
      </w:r>
      <w:r w:rsidR="006C680D" w:rsidRPr="00D337FA">
        <w:rPr>
          <w:szCs w:val="24"/>
        </w:rPr>
        <w:t xml:space="preserve"> </w:t>
      </w:r>
      <w:r w:rsidRPr="00D337FA">
        <w:rPr>
          <w:szCs w:val="24"/>
        </w:rPr>
        <w:t>сочетании</w:t>
      </w:r>
      <w:r w:rsidR="006C680D" w:rsidRPr="00D337FA">
        <w:rPr>
          <w:szCs w:val="24"/>
        </w:rPr>
        <w:t xml:space="preserve"> </w:t>
      </w:r>
      <w:r w:rsidRPr="00D337FA">
        <w:rPr>
          <w:szCs w:val="24"/>
        </w:rPr>
        <w:t>с</w:t>
      </w:r>
      <w:r w:rsidR="006C680D" w:rsidRPr="00D337FA">
        <w:rPr>
          <w:szCs w:val="24"/>
        </w:rPr>
        <w:t xml:space="preserve"> </w:t>
      </w:r>
      <w:r w:rsidRPr="00D337FA">
        <w:rPr>
          <w:szCs w:val="24"/>
        </w:rPr>
        <w:t>умением</w:t>
      </w:r>
      <w:r w:rsidR="006C680D" w:rsidRPr="00D337FA">
        <w:rPr>
          <w:szCs w:val="24"/>
        </w:rPr>
        <w:t xml:space="preserve"> </w:t>
      </w:r>
      <w:r w:rsidRPr="00D337FA">
        <w:rPr>
          <w:szCs w:val="24"/>
        </w:rPr>
        <w:t>быстрой</w:t>
      </w:r>
      <w:r w:rsidR="006C680D" w:rsidRPr="00D337FA">
        <w:rPr>
          <w:szCs w:val="24"/>
        </w:rPr>
        <w:t xml:space="preserve"> </w:t>
      </w:r>
      <w:r w:rsidRPr="00D337FA">
        <w:rPr>
          <w:szCs w:val="24"/>
        </w:rPr>
        <w:t>адаптации</w:t>
      </w:r>
      <w:r w:rsidR="006C680D" w:rsidRPr="00D337FA">
        <w:rPr>
          <w:szCs w:val="24"/>
        </w:rPr>
        <w:t xml:space="preserve"> </w:t>
      </w:r>
      <w:r w:rsidRPr="00D337FA">
        <w:rPr>
          <w:szCs w:val="24"/>
        </w:rPr>
        <w:t>к</w:t>
      </w:r>
      <w:r w:rsidR="006C680D" w:rsidRPr="00D337FA">
        <w:rPr>
          <w:szCs w:val="24"/>
        </w:rPr>
        <w:t xml:space="preserve"> </w:t>
      </w:r>
      <w:r w:rsidRPr="00D337FA">
        <w:rPr>
          <w:szCs w:val="24"/>
        </w:rPr>
        <w:t>изменяющейся</w:t>
      </w:r>
      <w:r w:rsidR="006C680D" w:rsidRPr="00D337FA">
        <w:rPr>
          <w:szCs w:val="24"/>
        </w:rPr>
        <w:t xml:space="preserve"> </w:t>
      </w:r>
      <w:r w:rsidRPr="00D337FA">
        <w:rPr>
          <w:szCs w:val="24"/>
        </w:rPr>
        <w:t>внутренней</w:t>
      </w:r>
      <w:r w:rsidR="006C680D" w:rsidRPr="00D337FA">
        <w:rPr>
          <w:szCs w:val="24"/>
        </w:rPr>
        <w:t xml:space="preserve"> </w:t>
      </w:r>
      <w:r w:rsidRPr="00D337FA">
        <w:rPr>
          <w:szCs w:val="24"/>
        </w:rPr>
        <w:t>и</w:t>
      </w:r>
      <w:r w:rsidR="006C680D" w:rsidRPr="00D337FA">
        <w:rPr>
          <w:szCs w:val="24"/>
        </w:rPr>
        <w:t xml:space="preserve"> </w:t>
      </w:r>
      <w:r w:rsidRPr="00D337FA">
        <w:rPr>
          <w:szCs w:val="24"/>
        </w:rPr>
        <w:t>внешней</w:t>
      </w:r>
      <w:r w:rsidR="006C680D" w:rsidRPr="00D337FA">
        <w:rPr>
          <w:szCs w:val="24"/>
        </w:rPr>
        <w:t xml:space="preserve"> </w:t>
      </w:r>
      <w:r w:rsidRPr="00D337FA">
        <w:rPr>
          <w:szCs w:val="24"/>
        </w:rPr>
        <w:t>среде</w:t>
      </w:r>
      <w:r w:rsidR="006C680D" w:rsidRPr="00D337FA">
        <w:rPr>
          <w:szCs w:val="24"/>
        </w:rPr>
        <w:t xml:space="preserve"> </w:t>
      </w:r>
      <w:r w:rsidRPr="00D337FA">
        <w:rPr>
          <w:szCs w:val="24"/>
        </w:rPr>
        <w:t>способствует</w:t>
      </w:r>
      <w:r w:rsidR="006C680D" w:rsidRPr="00D337FA">
        <w:rPr>
          <w:szCs w:val="24"/>
        </w:rPr>
        <w:t xml:space="preserve"> </w:t>
      </w:r>
      <w:r w:rsidRPr="00D337FA">
        <w:rPr>
          <w:szCs w:val="24"/>
        </w:rPr>
        <w:t>созданию</w:t>
      </w:r>
      <w:r w:rsidR="006C680D" w:rsidRPr="00D337FA">
        <w:rPr>
          <w:szCs w:val="24"/>
        </w:rPr>
        <w:t xml:space="preserve"> </w:t>
      </w:r>
      <w:r w:rsidRPr="00D337FA">
        <w:rPr>
          <w:szCs w:val="24"/>
        </w:rPr>
        <w:t>продуктовой</w:t>
      </w:r>
      <w:r w:rsidR="006C680D" w:rsidRPr="00D337FA">
        <w:rPr>
          <w:szCs w:val="24"/>
        </w:rPr>
        <w:t xml:space="preserve"> </w:t>
      </w:r>
      <w:r w:rsidRPr="00D337FA">
        <w:rPr>
          <w:szCs w:val="24"/>
        </w:rPr>
        <w:t>линейки</w:t>
      </w:r>
      <w:r w:rsidR="006C680D" w:rsidRPr="00D337FA">
        <w:rPr>
          <w:szCs w:val="24"/>
        </w:rPr>
        <w:t xml:space="preserve"> </w:t>
      </w:r>
      <w:r w:rsidRPr="00D337FA">
        <w:rPr>
          <w:szCs w:val="24"/>
        </w:rPr>
        <w:t>с</w:t>
      </w:r>
      <w:r w:rsidR="006C680D" w:rsidRPr="00D337FA">
        <w:rPr>
          <w:szCs w:val="24"/>
        </w:rPr>
        <w:t xml:space="preserve"> </w:t>
      </w:r>
      <w:r w:rsidRPr="00D337FA">
        <w:rPr>
          <w:szCs w:val="24"/>
        </w:rPr>
        <w:t>высокой</w:t>
      </w:r>
      <w:r w:rsidR="006C680D" w:rsidRPr="00D337FA">
        <w:rPr>
          <w:szCs w:val="24"/>
        </w:rPr>
        <w:t xml:space="preserve"> </w:t>
      </w:r>
      <w:r w:rsidRPr="00D337FA">
        <w:rPr>
          <w:szCs w:val="24"/>
        </w:rPr>
        <w:t>добавленной</w:t>
      </w:r>
      <w:r w:rsidR="006C680D" w:rsidRPr="00D337FA">
        <w:rPr>
          <w:szCs w:val="24"/>
        </w:rPr>
        <w:t xml:space="preserve"> </w:t>
      </w:r>
      <w:r w:rsidRPr="00D337FA">
        <w:rPr>
          <w:szCs w:val="24"/>
        </w:rPr>
        <w:t>стоимостью.</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смогут</w:t>
      </w:r>
      <w:r w:rsidR="006C680D" w:rsidRPr="00D337FA">
        <w:rPr>
          <w:szCs w:val="24"/>
        </w:rPr>
        <w:t xml:space="preserve"> </w:t>
      </w:r>
      <w:r w:rsidRPr="00D337FA">
        <w:rPr>
          <w:szCs w:val="24"/>
        </w:rPr>
        <w:t>осуществить</w:t>
      </w:r>
      <w:r w:rsidR="006C680D" w:rsidRPr="00D337FA">
        <w:rPr>
          <w:szCs w:val="24"/>
        </w:rPr>
        <w:t xml:space="preserve"> </w:t>
      </w:r>
      <w:r w:rsidRPr="00D337FA">
        <w:rPr>
          <w:szCs w:val="24"/>
        </w:rPr>
        <w:t>качественный</w:t>
      </w:r>
      <w:r w:rsidR="006C680D" w:rsidRPr="00D337FA">
        <w:rPr>
          <w:szCs w:val="24"/>
        </w:rPr>
        <w:t xml:space="preserve"> </w:t>
      </w:r>
      <w:r w:rsidRPr="00D337FA">
        <w:rPr>
          <w:szCs w:val="24"/>
        </w:rPr>
        <w:t>рывок</w:t>
      </w:r>
      <w:r w:rsidR="006C680D" w:rsidRPr="00D337FA">
        <w:rPr>
          <w:szCs w:val="24"/>
        </w:rPr>
        <w:t xml:space="preserve"> </w:t>
      </w:r>
      <w:r w:rsidRPr="00D337FA">
        <w:rPr>
          <w:szCs w:val="24"/>
        </w:rPr>
        <w:t>в</w:t>
      </w:r>
      <w:r w:rsidR="006C680D" w:rsidRPr="00D337FA">
        <w:rPr>
          <w:szCs w:val="24"/>
        </w:rPr>
        <w:t xml:space="preserve"> </w:t>
      </w:r>
      <w:r w:rsidRPr="00D337FA">
        <w:rPr>
          <w:szCs w:val="24"/>
        </w:rPr>
        <w:t>этом</w:t>
      </w:r>
      <w:r w:rsidR="006C680D" w:rsidRPr="00D337FA">
        <w:rPr>
          <w:szCs w:val="24"/>
        </w:rPr>
        <w:t xml:space="preserve"> </w:t>
      </w:r>
      <w:r w:rsidRPr="00D337FA">
        <w:rPr>
          <w:szCs w:val="24"/>
        </w:rPr>
        <w:t>направлении</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способны</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нарастить</w:t>
      </w:r>
      <w:r w:rsidR="006C680D" w:rsidRPr="00D337FA">
        <w:rPr>
          <w:szCs w:val="24"/>
        </w:rPr>
        <w:t xml:space="preserve"> </w:t>
      </w:r>
      <w:r w:rsidRPr="00D337FA">
        <w:rPr>
          <w:szCs w:val="24"/>
        </w:rPr>
        <w:t>мощности</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для</w:t>
      </w:r>
      <w:r w:rsidR="006C680D" w:rsidRPr="00D337FA">
        <w:rPr>
          <w:szCs w:val="24"/>
        </w:rPr>
        <w:t xml:space="preserve"> </w:t>
      </w:r>
      <w:r w:rsidRPr="00D337FA">
        <w:rPr>
          <w:szCs w:val="24"/>
        </w:rPr>
        <w:t>внутреннего</w:t>
      </w:r>
      <w:r w:rsidR="006C680D" w:rsidRPr="00D337FA">
        <w:rPr>
          <w:szCs w:val="24"/>
        </w:rPr>
        <w:t xml:space="preserve"> </w:t>
      </w:r>
      <w:r w:rsidRPr="00D337FA">
        <w:rPr>
          <w:szCs w:val="24"/>
        </w:rPr>
        <w:t>рынка,</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укреплять</w:t>
      </w:r>
      <w:r w:rsidR="006C680D" w:rsidRPr="00D337FA">
        <w:rPr>
          <w:szCs w:val="24"/>
        </w:rPr>
        <w:t xml:space="preserve"> </w:t>
      </w:r>
      <w:r w:rsidRPr="00D337FA">
        <w:rPr>
          <w:szCs w:val="24"/>
        </w:rPr>
        <w:t>позиции</w:t>
      </w:r>
      <w:r w:rsidR="006C680D" w:rsidRPr="00D337FA">
        <w:rPr>
          <w:szCs w:val="24"/>
        </w:rPr>
        <w:t xml:space="preserve"> </w:t>
      </w:r>
      <w:r w:rsidRPr="00D337FA">
        <w:rPr>
          <w:szCs w:val="24"/>
        </w:rPr>
        <w:t>на</w:t>
      </w:r>
      <w:r w:rsidR="006C680D" w:rsidRPr="00D337FA">
        <w:rPr>
          <w:szCs w:val="24"/>
        </w:rPr>
        <w:t xml:space="preserve"> </w:t>
      </w:r>
      <w:r w:rsidRPr="00D337FA">
        <w:rPr>
          <w:szCs w:val="24"/>
        </w:rPr>
        <w:t>внешних.</w:t>
      </w:r>
    </w:p>
    <w:p w:rsidR="00CC397F" w:rsidRPr="00D337FA" w:rsidRDefault="00CC397F" w:rsidP="00544DD6">
      <w:pPr>
        <w:ind w:firstLine="284"/>
        <w:rPr>
          <w:szCs w:val="24"/>
        </w:rPr>
      </w:pPr>
      <w:r w:rsidRPr="00D337FA">
        <w:rPr>
          <w:szCs w:val="24"/>
        </w:rPr>
        <w:t>Важность</w:t>
      </w:r>
      <w:r w:rsidR="006C680D" w:rsidRPr="00D337FA">
        <w:rPr>
          <w:szCs w:val="24"/>
        </w:rPr>
        <w:t xml:space="preserve"> </w:t>
      </w:r>
      <w:r w:rsidRPr="00D337FA">
        <w:rPr>
          <w:szCs w:val="24"/>
        </w:rPr>
        <w:t>постоянного</w:t>
      </w:r>
      <w:r w:rsidR="006C680D" w:rsidRPr="00D337FA">
        <w:rPr>
          <w:szCs w:val="24"/>
        </w:rPr>
        <w:t xml:space="preserve"> </w:t>
      </w:r>
      <w:r w:rsidRPr="00D337FA">
        <w:rPr>
          <w:szCs w:val="24"/>
        </w:rPr>
        <w:t>совершенствования</w:t>
      </w:r>
      <w:r w:rsidR="006C680D" w:rsidRPr="00D337FA">
        <w:rPr>
          <w:szCs w:val="24"/>
        </w:rPr>
        <w:t xml:space="preserve"> </w:t>
      </w:r>
      <w:r w:rsidRPr="00D337FA">
        <w:rPr>
          <w:szCs w:val="24"/>
        </w:rPr>
        <w:t>механизма</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свойственно</w:t>
      </w:r>
      <w:r w:rsidR="006C680D" w:rsidRPr="00D337FA">
        <w:rPr>
          <w:szCs w:val="24"/>
        </w:rPr>
        <w:t xml:space="preserve"> </w:t>
      </w:r>
      <w:r w:rsidRPr="00D337FA">
        <w:rPr>
          <w:szCs w:val="24"/>
        </w:rPr>
        <w:t>многим</w:t>
      </w:r>
      <w:r w:rsidR="006C680D" w:rsidRPr="00D337FA">
        <w:rPr>
          <w:szCs w:val="24"/>
        </w:rPr>
        <w:t xml:space="preserve"> </w:t>
      </w:r>
      <w:r w:rsidRPr="00D337FA">
        <w:rPr>
          <w:szCs w:val="24"/>
        </w:rPr>
        <w:t>отраслям</w:t>
      </w:r>
      <w:r w:rsidR="006C680D" w:rsidRPr="00D337FA">
        <w:rPr>
          <w:szCs w:val="24"/>
        </w:rPr>
        <w:t xml:space="preserve"> </w:t>
      </w:r>
      <w:r w:rsidRPr="00D337FA">
        <w:rPr>
          <w:szCs w:val="24"/>
        </w:rPr>
        <w:t>народного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но</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АПК</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одним</w:t>
      </w:r>
      <w:r w:rsidR="006C680D" w:rsidRPr="00D337FA">
        <w:rPr>
          <w:szCs w:val="24"/>
        </w:rPr>
        <w:t xml:space="preserve"> </w:t>
      </w:r>
      <w:r w:rsidRPr="00D337FA">
        <w:rPr>
          <w:szCs w:val="24"/>
        </w:rPr>
        <w:t>из</w:t>
      </w:r>
      <w:r w:rsidR="006C680D" w:rsidRPr="00D337FA">
        <w:rPr>
          <w:szCs w:val="24"/>
        </w:rPr>
        <w:t xml:space="preserve"> </w:t>
      </w:r>
      <w:r w:rsidRPr="00D337FA">
        <w:rPr>
          <w:szCs w:val="24"/>
        </w:rPr>
        <w:t>главных</w:t>
      </w:r>
      <w:r w:rsidR="006C680D" w:rsidRPr="00D337FA">
        <w:rPr>
          <w:szCs w:val="24"/>
        </w:rPr>
        <w:t xml:space="preserve"> </w:t>
      </w:r>
      <w:r w:rsidRPr="00D337FA">
        <w:rPr>
          <w:szCs w:val="24"/>
        </w:rPr>
        <w:t>базисов</w:t>
      </w:r>
      <w:r w:rsidR="006C680D" w:rsidRPr="00D337FA">
        <w:rPr>
          <w:szCs w:val="24"/>
        </w:rPr>
        <w:t xml:space="preserve"> </w:t>
      </w:r>
      <w:r w:rsidRPr="00D337FA">
        <w:rPr>
          <w:szCs w:val="24"/>
        </w:rPr>
        <w:t>существования</w:t>
      </w:r>
      <w:r w:rsidR="006C680D" w:rsidRPr="00D337FA">
        <w:rPr>
          <w:szCs w:val="24"/>
        </w:rPr>
        <w:t xml:space="preserve"> </w:t>
      </w:r>
      <w:r w:rsidRPr="00D337FA">
        <w:rPr>
          <w:szCs w:val="24"/>
        </w:rPr>
        <w:t>смежных</w:t>
      </w:r>
      <w:r w:rsidR="006C680D" w:rsidRPr="00D337FA">
        <w:rPr>
          <w:szCs w:val="24"/>
        </w:rPr>
        <w:t xml:space="preserve"> </w:t>
      </w:r>
      <w:r w:rsidRPr="00D337FA">
        <w:rPr>
          <w:szCs w:val="24"/>
        </w:rPr>
        <w:t>отраслей</w:t>
      </w:r>
      <w:r w:rsidR="006C680D" w:rsidRPr="00D337FA">
        <w:rPr>
          <w:szCs w:val="24"/>
        </w:rPr>
        <w:t xml:space="preserve"> </w:t>
      </w:r>
      <w:r w:rsidRPr="00D337FA">
        <w:rPr>
          <w:szCs w:val="24"/>
        </w:rPr>
        <w:t>экономики.</w:t>
      </w:r>
      <w:r w:rsidR="006C680D" w:rsidRPr="00D337FA">
        <w:rPr>
          <w:szCs w:val="24"/>
        </w:rPr>
        <w:t xml:space="preserve"> </w:t>
      </w:r>
      <w:r w:rsidRPr="00D337FA">
        <w:rPr>
          <w:szCs w:val="24"/>
        </w:rPr>
        <w:t>Подтверждение</w:t>
      </w:r>
      <w:r w:rsidR="006C680D" w:rsidRPr="00D337FA">
        <w:rPr>
          <w:szCs w:val="24"/>
        </w:rPr>
        <w:t xml:space="preserve"> </w:t>
      </w:r>
      <w:r w:rsidRPr="00D337FA">
        <w:rPr>
          <w:szCs w:val="24"/>
        </w:rPr>
        <w:t>этого</w:t>
      </w:r>
      <w:r w:rsidR="006C680D" w:rsidRPr="00D337FA">
        <w:rPr>
          <w:szCs w:val="24"/>
        </w:rPr>
        <w:t xml:space="preserve"> </w:t>
      </w:r>
      <w:r w:rsidRPr="00D337FA">
        <w:rPr>
          <w:szCs w:val="24"/>
        </w:rPr>
        <w:t>тезиса</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ежегодно</w:t>
      </w:r>
      <w:r w:rsidR="006C680D" w:rsidRPr="00D337FA">
        <w:rPr>
          <w:szCs w:val="24"/>
        </w:rPr>
        <w:t xml:space="preserve"> </w:t>
      </w:r>
      <w:r w:rsidRPr="00D337FA">
        <w:rPr>
          <w:szCs w:val="24"/>
        </w:rPr>
        <w:t>услышать</w:t>
      </w:r>
      <w:r w:rsidR="006C680D" w:rsidRPr="00D337FA">
        <w:rPr>
          <w:szCs w:val="24"/>
        </w:rPr>
        <w:t xml:space="preserve"> </w:t>
      </w:r>
      <w:r w:rsidRPr="00D337FA">
        <w:rPr>
          <w:szCs w:val="24"/>
        </w:rPr>
        <w:t>на</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мероприятиях</w:t>
      </w:r>
      <w:r w:rsidR="006C680D" w:rsidRPr="00D337FA">
        <w:rPr>
          <w:szCs w:val="24"/>
        </w:rPr>
        <w:t xml:space="preserve"> </w:t>
      </w:r>
      <w:r w:rsidRPr="00D337FA">
        <w:rPr>
          <w:szCs w:val="24"/>
        </w:rPr>
        <w:t>вне</w:t>
      </w:r>
      <w:r w:rsidR="006C680D" w:rsidRPr="00D337FA">
        <w:rPr>
          <w:szCs w:val="24"/>
        </w:rPr>
        <w:t xml:space="preserve"> </w:t>
      </w:r>
      <w:r w:rsidRPr="00D337FA">
        <w:rPr>
          <w:szCs w:val="24"/>
        </w:rPr>
        <w:t>зависимости</w:t>
      </w:r>
      <w:r w:rsidR="006C680D" w:rsidRPr="00D337FA">
        <w:rPr>
          <w:szCs w:val="24"/>
        </w:rPr>
        <w:t xml:space="preserve"> </w:t>
      </w:r>
      <w:r w:rsidRPr="00D337FA">
        <w:rPr>
          <w:szCs w:val="24"/>
        </w:rPr>
        <w:t>от</w:t>
      </w:r>
      <w:r w:rsidR="006C680D" w:rsidRPr="00D337FA">
        <w:rPr>
          <w:szCs w:val="24"/>
        </w:rPr>
        <w:t xml:space="preserve"> </w:t>
      </w:r>
      <w:r w:rsidRPr="00D337FA">
        <w:rPr>
          <w:szCs w:val="24"/>
        </w:rPr>
        <w:t>их</w:t>
      </w:r>
      <w:r w:rsidR="006C680D" w:rsidRPr="00D337FA">
        <w:rPr>
          <w:szCs w:val="24"/>
        </w:rPr>
        <w:t xml:space="preserve"> </w:t>
      </w:r>
      <w:r w:rsidRPr="00D337FA">
        <w:rPr>
          <w:szCs w:val="24"/>
        </w:rPr>
        <w:t>уровня,</w:t>
      </w:r>
      <w:r w:rsidR="006C680D" w:rsidRPr="00D337FA">
        <w:rPr>
          <w:szCs w:val="24"/>
        </w:rPr>
        <w:t xml:space="preserve"> </w:t>
      </w:r>
      <w:r w:rsidRPr="00D337FA">
        <w:rPr>
          <w:szCs w:val="24"/>
        </w:rPr>
        <w:t>что</w:t>
      </w:r>
      <w:r w:rsidR="006C680D" w:rsidRPr="00D337FA">
        <w:rPr>
          <w:szCs w:val="24"/>
        </w:rPr>
        <w:t xml:space="preserve"> </w:t>
      </w:r>
      <w:r w:rsidRPr="00D337FA">
        <w:rPr>
          <w:szCs w:val="24"/>
        </w:rPr>
        <w:t>свидетельствует</w:t>
      </w:r>
      <w:r w:rsidR="006C680D" w:rsidRPr="00D337FA">
        <w:rPr>
          <w:szCs w:val="24"/>
        </w:rPr>
        <w:t xml:space="preserve"> </w:t>
      </w:r>
      <w:r w:rsidRPr="00D337FA">
        <w:rPr>
          <w:szCs w:val="24"/>
        </w:rPr>
        <w:t>о</w:t>
      </w:r>
      <w:r w:rsidR="006C680D" w:rsidRPr="00D337FA">
        <w:rPr>
          <w:szCs w:val="24"/>
        </w:rPr>
        <w:t xml:space="preserve"> </w:t>
      </w:r>
      <w:r w:rsidRPr="00D337FA">
        <w:rPr>
          <w:szCs w:val="24"/>
        </w:rPr>
        <w:t>понимании</w:t>
      </w:r>
      <w:r w:rsidR="006C680D" w:rsidRPr="00D337FA">
        <w:rPr>
          <w:szCs w:val="24"/>
        </w:rPr>
        <w:t xml:space="preserve"> </w:t>
      </w:r>
      <w:r w:rsidRPr="00D337FA">
        <w:rPr>
          <w:szCs w:val="24"/>
        </w:rPr>
        <w:t>правительством</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стратегической</w:t>
      </w:r>
      <w:r w:rsidR="006C680D" w:rsidRPr="00D337FA">
        <w:rPr>
          <w:szCs w:val="24"/>
        </w:rPr>
        <w:t xml:space="preserve"> </w:t>
      </w:r>
      <w:r w:rsidRPr="00D337FA">
        <w:rPr>
          <w:szCs w:val="24"/>
        </w:rPr>
        <w:t>важности</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благоприятных</w:t>
      </w:r>
      <w:r w:rsidR="006C680D" w:rsidRPr="00D337FA">
        <w:rPr>
          <w:szCs w:val="24"/>
        </w:rPr>
        <w:t xml:space="preserve"> </w:t>
      </w:r>
      <w:r w:rsidRPr="00D337FA">
        <w:rPr>
          <w:szCs w:val="24"/>
        </w:rPr>
        <w:t>перспектив</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агропромышленной</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несмотря</w:t>
      </w:r>
      <w:r w:rsidR="006C680D" w:rsidRPr="00D337FA">
        <w:rPr>
          <w:szCs w:val="24"/>
        </w:rPr>
        <w:t xml:space="preserve"> </w:t>
      </w:r>
      <w:r w:rsidRPr="00D337FA">
        <w:rPr>
          <w:szCs w:val="24"/>
        </w:rPr>
        <w:t>на</w:t>
      </w:r>
      <w:r w:rsidR="006C680D" w:rsidRPr="00D337FA">
        <w:rPr>
          <w:szCs w:val="24"/>
        </w:rPr>
        <w:t xml:space="preserve"> </w:t>
      </w:r>
      <w:r w:rsidRPr="00D337FA">
        <w:rPr>
          <w:szCs w:val="24"/>
        </w:rPr>
        <w:t>сохраняющиеся</w:t>
      </w:r>
      <w:r w:rsidR="006C680D" w:rsidRPr="00D337FA">
        <w:rPr>
          <w:szCs w:val="24"/>
        </w:rPr>
        <w:t xml:space="preserve"> </w:t>
      </w:r>
      <w:r w:rsidRPr="00D337FA">
        <w:rPr>
          <w:szCs w:val="24"/>
        </w:rPr>
        <w:t>проблемы.</w:t>
      </w:r>
      <w:r w:rsidR="006C680D" w:rsidRPr="00D337FA">
        <w:rPr>
          <w:szCs w:val="24"/>
        </w:rPr>
        <w:t xml:space="preserve"> </w:t>
      </w:r>
      <w:r w:rsidRPr="00D337FA">
        <w:rPr>
          <w:szCs w:val="24"/>
        </w:rPr>
        <w:t>Всё</w:t>
      </w:r>
      <w:r w:rsidR="006C680D" w:rsidRPr="00D337FA">
        <w:rPr>
          <w:szCs w:val="24"/>
        </w:rPr>
        <w:t xml:space="preserve"> </w:t>
      </w:r>
      <w:r w:rsidRPr="00D337FA">
        <w:rPr>
          <w:szCs w:val="24"/>
        </w:rPr>
        <w:t>это</w:t>
      </w:r>
      <w:r w:rsidR="006C680D" w:rsidRPr="00D337FA">
        <w:rPr>
          <w:szCs w:val="24"/>
        </w:rPr>
        <w:t xml:space="preserve"> </w:t>
      </w:r>
      <w:r w:rsidRPr="00D337FA">
        <w:rPr>
          <w:szCs w:val="24"/>
        </w:rPr>
        <w:t>определило</w:t>
      </w:r>
      <w:r w:rsidR="006C680D" w:rsidRPr="00D337FA">
        <w:rPr>
          <w:szCs w:val="24"/>
        </w:rPr>
        <w:t xml:space="preserve"> </w:t>
      </w:r>
      <w:r w:rsidRPr="00D337FA">
        <w:rPr>
          <w:szCs w:val="24"/>
        </w:rPr>
        <w:t>выбор</w:t>
      </w:r>
      <w:r w:rsidR="006C680D" w:rsidRPr="00D337FA">
        <w:rPr>
          <w:szCs w:val="24"/>
        </w:rPr>
        <w:t xml:space="preserve"> </w:t>
      </w:r>
      <w:r w:rsidRPr="00D337FA">
        <w:rPr>
          <w:szCs w:val="24"/>
        </w:rPr>
        <w:t>темы</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имеющего</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теоретический,</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практический</w:t>
      </w:r>
      <w:r w:rsidR="006C680D" w:rsidRPr="00D337FA">
        <w:rPr>
          <w:szCs w:val="24"/>
        </w:rPr>
        <w:t xml:space="preserve"> </w:t>
      </w:r>
      <w:r w:rsidRPr="00D337FA">
        <w:rPr>
          <w:szCs w:val="24"/>
        </w:rPr>
        <w:t>интерес.</w:t>
      </w:r>
      <w:r w:rsidR="006C680D" w:rsidRPr="00D337FA">
        <w:rPr>
          <w:szCs w:val="24"/>
        </w:rPr>
        <w:t xml:space="preserve"> </w:t>
      </w:r>
      <w:r w:rsidRPr="00D337FA">
        <w:rPr>
          <w:szCs w:val="24"/>
        </w:rPr>
        <w:t>Постоянное</w:t>
      </w:r>
      <w:r w:rsidR="006C680D" w:rsidRPr="00D337FA">
        <w:rPr>
          <w:szCs w:val="24"/>
        </w:rPr>
        <w:t xml:space="preserve"> </w:t>
      </w:r>
      <w:r w:rsidRPr="00D337FA">
        <w:rPr>
          <w:szCs w:val="24"/>
        </w:rPr>
        <w:t>возрастающие</w:t>
      </w:r>
      <w:r w:rsidR="006C680D" w:rsidRPr="00D337FA">
        <w:rPr>
          <w:szCs w:val="24"/>
        </w:rPr>
        <w:t xml:space="preserve"> </w:t>
      </w:r>
      <w:r w:rsidRPr="00D337FA">
        <w:rPr>
          <w:szCs w:val="24"/>
        </w:rPr>
        <w:t>мировые</w:t>
      </w:r>
      <w:r w:rsidR="006C680D" w:rsidRPr="00D337FA">
        <w:rPr>
          <w:szCs w:val="24"/>
        </w:rPr>
        <w:t xml:space="preserve"> </w:t>
      </w:r>
      <w:r w:rsidRPr="00D337FA">
        <w:rPr>
          <w:szCs w:val="24"/>
        </w:rPr>
        <w:t>вызовы</w:t>
      </w:r>
      <w:r w:rsidR="006C680D" w:rsidRPr="00D337FA">
        <w:rPr>
          <w:szCs w:val="24"/>
        </w:rPr>
        <w:t xml:space="preserve"> </w:t>
      </w:r>
      <w:r w:rsidRPr="00D337FA">
        <w:rPr>
          <w:szCs w:val="24"/>
        </w:rPr>
        <w:t>ускорили</w:t>
      </w:r>
      <w:r w:rsidR="006C680D" w:rsidRPr="00D337FA">
        <w:rPr>
          <w:szCs w:val="24"/>
        </w:rPr>
        <w:t xml:space="preserve"> </w:t>
      </w:r>
      <w:r w:rsidRPr="00D337FA">
        <w:rPr>
          <w:szCs w:val="24"/>
        </w:rPr>
        <w:t>процесс</w:t>
      </w:r>
      <w:r w:rsidR="006C680D" w:rsidRPr="00D337FA">
        <w:rPr>
          <w:szCs w:val="24"/>
        </w:rPr>
        <w:t xml:space="preserve"> </w:t>
      </w:r>
      <w:r w:rsidRPr="00D337FA">
        <w:rPr>
          <w:szCs w:val="24"/>
        </w:rPr>
        <w:t>перехода</w:t>
      </w:r>
      <w:r w:rsidR="006C680D" w:rsidRPr="00D337FA">
        <w:rPr>
          <w:szCs w:val="24"/>
        </w:rPr>
        <w:t xml:space="preserve"> </w:t>
      </w:r>
      <w:r w:rsidRPr="00D337FA">
        <w:rPr>
          <w:szCs w:val="24"/>
        </w:rPr>
        <w:t>на</w:t>
      </w:r>
      <w:r w:rsidR="006C680D" w:rsidRPr="00D337FA">
        <w:rPr>
          <w:szCs w:val="24"/>
        </w:rPr>
        <w:t xml:space="preserve"> </w:t>
      </w:r>
      <w:r w:rsidRPr="00D337FA">
        <w:rPr>
          <w:szCs w:val="24"/>
        </w:rPr>
        <w:t>отечественную</w:t>
      </w:r>
      <w:r w:rsidR="006C680D" w:rsidRPr="00D337FA">
        <w:rPr>
          <w:szCs w:val="24"/>
        </w:rPr>
        <w:t xml:space="preserve"> </w:t>
      </w:r>
      <w:r w:rsidRPr="00D337FA">
        <w:rPr>
          <w:szCs w:val="24"/>
        </w:rPr>
        <w:t>продукцию,</w:t>
      </w:r>
      <w:r w:rsidR="006C680D" w:rsidRPr="00D337FA">
        <w:rPr>
          <w:szCs w:val="24"/>
        </w:rPr>
        <w:t xml:space="preserve"> </w:t>
      </w:r>
      <w:r w:rsidRPr="00D337FA">
        <w:rPr>
          <w:szCs w:val="24"/>
        </w:rPr>
        <w:t>формируя</w:t>
      </w:r>
      <w:r w:rsidR="006C680D" w:rsidRPr="00D337FA">
        <w:rPr>
          <w:szCs w:val="24"/>
        </w:rPr>
        <w:t xml:space="preserve"> </w:t>
      </w:r>
      <w:r w:rsidRPr="00D337FA">
        <w:rPr>
          <w:szCs w:val="24"/>
        </w:rPr>
        <w:t>независимый</w:t>
      </w:r>
      <w:r w:rsidR="006C680D" w:rsidRPr="00D337FA">
        <w:rPr>
          <w:szCs w:val="24"/>
        </w:rPr>
        <w:t xml:space="preserve"> </w:t>
      </w:r>
      <w:r w:rsidRPr="00D337FA">
        <w:rPr>
          <w:szCs w:val="24"/>
        </w:rPr>
        <w:t>сектор</w:t>
      </w:r>
      <w:r w:rsidR="006C680D" w:rsidRPr="00D337FA">
        <w:rPr>
          <w:szCs w:val="24"/>
        </w:rPr>
        <w:t xml:space="preserve"> </w:t>
      </w:r>
      <w:r w:rsidRPr="00D337FA">
        <w:rPr>
          <w:szCs w:val="24"/>
        </w:rPr>
        <w:t>экономики,</w:t>
      </w:r>
      <w:r w:rsidR="006C680D" w:rsidRPr="00D337FA">
        <w:rPr>
          <w:szCs w:val="24"/>
        </w:rPr>
        <w:t xml:space="preserve"> </w:t>
      </w:r>
      <w:r w:rsidRPr="00D337FA">
        <w:rPr>
          <w:szCs w:val="24"/>
        </w:rPr>
        <w:t>устойчивый</w:t>
      </w:r>
      <w:r w:rsidR="006C680D" w:rsidRPr="00D337FA">
        <w:rPr>
          <w:szCs w:val="24"/>
        </w:rPr>
        <w:t xml:space="preserve"> </w:t>
      </w:r>
      <w:r w:rsidRPr="00D337FA">
        <w:rPr>
          <w:szCs w:val="24"/>
        </w:rPr>
        <w:t>к</w:t>
      </w:r>
      <w:r w:rsidR="006C680D" w:rsidRPr="00D337FA">
        <w:rPr>
          <w:szCs w:val="24"/>
        </w:rPr>
        <w:t xml:space="preserve"> </w:t>
      </w:r>
      <w:r w:rsidRPr="00D337FA">
        <w:rPr>
          <w:szCs w:val="24"/>
        </w:rPr>
        <w:t>изоляции</w:t>
      </w:r>
      <w:r w:rsidR="006C680D" w:rsidRPr="00D337FA">
        <w:rPr>
          <w:szCs w:val="24"/>
        </w:rPr>
        <w:t xml:space="preserve"> </w:t>
      </w:r>
      <w:r w:rsidRPr="00D337FA">
        <w:rPr>
          <w:szCs w:val="24"/>
        </w:rPr>
        <w:t>мировых</w:t>
      </w:r>
      <w:r w:rsidR="006C680D" w:rsidRPr="00D337FA">
        <w:rPr>
          <w:szCs w:val="24"/>
        </w:rPr>
        <w:t xml:space="preserve"> </w:t>
      </w:r>
      <w:r w:rsidRPr="00D337FA">
        <w:rPr>
          <w:szCs w:val="24"/>
        </w:rPr>
        <w:t>рынков.</w:t>
      </w:r>
      <w:r w:rsidR="006C680D" w:rsidRPr="00D337FA">
        <w:rPr>
          <w:szCs w:val="24"/>
        </w:rPr>
        <w:t xml:space="preserve"> </w:t>
      </w:r>
      <w:r w:rsidRPr="00D337FA">
        <w:rPr>
          <w:szCs w:val="24"/>
        </w:rPr>
        <w:t>Важно</w:t>
      </w:r>
      <w:r w:rsidR="006C680D" w:rsidRPr="00D337FA">
        <w:rPr>
          <w:szCs w:val="24"/>
        </w:rPr>
        <w:t xml:space="preserve"> </w:t>
      </w:r>
      <w:r w:rsidRPr="00D337FA">
        <w:rPr>
          <w:szCs w:val="24"/>
        </w:rPr>
        <w:t>отметить</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что</w:t>
      </w:r>
      <w:r w:rsidR="006C680D" w:rsidRPr="00D337FA">
        <w:rPr>
          <w:szCs w:val="24"/>
        </w:rPr>
        <w:t xml:space="preserve"> </w:t>
      </w:r>
      <w:r w:rsidRPr="00D337FA">
        <w:rPr>
          <w:szCs w:val="24"/>
        </w:rPr>
        <w:t>текущая</w:t>
      </w:r>
      <w:r w:rsidR="006C680D" w:rsidRPr="00D337FA">
        <w:rPr>
          <w:szCs w:val="24"/>
        </w:rPr>
        <w:t xml:space="preserve"> </w:t>
      </w:r>
      <w:r w:rsidRPr="00D337FA">
        <w:rPr>
          <w:szCs w:val="24"/>
        </w:rPr>
        <w:t>ситуация</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новой</w:t>
      </w:r>
      <w:r w:rsidR="006C680D" w:rsidRPr="00D337FA">
        <w:rPr>
          <w:szCs w:val="24"/>
        </w:rPr>
        <w:t xml:space="preserve"> </w:t>
      </w:r>
      <w:r w:rsidRPr="00D337FA">
        <w:rPr>
          <w:szCs w:val="24"/>
        </w:rPr>
        <w:t>отправной</w:t>
      </w:r>
      <w:r w:rsidR="006C680D" w:rsidRPr="00D337FA">
        <w:rPr>
          <w:szCs w:val="24"/>
        </w:rPr>
        <w:t xml:space="preserve"> </w:t>
      </w:r>
      <w:r w:rsidRPr="00D337FA">
        <w:rPr>
          <w:szCs w:val="24"/>
        </w:rPr>
        <w:t>точкой,</w:t>
      </w:r>
      <w:r w:rsidR="006C680D" w:rsidRPr="00D337FA">
        <w:rPr>
          <w:szCs w:val="24"/>
        </w:rPr>
        <w:t xml:space="preserve"> </w:t>
      </w:r>
      <w:r w:rsidRPr="00D337FA">
        <w:rPr>
          <w:szCs w:val="24"/>
        </w:rPr>
        <w:t>после</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страна</w:t>
      </w:r>
      <w:r w:rsidR="006C680D" w:rsidRPr="00D337FA">
        <w:rPr>
          <w:szCs w:val="24"/>
        </w:rPr>
        <w:t xml:space="preserve"> </w:t>
      </w:r>
      <w:r w:rsidRPr="00D337FA">
        <w:rPr>
          <w:szCs w:val="24"/>
        </w:rPr>
        <w:t>не</w:t>
      </w:r>
      <w:r w:rsidR="006C680D" w:rsidRPr="00D337FA">
        <w:rPr>
          <w:szCs w:val="24"/>
        </w:rPr>
        <w:t xml:space="preserve"> </w:t>
      </w:r>
      <w:r w:rsidRPr="00D337FA">
        <w:rPr>
          <w:szCs w:val="24"/>
        </w:rPr>
        <w:t>вернется</w:t>
      </w:r>
      <w:r w:rsidR="006C680D" w:rsidRPr="00D337FA">
        <w:rPr>
          <w:szCs w:val="24"/>
        </w:rPr>
        <w:t xml:space="preserve"> </w:t>
      </w:r>
      <w:r w:rsidRPr="00D337FA">
        <w:rPr>
          <w:szCs w:val="24"/>
        </w:rPr>
        <w:t>к</w:t>
      </w:r>
      <w:r w:rsidR="006C680D" w:rsidRPr="00D337FA">
        <w:rPr>
          <w:szCs w:val="24"/>
        </w:rPr>
        <w:t xml:space="preserve"> </w:t>
      </w:r>
      <w:r w:rsidRPr="00D337FA">
        <w:rPr>
          <w:szCs w:val="24"/>
        </w:rPr>
        <w:t>ситуации</w:t>
      </w:r>
      <w:r w:rsidR="006C680D" w:rsidRPr="00D337FA">
        <w:rPr>
          <w:szCs w:val="24"/>
        </w:rPr>
        <w:t xml:space="preserve"> </w:t>
      </w:r>
      <w:r w:rsidRPr="00D337FA">
        <w:rPr>
          <w:szCs w:val="24"/>
        </w:rPr>
        <w:t>досанкционного</w:t>
      </w:r>
      <w:r w:rsidR="006C680D" w:rsidRPr="00D337FA">
        <w:rPr>
          <w:szCs w:val="24"/>
        </w:rPr>
        <w:t xml:space="preserve"> </w:t>
      </w:r>
      <w:r w:rsidRPr="00D337FA">
        <w:rPr>
          <w:szCs w:val="24"/>
        </w:rPr>
        <w:t>периода.</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принятые</w:t>
      </w:r>
      <w:r w:rsidR="006C680D" w:rsidRPr="00D337FA">
        <w:rPr>
          <w:szCs w:val="24"/>
        </w:rPr>
        <w:t xml:space="preserve"> </w:t>
      </w:r>
      <w:r w:rsidRPr="00D337FA">
        <w:rPr>
          <w:szCs w:val="24"/>
        </w:rPr>
        <w:t>в</w:t>
      </w:r>
      <w:r w:rsidR="006C680D" w:rsidRPr="00D337FA">
        <w:rPr>
          <w:szCs w:val="24"/>
        </w:rPr>
        <w:t xml:space="preserve"> </w:t>
      </w:r>
      <w:r w:rsidRPr="00D337FA">
        <w:rPr>
          <w:szCs w:val="24"/>
        </w:rPr>
        <w:t>этот</w:t>
      </w:r>
      <w:r w:rsidR="006C680D" w:rsidRPr="00D337FA">
        <w:rPr>
          <w:szCs w:val="24"/>
        </w:rPr>
        <w:t xml:space="preserve"> </w:t>
      </w:r>
      <w:r w:rsidRPr="00D337FA">
        <w:rPr>
          <w:szCs w:val="24"/>
        </w:rPr>
        <w:t>период</w:t>
      </w:r>
      <w:r w:rsidR="006C680D" w:rsidRPr="00D337FA">
        <w:rPr>
          <w:szCs w:val="24"/>
        </w:rPr>
        <w:t xml:space="preserve"> </w:t>
      </w:r>
      <w:r w:rsidRPr="00D337FA">
        <w:rPr>
          <w:szCs w:val="24"/>
        </w:rPr>
        <w:t>и</w:t>
      </w:r>
      <w:r w:rsidR="006C680D" w:rsidRPr="00D337FA">
        <w:rPr>
          <w:szCs w:val="24"/>
        </w:rPr>
        <w:t xml:space="preserve"> </w:t>
      </w:r>
      <w:r w:rsidRPr="00D337FA">
        <w:rPr>
          <w:szCs w:val="24"/>
        </w:rPr>
        <w:t>принимаемые</w:t>
      </w:r>
      <w:r w:rsidR="006C680D" w:rsidRPr="00D337FA">
        <w:rPr>
          <w:szCs w:val="24"/>
        </w:rPr>
        <w:t xml:space="preserve"> </w:t>
      </w:r>
      <w:r w:rsidRPr="00D337FA">
        <w:rPr>
          <w:szCs w:val="24"/>
        </w:rPr>
        <w:t>по</w:t>
      </w:r>
      <w:r w:rsidR="006C680D" w:rsidRPr="00D337FA">
        <w:rPr>
          <w:szCs w:val="24"/>
        </w:rPr>
        <w:t xml:space="preserve"> </w:t>
      </w:r>
      <w:r w:rsidRPr="00D337FA">
        <w:rPr>
          <w:szCs w:val="24"/>
        </w:rPr>
        <w:t>сегодняшний</w:t>
      </w:r>
      <w:r w:rsidR="006C680D" w:rsidRPr="00D337FA">
        <w:rPr>
          <w:szCs w:val="24"/>
        </w:rPr>
        <w:t xml:space="preserve"> </w:t>
      </w:r>
      <w:r w:rsidRPr="00D337FA">
        <w:rPr>
          <w:szCs w:val="24"/>
        </w:rPr>
        <w:t>день,</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иметь</w:t>
      </w:r>
      <w:r w:rsidR="006C680D" w:rsidRPr="00D337FA">
        <w:rPr>
          <w:szCs w:val="24"/>
        </w:rPr>
        <w:t xml:space="preserve"> </w:t>
      </w:r>
      <w:r w:rsidRPr="00D337FA">
        <w:rPr>
          <w:szCs w:val="24"/>
        </w:rPr>
        <w:t>долгосрочный</w:t>
      </w:r>
      <w:r w:rsidR="006C680D" w:rsidRPr="00D337FA">
        <w:rPr>
          <w:szCs w:val="24"/>
        </w:rPr>
        <w:t xml:space="preserve"> </w:t>
      </w:r>
      <w:r w:rsidRPr="00D337FA">
        <w:rPr>
          <w:szCs w:val="24"/>
        </w:rPr>
        <w:t>экономический</w:t>
      </w:r>
      <w:r w:rsidR="006C680D" w:rsidRPr="00D337FA">
        <w:rPr>
          <w:szCs w:val="24"/>
        </w:rPr>
        <w:t xml:space="preserve"> </w:t>
      </w:r>
      <w:r w:rsidRPr="00D337FA">
        <w:rPr>
          <w:szCs w:val="24"/>
        </w:rPr>
        <w:t>эффект.</w:t>
      </w:r>
    </w:p>
    <w:p w:rsidR="00CC397F" w:rsidRPr="00D337FA" w:rsidRDefault="00CC397F" w:rsidP="00544DD6">
      <w:pPr>
        <w:ind w:firstLine="284"/>
        <w:rPr>
          <w:szCs w:val="24"/>
        </w:rPr>
      </w:pP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основной</w:t>
      </w:r>
      <w:r w:rsidR="006C680D" w:rsidRPr="00D337FA">
        <w:rPr>
          <w:szCs w:val="24"/>
        </w:rPr>
        <w:t xml:space="preserve"> </w:t>
      </w:r>
      <w:r w:rsidRPr="00D337FA">
        <w:rPr>
          <w:szCs w:val="24"/>
        </w:rPr>
        <w:t>целью</w:t>
      </w:r>
      <w:r w:rsidR="006C680D" w:rsidRPr="00D337FA">
        <w:rPr>
          <w:szCs w:val="24"/>
        </w:rPr>
        <w:t xml:space="preserve"> </w:t>
      </w:r>
      <w:r w:rsidRPr="00D337FA">
        <w:rPr>
          <w:szCs w:val="24"/>
        </w:rPr>
        <w:t>проводимого</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стало</w:t>
      </w:r>
      <w:r w:rsidR="006C680D" w:rsidRPr="00D337FA">
        <w:rPr>
          <w:szCs w:val="24"/>
        </w:rPr>
        <w:t xml:space="preserve"> </w:t>
      </w:r>
      <w:r w:rsidRPr="00D337FA">
        <w:rPr>
          <w:szCs w:val="24"/>
        </w:rPr>
        <w:t>проведение</w:t>
      </w:r>
      <w:r w:rsidR="006C680D" w:rsidRPr="00D337FA">
        <w:rPr>
          <w:szCs w:val="24"/>
        </w:rPr>
        <w:t xml:space="preserve"> </w:t>
      </w:r>
      <w:r w:rsidRPr="00D337FA">
        <w:rPr>
          <w:szCs w:val="24"/>
        </w:rPr>
        <w:lastRenderedPageBreak/>
        <w:t>комплексного</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существующего</w:t>
      </w:r>
      <w:r w:rsidR="006C680D" w:rsidRPr="00D337FA">
        <w:rPr>
          <w:szCs w:val="24"/>
        </w:rPr>
        <w:t xml:space="preserve"> </w:t>
      </w:r>
      <w:r w:rsidRPr="00D337FA">
        <w:rPr>
          <w:szCs w:val="24"/>
        </w:rPr>
        <w:t>инструментария</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в</w:t>
      </w:r>
      <w:r w:rsidR="006C680D" w:rsidRPr="00D337FA">
        <w:rPr>
          <w:szCs w:val="24"/>
        </w:rPr>
        <w:t xml:space="preserve"> </w:t>
      </w:r>
      <w:r w:rsidRPr="00D337FA">
        <w:rPr>
          <w:szCs w:val="24"/>
        </w:rPr>
        <w:t>период</w:t>
      </w:r>
      <w:r w:rsidR="006C680D" w:rsidRPr="00D337FA">
        <w:rPr>
          <w:szCs w:val="24"/>
        </w:rPr>
        <w:t xml:space="preserve"> </w:t>
      </w:r>
      <w:r w:rsidRPr="00D337FA">
        <w:rPr>
          <w:szCs w:val="24"/>
        </w:rPr>
        <w:t>реализации</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импортазамещения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мировой</w:t>
      </w:r>
      <w:r w:rsidR="006C680D" w:rsidRPr="00D337FA">
        <w:rPr>
          <w:szCs w:val="24"/>
        </w:rPr>
        <w:t xml:space="preserve"> </w:t>
      </w:r>
      <w:r w:rsidRPr="00D337FA">
        <w:rPr>
          <w:szCs w:val="24"/>
        </w:rPr>
        <w:t>экономической</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Объектом</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существующий</w:t>
      </w:r>
      <w:r w:rsidR="006C680D" w:rsidRPr="00D337FA">
        <w:rPr>
          <w:szCs w:val="24"/>
        </w:rPr>
        <w:t xml:space="preserve"> </w:t>
      </w:r>
      <w:r w:rsidRPr="00D337FA">
        <w:rPr>
          <w:szCs w:val="24"/>
        </w:rPr>
        <w:t>перечень</w:t>
      </w:r>
      <w:r w:rsidR="006C680D" w:rsidRPr="00D337FA">
        <w:rPr>
          <w:szCs w:val="24"/>
        </w:rPr>
        <w:t xml:space="preserve"> </w:t>
      </w:r>
      <w:r w:rsidRPr="00D337FA">
        <w:rPr>
          <w:szCs w:val="24"/>
        </w:rPr>
        <w:t>программ</w:t>
      </w:r>
      <w:r w:rsidR="006C680D" w:rsidRPr="00D337FA">
        <w:rPr>
          <w:szCs w:val="24"/>
        </w:rPr>
        <w:t xml:space="preserve"> </w:t>
      </w:r>
      <w:r w:rsidRPr="00D337FA">
        <w:rPr>
          <w:szCs w:val="24"/>
        </w:rPr>
        <w:t>и</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сельскохозяйственной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контексте</w:t>
      </w:r>
      <w:r w:rsidR="006C680D" w:rsidRPr="00D337FA">
        <w:rPr>
          <w:szCs w:val="24"/>
        </w:rPr>
        <w:t xml:space="preserve"> </w:t>
      </w:r>
      <w:r w:rsidRPr="00D337FA">
        <w:rPr>
          <w:szCs w:val="24"/>
        </w:rPr>
        <w:t>эффективности</w:t>
      </w:r>
      <w:r w:rsidR="006C680D" w:rsidRPr="00D337FA">
        <w:rPr>
          <w:szCs w:val="24"/>
        </w:rPr>
        <w:t xml:space="preserve"> </w:t>
      </w:r>
      <w:r w:rsidRPr="00D337FA">
        <w:rPr>
          <w:szCs w:val="24"/>
        </w:rPr>
        <w:t>их</w:t>
      </w:r>
      <w:r w:rsidR="006C680D" w:rsidRPr="00D337FA">
        <w:rPr>
          <w:szCs w:val="24"/>
        </w:rPr>
        <w:t xml:space="preserve"> </w:t>
      </w:r>
      <w:r w:rsidRPr="00D337FA">
        <w:rPr>
          <w:szCs w:val="24"/>
        </w:rPr>
        <w:t>использования</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для</w:t>
      </w:r>
      <w:r w:rsidR="006C680D" w:rsidRPr="00D337FA">
        <w:rPr>
          <w:szCs w:val="24"/>
        </w:rPr>
        <w:t xml:space="preserve"> </w:t>
      </w:r>
      <w:r w:rsidRPr="00D337FA">
        <w:rPr>
          <w:szCs w:val="24"/>
        </w:rPr>
        <w:t>поддержания</w:t>
      </w:r>
      <w:r w:rsidR="006C680D" w:rsidRPr="00D337FA">
        <w:rPr>
          <w:szCs w:val="24"/>
        </w:rPr>
        <w:t xml:space="preserve"> </w:t>
      </w:r>
      <w:r w:rsidRPr="00D337FA">
        <w:rPr>
          <w:szCs w:val="24"/>
        </w:rPr>
        <w:t>работоспособности</w:t>
      </w:r>
      <w:r w:rsidR="00184E6C">
        <w:rPr>
          <w:szCs w:val="24"/>
        </w:rPr>
        <w:t xml:space="preserve"> </w:t>
      </w:r>
      <w:r w:rsidRPr="00D337FA">
        <w:rPr>
          <w:szCs w:val="24"/>
        </w:rPr>
        <w:t>субъектов</w:t>
      </w:r>
      <w:r w:rsidR="006C680D" w:rsidRPr="00D337FA">
        <w:rPr>
          <w:szCs w:val="24"/>
        </w:rPr>
        <w:t xml:space="preserve"> </w:t>
      </w:r>
      <w:r w:rsidRPr="00D337FA">
        <w:rPr>
          <w:szCs w:val="24"/>
        </w:rPr>
        <w:t>хозяйственной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их</w:t>
      </w:r>
      <w:r w:rsidR="006C680D" w:rsidRPr="00D337FA">
        <w:rPr>
          <w:szCs w:val="24"/>
        </w:rPr>
        <w:t xml:space="preserve"> </w:t>
      </w:r>
      <w:r w:rsidRPr="00D337FA">
        <w:rPr>
          <w:szCs w:val="24"/>
        </w:rPr>
        <w:t>эффективного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в</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санкционных</w:t>
      </w:r>
      <w:r w:rsidR="006C680D" w:rsidRPr="00D337FA">
        <w:rPr>
          <w:szCs w:val="24"/>
        </w:rPr>
        <w:t xml:space="preserve"> </w:t>
      </w:r>
      <w:r w:rsidRPr="00D337FA">
        <w:rPr>
          <w:szCs w:val="24"/>
        </w:rPr>
        <w:t>ограничений.</w:t>
      </w:r>
      <w:r w:rsidR="006C680D" w:rsidRPr="00D337FA">
        <w:rPr>
          <w:szCs w:val="24"/>
        </w:rPr>
        <w:t xml:space="preserve"> </w:t>
      </w:r>
      <w:r w:rsidRPr="00D337FA">
        <w:rPr>
          <w:szCs w:val="24"/>
        </w:rPr>
        <w:t>Комплекс</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должен</w:t>
      </w:r>
      <w:r w:rsidR="006C680D" w:rsidRPr="00D337FA">
        <w:rPr>
          <w:szCs w:val="24"/>
        </w:rPr>
        <w:t xml:space="preserve"> </w:t>
      </w:r>
      <w:r w:rsidRPr="00D337FA">
        <w:rPr>
          <w:szCs w:val="24"/>
        </w:rPr>
        <w:t>позволить</w:t>
      </w:r>
      <w:r w:rsidR="006C680D" w:rsidRPr="00D337FA">
        <w:rPr>
          <w:szCs w:val="24"/>
        </w:rPr>
        <w:t xml:space="preserve"> </w:t>
      </w:r>
      <w:r w:rsidRPr="00D337FA">
        <w:rPr>
          <w:szCs w:val="24"/>
        </w:rPr>
        <w:t>компаниям</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получить</w:t>
      </w:r>
      <w:r w:rsidR="006C680D" w:rsidRPr="00D337FA">
        <w:rPr>
          <w:szCs w:val="24"/>
        </w:rPr>
        <w:t xml:space="preserve"> </w:t>
      </w:r>
      <w:r w:rsidRPr="00D337FA">
        <w:rPr>
          <w:szCs w:val="24"/>
        </w:rPr>
        <w:t>необходимые</w:t>
      </w:r>
      <w:r w:rsidR="006C680D" w:rsidRPr="00D337FA">
        <w:rPr>
          <w:szCs w:val="24"/>
        </w:rPr>
        <w:t xml:space="preserve"> </w:t>
      </w:r>
      <w:r w:rsidRPr="00D337FA">
        <w:rPr>
          <w:szCs w:val="24"/>
        </w:rPr>
        <w:t>материальные</w:t>
      </w:r>
      <w:r w:rsidR="006C680D" w:rsidRPr="00D337FA">
        <w:rPr>
          <w:szCs w:val="24"/>
        </w:rPr>
        <w:t xml:space="preserve"> </w:t>
      </w:r>
      <w:r w:rsidRPr="00D337FA">
        <w:rPr>
          <w:szCs w:val="24"/>
        </w:rPr>
        <w:t>и</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ресурсы</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с</w:t>
      </w:r>
      <w:r w:rsidR="006C680D" w:rsidRPr="00D337FA">
        <w:rPr>
          <w:szCs w:val="24"/>
        </w:rPr>
        <w:t xml:space="preserve"> </w:t>
      </w:r>
      <w:r w:rsidRPr="00D337FA">
        <w:rPr>
          <w:szCs w:val="24"/>
        </w:rPr>
        <w:t>последующем</w:t>
      </w:r>
      <w:r w:rsidR="006C680D" w:rsidRPr="00D337FA">
        <w:rPr>
          <w:szCs w:val="24"/>
        </w:rPr>
        <w:t xml:space="preserve"> </w:t>
      </w:r>
      <w:r w:rsidRPr="00D337FA">
        <w:rPr>
          <w:szCs w:val="24"/>
        </w:rPr>
        <w:t>получением</w:t>
      </w:r>
      <w:r w:rsidR="006C680D" w:rsidRPr="00D337FA">
        <w:rPr>
          <w:szCs w:val="24"/>
        </w:rPr>
        <w:t xml:space="preserve"> </w:t>
      </w:r>
      <w:r w:rsidRPr="00D337FA">
        <w:rPr>
          <w:szCs w:val="24"/>
        </w:rPr>
        <w:t>прибыли,</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обеспечить</w:t>
      </w:r>
      <w:r w:rsidR="006C680D" w:rsidRPr="00D337FA">
        <w:rPr>
          <w:szCs w:val="24"/>
        </w:rPr>
        <w:t xml:space="preserve"> </w:t>
      </w:r>
      <w:r w:rsidRPr="00D337FA">
        <w:rPr>
          <w:szCs w:val="24"/>
        </w:rPr>
        <w:t>продовольственную</w:t>
      </w:r>
      <w:r w:rsidR="006C680D" w:rsidRPr="00D337FA">
        <w:rPr>
          <w:szCs w:val="24"/>
        </w:rPr>
        <w:t xml:space="preserve"> </w:t>
      </w:r>
      <w:r w:rsidRPr="00D337FA">
        <w:rPr>
          <w:szCs w:val="24"/>
        </w:rPr>
        <w:t>безопасность</w:t>
      </w:r>
      <w:r w:rsidR="006C680D" w:rsidRPr="00D337FA">
        <w:rPr>
          <w:szCs w:val="24"/>
        </w:rPr>
        <w:t xml:space="preserve"> </w:t>
      </w:r>
      <w:r w:rsidRPr="00D337FA">
        <w:rPr>
          <w:szCs w:val="24"/>
        </w:rPr>
        <w:t>страны.</w:t>
      </w:r>
    </w:p>
    <w:p w:rsidR="00CC397F" w:rsidRPr="00D337FA" w:rsidRDefault="00CC397F" w:rsidP="00544DD6">
      <w:pPr>
        <w:ind w:firstLine="284"/>
        <w:rPr>
          <w:szCs w:val="24"/>
        </w:rPr>
      </w:pP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проведения</w:t>
      </w:r>
      <w:r w:rsidR="006C680D" w:rsidRPr="00D337FA">
        <w:rPr>
          <w:szCs w:val="24"/>
        </w:rPr>
        <w:t xml:space="preserve"> </w:t>
      </w:r>
      <w:r w:rsidRPr="00D337FA">
        <w:rPr>
          <w:szCs w:val="24"/>
        </w:rPr>
        <w:t>исследовательской</w:t>
      </w:r>
      <w:r w:rsidR="006C680D" w:rsidRPr="00D337FA">
        <w:rPr>
          <w:szCs w:val="24"/>
        </w:rPr>
        <w:t xml:space="preserve"> </w:t>
      </w:r>
      <w:r w:rsidRPr="00D337FA">
        <w:rPr>
          <w:szCs w:val="24"/>
        </w:rPr>
        <w:t>работы</w:t>
      </w:r>
      <w:r w:rsidR="006C680D" w:rsidRPr="00D337FA">
        <w:rPr>
          <w:szCs w:val="24"/>
        </w:rPr>
        <w:t xml:space="preserve"> </w:t>
      </w:r>
      <w:r w:rsidRPr="00D337FA">
        <w:rPr>
          <w:szCs w:val="24"/>
        </w:rPr>
        <w:t>были</w:t>
      </w:r>
      <w:r w:rsidR="006C680D" w:rsidRPr="00D337FA">
        <w:rPr>
          <w:szCs w:val="24"/>
        </w:rPr>
        <w:t xml:space="preserve"> </w:t>
      </w:r>
      <w:r w:rsidRPr="00D337FA">
        <w:rPr>
          <w:szCs w:val="24"/>
        </w:rPr>
        <w:t>обозначены</w:t>
      </w:r>
      <w:r w:rsidR="006C680D" w:rsidRPr="00D337FA">
        <w:rPr>
          <w:szCs w:val="24"/>
        </w:rPr>
        <w:t xml:space="preserve"> </w:t>
      </w:r>
      <w:r w:rsidRPr="00D337FA">
        <w:rPr>
          <w:szCs w:val="24"/>
        </w:rPr>
        <w:t>следующие</w:t>
      </w:r>
      <w:r w:rsidR="006C680D" w:rsidRPr="00D337FA">
        <w:rPr>
          <w:szCs w:val="24"/>
        </w:rPr>
        <w:t xml:space="preserve"> </w:t>
      </w:r>
      <w:r w:rsidRPr="00D337FA">
        <w:rPr>
          <w:szCs w:val="24"/>
        </w:rPr>
        <w:t>задачи:</w:t>
      </w:r>
    </w:p>
    <w:p w:rsidR="00CC397F" w:rsidRPr="00D337FA" w:rsidRDefault="00CC397F" w:rsidP="005A0605">
      <w:pPr>
        <w:numPr>
          <w:ilvl w:val="0"/>
          <w:numId w:val="2"/>
        </w:numPr>
        <w:spacing w:after="160" w:line="259" w:lineRule="auto"/>
        <w:ind w:left="0" w:firstLine="284"/>
        <w:contextualSpacing/>
        <w:rPr>
          <w:szCs w:val="24"/>
        </w:rPr>
      </w:pPr>
      <w:r w:rsidRPr="00D337FA">
        <w:rPr>
          <w:szCs w:val="24"/>
        </w:rPr>
        <w:t>Изучение</w:t>
      </w:r>
      <w:r w:rsidR="006C680D" w:rsidRPr="00D337FA">
        <w:rPr>
          <w:szCs w:val="24"/>
        </w:rPr>
        <w:t xml:space="preserve"> </w:t>
      </w:r>
      <w:r w:rsidRPr="00D337FA">
        <w:rPr>
          <w:szCs w:val="24"/>
        </w:rPr>
        <w:t>проблематики</w:t>
      </w:r>
      <w:r w:rsidR="006C680D" w:rsidRPr="00D337FA">
        <w:rPr>
          <w:szCs w:val="24"/>
        </w:rPr>
        <w:t xml:space="preserve"> </w:t>
      </w:r>
      <w:r w:rsidRPr="00D337FA">
        <w:rPr>
          <w:szCs w:val="24"/>
        </w:rPr>
        <w:t>комплексной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в</w:t>
      </w:r>
      <w:r w:rsidR="006C680D" w:rsidRPr="00D337FA">
        <w:rPr>
          <w:szCs w:val="24"/>
        </w:rPr>
        <w:t xml:space="preserve"> </w:t>
      </w:r>
      <w:r w:rsidRPr="00D337FA">
        <w:rPr>
          <w:szCs w:val="24"/>
        </w:rPr>
        <w:t>период</w:t>
      </w:r>
      <w:r w:rsidR="006C680D" w:rsidRPr="00D337FA">
        <w:rPr>
          <w:szCs w:val="24"/>
        </w:rPr>
        <w:t xml:space="preserve"> </w:t>
      </w:r>
      <w:r w:rsidRPr="00D337FA">
        <w:rPr>
          <w:szCs w:val="24"/>
        </w:rPr>
        <w:t>сан</w:t>
      </w:r>
      <w:r w:rsidR="00184E6C">
        <w:rPr>
          <w:szCs w:val="24"/>
        </w:rPr>
        <w:t>к</w:t>
      </w:r>
      <w:r w:rsidRPr="00D337FA">
        <w:rPr>
          <w:szCs w:val="24"/>
        </w:rPr>
        <w:t>ционных</w:t>
      </w:r>
      <w:r w:rsidR="006C680D" w:rsidRPr="00D337FA">
        <w:rPr>
          <w:szCs w:val="24"/>
        </w:rPr>
        <w:t xml:space="preserve"> </w:t>
      </w:r>
      <w:r w:rsidRPr="00D337FA">
        <w:rPr>
          <w:szCs w:val="24"/>
        </w:rPr>
        <w:t>ограничений;</w:t>
      </w:r>
    </w:p>
    <w:p w:rsidR="00CC397F" w:rsidRPr="00D337FA" w:rsidRDefault="00CC397F" w:rsidP="005A0605">
      <w:pPr>
        <w:numPr>
          <w:ilvl w:val="0"/>
          <w:numId w:val="2"/>
        </w:numPr>
        <w:spacing w:after="160" w:line="259" w:lineRule="auto"/>
        <w:ind w:left="0" w:firstLine="284"/>
        <w:contextualSpacing/>
        <w:rPr>
          <w:szCs w:val="24"/>
        </w:rPr>
      </w:pPr>
      <w:r w:rsidRPr="00D337FA">
        <w:rPr>
          <w:szCs w:val="24"/>
        </w:rPr>
        <w:t>Рассмотрение</w:t>
      </w:r>
      <w:r w:rsidR="006C680D" w:rsidRPr="00D337FA">
        <w:rPr>
          <w:szCs w:val="24"/>
        </w:rPr>
        <w:t xml:space="preserve"> </w:t>
      </w:r>
      <w:r w:rsidRPr="00D337FA">
        <w:rPr>
          <w:szCs w:val="24"/>
        </w:rPr>
        <w:t>основных</w:t>
      </w:r>
      <w:r w:rsidR="006C680D" w:rsidRPr="00D337FA">
        <w:rPr>
          <w:szCs w:val="24"/>
        </w:rPr>
        <w:t xml:space="preserve"> </w:t>
      </w:r>
      <w:r w:rsidRPr="00D337FA">
        <w:rPr>
          <w:szCs w:val="24"/>
        </w:rPr>
        <w:t>направлений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тенденций</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АПК</w:t>
      </w:r>
      <w:r w:rsidR="006C680D" w:rsidRPr="00D337FA">
        <w:rPr>
          <w:szCs w:val="24"/>
        </w:rPr>
        <w:t xml:space="preserve"> </w:t>
      </w:r>
      <w:r w:rsidRPr="00D337FA">
        <w:rPr>
          <w:szCs w:val="24"/>
        </w:rPr>
        <w:t>РФ;</w:t>
      </w:r>
    </w:p>
    <w:p w:rsidR="00CC397F" w:rsidRPr="00D337FA" w:rsidRDefault="00CC397F" w:rsidP="005A0605">
      <w:pPr>
        <w:numPr>
          <w:ilvl w:val="0"/>
          <w:numId w:val="2"/>
        </w:numPr>
        <w:spacing w:after="160" w:line="259" w:lineRule="auto"/>
        <w:ind w:left="0" w:firstLine="284"/>
        <w:contextualSpacing/>
        <w:rPr>
          <w:szCs w:val="24"/>
        </w:rPr>
      </w:pPr>
      <w:r w:rsidRPr="00D337FA">
        <w:rPr>
          <w:szCs w:val="24"/>
        </w:rPr>
        <w:t>Сравнительный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объема</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в</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странах</w:t>
      </w:r>
      <w:r w:rsidR="006C680D" w:rsidRPr="00D337FA">
        <w:rPr>
          <w:szCs w:val="24"/>
        </w:rPr>
        <w:t xml:space="preserve"> </w:t>
      </w:r>
      <w:r w:rsidRPr="00D337FA">
        <w:rPr>
          <w:szCs w:val="24"/>
        </w:rPr>
        <w:t>мира;</w:t>
      </w:r>
    </w:p>
    <w:p w:rsidR="00CC397F" w:rsidRPr="00D337FA" w:rsidRDefault="00CC397F" w:rsidP="005A0605">
      <w:pPr>
        <w:numPr>
          <w:ilvl w:val="0"/>
          <w:numId w:val="2"/>
        </w:numPr>
        <w:spacing w:after="160" w:line="259" w:lineRule="auto"/>
        <w:ind w:left="0" w:firstLine="284"/>
        <w:contextualSpacing/>
        <w:rPr>
          <w:szCs w:val="24"/>
        </w:rPr>
      </w:pPr>
      <w:r w:rsidRPr="00D337FA">
        <w:rPr>
          <w:szCs w:val="24"/>
        </w:rPr>
        <w:t>Оценка</w:t>
      </w:r>
      <w:r w:rsidR="006C680D" w:rsidRPr="00D337FA">
        <w:rPr>
          <w:szCs w:val="24"/>
        </w:rPr>
        <w:t xml:space="preserve"> </w:t>
      </w:r>
      <w:r w:rsidRPr="00D337FA">
        <w:rPr>
          <w:szCs w:val="24"/>
        </w:rPr>
        <w:t>динамики</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АПК</w:t>
      </w:r>
      <w:r w:rsidR="006C680D" w:rsidRPr="00D337FA">
        <w:rPr>
          <w:szCs w:val="24"/>
        </w:rPr>
        <w:t xml:space="preserve"> </w:t>
      </w:r>
      <w:r w:rsidRPr="00D337FA">
        <w:rPr>
          <w:szCs w:val="24"/>
        </w:rPr>
        <w:t>за</w:t>
      </w:r>
      <w:r w:rsidR="006C680D" w:rsidRPr="00D337FA">
        <w:rPr>
          <w:szCs w:val="24"/>
        </w:rPr>
        <w:t xml:space="preserve"> </w:t>
      </w:r>
      <w:r w:rsidRPr="00D337FA">
        <w:rPr>
          <w:szCs w:val="24"/>
        </w:rPr>
        <w:t>15</w:t>
      </w:r>
      <w:r w:rsidR="006C680D" w:rsidRPr="00D337FA">
        <w:rPr>
          <w:szCs w:val="24"/>
        </w:rPr>
        <w:t xml:space="preserve"> </w:t>
      </w:r>
      <w:r w:rsidRPr="00D337FA">
        <w:rPr>
          <w:szCs w:val="24"/>
        </w:rPr>
        <w:t>летний</w:t>
      </w:r>
      <w:r w:rsidR="006C680D" w:rsidRPr="00D337FA">
        <w:rPr>
          <w:szCs w:val="24"/>
        </w:rPr>
        <w:t xml:space="preserve"> </w:t>
      </w:r>
      <w:r w:rsidRPr="00D337FA">
        <w:rPr>
          <w:szCs w:val="24"/>
        </w:rPr>
        <w:t>период;</w:t>
      </w:r>
    </w:p>
    <w:p w:rsidR="00CC397F" w:rsidRPr="00D337FA" w:rsidRDefault="00CC397F" w:rsidP="005A0605">
      <w:pPr>
        <w:numPr>
          <w:ilvl w:val="0"/>
          <w:numId w:val="2"/>
        </w:numPr>
        <w:spacing w:after="160" w:line="259" w:lineRule="auto"/>
        <w:ind w:left="0" w:firstLine="284"/>
        <w:contextualSpacing/>
        <w:rPr>
          <w:szCs w:val="24"/>
        </w:rPr>
      </w:pPr>
      <w:r w:rsidRPr="00D337FA">
        <w:rPr>
          <w:szCs w:val="24"/>
        </w:rPr>
        <w:t>Формирование</w:t>
      </w:r>
      <w:r w:rsidR="006C680D" w:rsidRPr="00D337FA">
        <w:rPr>
          <w:szCs w:val="24"/>
        </w:rPr>
        <w:t xml:space="preserve"> </w:t>
      </w:r>
      <w:r w:rsidRPr="00D337FA">
        <w:rPr>
          <w:szCs w:val="24"/>
        </w:rPr>
        <w:t>предложений</w:t>
      </w:r>
      <w:r w:rsidR="006C680D" w:rsidRPr="00D337FA">
        <w:rPr>
          <w:szCs w:val="24"/>
        </w:rPr>
        <w:t xml:space="preserve"> </w:t>
      </w:r>
      <w:r w:rsidRPr="00D337FA">
        <w:rPr>
          <w:szCs w:val="24"/>
        </w:rPr>
        <w:t>по</w:t>
      </w:r>
      <w:r w:rsidR="006C680D" w:rsidRPr="00D337FA">
        <w:rPr>
          <w:szCs w:val="24"/>
        </w:rPr>
        <w:t xml:space="preserve"> </w:t>
      </w:r>
      <w:r w:rsidRPr="00D337FA">
        <w:rPr>
          <w:szCs w:val="24"/>
        </w:rPr>
        <w:t>совершенствованию</w:t>
      </w:r>
      <w:r w:rsidR="006C680D" w:rsidRPr="00D337FA">
        <w:rPr>
          <w:szCs w:val="24"/>
        </w:rPr>
        <w:t xml:space="preserve"> </w:t>
      </w:r>
      <w:r w:rsidRPr="00D337FA">
        <w:rPr>
          <w:szCs w:val="24"/>
        </w:rPr>
        <w:t>программ</w:t>
      </w:r>
      <w:r w:rsidR="006C680D" w:rsidRPr="00D337FA">
        <w:rPr>
          <w:szCs w:val="24"/>
        </w:rPr>
        <w:t xml:space="preserve"> </w:t>
      </w:r>
      <w:r w:rsidRPr="00D337FA">
        <w:rPr>
          <w:szCs w:val="24"/>
        </w:rPr>
        <w:t>и</w:t>
      </w:r>
      <w:r w:rsidR="006C680D" w:rsidRPr="00D337FA">
        <w:rPr>
          <w:szCs w:val="24"/>
        </w:rPr>
        <w:t xml:space="preserve"> </w:t>
      </w:r>
      <w:r w:rsidRPr="00D337FA">
        <w:rPr>
          <w:szCs w:val="24"/>
        </w:rPr>
        <w:t>мер</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АПК</w:t>
      </w:r>
      <w:r w:rsidR="006C680D" w:rsidRPr="00D337FA">
        <w:rPr>
          <w:szCs w:val="24"/>
        </w:rPr>
        <w:t xml:space="preserve"> </w:t>
      </w:r>
      <w:r w:rsidRPr="00D337FA">
        <w:rPr>
          <w:szCs w:val="24"/>
        </w:rPr>
        <w:t>на</w:t>
      </w:r>
      <w:r w:rsidR="006C680D" w:rsidRPr="00D337FA">
        <w:rPr>
          <w:szCs w:val="24"/>
        </w:rPr>
        <w:t xml:space="preserve"> </w:t>
      </w:r>
      <w:r w:rsidRPr="00D337FA">
        <w:rPr>
          <w:szCs w:val="24"/>
        </w:rPr>
        <w:t>долгосрочную</w:t>
      </w:r>
      <w:r w:rsidR="006C680D" w:rsidRPr="00D337FA">
        <w:rPr>
          <w:szCs w:val="24"/>
        </w:rPr>
        <w:t xml:space="preserve"> </w:t>
      </w:r>
      <w:r w:rsidRPr="00D337FA">
        <w:rPr>
          <w:szCs w:val="24"/>
        </w:rPr>
        <w:t>перспективу.</w:t>
      </w:r>
      <w:r w:rsidR="006C680D" w:rsidRPr="00D337FA">
        <w:rPr>
          <w:szCs w:val="24"/>
        </w:rPr>
        <w:t xml:space="preserve"> </w:t>
      </w:r>
    </w:p>
    <w:p w:rsidR="00CC397F" w:rsidRPr="00D337FA" w:rsidRDefault="00CC397F" w:rsidP="00544DD6">
      <w:pPr>
        <w:ind w:firstLine="284"/>
        <w:contextualSpacing/>
        <w:rPr>
          <w:szCs w:val="24"/>
        </w:rPr>
      </w:pPr>
      <w:r w:rsidRPr="00D337FA">
        <w:rPr>
          <w:szCs w:val="24"/>
        </w:rPr>
        <w:t>Результаты</w:t>
      </w:r>
      <w:r w:rsidR="006C680D" w:rsidRPr="00D337FA">
        <w:rPr>
          <w:szCs w:val="24"/>
        </w:rPr>
        <w:t xml:space="preserve"> </w:t>
      </w:r>
      <w:r w:rsidRPr="00D337FA">
        <w:rPr>
          <w:szCs w:val="24"/>
        </w:rPr>
        <w:t>работы</w:t>
      </w:r>
      <w:r w:rsidR="006C680D" w:rsidRPr="00D337FA">
        <w:rPr>
          <w:szCs w:val="24"/>
        </w:rPr>
        <w:t xml:space="preserve"> </w:t>
      </w:r>
      <w:r w:rsidRPr="00D337FA">
        <w:rPr>
          <w:szCs w:val="24"/>
        </w:rPr>
        <w:t>могут</w:t>
      </w:r>
      <w:r w:rsidR="006C680D" w:rsidRPr="00D337FA">
        <w:rPr>
          <w:szCs w:val="24"/>
        </w:rPr>
        <w:t xml:space="preserve"> </w:t>
      </w:r>
      <w:r w:rsidRPr="00D337FA">
        <w:rPr>
          <w:szCs w:val="24"/>
        </w:rPr>
        <w:t>быть</w:t>
      </w:r>
      <w:r w:rsidR="006C680D" w:rsidRPr="00D337FA">
        <w:rPr>
          <w:szCs w:val="24"/>
        </w:rPr>
        <w:t xml:space="preserve"> </w:t>
      </w:r>
      <w:r w:rsidRPr="00D337FA">
        <w:rPr>
          <w:szCs w:val="24"/>
        </w:rPr>
        <w:t>использованы</w:t>
      </w:r>
      <w:r w:rsidR="006C680D" w:rsidRPr="00D337FA">
        <w:rPr>
          <w:szCs w:val="24"/>
        </w:rPr>
        <w:t xml:space="preserve"> </w:t>
      </w:r>
      <w:r w:rsidRPr="00D337FA">
        <w:rPr>
          <w:szCs w:val="24"/>
        </w:rPr>
        <w:t>на</w:t>
      </w:r>
      <w:r w:rsidR="006C680D" w:rsidRPr="00D337FA">
        <w:rPr>
          <w:szCs w:val="24"/>
        </w:rPr>
        <w:t xml:space="preserve"> </w:t>
      </w:r>
      <w:r w:rsidRPr="00D337FA">
        <w:rPr>
          <w:szCs w:val="24"/>
        </w:rPr>
        <w:t>практике</w:t>
      </w:r>
      <w:r w:rsidR="006C680D" w:rsidRPr="00D337FA">
        <w:rPr>
          <w:szCs w:val="24"/>
        </w:rPr>
        <w:t xml:space="preserve"> </w:t>
      </w:r>
      <w:r w:rsidRPr="00D337FA">
        <w:rPr>
          <w:szCs w:val="24"/>
        </w:rPr>
        <w:t>при</w:t>
      </w:r>
      <w:r w:rsidR="006C680D" w:rsidRPr="00D337FA">
        <w:rPr>
          <w:szCs w:val="24"/>
        </w:rPr>
        <w:t xml:space="preserve"> </w:t>
      </w:r>
      <w:r w:rsidRPr="00D337FA">
        <w:rPr>
          <w:szCs w:val="24"/>
        </w:rPr>
        <w:t>разработке,</w:t>
      </w:r>
      <w:r w:rsidR="006C680D" w:rsidRPr="00D337FA">
        <w:rPr>
          <w:szCs w:val="24"/>
        </w:rPr>
        <w:t xml:space="preserve"> </w:t>
      </w:r>
      <w:r w:rsidRPr="00D337FA">
        <w:rPr>
          <w:szCs w:val="24"/>
        </w:rPr>
        <w:t>анализе</w:t>
      </w:r>
      <w:r w:rsidR="006C680D" w:rsidRPr="00D337FA">
        <w:rPr>
          <w:szCs w:val="24"/>
        </w:rPr>
        <w:t xml:space="preserve"> </w:t>
      </w:r>
      <w:r w:rsidRPr="00D337FA">
        <w:rPr>
          <w:szCs w:val="24"/>
        </w:rPr>
        <w:t>и</w:t>
      </w:r>
      <w:r w:rsidR="006C680D" w:rsidRPr="00D337FA">
        <w:rPr>
          <w:szCs w:val="24"/>
        </w:rPr>
        <w:t xml:space="preserve"> </w:t>
      </w:r>
      <w:r w:rsidRPr="00D337FA">
        <w:rPr>
          <w:szCs w:val="24"/>
        </w:rPr>
        <w:t>совершенствовании</w:t>
      </w:r>
      <w:r w:rsidR="006C680D" w:rsidRPr="00D337FA">
        <w:rPr>
          <w:szCs w:val="24"/>
        </w:rPr>
        <w:t xml:space="preserve"> </w:t>
      </w:r>
      <w:r w:rsidRPr="00D337FA">
        <w:rPr>
          <w:szCs w:val="24"/>
        </w:rPr>
        <w:t>инструментария</w:t>
      </w:r>
      <w:r w:rsidR="006C680D" w:rsidRPr="00D337FA">
        <w:rPr>
          <w:szCs w:val="24"/>
        </w:rPr>
        <w:t xml:space="preserve"> </w:t>
      </w:r>
      <w:r w:rsidRPr="00D337FA">
        <w:rPr>
          <w:szCs w:val="24"/>
        </w:rPr>
        <w:t>мер</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устойчивого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АПК,</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проведении</w:t>
      </w:r>
      <w:r w:rsidR="006C680D" w:rsidRPr="00D337FA">
        <w:rPr>
          <w:szCs w:val="24"/>
        </w:rPr>
        <w:t xml:space="preserve"> </w:t>
      </w:r>
      <w:r w:rsidRPr="00D337FA">
        <w:rPr>
          <w:szCs w:val="24"/>
        </w:rPr>
        <w:t>исследований</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направленных</w:t>
      </w:r>
      <w:r w:rsidR="006C680D" w:rsidRPr="00D337FA">
        <w:rPr>
          <w:szCs w:val="24"/>
        </w:rPr>
        <w:t xml:space="preserve"> </w:t>
      </w:r>
      <w:r w:rsidRPr="00D337FA">
        <w:rPr>
          <w:szCs w:val="24"/>
        </w:rPr>
        <w:t>на</w:t>
      </w:r>
      <w:r w:rsidR="006C680D" w:rsidRPr="00D337FA">
        <w:rPr>
          <w:szCs w:val="24"/>
        </w:rPr>
        <w:t xml:space="preserve"> </w:t>
      </w:r>
      <w:r w:rsidRPr="00D337FA">
        <w:rPr>
          <w:szCs w:val="24"/>
        </w:rPr>
        <w:t>укрепление</w:t>
      </w:r>
      <w:r w:rsidR="006C680D" w:rsidRPr="00D337FA">
        <w:rPr>
          <w:szCs w:val="24"/>
        </w:rPr>
        <w:t xml:space="preserve"> </w:t>
      </w:r>
      <w:r w:rsidRPr="00D337FA">
        <w:rPr>
          <w:szCs w:val="24"/>
        </w:rPr>
        <w:t>продовольственной</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Российской</w:t>
      </w:r>
      <w:r w:rsidR="006C680D" w:rsidRPr="00D337FA">
        <w:rPr>
          <w:szCs w:val="24"/>
        </w:rPr>
        <w:t xml:space="preserve"> </w:t>
      </w:r>
      <w:r w:rsidRPr="00D337FA">
        <w:rPr>
          <w:szCs w:val="24"/>
        </w:rPr>
        <w:t>Федерации.</w:t>
      </w:r>
    </w:p>
    <w:p w:rsidR="00CC397F" w:rsidRPr="00D337FA" w:rsidRDefault="00CC397F" w:rsidP="00544DD6">
      <w:pPr>
        <w:ind w:firstLine="284"/>
        <w:contextualSpacing/>
        <w:rPr>
          <w:szCs w:val="24"/>
        </w:rPr>
      </w:pPr>
    </w:p>
    <w:p w:rsidR="00CC397F" w:rsidRPr="00D337FA" w:rsidRDefault="00CC397F" w:rsidP="00544DD6">
      <w:pPr>
        <w:ind w:firstLine="284"/>
        <w:rPr>
          <w:b/>
          <w:szCs w:val="24"/>
        </w:rPr>
      </w:pPr>
      <w:r w:rsidRPr="00D337FA">
        <w:rPr>
          <w:b/>
          <w:szCs w:val="24"/>
        </w:rPr>
        <w:lastRenderedPageBreak/>
        <w:t>Теоретический</w:t>
      </w:r>
      <w:r w:rsidR="006C680D" w:rsidRPr="00D337FA">
        <w:rPr>
          <w:b/>
          <w:szCs w:val="24"/>
        </w:rPr>
        <w:t xml:space="preserve"> </w:t>
      </w:r>
      <w:r w:rsidRPr="00D337FA">
        <w:rPr>
          <w:b/>
          <w:szCs w:val="24"/>
        </w:rPr>
        <w:t>анализ</w:t>
      </w:r>
    </w:p>
    <w:p w:rsidR="00CC397F" w:rsidRPr="00D337FA" w:rsidRDefault="00CC397F" w:rsidP="00544DD6">
      <w:pPr>
        <w:ind w:firstLine="284"/>
        <w:rPr>
          <w:szCs w:val="24"/>
        </w:rPr>
      </w:pPr>
      <w:r w:rsidRPr="00D337FA">
        <w:rPr>
          <w:szCs w:val="24"/>
        </w:rPr>
        <w:t>Исследование</w:t>
      </w:r>
      <w:r w:rsidR="006C680D" w:rsidRPr="00D337FA">
        <w:rPr>
          <w:szCs w:val="24"/>
        </w:rPr>
        <w:t xml:space="preserve"> </w:t>
      </w:r>
      <w:r w:rsidRPr="00D337FA">
        <w:rPr>
          <w:szCs w:val="24"/>
        </w:rPr>
        <w:t>проблематики</w:t>
      </w:r>
      <w:r w:rsidR="006C680D" w:rsidRPr="00D337FA">
        <w:rPr>
          <w:szCs w:val="24"/>
        </w:rPr>
        <w:t xml:space="preserve"> </w:t>
      </w:r>
      <w:r w:rsidRPr="00D337FA">
        <w:rPr>
          <w:szCs w:val="24"/>
        </w:rPr>
        <w:t>комплексного</w:t>
      </w:r>
      <w:r w:rsidR="006C680D" w:rsidRPr="00D337FA">
        <w:rPr>
          <w:szCs w:val="24"/>
        </w:rPr>
        <w:t xml:space="preserve"> </w:t>
      </w:r>
      <w:r w:rsidRPr="00D337FA">
        <w:rPr>
          <w:szCs w:val="24"/>
        </w:rPr>
        <w:t>и</w:t>
      </w:r>
      <w:r w:rsidR="006C680D" w:rsidRPr="00D337FA">
        <w:rPr>
          <w:szCs w:val="24"/>
        </w:rPr>
        <w:t xml:space="preserve"> </w:t>
      </w:r>
      <w:r w:rsidRPr="00D337FA">
        <w:rPr>
          <w:szCs w:val="24"/>
        </w:rPr>
        <w:t>устойчивого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в</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несколько</w:t>
      </w:r>
      <w:r w:rsidR="006C680D" w:rsidRPr="00D337FA">
        <w:rPr>
          <w:szCs w:val="24"/>
        </w:rPr>
        <w:t xml:space="preserve"> </w:t>
      </w:r>
      <w:r w:rsidRPr="00D337FA">
        <w:rPr>
          <w:szCs w:val="24"/>
        </w:rPr>
        <w:t>лет</w:t>
      </w:r>
      <w:r w:rsidR="006C680D" w:rsidRPr="00D337FA">
        <w:rPr>
          <w:szCs w:val="24"/>
        </w:rPr>
        <w:t xml:space="preserve"> </w:t>
      </w:r>
      <w:r w:rsidRPr="00D337FA">
        <w:rPr>
          <w:szCs w:val="24"/>
        </w:rPr>
        <w:t>вышла</w:t>
      </w:r>
      <w:r w:rsidR="006C680D" w:rsidRPr="00D337FA">
        <w:rPr>
          <w:szCs w:val="24"/>
        </w:rPr>
        <w:t xml:space="preserve"> </w:t>
      </w:r>
      <w:r w:rsidRPr="00D337FA">
        <w:rPr>
          <w:szCs w:val="24"/>
        </w:rPr>
        <w:t>на</w:t>
      </w:r>
      <w:r w:rsidR="006C680D" w:rsidRPr="00D337FA">
        <w:rPr>
          <w:szCs w:val="24"/>
        </w:rPr>
        <w:t xml:space="preserve"> </w:t>
      </w:r>
      <w:r w:rsidRPr="00D337FA">
        <w:rPr>
          <w:szCs w:val="24"/>
        </w:rPr>
        <w:t>передней</w:t>
      </w:r>
      <w:r w:rsidR="006C680D" w:rsidRPr="00D337FA">
        <w:rPr>
          <w:szCs w:val="24"/>
        </w:rPr>
        <w:t xml:space="preserve"> </w:t>
      </w:r>
      <w:r w:rsidRPr="00D337FA">
        <w:rPr>
          <w:szCs w:val="24"/>
        </w:rPr>
        <w:t>край</w:t>
      </w:r>
      <w:r w:rsidR="006C680D" w:rsidRPr="00D337FA">
        <w:rPr>
          <w:szCs w:val="24"/>
        </w:rPr>
        <w:t xml:space="preserve"> </w:t>
      </w:r>
      <w:r w:rsidRPr="00D337FA">
        <w:rPr>
          <w:szCs w:val="24"/>
        </w:rPr>
        <w:t>многочисленных</w:t>
      </w:r>
      <w:r w:rsidR="006C680D" w:rsidRPr="00D337FA">
        <w:rPr>
          <w:szCs w:val="24"/>
        </w:rPr>
        <w:t xml:space="preserve"> </w:t>
      </w:r>
      <w:r w:rsidRPr="00D337FA">
        <w:rPr>
          <w:szCs w:val="24"/>
        </w:rPr>
        <w:t>исследований</w:t>
      </w:r>
      <w:r w:rsidR="006C680D" w:rsidRPr="00D337FA">
        <w:rPr>
          <w:szCs w:val="24"/>
        </w:rPr>
        <w:t xml:space="preserve"> </w:t>
      </w:r>
      <w:r w:rsidRPr="00D337FA">
        <w:rPr>
          <w:szCs w:val="24"/>
        </w:rPr>
        <w:t>различного</w:t>
      </w:r>
      <w:r w:rsidR="006C680D" w:rsidRPr="00D337FA">
        <w:rPr>
          <w:szCs w:val="24"/>
        </w:rPr>
        <w:t xml:space="preserve"> </w:t>
      </w:r>
      <w:r w:rsidRPr="00D337FA">
        <w:rPr>
          <w:szCs w:val="24"/>
        </w:rPr>
        <w:t>уровня,</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вошла</w:t>
      </w:r>
      <w:r w:rsidR="006C680D" w:rsidRPr="00D337FA">
        <w:rPr>
          <w:szCs w:val="24"/>
        </w:rPr>
        <w:t xml:space="preserve"> </w:t>
      </w:r>
      <w:r w:rsidRPr="00D337FA">
        <w:rPr>
          <w:szCs w:val="24"/>
        </w:rPr>
        <w:t>в</w:t>
      </w:r>
      <w:r w:rsidR="006C680D" w:rsidRPr="00D337FA">
        <w:rPr>
          <w:szCs w:val="24"/>
        </w:rPr>
        <w:t xml:space="preserve"> </w:t>
      </w:r>
      <w:r w:rsidRPr="00D337FA">
        <w:rPr>
          <w:szCs w:val="24"/>
        </w:rPr>
        <w:t>сферу</w:t>
      </w:r>
      <w:r w:rsidR="006C680D" w:rsidRPr="00D337FA">
        <w:rPr>
          <w:szCs w:val="24"/>
        </w:rPr>
        <w:t xml:space="preserve"> </w:t>
      </w:r>
      <w:r w:rsidRPr="00D337FA">
        <w:rPr>
          <w:szCs w:val="24"/>
        </w:rPr>
        <w:t>внимания</w:t>
      </w:r>
      <w:r w:rsidR="006C680D" w:rsidRPr="00D337FA">
        <w:rPr>
          <w:szCs w:val="24"/>
        </w:rPr>
        <w:t xml:space="preserve"> </w:t>
      </w:r>
      <w:r w:rsidRPr="00D337FA">
        <w:rPr>
          <w:szCs w:val="24"/>
        </w:rPr>
        <w:t>государства.</w:t>
      </w:r>
      <w:r w:rsidR="006C680D" w:rsidRPr="00D337FA">
        <w:rPr>
          <w:szCs w:val="24"/>
        </w:rPr>
        <w:t xml:space="preserve"> </w:t>
      </w:r>
      <w:r w:rsidRPr="00D337FA">
        <w:rPr>
          <w:szCs w:val="24"/>
        </w:rPr>
        <w:t>Продовольственная</w:t>
      </w:r>
      <w:r w:rsidR="006C680D" w:rsidRPr="00D337FA">
        <w:rPr>
          <w:szCs w:val="24"/>
        </w:rPr>
        <w:t xml:space="preserve"> </w:t>
      </w:r>
      <w:r w:rsidRPr="00D337FA">
        <w:rPr>
          <w:szCs w:val="24"/>
        </w:rPr>
        <w:t>безопасность</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стала</w:t>
      </w:r>
      <w:r w:rsidR="006C680D" w:rsidRPr="00D337FA">
        <w:rPr>
          <w:szCs w:val="24"/>
        </w:rPr>
        <w:t xml:space="preserve"> </w:t>
      </w:r>
      <w:r w:rsidRPr="00D337FA">
        <w:rPr>
          <w:szCs w:val="24"/>
        </w:rPr>
        <w:t>главным</w:t>
      </w:r>
      <w:r w:rsidR="006C680D" w:rsidRPr="00D337FA">
        <w:rPr>
          <w:szCs w:val="24"/>
        </w:rPr>
        <w:t xml:space="preserve"> </w:t>
      </w:r>
      <w:r w:rsidRPr="00D337FA">
        <w:rPr>
          <w:szCs w:val="24"/>
        </w:rPr>
        <w:t>приоритетом</w:t>
      </w:r>
      <w:r w:rsidR="006C680D" w:rsidRPr="00D337FA">
        <w:rPr>
          <w:szCs w:val="24"/>
        </w:rPr>
        <w:t xml:space="preserve"> </w:t>
      </w:r>
      <w:r w:rsidRPr="00D337FA">
        <w:rPr>
          <w:szCs w:val="24"/>
        </w:rPr>
        <w:t>любой</w:t>
      </w:r>
      <w:r w:rsidR="006C680D" w:rsidRPr="00D337FA">
        <w:rPr>
          <w:szCs w:val="24"/>
        </w:rPr>
        <w:t xml:space="preserve"> </w:t>
      </w:r>
      <w:r w:rsidRPr="00D337FA">
        <w:rPr>
          <w:szCs w:val="24"/>
        </w:rPr>
        <w:t>развитой</w:t>
      </w:r>
      <w:r w:rsidR="006C680D" w:rsidRPr="00D337FA">
        <w:rPr>
          <w:szCs w:val="24"/>
        </w:rPr>
        <w:t xml:space="preserve"> </w:t>
      </w:r>
      <w:r w:rsidRPr="00D337FA">
        <w:rPr>
          <w:szCs w:val="24"/>
        </w:rPr>
        <w:t>и</w:t>
      </w:r>
      <w:r w:rsidR="006C680D" w:rsidRPr="00D337FA">
        <w:rPr>
          <w:szCs w:val="24"/>
        </w:rPr>
        <w:t xml:space="preserve"> </w:t>
      </w:r>
      <w:r w:rsidRPr="00D337FA">
        <w:rPr>
          <w:szCs w:val="24"/>
        </w:rPr>
        <w:t>развивающейся</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повлекло</w:t>
      </w:r>
      <w:r w:rsidR="006C680D" w:rsidRPr="00D337FA">
        <w:rPr>
          <w:szCs w:val="24"/>
        </w:rPr>
        <w:t xml:space="preserve"> </w:t>
      </w:r>
      <w:r w:rsidRPr="00D337FA">
        <w:rPr>
          <w:szCs w:val="24"/>
        </w:rPr>
        <w:t>за</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множественные</w:t>
      </w:r>
      <w:r w:rsidR="006C680D" w:rsidRPr="00D337FA">
        <w:rPr>
          <w:szCs w:val="24"/>
        </w:rPr>
        <w:t xml:space="preserve"> </w:t>
      </w:r>
      <w:r w:rsidRPr="00D337FA">
        <w:rPr>
          <w:szCs w:val="24"/>
        </w:rPr>
        <w:t>изменения</w:t>
      </w:r>
      <w:r w:rsidR="006C680D" w:rsidRPr="00D337FA">
        <w:rPr>
          <w:szCs w:val="24"/>
        </w:rPr>
        <w:t xml:space="preserve"> </w:t>
      </w:r>
      <w:r w:rsidRPr="00D337FA">
        <w:rPr>
          <w:szCs w:val="24"/>
        </w:rPr>
        <w:t>внутри</w:t>
      </w:r>
      <w:r w:rsidR="006C680D" w:rsidRPr="00D337FA">
        <w:rPr>
          <w:szCs w:val="24"/>
        </w:rPr>
        <w:t xml:space="preserve"> </w:t>
      </w:r>
      <w:r w:rsidRPr="00D337FA">
        <w:rPr>
          <w:szCs w:val="24"/>
        </w:rPr>
        <w:t>стран,</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не</w:t>
      </w:r>
      <w:r w:rsidR="006C680D" w:rsidRPr="00D337FA">
        <w:rPr>
          <w:szCs w:val="24"/>
        </w:rPr>
        <w:t xml:space="preserve"> </w:t>
      </w:r>
      <w:r w:rsidRPr="00D337FA">
        <w:rPr>
          <w:szCs w:val="24"/>
        </w:rPr>
        <w:t>могли</w:t>
      </w:r>
      <w:r w:rsidR="006C680D" w:rsidRPr="00D337FA">
        <w:rPr>
          <w:szCs w:val="24"/>
        </w:rPr>
        <w:t xml:space="preserve"> </w:t>
      </w:r>
      <w:r w:rsidRPr="00D337FA">
        <w:rPr>
          <w:szCs w:val="24"/>
        </w:rPr>
        <w:t>не</w:t>
      </w:r>
      <w:r w:rsidR="006C680D" w:rsidRPr="00D337FA">
        <w:rPr>
          <w:szCs w:val="24"/>
        </w:rPr>
        <w:t xml:space="preserve"> </w:t>
      </w:r>
      <w:r w:rsidRPr="00D337FA">
        <w:rPr>
          <w:szCs w:val="24"/>
        </w:rPr>
        <w:t>отразиться</w:t>
      </w:r>
      <w:r w:rsidR="006C680D" w:rsidRPr="00D337FA">
        <w:rPr>
          <w:szCs w:val="24"/>
        </w:rPr>
        <w:t xml:space="preserve"> </w:t>
      </w:r>
      <w:r w:rsidRPr="00D337FA">
        <w:rPr>
          <w:szCs w:val="24"/>
        </w:rPr>
        <w:t>на</w:t>
      </w:r>
      <w:r w:rsidR="006C680D" w:rsidRPr="00D337FA">
        <w:rPr>
          <w:szCs w:val="24"/>
        </w:rPr>
        <w:t xml:space="preserve"> </w:t>
      </w:r>
      <w:r w:rsidRPr="00D337FA">
        <w:rPr>
          <w:szCs w:val="24"/>
        </w:rPr>
        <w:t>глобальной</w:t>
      </w:r>
      <w:r w:rsidR="006C680D" w:rsidRPr="00D337FA">
        <w:rPr>
          <w:szCs w:val="24"/>
        </w:rPr>
        <w:t xml:space="preserve"> </w:t>
      </w:r>
      <w:r w:rsidRPr="00D337FA">
        <w:rPr>
          <w:szCs w:val="24"/>
        </w:rPr>
        <w:t>системе</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Те</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не</w:t>
      </w:r>
      <w:r w:rsidR="006C680D" w:rsidRPr="00D337FA">
        <w:rPr>
          <w:szCs w:val="24"/>
        </w:rPr>
        <w:t xml:space="preserve"> </w:t>
      </w:r>
      <w:r w:rsidRPr="00D337FA">
        <w:rPr>
          <w:szCs w:val="24"/>
        </w:rPr>
        <w:t>смогли</w:t>
      </w:r>
      <w:r w:rsidR="006C680D" w:rsidRPr="00D337FA">
        <w:rPr>
          <w:szCs w:val="24"/>
        </w:rPr>
        <w:t xml:space="preserve"> </w:t>
      </w:r>
      <w:r w:rsidRPr="00D337FA">
        <w:rPr>
          <w:szCs w:val="24"/>
        </w:rPr>
        <w:t>адаптироваться</w:t>
      </w:r>
      <w:r w:rsidR="006C680D" w:rsidRPr="00D337FA">
        <w:rPr>
          <w:szCs w:val="24"/>
        </w:rPr>
        <w:t xml:space="preserve"> </w:t>
      </w:r>
      <w:r w:rsidRPr="00D337FA">
        <w:rPr>
          <w:szCs w:val="24"/>
        </w:rPr>
        <w:t>к</w:t>
      </w:r>
      <w:r w:rsidR="006C680D" w:rsidRPr="00D337FA">
        <w:rPr>
          <w:szCs w:val="24"/>
        </w:rPr>
        <w:t xml:space="preserve"> </w:t>
      </w:r>
      <w:r w:rsidRPr="00D337FA">
        <w:rPr>
          <w:szCs w:val="24"/>
        </w:rPr>
        <w:t>многочисленным</w:t>
      </w:r>
      <w:r w:rsidR="006C680D" w:rsidRPr="00D337FA">
        <w:rPr>
          <w:szCs w:val="24"/>
        </w:rPr>
        <w:t xml:space="preserve"> </w:t>
      </w:r>
      <w:r w:rsidRPr="00D337FA">
        <w:rPr>
          <w:szCs w:val="24"/>
        </w:rPr>
        <w:t>изменениям</w:t>
      </w:r>
      <w:r w:rsidR="006C680D" w:rsidRPr="00D337FA">
        <w:rPr>
          <w:szCs w:val="24"/>
        </w:rPr>
        <w:t xml:space="preserve"> </w:t>
      </w:r>
      <w:r w:rsidRPr="00D337FA">
        <w:rPr>
          <w:szCs w:val="24"/>
        </w:rPr>
        <w:t>в</w:t>
      </w:r>
      <w:r w:rsidR="006C680D" w:rsidRPr="00D337FA">
        <w:rPr>
          <w:szCs w:val="24"/>
        </w:rPr>
        <w:t xml:space="preserve"> </w:t>
      </w:r>
      <w:r w:rsidRPr="00D337FA">
        <w:rPr>
          <w:szCs w:val="24"/>
        </w:rPr>
        <w:t>ближайшие</w:t>
      </w:r>
      <w:r w:rsidR="006C680D" w:rsidRPr="00D337FA">
        <w:rPr>
          <w:szCs w:val="24"/>
        </w:rPr>
        <w:t xml:space="preserve"> </w:t>
      </w:r>
      <w:r w:rsidRPr="00D337FA">
        <w:rPr>
          <w:szCs w:val="24"/>
        </w:rPr>
        <w:t>несколько</w:t>
      </w:r>
      <w:r w:rsidR="006C680D" w:rsidRPr="00D337FA">
        <w:rPr>
          <w:szCs w:val="24"/>
        </w:rPr>
        <w:t xml:space="preserve"> </w:t>
      </w:r>
      <w:r w:rsidRPr="00D337FA">
        <w:rPr>
          <w:szCs w:val="24"/>
        </w:rPr>
        <w:t>лет</w:t>
      </w:r>
      <w:r w:rsidR="006C680D" w:rsidRPr="00D337FA">
        <w:rPr>
          <w:szCs w:val="24"/>
        </w:rPr>
        <w:t xml:space="preserve"> </w:t>
      </w:r>
      <w:r w:rsidRPr="00D337FA">
        <w:rPr>
          <w:szCs w:val="24"/>
        </w:rPr>
        <w:t>могут</w:t>
      </w:r>
      <w:r w:rsidR="006C680D" w:rsidRPr="00D337FA">
        <w:rPr>
          <w:szCs w:val="24"/>
        </w:rPr>
        <w:t xml:space="preserve"> </w:t>
      </w:r>
      <w:r w:rsidRPr="00D337FA">
        <w:rPr>
          <w:szCs w:val="24"/>
        </w:rPr>
        <w:t>попасть</w:t>
      </w:r>
      <w:r w:rsidR="006C680D" w:rsidRPr="00D337FA">
        <w:rPr>
          <w:szCs w:val="24"/>
        </w:rPr>
        <w:t xml:space="preserve"> </w:t>
      </w:r>
      <w:r w:rsidRPr="00D337FA">
        <w:rPr>
          <w:szCs w:val="24"/>
        </w:rPr>
        <w:t>в</w:t>
      </w:r>
      <w:r w:rsidR="006C680D" w:rsidRPr="00D337FA">
        <w:rPr>
          <w:szCs w:val="24"/>
        </w:rPr>
        <w:t xml:space="preserve"> </w:t>
      </w:r>
      <w:r w:rsidRPr="00D337FA">
        <w:rPr>
          <w:szCs w:val="24"/>
        </w:rPr>
        <w:t>зависимость</w:t>
      </w:r>
      <w:r w:rsidR="006C680D" w:rsidRPr="00D337FA">
        <w:rPr>
          <w:szCs w:val="24"/>
        </w:rPr>
        <w:t xml:space="preserve"> </w:t>
      </w:r>
      <w:r w:rsidRPr="00D337FA">
        <w:rPr>
          <w:szCs w:val="24"/>
        </w:rPr>
        <w:t>от</w:t>
      </w:r>
      <w:r w:rsidR="006C680D" w:rsidRPr="00D337FA">
        <w:rPr>
          <w:szCs w:val="24"/>
        </w:rPr>
        <w:t xml:space="preserve"> </w:t>
      </w:r>
      <w:r w:rsidRPr="00D337FA">
        <w:rPr>
          <w:szCs w:val="24"/>
        </w:rPr>
        <w:t>иностранных</w:t>
      </w:r>
      <w:r w:rsidR="006C680D" w:rsidRPr="00D337FA">
        <w:rPr>
          <w:szCs w:val="24"/>
        </w:rPr>
        <w:t xml:space="preserve"> </w:t>
      </w:r>
      <w:r w:rsidRPr="00D337FA">
        <w:rPr>
          <w:szCs w:val="24"/>
        </w:rPr>
        <w:t>государств.</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поэтому</w:t>
      </w:r>
      <w:r w:rsidR="006C680D" w:rsidRPr="00D337FA">
        <w:rPr>
          <w:szCs w:val="24"/>
        </w:rPr>
        <w:t xml:space="preserve"> </w:t>
      </w:r>
      <w:r w:rsidRPr="00D337FA">
        <w:rPr>
          <w:szCs w:val="24"/>
        </w:rPr>
        <w:t>за</w:t>
      </w:r>
      <w:r w:rsidR="006C680D" w:rsidRPr="00D337FA">
        <w:rPr>
          <w:szCs w:val="24"/>
        </w:rPr>
        <w:t xml:space="preserve"> </w:t>
      </w:r>
      <w:r w:rsidRPr="00D337FA">
        <w:rPr>
          <w:szCs w:val="24"/>
        </w:rPr>
        <w:t>последнее</w:t>
      </w:r>
      <w:r w:rsidR="006C680D" w:rsidRPr="00D337FA">
        <w:rPr>
          <w:szCs w:val="24"/>
        </w:rPr>
        <w:t xml:space="preserve"> </w:t>
      </w:r>
      <w:r w:rsidRPr="00D337FA">
        <w:rPr>
          <w:szCs w:val="24"/>
        </w:rPr>
        <w:t>время</w:t>
      </w:r>
      <w:r w:rsidR="006C680D" w:rsidRPr="00D337FA">
        <w:rPr>
          <w:szCs w:val="24"/>
        </w:rPr>
        <w:t xml:space="preserve"> </w:t>
      </w:r>
      <w:r w:rsidRPr="00D337FA">
        <w:rPr>
          <w:szCs w:val="24"/>
        </w:rPr>
        <w:t>так</w:t>
      </w:r>
      <w:r w:rsidR="006C680D" w:rsidRPr="00D337FA">
        <w:rPr>
          <w:szCs w:val="24"/>
        </w:rPr>
        <w:t xml:space="preserve"> </w:t>
      </w:r>
      <w:r w:rsidRPr="00D337FA">
        <w:rPr>
          <w:szCs w:val="24"/>
        </w:rPr>
        <w:t>активно</w:t>
      </w:r>
      <w:r w:rsidR="006C680D" w:rsidRPr="00D337FA">
        <w:rPr>
          <w:szCs w:val="24"/>
        </w:rPr>
        <w:t xml:space="preserve"> </w:t>
      </w:r>
      <w:r w:rsidRPr="00D337FA">
        <w:rPr>
          <w:szCs w:val="24"/>
        </w:rPr>
        <w:t>происходит</w:t>
      </w:r>
      <w:r w:rsidR="006C680D" w:rsidRPr="00D337FA">
        <w:rPr>
          <w:szCs w:val="24"/>
        </w:rPr>
        <w:t xml:space="preserve"> </w:t>
      </w:r>
      <w:r w:rsidRPr="00D337FA">
        <w:rPr>
          <w:szCs w:val="24"/>
        </w:rPr>
        <w:t>модернизация</w:t>
      </w:r>
      <w:r w:rsidR="006C680D" w:rsidRPr="00D337FA">
        <w:rPr>
          <w:szCs w:val="24"/>
        </w:rPr>
        <w:t xml:space="preserve"> </w:t>
      </w:r>
      <w:r w:rsidRPr="00D337FA">
        <w:rPr>
          <w:szCs w:val="24"/>
        </w:rPr>
        <w:t>АПК</w:t>
      </w:r>
      <w:r w:rsidR="006C680D" w:rsidRPr="00D337FA">
        <w:rPr>
          <w:szCs w:val="24"/>
        </w:rPr>
        <w:t xml:space="preserve"> </w:t>
      </w:r>
      <w:r w:rsidRPr="00D337FA">
        <w:rPr>
          <w:szCs w:val="24"/>
        </w:rPr>
        <w:t>с</w:t>
      </w:r>
      <w:r w:rsidR="006C680D" w:rsidRPr="00D337FA">
        <w:rPr>
          <w:szCs w:val="24"/>
        </w:rPr>
        <w:t xml:space="preserve"> </w:t>
      </w:r>
      <w:r w:rsidRPr="00D337FA">
        <w:rPr>
          <w:szCs w:val="24"/>
        </w:rPr>
        <w:t>упором</w:t>
      </w:r>
      <w:r w:rsidR="006C680D" w:rsidRPr="00D337FA">
        <w:rPr>
          <w:szCs w:val="24"/>
        </w:rPr>
        <w:t xml:space="preserve"> </w:t>
      </w:r>
      <w:r w:rsidRPr="00D337FA">
        <w:rPr>
          <w:szCs w:val="24"/>
        </w:rPr>
        <w:t>на</w:t>
      </w:r>
      <w:r w:rsidR="006C680D" w:rsidRPr="00D337FA">
        <w:rPr>
          <w:szCs w:val="24"/>
        </w:rPr>
        <w:t xml:space="preserve"> </w:t>
      </w:r>
      <w:r w:rsidRPr="00D337FA">
        <w:rPr>
          <w:szCs w:val="24"/>
        </w:rPr>
        <w:t>отечественную</w:t>
      </w:r>
      <w:r w:rsidR="006C680D" w:rsidRPr="00D337FA">
        <w:rPr>
          <w:szCs w:val="24"/>
        </w:rPr>
        <w:t xml:space="preserve"> </w:t>
      </w:r>
      <w:r w:rsidRPr="00D337FA">
        <w:rPr>
          <w:szCs w:val="24"/>
        </w:rPr>
        <w:t>продукцию,</w:t>
      </w:r>
      <w:r w:rsidR="006C680D" w:rsidRPr="00D337FA">
        <w:rPr>
          <w:szCs w:val="24"/>
        </w:rPr>
        <w:t xml:space="preserve"> </w:t>
      </w:r>
      <w:r w:rsidRPr="00D337FA">
        <w:rPr>
          <w:szCs w:val="24"/>
        </w:rPr>
        <w:t>как</w:t>
      </w:r>
      <w:r w:rsidR="006C680D" w:rsidRPr="00D337FA">
        <w:rPr>
          <w:szCs w:val="24"/>
        </w:rPr>
        <w:t xml:space="preserve"> </w:t>
      </w:r>
      <w:r w:rsidRPr="00D337FA">
        <w:rPr>
          <w:szCs w:val="24"/>
        </w:rPr>
        <w:t>в</w:t>
      </w:r>
      <w:r w:rsidR="006C680D" w:rsidRPr="00D337FA">
        <w:rPr>
          <w:szCs w:val="24"/>
        </w:rPr>
        <w:t xml:space="preserve"> </w:t>
      </w:r>
      <w:r w:rsidRPr="00D337FA">
        <w:rPr>
          <w:szCs w:val="24"/>
        </w:rPr>
        <w:t>техническом,</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интеллектуальном</w:t>
      </w:r>
      <w:r w:rsidR="006C680D" w:rsidRPr="00D337FA">
        <w:rPr>
          <w:szCs w:val="24"/>
        </w:rPr>
        <w:t xml:space="preserve"> </w:t>
      </w:r>
      <w:r w:rsidRPr="00D337FA">
        <w:rPr>
          <w:szCs w:val="24"/>
        </w:rPr>
        <w:t>направлении.</w:t>
      </w:r>
      <w:r w:rsidR="006C680D" w:rsidRPr="00D337FA">
        <w:rPr>
          <w:szCs w:val="24"/>
        </w:rPr>
        <w:t xml:space="preserve"> </w:t>
      </w:r>
      <w:r w:rsidRPr="00D337FA">
        <w:rPr>
          <w:szCs w:val="24"/>
        </w:rPr>
        <w:t>Ежегодно</w:t>
      </w:r>
      <w:r w:rsidR="006C680D" w:rsidRPr="00D337FA">
        <w:rPr>
          <w:szCs w:val="24"/>
        </w:rPr>
        <w:t xml:space="preserve"> </w:t>
      </w:r>
      <w:r w:rsidRPr="00D337FA">
        <w:rPr>
          <w:szCs w:val="24"/>
        </w:rPr>
        <w:t>правительство</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разрабатывает</w:t>
      </w:r>
      <w:r w:rsidR="006C680D" w:rsidRPr="00D337FA">
        <w:rPr>
          <w:szCs w:val="24"/>
        </w:rPr>
        <w:t xml:space="preserve"> </w:t>
      </w:r>
      <w:r w:rsidRPr="00D337FA">
        <w:rPr>
          <w:szCs w:val="24"/>
        </w:rPr>
        <w:t>и</w:t>
      </w:r>
      <w:r w:rsidR="006C680D" w:rsidRPr="00D337FA">
        <w:rPr>
          <w:szCs w:val="24"/>
        </w:rPr>
        <w:t xml:space="preserve"> </w:t>
      </w:r>
      <w:r w:rsidRPr="00D337FA">
        <w:rPr>
          <w:szCs w:val="24"/>
        </w:rPr>
        <w:t>запускает</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предпринимателей,</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им</w:t>
      </w:r>
      <w:r w:rsidR="006C680D" w:rsidRPr="00D337FA">
        <w:rPr>
          <w:szCs w:val="24"/>
        </w:rPr>
        <w:t xml:space="preserve"> </w:t>
      </w:r>
      <w:r w:rsidRPr="00D337FA">
        <w:rPr>
          <w:szCs w:val="24"/>
        </w:rPr>
        <w:t>как</w:t>
      </w:r>
      <w:r w:rsidR="006C680D" w:rsidRPr="00D337FA">
        <w:rPr>
          <w:szCs w:val="24"/>
        </w:rPr>
        <w:t xml:space="preserve"> </w:t>
      </w:r>
      <w:r w:rsidRPr="00D337FA">
        <w:rPr>
          <w:szCs w:val="24"/>
        </w:rPr>
        <w:t>никогда</w:t>
      </w:r>
      <w:r w:rsidR="006C680D" w:rsidRPr="00D337FA">
        <w:rPr>
          <w:szCs w:val="24"/>
        </w:rPr>
        <w:t xml:space="preserve"> </w:t>
      </w:r>
      <w:r w:rsidRPr="00D337FA">
        <w:rPr>
          <w:szCs w:val="24"/>
        </w:rPr>
        <w:t>необходимы.</w:t>
      </w:r>
      <w:r w:rsidR="006C680D" w:rsidRPr="00D337FA">
        <w:rPr>
          <w:szCs w:val="24"/>
        </w:rPr>
        <w:t xml:space="preserve"> </w:t>
      </w:r>
      <w:r w:rsidRPr="00D337FA">
        <w:rPr>
          <w:szCs w:val="24"/>
        </w:rPr>
        <w:t>Несмотря</w:t>
      </w:r>
      <w:r w:rsidR="006C680D" w:rsidRPr="00D337FA">
        <w:rPr>
          <w:szCs w:val="24"/>
        </w:rPr>
        <w:t xml:space="preserve"> </w:t>
      </w:r>
      <w:r w:rsidRPr="00D337FA">
        <w:rPr>
          <w:szCs w:val="24"/>
        </w:rPr>
        <w:t>на</w:t>
      </w:r>
      <w:r w:rsidR="006C680D" w:rsidRPr="00D337FA">
        <w:rPr>
          <w:szCs w:val="24"/>
        </w:rPr>
        <w:t xml:space="preserve"> </w:t>
      </w:r>
      <w:r w:rsidRPr="00D337FA">
        <w:rPr>
          <w:szCs w:val="24"/>
        </w:rPr>
        <w:t>большой</w:t>
      </w:r>
      <w:r w:rsidR="006C680D" w:rsidRPr="00D337FA">
        <w:rPr>
          <w:szCs w:val="24"/>
        </w:rPr>
        <w:t xml:space="preserve"> </w:t>
      </w:r>
      <w:r w:rsidRPr="00D337FA">
        <w:rPr>
          <w:szCs w:val="24"/>
        </w:rPr>
        <w:t>сельскохозяйственный</w:t>
      </w:r>
      <w:r w:rsidR="006C680D" w:rsidRPr="00D337FA">
        <w:rPr>
          <w:szCs w:val="24"/>
        </w:rPr>
        <w:t xml:space="preserve"> </w:t>
      </w:r>
      <w:r w:rsidRPr="00D337FA">
        <w:rPr>
          <w:szCs w:val="24"/>
        </w:rPr>
        <w:t>опыт</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и</w:t>
      </w:r>
      <w:r w:rsidR="006C680D" w:rsidRPr="00D337FA">
        <w:rPr>
          <w:szCs w:val="24"/>
        </w:rPr>
        <w:t xml:space="preserve"> </w:t>
      </w:r>
      <w:r w:rsidRPr="00D337FA">
        <w:rPr>
          <w:szCs w:val="24"/>
        </w:rPr>
        <w:t>наличие</w:t>
      </w:r>
      <w:r w:rsidR="006C680D" w:rsidRPr="00D337FA">
        <w:rPr>
          <w:szCs w:val="24"/>
        </w:rPr>
        <w:t xml:space="preserve"> </w:t>
      </w:r>
      <w:r w:rsidRPr="00D337FA">
        <w:rPr>
          <w:szCs w:val="24"/>
        </w:rPr>
        <w:t>большого</w:t>
      </w:r>
      <w:r w:rsidR="006C680D" w:rsidRPr="00D337FA">
        <w:rPr>
          <w:szCs w:val="24"/>
        </w:rPr>
        <w:t xml:space="preserve"> </w:t>
      </w:r>
      <w:r w:rsidRPr="00D337FA">
        <w:rPr>
          <w:szCs w:val="24"/>
        </w:rPr>
        <w:t>количества</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организаций,</w:t>
      </w:r>
      <w:r w:rsidR="006C680D" w:rsidRPr="00D337FA">
        <w:rPr>
          <w:szCs w:val="24"/>
        </w:rPr>
        <w:t xml:space="preserve"> </w:t>
      </w:r>
      <w:r w:rsidRPr="00D337FA">
        <w:rPr>
          <w:szCs w:val="24"/>
        </w:rPr>
        <w:t>большинство</w:t>
      </w:r>
      <w:r w:rsidR="006C680D" w:rsidRPr="00D337FA">
        <w:rPr>
          <w:szCs w:val="24"/>
        </w:rPr>
        <w:t xml:space="preserve"> </w:t>
      </w:r>
      <w:r w:rsidRPr="00D337FA">
        <w:rPr>
          <w:szCs w:val="24"/>
        </w:rPr>
        <w:t>из</w:t>
      </w:r>
      <w:r w:rsidR="006C680D" w:rsidRPr="00D337FA">
        <w:rPr>
          <w:szCs w:val="24"/>
        </w:rPr>
        <w:t xml:space="preserve"> </w:t>
      </w:r>
      <w:r w:rsidRPr="00D337FA">
        <w:rPr>
          <w:szCs w:val="24"/>
        </w:rPr>
        <w:t>которых</w:t>
      </w:r>
      <w:r w:rsidR="006C680D" w:rsidRPr="00D337FA">
        <w:rPr>
          <w:szCs w:val="24"/>
        </w:rPr>
        <w:t xml:space="preserve"> </w:t>
      </w:r>
      <w:r w:rsidRPr="00D337FA">
        <w:rPr>
          <w:szCs w:val="24"/>
        </w:rPr>
        <w:t>успешно</w:t>
      </w:r>
      <w:r w:rsidR="006C680D" w:rsidRPr="00D337FA">
        <w:rPr>
          <w:szCs w:val="24"/>
        </w:rPr>
        <w:t xml:space="preserve"> </w:t>
      </w:r>
      <w:r w:rsidRPr="00D337FA">
        <w:rPr>
          <w:szCs w:val="24"/>
        </w:rPr>
        <w:t>развиваются</w:t>
      </w:r>
      <w:r w:rsidR="006C680D" w:rsidRPr="00D337FA">
        <w:rPr>
          <w:szCs w:val="24"/>
        </w:rPr>
        <w:t xml:space="preserve"> </w:t>
      </w:r>
      <w:r w:rsidRPr="00D337FA">
        <w:rPr>
          <w:szCs w:val="24"/>
        </w:rPr>
        <w:t>в</w:t>
      </w:r>
      <w:r w:rsidR="006C680D" w:rsidRPr="00D337FA">
        <w:rPr>
          <w:szCs w:val="24"/>
        </w:rPr>
        <w:t xml:space="preserve"> </w:t>
      </w:r>
      <w:r w:rsidRPr="00D337FA">
        <w:rPr>
          <w:szCs w:val="24"/>
        </w:rPr>
        <w:t>устойчивой</w:t>
      </w:r>
      <w:r w:rsidR="006C680D" w:rsidRPr="00D337FA">
        <w:rPr>
          <w:szCs w:val="24"/>
        </w:rPr>
        <w:t xml:space="preserve"> </w:t>
      </w:r>
      <w:r w:rsidRPr="00D337FA">
        <w:rPr>
          <w:szCs w:val="24"/>
        </w:rPr>
        <w:t>среде,</w:t>
      </w:r>
      <w:r w:rsidR="006C680D" w:rsidRPr="00D337FA">
        <w:rPr>
          <w:szCs w:val="24"/>
        </w:rPr>
        <w:t xml:space="preserve"> </w:t>
      </w:r>
      <w:r w:rsidRPr="00D337FA">
        <w:rPr>
          <w:szCs w:val="24"/>
        </w:rPr>
        <w:t>санкционные</w:t>
      </w:r>
      <w:r w:rsidR="006C680D" w:rsidRPr="00D337FA">
        <w:rPr>
          <w:szCs w:val="24"/>
        </w:rPr>
        <w:t xml:space="preserve"> </w:t>
      </w:r>
      <w:r w:rsidRPr="00D337FA">
        <w:rPr>
          <w:szCs w:val="24"/>
        </w:rPr>
        <w:t>ограничения</w:t>
      </w:r>
      <w:r w:rsidR="006C680D" w:rsidRPr="00D337FA">
        <w:rPr>
          <w:szCs w:val="24"/>
        </w:rPr>
        <w:t xml:space="preserve"> </w:t>
      </w:r>
      <w:r w:rsidRPr="00D337FA">
        <w:rPr>
          <w:szCs w:val="24"/>
        </w:rPr>
        <w:t>значительно</w:t>
      </w:r>
      <w:r w:rsidR="006C680D" w:rsidRPr="00D337FA">
        <w:rPr>
          <w:szCs w:val="24"/>
        </w:rPr>
        <w:t xml:space="preserve"> </w:t>
      </w:r>
      <w:r w:rsidRPr="00D337FA">
        <w:rPr>
          <w:szCs w:val="24"/>
        </w:rPr>
        <w:t>осложнили</w:t>
      </w:r>
      <w:r w:rsidR="006C680D" w:rsidRPr="00D337FA">
        <w:rPr>
          <w:szCs w:val="24"/>
        </w:rPr>
        <w:t xml:space="preserve"> </w:t>
      </w:r>
      <w:r w:rsidRPr="00D337FA">
        <w:rPr>
          <w:szCs w:val="24"/>
        </w:rPr>
        <w:t>их</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поэтому</w:t>
      </w:r>
      <w:r w:rsidR="006C680D" w:rsidRPr="00D337FA">
        <w:rPr>
          <w:szCs w:val="24"/>
        </w:rPr>
        <w:t xml:space="preserve"> </w:t>
      </w:r>
      <w:r w:rsidRPr="00D337FA">
        <w:rPr>
          <w:szCs w:val="24"/>
        </w:rPr>
        <w:t>объем</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АПК</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сегодня</w:t>
      </w:r>
      <w:r w:rsidR="006C680D" w:rsidRPr="00D337FA">
        <w:rPr>
          <w:szCs w:val="24"/>
        </w:rPr>
        <w:t xml:space="preserve"> </w:t>
      </w:r>
      <w:r w:rsidRPr="00D337FA">
        <w:rPr>
          <w:szCs w:val="24"/>
        </w:rPr>
        <w:t>одним</w:t>
      </w:r>
      <w:r w:rsidR="006C680D" w:rsidRPr="00D337FA">
        <w:rPr>
          <w:szCs w:val="24"/>
        </w:rPr>
        <w:t xml:space="preserve"> </w:t>
      </w:r>
      <w:r w:rsidRPr="00D337FA">
        <w:rPr>
          <w:szCs w:val="24"/>
        </w:rPr>
        <w:t>из</w:t>
      </w:r>
      <w:r w:rsidR="006C680D" w:rsidRPr="00D337FA">
        <w:rPr>
          <w:szCs w:val="24"/>
        </w:rPr>
        <w:t xml:space="preserve"> </w:t>
      </w:r>
      <w:r w:rsidRPr="00D337FA">
        <w:rPr>
          <w:szCs w:val="24"/>
        </w:rPr>
        <w:t>ключевых</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обеспечения</w:t>
      </w:r>
      <w:r w:rsidR="006C680D" w:rsidRPr="00D337FA">
        <w:rPr>
          <w:szCs w:val="24"/>
        </w:rPr>
        <w:t xml:space="preserve"> </w:t>
      </w:r>
      <w:r w:rsidRPr="00D337FA">
        <w:rPr>
          <w:szCs w:val="24"/>
        </w:rPr>
        <w:t>продовольственной</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и</w:t>
      </w:r>
      <w:r w:rsidR="006C680D" w:rsidRPr="00D337FA">
        <w:rPr>
          <w:szCs w:val="24"/>
        </w:rPr>
        <w:t xml:space="preserve"> </w:t>
      </w:r>
      <w:r w:rsidRPr="00D337FA">
        <w:rPr>
          <w:szCs w:val="24"/>
        </w:rPr>
        <w:t>приоритетным</w:t>
      </w:r>
      <w:r w:rsidR="006C680D" w:rsidRPr="00D337FA">
        <w:rPr>
          <w:szCs w:val="24"/>
        </w:rPr>
        <w:t xml:space="preserve"> </w:t>
      </w:r>
      <w:r w:rsidRPr="00D337FA">
        <w:rPr>
          <w:szCs w:val="24"/>
        </w:rPr>
        <w:t>направлением</w:t>
      </w:r>
      <w:r w:rsidR="006C680D" w:rsidRPr="00D337FA">
        <w:rPr>
          <w:szCs w:val="24"/>
        </w:rPr>
        <w:t xml:space="preserve"> </w:t>
      </w:r>
      <w:r w:rsidRPr="00D337FA">
        <w:rPr>
          <w:szCs w:val="24"/>
        </w:rPr>
        <w:t>для</w:t>
      </w:r>
      <w:r w:rsidR="006C680D" w:rsidRPr="00D337FA">
        <w:rPr>
          <w:szCs w:val="24"/>
        </w:rPr>
        <w:t xml:space="preserve"> </w:t>
      </w:r>
      <w:r w:rsidRPr="00D337FA">
        <w:rPr>
          <w:szCs w:val="24"/>
        </w:rPr>
        <w:t>совершенствования,</w:t>
      </w:r>
      <w:r w:rsidR="006C680D" w:rsidRPr="00D337FA">
        <w:rPr>
          <w:szCs w:val="24"/>
        </w:rPr>
        <w:t xml:space="preserve"> </w:t>
      </w:r>
      <w:r w:rsidRPr="00D337FA">
        <w:rPr>
          <w:szCs w:val="24"/>
        </w:rPr>
        <w:t>что</w:t>
      </w:r>
      <w:r w:rsidR="006C680D" w:rsidRPr="00D337FA">
        <w:rPr>
          <w:szCs w:val="24"/>
        </w:rPr>
        <w:t xml:space="preserve"> </w:t>
      </w:r>
      <w:r w:rsidRPr="00D337FA">
        <w:rPr>
          <w:szCs w:val="24"/>
        </w:rPr>
        <w:t>находит</w:t>
      </w:r>
      <w:r w:rsidR="006C680D" w:rsidRPr="00D337FA">
        <w:rPr>
          <w:szCs w:val="24"/>
        </w:rPr>
        <w:t xml:space="preserve"> </w:t>
      </w:r>
      <w:r w:rsidRPr="00D337FA">
        <w:rPr>
          <w:szCs w:val="24"/>
        </w:rPr>
        <w:t>подтверждение</w:t>
      </w:r>
      <w:r w:rsidR="006C680D" w:rsidRPr="00D337FA">
        <w:rPr>
          <w:szCs w:val="24"/>
        </w:rPr>
        <w:t xml:space="preserve"> </w:t>
      </w:r>
      <w:r w:rsidRPr="00D337FA">
        <w:rPr>
          <w:szCs w:val="24"/>
        </w:rPr>
        <w:t>во</w:t>
      </w:r>
      <w:r w:rsidR="006C680D" w:rsidRPr="00D337FA">
        <w:rPr>
          <w:szCs w:val="24"/>
        </w:rPr>
        <w:t xml:space="preserve"> </w:t>
      </w:r>
      <w:r w:rsidRPr="00D337FA">
        <w:rPr>
          <w:szCs w:val="24"/>
        </w:rPr>
        <w:t>многих</w:t>
      </w:r>
      <w:r w:rsidR="006C680D" w:rsidRPr="00D337FA">
        <w:rPr>
          <w:szCs w:val="24"/>
        </w:rPr>
        <w:t xml:space="preserve"> </w:t>
      </w:r>
      <w:r w:rsidRPr="00D337FA">
        <w:rPr>
          <w:szCs w:val="24"/>
        </w:rPr>
        <w:t>работах</w:t>
      </w:r>
      <w:r w:rsidR="006C680D" w:rsidRPr="00D337FA">
        <w:rPr>
          <w:szCs w:val="24"/>
        </w:rPr>
        <w:t xml:space="preserve"> </w:t>
      </w:r>
      <w:r w:rsidRPr="00D337FA">
        <w:rPr>
          <w:szCs w:val="24"/>
        </w:rPr>
        <w:t>отечественных</w:t>
      </w:r>
      <w:r w:rsidR="006C680D" w:rsidRPr="00D337FA">
        <w:rPr>
          <w:szCs w:val="24"/>
        </w:rPr>
        <w:t xml:space="preserve"> </w:t>
      </w:r>
      <w:r w:rsidRPr="00D337FA">
        <w:rPr>
          <w:szCs w:val="24"/>
        </w:rPr>
        <w:t>авторов</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как</w:t>
      </w:r>
      <w:r w:rsidR="006C680D" w:rsidRPr="00D337FA">
        <w:rPr>
          <w:szCs w:val="24"/>
        </w:rPr>
        <w:t xml:space="preserve"> </w:t>
      </w:r>
      <w:r w:rsidRPr="00D337FA">
        <w:rPr>
          <w:szCs w:val="24"/>
        </w:rPr>
        <w:t>М.</w:t>
      </w:r>
      <w:r w:rsidR="006C680D" w:rsidRPr="00D337FA">
        <w:rPr>
          <w:szCs w:val="24"/>
        </w:rPr>
        <w:t xml:space="preserve"> </w:t>
      </w:r>
      <w:r w:rsidRPr="00D337FA">
        <w:rPr>
          <w:szCs w:val="24"/>
        </w:rPr>
        <w:t>А.</w:t>
      </w:r>
      <w:r w:rsidR="006C680D" w:rsidRPr="00D337FA">
        <w:rPr>
          <w:szCs w:val="24"/>
        </w:rPr>
        <w:t xml:space="preserve"> </w:t>
      </w:r>
      <w:r w:rsidRPr="00D337FA">
        <w:rPr>
          <w:szCs w:val="24"/>
        </w:rPr>
        <w:t>Нестеренко,</w:t>
      </w:r>
      <w:r w:rsidR="006C680D" w:rsidRPr="00D337FA">
        <w:rPr>
          <w:szCs w:val="24"/>
        </w:rPr>
        <w:t xml:space="preserve"> </w:t>
      </w:r>
      <w:r w:rsidRPr="00D337FA">
        <w:rPr>
          <w:szCs w:val="24"/>
        </w:rPr>
        <w:t>Д.</w:t>
      </w:r>
      <w:r w:rsidR="006C680D" w:rsidRPr="00D337FA">
        <w:rPr>
          <w:szCs w:val="24"/>
        </w:rPr>
        <w:t xml:space="preserve"> </w:t>
      </w:r>
      <w:r w:rsidRPr="00D337FA">
        <w:rPr>
          <w:szCs w:val="24"/>
        </w:rPr>
        <w:t>А.</w:t>
      </w:r>
      <w:r w:rsidR="006C680D" w:rsidRPr="00D337FA">
        <w:rPr>
          <w:szCs w:val="24"/>
        </w:rPr>
        <w:t xml:space="preserve"> </w:t>
      </w:r>
      <w:r w:rsidRPr="00D337FA">
        <w:rPr>
          <w:szCs w:val="24"/>
        </w:rPr>
        <w:t>Садыков,</w:t>
      </w:r>
      <w:r w:rsidR="006C680D" w:rsidRPr="00D337FA">
        <w:rPr>
          <w:szCs w:val="24"/>
        </w:rPr>
        <w:t xml:space="preserve"> </w:t>
      </w:r>
      <w:r w:rsidRPr="00D337FA">
        <w:rPr>
          <w:szCs w:val="24"/>
        </w:rPr>
        <w:t>Н.</w:t>
      </w:r>
      <w:r w:rsidR="006C680D" w:rsidRPr="00D337FA">
        <w:rPr>
          <w:szCs w:val="24"/>
        </w:rPr>
        <w:t xml:space="preserve"> </w:t>
      </w:r>
      <w:r w:rsidRPr="00D337FA">
        <w:rPr>
          <w:szCs w:val="24"/>
        </w:rPr>
        <w:t>Д.</w:t>
      </w:r>
      <w:r w:rsidR="006C680D" w:rsidRPr="00D337FA">
        <w:rPr>
          <w:szCs w:val="24"/>
        </w:rPr>
        <w:t xml:space="preserve"> </w:t>
      </w:r>
      <w:r w:rsidRPr="00D337FA">
        <w:rPr>
          <w:szCs w:val="24"/>
        </w:rPr>
        <w:t>Ленщиков,</w:t>
      </w:r>
      <w:r w:rsidR="006C680D" w:rsidRPr="00D337FA">
        <w:rPr>
          <w:szCs w:val="24"/>
        </w:rPr>
        <w:t xml:space="preserve"> </w:t>
      </w:r>
      <w:r w:rsidRPr="00D337FA">
        <w:rPr>
          <w:szCs w:val="24"/>
        </w:rPr>
        <w:t>Д.</w:t>
      </w:r>
      <w:r w:rsidR="006C680D" w:rsidRPr="00D337FA">
        <w:rPr>
          <w:szCs w:val="24"/>
        </w:rPr>
        <w:t xml:space="preserve"> </w:t>
      </w:r>
      <w:r w:rsidRPr="00D337FA">
        <w:rPr>
          <w:szCs w:val="24"/>
        </w:rPr>
        <w:t>А.</w:t>
      </w:r>
      <w:r w:rsidR="006C680D" w:rsidRPr="00D337FA">
        <w:rPr>
          <w:szCs w:val="24"/>
        </w:rPr>
        <w:t xml:space="preserve"> </w:t>
      </w:r>
      <w:r w:rsidRPr="00D337FA">
        <w:rPr>
          <w:szCs w:val="24"/>
        </w:rPr>
        <w:t>Казанцев,</w:t>
      </w:r>
      <w:r w:rsidR="006C680D" w:rsidRPr="00D337FA">
        <w:rPr>
          <w:szCs w:val="24"/>
        </w:rPr>
        <w:t xml:space="preserve"> </w:t>
      </w:r>
      <w:r w:rsidRPr="00D337FA">
        <w:rPr>
          <w:szCs w:val="24"/>
        </w:rPr>
        <w:t>А.</w:t>
      </w:r>
      <w:r w:rsidR="006C680D" w:rsidRPr="00D337FA">
        <w:rPr>
          <w:szCs w:val="24"/>
        </w:rPr>
        <w:t xml:space="preserve"> </w:t>
      </w:r>
      <w:r w:rsidRPr="00D337FA">
        <w:rPr>
          <w:szCs w:val="24"/>
        </w:rPr>
        <w:t>В.</w:t>
      </w:r>
      <w:r w:rsidR="006C680D" w:rsidRPr="00D337FA">
        <w:rPr>
          <w:szCs w:val="24"/>
        </w:rPr>
        <w:t xml:space="preserve"> </w:t>
      </w:r>
      <w:r w:rsidRPr="00D337FA">
        <w:rPr>
          <w:szCs w:val="24"/>
        </w:rPr>
        <w:t>Лосева,</w:t>
      </w:r>
      <w:r w:rsidR="006C680D" w:rsidRPr="00D337FA">
        <w:rPr>
          <w:szCs w:val="24"/>
        </w:rPr>
        <w:t xml:space="preserve"> </w:t>
      </w:r>
      <w:r w:rsidRPr="00D337FA">
        <w:rPr>
          <w:szCs w:val="24"/>
        </w:rPr>
        <w:t>А.</w:t>
      </w:r>
      <w:r w:rsidR="006C680D" w:rsidRPr="00D337FA">
        <w:rPr>
          <w:szCs w:val="24"/>
        </w:rPr>
        <w:t xml:space="preserve"> </w:t>
      </w:r>
      <w:r w:rsidRPr="00D337FA">
        <w:rPr>
          <w:szCs w:val="24"/>
        </w:rPr>
        <w:t>В.</w:t>
      </w:r>
      <w:r w:rsidR="006C680D" w:rsidRPr="00D337FA">
        <w:rPr>
          <w:szCs w:val="24"/>
        </w:rPr>
        <w:t xml:space="preserve"> </w:t>
      </w:r>
      <w:r w:rsidRPr="00D337FA">
        <w:rPr>
          <w:szCs w:val="24"/>
        </w:rPr>
        <w:t>Федосьина,</w:t>
      </w:r>
      <w:r w:rsidR="006C680D" w:rsidRPr="00D337FA">
        <w:rPr>
          <w:szCs w:val="24"/>
        </w:rPr>
        <w:t xml:space="preserve"> </w:t>
      </w:r>
      <w:r w:rsidRPr="00D337FA">
        <w:rPr>
          <w:szCs w:val="24"/>
        </w:rPr>
        <w:t>Е.</w:t>
      </w:r>
      <w:r w:rsidR="006C680D" w:rsidRPr="00D337FA">
        <w:rPr>
          <w:szCs w:val="24"/>
        </w:rPr>
        <w:t xml:space="preserve"> </w:t>
      </w:r>
      <w:r w:rsidRPr="00D337FA">
        <w:rPr>
          <w:szCs w:val="24"/>
        </w:rPr>
        <w:t>В.</w:t>
      </w:r>
      <w:r w:rsidR="006C680D" w:rsidRPr="00D337FA">
        <w:rPr>
          <w:szCs w:val="24"/>
        </w:rPr>
        <w:t xml:space="preserve"> </w:t>
      </w:r>
      <w:r w:rsidRPr="00D337FA">
        <w:rPr>
          <w:szCs w:val="24"/>
        </w:rPr>
        <w:t>Дуплий,</w:t>
      </w:r>
      <w:r w:rsidR="006C680D" w:rsidRPr="00D337FA">
        <w:rPr>
          <w:szCs w:val="24"/>
        </w:rPr>
        <w:t xml:space="preserve"> </w:t>
      </w:r>
      <w:r w:rsidRPr="00D337FA">
        <w:rPr>
          <w:szCs w:val="24"/>
        </w:rPr>
        <w:t>О.</w:t>
      </w:r>
      <w:r w:rsidR="006C680D" w:rsidRPr="00D337FA">
        <w:rPr>
          <w:szCs w:val="24"/>
        </w:rPr>
        <w:t xml:space="preserve"> </w:t>
      </w:r>
      <w:r w:rsidRPr="00D337FA">
        <w:rPr>
          <w:szCs w:val="24"/>
        </w:rPr>
        <w:t>В.</w:t>
      </w:r>
      <w:r w:rsidR="006C680D" w:rsidRPr="00D337FA">
        <w:rPr>
          <w:szCs w:val="24"/>
        </w:rPr>
        <w:t xml:space="preserve"> </w:t>
      </w:r>
      <w:r w:rsidRPr="00D337FA">
        <w:rPr>
          <w:szCs w:val="24"/>
        </w:rPr>
        <w:t>Прущак,</w:t>
      </w:r>
      <w:r w:rsidR="006C680D" w:rsidRPr="00D337FA">
        <w:rPr>
          <w:szCs w:val="24"/>
        </w:rPr>
        <w:t xml:space="preserve"> </w:t>
      </w:r>
      <w:r w:rsidRPr="00D337FA">
        <w:rPr>
          <w:szCs w:val="24"/>
        </w:rPr>
        <w:t>И.</w:t>
      </w:r>
      <w:r w:rsidR="006C680D" w:rsidRPr="00D337FA">
        <w:rPr>
          <w:szCs w:val="24"/>
        </w:rPr>
        <w:t xml:space="preserve"> </w:t>
      </w:r>
      <w:r w:rsidRPr="00D337FA">
        <w:rPr>
          <w:szCs w:val="24"/>
        </w:rPr>
        <w:t>М.</w:t>
      </w:r>
      <w:r w:rsidR="006C680D" w:rsidRPr="00D337FA">
        <w:rPr>
          <w:szCs w:val="24"/>
        </w:rPr>
        <w:t xml:space="preserve"> </w:t>
      </w:r>
      <w:r w:rsidRPr="00D337FA">
        <w:rPr>
          <w:szCs w:val="24"/>
        </w:rPr>
        <w:t>Кублин,</w:t>
      </w:r>
      <w:r w:rsidR="006C680D" w:rsidRPr="00D337FA">
        <w:rPr>
          <w:szCs w:val="24"/>
        </w:rPr>
        <w:t xml:space="preserve"> </w:t>
      </w:r>
      <w:r w:rsidRPr="00D337FA">
        <w:rPr>
          <w:szCs w:val="24"/>
        </w:rPr>
        <w:t>А.</w:t>
      </w:r>
      <w:r w:rsidR="006C680D" w:rsidRPr="00D337FA">
        <w:rPr>
          <w:szCs w:val="24"/>
        </w:rPr>
        <w:t xml:space="preserve"> </w:t>
      </w:r>
      <w:r w:rsidRPr="00D337FA">
        <w:rPr>
          <w:szCs w:val="24"/>
        </w:rPr>
        <w:t>А.</w:t>
      </w:r>
      <w:r w:rsidR="006C680D" w:rsidRPr="00D337FA">
        <w:rPr>
          <w:szCs w:val="24"/>
        </w:rPr>
        <w:t xml:space="preserve"> </w:t>
      </w:r>
      <w:r w:rsidRPr="00D337FA">
        <w:rPr>
          <w:szCs w:val="24"/>
        </w:rPr>
        <w:t>Воронов,</w:t>
      </w:r>
      <w:r w:rsidR="006C680D" w:rsidRPr="00D337FA">
        <w:rPr>
          <w:szCs w:val="24"/>
        </w:rPr>
        <w:t xml:space="preserve"> </w:t>
      </w:r>
      <w:r w:rsidRPr="00D337FA">
        <w:rPr>
          <w:szCs w:val="24"/>
        </w:rPr>
        <w:t>О.</w:t>
      </w:r>
      <w:r w:rsidR="006C680D" w:rsidRPr="00D337FA">
        <w:rPr>
          <w:szCs w:val="24"/>
        </w:rPr>
        <w:t xml:space="preserve"> </w:t>
      </w:r>
      <w:r w:rsidRPr="00D337FA">
        <w:rPr>
          <w:szCs w:val="24"/>
        </w:rPr>
        <w:t>А.</w:t>
      </w:r>
      <w:r w:rsidR="006C680D" w:rsidRPr="00D337FA">
        <w:rPr>
          <w:szCs w:val="24"/>
        </w:rPr>
        <w:t xml:space="preserve"> </w:t>
      </w:r>
      <w:r w:rsidRPr="00D337FA">
        <w:rPr>
          <w:szCs w:val="24"/>
        </w:rPr>
        <w:t>Рущицкая,</w:t>
      </w:r>
      <w:r w:rsidR="006C680D" w:rsidRPr="00D337FA">
        <w:rPr>
          <w:szCs w:val="24"/>
        </w:rPr>
        <w:t xml:space="preserve"> </w:t>
      </w:r>
      <w:r w:rsidRPr="00D337FA">
        <w:rPr>
          <w:szCs w:val="24"/>
        </w:rPr>
        <w:t>М.</w:t>
      </w:r>
      <w:r w:rsidR="006C680D" w:rsidRPr="00D337FA">
        <w:rPr>
          <w:szCs w:val="24"/>
        </w:rPr>
        <w:t xml:space="preserve"> </w:t>
      </w:r>
      <w:r w:rsidRPr="00D337FA">
        <w:rPr>
          <w:szCs w:val="24"/>
        </w:rPr>
        <w:t>А.</w:t>
      </w:r>
      <w:r w:rsidR="006C680D" w:rsidRPr="00D337FA">
        <w:rPr>
          <w:szCs w:val="24"/>
        </w:rPr>
        <w:t xml:space="preserve"> </w:t>
      </w:r>
      <w:r w:rsidRPr="00D337FA">
        <w:rPr>
          <w:szCs w:val="24"/>
        </w:rPr>
        <w:t>Соломахин,</w:t>
      </w:r>
      <w:r w:rsidR="006C680D" w:rsidRPr="00D337FA">
        <w:rPr>
          <w:szCs w:val="24"/>
        </w:rPr>
        <w:t xml:space="preserve"> </w:t>
      </w:r>
      <w:r w:rsidRPr="00D337FA">
        <w:rPr>
          <w:szCs w:val="24"/>
        </w:rPr>
        <w:t>О.</w:t>
      </w:r>
      <w:r w:rsidR="006C680D" w:rsidRPr="00D337FA">
        <w:rPr>
          <w:szCs w:val="24"/>
        </w:rPr>
        <w:t xml:space="preserve"> </w:t>
      </w:r>
      <w:r w:rsidRPr="00D337FA">
        <w:rPr>
          <w:szCs w:val="24"/>
        </w:rPr>
        <w:t>В.</w:t>
      </w:r>
      <w:r w:rsidR="006C680D" w:rsidRPr="00D337FA">
        <w:rPr>
          <w:szCs w:val="24"/>
        </w:rPr>
        <w:t xml:space="preserve"> </w:t>
      </w:r>
      <w:r w:rsidRPr="00D337FA">
        <w:rPr>
          <w:szCs w:val="24"/>
        </w:rPr>
        <w:t>Литвинова,</w:t>
      </w:r>
      <w:r w:rsidR="006C680D" w:rsidRPr="00D337FA">
        <w:rPr>
          <w:szCs w:val="24"/>
        </w:rPr>
        <w:t xml:space="preserve"> </w:t>
      </w:r>
      <w:r w:rsidRPr="00D337FA">
        <w:rPr>
          <w:szCs w:val="24"/>
        </w:rPr>
        <w:t>Н.</w:t>
      </w:r>
      <w:r w:rsidR="006C680D" w:rsidRPr="00D337FA">
        <w:rPr>
          <w:szCs w:val="24"/>
        </w:rPr>
        <w:t xml:space="preserve"> </w:t>
      </w:r>
      <w:r w:rsidRPr="00D337FA">
        <w:rPr>
          <w:szCs w:val="24"/>
        </w:rPr>
        <w:t>В.</w:t>
      </w:r>
      <w:r w:rsidR="006C680D" w:rsidRPr="00D337FA">
        <w:rPr>
          <w:szCs w:val="24"/>
        </w:rPr>
        <w:t xml:space="preserve"> </w:t>
      </w:r>
      <w:r w:rsidRPr="00D337FA">
        <w:rPr>
          <w:szCs w:val="24"/>
        </w:rPr>
        <w:t>Дегтярева,</w:t>
      </w:r>
      <w:r w:rsidR="006C680D" w:rsidRPr="00D337FA">
        <w:rPr>
          <w:szCs w:val="24"/>
        </w:rPr>
        <w:t xml:space="preserve"> </w:t>
      </w:r>
      <w:r w:rsidRPr="00D337FA">
        <w:rPr>
          <w:szCs w:val="24"/>
        </w:rPr>
        <w:t>И.</w:t>
      </w:r>
      <w:r w:rsidR="006C680D" w:rsidRPr="00D337FA">
        <w:rPr>
          <w:szCs w:val="24"/>
        </w:rPr>
        <w:t xml:space="preserve"> </w:t>
      </w:r>
      <w:r w:rsidRPr="00D337FA">
        <w:rPr>
          <w:szCs w:val="24"/>
        </w:rPr>
        <w:t>И.</w:t>
      </w:r>
      <w:r w:rsidR="006C680D" w:rsidRPr="00D337FA">
        <w:rPr>
          <w:szCs w:val="24"/>
        </w:rPr>
        <w:t xml:space="preserve"> </w:t>
      </w:r>
      <w:r w:rsidRPr="00D337FA">
        <w:rPr>
          <w:szCs w:val="24"/>
        </w:rPr>
        <w:t>Андреева</w:t>
      </w:r>
      <w:r w:rsidR="006C680D" w:rsidRPr="00D337FA">
        <w:rPr>
          <w:szCs w:val="24"/>
        </w:rPr>
        <w:t xml:space="preserve"> </w:t>
      </w:r>
      <w:r w:rsidRPr="00D337FA">
        <w:rPr>
          <w:szCs w:val="24"/>
        </w:rPr>
        <w:t>и</w:t>
      </w:r>
      <w:r w:rsidR="006C680D" w:rsidRPr="00D337FA">
        <w:rPr>
          <w:szCs w:val="24"/>
        </w:rPr>
        <w:t xml:space="preserve"> </w:t>
      </w:r>
      <w:r w:rsidRPr="00D337FA">
        <w:rPr>
          <w:szCs w:val="24"/>
        </w:rPr>
        <w:t>др.</w:t>
      </w:r>
      <w:r w:rsidR="006C680D" w:rsidRPr="00D337FA">
        <w:rPr>
          <w:szCs w:val="24"/>
        </w:rPr>
        <w:t xml:space="preserve"> </w:t>
      </w:r>
    </w:p>
    <w:p w:rsidR="00CC397F" w:rsidRPr="00D337FA" w:rsidRDefault="00CC397F" w:rsidP="00544DD6">
      <w:pPr>
        <w:ind w:firstLine="284"/>
        <w:rPr>
          <w:szCs w:val="24"/>
        </w:rPr>
      </w:pPr>
      <w:r w:rsidRPr="00D337FA">
        <w:rPr>
          <w:szCs w:val="24"/>
        </w:rPr>
        <w:t>Важность</w:t>
      </w:r>
      <w:r w:rsidR="006C680D" w:rsidRPr="00D337FA">
        <w:rPr>
          <w:szCs w:val="24"/>
        </w:rPr>
        <w:t xml:space="preserve"> </w:t>
      </w:r>
      <w:r w:rsidRPr="00D337FA">
        <w:rPr>
          <w:szCs w:val="24"/>
        </w:rPr>
        <w:t>создания</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и</w:t>
      </w:r>
      <w:r w:rsidR="006C680D" w:rsidRPr="00D337FA">
        <w:rPr>
          <w:szCs w:val="24"/>
        </w:rPr>
        <w:t xml:space="preserve"> </w:t>
      </w:r>
      <w:r w:rsidRPr="00D337FA">
        <w:rPr>
          <w:szCs w:val="24"/>
        </w:rPr>
        <w:t>постоянного</w:t>
      </w:r>
      <w:r w:rsidR="006C680D" w:rsidRPr="00D337FA">
        <w:rPr>
          <w:szCs w:val="24"/>
        </w:rPr>
        <w:t xml:space="preserve"> </w:t>
      </w:r>
      <w:r w:rsidRPr="00D337FA">
        <w:rPr>
          <w:szCs w:val="24"/>
        </w:rPr>
        <w:t>совершенствования</w:t>
      </w:r>
      <w:r w:rsidR="006C680D" w:rsidRPr="00D337FA">
        <w:rPr>
          <w:szCs w:val="24"/>
        </w:rPr>
        <w:t xml:space="preserve"> </w:t>
      </w:r>
      <w:r w:rsidRPr="00D337FA">
        <w:rPr>
          <w:szCs w:val="24"/>
        </w:rPr>
        <w:t>действующих</w:t>
      </w:r>
      <w:r w:rsidR="006C680D" w:rsidRPr="00D337FA">
        <w:rPr>
          <w:szCs w:val="24"/>
        </w:rPr>
        <w:t xml:space="preserve"> </w:t>
      </w:r>
      <w:r w:rsidRPr="00D337FA">
        <w:rPr>
          <w:szCs w:val="24"/>
        </w:rPr>
        <w:t>механизмов</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ежегодно</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предметом</w:t>
      </w:r>
      <w:r w:rsidR="006C680D" w:rsidRPr="00D337FA">
        <w:rPr>
          <w:szCs w:val="24"/>
        </w:rPr>
        <w:t xml:space="preserve"> </w:t>
      </w:r>
      <w:r w:rsidRPr="00D337FA">
        <w:rPr>
          <w:szCs w:val="24"/>
        </w:rPr>
        <w:t>обсуждения</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всех</w:t>
      </w:r>
      <w:r w:rsidR="006C680D" w:rsidRPr="00D337FA">
        <w:rPr>
          <w:szCs w:val="24"/>
        </w:rPr>
        <w:t xml:space="preserve"> </w:t>
      </w:r>
      <w:r w:rsidRPr="00D337FA">
        <w:rPr>
          <w:szCs w:val="24"/>
        </w:rPr>
        <w:t>без</w:t>
      </w:r>
      <w:r w:rsidR="006C680D" w:rsidRPr="00D337FA">
        <w:rPr>
          <w:szCs w:val="24"/>
        </w:rPr>
        <w:t xml:space="preserve"> </w:t>
      </w:r>
      <w:r w:rsidRPr="00D337FA">
        <w:rPr>
          <w:szCs w:val="24"/>
        </w:rPr>
        <w:t>исключения</w:t>
      </w:r>
      <w:r w:rsidR="006C680D" w:rsidRPr="00D337FA">
        <w:rPr>
          <w:szCs w:val="24"/>
        </w:rPr>
        <w:t xml:space="preserve"> </w:t>
      </w:r>
      <w:r w:rsidRPr="00D337FA">
        <w:rPr>
          <w:szCs w:val="24"/>
        </w:rPr>
        <w:t>государственных</w:t>
      </w:r>
      <w:r w:rsidR="006C680D" w:rsidRPr="00D337FA">
        <w:rPr>
          <w:szCs w:val="24"/>
        </w:rPr>
        <w:t xml:space="preserve"> </w:t>
      </w:r>
      <w:r w:rsidRPr="00D337FA">
        <w:rPr>
          <w:szCs w:val="24"/>
        </w:rPr>
        <w:lastRenderedPageBreak/>
        <w:t>уровнях.</w:t>
      </w:r>
      <w:r w:rsidR="006C680D" w:rsidRPr="00D337FA">
        <w:rPr>
          <w:szCs w:val="24"/>
        </w:rPr>
        <w:t xml:space="preserve"> </w:t>
      </w:r>
      <w:r w:rsidRPr="00D337FA">
        <w:rPr>
          <w:szCs w:val="24"/>
        </w:rPr>
        <w:t>Приоритетность</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АПК</w:t>
      </w:r>
      <w:r w:rsidR="006C680D" w:rsidRPr="00D337FA">
        <w:rPr>
          <w:szCs w:val="24"/>
        </w:rPr>
        <w:t xml:space="preserve"> </w:t>
      </w:r>
      <w:r w:rsidRPr="00D337FA">
        <w:rPr>
          <w:szCs w:val="24"/>
        </w:rPr>
        <w:t>в</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годы</w:t>
      </w:r>
      <w:r w:rsidR="006C680D" w:rsidRPr="00D337FA">
        <w:rPr>
          <w:szCs w:val="24"/>
        </w:rPr>
        <w:t xml:space="preserve"> </w:t>
      </w:r>
      <w:r w:rsidRPr="00D337FA">
        <w:rPr>
          <w:szCs w:val="24"/>
        </w:rPr>
        <w:t>особо</w:t>
      </w:r>
      <w:r w:rsidR="006C680D" w:rsidRPr="00D337FA">
        <w:rPr>
          <w:szCs w:val="24"/>
        </w:rPr>
        <w:t xml:space="preserve"> </w:t>
      </w:r>
      <w:r w:rsidRPr="00D337FA">
        <w:rPr>
          <w:szCs w:val="24"/>
        </w:rPr>
        <w:t>подчеркивается</w:t>
      </w:r>
      <w:r w:rsidR="006C680D" w:rsidRPr="00D337FA">
        <w:rPr>
          <w:szCs w:val="24"/>
        </w:rPr>
        <w:t xml:space="preserve"> </w:t>
      </w:r>
      <w:r w:rsidRPr="00D337FA">
        <w:rPr>
          <w:szCs w:val="24"/>
        </w:rPr>
        <w:t>государством,</w:t>
      </w:r>
      <w:r w:rsidR="006C680D" w:rsidRPr="00D337FA">
        <w:rPr>
          <w:szCs w:val="24"/>
        </w:rPr>
        <w:t xml:space="preserve"> </w:t>
      </w:r>
      <w:r w:rsidRPr="00D337FA">
        <w:rPr>
          <w:szCs w:val="24"/>
        </w:rPr>
        <w:t>так</w:t>
      </w:r>
      <w:r w:rsidR="006C680D" w:rsidRPr="00D337FA">
        <w:rPr>
          <w:szCs w:val="24"/>
        </w:rPr>
        <w:t xml:space="preserve"> </w:t>
      </w:r>
      <w:r w:rsidRPr="00D337FA">
        <w:rPr>
          <w:szCs w:val="24"/>
        </w:rPr>
        <w:t>Михаил</w:t>
      </w:r>
      <w:r w:rsidR="006C680D" w:rsidRPr="00D337FA">
        <w:rPr>
          <w:szCs w:val="24"/>
        </w:rPr>
        <w:t xml:space="preserve"> </w:t>
      </w:r>
      <w:r w:rsidRPr="00D337FA">
        <w:rPr>
          <w:szCs w:val="24"/>
        </w:rPr>
        <w:t>Мишустин</w:t>
      </w:r>
      <w:r w:rsidR="006C680D" w:rsidRPr="00D337FA">
        <w:rPr>
          <w:szCs w:val="24"/>
        </w:rPr>
        <w:t xml:space="preserve"> </w:t>
      </w:r>
      <w:r w:rsidRPr="00D337FA">
        <w:rPr>
          <w:szCs w:val="24"/>
        </w:rPr>
        <w:t>заявил,</w:t>
      </w:r>
      <w:r w:rsidR="006C680D" w:rsidRPr="00D337FA">
        <w:rPr>
          <w:szCs w:val="24"/>
        </w:rPr>
        <w:t xml:space="preserve"> </w:t>
      </w:r>
      <w:r w:rsidRPr="00D337FA">
        <w:rPr>
          <w:szCs w:val="24"/>
        </w:rPr>
        <w:t>что</w:t>
      </w:r>
      <w:r w:rsidR="006C680D" w:rsidRPr="00D337FA">
        <w:rPr>
          <w:szCs w:val="24"/>
        </w:rPr>
        <w:t xml:space="preserve"> </w:t>
      </w:r>
      <w:r w:rsidRPr="00D337FA">
        <w:rPr>
          <w:szCs w:val="24"/>
        </w:rPr>
        <w:t>государство</w:t>
      </w:r>
      <w:r w:rsidR="006C680D" w:rsidRPr="00D337FA">
        <w:rPr>
          <w:szCs w:val="24"/>
        </w:rPr>
        <w:t xml:space="preserve"> </w:t>
      </w:r>
      <w:r w:rsidRPr="00D337FA">
        <w:rPr>
          <w:szCs w:val="24"/>
        </w:rPr>
        <w:t>будет</w:t>
      </w:r>
      <w:r w:rsidR="006C680D" w:rsidRPr="00D337FA">
        <w:rPr>
          <w:szCs w:val="24"/>
        </w:rPr>
        <w:t xml:space="preserve"> </w:t>
      </w:r>
      <w:r w:rsidRPr="00D337FA">
        <w:rPr>
          <w:szCs w:val="24"/>
        </w:rPr>
        <w:t>продолжать</w:t>
      </w:r>
      <w:r w:rsidR="006C680D" w:rsidRPr="00D337FA">
        <w:rPr>
          <w:szCs w:val="24"/>
        </w:rPr>
        <w:t xml:space="preserve"> </w:t>
      </w:r>
      <w:r w:rsidRPr="00D337FA">
        <w:rPr>
          <w:szCs w:val="24"/>
        </w:rPr>
        <w:t>«гибкую</w:t>
      </w:r>
      <w:r w:rsidR="006C680D" w:rsidRPr="00D337FA">
        <w:rPr>
          <w:szCs w:val="24"/>
        </w:rPr>
        <w:t xml:space="preserve"> </w:t>
      </w:r>
      <w:r w:rsidRPr="00D337FA">
        <w:rPr>
          <w:szCs w:val="24"/>
        </w:rPr>
        <w:t>и</w:t>
      </w:r>
      <w:r w:rsidR="006C680D" w:rsidRPr="00D337FA">
        <w:rPr>
          <w:szCs w:val="24"/>
        </w:rPr>
        <w:t xml:space="preserve"> </w:t>
      </w:r>
      <w:r w:rsidRPr="00D337FA">
        <w:rPr>
          <w:szCs w:val="24"/>
        </w:rPr>
        <w:t>системную»</w:t>
      </w:r>
      <w:r w:rsidR="006C680D" w:rsidRPr="00D337FA">
        <w:rPr>
          <w:szCs w:val="24"/>
        </w:rPr>
        <w:t xml:space="preserve"> </w:t>
      </w:r>
      <w:r w:rsidRPr="00D337FA">
        <w:rPr>
          <w:szCs w:val="24"/>
        </w:rPr>
        <w:t>поддержку,</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за</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10</w:t>
      </w:r>
      <w:r w:rsidR="006C680D" w:rsidRPr="00D337FA">
        <w:rPr>
          <w:szCs w:val="24"/>
        </w:rPr>
        <w:t xml:space="preserve"> </w:t>
      </w:r>
      <w:r w:rsidRPr="00D337FA">
        <w:rPr>
          <w:szCs w:val="24"/>
        </w:rPr>
        <w:t>лет</w:t>
      </w:r>
      <w:r w:rsidR="006C680D" w:rsidRPr="00D337FA">
        <w:rPr>
          <w:szCs w:val="24"/>
        </w:rPr>
        <w:t xml:space="preserve"> </w:t>
      </w:r>
      <w:r w:rsidRPr="00D337FA">
        <w:rPr>
          <w:szCs w:val="24"/>
        </w:rPr>
        <w:t>позволила</w:t>
      </w:r>
      <w:r w:rsidR="006C680D" w:rsidRPr="00D337FA">
        <w:rPr>
          <w:szCs w:val="24"/>
        </w:rPr>
        <w:t xml:space="preserve"> </w:t>
      </w:r>
      <w:r w:rsidRPr="00D337FA">
        <w:rPr>
          <w:szCs w:val="24"/>
        </w:rPr>
        <w:t>сформировать</w:t>
      </w:r>
      <w:r w:rsidR="006C680D" w:rsidRPr="00D337FA">
        <w:rPr>
          <w:szCs w:val="24"/>
        </w:rPr>
        <w:t xml:space="preserve"> </w:t>
      </w:r>
      <w:r w:rsidRPr="00D337FA">
        <w:rPr>
          <w:szCs w:val="24"/>
        </w:rPr>
        <w:t>необходимые</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к</w:t>
      </w:r>
      <w:r w:rsidR="006C680D" w:rsidRPr="00D337FA">
        <w:rPr>
          <w:szCs w:val="24"/>
        </w:rPr>
        <w:t xml:space="preserve"> </w:t>
      </w:r>
      <w:r w:rsidRPr="00D337FA">
        <w:rPr>
          <w:szCs w:val="24"/>
        </w:rPr>
        <w:t>росту</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на</w:t>
      </w:r>
      <w:r w:rsidR="006C680D" w:rsidRPr="00D337FA">
        <w:rPr>
          <w:szCs w:val="24"/>
        </w:rPr>
        <w:t xml:space="preserve"> </w:t>
      </w:r>
      <w:r w:rsidRPr="00D337FA">
        <w:rPr>
          <w:szCs w:val="24"/>
        </w:rPr>
        <w:t>50%.</w:t>
      </w:r>
      <w:r w:rsidR="006C680D" w:rsidRPr="00D337FA">
        <w:rPr>
          <w:szCs w:val="24"/>
        </w:rPr>
        <w:t xml:space="preserve"> </w:t>
      </w:r>
      <w:r w:rsidRPr="00D337FA">
        <w:rPr>
          <w:szCs w:val="24"/>
        </w:rPr>
        <w:t>Правительство</w:t>
      </w:r>
      <w:r w:rsidR="006C680D" w:rsidRPr="00D337FA">
        <w:rPr>
          <w:szCs w:val="24"/>
        </w:rPr>
        <w:t xml:space="preserve"> </w:t>
      </w:r>
      <w:r w:rsidRPr="00D337FA">
        <w:rPr>
          <w:szCs w:val="24"/>
        </w:rPr>
        <w:t>обещает</w:t>
      </w:r>
      <w:r w:rsidR="006C680D" w:rsidRPr="00D337FA">
        <w:rPr>
          <w:szCs w:val="24"/>
        </w:rPr>
        <w:t xml:space="preserve"> </w:t>
      </w:r>
      <w:r w:rsidRPr="00D337FA">
        <w:rPr>
          <w:szCs w:val="24"/>
        </w:rPr>
        <w:t>продолжить</w:t>
      </w:r>
      <w:r w:rsidR="006C680D" w:rsidRPr="00D337FA">
        <w:rPr>
          <w:szCs w:val="24"/>
        </w:rPr>
        <w:t xml:space="preserve"> </w:t>
      </w:r>
      <w:r w:rsidRPr="00D337FA">
        <w:rPr>
          <w:szCs w:val="24"/>
        </w:rPr>
        <w:t>активную</w:t>
      </w:r>
      <w:r w:rsidR="006C680D" w:rsidRPr="00D337FA">
        <w:rPr>
          <w:szCs w:val="24"/>
        </w:rPr>
        <w:t xml:space="preserve"> </w:t>
      </w:r>
      <w:r w:rsidRPr="00D337FA">
        <w:rPr>
          <w:szCs w:val="24"/>
        </w:rPr>
        <w:t>помощь</w:t>
      </w:r>
      <w:r w:rsidR="006C680D" w:rsidRPr="00D337FA">
        <w:rPr>
          <w:szCs w:val="24"/>
        </w:rPr>
        <w:t xml:space="preserve"> </w:t>
      </w:r>
      <w:r w:rsidRPr="00D337FA">
        <w:rPr>
          <w:szCs w:val="24"/>
        </w:rPr>
        <w:t>аграрием</w:t>
      </w:r>
      <w:r w:rsidR="006C680D" w:rsidRPr="00D337FA">
        <w:rPr>
          <w:szCs w:val="24"/>
        </w:rPr>
        <w:t xml:space="preserve"> </w:t>
      </w:r>
      <w:r w:rsidRPr="00D337FA">
        <w:rPr>
          <w:szCs w:val="24"/>
        </w:rPr>
        <w:t>с</w:t>
      </w:r>
      <w:r w:rsidR="006C680D" w:rsidRPr="00D337FA">
        <w:rPr>
          <w:szCs w:val="24"/>
        </w:rPr>
        <w:t xml:space="preserve"> </w:t>
      </w:r>
      <w:r w:rsidRPr="00D337FA">
        <w:rPr>
          <w:szCs w:val="24"/>
        </w:rPr>
        <w:t>предоставлением</w:t>
      </w:r>
      <w:r w:rsidR="006C680D" w:rsidRPr="00D337FA">
        <w:rPr>
          <w:szCs w:val="24"/>
        </w:rPr>
        <w:t xml:space="preserve"> </w:t>
      </w:r>
      <w:r w:rsidRPr="00D337FA">
        <w:rPr>
          <w:szCs w:val="24"/>
        </w:rPr>
        <w:t>краткосрочных</w:t>
      </w:r>
      <w:r w:rsidR="006C680D" w:rsidRPr="00D337FA">
        <w:rPr>
          <w:szCs w:val="24"/>
        </w:rPr>
        <w:t xml:space="preserve"> </w:t>
      </w:r>
      <w:r w:rsidRPr="00D337FA">
        <w:rPr>
          <w:szCs w:val="24"/>
        </w:rPr>
        <w:t>кредитов</w:t>
      </w:r>
      <w:r w:rsidR="006C680D" w:rsidRPr="00D337FA">
        <w:rPr>
          <w:szCs w:val="24"/>
        </w:rPr>
        <w:t xml:space="preserve"> </w:t>
      </w:r>
      <w:r w:rsidRPr="00D337FA">
        <w:rPr>
          <w:szCs w:val="24"/>
        </w:rPr>
        <w:t>по</w:t>
      </w:r>
      <w:r w:rsidR="006C680D" w:rsidRPr="00D337FA">
        <w:rPr>
          <w:szCs w:val="24"/>
        </w:rPr>
        <w:t xml:space="preserve"> </w:t>
      </w:r>
      <w:r w:rsidRPr="00D337FA">
        <w:rPr>
          <w:szCs w:val="24"/>
        </w:rPr>
        <w:t>льготным</w:t>
      </w:r>
      <w:r w:rsidR="006C680D" w:rsidRPr="00D337FA">
        <w:rPr>
          <w:szCs w:val="24"/>
        </w:rPr>
        <w:t xml:space="preserve"> </w:t>
      </w:r>
      <w:r w:rsidRPr="00D337FA">
        <w:rPr>
          <w:szCs w:val="24"/>
        </w:rPr>
        <w:t>ставкам</w:t>
      </w:r>
      <w:r w:rsidR="006C680D" w:rsidRPr="00D337FA">
        <w:rPr>
          <w:szCs w:val="24"/>
        </w:rPr>
        <w:t xml:space="preserve"> </w:t>
      </w:r>
      <w:r w:rsidRPr="00D337FA">
        <w:rPr>
          <w:szCs w:val="24"/>
        </w:rPr>
        <w:t>на</w:t>
      </w:r>
      <w:r w:rsidR="006C680D" w:rsidRPr="00D337FA">
        <w:rPr>
          <w:szCs w:val="24"/>
        </w:rPr>
        <w:t xml:space="preserve"> </w:t>
      </w:r>
      <w:r w:rsidRPr="00D337FA">
        <w:rPr>
          <w:szCs w:val="24"/>
        </w:rPr>
        <w:t>текущие</w:t>
      </w:r>
      <w:r w:rsidR="006C680D" w:rsidRPr="00D337FA">
        <w:rPr>
          <w:szCs w:val="24"/>
        </w:rPr>
        <w:t xml:space="preserve"> </w:t>
      </w:r>
      <w:r w:rsidRPr="00D337FA">
        <w:rPr>
          <w:szCs w:val="24"/>
        </w:rPr>
        <w:t>полевые</w:t>
      </w:r>
      <w:r w:rsidR="006C680D" w:rsidRPr="00D337FA">
        <w:rPr>
          <w:szCs w:val="24"/>
        </w:rPr>
        <w:t xml:space="preserve"> </w:t>
      </w:r>
      <w:r w:rsidRPr="00D337FA">
        <w:rPr>
          <w:szCs w:val="24"/>
        </w:rPr>
        <w:t>работы,</w:t>
      </w:r>
      <w:r w:rsidR="006C680D" w:rsidRPr="00D337FA">
        <w:rPr>
          <w:szCs w:val="24"/>
        </w:rPr>
        <w:t xml:space="preserve"> </w:t>
      </w:r>
      <w:r w:rsidRPr="00D337FA">
        <w:rPr>
          <w:szCs w:val="24"/>
        </w:rPr>
        <w:t>но</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и</w:t>
      </w:r>
      <w:r w:rsidR="006C680D" w:rsidRPr="00D337FA">
        <w:rPr>
          <w:szCs w:val="24"/>
        </w:rPr>
        <w:t xml:space="preserve"> </w:t>
      </w:r>
      <w:r w:rsidRPr="00D337FA">
        <w:rPr>
          <w:szCs w:val="24"/>
        </w:rPr>
        <w:t>с</w:t>
      </w:r>
      <w:r w:rsidR="006C680D" w:rsidRPr="00D337FA">
        <w:rPr>
          <w:szCs w:val="24"/>
        </w:rPr>
        <w:t xml:space="preserve"> </w:t>
      </w:r>
      <w:r w:rsidRPr="00D337FA">
        <w:rPr>
          <w:szCs w:val="24"/>
        </w:rPr>
        <w:t>получением</w:t>
      </w:r>
      <w:r w:rsidR="006C680D" w:rsidRPr="00D337FA">
        <w:rPr>
          <w:szCs w:val="24"/>
        </w:rPr>
        <w:t xml:space="preserve"> </w:t>
      </w:r>
      <w:r w:rsidRPr="00D337FA">
        <w:rPr>
          <w:szCs w:val="24"/>
        </w:rPr>
        <w:t>необходимых</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на</w:t>
      </w:r>
      <w:r w:rsidR="006C680D" w:rsidRPr="00D337FA">
        <w:rPr>
          <w:szCs w:val="24"/>
        </w:rPr>
        <w:t xml:space="preserve"> </w:t>
      </w:r>
      <w:r w:rsidRPr="00D337FA">
        <w:rPr>
          <w:szCs w:val="24"/>
        </w:rPr>
        <w:t>инвестиционные</w:t>
      </w:r>
      <w:r w:rsidR="006C680D" w:rsidRPr="00D337FA">
        <w:rPr>
          <w:szCs w:val="24"/>
        </w:rPr>
        <w:t xml:space="preserve"> </w:t>
      </w:r>
      <w:r w:rsidRPr="00D337FA">
        <w:rPr>
          <w:szCs w:val="24"/>
        </w:rPr>
        <w:t>проекты</w:t>
      </w:r>
      <w:r w:rsidR="006C680D" w:rsidRPr="00D337FA">
        <w:rPr>
          <w:szCs w:val="24"/>
        </w:rPr>
        <w:t xml:space="preserve"> </w:t>
      </w:r>
      <w:r w:rsidRPr="00D337FA">
        <w:rPr>
          <w:szCs w:val="24"/>
        </w:rPr>
        <w:t>[1].</w:t>
      </w:r>
      <w:r w:rsidR="006C680D" w:rsidRPr="00D337FA">
        <w:rPr>
          <w:szCs w:val="24"/>
        </w:rPr>
        <w:t xml:space="preserve"> </w:t>
      </w:r>
      <w:r w:rsidRPr="00D337FA">
        <w:rPr>
          <w:szCs w:val="24"/>
        </w:rPr>
        <w:t>Понимание</w:t>
      </w:r>
      <w:r w:rsidR="006C680D" w:rsidRPr="00D337FA">
        <w:rPr>
          <w:szCs w:val="24"/>
        </w:rPr>
        <w:t xml:space="preserve"> </w:t>
      </w:r>
      <w:r w:rsidRPr="00D337FA">
        <w:rPr>
          <w:szCs w:val="24"/>
        </w:rPr>
        <w:t>государством</w:t>
      </w:r>
      <w:r w:rsidR="006C680D" w:rsidRPr="00D337FA">
        <w:rPr>
          <w:szCs w:val="24"/>
        </w:rPr>
        <w:t xml:space="preserve"> </w:t>
      </w:r>
      <w:r w:rsidRPr="00D337FA">
        <w:rPr>
          <w:szCs w:val="24"/>
        </w:rPr>
        <w:t>важности</w:t>
      </w:r>
      <w:r w:rsidR="006C680D" w:rsidRPr="00D337FA">
        <w:rPr>
          <w:szCs w:val="24"/>
        </w:rPr>
        <w:t xml:space="preserve"> </w:t>
      </w:r>
      <w:r w:rsidRPr="00D337FA">
        <w:rPr>
          <w:szCs w:val="24"/>
        </w:rPr>
        <w:t>вопроса</w:t>
      </w:r>
      <w:r w:rsidR="006C680D" w:rsidRPr="00D337FA">
        <w:rPr>
          <w:szCs w:val="24"/>
        </w:rPr>
        <w:t xml:space="preserve"> </w:t>
      </w:r>
      <w:r w:rsidRPr="00D337FA">
        <w:rPr>
          <w:szCs w:val="24"/>
        </w:rPr>
        <w:t>комплексного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АПК</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уже</w:t>
      </w:r>
      <w:r w:rsidR="006C680D" w:rsidRPr="00D337FA">
        <w:rPr>
          <w:szCs w:val="24"/>
        </w:rPr>
        <w:t xml:space="preserve"> </w:t>
      </w:r>
      <w:r w:rsidRPr="00D337FA">
        <w:rPr>
          <w:szCs w:val="24"/>
        </w:rPr>
        <w:t>сегодня</w:t>
      </w:r>
      <w:r w:rsidR="006C680D" w:rsidRPr="00D337FA">
        <w:rPr>
          <w:szCs w:val="24"/>
        </w:rPr>
        <w:t xml:space="preserve"> </w:t>
      </w:r>
      <w:r w:rsidRPr="00D337FA">
        <w:rPr>
          <w:szCs w:val="24"/>
        </w:rPr>
        <w:t>решать</w:t>
      </w:r>
      <w:r w:rsidR="006C680D" w:rsidRPr="00D337FA">
        <w:rPr>
          <w:szCs w:val="24"/>
        </w:rPr>
        <w:t xml:space="preserve"> </w:t>
      </w:r>
      <w:r w:rsidRPr="00D337FA">
        <w:rPr>
          <w:szCs w:val="24"/>
        </w:rPr>
        <w:t>многие</w:t>
      </w:r>
      <w:r w:rsidR="006C680D" w:rsidRPr="00D337FA">
        <w:rPr>
          <w:szCs w:val="24"/>
        </w:rPr>
        <w:t xml:space="preserve"> </w:t>
      </w:r>
      <w:r w:rsidRPr="00D337FA">
        <w:rPr>
          <w:szCs w:val="24"/>
        </w:rPr>
        <w:t>насущные</w:t>
      </w:r>
      <w:r w:rsidR="006C680D" w:rsidRPr="00D337FA">
        <w:rPr>
          <w:szCs w:val="24"/>
        </w:rPr>
        <w:t xml:space="preserve"> </w:t>
      </w:r>
      <w:r w:rsidRPr="00D337FA">
        <w:rPr>
          <w:szCs w:val="24"/>
        </w:rPr>
        <w:t>проблемы,</w:t>
      </w:r>
      <w:r w:rsidR="006C680D" w:rsidRPr="00D337FA">
        <w:rPr>
          <w:szCs w:val="24"/>
        </w:rPr>
        <w:t xml:space="preserve"> </w:t>
      </w:r>
      <w:r w:rsidRPr="00D337FA">
        <w:rPr>
          <w:szCs w:val="24"/>
        </w:rPr>
        <w:t>препятствующие</w:t>
      </w:r>
      <w:r w:rsidR="006C680D" w:rsidRPr="00D337FA">
        <w:rPr>
          <w:szCs w:val="24"/>
        </w:rPr>
        <w:t xml:space="preserve"> </w:t>
      </w:r>
      <w:r w:rsidRPr="00D337FA">
        <w:rPr>
          <w:szCs w:val="24"/>
        </w:rPr>
        <w:t>его</w:t>
      </w:r>
      <w:r w:rsidR="006C680D" w:rsidRPr="00D337FA">
        <w:rPr>
          <w:szCs w:val="24"/>
        </w:rPr>
        <w:t xml:space="preserve"> </w:t>
      </w:r>
      <w:r w:rsidRPr="00D337FA">
        <w:rPr>
          <w:szCs w:val="24"/>
        </w:rPr>
        <w:t>эффективному</w:t>
      </w:r>
      <w:r w:rsidR="006C680D" w:rsidRPr="00D337FA">
        <w:rPr>
          <w:szCs w:val="24"/>
        </w:rPr>
        <w:t xml:space="preserve"> </w:t>
      </w:r>
      <w:r w:rsidRPr="00D337FA">
        <w:rPr>
          <w:szCs w:val="24"/>
        </w:rPr>
        <w:t>развитию,</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некоторые</w:t>
      </w:r>
      <w:r w:rsidR="006C680D" w:rsidRPr="00D337FA">
        <w:rPr>
          <w:szCs w:val="24"/>
        </w:rPr>
        <w:t xml:space="preserve"> </w:t>
      </w:r>
      <w:r w:rsidRPr="00D337FA">
        <w:rPr>
          <w:szCs w:val="24"/>
        </w:rPr>
        <w:t>из</w:t>
      </w:r>
      <w:r w:rsidR="006C680D" w:rsidRPr="00D337FA">
        <w:rPr>
          <w:szCs w:val="24"/>
        </w:rPr>
        <w:t xml:space="preserve"> </w:t>
      </w:r>
      <w:r w:rsidRPr="00D337FA">
        <w:rPr>
          <w:szCs w:val="24"/>
        </w:rPr>
        <w:t>них</w:t>
      </w:r>
      <w:r w:rsidR="006C680D" w:rsidRPr="00D337FA">
        <w:rPr>
          <w:szCs w:val="24"/>
        </w:rPr>
        <w:t xml:space="preserve"> </w:t>
      </w:r>
      <w:r w:rsidRPr="00D337FA">
        <w:rPr>
          <w:szCs w:val="24"/>
        </w:rPr>
        <w:t>всё</w:t>
      </w:r>
      <w:r w:rsidR="006C680D" w:rsidRPr="00D337FA">
        <w:rPr>
          <w:szCs w:val="24"/>
        </w:rPr>
        <w:t xml:space="preserve"> </w:t>
      </w:r>
      <w:r w:rsidRPr="00D337FA">
        <w:rPr>
          <w:szCs w:val="24"/>
        </w:rPr>
        <w:t>ещё</w:t>
      </w:r>
      <w:r w:rsidR="006C680D" w:rsidRPr="00D337FA">
        <w:rPr>
          <w:szCs w:val="24"/>
        </w:rPr>
        <w:t xml:space="preserve"> </w:t>
      </w:r>
      <w:r w:rsidRPr="00D337FA">
        <w:rPr>
          <w:szCs w:val="24"/>
        </w:rPr>
        <w:t>продолжают</w:t>
      </w:r>
      <w:r w:rsidR="006C680D" w:rsidRPr="00D337FA">
        <w:rPr>
          <w:szCs w:val="24"/>
        </w:rPr>
        <w:t xml:space="preserve"> </w:t>
      </w:r>
      <w:r w:rsidRPr="00D337FA">
        <w:rPr>
          <w:szCs w:val="24"/>
        </w:rPr>
        <w:t>сохраняться.</w:t>
      </w:r>
      <w:r w:rsidR="006C680D" w:rsidRPr="00D337FA">
        <w:rPr>
          <w:szCs w:val="24"/>
        </w:rPr>
        <w:t xml:space="preserve"> </w:t>
      </w:r>
      <w:r w:rsidRPr="00D337FA">
        <w:rPr>
          <w:szCs w:val="24"/>
        </w:rPr>
        <w:t>Так</w:t>
      </w:r>
      <w:r w:rsidRPr="00D337FA">
        <w:rPr>
          <w:szCs w:val="24"/>
          <w:lang w:val="en-US"/>
        </w:rPr>
        <w:t>,</w:t>
      </w:r>
      <w:r w:rsidR="006C680D" w:rsidRPr="00D337FA">
        <w:rPr>
          <w:szCs w:val="24"/>
        </w:rPr>
        <w:t xml:space="preserve"> </w:t>
      </w:r>
      <w:r w:rsidRPr="00D337FA">
        <w:rPr>
          <w:szCs w:val="24"/>
        </w:rPr>
        <w:t>если</w:t>
      </w:r>
      <w:r w:rsidR="006C680D" w:rsidRPr="00D337FA">
        <w:rPr>
          <w:szCs w:val="24"/>
        </w:rPr>
        <w:t xml:space="preserve"> </w:t>
      </w:r>
      <w:r w:rsidRPr="00D337FA">
        <w:rPr>
          <w:szCs w:val="24"/>
        </w:rPr>
        <w:t>условно</w:t>
      </w:r>
      <w:r w:rsidR="006C680D" w:rsidRPr="00D337FA">
        <w:rPr>
          <w:szCs w:val="24"/>
          <w:lang w:val="en-US"/>
        </w:rPr>
        <w:t xml:space="preserve"> </w:t>
      </w:r>
      <w:r w:rsidRPr="00D337FA">
        <w:rPr>
          <w:szCs w:val="24"/>
        </w:rPr>
        <w:t>их</w:t>
      </w:r>
      <w:r w:rsidR="006C680D" w:rsidRPr="00D337FA">
        <w:rPr>
          <w:szCs w:val="24"/>
        </w:rPr>
        <w:t xml:space="preserve"> </w:t>
      </w:r>
      <w:r w:rsidRPr="00D337FA">
        <w:rPr>
          <w:szCs w:val="24"/>
        </w:rPr>
        <w:t>обобщить</w:t>
      </w:r>
      <w:r w:rsidRPr="00D337FA">
        <w:rPr>
          <w:szCs w:val="24"/>
          <w:lang w:val="en-US"/>
        </w:rPr>
        <w:t>,</w:t>
      </w:r>
      <w:r w:rsidR="006C680D" w:rsidRPr="00D337FA">
        <w:rPr>
          <w:szCs w:val="24"/>
        </w:rPr>
        <w:t xml:space="preserve"> </w:t>
      </w:r>
      <w:r w:rsidRPr="00D337FA">
        <w:rPr>
          <w:szCs w:val="24"/>
        </w:rPr>
        <w:t>то</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выделить</w:t>
      </w:r>
      <w:r w:rsidR="006C680D" w:rsidRPr="00D337FA">
        <w:rPr>
          <w:szCs w:val="24"/>
        </w:rPr>
        <w:t xml:space="preserve"> </w:t>
      </w:r>
      <w:r w:rsidRPr="00D337FA">
        <w:rPr>
          <w:szCs w:val="24"/>
        </w:rPr>
        <w:t>следующие:</w:t>
      </w:r>
    </w:p>
    <w:p w:rsidR="00CC397F" w:rsidRPr="00D337FA" w:rsidRDefault="00CC397F" w:rsidP="005A0605">
      <w:pPr>
        <w:numPr>
          <w:ilvl w:val="0"/>
          <w:numId w:val="3"/>
        </w:numPr>
        <w:spacing w:after="160" w:line="259" w:lineRule="auto"/>
        <w:ind w:left="0" w:firstLine="284"/>
        <w:contextualSpacing/>
        <w:rPr>
          <w:szCs w:val="24"/>
        </w:rPr>
      </w:pPr>
      <w:r w:rsidRPr="00D337FA">
        <w:rPr>
          <w:szCs w:val="24"/>
        </w:rPr>
        <w:t>Недостаточная</w:t>
      </w:r>
      <w:r w:rsidR="006C680D" w:rsidRPr="00D337FA">
        <w:rPr>
          <w:szCs w:val="24"/>
        </w:rPr>
        <w:t xml:space="preserve"> </w:t>
      </w:r>
      <w:r w:rsidRPr="00D337FA">
        <w:rPr>
          <w:szCs w:val="24"/>
        </w:rPr>
        <w:t>координация</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федеральными</w:t>
      </w:r>
      <w:r w:rsidR="006C680D" w:rsidRPr="00D337FA">
        <w:rPr>
          <w:szCs w:val="24"/>
        </w:rPr>
        <w:t xml:space="preserve"> </w:t>
      </w:r>
      <w:r w:rsidRPr="00D337FA">
        <w:rPr>
          <w:szCs w:val="24"/>
        </w:rPr>
        <w:t>и</w:t>
      </w:r>
      <w:r w:rsidR="006C680D" w:rsidRPr="00D337FA">
        <w:rPr>
          <w:szCs w:val="24"/>
        </w:rPr>
        <w:t xml:space="preserve"> </w:t>
      </w:r>
      <w:r w:rsidRPr="00D337FA">
        <w:rPr>
          <w:szCs w:val="24"/>
        </w:rPr>
        <w:t>региональными</w:t>
      </w:r>
      <w:r w:rsidR="006C680D" w:rsidRPr="00D337FA">
        <w:rPr>
          <w:szCs w:val="24"/>
        </w:rPr>
        <w:t xml:space="preserve"> </w:t>
      </w:r>
      <w:r w:rsidRPr="00D337FA">
        <w:rPr>
          <w:szCs w:val="24"/>
        </w:rPr>
        <w:t>органами</w:t>
      </w:r>
      <w:r w:rsidR="006C680D" w:rsidRPr="00D337FA">
        <w:rPr>
          <w:szCs w:val="24"/>
        </w:rPr>
        <w:t xml:space="preserve"> </w:t>
      </w:r>
      <w:r w:rsidRPr="00D337FA">
        <w:rPr>
          <w:szCs w:val="24"/>
        </w:rPr>
        <w:t>власти;</w:t>
      </w:r>
    </w:p>
    <w:p w:rsidR="00CC397F" w:rsidRPr="00D337FA" w:rsidRDefault="00CC397F" w:rsidP="005A0605">
      <w:pPr>
        <w:numPr>
          <w:ilvl w:val="0"/>
          <w:numId w:val="3"/>
        </w:numPr>
        <w:spacing w:after="160" w:line="259" w:lineRule="auto"/>
        <w:ind w:left="0" w:firstLine="284"/>
        <w:contextualSpacing/>
        <w:rPr>
          <w:szCs w:val="24"/>
        </w:rPr>
      </w:pPr>
      <w:r w:rsidRPr="00D337FA">
        <w:rPr>
          <w:szCs w:val="24"/>
        </w:rPr>
        <w:t>Диспропорции</w:t>
      </w:r>
      <w:r w:rsidR="006C680D" w:rsidRPr="00D337FA">
        <w:rPr>
          <w:szCs w:val="24"/>
        </w:rPr>
        <w:t xml:space="preserve"> </w:t>
      </w:r>
      <w:r w:rsidRPr="00D337FA">
        <w:rPr>
          <w:szCs w:val="24"/>
        </w:rPr>
        <w:t>в</w:t>
      </w:r>
      <w:r w:rsidR="006C680D" w:rsidRPr="00D337FA">
        <w:rPr>
          <w:szCs w:val="24"/>
        </w:rPr>
        <w:t xml:space="preserve"> </w:t>
      </w:r>
      <w:r w:rsidRPr="00D337FA">
        <w:rPr>
          <w:szCs w:val="24"/>
        </w:rPr>
        <w:t>распределении</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ресурсов;</w:t>
      </w:r>
    </w:p>
    <w:p w:rsidR="00CC397F" w:rsidRPr="00D337FA" w:rsidRDefault="00CC397F" w:rsidP="005A0605">
      <w:pPr>
        <w:numPr>
          <w:ilvl w:val="0"/>
          <w:numId w:val="3"/>
        </w:numPr>
        <w:spacing w:after="160" w:line="259" w:lineRule="auto"/>
        <w:ind w:left="0" w:firstLine="284"/>
        <w:contextualSpacing/>
        <w:rPr>
          <w:szCs w:val="24"/>
        </w:rPr>
      </w:pPr>
      <w:r w:rsidRPr="00D337FA">
        <w:rPr>
          <w:szCs w:val="24"/>
        </w:rPr>
        <w:t>Недостаточно</w:t>
      </w:r>
      <w:r w:rsidR="006C680D" w:rsidRPr="00D337FA">
        <w:rPr>
          <w:szCs w:val="24"/>
        </w:rPr>
        <w:t xml:space="preserve"> </w:t>
      </w:r>
      <w:r w:rsidRPr="00D337FA">
        <w:rPr>
          <w:szCs w:val="24"/>
        </w:rPr>
        <w:t>высокий</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региональной</w:t>
      </w:r>
      <w:r w:rsidR="006C680D" w:rsidRPr="00D337FA">
        <w:rPr>
          <w:szCs w:val="24"/>
        </w:rPr>
        <w:t xml:space="preserve"> </w:t>
      </w:r>
      <w:r w:rsidRPr="00D337FA">
        <w:rPr>
          <w:szCs w:val="24"/>
        </w:rPr>
        <w:t>диверсификации</w:t>
      </w:r>
      <w:r w:rsidR="006C680D" w:rsidRPr="00D337FA">
        <w:rPr>
          <w:szCs w:val="24"/>
        </w:rPr>
        <w:t xml:space="preserve"> </w:t>
      </w:r>
      <w:r w:rsidRPr="00D337FA">
        <w:rPr>
          <w:szCs w:val="24"/>
        </w:rPr>
        <w:t>мер;</w:t>
      </w:r>
    </w:p>
    <w:p w:rsidR="00CC397F" w:rsidRPr="00D337FA" w:rsidRDefault="00CC397F" w:rsidP="005A0605">
      <w:pPr>
        <w:numPr>
          <w:ilvl w:val="0"/>
          <w:numId w:val="3"/>
        </w:numPr>
        <w:spacing w:after="160" w:line="259" w:lineRule="auto"/>
        <w:ind w:left="0" w:firstLine="284"/>
        <w:contextualSpacing/>
        <w:rPr>
          <w:szCs w:val="24"/>
        </w:rPr>
      </w:pPr>
      <w:r w:rsidRPr="00D337FA">
        <w:rPr>
          <w:szCs w:val="24"/>
        </w:rPr>
        <w:t>Не</w:t>
      </w:r>
      <w:r w:rsidR="006C680D" w:rsidRPr="00D337FA">
        <w:rPr>
          <w:szCs w:val="24"/>
        </w:rPr>
        <w:t xml:space="preserve"> </w:t>
      </w:r>
      <w:r w:rsidRPr="00D337FA">
        <w:rPr>
          <w:szCs w:val="24"/>
        </w:rPr>
        <w:t>равномерный</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информационной</w:t>
      </w:r>
      <w:r w:rsidR="006C680D" w:rsidRPr="00D337FA">
        <w:rPr>
          <w:szCs w:val="24"/>
        </w:rPr>
        <w:t xml:space="preserve"> </w:t>
      </w:r>
      <w:r w:rsidRPr="00D337FA">
        <w:rPr>
          <w:szCs w:val="24"/>
        </w:rPr>
        <w:t>обеспеченности</w:t>
      </w:r>
      <w:r w:rsidR="006C680D" w:rsidRPr="00D337FA">
        <w:rPr>
          <w:szCs w:val="24"/>
        </w:rPr>
        <w:t xml:space="preserve"> </w:t>
      </w:r>
      <w:r w:rsidRPr="00D337FA">
        <w:rPr>
          <w:szCs w:val="24"/>
        </w:rPr>
        <w:t>о</w:t>
      </w:r>
      <w:r w:rsidR="006C680D" w:rsidRPr="00D337FA">
        <w:rPr>
          <w:szCs w:val="24"/>
        </w:rPr>
        <w:t xml:space="preserve"> </w:t>
      </w:r>
      <w:r w:rsidRPr="00D337FA">
        <w:rPr>
          <w:szCs w:val="24"/>
        </w:rPr>
        <w:t>мерах</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p>
    <w:p w:rsidR="00CC397F" w:rsidRPr="00D337FA" w:rsidRDefault="00CC397F" w:rsidP="005A0605">
      <w:pPr>
        <w:numPr>
          <w:ilvl w:val="0"/>
          <w:numId w:val="3"/>
        </w:numPr>
        <w:spacing w:after="160" w:line="259" w:lineRule="auto"/>
        <w:ind w:left="0" w:firstLine="284"/>
        <w:contextualSpacing/>
        <w:rPr>
          <w:szCs w:val="24"/>
        </w:rPr>
      </w:pPr>
      <w:r w:rsidRPr="00D337FA">
        <w:rPr>
          <w:szCs w:val="24"/>
        </w:rPr>
        <w:t>Недостаточная</w:t>
      </w:r>
      <w:r w:rsidR="006C680D" w:rsidRPr="00D337FA">
        <w:rPr>
          <w:szCs w:val="24"/>
        </w:rPr>
        <w:t xml:space="preserve"> </w:t>
      </w:r>
      <w:r w:rsidRPr="00D337FA">
        <w:rPr>
          <w:szCs w:val="24"/>
        </w:rPr>
        <w:t>результативность</w:t>
      </w:r>
      <w:r w:rsidR="006C680D" w:rsidRPr="00D337FA">
        <w:rPr>
          <w:szCs w:val="24"/>
        </w:rPr>
        <w:t xml:space="preserve"> </w:t>
      </w:r>
      <w:r w:rsidRPr="00D337FA">
        <w:rPr>
          <w:szCs w:val="24"/>
        </w:rPr>
        <w:t>действующих</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мониторинга</w:t>
      </w:r>
      <w:r w:rsidR="006C680D" w:rsidRPr="00D337FA">
        <w:rPr>
          <w:szCs w:val="24"/>
        </w:rPr>
        <w:t xml:space="preserve"> </w:t>
      </w:r>
      <w:r w:rsidRPr="00D337FA">
        <w:rPr>
          <w:szCs w:val="24"/>
        </w:rPr>
        <w:t>эффективности</w:t>
      </w:r>
      <w:r w:rsidR="006C680D" w:rsidRPr="00D337FA">
        <w:rPr>
          <w:szCs w:val="24"/>
        </w:rPr>
        <w:t xml:space="preserve"> </w:t>
      </w:r>
      <w:r w:rsidRPr="00D337FA">
        <w:rPr>
          <w:szCs w:val="24"/>
        </w:rPr>
        <w:t>программ</w:t>
      </w:r>
      <w:r w:rsidR="006C680D" w:rsidRPr="00D337FA">
        <w:rPr>
          <w:szCs w:val="24"/>
        </w:rPr>
        <w:t xml:space="preserve"> </w:t>
      </w:r>
      <w:r w:rsidRPr="00D337FA">
        <w:rPr>
          <w:szCs w:val="24"/>
        </w:rPr>
        <w:t>поддержки;</w:t>
      </w:r>
    </w:p>
    <w:p w:rsidR="00CC397F" w:rsidRPr="00D337FA" w:rsidRDefault="00CC397F" w:rsidP="005A0605">
      <w:pPr>
        <w:numPr>
          <w:ilvl w:val="0"/>
          <w:numId w:val="3"/>
        </w:numPr>
        <w:spacing w:after="160" w:line="259" w:lineRule="auto"/>
        <w:ind w:left="0" w:firstLine="284"/>
        <w:contextualSpacing/>
        <w:rPr>
          <w:szCs w:val="24"/>
        </w:rPr>
      </w:pPr>
      <w:r w:rsidRPr="00D337FA">
        <w:rPr>
          <w:szCs w:val="24"/>
        </w:rPr>
        <w:t>Не</w:t>
      </w:r>
      <w:r w:rsidR="006C680D" w:rsidRPr="00D337FA">
        <w:rPr>
          <w:szCs w:val="24"/>
        </w:rPr>
        <w:t xml:space="preserve"> </w:t>
      </w:r>
      <w:r w:rsidRPr="00D337FA">
        <w:rPr>
          <w:szCs w:val="24"/>
        </w:rPr>
        <w:t>высокий</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вовлечённости</w:t>
      </w:r>
      <w:r w:rsidR="006C680D" w:rsidRPr="00D337FA">
        <w:rPr>
          <w:szCs w:val="24"/>
        </w:rPr>
        <w:t xml:space="preserve"> </w:t>
      </w:r>
      <w:r w:rsidRPr="00D337FA">
        <w:rPr>
          <w:szCs w:val="24"/>
        </w:rPr>
        <w:t>научно-исследовательских</w:t>
      </w:r>
      <w:r w:rsidR="006C680D" w:rsidRPr="00D337FA">
        <w:rPr>
          <w:szCs w:val="24"/>
        </w:rPr>
        <w:t xml:space="preserve"> </w:t>
      </w:r>
      <w:r w:rsidRPr="00D337FA">
        <w:rPr>
          <w:szCs w:val="24"/>
        </w:rPr>
        <w:t>институтов;</w:t>
      </w:r>
    </w:p>
    <w:p w:rsidR="00CC397F" w:rsidRPr="00D337FA" w:rsidRDefault="00CC397F" w:rsidP="005A0605">
      <w:pPr>
        <w:numPr>
          <w:ilvl w:val="0"/>
          <w:numId w:val="3"/>
        </w:numPr>
        <w:spacing w:after="160" w:line="259" w:lineRule="auto"/>
        <w:ind w:left="0" w:firstLine="284"/>
        <w:contextualSpacing/>
        <w:rPr>
          <w:szCs w:val="24"/>
        </w:rPr>
      </w:pPr>
      <w:r w:rsidRPr="00D337FA">
        <w:rPr>
          <w:szCs w:val="24"/>
        </w:rPr>
        <w:t>Недостаточный</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инфраструктурной</w:t>
      </w:r>
      <w:r w:rsidR="006C680D" w:rsidRPr="00D337FA">
        <w:rPr>
          <w:szCs w:val="24"/>
        </w:rPr>
        <w:t xml:space="preserve"> </w:t>
      </w:r>
      <w:r w:rsidRPr="00D337FA">
        <w:rPr>
          <w:szCs w:val="24"/>
        </w:rPr>
        <w:t>поддержки</w:t>
      </w:r>
      <w:r w:rsidRPr="00D337FA">
        <w:rPr>
          <w:szCs w:val="24"/>
          <w:lang w:val="en-US"/>
        </w:rPr>
        <w:t>.</w:t>
      </w:r>
    </w:p>
    <w:p w:rsidR="00CC397F" w:rsidRPr="00D337FA" w:rsidRDefault="00CC397F" w:rsidP="00544DD6">
      <w:pPr>
        <w:ind w:firstLine="284"/>
        <w:rPr>
          <w:szCs w:val="24"/>
        </w:rPr>
      </w:pPr>
      <w:r w:rsidRPr="00D337FA">
        <w:rPr>
          <w:szCs w:val="24"/>
        </w:rPr>
        <w:t>Большинство</w:t>
      </w:r>
      <w:r w:rsidR="006C680D" w:rsidRPr="00D337FA">
        <w:rPr>
          <w:szCs w:val="24"/>
        </w:rPr>
        <w:t xml:space="preserve"> </w:t>
      </w:r>
      <w:r w:rsidRPr="00D337FA">
        <w:rPr>
          <w:szCs w:val="24"/>
        </w:rPr>
        <w:t>из</w:t>
      </w:r>
      <w:r w:rsidR="006C680D" w:rsidRPr="00D337FA">
        <w:rPr>
          <w:szCs w:val="24"/>
        </w:rPr>
        <w:t xml:space="preserve"> </w:t>
      </w:r>
      <w:r w:rsidRPr="00D337FA">
        <w:rPr>
          <w:szCs w:val="24"/>
        </w:rPr>
        <w:t>представленных</w:t>
      </w:r>
      <w:r w:rsidR="006C680D" w:rsidRPr="00D337FA">
        <w:rPr>
          <w:szCs w:val="24"/>
        </w:rPr>
        <w:t xml:space="preserve"> </w:t>
      </w:r>
      <w:r w:rsidRPr="00D337FA">
        <w:rPr>
          <w:szCs w:val="24"/>
        </w:rPr>
        <w:t>авторами</w:t>
      </w:r>
      <w:r w:rsidR="006C680D" w:rsidRPr="00D337FA">
        <w:rPr>
          <w:szCs w:val="24"/>
        </w:rPr>
        <w:t xml:space="preserve"> </w:t>
      </w:r>
      <w:r w:rsidRPr="00D337FA">
        <w:rPr>
          <w:szCs w:val="24"/>
        </w:rPr>
        <w:t>проблем</w:t>
      </w:r>
      <w:r w:rsidR="006C680D" w:rsidRPr="00D337FA">
        <w:rPr>
          <w:szCs w:val="24"/>
        </w:rPr>
        <w:t xml:space="preserve"> </w:t>
      </w:r>
      <w:r w:rsidRPr="00D337FA">
        <w:rPr>
          <w:szCs w:val="24"/>
        </w:rPr>
        <w:t>не</w:t>
      </w:r>
      <w:r w:rsidR="006C680D" w:rsidRPr="00D337FA">
        <w:rPr>
          <w:szCs w:val="24"/>
        </w:rPr>
        <w:t xml:space="preserve"> </w:t>
      </w:r>
      <w:r w:rsidRPr="00D337FA">
        <w:rPr>
          <w:szCs w:val="24"/>
        </w:rPr>
        <w:t>являются</w:t>
      </w:r>
      <w:r w:rsidR="006C680D" w:rsidRPr="00D337FA">
        <w:rPr>
          <w:szCs w:val="24"/>
        </w:rPr>
        <w:t xml:space="preserve"> </w:t>
      </w:r>
      <w:r w:rsidRPr="00D337FA">
        <w:rPr>
          <w:szCs w:val="24"/>
        </w:rPr>
        <w:t>новыми,</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при</w:t>
      </w:r>
      <w:r w:rsidR="006C680D" w:rsidRPr="00D337FA">
        <w:rPr>
          <w:szCs w:val="24"/>
        </w:rPr>
        <w:t xml:space="preserve"> </w:t>
      </w:r>
      <w:r w:rsidRPr="00D337FA">
        <w:rPr>
          <w:szCs w:val="24"/>
        </w:rPr>
        <w:t>неуделения</w:t>
      </w:r>
      <w:r w:rsidR="006C680D" w:rsidRPr="00D337FA">
        <w:rPr>
          <w:szCs w:val="24"/>
        </w:rPr>
        <w:t xml:space="preserve"> </w:t>
      </w:r>
      <w:r w:rsidRPr="00D337FA">
        <w:rPr>
          <w:szCs w:val="24"/>
        </w:rPr>
        <w:t>им</w:t>
      </w:r>
      <w:r w:rsidR="006C680D" w:rsidRPr="00D337FA">
        <w:rPr>
          <w:szCs w:val="24"/>
        </w:rPr>
        <w:t xml:space="preserve"> </w:t>
      </w:r>
      <w:r w:rsidRPr="00D337FA">
        <w:rPr>
          <w:szCs w:val="24"/>
        </w:rPr>
        <w:t>достаточного</w:t>
      </w:r>
      <w:r w:rsidR="006C680D" w:rsidRPr="00D337FA">
        <w:rPr>
          <w:szCs w:val="24"/>
        </w:rPr>
        <w:t xml:space="preserve"> </w:t>
      </w:r>
      <w:r w:rsidRPr="00D337FA">
        <w:rPr>
          <w:szCs w:val="24"/>
        </w:rPr>
        <w:t>внимания</w:t>
      </w:r>
      <w:r w:rsidR="006C680D" w:rsidRPr="00D337FA">
        <w:rPr>
          <w:szCs w:val="24"/>
        </w:rPr>
        <w:t xml:space="preserve"> </w:t>
      </w:r>
      <w:r w:rsidRPr="00D337FA">
        <w:rPr>
          <w:szCs w:val="24"/>
        </w:rPr>
        <w:t>влечёт</w:t>
      </w:r>
      <w:r w:rsidR="006C680D" w:rsidRPr="00D337FA">
        <w:rPr>
          <w:szCs w:val="24"/>
        </w:rPr>
        <w:t xml:space="preserve"> </w:t>
      </w:r>
      <w:r w:rsidRPr="00D337FA">
        <w:rPr>
          <w:szCs w:val="24"/>
        </w:rPr>
        <w:t>за</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в</w:t>
      </w:r>
      <w:r w:rsidR="006C680D" w:rsidRPr="00D337FA">
        <w:rPr>
          <w:szCs w:val="24"/>
        </w:rPr>
        <w:t xml:space="preserve"> </w:t>
      </w:r>
      <w:r w:rsidRPr="00D337FA">
        <w:rPr>
          <w:szCs w:val="24"/>
        </w:rPr>
        <w:t>долгосрочной</w:t>
      </w:r>
      <w:r w:rsidR="006C680D" w:rsidRPr="00D337FA">
        <w:rPr>
          <w:szCs w:val="24"/>
        </w:rPr>
        <w:t xml:space="preserve"> </w:t>
      </w:r>
      <w:r w:rsidRPr="00D337FA">
        <w:rPr>
          <w:szCs w:val="24"/>
        </w:rPr>
        <w:t>перспективе</w:t>
      </w:r>
      <w:r w:rsidR="006C680D" w:rsidRPr="00D337FA">
        <w:rPr>
          <w:szCs w:val="24"/>
        </w:rPr>
        <w:t xml:space="preserve"> </w:t>
      </w:r>
      <w:r w:rsidRPr="00D337FA">
        <w:rPr>
          <w:szCs w:val="24"/>
        </w:rPr>
        <w:t>замедление</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всего</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Переходя</w:t>
      </w:r>
      <w:r w:rsidR="006C680D" w:rsidRPr="00D337FA">
        <w:rPr>
          <w:szCs w:val="24"/>
        </w:rPr>
        <w:t xml:space="preserve"> </w:t>
      </w:r>
      <w:r w:rsidRPr="00D337FA">
        <w:rPr>
          <w:szCs w:val="24"/>
        </w:rPr>
        <w:t>к</w:t>
      </w:r>
      <w:r w:rsidR="006C680D" w:rsidRPr="00D337FA">
        <w:rPr>
          <w:szCs w:val="24"/>
        </w:rPr>
        <w:t xml:space="preserve"> </w:t>
      </w:r>
      <w:r w:rsidRPr="00D337FA">
        <w:rPr>
          <w:szCs w:val="24"/>
        </w:rPr>
        <w:t>рассмотрению</w:t>
      </w:r>
      <w:r w:rsidR="006C680D" w:rsidRPr="00D337FA">
        <w:rPr>
          <w:szCs w:val="24"/>
        </w:rPr>
        <w:t xml:space="preserve"> </w:t>
      </w:r>
      <w:r w:rsidRPr="00D337FA">
        <w:rPr>
          <w:szCs w:val="24"/>
        </w:rPr>
        <w:t>терминологии</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необходимо</w:t>
      </w:r>
      <w:r w:rsidR="006C680D" w:rsidRPr="00D337FA">
        <w:rPr>
          <w:szCs w:val="24"/>
        </w:rPr>
        <w:t xml:space="preserve"> </w:t>
      </w:r>
      <w:r w:rsidRPr="00D337FA">
        <w:rPr>
          <w:szCs w:val="24"/>
        </w:rPr>
        <w:t>первоначально</w:t>
      </w:r>
      <w:r w:rsidR="006C680D" w:rsidRPr="00D337FA">
        <w:rPr>
          <w:szCs w:val="24"/>
        </w:rPr>
        <w:t xml:space="preserve"> </w:t>
      </w:r>
      <w:r w:rsidRPr="00D337FA">
        <w:rPr>
          <w:szCs w:val="24"/>
        </w:rPr>
        <w:t>отме</w:t>
      </w:r>
      <w:r w:rsidRPr="00D337FA">
        <w:rPr>
          <w:szCs w:val="24"/>
        </w:rPr>
        <w:lastRenderedPageBreak/>
        <w:t>тить,</w:t>
      </w:r>
      <w:r w:rsidR="006C680D" w:rsidRPr="00D337FA">
        <w:rPr>
          <w:szCs w:val="24"/>
        </w:rPr>
        <w:t xml:space="preserve"> </w:t>
      </w:r>
      <w:r w:rsidRPr="00D337FA">
        <w:rPr>
          <w:szCs w:val="24"/>
        </w:rPr>
        <w:t>что</w:t>
      </w:r>
      <w:r w:rsidR="006C680D" w:rsidRPr="00D337FA">
        <w:rPr>
          <w:szCs w:val="24"/>
        </w:rPr>
        <w:t xml:space="preserve"> </w:t>
      </w:r>
      <w:r w:rsidRPr="00D337FA">
        <w:rPr>
          <w:szCs w:val="24"/>
        </w:rPr>
        <w:t>осуществления</w:t>
      </w:r>
      <w:r w:rsidR="006C680D" w:rsidRPr="00D337FA">
        <w:rPr>
          <w:szCs w:val="24"/>
        </w:rPr>
        <w:t xml:space="preserve"> </w:t>
      </w:r>
      <w:r w:rsidRPr="00D337FA">
        <w:rPr>
          <w:szCs w:val="24"/>
        </w:rPr>
        <w:t>любого</w:t>
      </w:r>
      <w:r w:rsidR="006C680D" w:rsidRPr="00D337FA">
        <w:rPr>
          <w:szCs w:val="24"/>
        </w:rPr>
        <w:t xml:space="preserve"> </w:t>
      </w:r>
      <w:r w:rsidRPr="00D337FA">
        <w:rPr>
          <w:szCs w:val="24"/>
        </w:rPr>
        <w:t>рода</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неотъемлемой</w:t>
      </w:r>
      <w:r w:rsidR="006C680D" w:rsidRPr="00D337FA">
        <w:rPr>
          <w:szCs w:val="24"/>
        </w:rPr>
        <w:t xml:space="preserve"> </w:t>
      </w:r>
      <w:r w:rsidRPr="00D337FA">
        <w:rPr>
          <w:szCs w:val="24"/>
        </w:rPr>
        <w:t>составляющей</w:t>
      </w:r>
      <w:r w:rsidR="006C680D" w:rsidRPr="00D337FA">
        <w:rPr>
          <w:szCs w:val="24"/>
        </w:rPr>
        <w:t xml:space="preserve"> </w:t>
      </w:r>
      <w:r w:rsidRPr="00D337FA">
        <w:rPr>
          <w:szCs w:val="24"/>
        </w:rPr>
        <w:t>экономической</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многих</w:t>
      </w:r>
      <w:r w:rsidR="006C680D" w:rsidRPr="00D337FA">
        <w:rPr>
          <w:szCs w:val="24"/>
        </w:rPr>
        <w:t xml:space="preserve"> </w:t>
      </w:r>
      <w:r w:rsidRPr="00D337FA">
        <w:rPr>
          <w:szCs w:val="24"/>
        </w:rPr>
        <w:t>стран,</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быть</w:t>
      </w:r>
      <w:r w:rsidR="006C680D" w:rsidRPr="00D337FA">
        <w:rPr>
          <w:szCs w:val="24"/>
        </w:rPr>
        <w:t xml:space="preserve"> </w:t>
      </w:r>
      <w:r w:rsidRPr="00D337FA">
        <w:rPr>
          <w:szCs w:val="24"/>
        </w:rPr>
        <w:t>направлена</w:t>
      </w:r>
      <w:r w:rsidR="006C680D" w:rsidRPr="00D337FA">
        <w:rPr>
          <w:szCs w:val="24"/>
        </w:rPr>
        <w:t xml:space="preserve"> </w:t>
      </w:r>
      <w:r w:rsidRPr="00D337FA">
        <w:rPr>
          <w:szCs w:val="24"/>
        </w:rPr>
        <w:t>на</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в</w:t>
      </w:r>
      <w:r w:rsidR="006C680D" w:rsidRPr="00D337FA">
        <w:rPr>
          <w:szCs w:val="24"/>
        </w:rPr>
        <w:t xml:space="preserve"> </w:t>
      </w:r>
      <w:r w:rsidRPr="00D337FA">
        <w:rPr>
          <w:szCs w:val="24"/>
        </w:rPr>
        <w:t>том</w:t>
      </w:r>
      <w:r w:rsidR="006C680D" w:rsidRPr="00D337FA">
        <w:rPr>
          <w:szCs w:val="24"/>
        </w:rPr>
        <w:t xml:space="preserve"> </w:t>
      </w:r>
      <w:r w:rsidRPr="00D337FA">
        <w:rPr>
          <w:szCs w:val="24"/>
        </w:rPr>
        <w:t>числе</w:t>
      </w:r>
      <w:r w:rsidR="006C680D" w:rsidRPr="00D337FA">
        <w:rPr>
          <w:szCs w:val="24"/>
        </w:rPr>
        <w:t xml:space="preserve"> </w:t>
      </w:r>
      <w:r w:rsidRPr="00D337FA">
        <w:rPr>
          <w:szCs w:val="24"/>
        </w:rPr>
        <w:t>сельскохозяйственную</w:t>
      </w:r>
      <w:r w:rsidR="006C680D" w:rsidRPr="00D337FA">
        <w:rPr>
          <w:szCs w:val="24"/>
        </w:rPr>
        <w:t xml:space="preserve"> </w:t>
      </w:r>
      <w:r w:rsidRPr="00D337FA">
        <w:rPr>
          <w:szCs w:val="24"/>
        </w:rPr>
        <w:t>сферу.</w:t>
      </w:r>
      <w:r w:rsidR="006C680D" w:rsidRPr="00D337FA">
        <w:rPr>
          <w:szCs w:val="24"/>
        </w:rPr>
        <w:t xml:space="preserve"> </w:t>
      </w:r>
      <w:r w:rsidRPr="00D337FA">
        <w:rPr>
          <w:szCs w:val="24"/>
        </w:rPr>
        <w:t>Так</w:t>
      </w:r>
      <w:r w:rsidR="006C680D" w:rsidRPr="00D337FA">
        <w:rPr>
          <w:szCs w:val="24"/>
        </w:rPr>
        <w:t xml:space="preserve"> </w:t>
      </w:r>
      <w:r w:rsidRPr="00D337FA">
        <w:rPr>
          <w:szCs w:val="24"/>
        </w:rPr>
        <w:t>по</w:t>
      </w:r>
      <w:r w:rsidR="006C680D" w:rsidRPr="00D337FA">
        <w:rPr>
          <w:szCs w:val="24"/>
        </w:rPr>
        <w:t xml:space="preserve"> </w:t>
      </w:r>
      <w:r w:rsidRPr="00D337FA">
        <w:rPr>
          <w:szCs w:val="24"/>
        </w:rPr>
        <w:t>мнению</w:t>
      </w:r>
      <w:r w:rsidR="006C680D" w:rsidRPr="00D337FA">
        <w:rPr>
          <w:szCs w:val="24"/>
        </w:rPr>
        <w:t xml:space="preserve"> </w:t>
      </w:r>
      <w:r w:rsidRPr="00D337FA">
        <w:rPr>
          <w:szCs w:val="24"/>
        </w:rPr>
        <w:t>М.Ф.</w:t>
      </w:r>
      <w:r w:rsidR="006C680D" w:rsidRPr="00D337FA">
        <w:rPr>
          <w:szCs w:val="24"/>
        </w:rPr>
        <w:t xml:space="preserve"> </w:t>
      </w:r>
      <w:r w:rsidRPr="00D337FA">
        <w:rPr>
          <w:szCs w:val="24"/>
        </w:rPr>
        <w:t>Тяпкина,</w:t>
      </w:r>
      <w:r w:rsidR="006C680D" w:rsidRPr="00D337FA">
        <w:rPr>
          <w:szCs w:val="24"/>
        </w:rPr>
        <w:t xml:space="preserve"> </w:t>
      </w:r>
      <w:r w:rsidRPr="00D337FA">
        <w:rPr>
          <w:szCs w:val="24"/>
        </w:rPr>
        <w:t>Н.М.</w:t>
      </w:r>
      <w:r w:rsidR="006C680D" w:rsidRPr="00D337FA">
        <w:rPr>
          <w:szCs w:val="24"/>
        </w:rPr>
        <w:t xml:space="preserve"> </w:t>
      </w:r>
      <w:r w:rsidRPr="00D337FA">
        <w:rPr>
          <w:szCs w:val="24"/>
        </w:rPr>
        <w:t>Муратовой</w:t>
      </w:r>
      <w:r w:rsidR="006C680D" w:rsidRPr="00D337FA">
        <w:rPr>
          <w:szCs w:val="24"/>
        </w:rPr>
        <w:t xml:space="preserve"> </w:t>
      </w:r>
      <w:r w:rsidRPr="00D337FA">
        <w:rPr>
          <w:szCs w:val="24"/>
        </w:rPr>
        <w:t>основная</w:t>
      </w:r>
      <w:r w:rsidR="006C680D" w:rsidRPr="00D337FA">
        <w:rPr>
          <w:szCs w:val="24"/>
        </w:rPr>
        <w:t xml:space="preserve"> </w:t>
      </w:r>
      <w:r w:rsidRPr="00D337FA">
        <w:rPr>
          <w:szCs w:val="24"/>
        </w:rPr>
        <w:t>цель</w:t>
      </w:r>
      <w:r w:rsidR="006C680D" w:rsidRPr="00D337FA">
        <w:rPr>
          <w:szCs w:val="24"/>
        </w:rPr>
        <w:t xml:space="preserve"> </w:t>
      </w:r>
      <w:r w:rsidRPr="00D337FA">
        <w:rPr>
          <w:szCs w:val="24"/>
        </w:rPr>
        <w:t>такого</w:t>
      </w:r>
      <w:r w:rsidR="006C680D" w:rsidRPr="00D337FA">
        <w:rPr>
          <w:szCs w:val="24"/>
        </w:rPr>
        <w:t xml:space="preserve"> </w:t>
      </w:r>
      <w:r w:rsidRPr="00D337FA">
        <w:rPr>
          <w:szCs w:val="24"/>
        </w:rPr>
        <w:t>вида</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стимулирование</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повышения</w:t>
      </w:r>
      <w:r w:rsidR="006C680D" w:rsidRPr="00D337FA">
        <w:rPr>
          <w:szCs w:val="24"/>
        </w:rPr>
        <w:t xml:space="preserve"> </w:t>
      </w:r>
      <w:r w:rsidRPr="00D337FA">
        <w:rPr>
          <w:szCs w:val="24"/>
        </w:rPr>
        <w:t>конкурентоспособности,</w:t>
      </w:r>
      <w:r w:rsidR="006C680D" w:rsidRPr="00D337FA">
        <w:rPr>
          <w:szCs w:val="24"/>
        </w:rPr>
        <w:t xml:space="preserve"> </w:t>
      </w:r>
      <w:r w:rsidRPr="00D337FA">
        <w:rPr>
          <w:szCs w:val="24"/>
        </w:rPr>
        <w:t>создание</w:t>
      </w:r>
      <w:r w:rsidR="006C680D" w:rsidRPr="00D337FA">
        <w:rPr>
          <w:szCs w:val="24"/>
        </w:rPr>
        <w:t xml:space="preserve"> </w:t>
      </w:r>
      <w:r w:rsidRPr="00D337FA">
        <w:rPr>
          <w:szCs w:val="24"/>
        </w:rPr>
        <w:t>рабочих</w:t>
      </w:r>
      <w:r w:rsidR="006C680D" w:rsidRPr="00D337FA">
        <w:rPr>
          <w:szCs w:val="24"/>
        </w:rPr>
        <w:t xml:space="preserve"> </w:t>
      </w:r>
      <w:r w:rsidRPr="00D337FA">
        <w:rPr>
          <w:szCs w:val="24"/>
        </w:rPr>
        <w:t>мест</w:t>
      </w:r>
      <w:r w:rsidR="006C680D" w:rsidRPr="00D337FA">
        <w:rPr>
          <w:szCs w:val="24"/>
        </w:rPr>
        <w:t xml:space="preserve"> </w:t>
      </w:r>
      <w:r w:rsidRPr="00D337FA">
        <w:rPr>
          <w:szCs w:val="24"/>
        </w:rPr>
        <w:t>и</w:t>
      </w:r>
      <w:r w:rsidR="006C680D" w:rsidRPr="00D337FA">
        <w:rPr>
          <w:szCs w:val="24"/>
        </w:rPr>
        <w:t xml:space="preserve"> </w:t>
      </w:r>
      <w:r w:rsidRPr="00D337FA">
        <w:rPr>
          <w:szCs w:val="24"/>
        </w:rPr>
        <w:t>рост</w:t>
      </w:r>
      <w:r w:rsidR="006C680D" w:rsidRPr="00D337FA">
        <w:rPr>
          <w:szCs w:val="24"/>
        </w:rPr>
        <w:t xml:space="preserve"> </w:t>
      </w:r>
      <w:r w:rsidRPr="00D337FA">
        <w:rPr>
          <w:szCs w:val="24"/>
        </w:rPr>
        <w:t>ВВП</w:t>
      </w:r>
      <w:r w:rsidR="006C680D" w:rsidRPr="00D337FA">
        <w:rPr>
          <w:szCs w:val="24"/>
        </w:rPr>
        <w:t xml:space="preserve"> </w:t>
      </w:r>
      <w:r w:rsidRPr="00D337FA">
        <w:rPr>
          <w:szCs w:val="24"/>
        </w:rPr>
        <w:t>[2].</w:t>
      </w:r>
      <w:r w:rsidR="006C680D" w:rsidRPr="00D337FA">
        <w:rPr>
          <w:szCs w:val="24"/>
        </w:rPr>
        <w:t xml:space="preserve"> </w:t>
      </w:r>
      <w:r w:rsidRPr="00D337FA">
        <w:rPr>
          <w:szCs w:val="24"/>
        </w:rPr>
        <w:t>Основными</w:t>
      </w:r>
      <w:r w:rsidR="006C680D" w:rsidRPr="00D337FA">
        <w:rPr>
          <w:szCs w:val="24"/>
        </w:rPr>
        <w:t xml:space="preserve"> </w:t>
      </w:r>
      <w:r w:rsidRPr="00D337FA">
        <w:rPr>
          <w:szCs w:val="24"/>
        </w:rPr>
        <w:t>инструментами</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выступают</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и</w:t>
      </w:r>
      <w:r w:rsidR="006C680D" w:rsidRPr="00D337FA">
        <w:rPr>
          <w:szCs w:val="24"/>
        </w:rPr>
        <w:t xml:space="preserve"> </w:t>
      </w:r>
      <w:r w:rsidRPr="00D337FA">
        <w:rPr>
          <w:szCs w:val="24"/>
        </w:rPr>
        <w:t>меры</w:t>
      </w:r>
      <w:r w:rsidR="006C680D" w:rsidRPr="00D337FA">
        <w:rPr>
          <w:szCs w:val="24"/>
        </w:rPr>
        <w:t xml:space="preserve"> </w:t>
      </w:r>
      <w:r w:rsidRPr="00D337FA">
        <w:rPr>
          <w:szCs w:val="24"/>
        </w:rPr>
        <w:t>ориентированные,</w:t>
      </w:r>
      <w:r w:rsidR="006C680D" w:rsidRPr="00D337FA">
        <w:rPr>
          <w:szCs w:val="24"/>
        </w:rPr>
        <w:t xml:space="preserve"> </w:t>
      </w:r>
      <w:r w:rsidRPr="00D337FA">
        <w:rPr>
          <w:szCs w:val="24"/>
        </w:rPr>
        <w:t>как</w:t>
      </w:r>
      <w:r w:rsidR="006C680D" w:rsidRPr="00D337FA">
        <w:rPr>
          <w:szCs w:val="24"/>
        </w:rPr>
        <w:t xml:space="preserve"> </w:t>
      </w:r>
      <w:r w:rsidRPr="00D337FA">
        <w:rPr>
          <w:szCs w:val="24"/>
        </w:rPr>
        <w:t>на</w:t>
      </w:r>
      <w:r w:rsidR="006C680D" w:rsidRPr="00D337FA">
        <w:rPr>
          <w:szCs w:val="24"/>
        </w:rPr>
        <w:t xml:space="preserve"> </w:t>
      </w:r>
      <w:r w:rsidRPr="00D337FA">
        <w:rPr>
          <w:szCs w:val="24"/>
        </w:rPr>
        <w:t>малые</w:t>
      </w:r>
      <w:r w:rsidR="006C680D" w:rsidRPr="00D337FA">
        <w:rPr>
          <w:szCs w:val="24"/>
        </w:rPr>
        <w:t xml:space="preserve"> </w:t>
      </w:r>
      <w:r w:rsidRPr="00D337FA">
        <w:rPr>
          <w:szCs w:val="24"/>
        </w:rPr>
        <w:t>формы</w:t>
      </w:r>
      <w:r w:rsidR="006C680D" w:rsidRPr="00D337FA">
        <w:rPr>
          <w:szCs w:val="24"/>
        </w:rPr>
        <w:t xml:space="preserve"> </w:t>
      </w:r>
      <w:r w:rsidRPr="00D337FA">
        <w:rPr>
          <w:szCs w:val="24"/>
        </w:rPr>
        <w:t>предпринимательской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крупные</w:t>
      </w:r>
      <w:r w:rsidR="006C680D" w:rsidRPr="00D337FA">
        <w:rPr>
          <w:szCs w:val="24"/>
        </w:rPr>
        <w:t xml:space="preserve"> </w:t>
      </w:r>
      <w:r w:rsidRPr="00D337FA">
        <w:rPr>
          <w:szCs w:val="24"/>
        </w:rPr>
        <w:t>агрохолдинги,</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говорить</w:t>
      </w:r>
      <w:r w:rsidR="006C680D" w:rsidRPr="00D337FA">
        <w:rPr>
          <w:szCs w:val="24"/>
        </w:rPr>
        <w:t xml:space="preserve"> </w:t>
      </w:r>
      <w:r w:rsidRPr="00D337FA">
        <w:rPr>
          <w:szCs w:val="24"/>
        </w:rPr>
        <w:t>о</w:t>
      </w:r>
      <w:r w:rsidR="006C680D" w:rsidRPr="00D337FA">
        <w:rPr>
          <w:szCs w:val="24"/>
        </w:rPr>
        <w:t xml:space="preserve"> </w:t>
      </w:r>
      <w:r w:rsidRPr="00D337FA">
        <w:rPr>
          <w:szCs w:val="24"/>
        </w:rPr>
        <w:t>разнообразии</w:t>
      </w:r>
      <w:r w:rsidR="006C680D" w:rsidRPr="00D337FA">
        <w:rPr>
          <w:szCs w:val="24"/>
        </w:rPr>
        <w:t xml:space="preserve"> </w:t>
      </w:r>
      <w:r w:rsidRPr="00D337FA">
        <w:rPr>
          <w:szCs w:val="24"/>
        </w:rPr>
        <w:t>действующих</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для</w:t>
      </w:r>
      <w:r w:rsidR="006C680D" w:rsidRPr="00D337FA">
        <w:rPr>
          <w:szCs w:val="24"/>
        </w:rPr>
        <w:t xml:space="preserve"> </w:t>
      </w:r>
      <w:r w:rsidRPr="00D337FA">
        <w:rPr>
          <w:szCs w:val="24"/>
        </w:rPr>
        <w:t>его</w:t>
      </w:r>
      <w:r w:rsidR="006C680D" w:rsidRPr="00D337FA">
        <w:rPr>
          <w:szCs w:val="24"/>
        </w:rPr>
        <w:t xml:space="preserve"> </w:t>
      </w:r>
      <w:r w:rsidRPr="00D337FA">
        <w:rPr>
          <w:szCs w:val="24"/>
        </w:rPr>
        <w:t>дальнейшего</w:t>
      </w:r>
      <w:r w:rsidR="006C680D" w:rsidRPr="00D337FA">
        <w:rPr>
          <w:szCs w:val="24"/>
        </w:rPr>
        <w:t xml:space="preserve"> </w:t>
      </w:r>
      <w:r w:rsidRPr="00D337FA">
        <w:rPr>
          <w:szCs w:val="24"/>
        </w:rPr>
        <w:t>эффективного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требуется</w:t>
      </w:r>
      <w:r w:rsidR="006C680D" w:rsidRPr="00D337FA">
        <w:rPr>
          <w:szCs w:val="24"/>
        </w:rPr>
        <w:t xml:space="preserve"> </w:t>
      </w:r>
      <w:r w:rsidRPr="00D337FA">
        <w:rPr>
          <w:szCs w:val="24"/>
        </w:rPr>
        <w:t>дальнейшее</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внедрения</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и</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всей</w:t>
      </w:r>
      <w:r w:rsidR="006C680D" w:rsidRPr="00D337FA">
        <w:rPr>
          <w:szCs w:val="24"/>
        </w:rPr>
        <w:t xml:space="preserve"> </w:t>
      </w:r>
      <w:r w:rsidRPr="00D337FA">
        <w:rPr>
          <w:szCs w:val="24"/>
        </w:rPr>
        <w:t>необходимой</w:t>
      </w:r>
      <w:r w:rsidR="006C680D" w:rsidRPr="00D337FA">
        <w:rPr>
          <w:szCs w:val="24"/>
        </w:rPr>
        <w:t xml:space="preserve"> </w:t>
      </w:r>
      <w:r w:rsidRPr="00D337FA">
        <w:rPr>
          <w:szCs w:val="24"/>
        </w:rPr>
        <w:t>инфраструктуры.</w:t>
      </w:r>
    </w:p>
    <w:p w:rsidR="00CC397F" w:rsidRPr="00D337FA" w:rsidRDefault="00CC397F" w:rsidP="00544DD6">
      <w:pPr>
        <w:ind w:firstLine="284"/>
        <w:rPr>
          <w:szCs w:val="24"/>
        </w:rPr>
      </w:pPr>
      <w:r w:rsidRPr="00D337FA">
        <w:rPr>
          <w:szCs w:val="24"/>
        </w:rPr>
        <w:t>Развитие</w:t>
      </w:r>
      <w:r w:rsidR="006C680D" w:rsidRPr="00D337FA">
        <w:rPr>
          <w:szCs w:val="24"/>
        </w:rPr>
        <w:t xml:space="preserve"> </w:t>
      </w:r>
      <w:r w:rsidRPr="00D337FA">
        <w:rPr>
          <w:szCs w:val="24"/>
        </w:rPr>
        <w:t>механизмов</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основываться</w:t>
      </w:r>
      <w:r w:rsidR="006C680D" w:rsidRPr="00D337FA">
        <w:rPr>
          <w:szCs w:val="24"/>
        </w:rPr>
        <w:t xml:space="preserve"> </w:t>
      </w:r>
      <w:r w:rsidRPr="00D337FA">
        <w:rPr>
          <w:szCs w:val="24"/>
        </w:rPr>
        <w:t>на</w:t>
      </w:r>
      <w:r w:rsidR="006C680D" w:rsidRPr="00D337FA">
        <w:rPr>
          <w:szCs w:val="24"/>
        </w:rPr>
        <w:t xml:space="preserve"> </w:t>
      </w:r>
      <w:r w:rsidRPr="00D337FA">
        <w:rPr>
          <w:szCs w:val="24"/>
        </w:rPr>
        <w:t>принципах</w:t>
      </w:r>
      <w:r w:rsidR="006C680D" w:rsidRPr="00D337FA">
        <w:rPr>
          <w:szCs w:val="24"/>
        </w:rPr>
        <w:t xml:space="preserve"> </w:t>
      </w:r>
      <w:r w:rsidRPr="00D337FA">
        <w:rPr>
          <w:szCs w:val="24"/>
        </w:rPr>
        <w:t>системности,</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направленности,</w:t>
      </w:r>
      <w:r w:rsidR="006C680D" w:rsidRPr="00D337FA">
        <w:rPr>
          <w:szCs w:val="24"/>
        </w:rPr>
        <w:t xml:space="preserve"> </w:t>
      </w:r>
      <w:r w:rsidRPr="00D337FA">
        <w:rPr>
          <w:szCs w:val="24"/>
        </w:rPr>
        <w:t>научно-обоснованного</w:t>
      </w:r>
      <w:r w:rsidR="006C680D" w:rsidRPr="00D337FA">
        <w:rPr>
          <w:szCs w:val="24"/>
        </w:rPr>
        <w:t xml:space="preserve"> </w:t>
      </w:r>
      <w:r w:rsidRPr="00D337FA">
        <w:rPr>
          <w:szCs w:val="24"/>
        </w:rPr>
        <w:t>регулирования,</w:t>
      </w:r>
      <w:r w:rsidR="006C680D" w:rsidRPr="00D337FA">
        <w:rPr>
          <w:szCs w:val="24"/>
        </w:rPr>
        <w:t xml:space="preserve"> </w:t>
      </w:r>
      <w:r w:rsidRPr="00D337FA">
        <w:rPr>
          <w:szCs w:val="24"/>
        </w:rPr>
        <w:t>прозрачности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предсказуемости,</w:t>
      </w:r>
      <w:r w:rsidR="006C680D" w:rsidRPr="00D337FA">
        <w:rPr>
          <w:szCs w:val="24"/>
        </w:rPr>
        <w:t xml:space="preserve"> </w:t>
      </w:r>
      <w:r w:rsidRPr="00D337FA">
        <w:rPr>
          <w:szCs w:val="24"/>
        </w:rPr>
        <w:t>адресности,</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эффективности,</w:t>
      </w:r>
      <w:r w:rsidR="006C680D" w:rsidRPr="00D337FA">
        <w:rPr>
          <w:szCs w:val="24"/>
        </w:rPr>
        <w:t xml:space="preserve"> </w:t>
      </w:r>
      <w:r w:rsidRPr="00D337FA">
        <w:rPr>
          <w:szCs w:val="24"/>
        </w:rPr>
        <w:t>предполагающих</w:t>
      </w:r>
      <w:r w:rsidR="006C680D" w:rsidRPr="00D337FA">
        <w:rPr>
          <w:szCs w:val="24"/>
        </w:rPr>
        <w:t xml:space="preserve"> </w:t>
      </w:r>
      <w:r w:rsidRPr="00D337FA">
        <w:rPr>
          <w:szCs w:val="24"/>
        </w:rPr>
        <w:t>комплексный</w:t>
      </w:r>
      <w:r w:rsidR="006C680D" w:rsidRPr="00D337FA">
        <w:rPr>
          <w:szCs w:val="24"/>
        </w:rPr>
        <w:t xml:space="preserve"> </w:t>
      </w:r>
      <w:r w:rsidRPr="00D337FA">
        <w:rPr>
          <w:szCs w:val="24"/>
        </w:rPr>
        <w:t>подход</w:t>
      </w:r>
      <w:r w:rsidR="006C680D" w:rsidRPr="00D337FA">
        <w:rPr>
          <w:szCs w:val="24"/>
        </w:rPr>
        <w:t xml:space="preserve"> </w:t>
      </w:r>
      <w:r w:rsidRPr="00D337FA">
        <w:rPr>
          <w:szCs w:val="24"/>
        </w:rPr>
        <w:t>к</w:t>
      </w:r>
      <w:r w:rsidR="006C680D" w:rsidRPr="00D337FA">
        <w:rPr>
          <w:szCs w:val="24"/>
        </w:rPr>
        <w:t xml:space="preserve"> </w:t>
      </w:r>
      <w:r w:rsidRPr="00D337FA">
        <w:rPr>
          <w:szCs w:val="24"/>
        </w:rPr>
        <w:t>формированию</w:t>
      </w:r>
      <w:r w:rsidR="006C680D" w:rsidRPr="00D337FA">
        <w:rPr>
          <w:szCs w:val="24"/>
        </w:rPr>
        <w:t xml:space="preserve"> </w:t>
      </w:r>
      <w:r w:rsidRPr="00D337FA">
        <w:rPr>
          <w:szCs w:val="24"/>
        </w:rPr>
        <w:t>мер</w:t>
      </w:r>
      <w:r w:rsidR="006C680D" w:rsidRPr="00D337FA">
        <w:rPr>
          <w:szCs w:val="24"/>
        </w:rPr>
        <w:t xml:space="preserve"> </w:t>
      </w:r>
      <w:r w:rsidRPr="00D337FA">
        <w:rPr>
          <w:szCs w:val="24"/>
        </w:rPr>
        <w:t>стимулирования,</w:t>
      </w:r>
      <w:r w:rsidR="006C680D" w:rsidRPr="00D337FA">
        <w:rPr>
          <w:szCs w:val="24"/>
        </w:rPr>
        <w:t xml:space="preserve"> </w:t>
      </w:r>
      <w:r w:rsidRPr="00D337FA">
        <w:rPr>
          <w:szCs w:val="24"/>
        </w:rPr>
        <w:t>их</w:t>
      </w:r>
      <w:r w:rsidR="006C680D" w:rsidRPr="00D337FA">
        <w:rPr>
          <w:szCs w:val="24"/>
        </w:rPr>
        <w:t xml:space="preserve"> </w:t>
      </w:r>
      <w:r w:rsidRPr="00D337FA">
        <w:rPr>
          <w:szCs w:val="24"/>
        </w:rPr>
        <w:t>точечную</w:t>
      </w:r>
      <w:r w:rsidR="006C680D" w:rsidRPr="00D337FA">
        <w:rPr>
          <w:szCs w:val="24"/>
        </w:rPr>
        <w:t xml:space="preserve"> </w:t>
      </w:r>
      <w:r w:rsidRPr="00D337FA">
        <w:rPr>
          <w:szCs w:val="24"/>
        </w:rPr>
        <w:t>ориентацию</w:t>
      </w:r>
      <w:r w:rsidR="006C680D" w:rsidRPr="00D337FA">
        <w:rPr>
          <w:szCs w:val="24"/>
        </w:rPr>
        <w:t xml:space="preserve"> </w:t>
      </w:r>
      <w:r w:rsidRPr="00D337FA">
        <w:rPr>
          <w:szCs w:val="24"/>
        </w:rPr>
        <w:t>на</w:t>
      </w:r>
      <w:r w:rsidR="006C680D" w:rsidRPr="00D337FA">
        <w:rPr>
          <w:szCs w:val="24"/>
        </w:rPr>
        <w:t xml:space="preserve"> </w:t>
      </w:r>
      <w:r w:rsidRPr="00D337FA">
        <w:rPr>
          <w:szCs w:val="24"/>
        </w:rPr>
        <w:t>стратегически</w:t>
      </w:r>
      <w:r w:rsidR="006C680D" w:rsidRPr="00D337FA">
        <w:rPr>
          <w:szCs w:val="24"/>
        </w:rPr>
        <w:t xml:space="preserve"> </w:t>
      </w:r>
      <w:r w:rsidRPr="00D337FA">
        <w:rPr>
          <w:szCs w:val="24"/>
        </w:rPr>
        <w:t>значимые</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обязательную</w:t>
      </w:r>
      <w:r w:rsidR="006C680D" w:rsidRPr="00D337FA">
        <w:rPr>
          <w:szCs w:val="24"/>
        </w:rPr>
        <w:t xml:space="preserve"> </w:t>
      </w:r>
      <w:r w:rsidRPr="00D337FA">
        <w:rPr>
          <w:szCs w:val="24"/>
        </w:rPr>
        <w:t>оценку</w:t>
      </w:r>
      <w:r w:rsidR="006C680D" w:rsidRPr="00D337FA">
        <w:rPr>
          <w:szCs w:val="24"/>
        </w:rPr>
        <w:t xml:space="preserve"> </w:t>
      </w:r>
      <w:r w:rsidRPr="00D337FA">
        <w:rPr>
          <w:szCs w:val="24"/>
        </w:rPr>
        <w:t>результативности</w:t>
      </w:r>
      <w:r w:rsidR="006C680D" w:rsidRPr="00D337FA">
        <w:rPr>
          <w:szCs w:val="24"/>
        </w:rPr>
        <w:t xml:space="preserve"> </w:t>
      </w:r>
      <w:r w:rsidRPr="00D337FA">
        <w:rPr>
          <w:szCs w:val="24"/>
        </w:rPr>
        <w:t>применения.</w:t>
      </w:r>
      <w:r w:rsidR="006C680D" w:rsidRPr="00D337FA">
        <w:rPr>
          <w:szCs w:val="24"/>
        </w:rPr>
        <w:t xml:space="preserve"> </w:t>
      </w:r>
      <w:r w:rsidRPr="00D337FA">
        <w:rPr>
          <w:szCs w:val="24"/>
        </w:rPr>
        <w:t>Так,</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в</w:t>
      </w:r>
      <w:r w:rsidR="006C680D" w:rsidRPr="00D337FA">
        <w:rPr>
          <w:szCs w:val="24"/>
        </w:rPr>
        <w:t xml:space="preserve"> </w:t>
      </w:r>
      <w:r w:rsidRPr="00D337FA">
        <w:rPr>
          <w:szCs w:val="24"/>
        </w:rPr>
        <w:t>своей</w:t>
      </w:r>
      <w:r w:rsidR="006C680D" w:rsidRPr="00D337FA">
        <w:rPr>
          <w:szCs w:val="24"/>
        </w:rPr>
        <w:t xml:space="preserve"> </w:t>
      </w:r>
      <w:r w:rsidRPr="00D337FA">
        <w:rPr>
          <w:szCs w:val="24"/>
        </w:rPr>
        <w:t>работе</w:t>
      </w:r>
      <w:r w:rsidR="006C680D" w:rsidRPr="00D337FA">
        <w:rPr>
          <w:szCs w:val="24"/>
        </w:rPr>
        <w:t xml:space="preserve"> </w:t>
      </w:r>
      <w:r w:rsidRPr="00D337FA">
        <w:rPr>
          <w:szCs w:val="24"/>
        </w:rPr>
        <w:t>Т.В.</w:t>
      </w:r>
      <w:r w:rsidR="006C680D" w:rsidRPr="00D337FA">
        <w:rPr>
          <w:szCs w:val="24"/>
        </w:rPr>
        <w:t xml:space="preserve"> </w:t>
      </w:r>
      <w:r w:rsidRPr="00D337FA">
        <w:rPr>
          <w:szCs w:val="24"/>
        </w:rPr>
        <w:t>Галета,</w:t>
      </w:r>
      <w:r w:rsidR="006C680D" w:rsidRPr="00D337FA">
        <w:rPr>
          <w:szCs w:val="24"/>
        </w:rPr>
        <w:t xml:space="preserve"> </w:t>
      </w:r>
      <w:r w:rsidRPr="00D337FA">
        <w:rPr>
          <w:szCs w:val="24"/>
        </w:rPr>
        <w:t>Е.А.</w:t>
      </w:r>
      <w:r w:rsidR="006C680D" w:rsidRPr="00D337FA">
        <w:rPr>
          <w:szCs w:val="24"/>
        </w:rPr>
        <w:t xml:space="preserve"> </w:t>
      </w:r>
      <w:r w:rsidRPr="00D337FA">
        <w:rPr>
          <w:szCs w:val="24"/>
        </w:rPr>
        <w:t>Шумилина</w:t>
      </w:r>
      <w:r w:rsidR="006C680D" w:rsidRPr="00D337FA">
        <w:rPr>
          <w:szCs w:val="24"/>
        </w:rPr>
        <w:t xml:space="preserve"> </w:t>
      </w:r>
      <w:r w:rsidRPr="00D337FA">
        <w:rPr>
          <w:szCs w:val="24"/>
        </w:rPr>
        <w:t>приходят</w:t>
      </w:r>
      <w:r w:rsidR="006C680D" w:rsidRPr="00D337FA">
        <w:rPr>
          <w:szCs w:val="24"/>
        </w:rPr>
        <w:t xml:space="preserve"> </w:t>
      </w:r>
      <w:r w:rsidRPr="00D337FA">
        <w:rPr>
          <w:szCs w:val="24"/>
        </w:rPr>
        <w:t>к</w:t>
      </w:r>
      <w:r w:rsidR="006C680D" w:rsidRPr="00D337FA">
        <w:rPr>
          <w:szCs w:val="24"/>
        </w:rPr>
        <w:t xml:space="preserve"> </w:t>
      </w:r>
      <w:r w:rsidRPr="00D337FA">
        <w:rPr>
          <w:szCs w:val="24"/>
        </w:rPr>
        <w:t>заключению,</w:t>
      </w:r>
      <w:r w:rsidR="006C680D" w:rsidRPr="00D337FA">
        <w:rPr>
          <w:szCs w:val="24"/>
        </w:rPr>
        <w:t xml:space="preserve"> </w:t>
      </w:r>
      <w:r w:rsidRPr="00D337FA">
        <w:rPr>
          <w:szCs w:val="24"/>
        </w:rPr>
        <w:t>что</w:t>
      </w:r>
      <w:r w:rsidR="006C680D" w:rsidRPr="00D337FA">
        <w:rPr>
          <w:szCs w:val="24"/>
        </w:rPr>
        <w:t xml:space="preserve"> </w:t>
      </w:r>
      <w:r w:rsidRPr="00D337FA">
        <w:rPr>
          <w:szCs w:val="24"/>
        </w:rPr>
        <w:t>«эффективность</w:t>
      </w:r>
      <w:r w:rsidR="006C680D" w:rsidRPr="00D337FA">
        <w:rPr>
          <w:szCs w:val="24"/>
        </w:rPr>
        <w:t xml:space="preserve"> </w:t>
      </w:r>
      <w:r w:rsidRPr="00D337FA">
        <w:rPr>
          <w:szCs w:val="24"/>
        </w:rPr>
        <w:t>мер</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зависит</w:t>
      </w:r>
      <w:r w:rsidR="006C680D" w:rsidRPr="00D337FA">
        <w:rPr>
          <w:szCs w:val="24"/>
        </w:rPr>
        <w:t xml:space="preserve"> </w:t>
      </w:r>
      <w:r w:rsidRPr="00D337FA">
        <w:rPr>
          <w:szCs w:val="24"/>
        </w:rPr>
        <w:t>от</w:t>
      </w:r>
      <w:r w:rsidR="006C680D" w:rsidRPr="00D337FA">
        <w:rPr>
          <w:szCs w:val="24"/>
        </w:rPr>
        <w:t xml:space="preserve"> </w:t>
      </w:r>
      <w:r w:rsidRPr="00D337FA">
        <w:rPr>
          <w:szCs w:val="24"/>
        </w:rPr>
        <w:t>комплексного</w:t>
      </w:r>
      <w:r w:rsidR="006C680D" w:rsidRPr="00D337FA">
        <w:rPr>
          <w:szCs w:val="24"/>
        </w:rPr>
        <w:t xml:space="preserve"> </w:t>
      </w:r>
      <w:r w:rsidRPr="00D337FA">
        <w:rPr>
          <w:szCs w:val="24"/>
        </w:rPr>
        <w:t>сочетания</w:t>
      </w:r>
      <w:r w:rsidR="006C680D" w:rsidRPr="00D337FA">
        <w:rPr>
          <w:szCs w:val="24"/>
        </w:rPr>
        <w:t xml:space="preserve"> </w:t>
      </w:r>
      <w:r w:rsidRPr="00D337FA">
        <w:rPr>
          <w:szCs w:val="24"/>
        </w:rPr>
        <w:t>факторов:</w:t>
      </w:r>
      <w:r w:rsidR="006C680D" w:rsidRPr="00D337FA">
        <w:rPr>
          <w:szCs w:val="24"/>
        </w:rPr>
        <w:t xml:space="preserve"> </w:t>
      </w:r>
      <w:r w:rsidRPr="00D337FA">
        <w:rPr>
          <w:szCs w:val="24"/>
        </w:rPr>
        <w:t>управленческой</w:t>
      </w:r>
      <w:r w:rsidR="006C680D" w:rsidRPr="00D337FA">
        <w:rPr>
          <w:szCs w:val="24"/>
        </w:rPr>
        <w:t xml:space="preserve"> </w:t>
      </w:r>
      <w:r w:rsidRPr="00D337FA">
        <w:rPr>
          <w:szCs w:val="24"/>
        </w:rPr>
        <w:t>зрелости</w:t>
      </w:r>
      <w:r w:rsidR="006C680D" w:rsidRPr="00D337FA">
        <w:rPr>
          <w:szCs w:val="24"/>
        </w:rPr>
        <w:t xml:space="preserve"> </w:t>
      </w:r>
      <w:r w:rsidRPr="00D337FA">
        <w:rPr>
          <w:szCs w:val="24"/>
        </w:rPr>
        <w:t>региональных</w:t>
      </w:r>
      <w:r w:rsidR="006C680D" w:rsidRPr="00D337FA">
        <w:rPr>
          <w:szCs w:val="24"/>
        </w:rPr>
        <w:t xml:space="preserve"> </w:t>
      </w:r>
      <w:r w:rsidRPr="00D337FA">
        <w:rPr>
          <w:szCs w:val="24"/>
        </w:rPr>
        <w:t>органов</w:t>
      </w:r>
      <w:r w:rsidR="006C680D" w:rsidRPr="00D337FA">
        <w:rPr>
          <w:szCs w:val="24"/>
        </w:rPr>
        <w:t xml:space="preserve"> </w:t>
      </w:r>
      <w:r w:rsidRPr="00D337FA">
        <w:rPr>
          <w:szCs w:val="24"/>
        </w:rPr>
        <w:t>власти,</w:t>
      </w:r>
      <w:r w:rsidR="006C680D" w:rsidRPr="00D337FA">
        <w:rPr>
          <w:szCs w:val="24"/>
        </w:rPr>
        <w:t xml:space="preserve"> </w:t>
      </w:r>
      <w:r w:rsidRPr="00D337FA">
        <w:rPr>
          <w:szCs w:val="24"/>
        </w:rPr>
        <w:t>кооперации</w:t>
      </w:r>
      <w:r w:rsidR="006C680D" w:rsidRPr="00D337FA">
        <w:rPr>
          <w:szCs w:val="24"/>
        </w:rPr>
        <w:t xml:space="preserve"> </w:t>
      </w:r>
      <w:r w:rsidRPr="00D337FA">
        <w:rPr>
          <w:szCs w:val="24"/>
        </w:rPr>
        <w:t>с</w:t>
      </w:r>
      <w:r w:rsidR="006C680D" w:rsidRPr="00D337FA">
        <w:rPr>
          <w:szCs w:val="24"/>
        </w:rPr>
        <w:t xml:space="preserve"> </w:t>
      </w:r>
      <w:r w:rsidRPr="00D337FA">
        <w:rPr>
          <w:szCs w:val="24"/>
        </w:rPr>
        <w:t>бизнесом,</w:t>
      </w:r>
      <w:r w:rsidR="006C680D" w:rsidRPr="00D337FA">
        <w:rPr>
          <w:szCs w:val="24"/>
        </w:rPr>
        <w:t xml:space="preserve"> </w:t>
      </w:r>
      <w:r w:rsidRPr="00D337FA">
        <w:rPr>
          <w:szCs w:val="24"/>
        </w:rPr>
        <w:t>технологической</w:t>
      </w:r>
      <w:r w:rsidR="006C680D" w:rsidRPr="00D337FA">
        <w:rPr>
          <w:szCs w:val="24"/>
        </w:rPr>
        <w:t xml:space="preserve"> </w:t>
      </w:r>
      <w:r w:rsidRPr="00D337FA">
        <w:rPr>
          <w:szCs w:val="24"/>
        </w:rPr>
        <w:t>готовности</w:t>
      </w:r>
      <w:r w:rsidR="006C680D" w:rsidRPr="00D337FA">
        <w:rPr>
          <w:szCs w:val="24"/>
        </w:rPr>
        <w:t xml:space="preserve"> </w:t>
      </w:r>
      <w:r w:rsidRPr="00D337FA">
        <w:rPr>
          <w:szCs w:val="24"/>
        </w:rPr>
        <w:t>получателей</w:t>
      </w:r>
      <w:r w:rsidR="006C680D" w:rsidRPr="00D337FA">
        <w:rPr>
          <w:szCs w:val="24"/>
        </w:rPr>
        <w:t xml:space="preserve"> </w:t>
      </w:r>
      <w:r w:rsidRPr="00D337FA">
        <w:rPr>
          <w:szCs w:val="24"/>
        </w:rPr>
        <w:t>помощи,</w:t>
      </w:r>
      <w:r w:rsidR="006C680D" w:rsidRPr="00D337FA">
        <w:rPr>
          <w:szCs w:val="24"/>
        </w:rPr>
        <w:t xml:space="preserve"> </w:t>
      </w:r>
      <w:r w:rsidRPr="00D337FA">
        <w:rPr>
          <w:szCs w:val="24"/>
        </w:rPr>
        <w:t>качества</w:t>
      </w:r>
      <w:r w:rsidR="006C680D" w:rsidRPr="00D337FA">
        <w:rPr>
          <w:szCs w:val="24"/>
        </w:rPr>
        <w:t xml:space="preserve"> </w:t>
      </w:r>
      <w:r w:rsidRPr="00D337FA">
        <w:rPr>
          <w:szCs w:val="24"/>
        </w:rPr>
        <w:t>инфраструктуры</w:t>
      </w:r>
      <w:r w:rsidR="006C680D" w:rsidRPr="00D337FA">
        <w:rPr>
          <w:szCs w:val="24"/>
        </w:rPr>
        <w:t xml:space="preserve"> </w:t>
      </w:r>
      <w:r w:rsidRPr="00D337FA">
        <w:rPr>
          <w:szCs w:val="24"/>
        </w:rPr>
        <w:t>и</w:t>
      </w:r>
      <w:r w:rsidR="006C680D" w:rsidRPr="00D337FA">
        <w:rPr>
          <w:szCs w:val="24"/>
        </w:rPr>
        <w:t xml:space="preserve"> </w:t>
      </w:r>
      <w:r w:rsidRPr="00D337FA">
        <w:rPr>
          <w:szCs w:val="24"/>
        </w:rPr>
        <w:t>адаптации</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w:t>
      </w:r>
      <w:r w:rsidR="006C680D" w:rsidRPr="00D337FA">
        <w:rPr>
          <w:szCs w:val="24"/>
        </w:rPr>
        <w:t xml:space="preserve"> </w:t>
      </w:r>
      <w:r w:rsidRPr="00D337FA">
        <w:rPr>
          <w:szCs w:val="24"/>
        </w:rPr>
        <w:t>специфику</w:t>
      </w:r>
      <w:r w:rsidR="006C680D" w:rsidRPr="00D337FA">
        <w:rPr>
          <w:szCs w:val="24"/>
        </w:rPr>
        <w:t xml:space="preserve"> </w:t>
      </w:r>
      <w:r w:rsidRPr="00D337FA">
        <w:rPr>
          <w:szCs w:val="24"/>
        </w:rPr>
        <w:t>территории»</w:t>
      </w:r>
      <w:r w:rsidR="006C680D" w:rsidRPr="00D337FA">
        <w:rPr>
          <w:szCs w:val="24"/>
        </w:rPr>
        <w:t xml:space="preserve"> </w:t>
      </w:r>
      <w:r w:rsidRPr="00D337FA">
        <w:rPr>
          <w:szCs w:val="24"/>
        </w:rPr>
        <w:t>[3].</w:t>
      </w:r>
    </w:p>
    <w:p w:rsidR="00CC397F" w:rsidRPr="00D337FA" w:rsidRDefault="00CC397F" w:rsidP="00544DD6">
      <w:pPr>
        <w:ind w:firstLine="284"/>
        <w:rPr>
          <w:szCs w:val="24"/>
        </w:rPr>
      </w:pP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исследование</w:t>
      </w:r>
      <w:r w:rsidR="006C680D" w:rsidRPr="00D337FA">
        <w:rPr>
          <w:szCs w:val="24"/>
        </w:rPr>
        <w:t xml:space="preserve"> </w:t>
      </w:r>
      <w:r w:rsidRPr="00D337FA">
        <w:rPr>
          <w:szCs w:val="24"/>
        </w:rPr>
        <w:t>проблематики</w:t>
      </w:r>
      <w:r w:rsidR="006C680D" w:rsidRPr="00D337FA">
        <w:rPr>
          <w:szCs w:val="24"/>
        </w:rPr>
        <w:t xml:space="preserve"> </w:t>
      </w:r>
      <w:r w:rsidRPr="00D337FA">
        <w:rPr>
          <w:szCs w:val="24"/>
        </w:rPr>
        <w:t>эффективности</w:t>
      </w:r>
      <w:r w:rsidR="006C680D" w:rsidRPr="00D337FA">
        <w:rPr>
          <w:szCs w:val="24"/>
        </w:rPr>
        <w:t xml:space="preserve"> </w:t>
      </w:r>
      <w:r w:rsidRPr="00D337FA">
        <w:rPr>
          <w:szCs w:val="24"/>
        </w:rPr>
        <w:t>мер</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w:t>
      </w:r>
      <w:r w:rsidR="006C680D" w:rsidRPr="00D337FA">
        <w:rPr>
          <w:szCs w:val="24"/>
        </w:rPr>
        <w:t xml:space="preserve"> </w:t>
      </w:r>
      <w:r w:rsidRPr="00D337FA">
        <w:rPr>
          <w:szCs w:val="24"/>
        </w:rPr>
        <w:t>современных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не</w:t>
      </w:r>
      <w:r w:rsidR="006C680D" w:rsidRPr="00D337FA">
        <w:rPr>
          <w:szCs w:val="24"/>
        </w:rPr>
        <w:t xml:space="preserve"> </w:t>
      </w:r>
      <w:r w:rsidRPr="00D337FA">
        <w:rPr>
          <w:szCs w:val="24"/>
        </w:rPr>
        <w:t>просто</w:t>
      </w:r>
      <w:r w:rsidR="006C680D" w:rsidRPr="00D337FA">
        <w:rPr>
          <w:szCs w:val="24"/>
        </w:rPr>
        <w:t xml:space="preserve"> </w:t>
      </w:r>
      <w:r w:rsidRPr="00D337FA">
        <w:rPr>
          <w:szCs w:val="24"/>
        </w:rPr>
        <w:t>новомодным</w:t>
      </w:r>
      <w:r w:rsidR="006C680D" w:rsidRPr="00D337FA">
        <w:rPr>
          <w:szCs w:val="24"/>
        </w:rPr>
        <w:t xml:space="preserve"> </w:t>
      </w:r>
      <w:r w:rsidRPr="00D337FA">
        <w:rPr>
          <w:szCs w:val="24"/>
        </w:rPr>
        <w:t>трендом,</w:t>
      </w:r>
      <w:r w:rsidR="006C680D" w:rsidRPr="00D337FA">
        <w:rPr>
          <w:szCs w:val="24"/>
        </w:rPr>
        <w:t xml:space="preserve"> </w:t>
      </w:r>
      <w:r w:rsidRPr="00D337FA">
        <w:rPr>
          <w:szCs w:val="24"/>
        </w:rPr>
        <w:t>а</w:t>
      </w:r>
      <w:r w:rsidR="006C680D" w:rsidRPr="00D337FA">
        <w:rPr>
          <w:szCs w:val="24"/>
        </w:rPr>
        <w:t xml:space="preserve"> </w:t>
      </w:r>
      <w:r w:rsidRPr="00D337FA">
        <w:rPr>
          <w:szCs w:val="24"/>
        </w:rPr>
        <w:t>не</w:t>
      </w:r>
      <w:r w:rsidRPr="00D337FA">
        <w:rPr>
          <w:szCs w:val="24"/>
        </w:rPr>
        <w:lastRenderedPageBreak/>
        <w:t>обходимым</w:t>
      </w:r>
      <w:r w:rsidR="006C680D" w:rsidRPr="00D337FA">
        <w:rPr>
          <w:szCs w:val="24"/>
        </w:rPr>
        <w:t xml:space="preserve"> </w:t>
      </w:r>
      <w:r w:rsidRPr="00D337FA">
        <w:rPr>
          <w:szCs w:val="24"/>
        </w:rPr>
        <w:t>шагов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дальнейшей</w:t>
      </w:r>
      <w:r w:rsidR="006C680D" w:rsidRPr="00D337FA">
        <w:rPr>
          <w:szCs w:val="24"/>
        </w:rPr>
        <w:t xml:space="preserve"> </w:t>
      </w:r>
      <w:r w:rsidRPr="00D337FA">
        <w:rPr>
          <w:szCs w:val="24"/>
        </w:rPr>
        <w:t>модернизации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укрепления</w:t>
      </w:r>
      <w:r w:rsidR="006C680D" w:rsidRPr="00D337FA">
        <w:rPr>
          <w:szCs w:val="24"/>
        </w:rPr>
        <w:t xml:space="preserve"> </w:t>
      </w:r>
      <w:r w:rsidRPr="00D337FA">
        <w:rPr>
          <w:szCs w:val="24"/>
        </w:rPr>
        <w:t>продовольственной</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Формирующаяся</w:t>
      </w:r>
      <w:r w:rsidR="006C680D" w:rsidRPr="00D337FA">
        <w:rPr>
          <w:szCs w:val="24"/>
        </w:rPr>
        <w:t xml:space="preserve"> </w:t>
      </w:r>
      <w:r w:rsidRPr="00D337FA">
        <w:rPr>
          <w:szCs w:val="24"/>
        </w:rPr>
        <w:t>сегодня</w:t>
      </w:r>
      <w:r w:rsidR="006C680D" w:rsidRPr="00D337FA">
        <w:rPr>
          <w:szCs w:val="24"/>
        </w:rPr>
        <w:t xml:space="preserve"> </w:t>
      </w:r>
      <w:r w:rsidRPr="00D337FA">
        <w:rPr>
          <w:szCs w:val="24"/>
        </w:rPr>
        <w:t>архитектура</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быть</w:t>
      </w:r>
      <w:r w:rsidR="006C680D" w:rsidRPr="00D337FA">
        <w:rPr>
          <w:szCs w:val="24"/>
        </w:rPr>
        <w:t xml:space="preserve"> </w:t>
      </w:r>
      <w:r w:rsidRPr="00D337FA">
        <w:rPr>
          <w:szCs w:val="24"/>
        </w:rPr>
        <w:t>ориентирована</w:t>
      </w:r>
      <w:r w:rsidR="006C680D" w:rsidRPr="00D337FA">
        <w:rPr>
          <w:szCs w:val="24"/>
        </w:rPr>
        <w:t xml:space="preserve"> </w:t>
      </w:r>
      <w:r w:rsidRPr="00D337FA">
        <w:rPr>
          <w:szCs w:val="24"/>
        </w:rPr>
        <w:t>на</w:t>
      </w:r>
      <w:r w:rsidR="006C680D" w:rsidRPr="00D337FA">
        <w:rPr>
          <w:szCs w:val="24"/>
        </w:rPr>
        <w:t xml:space="preserve"> </w:t>
      </w:r>
      <w:r w:rsidRPr="00D337FA">
        <w:rPr>
          <w:szCs w:val="24"/>
        </w:rPr>
        <w:t>долгосрочное</w:t>
      </w:r>
      <w:r w:rsidR="006C680D" w:rsidRPr="00D337FA">
        <w:rPr>
          <w:szCs w:val="24"/>
        </w:rPr>
        <w:t xml:space="preserve"> </w:t>
      </w:r>
      <w:r w:rsidRPr="00D337FA">
        <w:rPr>
          <w:szCs w:val="24"/>
        </w:rPr>
        <w:t>устойчивое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позволяющее</w:t>
      </w:r>
      <w:r w:rsidR="006C680D" w:rsidRPr="00D337FA">
        <w:rPr>
          <w:szCs w:val="24"/>
        </w:rPr>
        <w:t xml:space="preserve"> </w:t>
      </w:r>
      <w:r w:rsidRPr="00D337FA">
        <w:rPr>
          <w:szCs w:val="24"/>
        </w:rPr>
        <w:t>решать</w:t>
      </w:r>
      <w:r w:rsidR="006C680D" w:rsidRPr="00D337FA">
        <w:rPr>
          <w:szCs w:val="24"/>
        </w:rPr>
        <w:t xml:space="preserve"> </w:t>
      </w:r>
      <w:r w:rsidRPr="00D337FA">
        <w:rPr>
          <w:szCs w:val="24"/>
        </w:rPr>
        <w:t>все</w:t>
      </w:r>
      <w:r w:rsidR="006C680D" w:rsidRPr="00D337FA">
        <w:rPr>
          <w:szCs w:val="24"/>
        </w:rPr>
        <w:t xml:space="preserve"> </w:t>
      </w:r>
      <w:r w:rsidRPr="00D337FA">
        <w:rPr>
          <w:szCs w:val="24"/>
        </w:rPr>
        <w:t>стоящие</w:t>
      </w:r>
      <w:r w:rsidR="006C680D" w:rsidRPr="00D337FA">
        <w:rPr>
          <w:szCs w:val="24"/>
        </w:rPr>
        <w:t xml:space="preserve"> </w:t>
      </w:r>
      <w:r w:rsidRPr="00D337FA">
        <w:rPr>
          <w:szCs w:val="24"/>
        </w:rPr>
        <w:t>перед</w:t>
      </w:r>
      <w:r w:rsidR="006C680D" w:rsidRPr="00D337FA">
        <w:rPr>
          <w:szCs w:val="24"/>
        </w:rPr>
        <w:t xml:space="preserve"> </w:t>
      </w:r>
      <w:r w:rsidRPr="00D337FA">
        <w:rPr>
          <w:szCs w:val="24"/>
        </w:rPr>
        <w:t>государством</w:t>
      </w:r>
      <w:r w:rsidR="006C680D" w:rsidRPr="00D337FA">
        <w:rPr>
          <w:szCs w:val="24"/>
        </w:rPr>
        <w:t xml:space="preserve"> </w:t>
      </w:r>
      <w:r w:rsidRPr="00D337FA">
        <w:rPr>
          <w:szCs w:val="24"/>
        </w:rPr>
        <w:t>занятия,</w:t>
      </w:r>
      <w:r w:rsidR="006C680D" w:rsidRPr="00D337FA">
        <w:rPr>
          <w:szCs w:val="24"/>
        </w:rPr>
        <w:t xml:space="preserve"> </w:t>
      </w:r>
      <w:r w:rsidRPr="00D337FA">
        <w:rPr>
          <w:szCs w:val="24"/>
        </w:rPr>
        <w:t>как</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продовольственного</w:t>
      </w:r>
      <w:r w:rsidR="006C680D" w:rsidRPr="00D337FA">
        <w:rPr>
          <w:szCs w:val="24"/>
        </w:rPr>
        <w:t xml:space="preserve"> </w:t>
      </w:r>
      <w:r w:rsidRPr="00D337FA">
        <w:rPr>
          <w:szCs w:val="24"/>
        </w:rPr>
        <w:t>обеспечения</w:t>
      </w:r>
      <w:r w:rsidR="006C680D" w:rsidRPr="00D337FA">
        <w:rPr>
          <w:szCs w:val="24"/>
        </w:rPr>
        <w:t xml:space="preserve"> </w:t>
      </w:r>
      <w:r w:rsidRPr="00D337FA">
        <w:rPr>
          <w:szCs w:val="24"/>
        </w:rPr>
        <w:t>граждан,</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улучшения</w:t>
      </w:r>
      <w:r w:rsidR="006C680D" w:rsidRPr="00D337FA">
        <w:rPr>
          <w:szCs w:val="24"/>
        </w:rPr>
        <w:t xml:space="preserve"> </w:t>
      </w:r>
      <w:r w:rsidRPr="00D337FA">
        <w:rPr>
          <w:szCs w:val="24"/>
        </w:rPr>
        <w:t>качества</w:t>
      </w:r>
      <w:r w:rsidR="006C680D" w:rsidRPr="00D337FA">
        <w:rPr>
          <w:szCs w:val="24"/>
        </w:rPr>
        <w:t xml:space="preserve"> </w:t>
      </w:r>
      <w:r w:rsidRPr="00D337FA">
        <w:rPr>
          <w:szCs w:val="24"/>
        </w:rPr>
        <w:t>жизни</w:t>
      </w:r>
      <w:r w:rsidR="006C680D" w:rsidRPr="00D337FA">
        <w:rPr>
          <w:szCs w:val="24"/>
        </w:rPr>
        <w:t xml:space="preserve"> </w:t>
      </w:r>
      <w:r w:rsidRPr="00D337FA">
        <w:rPr>
          <w:szCs w:val="24"/>
        </w:rPr>
        <w:t>в</w:t>
      </w:r>
      <w:r w:rsidR="006C680D" w:rsidRPr="00D337FA">
        <w:rPr>
          <w:szCs w:val="24"/>
        </w:rPr>
        <w:t xml:space="preserve"> </w:t>
      </w:r>
      <w:r w:rsidRPr="00D337FA">
        <w:rPr>
          <w:szCs w:val="24"/>
        </w:rPr>
        <w:t>сельских</w:t>
      </w:r>
      <w:r w:rsidR="006C680D" w:rsidRPr="00D337FA">
        <w:rPr>
          <w:szCs w:val="24"/>
        </w:rPr>
        <w:t xml:space="preserve"> </w:t>
      </w:r>
      <w:r w:rsidRPr="00D337FA">
        <w:rPr>
          <w:szCs w:val="24"/>
        </w:rPr>
        <w:t>муниципальных</w:t>
      </w:r>
      <w:r w:rsidR="006C680D" w:rsidRPr="00D337FA">
        <w:rPr>
          <w:szCs w:val="24"/>
        </w:rPr>
        <w:t xml:space="preserve"> </w:t>
      </w:r>
      <w:r w:rsidRPr="00D337FA">
        <w:rPr>
          <w:szCs w:val="24"/>
        </w:rPr>
        <w:t>образованиях.</w:t>
      </w:r>
    </w:p>
    <w:p w:rsidR="00CC397F" w:rsidRPr="00D337FA" w:rsidRDefault="00CC397F" w:rsidP="00544DD6">
      <w:pPr>
        <w:ind w:left="360" w:firstLine="284"/>
        <w:rPr>
          <w:szCs w:val="24"/>
        </w:rPr>
      </w:pPr>
    </w:p>
    <w:p w:rsidR="00CC397F" w:rsidRPr="00D337FA" w:rsidRDefault="00CC397F" w:rsidP="00544DD6">
      <w:pPr>
        <w:ind w:firstLine="284"/>
        <w:jc w:val="left"/>
        <w:rPr>
          <w:b/>
          <w:szCs w:val="24"/>
        </w:rPr>
      </w:pPr>
      <w:r w:rsidRPr="00D337FA">
        <w:rPr>
          <w:b/>
          <w:szCs w:val="24"/>
        </w:rPr>
        <w:t>Результаты</w:t>
      </w:r>
      <w:r w:rsidR="006C680D" w:rsidRPr="00D337FA">
        <w:rPr>
          <w:b/>
          <w:szCs w:val="24"/>
        </w:rPr>
        <w:t xml:space="preserve"> </w:t>
      </w:r>
      <w:r w:rsidRPr="00D337FA">
        <w:rPr>
          <w:b/>
          <w:szCs w:val="24"/>
        </w:rPr>
        <w:t>и</w:t>
      </w:r>
      <w:r w:rsidR="006C680D" w:rsidRPr="00D337FA">
        <w:rPr>
          <w:b/>
          <w:szCs w:val="24"/>
        </w:rPr>
        <w:t xml:space="preserve"> </w:t>
      </w:r>
      <w:r w:rsidRPr="00D337FA">
        <w:rPr>
          <w:b/>
          <w:szCs w:val="24"/>
        </w:rPr>
        <w:t>обсуждение</w:t>
      </w:r>
    </w:p>
    <w:p w:rsidR="00CC397F" w:rsidRPr="00D337FA" w:rsidRDefault="00CC397F" w:rsidP="00544DD6">
      <w:pPr>
        <w:ind w:firstLine="284"/>
        <w:rPr>
          <w:szCs w:val="24"/>
          <w:shd w:val="clear" w:color="auto" w:fill="FFFFFF"/>
        </w:rPr>
      </w:pPr>
      <w:r w:rsidRPr="00D337FA">
        <w:rPr>
          <w:szCs w:val="24"/>
        </w:rPr>
        <w:t>Мировая</w:t>
      </w:r>
      <w:r w:rsidR="006C680D" w:rsidRPr="00D337FA">
        <w:rPr>
          <w:szCs w:val="24"/>
        </w:rPr>
        <w:t xml:space="preserve"> </w:t>
      </w:r>
      <w:r w:rsidRPr="00D337FA">
        <w:rPr>
          <w:szCs w:val="24"/>
        </w:rPr>
        <w:t>практика</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любого</w:t>
      </w:r>
      <w:r w:rsidR="006C680D" w:rsidRPr="00D337FA">
        <w:rPr>
          <w:szCs w:val="24"/>
        </w:rPr>
        <w:t xml:space="preserve"> </w:t>
      </w:r>
      <w:r w:rsidRPr="00D337FA">
        <w:rPr>
          <w:szCs w:val="24"/>
        </w:rPr>
        <w:t>государства</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подтверждением</w:t>
      </w:r>
      <w:r w:rsidR="006C680D" w:rsidRPr="00D337FA">
        <w:rPr>
          <w:szCs w:val="24"/>
        </w:rPr>
        <w:t xml:space="preserve"> </w:t>
      </w:r>
      <w:r w:rsidRPr="00D337FA">
        <w:rPr>
          <w:szCs w:val="24"/>
        </w:rPr>
        <w:t>важности</w:t>
      </w:r>
      <w:r w:rsidR="006C680D" w:rsidRPr="00D337FA">
        <w:rPr>
          <w:szCs w:val="24"/>
        </w:rPr>
        <w:t xml:space="preserve"> </w:t>
      </w:r>
      <w:r w:rsidRPr="00D337FA">
        <w:rPr>
          <w:szCs w:val="24"/>
        </w:rPr>
        <w:t>регулирования</w:t>
      </w:r>
      <w:r w:rsidR="006C680D" w:rsidRPr="00D337FA">
        <w:rPr>
          <w:szCs w:val="24"/>
        </w:rPr>
        <w:t xml:space="preserve"> </w:t>
      </w:r>
      <w:r w:rsidRPr="00D337FA">
        <w:rPr>
          <w:szCs w:val="24"/>
        </w:rPr>
        <w:t>вектора</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как</w:t>
      </w:r>
      <w:r w:rsidR="006C680D" w:rsidRPr="00D337FA">
        <w:rPr>
          <w:szCs w:val="24"/>
        </w:rPr>
        <w:t xml:space="preserve"> </w:t>
      </w:r>
      <w:r w:rsidRPr="00D337FA">
        <w:rPr>
          <w:szCs w:val="24"/>
        </w:rPr>
        <w:t>одной</w:t>
      </w:r>
      <w:r w:rsidR="006C680D" w:rsidRPr="00D337FA">
        <w:rPr>
          <w:szCs w:val="24"/>
        </w:rPr>
        <w:t xml:space="preserve"> </w:t>
      </w:r>
      <w:r w:rsidRPr="00D337FA">
        <w:rPr>
          <w:szCs w:val="24"/>
        </w:rPr>
        <w:t>из</w:t>
      </w:r>
      <w:r w:rsidR="006C680D" w:rsidRPr="00D337FA">
        <w:rPr>
          <w:szCs w:val="24"/>
        </w:rPr>
        <w:t xml:space="preserve"> </w:t>
      </w:r>
      <w:r w:rsidRPr="00D337FA">
        <w:rPr>
          <w:szCs w:val="24"/>
        </w:rPr>
        <w:t>важнейших</w:t>
      </w:r>
      <w:r w:rsidR="006C680D" w:rsidRPr="00D337FA">
        <w:rPr>
          <w:szCs w:val="24"/>
        </w:rPr>
        <w:t xml:space="preserve"> </w:t>
      </w:r>
      <w:r w:rsidRPr="00D337FA">
        <w:rPr>
          <w:szCs w:val="24"/>
        </w:rPr>
        <w:t>отраслей</w:t>
      </w:r>
      <w:r w:rsidR="006C680D" w:rsidRPr="00D337FA">
        <w:rPr>
          <w:szCs w:val="24"/>
        </w:rPr>
        <w:t xml:space="preserve"> </w:t>
      </w:r>
      <w:r w:rsidRPr="00D337FA">
        <w:rPr>
          <w:szCs w:val="24"/>
        </w:rPr>
        <w:t>экономики.</w:t>
      </w:r>
      <w:r w:rsidR="006C680D" w:rsidRPr="00D337FA">
        <w:rPr>
          <w:szCs w:val="24"/>
        </w:rPr>
        <w:t xml:space="preserve"> </w:t>
      </w:r>
      <w:r w:rsidRPr="00D337FA">
        <w:rPr>
          <w:szCs w:val="24"/>
        </w:rPr>
        <w:t>Правительство</w:t>
      </w:r>
      <w:r w:rsidR="006C680D" w:rsidRPr="00D337FA">
        <w:rPr>
          <w:szCs w:val="24"/>
        </w:rPr>
        <w:t xml:space="preserve"> </w:t>
      </w:r>
      <w:r w:rsidRPr="00D337FA">
        <w:rPr>
          <w:szCs w:val="24"/>
        </w:rPr>
        <w:t>отмечает</w:t>
      </w:r>
      <w:r w:rsidR="006C680D" w:rsidRPr="00D337FA">
        <w:rPr>
          <w:szCs w:val="24"/>
        </w:rPr>
        <w:t xml:space="preserve"> </w:t>
      </w:r>
      <w:r w:rsidRPr="00D337FA">
        <w:rPr>
          <w:szCs w:val="24"/>
        </w:rPr>
        <w:t>приоритетность</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АПК</w:t>
      </w:r>
      <w:r w:rsidR="006C680D" w:rsidRPr="00D337FA">
        <w:rPr>
          <w:szCs w:val="24"/>
        </w:rPr>
        <w:t xml:space="preserve"> </w:t>
      </w:r>
      <w:r w:rsidRPr="00D337FA">
        <w:rPr>
          <w:szCs w:val="24"/>
        </w:rPr>
        <w:t>нашей</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что</w:t>
      </w:r>
      <w:r w:rsidR="006C680D" w:rsidRPr="00D337FA">
        <w:rPr>
          <w:szCs w:val="24"/>
        </w:rPr>
        <w:t xml:space="preserve"> </w:t>
      </w:r>
      <w:r w:rsidRPr="00D337FA">
        <w:rPr>
          <w:szCs w:val="24"/>
        </w:rPr>
        <w:t>находит</w:t>
      </w:r>
      <w:r w:rsidR="006C680D" w:rsidRPr="00D337FA">
        <w:rPr>
          <w:szCs w:val="24"/>
        </w:rPr>
        <w:t xml:space="preserve"> </w:t>
      </w:r>
      <w:r w:rsidRPr="00D337FA">
        <w:rPr>
          <w:szCs w:val="24"/>
        </w:rPr>
        <w:t>отражение</w:t>
      </w:r>
      <w:r w:rsidR="006C680D" w:rsidRPr="00D337FA">
        <w:rPr>
          <w:szCs w:val="24"/>
        </w:rPr>
        <w:t xml:space="preserve"> </w:t>
      </w:r>
      <w:r w:rsidRPr="00D337FA">
        <w:rPr>
          <w:szCs w:val="24"/>
        </w:rPr>
        <w:t>в</w:t>
      </w:r>
      <w:r w:rsidR="006C680D" w:rsidRPr="00D337FA">
        <w:rPr>
          <w:szCs w:val="24"/>
        </w:rPr>
        <w:t xml:space="preserve"> </w:t>
      </w:r>
      <w:r w:rsidRPr="00D337FA">
        <w:rPr>
          <w:szCs w:val="24"/>
        </w:rPr>
        <w:t>докладах,</w:t>
      </w:r>
      <w:r w:rsidR="006C680D" w:rsidRPr="00D337FA">
        <w:rPr>
          <w:szCs w:val="24"/>
        </w:rPr>
        <w:t xml:space="preserve"> </w:t>
      </w:r>
      <w:r w:rsidRPr="00D337FA">
        <w:rPr>
          <w:szCs w:val="24"/>
        </w:rPr>
        <w:t>семинарах,</w:t>
      </w:r>
      <w:r w:rsidR="006C680D" w:rsidRPr="00D337FA">
        <w:rPr>
          <w:szCs w:val="24"/>
        </w:rPr>
        <w:t xml:space="preserve"> </w:t>
      </w:r>
      <w:r w:rsidRPr="00D337FA">
        <w:rPr>
          <w:szCs w:val="24"/>
        </w:rPr>
        <w:t>встречах,</w:t>
      </w:r>
      <w:r w:rsidR="006C680D" w:rsidRPr="00D337FA">
        <w:rPr>
          <w:szCs w:val="24"/>
        </w:rPr>
        <w:t xml:space="preserve"> </w:t>
      </w:r>
      <w:r w:rsidRPr="00D337FA">
        <w:rPr>
          <w:szCs w:val="24"/>
        </w:rPr>
        <w:t>мероприятиях</w:t>
      </w:r>
      <w:r w:rsidR="006C680D" w:rsidRPr="00D337FA">
        <w:rPr>
          <w:szCs w:val="24"/>
        </w:rPr>
        <w:t xml:space="preserve"> </w:t>
      </w:r>
      <w:r w:rsidRPr="00D337FA">
        <w:rPr>
          <w:szCs w:val="24"/>
        </w:rPr>
        <w:t>и</w:t>
      </w:r>
      <w:r w:rsidR="006C680D" w:rsidRPr="00D337FA">
        <w:rPr>
          <w:szCs w:val="24"/>
        </w:rPr>
        <w:t xml:space="preserve"> </w:t>
      </w:r>
      <w:r w:rsidRPr="00D337FA">
        <w:rPr>
          <w:szCs w:val="24"/>
        </w:rPr>
        <w:t>мерах,</w:t>
      </w:r>
      <w:r w:rsidR="006C680D" w:rsidRPr="00D337FA">
        <w:rPr>
          <w:szCs w:val="24"/>
        </w:rPr>
        <w:t xml:space="preserve"> </w:t>
      </w:r>
      <w:r w:rsidRPr="00D337FA">
        <w:rPr>
          <w:szCs w:val="24"/>
        </w:rPr>
        <w:t>проводимых</w:t>
      </w:r>
      <w:r w:rsidR="006C680D" w:rsidRPr="00D337FA">
        <w:rPr>
          <w:szCs w:val="24"/>
        </w:rPr>
        <w:t xml:space="preserve"> </w:t>
      </w:r>
      <w:r w:rsidRPr="00D337FA">
        <w:rPr>
          <w:szCs w:val="24"/>
        </w:rPr>
        <w:t>им</w:t>
      </w:r>
      <w:r w:rsidR="006C680D" w:rsidRPr="00D337FA">
        <w:rPr>
          <w:szCs w:val="24"/>
        </w:rPr>
        <w:t xml:space="preserve"> </w:t>
      </w:r>
      <w:r w:rsidRPr="00D337FA">
        <w:rPr>
          <w:szCs w:val="24"/>
        </w:rPr>
        <w:t>на</w:t>
      </w:r>
      <w:r w:rsidR="006C680D" w:rsidRPr="00D337FA">
        <w:rPr>
          <w:szCs w:val="24"/>
        </w:rPr>
        <w:t xml:space="preserve"> </w:t>
      </w:r>
      <w:r w:rsidRPr="00D337FA">
        <w:rPr>
          <w:szCs w:val="24"/>
        </w:rPr>
        <w:t>постоянной</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Основной</w:t>
      </w:r>
      <w:r w:rsidR="006C680D" w:rsidRPr="00D337FA">
        <w:rPr>
          <w:szCs w:val="24"/>
        </w:rPr>
        <w:t xml:space="preserve"> </w:t>
      </w:r>
      <w:r w:rsidRPr="00D337FA">
        <w:rPr>
          <w:szCs w:val="24"/>
        </w:rPr>
        <w:t>фокус</w:t>
      </w:r>
      <w:r w:rsidR="006C680D" w:rsidRPr="00D337FA">
        <w:rPr>
          <w:szCs w:val="24"/>
        </w:rPr>
        <w:t xml:space="preserve"> </w:t>
      </w:r>
      <w:r w:rsidRPr="00D337FA">
        <w:rPr>
          <w:szCs w:val="24"/>
        </w:rPr>
        <w:t>внимания</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сосредоточен</w:t>
      </w:r>
      <w:r w:rsidR="006C680D" w:rsidRPr="00D337FA">
        <w:rPr>
          <w:szCs w:val="24"/>
        </w:rPr>
        <w:t xml:space="preserve"> </w:t>
      </w:r>
      <w:r w:rsidRPr="00D337FA">
        <w:rPr>
          <w:szCs w:val="24"/>
        </w:rPr>
        <w:t>на</w:t>
      </w:r>
      <w:r w:rsidR="006C680D" w:rsidRPr="00D337FA">
        <w:rPr>
          <w:szCs w:val="24"/>
        </w:rPr>
        <w:t xml:space="preserve"> </w:t>
      </w:r>
      <w:r w:rsidRPr="00D337FA">
        <w:rPr>
          <w:szCs w:val="24"/>
        </w:rPr>
        <w:t>двух</w:t>
      </w:r>
      <w:r w:rsidR="006C680D" w:rsidRPr="00D337FA">
        <w:rPr>
          <w:szCs w:val="24"/>
        </w:rPr>
        <w:t xml:space="preserve"> </w:t>
      </w:r>
      <w:r w:rsidRPr="00D337FA">
        <w:rPr>
          <w:szCs w:val="24"/>
        </w:rPr>
        <w:t>ключевых</w:t>
      </w:r>
      <w:r w:rsidR="006C680D" w:rsidRPr="00D337FA">
        <w:rPr>
          <w:szCs w:val="24"/>
        </w:rPr>
        <w:t xml:space="preserve"> </w:t>
      </w:r>
      <w:r w:rsidRPr="00D337FA">
        <w:rPr>
          <w:szCs w:val="24"/>
        </w:rPr>
        <w:t>направлениях.</w:t>
      </w:r>
      <w:r w:rsidR="006C680D" w:rsidRPr="00D337FA">
        <w:rPr>
          <w:szCs w:val="24"/>
        </w:rPr>
        <w:t xml:space="preserve"> </w:t>
      </w:r>
      <w:r w:rsidRPr="00D337FA">
        <w:rPr>
          <w:szCs w:val="24"/>
        </w:rPr>
        <w:t>Первое</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благоприятных</w:t>
      </w:r>
      <w:r w:rsidR="006C680D" w:rsidRPr="00D337FA">
        <w:rPr>
          <w:szCs w:val="24"/>
        </w:rPr>
        <w:t xml:space="preserve"> </w:t>
      </w:r>
      <w:r w:rsidRPr="00D337FA">
        <w:rPr>
          <w:szCs w:val="24"/>
        </w:rPr>
        <w:t>внешних</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привлечения</w:t>
      </w:r>
      <w:r w:rsidR="006C680D" w:rsidRPr="00D337FA">
        <w:rPr>
          <w:szCs w:val="24"/>
        </w:rPr>
        <w:t xml:space="preserve"> </w:t>
      </w:r>
      <w:r w:rsidRPr="00D337FA">
        <w:rPr>
          <w:szCs w:val="24"/>
        </w:rPr>
        <w:t>необходимого</w:t>
      </w:r>
      <w:r w:rsidR="006C680D" w:rsidRPr="00D337FA">
        <w:rPr>
          <w:szCs w:val="24"/>
        </w:rPr>
        <w:t xml:space="preserve"> </w:t>
      </w:r>
      <w:r w:rsidRPr="00D337FA">
        <w:rPr>
          <w:szCs w:val="24"/>
        </w:rPr>
        <w:t>количества</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Второе</w:t>
      </w:r>
      <w:r w:rsidR="006C680D" w:rsidRPr="00D337FA">
        <w:rPr>
          <w:szCs w:val="24"/>
        </w:rPr>
        <w:t xml:space="preserve"> </w:t>
      </w:r>
      <w:r w:rsidRPr="00D337FA">
        <w:rPr>
          <w:szCs w:val="24"/>
        </w:rPr>
        <w:t>–</w:t>
      </w:r>
      <w:r w:rsidR="006C680D" w:rsidRPr="00D337FA">
        <w:rPr>
          <w:szCs w:val="24"/>
        </w:rPr>
        <w:t xml:space="preserve"> </w:t>
      </w:r>
      <w:r w:rsidRPr="00D337FA">
        <w:rPr>
          <w:szCs w:val="24"/>
        </w:rPr>
        <w:t>создание</w:t>
      </w:r>
      <w:r w:rsidR="006C680D" w:rsidRPr="00D337FA">
        <w:rPr>
          <w:szCs w:val="24"/>
        </w:rPr>
        <w:t xml:space="preserve"> </w:t>
      </w:r>
      <w:r w:rsidRPr="00D337FA">
        <w:rPr>
          <w:szCs w:val="24"/>
        </w:rPr>
        <w:t>внутренних</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на</w:t>
      </w:r>
      <w:r w:rsidR="006C680D" w:rsidRPr="00D337FA">
        <w:rPr>
          <w:szCs w:val="24"/>
        </w:rPr>
        <w:t xml:space="preserve"> </w:t>
      </w:r>
      <w:r w:rsidRPr="00D337FA">
        <w:rPr>
          <w:szCs w:val="24"/>
        </w:rPr>
        <w:t>уровне</w:t>
      </w:r>
      <w:r w:rsidR="006C680D" w:rsidRPr="00D337FA">
        <w:rPr>
          <w:szCs w:val="24"/>
        </w:rPr>
        <w:t xml:space="preserve"> </w:t>
      </w:r>
      <w:r w:rsidRPr="00D337FA">
        <w:rPr>
          <w:szCs w:val="24"/>
        </w:rPr>
        <w:t>организаций,</w:t>
      </w:r>
      <w:r w:rsidR="006C680D" w:rsidRPr="00D337FA">
        <w:rPr>
          <w:szCs w:val="24"/>
        </w:rPr>
        <w:t xml:space="preserve"> </w:t>
      </w:r>
      <w:r w:rsidRPr="00D337FA">
        <w:rPr>
          <w:szCs w:val="24"/>
        </w:rPr>
        <w:t>занятых</w:t>
      </w:r>
      <w:r w:rsidR="006C680D" w:rsidRPr="00D337FA">
        <w:rPr>
          <w:szCs w:val="24"/>
        </w:rPr>
        <w:t xml:space="preserve"> </w:t>
      </w:r>
      <w:r w:rsidRPr="00D337FA">
        <w:rPr>
          <w:szCs w:val="24"/>
        </w:rPr>
        <w:t>в</w:t>
      </w:r>
      <w:r w:rsidR="006C680D" w:rsidRPr="00D337FA">
        <w:rPr>
          <w:szCs w:val="24"/>
        </w:rPr>
        <w:t xml:space="preserve"> </w:t>
      </w:r>
      <w:r w:rsidRPr="00D337FA">
        <w:rPr>
          <w:szCs w:val="24"/>
        </w:rPr>
        <w:t>агросекторе,</w:t>
      </w:r>
      <w:r w:rsidR="006C680D" w:rsidRPr="00D337FA">
        <w:rPr>
          <w:szCs w:val="24"/>
        </w:rPr>
        <w:t xml:space="preserve"> </w:t>
      </w:r>
      <w:r w:rsidRPr="00D337FA">
        <w:rPr>
          <w:szCs w:val="24"/>
        </w:rPr>
        <w:t>с</w:t>
      </w:r>
      <w:r w:rsidR="006C680D" w:rsidRPr="00D337FA">
        <w:rPr>
          <w:szCs w:val="24"/>
        </w:rPr>
        <w:t xml:space="preserve"> </w:t>
      </w:r>
      <w:r w:rsidRPr="00D337FA">
        <w:rPr>
          <w:szCs w:val="24"/>
        </w:rPr>
        <w:t>помощью</w:t>
      </w:r>
      <w:r w:rsidR="006C680D" w:rsidRPr="00D337FA">
        <w:rPr>
          <w:szCs w:val="24"/>
        </w:rPr>
        <w:t xml:space="preserve"> </w:t>
      </w:r>
      <w:r w:rsidRPr="00D337FA">
        <w:rPr>
          <w:szCs w:val="24"/>
        </w:rPr>
        <w:t>широкого</w:t>
      </w:r>
      <w:r w:rsidR="006C680D" w:rsidRPr="00D337FA">
        <w:rPr>
          <w:szCs w:val="24"/>
        </w:rPr>
        <w:t xml:space="preserve"> </w:t>
      </w:r>
      <w:r w:rsidRPr="00D337FA">
        <w:rPr>
          <w:szCs w:val="24"/>
        </w:rPr>
        <w:t>перечня</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постоянно</w:t>
      </w:r>
      <w:r w:rsidR="006C680D" w:rsidRPr="00D337FA">
        <w:rPr>
          <w:szCs w:val="24"/>
        </w:rPr>
        <w:t xml:space="preserve"> </w:t>
      </w:r>
      <w:r w:rsidRPr="00D337FA">
        <w:rPr>
          <w:szCs w:val="24"/>
        </w:rPr>
        <w:t>расширяются.</w:t>
      </w:r>
      <w:r w:rsidR="006C680D" w:rsidRPr="00D337FA">
        <w:rPr>
          <w:szCs w:val="24"/>
        </w:rPr>
        <w:t xml:space="preserve"> </w:t>
      </w:r>
      <w:r w:rsidRPr="00D337FA">
        <w:rPr>
          <w:szCs w:val="24"/>
        </w:rPr>
        <w:t>Так,</w:t>
      </w:r>
      <w:r w:rsidR="006C680D" w:rsidRPr="00D337FA">
        <w:rPr>
          <w:szCs w:val="24"/>
        </w:rPr>
        <w:t xml:space="preserve"> </w:t>
      </w:r>
      <w:r w:rsidRPr="00D337FA">
        <w:rPr>
          <w:szCs w:val="24"/>
        </w:rPr>
        <w:t>за</w:t>
      </w:r>
      <w:r w:rsidR="006C680D" w:rsidRPr="00D337FA">
        <w:rPr>
          <w:szCs w:val="24"/>
        </w:rPr>
        <w:t xml:space="preserve"> </w:t>
      </w:r>
      <w:r w:rsidRPr="00D337FA">
        <w:rPr>
          <w:szCs w:val="24"/>
        </w:rPr>
        <w:t>2025</w:t>
      </w:r>
      <w:r w:rsidR="006C680D" w:rsidRPr="00D337FA">
        <w:rPr>
          <w:szCs w:val="24"/>
        </w:rPr>
        <w:t xml:space="preserve"> </w:t>
      </w:r>
      <w:r w:rsidRPr="00D337FA">
        <w:rPr>
          <w:szCs w:val="24"/>
        </w:rPr>
        <w:t>год</w:t>
      </w:r>
      <w:r w:rsidR="006C680D" w:rsidRPr="00D337FA">
        <w:rPr>
          <w:szCs w:val="24"/>
        </w:rPr>
        <w:t xml:space="preserve"> </w:t>
      </w:r>
      <w:r w:rsidRPr="00D337FA">
        <w:rPr>
          <w:szCs w:val="24"/>
        </w:rPr>
        <w:t>правительство</w:t>
      </w:r>
      <w:r w:rsidR="006C680D" w:rsidRPr="00D337FA">
        <w:rPr>
          <w:szCs w:val="24"/>
        </w:rPr>
        <w:t xml:space="preserve"> </w:t>
      </w:r>
      <w:r w:rsidRPr="00D337FA">
        <w:rPr>
          <w:szCs w:val="24"/>
        </w:rPr>
        <w:t>РФ</w:t>
      </w:r>
      <w:r w:rsidR="006C680D" w:rsidRPr="00D337FA">
        <w:rPr>
          <w:szCs w:val="24"/>
        </w:rPr>
        <w:t xml:space="preserve"> </w:t>
      </w:r>
      <w:r w:rsidRPr="00D337FA">
        <w:rPr>
          <w:szCs w:val="24"/>
        </w:rPr>
        <w:t>направило</w:t>
      </w:r>
      <w:r w:rsidR="006C680D" w:rsidRPr="00D337FA">
        <w:rPr>
          <w:szCs w:val="24"/>
        </w:rPr>
        <w:t xml:space="preserve"> </w:t>
      </w:r>
      <w:r w:rsidRPr="00D337FA">
        <w:rPr>
          <w:szCs w:val="24"/>
        </w:rPr>
        <w:t>на</w:t>
      </w:r>
      <w:r w:rsidR="006C680D" w:rsidRPr="00D337FA">
        <w:rPr>
          <w:szCs w:val="24"/>
        </w:rPr>
        <w:t xml:space="preserve"> </w:t>
      </w:r>
      <w:r w:rsidRPr="00D337FA">
        <w:rPr>
          <w:szCs w:val="24"/>
        </w:rPr>
        <w:t>поддержку</w:t>
      </w:r>
      <w:r w:rsidR="006C680D" w:rsidRPr="00D337FA">
        <w:rPr>
          <w:szCs w:val="24"/>
        </w:rPr>
        <w:t xml:space="preserve"> </w:t>
      </w:r>
      <w:r w:rsidRPr="00D337FA">
        <w:rPr>
          <w:szCs w:val="24"/>
          <w:shd w:val="clear" w:color="auto" w:fill="FFFFFF"/>
        </w:rPr>
        <w:t>агропромышленного</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рыбохозяйственного</w:t>
      </w:r>
      <w:r w:rsidR="006C680D" w:rsidRPr="00D337FA">
        <w:rPr>
          <w:szCs w:val="24"/>
          <w:shd w:val="clear" w:color="auto" w:fill="FFFFFF"/>
        </w:rPr>
        <w:t xml:space="preserve"> </w:t>
      </w:r>
      <w:r w:rsidRPr="00D337FA">
        <w:rPr>
          <w:szCs w:val="24"/>
          <w:shd w:val="clear" w:color="auto" w:fill="FFFFFF"/>
        </w:rPr>
        <w:t>комплексов,</w:t>
      </w:r>
      <w:r w:rsidR="006C680D" w:rsidRPr="00D337FA">
        <w:rPr>
          <w:szCs w:val="24"/>
          <w:shd w:val="clear" w:color="auto" w:fill="FFFFFF"/>
        </w:rPr>
        <w:t xml:space="preserve"> </w:t>
      </w:r>
      <w:r w:rsidRPr="00D337FA">
        <w:rPr>
          <w:szCs w:val="24"/>
          <w:shd w:val="clear" w:color="auto" w:fill="FFFFFF"/>
        </w:rPr>
        <w:t>а</w:t>
      </w:r>
      <w:r w:rsidR="006C680D" w:rsidRPr="00D337FA">
        <w:rPr>
          <w:szCs w:val="24"/>
          <w:shd w:val="clear" w:color="auto" w:fill="FFFFFF"/>
        </w:rPr>
        <w:t xml:space="preserve"> </w:t>
      </w:r>
      <w:r w:rsidRPr="00D337FA">
        <w:rPr>
          <w:szCs w:val="24"/>
          <w:shd w:val="clear" w:color="auto" w:fill="FFFFFF"/>
        </w:rPr>
        <w:t>также</w:t>
      </w:r>
      <w:r w:rsidR="006C680D" w:rsidRPr="00D337FA">
        <w:rPr>
          <w:szCs w:val="24"/>
          <w:shd w:val="clear" w:color="auto" w:fill="FFFFFF"/>
        </w:rPr>
        <w:t xml:space="preserve"> </w:t>
      </w:r>
      <w:r w:rsidRPr="00D337FA">
        <w:rPr>
          <w:szCs w:val="24"/>
          <w:shd w:val="clear" w:color="auto" w:fill="FFFFFF"/>
        </w:rPr>
        <w:t>развитие</w:t>
      </w:r>
      <w:r w:rsidR="006C680D" w:rsidRPr="00D337FA">
        <w:rPr>
          <w:szCs w:val="24"/>
          <w:shd w:val="clear" w:color="auto" w:fill="FFFFFF"/>
        </w:rPr>
        <w:t xml:space="preserve"> </w:t>
      </w:r>
      <w:r w:rsidRPr="00D337FA">
        <w:rPr>
          <w:szCs w:val="24"/>
          <w:shd w:val="clear" w:color="auto" w:fill="FFFFFF"/>
        </w:rPr>
        <w:t>сельских</w:t>
      </w:r>
      <w:r w:rsidR="006C680D" w:rsidRPr="00D337FA">
        <w:rPr>
          <w:szCs w:val="24"/>
          <w:shd w:val="clear" w:color="auto" w:fill="FFFFFF"/>
        </w:rPr>
        <w:t xml:space="preserve"> </w:t>
      </w:r>
      <w:r w:rsidRPr="00D337FA">
        <w:rPr>
          <w:szCs w:val="24"/>
          <w:shd w:val="clear" w:color="auto" w:fill="FFFFFF"/>
        </w:rPr>
        <w:t>территорий</w:t>
      </w:r>
      <w:r w:rsidR="006C680D" w:rsidRPr="00D337FA">
        <w:rPr>
          <w:szCs w:val="24"/>
          <w:shd w:val="clear" w:color="auto" w:fill="FFFFFF"/>
        </w:rPr>
        <w:t xml:space="preserve"> </w:t>
      </w:r>
      <w:r w:rsidRPr="00D337FA">
        <w:rPr>
          <w:szCs w:val="24"/>
          <w:shd w:val="clear" w:color="auto" w:fill="FFFFFF"/>
        </w:rPr>
        <w:t>более</w:t>
      </w:r>
      <w:r w:rsidR="006C680D" w:rsidRPr="00D337FA">
        <w:rPr>
          <w:szCs w:val="24"/>
          <w:shd w:val="clear" w:color="auto" w:fill="FFFFFF"/>
        </w:rPr>
        <w:t xml:space="preserve"> </w:t>
      </w:r>
      <w:r w:rsidRPr="00D337FA">
        <w:rPr>
          <w:szCs w:val="24"/>
          <w:shd w:val="clear" w:color="auto" w:fill="FFFFFF"/>
        </w:rPr>
        <w:t>чем</w:t>
      </w:r>
      <w:r w:rsidR="006C680D" w:rsidRPr="00D337FA">
        <w:rPr>
          <w:szCs w:val="24"/>
          <w:shd w:val="clear" w:color="auto" w:fill="FFFFFF"/>
        </w:rPr>
        <w:t xml:space="preserve"> </w:t>
      </w:r>
      <w:r w:rsidRPr="00D337FA">
        <w:rPr>
          <w:szCs w:val="24"/>
          <w:shd w:val="clear" w:color="auto" w:fill="FFFFFF"/>
        </w:rPr>
        <w:t>560</w:t>
      </w:r>
      <w:r w:rsidR="006C680D" w:rsidRPr="00D337FA">
        <w:rPr>
          <w:szCs w:val="24"/>
          <w:shd w:val="clear" w:color="auto" w:fill="FFFFFF"/>
        </w:rPr>
        <w:t xml:space="preserve"> </w:t>
      </w:r>
      <w:r w:rsidRPr="00D337FA">
        <w:rPr>
          <w:szCs w:val="24"/>
          <w:shd w:val="clear" w:color="auto" w:fill="FFFFFF"/>
        </w:rPr>
        <w:t>млрд</w:t>
      </w:r>
      <w:r w:rsidR="006C680D" w:rsidRPr="00D337FA">
        <w:rPr>
          <w:szCs w:val="24"/>
          <w:shd w:val="clear" w:color="auto" w:fill="FFFFFF"/>
        </w:rPr>
        <w:t xml:space="preserve"> </w:t>
      </w:r>
      <w:r w:rsidRPr="00D337FA">
        <w:rPr>
          <w:szCs w:val="24"/>
          <w:shd w:val="clear" w:color="auto" w:fill="FFFFFF"/>
        </w:rPr>
        <w:t>руб.</w:t>
      </w:r>
      <w:r w:rsidR="006C680D" w:rsidRPr="00D337FA">
        <w:rPr>
          <w:szCs w:val="24"/>
          <w:shd w:val="clear" w:color="auto" w:fill="FFFFFF"/>
        </w:rPr>
        <w:t xml:space="preserve"> </w:t>
      </w:r>
      <w:r w:rsidRPr="00D337FA">
        <w:rPr>
          <w:szCs w:val="24"/>
          <w:shd w:val="clear" w:color="auto" w:fill="FFFFFF"/>
        </w:rPr>
        <w:t>[4].</w:t>
      </w:r>
      <w:r w:rsidR="006C680D" w:rsidRPr="00D337FA">
        <w:rPr>
          <w:szCs w:val="24"/>
          <w:shd w:val="clear" w:color="auto" w:fill="FFFFFF"/>
        </w:rPr>
        <w:t xml:space="preserve"> </w:t>
      </w:r>
      <w:r w:rsidRPr="00D337FA">
        <w:rPr>
          <w:szCs w:val="24"/>
          <w:shd w:val="clear" w:color="auto" w:fill="FFFFFF"/>
        </w:rPr>
        <w:t>Постоянное</w:t>
      </w:r>
      <w:r w:rsidR="006C680D" w:rsidRPr="00D337FA">
        <w:rPr>
          <w:szCs w:val="24"/>
          <w:shd w:val="clear" w:color="auto" w:fill="FFFFFF"/>
        </w:rPr>
        <w:t xml:space="preserve"> </w:t>
      </w:r>
      <w:r w:rsidRPr="00D337FA">
        <w:rPr>
          <w:szCs w:val="24"/>
          <w:shd w:val="clear" w:color="auto" w:fill="FFFFFF"/>
        </w:rPr>
        <w:t>увеличение</w:t>
      </w:r>
      <w:r w:rsidR="006C680D" w:rsidRPr="00D337FA">
        <w:rPr>
          <w:szCs w:val="24"/>
          <w:shd w:val="clear" w:color="auto" w:fill="FFFFFF"/>
        </w:rPr>
        <w:t xml:space="preserve"> </w:t>
      </w:r>
      <w:r w:rsidRPr="00D337FA">
        <w:rPr>
          <w:szCs w:val="24"/>
          <w:shd w:val="clear" w:color="auto" w:fill="FFFFFF"/>
        </w:rPr>
        <w:t>количества</w:t>
      </w:r>
      <w:r w:rsidR="006C680D" w:rsidRPr="00D337FA">
        <w:rPr>
          <w:szCs w:val="24"/>
          <w:shd w:val="clear" w:color="auto" w:fill="FFFFFF"/>
        </w:rPr>
        <w:t xml:space="preserve"> </w:t>
      </w:r>
      <w:r w:rsidRPr="00D337FA">
        <w:rPr>
          <w:szCs w:val="24"/>
          <w:shd w:val="clear" w:color="auto" w:fill="FFFFFF"/>
        </w:rPr>
        <w:t>средств</w:t>
      </w:r>
      <w:r w:rsidR="006C680D" w:rsidRPr="00D337FA">
        <w:rPr>
          <w:szCs w:val="24"/>
          <w:shd w:val="clear" w:color="auto" w:fill="FFFFFF"/>
        </w:rPr>
        <w:t xml:space="preserve"> </w:t>
      </w:r>
      <w:r w:rsidRPr="00D337FA">
        <w:rPr>
          <w:szCs w:val="24"/>
          <w:shd w:val="clear" w:color="auto" w:fill="FFFFFF"/>
        </w:rPr>
        <w:t>поддержки</w:t>
      </w:r>
      <w:r w:rsidR="006C680D" w:rsidRPr="00D337FA">
        <w:rPr>
          <w:szCs w:val="24"/>
          <w:shd w:val="clear" w:color="auto" w:fill="FFFFFF"/>
        </w:rPr>
        <w:t xml:space="preserve"> </w:t>
      </w:r>
      <w:r w:rsidRPr="00D337FA">
        <w:rPr>
          <w:szCs w:val="24"/>
          <w:shd w:val="clear" w:color="auto" w:fill="FFFFFF"/>
        </w:rPr>
        <w:t>отрасли</w:t>
      </w:r>
      <w:r w:rsidR="006C680D" w:rsidRPr="00D337FA">
        <w:rPr>
          <w:szCs w:val="24"/>
          <w:shd w:val="clear" w:color="auto" w:fill="FFFFFF"/>
        </w:rPr>
        <w:t xml:space="preserve"> </w:t>
      </w:r>
      <w:r w:rsidRPr="00D337FA">
        <w:rPr>
          <w:szCs w:val="24"/>
          <w:shd w:val="clear" w:color="auto" w:fill="FFFFFF"/>
        </w:rPr>
        <w:t>позволяет</w:t>
      </w:r>
      <w:r w:rsidR="006C680D" w:rsidRPr="00D337FA">
        <w:rPr>
          <w:szCs w:val="24"/>
          <w:shd w:val="clear" w:color="auto" w:fill="FFFFFF"/>
        </w:rPr>
        <w:t xml:space="preserve"> </w:t>
      </w:r>
      <w:r w:rsidRPr="00D337FA">
        <w:rPr>
          <w:szCs w:val="24"/>
          <w:shd w:val="clear" w:color="auto" w:fill="FFFFFF"/>
        </w:rPr>
        <w:t>наращивать</w:t>
      </w:r>
      <w:r w:rsidR="006C680D" w:rsidRPr="00D337FA">
        <w:rPr>
          <w:szCs w:val="24"/>
          <w:shd w:val="clear" w:color="auto" w:fill="FFFFFF"/>
        </w:rPr>
        <w:t xml:space="preserve"> </w:t>
      </w:r>
      <w:r w:rsidRPr="00D337FA">
        <w:rPr>
          <w:szCs w:val="24"/>
          <w:shd w:val="clear" w:color="auto" w:fill="FFFFFF"/>
        </w:rPr>
        <w:t>мощности</w:t>
      </w:r>
      <w:r w:rsidR="006C680D" w:rsidRPr="00D337FA">
        <w:rPr>
          <w:szCs w:val="24"/>
          <w:shd w:val="clear" w:color="auto" w:fill="FFFFFF"/>
        </w:rPr>
        <w:t xml:space="preserve"> </w:t>
      </w:r>
      <w:r w:rsidRPr="00D337FA">
        <w:rPr>
          <w:szCs w:val="24"/>
          <w:shd w:val="clear" w:color="auto" w:fill="FFFFFF"/>
        </w:rPr>
        <w:t>производству</w:t>
      </w:r>
      <w:r w:rsidR="006C680D" w:rsidRPr="00D337FA">
        <w:rPr>
          <w:szCs w:val="24"/>
          <w:shd w:val="clear" w:color="auto" w:fill="FFFFFF"/>
        </w:rPr>
        <w:t xml:space="preserve"> </w:t>
      </w:r>
      <w:r w:rsidRPr="00D337FA">
        <w:rPr>
          <w:szCs w:val="24"/>
          <w:shd w:val="clear" w:color="auto" w:fill="FFFFFF"/>
        </w:rPr>
        <w:t>сельхозпродукции</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продовольствия,</w:t>
      </w:r>
      <w:r w:rsidR="006C680D" w:rsidRPr="00D337FA">
        <w:rPr>
          <w:szCs w:val="24"/>
          <w:shd w:val="clear" w:color="auto" w:fill="FFFFFF"/>
        </w:rPr>
        <w:t xml:space="preserve"> </w:t>
      </w:r>
      <w:r w:rsidRPr="00D337FA">
        <w:rPr>
          <w:szCs w:val="24"/>
          <w:shd w:val="clear" w:color="auto" w:fill="FFFFFF"/>
        </w:rPr>
        <w:t>осуществлять</w:t>
      </w:r>
      <w:r w:rsidR="006C680D" w:rsidRPr="00D337FA">
        <w:rPr>
          <w:szCs w:val="24"/>
          <w:shd w:val="clear" w:color="auto" w:fill="FFFFFF"/>
        </w:rPr>
        <w:t xml:space="preserve"> </w:t>
      </w:r>
      <w:r w:rsidRPr="00D337FA">
        <w:rPr>
          <w:szCs w:val="24"/>
          <w:shd w:val="clear" w:color="auto" w:fill="FFFFFF"/>
        </w:rPr>
        <w:t>модернизацию</w:t>
      </w:r>
      <w:r w:rsidR="006C680D" w:rsidRPr="00D337FA">
        <w:rPr>
          <w:szCs w:val="24"/>
          <w:shd w:val="clear" w:color="auto" w:fill="FFFFFF"/>
        </w:rPr>
        <w:t xml:space="preserve"> </w:t>
      </w:r>
      <w:r w:rsidRPr="00D337FA">
        <w:rPr>
          <w:szCs w:val="24"/>
          <w:shd w:val="clear" w:color="auto" w:fill="FFFFFF"/>
        </w:rPr>
        <w:t>имеющейся</w:t>
      </w:r>
      <w:r w:rsidR="006C680D" w:rsidRPr="00D337FA">
        <w:rPr>
          <w:szCs w:val="24"/>
          <w:shd w:val="clear" w:color="auto" w:fill="FFFFFF"/>
        </w:rPr>
        <w:t xml:space="preserve"> </w:t>
      </w:r>
      <w:r w:rsidRPr="00D337FA">
        <w:rPr>
          <w:szCs w:val="24"/>
          <w:shd w:val="clear" w:color="auto" w:fill="FFFFFF"/>
        </w:rPr>
        <w:t>МТБ,</w:t>
      </w:r>
      <w:r w:rsidR="006C680D" w:rsidRPr="00D337FA">
        <w:rPr>
          <w:szCs w:val="24"/>
          <w:shd w:val="clear" w:color="auto" w:fill="FFFFFF"/>
        </w:rPr>
        <w:t xml:space="preserve"> </w:t>
      </w:r>
      <w:r w:rsidRPr="00D337FA">
        <w:rPr>
          <w:szCs w:val="24"/>
          <w:shd w:val="clear" w:color="auto" w:fill="FFFFFF"/>
        </w:rPr>
        <w:t>увеличивать</w:t>
      </w:r>
      <w:r w:rsidR="006C680D" w:rsidRPr="00D337FA">
        <w:rPr>
          <w:szCs w:val="24"/>
          <w:shd w:val="clear" w:color="auto" w:fill="FFFFFF"/>
        </w:rPr>
        <w:t xml:space="preserve"> </w:t>
      </w:r>
      <w:r w:rsidRPr="00D337FA">
        <w:rPr>
          <w:szCs w:val="24"/>
          <w:shd w:val="clear" w:color="auto" w:fill="FFFFFF"/>
        </w:rPr>
        <w:t>объем</w:t>
      </w:r>
      <w:r w:rsidR="006C680D" w:rsidRPr="00D337FA">
        <w:rPr>
          <w:szCs w:val="24"/>
          <w:shd w:val="clear" w:color="auto" w:fill="FFFFFF"/>
        </w:rPr>
        <w:t xml:space="preserve"> </w:t>
      </w:r>
      <w:r w:rsidRPr="00D337FA">
        <w:rPr>
          <w:szCs w:val="24"/>
          <w:shd w:val="clear" w:color="auto" w:fill="FFFFFF"/>
        </w:rPr>
        <w:t>экспорта</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ускорять</w:t>
      </w:r>
      <w:r w:rsidR="006C680D" w:rsidRPr="00D337FA">
        <w:rPr>
          <w:szCs w:val="24"/>
          <w:shd w:val="clear" w:color="auto" w:fill="FFFFFF"/>
        </w:rPr>
        <w:t xml:space="preserve"> </w:t>
      </w:r>
      <w:r w:rsidRPr="00D337FA">
        <w:rPr>
          <w:szCs w:val="24"/>
          <w:shd w:val="clear" w:color="auto" w:fill="FFFFFF"/>
        </w:rPr>
        <w:t>процесс</w:t>
      </w:r>
      <w:r w:rsidR="006C680D" w:rsidRPr="00D337FA">
        <w:rPr>
          <w:szCs w:val="24"/>
          <w:shd w:val="clear" w:color="auto" w:fill="FFFFFF"/>
        </w:rPr>
        <w:t xml:space="preserve"> </w:t>
      </w:r>
      <w:r w:rsidRPr="00D337FA">
        <w:rPr>
          <w:szCs w:val="24"/>
          <w:shd w:val="clear" w:color="auto" w:fill="FFFFFF"/>
        </w:rPr>
        <w:t>импортозамещения.</w:t>
      </w:r>
      <w:r w:rsidR="006C680D" w:rsidRPr="00D337FA">
        <w:rPr>
          <w:szCs w:val="24"/>
          <w:shd w:val="clear" w:color="auto" w:fill="FFFFFF"/>
        </w:rPr>
        <w:t xml:space="preserve"> </w:t>
      </w:r>
      <w:r w:rsidRPr="00D337FA">
        <w:rPr>
          <w:szCs w:val="24"/>
          <w:shd w:val="clear" w:color="auto" w:fill="FFFFFF"/>
        </w:rPr>
        <w:t>Несмотря</w:t>
      </w:r>
      <w:r w:rsidR="006C680D" w:rsidRPr="00D337FA">
        <w:rPr>
          <w:szCs w:val="24"/>
          <w:shd w:val="clear" w:color="auto" w:fill="FFFFFF"/>
        </w:rPr>
        <w:t xml:space="preserve"> </w:t>
      </w:r>
      <w:r w:rsidRPr="00D337FA">
        <w:rPr>
          <w:szCs w:val="24"/>
          <w:shd w:val="clear" w:color="auto" w:fill="FFFFFF"/>
        </w:rPr>
        <w:t>на</w:t>
      </w:r>
      <w:r w:rsidR="006C680D" w:rsidRPr="00D337FA">
        <w:rPr>
          <w:szCs w:val="24"/>
          <w:shd w:val="clear" w:color="auto" w:fill="FFFFFF"/>
        </w:rPr>
        <w:t xml:space="preserve"> </w:t>
      </w:r>
      <w:r w:rsidRPr="00D337FA">
        <w:rPr>
          <w:szCs w:val="24"/>
          <w:shd w:val="clear" w:color="auto" w:fill="FFFFFF"/>
        </w:rPr>
        <w:t>сложность</w:t>
      </w:r>
      <w:r w:rsidR="006C680D" w:rsidRPr="00D337FA">
        <w:rPr>
          <w:szCs w:val="24"/>
          <w:shd w:val="clear" w:color="auto" w:fill="FFFFFF"/>
        </w:rPr>
        <w:t xml:space="preserve"> </w:t>
      </w:r>
      <w:r w:rsidRPr="00D337FA">
        <w:rPr>
          <w:szCs w:val="24"/>
          <w:shd w:val="clear" w:color="auto" w:fill="FFFFFF"/>
        </w:rPr>
        <w:t>текущих</w:t>
      </w:r>
      <w:r w:rsidR="006C680D" w:rsidRPr="00D337FA">
        <w:rPr>
          <w:szCs w:val="24"/>
          <w:shd w:val="clear" w:color="auto" w:fill="FFFFFF"/>
        </w:rPr>
        <w:t xml:space="preserve"> </w:t>
      </w:r>
      <w:r w:rsidRPr="00D337FA">
        <w:rPr>
          <w:szCs w:val="24"/>
          <w:shd w:val="clear" w:color="auto" w:fill="FFFFFF"/>
        </w:rPr>
        <w:t>условий,</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которых</w:t>
      </w:r>
      <w:r w:rsidR="006C680D" w:rsidRPr="00D337FA">
        <w:rPr>
          <w:szCs w:val="24"/>
          <w:shd w:val="clear" w:color="auto" w:fill="FFFFFF"/>
        </w:rPr>
        <w:t xml:space="preserve"> </w:t>
      </w:r>
      <w:r w:rsidRPr="00D337FA">
        <w:rPr>
          <w:szCs w:val="24"/>
          <w:shd w:val="clear" w:color="auto" w:fill="FFFFFF"/>
        </w:rPr>
        <w:t>вынуждены</w:t>
      </w:r>
      <w:r w:rsidR="006C680D" w:rsidRPr="00D337FA">
        <w:rPr>
          <w:szCs w:val="24"/>
          <w:shd w:val="clear" w:color="auto" w:fill="FFFFFF"/>
        </w:rPr>
        <w:t xml:space="preserve"> </w:t>
      </w:r>
      <w:r w:rsidRPr="00D337FA">
        <w:rPr>
          <w:szCs w:val="24"/>
          <w:shd w:val="clear" w:color="auto" w:fill="FFFFFF"/>
        </w:rPr>
        <w:t>работать</w:t>
      </w:r>
      <w:r w:rsidR="006C680D" w:rsidRPr="00D337FA">
        <w:rPr>
          <w:szCs w:val="24"/>
          <w:shd w:val="clear" w:color="auto" w:fill="FFFFFF"/>
        </w:rPr>
        <w:t xml:space="preserve"> </w:t>
      </w:r>
      <w:r w:rsidRPr="00D337FA">
        <w:rPr>
          <w:szCs w:val="24"/>
          <w:shd w:val="clear" w:color="auto" w:fill="FFFFFF"/>
        </w:rPr>
        <w:t>отечественные</w:t>
      </w:r>
      <w:r w:rsidR="006C680D" w:rsidRPr="00D337FA">
        <w:rPr>
          <w:szCs w:val="24"/>
          <w:shd w:val="clear" w:color="auto" w:fill="FFFFFF"/>
        </w:rPr>
        <w:t xml:space="preserve"> </w:t>
      </w:r>
      <w:r w:rsidRPr="00D337FA">
        <w:rPr>
          <w:szCs w:val="24"/>
          <w:shd w:val="clear" w:color="auto" w:fill="FFFFFF"/>
        </w:rPr>
        <w:t>компании,</w:t>
      </w:r>
      <w:r w:rsidR="006C680D" w:rsidRPr="00D337FA">
        <w:rPr>
          <w:szCs w:val="24"/>
          <w:shd w:val="clear" w:color="auto" w:fill="FFFFFF"/>
        </w:rPr>
        <w:t xml:space="preserve"> </w:t>
      </w:r>
      <w:r w:rsidRPr="00D337FA">
        <w:rPr>
          <w:szCs w:val="24"/>
          <w:shd w:val="clear" w:color="auto" w:fill="FFFFFF"/>
        </w:rPr>
        <w:t>они</w:t>
      </w:r>
      <w:r w:rsidR="006C680D" w:rsidRPr="00D337FA">
        <w:rPr>
          <w:szCs w:val="24"/>
          <w:shd w:val="clear" w:color="auto" w:fill="FFFFFF"/>
        </w:rPr>
        <w:t xml:space="preserve"> </w:t>
      </w:r>
      <w:r w:rsidRPr="00D337FA">
        <w:rPr>
          <w:szCs w:val="24"/>
          <w:shd w:val="clear" w:color="auto" w:fill="FFFFFF"/>
        </w:rPr>
        <w:t>продолжают</w:t>
      </w:r>
      <w:r w:rsidR="006C680D" w:rsidRPr="00D337FA">
        <w:rPr>
          <w:szCs w:val="24"/>
          <w:shd w:val="clear" w:color="auto" w:fill="FFFFFF"/>
        </w:rPr>
        <w:t xml:space="preserve"> </w:t>
      </w:r>
      <w:r w:rsidRPr="00D337FA">
        <w:rPr>
          <w:szCs w:val="24"/>
          <w:shd w:val="clear" w:color="auto" w:fill="FFFFFF"/>
        </w:rPr>
        <w:t>своё</w:t>
      </w:r>
      <w:r w:rsidR="006C680D" w:rsidRPr="00D337FA">
        <w:rPr>
          <w:szCs w:val="24"/>
          <w:shd w:val="clear" w:color="auto" w:fill="FFFFFF"/>
        </w:rPr>
        <w:t xml:space="preserve"> </w:t>
      </w:r>
      <w:r w:rsidRPr="00D337FA">
        <w:rPr>
          <w:szCs w:val="24"/>
          <w:shd w:val="clear" w:color="auto" w:fill="FFFFFF"/>
        </w:rPr>
        <w:t>развитие.</w:t>
      </w:r>
      <w:r w:rsidR="006C680D" w:rsidRPr="00D337FA">
        <w:rPr>
          <w:szCs w:val="24"/>
          <w:shd w:val="clear" w:color="auto" w:fill="FFFFFF"/>
        </w:rPr>
        <w:t xml:space="preserve"> </w:t>
      </w:r>
      <w:r w:rsidRPr="00D337FA">
        <w:rPr>
          <w:szCs w:val="24"/>
          <w:shd w:val="clear" w:color="auto" w:fill="FFFFFF"/>
        </w:rPr>
        <w:t>Постоянное</w:t>
      </w:r>
      <w:r w:rsidR="006C680D" w:rsidRPr="00D337FA">
        <w:rPr>
          <w:szCs w:val="24"/>
          <w:shd w:val="clear" w:color="auto" w:fill="FFFFFF"/>
        </w:rPr>
        <w:t xml:space="preserve"> </w:t>
      </w:r>
      <w:r w:rsidRPr="00D337FA">
        <w:rPr>
          <w:szCs w:val="24"/>
          <w:shd w:val="clear" w:color="auto" w:fill="FFFFFF"/>
        </w:rPr>
        <w:t>увеличение</w:t>
      </w:r>
      <w:r w:rsidR="006C680D" w:rsidRPr="00D337FA">
        <w:rPr>
          <w:szCs w:val="24"/>
          <w:shd w:val="clear" w:color="auto" w:fill="FFFFFF"/>
        </w:rPr>
        <w:t xml:space="preserve"> </w:t>
      </w:r>
      <w:r w:rsidRPr="00D337FA">
        <w:rPr>
          <w:szCs w:val="24"/>
          <w:shd w:val="clear" w:color="auto" w:fill="FFFFFF"/>
        </w:rPr>
        <w:t>перечня</w:t>
      </w:r>
      <w:r w:rsidR="006C680D" w:rsidRPr="00D337FA">
        <w:rPr>
          <w:szCs w:val="24"/>
          <w:shd w:val="clear" w:color="auto" w:fill="FFFFFF"/>
        </w:rPr>
        <w:t xml:space="preserve"> </w:t>
      </w:r>
      <w:r w:rsidRPr="00D337FA">
        <w:rPr>
          <w:szCs w:val="24"/>
          <w:shd w:val="clear" w:color="auto" w:fill="FFFFFF"/>
        </w:rPr>
        <w:t>производимых</w:t>
      </w:r>
      <w:r w:rsidR="006C680D" w:rsidRPr="00D337FA">
        <w:rPr>
          <w:szCs w:val="24"/>
          <w:shd w:val="clear" w:color="auto" w:fill="FFFFFF"/>
        </w:rPr>
        <w:t xml:space="preserve"> </w:t>
      </w:r>
      <w:r w:rsidRPr="00D337FA">
        <w:rPr>
          <w:szCs w:val="24"/>
          <w:shd w:val="clear" w:color="auto" w:fill="FFFFFF"/>
        </w:rPr>
        <w:t>продуктов,</w:t>
      </w:r>
      <w:r w:rsidR="006C680D" w:rsidRPr="00D337FA">
        <w:rPr>
          <w:szCs w:val="24"/>
          <w:shd w:val="clear" w:color="auto" w:fill="FFFFFF"/>
        </w:rPr>
        <w:t xml:space="preserve"> </w:t>
      </w:r>
      <w:r w:rsidRPr="00D337FA">
        <w:rPr>
          <w:szCs w:val="24"/>
          <w:shd w:val="clear" w:color="auto" w:fill="FFFFFF"/>
        </w:rPr>
        <w:t>техники,</w:t>
      </w:r>
      <w:r w:rsidR="006C680D" w:rsidRPr="00D337FA">
        <w:rPr>
          <w:szCs w:val="24"/>
          <w:shd w:val="clear" w:color="auto" w:fill="FFFFFF"/>
        </w:rPr>
        <w:t xml:space="preserve"> </w:t>
      </w:r>
      <w:r w:rsidRPr="00D337FA">
        <w:rPr>
          <w:szCs w:val="24"/>
          <w:shd w:val="clear" w:color="auto" w:fill="FFFFFF"/>
        </w:rPr>
        <w:t>товаров,</w:t>
      </w:r>
      <w:r w:rsidR="006C680D" w:rsidRPr="00D337FA">
        <w:rPr>
          <w:szCs w:val="24"/>
          <w:shd w:val="clear" w:color="auto" w:fill="FFFFFF"/>
        </w:rPr>
        <w:t xml:space="preserve"> </w:t>
      </w:r>
      <w:r w:rsidRPr="00D337FA">
        <w:rPr>
          <w:szCs w:val="24"/>
          <w:shd w:val="clear" w:color="auto" w:fill="FFFFFF"/>
        </w:rPr>
        <w:t>оборудования</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услуг</w:t>
      </w:r>
      <w:r w:rsidR="006C680D" w:rsidRPr="00D337FA">
        <w:rPr>
          <w:szCs w:val="24"/>
          <w:shd w:val="clear" w:color="auto" w:fill="FFFFFF"/>
        </w:rPr>
        <w:t xml:space="preserve"> </w:t>
      </w:r>
      <w:r w:rsidRPr="00D337FA">
        <w:rPr>
          <w:szCs w:val="24"/>
          <w:shd w:val="clear" w:color="auto" w:fill="FFFFFF"/>
        </w:rPr>
        <w:t>происходит</w:t>
      </w:r>
      <w:r w:rsidR="006C680D" w:rsidRPr="00D337FA">
        <w:rPr>
          <w:szCs w:val="24"/>
          <w:shd w:val="clear" w:color="auto" w:fill="FFFFFF"/>
        </w:rPr>
        <w:t xml:space="preserve"> </w:t>
      </w:r>
      <w:r w:rsidRPr="00D337FA">
        <w:rPr>
          <w:szCs w:val="24"/>
          <w:shd w:val="clear" w:color="auto" w:fill="FFFFFF"/>
        </w:rPr>
        <w:t>на</w:t>
      </w:r>
      <w:r w:rsidR="006C680D" w:rsidRPr="00D337FA">
        <w:rPr>
          <w:szCs w:val="24"/>
          <w:shd w:val="clear" w:color="auto" w:fill="FFFFFF"/>
        </w:rPr>
        <w:t xml:space="preserve"> </w:t>
      </w:r>
      <w:r w:rsidRPr="00D337FA">
        <w:rPr>
          <w:szCs w:val="24"/>
          <w:shd w:val="clear" w:color="auto" w:fill="FFFFFF"/>
        </w:rPr>
        <w:t>фоне</w:t>
      </w:r>
      <w:r w:rsidR="006C680D" w:rsidRPr="00D337FA">
        <w:rPr>
          <w:szCs w:val="24"/>
          <w:shd w:val="clear" w:color="auto" w:fill="FFFFFF"/>
        </w:rPr>
        <w:t xml:space="preserve"> </w:t>
      </w:r>
      <w:r w:rsidRPr="00D337FA">
        <w:rPr>
          <w:szCs w:val="24"/>
          <w:shd w:val="clear" w:color="auto" w:fill="FFFFFF"/>
        </w:rPr>
        <w:t>внешних</w:t>
      </w:r>
      <w:r w:rsidR="006C680D" w:rsidRPr="00D337FA">
        <w:rPr>
          <w:szCs w:val="24"/>
          <w:shd w:val="clear" w:color="auto" w:fill="FFFFFF"/>
        </w:rPr>
        <w:t xml:space="preserve"> </w:t>
      </w:r>
      <w:r w:rsidRPr="00D337FA">
        <w:rPr>
          <w:szCs w:val="24"/>
          <w:shd w:val="clear" w:color="auto" w:fill="FFFFFF"/>
        </w:rPr>
        <w:t>беспрецедентных</w:t>
      </w:r>
      <w:r w:rsidR="006C680D" w:rsidRPr="00D337FA">
        <w:rPr>
          <w:szCs w:val="24"/>
          <w:shd w:val="clear" w:color="auto" w:fill="FFFFFF"/>
        </w:rPr>
        <w:t xml:space="preserve"> </w:t>
      </w:r>
      <w:r w:rsidRPr="00D337FA">
        <w:rPr>
          <w:szCs w:val="24"/>
          <w:shd w:val="clear" w:color="auto" w:fill="FFFFFF"/>
        </w:rPr>
        <w:t>пошлин,</w:t>
      </w:r>
      <w:r w:rsidR="006C680D" w:rsidRPr="00D337FA">
        <w:rPr>
          <w:szCs w:val="24"/>
          <w:shd w:val="clear" w:color="auto" w:fill="FFFFFF"/>
        </w:rPr>
        <w:t xml:space="preserve"> </w:t>
      </w:r>
      <w:r w:rsidRPr="00D337FA">
        <w:rPr>
          <w:szCs w:val="24"/>
          <w:shd w:val="clear" w:color="auto" w:fill="FFFFFF"/>
        </w:rPr>
        <w:t>запре</w:t>
      </w:r>
      <w:r w:rsidRPr="00D337FA">
        <w:rPr>
          <w:szCs w:val="24"/>
          <w:shd w:val="clear" w:color="auto" w:fill="FFFFFF"/>
        </w:rPr>
        <w:lastRenderedPageBreak/>
        <w:t>тов</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ограничений</w:t>
      </w:r>
      <w:r w:rsidR="006C680D" w:rsidRPr="00D337FA">
        <w:rPr>
          <w:szCs w:val="24"/>
          <w:shd w:val="clear" w:color="auto" w:fill="FFFFFF"/>
        </w:rPr>
        <w:t xml:space="preserve"> </w:t>
      </w:r>
      <w:r w:rsidRPr="00D337FA">
        <w:rPr>
          <w:szCs w:val="24"/>
          <w:shd w:val="clear" w:color="auto" w:fill="FFFFFF"/>
        </w:rPr>
        <w:t>на</w:t>
      </w:r>
      <w:r w:rsidR="006C680D" w:rsidRPr="00D337FA">
        <w:rPr>
          <w:szCs w:val="24"/>
          <w:shd w:val="clear" w:color="auto" w:fill="FFFFFF"/>
        </w:rPr>
        <w:t xml:space="preserve"> </w:t>
      </w:r>
      <w:r w:rsidRPr="00D337FA">
        <w:rPr>
          <w:szCs w:val="24"/>
          <w:shd w:val="clear" w:color="auto" w:fill="FFFFFF"/>
        </w:rPr>
        <w:t>товары.</w:t>
      </w:r>
      <w:r w:rsidR="006C680D" w:rsidRPr="00D337FA">
        <w:rPr>
          <w:szCs w:val="24"/>
          <w:shd w:val="clear" w:color="auto" w:fill="FFFFFF"/>
        </w:rPr>
        <w:t xml:space="preserve"> </w:t>
      </w:r>
      <w:r w:rsidRPr="00D337FA">
        <w:rPr>
          <w:szCs w:val="24"/>
          <w:shd w:val="clear" w:color="auto" w:fill="FFFFFF"/>
        </w:rPr>
        <w:t>Всё</w:t>
      </w:r>
      <w:r w:rsidR="006C680D" w:rsidRPr="00D337FA">
        <w:rPr>
          <w:szCs w:val="24"/>
          <w:shd w:val="clear" w:color="auto" w:fill="FFFFFF"/>
        </w:rPr>
        <w:t xml:space="preserve"> </w:t>
      </w:r>
      <w:r w:rsidRPr="00D337FA">
        <w:rPr>
          <w:szCs w:val="24"/>
          <w:shd w:val="clear" w:color="auto" w:fill="FFFFFF"/>
        </w:rPr>
        <w:t>это</w:t>
      </w:r>
      <w:r w:rsidR="006C680D" w:rsidRPr="00D337FA">
        <w:rPr>
          <w:szCs w:val="24"/>
          <w:shd w:val="clear" w:color="auto" w:fill="FFFFFF"/>
        </w:rPr>
        <w:t xml:space="preserve"> </w:t>
      </w:r>
      <w:r w:rsidRPr="00D337FA">
        <w:rPr>
          <w:szCs w:val="24"/>
          <w:shd w:val="clear" w:color="auto" w:fill="FFFFFF"/>
        </w:rPr>
        <w:t>наносит</w:t>
      </w:r>
      <w:r w:rsidR="006C680D" w:rsidRPr="00D337FA">
        <w:rPr>
          <w:szCs w:val="24"/>
          <w:shd w:val="clear" w:color="auto" w:fill="FFFFFF"/>
        </w:rPr>
        <w:t xml:space="preserve"> </w:t>
      </w:r>
      <w:r w:rsidRPr="00D337FA">
        <w:rPr>
          <w:szCs w:val="24"/>
          <w:shd w:val="clear" w:color="auto" w:fill="FFFFFF"/>
        </w:rPr>
        <w:t>удар</w:t>
      </w:r>
      <w:r w:rsidR="006C680D" w:rsidRPr="00D337FA">
        <w:rPr>
          <w:szCs w:val="24"/>
          <w:shd w:val="clear" w:color="auto" w:fill="FFFFFF"/>
        </w:rPr>
        <w:t xml:space="preserve"> </w:t>
      </w:r>
      <w:r w:rsidRPr="00D337FA">
        <w:rPr>
          <w:szCs w:val="24"/>
          <w:shd w:val="clear" w:color="auto" w:fill="FFFFFF"/>
        </w:rPr>
        <w:t>по</w:t>
      </w:r>
      <w:r w:rsidR="006C680D" w:rsidRPr="00D337FA">
        <w:rPr>
          <w:szCs w:val="24"/>
          <w:shd w:val="clear" w:color="auto" w:fill="FFFFFF"/>
        </w:rPr>
        <w:t xml:space="preserve"> </w:t>
      </w:r>
      <w:r w:rsidRPr="00D337FA">
        <w:rPr>
          <w:szCs w:val="24"/>
          <w:shd w:val="clear" w:color="auto" w:fill="FFFFFF"/>
        </w:rPr>
        <w:t>продовольственной</w:t>
      </w:r>
      <w:r w:rsidR="006C680D" w:rsidRPr="00D337FA">
        <w:rPr>
          <w:szCs w:val="24"/>
          <w:shd w:val="clear" w:color="auto" w:fill="FFFFFF"/>
        </w:rPr>
        <w:t xml:space="preserve"> </w:t>
      </w:r>
      <w:r w:rsidRPr="00D337FA">
        <w:rPr>
          <w:szCs w:val="24"/>
          <w:shd w:val="clear" w:color="auto" w:fill="FFFFFF"/>
        </w:rPr>
        <w:t>безопасности</w:t>
      </w:r>
      <w:r w:rsidR="006C680D" w:rsidRPr="00D337FA">
        <w:rPr>
          <w:szCs w:val="24"/>
          <w:shd w:val="clear" w:color="auto" w:fill="FFFFFF"/>
        </w:rPr>
        <w:t xml:space="preserve"> </w:t>
      </w:r>
      <w:r w:rsidRPr="00D337FA">
        <w:rPr>
          <w:szCs w:val="24"/>
          <w:shd w:val="clear" w:color="auto" w:fill="FFFFFF"/>
        </w:rPr>
        <w:t>не</w:t>
      </w:r>
      <w:r w:rsidR="006C680D" w:rsidRPr="00D337FA">
        <w:rPr>
          <w:szCs w:val="24"/>
          <w:shd w:val="clear" w:color="auto" w:fill="FFFFFF"/>
        </w:rPr>
        <w:t xml:space="preserve"> </w:t>
      </w:r>
      <w:r w:rsidRPr="00D337FA">
        <w:rPr>
          <w:szCs w:val="24"/>
          <w:shd w:val="clear" w:color="auto" w:fill="FFFFFF"/>
        </w:rPr>
        <w:t>только</w:t>
      </w:r>
      <w:r w:rsidR="006C680D" w:rsidRPr="00D337FA">
        <w:rPr>
          <w:szCs w:val="24"/>
          <w:shd w:val="clear" w:color="auto" w:fill="FFFFFF"/>
        </w:rPr>
        <w:t xml:space="preserve"> </w:t>
      </w:r>
      <w:r w:rsidRPr="00D337FA">
        <w:rPr>
          <w:szCs w:val="24"/>
          <w:shd w:val="clear" w:color="auto" w:fill="FFFFFF"/>
        </w:rPr>
        <w:t>нашей</w:t>
      </w:r>
      <w:r w:rsidR="006C680D" w:rsidRPr="00D337FA">
        <w:rPr>
          <w:szCs w:val="24"/>
          <w:shd w:val="clear" w:color="auto" w:fill="FFFFFF"/>
        </w:rPr>
        <w:t xml:space="preserve"> </w:t>
      </w:r>
      <w:r w:rsidRPr="00D337FA">
        <w:rPr>
          <w:szCs w:val="24"/>
          <w:shd w:val="clear" w:color="auto" w:fill="FFFFFF"/>
        </w:rPr>
        <w:t>страны,</w:t>
      </w:r>
      <w:r w:rsidR="006C680D" w:rsidRPr="00D337FA">
        <w:rPr>
          <w:szCs w:val="24"/>
          <w:shd w:val="clear" w:color="auto" w:fill="FFFFFF"/>
        </w:rPr>
        <w:t xml:space="preserve"> </w:t>
      </w:r>
      <w:r w:rsidRPr="00D337FA">
        <w:rPr>
          <w:szCs w:val="24"/>
          <w:shd w:val="clear" w:color="auto" w:fill="FFFFFF"/>
        </w:rPr>
        <w:t>но</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других</w:t>
      </w:r>
      <w:r w:rsidR="006C680D" w:rsidRPr="00D337FA">
        <w:rPr>
          <w:szCs w:val="24"/>
          <w:shd w:val="clear" w:color="auto" w:fill="FFFFFF"/>
        </w:rPr>
        <w:t xml:space="preserve"> </w:t>
      </w:r>
      <w:r w:rsidRPr="00D337FA">
        <w:rPr>
          <w:szCs w:val="24"/>
          <w:shd w:val="clear" w:color="auto" w:fill="FFFFFF"/>
        </w:rPr>
        <w:t>государств,</w:t>
      </w:r>
      <w:r w:rsidR="006C680D" w:rsidRPr="00D337FA">
        <w:rPr>
          <w:szCs w:val="24"/>
          <w:shd w:val="clear" w:color="auto" w:fill="FFFFFF"/>
        </w:rPr>
        <w:t xml:space="preserve"> </w:t>
      </w:r>
      <w:r w:rsidRPr="00D337FA">
        <w:rPr>
          <w:szCs w:val="24"/>
          <w:shd w:val="clear" w:color="auto" w:fill="FFFFFF"/>
        </w:rPr>
        <w:t>поскольку</w:t>
      </w:r>
      <w:r w:rsidR="006C680D" w:rsidRPr="00D337FA">
        <w:rPr>
          <w:szCs w:val="24"/>
          <w:shd w:val="clear" w:color="auto" w:fill="FFFFFF"/>
        </w:rPr>
        <w:t xml:space="preserve"> </w:t>
      </w:r>
      <w:r w:rsidRPr="00D337FA">
        <w:rPr>
          <w:szCs w:val="24"/>
          <w:shd w:val="clear" w:color="auto" w:fill="FFFFFF"/>
        </w:rPr>
        <w:t>множественные</w:t>
      </w:r>
      <w:r w:rsidR="006C680D" w:rsidRPr="00D337FA">
        <w:rPr>
          <w:szCs w:val="24"/>
          <w:shd w:val="clear" w:color="auto" w:fill="FFFFFF"/>
        </w:rPr>
        <w:t xml:space="preserve"> </w:t>
      </w:r>
      <w:r w:rsidRPr="00D337FA">
        <w:rPr>
          <w:szCs w:val="24"/>
          <w:shd w:val="clear" w:color="auto" w:fill="FFFFFF"/>
        </w:rPr>
        <w:t>торговые</w:t>
      </w:r>
      <w:r w:rsidR="006C680D" w:rsidRPr="00D337FA">
        <w:rPr>
          <w:szCs w:val="24"/>
          <w:shd w:val="clear" w:color="auto" w:fill="FFFFFF"/>
        </w:rPr>
        <w:t xml:space="preserve"> </w:t>
      </w:r>
      <w:r w:rsidRPr="00D337FA">
        <w:rPr>
          <w:szCs w:val="24"/>
          <w:shd w:val="clear" w:color="auto" w:fill="FFFFFF"/>
        </w:rPr>
        <w:t>барьеры,</w:t>
      </w:r>
      <w:r w:rsidR="006C680D" w:rsidRPr="00D337FA">
        <w:rPr>
          <w:szCs w:val="24"/>
          <w:shd w:val="clear" w:color="auto" w:fill="FFFFFF"/>
        </w:rPr>
        <w:t xml:space="preserve"> </w:t>
      </w:r>
      <w:r w:rsidRPr="00D337FA">
        <w:rPr>
          <w:szCs w:val="24"/>
          <w:shd w:val="clear" w:color="auto" w:fill="FFFFFF"/>
        </w:rPr>
        <w:t>введенные</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последние</w:t>
      </w:r>
      <w:r w:rsidR="006C680D" w:rsidRPr="00D337FA">
        <w:rPr>
          <w:szCs w:val="24"/>
          <w:shd w:val="clear" w:color="auto" w:fill="FFFFFF"/>
        </w:rPr>
        <w:t xml:space="preserve"> </w:t>
      </w:r>
      <w:r w:rsidRPr="00D337FA">
        <w:rPr>
          <w:szCs w:val="24"/>
          <w:shd w:val="clear" w:color="auto" w:fill="FFFFFF"/>
        </w:rPr>
        <w:t>несколько</w:t>
      </w:r>
      <w:r w:rsidR="006C680D" w:rsidRPr="00D337FA">
        <w:rPr>
          <w:szCs w:val="24"/>
          <w:shd w:val="clear" w:color="auto" w:fill="FFFFFF"/>
        </w:rPr>
        <w:t xml:space="preserve"> </w:t>
      </w:r>
      <w:r w:rsidRPr="00D337FA">
        <w:rPr>
          <w:szCs w:val="24"/>
          <w:shd w:val="clear" w:color="auto" w:fill="FFFFFF"/>
        </w:rPr>
        <w:t>лет,</w:t>
      </w:r>
      <w:r w:rsidR="006C680D" w:rsidRPr="00D337FA">
        <w:rPr>
          <w:szCs w:val="24"/>
          <w:shd w:val="clear" w:color="auto" w:fill="FFFFFF"/>
        </w:rPr>
        <w:t xml:space="preserve"> </w:t>
      </w:r>
      <w:r w:rsidRPr="00D337FA">
        <w:rPr>
          <w:szCs w:val="24"/>
          <w:shd w:val="clear" w:color="auto" w:fill="FFFFFF"/>
        </w:rPr>
        <w:t>нанесли</w:t>
      </w:r>
      <w:r w:rsidR="006C680D" w:rsidRPr="00D337FA">
        <w:rPr>
          <w:szCs w:val="24"/>
          <w:shd w:val="clear" w:color="auto" w:fill="FFFFFF"/>
        </w:rPr>
        <w:t xml:space="preserve"> </w:t>
      </w:r>
      <w:r w:rsidRPr="00D337FA">
        <w:rPr>
          <w:szCs w:val="24"/>
          <w:shd w:val="clear" w:color="auto" w:fill="FFFFFF"/>
        </w:rPr>
        <w:t>серьёзный</w:t>
      </w:r>
      <w:r w:rsidR="006C680D" w:rsidRPr="00D337FA">
        <w:rPr>
          <w:szCs w:val="24"/>
          <w:shd w:val="clear" w:color="auto" w:fill="FFFFFF"/>
        </w:rPr>
        <w:t xml:space="preserve"> </w:t>
      </w:r>
      <w:r w:rsidRPr="00D337FA">
        <w:rPr>
          <w:szCs w:val="24"/>
          <w:shd w:val="clear" w:color="auto" w:fill="FFFFFF"/>
        </w:rPr>
        <w:t>удар</w:t>
      </w:r>
      <w:r w:rsidR="006C680D" w:rsidRPr="00D337FA">
        <w:rPr>
          <w:szCs w:val="24"/>
          <w:shd w:val="clear" w:color="auto" w:fill="FFFFFF"/>
        </w:rPr>
        <w:t xml:space="preserve"> </w:t>
      </w:r>
      <w:r w:rsidRPr="00D337FA">
        <w:rPr>
          <w:szCs w:val="24"/>
          <w:shd w:val="clear" w:color="auto" w:fill="FFFFFF"/>
        </w:rPr>
        <w:t>по</w:t>
      </w:r>
      <w:r w:rsidR="006C680D" w:rsidRPr="00D337FA">
        <w:rPr>
          <w:szCs w:val="24"/>
          <w:shd w:val="clear" w:color="auto" w:fill="FFFFFF"/>
        </w:rPr>
        <w:t xml:space="preserve"> </w:t>
      </w:r>
      <w:r w:rsidRPr="00D337FA">
        <w:rPr>
          <w:szCs w:val="24"/>
          <w:shd w:val="clear" w:color="auto" w:fill="FFFFFF"/>
        </w:rPr>
        <w:t>продовольственным</w:t>
      </w:r>
      <w:r w:rsidR="006C680D" w:rsidRPr="00D337FA">
        <w:rPr>
          <w:szCs w:val="24"/>
          <w:shd w:val="clear" w:color="auto" w:fill="FFFFFF"/>
        </w:rPr>
        <w:t xml:space="preserve"> </w:t>
      </w:r>
      <w:r w:rsidRPr="00D337FA">
        <w:rPr>
          <w:szCs w:val="24"/>
          <w:shd w:val="clear" w:color="auto" w:fill="FFFFFF"/>
        </w:rPr>
        <w:t>потокам</w:t>
      </w:r>
      <w:r w:rsidR="006C680D" w:rsidRPr="00D337FA">
        <w:rPr>
          <w:szCs w:val="24"/>
          <w:shd w:val="clear" w:color="auto" w:fill="FFFFFF"/>
        </w:rPr>
        <w:t xml:space="preserve"> </w:t>
      </w:r>
      <w:r w:rsidRPr="00D337FA">
        <w:rPr>
          <w:szCs w:val="24"/>
          <w:shd w:val="clear" w:color="auto" w:fill="FFFFFF"/>
        </w:rPr>
        <w:t>не</w:t>
      </w:r>
      <w:r w:rsidR="006C680D" w:rsidRPr="00D337FA">
        <w:rPr>
          <w:szCs w:val="24"/>
          <w:shd w:val="clear" w:color="auto" w:fill="FFFFFF"/>
        </w:rPr>
        <w:t xml:space="preserve"> </w:t>
      </w:r>
      <w:r w:rsidRPr="00D337FA">
        <w:rPr>
          <w:szCs w:val="24"/>
          <w:shd w:val="clear" w:color="auto" w:fill="FFFFFF"/>
        </w:rPr>
        <w:t>только</w:t>
      </w:r>
      <w:r w:rsidR="006C680D" w:rsidRPr="00D337FA">
        <w:rPr>
          <w:szCs w:val="24"/>
          <w:shd w:val="clear" w:color="auto" w:fill="FFFFFF"/>
        </w:rPr>
        <w:t xml:space="preserve"> </w:t>
      </w:r>
      <w:r w:rsidRPr="00D337FA">
        <w:rPr>
          <w:szCs w:val="24"/>
          <w:shd w:val="clear" w:color="auto" w:fill="FFFFFF"/>
        </w:rPr>
        <w:t>стран,</w:t>
      </w:r>
      <w:r w:rsidR="006C680D" w:rsidRPr="00D337FA">
        <w:rPr>
          <w:szCs w:val="24"/>
          <w:shd w:val="clear" w:color="auto" w:fill="FFFFFF"/>
        </w:rPr>
        <w:t xml:space="preserve"> </w:t>
      </w:r>
      <w:r w:rsidRPr="00D337FA">
        <w:rPr>
          <w:szCs w:val="24"/>
          <w:shd w:val="clear" w:color="auto" w:fill="FFFFFF"/>
        </w:rPr>
        <w:t>являющихся</w:t>
      </w:r>
      <w:r w:rsidR="006C680D" w:rsidRPr="00D337FA">
        <w:rPr>
          <w:szCs w:val="24"/>
          <w:shd w:val="clear" w:color="auto" w:fill="FFFFFF"/>
        </w:rPr>
        <w:t xml:space="preserve"> </w:t>
      </w:r>
      <w:r w:rsidRPr="00D337FA">
        <w:rPr>
          <w:szCs w:val="24"/>
          <w:shd w:val="clear" w:color="auto" w:fill="FFFFFF"/>
        </w:rPr>
        <w:t>товаропрозводителями,</w:t>
      </w:r>
      <w:r w:rsidR="006C680D" w:rsidRPr="00D337FA">
        <w:rPr>
          <w:szCs w:val="24"/>
          <w:shd w:val="clear" w:color="auto" w:fill="FFFFFF"/>
        </w:rPr>
        <w:t xml:space="preserve"> </w:t>
      </w:r>
      <w:r w:rsidRPr="00D337FA">
        <w:rPr>
          <w:szCs w:val="24"/>
          <w:shd w:val="clear" w:color="auto" w:fill="FFFFFF"/>
        </w:rPr>
        <w:t>но</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стран-импортеров.</w:t>
      </w:r>
      <w:r w:rsidR="006C680D" w:rsidRPr="00D337FA">
        <w:rPr>
          <w:szCs w:val="24"/>
          <w:shd w:val="clear" w:color="auto" w:fill="FFFFFF"/>
        </w:rPr>
        <w:t xml:space="preserve"> </w:t>
      </w:r>
      <w:r w:rsidRPr="00D337FA">
        <w:rPr>
          <w:szCs w:val="24"/>
          <w:shd w:val="clear" w:color="auto" w:fill="FFFFFF"/>
        </w:rPr>
        <w:t>Неустойчивое</w:t>
      </w:r>
      <w:r w:rsidR="006C680D" w:rsidRPr="00D337FA">
        <w:rPr>
          <w:szCs w:val="24"/>
          <w:shd w:val="clear" w:color="auto" w:fill="FFFFFF"/>
        </w:rPr>
        <w:t xml:space="preserve"> </w:t>
      </w:r>
      <w:r w:rsidRPr="00D337FA">
        <w:rPr>
          <w:szCs w:val="24"/>
          <w:shd w:val="clear" w:color="auto" w:fill="FFFFFF"/>
        </w:rPr>
        <w:t>состояние</w:t>
      </w:r>
      <w:r w:rsidR="006C680D" w:rsidRPr="00D337FA">
        <w:rPr>
          <w:szCs w:val="24"/>
          <w:shd w:val="clear" w:color="auto" w:fill="FFFFFF"/>
        </w:rPr>
        <w:t xml:space="preserve"> </w:t>
      </w:r>
      <w:r w:rsidRPr="00D337FA">
        <w:rPr>
          <w:szCs w:val="24"/>
          <w:shd w:val="clear" w:color="auto" w:fill="FFFFFF"/>
        </w:rPr>
        <w:t>внешних</w:t>
      </w:r>
      <w:r w:rsidR="006C680D" w:rsidRPr="00D337FA">
        <w:rPr>
          <w:szCs w:val="24"/>
          <w:shd w:val="clear" w:color="auto" w:fill="FFFFFF"/>
        </w:rPr>
        <w:t xml:space="preserve"> </w:t>
      </w:r>
      <w:r w:rsidRPr="00D337FA">
        <w:rPr>
          <w:szCs w:val="24"/>
          <w:shd w:val="clear" w:color="auto" w:fill="FFFFFF"/>
        </w:rPr>
        <w:t>рынков</w:t>
      </w:r>
      <w:r w:rsidR="006C680D" w:rsidRPr="00D337FA">
        <w:rPr>
          <w:szCs w:val="24"/>
          <w:shd w:val="clear" w:color="auto" w:fill="FFFFFF"/>
        </w:rPr>
        <w:t xml:space="preserve"> </w:t>
      </w:r>
      <w:r w:rsidRPr="00D337FA">
        <w:rPr>
          <w:szCs w:val="24"/>
          <w:shd w:val="clear" w:color="auto" w:fill="FFFFFF"/>
        </w:rPr>
        <w:t>исключило</w:t>
      </w:r>
      <w:r w:rsidR="006C680D" w:rsidRPr="00D337FA">
        <w:rPr>
          <w:szCs w:val="24"/>
          <w:shd w:val="clear" w:color="auto" w:fill="FFFFFF"/>
        </w:rPr>
        <w:t xml:space="preserve"> </w:t>
      </w:r>
      <w:r w:rsidRPr="00D337FA">
        <w:rPr>
          <w:szCs w:val="24"/>
          <w:shd w:val="clear" w:color="auto" w:fill="FFFFFF"/>
        </w:rPr>
        <w:t>возможность</w:t>
      </w:r>
      <w:r w:rsidR="006C680D" w:rsidRPr="00D337FA">
        <w:rPr>
          <w:szCs w:val="24"/>
          <w:shd w:val="clear" w:color="auto" w:fill="FFFFFF"/>
        </w:rPr>
        <w:t xml:space="preserve"> </w:t>
      </w:r>
      <w:r w:rsidRPr="00D337FA">
        <w:rPr>
          <w:szCs w:val="24"/>
          <w:shd w:val="clear" w:color="auto" w:fill="FFFFFF"/>
        </w:rPr>
        <w:t>для</w:t>
      </w:r>
      <w:r w:rsidR="006C680D" w:rsidRPr="00D337FA">
        <w:rPr>
          <w:szCs w:val="24"/>
          <w:shd w:val="clear" w:color="auto" w:fill="FFFFFF"/>
        </w:rPr>
        <w:t xml:space="preserve"> </w:t>
      </w:r>
      <w:r w:rsidRPr="00D337FA">
        <w:rPr>
          <w:szCs w:val="24"/>
          <w:shd w:val="clear" w:color="auto" w:fill="FFFFFF"/>
        </w:rPr>
        <w:t>какого-либо</w:t>
      </w:r>
      <w:r w:rsidR="006C680D" w:rsidRPr="00D337FA">
        <w:rPr>
          <w:szCs w:val="24"/>
          <w:shd w:val="clear" w:color="auto" w:fill="FFFFFF"/>
        </w:rPr>
        <w:t xml:space="preserve"> </w:t>
      </w:r>
      <w:r w:rsidRPr="00D337FA">
        <w:rPr>
          <w:szCs w:val="24"/>
          <w:shd w:val="clear" w:color="auto" w:fill="FFFFFF"/>
        </w:rPr>
        <w:t>государства</w:t>
      </w:r>
      <w:r w:rsidR="006C680D" w:rsidRPr="00D337FA">
        <w:rPr>
          <w:szCs w:val="24"/>
          <w:shd w:val="clear" w:color="auto" w:fill="FFFFFF"/>
        </w:rPr>
        <w:t xml:space="preserve"> </w:t>
      </w:r>
      <w:r w:rsidRPr="00D337FA">
        <w:rPr>
          <w:szCs w:val="24"/>
          <w:shd w:val="clear" w:color="auto" w:fill="FFFFFF"/>
        </w:rPr>
        <w:t>получить</w:t>
      </w:r>
      <w:r w:rsidR="006C680D" w:rsidRPr="00D337FA">
        <w:rPr>
          <w:szCs w:val="24"/>
          <w:shd w:val="clear" w:color="auto" w:fill="FFFFFF"/>
        </w:rPr>
        <w:t xml:space="preserve"> </w:t>
      </w:r>
      <w:r w:rsidRPr="00D337FA">
        <w:rPr>
          <w:szCs w:val="24"/>
          <w:shd w:val="clear" w:color="auto" w:fill="FFFFFF"/>
        </w:rPr>
        <w:t>выигрыш</w:t>
      </w:r>
      <w:r w:rsidR="006C680D" w:rsidRPr="00D337FA">
        <w:rPr>
          <w:szCs w:val="24"/>
          <w:shd w:val="clear" w:color="auto" w:fill="FFFFFF"/>
        </w:rPr>
        <w:t xml:space="preserve"> </w:t>
      </w:r>
      <w:r w:rsidRPr="00D337FA">
        <w:rPr>
          <w:szCs w:val="24"/>
          <w:shd w:val="clear" w:color="auto" w:fill="FFFFFF"/>
        </w:rPr>
        <w:t>из</w:t>
      </w:r>
      <w:r w:rsidR="006C680D" w:rsidRPr="00D337FA">
        <w:rPr>
          <w:szCs w:val="24"/>
          <w:shd w:val="clear" w:color="auto" w:fill="FFFFFF"/>
        </w:rPr>
        <w:t xml:space="preserve"> </w:t>
      </w:r>
      <w:r w:rsidRPr="00D337FA">
        <w:rPr>
          <w:szCs w:val="24"/>
          <w:shd w:val="clear" w:color="auto" w:fill="FFFFFF"/>
        </w:rPr>
        <w:t>сложившейся</w:t>
      </w:r>
      <w:r w:rsidR="006C680D" w:rsidRPr="00D337FA">
        <w:rPr>
          <w:szCs w:val="24"/>
          <w:shd w:val="clear" w:color="auto" w:fill="FFFFFF"/>
        </w:rPr>
        <w:t xml:space="preserve"> </w:t>
      </w:r>
      <w:r w:rsidRPr="00D337FA">
        <w:rPr>
          <w:szCs w:val="24"/>
          <w:shd w:val="clear" w:color="auto" w:fill="FFFFFF"/>
        </w:rPr>
        <w:t>ситуации,</w:t>
      </w:r>
      <w:r w:rsidR="006C680D" w:rsidRPr="00D337FA">
        <w:rPr>
          <w:szCs w:val="24"/>
          <w:shd w:val="clear" w:color="auto" w:fill="FFFFFF"/>
        </w:rPr>
        <w:t xml:space="preserve"> </w:t>
      </w:r>
      <w:r w:rsidRPr="00D337FA">
        <w:rPr>
          <w:szCs w:val="24"/>
          <w:shd w:val="clear" w:color="auto" w:fill="FFFFFF"/>
        </w:rPr>
        <w:t>то</w:t>
      </w:r>
      <w:r w:rsidR="006C680D" w:rsidRPr="00D337FA">
        <w:rPr>
          <w:szCs w:val="24"/>
          <w:shd w:val="clear" w:color="auto" w:fill="FFFFFF"/>
        </w:rPr>
        <w:t xml:space="preserve"> </w:t>
      </w:r>
      <w:r w:rsidRPr="00D337FA">
        <w:rPr>
          <w:szCs w:val="24"/>
          <w:shd w:val="clear" w:color="auto" w:fill="FFFFFF"/>
        </w:rPr>
        <w:t>есть</w:t>
      </w:r>
      <w:r w:rsidR="006C680D" w:rsidRPr="00D337FA">
        <w:rPr>
          <w:szCs w:val="24"/>
          <w:shd w:val="clear" w:color="auto" w:fill="FFFFFF"/>
        </w:rPr>
        <w:t xml:space="preserve"> </w:t>
      </w:r>
      <w:r w:rsidRPr="00D337FA">
        <w:rPr>
          <w:szCs w:val="24"/>
          <w:shd w:val="clear" w:color="auto" w:fill="FFFFFF"/>
        </w:rPr>
        <w:t>вне</w:t>
      </w:r>
      <w:r w:rsidR="006C680D" w:rsidRPr="00D337FA">
        <w:rPr>
          <w:szCs w:val="24"/>
          <w:shd w:val="clear" w:color="auto" w:fill="FFFFFF"/>
        </w:rPr>
        <w:t xml:space="preserve"> </w:t>
      </w:r>
      <w:r w:rsidRPr="00D337FA">
        <w:rPr>
          <w:szCs w:val="24"/>
          <w:shd w:val="clear" w:color="auto" w:fill="FFFFFF"/>
        </w:rPr>
        <w:t>зависимости:</w:t>
      </w:r>
      <w:r w:rsidR="006C680D" w:rsidRPr="00D337FA">
        <w:rPr>
          <w:szCs w:val="24"/>
          <w:shd w:val="clear" w:color="auto" w:fill="FFFFFF"/>
        </w:rPr>
        <w:t xml:space="preserve"> </w:t>
      </w:r>
      <w:r w:rsidRPr="00D337FA">
        <w:rPr>
          <w:szCs w:val="24"/>
          <w:shd w:val="clear" w:color="auto" w:fill="FFFFFF"/>
        </w:rPr>
        <w:t>вводились</w:t>
      </w:r>
      <w:r w:rsidR="006C680D" w:rsidRPr="00D337FA">
        <w:rPr>
          <w:szCs w:val="24"/>
          <w:shd w:val="clear" w:color="auto" w:fill="FFFFFF"/>
        </w:rPr>
        <w:t xml:space="preserve"> </w:t>
      </w:r>
      <w:r w:rsidRPr="00D337FA">
        <w:rPr>
          <w:szCs w:val="24"/>
          <w:shd w:val="clear" w:color="auto" w:fill="FFFFFF"/>
        </w:rPr>
        <w:t>ли</w:t>
      </w:r>
      <w:r w:rsidR="006C680D" w:rsidRPr="00D337FA">
        <w:rPr>
          <w:szCs w:val="24"/>
          <w:shd w:val="clear" w:color="auto" w:fill="FFFFFF"/>
        </w:rPr>
        <w:t xml:space="preserve"> </w:t>
      </w:r>
      <w:r w:rsidRPr="00D337FA">
        <w:rPr>
          <w:szCs w:val="24"/>
          <w:shd w:val="clear" w:color="auto" w:fill="FFFFFF"/>
        </w:rPr>
        <w:t>они</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отношении</w:t>
      </w:r>
      <w:r w:rsidR="006C680D" w:rsidRPr="00D337FA">
        <w:rPr>
          <w:szCs w:val="24"/>
          <w:shd w:val="clear" w:color="auto" w:fill="FFFFFF"/>
        </w:rPr>
        <w:t xml:space="preserve"> </w:t>
      </w:r>
      <w:r w:rsidRPr="00D337FA">
        <w:rPr>
          <w:szCs w:val="24"/>
          <w:shd w:val="clear" w:color="auto" w:fill="FFFFFF"/>
        </w:rPr>
        <w:t>страны</w:t>
      </w:r>
      <w:r w:rsidR="006C680D" w:rsidRPr="00D337FA">
        <w:rPr>
          <w:szCs w:val="24"/>
          <w:shd w:val="clear" w:color="auto" w:fill="FFFFFF"/>
        </w:rPr>
        <w:t xml:space="preserve"> </w:t>
      </w:r>
      <w:r w:rsidRPr="00D337FA">
        <w:rPr>
          <w:szCs w:val="24"/>
          <w:shd w:val="clear" w:color="auto" w:fill="FFFFFF"/>
        </w:rPr>
        <w:t>или</w:t>
      </w:r>
      <w:r w:rsidR="006C680D" w:rsidRPr="00D337FA">
        <w:rPr>
          <w:szCs w:val="24"/>
          <w:shd w:val="clear" w:color="auto" w:fill="FFFFFF"/>
        </w:rPr>
        <w:t xml:space="preserve"> </w:t>
      </w:r>
      <w:r w:rsidRPr="00D337FA">
        <w:rPr>
          <w:szCs w:val="24"/>
          <w:shd w:val="clear" w:color="auto" w:fill="FFFFFF"/>
        </w:rPr>
        <w:t>же</w:t>
      </w:r>
      <w:r w:rsidR="006C680D" w:rsidRPr="00D337FA">
        <w:rPr>
          <w:szCs w:val="24"/>
          <w:shd w:val="clear" w:color="auto" w:fill="FFFFFF"/>
        </w:rPr>
        <w:t xml:space="preserve"> </w:t>
      </w:r>
      <w:r w:rsidRPr="00D337FA">
        <w:rPr>
          <w:szCs w:val="24"/>
          <w:shd w:val="clear" w:color="auto" w:fill="FFFFFF"/>
        </w:rPr>
        <w:t>страной,</w:t>
      </w:r>
      <w:r w:rsidR="006C680D" w:rsidRPr="00D337FA">
        <w:rPr>
          <w:szCs w:val="24"/>
          <w:shd w:val="clear" w:color="auto" w:fill="FFFFFF"/>
        </w:rPr>
        <w:t xml:space="preserve"> </w:t>
      </w:r>
      <w:r w:rsidRPr="00D337FA">
        <w:rPr>
          <w:szCs w:val="24"/>
          <w:shd w:val="clear" w:color="auto" w:fill="FFFFFF"/>
        </w:rPr>
        <w:t>проигравшими</w:t>
      </w:r>
      <w:r w:rsidR="006C680D" w:rsidRPr="00D337FA">
        <w:rPr>
          <w:szCs w:val="24"/>
          <w:shd w:val="clear" w:color="auto" w:fill="FFFFFF"/>
        </w:rPr>
        <w:t xml:space="preserve"> </w:t>
      </w:r>
      <w:r w:rsidRPr="00D337FA">
        <w:rPr>
          <w:szCs w:val="24"/>
          <w:shd w:val="clear" w:color="auto" w:fill="FFFFFF"/>
        </w:rPr>
        <w:t>будут</w:t>
      </w:r>
      <w:r w:rsidR="006C680D" w:rsidRPr="00D337FA">
        <w:rPr>
          <w:szCs w:val="24"/>
          <w:shd w:val="clear" w:color="auto" w:fill="FFFFFF"/>
        </w:rPr>
        <w:t xml:space="preserve"> </w:t>
      </w:r>
      <w:r w:rsidRPr="00D337FA">
        <w:rPr>
          <w:szCs w:val="24"/>
          <w:shd w:val="clear" w:color="auto" w:fill="FFFFFF"/>
        </w:rPr>
        <w:t>обе</w:t>
      </w:r>
      <w:r w:rsidR="006C680D" w:rsidRPr="00D337FA">
        <w:rPr>
          <w:szCs w:val="24"/>
          <w:shd w:val="clear" w:color="auto" w:fill="FFFFFF"/>
        </w:rPr>
        <w:t xml:space="preserve"> </w:t>
      </w:r>
      <w:r w:rsidRPr="00D337FA">
        <w:rPr>
          <w:szCs w:val="24"/>
          <w:shd w:val="clear" w:color="auto" w:fill="FFFFFF"/>
        </w:rPr>
        <w:t>стороны.</w:t>
      </w:r>
      <w:r w:rsidR="006C680D" w:rsidRPr="00D337FA">
        <w:rPr>
          <w:szCs w:val="24"/>
          <w:shd w:val="clear" w:color="auto" w:fill="FFFFFF"/>
        </w:rPr>
        <w:t xml:space="preserve"> </w:t>
      </w:r>
      <w:r w:rsidRPr="00D337FA">
        <w:rPr>
          <w:szCs w:val="24"/>
          <w:shd w:val="clear" w:color="auto" w:fill="FFFFFF"/>
        </w:rPr>
        <w:t>Всё</w:t>
      </w:r>
      <w:r w:rsidR="006C680D" w:rsidRPr="00D337FA">
        <w:rPr>
          <w:szCs w:val="24"/>
          <w:shd w:val="clear" w:color="auto" w:fill="FFFFFF"/>
        </w:rPr>
        <w:t xml:space="preserve"> </w:t>
      </w:r>
      <w:r w:rsidRPr="00D337FA">
        <w:rPr>
          <w:szCs w:val="24"/>
          <w:shd w:val="clear" w:color="auto" w:fill="FFFFFF"/>
        </w:rPr>
        <w:t>это</w:t>
      </w:r>
      <w:r w:rsidR="006C680D" w:rsidRPr="00D337FA">
        <w:rPr>
          <w:szCs w:val="24"/>
          <w:shd w:val="clear" w:color="auto" w:fill="FFFFFF"/>
        </w:rPr>
        <w:t xml:space="preserve"> </w:t>
      </w:r>
      <w:r w:rsidRPr="00D337FA">
        <w:rPr>
          <w:szCs w:val="24"/>
          <w:shd w:val="clear" w:color="auto" w:fill="FFFFFF"/>
        </w:rPr>
        <w:t>ещё</w:t>
      </w:r>
      <w:r w:rsidR="006C680D" w:rsidRPr="00D337FA">
        <w:rPr>
          <w:szCs w:val="24"/>
          <w:shd w:val="clear" w:color="auto" w:fill="FFFFFF"/>
        </w:rPr>
        <w:t xml:space="preserve"> </w:t>
      </w:r>
      <w:r w:rsidRPr="00D337FA">
        <w:rPr>
          <w:szCs w:val="24"/>
          <w:shd w:val="clear" w:color="auto" w:fill="FFFFFF"/>
        </w:rPr>
        <w:t>больше</w:t>
      </w:r>
      <w:r w:rsidR="006C680D" w:rsidRPr="00D337FA">
        <w:rPr>
          <w:szCs w:val="24"/>
          <w:shd w:val="clear" w:color="auto" w:fill="FFFFFF"/>
        </w:rPr>
        <w:t xml:space="preserve"> </w:t>
      </w:r>
      <w:r w:rsidRPr="00D337FA">
        <w:rPr>
          <w:szCs w:val="24"/>
          <w:shd w:val="clear" w:color="auto" w:fill="FFFFFF"/>
        </w:rPr>
        <w:t>подтолкнуло</w:t>
      </w:r>
      <w:r w:rsidR="006C680D" w:rsidRPr="00D337FA">
        <w:rPr>
          <w:szCs w:val="24"/>
          <w:shd w:val="clear" w:color="auto" w:fill="FFFFFF"/>
        </w:rPr>
        <w:t xml:space="preserve"> </w:t>
      </w:r>
      <w:r w:rsidRPr="00D337FA">
        <w:rPr>
          <w:szCs w:val="24"/>
          <w:shd w:val="clear" w:color="auto" w:fill="FFFFFF"/>
        </w:rPr>
        <w:t>развивающиеся</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развитые</w:t>
      </w:r>
      <w:r w:rsidR="006C680D" w:rsidRPr="00D337FA">
        <w:rPr>
          <w:szCs w:val="24"/>
          <w:shd w:val="clear" w:color="auto" w:fill="FFFFFF"/>
        </w:rPr>
        <w:t xml:space="preserve"> </w:t>
      </w:r>
      <w:r w:rsidRPr="00D337FA">
        <w:rPr>
          <w:szCs w:val="24"/>
          <w:shd w:val="clear" w:color="auto" w:fill="FFFFFF"/>
        </w:rPr>
        <w:t>государства</w:t>
      </w:r>
      <w:r w:rsidR="006C680D" w:rsidRPr="00D337FA">
        <w:rPr>
          <w:szCs w:val="24"/>
          <w:shd w:val="clear" w:color="auto" w:fill="FFFFFF"/>
        </w:rPr>
        <w:t xml:space="preserve"> </w:t>
      </w:r>
      <w:r w:rsidRPr="00D337FA">
        <w:rPr>
          <w:szCs w:val="24"/>
          <w:shd w:val="clear" w:color="auto" w:fill="FFFFFF"/>
        </w:rPr>
        <w:t>к</w:t>
      </w:r>
      <w:r w:rsidR="006C680D" w:rsidRPr="00D337FA">
        <w:rPr>
          <w:szCs w:val="24"/>
          <w:shd w:val="clear" w:color="auto" w:fill="FFFFFF"/>
        </w:rPr>
        <w:t xml:space="preserve"> </w:t>
      </w:r>
      <w:r w:rsidRPr="00D337FA">
        <w:rPr>
          <w:szCs w:val="24"/>
          <w:shd w:val="clear" w:color="auto" w:fill="FFFFFF"/>
        </w:rPr>
        <w:t>поиску</w:t>
      </w:r>
      <w:r w:rsidR="006C680D" w:rsidRPr="00D337FA">
        <w:rPr>
          <w:szCs w:val="24"/>
          <w:shd w:val="clear" w:color="auto" w:fill="FFFFFF"/>
        </w:rPr>
        <w:t xml:space="preserve"> </w:t>
      </w:r>
      <w:r w:rsidRPr="00D337FA">
        <w:rPr>
          <w:szCs w:val="24"/>
          <w:shd w:val="clear" w:color="auto" w:fill="FFFFFF"/>
        </w:rPr>
        <w:t>новых</w:t>
      </w:r>
      <w:r w:rsidR="006C680D" w:rsidRPr="00D337FA">
        <w:rPr>
          <w:szCs w:val="24"/>
          <w:shd w:val="clear" w:color="auto" w:fill="FFFFFF"/>
        </w:rPr>
        <w:t xml:space="preserve"> </w:t>
      </w:r>
      <w:r w:rsidRPr="00D337FA">
        <w:rPr>
          <w:szCs w:val="24"/>
          <w:shd w:val="clear" w:color="auto" w:fill="FFFFFF"/>
        </w:rPr>
        <w:t>надёжных</w:t>
      </w:r>
      <w:r w:rsidR="006C680D" w:rsidRPr="00D337FA">
        <w:rPr>
          <w:szCs w:val="24"/>
          <w:shd w:val="clear" w:color="auto" w:fill="FFFFFF"/>
        </w:rPr>
        <w:t xml:space="preserve"> </w:t>
      </w:r>
      <w:r w:rsidRPr="00D337FA">
        <w:rPr>
          <w:szCs w:val="24"/>
          <w:shd w:val="clear" w:color="auto" w:fill="FFFFFF"/>
        </w:rPr>
        <w:t>партнёрств.</w:t>
      </w:r>
      <w:r w:rsidR="006C680D" w:rsidRPr="00D337FA">
        <w:rPr>
          <w:szCs w:val="24"/>
          <w:shd w:val="clear" w:color="auto" w:fill="FFFFFF"/>
        </w:rPr>
        <w:t xml:space="preserve"> </w:t>
      </w:r>
      <w:r w:rsidRPr="00D337FA">
        <w:rPr>
          <w:szCs w:val="24"/>
          <w:shd w:val="clear" w:color="auto" w:fill="FFFFFF"/>
        </w:rPr>
        <w:t>Таким</w:t>
      </w:r>
      <w:r w:rsidR="006C680D" w:rsidRPr="00D337FA">
        <w:rPr>
          <w:szCs w:val="24"/>
          <w:shd w:val="clear" w:color="auto" w:fill="FFFFFF"/>
        </w:rPr>
        <w:t xml:space="preserve"> </w:t>
      </w:r>
      <w:r w:rsidRPr="00D337FA">
        <w:rPr>
          <w:szCs w:val="24"/>
          <w:shd w:val="clear" w:color="auto" w:fill="FFFFFF"/>
        </w:rPr>
        <w:t>образом,</w:t>
      </w:r>
      <w:r w:rsidR="006C680D" w:rsidRPr="00D337FA">
        <w:rPr>
          <w:szCs w:val="24"/>
          <w:shd w:val="clear" w:color="auto" w:fill="FFFFFF"/>
        </w:rPr>
        <w:t xml:space="preserve"> </w:t>
      </w:r>
      <w:r w:rsidRPr="00D337FA">
        <w:rPr>
          <w:szCs w:val="24"/>
          <w:shd w:val="clear" w:color="auto" w:fill="FFFFFF"/>
        </w:rPr>
        <w:t>государственное</w:t>
      </w:r>
      <w:r w:rsidR="006C680D" w:rsidRPr="00D337FA">
        <w:rPr>
          <w:szCs w:val="24"/>
          <w:shd w:val="clear" w:color="auto" w:fill="FFFFFF"/>
        </w:rPr>
        <w:t xml:space="preserve"> </w:t>
      </w:r>
      <w:r w:rsidRPr="00D337FA">
        <w:rPr>
          <w:szCs w:val="24"/>
          <w:shd w:val="clear" w:color="auto" w:fill="FFFFFF"/>
        </w:rPr>
        <w:t>регулирование</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поддержка</w:t>
      </w:r>
      <w:r w:rsidR="006C680D" w:rsidRPr="00D337FA">
        <w:rPr>
          <w:szCs w:val="24"/>
          <w:shd w:val="clear" w:color="auto" w:fill="FFFFFF"/>
        </w:rPr>
        <w:t xml:space="preserve"> </w:t>
      </w:r>
      <w:r w:rsidRPr="00D337FA">
        <w:rPr>
          <w:szCs w:val="24"/>
          <w:shd w:val="clear" w:color="auto" w:fill="FFFFFF"/>
        </w:rPr>
        <w:t>являются</w:t>
      </w:r>
      <w:r w:rsidR="006C680D" w:rsidRPr="00D337FA">
        <w:rPr>
          <w:szCs w:val="24"/>
          <w:shd w:val="clear" w:color="auto" w:fill="FFFFFF"/>
        </w:rPr>
        <w:t xml:space="preserve"> </w:t>
      </w:r>
      <w:r w:rsidRPr="00D337FA">
        <w:rPr>
          <w:szCs w:val="24"/>
          <w:shd w:val="clear" w:color="auto" w:fill="FFFFFF"/>
        </w:rPr>
        <w:t>главными</w:t>
      </w:r>
      <w:r w:rsidR="006C680D" w:rsidRPr="00D337FA">
        <w:rPr>
          <w:szCs w:val="24"/>
          <w:shd w:val="clear" w:color="auto" w:fill="FFFFFF"/>
        </w:rPr>
        <w:t xml:space="preserve"> </w:t>
      </w:r>
      <w:r w:rsidRPr="00D337FA">
        <w:rPr>
          <w:szCs w:val="24"/>
          <w:shd w:val="clear" w:color="auto" w:fill="FFFFFF"/>
        </w:rPr>
        <w:t>компонентами</w:t>
      </w:r>
      <w:r w:rsidR="006C680D" w:rsidRPr="00D337FA">
        <w:rPr>
          <w:szCs w:val="24"/>
          <w:shd w:val="clear" w:color="auto" w:fill="FFFFFF"/>
        </w:rPr>
        <w:t xml:space="preserve"> </w:t>
      </w:r>
      <w:r w:rsidRPr="00D337FA">
        <w:rPr>
          <w:szCs w:val="24"/>
          <w:shd w:val="clear" w:color="auto" w:fill="FFFFFF"/>
        </w:rPr>
        <w:t>для</w:t>
      </w:r>
      <w:r w:rsidR="006C680D" w:rsidRPr="00D337FA">
        <w:rPr>
          <w:szCs w:val="24"/>
          <w:shd w:val="clear" w:color="auto" w:fill="FFFFFF"/>
        </w:rPr>
        <w:t xml:space="preserve"> </w:t>
      </w:r>
      <w:r w:rsidRPr="00D337FA">
        <w:rPr>
          <w:szCs w:val="24"/>
          <w:shd w:val="clear" w:color="auto" w:fill="FFFFFF"/>
        </w:rPr>
        <w:t>увеличения</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устойчивого</w:t>
      </w:r>
      <w:r w:rsidR="006C680D" w:rsidRPr="00D337FA">
        <w:rPr>
          <w:szCs w:val="24"/>
          <w:shd w:val="clear" w:color="auto" w:fill="FFFFFF"/>
        </w:rPr>
        <w:t xml:space="preserve"> </w:t>
      </w:r>
      <w:r w:rsidRPr="00D337FA">
        <w:rPr>
          <w:szCs w:val="24"/>
          <w:shd w:val="clear" w:color="auto" w:fill="FFFFFF"/>
        </w:rPr>
        <w:t>развития</w:t>
      </w:r>
      <w:r w:rsidR="006C680D" w:rsidRPr="00D337FA">
        <w:rPr>
          <w:szCs w:val="24"/>
          <w:shd w:val="clear" w:color="auto" w:fill="FFFFFF"/>
        </w:rPr>
        <w:t xml:space="preserve"> </w:t>
      </w:r>
      <w:r w:rsidRPr="00D337FA">
        <w:rPr>
          <w:szCs w:val="24"/>
          <w:shd w:val="clear" w:color="auto" w:fill="FFFFFF"/>
        </w:rPr>
        <w:t>всего</w:t>
      </w:r>
      <w:r w:rsidR="006C680D" w:rsidRPr="00D337FA">
        <w:rPr>
          <w:szCs w:val="24"/>
          <w:shd w:val="clear" w:color="auto" w:fill="FFFFFF"/>
        </w:rPr>
        <w:t xml:space="preserve"> </w:t>
      </w:r>
      <w:r w:rsidRPr="00D337FA">
        <w:rPr>
          <w:szCs w:val="24"/>
          <w:shd w:val="clear" w:color="auto" w:fill="FFFFFF"/>
        </w:rPr>
        <w:t>агропромышленного</w:t>
      </w:r>
      <w:r w:rsidR="006C680D" w:rsidRPr="00D337FA">
        <w:rPr>
          <w:szCs w:val="24"/>
          <w:shd w:val="clear" w:color="auto" w:fill="FFFFFF"/>
        </w:rPr>
        <w:t xml:space="preserve"> </w:t>
      </w:r>
      <w:r w:rsidRPr="00D337FA">
        <w:rPr>
          <w:szCs w:val="24"/>
          <w:shd w:val="clear" w:color="auto" w:fill="FFFFFF"/>
        </w:rPr>
        <w:t>комплекса</w:t>
      </w:r>
      <w:r w:rsidR="006C680D" w:rsidRPr="00D337FA">
        <w:rPr>
          <w:szCs w:val="24"/>
          <w:shd w:val="clear" w:color="auto" w:fill="FFFFFF"/>
        </w:rPr>
        <w:t xml:space="preserve"> </w:t>
      </w:r>
      <w:r w:rsidRPr="00D337FA">
        <w:rPr>
          <w:szCs w:val="24"/>
          <w:shd w:val="clear" w:color="auto" w:fill="FFFFFF"/>
        </w:rPr>
        <w:t>[5].</w:t>
      </w:r>
    </w:p>
    <w:p w:rsidR="00CC397F" w:rsidRPr="00D337FA" w:rsidRDefault="00CC397F" w:rsidP="00544DD6">
      <w:pPr>
        <w:ind w:firstLine="284"/>
        <w:rPr>
          <w:szCs w:val="24"/>
          <w:shd w:val="clear" w:color="auto" w:fill="FFFFFF"/>
        </w:rPr>
      </w:pPr>
      <w:r w:rsidRPr="00D337FA">
        <w:rPr>
          <w:szCs w:val="24"/>
          <w:shd w:val="clear" w:color="auto" w:fill="FFFFFF"/>
        </w:rPr>
        <w:t>Общую</w:t>
      </w:r>
      <w:r w:rsidR="006C680D" w:rsidRPr="00D337FA">
        <w:rPr>
          <w:szCs w:val="24"/>
          <w:shd w:val="clear" w:color="auto" w:fill="FFFFFF"/>
        </w:rPr>
        <w:t xml:space="preserve"> </w:t>
      </w:r>
      <w:r w:rsidRPr="00D337FA">
        <w:rPr>
          <w:szCs w:val="24"/>
          <w:shd w:val="clear" w:color="auto" w:fill="FFFFFF"/>
        </w:rPr>
        <w:t>тенденцию</w:t>
      </w:r>
      <w:r w:rsidR="006C680D" w:rsidRPr="00D337FA">
        <w:rPr>
          <w:szCs w:val="24"/>
          <w:shd w:val="clear" w:color="auto" w:fill="FFFFFF"/>
        </w:rPr>
        <w:t xml:space="preserve"> </w:t>
      </w:r>
      <w:r w:rsidRPr="00D337FA">
        <w:rPr>
          <w:szCs w:val="24"/>
          <w:shd w:val="clear" w:color="auto" w:fill="FFFFFF"/>
        </w:rPr>
        <w:t>государственной</w:t>
      </w:r>
      <w:r w:rsidR="006C680D" w:rsidRPr="00D337FA">
        <w:rPr>
          <w:szCs w:val="24"/>
          <w:shd w:val="clear" w:color="auto" w:fill="FFFFFF"/>
        </w:rPr>
        <w:t xml:space="preserve"> </w:t>
      </w:r>
      <w:r w:rsidRPr="00D337FA">
        <w:rPr>
          <w:szCs w:val="24"/>
          <w:shd w:val="clear" w:color="auto" w:fill="FFFFFF"/>
        </w:rPr>
        <w:t>поддержки</w:t>
      </w:r>
      <w:r w:rsidR="006C680D" w:rsidRPr="00D337FA">
        <w:rPr>
          <w:szCs w:val="24"/>
          <w:shd w:val="clear" w:color="auto" w:fill="FFFFFF"/>
        </w:rPr>
        <w:t xml:space="preserve"> </w:t>
      </w:r>
      <w:r w:rsidRPr="00D337FA">
        <w:rPr>
          <w:szCs w:val="24"/>
          <w:shd w:val="clear" w:color="auto" w:fill="FFFFFF"/>
        </w:rPr>
        <w:t>сельского</w:t>
      </w:r>
      <w:r w:rsidR="006C680D" w:rsidRPr="00D337FA">
        <w:rPr>
          <w:szCs w:val="24"/>
          <w:shd w:val="clear" w:color="auto" w:fill="FFFFFF"/>
        </w:rPr>
        <w:t xml:space="preserve"> </w:t>
      </w:r>
      <w:r w:rsidRPr="00D337FA">
        <w:rPr>
          <w:szCs w:val="24"/>
          <w:shd w:val="clear" w:color="auto" w:fill="FFFFFF"/>
        </w:rPr>
        <w:t>хозяйства</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современных</w:t>
      </w:r>
      <w:r w:rsidR="006C680D" w:rsidRPr="00D337FA">
        <w:rPr>
          <w:szCs w:val="24"/>
          <w:shd w:val="clear" w:color="auto" w:fill="FFFFFF"/>
        </w:rPr>
        <w:t xml:space="preserve"> </w:t>
      </w:r>
      <w:r w:rsidRPr="00D337FA">
        <w:rPr>
          <w:szCs w:val="24"/>
          <w:shd w:val="clear" w:color="auto" w:fill="FFFFFF"/>
        </w:rPr>
        <w:t>условиях</w:t>
      </w:r>
      <w:r w:rsidR="006C680D" w:rsidRPr="00D337FA">
        <w:rPr>
          <w:szCs w:val="24"/>
          <w:shd w:val="clear" w:color="auto" w:fill="FFFFFF"/>
        </w:rPr>
        <w:t xml:space="preserve"> </w:t>
      </w:r>
      <w:r w:rsidRPr="00D337FA">
        <w:rPr>
          <w:szCs w:val="24"/>
          <w:shd w:val="clear" w:color="auto" w:fill="FFFFFF"/>
        </w:rPr>
        <w:t>можно</w:t>
      </w:r>
      <w:r w:rsidR="006C680D" w:rsidRPr="00D337FA">
        <w:rPr>
          <w:szCs w:val="24"/>
          <w:shd w:val="clear" w:color="auto" w:fill="FFFFFF"/>
        </w:rPr>
        <w:t xml:space="preserve"> </w:t>
      </w:r>
      <w:r w:rsidRPr="00D337FA">
        <w:rPr>
          <w:szCs w:val="24"/>
          <w:shd w:val="clear" w:color="auto" w:fill="FFFFFF"/>
        </w:rPr>
        <w:t>охарактеризовать</w:t>
      </w:r>
      <w:r w:rsidR="006C680D" w:rsidRPr="00D337FA">
        <w:rPr>
          <w:szCs w:val="24"/>
          <w:shd w:val="clear" w:color="auto" w:fill="FFFFFF"/>
        </w:rPr>
        <w:t xml:space="preserve"> </w:t>
      </w:r>
      <w:r w:rsidRPr="00D337FA">
        <w:rPr>
          <w:szCs w:val="24"/>
          <w:shd w:val="clear" w:color="auto" w:fill="FFFFFF"/>
        </w:rPr>
        <w:t>как</w:t>
      </w:r>
      <w:r w:rsidR="006C680D" w:rsidRPr="00D337FA">
        <w:rPr>
          <w:szCs w:val="24"/>
          <w:shd w:val="clear" w:color="auto" w:fill="FFFFFF"/>
        </w:rPr>
        <w:t xml:space="preserve"> </w:t>
      </w:r>
      <w:r w:rsidRPr="00D337FA">
        <w:rPr>
          <w:szCs w:val="24"/>
          <w:shd w:val="clear" w:color="auto" w:fill="FFFFFF"/>
        </w:rPr>
        <w:t>неоднородную,</w:t>
      </w:r>
      <w:r w:rsidR="006C680D" w:rsidRPr="00D337FA">
        <w:rPr>
          <w:szCs w:val="24"/>
          <w:shd w:val="clear" w:color="auto" w:fill="FFFFFF"/>
        </w:rPr>
        <w:t xml:space="preserve"> </w:t>
      </w:r>
      <w:r w:rsidRPr="00D337FA">
        <w:rPr>
          <w:szCs w:val="24"/>
          <w:shd w:val="clear" w:color="auto" w:fill="FFFFFF"/>
        </w:rPr>
        <w:t>поскольку</w:t>
      </w:r>
      <w:r w:rsidR="006C680D" w:rsidRPr="00D337FA">
        <w:rPr>
          <w:szCs w:val="24"/>
          <w:shd w:val="clear" w:color="auto" w:fill="FFFFFF"/>
        </w:rPr>
        <w:t xml:space="preserve"> </w:t>
      </w:r>
      <w:r w:rsidRPr="00D337FA">
        <w:rPr>
          <w:szCs w:val="24"/>
          <w:shd w:val="clear" w:color="auto" w:fill="FFFFFF"/>
        </w:rPr>
        <w:t>некоторые</w:t>
      </w:r>
      <w:r w:rsidR="006C680D" w:rsidRPr="00D337FA">
        <w:rPr>
          <w:szCs w:val="24"/>
          <w:shd w:val="clear" w:color="auto" w:fill="FFFFFF"/>
        </w:rPr>
        <w:t xml:space="preserve"> </w:t>
      </w:r>
      <w:r w:rsidRPr="00D337FA">
        <w:rPr>
          <w:szCs w:val="24"/>
          <w:shd w:val="clear" w:color="auto" w:fill="FFFFFF"/>
        </w:rPr>
        <w:t>страны</w:t>
      </w:r>
      <w:r w:rsidR="006C680D" w:rsidRPr="00D337FA">
        <w:rPr>
          <w:szCs w:val="24"/>
          <w:shd w:val="clear" w:color="auto" w:fill="FFFFFF"/>
        </w:rPr>
        <w:t xml:space="preserve"> </w:t>
      </w:r>
      <w:r w:rsidRPr="00D337FA">
        <w:rPr>
          <w:szCs w:val="24"/>
          <w:shd w:val="clear" w:color="auto" w:fill="FFFFFF"/>
        </w:rPr>
        <w:t>за</w:t>
      </w:r>
      <w:r w:rsidR="006C680D" w:rsidRPr="00D337FA">
        <w:rPr>
          <w:szCs w:val="24"/>
          <w:shd w:val="clear" w:color="auto" w:fill="FFFFFF"/>
        </w:rPr>
        <w:t xml:space="preserve"> </w:t>
      </w:r>
      <w:r w:rsidRPr="00D337FA">
        <w:rPr>
          <w:szCs w:val="24"/>
          <w:shd w:val="clear" w:color="auto" w:fill="FFFFFF"/>
        </w:rPr>
        <w:t>последние</w:t>
      </w:r>
      <w:r w:rsidR="006C680D" w:rsidRPr="00D337FA">
        <w:rPr>
          <w:szCs w:val="24"/>
          <w:shd w:val="clear" w:color="auto" w:fill="FFFFFF"/>
        </w:rPr>
        <w:t xml:space="preserve"> </w:t>
      </w:r>
      <w:r w:rsidRPr="00D337FA">
        <w:rPr>
          <w:szCs w:val="24"/>
          <w:shd w:val="clear" w:color="auto" w:fill="FFFFFF"/>
        </w:rPr>
        <w:t>годы</w:t>
      </w:r>
      <w:r w:rsidR="006C680D" w:rsidRPr="00D337FA">
        <w:rPr>
          <w:szCs w:val="24"/>
          <w:shd w:val="clear" w:color="auto" w:fill="FFFFFF"/>
        </w:rPr>
        <w:t xml:space="preserve"> </w:t>
      </w:r>
      <w:r w:rsidRPr="00D337FA">
        <w:rPr>
          <w:szCs w:val="24"/>
          <w:shd w:val="clear" w:color="auto" w:fill="FFFFFF"/>
        </w:rPr>
        <w:t>сократили</w:t>
      </w:r>
      <w:r w:rsidR="006C680D" w:rsidRPr="00D337FA">
        <w:rPr>
          <w:szCs w:val="24"/>
          <w:shd w:val="clear" w:color="auto" w:fill="FFFFFF"/>
        </w:rPr>
        <w:t xml:space="preserve"> </w:t>
      </w:r>
      <w:r w:rsidRPr="00D337FA">
        <w:rPr>
          <w:szCs w:val="24"/>
          <w:shd w:val="clear" w:color="auto" w:fill="FFFFFF"/>
        </w:rPr>
        <w:t>её</w:t>
      </w:r>
      <w:r w:rsidR="006C680D" w:rsidRPr="00D337FA">
        <w:rPr>
          <w:szCs w:val="24"/>
          <w:shd w:val="clear" w:color="auto" w:fill="FFFFFF"/>
        </w:rPr>
        <w:t xml:space="preserve"> </w:t>
      </w:r>
      <w:r w:rsidRPr="00D337FA">
        <w:rPr>
          <w:szCs w:val="24"/>
          <w:shd w:val="clear" w:color="auto" w:fill="FFFFFF"/>
        </w:rPr>
        <w:t>объемы,</w:t>
      </w:r>
      <w:r w:rsidR="006C680D" w:rsidRPr="00D337FA">
        <w:rPr>
          <w:szCs w:val="24"/>
          <w:shd w:val="clear" w:color="auto" w:fill="FFFFFF"/>
        </w:rPr>
        <w:t xml:space="preserve"> </w:t>
      </w:r>
      <w:r w:rsidRPr="00D337FA">
        <w:rPr>
          <w:szCs w:val="24"/>
          <w:shd w:val="clear" w:color="auto" w:fill="FFFFFF"/>
        </w:rPr>
        <w:t>а</w:t>
      </w:r>
      <w:r w:rsidR="006C680D" w:rsidRPr="00D337FA">
        <w:rPr>
          <w:szCs w:val="24"/>
          <w:shd w:val="clear" w:color="auto" w:fill="FFFFFF"/>
        </w:rPr>
        <w:t xml:space="preserve"> </w:t>
      </w:r>
      <w:r w:rsidRPr="00D337FA">
        <w:rPr>
          <w:szCs w:val="24"/>
          <w:shd w:val="clear" w:color="auto" w:fill="FFFFFF"/>
        </w:rPr>
        <w:t>другие</w:t>
      </w:r>
      <w:r w:rsidR="006C680D" w:rsidRPr="00D337FA">
        <w:rPr>
          <w:szCs w:val="24"/>
          <w:shd w:val="clear" w:color="auto" w:fill="FFFFFF"/>
        </w:rPr>
        <w:t xml:space="preserve"> </w:t>
      </w:r>
      <w:r w:rsidRPr="00D337FA">
        <w:rPr>
          <w:szCs w:val="24"/>
          <w:shd w:val="clear" w:color="auto" w:fill="FFFFFF"/>
        </w:rPr>
        <w:t>–</w:t>
      </w:r>
      <w:r w:rsidR="006C680D" w:rsidRPr="00D337FA">
        <w:rPr>
          <w:szCs w:val="24"/>
          <w:shd w:val="clear" w:color="auto" w:fill="FFFFFF"/>
        </w:rPr>
        <w:t xml:space="preserve"> </w:t>
      </w:r>
      <w:r w:rsidRPr="00D337FA">
        <w:rPr>
          <w:szCs w:val="24"/>
          <w:shd w:val="clear" w:color="auto" w:fill="FFFFFF"/>
        </w:rPr>
        <w:t>продолжили</w:t>
      </w:r>
      <w:r w:rsidR="006C680D" w:rsidRPr="00D337FA">
        <w:rPr>
          <w:szCs w:val="24"/>
          <w:shd w:val="clear" w:color="auto" w:fill="FFFFFF"/>
        </w:rPr>
        <w:t xml:space="preserve"> </w:t>
      </w:r>
      <w:r w:rsidRPr="00D337FA">
        <w:rPr>
          <w:szCs w:val="24"/>
          <w:shd w:val="clear" w:color="auto" w:fill="FFFFFF"/>
        </w:rPr>
        <w:t>курс</w:t>
      </w:r>
      <w:r w:rsidR="006C680D" w:rsidRPr="00D337FA">
        <w:rPr>
          <w:szCs w:val="24"/>
          <w:shd w:val="clear" w:color="auto" w:fill="FFFFFF"/>
        </w:rPr>
        <w:t xml:space="preserve"> </w:t>
      </w:r>
      <w:r w:rsidRPr="00D337FA">
        <w:rPr>
          <w:szCs w:val="24"/>
          <w:shd w:val="clear" w:color="auto" w:fill="FFFFFF"/>
        </w:rPr>
        <w:t>на</w:t>
      </w:r>
      <w:r w:rsidR="006C680D" w:rsidRPr="00D337FA">
        <w:rPr>
          <w:szCs w:val="24"/>
          <w:shd w:val="clear" w:color="auto" w:fill="FFFFFF"/>
        </w:rPr>
        <w:t xml:space="preserve"> </w:t>
      </w:r>
      <w:r w:rsidRPr="00D337FA">
        <w:rPr>
          <w:szCs w:val="24"/>
          <w:shd w:val="clear" w:color="auto" w:fill="FFFFFF"/>
        </w:rPr>
        <w:t>стабильное</w:t>
      </w:r>
      <w:r w:rsidR="006C680D" w:rsidRPr="00D337FA">
        <w:rPr>
          <w:szCs w:val="24"/>
          <w:shd w:val="clear" w:color="auto" w:fill="FFFFFF"/>
        </w:rPr>
        <w:t xml:space="preserve"> </w:t>
      </w:r>
      <w:r w:rsidRPr="00D337FA">
        <w:rPr>
          <w:szCs w:val="24"/>
          <w:shd w:val="clear" w:color="auto" w:fill="FFFFFF"/>
        </w:rPr>
        <w:t>развитие</w:t>
      </w:r>
      <w:r w:rsidR="006C680D" w:rsidRPr="00D337FA">
        <w:rPr>
          <w:szCs w:val="24"/>
          <w:shd w:val="clear" w:color="auto" w:fill="FFFFFF"/>
        </w:rPr>
        <w:t xml:space="preserve"> </w:t>
      </w:r>
      <w:r w:rsidRPr="00D337FA">
        <w:rPr>
          <w:szCs w:val="24"/>
          <w:shd w:val="clear" w:color="auto" w:fill="FFFFFF"/>
        </w:rPr>
        <w:t>отрасли</w:t>
      </w:r>
      <w:r w:rsidR="006C680D" w:rsidRPr="00D337FA">
        <w:rPr>
          <w:szCs w:val="24"/>
          <w:shd w:val="clear" w:color="auto" w:fill="FFFFFF"/>
        </w:rPr>
        <w:t xml:space="preserve"> </w:t>
      </w:r>
      <w:r w:rsidRPr="00D337FA">
        <w:rPr>
          <w:szCs w:val="24"/>
          <w:shd w:val="clear" w:color="auto" w:fill="FFFFFF"/>
        </w:rPr>
        <w:t>(</w:t>
      </w:r>
      <w:r w:rsidR="00C8298C" w:rsidRPr="00D337FA">
        <w:rPr>
          <w:szCs w:val="24"/>
          <w:shd w:val="clear" w:color="auto" w:fill="FFFFFF"/>
        </w:rPr>
        <w:t>табл.</w:t>
      </w:r>
      <w:r w:rsidR="006C680D" w:rsidRPr="00D337FA">
        <w:rPr>
          <w:szCs w:val="24"/>
          <w:shd w:val="clear" w:color="auto" w:fill="FFFFFF"/>
        </w:rPr>
        <w:t xml:space="preserve"> </w:t>
      </w:r>
      <w:r w:rsidRPr="00D337FA">
        <w:rPr>
          <w:szCs w:val="24"/>
          <w:shd w:val="clear" w:color="auto" w:fill="FFFFFF"/>
        </w:rPr>
        <w:t>1).</w:t>
      </w:r>
      <w:r w:rsidR="006C680D" w:rsidRPr="00D337FA">
        <w:rPr>
          <w:szCs w:val="24"/>
          <w:shd w:val="clear" w:color="auto" w:fill="FFFFFF"/>
        </w:rPr>
        <w:t xml:space="preserve"> </w:t>
      </w:r>
      <w:r w:rsidRPr="00D337FA">
        <w:rPr>
          <w:szCs w:val="24"/>
          <w:shd w:val="clear" w:color="auto" w:fill="FFFFFF"/>
        </w:rPr>
        <w:t>Так,</w:t>
      </w:r>
      <w:r w:rsidR="006C680D" w:rsidRPr="00D337FA">
        <w:rPr>
          <w:szCs w:val="24"/>
          <w:shd w:val="clear" w:color="auto" w:fill="FFFFFF"/>
        </w:rPr>
        <w:t xml:space="preserve"> </w:t>
      </w:r>
      <w:r w:rsidRPr="00D337FA">
        <w:rPr>
          <w:szCs w:val="24"/>
          <w:shd w:val="clear" w:color="auto" w:fill="FFFFFF"/>
        </w:rPr>
        <w:t>например,</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Австралии,</w:t>
      </w:r>
      <w:r w:rsidR="006C680D" w:rsidRPr="00D337FA">
        <w:rPr>
          <w:szCs w:val="24"/>
          <w:shd w:val="clear" w:color="auto" w:fill="FFFFFF"/>
        </w:rPr>
        <w:t xml:space="preserve"> </w:t>
      </w:r>
      <w:r w:rsidRPr="00D337FA">
        <w:rPr>
          <w:szCs w:val="24"/>
          <w:shd w:val="clear" w:color="auto" w:fill="FFFFFF"/>
        </w:rPr>
        <w:t>Индии</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Китае</w:t>
      </w:r>
      <w:r w:rsidR="006C680D" w:rsidRPr="00D337FA">
        <w:rPr>
          <w:szCs w:val="24"/>
          <w:shd w:val="clear" w:color="auto" w:fill="FFFFFF"/>
        </w:rPr>
        <w:t xml:space="preserve"> </w:t>
      </w:r>
      <w:r w:rsidRPr="00D337FA">
        <w:rPr>
          <w:szCs w:val="24"/>
          <w:shd w:val="clear" w:color="auto" w:fill="FFFFFF"/>
        </w:rPr>
        <w:t>фиксируется</w:t>
      </w:r>
      <w:r w:rsidR="006C680D" w:rsidRPr="00D337FA">
        <w:rPr>
          <w:szCs w:val="24"/>
          <w:shd w:val="clear" w:color="auto" w:fill="FFFFFF"/>
        </w:rPr>
        <w:t xml:space="preserve"> </w:t>
      </w:r>
      <w:r w:rsidRPr="00D337FA">
        <w:rPr>
          <w:szCs w:val="24"/>
          <w:shd w:val="clear" w:color="auto" w:fill="FFFFFF"/>
        </w:rPr>
        <w:t>незначительное</w:t>
      </w:r>
      <w:r w:rsidR="006C680D" w:rsidRPr="00D337FA">
        <w:rPr>
          <w:szCs w:val="24"/>
          <w:shd w:val="clear" w:color="auto" w:fill="FFFFFF"/>
        </w:rPr>
        <w:t xml:space="preserve"> </w:t>
      </w:r>
      <w:r w:rsidRPr="00D337FA">
        <w:rPr>
          <w:szCs w:val="24"/>
          <w:shd w:val="clear" w:color="auto" w:fill="FFFFFF"/>
        </w:rPr>
        <w:t>сокращение</w:t>
      </w:r>
      <w:r w:rsidR="006C680D" w:rsidRPr="00D337FA">
        <w:rPr>
          <w:szCs w:val="24"/>
          <w:shd w:val="clear" w:color="auto" w:fill="FFFFFF"/>
        </w:rPr>
        <w:t xml:space="preserve"> </w:t>
      </w:r>
      <w:r w:rsidRPr="00D337FA">
        <w:rPr>
          <w:szCs w:val="24"/>
          <w:shd w:val="clear" w:color="auto" w:fill="FFFFFF"/>
        </w:rPr>
        <w:t>за</w:t>
      </w:r>
      <w:r w:rsidR="006C680D" w:rsidRPr="00D337FA">
        <w:rPr>
          <w:szCs w:val="24"/>
          <w:shd w:val="clear" w:color="auto" w:fill="FFFFFF"/>
        </w:rPr>
        <w:t xml:space="preserve"> </w:t>
      </w:r>
      <w:r w:rsidRPr="00D337FA">
        <w:rPr>
          <w:szCs w:val="24"/>
          <w:shd w:val="clear" w:color="auto" w:fill="FFFFFF"/>
        </w:rPr>
        <w:t>последние</w:t>
      </w:r>
      <w:r w:rsidR="006C680D" w:rsidRPr="00D337FA">
        <w:rPr>
          <w:szCs w:val="24"/>
          <w:shd w:val="clear" w:color="auto" w:fill="FFFFFF"/>
        </w:rPr>
        <w:t xml:space="preserve"> </w:t>
      </w:r>
      <w:r w:rsidRPr="00D337FA">
        <w:rPr>
          <w:szCs w:val="24"/>
          <w:shd w:val="clear" w:color="auto" w:fill="FFFFFF"/>
        </w:rPr>
        <w:t>годы.</w:t>
      </w:r>
      <w:r w:rsidR="006C680D" w:rsidRPr="00D337FA">
        <w:rPr>
          <w:szCs w:val="24"/>
          <w:shd w:val="clear" w:color="auto" w:fill="FFFFFF"/>
        </w:rPr>
        <w:t xml:space="preserve"> </w:t>
      </w:r>
      <w:r w:rsidRPr="00D337FA">
        <w:rPr>
          <w:szCs w:val="24"/>
          <w:shd w:val="clear" w:color="auto" w:fill="FFFFFF"/>
        </w:rPr>
        <w:t>Объем</w:t>
      </w:r>
      <w:r w:rsidR="006C680D" w:rsidRPr="00D337FA">
        <w:rPr>
          <w:szCs w:val="24"/>
          <w:shd w:val="clear" w:color="auto" w:fill="FFFFFF"/>
        </w:rPr>
        <w:t xml:space="preserve"> </w:t>
      </w:r>
      <w:r w:rsidRPr="00D337FA">
        <w:rPr>
          <w:szCs w:val="24"/>
          <w:shd w:val="clear" w:color="auto" w:fill="FFFFFF"/>
        </w:rPr>
        <w:t>субсидирования</w:t>
      </w:r>
      <w:r w:rsidR="006C680D" w:rsidRPr="00D337FA">
        <w:rPr>
          <w:szCs w:val="24"/>
          <w:shd w:val="clear" w:color="auto" w:fill="FFFFFF"/>
        </w:rPr>
        <w:t xml:space="preserve"> </w:t>
      </w:r>
      <w:r w:rsidRPr="00D337FA">
        <w:rPr>
          <w:szCs w:val="24"/>
          <w:shd w:val="clear" w:color="auto" w:fill="FFFFFF"/>
        </w:rPr>
        <w:t>снизился,</w:t>
      </w:r>
      <w:r w:rsidR="006C680D" w:rsidRPr="00D337FA">
        <w:rPr>
          <w:szCs w:val="24"/>
          <w:shd w:val="clear" w:color="auto" w:fill="FFFFFF"/>
        </w:rPr>
        <w:t xml:space="preserve"> </w:t>
      </w:r>
      <w:r w:rsidRPr="00D337FA">
        <w:rPr>
          <w:szCs w:val="24"/>
          <w:shd w:val="clear" w:color="auto" w:fill="FFFFFF"/>
        </w:rPr>
        <w:t>хотя</w:t>
      </w:r>
      <w:r w:rsidR="006C680D" w:rsidRPr="00D337FA">
        <w:rPr>
          <w:szCs w:val="24"/>
          <w:shd w:val="clear" w:color="auto" w:fill="FFFFFF"/>
        </w:rPr>
        <w:t xml:space="preserve"> </w:t>
      </w:r>
      <w:r w:rsidRPr="00D337FA">
        <w:rPr>
          <w:szCs w:val="24"/>
          <w:shd w:val="clear" w:color="auto" w:fill="FFFFFF"/>
        </w:rPr>
        <w:t>до</w:t>
      </w:r>
      <w:r w:rsidR="006C680D" w:rsidRPr="00D337FA">
        <w:rPr>
          <w:szCs w:val="24"/>
          <w:shd w:val="clear" w:color="auto" w:fill="FFFFFF"/>
        </w:rPr>
        <w:t xml:space="preserve"> </w:t>
      </w:r>
      <w:r w:rsidRPr="00D337FA">
        <w:rPr>
          <w:szCs w:val="24"/>
          <w:shd w:val="clear" w:color="auto" w:fill="FFFFFF"/>
        </w:rPr>
        <w:t>этого</w:t>
      </w:r>
      <w:r w:rsidR="006C680D" w:rsidRPr="00D337FA">
        <w:rPr>
          <w:szCs w:val="24"/>
          <w:shd w:val="clear" w:color="auto" w:fill="FFFFFF"/>
        </w:rPr>
        <w:t xml:space="preserve"> </w:t>
      </w:r>
      <w:r w:rsidRPr="00D337FA">
        <w:rPr>
          <w:szCs w:val="24"/>
          <w:shd w:val="clear" w:color="auto" w:fill="FFFFFF"/>
        </w:rPr>
        <w:t>демонстрировал</w:t>
      </w:r>
      <w:r w:rsidR="006C680D" w:rsidRPr="00D337FA">
        <w:rPr>
          <w:szCs w:val="24"/>
          <w:shd w:val="clear" w:color="auto" w:fill="FFFFFF"/>
        </w:rPr>
        <w:t xml:space="preserve"> </w:t>
      </w:r>
      <w:r w:rsidRPr="00D337FA">
        <w:rPr>
          <w:szCs w:val="24"/>
          <w:shd w:val="clear" w:color="auto" w:fill="FFFFFF"/>
        </w:rPr>
        <w:t>устойчивый</w:t>
      </w:r>
      <w:r w:rsidR="006C680D" w:rsidRPr="00D337FA">
        <w:rPr>
          <w:szCs w:val="24"/>
          <w:shd w:val="clear" w:color="auto" w:fill="FFFFFF"/>
        </w:rPr>
        <w:t xml:space="preserve"> </w:t>
      </w:r>
      <w:r w:rsidRPr="00D337FA">
        <w:rPr>
          <w:szCs w:val="24"/>
          <w:shd w:val="clear" w:color="auto" w:fill="FFFFFF"/>
        </w:rPr>
        <w:t>рост.</w:t>
      </w:r>
      <w:r w:rsidR="006C680D" w:rsidRPr="00D337FA">
        <w:rPr>
          <w:szCs w:val="24"/>
          <w:shd w:val="clear" w:color="auto" w:fill="FFFFFF"/>
        </w:rPr>
        <w:t xml:space="preserve"> </w:t>
      </w:r>
      <w:r w:rsidRPr="00D337FA">
        <w:rPr>
          <w:szCs w:val="24"/>
          <w:shd w:val="clear" w:color="auto" w:fill="FFFFFF"/>
        </w:rPr>
        <w:t>Наибольшую</w:t>
      </w:r>
      <w:r w:rsidR="006C680D" w:rsidRPr="00D337FA">
        <w:rPr>
          <w:szCs w:val="24"/>
          <w:shd w:val="clear" w:color="auto" w:fill="FFFFFF"/>
        </w:rPr>
        <w:t xml:space="preserve"> </w:t>
      </w:r>
      <w:r w:rsidRPr="00D337FA">
        <w:rPr>
          <w:szCs w:val="24"/>
          <w:shd w:val="clear" w:color="auto" w:fill="FFFFFF"/>
        </w:rPr>
        <w:t>поддержку</w:t>
      </w:r>
      <w:r w:rsidR="006C680D" w:rsidRPr="00D337FA">
        <w:rPr>
          <w:szCs w:val="24"/>
          <w:shd w:val="clear" w:color="auto" w:fill="FFFFFF"/>
        </w:rPr>
        <w:t xml:space="preserve"> </w:t>
      </w:r>
      <w:r w:rsidRPr="00D337FA">
        <w:rPr>
          <w:szCs w:val="24"/>
          <w:shd w:val="clear" w:color="auto" w:fill="FFFFFF"/>
        </w:rPr>
        <w:t>демонстрируют</w:t>
      </w:r>
      <w:r w:rsidR="006C680D" w:rsidRPr="00D337FA">
        <w:rPr>
          <w:szCs w:val="24"/>
          <w:shd w:val="clear" w:color="auto" w:fill="FFFFFF"/>
        </w:rPr>
        <w:t xml:space="preserve"> </w:t>
      </w:r>
      <w:r w:rsidRPr="00D337FA">
        <w:rPr>
          <w:szCs w:val="24"/>
          <w:shd w:val="clear" w:color="auto" w:fill="FFFFFF"/>
        </w:rPr>
        <w:t>Китай,</w:t>
      </w:r>
      <w:r w:rsidR="006C680D" w:rsidRPr="00D337FA">
        <w:rPr>
          <w:szCs w:val="24"/>
          <w:shd w:val="clear" w:color="auto" w:fill="FFFFFF"/>
        </w:rPr>
        <w:t xml:space="preserve"> </w:t>
      </w:r>
      <w:r w:rsidRPr="00D337FA">
        <w:rPr>
          <w:szCs w:val="24"/>
          <w:shd w:val="clear" w:color="auto" w:fill="FFFFFF"/>
        </w:rPr>
        <w:t>США</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Евросоюз,</w:t>
      </w:r>
      <w:r w:rsidR="006C680D" w:rsidRPr="00D337FA">
        <w:rPr>
          <w:szCs w:val="24"/>
          <w:shd w:val="clear" w:color="auto" w:fill="FFFFFF"/>
        </w:rPr>
        <w:t xml:space="preserve"> </w:t>
      </w:r>
      <w:r w:rsidRPr="00D337FA">
        <w:rPr>
          <w:szCs w:val="24"/>
          <w:shd w:val="clear" w:color="auto" w:fill="FFFFFF"/>
        </w:rPr>
        <w:t>что</w:t>
      </w:r>
      <w:r w:rsidR="006C680D" w:rsidRPr="00D337FA">
        <w:rPr>
          <w:szCs w:val="24"/>
          <w:shd w:val="clear" w:color="auto" w:fill="FFFFFF"/>
        </w:rPr>
        <w:t xml:space="preserve"> </w:t>
      </w:r>
      <w:r w:rsidRPr="00D337FA">
        <w:rPr>
          <w:szCs w:val="24"/>
          <w:shd w:val="clear" w:color="auto" w:fill="FFFFFF"/>
        </w:rPr>
        <w:t>связано</w:t>
      </w:r>
      <w:r w:rsidR="006C680D" w:rsidRPr="00D337FA">
        <w:rPr>
          <w:szCs w:val="24"/>
          <w:shd w:val="clear" w:color="auto" w:fill="FFFFFF"/>
        </w:rPr>
        <w:t xml:space="preserve"> </w:t>
      </w:r>
      <w:r w:rsidRPr="00D337FA">
        <w:rPr>
          <w:szCs w:val="24"/>
          <w:shd w:val="clear" w:color="auto" w:fill="FFFFFF"/>
        </w:rPr>
        <w:t>с</w:t>
      </w:r>
      <w:r w:rsidR="006C680D" w:rsidRPr="00D337FA">
        <w:rPr>
          <w:szCs w:val="24"/>
          <w:shd w:val="clear" w:color="auto" w:fill="FFFFFF"/>
        </w:rPr>
        <w:t xml:space="preserve"> </w:t>
      </w:r>
      <w:r w:rsidRPr="00D337FA">
        <w:rPr>
          <w:szCs w:val="24"/>
          <w:shd w:val="clear" w:color="auto" w:fill="FFFFFF"/>
        </w:rPr>
        <w:t>большими</w:t>
      </w:r>
      <w:r w:rsidR="006C680D" w:rsidRPr="00D337FA">
        <w:rPr>
          <w:szCs w:val="24"/>
          <w:shd w:val="clear" w:color="auto" w:fill="FFFFFF"/>
        </w:rPr>
        <w:t xml:space="preserve"> </w:t>
      </w:r>
      <w:r w:rsidRPr="00D337FA">
        <w:rPr>
          <w:szCs w:val="24"/>
          <w:shd w:val="clear" w:color="auto" w:fill="FFFFFF"/>
        </w:rPr>
        <w:t>имеющимися</w:t>
      </w:r>
      <w:r w:rsidR="006C680D" w:rsidRPr="00D337FA">
        <w:rPr>
          <w:szCs w:val="24"/>
          <w:shd w:val="clear" w:color="auto" w:fill="FFFFFF"/>
        </w:rPr>
        <w:t xml:space="preserve"> </w:t>
      </w:r>
      <w:r w:rsidRPr="00D337FA">
        <w:rPr>
          <w:szCs w:val="24"/>
          <w:shd w:val="clear" w:color="auto" w:fill="FFFFFF"/>
        </w:rPr>
        <w:t>у</w:t>
      </w:r>
      <w:r w:rsidR="006C680D" w:rsidRPr="00D337FA">
        <w:rPr>
          <w:szCs w:val="24"/>
          <w:shd w:val="clear" w:color="auto" w:fill="FFFFFF"/>
        </w:rPr>
        <w:t xml:space="preserve"> </w:t>
      </w:r>
      <w:r w:rsidRPr="00D337FA">
        <w:rPr>
          <w:szCs w:val="24"/>
          <w:shd w:val="clear" w:color="auto" w:fill="FFFFFF"/>
        </w:rPr>
        <w:t>них</w:t>
      </w:r>
      <w:r w:rsidR="006C680D" w:rsidRPr="00D337FA">
        <w:rPr>
          <w:szCs w:val="24"/>
          <w:shd w:val="clear" w:color="auto" w:fill="FFFFFF"/>
        </w:rPr>
        <w:t xml:space="preserve"> </w:t>
      </w:r>
      <w:r w:rsidRPr="00D337FA">
        <w:rPr>
          <w:szCs w:val="24"/>
          <w:shd w:val="clear" w:color="auto" w:fill="FFFFFF"/>
        </w:rPr>
        <w:t>активами,</w:t>
      </w:r>
      <w:r w:rsidR="006C680D" w:rsidRPr="00D337FA">
        <w:rPr>
          <w:szCs w:val="24"/>
          <w:shd w:val="clear" w:color="auto" w:fill="FFFFFF"/>
        </w:rPr>
        <w:t xml:space="preserve"> </w:t>
      </w:r>
      <w:r w:rsidRPr="00D337FA">
        <w:rPr>
          <w:szCs w:val="24"/>
          <w:shd w:val="clear" w:color="auto" w:fill="FFFFFF"/>
        </w:rPr>
        <w:t>которые</w:t>
      </w:r>
      <w:r w:rsidR="006C680D" w:rsidRPr="00D337FA">
        <w:rPr>
          <w:szCs w:val="24"/>
          <w:shd w:val="clear" w:color="auto" w:fill="FFFFFF"/>
        </w:rPr>
        <w:t xml:space="preserve"> </w:t>
      </w:r>
      <w:r w:rsidRPr="00D337FA">
        <w:rPr>
          <w:szCs w:val="24"/>
          <w:shd w:val="clear" w:color="auto" w:fill="FFFFFF"/>
        </w:rPr>
        <w:t>они</w:t>
      </w:r>
      <w:r w:rsidR="006C680D" w:rsidRPr="00D337FA">
        <w:rPr>
          <w:szCs w:val="24"/>
          <w:shd w:val="clear" w:color="auto" w:fill="FFFFFF"/>
        </w:rPr>
        <w:t xml:space="preserve"> </w:t>
      </w:r>
      <w:r w:rsidRPr="00D337FA">
        <w:rPr>
          <w:szCs w:val="24"/>
          <w:shd w:val="clear" w:color="auto" w:fill="FFFFFF"/>
        </w:rPr>
        <w:t>могут</w:t>
      </w:r>
      <w:r w:rsidR="006C680D" w:rsidRPr="00D337FA">
        <w:rPr>
          <w:szCs w:val="24"/>
          <w:shd w:val="clear" w:color="auto" w:fill="FFFFFF"/>
        </w:rPr>
        <w:t xml:space="preserve"> </w:t>
      </w:r>
      <w:r w:rsidRPr="00D337FA">
        <w:rPr>
          <w:szCs w:val="24"/>
          <w:shd w:val="clear" w:color="auto" w:fill="FFFFFF"/>
        </w:rPr>
        <w:t>выделять</w:t>
      </w:r>
      <w:r w:rsidR="006C680D" w:rsidRPr="00D337FA">
        <w:rPr>
          <w:szCs w:val="24"/>
          <w:shd w:val="clear" w:color="auto" w:fill="FFFFFF"/>
        </w:rPr>
        <w:t xml:space="preserve"> </w:t>
      </w:r>
      <w:r w:rsidRPr="00D337FA">
        <w:rPr>
          <w:szCs w:val="24"/>
          <w:shd w:val="clear" w:color="auto" w:fill="FFFFFF"/>
        </w:rPr>
        <w:t>на</w:t>
      </w:r>
      <w:r w:rsidR="006C680D" w:rsidRPr="00D337FA">
        <w:rPr>
          <w:szCs w:val="24"/>
          <w:shd w:val="clear" w:color="auto" w:fill="FFFFFF"/>
        </w:rPr>
        <w:t xml:space="preserve"> </w:t>
      </w:r>
      <w:r w:rsidRPr="00D337FA">
        <w:rPr>
          <w:szCs w:val="24"/>
          <w:shd w:val="clear" w:color="auto" w:fill="FFFFFF"/>
        </w:rPr>
        <w:t>развития</w:t>
      </w:r>
      <w:r w:rsidR="006C680D" w:rsidRPr="00D337FA">
        <w:rPr>
          <w:szCs w:val="24"/>
          <w:shd w:val="clear" w:color="auto" w:fill="FFFFFF"/>
        </w:rPr>
        <w:t xml:space="preserve"> </w:t>
      </w:r>
      <w:r w:rsidRPr="00D337FA">
        <w:rPr>
          <w:szCs w:val="24"/>
          <w:shd w:val="clear" w:color="auto" w:fill="FFFFFF"/>
        </w:rPr>
        <w:t>АПК</w:t>
      </w:r>
      <w:r w:rsidR="006C680D" w:rsidRPr="00D337FA">
        <w:rPr>
          <w:szCs w:val="24"/>
          <w:shd w:val="clear" w:color="auto" w:fill="FFFFFF"/>
        </w:rPr>
        <w:t xml:space="preserve"> </w:t>
      </w:r>
      <w:r w:rsidRPr="00D337FA">
        <w:rPr>
          <w:szCs w:val="24"/>
          <w:shd w:val="clear" w:color="auto" w:fill="FFFFFF"/>
        </w:rPr>
        <w:t>своих</w:t>
      </w:r>
      <w:r w:rsidR="006C680D" w:rsidRPr="00D337FA">
        <w:rPr>
          <w:szCs w:val="24"/>
          <w:shd w:val="clear" w:color="auto" w:fill="FFFFFF"/>
        </w:rPr>
        <w:t xml:space="preserve"> </w:t>
      </w:r>
      <w:r w:rsidRPr="00D337FA">
        <w:rPr>
          <w:szCs w:val="24"/>
          <w:shd w:val="clear" w:color="auto" w:fill="FFFFFF"/>
        </w:rPr>
        <w:t>стран</w:t>
      </w:r>
      <w:r w:rsidR="006C680D" w:rsidRPr="00D337FA">
        <w:rPr>
          <w:szCs w:val="24"/>
          <w:shd w:val="clear" w:color="auto" w:fill="FFFFFF"/>
        </w:rPr>
        <w:t xml:space="preserve"> </w:t>
      </w:r>
      <w:r w:rsidRPr="00D337FA">
        <w:rPr>
          <w:szCs w:val="24"/>
          <w:shd w:val="clear" w:color="auto" w:fill="FFFFFF"/>
        </w:rPr>
        <w:t>–</w:t>
      </w:r>
      <w:r w:rsidR="006C680D" w:rsidRPr="00D337FA">
        <w:rPr>
          <w:szCs w:val="24"/>
          <w:shd w:val="clear" w:color="auto" w:fill="FFFFFF"/>
        </w:rPr>
        <w:t xml:space="preserve"> </w:t>
      </w:r>
      <w:r w:rsidRPr="00D337FA">
        <w:rPr>
          <w:szCs w:val="24"/>
          <w:shd w:val="clear" w:color="auto" w:fill="FFFFFF"/>
        </w:rPr>
        <w:t>суммарно</w:t>
      </w:r>
      <w:r w:rsidR="006C680D" w:rsidRPr="00D337FA">
        <w:rPr>
          <w:szCs w:val="24"/>
          <w:shd w:val="clear" w:color="auto" w:fill="FFFFFF"/>
        </w:rPr>
        <w:t xml:space="preserve"> </w:t>
      </w:r>
      <w:r w:rsidRPr="00D337FA">
        <w:rPr>
          <w:szCs w:val="24"/>
          <w:shd w:val="clear" w:color="auto" w:fill="FFFFFF"/>
        </w:rPr>
        <w:t>они</w:t>
      </w:r>
      <w:r w:rsidR="006C680D" w:rsidRPr="00D337FA">
        <w:rPr>
          <w:szCs w:val="24"/>
          <w:shd w:val="clear" w:color="auto" w:fill="FFFFFF"/>
        </w:rPr>
        <w:t xml:space="preserve"> </w:t>
      </w:r>
      <w:r w:rsidRPr="00D337FA">
        <w:rPr>
          <w:szCs w:val="24"/>
          <w:shd w:val="clear" w:color="auto" w:fill="FFFFFF"/>
        </w:rPr>
        <w:t>занимают</w:t>
      </w:r>
      <w:r w:rsidR="006C680D" w:rsidRPr="00D337FA">
        <w:rPr>
          <w:szCs w:val="24"/>
          <w:shd w:val="clear" w:color="auto" w:fill="FFFFFF"/>
        </w:rPr>
        <w:t xml:space="preserve"> </w:t>
      </w:r>
      <w:r w:rsidRPr="00D337FA">
        <w:rPr>
          <w:szCs w:val="24"/>
          <w:shd w:val="clear" w:color="auto" w:fill="FFFFFF"/>
        </w:rPr>
        <w:t>более</w:t>
      </w:r>
      <w:r w:rsidR="006C680D" w:rsidRPr="00D337FA">
        <w:rPr>
          <w:szCs w:val="24"/>
          <w:shd w:val="clear" w:color="auto" w:fill="FFFFFF"/>
        </w:rPr>
        <w:t xml:space="preserve"> </w:t>
      </w:r>
      <w:r w:rsidRPr="00D337FA">
        <w:rPr>
          <w:szCs w:val="24"/>
          <w:shd w:val="clear" w:color="auto" w:fill="FFFFFF"/>
        </w:rPr>
        <w:t>2/3</w:t>
      </w:r>
      <w:r w:rsidR="006C680D" w:rsidRPr="00D337FA">
        <w:rPr>
          <w:szCs w:val="24"/>
          <w:shd w:val="clear" w:color="auto" w:fill="FFFFFF"/>
        </w:rPr>
        <w:t xml:space="preserve"> </w:t>
      </w:r>
      <w:r w:rsidRPr="00D337FA">
        <w:rPr>
          <w:szCs w:val="24"/>
          <w:shd w:val="clear" w:color="auto" w:fill="FFFFFF"/>
        </w:rPr>
        <w:t>от</w:t>
      </w:r>
      <w:r w:rsidR="006C680D" w:rsidRPr="00D337FA">
        <w:rPr>
          <w:szCs w:val="24"/>
          <w:shd w:val="clear" w:color="auto" w:fill="FFFFFF"/>
        </w:rPr>
        <w:t xml:space="preserve"> </w:t>
      </w:r>
      <w:r w:rsidRPr="00D337FA">
        <w:rPr>
          <w:szCs w:val="24"/>
          <w:shd w:val="clear" w:color="auto" w:fill="FFFFFF"/>
        </w:rPr>
        <w:t>общего</w:t>
      </w:r>
      <w:r w:rsidR="006C680D" w:rsidRPr="00D337FA">
        <w:rPr>
          <w:szCs w:val="24"/>
          <w:shd w:val="clear" w:color="auto" w:fill="FFFFFF"/>
        </w:rPr>
        <w:t xml:space="preserve"> </w:t>
      </w:r>
      <w:r w:rsidRPr="00D337FA">
        <w:rPr>
          <w:szCs w:val="24"/>
          <w:shd w:val="clear" w:color="auto" w:fill="FFFFFF"/>
        </w:rPr>
        <w:t>объема.</w:t>
      </w:r>
      <w:r w:rsidR="006C680D" w:rsidRPr="00D337FA">
        <w:rPr>
          <w:szCs w:val="24"/>
          <w:shd w:val="clear" w:color="auto" w:fill="FFFFFF"/>
        </w:rPr>
        <w:t xml:space="preserve"> </w:t>
      </w:r>
      <w:r w:rsidRPr="00D337FA">
        <w:rPr>
          <w:szCs w:val="24"/>
          <w:shd w:val="clear" w:color="auto" w:fill="FFFFFF"/>
        </w:rPr>
        <w:t>Оставшиеся</w:t>
      </w:r>
      <w:r w:rsidR="006C680D" w:rsidRPr="00D337FA">
        <w:rPr>
          <w:szCs w:val="24"/>
          <w:shd w:val="clear" w:color="auto" w:fill="FFFFFF"/>
        </w:rPr>
        <w:t xml:space="preserve"> </w:t>
      </w:r>
      <w:r w:rsidRPr="00D337FA">
        <w:rPr>
          <w:szCs w:val="24"/>
          <w:shd w:val="clear" w:color="auto" w:fill="FFFFFF"/>
        </w:rPr>
        <w:t>страны</w:t>
      </w:r>
      <w:r w:rsidR="006C680D" w:rsidRPr="00D337FA">
        <w:rPr>
          <w:szCs w:val="24"/>
          <w:shd w:val="clear" w:color="auto" w:fill="FFFFFF"/>
        </w:rPr>
        <w:t xml:space="preserve"> </w:t>
      </w:r>
      <w:r w:rsidRPr="00D337FA">
        <w:rPr>
          <w:szCs w:val="24"/>
          <w:shd w:val="clear" w:color="auto" w:fill="FFFFFF"/>
        </w:rPr>
        <w:t>также</w:t>
      </w:r>
      <w:r w:rsidR="006C680D" w:rsidRPr="00D337FA">
        <w:rPr>
          <w:szCs w:val="24"/>
          <w:shd w:val="clear" w:color="auto" w:fill="FFFFFF"/>
        </w:rPr>
        <w:t xml:space="preserve"> </w:t>
      </w:r>
      <w:r w:rsidRPr="00D337FA">
        <w:rPr>
          <w:szCs w:val="24"/>
          <w:shd w:val="clear" w:color="auto" w:fill="FFFFFF"/>
        </w:rPr>
        <w:t>демонстрируют</w:t>
      </w:r>
      <w:r w:rsidR="006C680D" w:rsidRPr="00D337FA">
        <w:rPr>
          <w:szCs w:val="24"/>
          <w:shd w:val="clear" w:color="auto" w:fill="FFFFFF"/>
        </w:rPr>
        <w:t xml:space="preserve"> </w:t>
      </w:r>
      <w:r w:rsidRPr="00D337FA">
        <w:rPr>
          <w:szCs w:val="24"/>
          <w:shd w:val="clear" w:color="auto" w:fill="FFFFFF"/>
        </w:rPr>
        <w:t>тенденцию</w:t>
      </w:r>
      <w:r w:rsidR="006C680D" w:rsidRPr="00D337FA">
        <w:rPr>
          <w:szCs w:val="24"/>
          <w:shd w:val="clear" w:color="auto" w:fill="FFFFFF"/>
        </w:rPr>
        <w:t xml:space="preserve"> </w:t>
      </w:r>
      <w:r w:rsidRPr="00D337FA">
        <w:rPr>
          <w:szCs w:val="24"/>
          <w:shd w:val="clear" w:color="auto" w:fill="FFFFFF"/>
        </w:rPr>
        <w:t>к</w:t>
      </w:r>
      <w:r w:rsidR="006C680D" w:rsidRPr="00D337FA">
        <w:rPr>
          <w:szCs w:val="24"/>
          <w:shd w:val="clear" w:color="auto" w:fill="FFFFFF"/>
        </w:rPr>
        <w:t xml:space="preserve"> </w:t>
      </w:r>
      <w:r w:rsidRPr="00D337FA">
        <w:rPr>
          <w:szCs w:val="24"/>
          <w:shd w:val="clear" w:color="auto" w:fill="FFFFFF"/>
        </w:rPr>
        <w:t>росту</w:t>
      </w:r>
      <w:r w:rsidR="006C680D" w:rsidRPr="00D337FA">
        <w:rPr>
          <w:szCs w:val="24"/>
          <w:shd w:val="clear" w:color="auto" w:fill="FFFFFF"/>
        </w:rPr>
        <w:t xml:space="preserve"> </w:t>
      </w:r>
      <w:r w:rsidRPr="00D337FA">
        <w:rPr>
          <w:szCs w:val="24"/>
          <w:shd w:val="clear" w:color="auto" w:fill="FFFFFF"/>
        </w:rPr>
        <w:t>за</w:t>
      </w:r>
      <w:r w:rsidR="006C680D" w:rsidRPr="00D337FA">
        <w:rPr>
          <w:szCs w:val="24"/>
          <w:shd w:val="clear" w:color="auto" w:fill="FFFFFF"/>
        </w:rPr>
        <w:t xml:space="preserve"> </w:t>
      </w:r>
      <w:r w:rsidRPr="00D337FA">
        <w:rPr>
          <w:szCs w:val="24"/>
          <w:shd w:val="clear" w:color="auto" w:fill="FFFFFF"/>
        </w:rPr>
        <w:t>обозначенный</w:t>
      </w:r>
      <w:r w:rsidR="006C680D" w:rsidRPr="00D337FA">
        <w:rPr>
          <w:szCs w:val="24"/>
          <w:shd w:val="clear" w:color="auto" w:fill="FFFFFF"/>
        </w:rPr>
        <w:t xml:space="preserve"> </w:t>
      </w:r>
      <w:r w:rsidRPr="00D337FA">
        <w:rPr>
          <w:szCs w:val="24"/>
          <w:shd w:val="clear" w:color="auto" w:fill="FFFFFF"/>
        </w:rPr>
        <w:t>период,</w:t>
      </w:r>
      <w:r w:rsidR="006C680D" w:rsidRPr="00D337FA">
        <w:rPr>
          <w:szCs w:val="24"/>
          <w:shd w:val="clear" w:color="auto" w:fill="FFFFFF"/>
        </w:rPr>
        <w:t xml:space="preserve"> </w:t>
      </w:r>
      <w:r w:rsidRPr="00D337FA">
        <w:rPr>
          <w:szCs w:val="24"/>
          <w:shd w:val="clear" w:color="auto" w:fill="FFFFFF"/>
        </w:rPr>
        <w:t>но</w:t>
      </w:r>
      <w:r w:rsidR="006C680D" w:rsidRPr="00D337FA">
        <w:rPr>
          <w:szCs w:val="24"/>
          <w:shd w:val="clear" w:color="auto" w:fill="FFFFFF"/>
        </w:rPr>
        <w:t xml:space="preserve"> </w:t>
      </w:r>
      <w:r w:rsidRPr="00D337FA">
        <w:rPr>
          <w:szCs w:val="24"/>
          <w:shd w:val="clear" w:color="auto" w:fill="FFFFFF"/>
        </w:rPr>
        <w:t>расходы</w:t>
      </w:r>
      <w:r w:rsidR="006C680D" w:rsidRPr="00D337FA">
        <w:rPr>
          <w:szCs w:val="24"/>
          <w:shd w:val="clear" w:color="auto" w:fill="FFFFFF"/>
        </w:rPr>
        <w:t xml:space="preserve"> </w:t>
      </w:r>
      <w:r w:rsidRPr="00D337FA">
        <w:rPr>
          <w:szCs w:val="24"/>
          <w:shd w:val="clear" w:color="auto" w:fill="FFFFFF"/>
        </w:rPr>
        <w:t>некоторых</w:t>
      </w:r>
      <w:r w:rsidR="006C680D" w:rsidRPr="00D337FA">
        <w:rPr>
          <w:szCs w:val="24"/>
          <w:shd w:val="clear" w:color="auto" w:fill="FFFFFF"/>
        </w:rPr>
        <w:t xml:space="preserve"> </w:t>
      </w:r>
      <w:r w:rsidRPr="00D337FA">
        <w:rPr>
          <w:szCs w:val="24"/>
          <w:shd w:val="clear" w:color="auto" w:fill="FFFFFF"/>
        </w:rPr>
        <w:t>из</w:t>
      </w:r>
      <w:r w:rsidR="006C680D" w:rsidRPr="00D337FA">
        <w:rPr>
          <w:szCs w:val="24"/>
          <w:shd w:val="clear" w:color="auto" w:fill="FFFFFF"/>
        </w:rPr>
        <w:t xml:space="preserve"> </w:t>
      </w:r>
      <w:r w:rsidRPr="00D337FA">
        <w:rPr>
          <w:szCs w:val="24"/>
          <w:shd w:val="clear" w:color="auto" w:fill="FFFFFF"/>
        </w:rPr>
        <w:t>них</w:t>
      </w:r>
      <w:r w:rsidR="006C680D" w:rsidRPr="00D337FA">
        <w:rPr>
          <w:szCs w:val="24"/>
          <w:shd w:val="clear" w:color="auto" w:fill="FFFFFF"/>
        </w:rPr>
        <w:t xml:space="preserve"> </w:t>
      </w:r>
      <w:r w:rsidRPr="00D337FA">
        <w:rPr>
          <w:szCs w:val="24"/>
          <w:shd w:val="clear" w:color="auto" w:fill="FFFFFF"/>
        </w:rPr>
        <w:t>колеблются,</w:t>
      </w:r>
      <w:r w:rsidR="006C680D" w:rsidRPr="00D337FA">
        <w:rPr>
          <w:szCs w:val="24"/>
          <w:shd w:val="clear" w:color="auto" w:fill="FFFFFF"/>
        </w:rPr>
        <w:t xml:space="preserve"> </w:t>
      </w:r>
      <w:r w:rsidRPr="00D337FA">
        <w:rPr>
          <w:szCs w:val="24"/>
          <w:shd w:val="clear" w:color="auto" w:fill="FFFFFF"/>
        </w:rPr>
        <w:t>даже</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некоторые</w:t>
      </w:r>
      <w:r w:rsidR="006C680D" w:rsidRPr="00D337FA">
        <w:rPr>
          <w:szCs w:val="24"/>
          <w:shd w:val="clear" w:color="auto" w:fill="FFFFFF"/>
        </w:rPr>
        <w:t xml:space="preserve"> </w:t>
      </w:r>
      <w:r w:rsidRPr="00D337FA">
        <w:rPr>
          <w:szCs w:val="24"/>
          <w:shd w:val="clear" w:color="auto" w:fill="FFFFFF"/>
        </w:rPr>
        <w:t>периоды</w:t>
      </w:r>
      <w:r w:rsidR="006C680D" w:rsidRPr="00D337FA">
        <w:rPr>
          <w:szCs w:val="24"/>
          <w:shd w:val="clear" w:color="auto" w:fill="FFFFFF"/>
        </w:rPr>
        <w:t xml:space="preserve"> </w:t>
      </w:r>
      <w:r w:rsidRPr="00D337FA">
        <w:rPr>
          <w:szCs w:val="24"/>
          <w:shd w:val="clear" w:color="auto" w:fill="FFFFFF"/>
        </w:rPr>
        <w:t>являются</w:t>
      </w:r>
      <w:r w:rsidR="006C680D" w:rsidRPr="00D337FA">
        <w:rPr>
          <w:szCs w:val="24"/>
          <w:shd w:val="clear" w:color="auto" w:fill="FFFFFF"/>
        </w:rPr>
        <w:t xml:space="preserve"> </w:t>
      </w:r>
      <w:r w:rsidRPr="00D337FA">
        <w:rPr>
          <w:szCs w:val="24"/>
          <w:shd w:val="clear" w:color="auto" w:fill="FFFFFF"/>
        </w:rPr>
        <w:t>отрицательными,</w:t>
      </w:r>
      <w:r w:rsidR="006C680D" w:rsidRPr="00D337FA">
        <w:rPr>
          <w:szCs w:val="24"/>
          <w:shd w:val="clear" w:color="auto" w:fill="FFFFFF"/>
        </w:rPr>
        <w:t xml:space="preserve"> </w:t>
      </w:r>
      <w:r w:rsidRPr="00D337FA">
        <w:rPr>
          <w:szCs w:val="24"/>
          <w:shd w:val="clear" w:color="auto" w:fill="FFFFFF"/>
        </w:rPr>
        <w:t>например,</w:t>
      </w:r>
      <w:r w:rsidR="006C680D" w:rsidRPr="00D337FA">
        <w:rPr>
          <w:szCs w:val="24"/>
          <w:shd w:val="clear" w:color="auto" w:fill="FFFFFF"/>
        </w:rPr>
        <w:t xml:space="preserve"> </w:t>
      </w:r>
      <w:r w:rsidRPr="00D337FA">
        <w:rPr>
          <w:szCs w:val="24"/>
          <w:shd w:val="clear" w:color="auto" w:fill="FFFFFF"/>
        </w:rPr>
        <w:t>у</w:t>
      </w:r>
      <w:r w:rsidR="006C680D" w:rsidRPr="00D337FA">
        <w:rPr>
          <w:szCs w:val="24"/>
          <w:shd w:val="clear" w:color="auto" w:fill="FFFFFF"/>
        </w:rPr>
        <w:t xml:space="preserve"> </w:t>
      </w:r>
      <w:r w:rsidRPr="00D337FA">
        <w:rPr>
          <w:szCs w:val="24"/>
          <w:shd w:val="clear" w:color="auto" w:fill="FFFFFF"/>
        </w:rPr>
        <w:t>Индии</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2010,</w:t>
      </w:r>
      <w:r w:rsidR="006C680D" w:rsidRPr="00D337FA">
        <w:rPr>
          <w:szCs w:val="24"/>
          <w:shd w:val="clear" w:color="auto" w:fill="FFFFFF"/>
        </w:rPr>
        <w:t xml:space="preserve"> </w:t>
      </w:r>
      <w:r w:rsidRPr="00D337FA">
        <w:rPr>
          <w:szCs w:val="24"/>
          <w:shd w:val="clear" w:color="auto" w:fill="FFFFFF"/>
        </w:rPr>
        <w:t>2021,</w:t>
      </w:r>
      <w:r w:rsidR="006C680D" w:rsidRPr="00D337FA">
        <w:rPr>
          <w:szCs w:val="24"/>
          <w:shd w:val="clear" w:color="auto" w:fill="FFFFFF"/>
        </w:rPr>
        <w:t xml:space="preserve"> </w:t>
      </w:r>
      <w:r w:rsidRPr="00D337FA">
        <w:rPr>
          <w:szCs w:val="24"/>
          <w:shd w:val="clear" w:color="auto" w:fill="FFFFFF"/>
        </w:rPr>
        <w:t>2022,</w:t>
      </w:r>
      <w:r w:rsidR="006C680D" w:rsidRPr="00D337FA">
        <w:rPr>
          <w:szCs w:val="24"/>
          <w:shd w:val="clear" w:color="auto" w:fill="FFFFFF"/>
        </w:rPr>
        <w:t xml:space="preserve"> </w:t>
      </w:r>
      <w:r w:rsidRPr="00D337FA">
        <w:rPr>
          <w:szCs w:val="24"/>
          <w:shd w:val="clear" w:color="auto" w:fill="FFFFFF"/>
        </w:rPr>
        <w:t>2023</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2024</w:t>
      </w:r>
      <w:r w:rsidR="006C680D" w:rsidRPr="00D337FA">
        <w:rPr>
          <w:szCs w:val="24"/>
          <w:shd w:val="clear" w:color="auto" w:fill="FFFFFF"/>
        </w:rPr>
        <w:t xml:space="preserve"> </w:t>
      </w:r>
      <w:r w:rsidRPr="00D337FA">
        <w:rPr>
          <w:szCs w:val="24"/>
          <w:shd w:val="clear" w:color="auto" w:fill="FFFFFF"/>
        </w:rPr>
        <w:t>годах.</w:t>
      </w:r>
      <w:r w:rsidR="006C680D" w:rsidRPr="00D337FA">
        <w:rPr>
          <w:szCs w:val="24"/>
          <w:shd w:val="clear" w:color="auto" w:fill="FFFFFF"/>
        </w:rPr>
        <w:t xml:space="preserve"> </w:t>
      </w:r>
      <w:r w:rsidRPr="00D337FA">
        <w:rPr>
          <w:szCs w:val="24"/>
          <w:shd w:val="clear" w:color="auto" w:fill="FFFFFF"/>
        </w:rPr>
        <w:t>Если</w:t>
      </w:r>
      <w:r w:rsidR="006C680D" w:rsidRPr="00D337FA">
        <w:rPr>
          <w:szCs w:val="24"/>
          <w:shd w:val="clear" w:color="auto" w:fill="FFFFFF"/>
        </w:rPr>
        <w:t xml:space="preserve"> </w:t>
      </w:r>
      <w:r w:rsidRPr="00D337FA">
        <w:rPr>
          <w:szCs w:val="24"/>
          <w:shd w:val="clear" w:color="auto" w:fill="FFFFFF"/>
        </w:rPr>
        <w:t>более</w:t>
      </w:r>
      <w:r w:rsidR="006C680D" w:rsidRPr="00D337FA">
        <w:rPr>
          <w:szCs w:val="24"/>
          <w:shd w:val="clear" w:color="auto" w:fill="FFFFFF"/>
        </w:rPr>
        <w:t xml:space="preserve"> </w:t>
      </w:r>
      <w:r w:rsidRPr="00D337FA">
        <w:rPr>
          <w:szCs w:val="24"/>
          <w:shd w:val="clear" w:color="auto" w:fill="FFFFFF"/>
        </w:rPr>
        <w:t>детально</w:t>
      </w:r>
      <w:r w:rsidR="006C680D" w:rsidRPr="00D337FA">
        <w:rPr>
          <w:szCs w:val="24"/>
          <w:shd w:val="clear" w:color="auto" w:fill="FFFFFF"/>
        </w:rPr>
        <w:t xml:space="preserve"> </w:t>
      </w:r>
      <w:r w:rsidRPr="00D337FA">
        <w:rPr>
          <w:szCs w:val="24"/>
          <w:shd w:val="clear" w:color="auto" w:fill="FFFFFF"/>
        </w:rPr>
        <w:t>взглянуть</w:t>
      </w:r>
      <w:r w:rsidR="006C680D" w:rsidRPr="00D337FA">
        <w:rPr>
          <w:szCs w:val="24"/>
          <w:shd w:val="clear" w:color="auto" w:fill="FFFFFF"/>
        </w:rPr>
        <w:t xml:space="preserve"> </w:t>
      </w:r>
      <w:r w:rsidRPr="00D337FA">
        <w:rPr>
          <w:szCs w:val="24"/>
          <w:shd w:val="clear" w:color="auto" w:fill="FFFFFF"/>
        </w:rPr>
        <w:t>на</w:t>
      </w:r>
      <w:r w:rsidR="006C680D" w:rsidRPr="00D337FA">
        <w:rPr>
          <w:szCs w:val="24"/>
          <w:shd w:val="clear" w:color="auto" w:fill="FFFFFF"/>
        </w:rPr>
        <w:t xml:space="preserve"> </w:t>
      </w:r>
      <w:r w:rsidRPr="00D337FA">
        <w:rPr>
          <w:szCs w:val="24"/>
          <w:shd w:val="clear" w:color="auto" w:fill="FFFFFF"/>
        </w:rPr>
        <w:t>данные,</w:t>
      </w:r>
      <w:r w:rsidR="006C680D" w:rsidRPr="00D337FA">
        <w:rPr>
          <w:szCs w:val="24"/>
          <w:shd w:val="clear" w:color="auto" w:fill="FFFFFF"/>
        </w:rPr>
        <w:t xml:space="preserve"> </w:t>
      </w:r>
      <w:r w:rsidRPr="00D337FA">
        <w:rPr>
          <w:szCs w:val="24"/>
          <w:shd w:val="clear" w:color="auto" w:fill="FFFFFF"/>
        </w:rPr>
        <w:t>то</w:t>
      </w:r>
      <w:r w:rsidR="006C680D" w:rsidRPr="00D337FA">
        <w:rPr>
          <w:szCs w:val="24"/>
          <w:shd w:val="clear" w:color="auto" w:fill="FFFFFF"/>
        </w:rPr>
        <w:t xml:space="preserve"> </w:t>
      </w:r>
      <w:r w:rsidRPr="00D337FA">
        <w:rPr>
          <w:szCs w:val="24"/>
          <w:shd w:val="clear" w:color="auto" w:fill="FFFFFF"/>
        </w:rPr>
        <w:t>можно</w:t>
      </w:r>
      <w:r w:rsidR="006C680D" w:rsidRPr="00D337FA">
        <w:rPr>
          <w:szCs w:val="24"/>
          <w:shd w:val="clear" w:color="auto" w:fill="FFFFFF"/>
        </w:rPr>
        <w:t xml:space="preserve"> </w:t>
      </w:r>
      <w:r w:rsidRPr="00D337FA">
        <w:rPr>
          <w:szCs w:val="24"/>
          <w:shd w:val="clear" w:color="auto" w:fill="FFFFFF"/>
        </w:rPr>
        <w:t>заметить</w:t>
      </w:r>
      <w:r w:rsidR="006C680D" w:rsidRPr="00D337FA">
        <w:rPr>
          <w:szCs w:val="24"/>
          <w:shd w:val="clear" w:color="auto" w:fill="FFFFFF"/>
        </w:rPr>
        <w:t xml:space="preserve"> </w:t>
      </w:r>
      <w:r w:rsidRPr="00D337FA">
        <w:rPr>
          <w:szCs w:val="24"/>
          <w:shd w:val="clear" w:color="auto" w:fill="FFFFFF"/>
        </w:rPr>
        <w:t>сокращение</w:t>
      </w:r>
      <w:r w:rsidR="006C680D" w:rsidRPr="00D337FA">
        <w:rPr>
          <w:szCs w:val="24"/>
          <w:shd w:val="clear" w:color="auto" w:fill="FFFFFF"/>
        </w:rPr>
        <w:t xml:space="preserve"> </w:t>
      </w:r>
      <w:r w:rsidRPr="00D337FA">
        <w:rPr>
          <w:szCs w:val="24"/>
          <w:shd w:val="clear" w:color="auto" w:fill="FFFFFF"/>
        </w:rPr>
        <w:t>объемов</w:t>
      </w:r>
      <w:r w:rsidR="006C680D" w:rsidRPr="00D337FA">
        <w:rPr>
          <w:szCs w:val="24"/>
          <w:shd w:val="clear" w:color="auto" w:fill="FFFFFF"/>
        </w:rPr>
        <w:t xml:space="preserve"> </w:t>
      </w:r>
      <w:r w:rsidRPr="00D337FA">
        <w:rPr>
          <w:szCs w:val="24"/>
          <w:shd w:val="clear" w:color="auto" w:fill="FFFFFF"/>
        </w:rPr>
        <w:t>государственной</w:t>
      </w:r>
      <w:r w:rsidR="006C680D" w:rsidRPr="00D337FA">
        <w:rPr>
          <w:szCs w:val="24"/>
          <w:shd w:val="clear" w:color="auto" w:fill="FFFFFF"/>
        </w:rPr>
        <w:t xml:space="preserve"> </w:t>
      </w:r>
      <w:r w:rsidRPr="00D337FA">
        <w:rPr>
          <w:szCs w:val="24"/>
          <w:shd w:val="clear" w:color="auto" w:fill="FFFFFF"/>
        </w:rPr>
        <w:t>поддержки</w:t>
      </w:r>
      <w:r w:rsidR="006C680D" w:rsidRPr="00D337FA">
        <w:rPr>
          <w:szCs w:val="24"/>
          <w:shd w:val="clear" w:color="auto" w:fill="FFFFFF"/>
        </w:rPr>
        <w:t xml:space="preserve"> </w:t>
      </w:r>
      <w:r w:rsidRPr="00D337FA">
        <w:rPr>
          <w:szCs w:val="24"/>
          <w:shd w:val="clear" w:color="auto" w:fill="FFFFFF"/>
        </w:rPr>
        <w:t>у</w:t>
      </w:r>
      <w:r w:rsidR="006C680D" w:rsidRPr="00D337FA">
        <w:rPr>
          <w:szCs w:val="24"/>
          <w:shd w:val="clear" w:color="auto" w:fill="FFFFFF"/>
        </w:rPr>
        <w:t xml:space="preserve"> </w:t>
      </w:r>
      <w:r w:rsidRPr="00D337FA">
        <w:rPr>
          <w:szCs w:val="24"/>
          <w:shd w:val="clear" w:color="auto" w:fill="FFFFFF"/>
        </w:rPr>
        <w:t>РФ,</w:t>
      </w:r>
      <w:r w:rsidR="006C680D" w:rsidRPr="00D337FA">
        <w:rPr>
          <w:szCs w:val="24"/>
          <w:shd w:val="clear" w:color="auto" w:fill="FFFFFF"/>
        </w:rPr>
        <w:t xml:space="preserve"> </w:t>
      </w:r>
      <w:r w:rsidRPr="00D337FA">
        <w:rPr>
          <w:szCs w:val="24"/>
          <w:shd w:val="clear" w:color="auto" w:fill="FFFFFF"/>
        </w:rPr>
        <w:t>что</w:t>
      </w:r>
      <w:r w:rsidR="006C680D" w:rsidRPr="00D337FA">
        <w:rPr>
          <w:szCs w:val="24"/>
          <w:shd w:val="clear" w:color="auto" w:fill="FFFFFF"/>
        </w:rPr>
        <w:t xml:space="preserve"> </w:t>
      </w:r>
      <w:r w:rsidRPr="00D337FA">
        <w:rPr>
          <w:szCs w:val="24"/>
          <w:shd w:val="clear" w:color="auto" w:fill="FFFFFF"/>
        </w:rPr>
        <w:t>объясняется</w:t>
      </w:r>
      <w:r w:rsidR="006C680D" w:rsidRPr="00D337FA">
        <w:rPr>
          <w:szCs w:val="24"/>
          <w:shd w:val="clear" w:color="auto" w:fill="FFFFFF"/>
        </w:rPr>
        <w:t xml:space="preserve"> </w:t>
      </w:r>
      <w:r w:rsidRPr="00D337FA">
        <w:rPr>
          <w:szCs w:val="24"/>
          <w:shd w:val="clear" w:color="auto" w:fill="FFFFFF"/>
        </w:rPr>
        <w:t>вступлением</w:t>
      </w:r>
      <w:r w:rsidR="006C680D" w:rsidRPr="00D337FA">
        <w:rPr>
          <w:szCs w:val="24"/>
          <w:shd w:val="clear" w:color="auto" w:fill="FFFFFF"/>
        </w:rPr>
        <w:t xml:space="preserve"> </w:t>
      </w:r>
      <w:r w:rsidRPr="00D337FA">
        <w:rPr>
          <w:szCs w:val="24"/>
          <w:shd w:val="clear" w:color="auto" w:fill="FFFFFF"/>
        </w:rPr>
        <w:t>во</w:t>
      </w:r>
      <w:r w:rsidR="006C680D" w:rsidRPr="00D337FA">
        <w:rPr>
          <w:szCs w:val="24"/>
          <w:shd w:val="clear" w:color="auto" w:fill="FFFFFF"/>
        </w:rPr>
        <w:t xml:space="preserve"> </w:t>
      </w:r>
      <w:r w:rsidRPr="00D337FA">
        <w:rPr>
          <w:szCs w:val="24"/>
          <w:shd w:val="clear" w:color="auto" w:fill="FFFFFF"/>
        </w:rPr>
        <w:t>Всемирную</w:t>
      </w:r>
      <w:r w:rsidR="006C680D" w:rsidRPr="00D337FA">
        <w:rPr>
          <w:szCs w:val="24"/>
          <w:shd w:val="clear" w:color="auto" w:fill="FFFFFF"/>
        </w:rPr>
        <w:t xml:space="preserve"> </w:t>
      </w:r>
      <w:r w:rsidRPr="00D337FA">
        <w:rPr>
          <w:szCs w:val="24"/>
          <w:shd w:val="clear" w:color="auto" w:fill="FFFFFF"/>
        </w:rPr>
        <w:t>торговую</w:t>
      </w:r>
      <w:r w:rsidR="006C680D" w:rsidRPr="00D337FA">
        <w:rPr>
          <w:szCs w:val="24"/>
          <w:shd w:val="clear" w:color="auto" w:fill="FFFFFF"/>
        </w:rPr>
        <w:t xml:space="preserve"> </w:t>
      </w:r>
      <w:r w:rsidRPr="00D337FA">
        <w:rPr>
          <w:szCs w:val="24"/>
          <w:shd w:val="clear" w:color="auto" w:fill="FFFFFF"/>
        </w:rPr>
        <w:lastRenderedPageBreak/>
        <w:t>организацию</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2012</w:t>
      </w:r>
      <w:r w:rsidR="006C680D" w:rsidRPr="00D337FA">
        <w:rPr>
          <w:szCs w:val="24"/>
          <w:shd w:val="clear" w:color="auto" w:fill="FFFFFF"/>
        </w:rPr>
        <w:t xml:space="preserve"> </w:t>
      </w:r>
      <w:r w:rsidRPr="00D337FA">
        <w:rPr>
          <w:szCs w:val="24"/>
          <w:shd w:val="clear" w:color="auto" w:fill="FFFFFF"/>
        </w:rPr>
        <w:t>году</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последующим</w:t>
      </w:r>
      <w:r w:rsidR="006C680D" w:rsidRPr="00D337FA">
        <w:rPr>
          <w:szCs w:val="24"/>
          <w:shd w:val="clear" w:color="auto" w:fill="FFFFFF"/>
        </w:rPr>
        <w:t xml:space="preserve"> </w:t>
      </w:r>
      <w:r w:rsidRPr="00D337FA">
        <w:rPr>
          <w:szCs w:val="24"/>
          <w:shd w:val="clear" w:color="auto" w:fill="FFFFFF"/>
        </w:rPr>
        <w:t>перерасчётом</w:t>
      </w:r>
      <w:r w:rsidR="006C680D" w:rsidRPr="00D337FA">
        <w:rPr>
          <w:szCs w:val="24"/>
          <w:shd w:val="clear" w:color="auto" w:fill="FFFFFF"/>
        </w:rPr>
        <w:t xml:space="preserve"> </w:t>
      </w:r>
      <w:r w:rsidRPr="00D337FA">
        <w:rPr>
          <w:szCs w:val="24"/>
          <w:shd w:val="clear" w:color="auto" w:fill="FFFFFF"/>
        </w:rPr>
        <w:t>рубля;</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последующие</w:t>
      </w:r>
      <w:r w:rsidR="006C680D" w:rsidRPr="00D337FA">
        <w:rPr>
          <w:szCs w:val="24"/>
          <w:shd w:val="clear" w:color="auto" w:fill="FFFFFF"/>
        </w:rPr>
        <w:t xml:space="preserve"> </w:t>
      </w:r>
      <w:r w:rsidRPr="00D337FA">
        <w:rPr>
          <w:szCs w:val="24"/>
          <w:shd w:val="clear" w:color="auto" w:fill="FFFFFF"/>
        </w:rPr>
        <w:t>за</w:t>
      </w:r>
      <w:r w:rsidR="006C680D" w:rsidRPr="00D337FA">
        <w:rPr>
          <w:szCs w:val="24"/>
          <w:shd w:val="clear" w:color="auto" w:fill="FFFFFF"/>
        </w:rPr>
        <w:t xml:space="preserve"> </w:t>
      </w:r>
      <w:r w:rsidRPr="00D337FA">
        <w:rPr>
          <w:szCs w:val="24"/>
          <w:shd w:val="clear" w:color="auto" w:fill="FFFFFF"/>
        </w:rPr>
        <w:t>ним</w:t>
      </w:r>
      <w:r w:rsidR="006C680D" w:rsidRPr="00D337FA">
        <w:rPr>
          <w:szCs w:val="24"/>
          <w:shd w:val="clear" w:color="auto" w:fill="FFFFFF"/>
        </w:rPr>
        <w:t xml:space="preserve"> </w:t>
      </w:r>
      <w:r w:rsidRPr="00D337FA">
        <w:rPr>
          <w:szCs w:val="24"/>
          <w:shd w:val="clear" w:color="auto" w:fill="FFFFFF"/>
        </w:rPr>
        <w:t>году,</w:t>
      </w:r>
      <w:r w:rsidR="006C680D" w:rsidRPr="00D337FA">
        <w:rPr>
          <w:szCs w:val="24"/>
          <w:shd w:val="clear" w:color="auto" w:fill="FFFFFF"/>
        </w:rPr>
        <w:t xml:space="preserve"> </w:t>
      </w:r>
      <w:r w:rsidRPr="00D337FA">
        <w:rPr>
          <w:szCs w:val="24"/>
          <w:shd w:val="clear" w:color="auto" w:fill="FFFFFF"/>
        </w:rPr>
        <w:t>ввиду</w:t>
      </w:r>
      <w:r w:rsidR="006C680D" w:rsidRPr="00D337FA">
        <w:rPr>
          <w:szCs w:val="24"/>
          <w:shd w:val="clear" w:color="auto" w:fill="FFFFFF"/>
        </w:rPr>
        <w:t xml:space="preserve"> </w:t>
      </w:r>
      <w:r w:rsidRPr="00D337FA">
        <w:rPr>
          <w:szCs w:val="24"/>
          <w:shd w:val="clear" w:color="auto" w:fill="FFFFFF"/>
        </w:rPr>
        <w:t>девальвации</w:t>
      </w:r>
      <w:r w:rsidR="006C680D" w:rsidRPr="00D337FA">
        <w:rPr>
          <w:szCs w:val="24"/>
          <w:shd w:val="clear" w:color="auto" w:fill="FFFFFF"/>
        </w:rPr>
        <w:t xml:space="preserve"> </w:t>
      </w:r>
      <w:r w:rsidRPr="00D337FA">
        <w:rPr>
          <w:szCs w:val="24"/>
          <w:shd w:val="clear" w:color="auto" w:fill="FFFFFF"/>
        </w:rPr>
        <w:t>рубля,</w:t>
      </w:r>
      <w:r w:rsidR="006C680D" w:rsidRPr="00D337FA">
        <w:rPr>
          <w:szCs w:val="24"/>
          <w:shd w:val="clear" w:color="auto" w:fill="FFFFFF"/>
        </w:rPr>
        <w:t xml:space="preserve"> </w:t>
      </w:r>
      <w:r w:rsidRPr="00D337FA">
        <w:rPr>
          <w:szCs w:val="24"/>
          <w:shd w:val="clear" w:color="auto" w:fill="FFFFFF"/>
        </w:rPr>
        <w:t>субсидирование</w:t>
      </w:r>
      <w:r w:rsidR="006C680D" w:rsidRPr="00D337FA">
        <w:rPr>
          <w:szCs w:val="24"/>
          <w:shd w:val="clear" w:color="auto" w:fill="FFFFFF"/>
        </w:rPr>
        <w:t xml:space="preserve"> </w:t>
      </w:r>
      <w:r w:rsidRPr="00D337FA">
        <w:rPr>
          <w:szCs w:val="24"/>
          <w:shd w:val="clear" w:color="auto" w:fill="FFFFFF"/>
        </w:rPr>
        <w:t>по</w:t>
      </w:r>
      <w:r w:rsidR="006C680D" w:rsidRPr="00D337FA">
        <w:rPr>
          <w:szCs w:val="24"/>
          <w:shd w:val="clear" w:color="auto" w:fill="FFFFFF"/>
        </w:rPr>
        <w:t xml:space="preserve"> </w:t>
      </w:r>
      <w:r w:rsidRPr="00D337FA">
        <w:rPr>
          <w:szCs w:val="24"/>
          <w:shd w:val="clear" w:color="auto" w:fill="FFFFFF"/>
        </w:rPr>
        <w:t>отношению</w:t>
      </w:r>
      <w:r w:rsidR="006C680D" w:rsidRPr="00D337FA">
        <w:rPr>
          <w:szCs w:val="24"/>
          <w:shd w:val="clear" w:color="auto" w:fill="FFFFFF"/>
        </w:rPr>
        <w:t xml:space="preserve"> </w:t>
      </w:r>
      <w:r w:rsidRPr="00D337FA">
        <w:rPr>
          <w:szCs w:val="24"/>
          <w:shd w:val="clear" w:color="auto" w:fill="FFFFFF"/>
        </w:rPr>
        <w:t>к</w:t>
      </w:r>
      <w:r w:rsidR="006C680D" w:rsidRPr="00D337FA">
        <w:rPr>
          <w:szCs w:val="24"/>
          <w:shd w:val="clear" w:color="auto" w:fill="FFFFFF"/>
        </w:rPr>
        <w:t xml:space="preserve"> </w:t>
      </w:r>
      <w:r w:rsidRPr="00D337FA">
        <w:rPr>
          <w:szCs w:val="24"/>
          <w:shd w:val="clear" w:color="auto" w:fill="FFFFFF"/>
        </w:rPr>
        <w:t>доллару</w:t>
      </w:r>
      <w:r w:rsidR="006C680D" w:rsidRPr="00D337FA">
        <w:rPr>
          <w:szCs w:val="24"/>
          <w:shd w:val="clear" w:color="auto" w:fill="FFFFFF"/>
        </w:rPr>
        <w:t xml:space="preserve"> </w:t>
      </w:r>
      <w:r w:rsidRPr="00D337FA">
        <w:rPr>
          <w:szCs w:val="24"/>
          <w:shd w:val="clear" w:color="auto" w:fill="FFFFFF"/>
        </w:rPr>
        <w:t>сократилась.</w:t>
      </w:r>
      <w:r w:rsidR="006C680D" w:rsidRPr="00D337FA">
        <w:rPr>
          <w:szCs w:val="24"/>
          <w:shd w:val="clear" w:color="auto" w:fill="FFFFFF"/>
        </w:rPr>
        <w:t xml:space="preserve"> </w:t>
      </w:r>
      <w:r w:rsidRPr="00D337FA">
        <w:rPr>
          <w:szCs w:val="24"/>
          <w:shd w:val="clear" w:color="auto" w:fill="FFFFFF"/>
        </w:rPr>
        <w:t>Таким</w:t>
      </w:r>
      <w:r w:rsidR="006C680D" w:rsidRPr="00D337FA">
        <w:rPr>
          <w:szCs w:val="24"/>
          <w:shd w:val="clear" w:color="auto" w:fill="FFFFFF"/>
        </w:rPr>
        <w:t xml:space="preserve"> </w:t>
      </w:r>
      <w:r w:rsidRPr="00D337FA">
        <w:rPr>
          <w:szCs w:val="24"/>
          <w:shd w:val="clear" w:color="auto" w:fill="FFFFFF"/>
        </w:rPr>
        <w:t>образом,</w:t>
      </w:r>
      <w:r w:rsidR="006C680D" w:rsidRPr="00D337FA">
        <w:rPr>
          <w:szCs w:val="24"/>
          <w:shd w:val="clear" w:color="auto" w:fill="FFFFFF"/>
        </w:rPr>
        <w:t xml:space="preserve"> </w:t>
      </w:r>
      <w:r w:rsidRPr="00D337FA">
        <w:rPr>
          <w:szCs w:val="24"/>
          <w:shd w:val="clear" w:color="auto" w:fill="FFFFFF"/>
        </w:rPr>
        <w:t>наибольший</w:t>
      </w:r>
      <w:r w:rsidR="006C680D" w:rsidRPr="00D337FA">
        <w:rPr>
          <w:szCs w:val="24"/>
          <w:shd w:val="clear" w:color="auto" w:fill="FFFFFF"/>
        </w:rPr>
        <w:t xml:space="preserve"> </w:t>
      </w:r>
      <w:r w:rsidRPr="00D337FA">
        <w:rPr>
          <w:szCs w:val="24"/>
          <w:shd w:val="clear" w:color="auto" w:fill="FFFFFF"/>
        </w:rPr>
        <w:t>рост</w:t>
      </w:r>
      <w:r w:rsidR="006C680D" w:rsidRPr="00D337FA">
        <w:rPr>
          <w:szCs w:val="24"/>
          <w:shd w:val="clear" w:color="auto" w:fill="FFFFFF"/>
        </w:rPr>
        <w:t xml:space="preserve"> </w:t>
      </w:r>
      <w:r w:rsidRPr="00D337FA">
        <w:rPr>
          <w:szCs w:val="24"/>
          <w:shd w:val="clear" w:color="auto" w:fill="FFFFFF"/>
        </w:rPr>
        <w:t>общих</w:t>
      </w:r>
      <w:r w:rsidR="006C680D" w:rsidRPr="00D337FA">
        <w:rPr>
          <w:szCs w:val="24"/>
          <w:shd w:val="clear" w:color="auto" w:fill="FFFFFF"/>
        </w:rPr>
        <w:t xml:space="preserve"> </w:t>
      </w:r>
      <w:r w:rsidRPr="00D337FA">
        <w:rPr>
          <w:szCs w:val="24"/>
          <w:shd w:val="clear" w:color="auto" w:fill="FFFFFF"/>
        </w:rPr>
        <w:t>объёмов</w:t>
      </w:r>
      <w:r w:rsidR="006C680D" w:rsidRPr="00D337FA">
        <w:rPr>
          <w:szCs w:val="24"/>
          <w:shd w:val="clear" w:color="auto" w:fill="FFFFFF"/>
        </w:rPr>
        <w:t xml:space="preserve"> </w:t>
      </w:r>
      <w:r w:rsidRPr="00D337FA">
        <w:rPr>
          <w:szCs w:val="24"/>
          <w:shd w:val="clear" w:color="auto" w:fill="FFFFFF"/>
        </w:rPr>
        <w:t>поддержки</w:t>
      </w:r>
      <w:r w:rsidR="006C680D" w:rsidRPr="00D337FA">
        <w:rPr>
          <w:szCs w:val="24"/>
          <w:shd w:val="clear" w:color="auto" w:fill="FFFFFF"/>
        </w:rPr>
        <w:t xml:space="preserve"> </w:t>
      </w:r>
      <w:r w:rsidRPr="00D337FA">
        <w:rPr>
          <w:szCs w:val="24"/>
          <w:shd w:val="clear" w:color="auto" w:fill="FFFFFF"/>
        </w:rPr>
        <w:lastRenderedPageBreak/>
        <w:t>сельскохозяйственной</w:t>
      </w:r>
      <w:r w:rsidR="006C680D" w:rsidRPr="00D337FA">
        <w:rPr>
          <w:szCs w:val="24"/>
          <w:shd w:val="clear" w:color="auto" w:fill="FFFFFF"/>
        </w:rPr>
        <w:t xml:space="preserve"> </w:t>
      </w:r>
      <w:r w:rsidRPr="00D337FA">
        <w:rPr>
          <w:szCs w:val="24"/>
          <w:shd w:val="clear" w:color="auto" w:fill="FFFFFF"/>
        </w:rPr>
        <w:t>отрасли</w:t>
      </w:r>
      <w:r w:rsidR="006C680D" w:rsidRPr="00D337FA">
        <w:rPr>
          <w:szCs w:val="24"/>
          <w:shd w:val="clear" w:color="auto" w:fill="FFFFFF"/>
        </w:rPr>
        <w:t xml:space="preserve"> </w:t>
      </w:r>
      <w:r w:rsidRPr="00D337FA">
        <w:rPr>
          <w:szCs w:val="24"/>
          <w:shd w:val="clear" w:color="auto" w:fill="FFFFFF"/>
        </w:rPr>
        <w:t>обеспечивается</w:t>
      </w:r>
      <w:r w:rsidR="006C680D" w:rsidRPr="00D337FA">
        <w:rPr>
          <w:szCs w:val="24"/>
          <w:shd w:val="clear" w:color="auto" w:fill="FFFFFF"/>
        </w:rPr>
        <w:t xml:space="preserve"> </w:t>
      </w:r>
      <w:r w:rsidRPr="00D337FA">
        <w:rPr>
          <w:szCs w:val="24"/>
          <w:shd w:val="clear" w:color="auto" w:fill="FFFFFF"/>
        </w:rPr>
        <w:t>США</w:t>
      </w:r>
      <w:r w:rsidR="006C680D" w:rsidRPr="00D337FA">
        <w:rPr>
          <w:szCs w:val="24"/>
          <w:shd w:val="clear" w:color="auto" w:fill="FFFFFF"/>
        </w:rPr>
        <w:t xml:space="preserve"> </w:t>
      </w:r>
      <w:r w:rsidRPr="00D337FA">
        <w:rPr>
          <w:szCs w:val="24"/>
          <w:shd w:val="clear" w:color="auto" w:fill="FFFFFF"/>
        </w:rPr>
        <w:t>и</w:t>
      </w:r>
      <w:r w:rsidR="006C680D" w:rsidRPr="00D337FA">
        <w:rPr>
          <w:szCs w:val="24"/>
          <w:shd w:val="clear" w:color="auto" w:fill="FFFFFF"/>
        </w:rPr>
        <w:t xml:space="preserve"> </w:t>
      </w:r>
      <w:r w:rsidRPr="00D337FA">
        <w:rPr>
          <w:szCs w:val="24"/>
          <w:shd w:val="clear" w:color="auto" w:fill="FFFFFF"/>
        </w:rPr>
        <w:t>Китаем,</w:t>
      </w:r>
      <w:r w:rsidR="006C680D" w:rsidRPr="00D337FA">
        <w:rPr>
          <w:szCs w:val="24"/>
          <w:shd w:val="clear" w:color="auto" w:fill="FFFFFF"/>
        </w:rPr>
        <w:t xml:space="preserve"> </w:t>
      </w:r>
      <w:r w:rsidRPr="00D337FA">
        <w:rPr>
          <w:szCs w:val="24"/>
          <w:shd w:val="clear" w:color="auto" w:fill="FFFFFF"/>
        </w:rPr>
        <w:t>последний</w:t>
      </w:r>
      <w:r w:rsidR="006C680D" w:rsidRPr="00D337FA">
        <w:rPr>
          <w:szCs w:val="24"/>
          <w:shd w:val="clear" w:color="auto" w:fill="FFFFFF"/>
        </w:rPr>
        <w:t xml:space="preserve"> </w:t>
      </w:r>
      <w:r w:rsidRPr="00D337FA">
        <w:rPr>
          <w:szCs w:val="24"/>
          <w:shd w:val="clear" w:color="auto" w:fill="FFFFFF"/>
        </w:rPr>
        <w:t>из</w:t>
      </w:r>
      <w:r w:rsidR="006C680D" w:rsidRPr="00D337FA">
        <w:rPr>
          <w:szCs w:val="24"/>
          <w:shd w:val="clear" w:color="auto" w:fill="FFFFFF"/>
        </w:rPr>
        <w:t xml:space="preserve"> </w:t>
      </w:r>
      <w:r w:rsidRPr="00D337FA">
        <w:rPr>
          <w:szCs w:val="24"/>
          <w:shd w:val="clear" w:color="auto" w:fill="FFFFFF"/>
        </w:rPr>
        <w:t>которые</w:t>
      </w:r>
      <w:r w:rsidR="006C680D" w:rsidRPr="00D337FA">
        <w:rPr>
          <w:szCs w:val="24"/>
          <w:shd w:val="clear" w:color="auto" w:fill="FFFFFF"/>
        </w:rPr>
        <w:t xml:space="preserve"> </w:t>
      </w:r>
      <w:r w:rsidRPr="00D337FA">
        <w:rPr>
          <w:szCs w:val="24"/>
          <w:shd w:val="clear" w:color="auto" w:fill="FFFFFF"/>
        </w:rPr>
        <w:t>с</w:t>
      </w:r>
      <w:r w:rsidR="006C680D" w:rsidRPr="00D337FA">
        <w:rPr>
          <w:szCs w:val="24"/>
          <w:shd w:val="clear" w:color="auto" w:fill="FFFFFF"/>
        </w:rPr>
        <w:t xml:space="preserve"> </w:t>
      </w:r>
      <w:r w:rsidRPr="00D337FA">
        <w:rPr>
          <w:szCs w:val="24"/>
          <w:shd w:val="clear" w:color="auto" w:fill="FFFFFF"/>
        </w:rPr>
        <w:t>2000</w:t>
      </w:r>
      <w:r w:rsidR="006C680D" w:rsidRPr="00D337FA">
        <w:rPr>
          <w:szCs w:val="24"/>
          <w:shd w:val="clear" w:color="auto" w:fill="FFFFFF"/>
        </w:rPr>
        <w:t xml:space="preserve"> </w:t>
      </w:r>
      <w:r w:rsidRPr="00D337FA">
        <w:rPr>
          <w:szCs w:val="24"/>
          <w:shd w:val="clear" w:color="auto" w:fill="FFFFFF"/>
        </w:rPr>
        <w:t>г.</w:t>
      </w:r>
      <w:r w:rsidR="006C680D" w:rsidRPr="00D337FA">
        <w:rPr>
          <w:szCs w:val="24"/>
          <w:shd w:val="clear" w:color="auto" w:fill="FFFFFF"/>
        </w:rPr>
        <w:t xml:space="preserve"> </w:t>
      </w:r>
      <w:r w:rsidRPr="00D337FA">
        <w:rPr>
          <w:szCs w:val="24"/>
          <w:shd w:val="clear" w:color="auto" w:fill="FFFFFF"/>
        </w:rPr>
        <w:t>по</w:t>
      </w:r>
      <w:r w:rsidR="006C680D" w:rsidRPr="00D337FA">
        <w:rPr>
          <w:szCs w:val="24"/>
          <w:shd w:val="clear" w:color="auto" w:fill="FFFFFF"/>
        </w:rPr>
        <w:t xml:space="preserve"> </w:t>
      </w:r>
      <w:r w:rsidRPr="00D337FA">
        <w:rPr>
          <w:szCs w:val="24"/>
          <w:shd w:val="clear" w:color="auto" w:fill="FFFFFF"/>
        </w:rPr>
        <w:t>2024</w:t>
      </w:r>
      <w:r w:rsidR="006C680D" w:rsidRPr="00D337FA">
        <w:rPr>
          <w:szCs w:val="24"/>
          <w:shd w:val="clear" w:color="auto" w:fill="FFFFFF"/>
        </w:rPr>
        <w:t xml:space="preserve"> </w:t>
      </w:r>
      <w:r w:rsidRPr="00D337FA">
        <w:rPr>
          <w:szCs w:val="24"/>
          <w:shd w:val="clear" w:color="auto" w:fill="FFFFFF"/>
        </w:rPr>
        <w:t>г.</w:t>
      </w:r>
      <w:r w:rsidR="006C680D" w:rsidRPr="00D337FA">
        <w:rPr>
          <w:szCs w:val="24"/>
          <w:shd w:val="clear" w:color="auto" w:fill="FFFFFF"/>
        </w:rPr>
        <w:t xml:space="preserve"> </w:t>
      </w:r>
      <w:r w:rsidRPr="00D337FA">
        <w:rPr>
          <w:szCs w:val="24"/>
          <w:shd w:val="clear" w:color="auto" w:fill="FFFFFF"/>
        </w:rPr>
        <w:t>увеличился</w:t>
      </w:r>
      <w:r w:rsidR="006C680D" w:rsidRPr="00D337FA">
        <w:rPr>
          <w:szCs w:val="24"/>
          <w:shd w:val="clear" w:color="auto" w:fill="FFFFFF"/>
        </w:rPr>
        <w:t xml:space="preserve"> </w:t>
      </w:r>
      <w:r w:rsidRPr="00D337FA">
        <w:rPr>
          <w:szCs w:val="24"/>
          <w:shd w:val="clear" w:color="auto" w:fill="FFFFFF"/>
        </w:rPr>
        <w:t>почти</w:t>
      </w:r>
      <w:r w:rsidR="006C680D" w:rsidRPr="00D337FA">
        <w:rPr>
          <w:szCs w:val="24"/>
          <w:shd w:val="clear" w:color="auto" w:fill="FFFFFF"/>
        </w:rPr>
        <w:t xml:space="preserve"> </w:t>
      </w:r>
      <w:r w:rsidRPr="00D337FA">
        <w:rPr>
          <w:szCs w:val="24"/>
          <w:shd w:val="clear" w:color="auto" w:fill="FFFFFF"/>
        </w:rPr>
        <w:t>в</w:t>
      </w:r>
      <w:r w:rsidR="006C680D" w:rsidRPr="00D337FA">
        <w:rPr>
          <w:szCs w:val="24"/>
          <w:shd w:val="clear" w:color="auto" w:fill="FFFFFF"/>
        </w:rPr>
        <w:t xml:space="preserve"> </w:t>
      </w:r>
      <w:r w:rsidRPr="00D337FA">
        <w:rPr>
          <w:szCs w:val="24"/>
          <w:shd w:val="clear" w:color="auto" w:fill="FFFFFF"/>
        </w:rPr>
        <w:t>14</w:t>
      </w:r>
      <w:r w:rsidR="006C680D" w:rsidRPr="00D337FA">
        <w:rPr>
          <w:szCs w:val="24"/>
          <w:shd w:val="clear" w:color="auto" w:fill="FFFFFF"/>
        </w:rPr>
        <w:t xml:space="preserve"> </w:t>
      </w:r>
      <w:r w:rsidRPr="00D337FA">
        <w:rPr>
          <w:szCs w:val="24"/>
          <w:shd w:val="clear" w:color="auto" w:fill="FFFFFF"/>
        </w:rPr>
        <w:t>раз,</w:t>
      </w:r>
      <w:r w:rsidR="006C680D" w:rsidRPr="00D337FA">
        <w:rPr>
          <w:szCs w:val="24"/>
          <w:shd w:val="clear" w:color="auto" w:fill="FFFFFF"/>
        </w:rPr>
        <w:t xml:space="preserve"> </w:t>
      </w:r>
      <w:r w:rsidRPr="00D337FA">
        <w:rPr>
          <w:szCs w:val="24"/>
          <w:shd w:val="clear" w:color="auto" w:fill="FFFFFF"/>
        </w:rPr>
        <w:t>что</w:t>
      </w:r>
      <w:r w:rsidR="006C680D" w:rsidRPr="00D337FA">
        <w:rPr>
          <w:szCs w:val="24"/>
          <w:shd w:val="clear" w:color="auto" w:fill="FFFFFF"/>
        </w:rPr>
        <w:t xml:space="preserve"> </w:t>
      </w:r>
      <w:r w:rsidRPr="00D337FA">
        <w:rPr>
          <w:szCs w:val="24"/>
          <w:shd w:val="clear" w:color="auto" w:fill="FFFFFF"/>
        </w:rPr>
        <w:t>является</w:t>
      </w:r>
      <w:r w:rsidR="006C680D" w:rsidRPr="00D337FA">
        <w:rPr>
          <w:szCs w:val="24"/>
          <w:shd w:val="clear" w:color="auto" w:fill="FFFFFF"/>
        </w:rPr>
        <w:t xml:space="preserve"> </w:t>
      </w:r>
      <w:r w:rsidRPr="00D337FA">
        <w:rPr>
          <w:szCs w:val="24"/>
          <w:shd w:val="clear" w:color="auto" w:fill="FFFFFF"/>
        </w:rPr>
        <w:t>рекордным</w:t>
      </w:r>
      <w:r w:rsidR="006C680D" w:rsidRPr="00D337FA">
        <w:rPr>
          <w:szCs w:val="24"/>
          <w:shd w:val="clear" w:color="auto" w:fill="FFFFFF"/>
        </w:rPr>
        <w:t xml:space="preserve"> </w:t>
      </w:r>
      <w:r w:rsidRPr="00D337FA">
        <w:rPr>
          <w:szCs w:val="24"/>
          <w:shd w:val="clear" w:color="auto" w:fill="FFFFFF"/>
        </w:rPr>
        <w:t>показателем</w:t>
      </w:r>
      <w:r w:rsidR="006C680D" w:rsidRPr="00D337FA">
        <w:rPr>
          <w:szCs w:val="24"/>
          <w:shd w:val="clear" w:color="auto" w:fill="FFFFFF"/>
        </w:rPr>
        <w:t xml:space="preserve"> </w:t>
      </w:r>
      <w:r w:rsidRPr="00D337FA">
        <w:rPr>
          <w:szCs w:val="24"/>
          <w:shd w:val="clear" w:color="auto" w:fill="FFFFFF"/>
        </w:rPr>
        <w:t>роста</w:t>
      </w:r>
      <w:r w:rsidR="006C680D" w:rsidRPr="00D337FA">
        <w:rPr>
          <w:szCs w:val="24"/>
          <w:shd w:val="clear" w:color="auto" w:fill="FFFFFF"/>
        </w:rPr>
        <w:t xml:space="preserve"> </w:t>
      </w:r>
      <w:r w:rsidRPr="00D337FA">
        <w:rPr>
          <w:szCs w:val="24"/>
          <w:shd w:val="clear" w:color="auto" w:fill="FFFFFF"/>
        </w:rPr>
        <w:t>среди</w:t>
      </w:r>
      <w:r w:rsidR="006C680D" w:rsidRPr="00D337FA">
        <w:rPr>
          <w:szCs w:val="24"/>
          <w:shd w:val="clear" w:color="auto" w:fill="FFFFFF"/>
        </w:rPr>
        <w:t xml:space="preserve"> </w:t>
      </w:r>
      <w:r w:rsidRPr="00D337FA">
        <w:rPr>
          <w:szCs w:val="24"/>
          <w:shd w:val="clear" w:color="auto" w:fill="FFFFFF"/>
        </w:rPr>
        <w:t>всех</w:t>
      </w:r>
      <w:r w:rsidR="006C680D" w:rsidRPr="00D337FA">
        <w:rPr>
          <w:szCs w:val="24"/>
          <w:shd w:val="clear" w:color="auto" w:fill="FFFFFF"/>
        </w:rPr>
        <w:t xml:space="preserve"> </w:t>
      </w:r>
      <w:r w:rsidRPr="00D337FA">
        <w:rPr>
          <w:szCs w:val="24"/>
          <w:shd w:val="clear" w:color="auto" w:fill="FFFFFF"/>
        </w:rPr>
        <w:t>исследуемых</w:t>
      </w:r>
      <w:r w:rsidR="006C680D" w:rsidRPr="00D337FA">
        <w:rPr>
          <w:szCs w:val="24"/>
          <w:shd w:val="clear" w:color="auto" w:fill="FFFFFF"/>
        </w:rPr>
        <w:t xml:space="preserve"> </w:t>
      </w:r>
      <w:r w:rsidRPr="00D337FA">
        <w:rPr>
          <w:szCs w:val="24"/>
          <w:shd w:val="clear" w:color="auto" w:fill="FFFFFF"/>
        </w:rPr>
        <w:t>стран.</w:t>
      </w:r>
      <w:r w:rsidR="006C680D" w:rsidRPr="00D337FA">
        <w:rPr>
          <w:szCs w:val="24"/>
          <w:shd w:val="clear" w:color="auto" w:fill="FFFFFF"/>
        </w:rPr>
        <w:t xml:space="preserve"> </w:t>
      </w:r>
    </w:p>
    <w:p w:rsidR="00E01803" w:rsidRPr="00D337FA" w:rsidRDefault="00E01803" w:rsidP="00253534">
      <w:pPr>
        <w:ind w:firstLine="142"/>
        <w:rPr>
          <w:highlight w:val="yellow"/>
        </w:rPr>
        <w:sectPr w:rsidR="00E01803" w:rsidRPr="00D337FA" w:rsidSect="00F450AD">
          <w:footnotePr>
            <w:numRestart w:val="eachPage"/>
          </w:footnotePr>
          <w:type w:val="continuous"/>
          <w:pgSz w:w="11907" w:h="16840" w:code="9"/>
          <w:pgMar w:top="1531" w:right="1134" w:bottom="1418" w:left="1134" w:header="1021" w:footer="1021" w:gutter="0"/>
          <w:cols w:num="2" w:space="567"/>
          <w:docGrid w:linePitch="360"/>
        </w:sectPr>
      </w:pPr>
    </w:p>
    <w:p w:rsidR="00FC35AD" w:rsidRPr="00D337FA" w:rsidRDefault="00FC35AD" w:rsidP="00812765">
      <w:pPr>
        <w:pStyle w:val="afe"/>
        <w:rPr>
          <w:color w:val="auto"/>
          <w:highlight w:val="yellow"/>
        </w:rPr>
      </w:pPr>
    </w:p>
    <w:p w:rsidR="00544DD6" w:rsidRPr="00D337FA" w:rsidRDefault="00544DD6" w:rsidP="00544DD6">
      <w:pPr>
        <w:shd w:val="clear" w:color="auto" w:fill="FFFFFF"/>
        <w:jc w:val="right"/>
        <w:rPr>
          <w:rFonts w:ascii="Arial" w:hAnsi="Arial" w:cs="Arial"/>
          <w:i/>
          <w:sz w:val="22"/>
          <w:szCs w:val="22"/>
        </w:rPr>
      </w:pPr>
      <w:r w:rsidRPr="00D337FA">
        <w:rPr>
          <w:rFonts w:ascii="Arial" w:hAnsi="Arial" w:cs="Arial"/>
          <w:i/>
          <w:sz w:val="22"/>
          <w:szCs w:val="22"/>
        </w:rPr>
        <w:t>Таблица</w:t>
      </w:r>
      <w:r w:rsidR="006C680D" w:rsidRPr="00D337FA">
        <w:rPr>
          <w:rFonts w:ascii="Arial" w:hAnsi="Arial" w:cs="Arial"/>
          <w:i/>
          <w:sz w:val="22"/>
          <w:szCs w:val="22"/>
        </w:rPr>
        <w:t xml:space="preserve"> </w:t>
      </w:r>
      <w:r w:rsidRPr="00D337FA">
        <w:rPr>
          <w:rFonts w:ascii="Arial" w:hAnsi="Arial" w:cs="Arial"/>
          <w:i/>
          <w:sz w:val="22"/>
          <w:szCs w:val="22"/>
        </w:rPr>
        <w:t>1</w:t>
      </w:r>
    </w:p>
    <w:p w:rsidR="008932D6" w:rsidRPr="00D337FA" w:rsidRDefault="00544DD6" w:rsidP="008932D6">
      <w:pPr>
        <w:shd w:val="clear" w:color="auto" w:fill="FFFFFF"/>
        <w:jc w:val="center"/>
        <w:rPr>
          <w:rFonts w:ascii="Arial" w:hAnsi="Arial" w:cs="Arial"/>
          <w:i/>
          <w:sz w:val="22"/>
          <w:szCs w:val="22"/>
        </w:rPr>
      </w:pPr>
      <w:r w:rsidRPr="00D337FA">
        <w:rPr>
          <w:rFonts w:ascii="Arial" w:hAnsi="Arial" w:cs="Arial"/>
          <w:i/>
          <w:sz w:val="22"/>
          <w:szCs w:val="22"/>
        </w:rPr>
        <w:t>Общий</w:t>
      </w:r>
      <w:r w:rsidR="006C680D" w:rsidRPr="00D337FA">
        <w:rPr>
          <w:rFonts w:ascii="Arial" w:hAnsi="Arial" w:cs="Arial"/>
          <w:i/>
          <w:sz w:val="22"/>
          <w:szCs w:val="22"/>
        </w:rPr>
        <w:t xml:space="preserve"> </w:t>
      </w:r>
      <w:r w:rsidRPr="00D337FA">
        <w:rPr>
          <w:rFonts w:ascii="Arial" w:hAnsi="Arial" w:cs="Arial"/>
          <w:i/>
          <w:sz w:val="22"/>
          <w:szCs w:val="22"/>
        </w:rPr>
        <w:t>объем</w:t>
      </w:r>
      <w:r w:rsidR="006C680D" w:rsidRPr="00D337FA">
        <w:rPr>
          <w:rFonts w:ascii="Arial" w:hAnsi="Arial" w:cs="Arial"/>
          <w:i/>
          <w:sz w:val="22"/>
          <w:szCs w:val="22"/>
        </w:rPr>
        <w:t xml:space="preserve"> </w:t>
      </w:r>
      <w:r w:rsidRPr="00D337FA">
        <w:rPr>
          <w:rFonts w:ascii="Arial" w:hAnsi="Arial" w:cs="Arial"/>
          <w:i/>
          <w:sz w:val="22"/>
          <w:szCs w:val="22"/>
        </w:rPr>
        <w:t>поддержки</w:t>
      </w:r>
      <w:r w:rsidR="006C680D" w:rsidRPr="00D337FA">
        <w:rPr>
          <w:rFonts w:ascii="Arial" w:hAnsi="Arial" w:cs="Arial"/>
          <w:i/>
          <w:sz w:val="22"/>
          <w:szCs w:val="22"/>
        </w:rPr>
        <w:t xml:space="preserve"> </w:t>
      </w:r>
      <w:r w:rsidRPr="00D337FA">
        <w:rPr>
          <w:rFonts w:ascii="Arial" w:hAnsi="Arial" w:cs="Arial"/>
          <w:i/>
          <w:sz w:val="22"/>
          <w:szCs w:val="22"/>
        </w:rPr>
        <w:t>сельского</w:t>
      </w:r>
      <w:r w:rsidR="006C680D" w:rsidRPr="00D337FA">
        <w:rPr>
          <w:rFonts w:ascii="Arial" w:hAnsi="Arial" w:cs="Arial"/>
          <w:i/>
          <w:sz w:val="22"/>
          <w:szCs w:val="22"/>
        </w:rPr>
        <w:t xml:space="preserve"> </w:t>
      </w:r>
      <w:r w:rsidRPr="00D337FA">
        <w:rPr>
          <w:rFonts w:ascii="Arial" w:hAnsi="Arial" w:cs="Arial"/>
          <w:i/>
          <w:sz w:val="22"/>
          <w:szCs w:val="22"/>
        </w:rPr>
        <w:t>хозяйства</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странах</w:t>
      </w:r>
      <w:r w:rsidR="006C680D" w:rsidRPr="00D337FA">
        <w:rPr>
          <w:rFonts w:ascii="Arial" w:hAnsi="Arial" w:cs="Arial"/>
          <w:i/>
          <w:sz w:val="22"/>
          <w:szCs w:val="22"/>
        </w:rPr>
        <w:t xml:space="preserve"> </w:t>
      </w:r>
      <w:r w:rsidRPr="00D337FA">
        <w:rPr>
          <w:rFonts w:ascii="Arial" w:hAnsi="Arial" w:cs="Arial"/>
          <w:i/>
          <w:sz w:val="22"/>
          <w:szCs w:val="22"/>
        </w:rPr>
        <w:t>мира</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2000-2024</w:t>
      </w:r>
      <w:r w:rsidR="006C680D" w:rsidRPr="00D337FA">
        <w:rPr>
          <w:rFonts w:ascii="Arial" w:hAnsi="Arial" w:cs="Arial"/>
          <w:i/>
          <w:sz w:val="22"/>
          <w:szCs w:val="22"/>
        </w:rPr>
        <w:t xml:space="preserve"> </w:t>
      </w:r>
      <w:r w:rsidRPr="00D337FA">
        <w:rPr>
          <w:rFonts w:ascii="Arial" w:hAnsi="Arial" w:cs="Arial"/>
          <w:i/>
          <w:sz w:val="22"/>
          <w:szCs w:val="22"/>
        </w:rPr>
        <w:t>гг.</w:t>
      </w:r>
    </w:p>
    <w:tbl>
      <w:tblPr>
        <w:tblStyle w:val="80"/>
        <w:tblW w:w="9717" w:type="dxa"/>
        <w:tblLook w:val="04A0" w:firstRow="1" w:lastRow="0" w:firstColumn="1" w:lastColumn="0" w:noHBand="0" w:noVBand="1"/>
      </w:tblPr>
      <w:tblGrid>
        <w:gridCol w:w="1435"/>
        <w:gridCol w:w="1035"/>
        <w:gridCol w:w="1035"/>
        <w:gridCol w:w="1035"/>
        <w:gridCol w:w="1036"/>
        <w:gridCol w:w="1035"/>
        <w:gridCol w:w="1035"/>
        <w:gridCol w:w="1035"/>
        <w:gridCol w:w="1036"/>
      </w:tblGrid>
      <w:tr w:rsidR="00D337FA" w:rsidRPr="00D337FA" w:rsidTr="004325C9">
        <w:trPr>
          <w:trHeight w:val="158"/>
        </w:trPr>
        <w:tc>
          <w:tcPr>
            <w:tcW w:w="1435" w:type="dxa"/>
            <w:vMerge w:val="restart"/>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Страны</w:t>
            </w:r>
          </w:p>
        </w:tc>
        <w:tc>
          <w:tcPr>
            <w:tcW w:w="8282" w:type="dxa"/>
            <w:gridSpan w:val="8"/>
          </w:tcPr>
          <w:p w:rsidR="00544DD6" w:rsidRPr="00D337FA" w:rsidRDefault="00544DD6" w:rsidP="00544DD6">
            <w:pPr>
              <w:ind w:firstLine="0"/>
              <w:jc w:val="center"/>
              <w:rPr>
                <w:rFonts w:ascii="Times New Roman" w:hAnsi="Times New Roman"/>
                <w:sz w:val="20"/>
                <w:szCs w:val="20"/>
              </w:rPr>
            </w:pPr>
            <w:r w:rsidRPr="00D337FA">
              <w:rPr>
                <w:rFonts w:ascii="Times New Roman" w:hAnsi="Times New Roman"/>
                <w:sz w:val="20"/>
                <w:szCs w:val="20"/>
              </w:rPr>
              <w:t>Величина</w:t>
            </w:r>
            <w:r w:rsidR="006C680D" w:rsidRPr="00D337FA">
              <w:rPr>
                <w:rFonts w:ascii="Times New Roman" w:hAnsi="Times New Roman"/>
                <w:sz w:val="20"/>
                <w:szCs w:val="20"/>
              </w:rPr>
              <w:t xml:space="preserve"> </w:t>
            </w:r>
            <w:r w:rsidRPr="00D337FA">
              <w:rPr>
                <w:rFonts w:ascii="Times New Roman" w:hAnsi="Times New Roman"/>
                <w:sz w:val="20"/>
                <w:szCs w:val="20"/>
              </w:rPr>
              <w:t>поддержки</w:t>
            </w:r>
            <w:r w:rsidR="006C680D" w:rsidRPr="00D337FA">
              <w:rPr>
                <w:rFonts w:ascii="Times New Roman" w:hAnsi="Times New Roman"/>
                <w:sz w:val="20"/>
                <w:szCs w:val="20"/>
              </w:rPr>
              <w:t xml:space="preserve"> </w:t>
            </w:r>
            <w:r w:rsidRPr="00D337FA">
              <w:rPr>
                <w:rFonts w:ascii="Times New Roman" w:hAnsi="Times New Roman"/>
                <w:sz w:val="20"/>
                <w:szCs w:val="20"/>
              </w:rPr>
              <w:t>по</w:t>
            </w:r>
            <w:r w:rsidR="006C680D" w:rsidRPr="00D337FA">
              <w:rPr>
                <w:rFonts w:ascii="Times New Roman" w:hAnsi="Times New Roman"/>
                <w:sz w:val="20"/>
                <w:szCs w:val="20"/>
              </w:rPr>
              <w:t xml:space="preserve"> </w:t>
            </w:r>
            <w:r w:rsidRPr="00D337FA">
              <w:rPr>
                <w:rFonts w:ascii="Times New Roman" w:hAnsi="Times New Roman"/>
                <w:sz w:val="20"/>
                <w:szCs w:val="20"/>
              </w:rPr>
              <w:t>годам,</w:t>
            </w:r>
            <w:r w:rsidR="006C680D" w:rsidRPr="00D337FA">
              <w:rPr>
                <w:rFonts w:ascii="Times New Roman" w:hAnsi="Times New Roman"/>
                <w:sz w:val="20"/>
                <w:szCs w:val="20"/>
              </w:rPr>
              <w:t xml:space="preserve"> </w:t>
            </w:r>
            <w:r w:rsidRPr="00D337FA">
              <w:rPr>
                <w:rFonts w:ascii="Times New Roman" w:hAnsi="Times New Roman"/>
                <w:sz w:val="20"/>
                <w:szCs w:val="20"/>
              </w:rPr>
              <w:t>млн.</w:t>
            </w:r>
            <w:r w:rsidR="006C680D" w:rsidRPr="00D337FA">
              <w:rPr>
                <w:rFonts w:ascii="Times New Roman" w:hAnsi="Times New Roman"/>
                <w:sz w:val="20"/>
                <w:szCs w:val="20"/>
              </w:rPr>
              <w:t xml:space="preserve"> </w:t>
            </w:r>
            <w:r w:rsidRPr="00D337FA">
              <w:rPr>
                <w:rFonts w:ascii="Times New Roman" w:hAnsi="Times New Roman"/>
                <w:sz w:val="20"/>
                <w:szCs w:val="20"/>
              </w:rPr>
              <w:t>долл.</w:t>
            </w:r>
            <w:r w:rsidR="006C680D" w:rsidRPr="00D337FA">
              <w:rPr>
                <w:rFonts w:ascii="Times New Roman" w:hAnsi="Times New Roman"/>
                <w:sz w:val="20"/>
                <w:szCs w:val="20"/>
              </w:rPr>
              <w:t xml:space="preserve"> </w:t>
            </w:r>
            <w:r w:rsidRPr="00D337FA">
              <w:rPr>
                <w:rFonts w:ascii="Times New Roman" w:hAnsi="Times New Roman"/>
                <w:sz w:val="20"/>
                <w:szCs w:val="20"/>
              </w:rPr>
              <w:t>США</w:t>
            </w:r>
          </w:p>
        </w:tc>
      </w:tr>
      <w:tr w:rsidR="00D337FA" w:rsidRPr="00D337FA" w:rsidTr="004325C9">
        <w:trPr>
          <w:trHeight w:val="157"/>
        </w:trPr>
        <w:tc>
          <w:tcPr>
            <w:tcW w:w="1435" w:type="dxa"/>
            <w:vMerge/>
          </w:tcPr>
          <w:p w:rsidR="00544DD6" w:rsidRPr="00D337FA" w:rsidRDefault="00544DD6" w:rsidP="00544DD6">
            <w:pPr>
              <w:ind w:firstLine="0"/>
              <w:rPr>
                <w:rFonts w:ascii="Times New Roman" w:hAnsi="Times New Roman"/>
                <w:sz w:val="20"/>
                <w:szCs w:val="20"/>
              </w:rPr>
            </w:pP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2000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2010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2015</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2020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2021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2022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2023</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2024</w:t>
            </w:r>
          </w:p>
        </w:tc>
      </w:tr>
      <w:tr w:rsidR="00D337FA" w:rsidRPr="00D337FA" w:rsidTr="004325C9">
        <w:trPr>
          <w:trHeight w:val="256"/>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Китай</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21</w:t>
            </w:r>
            <w:r w:rsidR="006C680D" w:rsidRPr="00D337FA">
              <w:rPr>
                <w:rFonts w:ascii="Times New Roman" w:hAnsi="Times New Roman"/>
                <w:sz w:val="20"/>
                <w:szCs w:val="20"/>
              </w:rPr>
              <w:t xml:space="preserve"> </w:t>
            </w:r>
            <w:r w:rsidRPr="00D337FA">
              <w:rPr>
                <w:rFonts w:ascii="Times New Roman" w:hAnsi="Times New Roman"/>
                <w:sz w:val="20"/>
                <w:szCs w:val="20"/>
              </w:rPr>
              <w:t>362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133</w:t>
            </w:r>
            <w:r w:rsidR="006C680D" w:rsidRPr="00D337FA">
              <w:rPr>
                <w:rFonts w:ascii="Times New Roman" w:hAnsi="Times New Roman"/>
                <w:sz w:val="20"/>
                <w:szCs w:val="20"/>
              </w:rPr>
              <w:t xml:space="preserve"> </w:t>
            </w:r>
            <w:r w:rsidRPr="00D337FA">
              <w:rPr>
                <w:rFonts w:ascii="Times New Roman" w:hAnsi="Times New Roman"/>
                <w:sz w:val="20"/>
                <w:szCs w:val="20"/>
              </w:rPr>
              <w:t>278</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269</w:t>
            </w:r>
            <w:r w:rsidR="006C680D" w:rsidRPr="00D337FA">
              <w:rPr>
                <w:rFonts w:ascii="Times New Roman" w:hAnsi="Times New Roman"/>
                <w:sz w:val="20"/>
                <w:szCs w:val="20"/>
              </w:rPr>
              <w:t xml:space="preserve"> </w:t>
            </w:r>
            <w:r w:rsidRPr="00D337FA">
              <w:rPr>
                <w:rFonts w:ascii="Times New Roman" w:hAnsi="Times New Roman"/>
                <w:sz w:val="20"/>
                <w:szCs w:val="20"/>
              </w:rPr>
              <w:t>244</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287</w:t>
            </w:r>
            <w:r w:rsidR="006C680D" w:rsidRPr="00D337FA">
              <w:rPr>
                <w:rFonts w:ascii="Times New Roman" w:hAnsi="Times New Roman"/>
                <w:sz w:val="20"/>
                <w:szCs w:val="20"/>
              </w:rPr>
              <w:t xml:space="preserve"> </w:t>
            </w:r>
            <w:r w:rsidRPr="00D337FA">
              <w:rPr>
                <w:rFonts w:ascii="Times New Roman" w:hAnsi="Times New Roman"/>
                <w:sz w:val="20"/>
                <w:szCs w:val="20"/>
              </w:rPr>
              <w:t>191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324</w:t>
            </w:r>
            <w:r w:rsidR="006C680D" w:rsidRPr="00D337FA">
              <w:rPr>
                <w:rFonts w:ascii="Times New Roman" w:hAnsi="Times New Roman"/>
                <w:sz w:val="20"/>
                <w:szCs w:val="20"/>
              </w:rPr>
              <w:t xml:space="preserve"> </w:t>
            </w:r>
            <w:r w:rsidRPr="00D337FA">
              <w:rPr>
                <w:rFonts w:ascii="Times New Roman" w:hAnsi="Times New Roman"/>
                <w:sz w:val="20"/>
                <w:szCs w:val="20"/>
              </w:rPr>
              <w:t>128</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311</w:t>
            </w:r>
            <w:r w:rsidR="006C680D" w:rsidRPr="00D337FA">
              <w:rPr>
                <w:rFonts w:ascii="Times New Roman" w:hAnsi="Times New Roman"/>
                <w:sz w:val="20"/>
                <w:szCs w:val="20"/>
              </w:rPr>
              <w:t xml:space="preserve"> </w:t>
            </w:r>
            <w:r w:rsidRPr="00D337FA">
              <w:rPr>
                <w:rFonts w:ascii="Times New Roman" w:hAnsi="Times New Roman"/>
                <w:sz w:val="20"/>
                <w:szCs w:val="20"/>
              </w:rPr>
              <w:t>201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295</w:t>
            </w:r>
            <w:r w:rsidR="006C680D" w:rsidRPr="00D337FA">
              <w:rPr>
                <w:rFonts w:ascii="Times New Roman" w:hAnsi="Times New Roman"/>
                <w:sz w:val="20"/>
                <w:szCs w:val="20"/>
              </w:rPr>
              <w:t xml:space="preserve"> </w:t>
            </w:r>
            <w:r w:rsidRPr="00D337FA">
              <w:rPr>
                <w:rFonts w:ascii="Times New Roman" w:hAnsi="Times New Roman"/>
                <w:sz w:val="20"/>
                <w:szCs w:val="20"/>
              </w:rPr>
              <w:t>377</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298</w:t>
            </w:r>
            <w:r w:rsidR="006C680D" w:rsidRPr="00D337FA">
              <w:rPr>
                <w:rFonts w:ascii="Times New Roman" w:hAnsi="Times New Roman"/>
                <w:sz w:val="20"/>
                <w:szCs w:val="20"/>
              </w:rPr>
              <w:t xml:space="preserve"> </w:t>
            </w:r>
            <w:r w:rsidRPr="00D337FA">
              <w:rPr>
                <w:rFonts w:ascii="Times New Roman" w:hAnsi="Times New Roman"/>
                <w:sz w:val="20"/>
                <w:szCs w:val="20"/>
              </w:rPr>
              <w:t>275</w:t>
            </w:r>
          </w:p>
        </w:tc>
      </w:tr>
      <w:tr w:rsidR="00D337FA" w:rsidRPr="00D337FA" w:rsidTr="004325C9">
        <w:trPr>
          <w:trHeight w:val="246"/>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ЕС</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91</w:t>
            </w:r>
            <w:r w:rsidR="006C680D" w:rsidRPr="00D337FA">
              <w:rPr>
                <w:rFonts w:ascii="Times New Roman" w:hAnsi="Times New Roman"/>
                <w:sz w:val="20"/>
                <w:szCs w:val="20"/>
              </w:rPr>
              <w:t xml:space="preserve"> </w:t>
            </w:r>
            <w:r w:rsidRPr="00D337FA">
              <w:rPr>
                <w:rFonts w:ascii="Times New Roman" w:hAnsi="Times New Roman"/>
                <w:sz w:val="20"/>
                <w:szCs w:val="20"/>
              </w:rPr>
              <w:t>367</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117</w:t>
            </w:r>
            <w:r w:rsidR="006C680D" w:rsidRPr="00D337FA">
              <w:rPr>
                <w:rFonts w:ascii="Times New Roman" w:hAnsi="Times New Roman"/>
                <w:sz w:val="20"/>
                <w:szCs w:val="20"/>
              </w:rPr>
              <w:t xml:space="preserve"> </w:t>
            </w:r>
            <w:r w:rsidRPr="00D337FA">
              <w:rPr>
                <w:rFonts w:ascii="Times New Roman" w:hAnsi="Times New Roman"/>
                <w:sz w:val="20"/>
                <w:szCs w:val="20"/>
              </w:rPr>
              <w:t>211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104</w:t>
            </w:r>
            <w:r w:rsidR="006C680D" w:rsidRPr="00D337FA">
              <w:rPr>
                <w:rFonts w:ascii="Times New Roman" w:hAnsi="Times New Roman"/>
                <w:sz w:val="20"/>
                <w:szCs w:val="20"/>
              </w:rPr>
              <w:t xml:space="preserve"> </w:t>
            </w:r>
            <w:r w:rsidRPr="00D337FA">
              <w:rPr>
                <w:rFonts w:ascii="Times New Roman" w:hAnsi="Times New Roman"/>
                <w:sz w:val="20"/>
                <w:szCs w:val="20"/>
              </w:rPr>
              <w:t>795</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111</w:t>
            </w:r>
            <w:r w:rsidR="006C680D" w:rsidRPr="00D337FA">
              <w:rPr>
                <w:rFonts w:ascii="Times New Roman" w:hAnsi="Times New Roman"/>
                <w:sz w:val="20"/>
                <w:szCs w:val="20"/>
              </w:rPr>
              <w:t xml:space="preserve"> </w:t>
            </w:r>
            <w:r w:rsidRPr="00D337FA">
              <w:rPr>
                <w:rFonts w:ascii="Times New Roman" w:hAnsi="Times New Roman"/>
                <w:sz w:val="20"/>
                <w:szCs w:val="20"/>
              </w:rPr>
              <w:t>762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104</w:t>
            </w:r>
            <w:r w:rsidR="006C680D" w:rsidRPr="00D337FA">
              <w:rPr>
                <w:rFonts w:ascii="Times New Roman" w:hAnsi="Times New Roman"/>
                <w:sz w:val="20"/>
                <w:szCs w:val="20"/>
              </w:rPr>
              <w:t xml:space="preserve"> </w:t>
            </w:r>
            <w:r w:rsidRPr="00D337FA">
              <w:rPr>
                <w:rFonts w:ascii="Times New Roman" w:hAnsi="Times New Roman"/>
                <w:sz w:val="20"/>
                <w:szCs w:val="20"/>
              </w:rPr>
              <w:t>439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102</w:t>
            </w:r>
            <w:r w:rsidR="006C680D" w:rsidRPr="00D337FA">
              <w:rPr>
                <w:rFonts w:ascii="Times New Roman" w:hAnsi="Times New Roman"/>
                <w:sz w:val="20"/>
                <w:szCs w:val="20"/>
              </w:rPr>
              <w:t xml:space="preserve"> </w:t>
            </w:r>
            <w:r w:rsidRPr="00D337FA">
              <w:rPr>
                <w:rFonts w:ascii="Times New Roman" w:hAnsi="Times New Roman"/>
                <w:sz w:val="20"/>
                <w:szCs w:val="20"/>
              </w:rPr>
              <w:t>279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116</w:t>
            </w:r>
            <w:r w:rsidR="006C680D" w:rsidRPr="00D337FA">
              <w:rPr>
                <w:rFonts w:ascii="Times New Roman" w:hAnsi="Times New Roman"/>
                <w:sz w:val="20"/>
                <w:szCs w:val="20"/>
              </w:rPr>
              <w:t xml:space="preserve"> </w:t>
            </w:r>
            <w:r w:rsidRPr="00D337FA">
              <w:rPr>
                <w:rFonts w:ascii="Times New Roman" w:hAnsi="Times New Roman"/>
                <w:sz w:val="20"/>
                <w:szCs w:val="20"/>
              </w:rPr>
              <w:t>722</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117</w:t>
            </w:r>
            <w:r w:rsidR="006C680D" w:rsidRPr="00D337FA">
              <w:rPr>
                <w:rFonts w:ascii="Times New Roman" w:hAnsi="Times New Roman"/>
                <w:sz w:val="20"/>
                <w:szCs w:val="20"/>
              </w:rPr>
              <w:t xml:space="preserve"> </w:t>
            </w:r>
            <w:r w:rsidRPr="00D337FA">
              <w:rPr>
                <w:rFonts w:ascii="Times New Roman" w:hAnsi="Times New Roman"/>
                <w:sz w:val="20"/>
                <w:szCs w:val="20"/>
              </w:rPr>
              <w:t>154</w:t>
            </w:r>
          </w:p>
        </w:tc>
      </w:tr>
      <w:tr w:rsidR="00D337FA" w:rsidRPr="00D337FA" w:rsidTr="004325C9">
        <w:trPr>
          <w:trHeight w:val="250"/>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США</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71</w:t>
            </w:r>
            <w:r w:rsidR="006C680D" w:rsidRPr="00D337FA">
              <w:rPr>
                <w:rFonts w:ascii="Times New Roman" w:hAnsi="Times New Roman"/>
                <w:sz w:val="20"/>
                <w:szCs w:val="20"/>
              </w:rPr>
              <w:t xml:space="preserve"> </w:t>
            </w:r>
            <w:r w:rsidRPr="00D337FA">
              <w:rPr>
                <w:rFonts w:ascii="Times New Roman" w:hAnsi="Times New Roman"/>
                <w:sz w:val="20"/>
                <w:szCs w:val="20"/>
              </w:rPr>
              <w:t>675</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79</w:t>
            </w:r>
            <w:r w:rsidR="006C680D" w:rsidRPr="00D337FA">
              <w:rPr>
                <w:rFonts w:ascii="Times New Roman" w:hAnsi="Times New Roman"/>
                <w:sz w:val="20"/>
                <w:szCs w:val="20"/>
              </w:rPr>
              <w:t xml:space="preserve"> </w:t>
            </w:r>
            <w:r w:rsidRPr="00D337FA">
              <w:rPr>
                <w:rFonts w:ascii="Times New Roman" w:hAnsi="Times New Roman"/>
                <w:sz w:val="20"/>
                <w:szCs w:val="20"/>
              </w:rPr>
              <w:t>404</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90</w:t>
            </w:r>
            <w:r w:rsidR="006C680D" w:rsidRPr="00D337FA">
              <w:rPr>
                <w:rFonts w:ascii="Times New Roman" w:hAnsi="Times New Roman"/>
                <w:sz w:val="20"/>
                <w:szCs w:val="20"/>
              </w:rPr>
              <w:t xml:space="preserve"> </w:t>
            </w:r>
            <w:r w:rsidRPr="00D337FA">
              <w:rPr>
                <w:rFonts w:ascii="Times New Roman" w:hAnsi="Times New Roman"/>
                <w:sz w:val="20"/>
                <w:szCs w:val="20"/>
              </w:rPr>
              <w:t>309</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101</w:t>
            </w:r>
            <w:r w:rsidR="006C680D" w:rsidRPr="00D337FA">
              <w:rPr>
                <w:rFonts w:ascii="Times New Roman" w:hAnsi="Times New Roman"/>
                <w:sz w:val="20"/>
                <w:szCs w:val="20"/>
              </w:rPr>
              <w:t xml:space="preserve"> </w:t>
            </w:r>
            <w:r w:rsidRPr="00D337FA">
              <w:rPr>
                <w:rFonts w:ascii="Times New Roman" w:hAnsi="Times New Roman"/>
                <w:sz w:val="20"/>
                <w:szCs w:val="20"/>
              </w:rPr>
              <w:t>044</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130</w:t>
            </w:r>
            <w:r w:rsidR="006C680D" w:rsidRPr="00D337FA">
              <w:rPr>
                <w:rFonts w:ascii="Times New Roman" w:hAnsi="Times New Roman"/>
                <w:sz w:val="20"/>
                <w:szCs w:val="20"/>
              </w:rPr>
              <w:t xml:space="preserve"> </w:t>
            </w:r>
            <w:r w:rsidRPr="00D337FA">
              <w:rPr>
                <w:rFonts w:ascii="Times New Roman" w:hAnsi="Times New Roman"/>
                <w:sz w:val="20"/>
                <w:szCs w:val="20"/>
              </w:rPr>
              <w:t>563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135</w:t>
            </w:r>
            <w:r w:rsidR="006C680D" w:rsidRPr="00D337FA">
              <w:rPr>
                <w:rFonts w:ascii="Times New Roman" w:hAnsi="Times New Roman"/>
                <w:sz w:val="20"/>
                <w:szCs w:val="20"/>
              </w:rPr>
              <w:t xml:space="preserve"> </w:t>
            </w:r>
            <w:r w:rsidRPr="00D337FA">
              <w:rPr>
                <w:rFonts w:ascii="Times New Roman" w:hAnsi="Times New Roman"/>
                <w:sz w:val="20"/>
                <w:szCs w:val="20"/>
              </w:rPr>
              <w:t>142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119</w:t>
            </w:r>
            <w:r w:rsidR="006C680D" w:rsidRPr="00D337FA">
              <w:rPr>
                <w:rFonts w:ascii="Times New Roman" w:hAnsi="Times New Roman"/>
                <w:sz w:val="20"/>
                <w:szCs w:val="20"/>
              </w:rPr>
              <w:t xml:space="preserve"> </w:t>
            </w:r>
            <w:r w:rsidRPr="00D337FA">
              <w:rPr>
                <w:rFonts w:ascii="Times New Roman" w:hAnsi="Times New Roman"/>
                <w:sz w:val="20"/>
                <w:szCs w:val="20"/>
              </w:rPr>
              <w:t>831</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120</w:t>
            </w:r>
            <w:r w:rsidR="006C680D" w:rsidRPr="00D337FA">
              <w:rPr>
                <w:rFonts w:ascii="Times New Roman" w:hAnsi="Times New Roman"/>
                <w:sz w:val="20"/>
                <w:szCs w:val="20"/>
              </w:rPr>
              <w:t xml:space="preserve"> </w:t>
            </w:r>
            <w:r w:rsidRPr="00D337FA">
              <w:rPr>
                <w:rFonts w:ascii="Times New Roman" w:hAnsi="Times New Roman"/>
                <w:sz w:val="20"/>
                <w:szCs w:val="20"/>
              </w:rPr>
              <w:t>589</w:t>
            </w:r>
          </w:p>
        </w:tc>
      </w:tr>
      <w:tr w:rsidR="00D337FA" w:rsidRPr="00D337FA" w:rsidTr="004325C9">
        <w:trPr>
          <w:trHeight w:val="253"/>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Япония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63</w:t>
            </w:r>
            <w:r w:rsidR="006C680D" w:rsidRPr="00D337FA">
              <w:rPr>
                <w:rFonts w:ascii="Times New Roman" w:hAnsi="Times New Roman"/>
                <w:sz w:val="20"/>
                <w:szCs w:val="20"/>
              </w:rPr>
              <w:t xml:space="preserve"> </w:t>
            </w:r>
            <w:r w:rsidRPr="00D337FA">
              <w:rPr>
                <w:rFonts w:ascii="Times New Roman" w:hAnsi="Times New Roman"/>
                <w:sz w:val="20"/>
                <w:szCs w:val="20"/>
              </w:rPr>
              <w:t>990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58</w:t>
            </w:r>
            <w:r w:rsidR="006C680D" w:rsidRPr="00D337FA">
              <w:rPr>
                <w:rFonts w:ascii="Times New Roman" w:hAnsi="Times New Roman"/>
                <w:sz w:val="20"/>
                <w:szCs w:val="20"/>
              </w:rPr>
              <w:t xml:space="preserve"> </w:t>
            </w:r>
            <w:r w:rsidRPr="00D337FA">
              <w:rPr>
                <w:rFonts w:ascii="Times New Roman" w:hAnsi="Times New Roman"/>
                <w:sz w:val="20"/>
                <w:szCs w:val="20"/>
              </w:rPr>
              <w:t>516</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37</w:t>
            </w:r>
            <w:r w:rsidR="006C680D" w:rsidRPr="00D337FA">
              <w:rPr>
                <w:rFonts w:ascii="Times New Roman" w:hAnsi="Times New Roman"/>
                <w:sz w:val="20"/>
                <w:szCs w:val="20"/>
              </w:rPr>
              <w:t xml:space="preserve"> </w:t>
            </w:r>
            <w:r w:rsidRPr="00D337FA">
              <w:rPr>
                <w:rFonts w:ascii="Times New Roman" w:hAnsi="Times New Roman"/>
                <w:sz w:val="20"/>
                <w:szCs w:val="20"/>
              </w:rPr>
              <w:t>840</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52</w:t>
            </w:r>
            <w:r w:rsidR="006C680D" w:rsidRPr="00D337FA">
              <w:rPr>
                <w:rFonts w:ascii="Times New Roman" w:hAnsi="Times New Roman"/>
                <w:sz w:val="20"/>
                <w:szCs w:val="20"/>
              </w:rPr>
              <w:t xml:space="preserve"> </w:t>
            </w:r>
            <w:r w:rsidRPr="00D337FA">
              <w:rPr>
                <w:rFonts w:ascii="Times New Roman" w:hAnsi="Times New Roman"/>
                <w:sz w:val="20"/>
                <w:szCs w:val="20"/>
              </w:rPr>
              <w:t>854</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43</w:t>
            </w:r>
            <w:r w:rsidR="006C680D" w:rsidRPr="00D337FA">
              <w:rPr>
                <w:rFonts w:ascii="Times New Roman" w:hAnsi="Times New Roman"/>
                <w:sz w:val="20"/>
                <w:szCs w:val="20"/>
              </w:rPr>
              <w:t xml:space="preserve"> </w:t>
            </w:r>
            <w:r w:rsidRPr="00D337FA">
              <w:rPr>
                <w:rFonts w:ascii="Times New Roman" w:hAnsi="Times New Roman"/>
                <w:sz w:val="20"/>
                <w:szCs w:val="20"/>
              </w:rPr>
              <w:t>033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32</w:t>
            </w:r>
            <w:r w:rsidR="006C680D" w:rsidRPr="00D337FA">
              <w:rPr>
                <w:rFonts w:ascii="Times New Roman" w:hAnsi="Times New Roman"/>
                <w:sz w:val="20"/>
                <w:szCs w:val="20"/>
              </w:rPr>
              <w:t xml:space="preserve"> </w:t>
            </w:r>
            <w:r w:rsidRPr="00D337FA">
              <w:rPr>
                <w:rFonts w:ascii="Times New Roman" w:hAnsi="Times New Roman"/>
                <w:sz w:val="20"/>
                <w:szCs w:val="20"/>
              </w:rPr>
              <w:t>131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30</w:t>
            </w:r>
            <w:r w:rsidR="006C680D" w:rsidRPr="00D337FA">
              <w:rPr>
                <w:rFonts w:ascii="Times New Roman" w:hAnsi="Times New Roman"/>
                <w:sz w:val="20"/>
                <w:szCs w:val="20"/>
              </w:rPr>
              <w:t xml:space="preserve"> </w:t>
            </w:r>
            <w:r w:rsidRPr="00D337FA">
              <w:rPr>
                <w:rFonts w:ascii="Times New Roman" w:hAnsi="Times New Roman"/>
                <w:sz w:val="20"/>
                <w:szCs w:val="20"/>
              </w:rPr>
              <w:t>804</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30</w:t>
            </w:r>
            <w:r w:rsidR="006C680D" w:rsidRPr="00D337FA">
              <w:rPr>
                <w:rFonts w:ascii="Times New Roman" w:hAnsi="Times New Roman"/>
                <w:sz w:val="20"/>
                <w:szCs w:val="20"/>
              </w:rPr>
              <w:t xml:space="preserve"> </w:t>
            </w:r>
            <w:r w:rsidRPr="00D337FA">
              <w:rPr>
                <w:rFonts w:ascii="Times New Roman" w:hAnsi="Times New Roman"/>
                <w:sz w:val="20"/>
                <w:szCs w:val="20"/>
              </w:rPr>
              <w:t>824</w:t>
            </w:r>
          </w:p>
        </w:tc>
      </w:tr>
      <w:tr w:rsidR="00D337FA" w:rsidRPr="00D337FA" w:rsidTr="004325C9">
        <w:trPr>
          <w:trHeight w:val="244"/>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Турция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13</w:t>
            </w:r>
            <w:r w:rsidR="006C680D" w:rsidRPr="00D337FA">
              <w:rPr>
                <w:rFonts w:ascii="Times New Roman" w:hAnsi="Times New Roman"/>
                <w:sz w:val="20"/>
                <w:szCs w:val="20"/>
              </w:rPr>
              <w:t xml:space="preserve"> </w:t>
            </w:r>
            <w:r w:rsidRPr="00D337FA">
              <w:rPr>
                <w:rFonts w:ascii="Times New Roman" w:hAnsi="Times New Roman"/>
                <w:sz w:val="20"/>
                <w:szCs w:val="20"/>
              </w:rPr>
              <w:t>305</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34</w:t>
            </w:r>
            <w:r w:rsidR="006C680D" w:rsidRPr="00D337FA">
              <w:rPr>
                <w:rFonts w:ascii="Times New Roman" w:hAnsi="Times New Roman"/>
                <w:sz w:val="20"/>
                <w:szCs w:val="20"/>
              </w:rPr>
              <w:t xml:space="preserve"> </w:t>
            </w:r>
            <w:r w:rsidRPr="00D337FA">
              <w:rPr>
                <w:rFonts w:ascii="Times New Roman" w:hAnsi="Times New Roman"/>
                <w:sz w:val="20"/>
                <w:szCs w:val="20"/>
              </w:rPr>
              <w:t>566</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18</w:t>
            </w:r>
            <w:r w:rsidR="006C680D" w:rsidRPr="00D337FA">
              <w:rPr>
                <w:rFonts w:ascii="Times New Roman" w:hAnsi="Times New Roman"/>
                <w:sz w:val="20"/>
                <w:szCs w:val="20"/>
              </w:rPr>
              <w:t xml:space="preserve"> </w:t>
            </w:r>
            <w:r w:rsidRPr="00D337FA">
              <w:rPr>
                <w:rFonts w:ascii="Times New Roman" w:hAnsi="Times New Roman"/>
                <w:sz w:val="20"/>
                <w:szCs w:val="20"/>
              </w:rPr>
              <w:t>262</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14</w:t>
            </w:r>
            <w:r w:rsidR="006C680D" w:rsidRPr="00D337FA">
              <w:rPr>
                <w:rFonts w:ascii="Times New Roman" w:hAnsi="Times New Roman"/>
                <w:sz w:val="20"/>
                <w:szCs w:val="20"/>
              </w:rPr>
              <w:t xml:space="preserve"> </w:t>
            </w:r>
            <w:r w:rsidRPr="00D337FA">
              <w:rPr>
                <w:rFonts w:ascii="Times New Roman" w:hAnsi="Times New Roman"/>
                <w:sz w:val="20"/>
                <w:szCs w:val="20"/>
              </w:rPr>
              <w:t>909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9</w:t>
            </w:r>
            <w:r w:rsidR="006C680D" w:rsidRPr="00D337FA">
              <w:rPr>
                <w:rFonts w:ascii="Times New Roman" w:hAnsi="Times New Roman"/>
                <w:sz w:val="20"/>
                <w:szCs w:val="20"/>
              </w:rPr>
              <w:t xml:space="preserve"> </w:t>
            </w:r>
            <w:r w:rsidRPr="00D337FA">
              <w:rPr>
                <w:rFonts w:ascii="Times New Roman" w:hAnsi="Times New Roman"/>
                <w:sz w:val="20"/>
                <w:szCs w:val="20"/>
              </w:rPr>
              <w:t>833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8</w:t>
            </w:r>
            <w:r w:rsidR="006C680D" w:rsidRPr="00D337FA">
              <w:rPr>
                <w:rFonts w:ascii="Times New Roman" w:hAnsi="Times New Roman"/>
                <w:sz w:val="20"/>
                <w:szCs w:val="20"/>
              </w:rPr>
              <w:t xml:space="preserve"> </w:t>
            </w:r>
            <w:r w:rsidRPr="00D337FA">
              <w:rPr>
                <w:rFonts w:ascii="Times New Roman" w:hAnsi="Times New Roman"/>
                <w:sz w:val="20"/>
                <w:szCs w:val="20"/>
              </w:rPr>
              <w:t>766</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12</w:t>
            </w:r>
            <w:r w:rsidR="006C680D" w:rsidRPr="00D337FA">
              <w:rPr>
                <w:rFonts w:ascii="Times New Roman" w:hAnsi="Times New Roman"/>
                <w:sz w:val="20"/>
                <w:szCs w:val="20"/>
              </w:rPr>
              <w:t xml:space="preserve"> </w:t>
            </w:r>
            <w:r w:rsidRPr="00D337FA">
              <w:rPr>
                <w:rFonts w:ascii="Times New Roman" w:hAnsi="Times New Roman"/>
                <w:sz w:val="20"/>
                <w:szCs w:val="20"/>
              </w:rPr>
              <w:t>432</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14</w:t>
            </w:r>
            <w:r w:rsidR="006C680D" w:rsidRPr="00D337FA">
              <w:rPr>
                <w:rFonts w:ascii="Times New Roman" w:hAnsi="Times New Roman"/>
                <w:sz w:val="20"/>
                <w:szCs w:val="20"/>
              </w:rPr>
              <w:t xml:space="preserve"> </w:t>
            </w:r>
            <w:r w:rsidRPr="00D337FA">
              <w:rPr>
                <w:rFonts w:ascii="Times New Roman" w:hAnsi="Times New Roman"/>
                <w:sz w:val="20"/>
                <w:szCs w:val="20"/>
              </w:rPr>
              <w:t>014</w:t>
            </w:r>
          </w:p>
        </w:tc>
      </w:tr>
      <w:tr w:rsidR="00D337FA" w:rsidRPr="00D337FA" w:rsidTr="004325C9">
        <w:trPr>
          <w:trHeight w:val="248"/>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Корея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20</w:t>
            </w:r>
            <w:r w:rsidR="006C680D" w:rsidRPr="00D337FA">
              <w:rPr>
                <w:rFonts w:ascii="Times New Roman" w:hAnsi="Times New Roman"/>
                <w:sz w:val="20"/>
                <w:szCs w:val="20"/>
              </w:rPr>
              <w:t xml:space="preserve"> </w:t>
            </w:r>
            <w:r w:rsidRPr="00D337FA">
              <w:rPr>
                <w:rFonts w:ascii="Times New Roman" w:hAnsi="Times New Roman"/>
                <w:sz w:val="20"/>
                <w:szCs w:val="20"/>
              </w:rPr>
              <w:t>199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21</w:t>
            </w:r>
            <w:r w:rsidR="006C680D" w:rsidRPr="00D337FA">
              <w:rPr>
                <w:rFonts w:ascii="Times New Roman" w:hAnsi="Times New Roman"/>
                <w:sz w:val="20"/>
                <w:szCs w:val="20"/>
              </w:rPr>
              <w:t xml:space="preserve"> </w:t>
            </w:r>
            <w:r w:rsidRPr="00D337FA">
              <w:rPr>
                <w:rFonts w:ascii="Times New Roman" w:hAnsi="Times New Roman"/>
                <w:sz w:val="20"/>
                <w:szCs w:val="20"/>
              </w:rPr>
              <w:t>821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23</w:t>
            </w:r>
            <w:r w:rsidR="006C680D" w:rsidRPr="00D337FA">
              <w:rPr>
                <w:rFonts w:ascii="Times New Roman" w:hAnsi="Times New Roman"/>
                <w:sz w:val="20"/>
                <w:szCs w:val="20"/>
              </w:rPr>
              <w:t xml:space="preserve"> </w:t>
            </w:r>
            <w:r w:rsidRPr="00D337FA">
              <w:rPr>
                <w:rFonts w:ascii="Times New Roman" w:hAnsi="Times New Roman"/>
                <w:sz w:val="20"/>
                <w:szCs w:val="20"/>
              </w:rPr>
              <w:t>670</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25</w:t>
            </w:r>
            <w:r w:rsidR="006C680D" w:rsidRPr="00D337FA">
              <w:rPr>
                <w:rFonts w:ascii="Times New Roman" w:hAnsi="Times New Roman"/>
                <w:sz w:val="20"/>
                <w:szCs w:val="20"/>
              </w:rPr>
              <w:t xml:space="preserve"> </w:t>
            </w:r>
            <w:r w:rsidRPr="00D337FA">
              <w:rPr>
                <w:rFonts w:ascii="Times New Roman" w:hAnsi="Times New Roman"/>
                <w:sz w:val="20"/>
                <w:szCs w:val="20"/>
              </w:rPr>
              <w:t>011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29</w:t>
            </w:r>
            <w:r w:rsidR="006C680D" w:rsidRPr="00D337FA">
              <w:rPr>
                <w:rFonts w:ascii="Times New Roman" w:hAnsi="Times New Roman"/>
                <w:sz w:val="20"/>
                <w:szCs w:val="20"/>
              </w:rPr>
              <w:t xml:space="preserve"> </w:t>
            </w:r>
            <w:r w:rsidRPr="00D337FA">
              <w:rPr>
                <w:rFonts w:ascii="Times New Roman" w:hAnsi="Times New Roman"/>
                <w:sz w:val="20"/>
                <w:szCs w:val="20"/>
              </w:rPr>
              <w:t>269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22</w:t>
            </w:r>
            <w:r w:rsidR="006C680D" w:rsidRPr="00D337FA">
              <w:rPr>
                <w:rFonts w:ascii="Times New Roman" w:hAnsi="Times New Roman"/>
                <w:sz w:val="20"/>
                <w:szCs w:val="20"/>
              </w:rPr>
              <w:t xml:space="preserve"> </w:t>
            </w:r>
            <w:r w:rsidRPr="00D337FA">
              <w:rPr>
                <w:rFonts w:ascii="Times New Roman" w:hAnsi="Times New Roman"/>
                <w:sz w:val="20"/>
                <w:szCs w:val="20"/>
              </w:rPr>
              <w:t>838</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23</w:t>
            </w:r>
            <w:r w:rsidR="006C680D" w:rsidRPr="00D337FA">
              <w:rPr>
                <w:rFonts w:ascii="Times New Roman" w:hAnsi="Times New Roman"/>
                <w:sz w:val="20"/>
                <w:szCs w:val="20"/>
              </w:rPr>
              <w:t xml:space="preserve"> </w:t>
            </w:r>
            <w:r w:rsidRPr="00D337FA">
              <w:rPr>
                <w:rFonts w:ascii="Times New Roman" w:hAnsi="Times New Roman"/>
                <w:sz w:val="20"/>
                <w:szCs w:val="20"/>
              </w:rPr>
              <w:t>122</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23</w:t>
            </w:r>
            <w:r w:rsidR="006C680D" w:rsidRPr="00D337FA">
              <w:rPr>
                <w:rFonts w:ascii="Times New Roman" w:hAnsi="Times New Roman"/>
                <w:sz w:val="20"/>
                <w:szCs w:val="20"/>
              </w:rPr>
              <w:t xml:space="preserve"> </w:t>
            </w:r>
            <w:r w:rsidRPr="00D337FA">
              <w:rPr>
                <w:rFonts w:ascii="Times New Roman" w:hAnsi="Times New Roman"/>
                <w:sz w:val="20"/>
                <w:szCs w:val="20"/>
              </w:rPr>
              <w:t>608</w:t>
            </w:r>
          </w:p>
        </w:tc>
      </w:tr>
      <w:tr w:rsidR="00D337FA" w:rsidRPr="00D337FA" w:rsidTr="004325C9">
        <w:trPr>
          <w:trHeight w:val="238"/>
        </w:trPr>
        <w:tc>
          <w:tcPr>
            <w:tcW w:w="1435"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Россия</w:t>
            </w:r>
          </w:p>
        </w:tc>
        <w:tc>
          <w:tcPr>
            <w:tcW w:w="1035"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1</w:t>
            </w:r>
            <w:r w:rsidR="006C680D" w:rsidRPr="00D337FA">
              <w:rPr>
                <w:rFonts w:ascii="Times New Roman" w:hAnsi="Times New Roman"/>
                <w:b/>
                <w:sz w:val="20"/>
                <w:szCs w:val="20"/>
              </w:rPr>
              <w:t xml:space="preserve"> </w:t>
            </w:r>
            <w:r w:rsidRPr="00D337FA">
              <w:rPr>
                <w:rFonts w:ascii="Times New Roman" w:hAnsi="Times New Roman"/>
                <w:b/>
                <w:sz w:val="20"/>
                <w:szCs w:val="20"/>
              </w:rPr>
              <w:t>116</w:t>
            </w:r>
          </w:p>
        </w:tc>
        <w:tc>
          <w:tcPr>
            <w:tcW w:w="1035"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16</w:t>
            </w:r>
            <w:r w:rsidR="006C680D" w:rsidRPr="00D337FA">
              <w:rPr>
                <w:rFonts w:ascii="Times New Roman" w:hAnsi="Times New Roman"/>
                <w:b/>
                <w:sz w:val="20"/>
                <w:szCs w:val="20"/>
              </w:rPr>
              <w:t xml:space="preserve"> </w:t>
            </w:r>
            <w:r w:rsidRPr="00D337FA">
              <w:rPr>
                <w:rFonts w:ascii="Times New Roman" w:hAnsi="Times New Roman"/>
                <w:b/>
                <w:sz w:val="20"/>
                <w:szCs w:val="20"/>
              </w:rPr>
              <w:t>473</w:t>
            </w:r>
          </w:p>
        </w:tc>
        <w:tc>
          <w:tcPr>
            <w:tcW w:w="1035"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10</w:t>
            </w:r>
            <w:r w:rsidR="006C680D" w:rsidRPr="00D337FA">
              <w:rPr>
                <w:rFonts w:ascii="Times New Roman" w:hAnsi="Times New Roman"/>
                <w:b/>
                <w:sz w:val="20"/>
                <w:szCs w:val="20"/>
              </w:rPr>
              <w:t xml:space="preserve"> </w:t>
            </w:r>
            <w:r w:rsidRPr="00D337FA">
              <w:rPr>
                <w:rFonts w:ascii="Times New Roman" w:hAnsi="Times New Roman"/>
                <w:b/>
                <w:sz w:val="20"/>
                <w:szCs w:val="20"/>
              </w:rPr>
              <w:t>902</w:t>
            </w:r>
          </w:p>
        </w:tc>
        <w:tc>
          <w:tcPr>
            <w:tcW w:w="1036"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8</w:t>
            </w:r>
            <w:r w:rsidR="006C680D" w:rsidRPr="00D337FA">
              <w:rPr>
                <w:rFonts w:ascii="Times New Roman" w:hAnsi="Times New Roman"/>
                <w:b/>
                <w:sz w:val="20"/>
                <w:szCs w:val="20"/>
              </w:rPr>
              <w:t xml:space="preserve"> </w:t>
            </w:r>
            <w:r w:rsidRPr="00D337FA">
              <w:rPr>
                <w:rFonts w:ascii="Times New Roman" w:hAnsi="Times New Roman"/>
                <w:b/>
                <w:sz w:val="20"/>
                <w:szCs w:val="20"/>
              </w:rPr>
              <w:t>355</w:t>
            </w:r>
          </w:p>
        </w:tc>
        <w:tc>
          <w:tcPr>
            <w:tcW w:w="1035"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5</w:t>
            </w:r>
            <w:r w:rsidR="006C680D" w:rsidRPr="00D337FA">
              <w:rPr>
                <w:rFonts w:ascii="Times New Roman" w:hAnsi="Times New Roman"/>
                <w:b/>
                <w:sz w:val="20"/>
                <w:szCs w:val="20"/>
              </w:rPr>
              <w:t xml:space="preserve"> </w:t>
            </w:r>
            <w:r w:rsidRPr="00D337FA">
              <w:rPr>
                <w:rFonts w:ascii="Times New Roman" w:hAnsi="Times New Roman"/>
                <w:b/>
                <w:sz w:val="20"/>
                <w:szCs w:val="20"/>
              </w:rPr>
              <w:t>478</w:t>
            </w:r>
          </w:p>
        </w:tc>
        <w:tc>
          <w:tcPr>
            <w:tcW w:w="1035"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7</w:t>
            </w:r>
            <w:r w:rsidR="006C680D" w:rsidRPr="00D337FA">
              <w:rPr>
                <w:rFonts w:ascii="Times New Roman" w:hAnsi="Times New Roman"/>
                <w:b/>
                <w:sz w:val="20"/>
                <w:szCs w:val="20"/>
              </w:rPr>
              <w:t xml:space="preserve"> </w:t>
            </w:r>
            <w:r w:rsidRPr="00D337FA">
              <w:rPr>
                <w:rFonts w:ascii="Times New Roman" w:hAnsi="Times New Roman"/>
                <w:b/>
                <w:sz w:val="20"/>
                <w:szCs w:val="20"/>
              </w:rPr>
              <w:t>056</w:t>
            </w:r>
          </w:p>
        </w:tc>
        <w:tc>
          <w:tcPr>
            <w:tcW w:w="1035"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5</w:t>
            </w:r>
            <w:r w:rsidR="006C680D" w:rsidRPr="00D337FA">
              <w:rPr>
                <w:rFonts w:ascii="Times New Roman" w:hAnsi="Times New Roman"/>
                <w:b/>
                <w:sz w:val="20"/>
                <w:szCs w:val="20"/>
              </w:rPr>
              <w:t xml:space="preserve"> </w:t>
            </w:r>
            <w:r w:rsidRPr="00D337FA">
              <w:rPr>
                <w:rFonts w:ascii="Times New Roman" w:hAnsi="Times New Roman"/>
                <w:b/>
                <w:sz w:val="20"/>
                <w:szCs w:val="20"/>
              </w:rPr>
              <w:t>811</w:t>
            </w:r>
          </w:p>
        </w:tc>
        <w:tc>
          <w:tcPr>
            <w:tcW w:w="1036" w:type="dxa"/>
          </w:tcPr>
          <w:p w:rsidR="00544DD6" w:rsidRPr="00D337FA" w:rsidRDefault="00544DD6" w:rsidP="00544DD6">
            <w:pPr>
              <w:ind w:firstLine="0"/>
              <w:rPr>
                <w:rFonts w:ascii="Times New Roman" w:hAnsi="Times New Roman"/>
                <w:b/>
                <w:sz w:val="20"/>
                <w:szCs w:val="20"/>
              </w:rPr>
            </w:pPr>
            <w:r w:rsidRPr="00D337FA">
              <w:rPr>
                <w:rFonts w:ascii="Times New Roman" w:hAnsi="Times New Roman"/>
                <w:b/>
                <w:sz w:val="20"/>
                <w:szCs w:val="20"/>
              </w:rPr>
              <w:t>6</w:t>
            </w:r>
            <w:r w:rsidR="006C680D" w:rsidRPr="00D337FA">
              <w:rPr>
                <w:rFonts w:ascii="Times New Roman" w:hAnsi="Times New Roman"/>
                <w:b/>
                <w:sz w:val="20"/>
                <w:szCs w:val="20"/>
              </w:rPr>
              <w:t xml:space="preserve"> </w:t>
            </w:r>
            <w:r w:rsidRPr="00D337FA">
              <w:rPr>
                <w:rFonts w:ascii="Times New Roman" w:hAnsi="Times New Roman"/>
                <w:b/>
                <w:sz w:val="20"/>
                <w:szCs w:val="20"/>
              </w:rPr>
              <w:t>800</w:t>
            </w:r>
          </w:p>
        </w:tc>
      </w:tr>
      <w:tr w:rsidR="00D337FA" w:rsidRPr="00D337FA" w:rsidTr="004325C9">
        <w:trPr>
          <w:trHeight w:val="241"/>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Канада</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5</w:t>
            </w:r>
            <w:r w:rsidR="006C680D" w:rsidRPr="00D337FA">
              <w:rPr>
                <w:rFonts w:ascii="Times New Roman" w:hAnsi="Times New Roman"/>
                <w:sz w:val="20"/>
                <w:szCs w:val="20"/>
              </w:rPr>
              <w:t xml:space="preserve"> </w:t>
            </w:r>
            <w:r w:rsidRPr="00D337FA">
              <w:rPr>
                <w:rFonts w:ascii="Times New Roman" w:hAnsi="Times New Roman"/>
                <w:sz w:val="20"/>
                <w:szCs w:val="20"/>
              </w:rPr>
              <w:t>159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8</w:t>
            </w:r>
            <w:r w:rsidR="006C680D" w:rsidRPr="00D337FA">
              <w:rPr>
                <w:rFonts w:ascii="Times New Roman" w:hAnsi="Times New Roman"/>
                <w:sz w:val="20"/>
                <w:szCs w:val="20"/>
              </w:rPr>
              <w:t xml:space="preserve"> </w:t>
            </w:r>
            <w:r w:rsidRPr="00D337FA">
              <w:rPr>
                <w:rFonts w:ascii="Times New Roman" w:hAnsi="Times New Roman"/>
                <w:sz w:val="20"/>
                <w:szCs w:val="20"/>
              </w:rPr>
              <w:t>747</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5</w:t>
            </w:r>
            <w:r w:rsidR="006C680D" w:rsidRPr="00D337FA">
              <w:rPr>
                <w:rFonts w:ascii="Times New Roman" w:hAnsi="Times New Roman"/>
                <w:sz w:val="20"/>
                <w:szCs w:val="20"/>
              </w:rPr>
              <w:t xml:space="preserve"> </w:t>
            </w:r>
            <w:r w:rsidRPr="00D337FA">
              <w:rPr>
                <w:rFonts w:ascii="Times New Roman" w:hAnsi="Times New Roman"/>
                <w:sz w:val="20"/>
                <w:szCs w:val="20"/>
              </w:rPr>
              <w:t>639</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6</w:t>
            </w:r>
            <w:r w:rsidR="006C680D" w:rsidRPr="00D337FA">
              <w:rPr>
                <w:rFonts w:ascii="Times New Roman" w:hAnsi="Times New Roman"/>
                <w:sz w:val="20"/>
                <w:szCs w:val="20"/>
              </w:rPr>
              <w:t xml:space="preserve"> </w:t>
            </w:r>
            <w:r w:rsidRPr="00D337FA">
              <w:rPr>
                <w:rFonts w:ascii="Times New Roman" w:hAnsi="Times New Roman"/>
                <w:sz w:val="20"/>
                <w:szCs w:val="20"/>
              </w:rPr>
              <w:t>606</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9</w:t>
            </w:r>
            <w:r w:rsidR="006C680D" w:rsidRPr="00D337FA">
              <w:rPr>
                <w:rFonts w:ascii="Times New Roman" w:hAnsi="Times New Roman"/>
                <w:sz w:val="20"/>
                <w:szCs w:val="20"/>
              </w:rPr>
              <w:t xml:space="preserve"> </w:t>
            </w:r>
            <w:r w:rsidRPr="00D337FA">
              <w:rPr>
                <w:rFonts w:ascii="Times New Roman" w:hAnsi="Times New Roman"/>
                <w:sz w:val="20"/>
                <w:szCs w:val="20"/>
              </w:rPr>
              <w:t>793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772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703</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8</w:t>
            </w:r>
            <w:r w:rsidR="006C680D" w:rsidRPr="00D337FA">
              <w:rPr>
                <w:rFonts w:ascii="Times New Roman" w:hAnsi="Times New Roman"/>
                <w:sz w:val="20"/>
                <w:szCs w:val="20"/>
              </w:rPr>
              <w:t xml:space="preserve"> </w:t>
            </w:r>
            <w:r w:rsidRPr="00D337FA">
              <w:rPr>
                <w:rFonts w:ascii="Times New Roman" w:hAnsi="Times New Roman"/>
                <w:sz w:val="20"/>
                <w:szCs w:val="20"/>
              </w:rPr>
              <w:t>386</w:t>
            </w:r>
          </w:p>
        </w:tc>
      </w:tr>
      <w:tr w:rsidR="00D337FA" w:rsidRPr="00D337FA" w:rsidTr="004325C9">
        <w:trPr>
          <w:trHeight w:val="232"/>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Мексика</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9</w:t>
            </w:r>
            <w:r w:rsidR="006C680D" w:rsidRPr="00D337FA">
              <w:rPr>
                <w:rFonts w:ascii="Times New Roman" w:hAnsi="Times New Roman"/>
                <w:sz w:val="20"/>
                <w:szCs w:val="20"/>
              </w:rPr>
              <w:t xml:space="preserve"> </w:t>
            </w:r>
            <w:r w:rsidRPr="00D337FA">
              <w:rPr>
                <w:rFonts w:ascii="Times New Roman" w:hAnsi="Times New Roman"/>
                <w:sz w:val="20"/>
                <w:szCs w:val="20"/>
              </w:rPr>
              <w:t>489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956</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455</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598</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6</w:t>
            </w:r>
            <w:r w:rsidR="006C680D" w:rsidRPr="00D337FA">
              <w:rPr>
                <w:rFonts w:ascii="Times New Roman" w:hAnsi="Times New Roman"/>
                <w:sz w:val="20"/>
                <w:szCs w:val="20"/>
              </w:rPr>
              <w:t xml:space="preserve"> </w:t>
            </w:r>
            <w:r w:rsidRPr="00D337FA">
              <w:rPr>
                <w:rFonts w:ascii="Times New Roman" w:hAnsi="Times New Roman"/>
                <w:sz w:val="20"/>
                <w:szCs w:val="20"/>
              </w:rPr>
              <w:t>855</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5</w:t>
            </w:r>
            <w:r w:rsidR="006C680D" w:rsidRPr="00D337FA">
              <w:rPr>
                <w:rFonts w:ascii="Times New Roman" w:hAnsi="Times New Roman"/>
                <w:sz w:val="20"/>
                <w:szCs w:val="20"/>
              </w:rPr>
              <w:t xml:space="preserve"> </w:t>
            </w:r>
            <w:r w:rsidRPr="00D337FA">
              <w:rPr>
                <w:rFonts w:ascii="Times New Roman" w:hAnsi="Times New Roman"/>
                <w:sz w:val="20"/>
                <w:szCs w:val="20"/>
              </w:rPr>
              <w:t>880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13</w:t>
            </w:r>
            <w:r w:rsidR="006C680D" w:rsidRPr="00D337FA">
              <w:rPr>
                <w:rFonts w:ascii="Times New Roman" w:hAnsi="Times New Roman"/>
                <w:sz w:val="20"/>
                <w:szCs w:val="20"/>
              </w:rPr>
              <w:t xml:space="preserve"> </w:t>
            </w:r>
            <w:r w:rsidRPr="00D337FA">
              <w:rPr>
                <w:rFonts w:ascii="Times New Roman" w:hAnsi="Times New Roman"/>
                <w:sz w:val="20"/>
                <w:szCs w:val="20"/>
              </w:rPr>
              <w:t>240</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16</w:t>
            </w:r>
            <w:r w:rsidR="006C680D" w:rsidRPr="00D337FA">
              <w:rPr>
                <w:rFonts w:ascii="Times New Roman" w:hAnsi="Times New Roman"/>
                <w:sz w:val="20"/>
                <w:szCs w:val="20"/>
              </w:rPr>
              <w:t xml:space="preserve"> </w:t>
            </w:r>
            <w:r w:rsidRPr="00D337FA">
              <w:rPr>
                <w:rFonts w:ascii="Times New Roman" w:hAnsi="Times New Roman"/>
                <w:sz w:val="20"/>
                <w:szCs w:val="20"/>
              </w:rPr>
              <w:t>721</w:t>
            </w:r>
          </w:p>
        </w:tc>
      </w:tr>
      <w:tr w:rsidR="00D337FA" w:rsidRPr="00D337FA" w:rsidTr="004325C9">
        <w:trPr>
          <w:trHeight w:val="235"/>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Швейцария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5</w:t>
            </w:r>
            <w:r w:rsidR="006C680D" w:rsidRPr="00D337FA">
              <w:rPr>
                <w:rFonts w:ascii="Times New Roman" w:hAnsi="Times New Roman"/>
                <w:sz w:val="20"/>
                <w:szCs w:val="20"/>
              </w:rPr>
              <w:t xml:space="preserve"> </w:t>
            </w:r>
            <w:r w:rsidRPr="00D337FA">
              <w:rPr>
                <w:rFonts w:ascii="Times New Roman" w:hAnsi="Times New Roman"/>
                <w:sz w:val="20"/>
                <w:szCs w:val="20"/>
              </w:rPr>
              <w:t>562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6</w:t>
            </w:r>
            <w:r w:rsidR="006C680D" w:rsidRPr="00D337FA">
              <w:rPr>
                <w:rFonts w:ascii="Times New Roman" w:hAnsi="Times New Roman"/>
                <w:sz w:val="20"/>
                <w:szCs w:val="20"/>
              </w:rPr>
              <w:t xml:space="preserve"> </w:t>
            </w:r>
            <w:r w:rsidRPr="00D337FA">
              <w:rPr>
                <w:rFonts w:ascii="Times New Roman" w:hAnsi="Times New Roman"/>
                <w:sz w:val="20"/>
                <w:szCs w:val="20"/>
              </w:rPr>
              <w:t>505</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545</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952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683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7</w:t>
            </w:r>
            <w:r w:rsidR="006C680D" w:rsidRPr="00D337FA">
              <w:rPr>
                <w:rFonts w:ascii="Times New Roman" w:hAnsi="Times New Roman"/>
                <w:sz w:val="20"/>
                <w:szCs w:val="20"/>
              </w:rPr>
              <w:t xml:space="preserve"> </w:t>
            </w:r>
            <w:r w:rsidRPr="00D337FA">
              <w:rPr>
                <w:rFonts w:ascii="Times New Roman" w:hAnsi="Times New Roman"/>
                <w:sz w:val="20"/>
                <w:szCs w:val="20"/>
              </w:rPr>
              <w:t>053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8</w:t>
            </w:r>
            <w:r w:rsidR="006C680D" w:rsidRPr="00D337FA">
              <w:rPr>
                <w:rFonts w:ascii="Times New Roman" w:hAnsi="Times New Roman"/>
                <w:sz w:val="20"/>
                <w:szCs w:val="20"/>
              </w:rPr>
              <w:t xml:space="preserve"> </w:t>
            </w:r>
            <w:r w:rsidRPr="00D337FA">
              <w:rPr>
                <w:rFonts w:ascii="Times New Roman" w:hAnsi="Times New Roman"/>
                <w:sz w:val="20"/>
                <w:szCs w:val="20"/>
              </w:rPr>
              <w:t>135</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8</w:t>
            </w:r>
            <w:r w:rsidR="006C680D" w:rsidRPr="00D337FA">
              <w:rPr>
                <w:rFonts w:ascii="Times New Roman" w:hAnsi="Times New Roman"/>
                <w:sz w:val="20"/>
                <w:szCs w:val="20"/>
              </w:rPr>
              <w:t xml:space="preserve"> </w:t>
            </w:r>
            <w:r w:rsidRPr="00D337FA">
              <w:rPr>
                <w:rFonts w:ascii="Times New Roman" w:hAnsi="Times New Roman"/>
                <w:sz w:val="20"/>
                <w:szCs w:val="20"/>
              </w:rPr>
              <w:t>524</w:t>
            </w:r>
          </w:p>
        </w:tc>
      </w:tr>
      <w:tr w:rsidR="00D337FA" w:rsidRPr="00D337FA" w:rsidTr="004325C9">
        <w:trPr>
          <w:trHeight w:val="270"/>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Колумбия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w:t>
            </w:r>
            <w:r w:rsidR="006C680D" w:rsidRPr="00D337FA">
              <w:rPr>
                <w:rFonts w:ascii="Times New Roman" w:hAnsi="Times New Roman"/>
                <w:sz w:val="20"/>
                <w:szCs w:val="20"/>
              </w:rPr>
              <w:t xml:space="preserve"> </w:t>
            </w:r>
            <w:r w:rsidRPr="00D337FA">
              <w:rPr>
                <w:rFonts w:ascii="Times New Roman" w:hAnsi="Times New Roman"/>
                <w:sz w:val="20"/>
                <w:szCs w:val="20"/>
              </w:rPr>
              <w:t>351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w:t>
            </w:r>
            <w:r w:rsidR="006C680D" w:rsidRPr="00D337FA">
              <w:rPr>
                <w:rFonts w:ascii="Times New Roman" w:hAnsi="Times New Roman"/>
                <w:sz w:val="20"/>
                <w:szCs w:val="20"/>
              </w:rPr>
              <w:t xml:space="preserve"> </w:t>
            </w:r>
            <w:r w:rsidRPr="00D337FA">
              <w:rPr>
                <w:rFonts w:ascii="Times New Roman" w:hAnsi="Times New Roman"/>
                <w:sz w:val="20"/>
                <w:szCs w:val="20"/>
              </w:rPr>
              <w:t>942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w:t>
            </w:r>
            <w:r w:rsidR="006C680D" w:rsidRPr="00D337FA">
              <w:rPr>
                <w:rFonts w:ascii="Times New Roman" w:hAnsi="Times New Roman"/>
                <w:sz w:val="20"/>
                <w:szCs w:val="20"/>
              </w:rPr>
              <w:t xml:space="preserve"> </w:t>
            </w:r>
            <w:r w:rsidRPr="00D337FA">
              <w:rPr>
                <w:rFonts w:ascii="Times New Roman" w:hAnsi="Times New Roman"/>
                <w:sz w:val="20"/>
                <w:szCs w:val="20"/>
              </w:rPr>
              <w:t>826</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w:t>
            </w:r>
            <w:r w:rsidR="006C680D" w:rsidRPr="00D337FA">
              <w:rPr>
                <w:rFonts w:ascii="Times New Roman" w:hAnsi="Times New Roman"/>
                <w:sz w:val="20"/>
                <w:szCs w:val="20"/>
              </w:rPr>
              <w:t xml:space="preserve"> </w:t>
            </w:r>
            <w:r w:rsidRPr="00D337FA">
              <w:rPr>
                <w:rFonts w:ascii="Times New Roman" w:hAnsi="Times New Roman"/>
                <w:sz w:val="20"/>
                <w:szCs w:val="20"/>
              </w:rPr>
              <w:t>916</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614</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840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w:t>
            </w:r>
            <w:r w:rsidR="006C680D" w:rsidRPr="00D337FA">
              <w:rPr>
                <w:rFonts w:ascii="Times New Roman" w:hAnsi="Times New Roman"/>
                <w:sz w:val="20"/>
                <w:szCs w:val="20"/>
              </w:rPr>
              <w:t xml:space="preserve"> </w:t>
            </w:r>
            <w:r w:rsidRPr="00D337FA">
              <w:rPr>
                <w:rFonts w:ascii="Times New Roman" w:hAnsi="Times New Roman"/>
                <w:sz w:val="20"/>
                <w:szCs w:val="20"/>
              </w:rPr>
              <w:t>841</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6</w:t>
            </w:r>
            <w:r w:rsidR="006C680D" w:rsidRPr="00D337FA">
              <w:rPr>
                <w:rFonts w:ascii="Times New Roman" w:hAnsi="Times New Roman"/>
                <w:sz w:val="20"/>
                <w:szCs w:val="20"/>
              </w:rPr>
              <w:t xml:space="preserve"> </w:t>
            </w:r>
            <w:r w:rsidRPr="00D337FA">
              <w:rPr>
                <w:rFonts w:ascii="Times New Roman" w:hAnsi="Times New Roman"/>
                <w:sz w:val="20"/>
                <w:szCs w:val="20"/>
              </w:rPr>
              <w:t>066</w:t>
            </w:r>
          </w:p>
        </w:tc>
      </w:tr>
      <w:tr w:rsidR="00D337FA" w:rsidRPr="00D337FA" w:rsidTr="004325C9">
        <w:trPr>
          <w:trHeight w:val="229"/>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Австралия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9</w:t>
            </w:r>
            <w:r w:rsidR="006C680D" w:rsidRPr="00D337FA">
              <w:rPr>
                <w:rFonts w:ascii="Times New Roman" w:hAnsi="Times New Roman"/>
                <w:sz w:val="20"/>
                <w:szCs w:val="20"/>
              </w:rPr>
              <w:t xml:space="preserve"> </w:t>
            </w:r>
            <w:r w:rsidRPr="00D337FA">
              <w:rPr>
                <w:rFonts w:ascii="Times New Roman" w:hAnsi="Times New Roman"/>
                <w:sz w:val="20"/>
                <w:szCs w:val="20"/>
              </w:rPr>
              <w:t>167</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w:t>
            </w:r>
            <w:r w:rsidR="006C680D" w:rsidRPr="00D337FA">
              <w:rPr>
                <w:rFonts w:ascii="Times New Roman" w:hAnsi="Times New Roman"/>
                <w:sz w:val="20"/>
                <w:szCs w:val="20"/>
              </w:rPr>
              <w:t xml:space="preserve"> </w:t>
            </w:r>
            <w:r w:rsidRPr="00D337FA">
              <w:rPr>
                <w:rFonts w:ascii="Times New Roman" w:hAnsi="Times New Roman"/>
                <w:sz w:val="20"/>
                <w:szCs w:val="20"/>
              </w:rPr>
              <w:t>300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807</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w:t>
            </w:r>
            <w:r w:rsidR="006C680D" w:rsidRPr="00D337FA">
              <w:rPr>
                <w:rFonts w:ascii="Times New Roman" w:hAnsi="Times New Roman"/>
                <w:sz w:val="20"/>
                <w:szCs w:val="20"/>
              </w:rPr>
              <w:t xml:space="preserve"> </w:t>
            </w:r>
            <w:r w:rsidRPr="00D337FA">
              <w:rPr>
                <w:rFonts w:ascii="Times New Roman" w:hAnsi="Times New Roman"/>
                <w:sz w:val="20"/>
                <w:szCs w:val="20"/>
              </w:rPr>
              <w:t>549</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w:t>
            </w:r>
            <w:r w:rsidR="006C680D" w:rsidRPr="00D337FA">
              <w:rPr>
                <w:rFonts w:ascii="Times New Roman" w:hAnsi="Times New Roman"/>
                <w:sz w:val="20"/>
                <w:szCs w:val="20"/>
              </w:rPr>
              <w:t xml:space="preserve"> </w:t>
            </w:r>
            <w:r w:rsidRPr="00D337FA">
              <w:rPr>
                <w:rFonts w:ascii="Times New Roman" w:hAnsi="Times New Roman"/>
                <w:sz w:val="20"/>
                <w:szCs w:val="20"/>
              </w:rPr>
              <w:t>973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w:t>
            </w:r>
            <w:r w:rsidR="006C680D" w:rsidRPr="00D337FA">
              <w:rPr>
                <w:rFonts w:ascii="Times New Roman" w:hAnsi="Times New Roman"/>
                <w:sz w:val="20"/>
                <w:szCs w:val="20"/>
              </w:rPr>
              <w:t xml:space="preserve"> </w:t>
            </w:r>
            <w:r w:rsidRPr="00D337FA">
              <w:rPr>
                <w:rFonts w:ascii="Times New Roman" w:hAnsi="Times New Roman"/>
                <w:sz w:val="20"/>
                <w:szCs w:val="20"/>
              </w:rPr>
              <w:t>386</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w:t>
            </w:r>
            <w:r w:rsidR="006C680D" w:rsidRPr="00D337FA">
              <w:rPr>
                <w:rFonts w:ascii="Times New Roman" w:hAnsi="Times New Roman"/>
                <w:sz w:val="20"/>
                <w:szCs w:val="20"/>
              </w:rPr>
              <w:t xml:space="preserve"> </w:t>
            </w:r>
            <w:r w:rsidRPr="00D337FA">
              <w:rPr>
                <w:rFonts w:ascii="Times New Roman" w:hAnsi="Times New Roman"/>
                <w:sz w:val="20"/>
                <w:szCs w:val="20"/>
              </w:rPr>
              <w:t>722</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w:t>
            </w:r>
            <w:r w:rsidR="006C680D" w:rsidRPr="00D337FA">
              <w:rPr>
                <w:rFonts w:ascii="Times New Roman" w:hAnsi="Times New Roman"/>
                <w:sz w:val="20"/>
                <w:szCs w:val="20"/>
              </w:rPr>
              <w:t xml:space="preserve"> </w:t>
            </w:r>
            <w:r w:rsidRPr="00D337FA">
              <w:rPr>
                <w:rFonts w:ascii="Times New Roman" w:hAnsi="Times New Roman"/>
                <w:sz w:val="20"/>
                <w:szCs w:val="20"/>
              </w:rPr>
              <w:t>632</w:t>
            </w:r>
          </w:p>
        </w:tc>
      </w:tr>
      <w:tr w:rsidR="00D337FA" w:rsidRPr="00D337FA" w:rsidTr="004325C9">
        <w:trPr>
          <w:trHeight w:val="220"/>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Израиль</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861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064</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171</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445</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563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633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576</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w:t>
            </w:r>
            <w:r w:rsidR="006C680D" w:rsidRPr="00D337FA">
              <w:rPr>
                <w:rFonts w:ascii="Times New Roman" w:hAnsi="Times New Roman"/>
                <w:sz w:val="20"/>
                <w:szCs w:val="20"/>
              </w:rPr>
              <w:t xml:space="preserve"> </w:t>
            </w:r>
            <w:r w:rsidRPr="00D337FA">
              <w:rPr>
                <w:rFonts w:ascii="Times New Roman" w:hAnsi="Times New Roman"/>
                <w:sz w:val="20"/>
                <w:szCs w:val="20"/>
              </w:rPr>
              <w:t>702</w:t>
            </w:r>
          </w:p>
        </w:tc>
      </w:tr>
      <w:tr w:rsidR="00D337FA" w:rsidRPr="00D337FA" w:rsidTr="004325C9">
        <w:trPr>
          <w:trHeight w:val="224"/>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Индия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8</w:t>
            </w:r>
            <w:r w:rsidR="006C680D" w:rsidRPr="00D337FA">
              <w:rPr>
                <w:rFonts w:ascii="Times New Roman" w:hAnsi="Times New Roman"/>
                <w:sz w:val="20"/>
                <w:szCs w:val="20"/>
              </w:rPr>
              <w:t xml:space="preserve"> </w:t>
            </w:r>
            <w:r w:rsidRPr="00D337FA">
              <w:rPr>
                <w:rFonts w:ascii="Times New Roman" w:hAnsi="Times New Roman"/>
                <w:sz w:val="20"/>
                <w:szCs w:val="20"/>
              </w:rPr>
              <w:t>430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-23</w:t>
            </w:r>
            <w:r w:rsidR="006C680D" w:rsidRPr="00D337FA">
              <w:rPr>
                <w:rFonts w:ascii="Times New Roman" w:hAnsi="Times New Roman"/>
                <w:sz w:val="20"/>
                <w:szCs w:val="20"/>
                <w:lang w:val="en-US"/>
              </w:rPr>
              <w:t xml:space="preserve"> </w:t>
            </w:r>
            <w:r w:rsidRPr="00D337FA">
              <w:rPr>
                <w:rFonts w:ascii="Times New Roman" w:hAnsi="Times New Roman"/>
                <w:sz w:val="20"/>
                <w:szCs w:val="20"/>
              </w:rPr>
              <w:t>081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23</w:t>
            </w:r>
            <w:r w:rsidR="006C680D" w:rsidRPr="00D337FA">
              <w:rPr>
                <w:rFonts w:ascii="Times New Roman" w:hAnsi="Times New Roman"/>
                <w:sz w:val="20"/>
                <w:szCs w:val="20"/>
                <w:lang w:val="en-US"/>
              </w:rPr>
              <w:t xml:space="preserve"> </w:t>
            </w:r>
            <w:r w:rsidRPr="00D337FA">
              <w:rPr>
                <w:rFonts w:ascii="Times New Roman" w:hAnsi="Times New Roman"/>
                <w:sz w:val="20"/>
                <w:szCs w:val="20"/>
              </w:rPr>
              <w:t>359</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50</w:t>
            </w:r>
            <w:r w:rsidR="006C680D" w:rsidRPr="00D337FA">
              <w:rPr>
                <w:rFonts w:ascii="Times New Roman" w:hAnsi="Times New Roman"/>
                <w:sz w:val="20"/>
                <w:szCs w:val="20"/>
                <w:lang w:val="en-US"/>
              </w:rPr>
              <w:t xml:space="preserve"> </w:t>
            </w:r>
            <w:r w:rsidRPr="00D337FA">
              <w:rPr>
                <w:rFonts w:ascii="Times New Roman" w:hAnsi="Times New Roman"/>
                <w:sz w:val="20"/>
                <w:szCs w:val="20"/>
              </w:rPr>
              <w:t>404</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-33</w:t>
            </w:r>
            <w:r w:rsidR="006C680D" w:rsidRPr="00D337FA">
              <w:rPr>
                <w:rFonts w:ascii="Times New Roman" w:hAnsi="Times New Roman"/>
                <w:sz w:val="20"/>
                <w:szCs w:val="20"/>
                <w:lang w:val="en-US"/>
              </w:rPr>
              <w:t xml:space="preserve"> </w:t>
            </w:r>
            <w:r w:rsidRPr="00D337FA">
              <w:rPr>
                <w:rFonts w:ascii="Times New Roman" w:hAnsi="Times New Roman"/>
                <w:sz w:val="20"/>
                <w:szCs w:val="20"/>
              </w:rPr>
              <w:t>501</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-44</w:t>
            </w:r>
            <w:r w:rsidR="006C680D" w:rsidRPr="00D337FA">
              <w:rPr>
                <w:rFonts w:ascii="Times New Roman" w:hAnsi="Times New Roman"/>
                <w:sz w:val="20"/>
                <w:szCs w:val="20"/>
                <w:lang w:val="en-US"/>
              </w:rPr>
              <w:t xml:space="preserve"> </w:t>
            </w:r>
            <w:r w:rsidRPr="00D337FA">
              <w:rPr>
                <w:rFonts w:ascii="Times New Roman" w:hAnsi="Times New Roman"/>
                <w:sz w:val="20"/>
                <w:szCs w:val="20"/>
              </w:rPr>
              <w:t>793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w:t>
            </w:r>
            <w:r w:rsidR="006C680D" w:rsidRPr="00D337FA">
              <w:rPr>
                <w:rFonts w:ascii="Times New Roman" w:hAnsi="Times New Roman"/>
                <w:sz w:val="20"/>
                <w:szCs w:val="20"/>
                <w:lang w:val="en-US"/>
              </w:rPr>
              <w:t xml:space="preserve"> </w:t>
            </w:r>
            <w:r w:rsidRPr="00D337FA">
              <w:rPr>
                <w:rFonts w:ascii="Times New Roman" w:hAnsi="Times New Roman"/>
                <w:sz w:val="20"/>
                <w:szCs w:val="20"/>
              </w:rPr>
              <w:t>051</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-27</w:t>
            </w:r>
            <w:r w:rsidR="006C680D" w:rsidRPr="00D337FA">
              <w:rPr>
                <w:rFonts w:ascii="Times New Roman" w:hAnsi="Times New Roman"/>
                <w:sz w:val="20"/>
                <w:szCs w:val="20"/>
                <w:lang w:val="en-US"/>
              </w:rPr>
              <w:t xml:space="preserve"> </w:t>
            </w:r>
            <w:r w:rsidRPr="00D337FA">
              <w:rPr>
                <w:rFonts w:ascii="Times New Roman" w:hAnsi="Times New Roman"/>
                <w:sz w:val="20"/>
                <w:szCs w:val="20"/>
              </w:rPr>
              <w:t>766</w:t>
            </w:r>
          </w:p>
        </w:tc>
      </w:tr>
      <w:tr w:rsidR="00D337FA" w:rsidRPr="00D337FA" w:rsidTr="004325C9">
        <w:trPr>
          <w:trHeight w:val="214"/>
        </w:trPr>
        <w:tc>
          <w:tcPr>
            <w:tcW w:w="14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Бразилия</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w:t>
            </w:r>
            <w:r w:rsidR="006C680D" w:rsidRPr="00D337FA">
              <w:rPr>
                <w:rFonts w:ascii="Times New Roman" w:hAnsi="Times New Roman"/>
                <w:sz w:val="20"/>
                <w:szCs w:val="20"/>
                <w:lang w:val="en-US"/>
              </w:rPr>
              <w:t xml:space="preserve"> </w:t>
            </w:r>
            <w:r w:rsidRPr="00D337FA">
              <w:rPr>
                <w:rFonts w:ascii="Times New Roman" w:hAnsi="Times New Roman"/>
                <w:sz w:val="20"/>
                <w:szCs w:val="20"/>
              </w:rPr>
              <w:t>882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15</w:t>
            </w:r>
            <w:r w:rsidR="006C680D" w:rsidRPr="00D337FA">
              <w:rPr>
                <w:rFonts w:ascii="Times New Roman" w:hAnsi="Times New Roman"/>
                <w:sz w:val="20"/>
                <w:szCs w:val="20"/>
                <w:lang w:val="en-US"/>
              </w:rPr>
              <w:t xml:space="preserve"> </w:t>
            </w:r>
            <w:r w:rsidRPr="00D337FA">
              <w:rPr>
                <w:rFonts w:ascii="Times New Roman" w:hAnsi="Times New Roman"/>
                <w:sz w:val="20"/>
                <w:szCs w:val="20"/>
              </w:rPr>
              <w:t>843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6</w:t>
            </w:r>
            <w:r w:rsidR="006C680D" w:rsidRPr="00D337FA">
              <w:rPr>
                <w:rFonts w:ascii="Times New Roman" w:hAnsi="Times New Roman"/>
                <w:sz w:val="20"/>
                <w:szCs w:val="20"/>
                <w:lang w:val="en-US"/>
              </w:rPr>
              <w:t xml:space="preserve"> </w:t>
            </w:r>
            <w:r w:rsidRPr="00D337FA">
              <w:rPr>
                <w:rFonts w:ascii="Times New Roman" w:hAnsi="Times New Roman"/>
                <w:sz w:val="20"/>
                <w:szCs w:val="20"/>
              </w:rPr>
              <w:t>640</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4</w:t>
            </w:r>
            <w:r w:rsidR="006C680D" w:rsidRPr="00D337FA">
              <w:rPr>
                <w:rFonts w:ascii="Times New Roman" w:hAnsi="Times New Roman"/>
                <w:sz w:val="20"/>
                <w:szCs w:val="20"/>
                <w:lang w:val="en-US"/>
              </w:rPr>
              <w:t xml:space="preserve"> </w:t>
            </w:r>
            <w:r w:rsidRPr="00D337FA">
              <w:rPr>
                <w:rFonts w:ascii="Times New Roman" w:hAnsi="Times New Roman"/>
                <w:sz w:val="20"/>
                <w:szCs w:val="20"/>
              </w:rPr>
              <w:t>590</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9</w:t>
            </w:r>
            <w:r w:rsidR="006C680D" w:rsidRPr="00D337FA">
              <w:rPr>
                <w:rFonts w:ascii="Times New Roman" w:hAnsi="Times New Roman"/>
                <w:sz w:val="20"/>
                <w:szCs w:val="20"/>
                <w:lang w:val="en-US"/>
              </w:rPr>
              <w:t xml:space="preserve"> </w:t>
            </w:r>
            <w:r w:rsidRPr="00D337FA">
              <w:rPr>
                <w:rFonts w:ascii="Times New Roman" w:hAnsi="Times New Roman"/>
                <w:sz w:val="20"/>
                <w:szCs w:val="20"/>
              </w:rPr>
              <w:t>083</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12</w:t>
            </w:r>
            <w:r w:rsidR="006C680D" w:rsidRPr="00D337FA">
              <w:rPr>
                <w:rFonts w:ascii="Times New Roman" w:hAnsi="Times New Roman"/>
                <w:sz w:val="20"/>
                <w:szCs w:val="20"/>
                <w:lang w:val="en-US"/>
              </w:rPr>
              <w:t xml:space="preserve"> </w:t>
            </w:r>
            <w:r w:rsidRPr="00D337FA">
              <w:rPr>
                <w:rFonts w:ascii="Times New Roman" w:hAnsi="Times New Roman"/>
                <w:sz w:val="20"/>
                <w:szCs w:val="20"/>
              </w:rPr>
              <w:t>062</w:t>
            </w:r>
          </w:p>
        </w:tc>
        <w:tc>
          <w:tcPr>
            <w:tcW w:w="1035"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13</w:t>
            </w:r>
            <w:r w:rsidR="006C680D" w:rsidRPr="00D337FA">
              <w:rPr>
                <w:rFonts w:ascii="Times New Roman" w:hAnsi="Times New Roman"/>
                <w:sz w:val="20"/>
                <w:szCs w:val="20"/>
                <w:lang w:val="en-US"/>
              </w:rPr>
              <w:t xml:space="preserve"> </w:t>
            </w:r>
            <w:r w:rsidRPr="00D337FA">
              <w:rPr>
                <w:rFonts w:ascii="Times New Roman" w:hAnsi="Times New Roman"/>
                <w:sz w:val="20"/>
                <w:szCs w:val="20"/>
              </w:rPr>
              <w:t>013</w:t>
            </w:r>
          </w:p>
        </w:tc>
        <w:tc>
          <w:tcPr>
            <w:tcW w:w="1036" w:type="dxa"/>
          </w:tcPr>
          <w:p w:rsidR="00544DD6" w:rsidRPr="00D337FA" w:rsidRDefault="00544DD6" w:rsidP="00544DD6">
            <w:pPr>
              <w:ind w:firstLine="0"/>
              <w:rPr>
                <w:rFonts w:ascii="Times New Roman" w:hAnsi="Times New Roman"/>
                <w:sz w:val="20"/>
                <w:szCs w:val="20"/>
              </w:rPr>
            </w:pPr>
            <w:r w:rsidRPr="00D337FA">
              <w:rPr>
                <w:rFonts w:ascii="Times New Roman" w:hAnsi="Times New Roman"/>
                <w:sz w:val="20"/>
                <w:szCs w:val="20"/>
              </w:rPr>
              <w:t>18</w:t>
            </w:r>
            <w:r w:rsidR="006C680D" w:rsidRPr="00D337FA">
              <w:rPr>
                <w:rFonts w:ascii="Times New Roman" w:hAnsi="Times New Roman"/>
                <w:sz w:val="20"/>
                <w:szCs w:val="20"/>
                <w:lang w:val="en-US"/>
              </w:rPr>
              <w:t xml:space="preserve"> </w:t>
            </w:r>
            <w:r w:rsidRPr="00D337FA">
              <w:rPr>
                <w:rFonts w:ascii="Times New Roman" w:hAnsi="Times New Roman"/>
                <w:sz w:val="20"/>
                <w:szCs w:val="20"/>
              </w:rPr>
              <w:t>513</w:t>
            </w:r>
          </w:p>
        </w:tc>
      </w:tr>
    </w:tbl>
    <w:p w:rsidR="00544DD6" w:rsidRPr="00D337FA" w:rsidRDefault="00544DD6" w:rsidP="00544DD6">
      <w:pPr>
        <w:rPr>
          <w:sz w:val="20"/>
          <w:szCs w:val="28"/>
        </w:rPr>
      </w:pPr>
      <w:r w:rsidRPr="00D337FA">
        <w:rPr>
          <w:sz w:val="20"/>
          <w:szCs w:val="28"/>
        </w:rPr>
        <w:t>Источник:</w:t>
      </w:r>
      <w:r w:rsidR="006C680D" w:rsidRPr="00D337FA">
        <w:rPr>
          <w:sz w:val="20"/>
          <w:szCs w:val="28"/>
        </w:rPr>
        <w:t xml:space="preserve"> </w:t>
      </w:r>
      <w:r w:rsidRPr="00D337FA">
        <w:rPr>
          <w:sz w:val="20"/>
          <w:szCs w:val="28"/>
        </w:rPr>
        <w:t>составлено</w:t>
      </w:r>
      <w:r w:rsidR="006C680D" w:rsidRPr="00D337FA">
        <w:rPr>
          <w:sz w:val="20"/>
          <w:szCs w:val="28"/>
        </w:rPr>
        <w:t xml:space="preserve"> </w:t>
      </w:r>
      <w:r w:rsidRPr="00D337FA">
        <w:rPr>
          <w:sz w:val="20"/>
          <w:szCs w:val="28"/>
        </w:rPr>
        <w:t>авторами</w:t>
      </w:r>
      <w:r w:rsidR="006C680D" w:rsidRPr="00D337FA">
        <w:rPr>
          <w:sz w:val="20"/>
          <w:szCs w:val="28"/>
        </w:rPr>
        <w:t xml:space="preserve"> </w:t>
      </w:r>
      <w:r w:rsidRPr="00D337FA">
        <w:rPr>
          <w:sz w:val="20"/>
          <w:szCs w:val="28"/>
        </w:rPr>
        <w:t>по</w:t>
      </w:r>
      <w:r w:rsidR="006C680D" w:rsidRPr="00D337FA">
        <w:rPr>
          <w:sz w:val="20"/>
          <w:szCs w:val="28"/>
        </w:rPr>
        <w:t xml:space="preserve"> </w:t>
      </w:r>
      <w:r w:rsidRPr="00D337FA">
        <w:rPr>
          <w:sz w:val="20"/>
          <w:szCs w:val="28"/>
        </w:rPr>
        <w:t>данным</w:t>
      </w:r>
      <w:r w:rsidR="006C680D" w:rsidRPr="00D337FA">
        <w:rPr>
          <w:sz w:val="20"/>
          <w:szCs w:val="28"/>
        </w:rPr>
        <w:t xml:space="preserve"> </w:t>
      </w:r>
      <w:r w:rsidRPr="00D337FA">
        <w:rPr>
          <w:sz w:val="20"/>
          <w:szCs w:val="28"/>
        </w:rPr>
        <w:t>ОЭСР</w:t>
      </w:r>
      <w:r w:rsidR="006C680D" w:rsidRPr="00D337FA">
        <w:rPr>
          <w:sz w:val="20"/>
          <w:szCs w:val="28"/>
        </w:rPr>
        <w:t xml:space="preserve"> </w:t>
      </w:r>
      <w:r w:rsidRPr="00D337FA">
        <w:rPr>
          <w:sz w:val="20"/>
          <w:szCs w:val="28"/>
        </w:rPr>
        <w:t>[6]</w:t>
      </w:r>
    </w:p>
    <w:p w:rsidR="008932D6" w:rsidRPr="00D337FA" w:rsidRDefault="008932D6" w:rsidP="00253534">
      <w:pPr>
        <w:ind w:firstLine="851"/>
        <w:contextualSpacing/>
        <w:jc w:val="center"/>
        <w:rPr>
          <w:rFonts w:ascii="Arial" w:hAnsi="Arial" w:cs="Arial"/>
          <w:b/>
          <w:i/>
          <w:szCs w:val="24"/>
          <w:highlight w:val="yellow"/>
        </w:rPr>
      </w:pPr>
    </w:p>
    <w:p w:rsidR="00930FD1" w:rsidRPr="00D337FA" w:rsidRDefault="00930FD1" w:rsidP="00253534">
      <w:pPr>
        <w:spacing w:after="160"/>
        <w:ind w:firstLine="851"/>
        <w:contextualSpacing/>
        <w:rPr>
          <w:sz w:val="28"/>
          <w:szCs w:val="28"/>
          <w:highlight w:val="yellow"/>
        </w:rPr>
        <w:sectPr w:rsidR="00930FD1" w:rsidRPr="00D337FA" w:rsidSect="00E61989">
          <w:footnotePr>
            <w:numRestart w:val="eachPage"/>
          </w:footnotePr>
          <w:type w:val="continuous"/>
          <w:pgSz w:w="11907" w:h="16840" w:code="9"/>
          <w:pgMar w:top="1418" w:right="1134" w:bottom="1418" w:left="1134" w:header="1021" w:footer="1021" w:gutter="0"/>
          <w:cols w:space="708"/>
          <w:docGrid w:linePitch="360"/>
        </w:sectPr>
      </w:pPr>
    </w:p>
    <w:p w:rsidR="00544DD6" w:rsidRPr="00D337FA" w:rsidRDefault="00544DD6" w:rsidP="00544DD6">
      <w:pPr>
        <w:pStyle w:val="afe"/>
        <w:rPr>
          <w:color w:val="auto"/>
        </w:rPr>
      </w:pPr>
      <w:r w:rsidRPr="00D337FA">
        <w:rPr>
          <w:color w:val="auto"/>
        </w:rPr>
        <w:lastRenderedPageBreak/>
        <w:t>Представленные</w:t>
      </w:r>
      <w:r w:rsidR="006C680D" w:rsidRPr="00D337FA">
        <w:rPr>
          <w:color w:val="auto"/>
        </w:rPr>
        <w:t xml:space="preserve"> </w:t>
      </w:r>
      <w:r w:rsidRPr="00D337FA">
        <w:rPr>
          <w:color w:val="auto"/>
        </w:rPr>
        <w:t>данные</w:t>
      </w:r>
      <w:r w:rsidR="006C680D" w:rsidRPr="00D337FA">
        <w:rPr>
          <w:color w:val="auto"/>
        </w:rPr>
        <w:t xml:space="preserve"> </w:t>
      </w:r>
      <w:r w:rsidRPr="00D337FA">
        <w:rPr>
          <w:color w:val="auto"/>
        </w:rPr>
        <w:t>свидетельствуют</w:t>
      </w:r>
      <w:r w:rsidR="006C680D" w:rsidRPr="00D337FA">
        <w:rPr>
          <w:color w:val="auto"/>
        </w:rPr>
        <w:t xml:space="preserve"> </w:t>
      </w:r>
      <w:r w:rsidRPr="00D337FA">
        <w:rPr>
          <w:color w:val="auto"/>
        </w:rPr>
        <w:t>о</w:t>
      </w:r>
      <w:r w:rsidR="006C680D" w:rsidRPr="00D337FA">
        <w:rPr>
          <w:color w:val="auto"/>
        </w:rPr>
        <w:t xml:space="preserve"> </w:t>
      </w:r>
      <w:r w:rsidRPr="00D337FA">
        <w:rPr>
          <w:color w:val="auto"/>
        </w:rPr>
        <w:t>том,</w:t>
      </w:r>
      <w:r w:rsidR="006C680D" w:rsidRPr="00D337FA">
        <w:rPr>
          <w:color w:val="auto"/>
        </w:rPr>
        <w:t xml:space="preserve"> </w:t>
      </w:r>
      <w:r w:rsidRPr="00D337FA">
        <w:rPr>
          <w:color w:val="auto"/>
        </w:rPr>
        <w:t>что</w:t>
      </w:r>
      <w:r w:rsidR="006C680D" w:rsidRPr="00D337FA">
        <w:rPr>
          <w:color w:val="auto"/>
        </w:rPr>
        <w:t xml:space="preserve"> </w:t>
      </w:r>
      <w:r w:rsidRPr="00D337FA">
        <w:rPr>
          <w:color w:val="auto"/>
        </w:rPr>
        <w:t>несмотря</w:t>
      </w:r>
      <w:r w:rsidR="006C680D" w:rsidRPr="00D337FA">
        <w:rPr>
          <w:color w:val="auto"/>
        </w:rPr>
        <w:t xml:space="preserve"> </w:t>
      </w:r>
      <w:r w:rsidRPr="00D337FA">
        <w:rPr>
          <w:color w:val="auto"/>
        </w:rPr>
        <w:t>на</w:t>
      </w:r>
      <w:r w:rsidR="006C680D" w:rsidRPr="00D337FA">
        <w:rPr>
          <w:color w:val="auto"/>
        </w:rPr>
        <w:t xml:space="preserve"> </w:t>
      </w:r>
      <w:r w:rsidRPr="00D337FA">
        <w:rPr>
          <w:color w:val="auto"/>
        </w:rPr>
        <w:t>важность</w:t>
      </w:r>
      <w:r w:rsidR="006C680D" w:rsidRPr="00D337FA">
        <w:rPr>
          <w:color w:val="auto"/>
        </w:rPr>
        <w:t xml:space="preserve"> </w:t>
      </w:r>
      <w:r w:rsidRPr="00D337FA">
        <w:rPr>
          <w:color w:val="auto"/>
        </w:rPr>
        <w:t>развития</w:t>
      </w:r>
      <w:r w:rsidR="006C680D" w:rsidRPr="00D337FA">
        <w:rPr>
          <w:color w:val="auto"/>
        </w:rPr>
        <w:t xml:space="preserve"> </w:t>
      </w:r>
      <w:r w:rsidRPr="00D337FA">
        <w:rPr>
          <w:color w:val="auto"/>
        </w:rPr>
        <w:t>АПК,</w:t>
      </w:r>
      <w:r w:rsidR="006C680D" w:rsidRPr="00D337FA">
        <w:rPr>
          <w:color w:val="auto"/>
        </w:rPr>
        <w:t xml:space="preserve"> </w:t>
      </w:r>
      <w:r w:rsidRPr="00D337FA">
        <w:rPr>
          <w:color w:val="auto"/>
        </w:rPr>
        <w:t>многие</w:t>
      </w:r>
      <w:r w:rsidR="006C680D" w:rsidRPr="00D337FA">
        <w:rPr>
          <w:color w:val="auto"/>
        </w:rPr>
        <w:t xml:space="preserve"> </w:t>
      </w:r>
      <w:r w:rsidRPr="00D337FA">
        <w:rPr>
          <w:color w:val="auto"/>
        </w:rPr>
        <w:t>страны</w:t>
      </w:r>
      <w:r w:rsidR="006C680D" w:rsidRPr="00D337FA">
        <w:rPr>
          <w:color w:val="auto"/>
        </w:rPr>
        <w:t xml:space="preserve"> </w:t>
      </w:r>
      <w:r w:rsidRPr="00D337FA">
        <w:rPr>
          <w:color w:val="auto"/>
        </w:rPr>
        <w:t>не</w:t>
      </w:r>
      <w:r w:rsidR="006C680D" w:rsidRPr="00D337FA">
        <w:rPr>
          <w:color w:val="auto"/>
        </w:rPr>
        <w:t xml:space="preserve"> </w:t>
      </w:r>
      <w:r w:rsidRPr="00D337FA">
        <w:rPr>
          <w:color w:val="auto"/>
        </w:rPr>
        <w:t>стремятся</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кратчайшие</w:t>
      </w:r>
      <w:r w:rsidR="006C680D" w:rsidRPr="00D337FA">
        <w:rPr>
          <w:color w:val="auto"/>
        </w:rPr>
        <w:t xml:space="preserve"> </w:t>
      </w:r>
      <w:r w:rsidRPr="00D337FA">
        <w:rPr>
          <w:color w:val="auto"/>
        </w:rPr>
        <w:t>сроки</w:t>
      </w:r>
      <w:r w:rsidR="006C680D" w:rsidRPr="00D337FA">
        <w:rPr>
          <w:color w:val="auto"/>
        </w:rPr>
        <w:t xml:space="preserve"> </w:t>
      </w:r>
      <w:r w:rsidRPr="00D337FA">
        <w:rPr>
          <w:color w:val="auto"/>
        </w:rPr>
        <w:t>нарастить</w:t>
      </w:r>
      <w:r w:rsidR="006C680D" w:rsidRPr="00D337FA">
        <w:rPr>
          <w:color w:val="auto"/>
        </w:rPr>
        <w:t xml:space="preserve"> </w:t>
      </w:r>
      <w:r w:rsidRPr="00D337FA">
        <w:rPr>
          <w:color w:val="auto"/>
        </w:rPr>
        <w:t>объемы</w:t>
      </w:r>
      <w:r w:rsidR="006C680D" w:rsidRPr="00D337FA">
        <w:rPr>
          <w:color w:val="auto"/>
        </w:rPr>
        <w:t xml:space="preserve"> </w:t>
      </w:r>
      <w:r w:rsidRPr="00D337FA">
        <w:rPr>
          <w:color w:val="auto"/>
        </w:rPr>
        <w:t>поддержки</w:t>
      </w:r>
      <w:r w:rsidR="006C680D" w:rsidRPr="00D337FA">
        <w:rPr>
          <w:color w:val="auto"/>
        </w:rPr>
        <w:t xml:space="preserve"> </w:t>
      </w:r>
      <w:r w:rsidRPr="00D337FA">
        <w:rPr>
          <w:color w:val="auto"/>
        </w:rPr>
        <w:t>отрасли,</w:t>
      </w:r>
      <w:r w:rsidR="006C680D" w:rsidRPr="00D337FA">
        <w:rPr>
          <w:color w:val="auto"/>
        </w:rPr>
        <w:t xml:space="preserve"> </w:t>
      </w:r>
      <w:r w:rsidRPr="00D337FA">
        <w:rPr>
          <w:color w:val="auto"/>
        </w:rPr>
        <w:t>а</w:t>
      </w:r>
      <w:r w:rsidR="006C680D" w:rsidRPr="00D337FA">
        <w:rPr>
          <w:color w:val="auto"/>
        </w:rPr>
        <w:t xml:space="preserve"> </w:t>
      </w:r>
      <w:r w:rsidRPr="00D337FA">
        <w:rPr>
          <w:color w:val="auto"/>
        </w:rPr>
        <w:t>отдают</w:t>
      </w:r>
      <w:r w:rsidR="006C680D" w:rsidRPr="00D337FA">
        <w:rPr>
          <w:color w:val="auto"/>
        </w:rPr>
        <w:t xml:space="preserve"> </w:t>
      </w:r>
      <w:r w:rsidRPr="00D337FA">
        <w:rPr>
          <w:color w:val="auto"/>
        </w:rPr>
        <w:t>предпочтение</w:t>
      </w:r>
      <w:r w:rsidR="006C680D" w:rsidRPr="00D337FA">
        <w:rPr>
          <w:color w:val="auto"/>
        </w:rPr>
        <w:t xml:space="preserve"> </w:t>
      </w:r>
      <w:r w:rsidRPr="00D337FA">
        <w:rPr>
          <w:color w:val="auto"/>
        </w:rPr>
        <w:t>совершенствованию</w:t>
      </w:r>
      <w:r w:rsidR="006C680D" w:rsidRPr="00D337FA">
        <w:rPr>
          <w:color w:val="auto"/>
        </w:rPr>
        <w:t xml:space="preserve"> </w:t>
      </w:r>
      <w:r w:rsidRPr="00D337FA">
        <w:rPr>
          <w:color w:val="auto"/>
        </w:rPr>
        <w:t>мер</w:t>
      </w:r>
      <w:r w:rsidR="006C680D" w:rsidRPr="00D337FA">
        <w:rPr>
          <w:color w:val="auto"/>
        </w:rPr>
        <w:t xml:space="preserve"> </w:t>
      </w:r>
      <w:r w:rsidRPr="00D337FA">
        <w:rPr>
          <w:color w:val="auto"/>
        </w:rPr>
        <w:t>поддержки,</w:t>
      </w:r>
      <w:r w:rsidR="006C680D" w:rsidRPr="00D337FA">
        <w:rPr>
          <w:color w:val="auto"/>
        </w:rPr>
        <w:t xml:space="preserve"> </w:t>
      </w:r>
      <w:r w:rsidRPr="00D337FA">
        <w:rPr>
          <w:color w:val="auto"/>
        </w:rPr>
        <w:t>делая</w:t>
      </w:r>
      <w:r w:rsidR="006C680D" w:rsidRPr="00D337FA">
        <w:rPr>
          <w:color w:val="auto"/>
        </w:rPr>
        <w:t xml:space="preserve"> </w:t>
      </w:r>
      <w:r w:rsidRPr="00D337FA">
        <w:rPr>
          <w:color w:val="auto"/>
        </w:rPr>
        <w:t>их</w:t>
      </w:r>
      <w:r w:rsidR="006C680D" w:rsidRPr="00D337FA">
        <w:rPr>
          <w:color w:val="auto"/>
        </w:rPr>
        <w:t xml:space="preserve"> </w:t>
      </w:r>
      <w:r w:rsidRPr="00D337FA">
        <w:rPr>
          <w:color w:val="auto"/>
        </w:rPr>
        <w:t>более</w:t>
      </w:r>
      <w:r w:rsidR="006C680D" w:rsidRPr="00D337FA">
        <w:rPr>
          <w:color w:val="auto"/>
        </w:rPr>
        <w:t xml:space="preserve"> </w:t>
      </w:r>
      <w:r w:rsidRPr="00D337FA">
        <w:rPr>
          <w:color w:val="auto"/>
        </w:rPr>
        <w:t>прозрачными,</w:t>
      </w:r>
      <w:r w:rsidR="006C680D" w:rsidRPr="00D337FA">
        <w:rPr>
          <w:color w:val="auto"/>
        </w:rPr>
        <w:t xml:space="preserve"> </w:t>
      </w:r>
      <w:r w:rsidRPr="00D337FA">
        <w:rPr>
          <w:color w:val="auto"/>
        </w:rPr>
        <w:t>понятными</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доступными</w:t>
      </w:r>
      <w:r w:rsidR="006C680D" w:rsidRPr="00D337FA">
        <w:rPr>
          <w:color w:val="auto"/>
        </w:rPr>
        <w:t xml:space="preserve"> </w:t>
      </w:r>
      <w:r w:rsidRPr="00D337FA">
        <w:rPr>
          <w:color w:val="auto"/>
        </w:rPr>
        <w:t>для</w:t>
      </w:r>
      <w:r w:rsidR="006C680D" w:rsidRPr="00D337FA">
        <w:rPr>
          <w:color w:val="auto"/>
        </w:rPr>
        <w:t xml:space="preserve"> </w:t>
      </w:r>
      <w:r w:rsidRPr="00D337FA">
        <w:rPr>
          <w:color w:val="auto"/>
        </w:rPr>
        <w:t>предпринимателей.</w:t>
      </w:r>
      <w:r w:rsidR="006C680D" w:rsidRPr="00D337FA">
        <w:rPr>
          <w:color w:val="auto"/>
        </w:rPr>
        <w:t xml:space="preserve"> </w:t>
      </w:r>
      <w:r w:rsidRPr="00D337FA">
        <w:rPr>
          <w:color w:val="auto"/>
        </w:rPr>
        <w:t>Основное</w:t>
      </w:r>
      <w:r w:rsidR="006C680D" w:rsidRPr="00D337FA">
        <w:rPr>
          <w:color w:val="auto"/>
        </w:rPr>
        <w:t xml:space="preserve"> </w:t>
      </w:r>
      <w:r w:rsidRPr="00D337FA">
        <w:rPr>
          <w:color w:val="auto"/>
        </w:rPr>
        <w:t>внимание</w:t>
      </w:r>
      <w:r w:rsidR="006C680D" w:rsidRPr="00D337FA">
        <w:rPr>
          <w:color w:val="auto"/>
        </w:rPr>
        <w:t xml:space="preserve"> </w:t>
      </w:r>
      <w:r w:rsidRPr="00D337FA">
        <w:rPr>
          <w:color w:val="auto"/>
        </w:rPr>
        <w:t>при</w:t>
      </w:r>
      <w:r w:rsidR="006C680D" w:rsidRPr="00D337FA">
        <w:rPr>
          <w:color w:val="auto"/>
        </w:rPr>
        <w:t xml:space="preserve"> </w:t>
      </w:r>
      <w:r w:rsidRPr="00D337FA">
        <w:rPr>
          <w:color w:val="auto"/>
        </w:rPr>
        <w:t>этом</w:t>
      </w:r>
      <w:r w:rsidR="006C680D" w:rsidRPr="00D337FA">
        <w:rPr>
          <w:color w:val="auto"/>
        </w:rPr>
        <w:t xml:space="preserve"> </w:t>
      </w:r>
      <w:r w:rsidRPr="00D337FA">
        <w:rPr>
          <w:color w:val="auto"/>
        </w:rPr>
        <w:t>сосредотачивается</w:t>
      </w:r>
      <w:r w:rsidR="006C680D" w:rsidRPr="00D337FA">
        <w:rPr>
          <w:color w:val="auto"/>
        </w:rPr>
        <w:t xml:space="preserve"> </w:t>
      </w:r>
      <w:r w:rsidRPr="00D337FA">
        <w:rPr>
          <w:color w:val="auto"/>
        </w:rPr>
        <w:t>на</w:t>
      </w:r>
      <w:r w:rsidR="006C680D" w:rsidRPr="00D337FA">
        <w:rPr>
          <w:color w:val="auto"/>
        </w:rPr>
        <w:t xml:space="preserve"> </w:t>
      </w:r>
      <w:r w:rsidRPr="00D337FA">
        <w:rPr>
          <w:color w:val="auto"/>
        </w:rPr>
        <w:t>модернизации</w:t>
      </w:r>
      <w:r w:rsidR="006C680D" w:rsidRPr="00D337FA">
        <w:rPr>
          <w:color w:val="auto"/>
        </w:rPr>
        <w:t xml:space="preserve"> </w:t>
      </w:r>
      <w:r w:rsidRPr="00D337FA">
        <w:rPr>
          <w:color w:val="auto"/>
        </w:rPr>
        <w:t>оборудования,</w:t>
      </w:r>
      <w:r w:rsidR="006C680D" w:rsidRPr="00D337FA">
        <w:rPr>
          <w:color w:val="auto"/>
        </w:rPr>
        <w:t xml:space="preserve"> </w:t>
      </w:r>
      <w:r w:rsidRPr="00D337FA">
        <w:rPr>
          <w:color w:val="auto"/>
        </w:rPr>
        <w:t>внедрении</w:t>
      </w:r>
      <w:r w:rsidR="006C680D" w:rsidRPr="00D337FA">
        <w:rPr>
          <w:color w:val="auto"/>
        </w:rPr>
        <w:t xml:space="preserve"> </w:t>
      </w:r>
      <w:r w:rsidRPr="00D337FA">
        <w:rPr>
          <w:color w:val="auto"/>
        </w:rPr>
        <w:t>инновационных</w:t>
      </w:r>
      <w:r w:rsidR="006C680D" w:rsidRPr="00D337FA">
        <w:rPr>
          <w:color w:val="auto"/>
        </w:rPr>
        <w:t xml:space="preserve"> </w:t>
      </w:r>
      <w:r w:rsidRPr="00D337FA">
        <w:rPr>
          <w:color w:val="auto"/>
        </w:rPr>
        <w:t>технологий</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увеличении</w:t>
      </w:r>
      <w:r w:rsidR="006C680D" w:rsidRPr="00D337FA">
        <w:rPr>
          <w:color w:val="auto"/>
        </w:rPr>
        <w:t xml:space="preserve"> </w:t>
      </w:r>
      <w:r w:rsidRPr="00D337FA">
        <w:rPr>
          <w:color w:val="auto"/>
        </w:rPr>
        <w:t>эффективности</w:t>
      </w:r>
      <w:r w:rsidR="006C680D" w:rsidRPr="00D337FA">
        <w:rPr>
          <w:color w:val="auto"/>
        </w:rPr>
        <w:t xml:space="preserve"> </w:t>
      </w:r>
      <w:r w:rsidRPr="00D337FA">
        <w:rPr>
          <w:color w:val="auto"/>
        </w:rPr>
        <w:t>производственных</w:t>
      </w:r>
      <w:r w:rsidR="006C680D" w:rsidRPr="00D337FA">
        <w:rPr>
          <w:color w:val="auto"/>
        </w:rPr>
        <w:t xml:space="preserve"> </w:t>
      </w:r>
      <w:r w:rsidRPr="00D337FA">
        <w:rPr>
          <w:color w:val="auto"/>
        </w:rPr>
        <w:t>процессов.</w:t>
      </w:r>
      <w:r w:rsidR="006C680D" w:rsidRPr="00D337FA">
        <w:rPr>
          <w:color w:val="auto"/>
        </w:rPr>
        <w:t xml:space="preserve"> </w:t>
      </w:r>
      <w:r w:rsidRPr="00D337FA">
        <w:rPr>
          <w:color w:val="auto"/>
        </w:rPr>
        <w:t>Происходит</w:t>
      </w:r>
      <w:r w:rsidR="006C680D" w:rsidRPr="00D337FA">
        <w:rPr>
          <w:color w:val="auto"/>
        </w:rPr>
        <w:t xml:space="preserve"> </w:t>
      </w:r>
      <w:r w:rsidRPr="00D337FA">
        <w:rPr>
          <w:color w:val="auto"/>
        </w:rPr>
        <w:t>постоянная</w:t>
      </w:r>
      <w:r w:rsidR="006C680D" w:rsidRPr="00D337FA">
        <w:rPr>
          <w:color w:val="auto"/>
        </w:rPr>
        <w:t xml:space="preserve"> </w:t>
      </w:r>
      <w:r w:rsidRPr="00D337FA">
        <w:rPr>
          <w:color w:val="auto"/>
        </w:rPr>
        <w:t>цифровизация</w:t>
      </w:r>
      <w:r w:rsidR="006C680D" w:rsidRPr="00D337FA">
        <w:rPr>
          <w:color w:val="auto"/>
        </w:rPr>
        <w:t xml:space="preserve"> </w:t>
      </w:r>
      <w:r w:rsidRPr="00D337FA">
        <w:rPr>
          <w:color w:val="auto"/>
        </w:rPr>
        <w:t>большинства</w:t>
      </w:r>
      <w:r w:rsidR="006C680D" w:rsidRPr="00D337FA">
        <w:rPr>
          <w:color w:val="auto"/>
        </w:rPr>
        <w:t xml:space="preserve"> </w:t>
      </w:r>
      <w:r w:rsidRPr="00D337FA">
        <w:rPr>
          <w:color w:val="auto"/>
        </w:rPr>
        <w:t>привычных</w:t>
      </w:r>
      <w:r w:rsidR="006C680D" w:rsidRPr="00D337FA">
        <w:rPr>
          <w:color w:val="auto"/>
        </w:rPr>
        <w:t xml:space="preserve"> </w:t>
      </w:r>
      <w:r w:rsidRPr="00D337FA">
        <w:rPr>
          <w:color w:val="auto"/>
        </w:rPr>
        <w:t>процессов</w:t>
      </w:r>
      <w:r w:rsidR="006C680D" w:rsidRPr="00D337FA">
        <w:rPr>
          <w:color w:val="auto"/>
        </w:rPr>
        <w:t xml:space="preserve"> </w:t>
      </w:r>
      <w:r w:rsidRPr="00D337FA">
        <w:rPr>
          <w:color w:val="auto"/>
        </w:rPr>
        <w:t>с</w:t>
      </w:r>
      <w:r w:rsidR="006C680D" w:rsidRPr="00D337FA">
        <w:rPr>
          <w:color w:val="auto"/>
        </w:rPr>
        <w:t xml:space="preserve"> </w:t>
      </w:r>
      <w:r w:rsidRPr="00D337FA">
        <w:rPr>
          <w:color w:val="auto"/>
        </w:rPr>
        <w:t>целью</w:t>
      </w:r>
      <w:r w:rsidR="006C680D" w:rsidRPr="00D337FA">
        <w:rPr>
          <w:color w:val="auto"/>
        </w:rPr>
        <w:t xml:space="preserve"> </w:t>
      </w:r>
      <w:r w:rsidRPr="00D337FA">
        <w:rPr>
          <w:color w:val="auto"/>
        </w:rPr>
        <w:t>формирования</w:t>
      </w:r>
      <w:r w:rsidR="006C680D" w:rsidRPr="00D337FA">
        <w:rPr>
          <w:color w:val="auto"/>
        </w:rPr>
        <w:t xml:space="preserve"> </w:t>
      </w:r>
      <w:r w:rsidRPr="00D337FA">
        <w:rPr>
          <w:color w:val="auto"/>
        </w:rPr>
        <w:t>нового</w:t>
      </w:r>
      <w:r w:rsidR="006C680D" w:rsidRPr="00D337FA">
        <w:rPr>
          <w:color w:val="auto"/>
        </w:rPr>
        <w:t xml:space="preserve"> </w:t>
      </w:r>
      <w:r w:rsidRPr="00D337FA">
        <w:rPr>
          <w:color w:val="auto"/>
        </w:rPr>
        <w:t>АПК,</w:t>
      </w:r>
      <w:r w:rsidR="006C680D" w:rsidRPr="00D337FA">
        <w:rPr>
          <w:color w:val="auto"/>
        </w:rPr>
        <w:t xml:space="preserve"> </w:t>
      </w:r>
      <w:r w:rsidRPr="00D337FA">
        <w:rPr>
          <w:color w:val="auto"/>
        </w:rPr>
        <w:t>способного</w:t>
      </w:r>
      <w:r w:rsidR="006C680D" w:rsidRPr="00D337FA">
        <w:rPr>
          <w:color w:val="auto"/>
        </w:rPr>
        <w:t xml:space="preserve"> </w:t>
      </w:r>
      <w:r w:rsidRPr="00D337FA">
        <w:rPr>
          <w:color w:val="auto"/>
        </w:rPr>
        <w:t>реагировать</w:t>
      </w:r>
      <w:r w:rsidR="006C680D" w:rsidRPr="00D337FA">
        <w:rPr>
          <w:color w:val="auto"/>
        </w:rPr>
        <w:t xml:space="preserve"> </w:t>
      </w:r>
      <w:r w:rsidRPr="00D337FA">
        <w:rPr>
          <w:color w:val="auto"/>
        </w:rPr>
        <w:t>на</w:t>
      </w:r>
      <w:r w:rsidR="006C680D" w:rsidRPr="00D337FA">
        <w:rPr>
          <w:color w:val="auto"/>
        </w:rPr>
        <w:t xml:space="preserve"> </w:t>
      </w:r>
      <w:r w:rsidRPr="00D337FA">
        <w:rPr>
          <w:color w:val="auto"/>
        </w:rPr>
        <w:t>современные</w:t>
      </w:r>
      <w:r w:rsidR="006C680D" w:rsidRPr="00D337FA">
        <w:rPr>
          <w:color w:val="auto"/>
        </w:rPr>
        <w:t xml:space="preserve"> </w:t>
      </w:r>
      <w:r w:rsidRPr="00D337FA">
        <w:rPr>
          <w:color w:val="auto"/>
        </w:rPr>
        <w:t>вызовы</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обеспечивать</w:t>
      </w:r>
      <w:r w:rsidR="006C680D" w:rsidRPr="00D337FA">
        <w:rPr>
          <w:color w:val="auto"/>
        </w:rPr>
        <w:t xml:space="preserve"> </w:t>
      </w:r>
      <w:r w:rsidRPr="00D337FA">
        <w:rPr>
          <w:color w:val="auto"/>
        </w:rPr>
        <w:t>продовольственную</w:t>
      </w:r>
      <w:r w:rsidR="006C680D" w:rsidRPr="00D337FA">
        <w:rPr>
          <w:color w:val="auto"/>
        </w:rPr>
        <w:t xml:space="preserve"> </w:t>
      </w:r>
      <w:r w:rsidRPr="00D337FA">
        <w:rPr>
          <w:color w:val="auto"/>
        </w:rPr>
        <w:t>безопасность</w:t>
      </w:r>
      <w:r w:rsidR="006C680D" w:rsidRPr="00D337FA">
        <w:rPr>
          <w:color w:val="auto"/>
        </w:rPr>
        <w:t xml:space="preserve"> </w:t>
      </w:r>
      <w:r w:rsidRPr="00D337FA">
        <w:rPr>
          <w:color w:val="auto"/>
        </w:rPr>
        <w:t>страны</w:t>
      </w:r>
      <w:r w:rsidR="006C680D" w:rsidRPr="00D337FA">
        <w:rPr>
          <w:color w:val="auto"/>
        </w:rPr>
        <w:t xml:space="preserve"> </w:t>
      </w:r>
      <w:r w:rsidRPr="00D337FA">
        <w:rPr>
          <w:color w:val="auto"/>
        </w:rPr>
        <w:t>на</w:t>
      </w:r>
      <w:r w:rsidR="006C680D" w:rsidRPr="00D337FA">
        <w:rPr>
          <w:color w:val="auto"/>
        </w:rPr>
        <w:t xml:space="preserve"> </w:t>
      </w:r>
      <w:r w:rsidRPr="00D337FA">
        <w:rPr>
          <w:color w:val="auto"/>
        </w:rPr>
        <w:t>долгосрочную</w:t>
      </w:r>
      <w:r w:rsidR="006C680D" w:rsidRPr="00D337FA">
        <w:rPr>
          <w:color w:val="auto"/>
        </w:rPr>
        <w:t xml:space="preserve"> </w:t>
      </w:r>
      <w:r w:rsidRPr="00D337FA">
        <w:rPr>
          <w:color w:val="auto"/>
        </w:rPr>
        <w:t>перспективу,</w:t>
      </w:r>
      <w:r w:rsidR="006C680D" w:rsidRPr="00D337FA">
        <w:rPr>
          <w:color w:val="auto"/>
        </w:rPr>
        <w:t xml:space="preserve"> </w:t>
      </w:r>
      <w:r w:rsidRPr="00D337FA">
        <w:rPr>
          <w:color w:val="auto"/>
        </w:rPr>
        <w:t>поскольку</w:t>
      </w:r>
      <w:r w:rsidR="006C680D" w:rsidRPr="00D337FA">
        <w:rPr>
          <w:color w:val="auto"/>
        </w:rPr>
        <w:t xml:space="preserve"> </w:t>
      </w:r>
      <w:r w:rsidRPr="00D337FA">
        <w:rPr>
          <w:color w:val="auto"/>
        </w:rPr>
        <w:t>именно</w:t>
      </w:r>
      <w:r w:rsidR="006C680D" w:rsidRPr="00D337FA">
        <w:rPr>
          <w:color w:val="auto"/>
        </w:rPr>
        <w:t xml:space="preserve"> </w:t>
      </w:r>
      <w:r w:rsidRPr="00D337FA">
        <w:rPr>
          <w:color w:val="auto"/>
        </w:rPr>
        <w:t>продовольственная</w:t>
      </w:r>
      <w:r w:rsidR="006C680D" w:rsidRPr="00D337FA">
        <w:rPr>
          <w:color w:val="auto"/>
        </w:rPr>
        <w:t xml:space="preserve"> </w:t>
      </w:r>
      <w:r w:rsidRPr="00D337FA">
        <w:rPr>
          <w:color w:val="auto"/>
        </w:rPr>
        <w:t>самообеспеченность</w:t>
      </w:r>
      <w:r w:rsidR="006C680D" w:rsidRPr="00D337FA">
        <w:rPr>
          <w:color w:val="auto"/>
        </w:rPr>
        <w:t xml:space="preserve"> </w:t>
      </w:r>
      <w:r w:rsidRPr="00D337FA">
        <w:rPr>
          <w:color w:val="auto"/>
        </w:rPr>
        <w:t>является</w:t>
      </w:r>
      <w:r w:rsidR="006C680D" w:rsidRPr="00D337FA">
        <w:rPr>
          <w:color w:val="auto"/>
        </w:rPr>
        <w:t xml:space="preserve"> </w:t>
      </w:r>
      <w:r w:rsidRPr="00D337FA">
        <w:rPr>
          <w:color w:val="auto"/>
        </w:rPr>
        <w:t>одной</w:t>
      </w:r>
      <w:r w:rsidR="006C680D" w:rsidRPr="00D337FA">
        <w:rPr>
          <w:color w:val="auto"/>
        </w:rPr>
        <w:t xml:space="preserve"> </w:t>
      </w:r>
      <w:r w:rsidRPr="00D337FA">
        <w:rPr>
          <w:color w:val="auto"/>
        </w:rPr>
        <w:t>из</w:t>
      </w:r>
      <w:r w:rsidR="006C680D" w:rsidRPr="00D337FA">
        <w:rPr>
          <w:color w:val="auto"/>
        </w:rPr>
        <w:t xml:space="preserve"> </w:t>
      </w:r>
      <w:r w:rsidRPr="00D337FA">
        <w:rPr>
          <w:color w:val="auto"/>
        </w:rPr>
        <w:t>главных</w:t>
      </w:r>
      <w:r w:rsidR="006C680D" w:rsidRPr="00D337FA">
        <w:rPr>
          <w:color w:val="auto"/>
        </w:rPr>
        <w:t xml:space="preserve"> </w:t>
      </w:r>
      <w:r w:rsidRPr="00D337FA">
        <w:rPr>
          <w:color w:val="auto"/>
        </w:rPr>
        <w:t>составляющих</w:t>
      </w:r>
      <w:r w:rsidR="006C680D" w:rsidRPr="00D337FA">
        <w:rPr>
          <w:color w:val="auto"/>
        </w:rPr>
        <w:t xml:space="preserve"> </w:t>
      </w:r>
      <w:r w:rsidRPr="00D337FA">
        <w:rPr>
          <w:color w:val="auto"/>
        </w:rPr>
        <w:t>государственного</w:t>
      </w:r>
      <w:r w:rsidR="006C680D" w:rsidRPr="00D337FA">
        <w:rPr>
          <w:color w:val="auto"/>
        </w:rPr>
        <w:t xml:space="preserve"> </w:t>
      </w:r>
      <w:r w:rsidRPr="00D337FA">
        <w:rPr>
          <w:color w:val="auto"/>
        </w:rPr>
        <w:t>суверенитета.</w:t>
      </w:r>
      <w:r w:rsidR="006C680D" w:rsidRPr="00D337FA">
        <w:rPr>
          <w:color w:val="auto"/>
        </w:rPr>
        <w:t xml:space="preserve"> </w:t>
      </w:r>
      <w:r w:rsidRPr="00D337FA">
        <w:rPr>
          <w:color w:val="auto"/>
        </w:rPr>
        <w:t>Это</w:t>
      </w:r>
      <w:r w:rsidR="006C680D" w:rsidRPr="00D337FA">
        <w:rPr>
          <w:color w:val="auto"/>
        </w:rPr>
        <w:t xml:space="preserve"> </w:t>
      </w:r>
      <w:r w:rsidRPr="00D337FA">
        <w:rPr>
          <w:color w:val="auto"/>
        </w:rPr>
        <w:t>подтверждается</w:t>
      </w:r>
      <w:r w:rsidR="006C680D" w:rsidRPr="00D337FA">
        <w:rPr>
          <w:color w:val="auto"/>
        </w:rPr>
        <w:t xml:space="preserve"> </w:t>
      </w:r>
      <w:r w:rsidRPr="00D337FA">
        <w:rPr>
          <w:color w:val="auto"/>
        </w:rPr>
        <w:t>приоритетностью</w:t>
      </w:r>
      <w:r w:rsidR="006C680D" w:rsidRPr="00D337FA">
        <w:rPr>
          <w:color w:val="auto"/>
        </w:rPr>
        <w:t xml:space="preserve"> </w:t>
      </w:r>
      <w:r w:rsidRPr="00D337FA">
        <w:rPr>
          <w:color w:val="auto"/>
        </w:rPr>
        <w:lastRenderedPageBreak/>
        <w:t>развития</w:t>
      </w:r>
      <w:r w:rsidR="006C680D" w:rsidRPr="00D337FA">
        <w:rPr>
          <w:color w:val="auto"/>
        </w:rPr>
        <w:t xml:space="preserve"> </w:t>
      </w:r>
      <w:r w:rsidRPr="00D337FA">
        <w:rPr>
          <w:color w:val="auto"/>
        </w:rPr>
        <w:t>сельского</w:t>
      </w:r>
      <w:r w:rsidR="006C680D" w:rsidRPr="00D337FA">
        <w:rPr>
          <w:color w:val="auto"/>
        </w:rPr>
        <w:t xml:space="preserve"> </w:t>
      </w:r>
      <w:r w:rsidRPr="00D337FA">
        <w:rPr>
          <w:color w:val="auto"/>
        </w:rPr>
        <w:t>хозяйства</w:t>
      </w:r>
      <w:r w:rsidR="006C680D" w:rsidRPr="00D337FA">
        <w:rPr>
          <w:color w:val="auto"/>
        </w:rPr>
        <w:t xml:space="preserve"> </w:t>
      </w:r>
      <w:r w:rsidRPr="00D337FA">
        <w:rPr>
          <w:color w:val="auto"/>
        </w:rPr>
        <w:t>с</w:t>
      </w:r>
      <w:r w:rsidR="006C680D" w:rsidRPr="00D337FA">
        <w:rPr>
          <w:color w:val="auto"/>
        </w:rPr>
        <w:t xml:space="preserve"> </w:t>
      </w:r>
      <w:r w:rsidRPr="00D337FA">
        <w:rPr>
          <w:color w:val="auto"/>
        </w:rPr>
        <w:t>целью</w:t>
      </w:r>
      <w:r w:rsidR="006C680D" w:rsidRPr="00D337FA">
        <w:rPr>
          <w:color w:val="auto"/>
        </w:rPr>
        <w:t xml:space="preserve"> </w:t>
      </w:r>
      <w:r w:rsidRPr="00D337FA">
        <w:rPr>
          <w:color w:val="auto"/>
        </w:rPr>
        <w:t>недопущения</w:t>
      </w:r>
      <w:r w:rsidR="006C680D" w:rsidRPr="00D337FA">
        <w:rPr>
          <w:color w:val="auto"/>
        </w:rPr>
        <w:t xml:space="preserve"> </w:t>
      </w:r>
      <w:r w:rsidRPr="00D337FA">
        <w:rPr>
          <w:color w:val="auto"/>
        </w:rPr>
        <w:t>социальных</w:t>
      </w:r>
      <w:r w:rsidR="006C680D" w:rsidRPr="00D337FA">
        <w:rPr>
          <w:color w:val="auto"/>
        </w:rPr>
        <w:t xml:space="preserve"> </w:t>
      </w:r>
      <w:r w:rsidRPr="00D337FA">
        <w:rPr>
          <w:color w:val="auto"/>
        </w:rPr>
        <w:t>кризисов,</w:t>
      </w:r>
      <w:r w:rsidR="006C680D" w:rsidRPr="00D337FA">
        <w:rPr>
          <w:color w:val="auto"/>
        </w:rPr>
        <w:t xml:space="preserve"> </w:t>
      </w:r>
      <w:r w:rsidRPr="00D337FA">
        <w:rPr>
          <w:color w:val="auto"/>
        </w:rPr>
        <w:t>которые</w:t>
      </w:r>
      <w:r w:rsidR="006C680D" w:rsidRPr="00D337FA">
        <w:rPr>
          <w:color w:val="auto"/>
        </w:rPr>
        <w:t xml:space="preserve"> </w:t>
      </w:r>
      <w:r w:rsidRPr="00D337FA">
        <w:rPr>
          <w:color w:val="auto"/>
        </w:rPr>
        <w:t>потенциально</w:t>
      </w:r>
      <w:r w:rsidR="006C680D" w:rsidRPr="00D337FA">
        <w:rPr>
          <w:color w:val="auto"/>
        </w:rPr>
        <w:t xml:space="preserve"> </w:t>
      </w:r>
      <w:r w:rsidRPr="00D337FA">
        <w:rPr>
          <w:color w:val="auto"/>
        </w:rPr>
        <w:t>могут</w:t>
      </w:r>
      <w:r w:rsidR="006C680D" w:rsidRPr="00D337FA">
        <w:rPr>
          <w:color w:val="auto"/>
        </w:rPr>
        <w:t xml:space="preserve"> </w:t>
      </w:r>
      <w:r w:rsidRPr="00D337FA">
        <w:rPr>
          <w:color w:val="auto"/>
        </w:rPr>
        <w:t>быть</w:t>
      </w:r>
      <w:r w:rsidR="006C680D" w:rsidRPr="00D337FA">
        <w:rPr>
          <w:color w:val="auto"/>
        </w:rPr>
        <w:t xml:space="preserve"> </w:t>
      </w:r>
      <w:r w:rsidRPr="00D337FA">
        <w:rPr>
          <w:color w:val="auto"/>
        </w:rPr>
        <w:t>вызваны</w:t>
      </w:r>
      <w:r w:rsidR="006C680D" w:rsidRPr="00D337FA">
        <w:rPr>
          <w:color w:val="auto"/>
        </w:rPr>
        <w:t xml:space="preserve"> </w:t>
      </w:r>
      <w:r w:rsidRPr="00D337FA">
        <w:rPr>
          <w:color w:val="auto"/>
        </w:rPr>
        <w:t>проблемами</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трансграничных</w:t>
      </w:r>
      <w:r w:rsidR="006C680D" w:rsidRPr="00D337FA">
        <w:rPr>
          <w:color w:val="auto"/>
        </w:rPr>
        <w:t xml:space="preserve"> </w:t>
      </w:r>
      <w:r w:rsidRPr="00D337FA">
        <w:rPr>
          <w:color w:val="auto"/>
        </w:rPr>
        <w:t>поставках</w:t>
      </w:r>
      <w:r w:rsidR="006C680D" w:rsidRPr="00D337FA">
        <w:rPr>
          <w:color w:val="auto"/>
        </w:rPr>
        <w:t xml:space="preserve"> </w:t>
      </w:r>
      <w:r w:rsidRPr="00D337FA">
        <w:rPr>
          <w:color w:val="auto"/>
        </w:rPr>
        <w:t>продовольствия</w:t>
      </w:r>
      <w:r w:rsidR="006C680D" w:rsidRPr="00D337FA">
        <w:rPr>
          <w:color w:val="auto"/>
        </w:rPr>
        <w:t xml:space="preserve"> </w:t>
      </w:r>
      <w:r w:rsidRPr="00D337FA">
        <w:rPr>
          <w:color w:val="auto"/>
        </w:rPr>
        <w:t>[7].</w:t>
      </w:r>
      <w:r w:rsidR="006C680D" w:rsidRPr="00D337FA">
        <w:rPr>
          <w:color w:val="auto"/>
        </w:rPr>
        <w:t xml:space="preserve"> </w:t>
      </w:r>
    </w:p>
    <w:p w:rsidR="00544DD6" w:rsidRPr="00D337FA" w:rsidRDefault="00544DD6" w:rsidP="00544DD6">
      <w:pPr>
        <w:pStyle w:val="afe"/>
        <w:rPr>
          <w:color w:val="auto"/>
        </w:rPr>
      </w:pPr>
      <w:r w:rsidRPr="00D337FA">
        <w:rPr>
          <w:color w:val="auto"/>
        </w:rPr>
        <w:t>Для</w:t>
      </w:r>
      <w:r w:rsidR="006C680D" w:rsidRPr="00D337FA">
        <w:rPr>
          <w:color w:val="auto"/>
        </w:rPr>
        <w:t xml:space="preserve"> </w:t>
      </w:r>
      <w:r w:rsidRPr="00D337FA">
        <w:rPr>
          <w:color w:val="auto"/>
        </w:rPr>
        <w:t>России</w:t>
      </w:r>
      <w:r w:rsidR="006C680D" w:rsidRPr="00D337FA">
        <w:rPr>
          <w:color w:val="auto"/>
        </w:rPr>
        <w:t xml:space="preserve"> </w:t>
      </w:r>
      <w:r w:rsidRPr="00D337FA">
        <w:rPr>
          <w:color w:val="auto"/>
        </w:rPr>
        <w:t>основными</w:t>
      </w:r>
      <w:r w:rsidR="006C680D" w:rsidRPr="00D337FA">
        <w:rPr>
          <w:color w:val="auto"/>
        </w:rPr>
        <w:t xml:space="preserve"> </w:t>
      </w:r>
      <w:r w:rsidRPr="00D337FA">
        <w:rPr>
          <w:color w:val="auto"/>
        </w:rPr>
        <w:t>инструментами</w:t>
      </w:r>
      <w:r w:rsidR="006C680D" w:rsidRPr="00D337FA">
        <w:rPr>
          <w:color w:val="auto"/>
        </w:rPr>
        <w:t xml:space="preserve"> </w:t>
      </w:r>
      <w:r w:rsidRPr="00D337FA">
        <w:rPr>
          <w:color w:val="auto"/>
        </w:rPr>
        <w:t>государственной</w:t>
      </w:r>
      <w:r w:rsidR="006C680D" w:rsidRPr="00D337FA">
        <w:rPr>
          <w:color w:val="auto"/>
        </w:rPr>
        <w:t xml:space="preserve"> </w:t>
      </w:r>
      <w:r w:rsidRPr="00D337FA">
        <w:rPr>
          <w:color w:val="auto"/>
        </w:rPr>
        <w:t>поддержки</w:t>
      </w:r>
      <w:r w:rsidR="006C680D" w:rsidRPr="00D337FA">
        <w:rPr>
          <w:color w:val="auto"/>
        </w:rPr>
        <w:t xml:space="preserve"> </w:t>
      </w:r>
      <w:r w:rsidRPr="00D337FA">
        <w:rPr>
          <w:color w:val="auto"/>
        </w:rPr>
        <w:t>являются:</w:t>
      </w:r>
      <w:r w:rsidR="006C680D" w:rsidRPr="00D337FA">
        <w:rPr>
          <w:color w:val="auto"/>
        </w:rPr>
        <w:t xml:space="preserve"> </w:t>
      </w:r>
      <w:r w:rsidRPr="00D337FA">
        <w:rPr>
          <w:color w:val="auto"/>
        </w:rPr>
        <w:t>программы,</w:t>
      </w:r>
      <w:r w:rsidR="006C680D" w:rsidRPr="00D337FA">
        <w:rPr>
          <w:color w:val="auto"/>
        </w:rPr>
        <w:t xml:space="preserve"> </w:t>
      </w:r>
      <w:r w:rsidRPr="00D337FA">
        <w:rPr>
          <w:color w:val="auto"/>
        </w:rPr>
        <w:t>субсидии,</w:t>
      </w:r>
      <w:r w:rsidR="006C680D" w:rsidRPr="00D337FA">
        <w:rPr>
          <w:color w:val="auto"/>
        </w:rPr>
        <w:t xml:space="preserve"> </w:t>
      </w:r>
      <w:r w:rsidRPr="00D337FA">
        <w:rPr>
          <w:color w:val="auto"/>
        </w:rPr>
        <w:t>гранты</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лизинг.</w:t>
      </w:r>
      <w:r w:rsidR="006C680D" w:rsidRPr="00D337FA">
        <w:rPr>
          <w:color w:val="auto"/>
        </w:rPr>
        <w:t xml:space="preserve"> </w:t>
      </w:r>
      <w:r w:rsidRPr="00D337FA">
        <w:rPr>
          <w:color w:val="auto"/>
        </w:rPr>
        <w:t>Также</w:t>
      </w:r>
      <w:r w:rsidR="006C680D" w:rsidRPr="00D337FA">
        <w:rPr>
          <w:color w:val="auto"/>
        </w:rPr>
        <w:t xml:space="preserve"> </w:t>
      </w:r>
      <w:r w:rsidRPr="00D337FA">
        <w:rPr>
          <w:color w:val="auto"/>
        </w:rPr>
        <w:t>большое</w:t>
      </w:r>
      <w:r w:rsidR="006C680D" w:rsidRPr="00D337FA">
        <w:rPr>
          <w:color w:val="auto"/>
        </w:rPr>
        <w:t xml:space="preserve"> </w:t>
      </w:r>
      <w:r w:rsidRPr="00D337FA">
        <w:rPr>
          <w:color w:val="auto"/>
        </w:rPr>
        <w:t>внимание</w:t>
      </w:r>
      <w:r w:rsidR="006C680D" w:rsidRPr="00D337FA">
        <w:rPr>
          <w:color w:val="auto"/>
        </w:rPr>
        <w:t xml:space="preserve"> </w:t>
      </w:r>
      <w:r w:rsidRPr="00D337FA">
        <w:rPr>
          <w:color w:val="auto"/>
        </w:rPr>
        <w:t>уделяется</w:t>
      </w:r>
      <w:r w:rsidR="006C680D" w:rsidRPr="00D337FA">
        <w:rPr>
          <w:color w:val="auto"/>
        </w:rPr>
        <w:t xml:space="preserve"> </w:t>
      </w:r>
      <w:r w:rsidRPr="00D337FA">
        <w:rPr>
          <w:color w:val="auto"/>
        </w:rPr>
        <w:t>созданию</w:t>
      </w:r>
      <w:r w:rsidR="006C680D" w:rsidRPr="00D337FA">
        <w:rPr>
          <w:color w:val="auto"/>
        </w:rPr>
        <w:t xml:space="preserve"> </w:t>
      </w:r>
      <w:r w:rsidRPr="00D337FA">
        <w:rPr>
          <w:color w:val="auto"/>
        </w:rPr>
        <w:t>комфортных</w:t>
      </w:r>
      <w:r w:rsidR="006C680D" w:rsidRPr="00D337FA">
        <w:rPr>
          <w:color w:val="auto"/>
        </w:rPr>
        <w:t xml:space="preserve"> </w:t>
      </w:r>
      <w:r w:rsidRPr="00D337FA">
        <w:rPr>
          <w:color w:val="auto"/>
        </w:rPr>
        <w:t>условий</w:t>
      </w:r>
      <w:r w:rsidR="006C680D" w:rsidRPr="00D337FA">
        <w:rPr>
          <w:color w:val="auto"/>
        </w:rPr>
        <w:t xml:space="preserve"> </w:t>
      </w:r>
      <w:r w:rsidRPr="00D337FA">
        <w:rPr>
          <w:color w:val="auto"/>
        </w:rPr>
        <w:t>внешней</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внутренней</w:t>
      </w:r>
      <w:r w:rsidR="006C680D" w:rsidRPr="00D337FA">
        <w:rPr>
          <w:color w:val="auto"/>
        </w:rPr>
        <w:t xml:space="preserve"> </w:t>
      </w:r>
      <w:r w:rsidRPr="00D337FA">
        <w:rPr>
          <w:color w:val="auto"/>
        </w:rPr>
        <w:t>среды</w:t>
      </w:r>
      <w:r w:rsidR="006C680D" w:rsidRPr="00D337FA">
        <w:rPr>
          <w:color w:val="auto"/>
        </w:rPr>
        <w:t xml:space="preserve"> </w:t>
      </w:r>
      <w:r w:rsidRPr="00D337FA">
        <w:rPr>
          <w:color w:val="auto"/>
        </w:rPr>
        <w:t>для</w:t>
      </w:r>
      <w:r w:rsidR="006C680D" w:rsidRPr="00D337FA">
        <w:rPr>
          <w:color w:val="auto"/>
        </w:rPr>
        <w:t xml:space="preserve"> </w:t>
      </w:r>
      <w:r w:rsidRPr="00D337FA">
        <w:rPr>
          <w:color w:val="auto"/>
        </w:rPr>
        <w:t>привлечения</w:t>
      </w:r>
      <w:r w:rsidR="006C680D" w:rsidRPr="00D337FA">
        <w:rPr>
          <w:color w:val="auto"/>
        </w:rPr>
        <w:t xml:space="preserve"> </w:t>
      </w:r>
      <w:r w:rsidRPr="00D337FA">
        <w:rPr>
          <w:color w:val="auto"/>
        </w:rPr>
        <w:t>инвестиций</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поиска</w:t>
      </w:r>
      <w:r w:rsidR="006C680D" w:rsidRPr="00D337FA">
        <w:rPr>
          <w:color w:val="auto"/>
        </w:rPr>
        <w:t xml:space="preserve"> </w:t>
      </w:r>
      <w:r w:rsidRPr="00D337FA">
        <w:rPr>
          <w:color w:val="auto"/>
        </w:rPr>
        <w:t>новых</w:t>
      </w:r>
      <w:r w:rsidR="006C680D" w:rsidRPr="00D337FA">
        <w:rPr>
          <w:color w:val="auto"/>
        </w:rPr>
        <w:t xml:space="preserve"> </w:t>
      </w:r>
      <w:r w:rsidRPr="00D337FA">
        <w:rPr>
          <w:color w:val="auto"/>
        </w:rPr>
        <w:t>возможностей</w:t>
      </w:r>
      <w:r w:rsidR="006C680D" w:rsidRPr="00D337FA">
        <w:rPr>
          <w:color w:val="auto"/>
        </w:rPr>
        <w:t xml:space="preserve"> </w:t>
      </w:r>
      <w:r w:rsidRPr="00D337FA">
        <w:rPr>
          <w:color w:val="auto"/>
        </w:rPr>
        <w:t>по</w:t>
      </w:r>
      <w:r w:rsidR="006C680D" w:rsidRPr="00D337FA">
        <w:rPr>
          <w:color w:val="auto"/>
        </w:rPr>
        <w:t xml:space="preserve"> </w:t>
      </w:r>
      <w:r w:rsidRPr="00D337FA">
        <w:rPr>
          <w:color w:val="auto"/>
        </w:rPr>
        <w:t>кредитованию.</w:t>
      </w:r>
      <w:r w:rsidR="006C680D" w:rsidRPr="00D337FA">
        <w:rPr>
          <w:color w:val="auto"/>
        </w:rPr>
        <w:t xml:space="preserve"> </w:t>
      </w:r>
      <w:r w:rsidRPr="00D337FA">
        <w:rPr>
          <w:color w:val="auto"/>
        </w:rPr>
        <w:t>Кроме</w:t>
      </w:r>
      <w:r w:rsidR="006C680D" w:rsidRPr="00D337FA">
        <w:rPr>
          <w:color w:val="auto"/>
        </w:rPr>
        <w:t xml:space="preserve"> </w:t>
      </w:r>
      <w:r w:rsidRPr="00D337FA">
        <w:rPr>
          <w:color w:val="auto"/>
        </w:rPr>
        <w:t>этого,</w:t>
      </w:r>
      <w:r w:rsidR="006C680D" w:rsidRPr="00D337FA">
        <w:rPr>
          <w:color w:val="auto"/>
        </w:rPr>
        <w:t xml:space="preserve"> </w:t>
      </w:r>
      <w:r w:rsidRPr="00D337FA">
        <w:rPr>
          <w:color w:val="auto"/>
        </w:rPr>
        <w:t>также</w:t>
      </w:r>
      <w:r w:rsidR="006C680D" w:rsidRPr="00D337FA">
        <w:rPr>
          <w:color w:val="auto"/>
        </w:rPr>
        <w:t xml:space="preserve"> </w:t>
      </w:r>
      <w:r w:rsidRPr="00D337FA">
        <w:rPr>
          <w:color w:val="auto"/>
        </w:rPr>
        <w:t>активное</w:t>
      </w:r>
      <w:r w:rsidR="006C680D" w:rsidRPr="00D337FA">
        <w:rPr>
          <w:color w:val="auto"/>
        </w:rPr>
        <w:t xml:space="preserve"> </w:t>
      </w:r>
      <w:r w:rsidRPr="00D337FA">
        <w:rPr>
          <w:color w:val="auto"/>
        </w:rPr>
        <w:t>место</w:t>
      </w:r>
      <w:r w:rsidR="006C680D" w:rsidRPr="00D337FA">
        <w:rPr>
          <w:color w:val="auto"/>
        </w:rPr>
        <w:t xml:space="preserve"> </w:t>
      </w:r>
      <w:r w:rsidRPr="00D337FA">
        <w:rPr>
          <w:color w:val="auto"/>
        </w:rPr>
        <w:t>занимают</w:t>
      </w:r>
      <w:r w:rsidR="006C680D" w:rsidRPr="00D337FA">
        <w:rPr>
          <w:color w:val="auto"/>
        </w:rPr>
        <w:t xml:space="preserve"> </w:t>
      </w:r>
      <w:r w:rsidRPr="00D337FA">
        <w:rPr>
          <w:color w:val="auto"/>
        </w:rPr>
        <w:t>различные</w:t>
      </w:r>
      <w:r w:rsidR="006C680D" w:rsidRPr="00D337FA">
        <w:rPr>
          <w:color w:val="auto"/>
        </w:rPr>
        <w:t xml:space="preserve"> </w:t>
      </w:r>
      <w:r w:rsidRPr="00D337FA">
        <w:rPr>
          <w:color w:val="auto"/>
        </w:rPr>
        <w:t>стартапы</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области</w:t>
      </w:r>
      <w:r w:rsidR="006C680D" w:rsidRPr="00D337FA">
        <w:rPr>
          <w:color w:val="auto"/>
        </w:rPr>
        <w:t xml:space="preserve"> </w:t>
      </w:r>
      <w:r w:rsidRPr="00D337FA">
        <w:rPr>
          <w:color w:val="auto"/>
        </w:rPr>
        <w:t>автоматизации</w:t>
      </w:r>
      <w:r w:rsidR="006C680D" w:rsidRPr="00D337FA">
        <w:rPr>
          <w:color w:val="auto"/>
        </w:rPr>
        <w:t xml:space="preserve"> </w:t>
      </w:r>
      <w:r w:rsidRPr="00D337FA">
        <w:rPr>
          <w:color w:val="auto"/>
        </w:rPr>
        <w:t>производственных</w:t>
      </w:r>
      <w:r w:rsidR="006C680D" w:rsidRPr="00D337FA">
        <w:rPr>
          <w:color w:val="auto"/>
        </w:rPr>
        <w:t xml:space="preserve"> </w:t>
      </w:r>
      <w:r w:rsidRPr="00D337FA">
        <w:rPr>
          <w:color w:val="auto"/>
        </w:rPr>
        <w:t>процессов</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внедрение</w:t>
      </w:r>
      <w:r w:rsidR="006C680D" w:rsidRPr="00D337FA">
        <w:rPr>
          <w:color w:val="auto"/>
        </w:rPr>
        <w:t xml:space="preserve"> </w:t>
      </w:r>
      <w:r w:rsidRPr="00D337FA">
        <w:rPr>
          <w:color w:val="auto"/>
        </w:rPr>
        <w:t>искусственного</w:t>
      </w:r>
      <w:r w:rsidR="006C680D" w:rsidRPr="00D337FA">
        <w:rPr>
          <w:color w:val="auto"/>
        </w:rPr>
        <w:t xml:space="preserve"> </w:t>
      </w:r>
      <w:r w:rsidRPr="00D337FA">
        <w:rPr>
          <w:color w:val="auto"/>
        </w:rPr>
        <w:t>интеллекта.</w:t>
      </w:r>
      <w:r w:rsidR="006C680D" w:rsidRPr="00D337FA">
        <w:rPr>
          <w:color w:val="auto"/>
        </w:rPr>
        <w:t xml:space="preserve"> </w:t>
      </w:r>
      <w:r w:rsidRPr="00D337FA">
        <w:rPr>
          <w:color w:val="auto"/>
        </w:rPr>
        <w:t>Условно</w:t>
      </w:r>
      <w:r w:rsidR="006C680D" w:rsidRPr="00D337FA">
        <w:rPr>
          <w:color w:val="auto"/>
        </w:rPr>
        <w:t xml:space="preserve"> </w:t>
      </w:r>
      <w:r w:rsidRPr="00D337FA">
        <w:rPr>
          <w:color w:val="auto"/>
        </w:rPr>
        <w:t>меры</w:t>
      </w:r>
      <w:r w:rsidR="006C680D" w:rsidRPr="00D337FA">
        <w:rPr>
          <w:color w:val="auto"/>
        </w:rPr>
        <w:t xml:space="preserve"> </w:t>
      </w:r>
      <w:r w:rsidRPr="00D337FA">
        <w:rPr>
          <w:color w:val="auto"/>
        </w:rPr>
        <w:t>поддержки</w:t>
      </w:r>
      <w:r w:rsidR="006C680D" w:rsidRPr="00D337FA">
        <w:rPr>
          <w:color w:val="auto"/>
        </w:rPr>
        <w:t xml:space="preserve"> </w:t>
      </w:r>
      <w:r w:rsidRPr="00D337FA">
        <w:rPr>
          <w:color w:val="auto"/>
        </w:rPr>
        <w:t>можно</w:t>
      </w:r>
      <w:r w:rsidR="006C680D" w:rsidRPr="00D337FA">
        <w:rPr>
          <w:color w:val="auto"/>
        </w:rPr>
        <w:t xml:space="preserve"> </w:t>
      </w:r>
      <w:r w:rsidRPr="00D337FA">
        <w:rPr>
          <w:color w:val="auto"/>
        </w:rPr>
        <w:t>объединить</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несколько</w:t>
      </w:r>
      <w:r w:rsidR="006C680D" w:rsidRPr="00D337FA">
        <w:rPr>
          <w:color w:val="auto"/>
        </w:rPr>
        <w:t xml:space="preserve"> </w:t>
      </w:r>
      <w:r w:rsidRPr="00D337FA">
        <w:rPr>
          <w:color w:val="auto"/>
        </w:rPr>
        <w:t>крупных</w:t>
      </w:r>
      <w:r w:rsidR="006C680D" w:rsidRPr="00D337FA">
        <w:rPr>
          <w:color w:val="auto"/>
        </w:rPr>
        <w:t xml:space="preserve"> </w:t>
      </w:r>
      <w:r w:rsidRPr="00D337FA">
        <w:rPr>
          <w:color w:val="auto"/>
        </w:rPr>
        <w:t>блоков</w:t>
      </w:r>
      <w:r w:rsidR="006C680D" w:rsidRPr="00D337FA">
        <w:rPr>
          <w:color w:val="auto"/>
        </w:rPr>
        <w:t xml:space="preserve"> </w:t>
      </w:r>
      <w:r w:rsidRPr="00D337FA">
        <w:rPr>
          <w:color w:val="auto"/>
        </w:rPr>
        <w:t>(</w:t>
      </w:r>
      <w:r w:rsidR="00C8298C" w:rsidRPr="00D337FA">
        <w:rPr>
          <w:color w:val="auto"/>
        </w:rPr>
        <w:t>т</w:t>
      </w:r>
      <w:r w:rsidRPr="00D337FA">
        <w:rPr>
          <w:color w:val="auto"/>
        </w:rPr>
        <w:t>абл.</w:t>
      </w:r>
      <w:r w:rsidR="006C680D" w:rsidRPr="00D337FA">
        <w:rPr>
          <w:color w:val="auto"/>
        </w:rPr>
        <w:t xml:space="preserve"> </w:t>
      </w:r>
      <w:r w:rsidRPr="00D337FA">
        <w:rPr>
          <w:color w:val="auto"/>
        </w:rPr>
        <w:t>2):</w:t>
      </w:r>
    </w:p>
    <w:p w:rsidR="00544DD6" w:rsidRPr="00D337FA" w:rsidRDefault="00544DD6" w:rsidP="00544DD6">
      <w:pPr>
        <w:pStyle w:val="afe"/>
        <w:rPr>
          <w:color w:val="auto"/>
        </w:rPr>
      </w:pPr>
      <w:r w:rsidRPr="00D337FA">
        <w:rPr>
          <w:color w:val="auto"/>
        </w:rPr>
        <w:t>1.</w:t>
      </w:r>
      <w:r w:rsidRPr="00D337FA">
        <w:rPr>
          <w:color w:val="auto"/>
        </w:rPr>
        <w:tab/>
        <w:t>Льготное</w:t>
      </w:r>
      <w:r w:rsidR="006C680D" w:rsidRPr="00D337FA">
        <w:rPr>
          <w:color w:val="auto"/>
        </w:rPr>
        <w:t xml:space="preserve"> </w:t>
      </w:r>
      <w:r w:rsidRPr="00D337FA">
        <w:rPr>
          <w:color w:val="auto"/>
        </w:rPr>
        <w:t>кредитование;</w:t>
      </w:r>
    </w:p>
    <w:p w:rsidR="00544DD6" w:rsidRPr="00D337FA" w:rsidRDefault="00544DD6" w:rsidP="00544DD6">
      <w:pPr>
        <w:pStyle w:val="afe"/>
        <w:rPr>
          <w:color w:val="auto"/>
        </w:rPr>
      </w:pPr>
      <w:r w:rsidRPr="00D337FA">
        <w:rPr>
          <w:color w:val="auto"/>
        </w:rPr>
        <w:t>2.</w:t>
      </w:r>
      <w:r w:rsidRPr="00D337FA">
        <w:rPr>
          <w:color w:val="auto"/>
        </w:rPr>
        <w:tab/>
        <w:t>Субсидии;</w:t>
      </w:r>
    </w:p>
    <w:p w:rsidR="00544DD6" w:rsidRPr="00D337FA" w:rsidRDefault="00544DD6" w:rsidP="00544DD6">
      <w:pPr>
        <w:pStyle w:val="afe"/>
        <w:rPr>
          <w:color w:val="auto"/>
        </w:rPr>
      </w:pPr>
      <w:r w:rsidRPr="00D337FA">
        <w:rPr>
          <w:color w:val="auto"/>
        </w:rPr>
        <w:t>3.</w:t>
      </w:r>
      <w:r w:rsidRPr="00D337FA">
        <w:rPr>
          <w:color w:val="auto"/>
        </w:rPr>
        <w:tab/>
        <w:t>Гранты</w:t>
      </w:r>
      <w:r w:rsidR="006C680D" w:rsidRPr="00D337FA">
        <w:rPr>
          <w:color w:val="auto"/>
        </w:rPr>
        <w:t xml:space="preserve"> </w:t>
      </w:r>
      <w:r w:rsidRPr="00D337FA">
        <w:rPr>
          <w:color w:val="auto"/>
        </w:rPr>
        <w:t>для</w:t>
      </w:r>
      <w:r w:rsidR="006C680D" w:rsidRPr="00D337FA">
        <w:rPr>
          <w:color w:val="auto"/>
        </w:rPr>
        <w:t xml:space="preserve"> </w:t>
      </w:r>
      <w:r w:rsidRPr="00D337FA">
        <w:rPr>
          <w:color w:val="auto"/>
        </w:rPr>
        <w:t>малого</w:t>
      </w:r>
      <w:r w:rsidR="006C680D" w:rsidRPr="00D337FA">
        <w:rPr>
          <w:color w:val="auto"/>
        </w:rPr>
        <w:t xml:space="preserve"> </w:t>
      </w:r>
      <w:r w:rsidRPr="00D337FA">
        <w:rPr>
          <w:color w:val="auto"/>
        </w:rPr>
        <w:t>бизнеса;</w:t>
      </w:r>
    </w:p>
    <w:p w:rsidR="00544DD6" w:rsidRPr="00D337FA" w:rsidRDefault="00544DD6" w:rsidP="00544DD6">
      <w:pPr>
        <w:pStyle w:val="afe"/>
        <w:rPr>
          <w:color w:val="auto"/>
        </w:rPr>
      </w:pPr>
      <w:r w:rsidRPr="00D337FA">
        <w:rPr>
          <w:color w:val="auto"/>
        </w:rPr>
        <w:t>4.</w:t>
      </w:r>
      <w:r w:rsidRPr="00D337FA">
        <w:rPr>
          <w:color w:val="auto"/>
        </w:rPr>
        <w:tab/>
        <w:t>Региональные</w:t>
      </w:r>
      <w:r w:rsidR="006C680D" w:rsidRPr="00D337FA">
        <w:rPr>
          <w:color w:val="auto"/>
        </w:rPr>
        <w:t xml:space="preserve"> </w:t>
      </w:r>
      <w:r w:rsidRPr="00D337FA">
        <w:rPr>
          <w:color w:val="auto"/>
        </w:rPr>
        <w:t>меры</w:t>
      </w:r>
      <w:r w:rsidR="006C680D" w:rsidRPr="00D337FA">
        <w:rPr>
          <w:color w:val="auto"/>
        </w:rPr>
        <w:t xml:space="preserve"> </w:t>
      </w:r>
      <w:r w:rsidRPr="00D337FA">
        <w:rPr>
          <w:color w:val="auto"/>
        </w:rPr>
        <w:t>поддержки;</w:t>
      </w:r>
    </w:p>
    <w:p w:rsidR="00544DD6" w:rsidRPr="00D337FA" w:rsidRDefault="00544DD6" w:rsidP="00544DD6">
      <w:pPr>
        <w:pStyle w:val="afe"/>
        <w:rPr>
          <w:color w:val="auto"/>
        </w:rPr>
      </w:pPr>
      <w:r w:rsidRPr="00D337FA">
        <w:rPr>
          <w:color w:val="auto"/>
        </w:rPr>
        <w:lastRenderedPageBreak/>
        <w:t>5.</w:t>
      </w:r>
      <w:r w:rsidRPr="00D337FA">
        <w:rPr>
          <w:color w:val="auto"/>
        </w:rPr>
        <w:tab/>
        <w:t>Компенсация</w:t>
      </w:r>
      <w:r w:rsidR="006C680D" w:rsidRPr="00D337FA">
        <w:rPr>
          <w:color w:val="auto"/>
        </w:rPr>
        <w:t xml:space="preserve"> </w:t>
      </w:r>
      <w:r w:rsidRPr="00D337FA">
        <w:rPr>
          <w:color w:val="auto"/>
        </w:rPr>
        <w:t>прямых</w:t>
      </w:r>
      <w:r w:rsidR="006C680D" w:rsidRPr="00D337FA">
        <w:rPr>
          <w:color w:val="auto"/>
        </w:rPr>
        <w:t xml:space="preserve"> </w:t>
      </w:r>
      <w:r w:rsidRPr="00D337FA">
        <w:rPr>
          <w:color w:val="auto"/>
        </w:rPr>
        <w:t>понесенных</w:t>
      </w:r>
      <w:r w:rsidR="006C680D" w:rsidRPr="00D337FA">
        <w:rPr>
          <w:color w:val="auto"/>
        </w:rPr>
        <w:t xml:space="preserve"> </w:t>
      </w:r>
      <w:r w:rsidRPr="00D337FA">
        <w:rPr>
          <w:color w:val="auto"/>
        </w:rPr>
        <w:t>затрат;</w:t>
      </w:r>
    </w:p>
    <w:p w:rsidR="00544DD6" w:rsidRPr="00D337FA" w:rsidRDefault="00544DD6" w:rsidP="00544DD6">
      <w:pPr>
        <w:pStyle w:val="afe"/>
        <w:rPr>
          <w:color w:val="auto"/>
        </w:rPr>
      </w:pPr>
      <w:r w:rsidRPr="00D337FA">
        <w:rPr>
          <w:color w:val="auto"/>
        </w:rPr>
        <w:t>6.</w:t>
      </w:r>
      <w:r w:rsidRPr="00D337FA">
        <w:rPr>
          <w:color w:val="auto"/>
        </w:rPr>
        <w:tab/>
        <w:t>Государственная</w:t>
      </w:r>
      <w:r w:rsidR="006C680D" w:rsidRPr="00D337FA">
        <w:rPr>
          <w:color w:val="auto"/>
        </w:rPr>
        <w:t xml:space="preserve"> </w:t>
      </w:r>
      <w:r w:rsidRPr="00D337FA">
        <w:rPr>
          <w:color w:val="auto"/>
        </w:rPr>
        <w:t>программа</w:t>
      </w:r>
      <w:r w:rsidR="006C680D" w:rsidRPr="00D337FA">
        <w:rPr>
          <w:color w:val="auto"/>
        </w:rPr>
        <w:t xml:space="preserve"> </w:t>
      </w:r>
      <w:r w:rsidRPr="00D337FA">
        <w:rPr>
          <w:color w:val="auto"/>
        </w:rPr>
        <w:t>«Комплексное</w:t>
      </w:r>
      <w:r w:rsidR="006C680D" w:rsidRPr="00D337FA">
        <w:rPr>
          <w:color w:val="auto"/>
        </w:rPr>
        <w:t xml:space="preserve"> </w:t>
      </w:r>
      <w:r w:rsidRPr="00D337FA">
        <w:rPr>
          <w:color w:val="auto"/>
        </w:rPr>
        <w:t>развитие</w:t>
      </w:r>
      <w:r w:rsidR="006C680D" w:rsidRPr="00D337FA">
        <w:rPr>
          <w:color w:val="auto"/>
        </w:rPr>
        <w:t xml:space="preserve"> </w:t>
      </w:r>
      <w:r w:rsidRPr="00D337FA">
        <w:rPr>
          <w:color w:val="auto"/>
        </w:rPr>
        <w:t>сельских</w:t>
      </w:r>
      <w:r w:rsidR="006C680D" w:rsidRPr="00D337FA">
        <w:rPr>
          <w:color w:val="auto"/>
        </w:rPr>
        <w:t xml:space="preserve"> </w:t>
      </w:r>
      <w:r w:rsidRPr="00D337FA">
        <w:rPr>
          <w:color w:val="auto"/>
        </w:rPr>
        <w:t>территорий».</w:t>
      </w:r>
    </w:p>
    <w:p w:rsidR="00253534" w:rsidRPr="00D337FA" w:rsidRDefault="00544DD6" w:rsidP="00544DD6">
      <w:pPr>
        <w:pStyle w:val="afe"/>
        <w:rPr>
          <w:color w:val="auto"/>
        </w:rPr>
      </w:pPr>
      <w:r w:rsidRPr="00D337FA">
        <w:rPr>
          <w:color w:val="auto"/>
        </w:rPr>
        <w:t>Каждая</w:t>
      </w:r>
      <w:r w:rsidR="006C680D" w:rsidRPr="00D337FA">
        <w:rPr>
          <w:color w:val="auto"/>
        </w:rPr>
        <w:t xml:space="preserve"> </w:t>
      </w:r>
      <w:r w:rsidRPr="00D337FA">
        <w:rPr>
          <w:color w:val="auto"/>
        </w:rPr>
        <w:t>из</w:t>
      </w:r>
      <w:r w:rsidR="006C680D" w:rsidRPr="00D337FA">
        <w:rPr>
          <w:color w:val="auto"/>
        </w:rPr>
        <w:t xml:space="preserve"> </w:t>
      </w:r>
      <w:r w:rsidRPr="00D337FA">
        <w:rPr>
          <w:color w:val="auto"/>
        </w:rPr>
        <w:t>приведённых</w:t>
      </w:r>
      <w:r w:rsidR="006C680D" w:rsidRPr="00D337FA">
        <w:rPr>
          <w:color w:val="auto"/>
        </w:rPr>
        <w:t xml:space="preserve"> </w:t>
      </w:r>
      <w:r w:rsidRPr="00D337FA">
        <w:rPr>
          <w:color w:val="auto"/>
        </w:rPr>
        <w:t>мер</w:t>
      </w:r>
      <w:r w:rsidR="006C680D" w:rsidRPr="00D337FA">
        <w:rPr>
          <w:color w:val="auto"/>
        </w:rPr>
        <w:t xml:space="preserve"> </w:t>
      </w:r>
      <w:r w:rsidRPr="00D337FA">
        <w:rPr>
          <w:color w:val="auto"/>
        </w:rPr>
        <w:t>поддержки</w:t>
      </w:r>
      <w:r w:rsidR="006C680D" w:rsidRPr="00D337FA">
        <w:rPr>
          <w:color w:val="auto"/>
        </w:rPr>
        <w:t xml:space="preserve"> </w:t>
      </w:r>
      <w:r w:rsidRPr="00D337FA">
        <w:rPr>
          <w:color w:val="auto"/>
        </w:rPr>
        <w:t>имеет</w:t>
      </w:r>
      <w:r w:rsidR="006C680D" w:rsidRPr="00D337FA">
        <w:rPr>
          <w:color w:val="auto"/>
        </w:rPr>
        <w:t xml:space="preserve"> </w:t>
      </w:r>
      <w:r w:rsidRPr="00D337FA">
        <w:rPr>
          <w:color w:val="auto"/>
        </w:rPr>
        <w:t>свои</w:t>
      </w:r>
      <w:r w:rsidR="006C680D" w:rsidRPr="00D337FA">
        <w:rPr>
          <w:color w:val="auto"/>
        </w:rPr>
        <w:t xml:space="preserve"> </w:t>
      </w:r>
      <w:r w:rsidRPr="00D337FA">
        <w:rPr>
          <w:color w:val="auto"/>
        </w:rPr>
        <w:t>особенности,</w:t>
      </w:r>
      <w:r w:rsidR="006C680D" w:rsidRPr="00D337FA">
        <w:rPr>
          <w:color w:val="auto"/>
        </w:rPr>
        <w:t xml:space="preserve"> </w:t>
      </w:r>
      <w:r w:rsidRPr="00D337FA">
        <w:rPr>
          <w:color w:val="auto"/>
        </w:rPr>
        <w:t>целевые</w:t>
      </w:r>
      <w:r w:rsidR="006C680D" w:rsidRPr="00D337FA">
        <w:rPr>
          <w:color w:val="auto"/>
        </w:rPr>
        <w:t xml:space="preserve"> </w:t>
      </w:r>
      <w:r w:rsidRPr="00D337FA">
        <w:rPr>
          <w:color w:val="auto"/>
        </w:rPr>
        <w:t>группы</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механизмы</w:t>
      </w:r>
      <w:r w:rsidR="006C680D" w:rsidRPr="00D337FA">
        <w:rPr>
          <w:color w:val="auto"/>
        </w:rPr>
        <w:t xml:space="preserve"> </w:t>
      </w:r>
      <w:r w:rsidRPr="00D337FA">
        <w:rPr>
          <w:color w:val="auto"/>
        </w:rPr>
        <w:t>реализации.</w:t>
      </w:r>
      <w:r w:rsidR="006C680D" w:rsidRPr="00D337FA">
        <w:rPr>
          <w:color w:val="auto"/>
        </w:rPr>
        <w:t xml:space="preserve"> </w:t>
      </w:r>
      <w:r w:rsidRPr="00D337FA">
        <w:rPr>
          <w:color w:val="auto"/>
        </w:rPr>
        <w:t>Их</w:t>
      </w:r>
      <w:r w:rsidR="006C680D" w:rsidRPr="00D337FA">
        <w:rPr>
          <w:color w:val="auto"/>
        </w:rPr>
        <w:t xml:space="preserve"> </w:t>
      </w:r>
      <w:r w:rsidRPr="00D337FA">
        <w:rPr>
          <w:color w:val="auto"/>
        </w:rPr>
        <w:t>реализация</w:t>
      </w:r>
      <w:r w:rsidR="006C680D" w:rsidRPr="00D337FA">
        <w:rPr>
          <w:color w:val="auto"/>
        </w:rPr>
        <w:t xml:space="preserve"> </w:t>
      </w:r>
      <w:r w:rsidRPr="00D337FA">
        <w:rPr>
          <w:color w:val="auto"/>
        </w:rPr>
        <w:t>уже</w:t>
      </w:r>
      <w:r w:rsidR="006C680D" w:rsidRPr="00D337FA">
        <w:rPr>
          <w:color w:val="auto"/>
        </w:rPr>
        <w:t xml:space="preserve"> </w:t>
      </w:r>
      <w:r w:rsidRPr="00D337FA">
        <w:rPr>
          <w:color w:val="auto"/>
        </w:rPr>
        <w:t>сегодня</w:t>
      </w:r>
      <w:r w:rsidR="006C680D" w:rsidRPr="00D337FA">
        <w:rPr>
          <w:color w:val="auto"/>
        </w:rPr>
        <w:t xml:space="preserve"> </w:t>
      </w:r>
      <w:r w:rsidRPr="00D337FA">
        <w:rPr>
          <w:color w:val="auto"/>
        </w:rPr>
        <w:t>позволяет</w:t>
      </w:r>
      <w:r w:rsidR="006C680D" w:rsidRPr="00D337FA">
        <w:rPr>
          <w:color w:val="auto"/>
        </w:rPr>
        <w:t xml:space="preserve"> </w:t>
      </w:r>
      <w:r w:rsidRPr="00D337FA">
        <w:rPr>
          <w:color w:val="auto"/>
        </w:rPr>
        <w:t>многим</w:t>
      </w:r>
      <w:r w:rsidR="006C680D" w:rsidRPr="00D337FA">
        <w:rPr>
          <w:color w:val="auto"/>
        </w:rPr>
        <w:t xml:space="preserve"> </w:t>
      </w:r>
      <w:r w:rsidRPr="00D337FA">
        <w:rPr>
          <w:color w:val="auto"/>
        </w:rPr>
        <w:t>компаниям</w:t>
      </w:r>
      <w:r w:rsidR="006C680D" w:rsidRPr="00D337FA">
        <w:rPr>
          <w:color w:val="auto"/>
        </w:rPr>
        <w:t xml:space="preserve"> </w:t>
      </w:r>
      <w:r w:rsidRPr="00D337FA">
        <w:rPr>
          <w:color w:val="auto"/>
        </w:rPr>
        <w:t>находить</w:t>
      </w:r>
      <w:r w:rsidR="006C680D" w:rsidRPr="00D337FA">
        <w:rPr>
          <w:color w:val="auto"/>
        </w:rPr>
        <w:t xml:space="preserve"> </w:t>
      </w:r>
      <w:r w:rsidRPr="00D337FA">
        <w:rPr>
          <w:color w:val="auto"/>
        </w:rPr>
        <w:t>необходимые</w:t>
      </w:r>
      <w:r w:rsidR="006C680D" w:rsidRPr="00D337FA">
        <w:rPr>
          <w:color w:val="auto"/>
        </w:rPr>
        <w:t xml:space="preserve"> </w:t>
      </w:r>
      <w:r w:rsidRPr="00D337FA">
        <w:rPr>
          <w:color w:val="auto"/>
        </w:rPr>
        <w:t>средства</w:t>
      </w:r>
      <w:r w:rsidR="006C680D" w:rsidRPr="00D337FA">
        <w:rPr>
          <w:color w:val="auto"/>
        </w:rPr>
        <w:t xml:space="preserve"> </w:t>
      </w:r>
      <w:r w:rsidRPr="00D337FA">
        <w:rPr>
          <w:color w:val="auto"/>
        </w:rPr>
        <w:t>на</w:t>
      </w:r>
      <w:r w:rsidR="006C680D" w:rsidRPr="00D337FA">
        <w:rPr>
          <w:color w:val="auto"/>
        </w:rPr>
        <w:t xml:space="preserve"> </w:t>
      </w:r>
      <w:r w:rsidRPr="00D337FA">
        <w:rPr>
          <w:color w:val="auto"/>
        </w:rPr>
        <w:t>расширение</w:t>
      </w:r>
      <w:r w:rsidR="006C680D" w:rsidRPr="00D337FA">
        <w:rPr>
          <w:color w:val="auto"/>
        </w:rPr>
        <w:t xml:space="preserve"> </w:t>
      </w:r>
      <w:r w:rsidRPr="00D337FA">
        <w:rPr>
          <w:color w:val="auto"/>
        </w:rPr>
        <w:t>своего</w:t>
      </w:r>
      <w:r w:rsidR="006C680D" w:rsidRPr="00D337FA">
        <w:rPr>
          <w:color w:val="auto"/>
        </w:rPr>
        <w:t xml:space="preserve"> </w:t>
      </w:r>
      <w:r w:rsidRPr="00D337FA">
        <w:rPr>
          <w:color w:val="auto"/>
        </w:rPr>
        <w:t>бизнеса,</w:t>
      </w:r>
      <w:r w:rsidR="006C680D" w:rsidRPr="00D337FA">
        <w:rPr>
          <w:color w:val="auto"/>
        </w:rPr>
        <w:t xml:space="preserve"> </w:t>
      </w:r>
      <w:r w:rsidRPr="00D337FA">
        <w:rPr>
          <w:color w:val="auto"/>
        </w:rPr>
        <w:t>который</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большинстве</w:t>
      </w:r>
      <w:r w:rsidR="006C680D" w:rsidRPr="00D337FA">
        <w:rPr>
          <w:color w:val="auto"/>
        </w:rPr>
        <w:t xml:space="preserve"> </w:t>
      </w:r>
      <w:r w:rsidRPr="00D337FA">
        <w:rPr>
          <w:color w:val="auto"/>
        </w:rPr>
        <w:t>случаев</w:t>
      </w:r>
      <w:r w:rsidR="006C680D" w:rsidRPr="00D337FA">
        <w:rPr>
          <w:color w:val="auto"/>
        </w:rPr>
        <w:t xml:space="preserve"> </w:t>
      </w:r>
      <w:r w:rsidRPr="00D337FA">
        <w:rPr>
          <w:color w:val="auto"/>
        </w:rPr>
        <w:t>находиться</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сельской</w:t>
      </w:r>
      <w:r w:rsidR="006C680D" w:rsidRPr="00D337FA">
        <w:rPr>
          <w:color w:val="auto"/>
        </w:rPr>
        <w:t xml:space="preserve"> </w:t>
      </w:r>
      <w:r w:rsidRPr="00D337FA">
        <w:rPr>
          <w:color w:val="auto"/>
        </w:rPr>
        <w:t>мест</w:t>
      </w:r>
      <w:r w:rsidRPr="00D337FA">
        <w:rPr>
          <w:color w:val="auto"/>
        </w:rPr>
        <w:lastRenderedPageBreak/>
        <w:t>ности.</w:t>
      </w:r>
      <w:r w:rsidR="006C680D" w:rsidRPr="00D337FA">
        <w:rPr>
          <w:color w:val="auto"/>
        </w:rPr>
        <w:t xml:space="preserve"> </w:t>
      </w:r>
      <w:r w:rsidRPr="00D337FA">
        <w:rPr>
          <w:color w:val="auto"/>
        </w:rPr>
        <w:t>В</w:t>
      </w:r>
      <w:r w:rsidR="006C680D" w:rsidRPr="00D337FA">
        <w:rPr>
          <w:color w:val="auto"/>
        </w:rPr>
        <w:t xml:space="preserve"> </w:t>
      </w:r>
      <w:r w:rsidRPr="00D337FA">
        <w:rPr>
          <w:color w:val="auto"/>
        </w:rPr>
        <w:t>этой</w:t>
      </w:r>
      <w:r w:rsidR="006C680D" w:rsidRPr="00D337FA">
        <w:rPr>
          <w:color w:val="auto"/>
        </w:rPr>
        <w:t xml:space="preserve"> </w:t>
      </w:r>
      <w:r w:rsidRPr="00D337FA">
        <w:rPr>
          <w:color w:val="auto"/>
        </w:rPr>
        <w:t>связи,</w:t>
      </w:r>
      <w:r w:rsidR="006C680D" w:rsidRPr="00D337FA">
        <w:rPr>
          <w:color w:val="auto"/>
        </w:rPr>
        <w:t xml:space="preserve"> </w:t>
      </w:r>
      <w:r w:rsidRPr="00D337FA">
        <w:rPr>
          <w:color w:val="auto"/>
        </w:rPr>
        <w:t>остаётся</w:t>
      </w:r>
      <w:r w:rsidR="006C680D" w:rsidRPr="00D337FA">
        <w:rPr>
          <w:color w:val="auto"/>
        </w:rPr>
        <w:t xml:space="preserve"> </w:t>
      </w:r>
      <w:r w:rsidRPr="00D337FA">
        <w:rPr>
          <w:color w:val="auto"/>
        </w:rPr>
        <w:t>крайне</w:t>
      </w:r>
      <w:r w:rsidR="006C680D" w:rsidRPr="00D337FA">
        <w:rPr>
          <w:color w:val="auto"/>
        </w:rPr>
        <w:t xml:space="preserve"> </w:t>
      </w:r>
      <w:r w:rsidRPr="00D337FA">
        <w:rPr>
          <w:color w:val="auto"/>
        </w:rPr>
        <w:t>важным</w:t>
      </w:r>
      <w:r w:rsidR="006C680D" w:rsidRPr="00D337FA">
        <w:rPr>
          <w:color w:val="auto"/>
        </w:rPr>
        <w:t xml:space="preserve"> </w:t>
      </w:r>
      <w:r w:rsidRPr="00D337FA">
        <w:rPr>
          <w:color w:val="auto"/>
        </w:rPr>
        <w:t>вопрос</w:t>
      </w:r>
      <w:r w:rsidR="006C680D" w:rsidRPr="00D337FA">
        <w:rPr>
          <w:color w:val="auto"/>
        </w:rPr>
        <w:t xml:space="preserve"> </w:t>
      </w:r>
      <w:r w:rsidRPr="00D337FA">
        <w:rPr>
          <w:color w:val="auto"/>
        </w:rPr>
        <w:t>комплексной</w:t>
      </w:r>
      <w:r w:rsidR="006C680D" w:rsidRPr="00D337FA">
        <w:rPr>
          <w:color w:val="auto"/>
        </w:rPr>
        <w:t xml:space="preserve"> </w:t>
      </w:r>
      <w:r w:rsidRPr="00D337FA">
        <w:rPr>
          <w:color w:val="auto"/>
        </w:rPr>
        <w:t>поддержки</w:t>
      </w:r>
      <w:r w:rsidR="006C680D" w:rsidRPr="00D337FA">
        <w:rPr>
          <w:color w:val="auto"/>
        </w:rPr>
        <w:t xml:space="preserve"> </w:t>
      </w:r>
      <w:r w:rsidRPr="00D337FA">
        <w:rPr>
          <w:color w:val="auto"/>
        </w:rPr>
        <w:t>сельских</w:t>
      </w:r>
      <w:r w:rsidR="006C680D" w:rsidRPr="00D337FA">
        <w:rPr>
          <w:color w:val="auto"/>
        </w:rPr>
        <w:t xml:space="preserve"> </w:t>
      </w:r>
      <w:r w:rsidRPr="00D337FA">
        <w:rPr>
          <w:color w:val="auto"/>
        </w:rPr>
        <w:t>территорий,</w:t>
      </w:r>
      <w:r w:rsidR="006C680D" w:rsidRPr="00D337FA">
        <w:rPr>
          <w:color w:val="auto"/>
        </w:rPr>
        <w:t xml:space="preserve"> </w:t>
      </w:r>
      <w:r w:rsidRPr="00D337FA">
        <w:rPr>
          <w:color w:val="auto"/>
        </w:rPr>
        <w:t>являющихся</w:t>
      </w:r>
      <w:r w:rsidR="006C680D" w:rsidRPr="00D337FA">
        <w:rPr>
          <w:color w:val="auto"/>
        </w:rPr>
        <w:t xml:space="preserve"> </w:t>
      </w:r>
      <w:r w:rsidRPr="00D337FA">
        <w:rPr>
          <w:color w:val="auto"/>
        </w:rPr>
        <w:t>базисом</w:t>
      </w:r>
      <w:r w:rsidR="006C680D" w:rsidRPr="00D337FA">
        <w:rPr>
          <w:color w:val="auto"/>
        </w:rPr>
        <w:t xml:space="preserve"> </w:t>
      </w:r>
      <w:r w:rsidRPr="00D337FA">
        <w:rPr>
          <w:color w:val="auto"/>
        </w:rPr>
        <w:t>для</w:t>
      </w:r>
      <w:r w:rsidR="006C680D" w:rsidRPr="00D337FA">
        <w:rPr>
          <w:color w:val="auto"/>
        </w:rPr>
        <w:t xml:space="preserve"> </w:t>
      </w:r>
      <w:r w:rsidRPr="00D337FA">
        <w:rPr>
          <w:color w:val="auto"/>
        </w:rPr>
        <w:t>осуществления</w:t>
      </w:r>
      <w:r w:rsidR="006C680D" w:rsidRPr="00D337FA">
        <w:rPr>
          <w:color w:val="auto"/>
        </w:rPr>
        <w:t xml:space="preserve"> </w:t>
      </w:r>
      <w:r w:rsidRPr="00D337FA">
        <w:rPr>
          <w:color w:val="auto"/>
        </w:rPr>
        <w:t>сельскохозяйственной</w:t>
      </w:r>
      <w:r w:rsidR="006C680D" w:rsidRPr="00D337FA">
        <w:rPr>
          <w:color w:val="auto"/>
        </w:rPr>
        <w:t xml:space="preserve"> </w:t>
      </w:r>
      <w:r w:rsidRPr="00D337FA">
        <w:rPr>
          <w:color w:val="auto"/>
        </w:rPr>
        <w:t>деятельности.</w:t>
      </w:r>
      <w:r w:rsidR="006C680D" w:rsidRPr="00D337FA">
        <w:rPr>
          <w:color w:val="auto"/>
        </w:rPr>
        <w:t xml:space="preserve"> </w:t>
      </w:r>
      <w:r w:rsidRPr="00D337FA">
        <w:rPr>
          <w:color w:val="auto"/>
        </w:rPr>
        <w:t>Формирование</w:t>
      </w:r>
      <w:r w:rsidR="006C680D" w:rsidRPr="00D337FA">
        <w:rPr>
          <w:color w:val="auto"/>
        </w:rPr>
        <w:t xml:space="preserve"> </w:t>
      </w:r>
      <w:r w:rsidRPr="00D337FA">
        <w:rPr>
          <w:color w:val="auto"/>
        </w:rPr>
        <w:t>комфортных</w:t>
      </w:r>
      <w:r w:rsidR="006C680D" w:rsidRPr="00D337FA">
        <w:rPr>
          <w:color w:val="auto"/>
        </w:rPr>
        <w:t xml:space="preserve"> </w:t>
      </w:r>
      <w:r w:rsidRPr="00D337FA">
        <w:rPr>
          <w:color w:val="auto"/>
        </w:rPr>
        <w:t>условий</w:t>
      </w:r>
      <w:r w:rsidR="006C680D" w:rsidRPr="00D337FA">
        <w:rPr>
          <w:color w:val="auto"/>
        </w:rPr>
        <w:t xml:space="preserve"> </w:t>
      </w:r>
      <w:r w:rsidRPr="00D337FA">
        <w:rPr>
          <w:color w:val="auto"/>
        </w:rPr>
        <w:t>жизни</w:t>
      </w:r>
      <w:r w:rsidR="006C680D" w:rsidRPr="00D337FA">
        <w:rPr>
          <w:color w:val="auto"/>
        </w:rPr>
        <w:t xml:space="preserve"> </w:t>
      </w:r>
      <w:r w:rsidRPr="00D337FA">
        <w:rPr>
          <w:color w:val="auto"/>
        </w:rPr>
        <w:t>и</w:t>
      </w:r>
      <w:r w:rsidR="006C680D" w:rsidRPr="00D337FA">
        <w:rPr>
          <w:color w:val="auto"/>
        </w:rPr>
        <w:t xml:space="preserve"> </w:t>
      </w:r>
      <w:r w:rsidRPr="00D337FA">
        <w:rPr>
          <w:color w:val="auto"/>
        </w:rPr>
        <w:t>перспектив</w:t>
      </w:r>
      <w:r w:rsidR="006C680D" w:rsidRPr="00D337FA">
        <w:rPr>
          <w:color w:val="auto"/>
        </w:rPr>
        <w:t xml:space="preserve"> </w:t>
      </w:r>
      <w:r w:rsidRPr="00D337FA">
        <w:rPr>
          <w:color w:val="auto"/>
        </w:rPr>
        <w:t>развития</w:t>
      </w:r>
      <w:r w:rsidR="006C680D" w:rsidRPr="00D337FA">
        <w:rPr>
          <w:color w:val="auto"/>
        </w:rPr>
        <w:t xml:space="preserve"> </w:t>
      </w:r>
      <w:r w:rsidRPr="00D337FA">
        <w:rPr>
          <w:color w:val="auto"/>
        </w:rPr>
        <w:t>становится</w:t>
      </w:r>
      <w:r w:rsidR="006C680D" w:rsidRPr="00D337FA">
        <w:rPr>
          <w:color w:val="auto"/>
        </w:rPr>
        <w:t xml:space="preserve"> </w:t>
      </w:r>
      <w:r w:rsidRPr="00D337FA">
        <w:rPr>
          <w:color w:val="auto"/>
        </w:rPr>
        <w:t>главной</w:t>
      </w:r>
      <w:r w:rsidR="006C680D" w:rsidRPr="00D337FA">
        <w:rPr>
          <w:color w:val="auto"/>
        </w:rPr>
        <w:t xml:space="preserve"> </w:t>
      </w:r>
      <w:r w:rsidRPr="00D337FA">
        <w:rPr>
          <w:color w:val="auto"/>
        </w:rPr>
        <w:t>задачей</w:t>
      </w:r>
      <w:r w:rsidR="006C680D" w:rsidRPr="00D337FA">
        <w:rPr>
          <w:color w:val="auto"/>
        </w:rPr>
        <w:t xml:space="preserve"> </w:t>
      </w:r>
      <w:r w:rsidRPr="00D337FA">
        <w:rPr>
          <w:color w:val="auto"/>
        </w:rPr>
        <w:t>стратегии</w:t>
      </w:r>
      <w:r w:rsidR="006C680D" w:rsidRPr="00D337FA">
        <w:rPr>
          <w:color w:val="auto"/>
        </w:rPr>
        <w:t xml:space="preserve"> </w:t>
      </w:r>
      <w:r w:rsidRPr="00D337FA">
        <w:rPr>
          <w:color w:val="auto"/>
        </w:rPr>
        <w:t>устойчивого</w:t>
      </w:r>
      <w:r w:rsidR="006C680D" w:rsidRPr="00D337FA">
        <w:rPr>
          <w:color w:val="auto"/>
        </w:rPr>
        <w:t xml:space="preserve"> </w:t>
      </w:r>
      <w:r w:rsidRPr="00D337FA">
        <w:rPr>
          <w:color w:val="auto"/>
        </w:rPr>
        <w:t>развития</w:t>
      </w:r>
      <w:r w:rsidR="006C680D" w:rsidRPr="00D337FA">
        <w:rPr>
          <w:color w:val="auto"/>
        </w:rPr>
        <w:t xml:space="preserve"> </w:t>
      </w:r>
      <w:r w:rsidRPr="00D337FA">
        <w:rPr>
          <w:color w:val="auto"/>
        </w:rPr>
        <w:t>сельских</w:t>
      </w:r>
      <w:r w:rsidR="006C680D" w:rsidRPr="00D337FA">
        <w:rPr>
          <w:color w:val="auto"/>
        </w:rPr>
        <w:t xml:space="preserve"> </w:t>
      </w:r>
      <w:r w:rsidRPr="00D337FA">
        <w:rPr>
          <w:color w:val="auto"/>
        </w:rPr>
        <w:t>территорий</w:t>
      </w:r>
      <w:r w:rsidR="006C680D" w:rsidRPr="00D337FA">
        <w:rPr>
          <w:color w:val="auto"/>
        </w:rPr>
        <w:t xml:space="preserve"> </w:t>
      </w:r>
      <w:r w:rsidRPr="00D337FA">
        <w:rPr>
          <w:color w:val="auto"/>
        </w:rPr>
        <w:t>Российской</w:t>
      </w:r>
      <w:r w:rsidR="006C680D" w:rsidRPr="00D337FA">
        <w:rPr>
          <w:color w:val="auto"/>
        </w:rPr>
        <w:t xml:space="preserve"> </w:t>
      </w:r>
      <w:r w:rsidRPr="00D337FA">
        <w:rPr>
          <w:color w:val="auto"/>
        </w:rPr>
        <w:t>Федерации</w:t>
      </w:r>
      <w:r w:rsidR="006C680D" w:rsidRPr="00D337FA">
        <w:rPr>
          <w:color w:val="auto"/>
        </w:rPr>
        <w:t xml:space="preserve"> </w:t>
      </w:r>
      <w:r w:rsidRPr="00D337FA">
        <w:rPr>
          <w:color w:val="auto"/>
        </w:rPr>
        <w:t>на</w:t>
      </w:r>
      <w:r w:rsidR="006C680D" w:rsidRPr="00D337FA">
        <w:rPr>
          <w:color w:val="auto"/>
        </w:rPr>
        <w:t xml:space="preserve"> </w:t>
      </w:r>
      <w:r w:rsidRPr="00D337FA">
        <w:rPr>
          <w:color w:val="auto"/>
        </w:rPr>
        <w:t>период</w:t>
      </w:r>
      <w:r w:rsidR="006C680D" w:rsidRPr="00D337FA">
        <w:rPr>
          <w:color w:val="auto"/>
        </w:rPr>
        <w:t xml:space="preserve"> </w:t>
      </w:r>
      <w:r w:rsidRPr="00D337FA">
        <w:rPr>
          <w:color w:val="auto"/>
        </w:rPr>
        <w:t>до</w:t>
      </w:r>
      <w:r w:rsidR="006C680D" w:rsidRPr="00D337FA">
        <w:rPr>
          <w:color w:val="auto"/>
        </w:rPr>
        <w:t xml:space="preserve"> </w:t>
      </w:r>
      <w:r w:rsidRPr="00D337FA">
        <w:rPr>
          <w:color w:val="auto"/>
        </w:rPr>
        <w:t>2030</w:t>
      </w:r>
      <w:r w:rsidR="006C680D" w:rsidRPr="00D337FA">
        <w:rPr>
          <w:color w:val="auto"/>
        </w:rPr>
        <w:t xml:space="preserve"> </w:t>
      </w:r>
      <w:r w:rsidRPr="00D337FA">
        <w:rPr>
          <w:color w:val="auto"/>
        </w:rPr>
        <w:t>года.</w:t>
      </w:r>
    </w:p>
    <w:p w:rsidR="008932D6" w:rsidRPr="00D337FA" w:rsidRDefault="008932D6" w:rsidP="00812765">
      <w:pPr>
        <w:pStyle w:val="afe"/>
        <w:rPr>
          <w:color w:val="auto"/>
          <w:highlight w:val="yellow"/>
        </w:rPr>
      </w:pPr>
    </w:p>
    <w:p w:rsidR="00E95AAD" w:rsidRPr="00D337FA" w:rsidRDefault="00E95AAD" w:rsidP="00930FD1">
      <w:pPr>
        <w:pStyle w:val="afe"/>
        <w:ind w:firstLine="142"/>
        <w:rPr>
          <w:color w:val="auto"/>
          <w:highlight w:val="yellow"/>
        </w:rPr>
        <w:sectPr w:rsidR="00E95AAD" w:rsidRPr="00D337FA" w:rsidSect="00930FD1">
          <w:footnotePr>
            <w:numRestart w:val="eachPage"/>
          </w:footnotePr>
          <w:type w:val="continuous"/>
          <w:pgSz w:w="11907" w:h="16840" w:code="9"/>
          <w:pgMar w:top="1418" w:right="1134" w:bottom="1418" w:left="1134" w:header="1021" w:footer="1021" w:gutter="0"/>
          <w:cols w:num="2" w:space="708"/>
          <w:docGrid w:linePitch="360"/>
        </w:sectPr>
      </w:pPr>
    </w:p>
    <w:p w:rsidR="008932D6" w:rsidRPr="00D337FA" w:rsidRDefault="008932D6" w:rsidP="00812765">
      <w:pPr>
        <w:ind w:firstLine="0"/>
        <w:jc w:val="center"/>
        <w:rPr>
          <w:b/>
          <w:szCs w:val="24"/>
          <w:highlight w:val="yellow"/>
        </w:rPr>
      </w:pPr>
    </w:p>
    <w:p w:rsidR="00544DD6" w:rsidRPr="00D337FA" w:rsidRDefault="00544DD6" w:rsidP="00544DD6">
      <w:pPr>
        <w:shd w:val="clear" w:color="auto" w:fill="FFFFFF"/>
        <w:jc w:val="right"/>
        <w:rPr>
          <w:rFonts w:ascii="Arial" w:hAnsi="Arial" w:cs="Arial"/>
          <w:i/>
          <w:sz w:val="22"/>
          <w:szCs w:val="22"/>
        </w:rPr>
      </w:pPr>
      <w:r w:rsidRPr="00D337FA">
        <w:rPr>
          <w:rFonts w:ascii="Arial" w:hAnsi="Arial" w:cs="Arial"/>
          <w:i/>
          <w:sz w:val="22"/>
          <w:szCs w:val="22"/>
        </w:rPr>
        <w:t>Таблица</w:t>
      </w:r>
      <w:r w:rsidR="006C680D" w:rsidRPr="00D337FA">
        <w:rPr>
          <w:rFonts w:ascii="Arial" w:hAnsi="Arial" w:cs="Arial"/>
          <w:i/>
          <w:sz w:val="22"/>
          <w:szCs w:val="22"/>
        </w:rPr>
        <w:t xml:space="preserve"> </w:t>
      </w:r>
      <w:r w:rsidRPr="00D337FA">
        <w:rPr>
          <w:rFonts w:ascii="Arial" w:hAnsi="Arial" w:cs="Arial"/>
          <w:i/>
          <w:sz w:val="22"/>
          <w:szCs w:val="22"/>
        </w:rPr>
        <w:t>2</w:t>
      </w:r>
    </w:p>
    <w:p w:rsidR="008932D6" w:rsidRPr="00D337FA" w:rsidRDefault="00544DD6" w:rsidP="008932D6">
      <w:pPr>
        <w:shd w:val="clear" w:color="auto" w:fill="FFFFFF"/>
        <w:jc w:val="center"/>
        <w:rPr>
          <w:rFonts w:ascii="Arial" w:hAnsi="Arial" w:cs="Arial"/>
          <w:i/>
          <w:sz w:val="22"/>
          <w:szCs w:val="22"/>
        </w:rPr>
      </w:pPr>
      <w:r w:rsidRPr="00D337FA">
        <w:rPr>
          <w:rFonts w:ascii="Arial" w:hAnsi="Arial" w:cs="Arial"/>
          <w:i/>
          <w:sz w:val="22"/>
          <w:szCs w:val="22"/>
        </w:rPr>
        <w:t>Основные</w:t>
      </w:r>
      <w:r w:rsidR="006C680D" w:rsidRPr="00D337FA">
        <w:rPr>
          <w:rFonts w:ascii="Arial" w:hAnsi="Arial" w:cs="Arial"/>
          <w:i/>
          <w:sz w:val="22"/>
          <w:szCs w:val="22"/>
        </w:rPr>
        <w:t xml:space="preserve"> </w:t>
      </w:r>
      <w:r w:rsidRPr="00D337FA">
        <w:rPr>
          <w:rFonts w:ascii="Arial" w:hAnsi="Arial" w:cs="Arial"/>
          <w:i/>
          <w:sz w:val="22"/>
          <w:szCs w:val="22"/>
        </w:rPr>
        <w:t>меры</w:t>
      </w:r>
      <w:r w:rsidR="006C680D" w:rsidRPr="00D337FA">
        <w:rPr>
          <w:rFonts w:ascii="Arial" w:hAnsi="Arial" w:cs="Arial"/>
          <w:i/>
          <w:sz w:val="22"/>
          <w:szCs w:val="22"/>
        </w:rPr>
        <w:t xml:space="preserve"> </w:t>
      </w:r>
      <w:r w:rsidRPr="00D337FA">
        <w:rPr>
          <w:rFonts w:ascii="Arial" w:hAnsi="Arial" w:cs="Arial"/>
          <w:i/>
          <w:sz w:val="22"/>
          <w:szCs w:val="22"/>
        </w:rPr>
        <w:t>поддержки</w:t>
      </w:r>
      <w:r w:rsidR="006C680D" w:rsidRPr="00D337FA">
        <w:rPr>
          <w:rFonts w:ascii="Arial" w:hAnsi="Arial" w:cs="Arial"/>
          <w:i/>
          <w:sz w:val="22"/>
          <w:szCs w:val="22"/>
        </w:rPr>
        <w:t xml:space="preserve"> </w:t>
      </w:r>
      <w:r w:rsidRPr="00D337FA">
        <w:rPr>
          <w:rFonts w:ascii="Arial" w:hAnsi="Arial" w:cs="Arial"/>
          <w:i/>
          <w:sz w:val="22"/>
          <w:szCs w:val="22"/>
        </w:rPr>
        <w:t>АПК</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Российской</w:t>
      </w:r>
      <w:r w:rsidR="006C680D" w:rsidRPr="00D337FA">
        <w:rPr>
          <w:rFonts w:ascii="Arial" w:hAnsi="Arial" w:cs="Arial"/>
          <w:i/>
          <w:sz w:val="22"/>
          <w:szCs w:val="22"/>
        </w:rPr>
        <w:t xml:space="preserve"> </w:t>
      </w:r>
      <w:r w:rsidRPr="00D337FA">
        <w:rPr>
          <w:rFonts w:ascii="Arial" w:hAnsi="Arial" w:cs="Arial"/>
          <w:i/>
          <w:sz w:val="22"/>
          <w:szCs w:val="22"/>
        </w:rPr>
        <w:t>Федерации</w:t>
      </w:r>
    </w:p>
    <w:tbl>
      <w:tblPr>
        <w:tblStyle w:val="afa"/>
        <w:tblW w:w="9889" w:type="dxa"/>
        <w:tblLook w:val="04A0" w:firstRow="1" w:lastRow="0" w:firstColumn="1" w:lastColumn="0" w:noHBand="0" w:noVBand="1"/>
      </w:tblPr>
      <w:tblGrid>
        <w:gridCol w:w="2376"/>
        <w:gridCol w:w="7513"/>
      </w:tblGrid>
      <w:tr w:rsidR="00D337FA" w:rsidRPr="00D337FA" w:rsidTr="00544DD6">
        <w:trPr>
          <w:trHeight w:val="313"/>
        </w:trPr>
        <w:tc>
          <w:tcPr>
            <w:tcW w:w="2376" w:type="dxa"/>
            <w:vAlign w:val="center"/>
          </w:tcPr>
          <w:p w:rsidR="00544DD6" w:rsidRPr="00D337FA" w:rsidRDefault="00544DD6" w:rsidP="00544DD6">
            <w:pPr>
              <w:ind w:firstLine="0"/>
              <w:jc w:val="center"/>
              <w:rPr>
                <w:sz w:val="20"/>
                <w:szCs w:val="20"/>
              </w:rPr>
            </w:pPr>
            <w:r w:rsidRPr="00D337FA">
              <w:rPr>
                <w:sz w:val="20"/>
                <w:szCs w:val="20"/>
              </w:rPr>
              <w:t>Вид</w:t>
            </w:r>
            <w:r w:rsidR="006C680D" w:rsidRPr="00D337FA">
              <w:rPr>
                <w:sz w:val="20"/>
                <w:szCs w:val="20"/>
              </w:rPr>
              <w:t xml:space="preserve"> </w:t>
            </w:r>
            <w:r w:rsidRPr="00D337FA">
              <w:rPr>
                <w:sz w:val="20"/>
                <w:szCs w:val="20"/>
              </w:rPr>
              <w:t>поддержки</w:t>
            </w:r>
          </w:p>
        </w:tc>
        <w:tc>
          <w:tcPr>
            <w:tcW w:w="7513" w:type="dxa"/>
            <w:vAlign w:val="center"/>
          </w:tcPr>
          <w:p w:rsidR="00544DD6" w:rsidRPr="00D337FA" w:rsidRDefault="00544DD6" w:rsidP="00544DD6">
            <w:pPr>
              <w:ind w:firstLine="0"/>
              <w:jc w:val="center"/>
              <w:rPr>
                <w:sz w:val="20"/>
                <w:szCs w:val="20"/>
              </w:rPr>
            </w:pPr>
            <w:r w:rsidRPr="00D337FA">
              <w:rPr>
                <w:sz w:val="20"/>
                <w:szCs w:val="20"/>
              </w:rPr>
              <w:t>Характеристика</w:t>
            </w:r>
          </w:p>
        </w:tc>
      </w:tr>
      <w:tr w:rsidR="00D337FA" w:rsidRPr="00D337FA" w:rsidTr="004325C9">
        <w:trPr>
          <w:trHeight w:val="554"/>
        </w:trPr>
        <w:tc>
          <w:tcPr>
            <w:tcW w:w="2376" w:type="dxa"/>
          </w:tcPr>
          <w:p w:rsidR="00544DD6" w:rsidRPr="00D337FA" w:rsidRDefault="00544DD6" w:rsidP="00544DD6">
            <w:pPr>
              <w:ind w:firstLine="0"/>
              <w:rPr>
                <w:sz w:val="20"/>
                <w:szCs w:val="20"/>
              </w:rPr>
            </w:pPr>
            <w:r w:rsidRPr="00D337FA">
              <w:rPr>
                <w:sz w:val="20"/>
                <w:szCs w:val="20"/>
              </w:rPr>
              <w:t>Льготное</w:t>
            </w:r>
            <w:r w:rsidR="006C680D" w:rsidRPr="00D337FA">
              <w:rPr>
                <w:sz w:val="20"/>
                <w:szCs w:val="20"/>
              </w:rPr>
              <w:t xml:space="preserve"> </w:t>
            </w:r>
            <w:r w:rsidRPr="00D337FA">
              <w:rPr>
                <w:sz w:val="20"/>
                <w:szCs w:val="20"/>
              </w:rPr>
              <w:t>кредитование</w:t>
            </w:r>
          </w:p>
        </w:tc>
        <w:tc>
          <w:tcPr>
            <w:tcW w:w="7513" w:type="dxa"/>
          </w:tcPr>
          <w:p w:rsidR="00544DD6" w:rsidRPr="00D337FA" w:rsidRDefault="00544DD6" w:rsidP="00544DD6">
            <w:pPr>
              <w:ind w:firstLine="0"/>
              <w:rPr>
                <w:sz w:val="20"/>
                <w:szCs w:val="20"/>
              </w:rPr>
            </w:pPr>
            <w:r w:rsidRPr="00D337FA">
              <w:rPr>
                <w:sz w:val="20"/>
                <w:szCs w:val="20"/>
              </w:rPr>
              <w:t>Предоставление</w:t>
            </w:r>
            <w:r w:rsidR="006C680D" w:rsidRPr="00D337FA">
              <w:rPr>
                <w:sz w:val="20"/>
                <w:szCs w:val="20"/>
              </w:rPr>
              <w:t xml:space="preserve"> </w:t>
            </w:r>
            <w:r w:rsidRPr="00D337FA">
              <w:rPr>
                <w:sz w:val="20"/>
                <w:szCs w:val="20"/>
              </w:rPr>
              <w:t>краткосрочных</w:t>
            </w:r>
            <w:r w:rsidR="006C680D" w:rsidRPr="00D337FA">
              <w:rPr>
                <w:sz w:val="20"/>
                <w:szCs w:val="20"/>
              </w:rPr>
              <w:t xml:space="preserve"> </w:t>
            </w:r>
            <w:r w:rsidRPr="00D337FA">
              <w:rPr>
                <w:sz w:val="20"/>
                <w:szCs w:val="20"/>
              </w:rPr>
              <w:t>(до</w:t>
            </w:r>
            <w:r w:rsidR="006C680D" w:rsidRPr="00D337FA">
              <w:rPr>
                <w:sz w:val="20"/>
                <w:szCs w:val="20"/>
              </w:rPr>
              <w:t xml:space="preserve"> </w:t>
            </w:r>
            <w:r w:rsidRPr="00D337FA">
              <w:rPr>
                <w:sz w:val="20"/>
                <w:szCs w:val="20"/>
              </w:rPr>
              <w:t>1</w:t>
            </w:r>
            <w:r w:rsidR="006C680D" w:rsidRPr="00D337FA">
              <w:rPr>
                <w:sz w:val="20"/>
                <w:szCs w:val="20"/>
              </w:rPr>
              <w:t xml:space="preserve"> </w:t>
            </w:r>
            <w:r w:rsidRPr="00D337FA">
              <w:rPr>
                <w:sz w:val="20"/>
                <w:szCs w:val="20"/>
              </w:rPr>
              <w:t>года,</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посевную)</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инвестиционных</w:t>
            </w:r>
            <w:r w:rsidR="006C680D" w:rsidRPr="00D337FA">
              <w:rPr>
                <w:sz w:val="20"/>
                <w:szCs w:val="20"/>
              </w:rPr>
              <w:t xml:space="preserve"> </w:t>
            </w:r>
            <w:r w:rsidRPr="00D337FA">
              <w:rPr>
                <w:sz w:val="20"/>
                <w:szCs w:val="20"/>
              </w:rPr>
              <w:t>(от</w:t>
            </w:r>
            <w:r w:rsidR="006C680D" w:rsidRPr="00D337FA">
              <w:rPr>
                <w:sz w:val="20"/>
                <w:szCs w:val="20"/>
              </w:rPr>
              <w:t xml:space="preserve"> </w:t>
            </w:r>
            <w:r w:rsidRPr="00D337FA">
              <w:rPr>
                <w:sz w:val="20"/>
                <w:szCs w:val="20"/>
              </w:rPr>
              <w:t>2</w:t>
            </w:r>
            <w:r w:rsidR="006C680D" w:rsidRPr="00D337FA">
              <w:rPr>
                <w:sz w:val="20"/>
                <w:szCs w:val="20"/>
              </w:rPr>
              <w:t xml:space="preserve"> </w:t>
            </w:r>
            <w:r w:rsidRPr="00D337FA">
              <w:rPr>
                <w:sz w:val="20"/>
                <w:szCs w:val="20"/>
              </w:rPr>
              <w:t>до</w:t>
            </w:r>
            <w:r w:rsidR="006C680D" w:rsidRPr="00D337FA">
              <w:rPr>
                <w:sz w:val="20"/>
                <w:szCs w:val="20"/>
              </w:rPr>
              <w:t xml:space="preserve"> </w:t>
            </w:r>
            <w:r w:rsidRPr="00D337FA">
              <w:rPr>
                <w:sz w:val="20"/>
                <w:szCs w:val="20"/>
              </w:rPr>
              <w:t>15</w:t>
            </w:r>
            <w:r w:rsidR="006C680D" w:rsidRPr="00D337FA">
              <w:rPr>
                <w:sz w:val="20"/>
                <w:szCs w:val="20"/>
              </w:rPr>
              <w:t xml:space="preserve"> </w:t>
            </w:r>
            <w:r w:rsidRPr="00D337FA">
              <w:rPr>
                <w:sz w:val="20"/>
                <w:szCs w:val="20"/>
              </w:rPr>
              <w:t>лет,</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технику</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строительство)</w:t>
            </w:r>
            <w:r w:rsidR="006C680D" w:rsidRPr="00D337FA">
              <w:rPr>
                <w:sz w:val="20"/>
                <w:szCs w:val="20"/>
              </w:rPr>
              <w:t xml:space="preserve"> </w:t>
            </w:r>
            <w:r w:rsidRPr="00D337FA">
              <w:rPr>
                <w:sz w:val="20"/>
                <w:szCs w:val="20"/>
              </w:rPr>
              <w:t>кредитов</w:t>
            </w:r>
            <w:r w:rsidR="006C680D" w:rsidRPr="00D337FA">
              <w:rPr>
                <w:sz w:val="20"/>
                <w:szCs w:val="20"/>
              </w:rPr>
              <w:t xml:space="preserve"> </w:t>
            </w:r>
            <w:r w:rsidRPr="00D337FA">
              <w:rPr>
                <w:sz w:val="20"/>
                <w:szCs w:val="20"/>
              </w:rPr>
              <w:t>по</w:t>
            </w:r>
            <w:r w:rsidR="006C680D" w:rsidRPr="00D337FA">
              <w:rPr>
                <w:sz w:val="20"/>
                <w:szCs w:val="20"/>
              </w:rPr>
              <w:t xml:space="preserve"> </w:t>
            </w:r>
            <w:r w:rsidRPr="00D337FA">
              <w:rPr>
                <w:sz w:val="20"/>
                <w:szCs w:val="20"/>
              </w:rPr>
              <w:t>сниженной</w:t>
            </w:r>
            <w:r w:rsidR="006C680D" w:rsidRPr="00D337FA">
              <w:rPr>
                <w:sz w:val="20"/>
                <w:szCs w:val="20"/>
              </w:rPr>
              <w:t xml:space="preserve"> </w:t>
            </w:r>
            <w:r w:rsidRPr="00D337FA">
              <w:rPr>
                <w:sz w:val="20"/>
                <w:szCs w:val="20"/>
              </w:rPr>
              <w:t>ставке</w:t>
            </w:r>
            <w:r w:rsidR="006C680D" w:rsidRPr="00D337FA">
              <w:rPr>
                <w:sz w:val="20"/>
                <w:szCs w:val="20"/>
              </w:rPr>
              <w:t xml:space="preserve"> </w:t>
            </w:r>
            <w:r w:rsidRPr="00D337FA">
              <w:rPr>
                <w:sz w:val="20"/>
                <w:szCs w:val="20"/>
              </w:rPr>
              <w:t>(часто</w:t>
            </w:r>
            <w:r w:rsidR="006C680D" w:rsidRPr="00D337FA">
              <w:rPr>
                <w:sz w:val="20"/>
                <w:szCs w:val="20"/>
              </w:rPr>
              <w:t xml:space="preserve"> </w:t>
            </w:r>
            <w:r w:rsidRPr="00D337FA">
              <w:rPr>
                <w:sz w:val="20"/>
                <w:szCs w:val="20"/>
              </w:rPr>
              <w:t>до</w:t>
            </w:r>
            <w:r w:rsidR="006C680D" w:rsidRPr="00D337FA">
              <w:rPr>
                <w:sz w:val="20"/>
                <w:szCs w:val="20"/>
              </w:rPr>
              <w:t xml:space="preserve"> </w:t>
            </w:r>
            <w:r w:rsidRPr="00D337FA">
              <w:rPr>
                <w:sz w:val="20"/>
                <w:szCs w:val="20"/>
              </w:rPr>
              <w:t>5%</w:t>
            </w:r>
            <w:r w:rsidR="006C680D" w:rsidRPr="00D337FA">
              <w:rPr>
                <w:sz w:val="20"/>
                <w:szCs w:val="20"/>
              </w:rPr>
              <w:t xml:space="preserve"> </w:t>
            </w:r>
            <w:r w:rsidRPr="00D337FA">
              <w:rPr>
                <w:sz w:val="20"/>
                <w:szCs w:val="20"/>
              </w:rPr>
              <w:t>годовых).</w:t>
            </w:r>
          </w:p>
        </w:tc>
      </w:tr>
      <w:tr w:rsidR="00D337FA" w:rsidRPr="00D337FA" w:rsidTr="004325C9">
        <w:trPr>
          <w:trHeight w:val="529"/>
        </w:trPr>
        <w:tc>
          <w:tcPr>
            <w:tcW w:w="2376" w:type="dxa"/>
          </w:tcPr>
          <w:p w:rsidR="00544DD6" w:rsidRPr="00D337FA" w:rsidRDefault="00544DD6" w:rsidP="00544DD6">
            <w:pPr>
              <w:ind w:firstLine="0"/>
              <w:rPr>
                <w:sz w:val="20"/>
                <w:szCs w:val="20"/>
              </w:rPr>
            </w:pPr>
            <w:r w:rsidRPr="00D337FA">
              <w:rPr>
                <w:sz w:val="20"/>
                <w:szCs w:val="20"/>
              </w:rPr>
              <w:t>Субсидии</w:t>
            </w:r>
            <w:r w:rsidR="006C680D" w:rsidRPr="00D337FA">
              <w:rPr>
                <w:sz w:val="20"/>
                <w:szCs w:val="20"/>
              </w:rPr>
              <w:t xml:space="preserve"> </w:t>
            </w:r>
            <w:r w:rsidRPr="00D337FA">
              <w:rPr>
                <w:sz w:val="20"/>
                <w:szCs w:val="20"/>
              </w:rPr>
              <w:t>(компенсирующие</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стимулирующие)</w:t>
            </w:r>
          </w:p>
        </w:tc>
        <w:tc>
          <w:tcPr>
            <w:tcW w:w="7513" w:type="dxa"/>
          </w:tcPr>
          <w:p w:rsidR="00544DD6" w:rsidRPr="00D337FA" w:rsidRDefault="00544DD6" w:rsidP="00544DD6">
            <w:pPr>
              <w:ind w:firstLine="0"/>
              <w:rPr>
                <w:sz w:val="20"/>
                <w:szCs w:val="20"/>
              </w:rPr>
            </w:pPr>
            <w:r w:rsidRPr="00D337FA">
              <w:rPr>
                <w:sz w:val="20"/>
                <w:szCs w:val="20"/>
              </w:rPr>
              <w:t>Прямые</w:t>
            </w:r>
            <w:r w:rsidR="006C680D" w:rsidRPr="00D337FA">
              <w:rPr>
                <w:sz w:val="20"/>
                <w:szCs w:val="20"/>
              </w:rPr>
              <w:t xml:space="preserve"> </w:t>
            </w:r>
            <w:r w:rsidRPr="00D337FA">
              <w:rPr>
                <w:sz w:val="20"/>
                <w:szCs w:val="20"/>
              </w:rPr>
              <w:t>выплаты</w:t>
            </w:r>
            <w:r w:rsidR="006C680D" w:rsidRPr="00D337FA">
              <w:rPr>
                <w:sz w:val="20"/>
                <w:szCs w:val="20"/>
              </w:rPr>
              <w:t xml:space="preserve"> </w:t>
            </w:r>
            <w:r w:rsidRPr="00D337FA">
              <w:rPr>
                <w:sz w:val="20"/>
                <w:szCs w:val="20"/>
              </w:rPr>
              <w:t>из</w:t>
            </w:r>
            <w:r w:rsidR="006C680D" w:rsidRPr="00D337FA">
              <w:rPr>
                <w:sz w:val="20"/>
                <w:szCs w:val="20"/>
              </w:rPr>
              <w:t xml:space="preserve"> </w:t>
            </w:r>
            <w:r w:rsidRPr="00D337FA">
              <w:rPr>
                <w:sz w:val="20"/>
                <w:szCs w:val="20"/>
              </w:rPr>
              <w:t>бюджета</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возмещения</w:t>
            </w:r>
            <w:r w:rsidR="006C680D" w:rsidRPr="00D337FA">
              <w:rPr>
                <w:sz w:val="20"/>
                <w:szCs w:val="20"/>
              </w:rPr>
              <w:t xml:space="preserve"> </w:t>
            </w:r>
            <w:r w:rsidRPr="00D337FA">
              <w:rPr>
                <w:sz w:val="20"/>
                <w:szCs w:val="20"/>
              </w:rPr>
              <w:t>части</w:t>
            </w:r>
            <w:r w:rsidR="006C680D" w:rsidRPr="00D337FA">
              <w:rPr>
                <w:sz w:val="20"/>
                <w:szCs w:val="20"/>
              </w:rPr>
              <w:t xml:space="preserve"> </w:t>
            </w:r>
            <w:r w:rsidRPr="00D337FA">
              <w:rPr>
                <w:sz w:val="20"/>
                <w:szCs w:val="20"/>
              </w:rPr>
              <w:t>затрат:</w:t>
            </w:r>
          </w:p>
          <w:p w:rsidR="00544DD6" w:rsidRPr="00D337FA" w:rsidRDefault="00544DD6" w:rsidP="00544DD6">
            <w:pPr>
              <w:ind w:firstLine="0"/>
              <w:rPr>
                <w:sz w:val="20"/>
                <w:szCs w:val="20"/>
              </w:rPr>
            </w:pPr>
            <w:r w:rsidRPr="00D337FA">
              <w:rPr>
                <w:sz w:val="20"/>
                <w:szCs w:val="20"/>
              </w:rPr>
              <w:t>Компенсирующие:</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1</w:t>
            </w:r>
            <w:r w:rsidR="006C680D" w:rsidRPr="00D337FA">
              <w:rPr>
                <w:sz w:val="20"/>
                <w:szCs w:val="20"/>
              </w:rPr>
              <w:t xml:space="preserve"> </w:t>
            </w:r>
            <w:r w:rsidRPr="00D337FA">
              <w:rPr>
                <w:sz w:val="20"/>
                <w:szCs w:val="20"/>
              </w:rPr>
              <w:t>кг</w:t>
            </w:r>
            <w:r w:rsidR="006C680D" w:rsidRPr="00D337FA">
              <w:rPr>
                <w:sz w:val="20"/>
                <w:szCs w:val="20"/>
              </w:rPr>
              <w:t xml:space="preserve"> </w:t>
            </w:r>
            <w:r w:rsidRPr="00D337FA">
              <w:rPr>
                <w:sz w:val="20"/>
                <w:szCs w:val="20"/>
              </w:rPr>
              <w:t>произведенной</w:t>
            </w:r>
            <w:r w:rsidR="006C680D" w:rsidRPr="00D337FA">
              <w:rPr>
                <w:sz w:val="20"/>
                <w:szCs w:val="20"/>
              </w:rPr>
              <w:t xml:space="preserve"> </w:t>
            </w:r>
            <w:r w:rsidRPr="00D337FA">
              <w:rPr>
                <w:sz w:val="20"/>
                <w:szCs w:val="20"/>
              </w:rPr>
              <w:t>продукции</w:t>
            </w:r>
            <w:r w:rsidR="006C680D" w:rsidRPr="00D337FA">
              <w:rPr>
                <w:sz w:val="20"/>
                <w:szCs w:val="20"/>
              </w:rPr>
              <w:t xml:space="preserve"> </w:t>
            </w:r>
            <w:r w:rsidRPr="00D337FA">
              <w:rPr>
                <w:sz w:val="20"/>
                <w:szCs w:val="20"/>
              </w:rPr>
              <w:t>(например,</w:t>
            </w:r>
            <w:r w:rsidR="006C680D" w:rsidRPr="00D337FA">
              <w:rPr>
                <w:sz w:val="20"/>
                <w:szCs w:val="20"/>
              </w:rPr>
              <w:t xml:space="preserve"> </w:t>
            </w:r>
            <w:r w:rsidRPr="00D337FA">
              <w:rPr>
                <w:sz w:val="20"/>
                <w:szCs w:val="20"/>
              </w:rPr>
              <w:t>молока)</w:t>
            </w:r>
            <w:r w:rsidR="006C680D" w:rsidRPr="00D337FA">
              <w:rPr>
                <w:sz w:val="20"/>
                <w:szCs w:val="20"/>
              </w:rPr>
              <w:t xml:space="preserve"> </w:t>
            </w:r>
            <w:r w:rsidRPr="00D337FA">
              <w:rPr>
                <w:sz w:val="20"/>
                <w:szCs w:val="20"/>
              </w:rPr>
              <w:t>или</w:t>
            </w:r>
            <w:r w:rsidR="006C680D" w:rsidRPr="00D337FA">
              <w:rPr>
                <w:sz w:val="20"/>
                <w:szCs w:val="20"/>
              </w:rPr>
              <w:t xml:space="preserve"> </w:t>
            </w:r>
            <w:r w:rsidRPr="00D337FA">
              <w:rPr>
                <w:sz w:val="20"/>
                <w:szCs w:val="20"/>
              </w:rPr>
              <w:t>1</w:t>
            </w:r>
            <w:r w:rsidR="006C680D" w:rsidRPr="00D337FA">
              <w:rPr>
                <w:sz w:val="20"/>
                <w:szCs w:val="20"/>
              </w:rPr>
              <w:t xml:space="preserve"> </w:t>
            </w:r>
            <w:r w:rsidRPr="00D337FA">
              <w:rPr>
                <w:sz w:val="20"/>
                <w:szCs w:val="20"/>
              </w:rPr>
              <w:t>га</w:t>
            </w:r>
            <w:r w:rsidR="006C680D" w:rsidRPr="00D337FA">
              <w:rPr>
                <w:sz w:val="20"/>
                <w:szCs w:val="20"/>
              </w:rPr>
              <w:t xml:space="preserve"> </w:t>
            </w:r>
            <w:r w:rsidRPr="00D337FA">
              <w:rPr>
                <w:sz w:val="20"/>
                <w:szCs w:val="20"/>
              </w:rPr>
              <w:t>посевной</w:t>
            </w:r>
            <w:r w:rsidR="006C680D" w:rsidRPr="00D337FA">
              <w:rPr>
                <w:sz w:val="20"/>
                <w:szCs w:val="20"/>
              </w:rPr>
              <w:t xml:space="preserve"> </w:t>
            </w:r>
            <w:r w:rsidRPr="00D337FA">
              <w:rPr>
                <w:sz w:val="20"/>
                <w:szCs w:val="20"/>
              </w:rPr>
              <w:t>площади.</w:t>
            </w:r>
            <w:r w:rsidR="006C680D" w:rsidRPr="00D337FA">
              <w:rPr>
                <w:sz w:val="20"/>
                <w:szCs w:val="20"/>
              </w:rPr>
              <w:t xml:space="preserve"> </w:t>
            </w:r>
          </w:p>
          <w:p w:rsidR="00544DD6" w:rsidRPr="00D337FA" w:rsidRDefault="00544DD6" w:rsidP="00544DD6">
            <w:pPr>
              <w:ind w:firstLine="0"/>
              <w:rPr>
                <w:sz w:val="20"/>
                <w:szCs w:val="20"/>
              </w:rPr>
            </w:pPr>
            <w:r w:rsidRPr="00D337FA">
              <w:rPr>
                <w:sz w:val="20"/>
                <w:szCs w:val="20"/>
              </w:rPr>
              <w:t>Стимулирующие:</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приоритетных</w:t>
            </w:r>
            <w:r w:rsidR="006C680D" w:rsidRPr="00D337FA">
              <w:rPr>
                <w:sz w:val="20"/>
                <w:szCs w:val="20"/>
              </w:rPr>
              <w:t xml:space="preserve"> </w:t>
            </w:r>
            <w:r w:rsidRPr="00D337FA">
              <w:rPr>
                <w:sz w:val="20"/>
                <w:szCs w:val="20"/>
              </w:rPr>
              <w:t>отраслей</w:t>
            </w:r>
            <w:r w:rsidR="006C680D" w:rsidRPr="00D337FA">
              <w:rPr>
                <w:sz w:val="20"/>
                <w:szCs w:val="20"/>
              </w:rPr>
              <w:t xml:space="preserve"> </w:t>
            </w:r>
            <w:r w:rsidRPr="00D337FA">
              <w:rPr>
                <w:sz w:val="20"/>
                <w:szCs w:val="20"/>
              </w:rPr>
              <w:t>(например,</w:t>
            </w:r>
            <w:r w:rsidR="006C680D" w:rsidRPr="00D337FA">
              <w:rPr>
                <w:sz w:val="20"/>
                <w:szCs w:val="20"/>
              </w:rPr>
              <w:t xml:space="preserve"> </w:t>
            </w:r>
            <w:r w:rsidRPr="00D337FA">
              <w:rPr>
                <w:sz w:val="20"/>
                <w:szCs w:val="20"/>
              </w:rPr>
              <w:t>семеноводство,</w:t>
            </w:r>
            <w:r w:rsidR="006C680D" w:rsidRPr="00D337FA">
              <w:rPr>
                <w:sz w:val="20"/>
                <w:szCs w:val="20"/>
              </w:rPr>
              <w:t xml:space="preserve"> </w:t>
            </w:r>
            <w:r w:rsidRPr="00D337FA">
              <w:rPr>
                <w:sz w:val="20"/>
                <w:szCs w:val="20"/>
              </w:rPr>
              <w:t>племенное</w:t>
            </w:r>
            <w:r w:rsidR="006C680D" w:rsidRPr="00D337FA">
              <w:rPr>
                <w:sz w:val="20"/>
                <w:szCs w:val="20"/>
              </w:rPr>
              <w:t xml:space="preserve"> </w:t>
            </w:r>
            <w:r w:rsidRPr="00D337FA">
              <w:rPr>
                <w:sz w:val="20"/>
                <w:szCs w:val="20"/>
              </w:rPr>
              <w:t>животноводство).</w:t>
            </w:r>
          </w:p>
        </w:tc>
      </w:tr>
      <w:tr w:rsidR="00D337FA" w:rsidRPr="00D337FA" w:rsidTr="00544DD6">
        <w:trPr>
          <w:trHeight w:val="393"/>
        </w:trPr>
        <w:tc>
          <w:tcPr>
            <w:tcW w:w="2376" w:type="dxa"/>
          </w:tcPr>
          <w:p w:rsidR="00544DD6" w:rsidRPr="00D337FA" w:rsidRDefault="00544DD6" w:rsidP="00544DD6">
            <w:pPr>
              <w:ind w:firstLine="0"/>
              <w:rPr>
                <w:sz w:val="20"/>
                <w:szCs w:val="20"/>
              </w:rPr>
            </w:pPr>
            <w:r w:rsidRPr="00D337FA">
              <w:rPr>
                <w:sz w:val="20"/>
                <w:szCs w:val="20"/>
              </w:rPr>
              <w:t>Компенсация</w:t>
            </w:r>
            <w:r w:rsidR="006C680D" w:rsidRPr="00D337FA">
              <w:rPr>
                <w:sz w:val="20"/>
                <w:szCs w:val="20"/>
              </w:rPr>
              <w:t xml:space="preserve"> </w:t>
            </w:r>
            <w:r w:rsidRPr="00D337FA">
              <w:rPr>
                <w:sz w:val="20"/>
                <w:szCs w:val="20"/>
              </w:rPr>
              <w:t>прямых</w:t>
            </w:r>
            <w:r w:rsidR="006C680D" w:rsidRPr="00D337FA">
              <w:rPr>
                <w:sz w:val="20"/>
                <w:szCs w:val="20"/>
              </w:rPr>
              <w:t xml:space="preserve"> </w:t>
            </w:r>
            <w:r w:rsidRPr="00D337FA">
              <w:rPr>
                <w:sz w:val="20"/>
                <w:szCs w:val="20"/>
              </w:rPr>
              <w:t>понесенных</w:t>
            </w:r>
            <w:r w:rsidR="006C680D" w:rsidRPr="00D337FA">
              <w:rPr>
                <w:sz w:val="20"/>
                <w:szCs w:val="20"/>
              </w:rPr>
              <w:t xml:space="preserve"> </w:t>
            </w:r>
            <w:r w:rsidRPr="00D337FA">
              <w:rPr>
                <w:sz w:val="20"/>
                <w:szCs w:val="20"/>
              </w:rPr>
              <w:t>затрат</w:t>
            </w:r>
          </w:p>
        </w:tc>
        <w:tc>
          <w:tcPr>
            <w:tcW w:w="7513" w:type="dxa"/>
          </w:tcPr>
          <w:p w:rsidR="00544DD6" w:rsidRPr="00D337FA" w:rsidRDefault="00544DD6" w:rsidP="00544DD6">
            <w:pPr>
              <w:ind w:firstLine="0"/>
              <w:rPr>
                <w:sz w:val="20"/>
                <w:szCs w:val="20"/>
              </w:rPr>
            </w:pPr>
            <w:r w:rsidRPr="00D337FA">
              <w:rPr>
                <w:sz w:val="20"/>
                <w:szCs w:val="20"/>
              </w:rPr>
              <w:t>Возмещение</w:t>
            </w:r>
            <w:r w:rsidR="006C680D" w:rsidRPr="00D337FA">
              <w:rPr>
                <w:sz w:val="20"/>
                <w:szCs w:val="20"/>
              </w:rPr>
              <w:t xml:space="preserve"> </w:t>
            </w:r>
            <w:r w:rsidRPr="00D337FA">
              <w:rPr>
                <w:sz w:val="20"/>
                <w:szCs w:val="20"/>
              </w:rPr>
              <w:t>части</w:t>
            </w:r>
            <w:r w:rsidR="006C680D" w:rsidRPr="00D337FA">
              <w:rPr>
                <w:sz w:val="20"/>
                <w:szCs w:val="20"/>
              </w:rPr>
              <w:t xml:space="preserve"> </w:t>
            </w:r>
            <w:r w:rsidRPr="00D337FA">
              <w:rPr>
                <w:sz w:val="20"/>
                <w:szCs w:val="20"/>
              </w:rPr>
              <w:t>от</w:t>
            </w:r>
            <w:r w:rsidR="006C680D" w:rsidRPr="00D337FA">
              <w:rPr>
                <w:sz w:val="20"/>
                <w:szCs w:val="20"/>
              </w:rPr>
              <w:t xml:space="preserve"> </w:t>
            </w:r>
            <w:r w:rsidRPr="00D337FA">
              <w:rPr>
                <w:sz w:val="20"/>
                <w:szCs w:val="20"/>
              </w:rPr>
              <w:t>20</w:t>
            </w:r>
            <w:r w:rsidR="006C680D" w:rsidRPr="00D337FA">
              <w:rPr>
                <w:sz w:val="20"/>
                <w:szCs w:val="20"/>
              </w:rPr>
              <w:t xml:space="preserve"> </w:t>
            </w:r>
            <w:r w:rsidRPr="00D337FA">
              <w:rPr>
                <w:sz w:val="20"/>
                <w:szCs w:val="20"/>
              </w:rPr>
              <w:t>до</w:t>
            </w:r>
            <w:r w:rsidR="006C680D" w:rsidRPr="00D337FA">
              <w:rPr>
                <w:sz w:val="20"/>
                <w:szCs w:val="20"/>
              </w:rPr>
              <w:t xml:space="preserve"> </w:t>
            </w:r>
            <w:r w:rsidRPr="00D337FA">
              <w:rPr>
                <w:sz w:val="20"/>
                <w:szCs w:val="20"/>
              </w:rPr>
              <w:t>50%</w:t>
            </w:r>
            <w:r w:rsidR="006C680D" w:rsidRPr="00D337FA">
              <w:rPr>
                <w:sz w:val="20"/>
                <w:szCs w:val="20"/>
              </w:rPr>
              <w:t xml:space="preserve"> </w:t>
            </w:r>
            <w:r w:rsidRPr="00D337FA">
              <w:rPr>
                <w:sz w:val="20"/>
                <w:szCs w:val="20"/>
              </w:rPr>
              <w:t>затрат</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строительство</w:t>
            </w:r>
            <w:r w:rsidR="006C680D" w:rsidRPr="00D337FA">
              <w:rPr>
                <w:sz w:val="20"/>
                <w:szCs w:val="20"/>
              </w:rPr>
              <w:t xml:space="preserve"> </w:t>
            </w:r>
            <w:r w:rsidRPr="00D337FA">
              <w:rPr>
                <w:sz w:val="20"/>
                <w:szCs w:val="20"/>
              </w:rPr>
              <w:t>или</w:t>
            </w:r>
            <w:r w:rsidR="006C680D" w:rsidRPr="00D337FA">
              <w:rPr>
                <w:sz w:val="20"/>
                <w:szCs w:val="20"/>
              </w:rPr>
              <w:t xml:space="preserve"> </w:t>
            </w:r>
            <w:r w:rsidRPr="00D337FA">
              <w:rPr>
                <w:sz w:val="20"/>
                <w:szCs w:val="20"/>
              </w:rPr>
              <w:t>модернизацию</w:t>
            </w:r>
            <w:r w:rsidR="006C680D" w:rsidRPr="00D337FA">
              <w:rPr>
                <w:sz w:val="20"/>
                <w:szCs w:val="20"/>
              </w:rPr>
              <w:t xml:space="preserve"> </w:t>
            </w:r>
            <w:r w:rsidRPr="00D337FA">
              <w:rPr>
                <w:sz w:val="20"/>
                <w:szCs w:val="20"/>
              </w:rPr>
              <w:t>объектов</w:t>
            </w:r>
            <w:r w:rsidR="006C680D" w:rsidRPr="00D337FA">
              <w:rPr>
                <w:sz w:val="20"/>
                <w:szCs w:val="20"/>
              </w:rPr>
              <w:t xml:space="preserve"> </w:t>
            </w:r>
            <w:r w:rsidRPr="00D337FA">
              <w:rPr>
                <w:sz w:val="20"/>
                <w:szCs w:val="20"/>
              </w:rPr>
              <w:t>АПК:</w:t>
            </w:r>
            <w:r w:rsidR="006C680D" w:rsidRPr="00D337FA">
              <w:rPr>
                <w:sz w:val="20"/>
                <w:szCs w:val="20"/>
              </w:rPr>
              <w:t xml:space="preserve"> </w:t>
            </w:r>
            <w:r w:rsidRPr="00D337FA">
              <w:rPr>
                <w:sz w:val="20"/>
                <w:szCs w:val="20"/>
              </w:rPr>
              <w:t>молочных</w:t>
            </w:r>
            <w:r w:rsidR="006C680D" w:rsidRPr="00D337FA">
              <w:rPr>
                <w:sz w:val="20"/>
                <w:szCs w:val="20"/>
              </w:rPr>
              <w:t xml:space="preserve"> </w:t>
            </w:r>
            <w:r w:rsidRPr="00D337FA">
              <w:rPr>
                <w:sz w:val="20"/>
                <w:szCs w:val="20"/>
              </w:rPr>
              <w:t>ферм,</w:t>
            </w:r>
            <w:r w:rsidR="006C680D" w:rsidRPr="00D337FA">
              <w:rPr>
                <w:sz w:val="20"/>
                <w:szCs w:val="20"/>
              </w:rPr>
              <w:t xml:space="preserve"> </w:t>
            </w:r>
            <w:r w:rsidRPr="00D337FA">
              <w:rPr>
                <w:sz w:val="20"/>
                <w:szCs w:val="20"/>
              </w:rPr>
              <w:t>теплиц,</w:t>
            </w:r>
            <w:r w:rsidR="006C680D" w:rsidRPr="00D337FA">
              <w:rPr>
                <w:sz w:val="20"/>
                <w:szCs w:val="20"/>
              </w:rPr>
              <w:t xml:space="preserve"> </w:t>
            </w:r>
            <w:r w:rsidRPr="00D337FA">
              <w:rPr>
                <w:sz w:val="20"/>
                <w:szCs w:val="20"/>
              </w:rPr>
              <w:t>селекционных</w:t>
            </w:r>
            <w:r w:rsidR="006C680D" w:rsidRPr="00D337FA">
              <w:rPr>
                <w:sz w:val="20"/>
                <w:szCs w:val="20"/>
              </w:rPr>
              <w:t xml:space="preserve"> </w:t>
            </w:r>
            <w:r w:rsidRPr="00D337FA">
              <w:rPr>
                <w:sz w:val="20"/>
                <w:szCs w:val="20"/>
              </w:rPr>
              <w:t>центров,</w:t>
            </w:r>
            <w:r w:rsidR="006C680D" w:rsidRPr="00D337FA">
              <w:rPr>
                <w:sz w:val="20"/>
                <w:szCs w:val="20"/>
              </w:rPr>
              <w:t xml:space="preserve"> </w:t>
            </w:r>
            <w:r w:rsidRPr="00D337FA">
              <w:rPr>
                <w:sz w:val="20"/>
                <w:szCs w:val="20"/>
              </w:rPr>
              <w:t>хранилищ.</w:t>
            </w:r>
          </w:p>
        </w:tc>
      </w:tr>
      <w:tr w:rsidR="00D337FA" w:rsidRPr="00D337FA" w:rsidTr="00544DD6">
        <w:trPr>
          <w:trHeight w:val="429"/>
        </w:trPr>
        <w:tc>
          <w:tcPr>
            <w:tcW w:w="2376" w:type="dxa"/>
          </w:tcPr>
          <w:p w:rsidR="00544DD6" w:rsidRPr="00D337FA" w:rsidRDefault="00544DD6" w:rsidP="00544DD6">
            <w:pPr>
              <w:ind w:firstLine="0"/>
              <w:rPr>
                <w:sz w:val="20"/>
                <w:szCs w:val="20"/>
              </w:rPr>
            </w:pPr>
            <w:r w:rsidRPr="00D337FA">
              <w:rPr>
                <w:sz w:val="20"/>
                <w:szCs w:val="20"/>
              </w:rPr>
              <w:t>Гранты</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малых</w:t>
            </w:r>
            <w:r w:rsidR="006C680D" w:rsidRPr="00D337FA">
              <w:rPr>
                <w:sz w:val="20"/>
                <w:szCs w:val="20"/>
              </w:rPr>
              <w:t xml:space="preserve"> </w:t>
            </w:r>
            <w:r w:rsidRPr="00D337FA">
              <w:rPr>
                <w:sz w:val="20"/>
                <w:szCs w:val="20"/>
              </w:rPr>
              <w:t>ферм</w:t>
            </w:r>
          </w:p>
        </w:tc>
        <w:tc>
          <w:tcPr>
            <w:tcW w:w="7513" w:type="dxa"/>
          </w:tcPr>
          <w:p w:rsidR="00544DD6" w:rsidRPr="00D337FA" w:rsidRDefault="00544DD6" w:rsidP="00544DD6">
            <w:pPr>
              <w:ind w:firstLine="0"/>
              <w:rPr>
                <w:sz w:val="20"/>
                <w:szCs w:val="20"/>
              </w:rPr>
            </w:pPr>
            <w:r w:rsidRPr="00D337FA">
              <w:rPr>
                <w:sz w:val="20"/>
                <w:szCs w:val="20"/>
              </w:rPr>
              <w:t>Финансовая</w:t>
            </w:r>
            <w:r w:rsidR="006C680D" w:rsidRPr="00D337FA">
              <w:rPr>
                <w:sz w:val="20"/>
                <w:szCs w:val="20"/>
              </w:rPr>
              <w:t xml:space="preserve"> </w:t>
            </w:r>
            <w:r w:rsidRPr="00D337FA">
              <w:rPr>
                <w:sz w:val="20"/>
                <w:szCs w:val="20"/>
              </w:rPr>
              <w:t>поддержка</w:t>
            </w:r>
            <w:r w:rsidR="006C680D" w:rsidRPr="00D337FA">
              <w:rPr>
                <w:sz w:val="20"/>
                <w:szCs w:val="20"/>
              </w:rPr>
              <w:t xml:space="preserve"> </w:t>
            </w:r>
            <w:r w:rsidRPr="00D337FA">
              <w:rPr>
                <w:sz w:val="20"/>
                <w:szCs w:val="20"/>
              </w:rPr>
              <w:t>начинающих</w:t>
            </w:r>
            <w:r w:rsidR="006C680D" w:rsidRPr="00D337FA">
              <w:rPr>
                <w:sz w:val="20"/>
                <w:szCs w:val="20"/>
              </w:rPr>
              <w:t xml:space="preserve"> </w:t>
            </w:r>
            <w:r w:rsidRPr="00D337FA">
              <w:rPr>
                <w:sz w:val="20"/>
                <w:szCs w:val="20"/>
              </w:rPr>
              <w:t>фермеров</w:t>
            </w:r>
            <w:r w:rsidR="006C680D" w:rsidRPr="00D337FA">
              <w:rPr>
                <w:sz w:val="20"/>
                <w:szCs w:val="20"/>
              </w:rPr>
              <w:t xml:space="preserve"> </w:t>
            </w:r>
            <w:r w:rsidRPr="00D337FA">
              <w:rPr>
                <w:sz w:val="20"/>
                <w:szCs w:val="20"/>
              </w:rPr>
              <w:t>(«Агростартап»),</w:t>
            </w:r>
            <w:r w:rsidR="006C680D" w:rsidRPr="00D337FA">
              <w:rPr>
                <w:sz w:val="20"/>
                <w:szCs w:val="20"/>
              </w:rPr>
              <w:t xml:space="preserve"> </w:t>
            </w:r>
            <w:r w:rsidRPr="00D337FA">
              <w:rPr>
                <w:sz w:val="20"/>
                <w:szCs w:val="20"/>
              </w:rPr>
              <w:t>семейных</w:t>
            </w:r>
            <w:r w:rsidR="006C680D" w:rsidRPr="00D337FA">
              <w:rPr>
                <w:sz w:val="20"/>
                <w:szCs w:val="20"/>
              </w:rPr>
              <w:t xml:space="preserve"> </w:t>
            </w:r>
            <w:r w:rsidRPr="00D337FA">
              <w:rPr>
                <w:sz w:val="20"/>
                <w:szCs w:val="20"/>
              </w:rPr>
              <w:t>ферм</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сельскохозяйственных</w:t>
            </w:r>
            <w:r w:rsidR="006C680D" w:rsidRPr="00D337FA">
              <w:rPr>
                <w:sz w:val="20"/>
                <w:szCs w:val="20"/>
              </w:rPr>
              <w:t xml:space="preserve"> </w:t>
            </w:r>
            <w:r w:rsidRPr="00D337FA">
              <w:rPr>
                <w:sz w:val="20"/>
                <w:szCs w:val="20"/>
              </w:rPr>
              <w:t>кооперативов.</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выделяются</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конкурсной</w:t>
            </w:r>
            <w:r w:rsidR="006C680D" w:rsidRPr="00D337FA">
              <w:rPr>
                <w:sz w:val="20"/>
                <w:szCs w:val="20"/>
              </w:rPr>
              <w:t xml:space="preserve"> </w:t>
            </w:r>
            <w:r w:rsidRPr="00D337FA">
              <w:rPr>
                <w:sz w:val="20"/>
                <w:szCs w:val="20"/>
              </w:rPr>
              <w:t>основе.</w:t>
            </w:r>
          </w:p>
        </w:tc>
      </w:tr>
      <w:tr w:rsidR="00D337FA" w:rsidRPr="00D337FA" w:rsidTr="00544DD6">
        <w:trPr>
          <w:trHeight w:val="451"/>
        </w:trPr>
        <w:tc>
          <w:tcPr>
            <w:tcW w:w="2376" w:type="dxa"/>
          </w:tcPr>
          <w:p w:rsidR="00544DD6" w:rsidRPr="00D337FA" w:rsidRDefault="00544DD6" w:rsidP="00544DD6">
            <w:pPr>
              <w:ind w:firstLine="0"/>
              <w:rPr>
                <w:sz w:val="20"/>
                <w:szCs w:val="20"/>
              </w:rPr>
            </w:pPr>
            <w:r w:rsidRPr="00D337FA">
              <w:rPr>
                <w:sz w:val="20"/>
                <w:szCs w:val="20"/>
              </w:rPr>
              <w:t>Региональные</w:t>
            </w:r>
            <w:r w:rsidR="006C680D" w:rsidRPr="00D337FA">
              <w:rPr>
                <w:sz w:val="20"/>
                <w:szCs w:val="20"/>
              </w:rPr>
              <w:t xml:space="preserve"> </w:t>
            </w:r>
            <w:r w:rsidRPr="00D337FA">
              <w:rPr>
                <w:sz w:val="20"/>
                <w:szCs w:val="20"/>
              </w:rPr>
              <w:t>меры</w:t>
            </w:r>
          </w:p>
        </w:tc>
        <w:tc>
          <w:tcPr>
            <w:tcW w:w="7513" w:type="dxa"/>
          </w:tcPr>
          <w:p w:rsidR="00544DD6" w:rsidRPr="00D337FA" w:rsidRDefault="00544DD6" w:rsidP="00544DD6">
            <w:pPr>
              <w:ind w:firstLine="0"/>
              <w:rPr>
                <w:sz w:val="20"/>
                <w:szCs w:val="20"/>
              </w:rPr>
            </w:pPr>
            <w:r w:rsidRPr="00D337FA">
              <w:rPr>
                <w:sz w:val="20"/>
                <w:szCs w:val="20"/>
              </w:rPr>
              <w:t>Дополнительные</w:t>
            </w:r>
            <w:r w:rsidR="006C680D" w:rsidRPr="00D337FA">
              <w:rPr>
                <w:sz w:val="20"/>
                <w:szCs w:val="20"/>
              </w:rPr>
              <w:t xml:space="preserve"> </w:t>
            </w:r>
            <w:r w:rsidRPr="00D337FA">
              <w:rPr>
                <w:sz w:val="20"/>
                <w:szCs w:val="20"/>
              </w:rPr>
              <w:t>субсидии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программы,</w:t>
            </w:r>
            <w:r w:rsidR="006C680D" w:rsidRPr="00D337FA">
              <w:rPr>
                <w:sz w:val="20"/>
                <w:szCs w:val="20"/>
              </w:rPr>
              <w:t xml:space="preserve"> </w:t>
            </w:r>
            <w:r w:rsidRPr="00D337FA">
              <w:rPr>
                <w:sz w:val="20"/>
                <w:szCs w:val="20"/>
              </w:rPr>
              <w:t>финансируемые</w:t>
            </w:r>
            <w:r w:rsidR="006C680D" w:rsidRPr="00D337FA">
              <w:rPr>
                <w:sz w:val="20"/>
                <w:szCs w:val="20"/>
              </w:rPr>
              <w:t xml:space="preserve"> </w:t>
            </w:r>
            <w:r w:rsidRPr="00D337FA">
              <w:rPr>
                <w:sz w:val="20"/>
                <w:szCs w:val="20"/>
              </w:rPr>
              <w:t>из</w:t>
            </w:r>
            <w:r w:rsidR="006C680D" w:rsidRPr="00D337FA">
              <w:rPr>
                <w:sz w:val="20"/>
                <w:szCs w:val="20"/>
              </w:rPr>
              <w:t xml:space="preserve"> </w:t>
            </w:r>
            <w:r w:rsidRPr="00D337FA">
              <w:rPr>
                <w:sz w:val="20"/>
                <w:szCs w:val="20"/>
              </w:rPr>
              <w:t>бюджетов</w:t>
            </w:r>
            <w:r w:rsidR="006C680D" w:rsidRPr="00D337FA">
              <w:rPr>
                <w:sz w:val="20"/>
                <w:szCs w:val="20"/>
              </w:rPr>
              <w:t xml:space="preserve"> </w:t>
            </w:r>
            <w:r w:rsidRPr="00D337FA">
              <w:rPr>
                <w:sz w:val="20"/>
                <w:szCs w:val="20"/>
              </w:rPr>
              <w:t>субъектов</w:t>
            </w:r>
            <w:r w:rsidR="006C680D" w:rsidRPr="00D337FA">
              <w:rPr>
                <w:sz w:val="20"/>
                <w:szCs w:val="20"/>
              </w:rPr>
              <w:t xml:space="preserve"> </w:t>
            </w:r>
            <w:r w:rsidRPr="00D337FA">
              <w:rPr>
                <w:sz w:val="20"/>
                <w:szCs w:val="20"/>
              </w:rPr>
              <w:t>РФ.</w:t>
            </w:r>
            <w:r w:rsidR="006C680D" w:rsidRPr="00D337FA">
              <w:rPr>
                <w:sz w:val="20"/>
                <w:szCs w:val="20"/>
              </w:rPr>
              <w:t xml:space="preserve"> </w:t>
            </w:r>
            <w:r w:rsidRPr="00D337FA">
              <w:rPr>
                <w:sz w:val="20"/>
                <w:szCs w:val="20"/>
              </w:rPr>
              <w:t>Условия</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размеры</w:t>
            </w:r>
            <w:r w:rsidR="006C680D" w:rsidRPr="00D337FA">
              <w:rPr>
                <w:sz w:val="20"/>
                <w:szCs w:val="20"/>
              </w:rPr>
              <w:t xml:space="preserve"> </w:t>
            </w:r>
            <w:r w:rsidRPr="00D337FA">
              <w:rPr>
                <w:sz w:val="20"/>
                <w:szCs w:val="20"/>
              </w:rPr>
              <w:t>поддержки</w:t>
            </w:r>
            <w:r w:rsidR="006C680D" w:rsidRPr="00D337FA">
              <w:rPr>
                <w:sz w:val="20"/>
                <w:szCs w:val="20"/>
              </w:rPr>
              <w:t xml:space="preserve"> </w:t>
            </w:r>
            <w:r w:rsidRPr="00D337FA">
              <w:rPr>
                <w:sz w:val="20"/>
                <w:szCs w:val="20"/>
              </w:rPr>
              <w:t>сильно</w:t>
            </w:r>
            <w:r w:rsidR="006C680D" w:rsidRPr="00D337FA">
              <w:rPr>
                <w:sz w:val="20"/>
                <w:szCs w:val="20"/>
              </w:rPr>
              <w:t xml:space="preserve"> </w:t>
            </w:r>
            <w:r w:rsidRPr="00D337FA">
              <w:rPr>
                <w:sz w:val="20"/>
                <w:szCs w:val="20"/>
              </w:rPr>
              <w:t>различаются</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зависимости</w:t>
            </w:r>
            <w:r w:rsidR="006C680D" w:rsidRPr="00D337FA">
              <w:rPr>
                <w:sz w:val="20"/>
                <w:szCs w:val="20"/>
              </w:rPr>
              <w:t xml:space="preserve"> </w:t>
            </w:r>
            <w:r w:rsidRPr="00D337FA">
              <w:rPr>
                <w:sz w:val="20"/>
                <w:szCs w:val="20"/>
              </w:rPr>
              <w:t>от</w:t>
            </w:r>
            <w:r w:rsidR="006C680D" w:rsidRPr="00D337FA">
              <w:rPr>
                <w:sz w:val="20"/>
                <w:szCs w:val="20"/>
              </w:rPr>
              <w:t xml:space="preserve"> </w:t>
            </w:r>
            <w:r w:rsidRPr="00D337FA">
              <w:rPr>
                <w:sz w:val="20"/>
                <w:szCs w:val="20"/>
              </w:rPr>
              <w:t>региона.</w:t>
            </w:r>
          </w:p>
        </w:tc>
      </w:tr>
      <w:tr w:rsidR="00D337FA" w:rsidRPr="00D337FA" w:rsidTr="004325C9">
        <w:trPr>
          <w:trHeight w:val="529"/>
        </w:trPr>
        <w:tc>
          <w:tcPr>
            <w:tcW w:w="2376" w:type="dxa"/>
          </w:tcPr>
          <w:p w:rsidR="00544DD6" w:rsidRPr="00D337FA" w:rsidRDefault="00544DD6" w:rsidP="00544DD6">
            <w:pPr>
              <w:ind w:firstLine="0"/>
              <w:rPr>
                <w:sz w:val="20"/>
                <w:szCs w:val="20"/>
              </w:rPr>
            </w:pPr>
            <w:r w:rsidRPr="00D337FA">
              <w:rPr>
                <w:sz w:val="20"/>
                <w:szCs w:val="20"/>
              </w:rPr>
              <w:t>Госпрограмма</w:t>
            </w:r>
            <w:r w:rsidR="006C680D" w:rsidRPr="00D337FA">
              <w:rPr>
                <w:sz w:val="20"/>
                <w:szCs w:val="20"/>
              </w:rPr>
              <w:t xml:space="preserve"> </w:t>
            </w:r>
            <w:r w:rsidRPr="00D337FA">
              <w:rPr>
                <w:sz w:val="20"/>
                <w:szCs w:val="20"/>
              </w:rPr>
              <w:t>«Комплексное</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сельских</w:t>
            </w:r>
            <w:r w:rsidR="006C680D" w:rsidRPr="00D337FA">
              <w:rPr>
                <w:sz w:val="20"/>
                <w:szCs w:val="20"/>
              </w:rPr>
              <w:t xml:space="preserve"> </w:t>
            </w:r>
            <w:r w:rsidRPr="00D337FA">
              <w:rPr>
                <w:sz w:val="20"/>
                <w:szCs w:val="20"/>
              </w:rPr>
              <w:t>территорий»</w:t>
            </w:r>
          </w:p>
        </w:tc>
        <w:tc>
          <w:tcPr>
            <w:tcW w:w="7513" w:type="dxa"/>
          </w:tcPr>
          <w:p w:rsidR="00544DD6" w:rsidRPr="00D337FA" w:rsidRDefault="00544DD6" w:rsidP="00544DD6">
            <w:pPr>
              <w:ind w:firstLine="0"/>
              <w:rPr>
                <w:sz w:val="20"/>
                <w:szCs w:val="20"/>
              </w:rPr>
            </w:pPr>
            <w:r w:rsidRPr="00D337FA">
              <w:rPr>
                <w:sz w:val="20"/>
                <w:szCs w:val="20"/>
              </w:rPr>
              <w:t>Отдельная</w:t>
            </w:r>
            <w:r w:rsidR="006C680D" w:rsidRPr="00D337FA">
              <w:rPr>
                <w:sz w:val="20"/>
                <w:szCs w:val="20"/>
              </w:rPr>
              <w:t xml:space="preserve"> </w:t>
            </w:r>
            <w:r w:rsidRPr="00D337FA">
              <w:rPr>
                <w:sz w:val="20"/>
                <w:szCs w:val="20"/>
              </w:rPr>
              <w:t>крупная</w:t>
            </w:r>
            <w:r w:rsidR="006C680D" w:rsidRPr="00D337FA">
              <w:rPr>
                <w:sz w:val="20"/>
                <w:szCs w:val="20"/>
              </w:rPr>
              <w:t xml:space="preserve"> </w:t>
            </w:r>
            <w:r w:rsidRPr="00D337FA">
              <w:rPr>
                <w:sz w:val="20"/>
                <w:szCs w:val="20"/>
              </w:rPr>
              <w:t>программа,</w:t>
            </w:r>
            <w:r w:rsidR="006C680D" w:rsidRPr="00D337FA">
              <w:rPr>
                <w:sz w:val="20"/>
                <w:szCs w:val="20"/>
              </w:rPr>
              <w:t xml:space="preserve"> </w:t>
            </w:r>
            <w:r w:rsidRPr="00D337FA">
              <w:rPr>
                <w:sz w:val="20"/>
                <w:szCs w:val="20"/>
              </w:rPr>
              <w:t>направленная</w:t>
            </w:r>
            <w:r w:rsidR="006C680D" w:rsidRPr="00D337FA">
              <w:rPr>
                <w:sz w:val="20"/>
                <w:szCs w:val="20"/>
              </w:rPr>
              <w:t xml:space="preserve"> </w:t>
            </w:r>
            <w:r w:rsidRPr="00D337FA">
              <w:rPr>
                <w:sz w:val="20"/>
                <w:szCs w:val="20"/>
              </w:rPr>
              <w:t>не</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производство,</w:t>
            </w:r>
            <w:r w:rsidR="006C680D" w:rsidRPr="00D337FA">
              <w:rPr>
                <w:sz w:val="20"/>
                <w:szCs w:val="20"/>
              </w:rPr>
              <w:t xml:space="preserve"> </w:t>
            </w:r>
            <w:r w:rsidRPr="00D337FA">
              <w:rPr>
                <w:sz w:val="20"/>
                <w:szCs w:val="20"/>
              </w:rPr>
              <w:t>а</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улучшение</w:t>
            </w:r>
            <w:r w:rsidR="006C680D" w:rsidRPr="00D337FA">
              <w:rPr>
                <w:sz w:val="20"/>
                <w:szCs w:val="20"/>
              </w:rPr>
              <w:t xml:space="preserve"> </w:t>
            </w:r>
            <w:r w:rsidRPr="00D337FA">
              <w:rPr>
                <w:sz w:val="20"/>
                <w:szCs w:val="20"/>
              </w:rPr>
              <w:t>качества</w:t>
            </w:r>
            <w:r w:rsidR="006C680D" w:rsidRPr="00D337FA">
              <w:rPr>
                <w:sz w:val="20"/>
                <w:szCs w:val="20"/>
              </w:rPr>
              <w:t xml:space="preserve"> </w:t>
            </w:r>
            <w:r w:rsidRPr="00D337FA">
              <w:rPr>
                <w:sz w:val="20"/>
                <w:szCs w:val="20"/>
              </w:rPr>
              <w:t>жизни</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селе:</w:t>
            </w:r>
            <w:r w:rsidR="006C680D" w:rsidRPr="00D337FA">
              <w:rPr>
                <w:sz w:val="20"/>
                <w:szCs w:val="20"/>
              </w:rPr>
              <w:t xml:space="preserve"> </w:t>
            </w:r>
            <w:r w:rsidRPr="00D337FA">
              <w:rPr>
                <w:sz w:val="20"/>
                <w:szCs w:val="20"/>
              </w:rPr>
              <w:t>строительство</w:t>
            </w:r>
            <w:r w:rsidR="006C680D" w:rsidRPr="00D337FA">
              <w:rPr>
                <w:sz w:val="20"/>
                <w:szCs w:val="20"/>
              </w:rPr>
              <w:t xml:space="preserve"> </w:t>
            </w:r>
            <w:r w:rsidRPr="00D337FA">
              <w:rPr>
                <w:sz w:val="20"/>
                <w:szCs w:val="20"/>
              </w:rPr>
              <w:t>жилья</w:t>
            </w:r>
            <w:r w:rsidR="006C680D" w:rsidRPr="00D337FA">
              <w:rPr>
                <w:sz w:val="20"/>
                <w:szCs w:val="20"/>
              </w:rPr>
              <w:t xml:space="preserve"> </w:t>
            </w:r>
            <w:r w:rsidRPr="00D337FA">
              <w:rPr>
                <w:sz w:val="20"/>
                <w:szCs w:val="20"/>
              </w:rPr>
              <w:t>(сельская</w:t>
            </w:r>
            <w:r w:rsidR="006C680D" w:rsidRPr="00D337FA">
              <w:rPr>
                <w:sz w:val="20"/>
                <w:szCs w:val="20"/>
              </w:rPr>
              <w:t xml:space="preserve"> </w:t>
            </w:r>
            <w:r w:rsidRPr="00D337FA">
              <w:rPr>
                <w:sz w:val="20"/>
                <w:szCs w:val="20"/>
              </w:rPr>
              <w:t>ипотека),</w:t>
            </w:r>
            <w:r w:rsidR="006C680D" w:rsidRPr="00D337FA">
              <w:rPr>
                <w:sz w:val="20"/>
                <w:szCs w:val="20"/>
              </w:rPr>
              <w:t xml:space="preserve"> </w:t>
            </w:r>
            <w:r w:rsidRPr="00D337FA">
              <w:rPr>
                <w:sz w:val="20"/>
                <w:szCs w:val="20"/>
              </w:rPr>
              <w:t>дорог,</w:t>
            </w:r>
            <w:r w:rsidR="006C680D" w:rsidRPr="00D337FA">
              <w:rPr>
                <w:sz w:val="20"/>
                <w:szCs w:val="20"/>
              </w:rPr>
              <w:t xml:space="preserve"> </w:t>
            </w:r>
            <w:r w:rsidRPr="00D337FA">
              <w:rPr>
                <w:sz w:val="20"/>
                <w:szCs w:val="20"/>
              </w:rPr>
              <w:t>школ,</w:t>
            </w:r>
            <w:r w:rsidR="006C680D" w:rsidRPr="00D337FA">
              <w:rPr>
                <w:sz w:val="20"/>
                <w:szCs w:val="20"/>
              </w:rPr>
              <w:t xml:space="preserve"> </w:t>
            </w:r>
            <w:r w:rsidRPr="00D337FA">
              <w:rPr>
                <w:sz w:val="20"/>
                <w:szCs w:val="20"/>
              </w:rPr>
              <w:t>ФАПов.</w:t>
            </w:r>
          </w:p>
        </w:tc>
      </w:tr>
    </w:tbl>
    <w:p w:rsidR="008932D6" w:rsidRPr="00D337FA" w:rsidRDefault="00544DD6" w:rsidP="00544DD6">
      <w:pPr>
        <w:ind w:firstLine="0"/>
        <w:jc w:val="left"/>
        <w:rPr>
          <w:sz w:val="20"/>
          <w:szCs w:val="28"/>
        </w:rPr>
      </w:pPr>
      <w:r w:rsidRPr="00D337FA">
        <w:rPr>
          <w:sz w:val="20"/>
          <w:szCs w:val="28"/>
        </w:rPr>
        <w:t>Источник:</w:t>
      </w:r>
      <w:r w:rsidR="006C680D" w:rsidRPr="00D337FA">
        <w:rPr>
          <w:sz w:val="20"/>
          <w:szCs w:val="28"/>
        </w:rPr>
        <w:t xml:space="preserve"> </w:t>
      </w:r>
      <w:r w:rsidRPr="00D337FA">
        <w:rPr>
          <w:sz w:val="20"/>
          <w:szCs w:val="28"/>
        </w:rPr>
        <w:t>Составлено</w:t>
      </w:r>
      <w:r w:rsidR="006C680D" w:rsidRPr="00D337FA">
        <w:rPr>
          <w:sz w:val="20"/>
          <w:szCs w:val="28"/>
        </w:rPr>
        <w:t xml:space="preserve"> </w:t>
      </w:r>
      <w:r w:rsidRPr="00D337FA">
        <w:rPr>
          <w:sz w:val="20"/>
          <w:szCs w:val="28"/>
        </w:rPr>
        <w:t>авторами</w:t>
      </w:r>
      <w:r w:rsidR="006C680D" w:rsidRPr="00D337FA">
        <w:rPr>
          <w:sz w:val="20"/>
          <w:szCs w:val="28"/>
        </w:rPr>
        <w:t xml:space="preserve"> </w:t>
      </w:r>
      <w:r w:rsidRPr="00D337FA">
        <w:rPr>
          <w:sz w:val="20"/>
          <w:szCs w:val="28"/>
        </w:rPr>
        <w:t>по</w:t>
      </w:r>
      <w:r w:rsidR="006C680D" w:rsidRPr="00D337FA">
        <w:rPr>
          <w:sz w:val="20"/>
          <w:szCs w:val="28"/>
        </w:rPr>
        <w:t xml:space="preserve"> </w:t>
      </w:r>
      <w:r w:rsidRPr="00D337FA">
        <w:rPr>
          <w:sz w:val="20"/>
          <w:szCs w:val="28"/>
        </w:rPr>
        <w:t>данным</w:t>
      </w:r>
      <w:r w:rsidR="006C680D" w:rsidRPr="00D337FA">
        <w:rPr>
          <w:sz w:val="20"/>
          <w:szCs w:val="28"/>
        </w:rPr>
        <w:t xml:space="preserve"> </w:t>
      </w:r>
      <w:r w:rsidRPr="00D337FA">
        <w:rPr>
          <w:sz w:val="20"/>
          <w:szCs w:val="28"/>
        </w:rPr>
        <w:t>Минсельхоз</w:t>
      </w:r>
      <w:r w:rsidR="006C680D" w:rsidRPr="00D337FA">
        <w:rPr>
          <w:sz w:val="20"/>
          <w:szCs w:val="28"/>
        </w:rPr>
        <w:t xml:space="preserve"> </w:t>
      </w:r>
      <w:r w:rsidRPr="00D337FA">
        <w:rPr>
          <w:sz w:val="20"/>
          <w:szCs w:val="28"/>
        </w:rPr>
        <w:t>России</w:t>
      </w:r>
    </w:p>
    <w:p w:rsidR="00544DD6" w:rsidRPr="00D337FA" w:rsidRDefault="00544DD6" w:rsidP="00544DD6">
      <w:pPr>
        <w:ind w:firstLine="0"/>
        <w:jc w:val="left"/>
        <w:rPr>
          <w:b/>
          <w:szCs w:val="24"/>
          <w:highlight w:val="yellow"/>
        </w:rPr>
      </w:pPr>
    </w:p>
    <w:p w:rsidR="008932D6" w:rsidRPr="00D337FA" w:rsidRDefault="008932D6" w:rsidP="008932D6">
      <w:pPr>
        <w:ind w:firstLine="851"/>
        <w:rPr>
          <w:sz w:val="28"/>
          <w:szCs w:val="28"/>
        </w:rPr>
        <w:sectPr w:rsidR="008932D6" w:rsidRPr="00D337FA" w:rsidSect="00E61989">
          <w:footnotePr>
            <w:numRestart w:val="eachPage"/>
          </w:footnotePr>
          <w:type w:val="continuous"/>
          <w:pgSz w:w="11907" w:h="16840" w:code="9"/>
          <w:pgMar w:top="1418" w:right="1134" w:bottom="1418" w:left="1134" w:header="1021" w:footer="1021" w:gutter="0"/>
          <w:cols w:space="708"/>
          <w:docGrid w:linePitch="360"/>
        </w:sectPr>
      </w:pPr>
    </w:p>
    <w:p w:rsidR="00544DD6" w:rsidRPr="00D337FA" w:rsidRDefault="00544DD6" w:rsidP="00544DD6">
      <w:pPr>
        <w:ind w:firstLine="284"/>
        <w:rPr>
          <w:szCs w:val="24"/>
        </w:rPr>
      </w:pPr>
      <w:r w:rsidRPr="00D337FA">
        <w:rPr>
          <w:szCs w:val="24"/>
        </w:rPr>
        <w:lastRenderedPageBreak/>
        <w:t>Важно</w:t>
      </w:r>
      <w:r w:rsidR="006C680D" w:rsidRPr="00D337FA">
        <w:rPr>
          <w:szCs w:val="24"/>
        </w:rPr>
        <w:t xml:space="preserve"> </w:t>
      </w:r>
      <w:r w:rsidRPr="00D337FA">
        <w:rPr>
          <w:szCs w:val="24"/>
        </w:rPr>
        <w:t>отметить</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что</w:t>
      </w:r>
      <w:r w:rsidR="006C680D" w:rsidRPr="00D337FA">
        <w:rPr>
          <w:szCs w:val="24"/>
        </w:rPr>
        <w:t xml:space="preserve"> </w:t>
      </w:r>
      <w:r w:rsidRPr="00D337FA">
        <w:rPr>
          <w:szCs w:val="24"/>
        </w:rPr>
        <w:t>в</w:t>
      </w:r>
      <w:r w:rsidR="006C680D" w:rsidRPr="00D337FA">
        <w:rPr>
          <w:szCs w:val="24"/>
        </w:rPr>
        <w:t xml:space="preserve"> </w:t>
      </w:r>
      <w:r w:rsidRPr="00D337FA">
        <w:rPr>
          <w:szCs w:val="24"/>
        </w:rPr>
        <w:t>отличии</w:t>
      </w:r>
      <w:r w:rsidR="006C680D" w:rsidRPr="00D337FA">
        <w:rPr>
          <w:szCs w:val="24"/>
        </w:rPr>
        <w:t xml:space="preserve"> </w:t>
      </w:r>
      <w:r w:rsidRPr="00D337FA">
        <w:rPr>
          <w:szCs w:val="24"/>
        </w:rPr>
        <w:t>от</w:t>
      </w:r>
      <w:r w:rsidR="006C680D" w:rsidRPr="00D337FA">
        <w:rPr>
          <w:szCs w:val="24"/>
        </w:rPr>
        <w:t xml:space="preserve"> </w:t>
      </w:r>
      <w:r w:rsidRPr="00D337FA">
        <w:rPr>
          <w:szCs w:val="24"/>
        </w:rPr>
        <w:t>прямых</w:t>
      </w:r>
      <w:r w:rsidR="006C680D" w:rsidRPr="00D337FA">
        <w:rPr>
          <w:szCs w:val="24"/>
        </w:rPr>
        <w:t xml:space="preserve"> </w:t>
      </w:r>
      <w:r w:rsidRPr="00D337FA">
        <w:rPr>
          <w:szCs w:val="24"/>
        </w:rPr>
        <w:t>субсидий,</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направлять</w:t>
      </w:r>
      <w:r w:rsidR="006C680D" w:rsidRPr="00D337FA">
        <w:rPr>
          <w:szCs w:val="24"/>
        </w:rPr>
        <w:t xml:space="preserve"> </w:t>
      </w:r>
      <w:r w:rsidRPr="00D337FA">
        <w:rPr>
          <w:szCs w:val="24"/>
        </w:rPr>
        <w:t>государство</w:t>
      </w:r>
      <w:r w:rsidR="006C680D" w:rsidRPr="00D337FA">
        <w:rPr>
          <w:szCs w:val="24"/>
        </w:rPr>
        <w:t xml:space="preserve"> </w:t>
      </w:r>
      <w:r w:rsidRPr="00D337FA">
        <w:rPr>
          <w:szCs w:val="24"/>
        </w:rPr>
        <w:t>на</w:t>
      </w:r>
      <w:r w:rsidR="006C680D" w:rsidRPr="00D337FA">
        <w:rPr>
          <w:szCs w:val="24"/>
        </w:rPr>
        <w:t xml:space="preserve"> </w:t>
      </w:r>
      <w:r w:rsidRPr="00D337FA">
        <w:rPr>
          <w:szCs w:val="24"/>
        </w:rPr>
        <w:t>конкретную</w:t>
      </w:r>
      <w:r w:rsidR="006C680D" w:rsidRPr="00D337FA">
        <w:rPr>
          <w:szCs w:val="24"/>
        </w:rPr>
        <w:t xml:space="preserve"> </w:t>
      </w:r>
      <w:r w:rsidRPr="00D337FA">
        <w:rPr>
          <w:szCs w:val="24"/>
        </w:rPr>
        <w:t>сферу</w:t>
      </w:r>
      <w:r w:rsidR="006C680D" w:rsidRPr="00D337FA">
        <w:rPr>
          <w:szCs w:val="24"/>
        </w:rPr>
        <w:t xml:space="preserve"> </w:t>
      </w:r>
      <w:r w:rsidRPr="00D337FA">
        <w:rPr>
          <w:szCs w:val="24"/>
        </w:rPr>
        <w:t>самостоятельно,</w:t>
      </w:r>
      <w:r w:rsidR="006C680D" w:rsidRPr="00D337FA">
        <w:rPr>
          <w:szCs w:val="24"/>
        </w:rPr>
        <w:t xml:space="preserve"> </w:t>
      </w:r>
      <w:r w:rsidRPr="00D337FA">
        <w:rPr>
          <w:szCs w:val="24"/>
        </w:rPr>
        <w:t>грантовая</w:t>
      </w:r>
      <w:r w:rsidR="006C680D" w:rsidRPr="00D337FA">
        <w:rPr>
          <w:szCs w:val="24"/>
        </w:rPr>
        <w:t xml:space="preserve"> </w:t>
      </w:r>
      <w:r w:rsidRPr="00D337FA">
        <w:rPr>
          <w:szCs w:val="24"/>
        </w:rPr>
        <w:t>поддержка</w:t>
      </w:r>
      <w:r w:rsidR="006C680D" w:rsidRPr="00D337FA">
        <w:rPr>
          <w:szCs w:val="24"/>
        </w:rPr>
        <w:t xml:space="preserve"> </w:t>
      </w:r>
      <w:r w:rsidRPr="00D337FA">
        <w:rPr>
          <w:szCs w:val="24"/>
        </w:rPr>
        <w:t>подразумевает</w:t>
      </w:r>
      <w:r w:rsidR="006C680D" w:rsidRPr="00D337FA">
        <w:rPr>
          <w:szCs w:val="24"/>
        </w:rPr>
        <w:t xml:space="preserve"> </w:t>
      </w:r>
      <w:r w:rsidRPr="00D337FA">
        <w:rPr>
          <w:szCs w:val="24"/>
        </w:rPr>
        <w:t>отбор</w:t>
      </w:r>
      <w:r w:rsidR="006C680D" w:rsidRPr="00D337FA">
        <w:rPr>
          <w:szCs w:val="24"/>
        </w:rPr>
        <w:t xml:space="preserve"> </w:t>
      </w:r>
      <w:r w:rsidRPr="00D337FA">
        <w:rPr>
          <w:szCs w:val="24"/>
        </w:rPr>
        <w:t>проектов,</w:t>
      </w:r>
      <w:r w:rsidR="006C680D" w:rsidRPr="00D337FA">
        <w:rPr>
          <w:szCs w:val="24"/>
        </w:rPr>
        <w:t xml:space="preserve"> </w:t>
      </w:r>
      <w:r w:rsidRPr="00D337FA">
        <w:rPr>
          <w:szCs w:val="24"/>
        </w:rPr>
        <w:t>исходя</w:t>
      </w:r>
      <w:r w:rsidR="006C680D" w:rsidRPr="00D337FA">
        <w:rPr>
          <w:szCs w:val="24"/>
        </w:rPr>
        <w:t xml:space="preserve"> </w:t>
      </w:r>
      <w:r w:rsidRPr="00D337FA">
        <w:rPr>
          <w:szCs w:val="24"/>
        </w:rPr>
        <w:t>из</w:t>
      </w:r>
      <w:r w:rsidR="006C680D" w:rsidRPr="00D337FA">
        <w:rPr>
          <w:szCs w:val="24"/>
        </w:rPr>
        <w:t xml:space="preserve"> </w:t>
      </w:r>
      <w:r w:rsidRPr="00D337FA">
        <w:rPr>
          <w:szCs w:val="24"/>
        </w:rPr>
        <w:t>их</w:t>
      </w:r>
      <w:r w:rsidR="006C680D" w:rsidRPr="00D337FA">
        <w:rPr>
          <w:szCs w:val="24"/>
        </w:rPr>
        <w:t xml:space="preserve"> </w:t>
      </w:r>
      <w:r w:rsidRPr="00D337FA">
        <w:rPr>
          <w:szCs w:val="24"/>
        </w:rPr>
        <w:t>наибольшего</w:t>
      </w:r>
      <w:r w:rsidR="006C680D" w:rsidRPr="00D337FA">
        <w:rPr>
          <w:szCs w:val="24"/>
        </w:rPr>
        <w:t xml:space="preserve"> </w:t>
      </w:r>
      <w:r w:rsidRPr="00D337FA">
        <w:rPr>
          <w:szCs w:val="24"/>
        </w:rPr>
        <w:t>благоприятного</w:t>
      </w:r>
      <w:r w:rsidR="006C680D" w:rsidRPr="00D337FA">
        <w:rPr>
          <w:szCs w:val="24"/>
        </w:rPr>
        <w:t xml:space="preserve"> </w:t>
      </w:r>
      <w:r w:rsidRPr="00D337FA">
        <w:rPr>
          <w:szCs w:val="24"/>
        </w:rPr>
        <w:t>социально-экономического</w:t>
      </w:r>
      <w:r w:rsidR="006C680D" w:rsidRPr="00D337FA">
        <w:rPr>
          <w:szCs w:val="24"/>
        </w:rPr>
        <w:t xml:space="preserve"> </w:t>
      </w:r>
      <w:r w:rsidRPr="00D337FA">
        <w:rPr>
          <w:szCs w:val="24"/>
        </w:rPr>
        <w:t>потенциала,</w:t>
      </w:r>
      <w:r w:rsidR="006C680D" w:rsidRPr="00D337FA">
        <w:rPr>
          <w:szCs w:val="24"/>
        </w:rPr>
        <w:t xml:space="preserve"> </w:t>
      </w:r>
      <w:r w:rsidRPr="00D337FA">
        <w:rPr>
          <w:szCs w:val="24"/>
        </w:rPr>
        <w:t>ин</w:t>
      </w:r>
      <w:r w:rsidR="00F70991">
        <w:rPr>
          <w:szCs w:val="24"/>
        </w:rPr>
        <w:t>н</w:t>
      </w:r>
      <w:r w:rsidRPr="00D337FA">
        <w:rPr>
          <w:szCs w:val="24"/>
        </w:rPr>
        <w:t>овационности</w:t>
      </w:r>
      <w:r w:rsidR="006C680D" w:rsidRPr="00D337FA">
        <w:rPr>
          <w:szCs w:val="24"/>
        </w:rPr>
        <w:t xml:space="preserve"> </w:t>
      </w:r>
      <w:r w:rsidRPr="00D337FA">
        <w:rPr>
          <w:szCs w:val="24"/>
        </w:rPr>
        <w:t>проекта</w:t>
      </w:r>
      <w:r w:rsidR="006C680D" w:rsidRPr="00D337FA">
        <w:rPr>
          <w:szCs w:val="24"/>
        </w:rPr>
        <w:t xml:space="preserve"> </w:t>
      </w:r>
      <w:r w:rsidRPr="00D337FA">
        <w:rPr>
          <w:szCs w:val="24"/>
        </w:rPr>
        <w:t>и</w:t>
      </w:r>
      <w:r w:rsidR="006C680D" w:rsidRPr="00D337FA">
        <w:rPr>
          <w:szCs w:val="24"/>
        </w:rPr>
        <w:t xml:space="preserve"> </w:t>
      </w:r>
      <w:r w:rsidRPr="00D337FA">
        <w:rPr>
          <w:szCs w:val="24"/>
        </w:rPr>
        <w:t>способности</w:t>
      </w:r>
      <w:r w:rsidR="006C680D" w:rsidRPr="00D337FA">
        <w:rPr>
          <w:szCs w:val="24"/>
        </w:rPr>
        <w:t xml:space="preserve"> </w:t>
      </w:r>
      <w:r w:rsidRPr="00D337FA">
        <w:rPr>
          <w:szCs w:val="24"/>
        </w:rPr>
        <w:t>к</w:t>
      </w:r>
      <w:r w:rsidR="006C680D" w:rsidRPr="00D337FA">
        <w:rPr>
          <w:szCs w:val="24"/>
        </w:rPr>
        <w:t xml:space="preserve"> </w:t>
      </w:r>
      <w:r w:rsidRPr="00D337FA">
        <w:rPr>
          <w:szCs w:val="24"/>
        </w:rPr>
        <w:t>его</w:t>
      </w:r>
      <w:r w:rsidR="006C680D" w:rsidRPr="00D337FA">
        <w:rPr>
          <w:szCs w:val="24"/>
        </w:rPr>
        <w:t xml:space="preserve"> </w:t>
      </w:r>
      <w:r w:rsidRPr="00D337FA">
        <w:rPr>
          <w:szCs w:val="24"/>
        </w:rPr>
        <w:t>дальнейшему</w:t>
      </w:r>
      <w:r w:rsidR="006C680D" w:rsidRPr="00D337FA">
        <w:rPr>
          <w:szCs w:val="24"/>
        </w:rPr>
        <w:t xml:space="preserve"> </w:t>
      </w:r>
      <w:r w:rsidRPr="00D337FA">
        <w:rPr>
          <w:szCs w:val="24"/>
        </w:rPr>
        <w:t>самостоятельному</w:t>
      </w:r>
      <w:r w:rsidR="006C680D" w:rsidRPr="00D337FA">
        <w:rPr>
          <w:szCs w:val="24"/>
        </w:rPr>
        <w:t xml:space="preserve"> </w:t>
      </w:r>
      <w:r w:rsidRPr="00D337FA">
        <w:rPr>
          <w:szCs w:val="24"/>
        </w:rPr>
        <w:t>развитию.</w:t>
      </w:r>
      <w:r w:rsidR="006C680D" w:rsidRPr="00D337FA">
        <w:rPr>
          <w:szCs w:val="24"/>
        </w:rPr>
        <w:t xml:space="preserve"> </w:t>
      </w:r>
      <w:r w:rsidRPr="00D337FA">
        <w:rPr>
          <w:szCs w:val="24"/>
        </w:rPr>
        <w:t>В</w:t>
      </w:r>
      <w:r w:rsidR="006C680D" w:rsidRPr="00D337FA">
        <w:rPr>
          <w:szCs w:val="24"/>
        </w:rPr>
        <w:t xml:space="preserve"> </w:t>
      </w:r>
      <w:r w:rsidRPr="00D337FA">
        <w:rPr>
          <w:szCs w:val="24"/>
        </w:rPr>
        <w:t>современных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повсеместной</w:t>
      </w:r>
      <w:r w:rsidR="006C680D" w:rsidRPr="00D337FA">
        <w:rPr>
          <w:szCs w:val="24"/>
        </w:rPr>
        <w:t xml:space="preserve"> </w:t>
      </w:r>
      <w:r w:rsidRPr="00D337FA">
        <w:rPr>
          <w:szCs w:val="24"/>
        </w:rPr>
        <w:t>мировой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агропродовольственных</w:t>
      </w:r>
      <w:r w:rsidR="006C680D" w:rsidRPr="00D337FA">
        <w:rPr>
          <w:szCs w:val="24"/>
        </w:rPr>
        <w:t xml:space="preserve"> </w:t>
      </w:r>
      <w:r w:rsidRPr="00D337FA">
        <w:rPr>
          <w:szCs w:val="24"/>
        </w:rPr>
        <w:t>рынков</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гранты</w:t>
      </w:r>
      <w:r w:rsidR="006C680D" w:rsidRPr="00D337FA">
        <w:rPr>
          <w:szCs w:val="24"/>
        </w:rPr>
        <w:t xml:space="preserve"> </w:t>
      </w:r>
      <w:r w:rsidRPr="00D337FA">
        <w:rPr>
          <w:szCs w:val="24"/>
        </w:rPr>
        <w:t>стали</w:t>
      </w:r>
      <w:r w:rsidR="006C680D" w:rsidRPr="00D337FA">
        <w:rPr>
          <w:szCs w:val="24"/>
        </w:rPr>
        <w:t xml:space="preserve"> </w:t>
      </w:r>
      <w:r w:rsidRPr="00D337FA">
        <w:rPr>
          <w:szCs w:val="24"/>
        </w:rPr>
        <w:t>одним</w:t>
      </w:r>
      <w:r w:rsidR="006C680D" w:rsidRPr="00D337FA">
        <w:rPr>
          <w:szCs w:val="24"/>
        </w:rPr>
        <w:t xml:space="preserve"> </w:t>
      </w:r>
      <w:r w:rsidRPr="00D337FA">
        <w:rPr>
          <w:szCs w:val="24"/>
        </w:rPr>
        <w:t>из</w:t>
      </w:r>
      <w:r w:rsidR="006C680D" w:rsidRPr="00D337FA">
        <w:rPr>
          <w:szCs w:val="24"/>
        </w:rPr>
        <w:t xml:space="preserve"> </w:t>
      </w:r>
      <w:r w:rsidRPr="00D337FA">
        <w:rPr>
          <w:szCs w:val="24"/>
        </w:rPr>
        <w:t>главных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расширения</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для</w:t>
      </w:r>
      <w:r w:rsidR="006C680D" w:rsidRPr="00D337FA">
        <w:rPr>
          <w:szCs w:val="24"/>
        </w:rPr>
        <w:t xml:space="preserve"> </w:t>
      </w:r>
      <w:r w:rsidRPr="00D337FA">
        <w:rPr>
          <w:szCs w:val="24"/>
        </w:rPr>
        <w:t>многих</w:t>
      </w:r>
      <w:r w:rsidR="006C680D" w:rsidRPr="00D337FA">
        <w:rPr>
          <w:szCs w:val="24"/>
        </w:rPr>
        <w:t xml:space="preserve"> </w:t>
      </w:r>
      <w:r w:rsidRPr="00D337FA">
        <w:rPr>
          <w:szCs w:val="24"/>
        </w:rPr>
        <w:t>компаний.</w:t>
      </w:r>
      <w:r w:rsidR="006C680D" w:rsidRPr="00D337FA">
        <w:rPr>
          <w:szCs w:val="24"/>
        </w:rPr>
        <w:t xml:space="preserve"> </w:t>
      </w:r>
      <w:r w:rsidRPr="00D337FA">
        <w:rPr>
          <w:szCs w:val="24"/>
        </w:rPr>
        <w:t>Особое</w:t>
      </w:r>
      <w:r w:rsidR="006C680D" w:rsidRPr="00D337FA">
        <w:rPr>
          <w:szCs w:val="24"/>
        </w:rPr>
        <w:t xml:space="preserve"> </w:t>
      </w:r>
      <w:r w:rsidRPr="00D337FA">
        <w:rPr>
          <w:szCs w:val="24"/>
        </w:rPr>
        <w:t>внимание</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уделяется</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слабозащищённым</w:t>
      </w:r>
      <w:r w:rsidR="006C680D" w:rsidRPr="00D337FA">
        <w:rPr>
          <w:szCs w:val="24"/>
        </w:rPr>
        <w:t xml:space="preserve"> </w:t>
      </w:r>
      <w:r w:rsidRPr="00D337FA">
        <w:rPr>
          <w:szCs w:val="24"/>
        </w:rPr>
        <w:t>формам</w:t>
      </w:r>
      <w:r w:rsidR="006C680D" w:rsidRPr="00D337FA">
        <w:rPr>
          <w:szCs w:val="24"/>
        </w:rPr>
        <w:t xml:space="preserve"> </w:t>
      </w:r>
      <w:r w:rsidRPr="00D337FA">
        <w:rPr>
          <w:szCs w:val="24"/>
        </w:rPr>
        <w:t>–</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и</w:t>
      </w:r>
      <w:r w:rsidR="006C680D" w:rsidRPr="00D337FA">
        <w:rPr>
          <w:szCs w:val="24"/>
        </w:rPr>
        <w:t xml:space="preserve"> </w:t>
      </w:r>
      <w:r w:rsidRPr="00D337FA">
        <w:rPr>
          <w:szCs w:val="24"/>
        </w:rPr>
        <w:t>среднего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часто</w:t>
      </w:r>
      <w:r w:rsidR="006C680D" w:rsidRPr="00D337FA">
        <w:rPr>
          <w:szCs w:val="24"/>
        </w:rPr>
        <w:t xml:space="preserve"> </w:t>
      </w:r>
      <w:r w:rsidRPr="00D337FA">
        <w:rPr>
          <w:szCs w:val="24"/>
        </w:rPr>
        <w:t>не</w:t>
      </w:r>
      <w:r w:rsidR="006C680D" w:rsidRPr="00D337FA">
        <w:rPr>
          <w:szCs w:val="24"/>
        </w:rPr>
        <w:t xml:space="preserve"> </w:t>
      </w:r>
      <w:r w:rsidRPr="00D337FA">
        <w:rPr>
          <w:szCs w:val="24"/>
        </w:rPr>
        <w:t>обладают</w:t>
      </w:r>
      <w:r w:rsidR="006C680D" w:rsidRPr="00D337FA">
        <w:rPr>
          <w:szCs w:val="24"/>
        </w:rPr>
        <w:t xml:space="preserve"> </w:t>
      </w:r>
      <w:r w:rsidRPr="00D337FA">
        <w:rPr>
          <w:szCs w:val="24"/>
        </w:rPr>
        <w:t>достаточными</w:t>
      </w:r>
      <w:r w:rsidR="006C680D" w:rsidRPr="00D337FA">
        <w:rPr>
          <w:szCs w:val="24"/>
        </w:rPr>
        <w:t xml:space="preserve"> </w:t>
      </w:r>
      <w:r w:rsidRPr="00D337FA">
        <w:rPr>
          <w:szCs w:val="24"/>
        </w:rPr>
        <w:t>ресурсами</w:t>
      </w:r>
      <w:r w:rsidR="006C680D" w:rsidRPr="00D337FA">
        <w:rPr>
          <w:szCs w:val="24"/>
        </w:rPr>
        <w:t xml:space="preserve"> </w:t>
      </w:r>
      <w:r w:rsidRPr="00D337FA">
        <w:rPr>
          <w:szCs w:val="24"/>
        </w:rPr>
        <w:t>для</w:t>
      </w:r>
      <w:r w:rsidR="006C680D" w:rsidRPr="00D337FA">
        <w:rPr>
          <w:szCs w:val="24"/>
        </w:rPr>
        <w:t xml:space="preserve"> </w:t>
      </w:r>
      <w:r w:rsidRPr="00D337FA">
        <w:rPr>
          <w:szCs w:val="24"/>
        </w:rPr>
        <w:t>самостоятельного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что</w:t>
      </w:r>
      <w:r w:rsidR="006C680D" w:rsidRPr="00D337FA">
        <w:rPr>
          <w:szCs w:val="24"/>
        </w:rPr>
        <w:t xml:space="preserve"> </w:t>
      </w:r>
      <w:r w:rsidRPr="00D337FA">
        <w:rPr>
          <w:szCs w:val="24"/>
        </w:rPr>
        <w:t>делает</w:t>
      </w:r>
      <w:r w:rsidR="006C680D" w:rsidRPr="00D337FA">
        <w:rPr>
          <w:szCs w:val="24"/>
        </w:rPr>
        <w:t xml:space="preserve"> </w:t>
      </w:r>
      <w:r w:rsidRPr="00D337FA">
        <w:rPr>
          <w:szCs w:val="24"/>
        </w:rPr>
        <w:t>во</w:t>
      </w:r>
      <w:r w:rsidRPr="00D337FA">
        <w:rPr>
          <w:szCs w:val="24"/>
        </w:rPr>
        <w:lastRenderedPageBreak/>
        <w:t>прос</w:t>
      </w:r>
      <w:r w:rsidR="006C680D" w:rsidRPr="00D337FA">
        <w:rPr>
          <w:szCs w:val="24"/>
        </w:rPr>
        <w:t xml:space="preserve"> </w:t>
      </w:r>
      <w:r w:rsidRPr="00D337FA">
        <w:rPr>
          <w:szCs w:val="24"/>
        </w:rPr>
        <w:t>их</w:t>
      </w:r>
      <w:r w:rsidR="006C680D" w:rsidRPr="00D337FA">
        <w:rPr>
          <w:szCs w:val="24"/>
        </w:rPr>
        <w:t xml:space="preserve"> </w:t>
      </w:r>
      <w:r w:rsidRPr="00D337FA">
        <w:rPr>
          <w:szCs w:val="24"/>
        </w:rPr>
        <w:t>приоритетной</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одним</w:t>
      </w:r>
      <w:r w:rsidR="006C680D" w:rsidRPr="00D337FA">
        <w:rPr>
          <w:szCs w:val="24"/>
        </w:rPr>
        <w:t xml:space="preserve"> </w:t>
      </w:r>
      <w:r w:rsidRPr="00D337FA">
        <w:rPr>
          <w:szCs w:val="24"/>
        </w:rPr>
        <w:t>из</w:t>
      </w:r>
      <w:r w:rsidR="006C680D" w:rsidRPr="00D337FA">
        <w:rPr>
          <w:szCs w:val="24"/>
        </w:rPr>
        <w:t xml:space="preserve"> </w:t>
      </w:r>
      <w:r w:rsidRPr="00D337FA">
        <w:rPr>
          <w:szCs w:val="24"/>
        </w:rPr>
        <w:t>центральных</w:t>
      </w:r>
      <w:r w:rsidR="006C680D" w:rsidRPr="00D337FA">
        <w:rPr>
          <w:szCs w:val="24"/>
        </w:rPr>
        <w:t xml:space="preserve"> </w:t>
      </w:r>
      <w:r w:rsidRPr="00D337FA">
        <w:rPr>
          <w:szCs w:val="24"/>
        </w:rPr>
        <w:t>вопросов,</w:t>
      </w:r>
      <w:r w:rsidR="006C680D" w:rsidRPr="00D337FA">
        <w:rPr>
          <w:szCs w:val="24"/>
        </w:rPr>
        <w:t xml:space="preserve"> </w:t>
      </w:r>
      <w:r w:rsidRPr="00D337FA">
        <w:rPr>
          <w:szCs w:val="24"/>
        </w:rPr>
        <w:t>требующим</w:t>
      </w:r>
      <w:r w:rsidR="006C680D" w:rsidRPr="00D337FA">
        <w:rPr>
          <w:szCs w:val="24"/>
        </w:rPr>
        <w:t xml:space="preserve"> </w:t>
      </w:r>
      <w:r w:rsidRPr="00D337FA">
        <w:rPr>
          <w:szCs w:val="24"/>
        </w:rPr>
        <w:t>проработки</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всех</w:t>
      </w:r>
      <w:r w:rsidR="006C680D" w:rsidRPr="00D337FA">
        <w:rPr>
          <w:szCs w:val="24"/>
        </w:rPr>
        <w:t xml:space="preserve"> </w:t>
      </w:r>
      <w:r w:rsidRPr="00D337FA">
        <w:rPr>
          <w:szCs w:val="24"/>
        </w:rPr>
        <w:t>уровнях</w:t>
      </w:r>
      <w:r w:rsidR="006C680D" w:rsidRPr="00D337FA">
        <w:rPr>
          <w:szCs w:val="24"/>
        </w:rPr>
        <w:t xml:space="preserve"> </w:t>
      </w:r>
      <w:r w:rsidRPr="00D337FA">
        <w:rPr>
          <w:szCs w:val="24"/>
        </w:rPr>
        <w:t>[8].</w:t>
      </w:r>
      <w:r w:rsidR="006C680D" w:rsidRPr="00D337FA">
        <w:rPr>
          <w:szCs w:val="24"/>
        </w:rPr>
        <w:t xml:space="preserve">  </w:t>
      </w:r>
    </w:p>
    <w:p w:rsidR="00544DD6" w:rsidRPr="00D337FA" w:rsidRDefault="00544DD6" w:rsidP="00826D3F">
      <w:pPr>
        <w:ind w:firstLine="284"/>
        <w:rPr>
          <w:rFonts w:ascii="Calibri" w:hAnsi="Calibri"/>
          <w:szCs w:val="24"/>
        </w:rPr>
      </w:pPr>
      <w:r w:rsidRPr="00D337FA">
        <w:rPr>
          <w:szCs w:val="24"/>
        </w:rPr>
        <w:t>Государственная</w:t>
      </w:r>
      <w:r w:rsidR="006C680D" w:rsidRPr="00D337FA">
        <w:rPr>
          <w:szCs w:val="24"/>
        </w:rPr>
        <w:t xml:space="preserve"> </w:t>
      </w:r>
      <w:r w:rsidRPr="00D337FA">
        <w:rPr>
          <w:szCs w:val="24"/>
        </w:rPr>
        <w:t>поддержка</w:t>
      </w:r>
      <w:r w:rsidR="006C680D" w:rsidRPr="00D337FA">
        <w:rPr>
          <w:szCs w:val="24"/>
        </w:rPr>
        <w:t xml:space="preserve"> </w:t>
      </w:r>
      <w:r w:rsidRPr="00D337FA">
        <w:rPr>
          <w:szCs w:val="24"/>
        </w:rPr>
        <w:t>в</w:t>
      </w:r>
      <w:r w:rsidR="006C680D" w:rsidRPr="00D337FA">
        <w:rPr>
          <w:szCs w:val="24"/>
        </w:rPr>
        <w:t xml:space="preserve"> </w:t>
      </w:r>
      <w:r w:rsidRPr="00D337FA">
        <w:rPr>
          <w:szCs w:val="24"/>
        </w:rPr>
        <w:t>текущих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важнейшим</w:t>
      </w:r>
      <w:r w:rsidR="006C680D" w:rsidRPr="00D337FA">
        <w:rPr>
          <w:szCs w:val="24"/>
        </w:rPr>
        <w:t xml:space="preserve"> </w:t>
      </w:r>
      <w:r w:rsidRPr="00D337FA">
        <w:rPr>
          <w:szCs w:val="24"/>
        </w:rPr>
        <w:t>инструментом</w:t>
      </w:r>
      <w:r w:rsidR="006C680D" w:rsidRPr="00D337FA">
        <w:rPr>
          <w:szCs w:val="24"/>
        </w:rPr>
        <w:t xml:space="preserve"> </w:t>
      </w:r>
      <w:r w:rsidRPr="00D337FA">
        <w:rPr>
          <w:szCs w:val="24"/>
        </w:rPr>
        <w:t>национальной</w:t>
      </w:r>
      <w:r w:rsidR="006C680D" w:rsidRPr="00D337FA">
        <w:rPr>
          <w:szCs w:val="24"/>
        </w:rPr>
        <w:t xml:space="preserve"> </w:t>
      </w:r>
      <w:r w:rsidRPr="00D337FA">
        <w:rPr>
          <w:szCs w:val="24"/>
        </w:rPr>
        <w:t>аграрной</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направленной</w:t>
      </w:r>
      <w:r w:rsidR="006C680D" w:rsidRPr="00D337FA">
        <w:rPr>
          <w:szCs w:val="24"/>
        </w:rPr>
        <w:t xml:space="preserve"> </w:t>
      </w:r>
      <w:r w:rsidRPr="00D337FA">
        <w:rPr>
          <w:szCs w:val="24"/>
        </w:rPr>
        <w:t>на</w:t>
      </w:r>
      <w:r w:rsidR="006C680D" w:rsidRPr="00D337FA">
        <w:rPr>
          <w:szCs w:val="24"/>
        </w:rPr>
        <w:t xml:space="preserve"> </w:t>
      </w:r>
      <w:r w:rsidRPr="00D337FA">
        <w:rPr>
          <w:szCs w:val="24"/>
        </w:rPr>
        <w:t>обновление</w:t>
      </w:r>
      <w:r w:rsidR="006C680D" w:rsidRPr="00D337FA">
        <w:rPr>
          <w:szCs w:val="24"/>
        </w:rPr>
        <w:t xml:space="preserve"> </w:t>
      </w:r>
      <w:r w:rsidRPr="00D337FA">
        <w:rPr>
          <w:szCs w:val="24"/>
        </w:rPr>
        <w:t>производственного</w:t>
      </w:r>
      <w:r w:rsidR="006C680D" w:rsidRPr="00D337FA">
        <w:rPr>
          <w:szCs w:val="24"/>
        </w:rPr>
        <w:t xml:space="preserve"> </w:t>
      </w:r>
      <w:r w:rsidRPr="00D337FA">
        <w:rPr>
          <w:szCs w:val="24"/>
        </w:rPr>
        <w:t>потенциала,</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человеческого</w:t>
      </w:r>
      <w:r w:rsidR="006C680D" w:rsidRPr="00D337FA">
        <w:rPr>
          <w:szCs w:val="24"/>
        </w:rPr>
        <w:t xml:space="preserve"> </w:t>
      </w:r>
      <w:r w:rsidRPr="00D337FA">
        <w:rPr>
          <w:szCs w:val="24"/>
        </w:rPr>
        <w:t>капитала,</w:t>
      </w:r>
      <w:r w:rsidR="006C680D" w:rsidRPr="00D337FA">
        <w:rPr>
          <w:szCs w:val="24"/>
        </w:rPr>
        <w:t xml:space="preserve"> </w:t>
      </w:r>
      <w:r w:rsidRPr="00D337FA">
        <w:rPr>
          <w:szCs w:val="24"/>
        </w:rPr>
        <w:t>улучшения</w:t>
      </w:r>
      <w:r w:rsidR="006C680D" w:rsidRPr="00D337FA">
        <w:rPr>
          <w:szCs w:val="24"/>
        </w:rPr>
        <w:t xml:space="preserve"> </w:t>
      </w:r>
      <w:r w:rsidRPr="00D337FA">
        <w:rPr>
          <w:szCs w:val="24"/>
        </w:rPr>
        <w:t>уровня</w:t>
      </w:r>
      <w:r w:rsidR="006C680D" w:rsidRPr="00D337FA">
        <w:rPr>
          <w:szCs w:val="24"/>
        </w:rPr>
        <w:t xml:space="preserve"> </w:t>
      </w:r>
      <w:r w:rsidRPr="00D337FA">
        <w:rPr>
          <w:szCs w:val="24"/>
        </w:rPr>
        <w:t>жизни,</w:t>
      </w:r>
      <w:r w:rsidR="006C680D" w:rsidRPr="00D337FA">
        <w:rPr>
          <w:szCs w:val="24"/>
        </w:rPr>
        <w:t xml:space="preserve"> </w:t>
      </w:r>
      <w:r w:rsidRPr="00D337FA">
        <w:rPr>
          <w:szCs w:val="24"/>
        </w:rPr>
        <w:t>устойчивости</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сельских</w:t>
      </w:r>
      <w:r w:rsidR="006C680D" w:rsidRPr="00D337FA">
        <w:rPr>
          <w:szCs w:val="24"/>
        </w:rPr>
        <w:t xml:space="preserve"> </w:t>
      </w:r>
      <w:r w:rsidRPr="00D337FA">
        <w:rPr>
          <w:szCs w:val="24"/>
        </w:rPr>
        <w:t>территорий</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формирования</w:t>
      </w:r>
      <w:r w:rsidR="006C680D" w:rsidRPr="00D337FA">
        <w:rPr>
          <w:szCs w:val="24"/>
        </w:rPr>
        <w:t xml:space="preserve"> </w:t>
      </w:r>
      <w:r w:rsidRPr="00D337FA">
        <w:rPr>
          <w:szCs w:val="24"/>
        </w:rPr>
        <w:t>нового</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инновационного</w:t>
      </w:r>
      <w:r w:rsidR="006C680D" w:rsidRPr="00D337FA">
        <w:rPr>
          <w:szCs w:val="24"/>
        </w:rPr>
        <w:t xml:space="preserve"> </w:t>
      </w:r>
      <w:r w:rsidRPr="00D337FA">
        <w:rPr>
          <w:szCs w:val="24"/>
        </w:rPr>
        <w:t>пространства.</w:t>
      </w:r>
      <w:r w:rsidR="006C680D" w:rsidRPr="00D337FA">
        <w:rPr>
          <w:szCs w:val="24"/>
        </w:rPr>
        <w:t xml:space="preserve"> </w:t>
      </w:r>
      <w:r w:rsidRPr="00D337FA">
        <w:rPr>
          <w:szCs w:val="24"/>
        </w:rPr>
        <w:t>Министерство</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Российской</w:t>
      </w:r>
      <w:r w:rsidR="006C680D" w:rsidRPr="00D337FA">
        <w:rPr>
          <w:szCs w:val="24"/>
        </w:rPr>
        <w:t xml:space="preserve"> </w:t>
      </w:r>
      <w:r w:rsidRPr="00D337FA">
        <w:rPr>
          <w:szCs w:val="24"/>
        </w:rPr>
        <w:t>Федерации</w:t>
      </w:r>
      <w:r w:rsidR="006C680D" w:rsidRPr="00D337FA">
        <w:rPr>
          <w:szCs w:val="24"/>
        </w:rPr>
        <w:t xml:space="preserve"> </w:t>
      </w:r>
      <w:r w:rsidRPr="00D337FA">
        <w:rPr>
          <w:szCs w:val="24"/>
        </w:rPr>
        <w:t>на</w:t>
      </w:r>
      <w:r w:rsidR="006C680D" w:rsidRPr="00D337FA">
        <w:rPr>
          <w:szCs w:val="24"/>
        </w:rPr>
        <w:t xml:space="preserve"> </w:t>
      </w:r>
      <w:r w:rsidRPr="00D337FA">
        <w:rPr>
          <w:szCs w:val="24"/>
        </w:rPr>
        <w:t>2025</w:t>
      </w:r>
      <w:r w:rsidR="006C680D" w:rsidRPr="00D337FA">
        <w:rPr>
          <w:szCs w:val="24"/>
        </w:rPr>
        <w:t xml:space="preserve"> </w:t>
      </w:r>
      <w:r w:rsidRPr="00D337FA">
        <w:rPr>
          <w:szCs w:val="24"/>
        </w:rPr>
        <w:t>год</w:t>
      </w:r>
      <w:r w:rsidR="006C680D" w:rsidRPr="00D337FA">
        <w:rPr>
          <w:szCs w:val="24"/>
        </w:rPr>
        <w:t xml:space="preserve"> </w:t>
      </w:r>
      <w:r w:rsidRPr="00D337FA">
        <w:rPr>
          <w:szCs w:val="24"/>
        </w:rPr>
        <w:t>выделяет</w:t>
      </w:r>
      <w:r w:rsidR="006C680D" w:rsidRPr="00D337FA">
        <w:rPr>
          <w:szCs w:val="24"/>
        </w:rPr>
        <w:t xml:space="preserve"> </w:t>
      </w:r>
      <w:r w:rsidRPr="00D337FA">
        <w:rPr>
          <w:szCs w:val="24"/>
        </w:rPr>
        <w:t>две</w:t>
      </w:r>
      <w:r w:rsidR="006C680D" w:rsidRPr="00D337FA">
        <w:rPr>
          <w:szCs w:val="24"/>
        </w:rPr>
        <w:t xml:space="preserve"> </w:t>
      </w:r>
      <w:r w:rsidRPr="00D337FA">
        <w:rPr>
          <w:szCs w:val="24"/>
        </w:rPr>
        <w:t>основные</w:t>
      </w:r>
      <w:r w:rsidR="006C680D" w:rsidRPr="00D337FA">
        <w:rPr>
          <w:szCs w:val="24"/>
        </w:rPr>
        <w:t xml:space="preserve"> </w:t>
      </w:r>
      <w:r w:rsidRPr="00D337FA">
        <w:rPr>
          <w:szCs w:val="24"/>
        </w:rPr>
        <w:t>категории</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государственные</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и</w:t>
      </w:r>
      <w:r w:rsidR="006C680D" w:rsidRPr="00D337FA">
        <w:rPr>
          <w:szCs w:val="24"/>
        </w:rPr>
        <w:t xml:space="preserve"> </w:t>
      </w:r>
      <w:r w:rsidRPr="00D337FA">
        <w:rPr>
          <w:szCs w:val="24"/>
        </w:rPr>
        <w:t>меры</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В</w:t>
      </w:r>
      <w:r w:rsidR="006C680D" w:rsidRPr="00D337FA">
        <w:rPr>
          <w:szCs w:val="24"/>
        </w:rPr>
        <w:t xml:space="preserve"> </w:t>
      </w:r>
      <w:r w:rsidRPr="00D337FA">
        <w:rPr>
          <w:szCs w:val="24"/>
        </w:rPr>
        <w:t>первой</w:t>
      </w:r>
      <w:r w:rsidR="006C680D" w:rsidRPr="00D337FA">
        <w:rPr>
          <w:szCs w:val="24"/>
        </w:rPr>
        <w:t xml:space="preserve"> </w:t>
      </w:r>
      <w:r w:rsidRPr="00D337FA">
        <w:rPr>
          <w:szCs w:val="24"/>
        </w:rPr>
        <w:t>ка</w:t>
      </w:r>
      <w:r w:rsidRPr="00D337FA">
        <w:rPr>
          <w:szCs w:val="24"/>
        </w:rPr>
        <w:lastRenderedPageBreak/>
        <w:t>тегории</w:t>
      </w:r>
      <w:r w:rsidR="006C680D" w:rsidRPr="00D337FA">
        <w:rPr>
          <w:szCs w:val="24"/>
        </w:rPr>
        <w:t xml:space="preserve"> </w:t>
      </w:r>
      <w:r w:rsidRPr="00D337FA">
        <w:rPr>
          <w:szCs w:val="24"/>
        </w:rPr>
        <w:t>выделяют</w:t>
      </w:r>
      <w:r w:rsidR="006C680D" w:rsidRPr="00D337FA">
        <w:rPr>
          <w:szCs w:val="24"/>
        </w:rPr>
        <w:t xml:space="preserve"> </w:t>
      </w:r>
      <w:r w:rsidRPr="00D337FA">
        <w:rPr>
          <w:szCs w:val="24"/>
        </w:rPr>
        <w:t>следующие</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государственная</w:t>
      </w:r>
      <w:r w:rsidR="006C680D" w:rsidRPr="00D337FA">
        <w:rPr>
          <w:szCs w:val="24"/>
        </w:rPr>
        <w:t xml:space="preserve"> </w:t>
      </w:r>
      <w:r w:rsidRPr="00D337FA">
        <w:rPr>
          <w:szCs w:val="24"/>
        </w:rPr>
        <w:t>программа</w:t>
      </w:r>
      <w:r w:rsidR="006C680D" w:rsidRPr="00D337FA">
        <w:rPr>
          <w:szCs w:val="24"/>
        </w:rPr>
        <w:t xml:space="preserve"> </w:t>
      </w:r>
      <w:r w:rsidRPr="00D337FA">
        <w:rPr>
          <w:szCs w:val="24"/>
        </w:rPr>
        <w:t>РФ</w:t>
      </w:r>
      <w:r w:rsidR="006C680D" w:rsidRPr="00D337FA">
        <w:rPr>
          <w:szCs w:val="24"/>
        </w:rPr>
        <w:t xml:space="preserve"> </w:t>
      </w:r>
      <w:r w:rsidRPr="00D337FA">
        <w:rPr>
          <w:szCs w:val="24"/>
        </w:rPr>
        <w:t>«Комплексное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сельских</w:t>
      </w:r>
      <w:r w:rsidR="006C680D" w:rsidRPr="00D337FA">
        <w:rPr>
          <w:szCs w:val="24"/>
        </w:rPr>
        <w:t xml:space="preserve"> </w:t>
      </w:r>
      <w:r w:rsidRPr="00D337FA">
        <w:rPr>
          <w:szCs w:val="24"/>
        </w:rPr>
        <w:t>территорий»,</w:t>
      </w:r>
      <w:r w:rsidR="006C680D" w:rsidRPr="00D337FA">
        <w:rPr>
          <w:szCs w:val="24"/>
        </w:rPr>
        <w:t xml:space="preserve"> </w:t>
      </w:r>
      <w:r w:rsidRPr="00D337FA">
        <w:rPr>
          <w:szCs w:val="24"/>
        </w:rPr>
        <w:t>государственная</w:t>
      </w:r>
      <w:r w:rsidR="006C680D" w:rsidRPr="00D337FA">
        <w:rPr>
          <w:szCs w:val="24"/>
        </w:rPr>
        <w:t xml:space="preserve"> </w:t>
      </w:r>
      <w:r w:rsidRPr="00D337FA">
        <w:rPr>
          <w:szCs w:val="24"/>
        </w:rPr>
        <w:t>программа</w:t>
      </w:r>
      <w:r w:rsidR="006C680D" w:rsidRPr="00D337FA">
        <w:rPr>
          <w:szCs w:val="24"/>
        </w:rPr>
        <w:t xml:space="preserve"> </w:t>
      </w:r>
      <w:r w:rsidRPr="00D337FA">
        <w:rPr>
          <w:szCs w:val="24"/>
        </w:rPr>
        <w:t>эффективного</w:t>
      </w:r>
      <w:r w:rsidR="006C680D" w:rsidRPr="00D337FA">
        <w:rPr>
          <w:szCs w:val="24"/>
        </w:rPr>
        <w:t xml:space="preserve"> </w:t>
      </w:r>
      <w:r w:rsidRPr="00D337FA">
        <w:rPr>
          <w:szCs w:val="24"/>
        </w:rPr>
        <w:t>вовлечения</w:t>
      </w:r>
      <w:r w:rsidR="006C680D" w:rsidRPr="00D337FA">
        <w:rPr>
          <w:szCs w:val="24"/>
        </w:rPr>
        <w:t xml:space="preserve"> </w:t>
      </w:r>
      <w:r w:rsidRPr="00D337FA">
        <w:rPr>
          <w:szCs w:val="24"/>
        </w:rPr>
        <w:t>в</w:t>
      </w:r>
      <w:r w:rsidR="006C680D" w:rsidRPr="00D337FA">
        <w:rPr>
          <w:szCs w:val="24"/>
        </w:rPr>
        <w:t xml:space="preserve"> </w:t>
      </w:r>
      <w:r w:rsidRPr="00D337FA">
        <w:rPr>
          <w:szCs w:val="24"/>
        </w:rPr>
        <w:t>оборот</w:t>
      </w:r>
      <w:r w:rsidR="006C680D" w:rsidRPr="00D337FA">
        <w:rPr>
          <w:szCs w:val="24"/>
        </w:rPr>
        <w:t xml:space="preserve"> </w:t>
      </w:r>
      <w:r w:rsidRPr="00D337FA">
        <w:rPr>
          <w:szCs w:val="24"/>
        </w:rPr>
        <w:t>земель</w:t>
      </w:r>
      <w:r w:rsidR="006C680D" w:rsidRPr="00D337FA">
        <w:rPr>
          <w:szCs w:val="24"/>
        </w:rPr>
        <w:t xml:space="preserve"> </w:t>
      </w:r>
      <w:r w:rsidRPr="00D337FA">
        <w:rPr>
          <w:szCs w:val="24"/>
        </w:rPr>
        <w:t>сельскохозяйственного</w:t>
      </w:r>
      <w:r w:rsidR="006C680D" w:rsidRPr="00D337FA">
        <w:rPr>
          <w:szCs w:val="24"/>
        </w:rPr>
        <w:t xml:space="preserve"> </w:t>
      </w:r>
      <w:r w:rsidRPr="00D337FA">
        <w:rPr>
          <w:szCs w:val="24"/>
        </w:rPr>
        <w:t>назначения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мелиоративного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РФ,</w:t>
      </w:r>
      <w:r w:rsidR="006C680D" w:rsidRPr="00D337FA">
        <w:rPr>
          <w:szCs w:val="24"/>
        </w:rPr>
        <w:t xml:space="preserve"> </w:t>
      </w:r>
      <w:r w:rsidRPr="00D337FA">
        <w:rPr>
          <w:szCs w:val="24"/>
        </w:rPr>
        <w:t>госпрограмма</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и</w:t>
      </w:r>
      <w:r w:rsidR="006C680D" w:rsidRPr="00D337FA">
        <w:rPr>
          <w:szCs w:val="24"/>
        </w:rPr>
        <w:t xml:space="preserve"> </w:t>
      </w:r>
      <w:r w:rsidRPr="00D337FA">
        <w:rPr>
          <w:szCs w:val="24"/>
        </w:rPr>
        <w:t>рыбохозяйственного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федеральная</w:t>
      </w:r>
      <w:r w:rsidR="006C680D" w:rsidRPr="00D337FA">
        <w:rPr>
          <w:szCs w:val="24"/>
        </w:rPr>
        <w:t xml:space="preserve"> </w:t>
      </w:r>
      <w:r w:rsidRPr="00D337FA">
        <w:rPr>
          <w:szCs w:val="24"/>
        </w:rPr>
        <w:t>научно-техническая</w:t>
      </w:r>
      <w:r w:rsidR="006C680D" w:rsidRPr="00D337FA">
        <w:rPr>
          <w:szCs w:val="24"/>
        </w:rPr>
        <w:t xml:space="preserve"> </w:t>
      </w:r>
      <w:r w:rsidRPr="00D337FA">
        <w:rPr>
          <w:szCs w:val="24"/>
        </w:rPr>
        <w:t>программа</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на</w:t>
      </w:r>
      <w:r w:rsidR="006C680D" w:rsidRPr="00D337FA">
        <w:rPr>
          <w:szCs w:val="24"/>
        </w:rPr>
        <w:t xml:space="preserve"> </w:t>
      </w:r>
      <w:r w:rsidRPr="00D337FA">
        <w:rPr>
          <w:szCs w:val="24"/>
        </w:rPr>
        <w:t>2017-2030</w:t>
      </w:r>
      <w:r w:rsidR="006C680D" w:rsidRPr="00D337FA">
        <w:rPr>
          <w:szCs w:val="24"/>
        </w:rPr>
        <w:t xml:space="preserve"> </w:t>
      </w:r>
      <w:r w:rsidRPr="00D337FA">
        <w:rPr>
          <w:szCs w:val="24"/>
        </w:rPr>
        <w:t>годы.</w:t>
      </w:r>
      <w:r w:rsidR="006C680D" w:rsidRPr="00D337FA">
        <w:rPr>
          <w:szCs w:val="24"/>
        </w:rPr>
        <w:t xml:space="preserve"> </w:t>
      </w:r>
      <w:r w:rsidRPr="00D337FA">
        <w:rPr>
          <w:szCs w:val="24"/>
        </w:rPr>
        <w:t>К</w:t>
      </w:r>
      <w:r w:rsidR="006C680D" w:rsidRPr="00D337FA">
        <w:rPr>
          <w:szCs w:val="24"/>
        </w:rPr>
        <w:t xml:space="preserve"> </w:t>
      </w:r>
      <w:r w:rsidRPr="00D337FA">
        <w:rPr>
          <w:szCs w:val="24"/>
        </w:rPr>
        <w:t>мерам</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w:t>
      </w:r>
      <w:r w:rsidR="006C680D" w:rsidRPr="00D337FA">
        <w:rPr>
          <w:szCs w:val="24"/>
        </w:rPr>
        <w:t xml:space="preserve"> </w:t>
      </w:r>
      <w:r w:rsidRPr="00D337FA">
        <w:rPr>
          <w:szCs w:val="24"/>
        </w:rPr>
        <w:t>свою</w:t>
      </w:r>
      <w:r w:rsidR="006C680D" w:rsidRPr="00D337FA">
        <w:rPr>
          <w:szCs w:val="24"/>
        </w:rPr>
        <w:t xml:space="preserve"> </w:t>
      </w:r>
      <w:r w:rsidRPr="00D337FA">
        <w:rPr>
          <w:szCs w:val="24"/>
        </w:rPr>
        <w:t>очередь</w:t>
      </w:r>
      <w:r w:rsidR="006C680D" w:rsidRPr="00D337FA">
        <w:rPr>
          <w:szCs w:val="24"/>
        </w:rPr>
        <w:t xml:space="preserve"> </w:t>
      </w:r>
      <w:r w:rsidRPr="00D337FA">
        <w:rPr>
          <w:szCs w:val="24"/>
        </w:rPr>
        <w:t>относят</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20</w:t>
      </w:r>
      <w:r w:rsidR="006C680D" w:rsidRPr="00D337FA">
        <w:rPr>
          <w:szCs w:val="24"/>
        </w:rPr>
        <w:t xml:space="preserve"> </w:t>
      </w:r>
      <w:r w:rsidRPr="00D337FA">
        <w:rPr>
          <w:szCs w:val="24"/>
        </w:rPr>
        <w:t>категорий,</w:t>
      </w:r>
      <w:r w:rsidR="006C680D" w:rsidRPr="00D337FA">
        <w:rPr>
          <w:szCs w:val="24"/>
        </w:rPr>
        <w:t xml:space="preserve"> </w:t>
      </w:r>
      <w:r w:rsidRPr="00D337FA">
        <w:rPr>
          <w:szCs w:val="24"/>
        </w:rPr>
        <w:t>некоторые</w:t>
      </w:r>
      <w:r w:rsidR="006C680D" w:rsidRPr="00D337FA">
        <w:rPr>
          <w:szCs w:val="24"/>
        </w:rPr>
        <w:t xml:space="preserve"> </w:t>
      </w:r>
      <w:r w:rsidRPr="00D337FA">
        <w:rPr>
          <w:szCs w:val="24"/>
        </w:rPr>
        <w:t>из</w:t>
      </w:r>
      <w:r w:rsidR="006C680D" w:rsidRPr="00D337FA">
        <w:rPr>
          <w:szCs w:val="24"/>
        </w:rPr>
        <w:t xml:space="preserve"> </w:t>
      </w:r>
      <w:r w:rsidRPr="00D337FA">
        <w:rPr>
          <w:szCs w:val="24"/>
        </w:rPr>
        <w:t>них</w:t>
      </w:r>
      <w:r w:rsidR="006C680D" w:rsidRPr="00D337FA">
        <w:rPr>
          <w:szCs w:val="24"/>
        </w:rPr>
        <w:t xml:space="preserve"> </w:t>
      </w:r>
      <w:r w:rsidRPr="00D337FA">
        <w:rPr>
          <w:szCs w:val="24"/>
        </w:rPr>
        <w:t>–</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льготы,</w:t>
      </w:r>
      <w:r w:rsidR="006C680D" w:rsidRPr="00D337FA">
        <w:rPr>
          <w:szCs w:val="24"/>
        </w:rPr>
        <w:t xml:space="preserve"> </w:t>
      </w:r>
      <w:r w:rsidRPr="00D337FA">
        <w:rPr>
          <w:szCs w:val="24"/>
        </w:rPr>
        <w:t>кредитование,</w:t>
      </w:r>
      <w:r w:rsidR="006C680D" w:rsidRPr="00D337FA">
        <w:rPr>
          <w:szCs w:val="24"/>
        </w:rPr>
        <w:t xml:space="preserve"> </w:t>
      </w:r>
      <w:r w:rsidRPr="00D337FA">
        <w:rPr>
          <w:szCs w:val="24"/>
        </w:rPr>
        <w:t>субсидии,</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по</w:t>
      </w:r>
      <w:r w:rsidR="006C680D" w:rsidRPr="00D337FA">
        <w:rPr>
          <w:szCs w:val="24"/>
        </w:rPr>
        <w:t xml:space="preserve"> </w:t>
      </w:r>
      <w:r w:rsidRPr="00D337FA">
        <w:rPr>
          <w:szCs w:val="24"/>
        </w:rPr>
        <w:t>компенсации</w:t>
      </w:r>
      <w:r w:rsidR="006C680D" w:rsidRPr="00D337FA">
        <w:rPr>
          <w:szCs w:val="24"/>
        </w:rPr>
        <w:t xml:space="preserve"> </w:t>
      </w:r>
      <w:r w:rsidRPr="00D337FA">
        <w:rPr>
          <w:szCs w:val="24"/>
        </w:rPr>
        <w:t>затрат</w:t>
      </w:r>
      <w:r w:rsidR="006C680D" w:rsidRPr="00D337FA">
        <w:rPr>
          <w:szCs w:val="24"/>
        </w:rPr>
        <w:t xml:space="preserve"> </w:t>
      </w:r>
      <w:r w:rsidRPr="00D337FA">
        <w:rPr>
          <w:szCs w:val="24"/>
        </w:rPr>
        <w:t>в</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направлениях,</w:t>
      </w:r>
      <w:r w:rsidR="006C680D" w:rsidRPr="00D337FA">
        <w:rPr>
          <w:szCs w:val="24"/>
        </w:rPr>
        <w:t xml:space="preserve"> </w:t>
      </w:r>
      <w:r w:rsidRPr="00D337FA">
        <w:rPr>
          <w:szCs w:val="24"/>
        </w:rPr>
        <w:t>поддержка</w:t>
      </w:r>
      <w:r w:rsidR="006C680D" w:rsidRPr="00D337FA">
        <w:rPr>
          <w:szCs w:val="24"/>
        </w:rPr>
        <w:t xml:space="preserve"> </w:t>
      </w:r>
      <w:r w:rsidRPr="00D337FA">
        <w:rPr>
          <w:szCs w:val="24"/>
        </w:rPr>
        <w:t>сельскохозяйственного</w:t>
      </w:r>
      <w:r w:rsidR="006C680D" w:rsidRPr="00D337FA">
        <w:rPr>
          <w:szCs w:val="24"/>
        </w:rPr>
        <w:t xml:space="preserve"> </w:t>
      </w:r>
      <w:r w:rsidRPr="00D337FA">
        <w:rPr>
          <w:szCs w:val="24"/>
        </w:rPr>
        <w:t>страхования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многое</w:t>
      </w:r>
      <w:r w:rsidR="006C680D" w:rsidRPr="00D337FA">
        <w:rPr>
          <w:szCs w:val="24"/>
        </w:rPr>
        <w:t xml:space="preserve"> </w:t>
      </w:r>
      <w:r w:rsidRPr="00D337FA">
        <w:rPr>
          <w:szCs w:val="24"/>
        </w:rPr>
        <w:t>другое.</w:t>
      </w:r>
      <w:r w:rsidR="006C680D" w:rsidRPr="00D337FA">
        <w:rPr>
          <w:szCs w:val="24"/>
        </w:rPr>
        <w:t xml:space="preserve"> </w:t>
      </w:r>
      <w:r w:rsidRPr="00D337FA">
        <w:rPr>
          <w:szCs w:val="24"/>
        </w:rPr>
        <w:t>Каждый</w:t>
      </w:r>
      <w:r w:rsidR="006C680D" w:rsidRPr="00D337FA">
        <w:rPr>
          <w:szCs w:val="24"/>
        </w:rPr>
        <w:t xml:space="preserve"> </w:t>
      </w:r>
      <w:r w:rsidRPr="00D337FA">
        <w:rPr>
          <w:szCs w:val="24"/>
        </w:rPr>
        <w:t>элемент</w:t>
      </w:r>
      <w:r w:rsidR="006C680D" w:rsidRPr="00D337FA">
        <w:rPr>
          <w:szCs w:val="24"/>
        </w:rPr>
        <w:t xml:space="preserve"> </w:t>
      </w:r>
      <w:r w:rsidRPr="00D337FA">
        <w:rPr>
          <w:szCs w:val="24"/>
        </w:rPr>
        <w:t>из</w:t>
      </w:r>
      <w:r w:rsidR="006C680D" w:rsidRPr="00D337FA">
        <w:rPr>
          <w:szCs w:val="24"/>
        </w:rPr>
        <w:t xml:space="preserve"> </w:t>
      </w:r>
      <w:r w:rsidRPr="00D337FA">
        <w:rPr>
          <w:szCs w:val="24"/>
        </w:rPr>
        <w:t>обозначенных</w:t>
      </w:r>
      <w:r w:rsidR="006C680D" w:rsidRPr="00D337FA">
        <w:rPr>
          <w:szCs w:val="24"/>
        </w:rPr>
        <w:t xml:space="preserve"> </w:t>
      </w:r>
      <w:r w:rsidRPr="00D337FA">
        <w:rPr>
          <w:szCs w:val="24"/>
        </w:rPr>
        <w:t>категорий</w:t>
      </w:r>
      <w:r w:rsidR="006C680D" w:rsidRPr="00D337FA">
        <w:rPr>
          <w:szCs w:val="24"/>
        </w:rPr>
        <w:t xml:space="preserve"> </w:t>
      </w:r>
      <w:r w:rsidRPr="00D337FA">
        <w:rPr>
          <w:szCs w:val="24"/>
        </w:rPr>
        <w:t>направлен</w:t>
      </w:r>
      <w:r w:rsidR="006C680D" w:rsidRPr="00D337FA">
        <w:rPr>
          <w:szCs w:val="24"/>
        </w:rPr>
        <w:t xml:space="preserve"> </w:t>
      </w:r>
      <w:r w:rsidRPr="00D337FA">
        <w:rPr>
          <w:szCs w:val="24"/>
        </w:rPr>
        <w:t>на</w:t>
      </w:r>
      <w:r w:rsidR="006C680D" w:rsidRPr="00D337FA">
        <w:rPr>
          <w:szCs w:val="24"/>
        </w:rPr>
        <w:t xml:space="preserve"> </w:t>
      </w:r>
      <w:r w:rsidRPr="00D337FA">
        <w:rPr>
          <w:szCs w:val="24"/>
        </w:rPr>
        <w:t>решение</w:t>
      </w:r>
      <w:r w:rsidR="006C680D" w:rsidRPr="00D337FA">
        <w:rPr>
          <w:szCs w:val="24"/>
        </w:rPr>
        <w:t xml:space="preserve"> </w:t>
      </w:r>
      <w:r w:rsidRPr="00D337FA">
        <w:rPr>
          <w:szCs w:val="24"/>
        </w:rPr>
        <w:t>определённых</w:t>
      </w:r>
      <w:r w:rsidR="006C680D" w:rsidRPr="00D337FA">
        <w:rPr>
          <w:szCs w:val="24"/>
        </w:rPr>
        <w:t xml:space="preserve"> </w:t>
      </w:r>
      <w:r w:rsidRPr="00D337FA">
        <w:rPr>
          <w:szCs w:val="24"/>
        </w:rPr>
        <w:t>задач,</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помогает</w:t>
      </w:r>
      <w:r w:rsidR="006C680D" w:rsidRPr="00D337FA">
        <w:rPr>
          <w:szCs w:val="24"/>
        </w:rPr>
        <w:t xml:space="preserve"> </w:t>
      </w:r>
      <w:r w:rsidRPr="00D337FA">
        <w:rPr>
          <w:szCs w:val="24"/>
        </w:rPr>
        <w:t>находить</w:t>
      </w:r>
      <w:r w:rsidR="006C680D" w:rsidRPr="00D337FA">
        <w:rPr>
          <w:szCs w:val="24"/>
        </w:rPr>
        <w:t xml:space="preserve"> </w:t>
      </w:r>
      <w:r w:rsidRPr="00D337FA">
        <w:rPr>
          <w:szCs w:val="24"/>
        </w:rPr>
        <w:t>необходимые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каждого</w:t>
      </w:r>
      <w:r w:rsidR="006C680D" w:rsidRPr="00D337FA">
        <w:rPr>
          <w:szCs w:val="24"/>
        </w:rPr>
        <w:t xml:space="preserve"> </w:t>
      </w:r>
      <w:r w:rsidRPr="00D337FA">
        <w:rPr>
          <w:szCs w:val="24"/>
        </w:rPr>
        <w:t>субъекта</w:t>
      </w:r>
      <w:r w:rsidR="006C680D" w:rsidRPr="00D337FA">
        <w:rPr>
          <w:szCs w:val="24"/>
        </w:rPr>
        <w:t xml:space="preserve"> </w:t>
      </w:r>
      <w:r w:rsidRPr="00D337FA">
        <w:rPr>
          <w:szCs w:val="24"/>
        </w:rPr>
        <w:t>АПК,</w:t>
      </w:r>
      <w:r w:rsidR="006C680D" w:rsidRPr="00D337FA">
        <w:rPr>
          <w:szCs w:val="24"/>
        </w:rPr>
        <w:t xml:space="preserve"> </w:t>
      </w:r>
      <w:r w:rsidRPr="00D337FA">
        <w:rPr>
          <w:szCs w:val="24"/>
        </w:rPr>
        <w:t>благодаря</w:t>
      </w:r>
      <w:r w:rsidR="006C680D" w:rsidRPr="00D337FA">
        <w:rPr>
          <w:szCs w:val="24"/>
        </w:rPr>
        <w:t xml:space="preserve"> </w:t>
      </w:r>
      <w:r w:rsidRPr="00D337FA">
        <w:rPr>
          <w:szCs w:val="24"/>
        </w:rPr>
        <w:t>широкой</w:t>
      </w:r>
      <w:r w:rsidR="006C680D" w:rsidRPr="00D337FA">
        <w:rPr>
          <w:szCs w:val="24"/>
        </w:rPr>
        <w:t xml:space="preserve"> </w:t>
      </w:r>
      <w:r w:rsidRPr="00D337FA">
        <w:rPr>
          <w:szCs w:val="24"/>
        </w:rPr>
        <w:t>дифференциации</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[9].</w:t>
      </w:r>
    </w:p>
    <w:p w:rsidR="00544DD6" w:rsidRPr="00D337FA" w:rsidRDefault="00544DD6" w:rsidP="00826D3F">
      <w:pPr>
        <w:ind w:firstLine="284"/>
        <w:rPr>
          <w:szCs w:val="24"/>
        </w:rPr>
      </w:pPr>
      <w:r w:rsidRPr="00D337FA">
        <w:rPr>
          <w:szCs w:val="24"/>
        </w:rPr>
        <w:t>Несмотря</w:t>
      </w:r>
      <w:r w:rsidR="006C680D" w:rsidRPr="00D337FA">
        <w:rPr>
          <w:szCs w:val="24"/>
        </w:rPr>
        <w:t xml:space="preserve"> </w:t>
      </w:r>
      <w:r w:rsidRPr="00D337FA">
        <w:rPr>
          <w:szCs w:val="24"/>
        </w:rPr>
        <w:t>на</w:t>
      </w:r>
      <w:r w:rsidR="006C680D" w:rsidRPr="00D337FA">
        <w:rPr>
          <w:szCs w:val="24"/>
        </w:rPr>
        <w:t xml:space="preserve"> </w:t>
      </w:r>
      <w:r w:rsidRPr="00D337FA">
        <w:rPr>
          <w:szCs w:val="24"/>
        </w:rPr>
        <w:t>наличие</w:t>
      </w:r>
      <w:r w:rsidR="006C680D" w:rsidRPr="00D337FA">
        <w:rPr>
          <w:szCs w:val="24"/>
        </w:rPr>
        <w:t xml:space="preserve"> </w:t>
      </w:r>
      <w:r w:rsidRPr="00D337FA">
        <w:rPr>
          <w:szCs w:val="24"/>
        </w:rPr>
        <w:t>большого</w:t>
      </w:r>
      <w:r w:rsidR="006C680D" w:rsidRPr="00D337FA">
        <w:rPr>
          <w:szCs w:val="24"/>
        </w:rPr>
        <w:t xml:space="preserve"> </w:t>
      </w:r>
      <w:r w:rsidRPr="00D337FA">
        <w:rPr>
          <w:szCs w:val="24"/>
        </w:rPr>
        <w:t>количества</w:t>
      </w:r>
      <w:r w:rsidR="006C680D" w:rsidRPr="00D337FA">
        <w:rPr>
          <w:szCs w:val="24"/>
        </w:rPr>
        <w:t xml:space="preserve"> </w:t>
      </w:r>
      <w:r w:rsidRPr="00D337FA">
        <w:rPr>
          <w:szCs w:val="24"/>
        </w:rPr>
        <w:t>разнообразных</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наибольшее</w:t>
      </w:r>
      <w:r w:rsidR="006C680D" w:rsidRPr="00D337FA">
        <w:rPr>
          <w:szCs w:val="24"/>
        </w:rPr>
        <w:t xml:space="preserve"> </w:t>
      </w:r>
      <w:r w:rsidRPr="00D337FA">
        <w:rPr>
          <w:szCs w:val="24"/>
        </w:rPr>
        <w:t>внимание</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рассмотрения</w:t>
      </w:r>
      <w:r w:rsidR="006C680D" w:rsidRPr="00D337FA">
        <w:rPr>
          <w:szCs w:val="24"/>
        </w:rPr>
        <w:t xml:space="preserve"> </w:t>
      </w:r>
      <w:r w:rsidRPr="00D337FA">
        <w:rPr>
          <w:szCs w:val="24"/>
        </w:rPr>
        <w:t>заслуживают</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меры</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как:</w:t>
      </w:r>
    </w:p>
    <w:p w:rsidR="00544DD6" w:rsidRPr="00D337FA" w:rsidRDefault="00544DD6" w:rsidP="005A0605">
      <w:pPr>
        <w:numPr>
          <w:ilvl w:val="0"/>
          <w:numId w:val="4"/>
        </w:numPr>
        <w:spacing w:after="160" w:line="259" w:lineRule="auto"/>
        <w:ind w:left="0" w:firstLine="284"/>
        <w:contextualSpacing/>
        <w:rPr>
          <w:szCs w:val="24"/>
        </w:rPr>
      </w:pPr>
      <w:r w:rsidRPr="00D337FA">
        <w:rPr>
          <w:szCs w:val="24"/>
        </w:rPr>
        <w:t>Агростартап</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грант,</w:t>
      </w:r>
      <w:r w:rsidR="006C680D" w:rsidRPr="00D337FA">
        <w:rPr>
          <w:szCs w:val="24"/>
        </w:rPr>
        <w:t xml:space="preserve"> </w:t>
      </w:r>
      <w:r w:rsidRPr="00D337FA">
        <w:rPr>
          <w:szCs w:val="24"/>
        </w:rPr>
        <w:t>позволяющий</w:t>
      </w:r>
      <w:r w:rsidR="006C680D" w:rsidRPr="00D337FA">
        <w:rPr>
          <w:szCs w:val="24"/>
        </w:rPr>
        <w:t xml:space="preserve"> </w:t>
      </w:r>
      <w:r w:rsidRPr="00D337FA">
        <w:rPr>
          <w:szCs w:val="24"/>
        </w:rPr>
        <w:t>начинающим</w:t>
      </w:r>
      <w:r w:rsidR="006C680D" w:rsidRPr="00D337FA">
        <w:rPr>
          <w:szCs w:val="24"/>
        </w:rPr>
        <w:t xml:space="preserve"> </w:t>
      </w:r>
      <w:r w:rsidRPr="00D337FA">
        <w:rPr>
          <w:szCs w:val="24"/>
        </w:rPr>
        <w:t>фермерам,</w:t>
      </w:r>
      <w:r w:rsidR="006C680D" w:rsidRPr="00D337FA">
        <w:rPr>
          <w:szCs w:val="24"/>
        </w:rPr>
        <w:t xml:space="preserve"> </w:t>
      </w:r>
      <w:r w:rsidRPr="00D337FA">
        <w:rPr>
          <w:szCs w:val="24"/>
        </w:rPr>
        <w:t>создать</w:t>
      </w:r>
      <w:r w:rsidR="006C680D" w:rsidRPr="00D337FA">
        <w:rPr>
          <w:szCs w:val="24"/>
        </w:rPr>
        <w:t xml:space="preserve"> </w:t>
      </w:r>
      <w:r w:rsidRPr="00D337FA">
        <w:rPr>
          <w:szCs w:val="24"/>
        </w:rPr>
        <w:t>и</w:t>
      </w:r>
      <w:r w:rsidR="006C680D" w:rsidRPr="00D337FA">
        <w:rPr>
          <w:szCs w:val="24"/>
        </w:rPr>
        <w:t xml:space="preserve"> </w:t>
      </w:r>
      <w:r w:rsidRPr="00D337FA">
        <w:rPr>
          <w:szCs w:val="24"/>
        </w:rPr>
        <w:t>запустить</w:t>
      </w:r>
      <w:r w:rsidR="006C680D" w:rsidRPr="00D337FA">
        <w:rPr>
          <w:szCs w:val="24"/>
        </w:rPr>
        <w:t xml:space="preserve"> </w:t>
      </w:r>
      <w:r w:rsidRPr="00D337FA">
        <w:rPr>
          <w:szCs w:val="24"/>
        </w:rPr>
        <w:t>сельскохозяйственный</w:t>
      </w:r>
      <w:r w:rsidR="006C680D" w:rsidRPr="00D337FA">
        <w:rPr>
          <w:szCs w:val="24"/>
        </w:rPr>
        <w:t xml:space="preserve"> </w:t>
      </w:r>
      <w:r w:rsidRPr="00D337FA">
        <w:rPr>
          <w:szCs w:val="24"/>
        </w:rPr>
        <w:t>бизнес</w:t>
      </w:r>
      <w:r w:rsidR="006C680D" w:rsidRPr="00D337FA">
        <w:rPr>
          <w:szCs w:val="24"/>
        </w:rPr>
        <w:t xml:space="preserve"> </w:t>
      </w:r>
      <w:r w:rsidRPr="00D337FA">
        <w:rPr>
          <w:szCs w:val="24"/>
        </w:rPr>
        <w:t>с</w:t>
      </w:r>
      <w:r w:rsidR="006C680D" w:rsidRPr="00D337FA">
        <w:rPr>
          <w:szCs w:val="24"/>
        </w:rPr>
        <w:t xml:space="preserve"> </w:t>
      </w:r>
      <w:r w:rsidRPr="00D337FA">
        <w:rPr>
          <w:szCs w:val="24"/>
        </w:rPr>
        <w:t>нуля.</w:t>
      </w:r>
    </w:p>
    <w:p w:rsidR="00544DD6" w:rsidRPr="00D337FA" w:rsidRDefault="00544DD6" w:rsidP="005A0605">
      <w:pPr>
        <w:numPr>
          <w:ilvl w:val="0"/>
          <w:numId w:val="4"/>
        </w:numPr>
        <w:spacing w:after="160" w:line="259" w:lineRule="auto"/>
        <w:ind w:left="0" w:firstLine="284"/>
        <w:contextualSpacing/>
        <w:rPr>
          <w:szCs w:val="24"/>
        </w:rPr>
      </w:pPr>
      <w:r w:rsidRPr="00D337FA">
        <w:rPr>
          <w:szCs w:val="24"/>
        </w:rPr>
        <w:t>Агропрогресс</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программа,</w:t>
      </w:r>
      <w:r w:rsidR="006C680D" w:rsidRPr="00D337FA">
        <w:rPr>
          <w:szCs w:val="24"/>
        </w:rPr>
        <w:t xml:space="preserve"> </w:t>
      </w:r>
      <w:r w:rsidRPr="00D337FA">
        <w:rPr>
          <w:szCs w:val="24"/>
        </w:rPr>
        <w:t>ориентированная</w:t>
      </w:r>
      <w:r w:rsidR="006C680D" w:rsidRPr="00D337FA">
        <w:rPr>
          <w:szCs w:val="24"/>
        </w:rPr>
        <w:t xml:space="preserve"> </w:t>
      </w:r>
      <w:r w:rsidRPr="00D337FA">
        <w:rPr>
          <w:szCs w:val="24"/>
        </w:rPr>
        <w:t>на</w:t>
      </w:r>
      <w:r w:rsidR="006C680D" w:rsidRPr="00D337FA">
        <w:rPr>
          <w:szCs w:val="24"/>
        </w:rPr>
        <w:t xml:space="preserve"> </w:t>
      </w:r>
      <w:r w:rsidRPr="00D337FA">
        <w:rPr>
          <w:szCs w:val="24"/>
        </w:rPr>
        <w:t>уже</w:t>
      </w:r>
      <w:r w:rsidR="006C680D" w:rsidRPr="00D337FA">
        <w:rPr>
          <w:szCs w:val="24"/>
        </w:rPr>
        <w:t xml:space="preserve"> </w:t>
      </w:r>
      <w:r w:rsidRPr="00D337FA">
        <w:rPr>
          <w:szCs w:val="24"/>
        </w:rPr>
        <w:t>действующих</w:t>
      </w:r>
      <w:r w:rsidR="006C680D" w:rsidRPr="00D337FA">
        <w:rPr>
          <w:szCs w:val="24"/>
        </w:rPr>
        <w:t xml:space="preserve"> </w:t>
      </w:r>
      <w:r w:rsidRPr="00D337FA">
        <w:rPr>
          <w:szCs w:val="24"/>
        </w:rPr>
        <w:t>фермеров,</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хотят</w:t>
      </w:r>
      <w:r w:rsidR="006C680D" w:rsidRPr="00D337FA">
        <w:rPr>
          <w:szCs w:val="24"/>
        </w:rPr>
        <w:t xml:space="preserve"> </w:t>
      </w:r>
      <w:r w:rsidRPr="00D337FA">
        <w:rPr>
          <w:szCs w:val="24"/>
        </w:rPr>
        <w:t>расширить</w:t>
      </w:r>
      <w:r w:rsidR="006C680D" w:rsidRPr="00D337FA">
        <w:rPr>
          <w:szCs w:val="24"/>
        </w:rPr>
        <w:t xml:space="preserve"> </w:t>
      </w:r>
      <w:r w:rsidRPr="00D337FA">
        <w:rPr>
          <w:szCs w:val="24"/>
        </w:rPr>
        <w:t>производство,</w:t>
      </w:r>
      <w:r w:rsidR="006C680D" w:rsidRPr="00D337FA">
        <w:rPr>
          <w:szCs w:val="24"/>
        </w:rPr>
        <w:t xml:space="preserve"> </w:t>
      </w:r>
      <w:r w:rsidRPr="00D337FA">
        <w:rPr>
          <w:szCs w:val="24"/>
        </w:rPr>
        <w:t>внедрить</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технологии</w:t>
      </w:r>
      <w:r w:rsidR="006C680D" w:rsidRPr="00D337FA">
        <w:rPr>
          <w:szCs w:val="24"/>
        </w:rPr>
        <w:t xml:space="preserve"> </w:t>
      </w:r>
      <w:r w:rsidRPr="00D337FA">
        <w:rPr>
          <w:szCs w:val="24"/>
        </w:rPr>
        <w:t>и</w:t>
      </w:r>
      <w:r w:rsidR="006C680D" w:rsidRPr="00D337FA">
        <w:rPr>
          <w:szCs w:val="24"/>
        </w:rPr>
        <w:t xml:space="preserve"> </w:t>
      </w:r>
      <w:r w:rsidRPr="00D337FA">
        <w:rPr>
          <w:szCs w:val="24"/>
        </w:rPr>
        <w:t>выйти</w:t>
      </w:r>
      <w:r w:rsidR="006C680D" w:rsidRPr="00D337FA">
        <w:rPr>
          <w:szCs w:val="24"/>
        </w:rPr>
        <w:t xml:space="preserve"> </w:t>
      </w:r>
      <w:r w:rsidRPr="00D337FA">
        <w:rPr>
          <w:szCs w:val="24"/>
        </w:rPr>
        <w:t>на</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рынки;</w:t>
      </w:r>
    </w:p>
    <w:p w:rsidR="00544DD6" w:rsidRPr="00D337FA" w:rsidRDefault="00544DD6" w:rsidP="005A0605">
      <w:pPr>
        <w:numPr>
          <w:ilvl w:val="0"/>
          <w:numId w:val="4"/>
        </w:numPr>
        <w:spacing w:after="160" w:line="259" w:lineRule="auto"/>
        <w:ind w:left="0" w:firstLine="284"/>
        <w:contextualSpacing/>
        <w:rPr>
          <w:szCs w:val="24"/>
        </w:rPr>
      </w:pPr>
      <w:r w:rsidRPr="00D337FA">
        <w:rPr>
          <w:szCs w:val="24"/>
        </w:rPr>
        <w:t>Агротуризм</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грант,</w:t>
      </w:r>
      <w:r w:rsidR="006C680D" w:rsidRPr="00D337FA">
        <w:rPr>
          <w:szCs w:val="24"/>
        </w:rPr>
        <w:t xml:space="preserve"> </w:t>
      </w:r>
      <w:r w:rsidRPr="00D337FA">
        <w:rPr>
          <w:szCs w:val="24"/>
        </w:rPr>
        <w:t>направленный</w:t>
      </w:r>
      <w:r w:rsidR="006C680D" w:rsidRPr="00D337FA">
        <w:rPr>
          <w:szCs w:val="24"/>
        </w:rPr>
        <w:t xml:space="preserve"> </w:t>
      </w:r>
      <w:r w:rsidRPr="00D337FA">
        <w:rPr>
          <w:szCs w:val="24"/>
        </w:rPr>
        <w:t>на</w:t>
      </w:r>
      <w:r w:rsidR="006C680D" w:rsidRPr="00D337FA">
        <w:rPr>
          <w:szCs w:val="24"/>
        </w:rPr>
        <w:t xml:space="preserve"> </w:t>
      </w:r>
      <w:r w:rsidRPr="00D337FA">
        <w:rPr>
          <w:szCs w:val="24"/>
        </w:rPr>
        <w:t>создание</w:t>
      </w:r>
      <w:r w:rsidR="006C680D" w:rsidRPr="00D337FA">
        <w:rPr>
          <w:szCs w:val="24"/>
        </w:rPr>
        <w:t xml:space="preserve"> </w:t>
      </w:r>
      <w:r w:rsidRPr="00D337FA">
        <w:rPr>
          <w:szCs w:val="24"/>
        </w:rPr>
        <w:t>гостевых</w:t>
      </w:r>
      <w:r w:rsidR="006C680D" w:rsidRPr="00D337FA">
        <w:rPr>
          <w:szCs w:val="24"/>
        </w:rPr>
        <w:t xml:space="preserve"> </w:t>
      </w:r>
      <w:r w:rsidRPr="00D337FA">
        <w:rPr>
          <w:szCs w:val="24"/>
        </w:rPr>
        <w:t>домов,</w:t>
      </w:r>
      <w:r w:rsidR="006C680D" w:rsidRPr="00D337FA">
        <w:rPr>
          <w:szCs w:val="24"/>
        </w:rPr>
        <w:t xml:space="preserve"> </w:t>
      </w:r>
      <w:r w:rsidRPr="00D337FA">
        <w:rPr>
          <w:szCs w:val="24"/>
        </w:rPr>
        <w:t>этнопарков,</w:t>
      </w:r>
      <w:r w:rsidR="006C680D" w:rsidRPr="00D337FA">
        <w:rPr>
          <w:szCs w:val="24"/>
        </w:rPr>
        <w:t xml:space="preserve"> </w:t>
      </w:r>
      <w:r w:rsidRPr="00D337FA">
        <w:rPr>
          <w:szCs w:val="24"/>
        </w:rPr>
        <w:t>фермерских</w:t>
      </w:r>
      <w:r w:rsidR="006C680D" w:rsidRPr="00D337FA">
        <w:rPr>
          <w:szCs w:val="24"/>
        </w:rPr>
        <w:t xml:space="preserve"> </w:t>
      </w:r>
      <w:r w:rsidRPr="00D337FA">
        <w:rPr>
          <w:szCs w:val="24"/>
        </w:rPr>
        <w:t>эко-туров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туризма.</w:t>
      </w:r>
      <w:r w:rsidR="006C680D" w:rsidRPr="00D337FA">
        <w:rPr>
          <w:szCs w:val="24"/>
        </w:rPr>
        <w:t xml:space="preserve"> </w:t>
      </w:r>
      <w:r w:rsidRPr="00D337FA">
        <w:rPr>
          <w:szCs w:val="24"/>
        </w:rPr>
        <w:t>Он</w:t>
      </w:r>
      <w:r w:rsidR="006C680D" w:rsidRPr="00D337FA">
        <w:rPr>
          <w:szCs w:val="24"/>
        </w:rPr>
        <w:t xml:space="preserve"> </w:t>
      </w:r>
      <w:r w:rsidRPr="00D337FA">
        <w:rPr>
          <w:szCs w:val="24"/>
        </w:rPr>
        <w:t>благоприятно</w:t>
      </w:r>
      <w:r w:rsidR="006C680D" w:rsidRPr="00D337FA">
        <w:rPr>
          <w:szCs w:val="24"/>
        </w:rPr>
        <w:t xml:space="preserve"> </w:t>
      </w:r>
      <w:r w:rsidRPr="00D337FA">
        <w:rPr>
          <w:szCs w:val="24"/>
        </w:rPr>
        <w:t>влияет</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на</w:t>
      </w:r>
      <w:r w:rsidR="006C680D" w:rsidRPr="00D337FA">
        <w:rPr>
          <w:szCs w:val="24"/>
        </w:rPr>
        <w:t xml:space="preserve"> </w:t>
      </w:r>
      <w:r w:rsidRPr="00D337FA">
        <w:rPr>
          <w:szCs w:val="24"/>
        </w:rPr>
        <w:t>его</w:t>
      </w:r>
      <w:r w:rsidR="006C680D" w:rsidRPr="00D337FA">
        <w:rPr>
          <w:szCs w:val="24"/>
        </w:rPr>
        <w:t xml:space="preserve"> </w:t>
      </w:r>
      <w:r w:rsidRPr="00D337FA">
        <w:rPr>
          <w:szCs w:val="24"/>
        </w:rPr>
        <w:t>исполнителя,</w:t>
      </w:r>
      <w:r w:rsidR="006C680D" w:rsidRPr="00D337FA">
        <w:rPr>
          <w:szCs w:val="24"/>
        </w:rPr>
        <w:t xml:space="preserve"> </w:t>
      </w:r>
      <w:r w:rsidRPr="00D337FA">
        <w:rPr>
          <w:szCs w:val="24"/>
        </w:rPr>
        <w:t>принося</w:t>
      </w:r>
      <w:r w:rsidR="006C680D" w:rsidRPr="00D337FA">
        <w:rPr>
          <w:szCs w:val="24"/>
        </w:rPr>
        <w:t xml:space="preserve"> </w:t>
      </w:r>
      <w:r w:rsidRPr="00D337FA">
        <w:rPr>
          <w:szCs w:val="24"/>
        </w:rPr>
        <w:t>ему</w:t>
      </w:r>
      <w:r w:rsidR="006C680D" w:rsidRPr="00D337FA">
        <w:rPr>
          <w:szCs w:val="24"/>
        </w:rPr>
        <w:t xml:space="preserve"> </w:t>
      </w:r>
      <w:r w:rsidRPr="00D337FA">
        <w:rPr>
          <w:szCs w:val="24"/>
        </w:rPr>
        <w:t>прибыль,</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улучшает</w:t>
      </w:r>
      <w:r w:rsidR="006C680D" w:rsidRPr="00D337FA">
        <w:rPr>
          <w:szCs w:val="24"/>
        </w:rPr>
        <w:t xml:space="preserve"> </w:t>
      </w:r>
      <w:r w:rsidRPr="00D337FA">
        <w:rPr>
          <w:szCs w:val="24"/>
        </w:rPr>
        <w:t>сельские</w:t>
      </w:r>
      <w:r w:rsidR="006C680D" w:rsidRPr="00D337FA">
        <w:rPr>
          <w:szCs w:val="24"/>
        </w:rPr>
        <w:t xml:space="preserve"> </w:t>
      </w:r>
      <w:r w:rsidRPr="00D337FA">
        <w:rPr>
          <w:szCs w:val="24"/>
        </w:rPr>
        <w:t>территории,</w:t>
      </w:r>
      <w:r w:rsidR="006C680D" w:rsidRPr="00D337FA">
        <w:rPr>
          <w:szCs w:val="24"/>
        </w:rPr>
        <w:t xml:space="preserve"> </w:t>
      </w:r>
      <w:r w:rsidRPr="00D337FA">
        <w:rPr>
          <w:szCs w:val="24"/>
        </w:rPr>
        <w:t>благодаря</w:t>
      </w:r>
      <w:r w:rsidR="006C680D" w:rsidRPr="00D337FA">
        <w:rPr>
          <w:szCs w:val="24"/>
        </w:rPr>
        <w:t xml:space="preserve"> </w:t>
      </w:r>
      <w:r w:rsidRPr="00D337FA">
        <w:rPr>
          <w:szCs w:val="24"/>
        </w:rPr>
        <w:t>привлечению</w:t>
      </w:r>
      <w:r w:rsidR="006C680D" w:rsidRPr="00D337FA">
        <w:rPr>
          <w:szCs w:val="24"/>
        </w:rPr>
        <w:t xml:space="preserve"> </w:t>
      </w:r>
      <w:r w:rsidRPr="00D337FA">
        <w:rPr>
          <w:szCs w:val="24"/>
        </w:rPr>
        <w:t>туристов.</w:t>
      </w:r>
    </w:p>
    <w:p w:rsidR="00544DD6" w:rsidRPr="00D337FA" w:rsidRDefault="00544DD6" w:rsidP="005A0605">
      <w:pPr>
        <w:numPr>
          <w:ilvl w:val="0"/>
          <w:numId w:val="4"/>
        </w:numPr>
        <w:spacing w:after="160" w:line="259" w:lineRule="auto"/>
        <w:ind w:left="0" w:firstLine="284"/>
        <w:contextualSpacing/>
        <w:rPr>
          <w:szCs w:val="24"/>
        </w:rPr>
      </w:pPr>
      <w:r w:rsidRPr="00D337FA">
        <w:rPr>
          <w:szCs w:val="24"/>
        </w:rPr>
        <w:t>Агромотиватор</w:t>
      </w:r>
      <w:r w:rsidR="006C680D" w:rsidRPr="00D337FA">
        <w:rPr>
          <w:szCs w:val="24"/>
        </w:rPr>
        <w:t xml:space="preserve"> </w:t>
      </w:r>
      <w:r w:rsidRPr="00D337FA">
        <w:rPr>
          <w:szCs w:val="24"/>
        </w:rPr>
        <w:t>–</w:t>
      </w:r>
      <w:r w:rsidR="006C680D" w:rsidRPr="00D337FA">
        <w:rPr>
          <w:szCs w:val="24"/>
        </w:rPr>
        <w:t xml:space="preserve"> </w:t>
      </w:r>
      <w:r w:rsidRPr="00D337FA">
        <w:rPr>
          <w:szCs w:val="24"/>
        </w:rPr>
        <w:t>эта</w:t>
      </w:r>
      <w:r w:rsidR="006C680D" w:rsidRPr="00D337FA">
        <w:rPr>
          <w:szCs w:val="24"/>
        </w:rPr>
        <w:t xml:space="preserve"> </w:t>
      </w:r>
      <w:r w:rsidRPr="00D337FA">
        <w:rPr>
          <w:szCs w:val="24"/>
        </w:rPr>
        <w:t>мера</w:t>
      </w:r>
      <w:r w:rsidR="006C680D" w:rsidRPr="00D337FA">
        <w:rPr>
          <w:szCs w:val="24"/>
        </w:rPr>
        <w:t xml:space="preserve"> </w:t>
      </w:r>
      <w:r w:rsidRPr="00D337FA">
        <w:rPr>
          <w:szCs w:val="24"/>
        </w:rPr>
        <w:t>ориентирована</w:t>
      </w:r>
      <w:r w:rsidR="006C680D" w:rsidRPr="00D337FA">
        <w:rPr>
          <w:szCs w:val="24"/>
        </w:rPr>
        <w:t xml:space="preserve"> </w:t>
      </w:r>
      <w:r w:rsidRPr="00D337FA">
        <w:rPr>
          <w:szCs w:val="24"/>
        </w:rPr>
        <w:t>на</w:t>
      </w:r>
      <w:r w:rsidR="006C680D" w:rsidRPr="00D337FA">
        <w:rPr>
          <w:szCs w:val="24"/>
        </w:rPr>
        <w:t xml:space="preserve"> </w:t>
      </w:r>
      <w:r w:rsidRPr="00D337FA">
        <w:rPr>
          <w:szCs w:val="24"/>
        </w:rPr>
        <w:t>стимулирование</w:t>
      </w:r>
      <w:r w:rsidR="006C680D" w:rsidRPr="00D337FA">
        <w:rPr>
          <w:szCs w:val="24"/>
        </w:rPr>
        <w:t xml:space="preserve"> </w:t>
      </w:r>
      <w:r w:rsidRPr="00D337FA">
        <w:rPr>
          <w:szCs w:val="24"/>
        </w:rPr>
        <w:t>молодых</w:t>
      </w:r>
      <w:r w:rsidR="006C680D" w:rsidRPr="00D337FA">
        <w:rPr>
          <w:szCs w:val="24"/>
        </w:rPr>
        <w:t xml:space="preserve"> </w:t>
      </w:r>
      <w:r w:rsidRPr="00D337FA">
        <w:rPr>
          <w:szCs w:val="24"/>
        </w:rPr>
        <w:t>лю</w:t>
      </w:r>
      <w:r w:rsidRPr="00D337FA">
        <w:rPr>
          <w:szCs w:val="24"/>
        </w:rPr>
        <w:lastRenderedPageBreak/>
        <w:t>дей,</w:t>
      </w:r>
      <w:r w:rsidR="006C680D" w:rsidRPr="00D337FA">
        <w:rPr>
          <w:szCs w:val="24"/>
        </w:rPr>
        <w:t xml:space="preserve"> </w:t>
      </w:r>
      <w:r w:rsidRPr="00D337FA">
        <w:rPr>
          <w:szCs w:val="24"/>
        </w:rPr>
        <w:t>специалистов</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предпринимателей</w:t>
      </w:r>
      <w:r w:rsidR="006C680D" w:rsidRPr="00D337FA">
        <w:rPr>
          <w:szCs w:val="24"/>
        </w:rPr>
        <w:t xml:space="preserve"> </w:t>
      </w:r>
      <w:r w:rsidRPr="00D337FA">
        <w:rPr>
          <w:szCs w:val="24"/>
        </w:rPr>
        <w:t>к</w:t>
      </w:r>
      <w:r w:rsidR="006C680D" w:rsidRPr="00D337FA">
        <w:rPr>
          <w:szCs w:val="24"/>
        </w:rPr>
        <w:t xml:space="preserve"> </w:t>
      </w:r>
      <w:r w:rsidRPr="00D337FA">
        <w:rPr>
          <w:szCs w:val="24"/>
        </w:rPr>
        <w:t>работе</w:t>
      </w:r>
      <w:r w:rsidR="006C680D" w:rsidRPr="00D337FA">
        <w:rPr>
          <w:szCs w:val="24"/>
        </w:rPr>
        <w:t xml:space="preserve"> </w:t>
      </w:r>
      <w:r w:rsidRPr="00D337FA">
        <w:rPr>
          <w:szCs w:val="24"/>
        </w:rPr>
        <w:t>в</w:t>
      </w:r>
      <w:r w:rsidR="006C680D" w:rsidRPr="00D337FA">
        <w:rPr>
          <w:szCs w:val="24"/>
        </w:rPr>
        <w:t xml:space="preserve"> </w:t>
      </w:r>
      <w:r w:rsidRPr="00D337FA">
        <w:rPr>
          <w:szCs w:val="24"/>
        </w:rPr>
        <w:t>аграрной</w:t>
      </w:r>
      <w:r w:rsidR="006C680D" w:rsidRPr="00D337FA">
        <w:rPr>
          <w:szCs w:val="24"/>
        </w:rPr>
        <w:t xml:space="preserve"> </w:t>
      </w:r>
      <w:r w:rsidRPr="00D337FA">
        <w:rPr>
          <w:szCs w:val="24"/>
        </w:rPr>
        <w:t>среде.</w:t>
      </w:r>
    </w:p>
    <w:p w:rsidR="00544DD6" w:rsidRPr="00D337FA" w:rsidRDefault="00544DD6" w:rsidP="005A0605">
      <w:pPr>
        <w:numPr>
          <w:ilvl w:val="0"/>
          <w:numId w:val="4"/>
        </w:numPr>
        <w:spacing w:after="160" w:line="259" w:lineRule="auto"/>
        <w:ind w:left="0" w:firstLine="284"/>
        <w:contextualSpacing/>
        <w:rPr>
          <w:szCs w:val="24"/>
        </w:rPr>
      </w:pPr>
      <w:r w:rsidRPr="00D337FA">
        <w:rPr>
          <w:szCs w:val="24"/>
        </w:rPr>
        <w:t>Гранты</w:t>
      </w:r>
      <w:r w:rsidR="006C680D" w:rsidRPr="00D337FA">
        <w:rPr>
          <w:szCs w:val="24"/>
        </w:rPr>
        <w:t xml:space="preserve"> </w:t>
      </w:r>
      <w:r w:rsidRPr="00D337FA">
        <w:rPr>
          <w:szCs w:val="24"/>
        </w:rPr>
        <w:t>на</w:t>
      </w:r>
      <w:r w:rsidR="006C680D" w:rsidRPr="00D337FA">
        <w:rPr>
          <w:szCs w:val="24"/>
        </w:rPr>
        <w:t xml:space="preserve"> </w:t>
      </w:r>
      <w:r w:rsidRPr="00D337FA">
        <w:rPr>
          <w:szCs w:val="24"/>
        </w:rPr>
        <w:t>семейные</w:t>
      </w:r>
      <w:r w:rsidR="006C680D" w:rsidRPr="00D337FA">
        <w:rPr>
          <w:szCs w:val="24"/>
        </w:rPr>
        <w:t xml:space="preserve"> </w:t>
      </w:r>
      <w:r w:rsidRPr="00D337FA">
        <w:rPr>
          <w:szCs w:val="24"/>
        </w:rPr>
        <w:t>фермы</w:t>
      </w:r>
      <w:r w:rsidR="006C680D" w:rsidRPr="00D337FA">
        <w:rPr>
          <w:szCs w:val="24"/>
        </w:rPr>
        <w:t xml:space="preserve"> </w:t>
      </w:r>
      <w:r w:rsidRPr="00D337FA">
        <w:rPr>
          <w:szCs w:val="24"/>
        </w:rPr>
        <w:t>–</w:t>
      </w:r>
      <w:r w:rsidR="006C680D" w:rsidRPr="00D337FA">
        <w:rPr>
          <w:szCs w:val="24"/>
        </w:rPr>
        <w:t xml:space="preserve"> </w:t>
      </w:r>
      <w:r w:rsidRPr="00D337FA">
        <w:rPr>
          <w:szCs w:val="24"/>
        </w:rPr>
        <w:t>ориентированы</w:t>
      </w:r>
      <w:r w:rsidR="006C680D" w:rsidRPr="00D337FA">
        <w:rPr>
          <w:szCs w:val="24"/>
        </w:rPr>
        <w:t xml:space="preserve"> </w:t>
      </w:r>
      <w:r w:rsidRPr="00D337FA">
        <w:rPr>
          <w:szCs w:val="24"/>
        </w:rPr>
        <w:t>на</w:t>
      </w:r>
      <w:r w:rsidR="006C680D" w:rsidRPr="00D337FA">
        <w:rPr>
          <w:szCs w:val="24"/>
        </w:rPr>
        <w:t xml:space="preserve"> </w:t>
      </w:r>
      <w:r w:rsidRPr="00D337FA">
        <w:rPr>
          <w:szCs w:val="24"/>
        </w:rPr>
        <w:t>укрепление</w:t>
      </w:r>
      <w:r w:rsidR="006C680D" w:rsidRPr="00D337FA">
        <w:rPr>
          <w:szCs w:val="24"/>
        </w:rPr>
        <w:t xml:space="preserve"> </w:t>
      </w:r>
      <w:r w:rsidRPr="00D337FA">
        <w:rPr>
          <w:szCs w:val="24"/>
        </w:rPr>
        <w:t>традиционных</w:t>
      </w:r>
      <w:r w:rsidR="006C680D" w:rsidRPr="00D337FA">
        <w:rPr>
          <w:szCs w:val="24"/>
        </w:rPr>
        <w:t xml:space="preserve"> </w:t>
      </w:r>
      <w:r w:rsidRPr="00D337FA">
        <w:rPr>
          <w:szCs w:val="24"/>
        </w:rPr>
        <w:t>форм</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повышение</w:t>
      </w:r>
      <w:r w:rsidR="006C680D" w:rsidRPr="00D337FA">
        <w:rPr>
          <w:szCs w:val="24"/>
        </w:rPr>
        <w:t xml:space="preserve"> </w:t>
      </w:r>
      <w:r w:rsidRPr="00D337FA">
        <w:rPr>
          <w:szCs w:val="24"/>
        </w:rPr>
        <w:t>занятости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повышения</w:t>
      </w:r>
      <w:r w:rsidR="006C680D" w:rsidRPr="00D337FA">
        <w:rPr>
          <w:szCs w:val="24"/>
        </w:rPr>
        <w:t xml:space="preserve"> </w:t>
      </w:r>
      <w:r w:rsidRPr="00D337FA">
        <w:rPr>
          <w:szCs w:val="24"/>
        </w:rPr>
        <w:t>имиджа</w:t>
      </w:r>
      <w:r w:rsidR="006C680D" w:rsidRPr="00D337FA">
        <w:rPr>
          <w:szCs w:val="24"/>
        </w:rPr>
        <w:t xml:space="preserve"> </w:t>
      </w:r>
      <w:r w:rsidRPr="00D337FA">
        <w:rPr>
          <w:szCs w:val="24"/>
        </w:rPr>
        <w:t>сельских</w:t>
      </w:r>
      <w:r w:rsidR="006C680D" w:rsidRPr="00D337FA">
        <w:rPr>
          <w:szCs w:val="24"/>
        </w:rPr>
        <w:t xml:space="preserve"> </w:t>
      </w:r>
      <w:r w:rsidRPr="00D337FA">
        <w:rPr>
          <w:szCs w:val="24"/>
        </w:rPr>
        <w:t>территорий.</w:t>
      </w:r>
    </w:p>
    <w:p w:rsidR="00544DD6" w:rsidRPr="00D337FA" w:rsidRDefault="00544DD6" w:rsidP="005A0605">
      <w:pPr>
        <w:numPr>
          <w:ilvl w:val="0"/>
          <w:numId w:val="4"/>
        </w:numPr>
        <w:spacing w:after="160" w:line="259" w:lineRule="auto"/>
        <w:ind w:left="0" w:firstLine="284"/>
        <w:contextualSpacing/>
        <w:rPr>
          <w:szCs w:val="24"/>
        </w:rPr>
      </w:pPr>
      <w:r w:rsidRPr="00D337FA">
        <w:rPr>
          <w:szCs w:val="24"/>
        </w:rPr>
        <w:t>Гранты</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материально-технической</w:t>
      </w:r>
      <w:r w:rsidR="006C680D" w:rsidRPr="00D337FA">
        <w:rPr>
          <w:szCs w:val="24"/>
        </w:rPr>
        <w:t xml:space="preserve"> </w:t>
      </w:r>
      <w:r w:rsidRPr="00D337FA">
        <w:rPr>
          <w:szCs w:val="24"/>
        </w:rPr>
        <w:t>базы</w:t>
      </w:r>
      <w:r w:rsidR="006C680D" w:rsidRPr="00D337FA">
        <w:rPr>
          <w:szCs w:val="24"/>
        </w:rPr>
        <w:t xml:space="preserve"> </w:t>
      </w:r>
      <w:r w:rsidRPr="00D337FA">
        <w:rPr>
          <w:szCs w:val="24"/>
        </w:rPr>
        <w:t>–</w:t>
      </w:r>
      <w:r w:rsidR="006C680D" w:rsidRPr="00D337FA">
        <w:rPr>
          <w:szCs w:val="24"/>
        </w:rPr>
        <w:t xml:space="preserve"> </w:t>
      </w:r>
      <w:r w:rsidRPr="00D337FA">
        <w:rPr>
          <w:szCs w:val="24"/>
        </w:rPr>
        <w:t>связаны</w:t>
      </w:r>
      <w:r w:rsidR="006C680D" w:rsidRPr="00D337FA">
        <w:rPr>
          <w:szCs w:val="24"/>
        </w:rPr>
        <w:t xml:space="preserve"> </w:t>
      </w:r>
      <w:r w:rsidRPr="00D337FA">
        <w:rPr>
          <w:szCs w:val="24"/>
        </w:rPr>
        <w:t>с</w:t>
      </w:r>
      <w:r w:rsidR="006C680D" w:rsidRPr="00D337FA">
        <w:rPr>
          <w:szCs w:val="24"/>
        </w:rPr>
        <w:t xml:space="preserve"> </w:t>
      </w:r>
      <w:r w:rsidRPr="00D337FA">
        <w:rPr>
          <w:szCs w:val="24"/>
        </w:rPr>
        <w:t>необходимость</w:t>
      </w:r>
      <w:r w:rsidR="006C680D" w:rsidRPr="00D337FA">
        <w:rPr>
          <w:szCs w:val="24"/>
        </w:rPr>
        <w:t xml:space="preserve"> </w:t>
      </w:r>
      <w:r w:rsidRPr="00D337FA">
        <w:rPr>
          <w:szCs w:val="24"/>
        </w:rPr>
        <w:t>для</w:t>
      </w:r>
      <w:r w:rsidR="006C680D" w:rsidRPr="00D337FA">
        <w:rPr>
          <w:szCs w:val="24"/>
        </w:rPr>
        <w:t xml:space="preserve"> </w:t>
      </w:r>
      <w:r w:rsidRPr="00D337FA">
        <w:rPr>
          <w:szCs w:val="24"/>
        </w:rPr>
        <w:t>ведения</w:t>
      </w:r>
      <w:r w:rsidR="006C680D" w:rsidRPr="00D337FA">
        <w:rPr>
          <w:szCs w:val="24"/>
        </w:rPr>
        <w:t xml:space="preserve"> </w:t>
      </w:r>
      <w:r w:rsidRPr="00D337FA">
        <w:rPr>
          <w:szCs w:val="24"/>
        </w:rPr>
        <w:t>сельскохозяйственной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тракторов,</w:t>
      </w:r>
      <w:r w:rsidR="006C680D" w:rsidRPr="00D337FA">
        <w:rPr>
          <w:szCs w:val="24"/>
        </w:rPr>
        <w:t xml:space="preserve"> </w:t>
      </w:r>
      <w:r w:rsidRPr="00D337FA">
        <w:rPr>
          <w:szCs w:val="24"/>
        </w:rPr>
        <w:t>комбайнов,</w:t>
      </w:r>
      <w:r w:rsidR="006C680D" w:rsidRPr="00D337FA">
        <w:rPr>
          <w:szCs w:val="24"/>
        </w:rPr>
        <w:t xml:space="preserve"> </w:t>
      </w:r>
      <w:r w:rsidRPr="00D337FA">
        <w:rPr>
          <w:szCs w:val="24"/>
        </w:rPr>
        <w:t>оборудования,</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хранения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переработки</w:t>
      </w:r>
      <w:r w:rsidR="006C680D" w:rsidRPr="00D337FA">
        <w:rPr>
          <w:szCs w:val="24"/>
        </w:rPr>
        <w:t xml:space="preserve"> </w:t>
      </w:r>
      <w:r w:rsidRPr="00D337FA">
        <w:rPr>
          <w:szCs w:val="24"/>
        </w:rPr>
        <w:t>(табл.</w:t>
      </w:r>
      <w:r w:rsidR="006C680D" w:rsidRPr="00D337FA">
        <w:rPr>
          <w:szCs w:val="24"/>
        </w:rPr>
        <w:t xml:space="preserve"> </w:t>
      </w:r>
      <w:r w:rsidRPr="00D337FA">
        <w:rPr>
          <w:szCs w:val="24"/>
        </w:rPr>
        <w:t>3)</w:t>
      </w:r>
      <w:r w:rsidR="006C680D" w:rsidRPr="00D337FA">
        <w:rPr>
          <w:szCs w:val="24"/>
        </w:rPr>
        <w:t xml:space="preserve"> </w:t>
      </w:r>
      <w:r w:rsidRPr="00D337FA">
        <w:rPr>
          <w:szCs w:val="24"/>
        </w:rPr>
        <w:t>[10].</w:t>
      </w:r>
    </w:p>
    <w:p w:rsidR="00544DD6" w:rsidRPr="00D337FA" w:rsidRDefault="00544DD6" w:rsidP="00826D3F">
      <w:pPr>
        <w:ind w:firstLine="284"/>
        <w:contextualSpacing/>
        <w:rPr>
          <w:szCs w:val="24"/>
        </w:rPr>
      </w:pPr>
      <w:r w:rsidRPr="00D337FA">
        <w:rPr>
          <w:szCs w:val="24"/>
        </w:rPr>
        <w:t>Такая</w:t>
      </w:r>
      <w:r w:rsidR="006C680D" w:rsidRPr="00D337FA">
        <w:rPr>
          <w:szCs w:val="24"/>
        </w:rPr>
        <w:t xml:space="preserve"> </w:t>
      </w:r>
      <w:r w:rsidRPr="00D337FA">
        <w:rPr>
          <w:szCs w:val="24"/>
        </w:rPr>
        <w:t>многосторонняя</w:t>
      </w:r>
      <w:r w:rsidR="006C680D" w:rsidRPr="00D337FA">
        <w:rPr>
          <w:szCs w:val="24"/>
        </w:rPr>
        <w:t xml:space="preserve"> </w:t>
      </w:r>
      <w:r w:rsidRPr="00D337FA">
        <w:rPr>
          <w:szCs w:val="24"/>
        </w:rPr>
        <w:t>поддержка</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следствием</w:t>
      </w:r>
      <w:r w:rsidR="006C680D" w:rsidRPr="00D337FA">
        <w:rPr>
          <w:szCs w:val="24"/>
        </w:rPr>
        <w:t xml:space="preserve"> </w:t>
      </w:r>
      <w:r w:rsidRPr="00D337FA">
        <w:rPr>
          <w:szCs w:val="24"/>
        </w:rPr>
        <w:t>понимания</w:t>
      </w:r>
      <w:r w:rsidR="006C680D" w:rsidRPr="00D337FA">
        <w:rPr>
          <w:szCs w:val="24"/>
        </w:rPr>
        <w:t xml:space="preserve"> </w:t>
      </w:r>
      <w:r w:rsidRPr="00D337FA">
        <w:rPr>
          <w:szCs w:val="24"/>
        </w:rPr>
        <w:t>важности</w:t>
      </w:r>
      <w:r w:rsidR="006C680D" w:rsidRPr="00D337FA">
        <w:rPr>
          <w:szCs w:val="24"/>
        </w:rPr>
        <w:t xml:space="preserve"> </w:t>
      </w:r>
      <w:r w:rsidRPr="00D337FA">
        <w:rPr>
          <w:szCs w:val="24"/>
        </w:rPr>
        <w:t>всей</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для</w:t>
      </w:r>
      <w:r w:rsidR="006C680D" w:rsidRPr="00D337FA">
        <w:rPr>
          <w:szCs w:val="24"/>
        </w:rPr>
        <w:t xml:space="preserve"> </w:t>
      </w:r>
      <w:r w:rsidRPr="00D337FA">
        <w:rPr>
          <w:szCs w:val="24"/>
        </w:rPr>
        <w:t>нашей</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всех</w:t>
      </w:r>
      <w:r w:rsidR="006C680D" w:rsidRPr="00D337FA">
        <w:rPr>
          <w:szCs w:val="24"/>
        </w:rPr>
        <w:t xml:space="preserve"> </w:t>
      </w:r>
      <w:r w:rsidRPr="00D337FA">
        <w:rPr>
          <w:szCs w:val="24"/>
        </w:rPr>
        <w:t>уровнях.</w:t>
      </w:r>
      <w:r w:rsidR="006C680D" w:rsidRPr="00D337FA">
        <w:rPr>
          <w:szCs w:val="24"/>
        </w:rPr>
        <w:t xml:space="preserve"> </w:t>
      </w:r>
      <w:r w:rsidRPr="00D337FA">
        <w:rPr>
          <w:szCs w:val="24"/>
        </w:rPr>
        <w:t>Так</w:t>
      </w:r>
      <w:r w:rsidR="006C680D" w:rsidRPr="00D337FA">
        <w:rPr>
          <w:szCs w:val="24"/>
        </w:rPr>
        <w:t xml:space="preserve"> </w:t>
      </w:r>
      <w:r w:rsidRPr="00D337FA">
        <w:rPr>
          <w:szCs w:val="24"/>
        </w:rPr>
        <w:t>президент</w:t>
      </w:r>
      <w:r w:rsidR="006C680D" w:rsidRPr="00D337FA">
        <w:rPr>
          <w:szCs w:val="24"/>
        </w:rPr>
        <w:t xml:space="preserve"> </w:t>
      </w:r>
      <w:r w:rsidRPr="00D337FA">
        <w:rPr>
          <w:szCs w:val="24"/>
        </w:rPr>
        <w:t>нашей</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Владимир</w:t>
      </w:r>
      <w:r w:rsidR="006C680D" w:rsidRPr="00D337FA">
        <w:rPr>
          <w:szCs w:val="24"/>
        </w:rPr>
        <w:t xml:space="preserve"> </w:t>
      </w:r>
      <w:r w:rsidRPr="00D337FA">
        <w:rPr>
          <w:szCs w:val="24"/>
        </w:rPr>
        <w:t>Путин</w:t>
      </w:r>
      <w:r w:rsidR="006C680D" w:rsidRPr="00D337FA">
        <w:rPr>
          <w:szCs w:val="24"/>
        </w:rPr>
        <w:t xml:space="preserve"> </w:t>
      </w:r>
      <w:r w:rsidRPr="00D337FA">
        <w:rPr>
          <w:szCs w:val="24"/>
        </w:rPr>
        <w:t>ежегодно</w:t>
      </w:r>
      <w:r w:rsidR="006C680D" w:rsidRPr="00D337FA">
        <w:rPr>
          <w:szCs w:val="24"/>
        </w:rPr>
        <w:t xml:space="preserve"> </w:t>
      </w:r>
      <w:r w:rsidRPr="00D337FA">
        <w:rPr>
          <w:szCs w:val="24"/>
        </w:rPr>
        <w:t>в</w:t>
      </w:r>
      <w:r w:rsidR="006C680D" w:rsidRPr="00D337FA">
        <w:rPr>
          <w:szCs w:val="24"/>
        </w:rPr>
        <w:t xml:space="preserve"> </w:t>
      </w:r>
      <w:r w:rsidRPr="00D337FA">
        <w:rPr>
          <w:szCs w:val="24"/>
        </w:rPr>
        <w:t>своих</w:t>
      </w:r>
      <w:r w:rsidR="006C680D" w:rsidRPr="00D337FA">
        <w:rPr>
          <w:szCs w:val="24"/>
        </w:rPr>
        <w:t xml:space="preserve"> </w:t>
      </w:r>
      <w:r w:rsidRPr="00D337FA">
        <w:rPr>
          <w:szCs w:val="24"/>
        </w:rPr>
        <w:t>выступлениях</w:t>
      </w:r>
      <w:r w:rsidR="006C680D" w:rsidRPr="00D337FA">
        <w:rPr>
          <w:szCs w:val="24"/>
        </w:rPr>
        <w:t xml:space="preserve"> </w:t>
      </w:r>
      <w:r w:rsidRPr="00D337FA">
        <w:rPr>
          <w:szCs w:val="24"/>
        </w:rPr>
        <w:t>подчеркивает</w:t>
      </w:r>
      <w:r w:rsidR="006C680D" w:rsidRPr="00D337FA">
        <w:rPr>
          <w:szCs w:val="24"/>
        </w:rPr>
        <w:t xml:space="preserve"> </w:t>
      </w:r>
      <w:r w:rsidRPr="00D337FA">
        <w:rPr>
          <w:szCs w:val="24"/>
        </w:rPr>
        <w:t>необходимость</w:t>
      </w:r>
      <w:r w:rsidR="006C680D" w:rsidRPr="00D337FA">
        <w:rPr>
          <w:szCs w:val="24"/>
        </w:rPr>
        <w:t xml:space="preserve"> </w:t>
      </w:r>
      <w:r w:rsidRPr="00D337FA">
        <w:rPr>
          <w:szCs w:val="24"/>
        </w:rPr>
        <w:t>внедрения</w:t>
      </w:r>
      <w:r w:rsidR="006C680D" w:rsidRPr="00D337FA">
        <w:rPr>
          <w:szCs w:val="24"/>
        </w:rPr>
        <w:t xml:space="preserve"> </w:t>
      </w:r>
      <w:r w:rsidRPr="00D337FA">
        <w:rPr>
          <w:szCs w:val="24"/>
        </w:rPr>
        <w:t>новейших</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искусственного</w:t>
      </w:r>
      <w:r w:rsidR="006C680D" w:rsidRPr="00D337FA">
        <w:rPr>
          <w:szCs w:val="24"/>
        </w:rPr>
        <w:t xml:space="preserve"> </w:t>
      </w:r>
      <w:r w:rsidRPr="00D337FA">
        <w:rPr>
          <w:szCs w:val="24"/>
        </w:rPr>
        <w:t>интеллекта,</w:t>
      </w:r>
      <w:r w:rsidR="006C680D" w:rsidRPr="00D337FA">
        <w:rPr>
          <w:szCs w:val="24"/>
        </w:rPr>
        <w:t xml:space="preserve"> </w:t>
      </w:r>
      <w:r w:rsidRPr="00D337FA">
        <w:rPr>
          <w:szCs w:val="24"/>
        </w:rPr>
        <w:t>достижений</w:t>
      </w:r>
      <w:r w:rsidR="006C680D" w:rsidRPr="00D337FA">
        <w:rPr>
          <w:szCs w:val="24"/>
        </w:rPr>
        <w:t xml:space="preserve"> </w:t>
      </w:r>
      <w:r w:rsidRPr="00D337FA">
        <w:rPr>
          <w:szCs w:val="24"/>
        </w:rPr>
        <w:t>робототехники,</w:t>
      </w:r>
      <w:r w:rsidR="006C680D" w:rsidRPr="00D337FA">
        <w:rPr>
          <w:szCs w:val="24"/>
        </w:rPr>
        <w:t xml:space="preserve"> </w:t>
      </w:r>
      <w:r w:rsidRPr="00D337FA">
        <w:rPr>
          <w:szCs w:val="24"/>
        </w:rPr>
        <w:t>подготовки</w:t>
      </w:r>
      <w:r w:rsidR="006C680D" w:rsidRPr="00D337FA">
        <w:rPr>
          <w:szCs w:val="24"/>
        </w:rPr>
        <w:t xml:space="preserve"> </w:t>
      </w:r>
      <w:r w:rsidRPr="00D337FA">
        <w:rPr>
          <w:szCs w:val="24"/>
        </w:rPr>
        <w:t>кадров,</w:t>
      </w:r>
      <w:r w:rsidR="006C680D" w:rsidRPr="00D337FA">
        <w:rPr>
          <w:szCs w:val="24"/>
        </w:rPr>
        <w:t xml:space="preserve"> </w:t>
      </w:r>
      <w:r w:rsidRPr="00D337FA">
        <w:rPr>
          <w:szCs w:val="24"/>
        </w:rPr>
        <w:t>улучшению</w:t>
      </w:r>
      <w:r w:rsidR="006C680D" w:rsidRPr="00D337FA">
        <w:rPr>
          <w:szCs w:val="24"/>
        </w:rPr>
        <w:t xml:space="preserve"> </w:t>
      </w:r>
      <w:r w:rsidRPr="00D337FA">
        <w:rPr>
          <w:szCs w:val="24"/>
        </w:rPr>
        <w:t>качества</w:t>
      </w:r>
      <w:r w:rsidR="006C680D" w:rsidRPr="00D337FA">
        <w:rPr>
          <w:szCs w:val="24"/>
        </w:rPr>
        <w:t xml:space="preserve"> </w:t>
      </w:r>
      <w:r w:rsidRPr="00D337FA">
        <w:rPr>
          <w:szCs w:val="24"/>
        </w:rPr>
        <w:t>и</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жизни</w:t>
      </w:r>
      <w:r w:rsidR="006C680D" w:rsidRPr="00D337FA">
        <w:rPr>
          <w:szCs w:val="24"/>
        </w:rPr>
        <w:t xml:space="preserve"> </w:t>
      </w:r>
      <w:r w:rsidRPr="00D337FA">
        <w:rPr>
          <w:szCs w:val="24"/>
        </w:rPr>
        <w:t>в</w:t>
      </w:r>
      <w:r w:rsidR="006C680D" w:rsidRPr="00D337FA">
        <w:rPr>
          <w:szCs w:val="24"/>
        </w:rPr>
        <w:t xml:space="preserve"> </w:t>
      </w:r>
      <w:r w:rsidRPr="00D337FA">
        <w:rPr>
          <w:szCs w:val="24"/>
        </w:rPr>
        <w:t>сельской</w:t>
      </w:r>
      <w:r w:rsidR="006C680D" w:rsidRPr="00D337FA">
        <w:rPr>
          <w:szCs w:val="24"/>
        </w:rPr>
        <w:t xml:space="preserve"> </w:t>
      </w:r>
      <w:r w:rsidRPr="00D337FA">
        <w:rPr>
          <w:szCs w:val="24"/>
        </w:rPr>
        <w:t>местности</w:t>
      </w:r>
      <w:r w:rsidR="006C680D" w:rsidRPr="00D337FA">
        <w:rPr>
          <w:szCs w:val="24"/>
        </w:rPr>
        <w:t xml:space="preserve"> </w:t>
      </w:r>
      <w:r w:rsidRPr="00D337FA">
        <w:rPr>
          <w:szCs w:val="24"/>
        </w:rPr>
        <w:t>[11].</w:t>
      </w:r>
      <w:r w:rsidR="006C680D" w:rsidRPr="00D337FA">
        <w:rPr>
          <w:szCs w:val="24"/>
        </w:rPr>
        <w:t xml:space="preserve"> </w:t>
      </w:r>
      <w:r w:rsidRPr="00D337FA">
        <w:rPr>
          <w:szCs w:val="24"/>
        </w:rPr>
        <w:t>Всё</w:t>
      </w:r>
      <w:r w:rsidR="006C680D" w:rsidRPr="00D337FA">
        <w:rPr>
          <w:szCs w:val="24"/>
        </w:rPr>
        <w:t xml:space="preserve"> </w:t>
      </w:r>
      <w:r w:rsidRPr="00D337FA">
        <w:rPr>
          <w:szCs w:val="24"/>
        </w:rPr>
        <w:t>это</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приоритетом</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на</w:t>
      </w:r>
      <w:r w:rsidR="006C680D" w:rsidRPr="00D337FA">
        <w:rPr>
          <w:szCs w:val="24"/>
        </w:rPr>
        <w:t xml:space="preserve"> </w:t>
      </w:r>
      <w:r w:rsidRPr="00D337FA">
        <w:rPr>
          <w:szCs w:val="24"/>
        </w:rPr>
        <w:t>сегодняшний</w:t>
      </w:r>
      <w:r w:rsidR="006C680D" w:rsidRPr="00D337FA">
        <w:rPr>
          <w:szCs w:val="24"/>
        </w:rPr>
        <w:t xml:space="preserve"> </w:t>
      </w:r>
      <w:r w:rsidRPr="00D337FA">
        <w:rPr>
          <w:szCs w:val="24"/>
        </w:rPr>
        <w:t>день.</w:t>
      </w:r>
    </w:p>
    <w:p w:rsidR="00D33863" w:rsidRPr="00D337FA" w:rsidRDefault="00826D3F" w:rsidP="00544DD6">
      <w:pPr>
        <w:ind w:firstLine="284"/>
        <w:rPr>
          <w:b/>
          <w:szCs w:val="24"/>
          <w:highlight w:val="yellow"/>
        </w:rPr>
      </w:pPr>
      <w:r w:rsidRPr="00D337FA">
        <w:rPr>
          <w:szCs w:val="28"/>
        </w:rPr>
        <w:t>Таким</w:t>
      </w:r>
      <w:r w:rsidR="006C680D" w:rsidRPr="00D337FA">
        <w:rPr>
          <w:szCs w:val="28"/>
        </w:rPr>
        <w:t xml:space="preserve"> </w:t>
      </w:r>
      <w:r w:rsidRPr="00D337FA">
        <w:rPr>
          <w:szCs w:val="28"/>
        </w:rPr>
        <w:t>образом,</w:t>
      </w:r>
      <w:r w:rsidR="006C680D" w:rsidRPr="00D337FA">
        <w:rPr>
          <w:szCs w:val="28"/>
        </w:rPr>
        <w:t xml:space="preserve"> </w:t>
      </w:r>
      <w:r w:rsidRPr="00D337FA">
        <w:rPr>
          <w:szCs w:val="28"/>
        </w:rPr>
        <w:t>государственный</w:t>
      </w:r>
      <w:r w:rsidR="006C680D" w:rsidRPr="00D337FA">
        <w:rPr>
          <w:szCs w:val="28"/>
        </w:rPr>
        <w:t xml:space="preserve"> </w:t>
      </w:r>
      <w:r w:rsidRPr="00D337FA">
        <w:rPr>
          <w:szCs w:val="28"/>
        </w:rPr>
        <w:t>курс</w:t>
      </w:r>
      <w:r w:rsidR="006C680D" w:rsidRPr="00D337FA">
        <w:rPr>
          <w:szCs w:val="28"/>
        </w:rPr>
        <w:t xml:space="preserve"> </w:t>
      </w:r>
      <w:r w:rsidRPr="00D337FA">
        <w:rPr>
          <w:szCs w:val="28"/>
        </w:rPr>
        <w:t>на</w:t>
      </w:r>
      <w:r w:rsidR="006C680D" w:rsidRPr="00D337FA">
        <w:rPr>
          <w:szCs w:val="28"/>
        </w:rPr>
        <w:t xml:space="preserve"> </w:t>
      </w:r>
      <w:r w:rsidRPr="00D337FA">
        <w:rPr>
          <w:szCs w:val="28"/>
        </w:rPr>
        <w:t>устойчивое</w:t>
      </w:r>
      <w:r w:rsidR="006C680D" w:rsidRPr="00D337FA">
        <w:rPr>
          <w:szCs w:val="28"/>
        </w:rPr>
        <w:t xml:space="preserve"> </w:t>
      </w:r>
      <w:r w:rsidRPr="00D337FA">
        <w:rPr>
          <w:szCs w:val="28"/>
        </w:rPr>
        <w:t>развитие</w:t>
      </w:r>
      <w:r w:rsidR="006C680D" w:rsidRPr="00D337FA">
        <w:rPr>
          <w:szCs w:val="28"/>
        </w:rPr>
        <w:t xml:space="preserve"> </w:t>
      </w:r>
      <w:r w:rsidRPr="00D337FA">
        <w:rPr>
          <w:szCs w:val="28"/>
        </w:rPr>
        <w:t>АПК</w:t>
      </w:r>
      <w:r w:rsidR="006C680D" w:rsidRPr="00D337FA">
        <w:rPr>
          <w:szCs w:val="28"/>
        </w:rPr>
        <w:t xml:space="preserve"> </w:t>
      </w:r>
      <w:r w:rsidRPr="00D337FA">
        <w:rPr>
          <w:szCs w:val="28"/>
        </w:rPr>
        <w:t>является</w:t>
      </w:r>
      <w:r w:rsidR="006C680D" w:rsidRPr="00D337FA">
        <w:rPr>
          <w:szCs w:val="28"/>
        </w:rPr>
        <w:t xml:space="preserve"> </w:t>
      </w:r>
      <w:r w:rsidRPr="00D337FA">
        <w:rPr>
          <w:szCs w:val="28"/>
        </w:rPr>
        <w:t>сегодня</w:t>
      </w:r>
      <w:r w:rsidR="006C680D" w:rsidRPr="00D337FA">
        <w:rPr>
          <w:szCs w:val="28"/>
        </w:rPr>
        <w:t xml:space="preserve"> </w:t>
      </w:r>
      <w:r w:rsidRPr="00D337FA">
        <w:rPr>
          <w:szCs w:val="28"/>
        </w:rPr>
        <w:t>не</w:t>
      </w:r>
      <w:r w:rsidR="006C680D" w:rsidRPr="00D337FA">
        <w:rPr>
          <w:szCs w:val="28"/>
        </w:rPr>
        <w:t xml:space="preserve"> </w:t>
      </w:r>
      <w:r w:rsidRPr="00D337FA">
        <w:rPr>
          <w:szCs w:val="28"/>
        </w:rPr>
        <w:t>просто</w:t>
      </w:r>
      <w:r w:rsidR="006C680D" w:rsidRPr="00D337FA">
        <w:rPr>
          <w:szCs w:val="28"/>
        </w:rPr>
        <w:t xml:space="preserve"> </w:t>
      </w:r>
      <w:r w:rsidRPr="00D337FA">
        <w:rPr>
          <w:szCs w:val="28"/>
        </w:rPr>
        <w:t>модный</w:t>
      </w:r>
      <w:r w:rsidR="006C680D" w:rsidRPr="00D337FA">
        <w:rPr>
          <w:szCs w:val="28"/>
        </w:rPr>
        <w:t xml:space="preserve"> </w:t>
      </w:r>
      <w:r w:rsidRPr="00D337FA">
        <w:rPr>
          <w:szCs w:val="28"/>
        </w:rPr>
        <w:t>трендом,</w:t>
      </w:r>
      <w:r w:rsidR="006C680D" w:rsidRPr="00D337FA">
        <w:rPr>
          <w:szCs w:val="28"/>
        </w:rPr>
        <w:t xml:space="preserve"> </w:t>
      </w:r>
      <w:r w:rsidRPr="00D337FA">
        <w:rPr>
          <w:szCs w:val="28"/>
        </w:rPr>
        <w:t>а</w:t>
      </w:r>
      <w:r w:rsidR="006C680D" w:rsidRPr="00D337FA">
        <w:rPr>
          <w:szCs w:val="28"/>
        </w:rPr>
        <w:t xml:space="preserve"> </w:t>
      </w:r>
      <w:r w:rsidRPr="00D337FA">
        <w:rPr>
          <w:szCs w:val="28"/>
        </w:rPr>
        <w:t>необходимым</w:t>
      </w:r>
      <w:r w:rsidR="006C680D" w:rsidRPr="00D337FA">
        <w:rPr>
          <w:szCs w:val="28"/>
        </w:rPr>
        <w:t xml:space="preserve"> </w:t>
      </w:r>
      <w:r w:rsidRPr="00D337FA">
        <w:rPr>
          <w:szCs w:val="28"/>
        </w:rPr>
        <w:t>стратегическим</w:t>
      </w:r>
      <w:r w:rsidR="006C680D" w:rsidRPr="00D337FA">
        <w:rPr>
          <w:szCs w:val="28"/>
        </w:rPr>
        <w:t xml:space="preserve"> </w:t>
      </w:r>
      <w:r w:rsidRPr="00D337FA">
        <w:rPr>
          <w:szCs w:val="28"/>
        </w:rPr>
        <w:t>шагом</w:t>
      </w:r>
      <w:r w:rsidR="006C680D" w:rsidRPr="00D337FA">
        <w:rPr>
          <w:szCs w:val="28"/>
        </w:rPr>
        <w:t xml:space="preserve"> </w:t>
      </w:r>
      <w:r w:rsidRPr="00D337FA">
        <w:rPr>
          <w:szCs w:val="28"/>
        </w:rPr>
        <w:t>на</w:t>
      </w:r>
      <w:r w:rsidR="006C680D" w:rsidRPr="00D337FA">
        <w:rPr>
          <w:szCs w:val="28"/>
        </w:rPr>
        <w:t xml:space="preserve"> </w:t>
      </w:r>
      <w:r w:rsidRPr="00D337FA">
        <w:rPr>
          <w:szCs w:val="28"/>
        </w:rPr>
        <w:t>долгосрочную</w:t>
      </w:r>
      <w:r w:rsidR="006C680D" w:rsidRPr="00D337FA">
        <w:rPr>
          <w:szCs w:val="28"/>
        </w:rPr>
        <w:t xml:space="preserve"> </w:t>
      </w:r>
      <w:r w:rsidRPr="00D337FA">
        <w:rPr>
          <w:szCs w:val="28"/>
        </w:rPr>
        <w:t>перспективу,</w:t>
      </w:r>
      <w:r w:rsidR="006C680D" w:rsidRPr="00D337FA">
        <w:rPr>
          <w:szCs w:val="28"/>
        </w:rPr>
        <w:t xml:space="preserve"> </w:t>
      </w:r>
      <w:r w:rsidRPr="00D337FA">
        <w:rPr>
          <w:szCs w:val="28"/>
        </w:rPr>
        <w:t>базис</w:t>
      </w:r>
      <w:r w:rsidR="006C680D" w:rsidRPr="00D337FA">
        <w:rPr>
          <w:szCs w:val="28"/>
        </w:rPr>
        <w:t xml:space="preserve"> </w:t>
      </w:r>
      <w:r w:rsidRPr="00D337FA">
        <w:rPr>
          <w:szCs w:val="28"/>
        </w:rPr>
        <w:t>которого</w:t>
      </w:r>
      <w:r w:rsidR="006C680D" w:rsidRPr="00D337FA">
        <w:rPr>
          <w:szCs w:val="28"/>
        </w:rPr>
        <w:t xml:space="preserve"> </w:t>
      </w:r>
      <w:r w:rsidRPr="00D337FA">
        <w:rPr>
          <w:szCs w:val="28"/>
        </w:rPr>
        <w:t>сейчас</w:t>
      </w:r>
      <w:r w:rsidR="006C680D" w:rsidRPr="00D337FA">
        <w:rPr>
          <w:szCs w:val="28"/>
        </w:rPr>
        <w:t xml:space="preserve"> </w:t>
      </w:r>
      <w:r w:rsidRPr="00D337FA">
        <w:rPr>
          <w:szCs w:val="28"/>
        </w:rPr>
        <w:t>формируется.</w:t>
      </w:r>
      <w:r w:rsidR="006C680D" w:rsidRPr="00D337FA">
        <w:rPr>
          <w:szCs w:val="28"/>
        </w:rPr>
        <w:t xml:space="preserve"> </w:t>
      </w:r>
      <w:r w:rsidRPr="00D337FA">
        <w:rPr>
          <w:szCs w:val="28"/>
        </w:rPr>
        <w:t>Каждое</w:t>
      </w:r>
      <w:r w:rsidR="006C680D" w:rsidRPr="00D337FA">
        <w:rPr>
          <w:szCs w:val="28"/>
        </w:rPr>
        <w:t xml:space="preserve"> </w:t>
      </w:r>
      <w:r w:rsidRPr="00D337FA">
        <w:rPr>
          <w:szCs w:val="28"/>
        </w:rPr>
        <w:t>решение,</w:t>
      </w:r>
      <w:r w:rsidR="006C680D" w:rsidRPr="00D337FA">
        <w:rPr>
          <w:szCs w:val="28"/>
        </w:rPr>
        <w:t xml:space="preserve"> </w:t>
      </w:r>
      <w:r w:rsidRPr="00D337FA">
        <w:rPr>
          <w:szCs w:val="28"/>
        </w:rPr>
        <w:t>принятое</w:t>
      </w:r>
      <w:r w:rsidR="006C680D" w:rsidRPr="00D337FA">
        <w:rPr>
          <w:szCs w:val="28"/>
        </w:rPr>
        <w:t xml:space="preserve"> </w:t>
      </w:r>
      <w:r w:rsidRPr="00D337FA">
        <w:rPr>
          <w:szCs w:val="28"/>
        </w:rPr>
        <w:t>с</w:t>
      </w:r>
      <w:r w:rsidR="006C680D" w:rsidRPr="00D337FA">
        <w:rPr>
          <w:szCs w:val="28"/>
        </w:rPr>
        <w:t xml:space="preserve"> </w:t>
      </w:r>
      <w:r w:rsidRPr="00D337FA">
        <w:rPr>
          <w:szCs w:val="28"/>
        </w:rPr>
        <w:t>опозданием,</w:t>
      </w:r>
      <w:r w:rsidR="006C680D" w:rsidRPr="00D337FA">
        <w:rPr>
          <w:szCs w:val="28"/>
        </w:rPr>
        <w:t xml:space="preserve"> </w:t>
      </w:r>
      <w:r w:rsidRPr="00D337FA">
        <w:rPr>
          <w:szCs w:val="28"/>
        </w:rPr>
        <w:t>окажет</w:t>
      </w:r>
      <w:r w:rsidR="006C680D" w:rsidRPr="00D337FA">
        <w:rPr>
          <w:szCs w:val="28"/>
        </w:rPr>
        <w:t xml:space="preserve"> </w:t>
      </w:r>
      <w:r w:rsidRPr="00D337FA">
        <w:rPr>
          <w:szCs w:val="28"/>
        </w:rPr>
        <w:t>влияние</w:t>
      </w:r>
      <w:r w:rsidR="006C680D" w:rsidRPr="00D337FA">
        <w:rPr>
          <w:szCs w:val="28"/>
        </w:rPr>
        <w:t xml:space="preserve"> </w:t>
      </w:r>
      <w:r w:rsidRPr="00D337FA">
        <w:rPr>
          <w:szCs w:val="28"/>
        </w:rPr>
        <w:t>не</w:t>
      </w:r>
      <w:r w:rsidR="006C680D" w:rsidRPr="00D337FA">
        <w:rPr>
          <w:szCs w:val="28"/>
        </w:rPr>
        <w:t xml:space="preserve"> </w:t>
      </w:r>
      <w:r w:rsidRPr="00D337FA">
        <w:rPr>
          <w:szCs w:val="28"/>
        </w:rPr>
        <w:t>только</w:t>
      </w:r>
      <w:r w:rsidR="006C680D" w:rsidRPr="00D337FA">
        <w:rPr>
          <w:szCs w:val="28"/>
        </w:rPr>
        <w:t xml:space="preserve"> </w:t>
      </w:r>
      <w:r w:rsidRPr="00D337FA">
        <w:rPr>
          <w:szCs w:val="28"/>
        </w:rPr>
        <w:t>на</w:t>
      </w:r>
      <w:r w:rsidR="006C680D" w:rsidRPr="00D337FA">
        <w:rPr>
          <w:szCs w:val="28"/>
        </w:rPr>
        <w:t xml:space="preserve"> </w:t>
      </w:r>
      <w:r w:rsidRPr="00D337FA">
        <w:rPr>
          <w:szCs w:val="28"/>
        </w:rPr>
        <w:t>внутреннюю,</w:t>
      </w:r>
      <w:r w:rsidR="006C680D" w:rsidRPr="00D337FA">
        <w:rPr>
          <w:szCs w:val="28"/>
        </w:rPr>
        <w:t xml:space="preserve"> </w:t>
      </w:r>
      <w:r w:rsidRPr="00D337FA">
        <w:rPr>
          <w:szCs w:val="28"/>
        </w:rPr>
        <w:t>но</w:t>
      </w:r>
      <w:r w:rsidR="006C680D" w:rsidRPr="00D337FA">
        <w:rPr>
          <w:szCs w:val="28"/>
        </w:rPr>
        <w:t xml:space="preserve"> </w:t>
      </w:r>
      <w:r w:rsidRPr="00D337FA">
        <w:rPr>
          <w:szCs w:val="28"/>
        </w:rPr>
        <w:t>и</w:t>
      </w:r>
      <w:r w:rsidR="006C680D" w:rsidRPr="00D337FA">
        <w:rPr>
          <w:szCs w:val="28"/>
        </w:rPr>
        <w:t xml:space="preserve"> </w:t>
      </w:r>
      <w:r w:rsidRPr="00D337FA">
        <w:rPr>
          <w:szCs w:val="28"/>
        </w:rPr>
        <w:t>внешнюю</w:t>
      </w:r>
      <w:r w:rsidR="006C680D" w:rsidRPr="00D337FA">
        <w:rPr>
          <w:szCs w:val="28"/>
        </w:rPr>
        <w:t xml:space="preserve"> </w:t>
      </w:r>
      <w:r w:rsidRPr="00D337FA">
        <w:rPr>
          <w:szCs w:val="28"/>
        </w:rPr>
        <w:t>конъюнктуру,</w:t>
      </w:r>
      <w:r w:rsidR="006C680D" w:rsidRPr="00D337FA">
        <w:rPr>
          <w:szCs w:val="28"/>
        </w:rPr>
        <w:t xml:space="preserve"> </w:t>
      </w:r>
      <w:r w:rsidRPr="00D337FA">
        <w:rPr>
          <w:szCs w:val="28"/>
        </w:rPr>
        <w:t>которая</w:t>
      </w:r>
      <w:r w:rsidR="006C680D" w:rsidRPr="00D337FA">
        <w:rPr>
          <w:szCs w:val="28"/>
        </w:rPr>
        <w:t xml:space="preserve"> </w:t>
      </w:r>
      <w:r w:rsidRPr="00D337FA">
        <w:rPr>
          <w:szCs w:val="28"/>
        </w:rPr>
        <w:t>сейчас</w:t>
      </w:r>
      <w:r w:rsidR="006C680D" w:rsidRPr="00D337FA">
        <w:rPr>
          <w:szCs w:val="28"/>
        </w:rPr>
        <w:t xml:space="preserve"> </w:t>
      </w:r>
      <w:r w:rsidRPr="00D337FA">
        <w:rPr>
          <w:szCs w:val="28"/>
        </w:rPr>
        <w:t>находится</w:t>
      </w:r>
      <w:r w:rsidR="006C680D" w:rsidRPr="00D337FA">
        <w:rPr>
          <w:szCs w:val="28"/>
        </w:rPr>
        <w:t xml:space="preserve"> </w:t>
      </w:r>
      <w:r w:rsidRPr="00D337FA">
        <w:rPr>
          <w:szCs w:val="28"/>
        </w:rPr>
        <w:t>в</w:t>
      </w:r>
      <w:r w:rsidR="006C680D" w:rsidRPr="00D337FA">
        <w:rPr>
          <w:szCs w:val="28"/>
        </w:rPr>
        <w:t xml:space="preserve"> </w:t>
      </w:r>
      <w:r w:rsidRPr="00D337FA">
        <w:rPr>
          <w:szCs w:val="28"/>
        </w:rPr>
        <w:t>неустойчивом</w:t>
      </w:r>
      <w:r w:rsidR="006C680D" w:rsidRPr="00D337FA">
        <w:rPr>
          <w:szCs w:val="28"/>
        </w:rPr>
        <w:t xml:space="preserve"> </w:t>
      </w:r>
      <w:r w:rsidRPr="00D337FA">
        <w:rPr>
          <w:szCs w:val="28"/>
        </w:rPr>
        <w:t>состоянии,</w:t>
      </w:r>
      <w:r w:rsidR="006C680D" w:rsidRPr="00D337FA">
        <w:rPr>
          <w:szCs w:val="28"/>
        </w:rPr>
        <w:t xml:space="preserve"> </w:t>
      </w:r>
      <w:r w:rsidRPr="00D337FA">
        <w:rPr>
          <w:szCs w:val="28"/>
        </w:rPr>
        <w:t>что</w:t>
      </w:r>
      <w:r w:rsidR="006C680D" w:rsidRPr="00D337FA">
        <w:rPr>
          <w:szCs w:val="28"/>
        </w:rPr>
        <w:t xml:space="preserve"> </w:t>
      </w:r>
      <w:r w:rsidRPr="00D337FA">
        <w:rPr>
          <w:szCs w:val="28"/>
        </w:rPr>
        <w:t>приводит</w:t>
      </w:r>
      <w:r w:rsidR="006C680D" w:rsidRPr="00D337FA">
        <w:rPr>
          <w:szCs w:val="28"/>
        </w:rPr>
        <w:t xml:space="preserve"> </w:t>
      </w:r>
      <w:r w:rsidRPr="00D337FA">
        <w:rPr>
          <w:szCs w:val="28"/>
        </w:rPr>
        <w:t>к</w:t>
      </w:r>
      <w:r w:rsidR="006C680D" w:rsidRPr="00D337FA">
        <w:rPr>
          <w:szCs w:val="28"/>
        </w:rPr>
        <w:t xml:space="preserve"> </w:t>
      </w:r>
      <w:r w:rsidRPr="00D337FA">
        <w:rPr>
          <w:szCs w:val="28"/>
        </w:rPr>
        <w:t>волатильности</w:t>
      </w:r>
      <w:r w:rsidR="006C680D" w:rsidRPr="00D337FA">
        <w:rPr>
          <w:szCs w:val="28"/>
        </w:rPr>
        <w:t xml:space="preserve"> </w:t>
      </w:r>
      <w:r w:rsidRPr="00D337FA">
        <w:rPr>
          <w:szCs w:val="28"/>
        </w:rPr>
        <w:t>рынков</w:t>
      </w:r>
      <w:r w:rsidR="006C680D" w:rsidRPr="00D337FA">
        <w:rPr>
          <w:szCs w:val="28"/>
        </w:rPr>
        <w:t xml:space="preserve"> </w:t>
      </w:r>
      <w:r w:rsidRPr="00D337FA">
        <w:rPr>
          <w:szCs w:val="28"/>
        </w:rPr>
        <w:t>[12].</w:t>
      </w:r>
      <w:r w:rsidR="006C680D" w:rsidRPr="00D337FA">
        <w:rPr>
          <w:szCs w:val="28"/>
        </w:rPr>
        <w:t xml:space="preserve"> </w:t>
      </w:r>
      <w:r w:rsidRPr="00D337FA">
        <w:rPr>
          <w:szCs w:val="28"/>
        </w:rPr>
        <w:t>В</w:t>
      </w:r>
      <w:r w:rsidR="006C680D" w:rsidRPr="00D337FA">
        <w:rPr>
          <w:szCs w:val="28"/>
        </w:rPr>
        <w:t xml:space="preserve"> </w:t>
      </w:r>
      <w:r w:rsidRPr="00D337FA">
        <w:rPr>
          <w:szCs w:val="28"/>
        </w:rPr>
        <w:t>этих</w:t>
      </w:r>
      <w:r w:rsidR="006C680D" w:rsidRPr="00D337FA">
        <w:rPr>
          <w:szCs w:val="28"/>
        </w:rPr>
        <w:t xml:space="preserve"> </w:t>
      </w:r>
      <w:r w:rsidRPr="00D337FA">
        <w:rPr>
          <w:szCs w:val="28"/>
        </w:rPr>
        <w:t>условиях</w:t>
      </w:r>
      <w:r w:rsidR="006C680D" w:rsidRPr="00D337FA">
        <w:rPr>
          <w:szCs w:val="28"/>
        </w:rPr>
        <w:t xml:space="preserve"> </w:t>
      </w:r>
      <w:r w:rsidRPr="00D337FA">
        <w:rPr>
          <w:szCs w:val="28"/>
        </w:rPr>
        <w:t>страны,</w:t>
      </w:r>
      <w:r w:rsidR="006C680D" w:rsidRPr="00D337FA">
        <w:rPr>
          <w:szCs w:val="28"/>
        </w:rPr>
        <w:t xml:space="preserve"> </w:t>
      </w:r>
      <w:r w:rsidRPr="00D337FA">
        <w:rPr>
          <w:szCs w:val="28"/>
        </w:rPr>
        <w:t>сумевшие</w:t>
      </w:r>
      <w:r w:rsidR="006C680D" w:rsidRPr="00D337FA">
        <w:rPr>
          <w:szCs w:val="28"/>
        </w:rPr>
        <w:t xml:space="preserve"> </w:t>
      </w:r>
      <w:r w:rsidRPr="00D337FA">
        <w:rPr>
          <w:szCs w:val="28"/>
        </w:rPr>
        <w:t>найти</w:t>
      </w:r>
      <w:r w:rsidR="006C680D" w:rsidRPr="00D337FA">
        <w:rPr>
          <w:szCs w:val="28"/>
        </w:rPr>
        <w:t xml:space="preserve"> </w:t>
      </w:r>
      <w:r w:rsidRPr="00D337FA">
        <w:rPr>
          <w:szCs w:val="28"/>
        </w:rPr>
        <w:t>пути</w:t>
      </w:r>
      <w:r w:rsidR="006C680D" w:rsidRPr="00D337FA">
        <w:rPr>
          <w:szCs w:val="28"/>
        </w:rPr>
        <w:t xml:space="preserve"> </w:t>
      </w:r>
      <w:r w:rsidRPr="00D337FA">
        <w:rPr>
          <w:szCs w:val="28"/>
        </w:rPr>
        <w:t>выхода</w:t>
      </w:r>
      <w:r w:rsidR="006C680D" w:rsidRPr="00D337FA">
        <w:rPr>
          <w:szCs w:val="28"/>
        </w:rPr>
        <w:t xml:space="preserve"> </w:t>
      </w:r>
      <w:r w:rsidRPr="00D337FA">
        <w:rPr>
          <w:szCs w:val="28"/>
        </w:rPr>
        <w:t>из</w:t>
      </w:r>
      <w:r w:rsidR="006C680D" w:rsidRPr="00D337FA">
        <w:rPr>
          <w:szCs w:val="28"/>
        </w:rPr>
        <w:t xml:space="preserve"> </w:t>
      </w:r>
      <w:r w:rsidRPr="00D337FA">
        <w:rPr>
          <w:szCs w:val="28"/>
        </w:rPr>
        <w:t>сложившейся</w:t>
      </w:r>
      <w:r w:rsidR="006C680D" w:rsidRPr="00D337FA">
        <w:rPr>
          <w:szCs w:val="28"/>
        </w:rPr>
        <w:t xml:space="preserve"> </w:t>
      </w:r>
      <w:r w:rsidRPr="00D337FA">
        <w:rPr>
          <w:szCs w:val="28"/>
        </w:rPr>
        <w:t>ситуации,</w:t>
      </w:r>
      <w:r w:rsidR="006C680D" w:rsidRPr="00D337FA">
        <w:rPr>
          <w:szCs w:val="28"/>
        </w:rPr>
        <w:t xml:space="preserve"> </w:t>
      </w:r>
      <w:r w:rsidRPr="00D337FA">
        <w:rPr>
          <w:szCs w:val="28"/>
        </w:rPr>
        <w:t>смогут</w:t>
      </w:r>
      <w:r w:rsidR="006C680D" w:rsidRPr="00D337FA">
        <w:rPr>
          <w:szCs w:val="28"/>
        </w:rPr>
        <w:t xml:space="preserve"> </w:t>
      </w:r>
      <w:r w:rsidRPr="00D337FA">
        <w:rPr>
          <w:szCs w:val="28"/>
        </w:rPr>
        <w:t>не</w:t>
      </w:r>
      <w:r w:rsidR="006C680D" w:rsidRPr="00D337FA">
        <w:rPr>
          <w:szCs w:val="28"/>
        </w:rPr>
        <w:t xml:space="preserve"> </w:t>
      </w:r>
      <w:r w:rsidRPr="00D337FA">
        <w:rPr>
          <w:szCs w:val="28"/>
        </w:rPr>
        <w:t>только</w:t>
      </w:r>
      <w:r w:rsidR="006C680D" w:rsidRPr="00D337FA">
        <w:rPr>
          <w:szCs w:val="28"/>
        </w:rPr>
        <w:t xml:space="preserve"> </w:t>
      </w:r>
      <w:r w:rsidRPr="00D337FA">
        <w:rPr>
          <w:szCs w:val="28"/>
        </w:rPr>
        <w:t>получить</w:t>
      </w:r>
      <w:r w:rsidR="006C680D" w:rsidRPr="00D337FA">
        <w:rPr>
          <w:szCs w:val="28"/>
        </w:rPr>
        <w:t xml:space="preserve"> </w:t>
      </w:r>
      <w:r w:rsidRPr="00D337FA">
        <w:rPr>
          <w:szCs w:val="28"/>
        </w:rPr>
        <w:t>прибыль,</w:t>
      </w:r>
      <w:r w:rsidR="006C680D" w:rsidRPr="00D337FA">
        <w:rPr>
          <w:szCs w:val="28"/>
        </w:rPr>
        <w:t xml:space="preserve"> </w:t>
      </w:r>
      <w:r w:rsidRPr="00D337FA">
        <w:rPr>
          <w:szCs w:val="28"/>
        </w:rPr>
        <w:t>но</w:t>
      </w:r>
      <w:r w:rsidR="006C680D" w:rsidRPr="00D337FA">
        <w:rPr>
          <w:szCs w:val="28"/>
        </w:rPr>
        <w:t xml:space="preserve"> </w:t>
      </w:r>
      <w:r w:rsidRPr="00D337FA">
        <w:rPr>
          <w:szCs w:val="28"/>
        </w:rPr>
        <w:t>и</w:t>
      </w:r>
      <w:r w:rsidR="006C680D" w:rsidRPr="00D337FA">
        <w:rPr>
          <w:szCs w:val="28"/>
        </w:rPr>
        <w:t xml:space="preserve"> </w:t>
      </w:r>
      <w:r w:rsidRPr="00D337FA">
        <w:rPr>
          <w:szCs w:val="28"/>
        </w:rPr>
        <w:t>занять</w:t>
      </w:r>
      <w:r w:rsidR="006C680D" w:rsidRPr="00D337FA">
        <w:rPr>
          <w:szCs w:val="28"/>
        </w:rPr>
        <w:t xml:space="preserve"> </w:t>
      </w:r>
      <w:r w:rsidRPr="00D337FA">
        <w:rPr>
          <w:szCs w:val="28"/>
        </w:rPr>
        <w:t>выгодные</w:t>
      </w:r>
      <w:r w:rsidR="006C680D" w:rsidRPr="00D337FA">
        <w:rPr>
          <w:szCs w:val="28"/>
        </w:rPr>
        <w:t xml:space="preserve"> </w:t>
      </w:r>
      <w:r w:rsidRPr="00D337FA">
        <w:rPr>
          <w:szCs w:val="28"/>
        </w:rPr>
        <w:t>рыночные</w:t>
      </w:r>
      <w:r w:rsidR="006C680D" w:rsidRPr="00D337FA">
        <w:rPr>
          <w:szCs w:val="28"/>
        </w:rPr>
        <w:t xml:space="preserve"> </w:t>
      </w:r>
      <w:r w:rsidRPr="00D337FA">
        <w:rPr>
          <w:szCs w:val="28"/>
        </w:rPr>
        <w:t>позиции</w:t>
      </w:r>
      <w:r w:rsidR="006C680D" w:rsidRPr="00D337FA">
        <w:rPr>
          <w:szCs w:val="28"/>
        </w:rPr>
        <w:t xml:space="preserve"> </w:t>
      </w:r>
      <w:r w:rsidRPr="00D337FA">
        <w:rPr>
          <w:szCs w:val="28"/>
        </w:rPr>
        <w:t>на</w:t>
      </w:r>
      <w:r w:rsidR="006C680D" w:rsidRPr="00D337FA">
        <w:rPr>
          <w:szCs w:val="28"/>
        </w:rPr>
        <w:t xml:space="preserve"> </w:t>
      </w:r>
      <w:r w:rsidRPr="00D337FA">
        <w:rPr>
          <w:szCs w:val="28"/>
        </w:rPr>
        <w:t>мировой</w:t>
      </w:r>
      <w:r w:rsidR="006C680D" w:rsidRPr="00D337FA">
        <w:rPr>
          <w:szCs w:val="28"/>
        </w:rPr>
        <w:t xml:space="preserve"> </w:t>
      </w:r>
      <w:r w:rsidRPr="00D337FA">
        <w:rPr>
          <w:szCs w:val="28"/>
        </w:rPr>
        <w:t>арене.</w:t>
      </w:r>
      <w:r w:rsidR="006C680D" w:rsidRPr="00D337FA">
        <w:rPr>
          <w:szCs w:val="28"/>
        </w:rPr>
        <w:t xml:space="preserve"> </w:t>
      </w:r>
      <w:r w:rsidRPr="00D337FA">
        <w:rPr>
          <w:szCs w:val="28"/>
        </w:rPr>
        <w:t>При</w:t>
      </w:r>
      <w:r w:rsidR="006C680D" w:rsidRPr="00D337FA">
        <w:rPr>
          <w:szCs w:val="28"/>
        </w:rPr>
        <w:t xml:space="preserve"> </w:t>
      </w:r>
      <w:r w:rsidRPr="00D337FA">
        <w:rPr>
          <w:szCs w:val="28"/>
        </w:rPr>
        <w:t>этом</w:t>
      </w:r>
      <w:r w:rsidR="006C680D" w:rsidRPr="00D337FA">
        <w:rPr>
          <w:szCs w:val="28"/>
        </w:rPr>
        <w:t xml:space="preserve"> </w:t>
      </w:r>
      <w:r w:rsidRPr="00D337FA">
        <w:rPr>
          <w:szCs w:val="28"/>
        </w:rPr>
        <w:t>важно</w:t>
      </w:r>
      <w:r w:rsidR="006C680D" w:rsidRPr="00D337FA">
        <w:rPr>
          <w:szCs w:val="28"/>
        </w:rPr>
        <w:t xml:space="preserve"> </w:t>
      </w:r>
      <w:r w:rsidRPr="00D337FA">
        <w:rPr>
          <w:szCs w:val="28"/>
        </w:rPr>
        <w:t>сохранить</w:t>
      </w:r>
      <w:r w:rsidR="006C680D" w:rsidRPr="00D337FA">
        <w:rPr>
          <w:szCs w:val="28"/>
        </w:rPr>
        <w:t xml:space="preserve"> </w:t>
      </w:r>
      <w:r w:rsidRPr="00D337FA">
        <w:rPr>
          <w:szCs w:val="28"/>
        </w:rPr>
        <w:t>действующий</w:t>
      </w:r>
      <w:r w:rsidR="006C680D" w:rsidRPr="00D337FA">
        <w:rPr>
          <w:szCs w:val="28"/>
        </w:rPr>
        <w:t xml:space="preserve"> </w:t>
      </w:r>
      <w:r w:rsidRPr="00D337FA">
        <w:rPr>
          <w:szCs w:val="28"/>
        </w:rPr>
        <w:t>курс</w:t>
      </w:r>
      <w:r w:rsidR="006C680D" w:rsidRPr="00D337FA">
        <w:rPr>
          <w:szCs w:val="28"/>
        </w:rPr>
        <w:t xml:space="preserve"> </w:t>
      </w:r>
      <w:r w:rsidRPr="00D337FA">
        <w:rPr>
          <w:szCs w:val="28"/>
        </w:rPr>
        <w:t>на</w:t>
      </w:r>
      <w:r w:rsidR="006C680D" w:rsidRPr="00D337FA">
        <w:rPr>
          <w:szCs w:val="28"/>
        </w:rPr>
        <w:t xml:space="preserve"> </w:t>
      </w:r>
      <w:r w:rsidRPr="00D337FA">
        <w:rPr>
          <w:szCs w:val="28"/>
        </w:rPr>
        <w:t>выравнивание</w:t>
      </w:r>
      <w:r w:rsidR="006C680D" w:rsidRPr="00D337FA">
        <w:rPr>
          <w:szCs w:val="28"/>
        </w:rPr>
        <w:t xml:space="preserve"> </w:t>
      </w:r>
      <w:r w:rsidRPr="00D337FA">
        <w:rPr>
          <w:szCs w:val="28"/>
        </w:rPr>
        <w:t>региональных</w:t>
      </w:r>
      <w:r w:rsidR="006C680D" w:rsidRPr="00D337FA">
        <w:rPr>
          <w:szCs w:val="28"/>
        </w:rPr>
        <w:t xml:space="preserve"> </w:t>
      </w:r>
      <w:r w:rsidRPr="00D337FA">
        <w:rPr>
          <w:szCs w:val="28"/>
        </w:rPr>
        <w:t>возможностей</w:t>
      </w:r>
      <w:r w:rsidR="006C680D" w:rsidRPr="00D337FA">
        <w:rPr>
          <w:szCs w:val="28"/>
        </w:rPr>
        <w:t xml:space="preserve"> </w:t>
      </w:r>
      <w:r w:rsidRPr="00D337FA">
        <w:rPr>
          <w:szCs w:val="28"/>
        </w:rPr>
        <w:t>в</w:t>
      </w:r>
      <w:r w:rsidR="006C680D" w:rsidRPr="00D337FA">
        <w:rPr>
          <w:szCs w:val="28"/>
        </w:rPr>
        <w:t xml:space="preserve"> </w:t>
      </w:r>
      <w:r w:rsidRPr="00D337FA">
        <w:rPr>
          <w:szCs w:val="28"/>
        </w:rPr>
        <w:t>условиях</w:t>
      </w:r>
      <w:r w:rsidR="006C680D" w:rsidRPr="00D337FA">
        <w:rPr>
          <w:szCs w:val="28"/>
        </w:rPr>
        <w:t xml:space="preserve"> </w:t>
      </w:r>
      <w:r w:rsidRPr="00D337FA">
        <w:rPr>
          <w:szCs w:val="28"/>
        </w:rPr>
        <w:t>трансформации</w:t>
      </w:r>
      <w:r w:rsidR="006C680D" w:rsidRPr="00D337FA">
        <w:rPr>
          <w:szCs w:val="28"/>
        </w:rPr>
        <w:t xml:space="preserve"> </w:t>
      </w:r>
      <w:r w:rsidRPr="00D337FA">
        <w:rPr>
          <w:szCs w:val="28"/>
        </w:rPr>
        <w:t>экономической</w:t>
      </w:r>
      <w:r w:rsidR="006C680D" w:rsidRPr="00D337FA">
        <w:rPr>
          <w:szCs w:val="28"/>
        </w:rPr>
        <w:t xml:space="preserve"> </w:t>
      </w:r>
      <w:r w:rsidRPr="00D337FA">
        <w:rPr>
          <w:szCs w:val="28"/>
        </w:rPr>
        <w:t>системы,</w:t>
      </w:r>
      <w:r w:rsidR="006C680D" w:rsidRPr="00D337FA">
        <w:rPr>
          <w:szCs w:val="28"/>
        </w:rPr>
        <w:t xml:space="preserve"> </w:t>
      </w:r>
      <w:r w:rsidRPr="00D337FA">
        <w:rPr>
          <w:szCs w:val="28"/>
        </w:rPr>
        <w:t>которая</w:t>
      </w:r>
      <w:r w:rsidR="006C680D" w:rsidRPr="00D337FA">
        <w:rPr>
          <w:szCs w:val="28"/>
        </w:rPr>
        <w:t xml:space="preserve"> </w:t>
      </w:r>
      <w:r w:rsidRPr="00D337FA">
        <w:rPr>
          <w:szCs w:val="28"/>
        </w:rPr>
        <w:t>не</w:t>
      </w:r>
      <w:r w:rsidR="006C680D" w:rsidRPr="00D337FA">
        <w:rPr>
          <w:szCs w:val="28"/>
        </w:rPr>
        <w:t xml:space="preserve"> </w:t>
      </w:r>
      <w:r w:rsidRPr="00D337FA">
        <w:rPr>
          <w:szCs w:val="28"/>
        </w:rPr>
        <w:t>всегда</w:t>
      </w:r>
      <w:r w:rsidR="006C680D" w:rsidRPr="00D337FA">
        <w:rPr>
          <w:szCs w:val="28"/>
        </w:rPr>
        <w:t xml:space="preserve"> </w:t>
      </w:r>
      <w:r w:rsidRPr="00D337FA">
        <w:rPr>
          <w:szCs w:val="28"/>
        </w:rPr>
        <w:t>позволяет</w:t>
      </w:r>
      <w:r w:rsidR="006C680D" w:rsidRPr="00D337FA">
        <w:rPr>
          <w:szCs w:val="28"/>
        </w:rPr>
        <w:t xml:space="preserve"> </w:t>
      </w:r>
      <w:r w:rsidRPr="00D337FA">
        <w:rPr>
          <w:szCs w:val="28"/>
        </w:rPr>
        <w:t>эффективно</w:t>
      </w:r>
      <w:r w:rsidR="006C680D" w:rsidRPr="00D337FA">
        <w:rPr>
          <w:szCs w:val="28"/>
        </w:rPr>
        <w:t xml:space="preserve"> </w:t>
      </w:r>
      <w:r w:rsidRPr="00D337FA">
        <w:rPr>
          <w:szCs w:val="28"/>
        </w:rPr>
        <w:t>использовать</w:t>
      </w:r>
      <w:r w:rsidR="006C680D" w:rsidRPr="00D337FA">
        <w:rPr>
          <w:szCs w:val="28"/>
        </w:rPr>
        <w:t xml:space="preserve"> </w:t>
      </w:r>
      <w:r w:rsidRPr="00D337FA">
        <w:rPr>
          <w:szCs w:val="28"/>
        </w:rPr>
        <w:t>все</w:t>
      </w:r>
      <w:r w:rsidR="006C680D" w:rsidRPr="00D337FA">
        <w:rPr>
          <w:szCs w:val="28"/>
        </w:rPr>
        <w:t xml:space="preserve"> </w:t>
      </w:r>
      <w:r w:rsidRPr="00D337FA">
        <w:rPr>
          <w:szCs w:val="28"/>
        </w:rPr>
        <w:t>предоставляемые</w:t>
      </w:r>
      <w:r w:rsidR="006C680D" w:rsidRPr="00D337FA">
        <w:rPr>
          <w:szCs w:val="28"/>
        </w:rPr>
        <w:t xml:space="preserve"> </w:t>
      </w:r>
      <w:r w:rsidRPr="00D337FA">
        <w:rPr>
          <w:szCs w:val="28"/>
        </w:rPr>
        <w:t>меры</w:t>
      </w:r>
      <w:r w:rsidR="006C680D" w:rsidRPr="00D337FA">
        <w:rPr>
          <w:szCs w:val="28"/>
        </w:rPr>
        <w:t xml:space="preserve"> </w:t>
      </w:r>
      <w:r w:rsidRPr="00D337FA">
        <w:rPr>
          <w:szCs w:val="28"/>
        </w:rPr>
        <w:t>государственной</w:t>
      </w:r>
      <w:r w:rsidR="006C680D" w:rsidRPr="00D337FA">
        <w:rPr>
          <w:szCs w:val="28"/>
        </w:rPr>
        <w:t xml:space="preserve"> </w:t>
      </w:r>
      <w:r w:rsidRPr="00D337FA">
        <w:rPr>
          <w:szCs w:val="28"/>
        </w:rPr>
        <w:t>поддержки</w:t>
      </w:r>
      <w:r w:rsidR="006C680D" w:rsidRPr="00D337FA">
        <w:rPr>
          <w:szCs w:val="28"/>
        </w:rPr>
        <w:t xml:space="preserve"> </w:t>
      </w:r>
      <w:r w:rsidRPr="00D337FA">
        <w:rPr>
          <w:szCs w:val="28"/>
        </w:rPr>
        <w:t>[13].</w:t>
      </w:r>
      <w:r w:rsidR="006C680D" w:rsidRPr="00D337FA">
        <w:rPr>
          <w:szCs w:val="28"/>
        </w:rPr>
        <w:t xml:space="preserve"> </w:t>
      </w:r>
      <w:r w:rsidRPr="00D337FA">
        <w:rPr>
          <w:szCs w:val="28"/>
        </w:rPr>
        <w:t>Глобальным</w:t>
      </w:r>
      <w:r w:rsidR="006C680D" w:rsidRPr="00D337FA">
        <w:rPr>
          <w:szCs w:val="28"/>
        </w:rPr>
        <w:t xml:space="preserve"> </w:t>
      </w:r>
      <w:r w:rsidRPr="00D337FA">
        <w:rPr>
          <w:szCs w:val="28"/>
        </w:rPr>
        <w:t>трендом</w:t>
      </w:r>
      <w:r w:rsidR="006C680D" w:rsidRPr="00D337FA">
        <w:rPr>
          <w:szCs w:val="28"/>
        </w:rPr>
        <w:t xml:space="preserve"> </w:t>
      </w:r>
      <w:r w:rsidRPr="00D337FA">
        <w:rPr>
          <w:szCs w:val="28"/>
        </w:rPr>
        <w:t>на</w:t>
      </w:r>
      <w:r w:rsidR="006C680D" w:rsidRPr="00D337FA">
        <w:rPr>
          <w:szCs w:val="28"/>
        </w:rPr>
        <w:t xml:space="preserve"> </w:t>
      </w:r>
      <w:r w:rsidRPr="00D337FA">
        <w:rPr>
          <w:szCs w:val="28"/>
        </w:rPr>
        <w:t>текущий</w:t>
      </w:r>
      <w:r w:rsidR="006C680D" w:rsidRPr="00D337FA">
        <w:rPr>
          <w:szCs w:val="28"/>
        </w:rPr>
        <w:t xml:space="preserve"> </w:t>
      </w:r>
      <w:r w:rsidRPr="00D337FA">
        <w:rPr>
          <w:szCs w:val="28"/>
        </w:rPr>
        <w:t>период</w:t>
      </w:r>
      <w:r w:rsidR="006C680D" w:rsidRPr="00D337FA">
        <w:rPr>
          <w:szCs w:val="28"/>
        </w:rPr>
        <w:t xml:space="preserve"> </w:t>
      </w:r>
      <w:r w:rsidRPr="00D337FA">
        <w:rPr>
          <w:szCs w:val="28"/>
        </w:rPr>
        <w:t>являются</w:t>
      </w:r>
      <w:r w:rsidR="006C680D" w:rsidRPr="00D337FA">
        <w:rPr>
          <w:szCs w:val="28"/>
        </w:rPr>
        <w:t xml:space="preserve"> </w:t>
      </w:r>
      <w:r w:rsidRPr="00D337FA">
        <w:rPr>
          <w:szCs w:val="28"/>
        </w:rPr>
        <w:t>новые</w:t>
      </w:r>
      <w:r w:rsidR="006C680D" w:rsidRPr="00D337FA">
        <w:rPr>
          <w:szCs w:val="28"/>
        </w:rPr>
        <w:t xml:space="preserve"> </w:t>
      </w:r>
      <w:r w:rsidRPr="00D337FA">
        <w:rPr>
          <w:szCs w:val="28"/>
        </w:rPr>
        <w:t>техноло</w:t>
      </w:r>
      <w:r w:rsidRPr="00D337FA">
        <w:rPr>
          <w:szCs w:val="28"/>
        </w:rPr>
        <w:lastRenderedPageBreak/>
        <w:t>гии</w:t>
      </w:r>
      <w:r w:rsidR="006C680D" w:rsidRPr="00D337FA">
        <w:rPr>
          <w:szCs w:val="28"/>
        </w:rPr>
        <w:t xml:space="preserve"> </w:t>
      </w:r>
      <w:r w:rsidRPr="00D337FA">
        <w:rPr>
          <w:szCs w:val="28"/>
        </w:rPr>
        <w:t>и</w:t>
      </w:r>
      <w:r w:rsidR="006C680D" w:rsidRPr="00D337FA">
        <w:rPr>
          <w:szCs w:val="28"/>
        </w:rPr>
        <w:t xml:space="preserve"> </w:t>
      </w:r>
      <w:r w:rsidRPr="00D337FA">
        <w:rPr>
          <w:szCs w:val="28"/>
        </w:rPr>
        <w:t>стартапы,</w:t>
      </w:r>
      <w:r w:rsidR="006C680D" w:rsidRPr="00D337FA">
        <w:rPr>
          <w:szCs w:val="28"/>
        </w:rPr>
        <w:t xml:space="preserve"> </w:t>
      </w:r>
      <w:r w:rsidRPr="00D337FA">
        <w:rPr>
          <w:szCs w:val="28"/>
        </w:rPr>
        <w:t>позволяющие</w:t>
      </w:r>
      <w:r w:rsidR="006C680D" w:rsidRPr="00D337FA">
        <w:rPr>
          <w:szCs w:val="28"/>
        </w:rPr>
        <w:t xml:space="preserve"> </w:t>
      </w:r>
      <w:r w:rsidRPr="00D337FA">
        <w:rPr>
          <w:szCs w:val="28"/>
        </w:rPr>
        <w:t>не</w:t>
      </w:r>
      <w:r w:rsidR="006C680D" w:rsidRPr="00D337FA">
        <w:rPr>
          <w:szCs w:val="28"/>
        </w:rPr>
        <w:t xml:space="preserve"> </w:t>
      </w:r>
      <w:r w:rsidRPr="00D337FA">
        <w:rPr>
          <w:szCs w:val="28"/>
        </w:rPr>
        <w:t>только</w:t>
      </w:r>
      <w:r w:rsidR="006C680D" w:rsidRPr="00D337FA">
        <w:rPr>
          <w:szCs w:val="28"/>
        </w:rPr>
        <w:t xml:space="preserve"> </w:t>
      </w:r>
      <w:r w:rsidRPr="00D337FA">
        <w:rPr>
          <w:szCs w:val="28"/>
        </w:rPr>
        <w:t>автоматизировать</w:t>
      </w:r>
      <w:r w:rsidR="006C680D" w:rsidRPr="00D337FA">
        <w:rPr>
          <w:szCs w:val="28"/>
        </w:rPr>
        <w:t xml:space="preserve"> </w:t>
      </w:r>
      <w:r w:rsidRPr="00D337FA">
        <w:rPr>
          <w:szCs w:val="28"/>
        </w:rPr>
        <w:t>производство,</w:t>
      </w:r>
      <w:r w:rsidR="006C680D" w:rsidRPr="00D337FA">
        <w:rPr>
          <w:szCs w:val="28"/>
        </w:rPr>
        <w:t xml:space="preserve"> </w:t>
      </w:r>
      <w:r w:rsidRPr="00D337FA">
        <w:rPr>
          <w:szCs w:val="28"/>
        </w:rPr>
        <w:t>но</w:t>
      </w:r>
      <w:r w:rsidR="006C680D" w:rsidRPr="00D337FA">
        <w:rPr>
          <w:szCs w:val="28"/>
        </w:rPr>
        <w:t xml:space="preserve"> </w:t>
      </w:r>
      <w:r w:rsidRPr="00D337FA">
        <w:rPr>
          <w:szCs w:val="28"/>
        </w:rPr>
        <w:t>и</w:t>
      </w:r>
      <w:r w:rsidR="006C680D" w:rsidRPr="00D337FA">
        <w:rPr>
          <w:szCs w:val="28"/>
        </w:rPr>
        <w:t xml:space="preserve"> </w:t>
      </w:r>
      <w:r w:rsidRPr="00D337FA">
        <w:rPr>
          <w:szCs w:val="28"/>
        </w:rPr>
        <w:t>привлечь</w:t>
      </w:r>
      <w:r w:rsidR="006C680D" w:rsidRPr="00D337FA">
        <w:rPr>
          <w:szCs w:val="28"/>
        </w:rPr>
        <w:t xml:space="preserve"> </w:t>
      </w:r>
      <w:r w:rsidRPr="00D337FA">
        <w:rPr>
          <w:szCs w:val="28"/>
        </w:rPr>
        <w:t>инвесторов,</w:t>
      </w:r>
      <w:r w:rsidR="006C680D" w:rsidRPr="00D337FA">
        <w:rPr>
          <w:szCs w:val="28"/>
        </w:rPr>
        <w:t xml:space="preserve"> </w:t>
      </w:r>
      <w:r w:rsidRPr="00D337FA">
        <w:rPr>
          <w:szCs w:val="28"/>
        </w:rPr>
        <w:t>ожидающих</w:t>
      </w:r>
      <w:r w:rsidR="006C680D" w:rsidRPr="00D337FA">
        <w:rPr>
          <w:szCs w:val="28"/>
        </w:rPr>
        <w:t xml:space="preserve"> </w:t>
      </w:r>
      <w:r w:rsidRPr="00D337FA">
        <w:rPr>
          <w:szCs w:val="28"/>
        </w:rPr>
        <w:t>выгодные</w:t>
      </w:r>
      <w:r w:rsidR="006C680D" w:rsidRPr="00D337FA">
        <w:rPr>
          <w:szCs w:val="28"/>
        </w:rPr>
        <w:t xml:space="preserve"> </w:t>
      </w:r>
      <w:r w:rsidRPr="00D337FA">
        <w:rPr>
          <w:szCs w:val="28"/>
        </w:rPr>
        <w:lastRenderedPageBreak/>
        <w:t>предложения</w:t>
      </w:r>
      <w:r w:rsidR="006C680D" w:rsidRPr="00D337FA">
        <w:rPr>
          <w:szCs w:val="28"/>
        </w:rPr>
        <w:t xml:space="preserve"> </w:t>
      </w:r>
      <w:r w:rsidRPr="00D337FA">
        <w:rPr>
          <w:szCs w:val="28"/>
        </w:rPr>
        <w:t>для</w:t>
      </w:r>
      <w:r w:rsidR="006C680D" w:rsidRPr="00D337FA">
        <w:rPr>
          <w:szCs w:val="28"/>
        </w:rPr>
        <w:t xml:space="preserve"> </w:t>
      </w:r>
      <w:r w:rsidRPr="00D337FA">
        <w:rPr>
          <w:szCs w:val="28"/>
        </w:rPr>
        <w:t>реализации</w:t>
      </w:r>
      <w:r w:rsidR="006C680D" w:rsidRPr="00D337FA">
        <w:rPr>
          <w:szCs w:val="28"/>
        </w:rPr>
        <w:t xml:space="preserve"> </w:t>
      </w:r>
      <w:r w:rsidRPr="00D337FA">
        <w:rPr>
          <w:szCs w:val="28"/>
        </w:rPr>
        <w:t>имеющегося</w:t>
      </w:r>
      <w:r w:rsidR="006C680D" w:rsidRPr="00D337FA">
        <w:rPr>
          <w:szCs w:val="28"/>
        </w:rPr>
        <w:t xml:space="preserve"> </w:t>
      </w:r>
      <w:r w:rsidRPr="00D337FA">
        <w:rPr>
          <w:szCs w:val="28"/>
        </w:rPr>
        <w:t>у</w:t>
      </w:r>
      <w:r w:rsidR="006C680D" w:rsidRPr="00D337FA">
        <w:rPr>
          <w:szCs w:val="28"/>
        </w:rPr>
        <w:t xml:space="preserve"> </w:t>
      </w:r>
      <w:r w:rsidRPr="00D337FA">
        <w:rPr>
          <w:szCs w:val="28"/>
        </w:rPr>
        <w:t>них</w:t>
      </w:r>
      <w:r w:rsidR="006C680D" w:rsidRPr="00D337FA">
        <w:rPr>
          <w:szCs w:val="28"/>
        </w:rPr>
        <w:t xml:space="preserve"> </w:t>
      </w:r>
      <w:r w:rsidRPr="00D337FA">
        <w:rPr>
          <w:szCs w:val="28"/>
        </w:rPr>
        <w:t>капитала.</w:t>
      </w:r>
    </w:p>
    <w:p w:rsidR="008932D6" w:rsidRPr="00D337FA" w:rsidRDefault="008932D6" w:rsidP="00544DD6">
      <w:pPr>
        <w:ind w:firstLine="284"/>
        <w:rPr>
          <w:b/>
          <w:szCs w:val="24"/>
          <w:highlight w:val="yellow"/>
        </w:rPr>
        <w:sectPr w:rsidR="008932D6" w:rsidRPr="00D337FA" w:rsidSect="008932D6">
          <w:footnotePr>
            <w:numRestart w:val="eachPage"/>
          </w:footnotePr>
          <w:type w:val="continuous"/>
          <w:pgSz w:w="11907" w:h="16840" w:code="9"/>
          <w:pgMar w:top="1418" w:right="1134" w:bottom="1418" w:left="1134" w:header="1021" w:footer="1021" w:gutter="0"/>
          <w:cols w:num="2" w:space="708"/>
          <w:docGrid w:linePitch="360"/>
        </w:sectPr>
      </w:pPr>
    </w:p>
    <w:p w:rsidR="00826D3F" w:rsidRPr="00D337FA" w:rsidRDefault="00826D3F" w:rsidP="00544DD6">
      <w:pPr>
        <w:jc w:val="right"/>
        <w:rPr>
          <w:rFonts w:ascii="Arial" w:hAnsi="Arial"/>
          <w:i/>
          <w:sz w:val="22"/>
          <w:szCs w:val="22"/>
        </w:rPr>
      </w:pPr>
    </w:p>
    <w:p w:rsidR="00544DD6" w:rsidRPr="00D337FA" w:rsidRDefault="00544DD6" w:rsidP="00544DD6">
      <w:pPr>
        <w:jc w:val="right"/>
        <w:rPr>
          <w:rFonts w:ascii="Arial" w:hAnsi="Arial"/>
          <w:i/>
          <w:sz w:val="22"/>
          <w:szCs w:val="22"/>
        </w:rPr>
      </w:pPr>
      <w:r w:rsidRPr="00D337FA">
        <w:rPr>
          <w:rFonts w:ascii="Arial" w:hAnsi="Arial"/>
          <w:i/>
          <w:sz w:val="22"/>
          <w:szCs w:val="22"/>
        </w:rPr>
        <w:t>Таблица</w:t>
      </w:r>
      <w:r w:rsidR="006C680D" w:rsidRPr="00D337FA">
        <w:rPr>
          <w:rFonts w:ascii="Arial" w:hAnsi="Arial"/>
          <w:i/>
          <w:sz w:val="22"/>
          <w:szCs w:val="22"/>
        </w:rPr>
        <w:t xml:space="preserve"> </w:t>
      </w:r>
      <w:r w:rsidRPr="00D337FA">
        <w:rPr>
          <w:rFonts w:ascii="Arial" w:hAnsi="Arial"/>
          <w:i/>
          <w:sz w:val="22"/>
          <w:szCs w:val="22"/>
        </w:rPr>
        <w:t>3</w:t>
      </w:r>
    </w:p>
    <w:p w:rsidR="008932D6" w:rsidRPr="00D337FA" w:rsidRDefault="00544DD6" w:rsidP="008932D6">
      <w:pPr>
        <w:jc w:val="center"/>
        <w:rPr>
          <w:rFonts w:ascii="Arial" w:hAnsi="Arial"/>
          <w:i/>
          <w:sz w:val="22"/>
          <w:szCs w:val="22"/>
        </w:rPr>
      </w:pPr>
      <w:r w:rsidRPr="00D337FA">
        <w:rPr>
          <w:rFonts w:ascii="Arial" w:hAnsi="Arial"/>
          <w:i/>
          <w:sz w:val="22"/>
          <w:szCs w:val="22"/>
        </w:rPr>
        <w:t>Основные</w:t>
      </w:r>
      <w:r w:rsidR="006C680D" w:rsidRPr="00D337FA">
        <w:rPr>
          <w:rFonts w:ascii="Arial" w:hAnsi="Arial"/>
          <w:i/>
          <w:sz w:val="22"/>
          <w:szCs w:val="22"/>
        </w:rPr>
        <w:t xml:space="preserve"> </w:t>
      </w:r>
      <w:r w:rsidRPr="00D337FA">
        <w:rPr>
          <w:rFonts w:ascii="Arial" w:hAnsi="Arial"/>
          <w:i/>
          <w:sz w:val="22"/>
          <w:szCs w:val="22"/>
        </w:rPr>
        <w:t>программы</w:t>
      </w:r>
      <w:r w:rsidR="006C680D" w:rsidRPr="00D337FA">
        <w:rPr>
          <w:rFonts w:ascii="Arial" w:hAnsi="Arial"/>
          <w:i/>
          <w:sz w:val="22"/>
          <w:szCs w:val="22"/>
        </w:rPr>
        <w:t xml:space="preserve"> </w:t>
      </w:r>
      <w:r w:rsidRPr="00D337FA">
        <w:rPr>
          <w:rFonts w:ascii="Arial" w:hAnsi="Arial"/>
          <w:i/>
          <w:sz w:val="22"/>
          <w:szCs w:val="22"/>
        </w:rPr>
        <w:t>по</w:t>
      </w:r>
      <w:r w:rsidR="006C680D" w:rsidRPr="00D337FA">
        <w:rPr>
          <w:rFonts w:ascii="Arial" w:hAnsi="Arial"/>
          <w:i/>
          <w:sz w:val="22"/>
          <w:szCs w:val="22"/>
        </w:rPr>
        <w:t xml:space="preserve"> </w:t>
      </w:r>
      <w:r w:rsidRPr="00D337FA">
        <w:rPr>
          <w:rFonts w:ascii="Arial" w:hAnsi="Arial"/>
          <w:i/>
          <w:sz w:val="22"/>
          <w:szCs w:val="22"/>
        </w:rPr>
        <w:t>государственной</w:t>
      </w:r>
      <w:r w:rsidR="006C680D" w:rsidRPr="00D337FA">
        <w:rPr>
          <w:rFonts w:ascii="Arial" w:hAnsi="Arial"/>
          <w:i/>
          <w:sz w:val="22"/>
          <w:szCs w:val="22"/>
        </w:rPr>
        <w:t xml:space="preserve"> </w:t>
      </w:r>
      <w:r w:rsidRPr="00D337FA">
        <w:rPr>
          <w:rFonts w:ascii="Arial" w:hAnsi="Arial"/>
          <w:i/>
          <w:sz w:val="22"/>
          <w:szCs w:val="22"/>
        </w:rPr>
        <w:t>поддержке</w:t>
      </w:r>
      <w:r w:rsidR="006C680D" w:rsidRPr="00D337FA">
        <w:rPr>
          <w:rFonts w:ascii="Arial" w:hAnsi="Arial"/>
          <w:i/>
          <w:sz w:val="22"/>
          <w:szCs w:val="22"/>
        </w:rPr>
        <w:t xml:space="preserve"> </w:t>
      </w:r>
      <w:r w:rsidRPr="00D337FA">
        <w:rPr>
          <w:rFonts w:ascii="Arial" w:hAnsi="Arial"/>
          <w:i/>
          <w:sz w:val="22"/>
          <w:szCs w:val="22"/>
        </w:rPr>
        <w:t>сельского</w:t>
      </w:r>
      <w:r w:rsidR="006C680D" w:rsidRPr="00D337FA">
        <w:rPr>
          <w:rFonts w:ascii="Arial" w:hAnsi="Arial"/>
          <w:i/>
          <w:sz w:val="22"/>
          <w:szCs w:val="22"/>
        </w:rPr>
        <w:t xml:space="preserve"> </w:t>
      </w:r>
      <w:r w:rsidRPr="00D337FA">
        <w:rPr>
          <w:rFonts w:ascii="Arial" w:hAnsi="Arial"/>
          <w:i/>
          <w:sz w:val="22"/>
          <w:szCs w:val="22"/>
        </w:rPr>
        <w:t>хозяйства</w:t>
      </w:r>
    </w:p>
    <w:tbl>
      <w:tblPr>
        <w:tblStyle w:val="afa"/>
        <w:tblW w:w="9890" w:type="dxa"/>
        <w:tblLook w:val="04A0" w:firstRow="1" w:lastRow="0" w:firstColumn="1" w:lastColumn="0" w:noHBand="0" w:noVBand="1"/>
      </w:tblPr>
      <w:tblGrid>
        <w:gridCol w:w="1668"/>
        <w:gridCol w:w="8222"/>
      </w:tblGrid>
      <w:tr w:rsidR="00D337FA" w:rsidRPr="00D337FA" w:rsidTr="00826D3F">
        <w:trPr>
          <w:trHeight w:val="293"/>
        </w:trPr>
        <w:tc>
          <w:tcPr>
            <w:tcW w:w="1668" w:type="dxa"/>
            <w:vAlign w:val="center"/>
          </w:tcPr>
          <w:p w:rsidR="00544DD6" w:rsidRPr="00D337FA" w:rsidRDefault="00544DD6" w:rsidP="00544DD6">
            <w:pPr>
              <w:ind w:firstLine="0"/>
              <w:jc w:val="center"/>
              <w:rPr>
                <w:sz w:val="20"/>
                <w:szCs w:val="20"/>
              </w:rPr>
            </w:pPr>
            <w:r w:rsidRPr="00D337FA">
              <w:rPr>
                <w:sz w:val="20"/>
                <w:szCs w:val="20"/>
              </w:rPr>
              <w:t>Вид</w:t>
            </w:r>
            <w:r w:rsidR="006C680D" w:rsidRPr="00D337FA">
              <w:rPr>
                <w:sz w:val="20"/>
                <w:szCs w:val="20"/>
              </w:rPr>
              <w:t xml:space="preserve"> </w:t>
            </w:r>
            <w:r w:rsidRPr="00D337FA">
              <w:rPr>
                <w:sz w:val="20"/>
                <w:szCs w:val="20"/>
              </w:rPr>
              <w:t>поддержки</w:t>
            </w:r>
          </w:p>
        </w:tc>
        <w:tc>
          <w:tcPr>
            <w:tcW w:w="8222" w:type="dxa"/>
            <w:vAlign w:val="center"/>
          </w:tcPr>
          <w:p w:rsidR="00544DD6" w:rsidRPr="00D337FA" w:rsidRDefault="00544DD6" w:rsidP="00544DD6">
            <w:pPr>
              <w:ind w:firstLine="0"/>
              <w:jc w:val="center"/>
              <w:rPr>
                <w:sz w:val="20"/>
                <w:szCs w:val="20"/>
              </w:rPr>
            </w:pPr>
            <w:r w:rsidRPr="00D337FA">
              <w:rPr>
                <w:sz w:val="20"/>
                <w:szCs w:val="20"/>
              </w:rPr>
              <w:t>Содержание</w:t>
            </w:r>
          </w:p>
        </w:tc>
      </w:tr>
      <w:tr w:rsidR="00D337FA" w:rsidRPr="00D337FA" w:rsidTr="00826D3F">
        <w:trPr>
          <w:trHeight w:val="1135"/>
        </w:trPr>
        <w:tc>
          <w:tcPr>
            <w:tcW w:w="1668" w:type="dxa"/>
          </w:tcPr>
          <w:p w:rsidR="00544DD6" w:rsidRPr="00D337FA" w:rsidRDefault="00544DD6" w:rsidP="00544DD6">
            <w:pPr>
              <w:ind w:firstLine="0"/>
              <w:rPr>
                <w:sz w:val="20"/>
                <w:szCs w:val="20"/>
              </w:rPr>
            </w:pPr>
            <w:r w:rsidRPr="00D337FA">
              <w:rPr>
                <w:sz w:val="20"/>
                <w:szCs w:val="20"/>
                <w:shd w:val="clear" w:color="auto" w:fill="FFFFFF"/>
              </w:rPr>
              <w:t>Агростартап</w:t>
            </w:r>
          </w:p>
        </w:tc>
        <w:tc>
          <w:tcPr>
            <w:tcW w:w="8222" w:type="dxa"/>
          </w:tcPr>
          <w:p w:rsidR="00544DD6" w:rsidRPr="00D337FA" w:rsidRDefault="00544DD6" w:rsidP="00544DD6">
            <w:pPr>
              <w:ind w:firstLine="0"/>
              <w:rPr>
                <w:sz w:val="20"/>
                <w:szCs w:val="20"/>
              </w:rPr>
            </w:pPr>
            <w:r w:rsidRPr="00D337FA">
              <w:rPr>
                <w:sz w:val="20"/>
                <w:szCs w:val="20"/>
              </w:rPr>
              <w:t>Грант</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начинающих</w:t>
            </w:r>
            <w:r w:rsidR="006C680D" w:rsidRPr="00D337FA">
              <w:rPr>
                <w:sz w:val="20"/>
                <w:szCs w:val="20"/>
              </w:rPr>
              <w:t xml:space="preserve"> </w:t>
            </w:r>
            <w:r w:rsidRPr="00D337FA">
              <w:rPr>
                <w:sz w:val="20"/>
                <w:szCs w:val="20"/>
              </w:rPr>
              <w:t>фермеров,</w:t>
            </w:r>
            <w:r w:rsidR="006C680D" w:rsidRPr="00D337FA">
              <w:rPr>
                <w:sz w:val="20"/>
                <w:szCs w:val="20"/>
              </w:rPr>
              <w:t xml:space="preserve"> </w:t>
            </w:r>
            <w:r w:rsidRPr="00D337FA">
              <w:rPr>
                <w:sz w:val="20"/>
                <w:szCs w:val="20"/>
              </w:rPr>
              <w:t>зарегистрированных</w:t>
            </w:r>
            <w:r w:rsidR="006C680D" w:rsidRPr="00D337FA">
              <w:rPr>
                <w:sz w:val="20"/>
                <w:szCs w:val="20"/>
              </w:rPr>
              <w:t xml:space="preserve"> </w:t>
            </w:r>
            <w:r w:rsidRPr="00D337FA">
              <w:rPr>
                <w:sz w:val="20"/>
                <w:szCs w:val="20"/>
              </w:rPr>
              <w:t>недавно,</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создание</w:t>
            </w:r>
            <w:r w:rsidR="006C680D" w:rsidRPr="00D337FA">
              <w:rPr>
                <w:sz w:val="20"/>
                <w:szCs w:val="20"/>
              </w:rPr>
              <w:t xml:space="preserve"> </w:t>
            </w:r>
            <w:r w:rsidRPr="00D337FA">
              <w:rPr>
                <w:sz w:val="20"/>
                <w:szCs w:val="20"/>
              </w:rPr>
              <w:t>или</w:t>
            </w:r>
            <w:r w:rsidR="006C680D" w:rsidRPr="00D337FA">
              <w:rPr>
                <w:sz w:val="20"/>
                <w:szCs w:val="20"/>
              </w:rPr>
              <w:t xml:space="preserve"> </w:t>
            </w:r>
            <w:r w:rsidRPr="00D337FA">
              <w:rPr>
                <w:sz w:val="20"/>
                <w:szCs w:val="20"/>
              </w:rPr>
              <w:t>же</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хозяйства.</w:t>
            </w:r>
            <w:r w:rsidR="006C680D" w:rsidRPr="00D337FA">
              <w:rPr>
                <w:sz w:val="20"/>
                <w:szCs w:val="20"/>
              </w:rPr>
              <w:t xml:space="preserve"> </w:t>
            </w:r>
            <w:r w:rsidRPr="00D337FA">
              <w:rPr>
                <w:sz w:val="20"/>
                <w:szCs w:val="20"/>
              </w:rPr>
              <w:t>Целевой</w:t>
            </w:r>
            <w:r w:rsidR="006C680D" w:rsidRPr="00D337FA">
              <w:rPr>
                <w:sz w:val="20"/>
                <w:szCs w:val="20"/>
              </w:rPr>
              <w:t xml:space="preserve"> </w:t>
            </w:r>
            <w:r w:rsidRPr="00D337FA">
              <w:rPr>
                <w:sz w:val="20"/>
                <w:szCs w:val="20"/>
              </w:rPr>
              <w:t>группой</w:t>
            </w:r>
            <w:r w:rsidR="006C680D" w:rsidRPr="00D337FA">
              <w:rPr>
                <w:sz w:val="20"/>
                <w:szCs w:val="20"/>
              </w:rPr>
              <w:t xml:space="preserve"> </w:t>
            </w:r>
            <w:r w:rsidRPr="00D337FA">
              <w:rPr>
                <w:sz w:val="20"/>
                <w:szCs w:val="20"/>
              </w:rPr>
              <w:t>являются:</w:t>
            </w:r>
            <w:r w:rsidR="006C680D" w:rsidRPr="00D337FA">
              <w:rPr>
                <w:sz w:val="20"/>
                <w:szCs w:val="20"/>
              </w:rPr>
              <w:t xml:space="preserve"> </w:t>
            </w:r>
            <w:r w:rsidRPr="00D337FA">
              <w:rPr>
                <w:sz w:val="20"/>
                <w:szCs w:val="20"/>
              </w:rPr>
              <w:t>фермеры,</w:t>
            </w:r>
            <w:r w:rsidR="006C680D" w:rsidRPr="00D337FA">
              <w:rPr>
                <w:sz w:val="20"/>
                <w:szCs w:val="20"/>
              </w:rPr>
              <w:t xml:space="preserve"> </w:t>
            </w:r>
            <w:r w:rsidRPr="00D337FA">
              <w:rPr>
                <w:sz w:val="20"/>
                <w:szCs w:val="20"/>
              </w:rPr>
              <w:t>зарегистрированные</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сельской</w:t>
            </w:r>
            <w:r w:rsidR="006C680D" w:rsidRPr="00D337FA">
              <w:rPr>
                <w:sz w:val="20"/>
                <w:szCs w:val="20"/>
              </w:rPr>
              <w:t xml:space="preserve"> </w:t>
            </w:r>
            <w:r w:rsidRPr="00D337FA">
              <w:rPr>
                <w:sz w:val="20"/>
                <w:szCs w:val="20"/>
              </w:rPr>
              <w:t>местности</w:t>
            </w:r>
            <w:r w:rsidR="006C680D" w:rsidRPr="00D337FA">
              <w:rPr>
                <w:sz w:val="20"/>
                <w:szCs w:val="20"/>
              </w:rPr>
              <w:t xml:space="preserve"> </w:t>
            </w:r>
            <w:r w:rsidRPr="00D337FA">
              <w:rPr>
                <w:sz w:val="20"/>
                <w:szCs w:val="20"/>
              </w:rPr>
              <w:t>не</w:t>
            </w:r>
            <w:r w:rsidR="006C680D" w:rsidRPr="00D337FA">
              <w:rPr>
                <w:sz w:val="20"/>
                <w:szCs w:val="20"/>
              </w:rPr>
              <w:t xml:space="preserve"> </w:t>
            </w:r>
            <w:r w:rsidRPr="00D337FA">
              <w:rPr>
                <w:sz w:val="20"/>
                <w:szCs w:val="20"/>
              </w:rPr>
              <w:t>более</w:t>
            </w:r>
            <w:r w:rsidR="006C680D" w:rsidRPr="00D337FA">
              <w:rPr>
                <w:sz w:val="20"/>
                <w:szCs w:val="20"/>
              </w:rPr>
              <w:t xml:space="preserve"> </w:t>
            </w:r>
            <w:r w:rsidRPr="00D337FA">
              <w:rPr>
                <w:sz w:val="20"/>
                <w:szCs w:val="20"/>
              </w:rPr>
              <w:t>года.</w:t>
            </w:r>
            <w:r w:rsidR="006C680D" w:rsidRPr="00D337FA">
              <w:rPr>
                <w:sz w:val="20"/>
                <w:szCs w:val="20"/>
              </w:rPr>
              <w:t xml:space="preserve"> </w:t>
            </w:r>
            <w:r w:rsidRPr="00D337FA">
              <w:rPr>
                <w:sz w:val="20"/>
                <w:szCs w:val="20"/>
              </w:rPr>
              <w:t>Вид</w:t>
            </w:r>
            <w:r w:rsidR="006C680D" w:rsidRPr="00D337FA">
              <w:rPr>
                <w:sz w:val="20"/>
                <w:szCs w:val="20"/>
              </w:rPr>
              <w:t xml:space="preserve"> </w:t>
            </w:r>
            <w:r w:rsidRPr="00D337FA">
              <w:rPr>
                <w:sz w:val="20"/>
                <w:szCs w:val="20"/>
              </w:rPr>
              <w:t>деятельности</w:t>
            </w:r>
            <w:r w:rsidR="006C680D" w:rsidRPr="00D337FA">
              <w:rPr>
                <w:sz w:val="20"/>
                <w:szCs w:val="20"/>
              </w:rPr>
              <w:t xml:space="preserve"> </w:t>
            </w:r>
            <w:r w:rsidRPr="00D337FA">
              <w:rPr>
                <w:sz w:val="20"/>
                <w:szCs w:val="20"/>
              </w:rPr>
              <w:t>—</w:t>
            </w:r>
            <w:r w:rsidR="006C680D" w:rsidRPr="00D337FA">
              <w:rPr>
                <w:sz w:val="20"/>
                <w:szCs w:val="20"/>
              </w:rPr>
              <w:t xml:space="preserve"> </w:t>
            </w:r>
            <w:r w:rsidRPr="00D337FA">
              <w:rPr>
                <w:sz w:val="20"/>
                <w:szCs w:val="20"/>
              </w:rPr>
              <w:t>производство</w:t>
            </w:r>
            <w:r w:rsidR="006C680D" w:rsidRPr="00D337FA">
              <w:rPr>
                <w:sz w:val="20"/>
                <w:szCs w:val="20"/>
              </w:rPr>
              <w:t xml:space="preserve"> </w:t>
            </w:r>
            <w:r w:rsidRPr="00D337FA">
              <w:rPr>
                <w:sz w:val="20"/>
                <w:szCs w:val="20"/>
              </w:rPr>
              <w:t>и/или</w:t>
            </w:r>
            <w:r w:rsidR="006C680D" w:rsidRPr="00D337FA">
              <w:rPr>
                <w:sz w:val="20"/>
                <w:szCs w:val="20"/>
              </w:rPr>
              <w:t xml:space="preserve"> </w:t>
            </w:r>
            <w:r w:rsidRPr="00D337FA">
              <w:rPr>
                <w:sz w:val="20"/>
                <w:szCs w:val="20"/>
              </w:rPr>
              <w:t>переработка</w:t>
            </w:r>
            <w:r w:rsidR="006C680D" w:rsidRPr="00D337FA">
              <w:rPr>
                <w:sz w:val="20"/>
                <w:szCs w:val="20"/>
              </w:rPr>
              <w:t xml:space="preserve"> </w:t>
            </w:r>
            <w:r w:rsidRPr="00D337FA">
              <w:rPr>
                <w:sz w:val="20"/>
                <w:szCs w:val="20"/>
              </w:rPr>
              <w:t>сельхозпродукции.</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можно</w:t>
            </w:r>
            <w:r w:rsidR="006C680D" w:rsidRPr="00D337FA">
              <w:rPr>
                <w:sz w:val="20"/>
                <w:szCs w:val="20"/>
              </w:rPr>
              <w:t xml:space="preserve"> </w:t>
            </w:r>
            <w:r w:rsidRPr="00D337FA">
              <w:rPr>
                <w:sz w:val="20"/>
                <w:szCs w:val="20"/>
              </w:rPr>
              <w:t>использовать</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приобретение</w:t>
            </w:r>
            <w:r w:rsidR="006C680D" w:rsidRPr="00D337FA">
              <w:rPr>
                <w:sz w:val="20"/>
                <w:szCs w:val="20"/>
              </w:rPr>
              <w:t xml:space="preserve"> </w:t>
            </w:r>
            <w:r w:rsidRPr="00D337FA">
              <w:rPr>
                <w:sz w:val="20"/>
                <w:szCs w:val="20"/>
              </w:rPr>
              <w:t>техники,</w:t>
            </w:r>
            <w:r w:rsidR="006C680D" w:rsidRPr="00D337FA">
              <w:rPr>
                <w:sz w:val="20"/>
                <w:szCs w:val="20"/>
              </w:rPr>
              <w:t xml:space="preserve"> </w:t>
            </w:r>
            <w:r w:rsidRPr="00D337FA">
              <w:rPr>
                <w:sz w:val="20"/>
                <w:szCs w:val="20"/>
              </w:rPr>
              <w:t>оборудования,</w:t>
            </w:r>
            <w:r w:rsidR="006C680D" w:rsidRPr="00D337FA">
              <w:rPr>
                <w:sz w:val="20"/>
                <w:szCs w:val="20"/>
              </w:rPr>
              <w:t xml:space="preserve"> </w:t>
            </w:r>
            <w:r w:rsidRPr="00D337FA">
              <w:rPr>
                <w:sz w:val="20"/>
                <w:szCs w:val="20"/>
              </w:rPr>
              <w:t>посадочного</w:t>
            </w:r>
            <w:r w:rsidR="006C680D" w:rsidRPr="00D337FA">
              <w:rPr>
                <w:sz w:val="20"/>
                <w:szCs w:val="20"/>
              </w:rPr>
              <w:t xml:space="preserve"> </w:t>
            </w:r>
            <w:r w:rsidRPr="00D337FA">
              <w:rPr>
                <w:sz w:val="20"/>
                <w:szCs w:val="20"/>
              </w:rPr>
              <w:t>материала,</w:t>
            </w:r>
            <w:r w:rsidR="006C680D" w:rsidRPr="00D337FA">
              <w:rPr>
                <w:sz w:val="20"/>
                <w:szCs w:val="20"/>
              </w:rPr>
              <w:t xml:space="preserve"> </w:t>
            </w:r>
            <w:r w:rsidRPr="00D337FA">
              <w:rPr>
                <w:sz w:val="20"/>
                <w:szCs w:val="20"/>
              </w:rPr>
              <w:t>земельного</w:t>
            </w:r>
            <w:r w:rsidR="006C680D" w:rsidRPr="00D337FA">
              <w:rPr>
                <w:sz w:val="20"/>
                <w:szCs w:val="20"/>
              </w:rPr>
              <w:t xml:space="preserve"> </w:t>
            </w:r>
            <w:r w:rsidRPr="00D337FA">
              <w:rPr>
                <w:sz w:val="20"/>
                <w:szCs w:val="20"/>
              </w:rPr>
              <w:t>участка</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др.</w:t>
            </w:r>
            <w:r w:rsidR="006C680D" w:rsidRPr="00D337FA">
              <w:rPr>
                <w:sz w:val="20"/>
                <w:szCs w:val="20"/>
              </w:rPr>
              <w:t xml:space="preserve"> </w:t>
            </w:r>
            <w:r w:rsidRPr="00D337FA">
              <w:rPr>
                <w:sz w:val="20"/>
                <w:szCs w:val="20"/>
              </w:rPr>
              <w:t>Грант</w:t>
            </w:r>
            <w:r w:rsidR="006C680D" w:rsidRPr="00D337FA">
              <w:rPr>
                <w:sz w:val="20"/>
                <w:szCs w:val="20"/>
              </w:rPr>
              <w:t xml:space="preserve"> </w:t>
            </w:r>
            <w:r w:rsidRPr="00D337FA">
              <w:rPr>
                <w:sz w:val="20"/>
                <w:szCs w:val="20"/>
              </w:rPr>
              <w:t>предоставляется</w:t>
            </w:r>
            <w:r w:rsidR="006C680D" w:rsidRPr="00D337FA">
              <w:rPr>
                <w:sz w:val="20"/>
                <w:szCs w:val="20"/>
              </w:rPr>
              <w:t xml:space="preserve"> </w:t>
            </w:r>
            <w:r w:rsidRPr="00D337FA">
              <w:rPr>
                <w:sz w:val="20"/>
                <w:szCs w:val="20"/>
              </w:rPr>
              <w:t>однократно.</w:t>
            </w:r>
            <w:r w:rsidR="006C680D" w:rsidRPr="00D337FA">
              <w:rPr>
                <w:sz w:val="20"/>
                <w:szCs w:val="20"/>
              </w:rPr>
              <w:t xml:space="preserve"> </w:t>
            </w:r>
          </w:p>
        </w:tc>
      </w:tr>
      <w:tr w:rsidR="00D337FA" w:rsidRPr="00D337FA" w:rsidTr="00826D3F">
        <w:trPr>
          <w:trHeight w:val="682"/>
        </w:trPr>
        <w:tc>
          <w:tcPr>
            <w:tcW w:w="1668" w:type="dxa"/>
          </w:tcPr>
          <w:p w:rsidR="00544DD6" w:rsidRPr="00D337FA" w:rsidRDefault="00544DD6" w:rsidP="00544DD6">
            <w:pPr>
              <w:ind w:firstLine="0"/>
              <w:rPr>
                <w:sz w:val="20"/>
                <w:szCs w:val="20"/>
              </w:rPr>
            </w:pPr>
            <w:r w:rsidRPr="00D337FA">
              <w:rPr>
                <w:sz w:val="20"/>
                <w:szCs w:val="20"/>
                <w:shd w:val="clear" w:color="auto" w:fill="FFFFFF"/>
              </w:rPr>
              <w:t>Агропрогресс</w:t>
            </w:r>
          </w:p>
        </w:tc>
        <w:tc>
          <w:tcPr>
            <w:tcW w:w="8222" w:type="dxa"/>
          </w:tcPr>
          <w:p w:rsidR="00544DD6" w:rsidRPr="00D337FA" w:rsidRDefault="00544DD6" w:rsidP="00544DD6">
            <w:pPr>
              <w:ind w:firstLine="0"/>
              <w:rPr>
                <w:sz w:val="20"/>
                <w:szCs w:val="20"/>
              </w:rPr>
            </w:pPr>
            <w:r w:rsidRPr="00D337FA">
              <w:rPr>
                <w:sz w:val="20"/>
                <w:szCs w:val="20"/>
              </w:rPr>
              <w:t>Грант</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поддержку</w:t>
            </w:r>
            <w:r w:rsidR="006C680D" w:rsidRPr="00D337FA">
              <w:rPr>
                <w:sz w:val="20"/>
                <w:szCs w:val="20"/>
              </w:rPr>
              <w:t xml:space="preserve"> </w:t>
            </w:r>
            <w:r w:rsidRPr="00D337FA">
              <w:rPr>
                <w:sz w:val="20"/>
                <w:szCs w:val="20"/>
              </w:rPr>
              <w:t>сельхозорганизаций</w:t>
            </w:r>
            <w:r w:rsidR="006C680D" w:rsidRPr="00D337FA">
              <w:rPr>
                <w:sz w:val="20"/>
                <w:szCs w:val="20"/>
              </w:rPr>
              <w:t xml:space="preserve"> </w:t>
            </w:r>
            <w:r w:rsidRPr="00D337FA">
              <w:rPr>
                <w:sz w:val="20"/>
                <w:szCs w:val="20"/>
              </w:rPr>
              <w:t>(микро/малого</w:t>
            </w:r>
            <w:r w:rsidR="006C680D" w:rsidRPr="00D337FA">
              <w:rPr>
                <w:sz w:val="20"/>
                <w:szCs w:val="20"/>
              </w:rPr>
              <w:t xml:space="preserve"> </w:t>
            </w:r>
            <w:r w:rsidRPr="00D337FA">
              <w:rPr>
                <w:sz w:val="20"/>
                <w:szCs w:val="20"/>
              </w:rPr>
              <w:t>предпринимательства)</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реализации</w:t>
            </w:r>
            <w:r w:rsidR="006C680D" w:rsidRPr="00D337FA">
              <w:rPr>
                <w:sz w:val="20"/>
                <w:szCs w:val="20"/>
              </w:rPr>
              <w:t xml:space="preserve"> </w:t>
            </w:r>
            <w:r w:rsidRPr="00D337FA">
              <w:rPr>
                <w:sz w:val="20"/>
                <w:szCs w:val="20"/>
              </w:rPr>
              <w:t>инвестиционных</w:t>
            </w:r>
            <w:r w:rsidR="006C680D" w:rsidRPr="00D337FA">
              <w:rPr>
                <w:sz w:val="20"/>
                <w:szCs w:val="20"/>
              </w:rPr>
              <w:t xml:space="preserve"> </w:t>
            </w:r>
            <w:r w:rsidRPr="00D337FA">
              <w:rPr>
                <w:sz w:val="20"/>
                <w:szCs w:val="20"/>
              </w:rPr>
              <w:t>проектов</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АПК.</w:t>
            </w:r>
            <w:r w:rsidR="006C680D" w:rsidRPr="00D337FA">
              <w:rPr>
                <w:sz w:val="20"/>
                <w:szCs w:val="20"/>
              </w:rPr>
              <w:t xml:space="preserve"> </w:t>
            </w:r>
            <w:r w:rsidRPr="00D337FA">
              <w:rPr>
                <w:sz w:val="20"/>
                <w:szCs w:val="20"/>
              </w:rPr>
              <w:t>Поддержка</w:t>
            </w:r>
            <w:r w:rsidR="006C680D" w:rsidRPr="00D337FA">
              <w:rPr>
                <w:sz w:val="20"/>
                <w:szCs w:val="20"/>
              </w:rPr>
              <w:t xml:space="preserve"> </w:t>
            </w:r>
            <w:r w:rsidRPr="00D337FA">
              <w:rPr>
                <w:sz w:val="20"/>
                <w:szCs w:val="20"/>
              </w:rPr>
              <w:t>направлена</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приоритетные</w:t>
            </w:r>
            <w:r w:rsidR="006C680D" w:rsidRPr="00D337FA">
              <w:rPr>
                <w:sz w:val="20"/>
                <w:szCs w:val="20"/>
              </w:rPr>
              <w:t xml:space="preserve"> </w:t>
            </w:r>
            <w:r w:rsidRPr="00D337FA">
              <w:rPr>
                <w:sz w:val="20"/>
                <w:szCs w:val="20"/>
              </w:rPr>
              <w:t>направления</w:t>
            </w:r>
            <w:r w:rsidR="006C680D" w:rsidRPr="00D337FA">
              <w:rPr>
                <w:sz w:val="20"/>
                <w:szCs w:val="20"/>
              </w:rPr>
              <w:t xml:space="preserve"> </w:t>
            </w:r>
            <w:r w:rsidRPr="00D337FA">
              <w:rPr>
                <w:sz w:val="20"/>
                <w:szCs w:val="20"/>
              </w:rPr>
              <w:t>развития</w:t>
            </w:r>
            <w:r w:rsidR="006C680D" w:rsidRPr="00D337FA">
              <w:rPr>
                <w:sz w:val="20"/>
                <w:szCs w:val="20"/>
              </w:rPr>
              <w:t xml:space="preserve"> </w:t>
            </w:r>
            <w:r w:rsidRPr="00D337FA">
              <w:rPr>
                <w:sz w:val="20"/>
                <w:szCs w:val="20"/>
              </w:rPr>
              <w:t>сельского</w:t>
            </w:r>
            <w:r w:rsidR="006C680D" w:rsidRPr="00D337FA">
              <w:rPr>
                <w:sz w:val="20"/>
                <w:szCs w:val="20"/>
              </w:rPr>
              <w:t xml:space="preserve"> </w:t>
            </w:r>
            <w:r w:rsidRPr="00D337FA">
              <w:rPr>
                <w:sz w:val="20"/>
                <w:szCs w:val="20"/>
              </w:rPr>
              <w:t>хозяйства,</w:t>
            </w:r>
            <w:r w:rsidR="006C680D" w:rsidRPr="00D337FA">
              <w:rPr>
                <w:sz w:val="20"/>
                <w:szCs w:val="20"/>
              </w:rPr>
              <w:t xml:space="preserve"> </w:t>
            </w:r>
            <w:r w:rsidRPr="00D337FA">
              <w:rPr>
                <w:sz w:val="20"/>
                <w:szCs w:val="20"/>
              </w:rPr>
              <w:t>которые</w:t>
            </w:r>
            <w:r w:rsidR="006C680D" w:rsidRPr="00D337FA">
              <w:rPr>
                <w:sz w:val="20"/>
                <w:szCs w:val="20"/>
              </w:rPr>
              <w:t xml:space="preserve"> </w:t>
            </w:r>
            <w:r w:rsidRPr="00D337FA">
              <w:rPr>
                <w:sz w:val="20"/>
                <w:szCs w:val="20"/>
              </w:rPr>
              <w:t>выбирают</w:t>
            </w:r>
            <w:r w:rsidR="006C680D" w:rsidRPr="00D337FA">
              <w:rPr>
                <w:sz w:val="20"/>
                <w:szCs w:val="20"/>
              </w:rPr>
              <w:t xml:space="preserve"> </w:t>
            </w:r>
            <w:r w:rsidRPr="00D337FA">
              <w:rPr>
                <w:sz w:val="20"/>
                <w:szCs w:val="20"/>
              </w:rPr>
              <w:t>регионы.</w:t>
            </w:r>
          </w:p>
        </w:tc>
      </w:tr>
      <w:tr w:rsidR="00D337FA" w:rsidRPr="00D337FA" w:rsidTr="00826D3F">
        <w:trPr>
          <w:trHeight w:val="1266"/>
        </w:trPr>
        <w:tc>
          <w:tcPr>
            <w:tcW w:w="1668" w:type="dxa"/>
          </w:tcPr>
          <w:p w:rsidR="00544DD6" w:rsidRPr="00D337FA" w:rsidRDefault="00544DD6" w:rsidP="00544DD6">
            <w:pPr>
              <w:ind w:firstLine="0"/>
              <w:rPr>
                <w:sz w:val="20"/>
                <w:szCs w:val="20"/>
              </w:rPr>
            </w:pPr>
            <w:r w:rsidRPr="00D337FA">
              <w:rPr>
                <w:sz w:val="20"/>
                <w:szCs w:val="20"/>
                <w:shd w:val="clear" w:color="auto" w:fill="FFFFFF"/>
              </w:rPr>
              <w:t>Агротуризм</w:t>
            </w:r>
          </w:p>
        </w:tc>
        <w:tc>
          <w:tcPr>
            <w:tcW w:w="8222" w:type="dxa"/>
          </w:tcPr>
          <w:p w:rsidR="00544DD6" w:rsidRPr="00D337FA" w:rsidRDefault="00544DD6" w:rsidP="00544DD6">
            <w:pPr>
              <w:ind w:firstLine="0"/>
              <w:rPr>
                <w:sz w:val="20"/>
                <w:szCs w:val="20"/>
              </w:rPr>
            </w:pPr>
            <w:r w:rsidRPr="00D337FA">
              <w:rPr>
                <w:sz w:val="20"/>
                <w:szCs w:val="20"/>
              </w:rPr>
              <w:t>Государственная</w:t>
            </w:r>
            <w:r w:rsidR="006C680D" w:rsidRPr="00D337FA">
              <w:rPr>
                <w:sz w:val="20"/>
                <w:szCs w:val="20"/>
              </w:rPr>
              <w:t xml:space="preserve"> </w:t>
            </w:r>
            <w:r w:rsidRPr="00D337FA">
              <w:rPr>
                <w:sz w:val="20"/>
                <w:szCs w:val="20"/>
              </w:rPr>
              <w:t>программа</w:t>
            </w:r>
            <w:r w:rsidR="006C680D" w:rsidRPr="00D337FA">
              <w:rPr>
                <w:sz w:val="20"/>
                <w:szCs w:val="20"/>
              </w:rPr>
              <w:t xml:space="preserve"> </w:t>
            </w:r>
            <w:r w:rsidRPr="00D337FA">
              <w:rPr>
                <w:sz w:val="20"/>
                <w:szCs w:val="20"/>
              </w:rPr>
              <w:t>направлена</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создание</w:t>
            </w:r>
            <w:r w:rsidR="006C680D" w:rsidRPr="00D337FA">
              <w:rPr>
                <w:sz w:val="20"/>
                <w:szCs w:val="20"/>
              </w:rPr>
              <w:t xml:space="preserve"> </w:t>
            </w:r>
            <w:r w:rsidRPr="00D337FA">
              <w:rPr>
                <w:sz w:val="20"/>
                <w:szCs w:val="20"/>
              </w:rPr>
              <w:t>туристических</w:t>
            </w:r>
            <w:r w:rsidR="006C680D" w:rsidRPr="00D337FA">
              <w:rPr>
                <w:sz w:val="20"/>
                <w:szCs w:val="20"/>
              </w:rPr>
              <w:t xml:space="preserve"> </w:t>
            </w:r>
            <w:r w:rsidRPr="00D337FA">
              <w:rPr>
                <w:sz w:val="20"/>
                <w:szCs w:val="20"/>
              </w:rPr>
              <w:t>объектов</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базе</w:t>
            </w:r>
            <w:r w:rsidR="006C680D" w:rsidRPr="00D337FA">
              <w:rPr>
                <w:sz w:val="20"/>
                <w:szCs w:val="20"/>
              </w:rPr>
              <w:t xml:space="preserve"> </w:t>
            </w:r>
            <w:r w:rsidRPr="00D337FA">
              <w:rPr>
                <w:sz w:val="20"/>
                <w:szCs w:val="20"/>
              </w:rPr>
              <w:t>фермерских</w:t>
            </w:r>
            <w:r w:rsidR="006C680D" w:rsidRPr="00D337FA">
              <w:rPr>
                <w:sz w:val="20"/>
                <w:szCs w:val="20"/>
              </w:rPr>
              <w:t xml:space="preserve"> </w:t>
            </w:r>
            <w:r w:rsidRPr="00D337FA">
              <w:rPr>
                <w:sz w:val="20"/>
                <w:szCs w:val="20"/>
              </w:rPr>
              <w:t>хозяйств</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сельских</w:t>
            </w:r>
            <w:r w:rsidR="006C680D" w:rsidRPr="00D337FA">
              <w:rPr>
                <w:sz w:val="20"/>
                <w:szCs w:val="20"/>
              </w:rPr>
              <w:t xml:space="preserve"> </w:t>
            </w:r>
            <w:r w:rsidRPr="00D337FA">
              <w:rPr>
                <w:sz w:val="20"/>
                <w:szCs w:val="20"/>
              </w:rPr>
              <w:t>территорий.</w:t>
            </w:r>
            <w:r w:rsidR="006C680D" w:rsidRPr="00D337FA">
              <w:rPr>
                <w:sz w:val="20"/>
                <w:szCs w:val="20"/>
              </w:rPr>
              <w:t xml:space="preserve"> </w:t>
            </w:r>
            <w:r w:rsidRPr="00D337FA">
              <w:rPr>
                <w:sz w:val="20"/>
                <w:szCs w:val="20"/>
              </w:rPr>
              <w:t>Основной</w:t>
            </w:r>
            <w:r w:rsidR="006C680D" w:rsidRPr="00D337FA">
              <w:rPr>
                <w:sz w:val="20"/>
                <w:szCs w:val="20"/>
              </w:rPr>
              <w:t xml:space="preserve"> </w:t>
            </w:r>
            <w:r w:rsidRPr="00D337FA">
              <w:rPr>
                <w:sz w:val="20"/>
                <w:szCs w:val="20"/>
              </w:rPr>
              <w:t>целевой</w:t>
            </w:r>
            <w:r w:rsidR="006C680D" w:rsidRPr="00D337FA">
              <w:rPr>
                <w:sz w:val="20"/>
                <w:szCs w:val="20"/>
              </w:rPr>
              <w:t xml:space="preserve"> </w:t>
            </w:r>
            <w:r w:rsidRPr="00D337FA">
              <w:rPr>
                <w:sz w:val="20"/>
                <w:szCs w:val="20"/>
              </w:rPr>
              <w:t>группой</w:t>
            </w:r>
            <w:r w:rsidR="006C680D" w:rsidRPr="00D337FA">
              <w:rPr>
                <w:sz w:val="20"/>
                <w:szCs w:val="20"/>
              </w:rPr>
              <w:t xml:space="preserve"> </w:t>
            </w:r>
            <w:r w:rsidRPr="00D337FA">
              <w:rPr>
                <w:sz w:val="20"/>
                <w:szCs w:val="20"/>
              </w:rPr>
              <w:t>являются:</w:t>
            </w:r>
            <w:r w:rsidR="006C680D" w:rsidRPr="00D337FA">
              <w:rPr>
                <w:sz w:val="20"/>
                <w:szCs w:val="20"/>
              </w:rPr>
              <w:t xml:space="preserve"> </w:t>
            </w:r>
            <w:r w:rsidRPr="00D337FA">
              <w:rPr>
                <w:sz w:val="20"/>
                <w:szCs w:val="20"/>
              </w:rPr>
              <w:t>фермеры,</w:t>
            </w:r>
            <w:r w:rsidR="006C680D" w:rsidRPr="00D337FA">
              <w:rPr>
                <w:sz w:val="20"/>
                <w:szCs w:val="20"/>
              </w:rPr>
              <w:t xml:space="preserve"> </w:t>
            </w:r>
            <w:r w:rsidRPr="00D337FA">
              <w:rPr>
                <w:sz w:val="20"/>
                <w:szCs w:val="20"/>
              </w:rPr>
              <w:t>ИП</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малые</w:t>
            </w:r>
            <w:r w:rsidR="006C680D" w:rsidRPr="00D337FA">
              <w:rPr>
                <w:sz w:val="20"/>
                <w:szCs w:val="20"/>
              </w:rPr>
              <w:t xml:space="preserve"> </w:t>
            </w:r>
            <w:r w:rsidRPr="00D337FA">
              <w:rPr>
                <w:sz w:val="20"/>
                <w:szCs w:val="20"/>
              </w:rPr>
              <w:t>сельские</w:t>
            </w:r>
            <w:r w:rsidR="006C680D" w:rsidRPr="00D337FA">
              <w:rPr>
                <w:sz w:val="20"/>
                <w:szCs w:val="20"/>
              </w:rPr>
              <w:t xml:space="preserve"> </w:t>
            </w:r>
            <w:r w:rsidRPr="00D337FA">
              <w:rPr>
                <w:sz w:val="20"/>
                <w:szCs w:val="20"/>
              </w:rPr>
              <w:t>предприятия,</w:t>
            </w:r>
            <w:r w:rsidR="006C680D" w:rsidRPr="00D337FA">
              <w:rPr>
                <w:sz w:val="20"/>
                <w:szCs w:val="20"/>
              </w:rPr>
              <w:t xml:space="preserve"> </w:t>
            </w:r>
            <w:r w:rsidRPr="00D337FA">
              <w:rPr>
                <w:sz w:val="20"/>
                <w:szCs w:val="20"/>
              </w:rPr>
              <w:t>заинтересованные</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получении</w:t>
            </w:r>
            <w:r w:rsidR="006C680D" w:rsidRPr="00D337FA">
              <w:rPr>
                <w:sz w:val="20"/>
                <w:szCs w:val="20"/>
              </w:rPr>
              <w:t xml:space="preserve"> </w:t>
            </w:r>
            <w:r w:rsidRPr="00D337FA">
              <w:rPr>
                <w:sz w:val="20"/>
                <w:szCs w:val="20"/>
              </w:rPr>
              <w:t>средств</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строительство</w:t>
            </w:r>
            <w:r w:rsidR="006C680D" w:rsidRPr="00D337FA">
              <w:rPr>
                <w:sz w:val="20"/>
                <w:szCs w:val="20"/>
              </w:rPr>
              <w:t xml:space="preserve"> </w:t>
            </w:r>
            <w:r w:rsidRPr="00D337FA">
              <w:rPr>
                <w:sz w:val="20"/>
                <w:szCs w:val="20"/>
              </w:rPr>
              <w:t>или</w:t>
            </w:r>
            <w:r w:rsidR="006C680D" w:rsidRPr="00D337FA">
              <w:rPr>
                <w:sz w:val="20"/>
                <w:szCs w:val="20"/>
              </w:rPr>
              <w:t xml:space="preserve"> </w:t>
            </w:r>
            <w:r w:rsidRPr="00D337FA">
              <w:rPr>
                <w:sz w:val="20"/>
                <w:szCs w:val="20"/>
              </w:rPr>
              <w:t>модернизацию</w:t>
            </w:r>
            <w:r w:rsidR="006C680D" w:rsidRPr="00D337FA">
              <w:rPr>
                <w:sz w:val="20"/>
                <w:szCs w:val="20"/>
              </w:rPr>
              <w:t xml:space="preserve"> </w:t>
            </w:r>
            <w:r w:rsidRPr="00D337FA">
              <w:rPr>
                <w:sz w:val="20"/>
                <w:szCs w:val="20"/>
              </w:rPr>
              <w:t>гостевых</w:t>
            </w:r>
            <w:r w:rsidR="006C680D" w:rsidRPr="00D337FA">
              <w:rPr>
                <w:sz w:val="20"/>
                <w:szCs w:val="20"/>
              </w:rPr>
              <w:t xml:space="preserve"> </w:t>
            </w:r>
            <w:r w:rsidRPr="00D337FA">
              <w:rPr>
                <w:sz w:val="20"/>
                <w:szCs w:val="20"/>
              </w:rPr>
              <w:t>домиков,</w:t>
            </w:r>
            <w:r w:rsidR="006C680D" w:rsidRPr="00D337FA">
              <w:rPr>
                <w:sz w:val="20"/>
                <w:szCs w:val="20"/>
              </w:rPr>
              <w:t xml:space="preserve"> </w:t>
            </w:r>
            <w:r w:rsidRPr="00D337FA">
              <w:rPr>
                <w:sz w:val="20"/>
                <w:szCs w:val="20"/>
              </w:rPr>
              <w:t>дегустационных</w:t>
            </w:r>
            <w:r w:rsidR="006C680D" w:rsidRPr="00D337FA">
              <w:rPr>
                <w:sz w:val="20"/>
                <w:szCs w:val="20"/>
              </w:rPr>
              <w:t xml:space="preserve"> </w:t>
            </w:r>
            <w:r w:rsidRPr="00D337FA">
              <w:rPr>
                <w:sz w:val="20"/>
                <w:szCs w:val="20"/>
              </w:rPr>
              <w:t>площадок,</w:t>
            </w:r>
            <w:r w:rsidR="006C680D" w:rsidRPr="00D337FA">
              <w:rPr>
                <w:sz w:val="20"/>
                <w:szCs w:val="20"/>
              </w:rPr>
              <w:t xml:space="preserve"> </w:t>
            </w:r>
            <w:r w:rsidRPr="00D337FA">
              <w:rPr>
                <w:sz w:val="20"/>
                <w:szCs w:val="20"/>
              </w:rPr>
              <w:t>зон</w:t>
            </w:r>
            <w:r w:rsidR="006C680D" w:rsidRPr="00D337FA">
              <w:rPr>
                <w:sz w:val="20"/>
                <w:szCs w:val="20"/>
              </w:rPr>
              <w:t xml:space="preserve"> </w:t>
            </w:r>
            <w:r w:rsidRPr="00D337FA">
              <w:rPr>
                <w:sz w:val="20"/>
                <w:szCs w:val="20"/>
              </w:rPr>
              <w:t>отдыха</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инфраструктуры.</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разрешается</w:t>
            </w:r>
            <w:r w:rsidR="006C680D" w:rsidRPr="00D337FA">
              <w:rPr>
                <w:sz w:val="20"/>
                <w:szCs w:val="20"/>
              </w:rPr>
              <w:t xml:space="preserve"> </w:t>
            </w:r>
            <w:r w:rsidRPr="00D337FA">
              <w:rPr>
                <w:sz w:val="20"/>
                <w:szCs w:val="20"/>
              </w:rPr>
              <w:t>использовать</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оборудование,</w:t>
            </w:r>
            <w:r w:rsidR="006C680D" w:rsidRPr="00D337FA">
              <w:rPr>
                <w:sz w:val="20"/>
                <w:szCs w:val="20"/>
              </w:rPr>
              <w:t xml:space="preserve"> </w:t>
            </w:r>
            <w:r w:rsidRPr="00D337FA">
              <w:rPr>
                <w:sz w:val="20"/>
                <w:szCs w:val="20"/>
              </w:rPr>
              <w:t>благоустройство,</w:t>
            </w:r>
            <w:r w:rsidR="006C680D" w:rsidRPr="00D337FA">
              <w:rPr>
                <w:sz w:val="20"/>
                <w:szCs w:val="20"/>
              </w:rPr>
              <w:t xml:space="preserve"> </w:t>
            </w:r>
            <w:r w:rsidRPr="00D337FA">
              <w:rPr>
                <w:sz w:val="20"/>
                <w:szCs w:val="20"/>
              </w:rPr>
              <w:t>рекламу</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создание</w:t>
            </w:r>
            <w:r w:rsidR="006C680D" w:rsidRPr="00D337FA">
              <w:rPr>
                <w:sz w:val="20"/>
                <w:szCs w:val="20"/>
              </w:rPr>
              <w:t xml:space="preserve"> </w:t>
            </w:r>
            <w:r w:rsidRPr="00D337FA">
              <w:rPr>
                <w:sz w:val="20"/>
                <w:szCs w:val="20"/>
              </w:rPr>
              <w:t>туристических</w:t>
            </w:r>
            <w:r w:rsidR="006C680D" w:rsidRPr="00D337FA">
              <w:rPr>
                <w:sz w:val="20"/>
                <w:szCs w:val="20"/>
              </w:rPr>
              <w:t xml:space="preserve"> </w:t>
            </w:r>
            <w:r w:rsidRPr="00D337FA">
              <w:rPr>
                <w:sz w:val="20"/>
                <w:szCs w:val="20"/>
              </w:rPr>
              <w:t>маршрутов.</w:t>
            </w:r>
            <w:r w:rsidR="006C680D" w:rsidRPr="00D337FA">
              <w:rPr>
                <w:sz w:val="20"/>
                <w:szCs w:val="20"/>
              </w:rPr>
              <w:t xml:space="preserve"> </w:t>
            </w:r>
            <w:r w:rsidRPr="00D337FA">
              <w:rPr>
                <w:sz w:val="20"/>
                <w:szCs w:val="20"/>
              </w:rPr>
              <w:t>Обязательным</w:t>
            </w:r>
            <w:r w:rsidR="006C680D" w:rsidRPr="00D337FA">
              <w:rPr>
                <w:sz w:val="20"/>
                <w:szCs w:val="20"/>
              </w:rPr>
              <w:t xml:space="preserve"> </w:t>
            </w:r>
            <w:r w:rsidRPr="00D337FA">
              <w:rPr>
                <w:sz w:val="20"/>
                <w:szCs w:val="20"/>
              </w:rPr>
              <w:t>условием</w:t>
            </w:r>
            <w:r w:rsidR="006C680D" w:rsidRPr="00D337FA">
              <w:rPr>
                <w:sz w:val="20"/>
                <w:szCs w:val="20"/>
              </w:rPr>
              <w:t xml:space="preserve"> </w:t>
            </w:r>
            <w:r w:rsidRPr="00D337FA">
              <w:rPr>
                <w:sz w:val="20"/>
                <w:szCs w:val="20"/>
              </w:rPr>
              <w:t>является</w:t>
            </w:r>
            <w:r w:rsidR="006C680D" w:rsidRPr="00D337FA">
              <w:rPr>
                <w:sz w:val="20"/>
                <w:szCs w:val="20"/>
              </w:rPr>
              <w:t xml:space="preserve"> </w:t>
            </w:r>
            <w:r w:rsidRPr="00D337FA">
              <w:rPr>
                <w:sz w:val="20"/>
                <w:szCs w:val="20"/>
              </w:rPr>
              <w:t>собственный</w:t>
            </w:r>
            <w:r w:rsidR="006C680D" w:rsidRPr="00D337FA">
              <w:rPr>
                <w:sz w:val="20"/>
                <w:szCs w:val="20"/>
              </w:rPr>
              <w:t xml:space="preserve"> </w:t>
            </w:r>
            <w:r w:rsidRPr="00D337FA">
              <w:rPr>
                <w:sz w:val="20"/>
                <w:szCs w:val="20"/>
              </w:rPr>
              <w:t>вклад</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создание</w:t>
            </w:r>
            <w:r w:rsidR="006C680D" w:rsidRPr="00D337FA">
              <w:rPr>
                <w:sz w:val="20"/>
                <w:szCs w:val="20"/>
              </w:rPr>
              <w:t xml:space="preserve"> </w:t>
            </w:r>
            <w:r w:rsidRPr="00D337FA">
              <w:rPr>
                <w:sz w:val="20"/>
                <w:szCs w:val="20"/>
              </w:rPr>
              <w:t>рабочих</w:t>
            </w:r>
            <w:r w:rsidR="006C680D" w:rsidRPr="00D337FA">
              <w:rPr>
                <w:sz w:val="20"/>
                <w:szCs w:val="20"/>
              </w:rPr>
              <w:t xml:space="preserve"> </w:t>
            </w:r>
            <w:r w:rsidRPr="00D337FA">
              <w:rPr>
                <w:sz w:val="20"/>
                <w:szCs w:val="20"/>
              </w:rPr>
              <w:t>мест</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селе.</w:t>
            </w:r>
            <w:r w:rsidR="006C680D" w:rsidRPr="00D337FA">
              <w:rPr>
                <w:sz w:val="20"/>
                <w:szCs w:val="20"/>
              </w:rPr>
              <w:t xml:space="preserve"> </w:t>
            </w:r>
            <w:r w:rsidRPr="00D337FA">
              <w:rPr>
                <w:sz w:val="20"/>
                <w:szCs w:val="20"/>
              </w:rPr>
              <w:t>Программа</w:t>
            </w:r>
            <w:r w:rsidR="006C680D" w:rsidRPr="00D337FA">
              <w:rPr>
                <w:sz w:val="20"/>
                <w:szCs w:val="20"/>
              </w:rPr>
              <w:t xml:space="preserve"> </w:t>
            </w:r>
            <w:r w:rsidRPr="00D337FA">
              <w:rPr>
                <w:sz w:val="20"/>
                <w:szCs w:val="20"/>
              </w:rPr>
              <w:t>направлена</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увеличение</w:t>
            </w:r>
            <w:r w:rsidR="006C680D" w:rsidRPr="00D337FA">
              <w:rPr>
                <w:sz w:val="20"/>
                <w:szCs w:val="20"/>
              </w:rPr>
              <w:t xml:space="preserve"> </w:t>
            </w:r>
            <w:r w:rsidRPr="00D337FA">
              <w:rPr>
                <w:sz w:val="20"/>
                <w:szCs w:val="20"/>
              </w:rPr>
              <w:t>доходов</w:t>
            </w:r>
            <w:r w:rsidR="006C680D" w:rsidRPr="00D337FA">
              <w:rPr>
                <w:sz w:val="20"/>
                <w:szCs w:val="20"/>
              </w:rPr>
              <w:t xml:space="preserve"> </w:t>
            </w:r>
            <w:r w:rsidRPr="00D337FA">
              <w:rPr>
                <w:sz w:val="20"/>
                <w:szCs w:val="20"/>
              </w:rPr>
              <w:t>сельских</w:t>
            </w:r>
            <w:r w:rsidR="006C680D" w:rsidRPr="00D337FA">
              <w:rPr>
                <w:sz w:val="20"/>
                <w:szCs w:val="20"/>
              </w:rPr>
              <w:t xml:space="preserve"> </w:t>
            </w:r>
            <w:r w:rsidRPr="00D337FA">
              <w:rPr>
                <w:sz w:val="20"/>
                <w:szCs w:val="20"/>
              </w:rPr>
              <w:t>территорий</w:t>
            </w:r>
            <w:r w:rsidR="006C680D" w:rsidRPr="00D337FA">
              <w:rPr>
                <w:sz w:val="20"/>
                <w:szCs w:val="20"/>
              </w:rPr>
              <w:t xml:space="preserve"> </w:t>
            </w:r>
            <w:r w:rsidRPr="00D337FA">
              <w:rPr>
                <w:sz w:val="20"/>
                <w:szCs w:val="20"/>
              </w:rPr>
              <w:t>благодаря</w:t>
            </w:r>
            <w:r w:rsidR="006C680D" w:rsidRPr="00D337FA">
              <w:rPr>
                <w:sz w:val="20"/>
                <w:szCs w:val="20"/>
              </w:rPr>
              <w:t xml:space="preserve"> </w:t>
            </w:r>
            <w:r w:rsidRPr="00D337FA">
              <w:rPr>
                <w:sz w:val="20"/>
                <w:szCs w:val="20"/>
              </w:rPr>
              <w:t>развитию</w:t>
            </w:r>
            <w:r w:rsidR="006C680D" w:rsidRPr="00D337FA">
              <w:rPr>
                <w:sz w:val="20"/>
                <w:szCs w:val="20"/>
              </w:rPr>
              <w:t xml:space="preserve"> </w:t>
            </w:r>
            <w:r w:rsidRPr="00D337FA">
              <w:rPr>
                <w:sz w:val="20"/>
                <w:szCs w:val="20"/>
              </w:rPr>
              <w:t>туризма,</w:t>
            </w:r>
            <w:r w:rsidR="006C680D" w:rsidRPr="00D337FA">
              <w:rPr>
                <w:sz w:val="20"/>
                <w:szCs w:val="20"/>
              </w:rPr>
              <w:t xml:space="preserve"> </w:t>
            </w:r>
            <w:r w:rsidRPr="00D337FA">
              <w:rPr>
                <w:sz w:val="20"/>
                <w:szCs w:val="20"/>
              </w:rPr>
              <w:t>повышение</w:t>
            </w:r>
            <w:r w:rsidR="006C680D" w:rsidRPr="00D337FA">
              <w:rPr>
                <w:sz w:val="20"/>
                <w:szCs w:val="20"/>
              </w:rPr>
              <w:t xml:space="preserve"> </w:t>
            </w:r>
            <w:r w:rsidRPr="00D337FA">
              <w:rPr>
                <w:sz w:val="20"/>
                <w:szCs w:val="20"/>
              </w:rPr>
              <w:t>узнаваемости</w:t>
            </w:r>
            <w:r w:rsidR="006C680D" w:rsidRPr="00D337FA">
              <w:rPr>
                <w:sz w:val="20"/>
                <w:szCs w:val="20"/>
              </w:rPr>
              <w:t xml:space="preserve"> </w:t>
            </w:r>
            <w:r w:rsidRPr="00D337FA">
              <w:rPr>
                <w:sz w:val="20"/>
                <w:szCs w:val="20"/>
              </w:rPr>
              <w:t>компаний</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локальных</w:t>
            </w:r>
            <w:r w:rsidR="006C680D" w:rsidRPr="00D337FA">
              <w:rPr>
                <w:sz w:val="20"/>
                <w:szCs w:val="20"/>
              </w:rPr>
              <w:t xml:space="preserve"> </w:t>
            </w:r>
            <w:r w:rsidRPr="00D337FA">
              <w:rPr>
                <w:sz w:val="20"/>
                <w:szCs w:val="20"/>
              </w:rPr>
              <w:t>брендов.</w:t>
            </w:r>
            <w:r w:rsidR="006C680D" w:rsidRPr="00D337FA">
              <w:rPr>
                <w:sz w:val="20"/>
                <w:szCs w:val="20"/>
              </w:rPr>
              <w:t xml:space="preserve"> </w:t>
            </w:r>
            <w:r w:rsidRPr="00D337FA">
              <w:rPr>
                <w:sz w:val="20"/>
                <w:szCs w:val="20"/>
              </w:rPr>
              <w:t>Она</w:t>
            </w:r>
            <w:r w:rsidR="006C680D" w:rsidRPr="00D337FA">
              <w:rPr>
                <w:sz w:val="20"/>
                <w:szCs w:val="20"/>
              </w:rPr>
              <w:t xml:space="preserve"> </w:t>
            </w:r>
            <w:r w:rsidRPr="00D337FA">
              <w:rPr>
                <w:sz w:val="20"/>
                <w:szCs w:val="20"/>
              </w:rPr>
              <w:t>поддерживает</w:t>
            </w:r>
            <w:r w:rsidR="006C680D" w:rsidRPr="00D337FA">
              <w:rPr>
                <w:sz w:val="20"/>
                <w:szCs w:val="20"/>
              </w:rPr>
              <w:t xml:space="preserve"> </w:t>
            </w:r>
            <w:r w:rsidRPr="00D337FA">
              <w:rPr>
                <w:sz w:val="20"/>
                <w:szCs w:val="20"/>
              </w:rPr>
              <w:t>сохранение</w:t>
            </w:r>
            <w:r w:rsidR="006C680D" w:rsidRPr="00D337FA">
              <w:rPr>
                <w:sz w:val="20"/>
                <w:szCs w:val="20"/>
              </w:rPr>
              <w:t xml:space="preserve"> </w:t>
            </w:r>
            <w:r w:rsidRPr="00D337FA">
              <w:rPr>
                <w:sz w:val="20"/>
                <w:szCs w:val="20"/>
              </w:rPr>
              <w:t>традиций,</w:t>
            </w:r>
            <w:r w:rsidR="006C680D" w:rsidRPr="00D337FA">
              <w:rPr>
                <w:sz w:val="20"/>
                <w:szCs w:val="20"/>
              </w:rPr>
              <w:t xml:space="preserve"> </w:t>
            </w:r>
            <w:r w:rsidRPr="00D337FA">
              <w:rPr>
                <w:sz w:val="20"/>
                <w:szCs w:val="20"/>
              </w:rPr>
              <w:t>ремёсел</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экологически</w:t>
            </w:r>
            <w:r w:rsidR="006C680D" w:rsidRPr="00D337FA">
              <w:rPr>
                <w:sz w:val="20"/>
                <w:szCs w:val="20"/>
              </w:rPr>
              <w:t xml:space="preserve"> </w:t>
            </w:r>
            <w:r w:rsidRPr="00D337FA">
              <w:rPr>
                <w:sz w:val="20"/>
                <w:szCs w:val="20"/>
              </w:rPr>
              <w:t>ориентированных</w:t>
            </w:r>
            <w:r w:rsidR="006C680D" w:rsidRPr="00D337FA">
              <w:rPr>
                <w:sz w:val="20"/>
                <w:szCs w:val="20"/>
              </w:rPr>
              <w:t xml:space="preserve"> </w:t>
            </w:r>
            <w:r w:rsidRPr="00D337FA">
              <w:rPr>
                <w:sz w:val="20"/>
                <w:szCs w:val="20"/>
              </w:rPr>
              <w:t>практик.</w:t>
            </w:r>
          </w:p>
        </w:tc>
      </w:tr>
      <w:tr w:rsidR="00D337FA" w:rsidRPr="00D337FA" w:rsidTr="00826D3F">
        <w:trPr>
          <w:trHeight w:val="2483"/>
        </w:trPr>
        <w:tc>
          <w:tcPr>
            <w:tcW w:w="1668" w:type="dxa"/>
          </w:tcPr>
          <w:p w:rsidR="00544DD6" w:rsidRPr="00D337FA" w:rsidRDefault="00544DD6" w:rsidP="00544DD6">
            <w:pPr>
              <w:ind w:firstLine="0"/>
              <w:rPr>
                <w:sz w:val="20"/>
                <w:szCs w:val="20"/>
              </w:rPr>
            </w:pPr>
            <w:r w:rsidRPr="00D337FA">
              <w:rPr>
                <w:sz w:val="20"/>
                <w:szCs w:val="20"/>
                <w:shd w:val="clear" w:color="auto" w:fill="FFFFFF"/>
              </w:rPr>
              <w:t>Агромотиватор</w:t>
            </w:r>
          </w:p>
        </w:tc>
        <w:tc>
          <w:tcPr>
            <w:tcW w:w="8222" w:type="dxa"/>
          </w:tcPr>
          <w:p w:rsidR="00544DD6" w:rsidRPr="00D337FA" w:rsidRDefault="00544DD6" w:rsidP="00D337FA">
            <w:pPr>
              <w:ind w:firstLine="0"/>
              <w:rPr>
                <w:sz w:val="20"/>
                <w:szCs w:val="20"/>
              </w:rPr>
            </w:pPr>
            <w:r w:rsidRPr="00D337FA">
              <w:rPr>
                <w:sz w:val="20"/>
                <w:szCs w:val="20"/>
              </w:rPr>
              <w:t>Целевой</w:t>
            </w:r>
            <w:r w:rsidR="006C680D" w:rsidRPr="00D337FA">
              <w:rPr>
                <w:sz w:val="20"/>
                <w:szCs w:val="20"/>
              </w:rPr>
              <w:t xml:space="preserve"> </w:t>
            </w:r>
            <w:r w:rsidRPr="00D337FA">
              <w:rPr>
                <w:sz w:val="20"/>
                <w:szCs w:val="20"/>
              </w:rPr>
              <w:t>грант</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участников</w:t>
            </w:r>
            <w:r w:rsidR="006C680D" w:rsidRPr="00D337FA">
              <w:rPr>
                <w:sz w:val="20"/>
                <w:szCs w:val="20"/>
              </w:rPr>
              <w:t xml:space="preserve"> </w:t>
            </w:r>
            <w:r w:rsidRPr="00D337FA">
              <w:rPr>
                <w:sz w:val="20"/>
                <w:szCs w:val="20"/>
              </w:rPr>
              <w:t>СВО</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их</w:t>
            </w:r>
            <w:r w:rsidR="006C680D" w:rsidRPr="00D337FA">
              <w:rPr>
                <w:sz w:val="20"/>
                <w:szCs w:val="20"/>
              </w:rPr>
              <w:t xml:space="preserve"> </w:t>
            </w:r>
            <w:r w:rsidRPr="00D337FA">
              <w:rPr>
                <w:sz w:val="20"/>
                <w:szCs w:val="20"/>
              </w:rPr>
              <w:t>близких</w:t>
            </w:r>
            <w:r w:rsidR="006C680D" w:rsidRPr="00D337FA">
              <w:rPr>
                <w:sz w:val="20"/>
                <w:szCs w:val="20"/>
              </w:rPr>
              <w:t xml:space="preserve"> </w:t>
            </w:r>
            <w:r w:rsidRPr="00D337FA">
              <w:rPr>
                <w:sz w:val="20"/>
                <w:szCs w:val="20"/>
              </w:rPr>
              <w:t>предоставляется</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создание</w:t>
            </w:r>
            <w:r w:rsidR="006C680D" w:rsidRPr="00D337FA">
              <w:rPr>
                <w:sz w:val="20"/>
                <w:szCs w:val="20"/>
              </w:rPr>
              <w:t xml:space="preserve"> </w:t>
            </w:r>
            <w:r w:rsidRPr="00D337FA">
              <w:rPr>
                <w:sz w:val="20"/>
                <w:szCs w:val="20"/>
              </w:rPr>
              <w:t>фермерского</w:t>
            </w:r>
            <w:r w:rsidR="006C680D" w:rsidRPr="00D337FA">
              <w:rPr>
                <w:sz w:val="20"/>
                <w:szCs w:val="20"/>
              </w:rPr>
              <w:t xml:space="preserve"> </w:t>
            </w:r>
            <w:r w:rsidRPr="00D337FA">
              <w:rPr>
                <w:sz w:val="20"/>
                <w:szCs w:val="20"/>
              </w:rPr>
              <w:t>хозяйства,</w:t>
            </w:r>
            <w:r w:rsidR="006C680D" w:rsidRPr="00D337FA">
              <w:rPr>
                <w:sz w:val="20"/>
                <w:szCs w:val="20"/>
              </w:rPr>
              <w:t xml:space="preserve"> </w:t>
            </w:r>
            <w:r w:rsidRPr="00D337FA">
              <w:rPr>
                <w:sz w:val="20"/>
                <w:szCs w:val="20"/>
              </w:rPr>
              <w:t>модернизацию</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уже</w:t>
            </w:r>
            <w:r w:rsidR="006C680D" w:rsidRPr="00D337FA">
              <w:rPr>
                <w:sz w:val="20"/>
                <w:szCs w:val="20"/>
              </w:rPr>
              <w:t xml:space="preserve"> </w:t>
            </w:r>
            <w:r w:rsidRPr="00D337FA">
              <w:rPr>
                <w:sz w:val="20"/>
                <w:szCs w:val="20"/>
              </w:rPr>
              <w:t>существующего</w:t>
            </w:r>
            <w:r w:rsidR="006C680D" w:rsidRPr="00D337FA">
              <w:rPr>
                <w:sz w:val="20"/>
                <w:szCs w:val="20"/>
              </w:rPr>
              <w:t xml:space="preserve"> </w:t>
            </w:r>
            <w:r w:rsidRPr="00D337FA">
              <w:rPr>
                <w:sz w:val="20"/>
                <w:szCs w:val="20"/>
              </w:rPr>
              <w:t>сельского</w:t>
            </w:r>
            <w:r w:rsidR="006C680D" w:rsidRPr="00D337FA">
              <w:rPr>
                <w:sz w:val="20"/>
                <w:szCs w:val="20"/>
              </w:rPr>
              <w:t xml:space="preserve"> </w:t>
            </w:r>
            <w:r w:rsidRPr="00D337FA">
              <w:rPr>
                <w:sz w:val="20"/>
                <w:szCs w:val="20"/>
              </w:rPr>
              <w:t>бизнеса.</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можно</w:t>
            </w:r>
            <w:r w:rsidR="006C680D" w:rsidRPr="00D337FA">
              <w:rPr>
                <w:sz w:val="20"/>
                <w:szCs w:val="20"/>
              </w:rPr>
              <w:t xml:space="preserve"> </w:t>
            </w:r>
            <w:r w:rsidRPr="00D337FA">
              <w:rPr>
                <w:sz w:val="20"/>
                <w:szCs w:val="20"/>
              </w:rPr>
              <w:t>потратить</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покупку</w:t>
            </w:r>
            <w:r w:rsidR="006C680D" w:rsidRPr="00D337FA">
              <w:rPr>
                <w:sz w:val="20"/>
                <w:szCs w:val="20"/>
              </w:rPr>
              <w:t xml:space="preserve"> </w:t>
            </w:r>
            <w:r w:rsidRPr="00D337FA">
              <w:rPr>
                <w:sz w:val="20"/>
                <w:szCs w:val="20"/>
              </w:rPr>
              <w:t>техники,</w:t>
            </w:r>
            <w:r w:rsidR="006C680D" w:rsidRPr="00D337FA">
              <w:rPr>
                <w:sz w:val="20"/>
                <w:szCs w:val="20"/>
              </w:rPr>
              <w:t xml:space="preserve"> </w:t>
            </w:r>
            <w:r w:rsidRPr="00D337FA">
              <w:rPr>
                <w:sz w:val="20"/>
                <w:szCs w:val="20"/>
              </w:rPr>
              <w:t>оборудования,</w:t>
            </w:r>
            <w:r w:rsidR="006C680D" w:rsidRPr="00D337FA">
              <w:rPr>
                <w:sz w:val="20"/>
                <w:szCs w:val="20"/>
              </w:rPr>
              <w:t xml:space="preserve"> </w:t>
            </w:r>
            <w:r w:rsidRPr="00D337FA">
              <w:rPr>
                <w:sz w:val="20"/>
                <w:szCs w:val="20"/>
              </w:rPr>
              <w:t>строительство,</w:t>
            </w:r>
            <w:r w:rsidR="006C680D" w:rsidRPr="00D337FA">
              <w:rPr>
                <w:sz w:val="20"/>
                <w:szCs w:val="20"/>
              </w:rPr>
              <w:t xml:space="preserve"> </w:t>
            </w:r>
            <w:r w:rsidRPr="00D337FA">
              <w:rPr>
                <w:sz w:val="20"/>
                <w:szCs w:val="20"/>
              </w:rPr>
              <w:t>ремонт</w:t>
            </w:r>
            <w:r w:rsidR="006C680D" w:rsidRPr="00D337FA">
              <w:rPr>
                <w:sz w:val="20"/>
                <w:szCs w:val="20"/>
              </w:rPr>
              <w:t xml:space="preserve"> </w:t>
            </w:r>
            <w:r w:rsidRPr="00D337FA">
              <w:rPr>
                <w:sz w:val="20"/>
                <w:szCs w:val="20"/>
              </w:rPr>
              <w:t>помещений,</w:t>
            </w:r>
            <w:r w:rsidR="006C680D" w:rsidRPr="00D337FA">
              <w:rPr>
                <w:sz w:val="20"/>
                <w:szCs w:val="20"/>
              </w:rPr>
              <w:t xml:space="preserve"> </w:t>
            </w:r>
            <w:r w:rsidRPr="00D337FA">
              <w:rPr>
                <w:sz w:val="20"/>
                <w:szCs w:val="20"/>
              </w:rPr>
              <w:t>приобретение</w:t>
            </w:r>
            <w:r w:rsidR="006C680D" w:rsidRPr="00D337FA">
              <w:rPr>
                <w:sz w:val="20"/>
                <w:szCs w:val="20"/>
              </w:rPr>
              <w:t xml:space="preserve"> </w:t>
            </w:r>
            <w:r w:rsidRPr="00D337FA">
              <w:rPr>
                <w:sz w:val="20"/>
                <w:szCs w:val="20"/>
              </w:rPr>
              <w:t>скота,</w:t>
            </w:r>
            <w:r w:rsidR="006C680D" w:rsidRPr="00D337FA">
              <w:rPr>
                <w:sz w:val="20"/>
                <w:szCs w:val="20"/>
              </w:rPr>
              <w:t xml:space="preserve"> </w:t>
            </w:r>
            <w:r w:rsidRPr="00D337FA">
              <w:rPr>
                <w:sz w:val="20"/>
                <w:szCs w:val="20"/>
              </w:rPr>
              <w:t>посадочного</w:t>
            </w:r>
            <w:r w:rsidR="006C680D" w:rsidRPr="00D337FA">
              <w:rPr>
                <w:sz w:val="20"/>
                <w:szCs w:val="20"/>
              </w:rPr>
              <w:t xml:space="preserve"> </w:t>
            </w:r>
            <w:r w:rsidRPr="00D337FA">
              <w:rPr>
                <w:sz w:val="20"/>
                <w:szCs w:val="20"/>
              </w:rPr>
              <w:t>материала</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другие</w:t>
            </w:r>
            <w:r w:rsidR="006C680D" w:rsidRPr="00D337FA">
              <w:rPr>
                <w:sz w:val="20"/>
                <w:szCs w:val="20"/>
              </w:rPr>
              <w:t xml:space="preserve"> </w:t>
            </w:r>
            <w:r w:rsidRPr="00D337FA">
              <w:rPr>
                <w:sz w:val="20"/>
                <w:szCs w:val="20"/>
              </w:rPr>
              <w:t>производственные</w:t>
            </w:r>
            <w:r w:rsidR="006C680D" w:rsidRPr="00D337FA">
              <w:rPr>
                <w:sz w:val="20"/>
                <w:szCs w:val="20"/>
              </w:rPr>
              <w:t xml:space="preserve"> </w:t>
            </w:r>
            <w:r w:rsidRPr="00D337FA">
              <w:rPr>
                <w:sz w:val="20"/>
                <w:szCs w:val="20"/>
              </w:rPr>
              <w:t>расходы.</w:t>
            </w:r>
            <w:r w:rsidR="006C680D" w:rsidRPr="00D337FA">
              <w:rPr>
                <w:sz w:val="20"/>
                <w:szCs w:val="20"/>
              </w:rPr>
              <w:t xml:space="preserve"> </w:t>
            </w:r>
            <w:r w:rsidRPr="00D337FA">
              <w:rPr>
                <w:sz w:val="20"/>
                <w:szCs w:val="20"/>
              </w:rPr>
              <w:t>Получаемые</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покрывают</w:t>
            </w:r>
            <w:r w:rsidR="006C680D" w:rsidRPr="00D337FA">
              <w:rPr>
                <w:sz w:val="20"/>
                <w:szCs w:val="20"/>
              </w:rPr>
              <w:t xml:space="preserve"> </w:t>
            </w:r>
            <w:r w:rsidRPr="00D337FA">
              <w:rPr>
                <w:sz w:val="20"/>
                <w:szCs w:val="20"/>
              </w:rPr>
              <w:t>основную</w:t>
            </w:r>
            <w:r w:rsidR="006C680D" w:rsidRPr="00D337FA">
              <w:rPr>
                <w:sz w:val="20"/>
                <w:szCs w:val="20"/>
              </w:rPr>
              <w:t xml:space="preserve"> </w:t>
            </w:r>
            <w:r w:rsidRPr="00D337FA">
              <w:rPr>
                <w:sz w:val="20"/>
                <w:szCs w:val="20"/>
              </w:rPr>
              <w:t>часть</w:t>
            </w:r>
            <w:r w:rsidR="006C680D" w:rsidRPr="00D337FA">
              <w:rPr>
                <w:sz w:val="20"/>
                <w:szCs w:val="20"/>
              </w:rPr>
              <w:t xml:space="preserve"> </w:t>
            </w:r>
            <w:r w:rsidRPr="00D337FA">
              <w:rPr>
                <w:sz w:val="20"/>
                <w:szCs w:val="20"/>
              </w:rPr>
              <w:t>затрат,</w:t>
            </w:r>
            <w:r w:rsidR="006C680D" w:rsidRPr="00D337FA">
              <w:rPr>
                <w:sz w:val="20"/>
                <w:szCs w:val="20"/>
              </w:rPr>
              <w:t xml:space="preserve"> </w:t>
            </w:r>
            <w:r w:rsidRPr="00D337FA">
              <w:rPr>
                <w:sz w:val="20"/>
                <w:szCs w:val="20"/>
              </w:rPr>
              <w:t>как</w:t>
            </w:r>
            <w:r w:rsidR="006C680D" w:rsidRPr="00D337FA">
              <w:rPr>
                <w:sz w:val="20"/>
                <w:szCs w:val="20"/>
              </w:rPr>
              <w:t xml:space="preserve"> </w:t>
            </w:r>
            <w:r w:rsidRPr="00D337FA">
              <w:rPr>
                <w:sz w:val="20"/>
                <w:szCs w:val="20"/>
              </w:rPr>
              <w:t>правило</w:t>
            </w:r>
            <w:r w:rsidR="006C680D" w:rsidRPr="00D337FA">
              <w:rPr>
                <w:sz w:val="20"/>
                <w:szCs w:val="20"/>
              </w:rPr>
              <w:t xml:space="preserve"> </w:t>
            </w:r>
            <w:r w:rsidRPr="00D337FA">
              <w:rPr>
                <w:sz w:val="20"/>
                <w:szCs w:val="20"/>
              </w:rPr>
              <w:t>до</w:t>
            </w:r>
            <w:r w:rsidR="006C680D" w:rsidRPr="00D337FA">
              <w:rPr>
                <w:sz w:val="20"/>
                <w:szCs w:val="20"/>
              </w:rPr>
              <w:t xml:space="preserve"> </w:t>
            </w:r>
            <w:r w:rsidRPr="00D337FA">
              <w:rPr>
                <w:sz w:val="20"/>
                <w:szCs w:val="20"/>
              </w:rPr>
              <w:t>90%</w:t>
            </w:r>
            <w:r w:rsidR="006C680D" w:rsidRPr="00D337FA">
              <w:rPr>
                <w:sz w:val="20"/>
                <w:szCs w:val="20"/>
              </w:rPr>
              <w:t xml:space="preserve"> </w:t>
            </w:r>
            <w:r w:rsidRPr="00D337FA">
              <w:rPr>
                <w:sz w:val="20"/>
                <w:szCs w:val="20"/>
              </w:rPr>
              <w:t>стоимости</w:t>
            </w:r>
            <w:r w:rsidR="006C680D" w:rsidRPr="00D337FA">
              <w:rPr>
                <w:sz w:val="20"/>
                <w:szCs w:val="20"/>
              </w:rPr>
              <w:t xml:space="preserve"> </w:t>
            </w:r>
            <w:r w:rsidRPr="00D337FA">
              <w:rPr>
                <w:sz w:val="20"/>
                <w:szCs w:val="20"/>
              </w:rPr>
              <w:t>проекта,</w:t>
            </w:r>
            <w:r w:rsidR="006C680D" w:rsidRPr="00D337FA">
              <w:rPr>
                <w:sz w:val="20"/>
                <w:szCs w:val="20"/>
              </w:rPr>
              <w:t xml:space="preserve"> </w:t>
            </w:r>
            <w:r w:rsidRPr="00D337FA">
              <w:rPr>
                <w:sz w:val="20"/>
                <w:szCs w:val="20"/>
              </w:rPr>
              <w:t>что</w:t>
            </w:r>
            <w:r w:rsidR="006C680D" w:rsidRPr="00D337FA">
              <w:rPr>
                <w:sz w:val="20"/>
                <w:szCs w:val="20"/>
              </w:rPr>
              <w:t xml:space="preserve"> </w:t>
            </w:r>
            <w:r w:rsidRPr="00D337FA">
              <w:rPr>
                <w:sz w:val="20"/>
                <w:szCs w:val="20"/>
              </w:rPr>
              <w:t>снижает</w:t>
            </w:r>
            <w:r w:rsidR="006C680D" w:rsidRPr="00D337FA">
              <w:rPr>
                <w:sz w:val="20"/>
                <w:szCs w:val="20"/>
              </w:rPr>
              <w:t xml:space="preserve"> </w:t>
            </w:r>
            <w:r w:rsidRPr="00D337FA">
              <w:rPr>
                <w:sz w:val="20"/>
                <w:szCs w:val="20"/>
              </w:rPr>
              <w:t>финансовую</w:t>
            </w:r>
            <w:r w:rsidR="006C680D" w:rsidRPr="00D337FA">
              <w:rPr>
                <w:sz w:val="20"/>
                <w:szCs w:val="20"/>
              </w:rPr>
              <w:t xml:space="preserve"> </w:t>
            </w:r>
            <w:r w:rsidRPr="00D337FA">
              <w:rPr>
                <w:sz w:val="20"/>
                <w:szCs w:val="20"/>
              </w:rPr>
              <w:t>нагрузку</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начинающего</w:t>
            </w:r>
            <w:r w:rsidR="006C680D" w:rsidRPr="00D337FA">
              <w:rPr>
                <w:sz w:val="20"/>
                <w:szCs w:val="20"/>
              </w:rPr>
              <w:t xml:space="preserve"> </w:t>
            </w:r>
            <w:r w:rsidRPr="00D337FA">
              <w:rPr>
                <w:sz w:val="20"/>
                <w:szCs w:val="20"/>
              </w:rPr>
              <w:t>фермера.</w:t>
            </w:r>
            <w:r w:rsidR="006C680D" w:rsidRPr="00D337FA">
              <w:rPr>
                <w:sz w:val="20"/>
                <w:szCs w:val="20"/>
              </w:rPr>
              <w:t xml:space="preserve"> </w:t>
            </w:r>
            <w:r w:rsidRPr="00D337FA">
              <w:rPr>
                <w:sz w:val="20"/>
                <w:szCs w:val="20"/>
              </w:rPr>
              <w:t>Получатель</w:t>
            </w:r>
            <w:r w:rsidR="006C680D" w:rsidRPr="00D337FA">
              <w:rPr>
                <w:sz w:val="20"/>
                <w:szCs w:val="20"/>
              </w:rPr>
              <w:t xml:space="preserve"> </w:t>
            </w:r>
            <w:r w:rsidRPr="00D337FA">
              <w:rPr>
                <w:sz w:val="20"/>
                <w:szCs w:val="20"/>
              </w:rPr>
              <w:t>обязуется</w:t>
            </w:r>
            <w:r w:rsidR="006C680D" w:rsidRPr="00D337FA">
              <w:rPr>
                <w:sz w:val="20"/>
                <w:szCs w:val="20"/>
              </w:rPr>
              <w:t xml:space="preserve"> </w:t>
            </w:r>
            <w:r w:rsidRPr="00D337FA">
              <w:rPr>
                <w:sz w:val="20"/>
                <w:szCs w:val="20"/>
              </w:rPr>
              <w:t>вложить</w:t>
            </w:r>
            <w:r w:rsidR="006C680D" w:rsidRPr="00D337FA">
              <w:rPr>
                <w:sz w:val="20"/>
                <w:szCs w:val="20"/>
              </w:rPr>
              <w:t xml:space="preserve"> </w:t>
            </w:r>
            <w:r w:rsidRPr="00D337FA">
              <w:rPr>
                <w:sz w:val="20"/>
                <w:szCs w:val="20"/>
              </w:rPr>
              <w:t>собственные</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создать</w:t>
            </w:r>
            <w:r w:rsidR="006C680D" w:rsidRPr="00D337FA">
              <w:rPr>
                <w:sz w:val="20"/>
                <w:szCs w:val="20"/>
              </w:rPr>
              <w:t xml:space="preserve"> </w:t>
            </w:r>
            <w:r w:rsidRPr="00D337FA">
              <w:rPr>
                <w:sz w:val="20"/>
                <w:szCs w:val="20"/>
              </w:rPr>
              <w:t>рабочие</w:t>
            </w:r>
            <w:r w:rsidR="006C680D" w:rsidRPr="00D337FA">
              <w:rPr>
                <w:sz w:val="20"/>
                <w:szCs w:val="20"/>
              </w:rPr>
              <w:t xml:space="preserve"> </w:t>
            </w:r>
            <w:r w:rsidRPr="00D337FA">
              <w:rPr>
                <w:sz w:val="20"/>
                <w:szCs w:val="20"/>
              </w:rPr>
              <w:t>места</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вести</w:t>
            </w:r>
            <w:r w:rsidR="006C680D" w:rsidRPr="00D337FA">
              <w:rPr>
                <w:sz w:val="20"/>
                <w:szCs w:val="20"/>
              </w:rPr>
              <w:t xml:space="preserve"> </w:t>
            </w:r>
            <w:r w:rsidRPr="00D337FA">
              <w:rPr>
                <w:sz w:val="20"/>
                <w:szCs w:val="20"/>
              </w:rPr>
              <w:t>деятельность</w:t>
            </w:r>
            <w:r w:rsidR="006C680D" w:rsidRPr="00D337FA">
              <w:rPr>
                <w:sz w:val="20"/>
                <w:szCs w:val="20"/>
              </w:rPr>
              <w:t xml:space="preserve"> </w:t>
            </w:r>
            <w:r w:rsidRPr="00D337FA">
              <w:rPr>
                <w:sz w:val="20"/>
                <w:szCs w:val="20"/>
              </w:rPr>
              <w:t>не</w:t>
            </w:r>
            <w:r w:rsidR="006C680D" w:rsidRPr="00D337FA">
              <w:rPr>
                <w:sz w:val="20"/>
                <w:szCs w:val="20"/>
              </w:rPr>
              <w:t xml:space="preserve"> </w:t>
            </w:r>
            <w:r w:rsidRPr="00D337FA">
              <w:rPr>
                <w:sz w:val="20"/>
                <w:szCs w:val="20"/>
              </w:rPr>
              <w:t>менее</w:t>
            </w:r>
            <w:r w:rsidR="006C680D" w:rsidRPr="00D337FA">
              <w:rPr>
                <w:sz w:val="20"/>
                <w:szCs w:val="20"/>
              </w:rPr>
              <w:t xml:space="preserve"> </w:t>
            </w:r>
            <w:r w:rsidRPr="00D337FA">
              <w:rPr>
                <w:sz w:val="20"/>
                <w:szCs w:val="20"/>
              </w:rPr>
              <w:t>установленного</w:t>
            </w:r>
            <w:r w:rsidR="006C680D" w:rsidRPr="00D337FA">
              <w:rPr>
                <w:sz w:val="20"/>
                <w:szCs w:val="20"/>
              </w:rPr>
              <w:t xml:space="preserve"> </w:t>
            </w:r>
            <w:r w:rsidRPr="00D337FA">
              <w:rPr>
                <w:sz w:val="20"/>
                <w:szCs w:val="20"/>
              </w:rPr>
              <w:t>срока.</w:t>
            </w:r>
            <w:r w:rsidR="006C680D" w:rsidRPr="00D337FA">
              <w:rPr>
                <w:sz w:val="20"/>
                <w:szCs w:val="20"/>
              </w:rPr>
              <w:t xml:space="preserve"> </w:t>
            </w:r>
            <w:r w:rsidRPr="00D337FA">
              <w:rPr>
                <w:sz w:val="20"/>
                <w:szCs w:val="20"/>
              </w:rPr>
              <w:t>Проект</w:t>
            </w:r>
            <w:r w:rsidR="006C680D" w:rsidRPr="00D337FA">
              <w:rPr>
                <w:sz w:val="20"/>
                <w:szCs w:val="20"/>
              </w:rPr>
              <w:t xml:space="preserve"> </w:t>
            </w:r>
            <w:r w:rsidRPr="00D337FA">
              <w:rPr>
                <w:sz w:val="20"/>
                <w:szCs w:val="20"/>
              </w:rPr>
              <w:t>должен</w:t>
            </w:r>
            <w:r w:rsidR="006C680D" w:rsidRPr="00D337FA">
              <w:rPr>
                <w:sz w:val="20"/>
                <w:szCs w:val="20"/>
              </w:rPr>
              <w:t xml:space="preserve"> </w:t>
            </w:r>
            <w:r w:rsidRPr="00D337FA">
              <w:rPr>
                <w:sz w:val="20"/>
                <w:szCs w:val="20"/>
              </w:rPr>
              <w:t>быть</w:t>
            </w:r>
            <w:r w:rsidR="006C680D" w:rsidRPr="00D337FA">
              <w:rPr>
                <w:sz w:val="20"/>
                <w:szCs w:val="20"/>
              </w:rPr>
              <w:t xml:space="preserve"> </w:t>
            </w:r>
            <w:r w:rsidRPr="00D337FA">
              <w:rPr>
                <w:sz w:val="20"/>
                <w:szCs w:val="20"/>
              </w:rPr>
              <w:t>реализован</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сельской</w:t>
            </w:r>
            <w:r w:rsidR="006C680D" w:rsidRPr="00D337FA">
              <w:rPr>
                <w:sz w:val="20"/>
                <w:szCs w:val="20"/>
              </w:rPr>
              <w:t xml:space="preserve"> </w:t>
            </w:r>
            <w:r w:rsidRPr="00D337FA">
              <w:rPr>
                <w:sz w:val="20"/>
                <w:szCs w:val="20"/>
              </w:rPr>
              <w:t>местности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иметь</w:t>
            </w:r>
            <w:r w:rsidR="006C680D" w:rsidRPr="00D337FA">
              <w:rPr>
                <w:sz w:val="20"/>
                <w:szCs w:val="20"/>
              </w:rPr>
              <w:t xml:space="preserve"> </w:t>
            </w:r>
            <w:r w:rsidRPr="00D337FA">
              <w:rPr>
                <w:sz w:val="20"/>
                <w:szCs w:val="20"/>
              </w:rPr>
              <w:t>социально-экономический</w:t>
            </w:r>
            <w:r w:rsidR="006C680D" w:rsidRPr="00D337FA">
              <w:rPr>
                <w:sz w:val="20"/>
                <w:szCs w:val="20"/>
              </w:rPr>
              <w:t xml:space="preserve"> </w:t>
            </w:r>
            <w:r w:rsidRPr="00D337FA">
              <w:rPr>
                <w:sz w:val="20"/>
                <w:szCs w:val="20"/>
              </w:rPr>
              <w:t>эффект</w:t>
            </w:r>
            <w:r w:rsidR="006C680D" w:rsidRPr="00D337FA">
              <w:rPr>
                <w:sz w:val="20"/>
                <w:szCs w:val="20"/>
              </w:rPr>
              <w:t xml:space="preserve"> </w:t>
            </w:r>
            <w:r w:rsidR="00D337FA">
              <w:rPr>
                <w:sz w:val="20"/>
                <w:szCs w:val="20"/>
              </w:rPr>
              <w:t>–</w:t>
            </w:r>
            <w:r w:rsidR="006C680D" w:rsidRPr="00D337FA">
              <w:rPr>
                <w:sz w:val="20"/>
                <w:szCs w:val="20"/>
              </w:rPr>
              <w:t xml:space="preserve"> </w:t>
            </w:r>
            <w:r w:rsidRPr="00D337FA">
              <w:rPr>
                <w:sz w:val="20"/>
                <w:szCs w:val="20"/>
              </w:rPr>
              <w:t>занятость,</w:t>
            </w:r>
            <w:r w:rsidR="006C680D" w:rsidRPr="00D337FA">
              <w:rPr>
                <w:sz w:val="20"/>
                <w:szCs w:val="20"/>
              </w:rPr>
              <w:t xml:space="preserve"> </w:t>
            </w:r>
            <w:r w:rsidRPr="00D337FA">
              <w:rPr>
                <w:sz w:val="20"/>
                <w:szCs w:val="20"/>
              </w:rPr>
              <w:t>производство</w:t>
            </w:r>
            <w:r w:rsidR="006C680D" w:rsidRPr="00D337FA">
              <w:rPr>
                <w:sz w:val="20"/>
                <w:szCs w:val="20"/>
              </w:rPr>
              <w:t xml:space="preserve"> </w:t>
            </w:r>
            <w:r w:rsidRPr="00D337FA">
              <w:rPr>
                <w:sz w:val="20"/>
                <w:szCs w:val="20"/>
              </w:rPr>
              <w:t>продукции,</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территории.</w:t>
            </w:r>
            <w:r w:rsidR="006C680D" w:rsidRPr="00D337FA">
              <w:rPr>
                <w:sz w:val="20"/>
                <w:szCs w:val="20"/>
              </w:rPr>
              <w:t xml:space="preserve"> </w:t>
            </w:r>
            <w:r w:rsidRPr="00D337FA">
              <w:rPr>
                <w:sz w:val="20"/>
                <w:szCs w:val="20"/>
              </w:rPr>
              <w:t>Особое</w:t>
            </w:r>
            <w:r w:rsidR="006C680D" w:rsidRPr="00D337FA">
              <w:rPr>
                <w:sz w:val="20"/>
                <w:szCs w:val="20"/>
              </w:rPr>
              <w:t xml:space="preserve"> </w:t>
            </w:r>
            <w:r w:rsidRPr="00D337FA">
              <w:rPr>
                <w:sz w:val="20"/>
                <w:szCs w:val="20"/>
              </w:rPr>
              <w:t>внимание</w:t>
            </w:r>
            <w:r w:rsidR="006C680D" w:rsidRPr="00D337FA">
              <w:rPr>
                <w:sz w:val="20"/>
                <w:szCs w:val="20"/>
              </w:rPr>
              <w:t xml:space="preserve"> </w:t>
            </w:r>
            <w:r w:rsidRPr="00D337FA">
              <w:rPr>
                <w:sz w:val="20"/>
                <w:szCs w:val="20"/>
              </w:rPr>
              <w:t>уделяется</w:t>
            </w:r>
            <w:r w:rsidR="006C680D" w:rsidRPr="00D337FA">
              <w:rPr>
                <w:sz w:val="20"/>
                <w:szCs w:val="20"/>
              </w:rPr>
              <w:t xml:space="preserve"> </w:t>
            </w:r>
            <w:r w:rsidRPr="00D337FA">
              <w:rPr>
                <w:sz w:val="20"/>
                <w:szCs w:val="20"/>
              </w:rPr>
              <w:t>устойчивости</w:t>
            </w:r>
            <w:r w:rsidR="006C680D" w:rsidRPr="00D337FA">
              <w:rPr>
                <w:sz w:val="20"/>
                <w:szCs w:val="20"/>
              </w:rPr>
              <w:t xml:space="preserve"> </w:t>
            </w:r>
            <w:r w:rsidRPr="00D337FA">
              <w:rPr>
                <w:sz w:val="20"/>
                <w:szCs w:val="20"/>
              </w:rPr>
              <w:t>проекта,</w:t>
            </w:r>
            <w:r w:rsidR="006C680D" w:rsidRPr="00D337FA">
              <w:rPr>
                <w:sz w:val="20"/>
                <w:szCs w:val="20"/>
              </w:rPr>
              <w:t xml:space="preserve"> </w:t>
            </w:r>
            <w:r w:rsidRPr="00D337FA">
              <w:rPr>
                <w:sz w:val="20"/>
                <w:szCs w:val="20"/>
              </w:rPr>
              <w:t>реалистичности</w:t>
            </w:r>
            <w:r w:rsidR="006C680D" w:rsidRPr="00D337FA">
              <w:rPr>
                <w:sz w:val="20"/>
                <w:szCs w:val="20"/>
              </w:rPr>
              <w:t xml:space="preserve"> </w:t>
            </w:r>
            <w:r w:rsidRPr="00D337FA">
              <w:rPr>
                <w:sz w:val="20"/>
                <w:szCs w:val="20"/>
              </w:rPr>
              <w:t>бизнес-плана</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перспективам</w:t>
            </w:r>
            <w:r w:rsidR="006C680D" w:rsidRPr="00D337FA">
              <w:rPr>
                <w:sz w:val="20"/>
                <w:szCs w:val="20"/>
              </w:rPr>
              <w:t xml:space="preserve"> </w:t>
            </w:r>
            <w:r w:rsidRPr="00D337FA">
              <w:rPr>
                <w:sz w:val="20"/>
                <w:szCs w:val="20"/>
              </w:rPr>
              <w:t>сбыта</w:t>
            </w:r>
            <w:r w:rsidR="006C680D" w:rsidRPr="00D337FA">
              <w:rPr>
                <w:sz w:val="20"/>
                <w:szCs w:val="20"/>
              </w:rPr>
              <w:t xml:space="preserve"> </w:t>
            </w:r>
            <w:r w:rsidRPr="00D337FA">
              <w:rPr>
                <w:sz w:val="20"/>
                <w:szCs w:val="20"/>
              </w:rPr>
              <w:t>продукции.</w:t>
            </w:r>
          </w:p>
        </w:tc>
      </w:tr>
      <w:tr w:rsidR="00D337FA" w:rsidRPr="00D337FA" w:rsidTr="00826D3F">
        <w:trPr>
          <w:trHeight w:val="1641"/>
        </w:trPr>
        <w:tc>
          <w:tcPr>
            <w:tcW w:w="1668" w:type="dxa"/>
          </w:tcPr>
          <w:p w:rsidR="00544DD6" w:rsidRPr="00D337FA" w:rsidRDefault="00544DD6" w:rsidP="00544DD6">
            <w:pPr>
              <w:ind w:firstLine="0"/>
              <w:rPr>
                <w:sz w:val="20"/>
                <w:szCs w:val="20"/>
              </w:rPr>
            </w:pPr>
            <w:r w:rsidRPr="00D337FA">
              <w:rPr>
                <w:sz w:val="20"/>
                <w:szCs w:val="20"/>
                <w:shd w:val="clear" w:color="auto" w:fill="FFFFFF"/>
              </w:rPr>
              <w:t>Гранты</w:t>
            </w:r>
            <w:r w:rsidR="006C680D" w:rsidRPr="00D337FA">
              <w:rPr>
                <w:sz w:val="20"/>
                <w:szCs w:val="20"/>
                <w:shd w:val="clear" w:color="auto" w:fill="FFFFFF"/>
              </w:rPr>
              <w:t xml:space="preserve"> </w:t>
            </w:r>
            <w:r w:rsidRPr="00D337FA">
              <w:rPr>
                <w:sz w:val="20"/>
                <w:szCs w:val="20"/>
                <w:shd w:val="clear" w:color="auto" w:fill="FFFFFF"/>
              </w:rPr>
              <w:t>на</w:t>
            </w:r>
            <w:r w:rsidR="006C680D" w:rsidRPr="00D337FA">
              <w:rPr>
                <w:sz w:val="20"/>
                <w:szCs w:val="20"/>
                <w:shd w:val="clear" w:color="auto" w:fill="FFFFFF"/>
              </w:rPr>
              <w:t xml:space="preserve"> </w:t>
            </w:r>
            <w:r w:rsidRPr="00D337FA">
              <w:rPr>
                <w:sz w:val="20"/>
                <w:szCs w:val="20"/>
                <w:shd w:val="clear" w:color="auto" w:fill="FFFFFF"/>
              </w:rPr>
              <w:t>семейные</w:t>
            </w:r>
            <w:r w:rsidR="006C680D" w:rsidRPr="00D337FA">
              <w:rPr>
                <w:sz w:val="20"/>
                <w:szCs w:val="20"/>
                <w:shd w:val="clear" w:color="auto" w:fill="FFFFFF"/>
              </w:rPr>
              <w:t xml:space="preserve"> </w:t>
            </w:r>
            <w:r w:rsidRPr="00D337FA">
              <w:rPr>
                <w:sz w:val="20"/>
                <w:szCs w:val="20"/>
                <w:shd w:val="clear" w:color="auto" w:fill="FFFFFF"/>
              </w:rPr>
              <w:t>фермы</w:t>
            </w:r>
          </w:p>
        </w:tc>
        <w:tc>
          <w:tcPr>
            <w:tcW w:w="8222" w:type="dxa"/>
          </w:tcPr>
          <w:p w:rsidR="00544DD6" w:rsidRPr="00D337FA" w:rsidRDefault="00544DD6" w:rsidP="00D337FA">
            <w:pPr>
              <w:ind w:firstLine="0"/>
              <w:rPr>
                <w:sz w:val="20"/>
                <w:szCs w:val="20"/>
              </w:rPr>
            </w:pPr>
            <w:r w:rsidRPr="00D337FA">
              <w:rPr>
                <w:sz w:val="20"/>
                <w:szCs w:val="20"/>
              </w:rPr>
              <w:t>Грант</w:t>
            </w:r>
            <w:r w:rsidR="006C680D" w:rsidRPr="00D337FA">
              <w:rPr>
                <w:sz w:val="20"/>
                <w:szCs w:val="20"/>
              </w:rPr>
              <w:t xml:space="preserve"> </w:t>
            </w:r>
            <w:r w:rsidRPr="00D337FA">
              <w:rPr>
                <w:sz w:val="20"/>
                <w:szCs w:val="20"/>
              </w:rPr>
              <w:t>направлен</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поддержку</w:t>
            </w:r>
            <w:r w:rsidR="006C680D" w:rsidRPr="00D337FA">
              <w:rPr>
                <w:sz w:val="20"/>
                <w:szCs w:val="20"/>
              </w:rPr>
              <w:t xml:space="preserve"> </w:t>
            </w:r>
            <w:r w:rsidRPr="00D337FA">
              <w:rPr>
                <w:sz w:val="20"/>
                <w:szCs w:val="20"/>
              </w:rPr>
              <w:t>действующих</w:t>
            </w:r>
            <w:r w:rsidR="006C680D" w:rsidRPr="00D337FA">
              <w:rPr>
                <w:sz w:val="20"/>
                <w:szCs w:val="20"/>
              </w:rPr>
              <w:t xml:space="preserve"> </w:t>
            </w:r>
            <w:r w:rsidRPr="00D337FA">
              <w:rPr>
                <w:sz w:val="20"/>
                <w:szCs w:val="20"/>
              </w:rPr>
              <w:t>фермерских</w:t>
            </w:r>
            <w:r w:rsidR="006C680D" w:rsidRPr="00D337FA">
              <w:rPr>
                <w:sz w:val="20"/>
                <w:szCs w:val="20"/>
              </w:rPr>
              <w:t xml:space="preserve"> </w:t>
            </w:r>
            <w:r w:rsidRPr="00D337FA">
              <w:rPr>
                <w:sz w:val="20"/>
                <w:szCs w:val="20"/>
              </w:rPr>
              <w:t>хозяйств,</w:t>
            </w:r>
            <w:r w:rsidR="006C680D" w:rsidRPr="00D337FA">
              <w:rPr>
                <w:sz w:val="20"/>
                <w:szCs w:val="20"/>
              </w:rPr>
              <w:t xml:space="preserve"> </w:t>
            </w:r>
            <w:r w:rsidRPr="00D337FA">
              <w:rPr>
                <w:sz w:val="20"/>
                <w:szCs w:val="20"/>
              </w:rPr>
              <w:t>которые</w:t>
            </w:r>
            <w:r w:rsidR="006C680D" w:rsidRPr="00D337FA">
              <w:rPr>
                <w:sz w:val="20"/>
                <w:szCs w:val="20"/>
              </w:rPr>
              <w:t xml:space="preserve"> </w:t>
            </w:r>
            <w:r w:rsidRPr="00D337FA">
              <w:rPr>
                <w:sz w:val="20"/>
                <w:szCs w:val="20"/>
              </w:rPr>
              <w:t>ведут</w:t>
            </w:r>
            <w:r w:rsidR="006C680D" w:rsidRPr="00D337FA">
              <w:rPr>
                <w:sz w:val="20"/>
                <w:szCs w:val="20"/>
              </w:rPr>
              <w:t xml:space="preserve"> </w:t>
            </w:r>
            <w:r w:rsidRPr="00D337FA">
              <w:rPr>
                <w:sz w:val="20"/>
                <w:szCs w:val="20"/>
              </w:rPr>
              <w:t>деятельность</w:t>
            </w:r>
            <w:r w:rsidR="006C680D" w:rsidRPr="00D337FA">
              <w:rPr>
                <w:sz w:val="20"/>
                <w:szCs w:val="20"/>
              </w:rPr>
              <w:t xml:space="preserve"> </w:t>
            </w:r>
            <w:r w:rsidRPr="00D337FA">
              <w:rPr>
                <w:sz w:val="20"/>
                <w:szCs w:val="20"/>
              </w:rPr>
              <w:t>с</w:t>
            </w:r>
            <w:r w:rsidR="006C680D" w:rsidRPr="00D337FA">
              <w:rPr>
                <w:sz w:val="20"/>
                <w:szCs w:val="20"/>
              </w:rPr>
              <w:t xml:space="preserve"> </w:t>
            </w:r>
            <w:r w:rsidRPr="00D337FA">
              <w:rPr>
                <w:sz w:val="20"/>
                <w:szCs w:val="20"/>
              </w:rPr>
              <w:t>участием</w:t>
            </w:r>
            <w:r w:rsidR="006C680D" w:rsidRPr="00D337FA">
              <w:rPr>
                <w:sz w:val="20"/>
                <w:szCs w:val="20"/>
              </w:rPr>
              <w:t xml:space="preserve"> </w:t>
            </w:r>
            <w:r w:rsidRPr="00D337FA">
              <w:rPr>
                <w:sz w:val="20"/>
                <w:szCs w:val="20"/>
              </w:rPr>
              <w:t>членов</w:t>
            </w:r>
            <w:r w:rsidR="006C680D" w:rsidRPr="00D337FA">
              <w:rPr>
                <w:sz w:val="20"/>
                <w:szCs w:val="20"/>
              </w:rPr>
              <w:t xml:space="preserve"> </w:t>
            </w:r>
            <w:r w:rsidRPr="00D337FA">
              <w:rPr>
                <w:sz w:val="20"/>
                <w:szCs w:val="20"/>
              </w:rPr>
              <w:t>одной</w:t>
            </w:r>
            <w:r w:rsidR="006C680D" w:rsidRPr="00D337FA">
              <w:rPr>
                <w:sz w:val="20"/>
                <w:szCs w:val="20"/>
              </w:rPr>
              <w:t xml:space="preserve"> </w:t>
            </w:r>
            <w:r w:rsidRPr="00D337FA">
              <w:rPr>
                <w:sz w:val="20"/>
                <w:szCs w:val="20"/>
              </w:rPr>
              <w:t>семьи.</w:t>
            </w:r>
            <w:r w:rsidR="006C680D" w:rsidRPr="00D337FA">
              <w:rPr>
                <w:sz w:val="20"/>
                <w:szCs w:val="20"/>
              </w:rPr>
              <w:t xml:space="preserve"> </w:t>
            </w:r>
            <w:r w:rsidRPr="00D337FA">
              <w:rPr>
                <w:sz w:val="20"/>
                <w:szCs w:val="20"/>
              </w:rPr>
              <w:t>Его</w:t>
            </w:r>
            <w:r w:rsidR="006C680D" w:rsidRPr="00D337FA">
              <w:rPr>
                <w:sz w:val="20"/>
                <w:szCs w:val="20"/>
              </w:rPr>
              <w:t xml:space="preserve"> </w:t>
            </w:r>
            <w:r w:rsidRPr="00D337FA">
              <w:rPr>
                <w:sz w:val="20"/>
                <w:szCs w:val="20"/>
              </w:rPr>
              <w:t>цель</w:t>
            </w:r>
            <w:r w:rsidR="006C680D" w:rsidRPr="00D337FA">
              <w:rPr>
                <w:sz w:val="20"/>
                <w:szCs w:val="20"/>
              </w:rPr>
              <w:t xml:space="preserve"> </w:t>
            </w:r>
            <w:r w:rsidR="00D337FA">
              <w:rPr>
                <w:sz w:val="20"/>
                <w:szCs w:val="20"/>
              </w:rPr>
              <w:t>–</w:t>
            </w:r>
            <w:r w:rsidR="006C680D" w:rsidRPr="00D337FA">
              <w:rPr>
                <w:sz w:val="20"/>
                <w:szCs w:val="20"/>
              </w:rPr>
              <w:t xml:space="preserve"> </w:t>
            </w:r>
            <w:r w:rsidRPr="00D337FA">
              <w:rPr>
                <w:sz w:val="20"/>
                <w:szCs w:val="20"/>
              </w:rPr>
              <w:t>расширение</w:t>
            </w:r>
            <w:r w:rsidR="006C680D" w:rsidRPr="00D337FA">
              <w:rPr>
                <w:sz w:val="20"/>
                <w:szCs w:val="20"/>
              </w:rPr>
              <w:t xml:space="preserve"> </w:t>
            </w:r>
            <w:r w:rsidRPr="00D337FA">
              <w:rPr>
                <w:sz w:val="20"/>
                <w:szCs w:val="20"/>
              </w:rPr>
              <w:t>производства,</w:t>
            </w:r>
            <w:r w:rsidR="006C680D" w:rsidRPr="00D337FA">
              <w:rPr>
                <w:sz w:val="20"/>
                <w:szCs w:val="20"/>
              </w:rPr>
              <w:t xml:space="preserve"> </w:t>
            </w:r>
            <w:r w:rsidRPr="00D337FA">
              <w:rPr>
                <w:sz w:val="20"/>
                <w:szCs w:val="20"/>
              </w:rPr>
              <w:t>создание</w:t>
            </w:r>
            <w:r w:rsidR="006C680D" w:rsidRPr="00D337FA">
              <w:rPr>
                <w:sz w:val="20"/>
                <w:szCs w:val="20"/>
              </w:rPr>
              <w:t xml:space="preserve"> </w:t>
            </w:r>
            <w:r w:rsidRPr="00D337FA">
              <w:rPr>
                <w:sz w:val="20"/>
                <w:szCs w:val="20"/>
              </w:rPr>
              <w:t>новых</w:t>
            </w:r>
            <w:r w:rsidR="006C680D" w:rsidRPr="00D337FA">
              <w:rPr>
                <w:sz w:val="20"/>
                <w:szCs w:val="20"/>
              </w:rPr>
              <w:t xml:space="preserve"> </w:t>
            </w:r>
            <w:r w:rsidRPr="00D337FA">
              <w:rPr>
                <w:sz w:val="20"/>
                <w:szCs w:val="20"/>
              </w:rPr>
              <w:t>рабочих</w:t>
            </w:r>
            <w:r w:rsidR="006C680D" w:rsidRPr="00D337FA">
              <w:rPr>
                <w:sz w:val="20"/>
                <w:szCs w:val="20"/>
              </w:rPr>
              <w:t xml:space="preserve"> </w:t>
            </w:r>
            <w:r w:rsidRPr="00D337FA">
              <w:rPr>
                <w:sz w:val="20"/>
                <w:szCs w:val="20"/>
              </w:rPr>
              <w:t>мест</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селе</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повышение</w:t>
            </w:r>
            <w:r w:rsidR="006C680D" w:rsidRPr="00D337FA">
              <w:rPr>
                <w:sz w:val="20"/>
                <w:szCs w:val="20"/>
              </w:rPr>
              <w:t xml:space="preserve"> </w:t>
            </w:r>
            <w:r w:rsidRPr="00D337FA">
              <w:rPr>
                <w:sz w:val="20"/>
                <w:szCs w:val="20"/>
              </w:rPr>
              <w:t>устойчивости</w:t>
            </w:r>
            <w:r w:rsidR="006C680D" w:rsidRPr="00D337FA">
              <w:rPr>
                <w:sz w:val="20"/>
                <w:szCs w:val="20"/>
              </w:rPr>
              <w:t xml:space="preserve"> </w:t>
            </w:r>
            <w:r w:rsidRPr="00D337FA">
              <w:rPr>
                <w:sz w:val="20"/>
                <w:szCs w:val="20"/>
              </w:rPr>
              <w:t>малого</w:t>
            </w:r>
            <w:r w:rsidR="006C680D" w:rsidRPr="00D337FA">
              <w:rPr>
                <w:sz w:val="20"/>
                <w:szCs w:val="20"/>
              </w:rPr>
              <w:t xml:space="preserve"> </w:t>
            </w:r>
            <w:r w:rsidRPr="00D337FA">
              <w:rPr>
                <w:sz w:val="20"/>
                <w:szCs w:val="20"/>
              </w:rPr>
              <w:t>агробизнеса.</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гранта</w:t>
            </w:r>
            <w:r w:rsidR="006C680D" w:rsidRPr="00D337FA">
              <w:rPr>
                <w:sz w:val="20"/>
                <w:szCs w:val="20"/>
              </w:rPr>
              <w:t xml:space="preserve"> </w:t>
            </w:r>
            <w:r w:rsidRPr="00D337FA">
              <w:rPr>
                <w:sz w:val="20"/>
                <w:szCs w:val="20"/>
              </w:rPr>
              <w:t>можно</w:t>
            </w:r>
            <w:r w:rsidR="006C680D" w:rsidRPr="00D337FA">
              <w:rPr>
                <w:sz w:val="20"/>
                <w:szCs w:val="20"/>
              </w:rPr>
              <w:t xml:space="preserve"> </w:t>
            </w:r>
            <w:r w:rsidRPr="00D337FA">
              <w:rPr>
                <w:sz w:val="20"/>
                <w:szCs w:val="20"/>
              </w:rPr>
              <w:t>использовать</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модернизацию</w:t>
            </w:r>
            <w:r w:rsidR="006C680D" w:rsidRPr="00D337FA">
              <w:rPr>
                <w:sz w:val="20"/>
                <w:szCs w:val="20"/>
              </w:rPr>
              <w:t xml:space="preserve"> </w:t>
            </w:r>
            <w:r w:rsidRPr="00D337FA">
              <w:rPr>
                <w:sz w:val="20"/>
                <w:szCs w:val="20"/>
              </w:rPr>
              <w:t>ферм,</w:t>
            </w:r>
            <w:r w:rsidR="006C680D" w:rsidRPr="00D337FA">
              <w:rPr>
                <w:sz w:val="20"/>
                <w:szCs w:val="20"/>
              </w:rPr>
              <w:t xml:space="preserve"> </w:t>
            </w:r>
            <w:r w:rsidRPr="00D337FA">
              <w:rPr>
                <w:sz w:val="20"/>
                <w:szCs w:val="20"/>
              </w:rPr>
              <w:t>закупку</w:t>
            </w:r>
            <w:r w:rsidR="006C680D" w:rsidRPr="00D337FA">
              <w:rPr>
                <w:sz w:val="20"/>
                <w:szCs w:val="20"/>
              </w:rPr>
              <w:t xml:space="preserve"> </w:t>
            </w:r>
            <w:r w:rsidRPr="00D337FA">
              <w:rPr>
                <w:sz w:val="20"/>
                <w:szCs w:val="20"/>
              </w:rPr>
              <w:t>техники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оборудования,</w:t>
            </w:r>
            <w:r w:rsidR="006C680D" w:rsidRPr="00D337FA">
              <w:rPr>
                <w:sz w:val="20"/>
                <w:szCs w:val="20"/>
              </w:rPr>
              <w:t xml:space="preserve"> </w:t>
            </w:r>
            <w:r w:rsidRPr="00D337FA">
              <w:rPr>
                <w:sz w:val="20"/>
                <w:szCs w:val="20"/>
              </w:rPr>
              <w:t>приобретение</w:t>
            </w:r>
            <w:r w:rsidR="006C680D" w:rsidRPr="00D337FA">
              <w:rPr>
                <w:sz w:val="20"/>
                <w:szCs w:val="20"/>
              </w:rPr>
              <w:t xml:space="preserve"> </w:t>
            </w:r>
            <w:r w:rsidRPr="00D337FA">
              <w:rPr>
                <w:sz w:val="20"/>
                <w:szCs w:val="20"/>
              </w:rPr>
              <w:t>племенного</w:t>
            </w:r>
            <w:r w:rsidR="006C680D" w:rsidRPr="00D337FA">
              <w:rPr>
                <w:sz w:val="20"/>
                <w:szCs w:val="20"/>
              </w:rPr>
              <w:t xml:space="preserve"> </w:t>
            </w:r>
            <w:r w:rsidRPr="00D337FA">
              <w:rPr>
                <w:sz w:val="20"/>
                <w:szCs w:val="20"/>
              </w:rPr>
              <w:t>скота,</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инфраструктуры</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переработки.</w:t>
            </w:r>
            <w:r w:rsidR="006C680D" w:rsidRPr="00D337FA">
              <w:rPr>
                <w:sz w:val="20"/>
                <w:szCs w:val="20"/>
              </w:rPr>
              <w:t xml:space="preserve"> </w:t>
            </w:r>
            <w:r w:rsidRPr="00D337FA">
              <w:rPr>
                <w:sz w:val="20"/>
                <w:szCs w:val="20"/>
              </w:rPr>
              <w:t>При</w:t>
            </w:r>
            <w:r w:rsidR="006C680D" w:rsidRPr="00D337FA">
              <w:rPr>
                <w:sz w:val="20"/>
                <w:szCs w:val="20"/>
              </w:rPr>
              <w:t xml:space="preserve"> </w:t>
            </w:r>
            <w:r w:rsidRPr="00D337FA">
              <w:rPr>
                <w:sz w:val="20"/>
                <w:szCs w:val="20"/>
              </w:rPr>
              <w:t>этом</w:t>
            </w:r>
            <w:r w:rsidR="006C680D" w:rsidRPr="00D337FA">
              <w:rPr>
                <w:sz w:val="20"/>
                <w:szCs w:val="20"/>
              </w:rPr>
              <w:t xml:space="preserve"> </w:t>
            </w:r>
            <w:r w:rsidRPr="00D337FA">
              <w:rPr>
                <w:sz w:val="20"/>
                <w:szCs w:val="20"/>
              </w:rPr>
              <w:t>получатель</w:t>
            </w:r>
            <w:r w:rsidR="006C680D" w:rsidRPr="00D337FA">
              <w:rPr>
                <w:sz w:val="20"/>
                <w:szCs w:val="20"/>
              </w:rPr>
              <w:t xml:space="preserve"> </w:t>
            </w:r>
            <w:r w:rsidRPr="00D337FA">
              <w:rPr>
                <w:sz w:val="20"/>
                <w:szCs w:val="20"/>
              </w:rPr>
              <w:t>обязан</w:t>
            </w:r>
            <w:r w:rsidR="006C680D" w:rsidRPr="00D337FA">
              <w:rPr>
                <w:sz w:val="20"/>
                <w:szCs w:val="20"/>
              </w:rPr>
              <w:t xml:space="preserve"> </w:t>
            </w:r>
            <w:r w:rsidRPr="00D337FA">
              <w:rPr>
                <w:sz w:val="20"/>
                <w:szCs w:val="20"/>
              </w:rPr>
              <w:t>вложить</w:t>
            </w:r>
            <w:r w:rsidR="006C680D" w:rsidRPr="00D337FA">
              <w:rPr>
                <w:sz w:val="20"/>
                <w:szCs w:val="20"/>
              </w:rPr>
              <w:t xml:space="preserve"> </w:t>
            </w:r>
            <w:r w:rsidRPr="00D337FA">
              <w:rPr>
                <w:sz w:val="20"/>
                <w:szCs w:val="20"/>
              </w:rPr>
              <w:t>собственные</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а</w:t>
            </w:r>
            <w:r w:rsidR="006C680D" w:rsidRPr="00D337FA">
              <w:rPr>
                <w:sz w:val="20"/>
                <w:szCs w:val="20"/>
              </w:rPr>
              <w:t xml:space="preserve"> </w:t>
            </w:r>
            <w:r w:rsidRPr="00D337FA">
              <w:rPr>
                <w:sz w:val="20"/>
                <w:szCs w:val="20"/>
              </w:rPr>
              <w:t>также</w:t>
            </w:r>
            <w:r w:rsidR="006C680D" w:rsidRPr="00D337FA">
              <w:rPr>
                <w:sz w:val="20"/>
                <w:szCs w:val="20"/>
              </w:rPr>
              <w:t xml:space="preserve"> </w:t>
            </w:r>
            <w:r w:rsidRPr="00D337FA">
              <w:rPr>
                <w:sz w:val="20"/>
                <w:szCs w:val="20"/>
              </w:rPr>
              <w:t>достичь</w:t>
            </w:r>
            <w:r w:rsidR="006C680D" w:rsidRPr="00D337FA">
              <w:rPr>
                <w:sz w:val="20"/>
                <w:szCs w:val="20"/>
              </w:rPr>
              <w:t xml:space="preserve"> </w:t>
            </w:r>
            <w:r w:rsidRPr="00D337FA">
              <w:rPr>
                <w:sz w:val="20"/>
                <w:szCs w:val="20"/>
              </w:rPr>
              <w:t>целевых</w:t>
            </w:r>
            <w:r w:rsidR="006C680D" w:rsidRPr="00D337FA">
              <w:rPr>
                <w:sz w:val="20"/>
                <w:szCs w:val="20"/>
              </w:rPr>
              <w:t xml:space="preserve"> </w:t>
            </w:r>
            <w:r w:rsidRPr="00D337FA">
              <w:rPr>
                <w:sz w:val="20"/>
                <w:szCs w:val="20"/>
              </w:rPr>
              <w:t>показателей</w:t>
            </w:r>
            <w:r w:rsidR="006C680D" w:rsidRPr="00D337FA">
              <w:rPr>
                <w:sz w:val="20"/>
                <w:szCs w:val="20"/>
              </w:rPr>
              <w:t xml:space="preserve"> </w:t>
            </w:r>
            <w:r w:rsidRPr="00D337FA">
              <w:rPr>
                <w:sz w:val="20"/>
                <w:szCs w:val="20"/>
              </w:rPr>
              <w:t>проекта,</w:t>
            </w:r>
            <w:r w:rsidR="006C680D" w:rsidRPr="00D337FA">
              <w:rPr>
                <w:sz w:val="20"/>
                <w:szCs w:val="20"/>
              </w:rPr>
              <w:t xml:space="preserve"> </w:t>
            </w:r>
            <w:r w:rsidRPr="00D337FA">
              <w:rPr>
                <w:sz w:val="20"/>
                <w:szCs w:val="20"/>
              </w:rPr>
              <w:t>включая</w:t>
            </w:r>
            <w:r w:rsidR="006C680D" w:rsidRPr="00D337FA">
              <w:rPr>
                <w:sz w:val="20"/>
                <w:szCs w:val="20"/>
              </w:rPr>
              <w:t xml:space="preserve"> </w:t>
            </w:r>
            <w:r w:rsidRPr="00D337FA">
              <w:rPr>
                <w:sz w:val="20"/>
                <w:szCs w:val="20"/>
              </w:rPr>
              <w:t>рост</w:t>
            </w:r>
            <w:r w:rsidR="006C680D" w:rsidRPr="00D337FA">
              <w:rPr>
                <w:sz w:val="20"/>
                <w:szCs w:val="20"/>
              </w:rPr>
              <w:t xml:space="preserve"> </w:t>
            </w:r>
            <w:r w:rsidRPr="00D337FA">
              <w:rPr>
                <w:sz w:val="20"/>
                <w:szCs w:val="20"/>
              </w:rPr>
              <w:t>занятости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объёма</w:t>
            </w:r>
            <w:r w:rsidR="006C680D" w:rsidRPr="00D337FA">
              <w:rPr>
                <w:sz w:val="20"/>
                <w:szCs w:val="20"/>
              </w:rPr>
              <w:t xml:space="preserve"> </w:t>
            </w:r>
            <w:r w:rsidRPr="00D337FA">
              <w:rPr>
                <w:sz w:val="20"/>
                <w:szCs w:val="20"/>
              </w:rPr>
              <w:t>выпускаемой</w:t>
            </w:r>
            <w:r w:rsidR="006C680D" w:rsidRPr="00D337FA">
              <w:rPr>
                <w:sz w:val="20"/>
                <w:szCs w:val="20"/>
              </w:rPr>
              <w:t xml:space="preserve"> </w:t>
            </w:r>
            <w:r w:rsidRPr="00D337FA">
              <w:rPr>
                <w:sz w:val="20"/>
                <w:szCs w:val="20"/>
              </w:rPr>
              <w:t>продукции.</w:t>
            </w:r>
          </w:p>
        </w:tc>
      </w:tr>
      <w:tr w:rsidR="00D337FA" w:rsidRPr="00D337FA" w:rsidTr="00826D3F">
        <w:trPr>
          <w:trHeight w:val="2260"/>
        </w:trPr>
        <w:tc>
          <w:tcPr>
            <w:tcW w:w="1668" w:type="dxa"/>
          </w:tcPr>
          <w:p w:rsidR="00544DD6" w:rsidRPr="00D337FA" w:rsidRDefault="00544DD6" w:rsidP="00544DD6">
            <w:pPr>
              <w:ind w:firstLine="0"/>
              <w:rPr>
                <w:sz w:val="20"/>
                <w:szCs w:val="20"/>
              </w:rPr>
            </w:pPr>
            <w:r w:rsidRPr="00D337FA">
              <w:rPr>
                <w:sz w:val="20"/>
                <w:szCs w:val="20"/>
                <w:shd w:val="clear" w:color="auto" w:fill="FFFFFF"/>
              </w:rPr>
              <w:t>Гранты</w:t>
            </w:r>
            <w:r w:rsidR="006C680D" w:rsidRPr="00D337FA">
              <w:rPr>
                <w:sz w:val="20"/>
                <w:szCs w:val="20"/>
                <w:shd w:val="clear" w:color="auto" w:fill="FFFFFF"/>
              </w:rPr>
              <w:t xml:space="preserve"> </w:t>
            </w:r>
            <w:r w:rsidRPr="00D337FA">
              <w:rPr>
                <w:sz w:val="20"/>
                <w:szCs w:val="20"/>
                <w:shd w:val="clear" w:color="auto" w:fill="FFFFFF"/>
              </w:rPr>
              <w:t>для</w:t>
            </w:r>
            <w:r w:rsidR="006C680D" w:rsidRPr="00D337FA">
              <w:rPr>
                <w:sz w:val="20"/>
                <w:szCs w:val="20"/>
                <w:shd w:val="clear" w:color="auto" w:fill="FFFFFF"/>
              </w:rPr>
              <w:t xml:space="preserve"> </w:t>
            </w:r>
            <w:r w:rsidRPr="00D337FA">
              <w:rPr>
                <w:sz w:val="20"/>
                <w:szCs w:val="20"/>
                <w:shd w:val="clear" w:color="auto" w:fill="FFFFFF"/>
              </w:rPr>
              <w:t>развития</w:t>
            </w:r>
            <w:r w:rsidR="006C680D" w:rsidRPr="00D337FA">
              <w:rPr>
                <w:sz w:val="20"/>
                <w:szCs w:val="20"/>
                <w:shd w:val="clear" w:color="auto" w:fill="FFFFFF"/>
              </w:rPr>
              <w:t xml:space="preserve"> </w:t>
            </w:r>
            <w:r w:rsidRPr="00D337FA">
              <w:rPr>
                <w:sz w:val="20"/>
                <w:szCs w:val="20"/>
                <w:shd w:val="clear" w:color="auto" w:fill="FFFFFF"/>
              </w:rPr>
              <w:t>материально-технической</w:t>
            </w:r>
            <w:r w:rsidR="006C680D" w:rsidRPr="00D337FA">
              <w:rPr>
                <w:sz w:val="20"/>
                <w:szCs w:val="20"/>
                <w:shd w:val="clear" w:color="auto" w:fill="FFFFFF"/>
              </w:rPr>
              <w:t xml:space="preserve"> </w:t>
            </w:r>
            <w:r w:rsidRPr="00D337FA">
              <w:rPr>
                <w:sz w:val="20"/>
                <w:szCs w:val="20"/>
                <w:shd w:val="clear" w:color="auto" w:fill="FFFFFF"/>
              </w:rPr>
              <w:t>базы</w:t>
            </w:r>
          </w:p>
        </w:tc>
        <w:tc>
          <w:tcPr>
            <w:tcW w:w="8222" w:type="dxa"/>
          </w:tcPr>
          <w:p w:rsidR="00544DD6" w:rsidRPr="00D337FA" w:rsidRDefault="00544DD6" w:rsidP="00544DD6">
            <w:pPr>
              <w:ind w:firstLine="0"/>
              <w:rPr>
                <w:sz w:val="20"/>
                <w:szCs w:val="20"/>
              </w:rPr>
            </w:pPr>
            <w:r w:rsidRPr="00D337FA">
              <w:rPr>
                <w:sz w:val="20"/>
                <w:szCs w:val="20"/>
              </w:rPr>
              <w:t>Грант</w:t>
            </w:r>
            <w:r w:rsidR="006C680D" w:rsidRPr="00D337FA">
              <w:rPr>
                <w:sz w:val="20"/>
                <w:szCs w:val="20"/>
              </w:rPr>
              <w:t xml:space="preserve"> </w:t>
            </w:r>
            <w:r w:rsidRPr="00D337FA">
              <w:rPr>
                <w:sz w:val="20"/>
                <w:szCs w:val="20"/>
              </w:rPr>
              <w:t>направлен</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поддержку</w:t>
            </w:r>
            <w:r w:rsidR="006C680D" w:rsidRPr="00D337FA">
              <w:rPr>
                <w:sz w:val="20"/>
                <w:szCs w:val="20"/>
              </w:rPr>
              <w:t xml:space="preserve"> </w:t>
            </w:r>
            <w:r w:rsidRPr="00D337FA">
              <w:rPr>
                <w:sz w:val="20"/>
                <w:szCs w:val="20"/>
              </w:rPr>
              <w:t>сельскохозяйственных</w:t>
            </w:r>
            <w:r w:rsidR="006C680D" w:rsidRPr="00D337FA">
              <w:rPr>
                <w:sz w:val="20"/>
                <w:szCs w:val="20"/>
              </w:rPr>
              <w:t xml:space="preserve"> </w:t>
            </w:r>
            <w:r w:rsidRPr="00D337FA">
              <w:rPr>
                <w:sz w:val="20"/>
                <w:szCs w:val="20"/>
              </w:rPr>
              <w:t>потребительских</w:t>
            </w:r>
            <w:r w:rsidR="006C680D" w:rsidRPr="00D337FA">
              <w:rPr>
                <w:sz w:val="20"/>
                <w:szCs w:val="20"/>
              </w:rPr>
              <w:t xml:space="preserve"> </w:t>
            </w:r>
            <w:r w:rsidRPr="00D337FA">
              <w:rPr>
                <w:sz w:val="20"/>
                <w:szCs w:val="20"/>
              </w:rPr>
              <w:t>кооперативов,</w:t>
            </w:r>
            <w:r w:rsidR="006C680D" w:rsidRPr="00D337FA">
              <w:rPr>
                <w:sz w:val="20"/>
                <w:szCs w:val="20"/>
              </w:rPr>
              <w:t xml:space="preserve"> </w:t>
            </w:r>
            <w:r w:rsidRPr="00D337FA">
              <w:rPr>
                <w:sz w:val="20"/>
                <w:szCs w:val="20"/>
              </w:rPr>
              <w:t>занимающихся</w:t>
            </w:r>
            <w:r w:rsidR="006C680D" w:rsidRPr="00D337FA">
              <w:rPr>
                <w:sz w:val="20"/>
                <w:szCs w:val="20"/>
              </w:rPr>
              <w:t xml:space="preserve"> </w:t>
            </w:r>
            <w:r w:rsidRPr="00D337FA">
              <w:rPr>
                <w:sz w:val="20"/>
                <w:szCs w:val="20"/>
              </w:rPr>
              <w:t>переработкой</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реализацией</w:t>
            </w:r>
            <w:r w:rsidR="006C680D" w:rsidRPr="00D337FA">
              <w:rPr>
                <w:sz w:val="20"/>
                <w:szCs w:val="20"/>
              </w:rPr>
              <w:t xml:space="preserve"> </w:t>
            </w:r>
            <w:r w:rsidRPr="00D337FA">
              <w:rPr>
                <w:sz w:val="20"/>
                <w:szCs w:val="20"/>
              </w:rPr>
              <w:t>сельхозпродукции.</w:t>
            </w:r>
            <w:r w:rsidR="006C680D" w:rsidRPr="00D337FA">
              <w:rPr>
                <w:sz w:val="20"/>
                <w:szCs w:val="20"/>
              </w:rPr>
              <w:t xml:space="preserve"> </w:t>
            </w:r>
            <w:r w:rsidRPr="00D337FA">
              <w:rPr>
                <w:sz w:val="20"/>
                <w:szCs w:val="20"/>
              </w:rPr>
              <w:t>Получателями</w:t>
            </w:r>
            <w:r w:rsidR="006C680D" w:rsidRPr="00D337FA">
              <w:rPr>
                <w:sz w:val="20"/>
                <w:szCs w:val="20"/>
              </w:rPr>
              <w:t xml:space="preserve"> </w:t>
            </w:r>
            <w:r w:rsidRPr="00D337FA">
              <w:rPr>
                <w:sz w:val="20"/>
                <w:szCs w:val="20"/>
              </w:rPr>
              <w:t>могут</w:t>
            </w:r>
            <w:r w:rsidR="006C680D" w:rsidRPr="00D337FA">
              <w:rPr>
                <w:sz w:val="20"/>
                <w:szCs w:val="20"/>
              </w:rPr>
              <w:t xml:space="preserve"> </w:t>
            </w:r>
            <w:r w:rsidRPr="00D337FA">
              <w:rPr>
                <w:sz w:val="20"/>
                <w:szCs w:val="20"/>
              </w:rPr>
              <w:t>стать</w:t>
            </w:r>
            <w:r w:rsidR="006C680D" w:rsidRPr="00D337FA">
              <w:rPr>
                <w:sz w:val="20"/>
                <w:szCs w:val="20"/>
              </w:rPr>
              <w:t xml:space="preserve"> </w:t>
            </w:r>
            <w:r w:rsidRPr="00D337FA">
              <w:rPr>
                <w:sz w:val="20"/>
                <w:szCs w:val="20"/>
              </w:rPr>
              <w:t>кооперативы,</w:t>
            </w:r>
            <w:r w:rsidR="006C680D" w:rsidRPr="00D337FA">
              <w:rPr>
                <w:sz w:val="20"/>
                <w:szCs w:val="20"/>
              </w:rPr>
              <w:t xml:space="preserve"> </w:t>
            </w:r>
            <w:r w:rsidRPr="00D337FA">
              <w:rPr>
                <w:sz w:val="20"/>
                <w:szCs w:val="20"/>
              </w:rPr>
              <w:t>работающие</w:t>
            </w:r>
            <w:r w:rsidR="006C680D" w:rsidRPr="00D337FA">
              <w:rPr>
                <w:sz w:val="20"/>
                <w:szCs w:val="20"/>
              </w:rPr>
              <w:t xml:space="preserve"> </w:t>
            </w:r>
            <w:r w:rsidRPr="00D337FA">
              <w:rPr>
                <w:sz w:val="20"/>
                <w:szCs w:val="20"/>
              </w:rPr>
              <w:t>официально</w:t>
            </w:r>
            <w:r w:rsidR="006C680D" w:rsidRPr="00D337FA">
              <w:rPr>
                <w:sz w:val="20"/>
                <w:szCs w:val="20"/>
              </w:rPr>
              <w:t xml:space="preserve"> </w:t>
            </w:r>
            <w:r w:rsidRPr="00D337FA">
              <w:rPr>
                <w:sz w:val="20"/>
                <w:szCs w:val="20"/>
              </w:rPr>
              <w:t>не</w:t>
            </w:r>
            <w:r w:rsidR="006C680D" w:rsidRPr="00D337FA">
              <w:rPr>
                <w:sz w:val="20"/>
                <w:szCs w:val="20"/>
              </w:rPr>
              <w:t xml:space="preserve"> </w:t>
            </w:r>
            <w:r w:rsidRPr="00D337FA">
              <w:rPr>
                <w:sz w:val="20"/>
                <w:szCs w:val="20"/>
              </w:rPr>
              <w:t>менее</w:t>
            </w:r>
            <w:r w:rsidR="006C680D" w:rsidRPr="00D337FA">
              <w:rPr>
                <w:sz w:val="20"/>
                <w:szCs w:val="20"/>
              </w:rPr>
              <w:t xml:space="preserve"> </w:t>
            </w:r>
            <w:r w:rsidRPr="00D337FA">
              <w:rPr>
                <w:sz w:val="20"/>
                <w:szCs w:val="20"/>
              </w:rPr>
              <w:t>года,</w:t>
            </w:r>
            <w:r w:rsidR="006C680D" w:rsidRPr="00D337FA">
              <w:rPr>
                <w:sz w:val="20"/>
                <w:szCs w:val="20"/>
              </w:rPr>
              <w:t xml:space="preserve"> </w:t>
            </w:r>
            <w:r w:rsidRPr="00D337FA">
              <w:rPr>
                <w:sz w:val="20"/>
                <w:szCs w:val="20"/>
              </w:rPr>
              <w:t>зарегистрированные</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сельских</w:t>
            </w:r>
            <w:r w:rsidR="006C680D" w:rsidRPr="00D337FA">
              <w:rPr>
                <w:sz w:val="20"/>
                <w:szCs w:val="20"/>
              </w:rPr>
              <w:t xml:space="preserve"> </w:t>
            </w:r>
            <w:r w:rsidRPr="00D337FA">
              <w:rPr>
                <w:sz w:val="20"/>
                <w:szCs w:val="20"/>
              </w:rPr>
              <w:t>территориях</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объединяющие</w:t>
            </w:r>
            <w:r w:rsidR="006C680D" w:rsidRPr="00D337FA">
              <w:rPr>
                <w:sz w:val="20"/>
                <w:szCs w:val="20"/>
              </w:rPr>
              <w:t xml:space="preserve"> </w:t>
            </w:r>
            <w:r w:rsidRPr="00D337FA">
              <w:rPr>
                <w:sz w:val="20"/>
                <w:szCs w:val="20"/>
              </w:rPr>
              <w:t>не</w:t>
            </w:r>
            <w:r w:rsidR="006C680D" w:rsidRPr="00D337FA">
              <w:rPr>
                <w:sz w:val="20"/>
                <w:szCs w:val="20"/>
              </w:rPr>
              <w:t xml:space="preserve"> </w:t>
            </w:r>
            <w:r w:rsidRPr="00D337FA">
              <w:rPr>
                <w:sz w:val="20"/>
                <w:szCs w:val="20"/>
              </w:rPr>
              <w:t>менее</w:t>
            </w:r>
            <w:r w:rsidR="006C680D" w:rsidRPr="00D337FA">
              <w:rPr>
                <w:sz w:val="20"/>
                <w:szCs w:val="20"/>
              </w:rPr>
              <w:t xml:space="preserve"> </w:t>
            </w:r>
            <w:r w:rsidRPr="00D337FA">
              <w:rPr>
                <w:sz w:val="20"/>
                <w:szCs w:val="20"/>
              </w:rPr>
              <w:t>10</w:t>
            </w:r>
            <w:r w:rsidR="006C680D" w:rsidRPr="00D337FA">
              <w:rPr>
                <w:sz w:val="20"/>
                <w:szCs w:val="20"/>
              </w:rPr>
              <w:t xml:space="preserve"> </w:t>
            </w:r>
            <w:r w:rsidRPr="00D337FA">
              <w:rPr>
                <w:sz w:val="20"/>
                <w:szCs w:val="20"/>
              </w:rPr>
              <w:t>сельхозпроизводителей.</w:t>
            </w:r>
            <w:r w:rsidR="006C680D" w:rsidRPr="00D337FA">
              <w:rPr>
                <w:sz w:val="20"/>
                <w:szCs w:val="20"/>
              </w:rPr>
              <w:t xml:space="preserve"> </w:t>
            </w:r>
            <w:r w:rsidRPr="00D337FA">
              <w:rPr>
                <w:sz w:val="20"/>
                <w:szCs w:val="20"/>
              </w:rPr>
              <w:t>Максимальная</w:t>
            </w:r>
            <w:r w:rsidR="006C680D" w:rsidRPr="00D337FA">
              <w:rPr>
                <w:sz w:val="20"/>
                <w:szCs w:val="20"/>
              </w:rPr>
              <w:t xml:space="preserve"> </w:t>
            </w:r>
            <w:r w:rsidRPr="00D337FA">
              <w:rPr>
                <w:sz w:val="20"/>
                <w:szCs w:val="20"/>
              </w:rPr>
              <w:t>сумма</w:t>
            </w:r>
            <w:r w:rsidR="006C680D" w:rsidRPr="00D337FA">
              <w:rPr>
                <w:sz w:val="20"/>
                <w:szCs w:val="20"/>
              </w:rPr>
              <w:t xml:space="preserve"> </w:t>
            </w:r>
            <w:r w:rsidRPr="00D337FA">
              <w:rPr>
                <w:sz w:val="20"/>
                <w:szCs w:val="20"/>
              </w:rPr>
              <w:t>поддержки</w:t>
            </w:r>
            <w:r w:rsidR="006C680D" w:rsidRPr="00D337FA">
              <w:rPr>
                <w:sz w:val="20"/>
                <w:szCs w:val="20"/>
              </w:rPr>
              <w:t xml:space="preserve"> </w:t>
            </w:r>
            <w:r w:rsidRPr="00D337FA">
              <w:rPr>
                <w:sz w:val="20"/>
                <w:szCs w:val="20"/>
              </w:rPr>
              <w:t>составляет</w:t>
            </w:r>
            <w:r w:rsidR="006C680D" w:rsidRPr="00D337FA">
              <w:rPr>
                <w:sz w:val="20"/>
                <w:szCs w:val="20"/>
              </w:rPr>
              <w:t xml:space="preserve"> </w:t>
            </w:r>
            <w:r w:rsidRPr="00D337FA">
              <w:rPr>
                <w:sz w:val="20"/>
                <w:szCs w:val="20"/>
              </w:rPr>
              <w:t>до</w:t>
            </w:r>
            <w:r w:rsidR="006C680D" w:rsidRPr="00D337FA">
              <w:rPr>
                <w:sz w:val="20"/>
                <w:szCs w:val="20"/>
              </w:rPr>
              <w:t xml:space="preserve"> </w:t>
            </w:r>
            <w:r w:rsidRPr="00D337FA">
              <w:rPr>
                <w:sz w:val="20"/>
                <w:szCs w:val="20"/>
              </w:rPr>
              <w:t>70</w:t>
            </w:r>
            <w:r w:rsidR="006C680D" w:rsidRPr="00D337FA">
              <w:rPr>
                <w:sz w:val="20"/>
                <w:szCs w:val="20"/>
              </w:rPr>
              <w:t xml:space="preserve"> </w:t>
            </w:r>
            <w:r w:rsidRPr="00D337FA">
              <w:rPr>
                <w:sz w:val="20"/>
                <w:szCs w:val="20"/>
              </w:rPr>
              <w:t>млн</w:t>
            </w:r>
            <w:r w:rsidR="006C680D" w:rsidRPr="00D337FA">
              <w:rPr>
                <w:sz w:val="20"/>
                <w:szCs w:val="20"/>
              </w:rPr>
              <w:t xml:space="preserve"> </w:t>
            </w:r>
            <w:r w:rsidRPr="00D337FA">
              <w:rPr>
                <w:sz w:val="20"/>
                <w:szCs w:val="20"/>
              </w:rPr>
              <w:t>рублей,</w:t>
            </w:r>
            <w:r w:rsidR="006C680D" w:rsidRPr="00D337FA">
              <w:rPr>
                <w:sz w:val="20"/>
                <w:szCs w:val="20"/>
              </w:rPr>
              <w:t xml:space="preserve"> </w:t>
            </w:r>
            <w:r w:rsidRPr="00D337FA">
              <w:rPr>
                <w:sz w:val="20"/>
                <w:szCs w:val="20"/>
              </w:rPr>
              <w:t>при</w:t>
            </w:r>
            <w:r w:rsidR="006C680D" w:rsidRPr="00D337FA">
              <w:rPr>
                <w:sz w:val="20"/>
                <w:szCs w:val="20"/>
              </w:rPr>
              <w:t xml:space="preserve"> </w:t>
            </w:r>
            <w:r w:rsidRPr="00D337FA">
              <w:rPr>
                <w:sz w:val="20"/>
                <w:szCs w:val="20"/>
              </w:rPr>
              <w:t>условии,</w:t>
            </w:r>
            <w:r w:rsidR="006C680D" w:rsidRPr="00D337FA">
              <w:rPr>
                <w:sz w:val="20"/>
                <w:szCs w:val="20"/>
              </w:rPr>
              <w:t xml:space="preserve"> </w:t>
            </w:r>
            <w:r w:rsidRPr="00D337FA">
              <w:rPr>
                <w:sz w:val="20"/>
                <w:szCs w:val="20"/>
              </w:rPr>
              <w:t>что</w:t>
            </w:r>
            <w:r w:rsidR="006C680D" w:rsidRPr="00D337FA">
              <w:rPr>
                <w:sz w:val="20"/>
                <w:szCs w:val="20"/>
              </w:rPr>
              <w:t xml:space="preserve"> </w:t>
            </w:r>
            <w:r w:rsidRPr="00D337FA">
              <w:rPr>
                <w:sz w:val="20"/>
                <w:szCs w:val="20"/>
              </w:rPr>
              <w:t>не</w:t>
            </w:r>
            <w:r w:rsidR="006C680D" w:rsidRPr="00D337FA">
              <w:rPr>
                <w:sz w:val="20"/>
                <w:szCs w:val="20"/>
              </w:rPr>
              <w:t xml:space="preserve"> </w:t>
            </w:r>
            <w:r w:rsidRPr="00D337FA">
              <w:rPr>
                <w:sz w:val="20"/>
                <w:szCs w:val="20"/>
              </w:rPr>
              <w:t>менее</w:t>
            </w:r>
            <w:r w:rsidR="006C680D" w:rsidRPr="00D337FA">
              <w:rPr>
                <w:sz w:val="20"/>
                <w:szCs w:val="20"/>
              </w:rPr>
              <w:t xml:space="preserve"> </w:t>
            </w:r>
            <w:r w:rsidRPr="00D337FA">
              <w:rPr>
                <w:sz w:val="20"/>
                <w:szCs w:val="20"/>
              </w:rPr>
              <w:t>40%</w:t>
            </w:r>
            <w:r w:rsidR="006C680D" w:rsidRPr="00D337FA">
              <w:rPr>
                <w:sz w:val="20"/>
                <w:szCs w:val="20"/>
              </w:rPr>
              <w:t xml:space="preserve"> </w:t>
            </w:r>
            <w:r w:rsidRPr="00D337FA">
              <w:rPr>
                <w:sz w:val="20"/>
                <w:szCs w:val="20"/>
              </w:rPr>
              <w:t>затрат</w:t>
            </w:r>
            <w:r w:rsidR="006C680D" w:rsidRPr="00D337FA">
              <w:rPr>
                <w:sz w:val="20"/>
                <w:szCs w:val="20"/>
              </w:rPr>
              <w:t xml:space="preserve"> </w:t>
            </w:r>
            <w:r w:rsidRPr="00D337FA">
              <w:rPr>
                <w:sz w:val="20"/>
                <w:szCs w:val="20"/>
              </w:rPr>
              <w:t>финансируется</w:t>
            </w:r>
            <w:r w:rsidR="006C680D" w:rsidRPr="00D337FA">
              <w:rPr>
                <w:sz w:val="20"/>
                <w:szCs w:val="20"/>
              </w:rPr>
              <w:t xml:space="preserve"> </w:t>
            </w:r>
            <w:r w:rsidRPr="00D337FA">
              <w:rPr>
                <w:sz w:val="20"/>
                <w:szCs w:val="20"/>
              </w:rPr>
              <w:t>за</w:t>
            </w:r>
            <w:r w:rsidR="006C680D" w:rsidRPr="00D337FA">
              <w:rPr>
                <w:sz w:val="20"/>
                <w:szCs w:val="20"/>
              </w:rPr>
              <w:t xml:space="preserve"> </w:t>
            </w:r>
            <w:r w:rsidRPr="00D337FA">
              <w:rPr>
                <w:sz w:val="20"/>
                <w:szCs w:val="20"/>
              </w:rPr>
              <w:t>счет</w:t>
            </w:r>
            <w:r w:rsidR="006C680D" w:rsidRPr="00D337FA">
              <w:rPr>
                <w:sz w:val="20"/>
                <w:szCs w:val="20"/>
              </w:rPr>
              <w:t xml:space="preserve"> </w:t>
            </w:r>
            <w:r w:rsidRPr="00D337FA">
              <w:rPr>
                <w:sz w:val="20"/>
                <w:szCs w:val="20"/>
              </w:rPr>
              <w:t>собственных</w:t>
            </w:r>
            <w:r w:rsidR="006C680D" w:rsidRPr="00D337FA">
              <w:rPr>
                <w:sz w:val="20"/>
                <w:szCs w:val="20"/>
              </w:rPr>
              <w:t xml:space="preserve"> </w:t>
            </w:r>
            <w:r w:rsidRPr="00D337FA">
              <w:rPr>
                <w:sz w:val="20"/>
                <w:szCs w:val="20"/>
              </w:rPr>
              <w:t>средств.</w:t>
            </w:r>
            <w:r w:rsidR="006C680D" w:rsidRPr="00D337FA">
              <w:rPr>
                <w:sz w:val="20"/>
                <w:szCs w:val="20"/>
              </w:rPr>
              <w:t xml:space="preserve"> </w:t>
            </w:r>
            <w:r w:rsidRPr="00D337FA">
              <w:rPr>
                <w:sz w:val="20"/>
                <w:szCs w:val="20"/>
              </w:rPr>
              <w:t>Средства</w:t>
            </w:r>
            <w:r w:rsidR="006C680D" w:rsidRPr="00D337FA">
              <w:rPr>
                <w:sz w:val="20"/>
                <w:szCs w:val="20"/>
              </w:rPr>
              <w:t xml:space="preserve"> </w:t>
            </w:r>
            <w:r w:rsidRPr="00D337FA">
              <w:rPr>
                <w:sz w:val="20"/>
                <w:szCs w:val="20"/>
              </w:rPr>
              <w:t>гранта</w:t>
            </w:r>
            <w:r w:rsidR="006C680D" w:rsidRPr="00D337FA">
              <w:rPr>
                <w:sz w:val="20"/>
                <w:szCs w:val="20"/>
              </w:rPr>
              <w:t xml:space="preserve"> </w:t>
            </w:r>
            <w:r w:rsidRPr="00D337FA">
              <w:rPr>
                <w:sz w:val="20"/>
                <w:szCs w:val="20"/>
              </w:rPr>
              <w:t>направляются</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строительство,</w:t>
            </w:r>
            <w:r w:rsidR="006C680D" w:rsidRPr="00D337FA">
              <w:rPr>
                <w:sz w:val="20"/>
                <w:szCs w:val="20"/>
              </w:rPr>
              <w:t xml:space="preserve"> </w:t>
            </w:r>
            <w:r w:rsidRPr="00D337FA">
              <w:rPr>
                <w:sz w:val="20"/>
                <w:szCs w:val="20"/>
              </w:rPr>
              <w:t>модернизацию</w:t>
            </w:r>
            <w:r w:rsidR="006C680D" w:rsidRPr="00D337FA">
              <w:rPr>
                <w:sz w:val="20"/>
                <w:szCs w:val="20"/>
              </w:rPr>
              <w:t xml:space="preserve"> </w:t>
            </w:r>
            <w:r w:rsidRPr="00D337FA">
              <w:rPr>
                <w:sz w:val="20"/>
                <w:szCs w:val="20"/>
              </w:rPr>
              <w:t>объектов,</w:t>
            </w:r>
            <w:r w:rsidR="006C680D" w:rsidRPr="00D337FA">
              <w:rPr>
                <w:sz w:val="20"/>
                <w:szCs w:val="20"/>
              </w:rPr>
              <w:t xml:space="preserve"> </w:t>
            </w:r>
            <w:r w:rsidRPr="00D337FA">
              <w:rPr>
                <w:sz w:val="20"/>
                <w:szCs w:val="20"/>
              </w:rPr>
              <w:t>покупку</w:t>
            </w:r>
            <w:r w:rsidR="006C680D" w:rsidRPr="00D337FA">
              <w:rPr>
                <w:sz w:val="20"/>
                <w:szCs w:val="20"/>
              </w:rPr>
              <w:t xml:space="preserve"> </w:t>
            </w:r>
            <w:r w:rsidRPr="00D337FA">
              <w:rPr>
                <w:sz w:val="20"/>
                <w:szCs w:val="20"/>
              </w:rPr>
              <w:t>техники,</w:t>
            </w:r>
            <w:r w:rsidR="006C680D" w:rsidRPr="00D337FA">
              <w:rPr>
                <w:sz w:val="20"/>
                <w:szCs w:val="20"/>
              </w:rPr>
              <w:t xml:space="preserve"> </w:t>
            </w:r>
            <w:r w:rsidRPr="00D337FA">
              <w:rPr>
                <w:sz w:val="20"/>
                <w:szCs w:val="20"/>
              </w:rPr>
              <w:t>оборудования,</w:t>
            </w:r>
            <w:r w:rsidR="006C680D" w:rsidRPr="00D337FA">
              <w:rPr>
                <w:sz w:val="20"/>
                <w:szCs w:val="20"/>
              </w:rPr>
              <w:t xml:space="preserve"> </w:t>
            </w:r>
            <w:r w:rsidRPr="00D337FA">
              <w:rPr>
                <w:sz w:val="20"/>
                <w:szCs w:val="20"/>
              </w:rPr>
              <w:t>лабораторных</w:t>
            </w:r>
            <w:r w:rsidR="006C680D" w:rsidRPr="00D337FA">
              <w:rPr>
                <w:sz w:val="20"/>
                <w:szCs w:val="20"/>
              </w:rPr>
              <w:t xml:space="preserve"> </w:t>
            </w:r>
            <w:r w:rsidRPr="00D337FA">
              <w:rPr>
                <w:sz w:val="20"/>
                <w:szCs w:val="20"/>
              </w:rPr>
              <w:t>средств</w:t>
            </w:r>
            <w:r w:rsidR="006C680D" w:rsidRPr="00D337FA">
              <w:rPr>
                <w:sz w:val="20"/>
                <w:szCs w:val="20"/>
              </w:rPr>
              <w:t xml:space="preserve"> </w:t>
            </w:r>
            <w:r w:rsidRPr="00D337FA">
              <w:rPr>
                <w:sz w:val="20"/>
                <w:szCs w:val="20"/>
              </w:rPr>
              <w:t>контроля</w:t>
            </w:r>
            <w:r w:rsidR="006C680D" w:rsidRPr="00D337FA">
              <w:rPr>
                <w:sz w:val="20"/>
                <w:szCs w:val="20"/>
              </w:rPr>
              <w:t xml:space="preserve"> </w:t>
            </w:r>
            <w:r w:rsidRPr="00D337FA">
              <w:rPr>
                <w:sz w:val="20"/>
                <w:szCs w:val="20"/>
              </w:rPr>
              <w:t>качества</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специализированного</w:t>
            </w:r>
            <w:r w:rsidR="006C680D" w:rsidRPr="00D337FA">
              <w:rPr>
                <w:sz w:val="20"/>
                <w:szCs w:val="20"/>
              </w:rPr>
              <w:t xml:space="preserve"> </w:t>
            </w:r>
            <w:r w:rsidRPr="00D337FA">
              <w:rPr>
                <w:sz w:val="20"/>
                <w:szCs w:val="20"/>
              </w:rPr>
              <w:t>транспорта.</w:t>
            </w:r>
            <w:r w:rsidR="006C680D" w:rsidRPr="00D337FA">
              <w:rPr>
                <w:sz w:val="20"/>
                <w:szCs w:val="20"/>
              </w:rPr>
              <w:t xml:space="preserve"> </w:t>
            </w:r>
            <w:r w:rsidRPr="00D337FA">
              <w:rPr>
                <w:sz w:val="20"/>
                <w:szCs w:val="20"/>
              </w:rPr>
              <w:t>Программа</w:t>
            </w:r>
            <w:r w:rsidR="006C680D" w:rsidRPr="00D337FA">
              <w:rPr>
                <w:sz w:val="20"/>
                <w:szCs w:val="20"/>
              </w:rPr>
              <w:t xml:space="preserve"> </w:t>
            </w:r>
            <w:r w:rsidRPr="00D337FA">
              <w:rPr>
                <w:sz w:val="20"/>
                <w:szCs w:val="20"/>
              </w:rPr>
              <w:t>способствует</w:t>
            </w:r>
            <w:r w:rsidR="006C680D" w:rsidRPr="00D337FA">
              <w:rPr>
                <w:sz w:val="20"/>
                <w:szCs w:val="20"/>
              </w:rPr>
              <w:t xml:space="preserve"> </w:t>
            </w:r>
            <w:r w:rsidRPr="00D337FA">
              <w:rPr>
                <w:sz w:val="20"/>
                <w:szCs w:val="20"/>
              </w:rPr>
              <w:t>укреплению</w:t>
            </w:r>
            <w:r w:rsidR="006C680D" w:rsidRPr="00D337FA">
              <w:rPr>
                <w:sz w:val="20"/>
                <w:szCs w:val="20"/>
              </w:rPr>
              <w:t xml:space="preserve"> </w:t>
            </w:r>
            <w:r w:rsidRPr="00D337FA">
              <w:rPr>
                <w:sz w:val="20"/>
                <w:szCs w:val="20"/>
              </w:rPr>
              <w:t>производственной</w:t>
            </w:r>
            <w:r w:rsidR="006C680D" w:rsidRPr="00D337FA">
              <w:rPr>
                <w:sz w:val="20"/>
                <w:szCs w:val="20"/>
              </w:rPr>
              <w:t xml:space="preserve"> </w:t>
            </w:r>
            <w:r w:rsidRPr="00D337FA">
              <w:rPr>
                <w:sz w:val="20"/>
                <w:szCs w:val="20"/>
              </w:rPr>
              <w:t>инфраструктуры,</w:t>
            </w:r>
            <w:r w:rsidR="006C680D" w:rsidRPr="00D337FA">
              <w:rPr>
                <w:sz w:val="20"/>
                <w:szCs w:val="20"/>
              </w:rPr>
              <w:t xml:space="preserve"> </w:t>
            </w:r>
            <w:r w:rsidRPr="00D337FA">
              <w:rPr>
                <w:sz w:val="20"/>
                <w:szCs w:val="20"/>
              </w:rPr>
              <w:t>развитию</w:t>
            </w:r>
            <w:r w:rsidR="006C680D" w:rsidRPr="00D337FA">
              <w:rPr>
                <w:sz w:val="20"/>
                <w:szCs w:val="20"/>
              </w:rPr>
              <w:t xml:space="preserve"> </w:t>
            </w:r>
            <w:r w:rsidRPr="00D337FA">
              <w:rPr>
                <w:sz w:val="20"/>
                <w:szCs w:val="20"/>
              </w:rPr>
              <w:t>переработки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логистики,</w:t>
            </w:r>
            <w:r w:rsidR="006C680D" w:rsidRPr="00D337FA">
              <w:rPr>
                <w:sz w:val="20"/>
                <w:szCs w:val="20"/>
              </w:rPr>
              <w:t xml:space="preserve"> </w:t>
            </w:r>
            <w:r w:rsidRPr="00D337FA">
              <w:rPr>
                <w:sz w:val="20"/>
                <w:szCs w:val="20"/>
              </w:rPr>
              <w:t>а</w:t>
            </w:r>
            <w:r w:rsidR="006C680D" w:rsidRPr="00D337FA">
              <w:rPr>
                <w:sz w:val="20"/>
                <w:szCs w:val="20"/>
              </w:rPr>
              <w:t xml:space="preserve"> </w:t>
            </w:r>
            <w:r w:rsidRPr="00D337FA">
              <w:rPr>
                <w:sz w:val="20"/>
                <w:szCs w:val="20"/>
              </w:rPr>
              <w:t>также</w:t>
            </w:r>
            <w:r w:rsidR="006C680D" w:rsidRPr="00D337FA">
              <w:rPr>
                <w:sz w:val="20"/>
                <w:szCs w:val="20"/>
              </w:rPr>
              <w:t xml:space="preserve"> </w:t>
            </w:r>
            <w:r w:rsidRPr="00D337FA">
              <w:rPr>
                <w:sz w:val="20"/>
                <w:szCs w:val="20"/>
              </w:rPr>
              <w:t>повышению</w:t>
            </w:r>
            <w:r w:rsidR="006C680D" w:rsidRPr="00D337FA">
              <w:rPr>
                <w:sz w:val="20"/>
                <w:szCs w:val="20"/>
              </w:rPr>
              <w:t xml:space="preserve"> </w:t>
            </w:r>
            <w:r w:rsidRPr="00D337FA">
              <w:rPr>
                <w:sz w:val="20"/>
                <w:szCs w:val="20"/>
              </w:rPr>
              <w:t>эффективности</w:t>
            </w:r>
            <w:r w:rsidR="006C680D" w:rsidRPr="00D337FA">
              <w:rPr>
                <w:sz w:val="20"/>
                <w:szCs w:val="20"/>
              </w:rPr>
              <w:t xml:space="preserve"> </w:t>
            </w:r>
            <w:r w:rsidRPr="00D337FA">
              <w:rPr>
                <w:sz w:val="20"/>
                <w:szCs w:val="20"/>
              </w:rPr>
              <w:t>кооперативного</w:t>
            </w:r>
            <w:r w:rsidR="006C680D" w:rsidRPr="00D337FA">
              <w:rPr>
                <w:sz w:val="20"/>
                <w:szCs w:val="20"/>
              </w:rPr>
              <w:t xml:space="preserve"> </w:t>
            </w:r>
            <w:r w:rsidRPr="00D337FA">
              <w:rPr>
                <w:sz w:val="20"/>
                <w:szCs w:val="20"/>
              </w:rPr>
              <w:t>сектора</w:t>
            </w:r>
            <w:r w:rsidR="006C680D" w:rsidRPr="00D337FA">
              <w:rPr>
                <w:sz w:val="20"/>
                <w:szCs w:val="20"/>
              </w:rPr>
              <w:t xml:space="preserve"> </w:t>
            </w:r>
            <w:r w:rsidRPr="00D337FA">
              <w:rPr>
                <w:sz w:val="20"/>
                <w:szCs w:val="20"/>
              </w:rPr>
              <w:t>региона</w:t>
            </w:r>
            <w:r w:rsidR="00826D3F" w:rsidRPr="00D337FA">
              <w:rPr>
                <w:sz w:val="20"/>
                <w:szCs w:val="20"/>
              </w:rPr>
              <w:t>.</w:t>
            </w:r>
          </w:p>
        </w:tc>
      </w:tr>
    </w:tbl>
    <w:p w:rsidR="008932D6" w:rsidRPr="00D337FA" w:rsidRDefault="008932D6" w:rsidP="008932D6">
      <w:pPr>
        <w:ind w:firstLine="851"/>
        <w:rPr>
          <w:rFonts w:eastAsia="Aptos"/>
          <w:sz w:val="28"/>
          <w:szCs w:val="28"/>
        </w:rPr>
        <w:sectPr w:rsidR="008932D6" w:rsidRPr="00D337FA" w:rsidSect="00E61989">
          <w:footnotePr>
            <w:numRestart w:val="eachPage"/>
          </w:footnotePr>
          <w:type w:val="continuous"/>
          <w:pgSz w:w="11907" w:h="16840" w:code="9"/>
          <w:pgMar w:top="1418" w:right="1134" w:bottom="1418" w:left="1134" w:header="1021" w:footer="1021" w:gutter="0"/>
          <w:cols w:space="708"/>
          <w:docGrid w:linePitch="360"/>
        </w:sectPr>
      </w:pPr>
    </w:p>
    <w:p w:rsidR="008932D6" w:rsidRPr="00D337FA" w:rsidRDefault="00826D3F" w:rsidP="00826D3F">
      <w:pPr>
        <w:ind w:firstLine="0"/>
        <w:jc w:val="left"/>
        <w:rPr>
          <w:b/>
          <w:szCs w:val="24"/>
          <w:highlight w:val="yellow"/>
        </w:rPr>
      </w:pPr>
      <w:r w:rsidRPr="00D337FA">
        <w:rPr>
          <w:sz w:val="20"/>
          <w:szCs w:val="28"/>
        </w:rPr>
        <w:lastRenderedPageBreak/>
        <w:t>Источник:</w:t>
      </w:r>
      <w:r w:rsidR="006C680D" w:rsidRPr="00D337FA">
        <w:rPr>
          <w:sz w:val="20"/>
          <w:szCs w:val="28"/>
        </w:rPr>
        <w:t xml:space="preserve"> </w:t>
      </w:r>
      <w:r w:rsidRPr="00D337FA">
        <w:rPr>
          <w:sz w:val="20"/>
          <w:szCs w:val="28"/>
        </w:rPr>
        <w:t>Составлено</w:t>
      </w:r>
      <w:r w:rsidR="006C680D" w:rsidRPr="00D337FA">
        <w:rPr>
          <w:sz w:val="20"/>
          <w:szCs w:val="28"/>
        </w:rPr>
        <w:t xml:space="preserve"> </w:t>
      </w:r>
      <w:r w:rsidRPr="00D337FA">
        <w:rPr>
          <w:sz w:val="20"/>
          <w:szCs w:val="28"/>
        </w:rPr>
        <w:t>авторами</w:t>
      </w:r>
      <w:r w:rsidR="006C680D" w:rsidRPr="00D337FA">
        <w:rPr>
          <w:sz w:val="20"/>
          <w:szCs w:val="28"/>
        </w:rPr>
        <w:t xml:space="preserve"> </w:t>
      </w:r>
      <w:r w:rsidRPr="00D337FA">
        <w:rPr>
          <w:sz w:val="20"/>
          <w:szCs w:val="28"/>
        </w:rPr>
        <w:t>по</w:t>
      </w:r>
      <w:r w:rsidR="006C680D" w:rsidRPr="00D337FA">
        <w:rPr>
          <w:sz w:val="20"/>
          <w:szCs w:val="28"/>
        </w:rPr>
        <w:t xml:space="preserve"> </w:t>
      </w:r>
      <w:r w:rsidRPr="00D337FA">
        <w:rPr>
          <w:sz w:val="20"/>
          <w:szCs w:val="28"/>
        </w:rPr>
        <w:t>данным</w:t>
      </w:r>
      <w:r w:rsidR="006C680D" w:rsidRPr="00D337FA">
        <w:rPr>
          <w:sz w:val="20"/>
          <w:szCs w:val="28"/>
        </w:rPr>
        <w:t xml:space="preserve"> </w:t>
      </w:r>
      <w:r w:rsidRPr="00D337FA">
        <w:rPr>
          <w:sz w:val="20"/>
          <w:szCs w:val="28"/>
        </w:rPr>
        <w:t>Минсельхоз</w:t>
      </w:r>
      <w:r w:rsidR="006C680D" w:rsidRPr="00D337FA">
        <w:rPr>
          <w:sz w:val="20"/>
          <w:szCs w:val="28"/>
        </w:rPr>
        <w:t xml:space="preserve"> </w:t>
      </w:r>
      <w:r w:rsidRPr="00D337FA">
        <w:rPr>
          <w:sz w:val="20"/>
          <w:szCs w:val="28"/>
        </w:rPr>
        <w:t>России</w:t>
      </w:r>
    </w:p>
    <w:p w:rsidR="00826D3F" w:rsidRPr="00D337FA" w:rsidRDefault="00826D3F" w:rsidP="00826D3F">
      <w:pPr>
        <w:ind w:firstLine="284"/>
        <w:rPr>
          <w:szCs w:val="28"/>
        </w:rPr>
      </w:pPr>
    </w:p>
    <w:p w:rsidR="00C8298C" w:rsidRPr="00D337FA" w:rsidRDefault="00C8298C" w:rsidP="00826D3F">
      <w:pPr>
        <w:ind w:firstLine="284"/>
        <w:rPr>
          <w:szCs w:val="28"/>
        </w:rPr>
        <w:sectPr w:rsidR="00C8298C" w:rsidRPr="00D337FA" w:rsidSect="00E61989">
          <w:footnotePr>
            <w:numRestart w:val="eachPage"/>
          </w:footnotePr>
          <w:type w:val="continuous"/>
          <w:pgSz w:w="11907" w:h="16840" w:code="9"/>
          <w:pgMar w:top="1418" w:right="1134" w:bottom="1418" w:left="1134" w:header="1021" w:footer="1021" w:gutter="0"/>
          <w:cols w:space="708"/>
          <w:docGrid w:linePitch="360"/>
        </w:sectPr>
      </w:pPr>
    </w:p>
    <w:p w:rsidR="00826D3F" w:rsidRPr="00D337FA" w:rsidRDefault="00826D3F" w:rsidP="00826D3F">
      <w:pPr>
        <w:ind w:firstLine="284"/>
        <w:rPr>
          <w:bCs/>
          <w:szCs w:val="27"/>
        </w:rPr>
      </w:pPr>
      <w:r w:rsidRPr="00D337FA">
        <w:rPr>
          <w:szCs w:val="28"/>
        </w:rPr>
        <w:lastRenderedPageBreak/>
        <w:t>Подтверждением</w:t>
      </w:r>
      <w:r w:rsidR="006C680D" w:rsidRPr="00D337FA">
        <w:rPr>
          <w:szCs w:val="28"/>
        </w:rPr>
        <w:t xml:space="preserve"> </w:t>
      </w:r>
      <w:r w:rsidRPr="00D337FA">
        <w:rPr>
          <w:szCs w:val="28"/>
        </w:rPr>
        <w:t>правильности</w:t>
      </w:r>
      <w:r w:rsidR="006C680D" w:rsidRPr="00D337FA">
        <w:rPr>
          <w:szCs w:val="28"/>
        </w:rPr>
        <w:t xml:space="preserve"> </w:t>
      </w:r>
      <w:r w:rsidRPr="00D337FA">
        <w:rPr>
          <w:szCs w:val="28"/>
        </w:rPr>
        <w:t>выбранного</w:t>
      </w:r>
      <w:r w:rsidR="006C680D" w:rsidRPr="00D337FA">
        <w:rPr>
          <w:szCs w:val="28"/>
        </w:rPr>
        <w:t xml:space="preserve"> </w:t>
      </w:r>
      <w:r w:rsidRPr="00D337FA">
        <w:rPr>
          <w:szCs w:val="28"/>
        </w:rPr>
        <w:t>государственного</w:t>
      </w:r>
      <w:r w:rsidR="006C680D" w:rsidRPr="00D337FA">
        <w:rPr>
          <w:szCs w:val="28"/>
        </w:rPr>
        <w:t xml:space="preserve"> </w:t>
      </w:r>
      <w:r w:rsidRPr="00D337FA">
        <w:rPr>
          <w:szCs w:val="28"/>
        </w:rPr>
        <w:t>курса</w:t>
      </w:r>
      <w:r w:rsidR="006C680D" w:rsidRPr="00D337FA">
        <w:rPr>
          <w:szCs w:val="28"/>
        </w:rPr>
        <w:t xml:space="preserve"> </w:t>
      </w:r>
      <w:r w:rsidRPr="00D337FA">
        <w:rPr>
          <w:szCs w:val="28"/>
        </w:rPr>
        <w:t>развития</w:t>
      </w:r>
      <w:r w:rsidR="006C680D" w:rsidRPr="00D337FA">
        <w:rPr>
          <w:szCs w:val="28"/>
        </w:rPr>
        <w:t xml:space="preserve"> </w:t>
      </w:r>
      <w:r w:rsidRPr="00D337FA">
        <w:rPr>
          <w:szCs w:val="28"/>
        </w:rPr>
        <w:lastRenderedPageBreak/>
        <w:t>АПК</w:t>
      </w:r>
      <w:r w:rsidR="006C680D" w:rsidRPr="00D337FA">
        <w:rPr>
          <w:szCs w:val="28"/>
        </w:rPr>
        <w:t xml:space="preserve"> </w:t>
      </w:r>
      <w:r w:rsidRPr="00D337FA">
        <w:rPr>
          <w:szCs w:val="28"/>
        </w:rPr>
        <w:t>страны</w:t>
      </w:r>
      <w:r w:rsidR="006C680D" w:rsidRPr="00D337FA">
        <w:rPr>
          <w:szCs w:val="28"/>
        </w:rPr>
        <w:t xml:space="preserve"> </w:t>
      </w:r>
      <w:r w:rsidRPr="00D337FA">
        <w:rPr>
          <w:szCs w:val="28"/>
        </w:rPr>
        <w:t>можно</w:t>
      </w:r>
      <w:r w:rsidR="006C680D" w:rsidRPr="00D337FA">
        <w:rPr>
          <w:szCs w:val="28"/>
        </w:rPr>
        <w:t xml:space="preserve"> </w:t>
      </w:r>
      <w:r w:rsidRPr="00D337FA">
        <w:rPr>
          <w:szCs w:val="28"/>
        </w:rPr>
        <w:t>найти</w:t>
      </w:r>
      <w:r w:rsidR="006C680D" w:rsidRPr="00D337FA">
        <w:rPr>
          <w:szCs w:val="28"/>
        </w:rPr>
        <w:t xml:space="preserve"> </w:t>
      </w:r>
      <w:r w:rsidRPr="00D337FA">
        <w:rPr>
          <w:szCs w:val="28"/>
        </w:rPr>
        <w:t>в</w:t>
      </w:r>
      <w:r w:rsidR="006C680D" w:rsidRPr="00D337FA">
        <w:rPr>
          <w:szCs w:val="28"/>
        </w:rPr>
        <w:t xml:space="preserve"> </w:t>
      </w:r>
      <w:r w:rsidRPr="00D337FA">
        <w:rPr>
          <w:szCs w:val="28"/>
        </w:rPr>
        <w:t>решениях</w:t>
      </w:r>
      <w:r w:rsidR="006C680D" w:rsidRPr="00D337FA">
        <w:rPr>
          <w:szCs w:val="28"/>
        </w:rPr>
        <w:t xml:space="preserve"> </w:t>
      </w:r>
      <w:r w:rsidRPr="00D337FA">
        <w:rPr>
          <w:szCs w:val="28"/>
        </w:rPr>
        <w:t>по</w:t>
      </w:r>
      <w:r w:rsidR="006C680D" w:rsidRPr="00D337FA">
        <w:rPr>
          <w:szCs w:val="28"/>
        </w:rPr>
        <w:t xml:space="preserve"> </w:t>
      </w:r>
      <w:r w:rsidRPr="00D337FA">
        <w:rPr>
          <w:szCs w:val="28"/>
        </w:rPr>
        <w:t>поддержке</w:t>
      </w:r>
      <w:r w:rsidR="006C680D" w:rsidRPr="00D337FA">
        <w:rPr>
          <w:szCs w:val="28"/>
        </w:rPr>
        <w:t xml:space="preserve"> </w:t>
      </w:r>
      <w:r w:rsidRPr="00D337FA">
        <w:rPr>
          <w:szCs w:val="28"/>
        </w:rPr>
        <w:t>отрасли.</w:t>
      </w:r>
      <w:r w:rsidR="006C680D" w:rsidRPr="00D337FA">
        <w:rPr>
          <w:szCs w:val="28"/>
        </w:rPr>
        <w:t xml:space="preserve"> </w:t>
      </w:r>
      <w:r w:rsidRPr="00D337FA">
        <w:rPr>
          <w:szCs w:val="28"/>
        </w:rPr>
        <w:t>Правительство</w:t>
      </w:r>
      <w:r w:rsidR="006C680D" w:rsidRPr="00D337FA">
        <w:rPr>
          <w:szCs w:val="28"/>
        </w:rPr>
        <w:t xml:space="preserve"> </w:t>
      </w:r>
      <w:r w:rsidRPr="00D337FA">
        <w:rPr>
          <w:szCs w:val="28"/>
        </w:rPr>
        <w:t>осу</w:t>
      </w:r>
      <w:r w:rsidRPr="00D337FA">
        <w:rPr>
          <w:szCs w:val="28"/>
        </w:rPr>
        <w:lastRenderedPageBreak/>
        <w:t>ществляет</w:t>
      </w:r>
      <w:r w:rsidR="006C680D" w:rsidRPr="00D337FA">
        <w:rPr>
          <w:szCs w:val="28"/>
        </w:rPr>
        <w:t xml:space="preserve"> </w:t>
      </w:r>
      <w:r w:rsidRPr="00D337FA">
        <w:rPr>
          <w:szCs w:val="28"/>
        </w:rPr>
        <w:t>постоянную</w:t>
      </w:r>
      <w:r w:rsidR="006C680D" w:rsidRPr="00D337FA">
        <w:rPr>
          <w:szCs w:val="28"/>
        </w:rPr>
        <w:t xml:space="preserve"> </w:t>
      </w:r>
      <w:r w:rsidRPr="00D337FA">
        <w:rPr>
          <w:szCs w:val="28"/>
        </w:rPr>
        <w:t>работу</w:t>
      </w:r>
      <w:r w:rsidR="006C680D" w:rsidRPr="00D337FA">
        <w:rPr>
          <w:szCs w:val="28"/>
        </w:rPr>
        <w:t xml:space="preserve"> </w:t>
      </w:r>
      <w:r w:rsidRPr="00D337FA">
        <w:rPr>
          <w:szCs w:val="28"/>
        </w:rPr>
        <w:t>по</w:t>
      </w:r>
      <w:r w:rsidR="006C680D" w:rsidRPr="00D337FA">
        <w:rPr>
          <w:szCs w:val="28"/>
        </w:rPr>
        <w:t xml:space="preserve"> </w:t>
      </w:r>
      <w:r w:rsidRPr="00D337FA">
        <w:rPr>
          <w:szCs w:val="28"/>
        </w:rPr>
        <w:t>созданию</w:t>
      </w:r>
      <w:r w:rsidR="006C680D" w:rsidRPr="00D337FA">
        <w:rPr>
          <w:szCs w:val="28"/>
        </w:rPr>
        <w:t xml:space="preserve"> </w:t>
      </w:r>
      <w:r w:rsidRPr="00D337FA">
        <w:rPr>
          <w:szCs w:val="28"/>
        </w:rPr>
        <w:t>благоприятных,</w:t>
      </w:r>
      <w:r w:rsidR="006C680D" w:rsidRPr="00D337FA">
        <w:rPr>
          <w:szCs w:val="28"/>
        </w:rPr>
        <w:t xml:space="preserve"> </w:t>
      </w:r>
      <w:r w:rsidRPr="00D337FA">
        <w:rPr>
          <w:szCs w:val="28"/>
        </w:rPr>
        <w:t>прозрачных</w:t>
      </w:r>
      <w:r w:rsidR="006C680D" w:rsidRPr="00D337FA">
        <w:rPr>
          <w:szCs w:val="28"/>
        </w:rPr>
        <w:t xml:space="preserve"> </w:t>
      </w:r>
      <w:r w:rsidRPr="00D337FA">
        <w:rPr>
          <w:szCs w:val="28"/>
        </w:rPr>
        <w:t>и</w:t>
      </w:r>
      <w:r w:rsidR="006C680D" w:rsidRPr="00D337FA">
        <w:rPr>
          <w:szCs w:val="28"/>
        </w:rPr>
        <w:t xml:space="preserve"> </w:t>
      </w:r>
      <w:r w:rsidRPr="00D337FA">
        <w:rPr>
          <w:szCs w:val="28"/>
        </w:rPr>
        <w:t>комфортных</w:t>
      </w:r>
      <w:r w:rsidR="006C680D" w:rsidRPr="00D337FA">
        <w:rPr>
          <w:szCs w:val="28"/>
        </w:rPr>
        <w:t xml:space="preserve"> </w:t>
      </w:r>
      <w:r w:rsidRPr="00D337FA">
        <w:rPr>
          <w:szCs w:val="28"/>
        </w:rPr>
        <w:t>условий</w:t>
      </w:r>
      <w:r w:rsidR="006C680D" w:rsidRPr="00D337FA">
        <w:rPr>
          <w:szCs w:val="28"/>
        </w:rPr>
        <w:t xml:space="preserve"> </w:t>
      </w:r>
      <w:r w:rsidRPr="00D337FA">
        <w:rPr>
          <w:szCs w:val="28"/>
        </w:rPr>
        <w:t>для</w:t>
      </w:r>
      <w:r w:rsidR="006C680D" w:rsidRPr="00D337FA">
        <w:rPr>
          <w:szCs w:val="28"/>
        </w:rPr>
        <w:t xml:space="preserve"> </w:t>
      </w:r>
      <w:r w:rsidRPr="00D337FA">
        <w:rPr>
          <w:szCs w:val="28"/>
        </w:rPr>
        <w:t>осуществления</w:t>
      </w:r>
      <w:r w:rsidR="006C680D" w:rsidRPr="00D337FA">
        <w:rPr>
          <w:szCs w:val="28"/>
        </w:rPr>
        <w:t xml:space="preserve"> </w:t>
      </w:r>
      <w:r w:rsidRPr="00D337FA">
        <w:rPr>
          <w:szCs w:val="28"/>
        </w:rPr>
        <w:lastRenderedPageBreak/>
        <w:t>предпринимательской</w:t>
      </w:r>
      <w:r w:rsidR="006C680D" w:rsidRPr="00D337FA">
        <w:rPr>
          <w:szCs w:val="28"/>
        </w:rPr>
        <w:t xml:space="preserve"> </w:t>
      </w:r>
      <w:r w:rsidRPr="00D337FA">
        <w:rPr>
          <w:szCs w:val="28"/>
        </w:rPr>
        <w:t>деятельности</w:t>
      </w:r>
      <w:r w:rsidR="006C680D" w:rsidRPr="00D337FA">
        <w:rPr>
          <w:szCs w:val="28"/>
        </w:rPr>
        <w:t xml:space="preserve"> </w:t>
      </w:r>
      <w:r w:rsidRPr="00D337FA">
        <w:rPr>
          <w:szCs w:val="28"/>
        </w:rPr>
        <w:t>в</w:t>
      </w:r>
      <w:r w:rsidR="006C680D" w:rsidRPr="00D337FA">
        <w:rPr>
          <w:szCs w:val="28"/>
        </w:rPr>
        <w:t xml:space="preserve"> </w:t>
      </w:r>
      <w:r w:rsidRPr="00D337FA">
        <w:rPr>
          <w:szCs w:val="28"/>
        </w:rPr>
        <w:t>сфере</w:t>
      </w:r>
      <w:r w:rsidR="006C680D" w:rsidRPr="00D337FA">
        <w:rPr>
          <w:szCs w:val="28"/>
        </w:rPr>
        <w:t xml:space="preserve"> </w:t>
      </w:r>
      <w:r w:rsidRPr="00D337FA">
        <w:rPr>
          <w:szCs w:val="28"/>
        </w:rPr>
        <w:t>сельского</w:t>
      </w:r>
      <w:r w:rsidR="006C680D" w:rsidRPr="00D337FA">
        <w:rPr>
          <w:szCs w:val="28"/>
        </w:rPr>
        <w:t xml:space="preserve"> </w:t>
      </w:r>
      <w:r w:rsidRPr="00D337FA">
        <w:rPr>
          <w:szCs w:val="28"/>
        </w:rPr>
        <w:t>хозяйства</w:t>
      </w:r>
      <w:r w:rsidR="006C680D" w:rsidRPr="00D337FA">
        <w:rPr>
          <w:szCs w:val="28"/>
        </w:rPr>
        <w:t xml:space="preserve"> </w:t>
      </w:r>
      <w:r w:rsidRPr="00D337FA">
        <w:rPr>
          <w:szCs w:val="28"/>
        </w:rPr>
        <w:t>(табл.</w:t>
      </w:r>
      <w:r w:rsidR="006C680D" w:rsidRPr="00D337FA">
        <w:rPr>
          <w:szCs w:val="28"/>
        </w:rPr>
        <w:t xml:space="preserve"> </w:t>
      </w:r>
      <w:r w:rsidRPr="00D337FA">
        <w:rPr>
          <w:szCs w:val="28"/>
        </w:rPr>
        <w:t>4).</w:t>
      </w:r>
    </w:p>
    <w:p w:rsidR="00826D3F" w:rsidRPr="00D337FA" w:rsidRDefault="00826D3F" w:rsidP="00812765">
      <w:pPr>
        <w:ind w:firstLine="0"/>
        <w:jc w:val="center"/>
        <w:rPr>
          <w:b/>
          <w:szCs w:val="24"/>
          <w:highlight w:val="yellow"/>
        </w:rPr>
        <w:sectPr w:rsidR="00826D3F" w:rsidRPr="00D337FA" w:rsidSect="00826D3F">
          <w:footnotePr>
            <w:numRestart w:val="eachPage"/>
          </w:footnotePr>
          <w:type w:val="continuous"/>
          <w:pgSz w:w="11907" w:h="16840" w:code="9"/>
          <w:pgMar w:top="1418" w:right="1134" w:bottom="1418" w:left="1134" w:header="1021" w:footer="1021" w:gutter="0"/>
          <w:cols w:num="2" w:space="708"/>
          <w:docGrid w:linePitch="360"/>
        </w:sectPr>
      </w:pPr>
    </w:p>
    <w:p w:rsidR="00826D3F" w:rsidRPr="00D337FA" w:rsidRDefault="00826D3F" w:rsidP="00812765">
      <w:pPr>
        <w:ind w:firstLine="0"/>
        <w:jc w:val="center"/>
        <w:rPr>
          <w:b/>
          <w:szCs w:val="24"/>
          <w:highlight w:val="yellow"/>
        </w:rPr>
      </w:pPr>
    </w:p>
    <w:p w:rsidR="00826D3F" w:rsidRPr="00D337FA" w:rsidRDefault="00826D3F" w:rsidP="00826D3F">
      <w:pPr>
        <w:jc w:val="right"/>
        <w:rPr>
          <w:rFonts w:ascii="Arial" w:hAnsi="Arial"/>
          <w:i/>
          <w:sz w:val="22"/>
          <w:szCs w:val="22"/>
        </w:rPr>
      </w:pPr>
      <w:r w:rsidRPr="00D337FA">
        <w:rPr>
          <w:rFonts w:ascii="Arial" w:hAnsi="Arial"/>
          <w:i/>
          <w:sz w:val="22"/>
          <w:szCs w:val="22"/>
        </w:rPr>
        <w:t>Таблица</w:t>
      </w:r>
      <w:r w:rsidR="006C680D" w:rsidRPr="00D337FA">
        <w:rPr>
          <w:rFonts w:ascii="Arial" w:hAnsi="Arial"/>
          <w:i/>
          <w:sz w:val="22"/>
          <w:szCs w:val="22"/>
        </w:rPr>
        <w:t xml:space="preserve"> </w:t>
      </w:r>
      <w:r w:rsidRPr="00D337FA">
        <w:rPr>
          <w:rFonts w:ascii="Arial" w:hAnsi="Arial"/>
          <w:i/>
          <w:sz w:val="22"/>
          <w:szCs w:val="22"/>
        </w:rPr>
        <w:t>4</w:t>
      </w:r>
    </w:p>
    <w:p w:rsidR="008932D6" w:rsidRPr="00D337FA" w:rsidRDefault="00826D3F" w:rsidP="008932D6">
      <w:pPr>
        <w:jc w:val="center"/>
        <w:rPr>
          <w:rFonts w:ascii="Arial" w:hAnsi="Arial"/>
          <w:i/>
          <w:sz w:val="22"/>
          <w:szCs w:val="22"/>
        </w:rPr>
      </w:pPr>
      <w:r w:rsidRPr="00D337FA">
        <w:rPr>
          <w:rFonts w:ascii="Arial" w:hAnsi="Arial"/>
          <w:i/>
          <w:sz w:val="22"/>
          <w:szCs w:val="22"/>
        </w:rPr>
        <w:t>Развитие</w:t>
      </w:r>
      <w:r w:rsidR="006C680D" w:rsidRPr="00D337FA">
        <w:rPr>
          <w:rFonts w:ascii="Arial" w:hAnsi="Arial"/>
          <w:i/>
          <w:sz w:val="22"/>
          <w:szCs w:val="22"/>
        </w:rPr>
        <w:t xml:space="preserve"> </w:t>
      </w:r>
      <w:r w:rsidRPr="00D337FA">
        <w:rPr>
          <w:rFonts w:ascii="Arial" w:hAnsi="Arial"/>
          <w:i/>
          <w:sz w:val="22"/>
          <w:szCs w:val="22"/>
        </w:rPr>
        <w:t>мер</w:t>
      </w:r>
      <w:r w:rsidR="006C680D" w:rsidRPr="00D337FA">
        <w:rPr>
          <w:rFonts w:ascii="Arial" w:hAnsi="Arial"/>
          <w:i/>
          <w:sz w:val="22"/>
          <w:szCs w:val="22"/>
        </w:rPr>
        <w:t xml:space="preserve"> </w:t>
      </w:r>
      <w:r w:rsidRPr="00D337FA">
        <w:rPr>
          <w:rFonts w:ascii="Arial" w:hAnsi="Arial"/>
          <w:i/>
          <w:sz w:val="22"/>
          <w:szCs w:val="22"/>
        </w:rPr>
        <w:t>поддержки</w:t>
      </w:r>
      <w:r w:rsidR="006C680D" w:rsidRPr="00D337FA">
        <w:rPr>
          <w:rFonts w:ascii="Arial" w:hAnsi="Arial"/>
          <w:i/>
          <w:sz w:val="22"/>
          <w:szCs w:val="22"/>
        </w:rPr>
        <w:t xml:space="preserve"> </w:t>
      </w:r>
      <w:r w:rsidRPr="00D337FA">
        <w:rPr>
          <w:rFonts w:ascii="Arial" w:hAnsi="Arial"/>
          <w:i/>
          <w:sz w:val="22"/>
          <w:szCs w:val="22"/>
        </w:rPr>
        <w:t>АПК</w:t>
      </w:r>
      <w:r w:rsidR="006C680D" w:rsidRPr="00D337FA">
        <w:rPr>
          <w:rFonts w:ascii="Arial" w:hAnsi="Arial"/>
          <w:i/>
          <w:sz w:val="22"/>
          <w:szCs w:val="22"/>
        </w:rPr>
        <w:t xml:space="preserve"> </w:t>
      </w:r>
      <w:r w:rsidRPr="00D337FA">
        <w:rPr>
          <w:rFonts w:ascii="Arial" w:hAnsi="Arial"/>
          <w:i/>
          <w:sz w:val="22"/>
          <w:szCs w:val="22"/>
        </w:rPr>
        <w:t>в</w:t>
      </w:r>
      <w:r w:rsidR="006C680D" w:rsidRPr="00D337FA">
        <w:rPr>
          <w:rFonts w:ascii="Arial" w:hAnsi="Arial"/>
          <w:i/>
          <w:sz w:val="22"/>
          <w:szCs w:val="22"/>
        </w:rPr>
        <w:t xml:space="preserve"> </w:t>
      </w:r>
      <w:r w:rsidRPr="00D337FA">
        <w:rPr>
          <w:rFonts w:ascii="Arial" w:hAnsi="Arial"/>
          <w:i/>
          <w:sz w:val="22"/>
          <w:szCs w:val="22"/>
        </w:rPr>
        <w:t>Российской</w:t>
      </w:r>
      <w:r w:rsidR="006C680D" w:rsidRPr="00D337FA">
        <w:rPr>
          <w:rFonts w:ascii="Arial" w:hAnsi="Arial"/>
          <w:i/>
          <w:sz w:val="22"/>
          <w:szCs w:val="22"/>
        </w:rPr>
        <w:t xml:space="preserve"> </w:t>
      </w:r>
      <w:r w:rsidRPr="00D337FA">
        <w:rPr>
          <w:rFonts w:ascii="Arial" w:hAnsi="Arial"/>
          <w:i/>
          <w:sz w:val="22"/>
          <w:szCs w:val="22"/>
        </w:rPr>
        <w:t>Федерации</w:t>
      </w:r>
      <w:r w:rsidR="006C680D" w:rsidRPr="00D337FA">
        <w:rPr>
          <w:rFonts w:ascii="Arial" w:hAnsi="Arial"/>
          <w:i/>
          <w:sz w:val="22"/>
          <w:szCs w:val="22"/>
        </w:rPr>
        <w:t xml:space="preserve"> </w:t>
      </w:r>
      <w:r w:rsidRPr="00D337FA">
        <w:rPr>
          <w:rFonts w:ascii="Arial" w:hAnsi="Arial"/>
          <w:i/>
          <w:sz w:val="22"/>
          <w:szCs w:val="22"/>
        </w:rPr>
        <w:t>2010-2025</w:t>
      </w:r>
      <w:r w:rsidR="006C680D" w:rsidRPr="00D337FA">
        <w:rPr>
          <w:rFonts w:ascii="Arial" w:hAnsi="Arial"/>
          <w:i/>
          <w:sz w:val="22"/>
          <w:szCs w:val="22"/>
        </w:rPr>
        <w:t xml:space="preserve"> </w:t>
      </w:r>
      <w:r w:rsidRPr="00D337FA">
        <w:rPr>
          <w:rFonts w:ascii="Arial" w:hAnsi="Arial"/>
          <w:i/>
          <w:sz w:val="22"/>
          <w:szCs w:val="22"/>
        </w:rPr>
        <w:t>года</w:t>
      </w:r>
    </w:p>
    <w:tbl>
      <w:tblPr>
        <w:tblStyle w:val="afa"/>
        <w:tblW w:w="0" w:type="auto"/>
        <w:tblLook w:val="04A0" w:firstRow="1" w:lastRow="0" w:firstColumn="1" w:lastColumn="0" w:noHBand="0" w:noVBand="1"/>
      </w:tblPr>
      <w:tblGrid>
        <w:gridCol w:w="616"/>
        <w:gridCol w:w="9239"/>
      </w:tblGrid>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Год</w:t>
            </w:r>
          </w:p>
        </w:tc>
        <w:tc>
          <w:tcPr>
            <w:tcW w:w="0" w:type="auto"/>
            <w:vAlign w:val="center"/>
            <w:hideMark/>
          </w:tcPr>
          <w:p w:rsidR="00826D3F" w:rsidRPr="00D337FA" w:rsidRDefault="00826D3F" w:rsidP="00826D3F">
            <w:pPr>
              <w:ind w:firstLine="0"/>
              <w:jc w:val="center"/>
              <w:rPr>
                <w:sz w:val="20"/>
                <w:szCs w:val="20"/>
              </w:rPr>
            </w:pPr>
            <w:r w:rsidRPr="00D337FA">
              <w:rPr>
                <w:sz w:val="20"/>
                <w:szCs w:val="20"/>
              </w:rPr>
              <w:t>Ключевые</w:t>
            </w:r>
            <w:r w:rsidR="006C680D" w:rsidRPr="00D337FA">
              <w:rPr>
                <w:sz w:val="20"/>
                <w:szCs w:val="20"/>
              </w:rPr>
              <w:t xml:space="preserve"> </w:t>
            </w:r>
            <w:r w:rsidRPr="00D337FA">
              <w:rPr>
                <w:sz w:val="20"/>
                <w:szCs w:val="20"/>
              </w:rPr>
              <w:t>события</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агропромышленном</w:t>
            </w:r>
            <w:r w:rsidR="006C680D" w:rsidRPr="00D337FA">
              <w:rPr>
                <w:sz w:val="20"/>
                <w:szCs w:val="20"/>
              </w:rPr>
              <w:t xml:space="preserve"> </w:t>
            </w:r>
            <w:r w:rsidRPr="00D337FA">
              <w:rPr>
                <w:sz w:val="20"/>
                <w:szCs w:val="20"/>
              </w:rPr>
              <w:t>комплексе</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2010</w:t>
            </w:r>
          </w:p>
        </w:tc>
        <w:tc>
          <w:tcPr>
            <w:tcW w:w="0" w:type="auto"/>
            <w:hideMark/>
          </w:tcPr>
          <w:p w:rsidR="00826D3F" w:rsidRPr="00D337FA" w:rsidRDefault="00826D3F" w:rsidP="00826D3F">
            <w:pPr>
              <w:ind w:firstLine="0"/>
              <w:rPr>
                <w:sz w:val="20"/>
                <w:szCs w:val="20"/>
              </w:rPr>
            </w:pPr>
            <w:r w:rsidRPr="00D337FA">
              <w:rPr>
                <w:sz w:val="20"/>
                <w:szCs w:val="20"/>
              </w:rPr>
              <w:t>Государство</w:t>
            </w:r>
            <w:r w:rsidR="006C680D" w:rsidRPr="00D337FA">
              <w:rPr>
                <w:sz w:val="20"/>
                <w:szCs w:val="20"/>
              </w:rPr>
              <w:t xml:space="preserve"> </w:t>
            </w:r>
            <w:r w:rsidRPr="00D337FA">
              <w:rPr>
                <w:sz w:val="20"/>
                <w:szCs w:val="20"/>
              </w:rPr>
              <w:t>усилило</w:t>
            </w:r>
            <w:r w:rsidR="006C680D" w:rsidRPr="00D337FA">
              <w:rPr>
                <w:sz w:val="20"/>
                <w:szCs w:val="20"/>
              </w:rPr>
              <w:t xml:space="preserve"> </w:t>
            </w:r>
            <w:r w:rsidRPr="00D337FA">
              <w:rPr>
                <w:sz w:val="20"/>
                <w:szCs w:val="20"/>
              </w:rPr>
              <w:t>субсидирование</w:t>
            </w:r>
            <w:r w:rsidR="006C680D" w:rsidRPr="00D337FA">
              <w:rPr>
                <w:sz w:val="20"/>
                <w:szCs w:val="20"/>
              </w:rPr>
              <w:t xml:space="preserve"> </w:t>
            </w:r>
            <w:r w:rsidRPr="00D337FA">
              <w:rPr>
                <w:sz w:val="20"/>
                <w:szCs w:val="20"/>
              </w:rPr>
              <w:t>кредитов</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модернизацию,</w:t>
            </w:r>
            <w:r w:rsidR="006C680D" w:rsidRPr="00D337FA">
              <w:rPr>
                <w:sz w:val="20"/>
                <w:szCs w:val="20"/>
              </w:rPr>
              <w:t xml:space="preserve"> </w:t>
            </w:r>
            <w:r w:rsidRPr="00D337FA">
              <w:rPr>
                <w:sz w:val="20"/>
                <w:szCs w:val="20"/>
              </w:rPr>
              <w:t>как</w:t>
            </w:r>
            <w:r w:rsidR="006C680D" w:rsidRPr="00D337FA">
              <w:rPr>
                <w:sz w:val="20"/>
                <w:szCs w:val="20"/>
              </w:rPr>
              <w:t xml:space="preserve"> </w:t>
            </w:r>
            <w:r w:rsidRPr="00D337FA">
              <w:rPr>
                <w:sz w:val="20"/>
                <w:szCs w:val="20"/>
              </w:rPr>
              <w:t>инструмент</w:t>
            </w:r>
            <w:r w:rsidR="006C680D" w:rsidRPr="00D337FA">
              <w:rPr>
                <w:sz w:val="20"/>
                <w:szCs w:val="20"/>
              </w:rPr>
              <w:t xml:space="preserve"> </w:t>
            </w:r>
            <w:r w:rsidRPr="00D337FA">
              <w:rPr>
                <w:sz w:val="20"/>
                <w:szCs w:val="20"/>
              </w:rPr>
              <w:t>помощи</w:t>
            </w:r>
            <w:r w:rsidR="006C680D" w:rsidRPr="00D337FA">
              <w:rPr>
                <w:sz w:val="20"/>
                <w:szCs w:val="20"/>
              </w:rPr>
              <w:t xml:space="preserve"> </w:t>
            </w:r>
            <w:r w:rsidRPr="00D337FA">
              <w:rPr>
                <w:sz w:val="20"/>
                <w:szCs w:val="20"/>
              </w:rPr>
              <w:t>хозяйствам</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обновлении</w:t>
            </w:r>
            <w:r w:rsidR="006C680D" w:rsidRPr="00D337FA">
              <w:rPr>
                <w:sz w:val="20"/>
                <w:szCs w:val="20"/>
              </w:rPr>
              <w:t xml:space="preserve"> </w:t>
            </w:r>
            <w:r w:rsidRPr="00D337FA">
              <w:rPr>
                <w:sz w:val="20"/>
                <w:szCs w:val="20"/>
              </w:rPr>
              <w:t>МТБ</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снижении</w:t>
            </w:r>
            <w:r w:rsidR="006C680D" w:rsidRPr="00D337FA">
              <w:rPr>
                <w:sz w:val="20"/>
                <w:szCs w:val="20"/>
              </w:rPr>
              <w:t xml:space="preserve"> </w:t>
            </w:r>
            <w:r w:rsidRPr="00D337FA">
              <w:rPr>
                <w:sz w:val="20"/>
                <w:szCs w:val="20"/>
              </w:rPr>
              <w:t>финансовой</w:t>
            </w:r>
            <w:r w:rsidR="006C680D" w:rsidRPr="00D337FA">
              <w:rPr>
                <w:sz w:val="20"/>
                <w:szCs w:val="20"/>
              </w:rPr>
              <w:t xml:space="preserve"> </w:t>
            </w:r>
            <w:r w:rsidRPr="00D337FA">
              <w:rPr>
                <w:sz w:val="20"/>
                <w:szCs w:val="20"/>
              </w:rPr>
              <w:t>нагрузки.</w:t>
            </w:r>
            <w:r w:rsidR="006C680D" w:rsidRPr="00D337FA">
              <w:rPr>
                <w:sz w:val="20"/>
                <w:szCs w:val="20"/>
              </w:rPr>
              <w:t xml:space="preserve"> </w:t>
            </w:r>
            <w:r w:rsidRPr="00D337FA">
              <w:rPr>
                <w:sz w:val="20"/>
                <w:szCs w:val="20"/>
              </w:rPr>
              <w:t>Были</w:t>
            </w:r>
            <w:r w:rsidR="006C680D" w:rsidRPr="00D337FA">
              <w:rPr>
                <w:sz w:val="20"/>
                <w:szCs w:val="20"/>
              </w:rPr>
              <w:t xml:space="preserve"> </w:t>
            </w:r>
            <w:r w:rsidRPr="00D337FA">
              <w:rPr>
                <w:sz w:val="20"/>
                <w:szCs w:val="20"/>
              </w:rPr>
              <w:t>добавлены</w:t>
            </w:r>
            <w:r w:rsidR="006C680D" w:rsidRPr="00D337FA">
              <w:rPr>
                <w:sz w:val="20"/>
                <w:szCs w:val="20"/>
              </w:rPr>
              <w:t xml:space="preserve"> </w:t>
            </w:r>
            <w:r w:rsidRPr="00D337FA">
              <w:rPr>
                <w:sz w:val="20"/>
                <w:szCs w:val="20"/>
              </w:rPr>
              <w:t>более</w:t>
            </w:r>
            <w:r w:rsidR="006C680D" w:rsidRPr="00D337FA">
              <w:rPr>
                <w:sz w:val="20"/>
                <w:szCs w:val="20"/>
              </w:rPr>
              <w:t xml:space="preserve"> </w:t>
            </w:r>
            <w:r w:rsidRPr="00D337FA">
              <w:rPr>
                <w:sz w:val="20"/>
                <w:szCs w:val="20"/>
              </w:rPr>
              <w:t>понятные</w:t>
            </w:r>
            <w:r w:rsidR="006C680D" w:rsidRPr="00D337FA">
              <w:rPr>
                <w:sz w:val="20"/>
                <w:szCs w:val="20"/>
              </w:rPr>
              <w:t xml:space="preserve"> </w:t>
            </w:r>
            <w:r w:rsidRPr="00D337FA">
              <w:rPr>
                <w:sz w:val="20"/>
                <w:szCs w:val="20"/>
              </w:rPr>
              <w:t>правила</w:t>
            </w:r>
            <w:r w:rsidR="006C680D" w:rsidRPr="00D337FA">
              <w:rPr>
                <w:sz w:val="20"/>
                <w:szCs w:val="20"/>
              </w:rPr>
              <w:t xml:space="preserve"> </w:t>
            </w:r>
            <w:r w:rsidRPr="00D337FA">
              <w:rPr>
                <w:sz w:val="20"/>
                <w:szCs w:val="20"/>
              </w:rPr>
              <w:t>отбора</w:t>
            </w:r>
            <w:r w:rsidR="006C680D" w:rsidRPr="00D337FA">
              <w:rPr>
                <w:sz w:val="20"/>
                <w:szCs w:val="20"/>
              </w:rPr>
              <w:t xml:space="preserve"> </w:t>
            </w:r>
            <w:r w:rsidRPr="00D337FA">
              <w:rPr>
                <w:sz w:val="20"/>
                <w:szCs w:val="20"/>
              </w:rPr>
              <w:t>проектов,</w:t>
            </w:r>
            <w:r w:rsidR="006C680D" w:rsidRPr="00D337FA">
              <w:rPr>
                <w:sz w:val="20"/>
                <w:szCs w:val="20"/>
              </w:rPr>
              <w:t xml:space="preserve"> </w:t>
            </w:r>
            <w:r w:rsidRPr="00D337FA">
              <w:rPr>
                <w:sz w:val="20"/>
                <w:szCs w:val="20"/>
              </w:rPr>
              <w:t>выросла</w:t>
            </w:r>
            <w:r w:rsidR="006C680D" w:rsidRPr="00D337FA">
              <w:rPr>
                <w:sz w:val="20"/>
                <w:szCs w:val="20"/>
              </w:rPr>
              <w:t xml:space="preserve"> </w:t>
            </w:r>
            <w:r w:rsidRPr="00D337FA">
              <w:rPr>
                <w:sz w:val="20"/>
                <w:szCs w:val="20"/>
              </w:rPr>
              <w:t>роль</w:t>
            </w:r>
            <w:r w:rsidR="006C680D" w:rsidRPr="00D337FA">
              <w:rPr>
                <w:sz w:val="20"/>
                <w:szCs w:val="20"/>
              </w:rPr>
              <w:t xml:space="preserve"> </w:t>
            </w:r>
            <w:r w:rsidRPr="00D337FA">
              <w:rPr>
                <w:sz w:val="20"/>
                <w:szCs w:val="20"/>
              </w:rPr>
              <w:t>региональных</w:t>
            </w:r>
            <w:r w:rsidR="006C680D" w:rsidRPr="00D337FA">
              <w:rPr>
                <w:sz w:val="20"/>
                <w:szCs w:val="20"/>
              </w:rPr>
              <w:t xml:space="preserve"> </w:t>
            </w:r>
            <w:r w:rsidRPr="00D337FA">
              <w:rPr>
                <w:sz w:val="20"/>
                <w:szCs w:val="20"/>
              </w:rPr>
              <w:t>программ</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предложены</w:t>
            </w:r>
            <w:r w:rsidR="006C680D" w:rsidRPr="00D337FA">
              <w:rPr>
                <w:sz w:val="20"/>
                <w:szCs w:val="20"/>
              </w:rPr>
              <w:t xml:space="preserve"> </w:t>
            </w:r>
            <w:r w:rsidRPr="00D337FA">
              <w:rPr>
                <w:sz w:val="20"/>
                <w:szCs w:val="20"/>
              </w:rPr>
              <w:t>новые</w:t>
            </w:r>
            <w:r w:rsidR="006C680D" w:rsidRPr="00D337FA">
              <w:rPr>
                <w:sz w:val="20"/>
                <w:szCs w:val="20"/>
              </w:rPr>
              <w:t xml:space="preserve"> </w:t>
            </w:r>
            <w:r w:rsidRPr="00D337FA">
              <w:rPr>
                <w:sz w:val="20"/>
                <w:szCs w:val="20"/>
              </w:rPr>
              <w:t>меры</w:t>
            </w:r>
            <w:r w:rsidR="006C680D" w:rsidRPr="00D337FA">
              <w:rPr>
                <w:sz w:val="20"/>
                <w:szCs w:val="20"/>
              </w:rPr>
              <w:t xml:space="preserve"> </w:t>
            </w:r>
            <w:r w:rsidRPr="00D337FA">
              <w:rPr>
                <w:sz w:val="20"/>
                <w:szCs w:val="20"/>
              </w:rPr>
              <w:t>по</w:t>
            </w:r>
            <w:r w:rsidR="006C680D" w:rsidRPr="00D337FA">
              <w:rPr>
                <w:sz w:val="20"/>
                <w:szCs w:val="20"/>
              </w:rPr>
              <w:t xml:space="preserve"> </w:t>
            </w:r>
            <w:r w:rsidRPr="00D337FA">
              <w:rPr>
                <w:sz w:val="20"/>
                <w:szCs w:val="20"/>
              </w:rPr>
              <w:t>активизации</w:t>
            </w:r>
            <w:r w:rsidR="006C680D" w:rsidRPr="00D337FA">
              <w:rPr>
                <w:sz w:val="20"/>
                <w:szCs w:val="20"/>
              </w:rPr>
              <w:t xml:space="preserve"> </w:t>
            </w:r>
            <w:r w:rsidRPr="00D337FA">
              <w:rPr>
                <w:sz w:val="20"/>
                <w:szCs w:val="20"/>
              </w:rPr>
              <w:t>предпринимательской</w:t>
            </w:r>
            <w:r w:rsidR="006C680D" w:rsidRPr="00D337FA">
              <w:rPr>
                <w:sz w:val="20"/>
                <w:szCs w:val="20"/>
              </w:rPr>
              <w:t xml:space="preserve"> </w:t>
            </w:r>
            <w:r w:rsidRPr="00D337FA">
              <w:rPr>
                <w:sz w:val="20"/>
                <w:szCs w:val="20"/>
              </w:rPr>
              <w:t>деятельности.</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2011</w:t>
            </w:r>
          </w:p>
        </w:tc>
        <w:tc>
          <w:tcPr>
            <w:tcW w:w="0" w:type="auto"/>
            <w:hideMark/>
          </w:tcPr>
          <w:p w:rsidR="00826D3F" w:rsidRPr="00D337FA" w:rsidRDefault="00826D3F" w:rsidP="00826D3F">
            <w:pPr>
              <w:ind w:firstLine="0"/>
              <w:rPr>
                <w:sz w:val="20"/>
                <w:szCs w:val="20"/>
              </w:rPr>
            </w:pPr>
            <w:r w:rsidRPr="00D337FA">
              <w:rPr>
                <w:sz w:val="20"/>
                <w:szCs w:val="20"/>
              </w:rPr>
              <w:t>Расширили</w:t>
            </w:r>
            <w:r w:rsidR="006C680D" w:rsidRPr="00D337FA">
              <w:rPr>
                <w:sz w:val="20"/>
                <w:szCs w:val="20"/>
              </w:rPr>
              <w:t xml:space="preserve"> </w:t>
            </w:r>
            <w:r w:rsidRPr="00D337FA">
              <w:rPr>
                <w:sz w:val="20"/>
                <w:szCs w:val="20"/>
              </w:rPr>
              <w:t>поддержку</w:t>
            </w:r>
            <w:r w:rsidR="006C680D" w:rsidRPr="00D337FA">
              <w:rPr>
                <w:sz w:val="20"/>
                <w:szCs w:val="20"/>
              </w:rPr>
              <w:t xml:space="preserve"> </w:t>
            </w:r>
            <w:r w:rsidRPr="00D337FA">
              <w:rPr>
                <w:sz w:val="20"/>
                <w:szCs w:val="20"/>
              </w:rPr>
              <w:t>инвестпроектов,</w:t>
            </w:r>
            <w:r w:rsidR="006C680D" w:rsidRPr="00D337FA">
              <w:rPr>
                <w:sz w:val="20"/>
                <w:szCs w:val="20"/>
              </w:rPr>
              <w:t xml:space="preserve"> </w:t>
            </w:r>
            <w:r w:rsidRPr="00D337FA">
              <w:rPr>
                <w:sz w:val="20"/>
                <w:szCs w:val="20"/>
              </w:rPr>
              <w:t>лизинг</w:t>
            </w:r>
            <w:r w:rsidR="006C680D" w:rsidRPr="00D337FA">
              <w:rPr>
                <w:sz w:val="20"/>
                <w:szCs w:val="20"/>
              </w:rPr>
              <w:t xml:space="preserve"> </w:t>
            </w:r>
            <w:r w:rsidRPr="00D337FA">
              <w:rPr>
                <w:sz w:val="20"/>
                <w:szCs w:val="20"/>
              </w:rPr>
              <w:t>сельхозтехники,</w:t>
            </w:r>
            <w:r w:rsidR="006C680D" w:rsidRPr="00D337FA">
              <w:rPr>
                <w:sz w:val="20"/>
                <w:szCs w:val="20"/>
              </w:rPr>
              <w:t xml:space="preserve"> </w:t>
            </w:r>
            <w:r w:rsidRPr="00D337FA">
              <w:rPr>
                <w:sz w:val="20"/>
                <w:szCs w:val="20"/>
              </w:rPr>
              <w:t>а</w:t>
            </w:r>
            <w:r w:rsidR="006C680D" w:rsidRPr="00D337FA">
              <w:rPr>
                <w:sz w:val="20"/>
                <w:szCs w:val="20"/>
              </w:rPr>
              <w:t xml:space="preserve"> </w:t>
            </w:r>
            <w:r w:rsidRPr="00D337FA">
              <w:rPr>
                <w:sz w:val="20"/>
                <w:szCs w:val="20"/>
              </w:rPr>
              <w:t>также</w:t>
            </w:r>
            <w:r w:rsidR="006C680D" w:rsidRPr="00D337FA">
              <w:rPr>
                <w:sz w:val="20"/>
                <w:szCs w:val="20"/>
              </w:rPr>
              <w:t xml:space="preserve"> </w:t>
            </w:r>
            <w:r w:rsidRPr="00D337FA">
              <w:rPr>
                <w:sz w:val="20"/>
                <w:szCs w:val="20"/>
              </w:rPr>
              <w:t>стимулировали</w:t>
            </w:r>
            <w:r w:rsidR="006C680D" w:rsidRPr="00D337FA">
              <w:rPr>
                <w:sz w:val="20"/>
                <w:szCs w:val="20"/>
              </w:rPr>
              <w:t xml:space="preserve"> </w:t>
            </w:r>
            <w:r w:rsidRPr="00D337FA">
              <w:rPr>
                <w:sz w:val="20"/>
                <w:szCs w:val="20"/>
              </w:rPr>
              <w:t>точечные</w:t>
            </w:r>
            <w:r w:rsidR="006C680D" w:rsidRPr="00D337FA">
              <w:rPr>
                <w:sz w:val="20"/>
                <w:szCs w:val="20"/>
              </w:rPr>
              <w:t xml:space="preserve"> </w:t>
            </w:r>
            <w:r w:rsidRPr="00D337FA">
              <w:rPr>
                <w:sz w:val="20"/>
                <w:szCs w:val="20"/>
              </w:rPr>
              <w:t>инновации</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области</w:t>
            </w:r>
            <w:r w:rsidR="006C680D" w:rsidRPr="00D337FA">
              <w:rPr>
                <w:sz w:val="20"/>
                <w:szCs w:val="20"/>
              </w:rPr>
              <w:t xml:space="preserve"> </w:t>
            </w:r>
            <w:r w:rsidRPr="00D337FA">
              <w:rPr>
                <w:sz w:val="20"/>
                <w:szCs w:val="20"/>
              </w:rPr>
              <w:t>растениеводства</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животноводства.</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2012</w:t>
            </w:r>
          </w:p>
        </w:tc>
        <w:tc>
          <w:tcPr>
            <w:tcW w:w="0" w:type="auto"/>
            <w:hideMark/>
          </w:tcPr>
          <w:p w:rsidR="00826D3F" w:rsidRPr="00D337FA" w:rsidRDefault="00826D3F" w:rsidP="00826D3F">
            <w:pPr>
              <w:ind w:firstLine="0"/>
              <w:rPr>
                <w:sz w:val="20"/>
                <w:szCs w:val="20"/>
              </w:rPr>
            </w:pPr>
            <w:r w:rsidRPr="00D337FA">
              <w:rPr>
                <w:sz w:val="20"/>
                <w:szCs w:val="20"/>
              </w:rPr>
              <w:t>Запустили</w:t>
            </w:r>
            <w:r w:rsidR="006C680D" w:rsidRPr="00D337FA">
              <w:rPr>
                <w:sz w:val="20"/>
                <w:szCs w:val="20"/>
              </w:rPr>
              <w:t xml:space="preserve"> </w:t>
            </w:r>
            <w:r w:rsidRPr="00D337FA">
              <w:rPr>
                <w:sz w:val="20"/>
                <w:szCs w:val="20"/>
              </w:rPr>
              <w:t>государственную</w:t>
            </w:r>
            <w:r w:rsidR="006C680D" w:rsidRPr="00D337FA">
              <w:rPr>
                <w:sz w:val="20"/>
                <w:szCs w:val="20"/>
              </w:rPr>
              <w:t xml:space="preserve"> </w:t>
            </w:r>
            <w:r w:rsidRPr="00D337FA">
              <w:rPr>
                <w:sz w:val="20"/>
                <w:szCs w:val="20"/>
              </w:rPr>
              <w:t>программу</w:t>
            </w:r>
            <w:r w:rsidR="006C680D" w:rsidRPr="00D337FA">
              <w:rPr>
                <w:sz w:val="20"/>
                <w:szCs w:val="20"/>
              </w:rPr>
              <w:t xml:space="preserve"> </w:t>
            </w:r>
            <w:r w:rsidRPr="00D337FA">
              <w:rPr>
                <w:sz w:val="20"/>
                <w:szCs w:val="20"/>
              </w:rPr>
              <w:t>развития</w:t>
            </w:r>
            <w:r w:rsidR="006C680D" w:rsidRPr="00D337FA">
              <w:rPr>
                <w:sz w:val="20"/>
                <w:szCs w:val="20"/>
              </w:rPr>
              <w:t xml:space="preserve"> </w:t>
            </w:r>
            <w:r w:rsidRPr="00D337FA">
              <w:rPr>
                <w:sz w:val="20"/>
                <w:szCs w:val="20"/>
              </w:rPr>
              <w:t>сельского</w:t>
            </w:r>
            <w:r w:rsidR="006C680D" w:rsidRPr="00D337FA">
              <w:rPr>
                <w:sz w:val="20"/>
                <w:szCs w:val="20"/>
              </w:rPr>
              <w:t xml:space="preserve"> </w:t>
            </w:r>
            <w:r w:rsidRPr="00D337FA">
              <w:rPr>
                <w:sz w:val="20"/>
                <w:szCs w:val="20"/>
              </w:rPr>
              <w:t>хозяйства</w:t>
            </w:r>
            <w:r w:rsidR="006C680D" w:rsidRPr="00D337FA">
              <w:rPr>
                <w:sz w:val="20"/>
                <w:szCs w:val="20"/>
              </w:rPr>
              <w:t xml:space="preserve"> </w:t>
            </w:r>
            <w:r w:rsidRPr="00D337FA">
              <w:rPr>
                <w:sz w:val="20"/>
                <w:szCs w:val="20"/>
              </w:rPr>
              <w:t>до</w:t>
            </w:r>
            <w:r w:rsidR="006C680D" w:rsidRPr="00D337FA">
              <w:rPr>
                <w:sz w:val="20"/>
                <w:szCs w:val="20"/>
              </w:rPr>
              <w:t xml:space="preserve"> </w:t>
            </w:r>
            <w:r w:rsidRPr="00D337FA">
              <w:rPr>
                <w:sz w:val="20"/>
                <w:szCs w:val="20"/>
              </w:rPr>
              <w:t>2020</w:t>
            </w:r>
            <w:r w:rsidR="006C680D" w:rsidRPr="00D337FA">
              <w:rPr>
                <w:sz w:val="20"/>
                <w:szCs w:val="20"/>
              </w:rPr>
              <w:t xml:space="preserve"> </w:t>
            </w:r>
            <w:r w:rsidRPr="00D337FA">
              <w:rPr>
                <w:sz w:val="20"/>
                <w:szCs w:val="20"/>
              </w:rPr>
              <w:t>года,</w:t>
            </w:r>
            <w:r w:rsidR="006C680D" w:rsidRPr="00D337FA">
              <w:rPr>
                <w:sz w:val="20"/>
                <w:szCs w:val="20"/>
              </w:rPr>
              <w:t xml:space="preserve"> </w:t>
            </w:r>
            <w:r w:rsidRPr="00D337FA">
              <w:rPr>
                <w:sz w:val="20"/>
                <w:szCs w:val="20"/>
              </w:rPr>
              <w:t>что</w:t>
            </w:r>
            <w:r w:rsidR="006C680D" w:rsidRPr="00D337FA">
              <w:rPr>
                <w:sz w:val="20"/>
                <w:szCs w:val="20"/>
              </w:rPr>
              <w:t xml:space="preserve"> </w:t>
            </w:r>
            <w:r w:rsidRPr="00D337FA">
              <w:rPr>
                <w:sz w:val="20"/>
                <w:szCs w:val="20"/>
              </w:rPr>
              <w:t>позволило</w:t>
            </w:r>
            <w:r w:rsidR="006C680D" w:rsidRPr="00D337FA">
              <w:rPr>
                <w:sz w:val="20"/>
                <w:szCs w:val="20"/>
              </w:rPr>
              <w:t xml:space="preserve"> </w:t>
            </w:r>
            <w:r w:rsidRPr="00D337FA">
              <w:rPr>
                <w:sz w:val="20"/>
                <w:szCs w:val="20"/>
              </w:rPr>
              <w:t>сделать</w:t>
            </w:r>
            <w:r w:rsidR="006C680D" w:rsidRPr="00D337FA">
              <w:rPr>
                <w:sz w:val="20"/>
                <w:szCs w:val="20"/>
              </w:rPr>
              <w:t xml:space="preserve"> </w:t>
            </w:r>
            <w:r w:rsidRPr="00D337FA">
              <w:rPr>
                <w:sz w:val="20"/>
                <w:szCs w:val="20"/>
              </w:rPr>
              <w:t>субсидии</w:t>
            </w:r>
            <w:r w:rsidR="006C680D" w:rsidRPr="00D337FA">
              <w:rPr>
                <w:sz w:val="20"/>
                <w:szCs w:val="20"/>
              </w:rPr>
              <w:t xml:space="preserve"> </w:t>
            </w:r>
            <w:r w:rsidRPr="00D337FA">
              <w:rPr>
                <w:sz w:val="20"/>
                <w:szCs w:val="20"/>
              </w:rPr>
              <w:t>более</w:t>
            </w:r>
            <w:r w:rsidR="006C680D" w:rsidRPr="00D337FA">
              <w:rPr>
                <w:sz w:val="20"/>
                <w:szCs w:val="20"/>
              </w:rPr>
              <w:t xml:space="preserve"> </w:t>
            </w:r>
            <w:r w:rsidRPr="00D337FA">
              <w:rPr>
                <w:sz w:val="20"/>
                <w:szCs w:val="20"/>
              </w:rPr>
              <w:t>системными,</w:t>
            </w:r>
            <w:r w:rsidR="006C680D" w:rsidRPr="00D337FA">
              <w:rPr>
                <w:sz w:val="20"/>
                <w:szCs w:val="20"/>
              </w:rPr>
              <w:t xml:space="preserve"> </w:t>
            </w:r>
            <w:r w:rsidRPr="00D337FA">
              <w:rPr>
                <w:sz w:val="20"/>
                <w:szCs w:val="20"/>
              </w:rPr>
              <w:t>появились</w:t>
            </w:r>
            <w:r w:rsidR="006C680D" w:rsidRPr="00D337FA">
              <w:rPr>
                <w:sz w:val="20"/>
                <w:szCs w:val="20"/>
              </w:rPr>
              <w:t xml:space="preserve"> </w:t>
            </w:r>
            <w:r w:rsidRPr="00D337FA">
              <w:rPr>
                <w:sz w:val="20"/>
                <w:szCs w:val="20"/>
              </w:rPr>
              <w:t>«сквозные»</w:t>
            </w:r>
            <w:r w:rsidR="006C680D" w:rsidRPr="00D337FA">
              <w:rPr>
                <w:sz w:val="20"/>
                <w:szCs w:val="20"/>
              </w:rPr>
              <w:t xml:space="preserve"> </w:t>
            </w:r>
            <w:r w:rsidRPr="00D337FA">
              <w:rPr>
                <w:sz w:val="20"/>
                <w:szCs w:val="20"/>
              </w:rPr>
              <w:t>направления</w:t>
            </w:r>
            <w:r w:rsidR="006C680D" w:rsidRPr="00D337FA">
              <w:rPr>
                <w:sz w:val="20"/>
                <w:szCs w:val="20"/>
              </w:rPr>
              <w:t xml:space="preserve"> </w:t>
            </w:r>
            <w:r w:rsidRPr="00D337FA">
              <w:rPr>
                <w:sz w:val="20"/>
                <w:szCs w:val="20"/>
              </w:rPr>
              <w:t>(молоко,</w:t>
            </w:r>
            <w:r w:rsidR="006C680D" w:rsidRPr="00D337FA">
              <w:rPr>
                <w:sz w:val="20"/>
                <w:szCs w:val="20"/>
              </w:rPr>
              <w:t xml:space="preserve"> </w:t>
            </w:r>
            <w:r w:rsidRPr="00D337FA">
              <w:rPr>
                <w:sz w:val="20"/>
                <w:szCs w:val="20"/>
              </w:rPr>
              <w:t>мясо,</w:t>
            </w:r>
            <w:r w:rsidR="006C680D" w:rsidRPr="00D337FA">
              <w:rPr>
                <w:sz w:val="20"/>
                <w:szCs w:val="20"/>
              </w:rPr>
              <w:t xml:space="preserve"> </w:t>
            </w:r>
            <w:r w:rsidRPr="00D337FA">
              <w:rPr>
                <w:sz w:val="20"/>
                <w:szCs w:val="20"/>
              </w:rPr>
              <w:t>овощи,</w:t>
            </w:r>
            <w:r w:rsidR="006C680D" w:rsidRPr="00D337FA">
              <w:rPr>
                <w:sz w:val="20"/>
                <w:szCs w:val="20"/>
              </w:rPr>
              <w:t xml:space="preserve"> </w:t>
            </w:r>
            <w:r w:rsidRPr="00D337FA">
              <w:rPr>
                <w:sz w:val="20"/>
                <w:szCs w:val="20"/>
              </w:rPr>
              <w:t>инфраструктура).</w:t>
            </w:r>
            <w:r w:rsidR="006C680D" w:rsidRPr="00D337FA">
              <w:rPr>
                <w:sz w:val="20"/>
                <w:szCs w:val="20"/>
              </w:rPr>
              <w:t xml:space="preserve"> </w:t>
            </w:r>
            <w:r w:rsidRPr="00D337FA">
              <w:rPr>
                <w:sz w:val="20"/>
                <w:szCs w:val="20"/>
              </w:rPr>
              <w:t>Такой</w:t>
            </w:r>
            <w:r w:rsidR="006C680D" w:rsidRPr="00D337FA">
              <w:rPr>
                <w:sz w:val="20"/>
                <w:szCs w:val="20"/>
              </w:rPr>
              <w:t xml:space="preserve"> </w:t>
            </w:r>
            <w:r w:rsidRPr="00D337FA">
              <w:rPr>
                <w:sz w:val="20"/>
                <w:szCs w:val="20"/>
              </w:rPr>
              <w:t>широкий</w:t>
            </w:r>
            <w:r w:rsidR="006C680D" w:rsidRPr="00D337FA">
              <w:rPr>
                <w:sz w:val="20"/>
                <w:szCs w:val="20"/>
              </w:rPr>
              <w:t xml:space="preserve"> </w:t>
            </w:r>
            <w:r w:rsidRPr="00D337FA">
              <w:rPr>
                <w:sz w:val="20"/>
                <w:szCs w:val="20"/>
              </w:rPr>
              <w:t>комплекс</w:t>
            </w:r>
            <w:r w:rsidR="006C680D" w:rsidRPr="00D337FA">
              <w:rPr>
                <w:sz w:val="20"/>
                <w:szCs w:val="20"/>
              </w:rPr>
              <w:t xml:space="preserve"> </w:t>
            </w:r>
            <w:r w:rsidRPr="00D337FA">
              <w:rPr>
                <w:sz w:val="20"/>
                <w:szCs w:val="20"/>
              </w:rPr>
              <w:t>мер</w:t>
            </w:r>
            <w:r w:rsidR="006C680D" w:rsidRPr="00D337FA">
              <w:rPr>
                <w:sz w:val="20"/>
                <w:szCs w:val="20"/>
              </w:rPr>
              <w:t xml:space="preserve"> </w:t>
            </w:r>
            <w:r w:rsidRPr="00D337FA">
              <w:rPr>
                <w:sz w:val="20"/>
                <w:szCs w:val="20"/>
              </w:rPr>
              <w:t>позволил</w:t>
            </w:r>
            <w:r w:rsidR="006C680D" w:rsidRPr="00D337FA">
              <w:rPr>
                <w:sz w:val="20"/>
                <w:szCs w:val="20"/>
              </w:rPr>
              <w:t xml:space="preserve"> </w:t>
            </w:r>
            <w:r w:rsidRPr="00D337FA">
              <w:rPr>
                <w:sz w:val="20"/>
                <w:szCs w:val="20"/>
              </w:rPr>
              <w:t>создать</w:t>
            </w:r>
            <w:r w:rsidR="006C680D" w:rsidRPr="00D337FA">
              <w:rPr>
                <w:sz w:val="20"/>
                <w:szCs w:val="20"/>
              </w:rPr>
              <w:t xml:space="preserve"> </w:t>
            </w:r>
            <w:r w:rsidRPr="00D337FA">
              <w:rPr>
                <w:sz w:val="20"/>
                <w:szCs w:val="20"/>
              </w:rPr>
              <w:t>долгосрочный</w:t>
            </w:r>
            <w:r w:rsidR="006C680D" w:rsidRPr="00D337FA">
              <w:rPr>
                <w:sz w:val="20"/>
                <w:szCs w:val="20"/>
              </w:rPr>
              <w:t xml:space="preserve"> </w:t>
            </w:r>
            <w:r w:rsidRPr="00D337FA">
              <w:rPr>
                <w:sz w:val="20"/>
                <w:szCs w:val="20"/>
              </w:rPr>
              <w:t>горизонт</w:t>
            </w:r>
            <w:r w:rsidR="006C680D" w:rsidRPr="00D337FA">
              <w:rPr>
                <w:sz w:val="20"/>
                <w:szCs w:val="20"/>
              </w:rPr>
              <w:t xml:space="preserve"> </w:t>
            </w:r>
            <w:r w:rsidRPr="00D337FA">
              <w:rPr>
                <w:sz w:val="20"/>
                <w:szCs w:val="20"/>
              </w:rPr>
              <w:t>планирования,</w:t>
            </w:r>
            <w:r w:rsidR="006C680D" w:rsidRPr="00D337FA">
              <w:rPr>
                <w:sz w:val="20"/>
                <w:szCs w:val="20"/>
              </w:rPr>
              <w:t xml:space="preserve"> </w:t>
            </w:r>
            <w:r w:rsidRPr="00D337FA">
              <w:rPr>
                <w:sz w:val="20"/>
                <w:szCs w:val="20"/>
              </w:rPr>
              <w:t>как</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предпринимателей,</w:t>
            </w:r>
            <w:r w:rsidR="006C680D" w:rsidRPr="00D337FA">
              <w:rPr>
                <w:sz w:val="20"/>
                <w:szCs w:val="20"/>
              </w:rPr>
              <w:t xml:space="preserve"> </w:t>
            </w:r>
            <w:r w:rsidRPr="00D337FA">
              <w:rPr>
                <w:sz w:val="20"/>
                <w:szCs w:val="20"/>
              </w:rPr>
              <w:t>так</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инвесторов.</w:t>
            </w:r>
            <w:r w:rsidR="006C680D" w:rsidRPr="00D337FA">
              <w:rPr>
                <w:sz w:val="20"/>
                <w:szCs w:val="20"/>
              </w:rPr>
              <w:t xml:space="preserve"> </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2013</w:t>
            </w:r>
          </w:p>
        </w:tc>
        <w:tc>
          <w:tcPr>
            <w:tcW w:w="0" w:type="auto"/>
            <w:hideMark/>
          </w:tcPr>
          <w:p w:rsidR="00826D3F" w:rsidRPr="00D337FA" w:rsidRDefault="00826D3F" w:rsidP="00826D3F">
            <w:pPr>
              <w:ind w:firstLine="0"/>
              <w:rPr>
                <w:sz w:val="20"/>
                <w:szCs w:val="20"/>
              </w:rPr>
            </w:pPr>
            <w:r w:rsidRPr="00D337FA">
              <w:rPr>
                <w:sz w:val="20"/>
                <w:szCs w:val="20"/>
              </w:rPr>
              <w:t>Улучшены</w:t>
            </w:r>
            <w:r w:rsidR="006C680D" w:rsidRPr="00D337FA">
              <w:rPr>
                <w:sz w:val="20"/>
                <w:szCs w:val="20"/>
              </w:rPr>
              <w:t xml:space="preserve"> </w:t>
            </w:r>
            <w:r w:rsidRPr="00D337FA">
              <w:rPr>
                <w:sz w:val="20"/>
                <w:szCs w:val="20"/>
              </w:rPr>
              <w:t>условия</w:t>
            </w:r>
            <w:r w:rsidR="006C680D" w:rsidRPr="00D337FA">
              <w:rPr>
                <w:sz w:val="20"/>
                <w:szCs w:val="20"/>
              </w:rPr>
              <w:t xml:space="preserve"> </w:t>
            </w:r>
            <w:r w:rsidRPr="00D337FA">
              <w:rPr>
                <w:sz w:val="20"/>
                <w:szCs w:val="20"/>
              </w:rPr>
              <w:t>льготного</w:t>
            </w:r>
            <w:r w:rsidR="006C680D" w:rsidRPr="00D337FA">
              <w:rPr>
                <w:sz w:val="20"/>
                <w:szCs w:val="20"/>
              </w:rPr>
              <w:t xml:space="preserve"> </w:t>
            </w:r>
            <w:r w:rsidRPr="00D337FA">
              <w:rPr>
                <w:sz w:val="20"/>
                <w:szCs w:val="20"/>
              </w:rPr>
              <w:t>кредитования</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компенсации</w:t>
            </w:r>
            <w:r w:rsidR="006C680D" w:rsidRPr="00D337FA">
              <w:rPr>
                <w:sz w:val="20"/>
                <w:szCs w:val="20"/>
              </w:rPr>
              <w:t xml:space="preserve"> </w:t>
            </w:r>
            <w:r w:rsidRPr="00D337FA">
              <w:rPr>
                <w:sz w:val="20"/>
                <w:szCs w:val="20"/>
              </w:rPr>
              <w:t>затрат</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строительство</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племенное</w:t>
            </w:r>
            <w:r w:rsidR="006C680D" w:rsidRPr="00D337FA">
              <w:rPr>
                <w:sz w:val="20"/>
                <w:szCs w:val="20"/>
              </w:rPr>
              <w:t xml:space="preserve"> </w:t>
            </w:r>
            <w:r w:rsidRPr="00D337FA">
              <w:rPr>
                <w:sz w:val="20"/>
                <w:szCs w:val="20"/>
              </w:rPr>
              <w:t>дело,</w:t>
            </w:r>
            <w:r w:rsidR="006C680D" w:rsidRPr="00D337FA">
              <w:rPr>
                <w:sz w:val="20"/>
                <w:szCs w:val="20"/>
              </w:rPr>
              <w:t xml:space="preserve"> </w:t>
            </w:r>
            <w:r w:rsidRPr="00D337FA">
              <w:rPr>
                <w:sz w:val="20"/>
                <w:szCs w:val="20"/>
              </w:rPr>
              <w:t>поддержали</w:t>
            </w:r>
            <w:r w:rsidR="006C680D" w:rsidRPr="00D337FA">
              <w:rPr>
                <w:sz w:val="20"/>
                <w:szCs w:val="20"/>
              </w:rPr>
              <w:t xml:space="preserve"> </w:t>
            </w:r>
            <w:r w:rsidRPr="00D337FA">
              <w:rPr>
                <w:sz w:val="20"/>
                <w:szCs w:val="20"/>
              </w:rPr>
              <w:t>кооперацию</w:t>
            </w:r>
            <w:r w:rsidR="006C680D" w:rsidRPr="00D337FA">
              <w:rPr>
                <w:sz w:val="20"/>
                <w:szCs w:val="20"/>
              </w:rPr>
              <w:t xml:space="preserve"> </w:t>
            </w:r>
            <w:r w:rsidRPr="00D337FA">
              <w:rPr>
                <w:sz w:val="20"/>
                <w:szCs w:val="20"/>
              </w:rPr>
              <w:t>малых</w:t>
            </w:r>
            <w:r w:rsidR="006C680D" w:rsidRPr="00D337FA">
              <w:rPr>
                <w:sz w:val="20"/>
                <w:szCs w:val="20"/>
              </w:rPr>
              <w:t xml:space="preserve"> </w:t>
            </w:r>
            <w:r w:rsidRPr="00D337FA">
              <w:rPr>
                <w:sz w:val="20"/>
                <w:szCs w:val="20"/>
              </w:rPr>
              <w:t>форм.</w:t>
            </w:r>
            <w:r w:rsidR="006C680D" w:rsidRPr="00D337FA">
              <w:rPr>
                <w:sz w:val="20"/>
                <w:szCs w:val="20"/>
              </w:rPr>
              <w:t xml:space="preserve"> </w:t>
            </w:r>
            <w:r w:rsidRPr="00D337FA">
              <w:rPr>
                <w:sz w:val="20"/>
                <w:szCs w:val="20"/>
              </w:rPr>
              <w:t>Хозяйствам</w:t>
            </w:r>
            <w:r w:rsidR="006C680D" w:rsidRPr="00D337FA">
              <w:rPr>
                <w:sz w:val="20"/>
                <w:szCs w:val="20"/>
              </w:rPr>
              <w:t xml:space="preserve"> </w:t>
            </w:r>
            <w:r w:rsidRPr="00D337FA">
              <w:rPr>
                <w:sz w:val="20"/>
                <w:szCs w:val="20"/>
              </w:rPr>
              <w:t>стало</w:t>
            </w:r>
            <w:r w:rsidR="006C680D" w:rsidRPr="00D337FA">
              <w:rPr>
                <w:sz w:val="20"/>
                <w:szCs w:val="20"/>
              </w:rPr>
              <w:t xml:space="preserve"> </w:t>
            </w:r>
            <w:r w:rsidRPr="00D337FA">
              <w:rPr>
                <w:sz w:val="20"/>
                <w:szCs w:val="20"/>
              </w:rPr>
              <w:t>проще</w:t>
            </w:r>
            <w:r w:rsidR="006C680D" w:rsidRPr="00D337FA">
              <w:rPr>
                <w:sz w:val="20"/>
                <w:szCs w:val="20"/>
              </w:rPr>
              <w:t xml:space="preserve"> </w:t>
            </w:r>
            <w:r w:rsidRPr="00D337FA">
              <w:rPr>
                <w:sz w:val="20"/>
                <w:szCs w:val="20"/>
              </w:rPr>
              <w:t>расширять</w:t>
            </w:r>
            <w:r w:rsidR="006C680D" w:rsidRPr="00D337FA">
              <w:rPr>
                <w:sz w:val="20"/>
                <w:szCs w:val="20"/>
              </w:rPr>
              <w:t xml:space="preserve"> </w:t>
            </w:r>
            <w:r w:rsidRPr="00D337FA">
              <w:rPr>
                <w:sz w:val="20"/>
                <w:szCs w:val="20"/>
              </w:rPr>
              <w:t>производство,</w:t>
            </w:r>
            <w:r w:rsidR="006C680D" w:rsidRPr="00D337FA">
              <w:rPr>
                <w:sz w:val="20"/>
                <w:szCs w:val="20"/>
              </w:rPr>
              <w:t xml:space="preserve"> </w:t>
            </w:r>
            <w:r w:rsidRPr="00D337FA">
              <w:rPr>
                <w:sz w:val="20"/>
                <w:szCs w:val="20"/>
              </w:rPr>
              <w:t>а</w:t>
            </w:r>
            <w:r w:rsidR="006C680D" w:rsidRPr="00D337FA">
              <w:rPr>
                <w:sz w:val="20"/>
                <w:szCs w:val="20"/>
              </w:rPr>
              <w:t xml:space="preserve"> </w:t>
            </w:r>
            <w:r w:rsidRPr="00D337FA">
              <w:rPr>
                <w:sz w:val="20"/>
                <w:szCs w:val="20"/>
              </w:rPr>
              <w:t>также</w:t>
            </w:r>
            <w:r w:rsidR="006C680D" w:rsidRPr="00D337FA">
              <w:rPr>
                <w:sz w:val="20"/>
                <w:szCs w:val="20"/>
              </w:rPr>
              <w:t xml:space="preserve"> </w:t>
            </w:r>
            <w:r w:rsidRPr="00D337FA">
              <w:rPr>
                <w:sz w:val="20"/>
                <w:szCs w:val="20"/>
              </w:rPr>
              <w:t>объединяться</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снижения</w:t>
            </w:r>
            <w:r w:rsidR="006C680D" w:rsidRPr="00D337FA">
              <w:rPr>
                <w:sz w:val="20"/>
                <w:szCs w:val="20"/>
              </w:rPr>
              <w:t xml:space="preserve"> </w:t>
            </w:r>
            <w:r w:rsidRPr="00D337FA">
              <w:rPr>
                <w:sz w:val="20"/>
                <w:szCs w:val="20"/>
              </w:rPr>
              <w:t>издержек.</w:t>
            </w:r>
            <w:r w:rsidR="006C680D" w:rsidRPr="00D337FA">
              <w:rPr>
                <w:sz w:val="20"/>
                <w:szCs w:val="20"/>
              </w:rPr>
              <w:t xml:space="preserve"> </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2014</w:t>
            </w:r>
          </w:p>
        </w:tc>
        <w:tc>
          <w:tcPr>
            <w:tcW w:w="0" w:type="auto"/>
            <w:hideMark/>
          </w:tcPr>
          <w:p w:rsidR="00826D3F" w:rsidRPr="00D337FA" w:rsidRDefault="00826D3F" w:rsidP="00826D3F">
            <w:pPr>
              <w:ind w:firstLine="0"/>
              <w:rPr>
                <w:sz w:val="20"/>
                <w:szCs w:val="20"/>
              </w:rPr>
            </w:pPr>
            <w:r w:rsidRPr="00D337FA">
              <w:rPr>
                <w:sz w:val="20"/>
                <w:szCs w:val="20"/>
              </w:rPr>
              <w:t>Выбор</w:t>
            </w:r>
            <w:r w:rsidR="006C680D" w:rsidRPr="00D337FA">
              <w:rPr>
                <w:sz w:val="20"/>
                <w:szCs w:val="20"/>
              </w:rPr>
              <w:t xml:space="preserve"> </w:t>
            </w:r>
            <w:r w:rsidRPr="00D337FA">
              <w:rPr>
                <w:sz w:val="20"/>
                <w:szCs w:val="20"/>
              </w:rPr>
              <w:t>курса</w:t>
            </w:r>
            <w:r w:rsidR="006C680D" w:rsidRPr="00D337FA">
              <w:rPr>
                <w:sz w:val="20"/>
                <w:szCs w:val="20"/>
              </w:rPr>
              <w:t xml:space="preserve"> </w:t>
            </w:r>
            <w:r w:rsidRPr="00D337FA">
              <w:rPr>
                <w:sz w:val="20"/>
                <w:szCs w:val="20"/>
              </w:rPr>
              <w:t>развития</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импортозамещение</w:t>
            </w:r>
            <w:r w:rsidR="006C680D" w:rsidRPr="00D337FA">
              <w:rPr>
                <w:sz w:val="20"/>
                <w:szCs w:val="20"/>
              </w:rPr>
              <w:t xml:space="preserve"> </w:t>
            </w:r>
            <w:r w:rsidRPr="00D337FA">
              <w:rPr>
                <w:sz w:val="20"/>
                <w:szCs w:val="20"/>
              </w:rPr>
              <w:t>ввиду</w:t>
            </w:r>
            <w:r w:rsidR="006C680D" w:rsidRPr="00D337FA">
              <w:rPr>
                <w:sz w:val="20"/>
                <w:szCs w:val="20"/>
              </w:rPr>
              <w:t xml:space="preserve"> </w:t>
            </w:r>
            <w:r w:rsidRPr="00D337FA">
              <w:rPr>
                <w:sz w:val="20"/>
                <w:szCs w:val="20"/>
              </w:rPr>
              <w:t>введения</w:t>
            </w:r>
            <w:r w:rsidR="006C680D" w:rsidRPr="00D337FA">
              <w:rPr>
                <w:sz w:val="20"/>
                <w:szCs w:val="20"/>
              </w:rPr>
              <w:t xml:space="preserve"> </w:t>
            </w:r>
            <w:r w:rsidRPr="00D337FA">
              <w:rPr>
                <w:sz w:val="20"/>
                <w:szCs w:val="20"/>
              </w:rPr>
              <w:t>продовольственного</w:t>
            </w:r>
            <w:r w:rsidR="006C680D" w:rsidRPr="00D337FA">
              <w:rPr>
                <w:sz w:val="20"/>
                <w:szCs w:val="20"/>
              </w:rPr>
              <w:t xml:space="preserve"> </w:t>
            </w:r>
            <w:r w:rsidRPr="00D337FA">
              <w:rPr>
                <w:sz w:val="20"/>
                <w:szCs w:val="20"/>
              </w:rPr>
              <w:t>эмбарго</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расширения</w:t>
            </w:r>
            <w:r w:rsidR="006C680D" w:rsidRPr="00D337FA">
              <w:rPr>
                <w:sz w:val="20"/>
                <w:szCs w:val="20"/>
              </w:rPr>
              <w:t xml:space="preserve"> </w:t>
            </w:r>
            <w:r w:rsidRPr="00D337FA">
              <w:rPr>
                <w:sz w:val="20"/>
                <w:szCs w:val="20"/>
              </w:rPr>
              <w:t>господдержки</w:t>
            </w:r>
            <w:r w:rsidR="006C680D" w:rsidRPr="00D337FA">
              <w:rPr>
                <w:sz w:val="20"/>
                <w:szCs w:val="20"/>
              </w:rPr>
              <w:t xml:space="preserve"> </w:t>
            </w:r>
            <w:r w:rsidRPr="00D337FA">
              <w:rPr>
                <w:sz w:val="20"/>
                <w:szCs w:val="20"/>
              </w:rPr>
              <w:t>по</w:t>
            </w:r>
            <w:r w:rsidR="006C680D" w:rsidRPr="00D337FA">
              <w:rPr>
                <w:sz w:val="20"/>
                <w:szCs w:val="20"/>
              </w:rPr>
              <w:t xml:space="preserve"> </w:t>
            </w:r>
            <w:r w:rsidRPr="00D337FA">
              <w:rPr>
                <w:sz w:val="20"/>
                <w:szCs w:val="20"/>
              </w:rPr>
              <w:t>ключевым</w:t>
            </w:r>
            <w:r w:rsidR="006C680D" w:rsidRPr="00D337FA">
              <w:rPr>
                <w:sz w:val="20"/>
                <w:szCs w:val="20"/>
              </w:rPr>
              <w:t xml:space="preserve"> </w:t>
            </w:r>
            <w:r w:rsidRPr="00D337FA">
              <w:rPr>
                <w:sz w:val="20"/>
                <w:szCs w:val="20"/>
              </w:rPr>
              <w:t>направлениям</w:t>
            </w:r>
            <w:r w:rsidR="006C680D" w:rsidRPr="00D337FA">
              <w:rPr>
                <w:sz w:val="20"/>
                <w:szCs w:val="20"/>
              </w:rPr>
              <w:t xml:space="preserve"> </w:t>
            </w:r>
            <w:r w:rsidRPr="00D337FA">
              <w:rPr>
                <w:sz w:val="20"/>
                <w:szCs w:val="20"/>
              </w:rPr>
              <w:t>(семена,</w:t>
            </w:r>
            <w:r w:rsidR="006C680D" w:rsidRPr="00D337FA">
              <w:rPr>
                <w:sz w:val="20"/>
                <w:szCs w:val="20"/>
              </w:rPr>
              <w:t xml:space="preserve"> </w:t>
            </w:r>
            <w:r w:rsidRPr="00D337FA">
              <w:rPr>
                <w:sz w:val="20"/>
                <w:szCs w:val="20"/>
              </w:rPr>
              <w:t>племенная</w:t>
            </w:r>
            <w:r w:rsidR="006C680D" w:rsidRPr="00D337FA">
              <w:rPr>
                <w:sz w:val="20"/>
                <w:szCs w:val="20"/>
              </w:rPr>
              <w:t xml:space="preserve"> </w:t>
            </w:r>
            <w:r w:rsidRPr="00D337FA">
              <w:rPr>
                <w:sz w:val="20"/>
                <w:szCs w:val="20"/>
              </w:rPr>
              <w:t>база,</w:t>
            </w:r>
            <w:r w:rsidR="006C680D" w:rsidRPr="00D337FA">
              <w:rPr>
                <w:sz w:val="20"/>
                <w:szCs w:val="20"/>
              </w:rPr>
              <w:t xml:space="preserve"> </w:t>
            </w:r>
            <w:r w:rsidRPr="00D337FA">
              <w:rPr>
                <w:sz w:val="20"/>
                <w:szCs w:val="20"/>
              </w:rPr>
              <w:t>техника).</w:t>
            </w:r>
            <w:r w:rsidR="006C680D" w:rsidRPr="00D337FA">
              <w:rPr>
                <w:sz w:val="20"/>
                <w:szCs w:val="20"/>
              </w:rPr>
              <w:t xml:space="preserve"> </w:t>
            </w:r>
            <w:r w:rsidRPr="00D337FA">
              <w:rPr>
                <w:sz w:val="20"/>
                <w:szCs w:val="20"/>
              </w:rPr>
              <w:t>Как</w:t>
            </w:r>
            <w:r w:rsidR="006C680D" w:rsidRPr="00D337FA">
              <w:rPr>
                <w:sz w:val="20"/>
                <w:szCs w:val="20"/>
              </w:rPr>
              <w:t xml:space="preserve"> </w:t>
            </w:r>
            <w:r w:rsidRPr="00D337FA">
              <w:rPr>
                <w:sz w:val="20"/>
                <w:szCs w:val="20"/>
              </w:rPr>
              <w:t>следствие</w:t>
            </w:r>
            <w:r w:rsidR="006C680D" w:rsidRPr="00D337FA">
              <w:rPr>
                <w:sz w:val="20"/>
                <w:szCs w:val="20"/>
              </w:rPr>
              <w:t xml:space="preserve"> </w:t>
            </w:r>
            <w:r w:rsidRPr="00D337FA">
              <w:rPr>
                <w:sz w:val="20"/>
                <w:szCs w:val="20"/>
              </w:rPr>
              <w:t>–</w:t>
            </w:r>
            <w:r w:rsidR="006C680D" w:rsidRPr="00D337FA">
              <w:rPr>
                <w:sz w:val="20"/>
                <w:szCs w:val="20"/>
              </w:rPr>
              <w:t xml:space="preserve"> </w:t>
            </w:r>
            <w:r w:rsidRPr="00D337FA">
              <w:rPr>
                <w:sz w:val="20"/>
                <w:szCs w:val="20"/>
              </w:rPr>
              <w:t>активизация</w:t>
            </w:r>
            <w:r w:rsidR="006C680D" w:rsidRPr="00D337FA">
              <w:rPr>
                <w:sz w:val="20"/>
                <w:szCs w:val="20"/>
              </w:rPr>
              <w:t xml:space="preserve"> </w:t>
            </w:r>
            <w:r w:rsidRPr="00D337FA">
              <w:rPr>
                <w:sz w:val="20"/>
                <w:szCs w:val="20"/>
              </w:rPr>
              <w:t>отечественных</w:t>
            </w:r>
            <w:r w:rsidR="006C680D" w:rsidRPr="00D337FA">
              <w:rPr>
                <w:sz w:val="20"/>
                <w:szCs w:val="20"/>
              </w:rPr>
              <w:t xml:space="preserve"> </w:t>
            </w:r>
            <w:r w:rsidRPr="00D337FA">
              <w:rPr>
                <w:sz w:val="20"/>
                <w:szCs w:val="20"/>
              </w:rPr>
              <w:t>проектов</w:t>
            </w:r>
            <w:r w:rsidR="006C680D" w:rsidRPr="00D337FA">
              <w:rPr>
                <w:sz w:val="20"/>
                <w:szCs w:val="20"/>
              </w:rPr>
              <w:t xml:space="preserve"> </w:t>
            </w:r>
            <w:r w:rsidRPr="00D337FA">
              <w:rPr>
                <w:sz w:val="20"/>
                <w:szCs w:val="20"/>
              </w:rPr>
              <w:t>области</w:t>
            </w:r>
            <w:r w:rsidR="006C680D" w:rsidRPr="00D337FA">
              <w:rPr>
                <w:sz w:val="20"/>
                <w:szCs w:val="20"/>
              </w:rPr>
              <w:t xml:space="preserve"> </w:t>
            </w:r>
            <w:r w:rsidRPr="00D337FA">
              <w:rPr>
                <w:sz w:val="20"/>
                <w:szCs w:val="20"/>
              </w:rPr>
              <w:t>производства</w:t>
            </w:r>
            <w:r w:rsidR="006C680D" w:rsidRPr="00D337FA">
              <w:rPr>
                <w:sz w:val="20"/>
                <w:szCs w:val="20"/>
              </w:rPr>
              <w:t xml:space="preserve"> </w:t>
            </w:r>
            <w:r w:rsidRPr="00D337FA">
              <w:rPr>
                <w:sz w:val="20"/>
                <w:szCs w:val="20"/>
              </w:rPr>
              <w:t>необходимых</w:t>
            </w:r>
            <w:r w:rsidR="006C680D" w:rsidRPr="00D337FA">
              <w:rPr>
                <w:sz w:val="20"/>
                <w:szCs w:val="20"/>
              </w:rPr>
              <w:t xml:space="preserve"> </w:t>
            </w:r>
            <w:r w:rsidRPr="00D337FA">
              <w:rPr>
                <w:sz w:val="20"/>
                <w:szCs w:val="20"/>
              </w:rPr>
              <w:t>компонентов</w:t>
            </w:r>
            <w:r w:rsidR="006C680D" w:rsidRPr="00D337FA">
              <w:rPr>
                <w:sz w:val="20"/>
                <w:szCs w:val="20"/>
              </w:rPr>
              <w:t xml:space="preserve"> </w:t>
            </w:r>
            <w:r w:rsidRPr="00D337FA">
              <w:rPr>
                <w:sz w:val="20"/>
                <w:szCs w:val="20"/>
              </w:rPr>
              <w:t>АПК</w:t>
            </w:r>
            <w:r w:rsidR="006C680D" w:rsidRPr="00D337FA">
              <w:rPr>
                <w:sz w:val="20"/>
                <w:szCs w:val="20"/>
              </w:rPr>
              <w:t xml:space="preserve"> </w:t>
            </w:r>
            <w:r w:rsidRPr="00D337FA">
              <w:rPr>
                <w:sz w:val="20"/>
                <w:szCs w:val="20"/>
              </w:rPr>
              <w:t>по</w:t>
            </w:r>
            <w:r w:rsidR="006C680D" w:rsidRPr="00D337FA">
              <w:rPr>
                <w:sz w:val="20"/>
                <w:szCs w:val="20"/>
              </w:rPr>
              <w:t xml:space="preserve"> </w:t>
            </w:r>
            <w:r w:rsidRPr="00D337FA">
              <w:rPr>
                <w:sz w:val="20"/>
                <w:szCs w:val="20"/>
              </w:rPr>
              <w:t>всем</w:t>
            </w:r>
            <w:r w:rsidR="006C680D" w:rsidRPr="00D337FA">
              <w:rPr>
                <w:sz w:val="20"/>
                <w:szCs w:val="20"/>
              </w:rPr>
              <w:t xml:space="preserve"> </w:t>
            </w:r>
            <w:r w:rsidRPr="00D337FA">
              <w:rPr>
                <w:sz w:val="20"/>
                <w:szCs w:val="20"/>
              </w:rPr>
              <w:t>ключевым</w:t>
            </w:r>
            <w:r w:rsidR="006C680D" w:rsidRPr="00D337FA">
              <w:rPr>
                <w:sz w:val="20"/>
                <w:szCs w:val="20"/>
              </w:rPr>
              <w:t xml:space="preserve"> </w:t>
            </w:r>
            <w:r w:rsidRPr="00D337FA">
              <w:rPr>
                <w:sz w:val="20"/>
                <w:szCs w:val="20"/>
              </w:rPr>
              <w:t>направлениям.</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2015</w:t>
            </w:r>
          </w:p>
        </w:tc>
        <w:tc>
          <w:tcPr>
            <w:tcW w:w="0" w:type="auto"/>
            <w:hideMark/>
          </w:tcPr>
          <w:p w:rsidR="00826D3F" w:rsidRPr="00D337FA" w:rsidRDefault="00826D3F" w:rsidP="00826D3F">
            <w:pPr>
              <w:ind w:firstLine="0"/>
              <w:rPr>
                <w:sz w:val="20"/>
                <w:szCs w:val="20"/>
              </w:rPr>
            </w:pPr>
            <w:r w:rsidRPr="00D337FA">
              <w:rPr>
                <w:sz w:val="20"/>
                <w:szCs w:val="20"/>
              </w:rPr>
              <w:t>Увеличение</w:t>
            </w:r>
            <w:r w:rsidR="006C680D" w:rsidRPr="00D337FA">
              <w:rPr>
                <w:sz w:val="20"/>
                <w:szCs w:val="20"/>
              </w:rPr>
              <w:t xml:space="preserve"> </w:t>
            </w:r>
            <w:r w:rsidRPr="00D337FA">
              <w:rPr>
                <w:sz w:val="20"/>
                <w:szCs w:val="20"/>
              </w:rPr>
              <w:t>бюджетных</w:t>
            </w:r>
            <w:r w:rsidR="006C680D" w:rsidRPr="00D337FA">
              <w:rPr>
                <w:sz w:val="20"/>
                <w:szCs w:val="20"/>
              </w:rPr>
              <w:t xml:space="preserve"> </w:t>
            </w:r>
            <w:r w:rsidRPr="00D337FA">
              <w:rPr>
                <w:sz w:val="20"/>
                <w:szCs w:val="20"/>
              </w:rPr>
              <w:t>ассигнований</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стимулирование</w:t>
            </w:r>
            <w:r w:rsidR="006C680D" w:rsidRPr="00D337FA">
              <w:rPr>
                <w:sz w:val="20"/>
                <w:szCs w:val="20"/>
              </w:rPr>
              <w:t xml:space="preserve"> </w:t>
            </w:r>
            <w:r w:rsidRPr="00D337FA">
              <w:rPr>
                <w:sz w:val="20"/>
                <w:szCs w:val="20"/>
              </w:rPr>
              <w:t>технологической</w:t>
            </w:r>
            <w:r w:rsidR="006C680D" w:rsidRPr="00D337FA">
              <w:rPr>
                <w:sz w:val="20"/>
                <w:szCs w:val="20"/>
              </w:rPr>
              <w:t xml:space="preserve"> </w:t>
            </w:r>
            <w:r w:rsidRPr="00D337FA">
              <w:rPr>
                <w:sz w:val="20"/>
                <w:szCs w:val="20"/>
              </w:rPr>
              <w:t>адаптации</w:t>
            </w:r>
            <w:r w:rsidR="006C680D" w:rsidRPr="00D337FA">
              <w:rPr>
                <w:sz w:val="20"/>
                <w:szCs w:val="20"/>
              </w:rPr>
              <w:t xml:space="preserve"> </w:t>
            </w:r>
            <w:r w:rsidRPr="00D337FA">
              <w:rPr>
                <w:sz w:val="20"/>
                <w:szCs w:val="20"/>
              </w:rPr>
              <w:t>к</w:t>
            </w:r>
            <w:r w:rsidR="006C680D" w:rsidRPr="00D337FA">
              <w:rPr>
                <w:sz w:val="20"/>
                <w:szCs w:val="20"/>
              </w:rPr>
              <w:t xml:space="preserve"> </w:t>
            </w:r>
            <w:r w:rsidRPr="00D337FA">
              <w:rPr>
                <w:sz w:val="20"/>
                <w:szCs w:val="20"/>
              </w:rPr>
              <w:t>новым</w:t>
            </w:r>
            <w:r w:rsidR="006C680D" w:rsidRPr="00D337FA">
              <w:rPr>
                <w:sz w:val="20"/>
                <w:szCs w:val="20"/>
              </w:rPr>
              <w:t xml:space="preserve"> </w:t>
            </w:r>
            <w:r w:rsidRPr="00D337FA">
              <w:rPr>
                <w:sz w:val="20"/>
                <w:szCs w:val="20"/>
              </w:rPr>
              <w:t>геополитическим</w:t>
            </w:r>
            <w:r w:rsidR="006C680D" w:rsidRPr="00D337FA">
              <w:rPr>
                <w:sz w:val="20"/>
                <w:szCs w:val="20"/>
              </w:rPr>
              <w:t xml:space="preserve"> </w:t>
            </w:r>
            <w:r w:rsidRPr="00D337FA">
              <w:rPr>
                <w:sz w:val="20"/>
                <w:szCs w:val="20"/>
              </w:rPr>
              <w:t>условиям.</w:t>
            </w:r>
            <w:r w:rsidR="006C680D" w:rsidRPr="00D337FA">
              <w:rPr>
                <w:sz w:val="20"/>
                <w:szCs w:val="20"/>
              </w:rPr>
              <w:t xml:space="preserve"> </w:t>
            </w:r>
            <w:r w:rsidRPr="00D337FA">
              <w:rPr>
                <w:sz w:val="20"/>
                <w:szCs w:val="20"/>
              </w:rPr>
              <w:t>Использование</w:t>
            </w:r>
            <w:r w:rsidR="006C680D" w:rsidRPr="00D337FA">
              <w:rPr>
                <w:sz w:val="20"/>
                <w:szCs w:val="20"/>
              </w:rPr>
              <w:t xml:space="preserve"> </w:t>
            </w:r>
            <w:r w:rsidRPr="00D337FA">
              <w:rPr>
                <w:sz w:val="20"/>
                <w:szCs w:val="20"/>
              </w:rPr>
              <w:t>новых</w:t>
            </w:r>
            <w:r w:rsidR="006C680D" w:rsidRPr="00D337FA">
              <w:rPr>
                <w:sz w:val="20"/>
                <w:szCs w:val="20"/>
              </w:rPr>
              <w:t xml:space="preserve"> </w:t>
            </w:r>
            <w:r w:rsidRPr="00D337FA">
              <w:rPr>
                <w:sz w:val="20"/>
                <w:szCs w:val="20"/>
              </w:rPr>
              <w:t>технологических</w:t>
            </w:r>
            <w:r w:rsidR="006C680D" w:rsidRPr="00D337FA">
              <w:rPr>
                <w:sz w:val="20"/>
                <w:szCs w:val="20"/>
              </w:rPr>
              <w:t xml:space="preserve"> </w:t>
            </w:r>
            <w:r w:rsidRPr="00D337FA">
              <w:rPr>
                <w:sz w:val="20"/>
                <w:szCs w:val="20"/>
              </w:rPr>
              <w:t>решений,</w:t>
            </w:r>
            <w:r w:rsidR="006C680D" w:rsidRPr="00D337FA">
              <w:rPr>
                <w:sz w:val="20"/>
                <w:szCs w:val="20"/>
              </w:rPr>
              <w:t xml:space="preserve"> </w:t>
            </w:r>
            <w:r w:rsidRPr="00D337FA">
              <w:rPr>
                <w:sz w:val="20"/>
                <w:szCs w:val="20"/>
              </w:rPr>
              <w:t>как</w:t>
            </w:r>
            <w:r w:rsidR="006C680D" w:rsidRPr="00D337FA">
              <w:rPr>
                <w:sz w:val="20"/>
                <w:szCs w:val="20"/>
              </w:rPr>
              <w:t xml:space="preserve"> </w:t>
            </w:r>
            <w:r w:rsidRPr="00D337FA">
              <w:rPr>
                <w:sz w:val="20"/>
                <w:szCs w:val="20"/>
              </w:rPr>
              <w:t>правило,</w:t>
            </w:r>
            <w:r w:rsidR="006C680D" w:rsidRPr="00D337FA">
              <w:rPr>
                <w:sz w:val="20"/>
                <w:szCs w:val="20"/>
              </w:rPr>
              <w:t xml:space="preserve"> </w:t>
            </w:r>
            <w:r w:rsidRPr="00D337FA">
              <w:rPr>
                <w:sz w:val="20"/>
                <w:szCs w:val="20"/>
              </w:rPr>
              <w:t>отечественных.</w:t>
            </w:r>
            <w:r w:rsidR="006C680D" w:rsidRPr="00D337FA">
              <w:rPr>
                <w:sz w:val="20"/>
                <w:szCs w:val="20"/>
              </w:rPr>
              <w:t xml:space="preserve"> </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2016</w:t>
            </w:r>
          </w:p>
        </w:tc>
        <w:tc>
          <w:tcPr>
            <w:tcW w:w="0" w:type="auto"/>
            <w:hideMark/>
          </w:tcPr>
          <w:p w:rsidR="00826D3F" w:rsidRPr="00D337FA" w:rsidRDefault="00826D3F" w:rsidP="00826D3F">
            <w:pPr>
              <w:ind w:firstLine="0"/>
              <w:rPr>
                <w:sz w:val="20"/>
                <w:szCs w:val="20"/>
              </w:rPr>
            </w:pPr>
            <w:r w:rsidRPr="00D337FA">
              <w:rPr>
                <w:sz w:val="20"/>
                <w:szCs w:val="20"/>
              </w:rPr>
              <w:t>Сделали</w:t>
            </w:r>
            <w:r w:rsidR="006C680D" w:rsidRPr="00D337FA">
              <w:rPr>
                <w:sz w:val="20"/>
                <w:szCs w:val="20"/>
              </w:rPr>
              <w:t xml:space="preserve"> </w:t>
            </w:r>
            <w:r w:rsidRPr="00D337FA">
              <w:rPr>
                <w:sz w:val="20"/>
                <w:szCs w:val="20"/>
              </w:rPr>
              <w:t>субсидии</w:t>
            </w:r>
            <w:r w:rsidR="006C680D" w:rsidRPr="00D337FA">
              <w:rPr>
                <w:sz w:val="20"/>
                <w:szCs w:val="20"/>
              </w:rPr>
              <w:t xml:space="preserve"> </w:t>
            </w:r>
            <w:r w:rsidRPr="00D337FA">
              <w:rPr>
                <w:sz w:val="20"/>
                <w:szCs w:val="20"/>
              </w:rPr>
              <w:t>более</w:t>
            </w:r>
            <w:r w:rsidR="006C680D" w:rsidRPr="00D337FA">
              <w:rPr>
                <w:sz w:val="20"/>
                <w:szCs w:val="20"/>
              </w:rPr>
              <w:t xml:space="preserve"> </w:t>
            </w:r>
            <w:r w:rsidRPr="00D337FA">
              <w:rPr>
                <w:sz w:val="20"/>
                <w:szCs w:val="20"/>
              </w:rPr>
              <w:t>адресными,</w:t>
            </w:r>
            <w:r w:rsidR="006C680D" w:rsidRPr="00D337FA">
              <w:rPr>
                <w:sz w:val="20"/>
                <w:szCs w:val="20"/>
              </w:rPr>
              <w:t xml:space="preserve"> </w:t>
            </w:r>
            <w:r w:rsidRPr="00D337FA">
              <w:rPr>
                <w:sz w:val="20"/>
                <w:szCs w:val="20"/>
              </w:rPr>
              <w:t>усилили</w:t>
            </w:r>
            <w:r w:rsidR="006C680D" w:rsidRPr="00D337FA">
              <w:rPr>
                <w:sz w:val="20"/>
                <w:szCs w:val="20"/>
              </w:rPr>
              <w:t xml:space="preserve"> </w:t>
            </w:r>
            <w:r w:rsidRPr="00D337FA">
              <w:rPr>
                <w:sz w:val="20"/>
                <w:szCs w:val="20"/>
              </w:rPr>
              <w:t>поддержку</w:t>
            </w:r>
            <w:r w:rsidR="006C680D" w:rsidRPr="00D337FA">
              <w:rPr>
                <w:sz w:val="20"/>
                <w:szCs w:val="20"/>
              </w:rPr>
              <w:t xml:space="preserve"> </w:t>
            </w:r>
            <w:r w:rsidRPr="00D337FA">
              <w:rPr>
                <w:sz w:val="20"/>
                <w:szCs w:val="20"/>
              </w:rPr>
              <w:t>племенной</w:t>
            </w:r>
            <w:r w:rsidR="006C680D" w:rsidRPr="00D337FA">
              <w:rPr>
                <w:sz w:val="20"/>
                <w:szCs w:val="20"/>
              </w:rPr>
              <w:t xml:space="preserve"> </w:t>
            </w:r>
            <w:r w:rsidRPr="00D337FA">
              <w:rPr>
                <w:sz w:val="20"/>
                <w:szCs w:val="20"/>
              </w:rPr>
              <w:t>работы</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глубокой</w:t>
            </w:r>
            <w:r w:rsidR="006C680D" w:rsidRPr="00D337FA">
              <w:rPr>
                <w:sz w:val="20"/>
                <w:szCs w:val="20"/>
              </w:rPr>
              <w:t xml:space="preserve"> </w:t>
            </w:r>
            <w:r w:rsidRPr="00D337FA">
              <w:rPr>
                <w:sz w:val="20"/>
                <w:szCs w:val="20"/>
              </w:rPr>
              <w:t>переработки.</w:t>
            </w:r>
            <w:r w:rsidR="006C680D" w:rsidRPr="00D337FA">
              <w:rPr>
                <w:sz w:val="20"/>
                <w:szCs w:val="20"/>
              </w:rPr>
              <w:t xml:space="preserve"> </w:t>
            </w:r>
            <w:r w:rsidRPr="00D337FA">
              <w:rPr>
                <w:sz w:val="20"/>
                <w:szCs w:val="20"/>
              </w:rPr>
              <w:t>Проекты</w:t>
            </w:r>
            <w:r w:rsidR="006C680D" w:rsidRPr="00D337FA">
              <w:rPr>
                <w:sz w:val="20"/>
                <w:szCs w:val="20"/>
              </w:rPr>
              <w:t xml:space="preserve"> </w:t>
            </w:r>
            <w:r w:rsidRPr="00D337FA">
              <w:rPr>
                <w:sz w:val="20"/>
                <w:szCs w:val="20"/>
              </w:rPr>
              <w:t>стали</w:t>
            </w:r>
            <w:r w:rsidR="006C680D" w:rsidRPr="00D337FA">
              <w:rPr>
                <w:sz w:val="20"/>
                <w:szCs w:val="20"/>
              </w:rPr>
              <w:t xml:space="preserve"> </w:t>
            </w:r>
            <w:r w:rsidRPr="00D337FA">
              <w:rPr>
                <w:sz w:val="20"/>
                <w:szCs w:val="20"/>
              </w:rPr>
              <w:t>проходить</w:t>
            </w:r>
            <w:r w:rsidR="006C680D" w:rsidRPr="00D337FA">
              <w:rPr>
                <w:sz w:val="20"/>
                <w:szCs w:val="20"/>
              </w:rPr>
              <w:t xml:space="preserve"> </w:t>
            </w:r>
            <w:r w:rsidRPr="00D337FA">
              <w:rPr>
                <w:sz w:val="20"/>
                <w:szCs w:val="20"/>
              </w:rPr>
              <w:t>более</w:t>
            </w:r>
            <w:r w:rsidR="006C680D" w:rsidRPr="00D337FA">
              <w:rPr>
                <w:sz w:val="20"/>
                <w:szCs w:val="20"/>
              </w:rPr>
              <w:t xml:space="preserve"> </w:t>
            </w:r>
            <w:r w:rsidRPr="00D337FA">
              <w:rPr>
                <w:sz w:val="20"/>
                <w:szCs w:val="20"/>
              </w:rPr>
              <w:t>тщательный</w:t>
            </w:r>
            <w:r w:rsidR="006C680D" w:rsidRPr="00D337FA">
              <w:rPr>
                <w:sz w:val="20"/>
                <w:szCs w:val="20"/>
              </w:rPr>
              <w:t xml:space="preserve"> </w:t>
            </w:r>
            <w:r w:rsidRPr="00D337FA">
              <w:rPr>
                <w:sz w:val="20"/>
                <w:szCs w:val="20"/>
              </w:rPr>
              <w:t>отбор</w:t>
            </w:r>
            <w:r w:rsidR="006C680D" w:rsidRPr="00D337FA">
              <w:rPr>
                <w:sz w:val="20"/>
                <w:szCs w:val="20"/>
              </w:rPr>
              <w:t xml:space="preserve"> </w:t>
            </w:r>
            <w:r w:rsidRPr="00D337FA">
              <w:rPr>
                <w:sz w:val="20"/>
                <w:szCs w:val="20"/>
              </w:rPr>
              <w:t>исходя</w:t>
            </w:r>
            <w:r w:rsidR="006C680D" w:rsidRPr="00D337FA">
              <w:rPr>
                <w:sz w:val="20"/>
                <w:szCs w:val="20"/>
              </w:rPr>
              <w:t xml:space="preserve"> </w:t>
            </w:r>
            <w:r w:rsidRPr="00D337FA">
              <w:rPr>
                <w:sz w:val="20"/>
                <w:szCs w:val="20"/>
              </w:rPr>
              <w:t>из</w:t>
            </w:r>
            <w:r w:rsidR="006C680D" w:rsidRPr="00D337FA">
              <w:rPr>
                <w:sz w:val="20"/>
                <w:szCs w:val="20"/>
              </w:rPr>
              <w:t xml:space="preserve"> </w:t>
            </w:r>
            <w:r w:rsidRPr="00D337FA">
              <w:rPr>
                <w:sz w:val="20"/>
                <w:szCs w:val="20"/>
              </w:rPr>
              <w:t>их</w:t>
            </w:r>
            <w:r w:rsidR="006C680D" w:rsidRPr="00D337FA">
              <w:rPr>
                <w:sz w:val="20"/>
                <w:szCs w:val="20"/>
              </w:rPr>
              <w:t xml:space="preserve"> </w:t>
            </w:r>
            <w:r w:rsidRPr="00D337FA">
              <w:rPr>
                <w:sz w:val="20"/>
                <w:szCs w:val="20"/>
              </w:rPr>
              <w:t>конечной</w:t>
            </w:r>
            <w:r w:rsidR="006C680D" w:rsidRPr="00D337FA">
              <w:rPr>
                <w:sz w:val="20"/>
                <w:szCs w:val="20"/>
              </w:rPr>
              <w:t xml:space="preserve"> </w:t>
            </w:r>
            <w:r w:rsidRPr="00D337FA">
              <w:rPr>
                <w:sz w:val="20"/>
                <w:szCs w:val="20"/>
              </w:rPr>
              <w:t>эффективности</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снижения</w:t>
            </w:r>
            <w:r w:rsidR="006C680D" w:rsidRPr="00D337FA">
              <w:rPr>
                <w:sz w:val="20"/>
                <w:szCs w:val="20"/>
              </w:rPr>
              <w:t xml:space="preserve"> </w:t>
            </w:r>
            <w:r w:rsidRPr="00D337FA">
              <w:rPr>
                <w:sz w:val="20"/>
                <w:szCs w:val="20"/>
              </w:rPr>
              <w:t>«размывания»</w:t>
            </w:r>
            <w:r w:rsidR="006C680D" w:rsidRPr="00D337FA">
              <w:rPr>
                <w:sz w:val="20"/>
                <w:szCs w:val="20"/>
              </w:rPr>
              <w:t xml:space="preserve"> </w:t>
            </w:r>
            <w:r w:rsidRPr="00D337FA">
              <w:rPr>
                <w:sz w:val="20"/>
                <w:szCs w:val="20"/>
              </w:rPr>
              <w:t>их</w:t>
            </w:r>
            <w:r w:rsidR="006C680D" w:rsidRPr="00D337FA">
              <w:rPr>
                <w:sz w:val="20"/>
                <w:szCs w:val="20"/>
              </w:rPr>
              <w:t xml:space="preserve"> </w:t>
            </w:r>
            <w:r w:rsidRPr="00D337FA">
              <w:rPr>
                <w:sz w:val="20"/>
                <w:szCs w:val="20"/>
              </w:rPr>
              <w:t>конечной</w:t>
            </w:r>
            <w:r w:rsidR="006C680D" w:rsidRPr="00D337FA">
              <w:rPr>
                <w:sz w:val="20"/>
                <w:szCs w:val="20"/>
              </w:rPr>
              <w:t xml:space="preserve"> </w:t>
            </w:r>
            <w:r w:rsidRPr="00D337FA">
              <w:rPr>
                <w:sz w:val="20"/>
                <w:szCs w:val="20"/>
              </w:rPr>
              <w:t>помощи.</w:t>
            </w:r>
            <w:r w:rsidR="006C680D" w:rsidRPr="00D337FA">
              <w:rPr>
                <w:sz w:val="20"/>
                <w:szCs w:val="20"/>
              </w:rPr>
              <w:t xml:space="preserve"> </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2017</w:t>
            </w:r>
          </w:p>
        </w:tc>
        <w:tc>
          <w:tcPr>
            <w:tcW w:w="0" w:type="auto"/>
            <w:hideMark/>
          </w:tcPr>
          <w:p w:rsidR="00826D3F" w:rsidRPr="00D337FA" w:rsidRDefault="00826D3F" w:rsidP="00826D3F">
            <w:pPr>
              <w:ind w:firstLine="0"/>
              <w:rPr>
                <w:sz w:val="20"/>
                <w:szCs w:val="20"/>
              </w:rPr>
            </w:pPr>
            <w:r w:rsidRPr="00D337FA">
              <w:rPr>
                <w:sz w:val="20"/>
                <w:szCs w:val="20"/>
              </w:rPr>
              <w:t>Появился</w:t>
            </w:r>
            <w:r w:rsidR="006C680D" w:rsidRPr="00D337FA">
              <w:rPr>
                <w:sz w:val="20"/>
                <w:szCs w:val="20"/>
              </w:rPr>
              <w:t xml:space="preserve"> </w:t>
            </w:r>
            <w:r w:rsidRPr="00D337FA">
              <w:rPr>
                <w:sz w:val="20"/>
                <w:szCs w:val="20"/>
              </w:rPr>
              <w:t>фокус</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экспорт</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области</w:t>
            </w:r>
            <w:r w:rsidR="006C680D" w:rsidRPr="00D337FA">
              <w:rPr>
                <w:sz w:val="20"/>
                <w:szCs w:val="20"/>
              </w:rPr>
              <w:t xml:space="preserve"> </w:t>
            </w:r>
            <w:r w:rsidRPr="00D337FA">
              <w:rPr>
                <w:sz w:val="20"/>
                <w:szCs w:val="20"/>
              </w:rPr>
              <w:t>логистики,</w:t>
            </w:r>
            <w:r w:rsidR="006C680D" w:rsidRPr="00D337FA">
              <w:rPr>
                <w:sz w:val="20"/>
                <w:szCs w:val="20"/>
              </w:rPr>
              <w:t xml:space="preserve"> </w:t>
            </w:r>
            <w:r w:rsidRPr="00D337FA">
              <w:rPr>
                <w:sz w:val="20"/>
                <w:szCs w:val="20"/>
              </w:rPr>
              <w:t>сертификации,</w:t>
            </w:r>
            <w:r w:rsidR="006C680D" w:rsidRPr="00D337FA">
              <w:rPr>
                <w:sz w:val="20"/>
                <w:szCs w:val="20"/>
              </w:rPr>
              <w:t xml:space="preserve"> </w:t>
            </w:r>
            <w:r w:rsidRPr="00D337FA">
              <w:rPr>
                <w:sz w:val="20"/>
                <w:szCs w:val="20"/>
              </w:rPr>
              <w:t>продвижения</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внешних</w:t>
            </w:r>
            <w:r w:rsidR="006C680D" w:rsidRPr="00D337FA">
              <w:rPr>
                <w:sz w:val="20"/>
                <w:szCs w:val="20"/>
              </w:rPr>
              <w:t xml:space="preserve"> </w:t>
            </w:r>
            <w:r w:rsidRPr="00D337FA">
              <w:rPr>
                <w:sz w:val="20"/>
                <w:szCs w:val="20"/>
              </w:rPr>
              <w:t>рынках,</w:t>
            </w:r>
            <w:r w:rsidR="006C680D" w:rsidRPr="00D337FA">
              <w:rPr>
                <w:sz w:val="20"/>
                <w:szCs w:val="20"/>
              </w:rPr>
              <w:t xml:space="preserve"> </w:t>
            </w:r>
            <w:r w:rsidRPr="00D337FA">
              <w:rPr>
                <w:sz w:val="20"/>
                <w:szCs w:val="20"/>
              </w:rPr>
              <w:t>что</w:t>
            </w:r>
            <w:r w:rsidR="006C680D" w:rsidRPr="00D337FA">
              <w:rPr>
                <w:sz w:val="20"/>
                <w:szCs w:val="20"/>
              </w:rPr>
              <w:t xml:space="preserve"> </w:t>
            </w:r>
            <w:r w:rsidRPr="00D337FA">
              <w:rPr>
                <w:sz w:val="20"/>
                <w:szCs w:val="20"/>
              </w:rPr>
              <w:t>послужило</w:t>
            </w:r>
            <w:r w:rsidR="006C680D" w:rsidRPr="00D337FA">
              <w:rPr>
                <w:sz w:val="20"/>
                <w:szCs w:val="20"/>
              </w:rPr>
              <w:t xml:space="preserve"> </w:t>
            </w:r>
            <w:r w:rsidRPr="00D337FA">
              <w:rPr>
                <w:sz w:val="20"/>
                <w:szCs w:val="20"/>
              </w:rPr>
              <w:t>открытию</w:t>
            </w:r>
            <w:r w:rsidR="006C680D" w:rsidRPr="00D337FA">
              <w:rPr>
                <w:sz w:val="20"/>
                <w:szCs w:val="20"/>
              </w:rPr>
              <w:t xml:space="preserve"> </w:t>
            </w:r>
            <w:r w:rsidRPr="00D337FA">
              <w:rPr>
                <w:sz w:val="20"/>
                <w:szCs w:val="20"/>
              </w:rPr>
              <w:t>новых</w:t>
            </w:r>
            <w:r w:rsidR="006C680D" w:rsidRPr="00D337FA">
              <w:rPr>
                <w:sz w:val="20"/>
                <w:szCs w:val="20"/>
              </w:rPr>
              <w:t xml:space="preserve"> </w:t>
            </w:r>
            <w:r w:rsidRPr="00D337FA">
              <w:rPr>
                <w:sz w:val="20"/>
                <w:szCs w:val="20"/>
              </w:rPr>
              <w:t>точек</w:t>
            </w:r>
            <w:r w:rsidR="006C680D" w:rsidRPr="00D337FA">
              <w:rPr>
                <w:sz w:val="20"/>
                <w:szCs w:val="20"/>
              </w:rPr>
              <w:t xml:space="preserve"> </w:t>
            </w:r>
            <w:r w:rsidRPr="00D337FA">
              <w:rPr>
                <w:sz w:val="20"/>
                <w:szCs w:val="20"/>
              </w:rPr>
              <w:t>сбыта</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всей</w:t>
            </w:r>
            <w:r w:rsidR="006C680D" w:rsidRPr="00D337FA">
              <w:rPr>
                <w:sz w:val="20"/>
                <w:szCs w:val="20"/>
              </w:rPr>
              <w:t xml:space="preserve"> </w:t>
            </w:r>
            <w:r w:rsidRPr="00D337FA">
              <w:rPr>
                <w:sz w:val="20"/>
                <w:szCs w:val="20"/>
              </w:rPr>
              <w:t>продукции.</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2018</w:t>
            </w:r>
          </w:p>
        </w:tc>
        <w:tc>
          <w:tcPr>
            <w:tcW w:w="0" w:type="auto"/>
            <w:hideMark/>
          </w:tcPr>
          <w:p w:rsidR="00826D3F" w:rsidRPr="00D337FA" w:rsidRDefault="00826D3F" w:rsidP="00826D3F">
            <w:pPr>
              <w:ind w:firstLine="0"/>
              <w:rPr>
                <w:sz w:val="20"/>
                <w:szCs w:val="20"/>
              </w:rPr>
            </w:pPr>
            <w:r w:rsidRPr="00D337FA">
              <w:rPr>
                <w:sz w:val="20"/>
                <w:szCs w:val="20"/>
              </w:rPr>
              <w:t>Расширили</w:t>
            </w:r>
            <w:r w:rsidR="006C680D" w:rsidRPr="00D337FA">
              <w:rPr>
                <w:sz w:val="20"/>
                <w:szCs w:val="20"/>
              </w:rPr>
              <w:t xml:space="preserve"> </w:t>
            </w:r>
            <w:r w:rsidRPr="00D337FA">
              <w:rPr>
                <w:sz w:val="20"/>
                <w:szCs w:val="20"/>
              </w:rPr>
              <w:t>грантовую</w:t>
            </w:r>
            <w:r w:rsidR="006C680D" w:rsidRPr="00D337FA">
              <w:rPr>
                <w:sz w:val="20"/>
                <w:szCs w:val="20"/>
              </w:rPr>
              <w:t xml:space="preserve"> </w:t>
            </w:r>
            <w:r w:rsidRPr="00D337FA">
              <w:rPr>
                <w:sz w:val="20"/>
                <w:szCs w:val="20"/>
              </w:rPr>
              <w:t>поддержку</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фермеров</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добавили</w:t>
            </w:r>
            <w:r w:rsidR="006C680D" w:rsidRPr="00D337FA">
              <w:rPr>
                <w:sz w:val="20"/>
                <w:szCs w:val="20"/>
              </w:rPr>
              <w:t xml:space="preserve"> </w:t>
            </w:r>
            <w:r w:rsidRPr="00D337FA">
              <w:rPr>
                <w:sz w:val="20"/>
                <w:szCs w:val="20"/>
              </w:rPr>
              <w:t>меры</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развития</w:t>
            </w:r>
            <w:r w:rsidR="006C680D" w:rsidRPr="00D337FA">
              <w:rPr>
                <w:sz w:val="20"/>
                <w:szCs w:val="20"/>
              </w:rPr>
              <w:t xml:space="preserve"> </w:t>
            </w:r>
            <w:r w:rsidRPr="00D337FA">
              <w:rPr>
                <w:sz w:val="20"/>
                <w:szCs w:val="20"/>
              </w:rPr>
              <w:t>сельских</w:t>
            </w:r>
            <w:r w:rsidR="006C680D" w:rsidRPr="00D337FA">
              <w:rPr>
                <w:sz w:val="20"/>
                <w:szCs w:val="20"/>
              </w:rPr>
              <w:t xml:space="preserve"> </w:t>
            </w:r>
            <w:r w:rsidRPr="00D337FA">
              <w:rPr>
                <w:sz w:val="20"/>
                <w:szCs w:val="20"/>
              </w:rPr>
              <w:t>территорий</w:t>
            </w:r>
            <w:r w:rsidR="006C680D" w:rsidRPr="00D337FA">
              <w:rPr>
                <w:sz w:val="20"/>
                <w:szCs w:val="20"/>
              </w:rPr>
              <w:t xml:space="preserve"> </w:t>
            </w:r>
            <w:r w:rsidRPr="00D337FA">
              <w:rPr>
                <w:sz w:val="20"/>
                <w:szCs w:val="20"/>
              </w:rPr>
              <w:t>(социнфраструктура</w:t>
            </w:r>
            <w:r w:rsidR="006C680D" w:rsidRPr="00D337FA">
              <w:rPr>
                <w:sz w:val="20"/>
                <w:szCs w:val="20"/>
              </w:rPr>
              <w:t xml:space="preserve"> </w:t>
            </w:r>
            <w:r w:rsidRPr="00D337FA">
              <w:rPr>
                <w:sz w:val="20"/>
                <w:szCs w:val="20"/>
              </w:rPr>
              <w:t>рядом</w:t>
            </w:r>
            <w:r w:rsidR="006C680D" w:rsidRPr="00D337FA">
              <w:rPr>
                <w:sz w:val="20"/>
                <w:szCs w:val="20"/>
              </w:rPr>
              <w:t xml:space="preserve"> </w:t>
            </w:r>
            <w:r w:rsidRPr="00D337FA">
              <w:rPr>
                <w:sz w:val="20"/>
                <w:szCs w:val="20"/>
              </w:rPr>
              <w:t>с</w:t>
            </w:r>
            <w:r w:rsidR="006C680D" w:rsidRPr="00D337FA">
              <w:rPr>
                <w:sz w:val="20"/>
                <w:szCs w:val="20"/>
              </w:rPr>
              <w:t xml:space="preserve"> </w:t>
            </w:r>
            <w:r w:rsidRPr="00D337FA">
              <w:rPr>
                <w:sz w:val="20"/>
                <w:szCs w:val="20"/>
              </w:rPr>
              <w:t>агропредприятиями).</w:t>
            </w:r>
            <w:r w:rsidR="006C680D" w:rsidRPr="00D337FA">
              <w:rPr>
                <w:sz w:val="20"/>
                <w:szCs w:val="20"/>
              </w:rPr>
              <w:t xml:space="preserve"> </w:t>
            </w:r>
            <w:r w:rsidRPr="00D337FA">
              <w:rPr>
                <w:sz w:val="20"/>
                <w:szCs w:val="20"/>
              </w:rPr>
              <w:t>Особое</w:t>
            </w:r>
            <w:r w:rsidR="006C680D" w:rsidRPr="00D337FA">
              <w:rPr>
                <w:sz w:val="20"/>
                <w:szCs w:val="20"/>
              </w:rPr>
              <w:t xml:space="preserve"> </w:t>
            </w:r>
            <w:r w:rsidRPr="00D337FA">
              <w:rPr>
                <w:sz w:val="20"/>
                <w:szCs w:val="20"/>
              </w:rPr>
              <w:t>значение</w:t>
            </w:r>
            <w:r w:rsidR="006C680D" w:rsidRPr="00D337FA">
              <w:rPr>
                <w:sz w:val="20"/>
                <w:szCs w:val="20"/>
              </w:rPr>
              <w:t xml:space="preserve"> </w:t>
            </w:r>
            <w:r w:rsidRPr="00D337FA">
              <w:rPr>
                <w:sz w:val="20"/>
                <w:szCs w:val="20"/>
              </w:rPr>
              <w:t>вновь</w:t>
            </w:r>
            <w:r w:rsidR="006C680D" w:rsidRPr="00D337FA">
              <w:rPr>
                <w:sz w:val="20"/>
                <w:szCs w:val="20"/>
              </w:rPr>
              <w:t xml:space="preserve"> </w:t>
            </w:r>
            <w:r w:rsidRPr="00D337FA">
              <w:rPr>
                <w:sz w:val="20"/>
                <w:szCs w:val="20"/>
              </w:rPr>
              <w:t>приобретает</w:t>
            </w:r>
            <w:r w:rsidR="006C680D" w:rsidRPr="00D337FA">
              <w:rPr>
                <w:sz w:val="20"/>
                <w:szCs w:val="20"/>
              </w:rPr>
              <w:t xml:space="preserve"> </w:t>
            </w:r>
            <w:r w:rsidRPr="00D337FA">
              <w:rPr>
                <w:sz w:val="20"/>
                <w:szCs w:val="20"/>
              </w:rPr>
              <w:t>важность</w:t>
            </w:r>
            <w:r w:rsidR="006C680D" w:rsidRPr="00D337FA">
              <w:rPr>
                <w:sz w:val="20"/>
                <w:szCs w:val="20"/>
              </w:rPr>
              <w:t xml:space="preserve"> </w:t>
            </w:r>
            <w:r w:rsidRPr="00D337FA">
              <w:rPr>
                <w:sz w:val="20"/>
                <w:szCs w:val="20"/>
              </w:rPr>
              <w:t>развития</w:t>
            </w:r>
            <w:r w:rsidR="006C680D" w:rsidRPr="00D337FA">
              <w:rPr>
                <w:sz w:val="20"/>
                <w:szCs w:val="20"/>
              </w:rPr>
              <w:t xml:space="preserve"> </w:t>
            </w:r>
            <w:r w:rsidRPr="00D337FA">
              <w:rPr>
                <w:sz w:val="20"/>
                <w:szCs w:val="20"/>
              </w:rPr>
              <w:t>всей</w:t>
            </w:r>
            <w:r w:rsidR="006C680D" w:rsidRPr="00D337FA">
              <w:rPr>
                <w:sz w:val="20"/>
                <w:szCs w:val="20"/>
              </w:rPr>
              <w:t xml:space="preserve"> </w:t>
            </w:r>
            <w:r w:rsidRPr="00D337FA">
              <w:rPr>
                <w:sz w:val="20"/>
                <w:szCs w:val="20"/>
              </w:rPr>
              <w:t>прилегающей</w:t>
            </w:r>
            <w:r w:rsidR="006C680D" w:rsidRPr="00D337FA">
              <w:rPr>
                <w:sz w:val="20"/>
                <w:szCs w:val="20"/>
              </w:rPr>
              <w:t xml:space="preserve"> </w:t>
            </w:r>
            <w:r w:rsidRPr="00D337FA">
              <w:rPr>
                <w:sz w:val="20"/>
                <w:szCs w:val="20"/>
              </w:rPr>
              <w:t>инфраструктуры</w:t>
            </w:r>
            <w:r w:rsidR="006C680D" w:rsidRPr="00D337FA">
              <w:rPr>
                <w:sz w:val="20"/>
                <w:szCs w:val="20"/>
              </w:rPr>
              <w:t xml:space="preserve"> </w:t>
            </w:r>
            <w:r w:rsidRPr="00D337FA">
              <w:rPr>
                <w:sz w:val="20"/>
                <w:szCs w:val="20"/>
              </w:rPr>
              <w:t>вблизи</w:t>
            </w:r>
            <w:r w:rsidR="006C680D" w:rsidRPr="00D337FA">
              <w:rPr>
                <w:sz w:val="20"/>
                <w:szCs w:val="20"/>
              </w:rPr>
              <w:t xml:space="preserve"> </w:t>
            </w:r>
            <w:r w:rsidRPr="00D337FA">
              <w:rPr>
                <w:sz w:val="20"/>
                <w:szCs w:val="20"/>
              </w:rPr>
              <w:t>сельскохозяйственных</w:t>
            </w:r>
            <w:r w:rsidR="006C680D" w:rsidRPr="00D337FA">
              <w:rPr>
                <w:sz w:val="20"/>
                <w:szCs w:val="20"/>
              </w:rPr>
              <w:t xml:space="preserve"> </w:t>
            </w:r>
            <w:r w:rsidRPr="00D337FA">
              <w:rPr>
                <w:sz w:val="20"/>
                <w:szCs w:val="20"/>
              </w:rPr>
              <w:t>организаций.</w:t>
            </w:r>
            <w:r w:rsidR="006C680D" w:rsidRPr="00D337FA">
              <w:rPr>
                <w:sz w:val="20"/>
                <w:szCs w:val="20"/>
              </w:rPr>
              <w:t xml:space="preserve"> </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2019</w:t>
            </w:r>
          </w:p>
        </w:tc>
        <w:tc>
          <w:tcPr>
            <w:tcW w:w="0" w:type="auto"/>
            <w:hideMark/>
          </w:tcPr>
          <w:p w:rsidR="00826D3F" w:rsidRPr="00D337FA" w:rsidRDefault="00826D3F" w:rsidP="00826D3F">
            <w:pPr>
              <w:ind w:firstLine="0"/>
              <w:rPr>
                <w:sz w:val="20"/>
                <w:szCs w:val="20"/>
              </w:rPr>
            </w:pPr>
            <w:r w:rsidRPr="00D337FA">
              <w:rPr>
                <w:sz w:val="20"/>
                <w:szCs w:val="20"/>
              </w:rPr>
              <w:t>Синхронизировали</w:t>
            </w:r>
            <w:r w:rsidR="006C680D" w:rsidRPr="00D337FA">
              <w:rPr>
                <w:sz w:val="20"/>
                <w:szCs w:val="20"/>
              </w:rPr>
              <w:t xml:space="preserve"> </w:t>
            </w:r>
            <w:r w:rsidRPr="00D337FA">
              <w:rPr>
                <w:sz w:val="20"/>
                <w:szCs w:val="20"/>
              </w:rPr>
              <w:t>АПК</w:t>
            </w:r>
            <w:r w:rsidR="006C680D" w:rsidRPr="00D337FA">
              <w:rPr>
                <w:sz w:val="20"/>
                <w:szCs w:val="20"/>
              </w:rPr>
              <w:t xml:space="preserve"> </w:t>
            </w:r>
            <w:r w:rsidRPr="00D337FA">
              <w:rPr>
                <w:sz w:val="20"/>
                <w:szCs w:val="20"/>
              </w:rPr>
              <w:t>с</w:t>
            </w:r>
            <w:r w:rsidR="006C680D" w:rsidRPr="00D337FA">
              <w:rPr>
                <w:sz w:val="20"/>
                <w:szCs w:val="20"/>
              </w:rPr>
              <w:t xml:space="preserve"> </w:t>
            </w:r>
            <w:r w:rsidRPr="00D337FA">
              <w:rPr>
                <w:sz w:val="20"/>
                <w:szCs w:val="20"/>
              </w:rPr>
              <w:t>нацпроектами</w:t>
            </w:r>
            <w:r w:rsidR="006C680D" w:rsidRPr="00D337FA">
              <w:rPr>
                <w:sz w:val="20"/>
                <w:szCs w:val="20"/>
              </w:rPr>
              <w:t xml:space="preserve"> </w:t>
            </w:r>
            <w:r w:rsidRPr="00D337FA">
              <w:rPr>
                <w:sz w:val="20"/>
                <w:szCs w:val="20"/>
              </w:rPr>
              <w:t>(МСП,</w:t>
            </w:r>
            <w:r w:rsidR="006C680D" w:rsidRPr="00D337FA">
              <w:rPr>
                <w:sz w:val="20"/>
                <w:szCs w:val="20"/>
              </w:rPr>
              <w:t xml:space="preserve"> </w:t>
            </w:r>
            <w:r w:rsidRPr="00D337FA">
              <w:rPr>
                <w:sz w:val="20"/>
                <w:szCs w:val="20"/>
              </w:rPr>
              <w:t>экспорт),</w:t>
            </w:r>
            <w:r w:rsidR="006C680D" w:rsidRPr="00D337FA">
              <w:rPr>
                <w:sz w:val="20"/>
                <w:szCs w:val="20"/>
              </w:rPr>
              <w:t xml:space="preserve"> </w:t>
            </w:r>
            <w:r w:rsidRPr="00D337FA">
              <w:rPr>
                <w:sz w:val="20"/>
                <w:szCs w:val="20"/>
              </w:rPr>
              <w:t>запустили</w:t>
            </w:r>
            <w:r w:rsidR="006C680D" w:rsidRPr="00D337FA">
              <w:rPr>
                <w:sz w:val="20"/>
                <w:szCs w:val="20"/>
              </w:rPr>
              <w:t xml:space="preserve"> </w:t>
            </w:r>
            <w:r w:rsidRPr="00D337FA">
              <w:rPr>
                <w:sz w:val="20"/>
                <w:szCs w:val="20"/>
              </w:rPr>
              <w:t>новые</w:t>
            </w:r>
            <w:r w:rsidR="006C680D" w:rsidRPr="00D337FA">
              <w:rPr>
                <w:sz w:val="20"/>
                <w:szCs w:val="20"/>
              </w:rPr>
              <w:t xml:space="preserve"> </w:t>
            </w:r>
            <w:r w:rsidRPr="00D337FA">
              <w:rPr>
                <w:sz w:val="20"/>
                <w:szCs w:val="20"/>
              </w:rPr>
              <w:t>гранты</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малых</w:t>
            </w:r>
            <w:r w:rsidR="006C680D" w:rsidRPr="00D337FA">
              <w:rPr>
                <w:sz w:val="20"/>
                <w:szCs w:val="20"/>
              </w:rPr>
              <w:t xml:space="preserve"> </w:t>
            </w:r>
            <w:r w:rsidRPr="00D337FA">
              <w:rPr>
                <w:sz w:val="20"/>
                <w:szCs w:val="20"/>
              </w:rPr>
              <w:t>форм</w:t>
            </w:r>
            <w:r w:rsidR="006C680D" w:rsidRPr="00D337FA">
              <w:rPr>
                <w:sz w:val="20"/>
                <w:szCs w:val="20"/>
              </w:rPr>
              <w:t xml:space="preserve"> </w:t>
            </w:r>
            <w:r w:rsidRPr="00D337FA">
              <w:rPr>
                <w:sz w:val="20"/>
                <w:szCs w:val="20"/>
              </w:rPr>
              <w:t>хозяйств,</w:t>
            </w:r>
            <w:r w:rsidR="006C680D" w:rsidRPr="00D337FA">
              <w:rPr>
                <w:sz w:val="20"/>
                <w:szCs w:val="20"/>
              </w:rPr>
              <w:t xml:space="preserve"> </w:t>
            </w:r>
            <w:r w:rsidRPr="00D337FA">
              <w:rPr>
                <w:sz w:val="20"/>
                <w:szCs w:val="20"/>
              </w:rPr>
              <w:t>а</w:t>
            </w:r>
            <w:r w:rsidR="006C680D" w:rsidRPr="00D337FA">
              <w:rPr>
                <w:sz w:val="20"/>
                <w:szCs w:val="20"/>
              </w:rPr>
              <w:t xml:space="preserve"> </w:t>
            </w:r>
            <w:r w:rsidRPr="00D337FA">
              <w:rPr>
                <w:sz w:val="20"/>
                <w:szCs w:val="20"/>
              </w:rPr>
              <w:t>также</w:t>
            </w:r>
            <w:r w:rsidR="006C680D" w:rsidRPr="00D337FA">
              <w:rPr>
                <w:sz w:val="20"/>
                <w:szCs w:val="20"/>
              </w:rPr>
              <w:t xml:space="preserve"> </w:t>
            </w:r>
            <w:r w:rsidRPr="00D337FA">
              <w:rPr>
                <w:sz w:val="20"/>
                <w:szCs w:val="20"/>
              </w:rPr>
              <w:t>переработки.</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2020</w:t>
            </w:r>
          </w:p>
        </w:tc>
        <w:tc>
          <w:tcPr>
            <w:tcW w:w="0" w:type="auto"/>
            <w:hideMark/>
          </w:tcPr>
          <w:p w:rsidR="00826D3F" w:rsidRPr="00D337FA" w:rsidRDefault="00826D3F" w:rsidP="00826D3F">
            <w:pPr>
              <w:ind w:firstLine="0"/>
              <w:rPr>
                <w:sz w:val="20"/>
                <w:szCs w:val="20"/>
              </w:rPr>
            </w:pPr>
            <w:r w:rsidRPr="00D337FA">
              <w:rPr>
                <w:sz w:val="20"/>
                <w:szCs w:val="20"/>
              </w:rPr>
              <w:t>Наиболее</w:t>
            </w:r>
            <w:r w:rsidR="006C680D" w:rsidRPr="00D337FA">
              <w:rPr>
                <w:sz w:val="20"/>
                <w:szCs w:val="20"/>
              </w:rPr>
              <w:t xml:space="preserve"> </w:t>
            </w:r>
            <w:r w:rsidRPr="00D337FA">
              <w:rPr>
                <w:sz w:val="20"/>
                <w:szCs w:val="20"/>
              </w:rPr>
              <w:t>сложный</w:t>
            </w:r>
            <w:r w:rsidR="006C680D" w:rsidRPr="00D337FA">
              <w:rPr>
                <w:sz w:val="20"/>
                <w:szCs w:val="20"/>
              </w:rPr>
              <w:t xml:space="preserve"> </w:t>
            </w:r>
            <w:r w:rsidRPr="00D337FA">
              <w:rPr>
                <w:sz w:val="20"/>
                <w:szCs w:val="20"/>
              </w:rPr>
              <w:t>период</w:t>
            </w:r>
            <w:r w:rsidR="006C680D" w:rsidRPr="00D337FA">
              <w:rPr>
                <w:sz w:val="20"/>
                <w:szCs w:val="20"/>
              </w:rPr>
              <w:t xml:space="preserve"> </w:t>
            </w:r>
            <w:r w:rsidRPr="00D337FA">
              <w:rPr>
                <w:sz w:val="20"/>
                <w:szCs w:val="20"/>
                <w:lang w:val="en-US"/>
              </w:rPr>
              <w:t>Covid</w:t>
            </w:r>
            <w:r w:rsidRPr="00D337FA">
              <w:rPr>
                <w:sz w:val="20"/>
                <w:szCs w:val="20"/>
              </w:rPr>
              <w:t>-19</w:t>
            </w:r>
            <w:r w:rsidR="006C680D" w:rsidRPr="00D337FA">
              <w:rPr>
                <w:sz w:val="20"/>
                <w:szCs w:val="20"/>
              </w:rPr>
              <w:t xml:space="preserve"> </w:t>
            </w:r>
            <w:r w:rsidRPr="00D337FA">
              <w:rPr>
                <w:sz w:val="20"/>
                <w:szCs w:val="20"/>
              </w:rPr>
              <w:t>с</w:t>
            </w:r>
            <w:r w:rsidR="006C680D" w:rsidRPr="00D337FA">
              <w:rPr>
                <w:sz w:val="20"/>
                <w:szCs w:val="20"/>
              </w:rPr>
              <w:t xml:space="preserve"> </w:t>
            </w:r>
            <w:r w:rsidRPr="00D337FA">
              <w:rPr>
                <w:sz w:val="20"/>
                <w:szCs w:val="20"/>
              </w:rPr>
              <w:t>массовым</w:t>
            </w:r>
            <w:r w:rsidR="006C680D" w:rsidRPr="00D337FA">
              <w:rPr>
                <w:sz w:val="20"/>
                <w:szCs w:val="20"/>
              </w:rPr>
              <w:t xml:space="preserve"> </w:t>
            </w:r>
            <w:r w:rsidRPr="00D337FA">
              <w:rPr>
                <w:sz w:val="20"/>
                <w:szCs w:val="20"/>
              </w:rPr>
              <w:t>принятием</w:t>
            </w:r>
            <w:r w:rsidR="006C680D" w:rsidRPr="00D337FA">
              <w:rPr>
                <w:sz w:val="20"/>
                <w:szCs w:val="20"/>
              </w:rPr>
              <w:t xml:space="preserve"> </w:t>
            </w:r>
            <w:r w:rsidRPr="00D337FA">
              <w:rPr>
                <w:sz w:val="20"/>
                <w:szCs w:val="20"/>
              </w:rPr>
              <w:t>антикризисных</w:t>
            </w:r>
            <w:r w:rsidR="006C680D" w:rsidRPr="00D337FA">
              <w:rPr>
                <w:sz w:val="20"/>
                <w:szCs w:val="20"/>
              </w:rPr>
              <w:t xml:space="preserve"> </w:t>
            </w:r>
            <w:r w:rsidRPr="00D337FA">
              <w:rPr>
                <w:sz w:val="20"/>
                <w:szCs w:val="20"/>
              </w:rPr>
              <w:t>решений:</w:t>
            </w:r>
            <w:r w:rsidR="006C680D" w:rsidRPr="00D337FA">
              <w:rPr>
                <w:sz w:val="20"/>
                <w:szCs w:val="20"/>
              </w:rPr>
              <w:t xml:space="preserve"> </w:t>
            </w:r>
            <w:r w:rsidRPr="00D337FA">
              <w:rPr>
                <w:sz w:val="20"/>
                <w:szCs w:val="20"/>
              </w:rPr>
              <w:t>пролонгация</w:t>
            </w:r>
            <w:r w:rsidR="006C680D" w:rsidRPr="00D337FA">
              <w:rPr>
                <w:sz w:val="20"/>
                <w:szCs w:val="20"/>
              </w:rPr>
              <w:t xml:space="preserve"> </w:t>
            </w:r>
            <w:r w:rsidRPr="00D337FA">
              <w:rPr>
                <w:sz w:val="20"/>
                <w:szCs w:val="20"/>
              </w:rPr>
              <w:t>кредитов,</w:t>
            </w:r>
            <w:r w:rsidR="006C680D" w:rsidRPr="00D337FA">
              <w:rPr>
                <w:sz w:val="20"/>
                <w:szCs w:val="20"/>
              </w:rPr>
              <w:t xml:space="preserve"> </w:t>
            </w:r>
            <w:r w:rsidRPr="00D337FA">
              <w:rPr>
                <w:sz w:val="20"/>
                <w:szCs w:val="20"/>
              </w:rPr>
              <w:t>дополнительные</w:t>
            </w:r>
            <w:r w:rsidR="006C680D" w:rsidRPr="00D337FA">
              <w:rPr>
                <w:sz w:val="20"/>
                <w:szCs w:val="20"/>
              </w:rPr>
              <w:t xml:space="preserve"> </w:t>
            </w:r>
            <w:r w:rsidRPr="00D337FA">
              <w:rPr>
                <w:sz w:val="20"/>
                <w:szCs w:val="20"/>
              </w:rPr>
              <w:t>субсидии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поддержка</w:t>
            </w:r>
            <w:r w:rsidR="006C680D" w:rsidRPr="00D337FA">
              <w:rPr>
                <w:sz w:val="20"/>
                <w:szCs w:val="20"/>
              </w:rPr>
              <w:t xml:space="preserve"> </w:t>
            </w:r>
            <w:r w:rsidRPr="00D337FA">
              <w:rPr>
                <w:sz w:val="20"/>
                <w:szCs w:val="20"/>
              </w:rPr>
              <w:t>занятости</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фоне</w:t>
            </w:r>
            <w:r w:rsidR="006C680D" w:rsidRPr="00D337FA">
              <w:rPr>
                <w:sz w:val="20"/>
                <w:szCs w:val="20"/>
              </w:rPr>
              <w:t xml:space="preserve"> </w:t>
            </w:r>
            <w:r w:rsidRPr="00D337FA">
              <w:rPr>
                <w:sz w:val="20"/>
                <w:szCs w:val="20"/>
              </w:rPr>
              <w:t>пандемии</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2021</w:t>
            </w:r>
          </w:p>
        </w:tc>
        <w:tc>
          <w:tcPr>
            <w:tcW w:w="0" w:type="auto"/>
            <w:hideMark/>
          </w:tcPr>
          <w:p w:rsidR="00826D3F" w:rsidRPr="00D337FA" w:rsidRDefault="00826D3F" w:rsidP="00826D3F">
            <w:pPr>
              <w:ind w:firstLine="0"/>
              <w:rPr>
                <w:sz w:val="20"/>
                <w:szCs w:val="20"/>
              </w:rPr>
            </w:pPr>
            <w:r w:rsidRPr="00D337FA">
              <w:rPr>
                <w:sz w:val="20"/>
                <w:szCs w:val="20"/>
              </w:rPr>
              <w:t>Укрепили</w:t>
            </w:r>
            <w:r w:rsidR="006C680D" w:rsidRPr="00D337FA">
              <w:rPr>
                <w:sz w:val="20"/>
                <w:szCs w:val="20"/>
              </w:rPr>
              <w:t xml:space="preserve"> </w:t>
            </w:r>
            <w:r w:rsidRPr="00D337FA">
              <w:rPr>
                <w:sz w:val="20"/>
                <w:szCs w:val="20"/>
              </w:rPr>
              <w:t>льготное</w:t>
            </w:r>
            <w:r w:rsidR="006C680D" w:rsidRPr="00D337FA">
              <w:rPr>
                <w:sz w:val="20"/>
                <w:szCs w:val="20"/>
              </w:rPr>
              <w:t xml:space="preserve"> </w:t>
            </w:r>
            <w:r w:rsidRPr="00D337FA">
              <w:rPr>
                <w:sz w:val="20"/>
                <w:szCs w:val="20"/>
              </w:rPr>
              <w:t>финансирование</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запуск</w:t>
            </w:r>
            <w:r w:rsidR="006C680D" w:rsidRPr="00D337FA">
              <w:rPr>
                <w:sz w:val="20"/>
                <w:szCs w:val="20"/>
              </w:rPr>
              <w:t xml:space="preserve"> </w:t>
            </w:r>
            <w:r w:rsidRPr="00D337FA">
              <w:rPr>
                <w:sz w:val="20"/>
                <w:szCs w:val="20"/>
              </w:rPr>
              <w:t>программы</w:t>
            </w:r>
            <w:r w:rsidR="006C680D" w:rsidRPr="00D337FA">
              <w:rPr>
                <w:sz w:val="20"/>
                <w:szCs w:val="20"/>
              </w:rPr>
              <w:t xml:space="preserve"> </w:t>
            </w:r>
            <w:r w:rsidRPr="00D337FA">
              <w:rPr>
                <w:sz w:val="20"/>
                <w:szCs w:val="20"/>
              </w:rPr>
              <w:t>модернизации</w:t>
            </w:r>
            <w:r w:rsidR="006C680D" w:rsidRPr="00D337FA">
              <w:rPr>
                <w:sz w:val="20"/>
                <w:szCs w:val="20"/>
              </w:rPr>
              <w:t xml:space="preserve"> </w:t>
            </w:r>
            <w:r w:rsidRPr="00D337FA">
              <w:rPr>
                <w:sz w:val="20"/>
                <w:szCs w:val="20"/>
              </w:rPr>
              <w:t>для</w:t>
            </w:r>
            <w:r w:rsidR="006C680D" w:rsidRPr="00D337FA">
              <w:rPr>
                <w:sz w:val="20"/>
                <w:szCs w:val="20"/>
              </w:rPr>
              <w:t xml:space="preserve"> </w:t>
            </w:r>
            <w:r w:rsidRPr="00D337FA">
              <w:rPr>
                <w:sz w:val="20"/>
                <w:szCs w:val="20"/>
              </w:rPr>
              <w:t>формирования</w:t>
            </w:r>
            <w:r w:rsidR="006C680D" w:rsidRPr="00D337FA">
              <w:rPr>
                <w:sz w:val="20"/>
                <w:szCs w:val="20"/>
              </w:rPr>
              <w:t xml:space="preserve"> </w:t>
            </w:r>
            <w:r w:rsidRPr="00D337FA">
              <w:rPr>
                <w:sz w:val="20"/>
                <w:szCs w:val="20"/>
              </w:rPr>
              <w:t>базиса</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случае</w:t>
            </w:r>
            <w:r w:rsidR="006C680D" w:rsidRPr="00D337FA">
              <w:rPr>
                <w:sz w:val="20"/>
                <w:szCs w:val="20"/>
              </w:rPr>
              <w:t xml:space="preserve"> </w:t>
            </w:r>
            <w:r w:rsidRPr="00D337FA">
              <w:rPr>
                <w:sz w:val="20"/>
                <w:szCs w:val="20"/>
              </w:rPr>
              <w:t>возможного</w:t>
            </w:r>
            <w:r w:rsidR="006C680D" w:rsidRPr="00D337FA">
              <w:rPr>
                <w:sz w:val="20"/>
                <w:szCs w:val="20"/>
              </w:rPr>
              <w:t xml:space="preserve"> </w:t>
            </w:r>
            <w:r w:rsidRPr="00D337FA">
              <w:rPr>
                <w:sz w:val="20"/>
                <w:szCs w:val="20"/>
              </w:rPr>
              <w:t>перебоя</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импортных</w:t>
            </w:r>
            <w:r w:rsidR="006C680D" w:rsidRPr="00D337FA">
              <w:rPr>
                <w:sz w:val="20"/>
                <w:szCs w:val="20"/>
              </w:rPr>
              <w:t xml:space="preserve"> </w:t>
            </w:r>
            <w:r w:rsidRPr="00D337FA">
              <w:rPr>
                <w:sz w:val="20"/>
                <w:szCs w:val="20"/>
              </w:rPr>
              <w:t>поставках.</w:t>
            </w:r>
            <w:r w:rsidR="006C680D" w:rsidRPr="00D337FA">
              <w:rPr>
                <w:sz w:val="20"/>
                <w:szCs w:val="20"/>
              </w:rPr>
              <w:t xml:space="preserve"> </w:t>
            </w:r>
            <w:r w:rsidRPr="00D337FA">
              <w:rPr>
                <w:sz w:val="20"/>
                <w:szCs w:val="20"/>
              </w:rPr>
              <w:t>Фокус</w:t>
            </w:r>
            <w:r w:rsidR="006C680D" w:rsidRPr="00D337FA">
              <w:rPr>
                <w:sz w:val="20"/>
                <w:szCs w:val="20"/>
              </w:rPr>
              <w:t xml:space="preserve"> </w:t>
            </w:r>
            <w:r w:rsidRPr="00D337FA">
              <w:rPr>
                <w:sz w:val="20"/>
                <w:szCs w:val="20"/>
              </w:rPr>
              <w:t>внимания</w:t>
            </w:r>
            <w:r w:rsidR="006C680D" w:rsidRPr="00D337FA">
              <w:rPr>
                <w:sz w:val="20"/>
                <w:szCs w:val="20"/>
              </w:rPr>
              <w:t xml:space="preserve"> </w:t>
            </w:r>
            <w:r w:rsidRPr="00D337FA">
              <w:rPr>
                <w:sz w:val="20"/>
                <w:szCs w:val="20"/>
              </w:rPr>
              <w:t>сместился</w:t>
            </w:r>
            <w:r w:rsidR="006C680D" w:rsidRPr="00D337FA">
              <w:rPr>
                <w:sz w:val="20"/>
                <w:szCs w:val="20"/>
              </w:rPr>
              <w:t xml:space="preserve"> </w:t>
            </w:r>
            <w:r w:rsidRPr="00D337FA">
              <w:rPr>
                <w:sz w:val="20"/>
                <w:szCs w:val="20"/>
              </w:rPr>
              <w:t>к</w:t>
            </w:r>
            <w:r w:rsidR="006C680D" w:rsidRPr="00D337FA">
              <w:rPr>
                <w:sz w:val="20"/>
                <w:szCs w:val="20"/>
              </w:rPr>
              <w:t xml:space="preserve"> </w:t>
            </w:r>
            <w:r w:rsidRPr="00D337FA">
              <w:rPr>
                <w:sz w:val="20"/>
                <w:szCs w:val="20"/>
              </w:rPr>
              <w:t>технологической</w:t>
            </w:r>
            <w:r w:rsidR="006C680D" w:rsidRPr="00D337FA">
              <w:rPr>
                <w:sz w:val="20"/>
                <w:szCs w:val="20"/>
              </w:rPr>
              <w:t xml:space="preserve"> </w:t>
            </w:r>
            <w:r w:rsidRPr="00D337FA">
              <w:rPr>
                <w:sz w:val="20"/>
                <w:szCs w:val="20"/>
              </w:rPr>
              <w:t>независимости</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критических</w:t>
            </w:r>
            <w:r w:rsidR="006C680D" w:rsidRPr="00D337FA">
              <w:rPr>
                <w:sz w:val="20"/>
                <w:szCs w:val="20"/>
              </w:rPr>
              <w:t xml:space="preserve"> </w:t>
            </w:r>
            <w:r w:rsidRPr="00D337FA">
              <w:rPr>
                <w:sz w:val="20"/>
                <w:szCs w:val="20"/>
              </w:rPr>
              <w:t>звеньях.</w:t>
            </w:r>
            <w:r w:rsidR="006C680D" w:rsidRPr="00D337FA">
              <w:rPr>
                <w:sz w:val="20"/>
                <w:szCs w:val="20"/>
              </w:rPr>
              <w:t xml:space="preserve"> </w:t>
            </w:r>
            <w:r w:rsidRPr="00D337FA">
              <w:rPr>
                <w:sz w:val="20"/>
                <w:szCs w:val="20"/>
                <w:lang w:eastAsia="ru-RU"/>
              </w:rPr>
              <w:t>Запуск</w:t>
            </w:r>
            <w:r w:rsidR="006C680D" w:rsidRPr="00D337FA">
              <w:rPr>
                <w:sz w:val="20"/>
                <w:szCs w:val="20"/>
                <w:lang w:eastAsia="ru-RU"/>
              </w:rPr>
              <w:t xml:space="preserve"> </w:t>
            </w:r>
            <w:r w:rsidRPr="00D337FA">
              <w:rPr>
                <w:sz w:val="20"/>
                <w:szCs w:val="20"/>
                <w:lang w:eastAsia="ru-RU"/>
              </w:rPr>
              <w:t>реализации</w:t>
            </w:r>
            <w:r w:rsidR="006C680D" w:rsidRPr="00D337FA">
              <w:rPr>
                <w:sz w:val="20"/>
                <w:szCs w:val="20"/>
                <w:lang w:eastAsia="ru-RU"/>
              </w:rPr>
              <w:t xml:space="preserve"> </w:t>
            </w:r>
            <w:r w:rsidRPr="00D337FA">
              <w:rPr>
                <w:sz w:val="20"/>
                <w:szCs w:val="20"/>
                <w:lang w:eastAsia="ru-RU"/>
              </w:rPr>
              <w:t>программы</w:t>
            </w:r>
            <w:r w:rsidR="006C680D" w:rsidRPr="00D337FA">
              <w:rPr>
                <w:sz w:val="20"/>
                <w:szCs w:val="20"/>
                <w:lang w:eastAsia="ru-RU"/>
              </w:rPr>
              <w:t xml:space="preserve"> </w:t>
            </w:r>
            <w:r w:rsidRPr="00D337FA">
              <w:rPr>
                <w:sz w:val="20"/>
                <w:szCs w:val="20"/>
                <w:bdr w:val="none" w:sz="0" w:space="0" w:color="auto" w:frame="1"/>
                <w:lang w:eastAsia="ru-RU"/>
              </w:rPr>
              <w:t>"Комплексное</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развитие</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сельских</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территорий",</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как</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новый</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элемент</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поддержки</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всей</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сельскохозяйственной</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отрасли.</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2022</w:t>
            </w:r>
          </w:p>
        </w:tc>
        <w:tc>
          <w:tcPr>
            <w:tcW w:w="0" w:type="auto"/>
            <w:hideMark/>
          </w:tcPr>
          <w:p w:rsidR="00826D3F" w:rsidRPr="00D337FA" w:rsidRDefault="00826D3F" w:rsidP="00826D3F">
            <w:pPr>
              <w:ind w:firstLine="0"/>
              <w:rPr>
                <w:sz w:val="20"/>
                <w:szCs w:val="20"/>
              </w:rPr>
            </w:pPr>
            <w:r w:rsidRPr="00D337FA">
              <w:rPr>
                <w:sz w:val="20"/>
                <w:szCs w:val="20"/>
              </w:rPr>
              <w:t>Санкционный</w:t>
            </w:r>
            <w:r w:rsidR="006C680D" w:rsidRPr="00D337FA">
              <w:rPr>
                <w:sz w:val="20"/>
                <w:szCs w:val="20"/>
              </w:rPr>
              <w:t xml:space="preserve"> </w:t>
            </w:r>
            <w:r w:rsidRPr="00D337FA">
              <w:rPr>
                <w:sz w:val="20"/>
                <w:szCs w:val="20"/>
              </w:rPr>
              <w:t>шок</w:t>
            </w:r>
            <w:r w:rsidR="006C680D" w:rsidRPr="00D337FA">
              <w:rPr>
                <w:sz w:val="20"/>
                <w:szCs w:val="20"/>
              </w:rPr>
              <w:t xml:space="preserve"> </w:t>
            </w:r>
            <w:r w:rsidRPr="00D337FA">
              <w:rPr>
                <w:sz w:val="20"/>
                <w:szCs w:val="20"/>
              </w:rPr>
              <w:t>с</w:t>
            </w:r>
            <w:r w:rsidR="006C680D" w:rsidRPr="00D337FA">
              <w:rPr>
                <w:sz w:val="20"/>
                <w:szCs w:val="20"/>
              </w:rPr>
              <w:t xml:space="preserve"> </w:t>
            </w:r>
            <w:r w:rsidRPr="00D337FA">
              <w:rPr>
                <w:sz w:val="20"/>
                <w:szCs w:val="20"/>
              </w:rPr>
              <w:t>последующей</w:t>
            </w:r>
            <w:r w:rsidR="006C680D" w:rsidRPr="00D337FA">
              <w:rPr>
                <w:sz w:val="20"/>
                <w:szCs w:val="20"/>
              </w:rPr>
              <w:t xml:space="preserve"> </w:t>
            </w:r>
            <w:r w:rsidRPr="00D337FA">
              <w:rPr>
                <w:sz w:val="20"/>
                <w:szCs w:val="20"/>
              </w:rPr>
              <w:t>адаптацией</w:t>
            </w:r>
            <w:r w:rsidR="006C680D" w:rsidRPr="00D337FA">
              <w:rPr>
                <w:sz w:val="20"/>
                <w:szCs w:val="20"/>
              </w:rPr>
              <w:t xml:space="preserve"> </w:t>
            </w:r>
            <w:r w:rsidRPr="00D337FA">
              <w:rPr>
                <w:sz w:val="20"/>
                <w:szCs w:val="20"/>
              </w:rPr>
              <w:t>отрасли</w:t>
            </w:r>
            <w:r w:rsidR="006C680D" w:rsidRPr="00D337FA">
              <w:rPr>
                <w:sz w:val="20"/>
                <w:szCs w:val="20"/>
              </w:rPr>
              <w:t xml:space="preserve"> </w:t>
            </w:r>
            <w:r w:rsidRPr="00D337FA">
              <w:rPr>
                <w:sz w:val="20"/>
                <w:szCs w:val="20"/>
              </w:rPr>
              <w:t>с</w:t>
            </w:r>
            <w:r w:rsidR="006C680D" w:rsidRPr="00D337FA">
              <w:rPr>
                <w:sz w:val="20"/>
                <w:szCs w:val="20"/>
              </w:rPr>
              <w:t xml:space="preserve"> </w:t>
            </w:r>
            <w:r w:rsidRPr="00D337FA">
              <w:rPr>
                <w:sz w:val="20"/>
                <w:szCs w:val="20"/>
              </w:rPr>
              <w:t>приоритетом</w:t>
            </w:r>
            <w:r w:rsidR="006C680D" w:rsidRPr="00D337FA">
              <w:rPr>
                <w:sz w:val="20"/>
                <w:szCs w:val="20"/>
              </w:rPr>
              <w:t xml:space="preserve"> </w:t>
            </w:r>
            <w:r w:rsidRPr="00D337FA">
              <w:rPr>
                <w:sz w:val="20"/>
                <w:szCs w:val="20"/>
              </w:rPr>
              <w:t>к</w:t>
            </w:r>
            <w:r w:rsidR="006C680D" w:rsidRPr="00D337FA">
              <w:rPr>
                <w:sz w:val="20"/>
                <w:szCs w:val="20"/>
              </w:rPr>
              <w:t xml:space="preserve"> </w:t>
            </w:r>
            <w:r w:rsidRPr="00D337FA">
              <w:rPr>
                <w:sz w:val="20"/>
                <w:szCs w:val="20"/>
              </w:rPr>
              <w:t>технологическому</w:t>
            </w:r>
            <w:r w:rsidR="006C680D" w:rsidRPr="00D337FA">
              <w:rPr>
                <w:sz w:val="20"/>
                <w:szCs w:val="20"/>
              </w:rPr>
              <w:t xml:space="preserve"> </w:t>
            </w:r>
            <w:r w:rsidRPr="00D337FA">
              <w:rPr>
                <w:sz w:val="20"/>
                <w:szCs w:val="20"/>
              </w:rPr>
              <w:t>суверенитету</w:t>
            </w:r>
            <w:r w:rsidR="006C680D" w:rsidRPr="00D337FA">
              <w:rPr>
                <w:sz w:val="20"/>
                <w:szCs w:val="20"/>
              </w:rPr>
              <w:t xml:space="preserve"> </w:t>
            </w:r>
            <w:r w:rsidRPr="00D337FA">
              <w:rPr>
                <w:sz w:val="20"/>
                <w:szCs w:val="20"/>
              </w:rPr>
              <w:t>(семена,</w:t>
            </w:r>
            <w:r w:rsidR="006C680D" w:rsidRPr="00D337FA">
              <w:rPr>
                <w:sz w:val="20"/>
                <w:szCs w:val="20"/>
              </w:rPr>
              <w:t xml:space="preserve"> </w:t>
            </w:r>
            <w:r w:rsidRPr="00D337FA">
              <w:rPr>
                <w:sz w:val="20"/>
                <w:szCs w:val="20"/>
              </w:rPr>
              <w:t>генетика,</w:t>
            </w:r>
            <w:r w:rsidR="006C680D" w:rsidRPr="00D337FA">
              <w:rPr>
                <w:sz w:val="20"/>
                <w:szCs w:val="20"/>
              </w:rPr>
              <w:t xml:space="preserve"> </w:t>
            </w:r>
            <w:r w:rsidRPr="00D337FA">
              <w:rPr>
                <w:sz w:val="20"/>
                <w:szCs w:val="20"/>
              </w:rPr>
              <w:t>техника),</w:t>
            </w:r>
            <w:r w:rsidR="006C680D" w:rsidRPr="00D337FA">
              <w:rPr>
                <w:sz w:val="20"/>
                <w:szCs w:val="20"/>
              </w:rPr>
              <w:t xml:space="preserve"> </w:t>
            </w:r>
            <w:r w:rsidRPr="00D337FA">
              <w:rPr>
                <w:sz w:val="20"/>
                <w:szCs w:val="20"/>
              </w:rPr>
              <w:t>импортонезависимость</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устойчивость</w:t>
            </w:r>
            <w:r w:rsidR="006C680D" w:rsidRPr="00D337FA">
              <w:rPr>
                <w:sz w:val="20"/>
                <w:szCs w:val="20"/>
              </w:rPr>
              <w:t xml:space="preserve"> </w:t>
            </w:r>
            <w:r w:rsidRPr="00D337FA">
              <w:rPr>
                <w:sz w:val="20"/>
                <w:szCs w:val="20"/>
              </w:rPr>
              <w:t>цепочек.</w:t>
            </w:r>
            <w:r w:rsidR="006C680D" w:rsidRPr="00D337FA">
              <w:rPr>
                <w:sz w:val="20"/>
                <w:szCs w:val="20"/>
              </w:rPr>
              <w:t xml:space="preserve"> </w:t>
            </w:r>
            <w:r w:rsidRPr="00D337FA">
              <w:rPr>
                <w:sz w:val="20"/>
                <w:szCs w:val="20"/>
              </w:rPr>
              <w:t>Поддержку</w:t>
            </w:r>
            <w:r w:rsidR="006C680D" w:rsidRPr="00D337FA">
              <w:rPr>
                <w:sz w:val="20"/>
                <w:szCs w:val="20"/>
              </w:rPr>
              <w:t xml:space="preserve"> </w:t>
            </w:r>
            <w:r w:rsidRPr="00D337FA">
              <w:rPr>
                <w:sz w:val="20"/>
                <w:szCs w:val="20"/>
              </w:rPr>
              <w:t>переориентировали</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быстрое</w:t>
            </w:r>
            <w:r w:rsidR="006C680D" w:rsidRPr="00D337FA">
              <w:rPr>
                <w:sz w:val="20"/>
                <w:szCs w:val="20"/>
              </w:rPr>
              <w:t xml:space="preserve"> </w:t>
            </w:r>
            <w:r w:rsidRPr="00D337FA">
              <w:rPr>
                <w:sz w:val="20"/>
                <w:szCs w:val="20"/>
              </w:rPr>
              <w:t>замещение,</w:t>
            </w:r>
            <w:r w:rsidR="006C680D" w:rsidRPr="00D337FA">
              <w:rPr>
                <w:sz w:val="20"/>
                <w:szCs w:val="20"/>
              </w:rPr>
              <w:t xml:space="preserve"> </w:t>
            </w:r>
            <w:r w:rsidRPr="00D337FA">
              <w:rPr>
                <w:sz w:val="20"/>
                <w:szCs w:val="20"/>
              </w:rPr>
              <w:t>локализацию</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последующее</w:t>
            </w:r>
            <w:r w:rsidR="006C680D" w:rsidRPr="00D337FA">
              <w:rPr>
                <w:sz w:val="20"/>
                <w:szCs w:val="20"/>
              </w:rPr>
              <w:t xml:space="preserve"> </w:t>
            </w:r>
            <w:r w:rsidRPr="00D337FA">
              <w:rPr>
                <w:sz w:val="20"/>
                <w:szCs w:val="20"/>
              </w:rPr>
              <w:t>производство</w:t>
            </w:r>
            <w:r w:rsidR="006C680D" w:rsidRPr="00D337FA">
              <w:rPr>
                <w:sz w:val="20"/>
                <w:szCs w:val="20"/>
              </w:rPr>
              <w:t xml:space="preserve"> </w:t>
            </w:r>
            <w:r w:rsidRPr="00D337FA">
              <w:rPr>
                <w:sz w:val="20"/>
                <w:szCs w:val="20"/>
              </w:rPr>
              <w:t>продукции.</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2023</w:t>
            </w:r>
          </w:p>
        </w:tc>
        <w:tc>
          <w:tcPr>
            <w:tcW w:w="0" w:type="auto"/>
            <w:hideMark/>
          </w:tcPr>
          <w:p w:rsidR="00826D3F" w:rsidRPr="00D337FA" w:rsidRDefault="00826D3F" w:rsidP="00826D3F">
            <w:pPr>
              <w:ind w:firstLine="0"/>
              <w:rPr>
                <w:sz w:val="20"/>
                <w:szCs w:val="20"/>
              </w:rPr>
            </w:pPr>
            <w:r w:rsidRPr="00D337FA">
              <w:rPr>
                <w:sz w:val="20"/>
                <w:szCs w:val="20"/>
              </w:rPr>
              <w:t>Изменение</w:t>
            </w:r>
            <w:r w:rsidR="006C680D" w:rsidRPr="00D337FA">
              <w:rPr>
                <w:sz w:val="20"/>
                <w:szCs w:val="20"/>
              </w:rPr>
              <w:t xml:space="preserve"> </w:t>
            </w:r>
            <w:r w:rsidRPr="00D337FA">
              <w:rPr>
                <w:sz w:val="20"/>
                <w:szCs w:val="20"/>
              </w:rPr>
              <w:t>механизма</w:t>
            </w:r>
            <w:r w:rsidR="006C680D" w:rsidRPr="00D337FA">
              <w:rPr>
                <w:sz w:val="20"/>
                <w:szCs w:val="20"/>
              </w:rPr>
              <w:t xml:space="preserve"> </w:t>
            </w:r>
            <w:r w:rsidRPr="00D337FA">
              <w:rPr>
                <w:sz w:val="20"/>
                <w:szCs w:val="20"/>
              </w:rPr>
              <w:t>поддержки</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направлении</w:t>
            </w:r>
            <w:r w:rsidR="006C680D" w:rsidRPr="00D337FA">
              <w:rPr>
                <w:sz w:val="20"/>
                <w:szCs w:val="20"/>
              </w:rPr>
              <w:t xml:space="preserve"> </w:t>
            </w:r>
            <w:r w:rsidRPr="00D337FA">
              <w:rPr>
                <w:sz w:val="20"/>
                <w:szCs w:val="20"/>
              </w:rPr>
              <w:t>повышения</w:t>
            </w:r>
            <w:r w:rsidR="006C680D" w:rsidRPr="00D337FA">
              <w:rPr>
                <w:sz w:val="20"/>
                <w:szCs w:val="20"/>
              </w:rPr>
              <w:t xml:space="preserve"> </w:t>
            </w:r>
            <w:r w:rsidRPr="00D337FA">
              <w:rPr>
                <w:sz w:val="20"/>
                <w:szCs w:val="20"/>
              </w:rPr>
              <w:t>адресности,</w:t>
            </w:r>
            <w:r w:rsidR="006C680D" w:rsidRPr="00D337FA">
              <w:rPr>
                <w:sz w:val="20"/>
                <w:szCs w:val="20"/>
              </w:rPr>
              <w:t xml:space="preserve"> </w:t>
            </w:r>
            <w:r w:rsidRPr="00D337FA">
              <w:rPr>
                <w:sz w:val="20"/>
                <w:szCs w:val="20"/>
              </w:rPr>
              <w:t>кадровые</w:t>
            </w:r>
            <w:r w:rsidR="006C680D" w:rsidRPr="00D337FA">
              <w:rPr>
                <w:sz w:val="20"/>
                <w:szCs w:val="20"/>
              </w:rPr>
              <w:t xml:space="preserve"> </w:t>
            </w:r>
            <w:r w:rsidRPr="00D337FA">
              <w:rPr>
                <w:sz w:val="20"/>
                <w:szCs w:val="20"/>
              </w:rPr>
              <w:t>меры,</w:t>
            </w:r>
            <w:r w:rsidR="006C680D" w:rsidRPr="00D337FA">
              <w:rPr>
                <w:sz w:val="20"/>
                <w:szCs w:val="20"/>
              </w:rPr>
              <w:t xml:space="preserve"> </w:t>
            </w:r>
            <w:r w:rsidRPr="00D337FA">
              <w:rPr>
                <w:sz w:val="20"/>
                <w:szCs w:val="20"/>
              </w:rPr>
              <w:t>ускорение</w:t>
            </w:r>
            <w:r w:rsidR="006C680D" w:rsidRPr="00D337FA">
              <w:rPr>
                <w:sz w:val="20"/>
                <w:szCs w:val="20"/>
              </w:rPr>
              <w:t xml:space="preserve"> </w:t>
            </w:r>
            <w:r w:rsidRPr="00D337FA">
              <w:rPr>
                <w:sz w:val="20"/>
                <w:szCs w:val="20"/>
              </w:rPr>
              <w:t>инноваций</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стимулирование</w:t>
            </w:r>
            <w:r w:rsidR="006C680D" w:rsidRPr="00D337FA">
              <w:rPr>
                <w:sz w:val="20"/>
                <w:szCs w:val="20"/>
              </w:rPr>
              <w:t xml:space="preserve"> </w:t>
            </w:r>
            <w:r w:rsidRPr="00D337FA">
              <w:rPr>
                <w:sz w:val="20"/>
                <w:szCs w:val="20"/>
              </w:rPr>
              <w:t>инвестактивности.</w:t>
            </w:r>
            <w:r w:rsidR="006C680D" w:rsidRPr="00D337FA">
              <w:rPr>
                <w:sz w:val="20"/>
                <w:szCs w:val="20"/>
              </w:rPr>
              <w:t xml:space="preserve">  </w:t>
            </w:r>
            <w:r w:rsidRPr="00D337FA">
              <w:rPr>
                <w:sz w:val="20"/>
                <w:szCs w:val="20"/>
              </w:rPr>
              <w:t>Возрастание</w:t>
            </w:r>
            <w:r w:rsidR="006C680D" w:rsidRPr="00D337FA">
              <w:rPr>
                <w:sz w:val="20"/>
                <w:szCs w:val="20"/>
              </w:rPr>
              <w:t xml:space="preserve"> </w:t>
            </w:r>
            <w:r w:rsidRPr="00D337FA">
              <w:rPr>
                <w:sz w:val="20"/>
                <w:szCs w:val="20"/>
              </w:rPr>
              <w:t>уровня</w:t>
            </w:r>
            <w:r w:rsidR="006C680D" w:rsidRPr="00D337FA">
              <w:rPr>
                <w:sz w:val="20"/>
                <w:szCs w:val="20"/>
              </w:rPr>
              <w:t xml:space="preserve"> </w:t>
            </w:r>
            <w:r w:rsidRPr="00D337FA">
              <w:rPr>
                <w:sz w:val="20"/>
                <w:szCs w:val="20"/>
              </w:rPr>
              <w:t>контроля</w:t>
            </w:r>
            <w:r w:rsidR="006C680D" w:rsidRPr="00D337FA">
              <w:rPr>
                <w:sz w:val="20"/>
                <w:szCs w:val="20"/>
              </w:rPr>
              <w:t xml:space="preserve"> </w:t>
            </w:r>
            <w:r w:rsidRPr="00D337FA">
              <w:rPr>
                <w:sz w:val="20"/>
                <w:szCs w:val="20"/>
              </w:rPr>
              <w:t>за</w:t>
            </w:r>
            <w:r w:rsidR="006C680D" w:rsidRPr="00D337FA">
              <w:rPr>
                <w:sz w:val="20"/>
                <w:szCs w:val="20"/>
              </w:rPr>
              <w:t xml:space="preserve"> </w:t>
            </w:r>
            <w:r w:rsidRPr="00D337FA">
              <w:rPr>
                <w:sz w:val="20"/>
                <w:szCs w:val="20"/>
              </w:rPr>
              <w:t>финальными</w:t>
            </w:r>
            <w:r w:rsidR="006C680D" w:rsidRPr="00D337FA">
              <w:rPr>
                <w:sz w:val="20"/>
                <w:szCs w:val="20"/>
              </w:rPr>
              <w:t xml:space="preserve"> </w:t>
            </w:r>
            <w:r w:rsidRPr="00D337FA">
              <w:rPr>
                <w:sz w:val="20"/>
                <w:szCs w:val="20"/>
              </w:rPr>
              <w:t>результатами</w:t>
            </w:r>
            <w:r w:rsidR="006C680D" w:rsidRPr="00D337FA">
              <w:rPr>
                <w:sz w:val="20"/>
                <w:szCs w:val="20"/>
              </w:rPr>
              <w:t xml:space="preserve"> </w:t>
            </w:r>
            <w:r w:rsidRPr="00D337FA">
              <w:rPr>
                <w:sz w:val="20"/>
                <w:szCs w:val="20"/>
              </w:rPr>
              <w:t>организаций.</w:t>
            </w:r>
            <w:r w:rsidR="006C680D" w:rsidRPr="00D337FA">
              <w:rPr>
                <w:sz w:val="20"/>
                <w:szCs w:val="20"/>
              </w:rPr>
              <w:t xml:space="preserve"> </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2024</w:t>
            </w:r>
          </w:p>
        </w:tc>
        <w:tc>
          <w:tcPr>
            <w:tcW w:w="0" w:type="auto"/>
            <w:hideMark/>
          </w:tcPr>
          <w:p w:rsidR="00826D3F" w:rsidRPr="00D337FA" w:rsidRDefault="00826D3F" w:rsidP="00826D3F">
            <w:pPr>
              <w:ind w:firstLine="0"/>
              <w:rPr>
                <w:sz w:val="20"/>
                <w:szCs w:val="20"/>
              </w:rPr>
            </w:pPr>
            <w:r w:rsidRPr="00D337FA">
              <w:rPr>
                <w:sz w:val="20"/>
                <w:szCs w:val="20"/>
                <w:lang w:eastAsia="ru-RU"/>
              </w:rPr>
              <w:t>Приоритет</w:t>
            </w:r>
            <w:r w:rsidR="006C680D" w:rsidRPr="00D337FA">
              <w:rPr>
                <w:sz w:val="20"/>
                <w:szCs w:val="20"/>
                <w:lang w:eastAsia="ru-RU"/>
              </w:rPr>
              <w:t xml:space="preserve"> </w:t>
            </w:r>
            <w:r w:rsidRPr="00D337FA">
              <w:rPr>
                <w:sz w:val="20"/>
                <w:szCs w:val="20"/>
                <w:lang w:eastAsia="ru-RU"/>
              </w:rPr>
              <w:t>на</w:t>
            </w:r>
            <w:r w:rsidR="006C680D" w:rsidRPr="00D337FA">
              <w:rPr>
                <w:sz w:val="20"/>
                <w:szCs w:val="20"/>
                <w:lang w:eastAsia="ru-RU"/>
              </w:rPr>
              <w:t xml:space="preserve"> </w:t>
            </w:r>
            <w:r w:rsidRPr="00D337FA">
              <w:rPr>
                <w:sz w:val="20"/>
                <w:szCs w:val="20"/>
                <w:bdr w:val="none" w:sz="0" w:space="0" w:color="auto" w:frame="1"/>
                <w:lang w:eastAsia="ru-RU"/>
              </w:rPr>
              <w:t>льготное</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кредитование</w:t>
            </w:r>
            <w:r w:rsidRPr="00D337FA">
              <w:rPr>
                <w:sz w:val="20"/>
                <w:szCs w:val="20"/>
                <w:lang w:eastAsia="ru-RU"/>
              </w:rPr>
              <w:t>,</w:t>
            </w:r>
            <w:r w:rsidR="006C680D" w:rsidRPr="00D337FA">
              <w:rPr>
                <w:sz w:val="20"/>
                <w:szCs w:val="20"/>
                <w:lang w:eastAsia="ru-RU"/>
              </w:rPr>
              <w:t xml:space="preserve"> </w:t>
            </w:r>
            <w:r w:rsidRPr="00D337FA">
              <w:rPr>
                <w:sz w:val="20"/>
                <w:szCs w:val="20"/>
                <w:lang w:eastAsia="ru-RU"/>
              </w:rPr>
              <w:t>поддержку</w:t>
            </w:r>
            <w:r w:rsidR="006C680D" w:rsidRPr="00D337FA">
              <w:rPr>
                <w:sz w:val="20"/>
                <w:szCs w:val="20"/>
                <w:lang w:eastAsia="ru-RU"/>
              </w:rPr>
              <w:t xml:space="preserve"> </w:t>
            </w:r>
            <w:r w:rsidRPr="00D337FA">
              <w:rPr>
                <w:sz w:val="20"/>
                <w:szCs w:val="20"/>
                <w:bdr w:val="none" w:sz="0" w:space="0" w:color="auto" w:frame="1"/>
                <w:lang w:eastAsia="ru-RU"/>
              </w:rPr>
              <w:t>приоритетных</w:t>
            </w:r>
            <w:r w:rsidR="006C680D" w:rsidRPr="00D337FA">
              <w:rPr>
                <w:sz w:val="20"/>
                <w:szCs w:val="20"/>
                <w:bdr w:val="none" w:sz="0" w:space="0" w:color="auto" w:frame="1"/>
                <w:lang w:eastAsia="ru-RU"/>
              </w:rPr>
              <w:t xml:space="preserve"> </w:t>
            </w:r>
            <w:r w:rsidRPr="00D337FA">
              <w:rPr>
                <w:sz w:val="20"/>
                <w:szCs w:val="20"/>
                <w:bdr w:val="none" w:sz="0" w:space="0" w:color="auto" w:frame="1"/>
                <w:lang w:eastAsia="ru-RU"/>
              </w:rPr>
              <w:t>направлений</w:t>
            </w:r>
            <w:r w:rsidR="006C680D" w:rsidRPr="00D337FA">
              <w:rPr>
                <w:sz w:val="20"/>
                <w:szCs w:val="20"/>
                <w:lang w:eastAsia="ru-RU"/>
              </w:rPr>
              <w:t xml:space="preserve"> </w:t>
            </w:r>
            <w:r w:rsidRPr="00D337FA">
              <w:rPr>
                <w:sz w:val="20"/>
                <w:szCs w:val="20"/>
                <w:lang w:eastAsia="ru-RU"/>
              </w:rPr>
              <w:t>(селекция,</w:t>
            </w:r>
            <w:r w:rsidR="006C680D" w:rsidRPr="00D337FA">
              <w:rPr>
                <w:sz w:val="20"/>
                <w:szCs w:val="20"/>
                <w:lang w:eastAsia="ru-RU"/>
              </w:rPr>
              <w:t xml:space="preserve"> </w:t>
            </w:r>
            <w:r w:rsidRPr="00D337FA">
              <w:rPr>
                <w:sz w:val="20"/>
                <w:szCs w:val="20"/>
                <w:lang w:eastAsia="ru-RU"/>
              </w:rPr>
              <w:t>генетика,</w:t>
            </w:r>
            <w:r w:rsidR="006C680D" w:rsidRPr="00D337FA">
              <w:rPr>
                <w:sz w:val="20"/>
                <w:szCs w:val="20"/>
                <w:lang w:eastAsia="ru-RU"/>
              </w:rPr>
              <w:t xml:space="preserve"> </w:t>
            </w:r>
            <w:r w:rsidRPr="00D337FA">
              <w:rPr>
                <w:sz w:val="20"/>
                <w:szCs w:val="20"/>
                <w:lang w:eastAsia="ru-RU"/>
              </w:rPr>
              <w:t>мелиорация,</w:t>
            </w:r>
            <w:r w:rsidR="006C680D" w:rsidRPr="00D337FA">
              <w:rPr>
                <w:sz w:val="20"/>
                <w:szCs w:val="20"/>
                <w:lang w:eastAsia="ru-RU"/>
              </w:rPr>
              <w:t xml:space="preserve"> </w:t>
            </w:r>
            <w:r w:rsidRPr="00D337FA">
              <w:rPr>
                <w:sz w:val="20"/>
                <w:szCs w:val="20"/>
                <w:lang w:eastAsia="ru-RU"/>
              </w:rPr>
              <w:t>производство</w:t>
            </w:r>
            <w:r w:rsidR="006C680D" w:rsidRPr="00D337FA">
              <w:rPr>
                <w:sz w:val="20"/>
                <w:szCs w:val="20"/>
                <w:lang w:eastAsia="ru-RU"/>
              </w:rPr>
              <w:t xml:space="preserve"> </w:t>
            </w:r>
            <w:r w:rsidRPr="00D337FA">
              <w:rPr>
                <w:sz w:val="20"/>
                <w:szCs w:val="20"/>
                <w:lang w:eastAsia="ru-RU"/>
              </w:rPr>
              <w:t>яиц,</w:t>
            </w:r>
            <w:r w:rsidR="006C680D" w:rsidRPr="00D337FA">
              <w:rPr>
                <w:sz w:val="20"/>
                <w:szCs w:val="20"/>
                <w:lang w:eastAsia="ru-RU"/>
              </w:rPr>
              <w:t xml:space="preserve"> </w:t>
            </w:r>
            <w:r w:rsidRPr="00D337FA">
              <w:rPr>
                <w:sz w:val="20"/>
                <w:szCs w:val="20"/>
              </w:rPr>
              <w:t>увеличение</w:t>
            </w:r>
            <w:r w:rsidR="006C680D" w:rsidRPr="00D337FA">
              <w:rPr>
                <w:sz w:val="20"/>
                <w:szCs w:val="20"/>
              </w:rPr>
              <w:t xml:space="preserve"> </w:t>
            </w:r>
            <w:r w:rsidRPr="00D337FA">
              <w:rPr>
                <w:sz w:val="20"/>
                <w:szCs w:val="20"/>
              </w:rPr>
              <w:t>экспорта,</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агротуризма,</w:t>
            </w:r>
            <w:r w:rsidR="006C680D" w:rsidRPr="00D337FA">
              <w:rPr>
                <w:sz w:val="20"/>
                <w:szCs w:val="20"/>
              </w:rPr>
              <w:t xml:space="preserve"> </w:t>
            </w:r>
            <w:r w:rsidRPr="00D337FA">
              <w:rPr>
                <w:sz w:val="20"/>
                <w:szCs w:val="20"/>
              </w:rPr>
              <w:t>усиление</w:t>
            </w:r>
            <w:r w:rsidR="006C680D" w:rsidRPr="00D337FA">
              <w:rPr>
                <w:sz w:val="20"/>
                <w:szCs w:val="20"/>
              </w:rPr>
              <w:t xml:space="preserve"> </w:t>
            </w:r>
            <w:r w:rsidRPr="00D337FA">
              <w:rPr>
                <w:sz w:val="20"/>
                <w:szCs w:val="20"/>
              </w:rPr>
              <w:t>кооперации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МТБ).</w:t>
            </w:r>
            <w:r w:rsidR="006C680D" w:rsidRPr="00D337FA">
              <w:rPr>
                <w:sz w:val="20"/>
                <w:szCs w:val="20"/>
              </w:rPr>
              <w:t xml:space="preserve"> </w:t>
            </w:r>
          </w:p>
        </w:tc>
      </w:tr>
      <w:tr w:rsidR="00D337FA" w:rsidRPr="00D337FA" w:rsidTr="004325C9">
        <w:tc>
          <w:tcPr>
            <w:tcW w:w="0" w:type="auto"/>
            <w:hideMark/>
          </w:tcPr>
          <w:p w:rsidR="00826D3F" w:rsidRPr="00D337FA" w:rsidRDefault="00826D3F" w:rsidP="00826D3F">
            <w:pPr>
              <w:ind w:firstLine="0"/>
              <w:rPr>
                <w:sz w:val="20"/>
                <w:szCs w:val="20"/>
              </w:rPr>
            </w:pPr>
            <w:r w:rsidRPr="00D337FA">
              <w:rPr>
                <w:sz w:val="20"/>
                <w:szCs w:val="20"/>
              </w:rPr>
              <w:t>2025</w:t>
            </w:r>
          </w:p>
        </w:tc>
        <w:tc>
          <w:tcPr>
            <w:tcW w:w="0" w:type="auto"/>
            <w:hideMark/>
          </w:tcPr>
          <w:p w:rsidR="00826D3F" w:rsidRPr="00D337FA" w:rsidRDefault="00826D3F" w:rsidP="00826D3F">
            <w:pPr>
              <w:ind w:firstLine="0"/>
              <w:rPr>
                <w:sz w:val="20"/>
                <w:szCs w:val="20"/>
              </w:rPr>
            </w:pPr>
            <w:r w:rsidRPr="00D337FA">
              <w:rPr>
                <w:sz w:val="20"/>
                <w:szCs w:val="20"/>
              </w:rPr>
              <w:t>Приоритетами</w:t>
            </w:r>
            <w:r w:rsidR="006C680D" w:rsidRPr="00D337FA">
              <w:rPr>
                <w:sz w:val="20"/>
                <w:szCs w:val="20"/>
              </w:rPr>
              <w:t xml:space="preserve"> </w:t>
            </w:r>
            <w:r w:rsidRPr="00D337FA">
              <w:rPr>
                <w:sz w:val="20"/>
                <w:szCs w:val="20"/>
              </w:rPr>
              <w:t>текущего</w:t>
            </w:r>
            <w:r w:rsidR="006C680D" w:rsidRPr="00D337FA">
              <w:rPr>
                <w:sz w:val="20"/>
                <w:szCs w:val="20"/>
              </w:rPr>
              <w:t xml:space="preserve"> </w:t>
            </w:r>
            <w:r w:rsidRPr="00D337FA">
              <w:rPr>
                <w:sz w:val="20"/>
                <w:szCs w:val="20"/>
              </w:rPr>
              <w:t>года</w:t>
            </w:r>
            <w:r w:rsidR="006C680D" w:rsidRPr="00D337FA">
              <w:rPr>
                <w:sz w:val="20"/>
                <w:szCs w:val="20"/>
              </w:rPr>
              <w:t xml:space="preserve"> </w:t>
            </w:r>
            <w:r w:rsidRPr="00D337FA">
              <w:rPr>
                <w:sz w:val="20"/>
                <w:szCs w:val="20"/>
              </w:rPr>
              <w:t>стали:</w:t>
            </w:r>
            <w:r w:rsidR="006C680D" w:rsidRPr="00D337FA">
              <w:rPr>
                <w:sz w:val="20"/>
                <w:szCs w:val="20"/>
              </w:rPr>
              <w:t xml:space="preserve"> </w:t>
            </w:r>
            <w:r w:rsidRPr="00D337FA">
              <w:rPr>
                <w:sz w:val="20"/>
                <w:szCs w:val="20"/>
              </w:rPr>
              <w:t>результативность,</w:t>
            </w:r>
            <w:r w:rsidR="006C680D" w:rsidRPr="00D337FA">
              <w:rPr>
                <w:sz w:val="20"/>
                <w:szCs w:val="20"/>
              </w:rPr>
              <w:t xml:space="preserve"> </w:t>
            </w:r>
            <w:r w:rsidRPr="00D337FA">
              <w:rPr>
                <w:sz w:val="20"/>
                <w:szCs w:val="20"/>
              </w:rPr>
              <w:t>снижение</w:t>
            </w:r>
            <w:r w:rsidR="006C680D" w:rsidRPr="00D337FA">
              <w:rPr>
                <w:sz w:val="20"/>
                <w:szCs w:val="20"/>
              </w:rPr>
              <w:t xml:space="preserve"> </w:t>
            </w:r>
            <w:r w:rsidRPr="00D337FA">
              <w:rPr>
                <w:sz w:val="20"/>
                <w:szCs w:val="20"/>
              </w:rPr>
              <w:t>издержек,</w:t>
            </w:r>
            <w:r w:rsidR="006C680D" w:rsidRPr="00D337FA">
              <w:rPr>
                <w:sz w:val="20"/>
                <w:szCs w:val="20"/>
              </w:rPr>
              <w:t xml:space="preserve"> </w:t>
            </w:r>
            <w:r w:rsidRPr="00D337FA">
              <w:rPr>
                <w:sz w:val="20"/>
                <w:szCs w:val="20"/>
              </w:rPr>
              <w:t>инновации</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кадры,</w:t>
            </w:r>
            <w:r w:rsidR="006C680D" w:rsidRPr="00D337FA">
              <w:rPr>
                <w:sz w:val="20"/>
                <w:szCs w:val="20"/>
              </w:rPr>
              <w:t xml:space="preserve"> </w:t>
            </w:r>
            <w:r w:rsidRPr="00D337FA">
              <w:rPr>
                <w:sz w:val="20"/>
                <w:szCs w:val="20"/>
              </w:rPr>
              <w:t>в</w:t>
            </w:r>
            <w:r w:rsidR="006C680D" w:rsidRPr="00D337FA">
              <w:rPr>
                <w:sz w:val="20"/>
                <w:szCs w:val="20"/>
              </w:rPr>
              <w:t xml:space="preserve"> </w:t>
            </w:r>
            <w:r w:rsidRPr="00D337FA">
              <w:rPr>
                <w:sz w:val="20"/>
                <w:szCs w:val="20"/>
              </w:rPr>
              <w:t>т.ч.</w:t>
            </w:r>
            <w:r w:rsidR="006C680D" w:rsidRPr="00D337FA">
              <w:rPr>
                <w:sz w:val="20"/>
                <w:szCs w:val="20"/>
              </w:rPr>
              <w:t xml:space="preserve"> </w:t>
            </w:r>
            <w:r w:rsidRPr="00D337FA">
              <w:rPr>
                <w:sz w:val="20"/>
                <w:szCs w:val="20"/>
              </w:rPr>
              <w:t>селекция,</w:t>
            </w:r>
            <w:r w:rsidR="006C680D" w:rsidRPr="00D337FA">
              <w:rPr>
                <w:sz w:val="20"/>
                <w:szCs w:val="20"/>
              </w:rPr>
              <w:t xml:space="preserve"> </w:t>
            </w:r>
            <w:r w:rsidRPr="00D337FA">
              <w:rPr>
                <w:sz w:val="20"/>
                <w:szCs w:val="20"/>
              </w:rPr>
              <w:t>генетика.</w:t>
            </w:r>
            <w:r w:rsidR="006C680D" w:rsidRPr="00D337FA">
              <w:rPr>
                <w:sz w:val="20"/>
                <w:szCs w:val="20"/>
              </w:rPr>
              <w:t xml:space="preserve"> </w:t>
            </w:r>
            <w:r w:rsidRPr="00D337FA">
              <w:rPr>
                <w:sz w:val="20"/>
                <w:szCs w:val="20"/>
              </w:rPr>
              <w:t>Большая</w:t>
            </w:r>
            <w:r w:rsidR="006C680D" w:rsidRPr="00D337FA">
              <w:rPr>
                <w:sz w:val="20"/>
                <w:szCs w:val="20"/>
              </w:rPr>
              <w:t xml:space="preserve"> </w:t>
            </w:r>
            <w:r w:rsidRPr="00D337FA">
              <w:rPr>
                <w:sz w:val="20"/>
                <w:szCs w:val="20"/>
              </w:rPr>
              <w:t>финансовая</w:t>
            </w:r>
            <w:r w:rsidR="006C680D" w:rsidRPr="00D337FA">
              <w:rPr>
                <w:sz w:val="20"/>
                <w:szCs w:val="20"/>
              </w:rPr>
              <w:t xml:space="preserve"> </w:t>
            </w:r>
            <w:r w:rsidRPr="00D337FA">
              <w:rPr>
                <w:sz w:val="20"/>
                <w:szCs w:val="20"/>
              </w:rPr>
              <w:t>поддержка</w:t>
            </w:r>
            <w:r w:rsidR="006C680D" w:rsidRPr="00D337FA">
              <w:rPr>
                <w:sz w:val="20"/>
                <w:szCs w:val="20"/>
              </w:rPr>
              <w:t xml:space="preserve"> </w:t>
            </w:r>
            <w:r w:rsidRPr="00D337FA">
              <w:rPr>
                <w:sz w:val="20"/>
                <w:szCs w:val="20"/>
              </w:rPr>
              <w:t>направляется</w:t>
            </w:r>
            <w:r w:rsidR="006C680D" w:rsidRPr="00D337FA">
              <w:rPr>
                <w:sz w:val="20"/>
                <w:szCs w:val="20"/>
              </w:rPr>
              <w:t xml:space="preserve"> </w:t>
            </w:r>
            <w:r w:rsidRPr="00D337FA">
              <w:rPr>
                <w:sz w:val="20"/>
                <w:szCs w:val="20"/>
              </w:rPr>
              <w:t>на</w:t>
            </w:r>
            <w:r w:rsidR="006C680D" w:rsidRPr="00D337FA">
              <w:rPr>
                <w:sz w:val="20"/>
                <w:szCs w:val="20"/>
              </w:rPr>
              <w:t xml:space="preserve"> </w:t>
            </w:r>
            <w:r w:rsidRPr="00D337FA">
              <w:rPr>
                <w:sz w:val="20"/>
                <w:szCs w:val="20"/>
              </w:rPr>
              <w:t>развитие</w:t>
            </w:r>
            <w:r w:rsidR="006C680D" w:rsidRPr="00D337FA">
              <w:rPr>
                <w:sz w:val="20"/>
                <w:szCs w:val="20"/>
              </w:rPr>
              <w:t xml:space="preserve"> </w:t>
            </w:r>
            <w:r w:rsidRPr="00D337FA">
              <w:rPr>
                <w:sz w:val="20"/>
                <w:szCs w:val="20"/>
              </w:rPr>
              <w:t>критической</w:t>
            </w:r>
            <w:r w:rsidR="006C680D" w:rsidRPr="00D337FA">
              <w:rPr>
                <w:sz w:val="20"/>
                <w:szCs w:val="20"/>
              </w:rPr>
              <w:t xml:space="preserve"> </w:t>
            </w:r>
            <w:r w:rsidRPr="00D337FA">
              <w:rPr>
                <w:sz w:val="20"/>
                <w:szCs w:val="20"/>
              </w:rPr>
              <w:t>инфраструктуры,</w:t>
            </w:r>
            <w:r w:rsidR="006C680D" w:rsidRPr="00D337FA">
              <w:rPr>
                <w:sz w:val="20"/>
                <w:szCs w:val="20"/>
              </w:rPr>
              <w:t xml:space="preserve"> </w:t>
            </w:r>
            <w:r w:rsidRPr="00D337FA">
              <w:rPr>
                <w:sz w:val="20"/>
                <w:szCs w:val="20"/>
              </w:rPr>
              <w:t>инновационных</w:t>
            </w:r>
            <w:r w:rsidR="006C680D" w:rsidRPr="00D337FA">
              <w:rPr>
                <w:sz w:val="20"/>
                <w:szCs w:val="20"/>
              </w:rPr>
              <w:t xml:space="preserve"> </w:t>
            </w:r>
            <w:r w:rsidRPr="00D337FA">
              <w:rPr>
                <w:sz w:val="20"/>
                <w:szCs w:val="20"/>
              </w:rPr>
              <w:t>направлений</w:t>
            </w:r>
            <w:r w:rsidR="006C680D" w:rsidRPr="00D337FA">
              <w:rPr>
                <w:sz w:val="20"/>
                <w:szCs w:val="20"/>
              </w:rPr>
              <w:t xml:space="preserve"> </w:t>
            </w:r>
            <w:r w:rsidRPr="00D337FA">
              <w:rPr>
                <w:sz w:val="20"/>
                <w:szCs w:val="20"/>
              </w:rPr>
              <w:t>и</w:t>
            </w:r>
            <w:r w:rsidR="006C680D" w:rsidRPr="00D337FA">
              <w:rPr>
                <w:sz w:val="20"/>
                <w:szCs w:val="20"/>
              </w:rPr>
              <w:t xml:space="preserve"> </w:t>
            </w:r>
            <w:r w:rsidRPr="00D337FA">
              <w:rPr>
                <w:sz w:val="20"/>
                <w:szCs w:val="20"/>
              </w:rPr>
              <w:t>технологических</w:t>
            </w:r>
            <w:r w:rsidR="006C680D" w:rsidRPr="00D337FA">
              <w:rPr>
                <w:sz w:val="20"/>
                <w:szCs w:val="20"/>
              </w:rPr>
              <w:t xml:space="preserve"> </w:t>
            </w:r>
            <w:r w:rsidRPr="00D337FA">
              <w:rPr>
                <w:sz w:val="20"/>
                <w:szCs w:val="20"/>
              </w:rPr>
              <w:t>стартапов.</w:t>
            </w:r>
            <w:r w:rsidR="006C680D" w:rsidRPr="00D337FA">
              <w:rPr>
                <w:sz w:val="20"/>
                <w:szCs w:val="20"/>
              </w:rPr>
              <w:t xml:space="preserve"> </w:t>
            </w:r>
          </w:p>
        </w:tc>
      </w:tr>
    </w:tbl>
    <w:p w:rsidR="008932D6" w:rsidRPr="00D337FA" w:rsidRDefault="00826D3F" w:rsidP="00826D3F">
      <w:pPr>
        <w:ind w:firstLine="0"/>
        <w:jc w:val="left"/>
        <w:rPr>
          <w:rFonts w:ascii="Arial" w:hAnsi="Arial"/>
          <w:b/>
          <w:i/>
          <w:szCs w:val="24"/>
          <w:highlight w:val="yellow"/>
        </w:rPr>
      </w:pPr>
      <w:r w:rsidRPr="00D337FA">
        <w:rPr>
          <w:sz w:val="20"/>
          <w:szCs w:val="20"/>
        </w:rPr>
        <w:t>Источник:</w:t>
      </w:r>
      <w:r w:rsidR="006C680D" w:rsidRPr="00D337FA">
        <w:rPr>
          <w:sz w:val="20"/>
          <w:szCs w:val="20"/>
        </w:rPr>
        <w:t xml:space="preserve"> </w:t>
      </w:r>
      <w:r w:rsidRPr="00D337FA">
        <w:rPr>
          <w:sz w:val="20"/>
          <w:szCs w:val="20"/>
        </w:rPr>
        <w:t>Составлено</w:t>
      </w:r>
      <w:r w:rsidR="006C680D" w:rsidRPr="00D337FA">
        <w:rPr>
          <w:sz w:val="20"/>
          <w:szCs w:val="20"/>
        </w:rPr>
        <w:t xml:space="preserve"> </w:t>
      </w:r>
      <w:r w:rsidRPr="00D337FA">
        <w:rPr>
          <w:sz w:val="20"/>
          <w:szCs w:val="20"/>
        </w:rPr>
        <w:t>авторами</w:t>
      </w:r>
      <w:r w:rsidR="006C680D" w:rsidRPr="00D337FA">
        <w:rPr>
          <w:sz w:val="20"/>
          <w:szCs w:val="20"/>
        </w:rPr>
        <w:t xml:space="preserve"> </w:t>
      </w:r>
      <w:r w:rsidRPr="00D337FA">
        <w:rPr>
          <w:sz w:val="20"/>
          <w:szCs w:val="20"/>
        </w:rPr>
        <w:t>по</w:t>
      </w:r>
      <w:r w:rsidR="006C680D" w:rsidRPr="00D337FA">
        <w:rPr>
          <w:sz w:val="20"/>
          <w:szCs w:val="20"/>
        </w:rPr>
        <w:t xml:space="preserve"> </w:t>
      </w:r>
      <w:r w:rsidRPr="00D337FA">
        <w:rPr>
          <w:sz w:val="20"/>
          <w:szCs w:val="20"/>
        </w:rPr>
        <w:t>данным</w:t>
      </w:r>
      <w:r w:rsidR="006C680D" w:rsidRPr="00D337FA">
        <w:rPr>
          <w:sz w:val="20"/>
          <w:szCs w:val="20"/>
        </w:rPr>
        <w:t xml:space="preserve"> </w:t>
      </w:r>
      <w:r w:rsidRPr="00D337FA">
        <w:rPr>
          <w:sz w:val="20"/>
          <w:szCs w:val="20"/>
        </w:rPr>
        <w:t>Минсельхоз</w:t>
      </w:r>
      <w:r w:rsidR="006C680D" w:rsidRPr="00D337FA">
        <w:rPr>
          <w:sz w:val="20"/>
          <w:szCs w:val="20"/>
        </w:rPr>
        <w:t xml:space="preserve"> </w:t>
      </w:r>
      <w:r w:rsidRPr="00D337FA">
        <w:rPr>
          <w:sz w:val="20"/>
          <w:szCs w:val="20"/>
        </w:rPr>
        <w:t>России</w:t>
      </w:r>
    </w:p>
    <w:p w:rsidR="00826D3F" w:rsidRPr="00D337FA" w:rsidRDefault="00826D3F" w:rsidP="00812765">
      <w:pPr>
        <w:ind w:firstLine="0"/>
        <w:jc w:val="center"/>
        <w:rPr>
          <w:rFonts w:ascii="Arial" w:hAnsi="Arial"/>
          <w:b/>
          <w:i/>
          <w:szCs w:val="24"/>
          <w:highlight w:val="yellow"/>
        </w:rPr>
      </w:pPr>
    </w:p>
    <w:p w:rsidR="008932D6" w:rsidRPr="00D337FA" w:rsidRDefault="008932D6" w:rsidP="008932D6">
      <w:pPr>
        <w:ind w:firstLine="851"/>
        <w:rPr>
          <w:sz w:val="28"/>
          <w:szCs w:val="28"/>
        </w:rPr>
        <w:sectPr w:rsidR="008932D6" w:rsidRPr="00D337FA" w:rsidSect="00E61989">
          <w:footnotePr>
            <w:numRestart w:val="eachPage"/>
          </w:footnotePr>
          <w:type w:val="continuous"/>
          <w:pgSz w:w="11907" w:h="16840" w:code="9"/>
          <w:pgMar w:top="1418" w:right="1134" w:bottom="1418" w:left="1134" w:header="1021" w:footer="1021" w:gutter="0"/>
          <w:cols w:space="708"/>
          <w:docGrid w:linePitch="360"/>
        </w:sectPr>
      </w:pPr>
    </w:p>
    <w:p w:rsidR="00826D3F" w:rsidRPr="00D337FA" w:rsidRDefault="00826D3F" w:rsidP="00826D3F">
      <w:pPr>
        <w:ind w:firstLine="284"/>
        <w:rPr>
          <w:szCs w:val="22"/>
        </w:rPr>
      </w:pPr>
      <w:r w:rsidRPr="00D337FA">
        <w:rPr>
          <w:szCs w:val="28"/>
        </w:rPr>
        <w:lastRenderedPageBreak/>
        <w:t>При</w:t>
      </w:r>
      <w:r w:rsidR="006C680D" w:rsidRPr="00D337FA">
        <w:rPr>
          <w:szCs w:val="28"/>
        </w:rPr>
        <w:t xml:space="preserve"> </w:t>
      </w:r>
      <w:r w:rsidRPr="00D337FA">
        <w:rPr>
          <w:szCs w:val="28"/>
        </w:rPr>
        <w:t>этом,</w:t>
      </w:r>
      <w:r w:rsidR="006C680D" w:rsidRPr="00D337FA">
        <w:rPr>
          <w:szCs w:val="28"/>
        </w:rPr>
        <w:t xml:space="preserve"> </w:t>
      </w:r>
      <w:r w:rsidRPr="00D337FA">
        <w:rPr>
          <w:szCs w:val="28"/>
        </w:rPr>
        <w:t>несмотря</w:t>
      </w:r>
      <w:r w:rsidR="006C680D" w:rsidRPr="00D337FA">
        <w:rPr>
          <w:szCs w:val="28"/>
        </w:rPr>
        <w:t xml:space="preserve"> </w:t>
      </w:r>
      <w:r w:rsidRPr="00D337FA">
        <w:rPr>
          <w:szCs w:val="28"/>
        </w:rPr>
        <w:t>на</w:t>
      </w:r>
      <w:r w:rsidR="006C680D" w:rsidRPr="00D337FA">
        <w:rPr>
          <w:szCs w:val="28"/>
        </w:rPr>
        <w:t xml:space="preserve"> </w:t>
      </w:r>
      <w:r w:rsidRPr="00D337FA">
        <w:rPr>
          <w:szCs w:val="28"/>
        </w:rPr>
        <w:t>весь</w:t>
      </w:r>
      <w:r w:rsidR="006C680D" w:rsidRPr="00D337FA">
        <w:rPr>
          <w:szCs w:val="28"/>
        </w:rPr>
        <w:t xml:space="preserve"> </w:t>
      </w:r>
      <w:r w:rsidRPr="00D337FA">
        <w:rPr>
          <w:szCs w:val="28"/>
        </w:rPr>
        <w:t>разработанный</w:t>
      </w:r>
      <w:r w:rsidR="006C680D" w:rsidRPr="00D337FA">
        <w:rPr>
          <w:szCs w:val="28"/>
        </w:rPr>
        <w:t xml:space="preserve"> </w:t>
      </w:r>
      <w:r w:rsidRPr="00D337FA">
        <w:rPr>
          <w:szCs w:val="28"/>
        </w:rPr>
        <w:t>и</w:t>
      </w:r>
      <w:r w:rsidR="006C680D" w:rsidRPr="00D337FA">
        <w:rPr>
          <w:szCs w:val="28"/>
        </w:rPr>
        <w:t xml:space="preserve"> </w:t>
      </w:r>
      <w:r w:rsidRPr="00D337FA">
        <w:rPr>
          <w:szCs w:val="28"/>
        </w:rPr>
        <w:t>активно</w:t>
      </w:r>
      <w:r w:rsidR="006C680D" w:rsidRPr="00D337FA">
        <w:rPr>
          <w:szCs w:val="28"/>
        </w:rPr>
        <w:t xml:space="preserve"> </w:t>
      </w:r>
      <w:r w:rsidRPr="00D337FA">
        <w:rPr>
          <w:szCs w:val="28"/>
        </w:rPr>
        <w:t>применяемый</w:t>
      </w:r>
      <w:r w:rsidR="006C680D" w:rsidRPr="00D337FA">
        <w:rPr>
          <w:szCs w:val="28"/>
        </w:rPr>
        <w:t xml:space="preserve"> </w:t>
      </w:r>
      <w:r w:rsidRPr="00D337FA">
        <w:rPr>
          <w:szCs w:val="28"/>
        </w:rPr>
        <w:t>спектр</w:t>
      </w:r>
      <w:r w:rsidR="006C680D" w:rsidRPr="00D337FA">
        <w:rPr>
          <w:szCs w:val="28"/>
        </w:rPr>
        <w:t xml:space="preserve"> </w:t>
      </w:r>
      <w:r w:rsidRPr="00D337FA">
        <w:rPr>
          <w:szCs w:val="28"/>
        </w:rPr>
        <w:t>мер</w:t>
      </w:r>
      <w:r w:rsidR="006C680D" w:rsidRPr="00D337FA">
        <w:rPr>
          <w:szCs w:val="28"/>
        </w:rPr>
        <w:t xml:space="preserve"> </w:t>
      </w:r>
      <w:r w:rsidRPr="00D337FA">
        <w:rPr>
          <w:szCs w:val="28"/>
        </w:rPr>
        <w:lastRenderedPageBreak/>
        <w:t>поддержки</w:t>
      </w:r>
      <w:r w:rsidR="006C680D" w:rsidRPr="00D337FA">
        <w:rPr>
          <w:szCs w:val="28"/>
        </w:rPr>
        <w:t xml:space="preserve"> </w:t>
      </w:r>
      <w:r w:rsidRPr="00D337FA">
        <w:rPr>
          <w:szCs w:val="28"/>
        </w:rPr>
        <w:t>агропромышленного</w:t>
      </w:r>
      <w:r w:rsidR="006C680D" w:rsidRPr="00D337FA">
        <w:rPr>
          <w:szCs w:val="28"/>
        </w:rPr>
        <w:t xml:space="preserve"> </w:t>
      </w:r>
      <w:r w:rsidRPr="00D337FA">
        <w:rPr>
          <w:szCs w:val="28"/>
        </w:rPr>
        <w:t>комплекса</w:t>
      </w:r>
      <w:r w:rsidR="006C680D" w:rsidRPr="00D337FA">
        <w:rPr>
          <w:szCs w:val="28"/>
        </w:rPr>
        <w:t xml:space="preserve"> </w:t>
      </w:r>
      <w:r w:rsidRPr="00D337FA">
        <w:rPr>
          <w:szCs w:val="28"/>
        </w:rPr>
        <w:t>РФ</w:t>
      </w:r>
      <w:r w:rsidR="006C680D" w:rsidRPr="00D337FA">
        <w:rPr>
          <w:szCs w:val="28"/>
        </w:rPr>
        <w:t xml:space="preserve"> </w:t>
      </w:r>
      <w:r w:rsidRPr="00D337FA">
        <w:rPr>
          <w:szCs w:val="28"/>
        </w:rPr>
        <w:t>многие</w:t>
      </w:r>
      <w:r w:rsidR="006C680D" w:rsidRPr="00D337FA">
        <w:rPr>
          <w:szCs w:val="28"/>
        </w:rPr>
        <w:t xml:space="preserve"> </w:t>
      </w:r>
      <w:r w:rsidRPr="00D337FA">
        <w:rPr>
          <w:szCs w:val="28"/>
        </w:rPr>
        <w:t>проблемы,</w:t>
      </w:r>
      <w:r w:rsidR="006C680D" w:rsidRPr="00D337FA">
        <w:rPr>
          <w:szCs w:val="28"/>
        </w:rPr>
        <w:t xml:space="preserve"> </w:t>
      </w:r>
      <w:r w:rsidRPr="00D337FA">
        <w:rPr>
          <w:szCs w:val="28"/>
        </w:rPr>
        <w:t>к</w:t>
      </w:r>
      <w:r w:rsidR="006C680D" w:rsidRPr="00D337FA">
        <w:rPr>
          <w:szCs w:val="28"/>
        </w:rPr>
        <w:t xml:space="preserve"> </w:t>
      </w:r>
      <w:r w:rsidRPr="00D337FA">
        <w:rPr>
          <w:szCs w:val="28"/>
        </w:rPr>
        <w:t>сожалению,</w:t>
      </w:r>
      <w:r w:rsidR="006C680D" w:rsidRPr="00D337FA">
        <w:rPr>
          <w:szCs w:val="28"/>
        </w:rPr>
        <w:t xml:space="preserve"> </w:t>
      </w:r>
      <w:r w:rsidRPr="00D337FA">
        <w:rPr>
          <w:szCs w:val="28"/>
        </w:rPr>
        <w:t>всё</w:t>
      </w:r>
      <w:r w:rsidR="006C680D" w:rsidRPr="00D337FA">
        <w:rPr>
          <w:szCs w:val="28"/>
        </w:rPr>
        <w:t xml:space="preserve"> </w:t>
      </w:r>
      <w:r w:rsidRPr="00D337FA">
        <w:rPr>
          <w:szCs w:val="28"/>
        </w:rPr>
        <w:lastRenderedPageBreak/>
        <w:t>ещё</w:t>
      </w:r>
      <w:r w:rsidR="006C680D" w:rsidRPr="00D337FA">
        <w:rPr>
          <w:szCs w:val="28"/>
        </w:rPr>
        <w:t xml:space="preserve"> </w:t>
      </w:r>
      <w:r w:rsidRPr="00D337FA">
        <w:rPr>
          <w:szCs w:val="28"/>
        </w:rPr>
        <w:t>продолжают</w:t>
      </w:r>
      <w:r w:rsidR="006C680D" w:rsidRPr="00D337FA">
        <w:rPr>
          <w:szCs w:val="28"/>
        </w:rPr>
        <w:t xml:space="preserve"> </w:t>
      </w:r>
      <w:r w:rsidRPr="00D337FA">
        <w:rPr>
          <w:szCs w:val="28"/>
        </w:rPr>
        <w:t>сохраняться</w:t>
      </w:r>
      <w:r w:rsidR="006C680D" w:rsidRPr="00D337FA">
        <w:rPr>
          <w:szCs w:val="28"/>
        </w:rPr>
        <w:t xml:space="preserve"> </w:t>
      </w:r>
      <w:r w:rsidRPr="00D337FA">
        <w:rPr>
          <w:szCs w:val="28"/>
        </w:rPr>
        <w:t>ввиду</w:t>
      </w:r>
      <w:r w:rsidR="006C680D" w:rsidRPr="00D337FA">
        <w:rPr>
          <w:szCs w:val="28"/>
        </w:rPr>
        <w:t xml:space="preserve"> </w:t>
      </w:r>
      <w:r w:rsidRPr="00D337FA">
        <w:rPr>
          <w:szCs w:val="28"/>
        </w:rPr>
        <w:t>недостаточной</w:t>
      </w:r>
      <w:r w:rsidR="006C680D" w:rsidRPr="00D337FA">
        <w:rPr>
          <w:szCs w:val="28"/>
        </w:rPr>
        <w:t xml:space="preserve"> </w:t>
      </w:r>
      <w:r w:rsidRPr="00D337FA">
        <w:rPr>
          <w:szCs w:val="28"/>
        </w:rPr>
        <w:t>эффективности</w:t>
      </w:r>
      <w:r w:rsidR="006C680D" w:rsidRPr="00D337FA">
        <w:rPr>
          <w:szCs w:val="28"/>
        </w:rPr>
        <w:t xml:space="preserve"> </w:t>
      </w:r>
      <w:r w:rsidRPr="00D337FA">
        <w:rPr>
          <w:szCs w:val="28"/>
        </w:rPr>
        <w:t>некоторых</w:t>
      </w:r>
      <w:r w:rsidR="006C680D" w:rsidRPr="00D337FA">
        <w:rPr>
          <w:szCs w:val="28"/>
        </w:rPr>
        <w:t xml:space="preserve"> </w:t>
      </w:r>
      <w:r w:rsidRPr="00D337FA">
        <w:rPr>
          <w:szCs w:val="28"/>
        </w:rPr>
        <w:t>инструментов</w:t>
      </w:r>
      <w:r w:rsidR="006C680D" w:rsidRPr="00D337FA">
        <w:rPr>
          <w:szCs w:val="28"/>
        </w:rPr>
        <w:t xml:space="preserve"> </w:t>
      </w:r>
      <w:r w:rsidRPr="00D337FA">
        <w:rPr>
          <w:szCs w:val="28"/>
        </w:rPr>
        <w:t>поддержки</w:t>
      </w:r>
      <w:r w:rsidR="006C680D" w:rsidRPr="00D337FA">
        <w:rPr>
          <w:szCs w:val="28"/>
        </w:rPr>
        <w:t xml:space="preserve"> </w:t>
      </w:r>
      <w:r w:rsidRPr="00D337FA">
        <w:rPr>
          <w:szCs w:val="28"/>
        </w:rPr>
        <w:t>и</w:t>
      </w:r>
      <w:r w:rsidR="006C680D" w:rsidRPr="00D337FA">
        <w:rPr>
          <w:szCs w:val="28"/>
        </w:rPr>
        <w:t xml:space="preserve"> </w:t>
      </w:r>
      <w:r w:rsidRPr="00D337FA">
        <w:rPr>
          <w:szCs w:val="28"/>
        </w:rPr>
        <w:t>нехватки</w:t>
      </w:r>
      <w:r w:rsidR="006C680D" w:rsidRPr="00D337FA">
        <w:rPr>
          <w:szCs w:val="28"/>
        </w:rPr>
        <w:t xml:space="preserve"> </w:t>
      </w:r>
      <w:r w:rsidRPr="00D337FA">
        <w:rPr>
          <w:szCs w:val="28"/>
        </w:rPr>
        <w:t>новых</w:t>
      </w:r>
      <w:r w:rsidR="006C680D" w:rsidRPr="00D337FA">
        <w:rPr>
          <w:szCs w:val="28"/>
        </w:rPr>
        <w:t xml:space="preserve"> </w:t>
      </w:r>
      <w:r w:rsidRPr="00D337FA">
        <w:rPr>
          <w:szCs w:val="28"/>
        </w:rPr>
        <w:t>мер,</w:t>
      </w:r>
      <w:r w:rsidR="006C680D" w:rsidRPr="00D337FA">
        <w:rPr>
          <w:szCs w:val="28"/>
        </w:rPr>
        <w:t xml:space="preserve"> </w:t>
      </w:r>
      <w:r w:rsidRPr="00D337FA">
        <w:rPr>
          <w:szCs w:val="28"/>
        </w:rPr>
        <w:t>которые</w:t>
      </w:r>
      <w:r w:rsidR="006C680D" w:rsidRPr="00D337FA">
        <w:rPr>
          <w:szCs w:val="28"/>
        </w:rPr>
        <w:t xml:space="preserve"> </w:t>
      </w:r>
      <w:r w:rsidRPr="00D337FA">
        <w:rPr>
          <w:szCs w:val="28"/>
        </w:rPr>
        <w:t>сегодня</w:t>
      </w:r>
      <w:r w:rsidR="006C680D" w:rsidRPr="00D337FA">
        <w:rPr>
          <w:szCs w:val="28"/>
        </w:rPr>
        <w:t xml:space="preserve"> </w:t>
      </w:r>
      <w:r w:rsidRPr="00D337FA">
        <w:rPr>
          <w:szCs w:val="28"/>
        </w:rPr>
        <w:t>так</w:t>
      </w:r>
      <w:r w:rsidR="006C680D" w:rsidRPr="00D337FA">
        <w:rPr>
          <w:szCs w:val="28"/>
        </w:rPr>
        <w:t xml:space="preserve"> </w:t>
      </w:r>
      <w:r w:rsidRPr="00D337FA">
        <w:rPr>
          <w:szCs w:val="28"/>
        </w:rPr>
        <w:t>необходимы.</w:t>
      </w:r>
      <w:r w:rsidR="006C680D" w:rsidRPr="00D337FA">
        <w:rPr>
          <w:szCs w:val="28"/>
        </w:rPr>
        <w:t xml:space="preserve"> </w:t>
      </w:r>
      <w:r w:rsidRPr="00D337FA">
        <w:rPr>
          <w:szCs w:val="28"/>
        </w:rPr>
        <w:t>Серьёзные</w:t>
      </w:r>
      <w:r w:rsidR="006C680D" w:rsidRPr="00D337FA">
        <w:rPr>
          <w:szCs w:val="28"/>
        </w:rPr>
        <w:t xml:space="preserve"> </w:t>
      </w:r>
      <w:r w:rsidRPr="00D337FA">
        <w:rPr>
          <w:szCs w:val="28"/>
        </w:rPr>
        <w:t>трудности</w:t>
      </w:r>
      <w:r w:rsidR="006C680D" w:rsidRPr="00D337FA">
        <w:rPr>
          <w:szCs w:val="28"/>
        </w:rPr>
        <w:t xml:space="preserve"> </w:t>
      </w:r>
      <w:r w:rsidRPr="00D337FA">
        <w:rPr>
          <w:szCs w:val="28"/>
        </w:rPr>
        <w:t>создаёт</w:t>
      </w:r>
      <w:r w:rsidR="006C680D" w:rsidRPr="00D337FA">
        <w:rPr>
          <w:szCs w:val="28"/>
        </w:rPr>
        <w:t xml:space="preserve"> </w:t>
      </w:r>
      <w:r w:rsidRPr="00D337FA">
        <w:rPr>
          <w:szCs w:val="28"/>
        </w:rPr>
        <w:t>территориальная</w:t>
      </w:r>
      <w:r w:rsidR="006C680D" w:rsidRPr="00D337FA">
        <w:rPr>
          <w:szCs w:val="28"/>
        </w:rPr>
        <w:t xml:space="preserve"> </w:t>
      </w:r>
      <w:r w:rsidRPr="00D337FA">
        <w:rPr>
          <w:szCs w:val="28"/>
        </w:rPr>
        <w:t>разобщённость</w:t>
      </w:r>
      <w:r w:rsidR="006C680D" w:rsidRPr="00D337FA">
        <w:rPr>
          <w:szCs w:val="28"/>
        </w:rPr>
        <w:t xml:space="preserve"> </w:t>
      </w:r>
      <w:r w:rsidRPr="00D337FA">
        <w:rPr>
          <w:szCs w:val="28"/>
        </w:rPr>
        <w:t>многих</w:t>
      </w:r>
      <w:r w:rsidR="006C680D" w:rsidRPr="00D337FA">
        <w:rPr>
          <w:szCs w:val="28"/>
        </w:rPr>
        <w:t xml:space="preserve"> </w:t>
      </w:r>
      <w:r w:rsidRPr="00D337FA">
        <w:rPr>
          <w:szCs w:val="28"/>
        </w:rPr>
        <w:t>регионов,</w:t>
      </w:r>
      <w:r w:rsidR="006C680D" w:rsidRPr="00D337FA">
        <w:rPr>
          <w:szCs w:val="28"/>
        </w:rPr>
        <w:t xml:space="preserve"> </w:t>
      </w:r>
      <w:r w:rsidRPr="00D337FA">
        <w:rPr>
          <w:szCs w:val="28"/>
        </w:rPr>
        <w:t>ввиду</w:t>
      </w:r>
      <w:r w:rsidR="006C680D" w:rsidRPr="00D337FA">
        <w:rPr>
          <w:szCs w:val="28"/>
        </w:rPr>
        <w:t xml:space="preserve"> </w:t>
      </w:r>
      <w:r w:rsidRPr="00D337FA">
        <w:rPr>
          <w:szCs w:val="28"/>
        </w:rPr>
        <w:t>большой</w:t>
      </w:r>
      <w:r w:rsidR="006C680D" w:rsidRPr="00D337FA">
        <w:rPr>
          <w:szCs w:val="28"/>
        </w:rPr>
        <w:t xml:space="preserve"> </w:t>
      </w:r>
      <w:r w:rsidRPr="00D337FA">
        <w:rPr>
          <w:szCs w:val="28"/>
        </w:rPr>
        <w:t>удалённости,</w:t>
      </w:r>
      <w:r w:rsidR="006C680D" w:rsidRPr="00D337FA">
        <w:rPr>
          <w:szCs w:val="28"/>
        </w:rPr>
        <w:t xml:space="preserve"> </w:t>
      </w:r>
      <w:r w:rsidRPr="00D337FA">
        <w:rPr>
          <w:szCs w:val="28"/>
        </w:rPr>
        <w:t>разных</w:t>
      </w:r>
      <w:r w:rsidR="006C680D" w:rsidRPr="00D337FA">
        <w:rPr>
          <w:szCs w:val="28"/>
        </w:rPr>
        <w:t xml:space="preserve"> </w:t>
      </w:r>
      <w:r w:rsidRPr="00D337FA">
        <w:rPr>
          <w:szCs w:val="28"/>
        </w:rPr>
        <w:t>климатических</w:t>
      </w:r>
      <w:r w:rsidR="006C680D" w:rsidRPr="00D337FA">
        <w:rPr>
          <w:szCs w:val="28"/>
        </w:rPr>
        <w:t xml:space="preserve"> </w:t>
      </w:r>
      <w:r w:rsidRPr="00D337FA">
        <w:rPr>
          <w:szCs w:val="28"/>
        </w:rPr>
        <w:t>условий</w:t>
      </w:r>
      <w:r w:rsidR="006C680D" w:rsidRPr="00D337FA">
        <w:rPr>
          <w:szCs w:val="28"/>
        </w:rPr>
        <w:t xml:space="preserve"> </w:t>
      </w:r>
      <w:r w:rsidRPr="00D337FA">
        <w:rPr>
          <w:szCs w:val="28"/>
        </w:rPr>
        <w:t>и</w:t>
      </w:r>
      <w:r w:rsidR="006C680D" w:rsidRPr="00D337FA">
        <w:rPr>
          <w:szCs w:val="28"/>
        </w:rPr>
        <w:t xml:space="preserve"> </w:t>
      </w:r>
      <w:r w:rsidRPr="00D337FA">
        <w:rPr>
          <w:szCs w:val="28"/>
        </w:rPr>
        <w:t>диспропорций</w:t>
      </w:r>
      <w:r w:rsidR="006C680D" w:rsidRPr="00D337FA">
        <w:rPr>
          <w:szCs w:val="28"/>
        </w:rPr>
        <w:t xml:space="preserve"> </w:t>
      </w:r>
      <w:r w:rsidRPr="00D337FA">
        <w:rPr>
          <w:szCs w:val="28"/>
        </w:rPr>
        <w:t>в</w:t>
      </w:r>
      <w:r w:rsidR="006C680D" w:rsidRPr="00D337FA">
        <w:rPr>
          <w:szCs w:val="28"/>
        </w:rPr>
        <w:t xml:space="preserve"> </w:t>
      </w:r>
      <w:r w:rsidRPr="00D337FA">
        <w:rPr>
          <w:szCs w:val="28"/>
        </w:rPr>
        <w:t>размерах</w:t>
      </w:r>
      <w:r w:rsidR="006C680D" w:rsidRPr="00D337FA">
        <w:rPr>
          <w:szCs w:val="28"/>
        </w:rPr>
        <w:t xml:space="preserve"> </w:t>
      </w:r>
      <w:r w:rsidRPr="00D337FA">
        <w:rPr>
          <w:szCs w:val="28"/>
        </w:rPr>
        <w:t>государственной</w:t>
      </w:r>
      <w:r w:rsidR="006C680D" w:rsidRPr="00D337FA">
        <w:rPr>
          <w:szCs w:val="28"/>
        </w:rPr>
        <w:t xml:space="preserve"> </w:t>
      </w:r>
      <w:r w:rsidRPr="00D337FA">
        <w:rPr>
          <w:szCs w:val="28"/>
        </w:rPr>
        <w:t>поддержки,</w:t>
      </w:r>
      <w:r w:rsidR="006C680D" w:rsidRPr="00D337FA">
        <w:rPr>
          <w:szCs w:val="28"/>
        </w:rPr>
        <w:t xml:space="preserve"> </w:t>
      </w:r>
      <w:r w:rsidRPr="00D337FA">
        <w:rPr>
          <w:szCs w:val="28"/>
        </w:rPr>
        <w:t>что</w:t>
      </w:r>
      <w:r w:rsidR="006C680D" w:rsidRPr="00D337FA">
        <w:rPr>
          <w:szCs w:val="28"/>
        </w:rPr>
        <w:t xml:space="preserve"> </w:t>
      </w:r>
      <w:r w:rsidRPr="00D337FA">
        <w:rPr>
          <w:szCs w:val="28"/>
        </w:rPr>
        <w:t>вызывает</w:t>
      </w:r>
      <w:r w:rsidR="006C680D" w:rsidRPr="00D337FA">
        <w:rPr>
          <w:szCs w:val="28"/>
        </w:rPr>
        <w:t xml:space="preserve"> </w:t>
      </w:r>
      <w:r w:rsidRPr="00D337FA">
        <w:rPr>
          <w:szCs w:val="28"/>
        </w:rPr>
        <w:t>неравномерность</w:t>
      </w:r>
      <w:r w:rsidR="006C680D" w:rsidRPr="00D337FA">
        <w:rPr>
          <w:szCs w:val="28"/>
        </w:rPr>
        <w:t xml:space="preserve"> </w:t>
      </w:r>
      <w:r w:rsidRPr="00D337FA">
        <w:rPr>
          <w:szCs w:val="28"/>
        </w:rPr>
        <w:t>развития</w:t>
      </w:r>
      <w:r w:rsidR="006C680D" w:rsidRPr="00D337FA">
        <w:rPr>
          <w:szCs w:val="28"/>
        </w:rPr>
        <w:t xml:space="preserve"> </w:t>
      </w:r>
      <w:r w:rsidRPr="00D337FA">
        <w:rPr>
          <w:szCs w:val="28"/>
        </w:rPr>
        <w:t>всего</w:t>
      </w:r>
      <w:r w:rsidR="006C680D" w:rsidRPr="00D337FA">
        <w:rPr>
          <w:szCs w:val="28"/>
        </w:rPr>
        <w:t xml:space="preserve"> </w:t>
      </w:r>
      <w:r w:rsidRPr="00D337FA">
        <w:rPr>
          <w:szCs w:val="28"/>
        </w:rPr>
        <w:t>аграрного</w:t>
      </w:r>
      <w:r w:rsidR="006C680D" w:rsidRPr="00D337FA">
        <w:rPr>
          <w:szCs w:val="28"/>
        </w:rPr>
        <w:t xml:space="preserve"> </w:t>
      </w:r>
      <w:r w:rsidRPr="00D337FA">
        <w:rPr>
          <w:szCs w:val="28"/>
        </w:rPr>
        <w:t>сектора</w:t>
      </w:r>
      <w:r w:rsidR="006C680D" w:rsidRPr="00D337FA">
        <w:rPr>
          <w:szCs w:val="28"/>
        </w:rPr>
        <w:t xml:space="preserve"> </w:t>
      </w:r>
      <w:r w:rsidRPr="00D337FA">
        <w:rPr>
          <w:szCs w:val="28"/>
        </w:rPr>
        <w:t>страны.</w:t>
      </w:r>
      <w:r w:rsidR="006C680D" w:rsidRPr="00D337FA">
        <w:rPr>
          <w:szCs w:val="28"/>
        </w:rPr>
        <w:t xml:space="preserve"> </w:t>
      </w:r>
      <w:r w:rsidRPr="00D337FA">
        <w:rPr>
          <w:szCs w:val="28"/>
        </w:rPr>
        <w:t>Кроме</w:t>
      </w:r>
      <w:r w:rsidR="006C680D" w:rsidRPr="00D337FA">
        <w:rPr>
          <w:szCs w:val="28"/>
        </w:rPr>
        <w:t xml:space="preserve"> </w:t>
      </w:r>
      <w:r w:rsidRPr="00D337FA">
        <w:rPr>
          <w:szCs w:val="28"/>
        </w:rPr>
        <w:t>того,</w:t>
      </w:r>
      <w:r w:rsidR="006C680D" w:rsidRPr="00D337FA">
        <w:rPr>
          <w:szCs w:val="28"/>
        </w:rPr>
        <w:t xml:space="preserve"> </w:t>
      </w:r>
      <w:r w:rsidRPr="00D337FA">
        <w:rPr>
          <w:szCs w:val="28"/>
        </w:rPr>
        <w:t>в</w:t>
      </w:r>
      <w:r w:rsidR="006C680D" w:rsidRPr="00D337FA">
        <w:rPr>
          <w:szCs w:val="28"/>
        </w:rPr>
        <w:t xml:space="preserve"> </w:t>
      </w:r>
      <w:r w:rsidRPr="00D337FA">
        <w:rPr>
          <w:szCs w:val="28"/>
        </w:rPr>
        <w:t>сложном</w:t>
      </w:r>
      <w:r w:rsidR="006C680D" w:rsidRPr="00D337FA">
        <w:rPr>
          <w:szCs w:val="28"/>
        </w:rPr>
        <w:t xml:space="preserve"> </w:t>
      </w:r>
      <w:r w:rsidRPr="00D337FA">
        <w:rPr>
          <w:szCs w:val="28"/>
        </w:rPr>
        <w:t>положении</w:t>
      </w:r>
      <w:r w:rsidR="006C680D" w:rsidRPr="00D337FA">
        <w:rPr>
          <w:szCs w:val="28"/>
        </w:rPr>
        <w:t xml:space="preserve"> </w:t>
      </w:r>
      <w:r w:rsidRPr="00D337FA">
        <w:rPr>
          <w:szCs w:val="28"/>
        </w:rPr>
        <w:t>находится</w:t>
      </w:r>
      <w:r w:rsidR="006C680D" w:rsidRPr="00D337FA">
        <w:rPr>
          <w:szCs w:val="28"/>
        </w:rPr>
        <w:t xml:space="preserve"> </w:t>
      </w:r>
      <w:r w:rsidRPr="00D337FA">
        <w:rPr>
          <w:szCs w:val="28"/>
        </w:rPr>
        <w:t>малый</w:t>
      </w:r>
      <w:r w:rsidR="006C680D" w:rsidRPr="00D337FA">
        <w:rPr>
          <w:szCs w:val="28"/>
        </w:rPr>
        <w:t xml:space="preserve"> </w:t>
      </w:r>
      <w:r w:rsidRPr="00D337FA">
        <w:rPr>
          <w:szCs w:val="28"/>
        </w:rPr>
        <w:t>и</w:t>
      </w:r>
      <w:r w:rsidR="006C680D" w:rsidRPr="00D337FA">
        <w:rPr>
          <w:szCs w:val="28"/>
        </w:rPr>
        <w:t xml:space="preserve"> </w:t>
      </w:r>
      <w:r w:rsidRPr="00D337FA">
        <w:rPr>
          <w:szCs w:val="28"/>
        </w:rPr>
        <w:t>средний</w:t>
      </w:r>
      <w:r w:rsidR="006C680D" w:rsidRPr="00D337FA">
        <w:rPr>
          <w:szCs w:val="28"/>
        </w:rPr>
        <w:t xml:space="preserve"> </w:t>
      </w:r>
      <w:r w:rsidRPr="00D337FA">
        <w:rPr>
          <w:szCs w:val="28"/>
        </w:rPr>
        <w:t>бизнес,</w:t>
      </w:r>
      <w:r w:rsidR="006C680D" w:rsidRPr="00D337FA">
        <w:rPr>
          <w:szCs w:val="28"/>
        </w:rPr>
        <w:t xml:space="preserve"> </w:t>
      </w:r>
      <w:r w:rsidRPr="00D337FA">
        <w:rPr>
          <w:szCs w:val="28"/>
        </w:rPr>
        <w:t>не</w:t>
      </w:r>
      <w:r w:rsidR="006C680D" w:rsidRPr="00D337FA">
        <w:rPr>
          <w:szCs w:val="28"/>
        </w:rPr>
        <w:t xml:space="preserve"> </w:t>
      </w:r>
      <w:r w:rsidRPr="00D337FA">
        <w:rPr>
          <w:szCs w:val="28"/>
        </w:rPr>
        <w:t>имеющий</w:t>
      </w:r>
      <w:r w:rsidR="006C680D" w:rsidRPr="00D337FA">
        <w:rPr>
          <w:szCs w:val="28"/>
        </w:rPr>
        <w:t xml:space="preserve"> </w:t>
      </w:r>
      <w:r w:rsidRPr="00D337FA">
        <w:rPr>
          <w:szCs w:val="28"/>
        </w:rPr>
        <w:t>достаточных</w:t>
      </w:r>
      <w:r w:rsidR="006C680D" w:rsidRPr="00D337FA">
        <w:rPr>
          <w:szCs w:val="28"/>
        </w:rPr>
        <w:t xml:space="preserve"> </w:t>
      </w:r>
      <w:r w:rsidRPr="00D337FA">
        <w:rPr>
          <w:szCs w:val="28"/>
        </w:rPr>
        <w:t>ресурсов</w:t>
      </w:r>
      <w:r w:rsidR="006C680D" w:rsidRPr="00D337FA">
        <w:rPr>
          <w:szCs w:val="28"/>
        </w:rPr>
        <w:t xml:space="preserve"> </w:t>
      </w:r>
      <w:r w:rsidRPr="00D337FA">
        <w:rPr>
          <w:szCs w:val="28"/>
        </w:rPr>
        <w:t>для</w:t>
      </w:r>
      <w:r w:rsidR="006C680D" w:rsidRPr="00D337FA">
        <w:rPr>
          <w:szCs w:val="28"/>
        </w:rPr>
        <w:t xml:space="preserve"> </w:t>
      </w:r>
      <w:r w:rsidRPr="00D337FA">
        <w:rPr>
          <w:szCs w:val="28"/>
        </w:rPr>
        <w:t>самостоятельного</w:t>
      </w:r>
      <w:r w:rsidR="006C680D" w:rsidRPr="00D337FA">
        <w:rPr>
          <w:szCs w:val="28"/>
        </w:rPr>
        <w:t xml:space="preserve"> </w:t>
      </w:r>
      <w:r w:rsidRPr="00D337FA">
        <w:rPr>
          <w:szCs w:val="28"/>
        </w:rPr>
        <w:t>развития</w:t>
      </w:r>
      <w:r w:rsidR="006C680D" w:rsidRPr="00D337FA">
        <w:rPr>
          <w:szCs w:val="28"/>
        </w:rPr>
        <w:t xml:space="preserve"> </w:t>
      </w:r>
      <w:r w:rsidRPr="00D337FA">
        <w:rPr>
          <w:szCs w:val="28"/>
        </w:rPr>
        <w:t>в</w:t>
      </w:r>
      <w:r w:rsidR="006C680D" w:rsidRPr="00D337FA">
        <w:rPr>
          <w:szCs w:val="28"/>
        </w:rPr>
        <w:t xml:space="preserve"> </w:t>
      </w:r>
      <w:r w:rsidRPr="00D337FA">
        <w:rPr>
          <w:szCs w:val="28"/>
        </w:rPr>
        <w:t>текущих</w:t>
      </w:r>
      <w:r w:rsidR="006C680D" w:rsidRPr="00D337FA">
        <w:rPr>
          <w:szCs w:val="28"/>
        </w:rPr>
        <w:t xml:space="preserve"> </w:t>
      </w:r>
      <w:r w:rsidRPr="00D337FA">
        <w:rPr>
          <w:szCs w:val="28"/>
        </w:rPr>
        <w:t>условиях,</w:t>
      </w:r>
      <w:r w:rsidR="006C680D" w:rsidRPr="00D337FA">
        <w:rPr>
          <w:szCs w:val="28"/>
        </w:rPr>
        <w:t xml:space="preserve"> </w:t>
      </w:r>
      <w:r w:rsidRPr="00D337FA">
        <w:rPr>
          <w:szCs w:val="28"/>
        </w:rPr>
        <w:t>поскольку</w:t>
      </w:r>
      <w:r w:rsidR="006C680D" w:rsidRPr="00D337FA">
        <w:rPr>
          <w:szCs w:val="28"/>
        </w:rPr>
        <w:t xml:space="preserve"> </w:t>
      </w:r>
      <w:r w:rsidRPr="00D337FA">
        <w:rPr>
          <w:szCs w:val="28"/>
        </w:rPr>
        <w:t>получение</w:t>
      </w:r>
      <w:r w:rsidR="006C680D" w:rsidRPr="00D337FA">
        <w:rPr>
          <w:szCs w:val="28"/>
        </w:rPr>
        <w:t xml:space="preserve"> </w:t>
      </w:r>
      <w:r w:rsidRPr="00D337FA">
        <w:rPr>
          <w:szCs w:val="28"/>
        </w:rPr>
        <w:t>доступа</w:t>
      </w:r>
      <w:r w:rsidR="006C680D" w:rsidRPr="00D337FA">
        <w:rPr>
          <w:szCs w:val="28"/>
        </w:rPr>
        <w:t xml:space="preserve"> </w:t>
      </w:r>
      <w:r w:rsidRPr="00D337FA">
        <w:rPr>
          <w:szCs w:val="28"/>
        </w:rPr>
        <w:t>к</w:t>
      </w:r>
      <w:r w:rsidR="006C680D" w:rsidRPr="00D337FA">
        <w:rPr>
          <w:szCs w:val="28"/>
        </w:rPr>
        <w:t xml:space="preserve"> </w:t>
      </w:r>
      <w:r w:rsidRPr="00D337FA">
        <w:rPr>
          <w:szCs w:val="28"/>
        </w:rPr>
        <w:t>финансовой</w:t>
      </w:r>
      <w:r w:rsidR="006C680D" w:rsidRPr="00D337FA">
        <w:rPr>
          <w:szCs w:val="28"/>
        </w:rPr>
        <w:t xml:space="preserve"> </w:t>
      </w:r>
      <w:r w:rsidRPr="00D337FA">
        <w:rPr>
          <w:szCs w:val="28"/>
        </w:rPr>
        <w:t>поддержке</w:t>
      </w:r>
      <w:r w:rsidR="006C680D" w:rsidRPr="00D337FA">
        <w:rPr>
          <w:szCs w:val="28"/>
        </w:rPr>
        <w:t xml:space="preserve"> </w:t>
      </w:r>
      <w:r w:rsidRPr="00D337FA">
        <w:rPr>
          <w:szCs w:val="28"/>
        </w:rPr>
        <w:t>для</w:t>
      </w:r>
      <w:r w:rsidR="006C680D" w:rsidRPr="00D337FA">
        <w:rPr>
          <w:szCs w:val="28"/>
        </w:rPr>
        <w:t xml:space="preserve"> </w:t>
      </w:r>
      <w:r w:rsidRPr="00D337FA">
        <w:rPr>
          <w:szCs w:val="28"/>
        </w:rPr>
        <w:t>них</w:t>
      </w:r>
      <w:r w:rsidR="006C680D" w:rsidRPr="00D337FA">
        <w:rPr>
          <w:szCs w:val="28"/>
        </w:rPr>
        <w:t xml:space="preserve"> </w:t>
      </w:r>
      <w:r w:rsidRPr="00D337FA">
        <w:rPr>
          <w:szCs w:val="28"/>
        </w:rPr>
        <w:t>всё</w:t>
      </w:r>
      <w:r w:rsidR="006C680D" w:rsidRPr="00D337FA">
        <w:rPr>
          <w:szCs w:val="28"/>
        </w:rPr>
        <w:t xml:space="preserve"> </w:t>
      </w:r>
      <w:r w:rsidRPr="00D337FA">
        <w:rPr>
          <w:szCs w:val="28"/>
        </w:rPr>
        <w:t>ещё</w:t>
      </w:r>
      <w:r w:rsidR="006C680D" w:rsidRPr="00D337FA">
        <w:rPr>
          <w:szCs w:val="28"/>
        </w:rPr>
        <w:t xml:space="preserve"> </w:t>
      </w:r>
      <w:r w:rsidRPr="00D337FA">
        <w:rPr>
          <w:szCs w:val="28"/>
        </w:rPr>
        <w:t>остаётся</w:t>
      </w:r>
      <w:r w:rsidR="006C680D" w:rsidRPr="00D337FA">
        <w:rPr>
          <w:szCs w:val="28"/>
        </w:rPr>
        <w:t xml:space="preserve"> </w:t>
      </w:r>
      <w:r w:rsidRPr="00D337FA">
        <w:rPr>
          <w:szCs w:val="28"/>
        </w:rPr>
        <w:t>непростой</w:t>
      </w:r>
      <w:r w:rsidR="006C680D" w:rsidRPr="00D337FA">
        <w:rPr>
          <w:szCs w:val="28"/>
        </w:rPr>
        <w:t xml:space="preserve"> </w:t>
      </w:r>
      <w:r w:rsidRPr="00D337FA">
        <w:rPr>
          <w:szCs w:val="28"/>
        </w:rPr>
        <w:t>задачей.</w:t>
      </w:r>
      <w:r w:rsidR="006C680D" w:rsidRPr="00D337FA">
        <w:rPr>
          <w:szCs w:val="28"/>
        </w:rPr>
        <w:t xml:space="preserve"> </w:t>
      </w:r>
      <w:r w:rsidRPr="00D337FA">
        <w:rPr>
          <w:szCs w:val="28"/>
        </w:rPr>
        <w:t>Сложная</w:t>
      </w:r>
      <w:r w:rsidR="006C680D" w:rsidRPr="00D337FA">
        <w:rPr>
          <w:szCs w:val="28"/>
        </w:rPr>
        <w:t xml:space="preserve"> </w:t>
      </w:r>
      <w:r w:rsidRPr="00D337FA">
        <w:rPr>
          <w:szCs w:val="28"/>
        </w:rPr>
        <w:t>ситуация</w:t>
      </w:r>
      <w:r w:rsidR="006C680D" w:rsidRPr="00D337FA">
        <w:rPr>
          <w:szCs w:val="28"/>
        </w:rPr>
        <w:t xml:space="preserve"> </w:t>
      </w:r>
      <w:r w:rsidRPr="00D337FA">
        <w:rPr>
          <w:szCs w:val="28"/>
        </w:rPr>
        <w:t>продолжает</w:t>
      </w:r>
      <w:r w:rsidR="006C680D" w:rsidRPr="00D337FA">
        <w:rPr>
          <w:szCs w:val="28"/>
        </w:rPr>
        <w:t xml:space="preserve"> </w:t>
      </w:r>
      <w:r w:rsidRPr="00D337FA">
        <w:rPr>
          <w:szCs w:val="28"/>
        </w:rPr>
        <w:t>сохранятся</w:t>
      </w:r>
      <w:r w:rsidR="006C680D" w:rsidRPr="00D337FA">
        <w:rPr>
          <w:szCs w:val="28"/>
        </w:rPr>
        <w:t xml:space="preserve"> </w:t>
      </w:r>
      <w:r w:rsidRPr="00D337FA">
        <w:rPr>
          <w:szCs w:val="28"/>
        </w:rPr>
        <w:t>также</w:t>
      </w:r>
      <w:r w:rsidR="006C680D" w:rsidRPr="00D337FA">
        <w:rPr>
          <w:szCs w:val="28"/>
        </w:rPr>
        <w:t xml:space="preserve"> </w:t>
      </w:r>
      <w:r w:rsidRPr="00D337FA">
        <w:rPr>
          <w:szCs w:val="28"/>
        </w:rPr>
        <w:t>в</w:t>
      </w:r>
      <w:r w:rsidR="006C680D" w:rsidRPr="00D337FA">
        <w:rPr>
          <w:szCs w:val="28"/>
        </w:rPr>
        <w:t xml:space="preserve"> </w:t>
      </w:r>
      <w:r w:rsidRPr="00D337FA">
        <w:rPr>
          <w:szCs w:val="28"/>
        </w:rPr>
        <w:t>области</w:t>
      </w:r>
      <w:r w:rsidR="006C680D" w:rsidRPr="00D337FA">
        <w:rPr>
          <w:szCs w:val="28"/>
        </w:rPr>
        <w:t xml:space="preserve"> </w:t>
      </w:r>
      <w:r w:rsidRPr="00D337FA">
        <w:rPr>
          <w:szCs w:val="28"/>
        </w:rPr>
        <w:t>приобретения</w:t>
      </w:r>
      <w:r w:rsidR="006C680D" w:rsidRPr="00D337FA">
        <w:rPr>
          <w:szCs w:val="28"/>
        </w:rPr>
        <w:t xml:space="preserve"> </w:t>
      </w:r>
      <w:r w:rsidRPr="00D337FA">
        <w:rPr>
          <w:szCs w:val="28"/>
        </w:rPr>
        <w:t>новой</w:t>
      </w:r>
      <w:r w:rsidR="006C680D" w:rsidRPr="00D337FA">
        <w:rPr>
          <w:szCs w:val="28"/>
        </w:rPr>
        <w:t xml:space="preserve"> </w:t>
      </w:r>
      <w:r w:rsidRPr="00D337FA">
        <w:rPr>
          <w:szCs w:val="28"/>
        </w:rPr>
        <w:t>техники</w:t>
      </w:r>
      <w:r w:rsidR="006C680D" w:rsidRPr="00D337FA">
        <w:rPr>
          <w:szCs w:val="28"/>
        </w:rPr>
        <w:t xml:space="preserve"> </w:t>
      </w:r>
      <w:r w:rsidRPr="00D337FA">
        <w:rPr>
          <w:szCs w:val="28"/>
        </w:rPr>
        <w:t>и</w:t>
      </w:r>
      <w:r w:rsidR="006C680D" w:rsidRPr="00D337FA">
        <w:rPr>
          <w:szCs w:val="28"/>
        </w:rPr>
        <w:t xml:space="preserve"> </w:t>
      </w:r>
      <w:r w:rsidRPr="00D337FA">
        <w:rPr>
          <w:szCs w:val="28"/>
        </w:rPr>
        <w:t>оборудования</w:t>
      </w:r>
      <w:r w:rsidR="006C680D" w:rsidRPr="00D337FA">
        <w:rPr>
          <w:szCs w:val="28"/>
        </w:rPr>
        <w:t xml:space="preserve"> </w:t>
      </w:r>
      <w:r w:rsidRPr="00D337FA">
        <w:rPr>
          <w:szCs w:val="28"/>
        </w:rPr>
        <w:t>из-за</w:t>
      </w:r>
      <w:r w:rsidR="006C680D" w:rsidRPr="00D337FA">
        <w:rPr>
          <w:szCs w:val="28"/>
        </w:rPr>
        <w:t xml:space="preserve"> </w:t>
      </w:r>
      <w:r w:rsidRPr="00D337FA">
        <w:rPr>
          <w:szCs w:val="28"/>
        </w:rPr>
        <w:t>роста</w:t>
      </w:r>
      <w:r w:rsidR="006C680D" w:rsidRPr="00D337FA">
        <w:rPr>
          <w:szCs w:val="28"/>
        </w:rPr>
        <w:t xml:space="preserve"> </w:t>
      </w:r>
      <w:r w:rsidRPr="00D337FA">
        <w:rPr>
          <w:szCs w:val="28"/>
        </w:rPr>
        <w:t>их</w:t>
      </w:r>
      <w:r w:rsidR="006C680D" w:rsidRPr="00D337FA">
        <w:rPr>
          <w:szCs w:val="28"/>
        </w:rPr>
        <w:t xml:space="preserve"> </w:t>
      </w:r>
      <w:r w:rsidRPr="00D337FA">
        <w:rPr>
          <w:szCs w:val="28"/>
        </w:rPr>
        <w:t>цены,</w:t>
      </w:r>
      <w:r w:rsidR="006C680D" w:rsidRPr="00D337FA">
        <w:rPr>
          <w:szCs w:val="28"/>
        </w:rPr>
        <w:t xml:space="preserve"> </w:t>
      </w:r>
      <w:r w:rsidRPr="00D337FA">
        <w:rPr>
          <w:szCs w:val="28"/>
        </w:rPr>
        <w:t>несмотря</w:t>
      </w:r>
      <w:r w:rsidR="006C680D" w:rsidRPr="00D337FA">
        <w:rPr>
          <w:szCs w:val="28"/>
        </w:rPr>
        <w:t xml:space="preserve"> </w:t>
      </w:r>
      <w:r w:rsidRPr="00D337FA">
        <w:rPr>
          <w:szCs w:val="28"/>
        </w:rPr>
        <w:t>на</w:t>
      </w:r>
      <w:r w:rsidR="006C680D" w:rsidRPr="00D337FA">
        <w:rPr>
          <w:szCs w:val="28"/>
        </w:rPr>
        <w:t xml:space="preserve"> </w:t>
      </w:r>
      <w:r w:rsidRPr="00D337FA">
        <w:rPr>
          <w:szCs w:val="28"/>
        </w:rPr>
        <w:t>наличие</w:t>
      </w:r>
      <w:r w:rsidR="006C680D" w:rsidRPr="00D337FA">
        <w:rPr>
          <w:szCs w:val="28"/>
        </w:rPr>
        <w:t xml:space="preserve"> </w:t>
      </w:r>
      <w:r w:rsidRPr="00D337FA">
        <w:rPr>
          <w:szCs w:val="28"/>
        </w:rPr>
        <w:t>большого</w:t>
      </w:r>
      <w:r w:rsidR="006C680D" w:rsidRPr="00D337FA">
        <w:rPr>
          <w:szCs w:val="28"/>
        </w:rPr>
        <w:t xml:space="preserve"> </w:t>
      </w:r>
      <w:r w:rsidRPr="00D337FA">
        <w:rPr>
          <w:szCs w:val="28"/>
        </w:rPr>
        <w:t>количества</w:t>
      </w:r>
      <w:r w:rsidR="006C680D" w:rsidRPr="00D337FA">
        <w:rPr>
          <w:szCs w:val="28"/>
        </w:rPr>
        <w:t xml:space="preserve"> </w:t>
      </w:r>
      <w:r w:rsidRPr="00D337FA">
        <w:rPr>
          <w:szCs w:val="28"/>
        </w:rPr>
        <w:t>программ</w:t>
      </w:r>
      <w:r w:rsidR="006C680D" w:rsidRPr="00D337FA">
        <w:rPr>
          <w:szCs w:val="28"/>
        </w:rPr>
        <w:t xml:space="preserve"> </w:t>
      </w:r>
      <w:r w:rsidRPr="00D337FA">
        <w:rPr>
          <w:szCs w:val="28"/>
        </w:rPr>
        <w:t>поддержки.</w:t>
      </w:r>
      <w:r w:rsidR="006C680D" w:rsidRPr="00D337FA">
        <w:rPr>
          <w:szCs w:val="28"/>
        </w:rPr>
        <w:t xml:space="preserve"> </w:t>
      </w:r>
      <w:r w:rsidRPr="00D337FA">
        <w:rPr>
          <w:szCs w:val="28"/>
        </w:rPr>
        <w:t>Подтверждением</w:t>
      </w:r>
      <w:r w:rsidR="006C680D" w:rsidRPr="00D337FA">
        <w:rPr>
          <w:szCs w:val="28"/>
        </w:rPr>
        <w:t xml:space="preserve"> </w:t>
      </w:r>
      <w:r w:rsidRPr="00D337FA">
        <w:rPr>
          <w:szCs w:val="28"/>
        </w:rPr>
        <w:t>этого</w:t>
      </w:r>
      <w:r w:rsidR="006C680D" w:rsidRPr="00D337FA">
        <w:rPr>
          <w:szCs w:val="28"/>
        </w:rPr>
        <w:t xml:space="preserve"> </w:t>
      </w:r>
      <w:r w:rsidRPr="00D337FA">
        <w:rPr>
          <w:szCs w:val="28"/>
        </w:rPr>
        <w:t>служит</w:t>
      </w:r>
      <w:r w:rsidR="006C680D" w:rsidRPr="00D337FA">
        <w:rPr>
          <w:szCs w:val="28"/>
        </w:rPr>
        <w:t xml:space="preserve"> </w:t>
      </w:r>
      <w:r w:rsidRPr="00D337FA">
        <w:rPr>
          <w:szCs w:val="28"/>
        </w:rPr>
        <w:t>заявление</w:t>
      </w:r>
      <w:r w:rsidR="006C680D" w:rsidRPr="00D337FA">
        <w:rPr>
          <w:szCs w:val="28"/>
        </w:rPr>
        <w:t xml:space="preserve"> </w:t>
      </w:r>
      <w:r w:rsidRPr="00D337FA">
        <w:rPr>
          <w:szCs w:val="28"/>
        </w:rPr>
        <w:t>Российского</w:t>
      </w:r>
      <w:r w:rsidR="006C680D" w:rsidRPr="00D337FA">
        <w:rPr>
          <w:szCs w:val="28"/>
        </w:rPr>
        <w:t xml:space="preserve"> </w:t>
      </w:r>
      <w:r w:rsidRPr="00D337FA">
        <w:rPr>
          <w:szCs w:val="28"/>
        </w:rPr>
        <w:t>зернового</w:t>
      </w:r>
      <w:r w:rsidR="006C680D" w:rsidRPr="00D337FA">
        <w:rPr>
          <w:szCs w:val="28"/>
        </w:rPr>
        <w:t xml:space="preserve"> </w:t>
      </w:r>
      <w:r w:rsidRPr="00D337FA">
        <w:rPr>
          <w:szCs w:val="28"/>
        </w:rPr>
        <w:t>союза</w:t>
      </w:r>
      <w:r w:rsidR="006C680D" w:rsidRPr="00D337FA">
        <w:rPr>
          <w:szCs w:val="28"/>
        </w:rPr>
        <w:t xml:space="preserve"> </w:t>
      </w:r>
      <w:r w:rsidRPr="00D337FA">
        <w:rPr>
          <w:szCs w:val="28"/>
        </w:rPr>
        <w:t>(далее</w:t>
      </w:r>
      <w:r w:rsidR="006C680D" w:rsidRPr="00D337FA">
        <w:rPr>
          <w:szCs w:val="28"/>
        </w:rPr>
        <w:t xml:space="preserve"> </w:t>
      </w:r>
      <w:r w:rsidRPr="00D337FA">
        <w:rPr>
          <w:szCs w:val="28"/>
        </w:rPr>
        <w:t>РЗС),</w:t>
      </w:r>
      <w:r w:rsidR="006C680D" w:rsidRPr="00D337FA">
        <w:rPr>
          <w:szCs w:val="28"/>
        </w:rPr>
        <w:t xml:space="preserve"> </w:t>
      </w:r>
      <w:r w:rsidRPr="00D337FA">
        <w:rPr>
          <w:szCs w:val="28"/>
        </w:rPr>
        <w:t>который</w:t>
      </w:r>
      <w:r w:rsidR="006C680D" w:rsidRPr="00D337FA">
        <w:rPr>
          <w:szCs w:val="28"/>
        </w:rPr>
        <w:t xml:space="preserve"> </w:t>
      </w:r>
      <w:r w:rsidRPr="00D337FA">
        <w:rPr>
          <w:szCs w:val="28"/>
        </w:rPr>
        <w:t>обвинил</w:t>
      </w:r>
      <w:r w:rsidR="006C680D" w:rsidRPr="00D337FA">
        <w:rPr>
          <w:szCs w:val="28"/>
        </w:rPr>
        <w:t xml:space="preserve"> </w:t>
      </w:r>
      <w:r w:rsidRPr="00D337FA">
        <w:rPr>
          <w:szCs w:val="28"/>
        </w:rPr>
        <w:t>отечественные</w:t>
      </w:r>
      <w:r w:rsidR="006C680D" w:rsidRPr="00D337FA">
        <w:rPr>
          <w:szCs w:val="28"/>
        </w:rPr>
        <w:t xml:space="preserve"> </w:t>
      </w:r>
      <w:r w:rsidRPr="00D337FA">
        <w:rPr>
          <w:szCs w:val="28"/>
        </w:rPr>
        <w:t>заводы</w:t>
      </w:r>
      <w:r w:rsidR="006C680D" w:rsidRPr="00D337FA">
        <w:rPr>
          <w:szCs w:val="28"/>
        </w:rPr>
        <w:t xml:space="preserve"> </w:t>
      </w:r>
      <w:r w:rsidRPr="00D337FA">
        <w:rPr>
          <w:szCs w:val="28"/>
        </w:rPr>
        <w:t>в</w:t>
      </w:r>
      <w:r w:rsidR="006C680D" w:rsidRPr="00D337FA">
        <w:rPr>
          <w:szCs w:val="28"/>
        </w:rPr>
        <w:t xml:space="preserve"> </w:t>
      </w:r>
      <w:r w:rsidRPr="00D337FA">
        <w:rPr>
          <w:szCs w:val="28"/>
        </w:rPr>
        <w:t>росте</w:t>
      </w:r>
      <w:r w:rsidR="006C680D" w:rsidRPr="00D337FA">
        <w:rPr>
          <w:szCs w:val="28"/>
        </w:rPr>
        <w:t xml:space="preserve"> </w:t>
      </w:r>
      <w:r w:rsidRPr="00D337FA">
        <w:rPr>
          <w:szCs w:val="28"/>
        </w:rPr>
        <w:t>утильсбора</w:t>
      </w:r>
      <w:r w:rsidR="006C680D" w:rsidRPr="00D337FA">
        <w:rPr>
          <w:szCs w:val="28"/>
        </w:rPr>
        <w:t xml:space="preserve"> </w:t>
      </w:r>
      <w:r w:rsidRPr="00D337FA">
        <w:rPr>
          <w:szCs w:val="28"/>
        </w:rPr>
        <w:t>до</w:t>
      </w:r>
      <w:r w:rsidR="006C680D" w:rsidRPr="00D337FA">
        <w:rPr>
          <w:szCs w:val="28"/>
        </w:rPr>
        <w:t xml:space="preserve"> </w:t>
      </w:r>
      <w:r w:rsidRPr="00D337FA">
        <w:rPr>
          <w:szCs w:val="28"/>
        </w:rPr>
        <w:t>40%</w:t>
      </w:r>
      <w:r w:rsidR="006C680D" w:rsidRPr="00D337FA">
        <w:rPr>
          <w:szCs w:val="28"/>
        </w:rPr>
        <w:t xml:space="preserve"> </w:t>
      </w:r>
      <w:r w:rsidRPr="00D337FA">
        <w:rPr>
          <w:szCs w:val="28"/>
        </w:rPr>
        <w:t>[14].</w:t>
      </w:r>
      <w:r w:rsidR="006C680D" w:rsidRPr="00D337FA">
        <w:rPr>
          <w:szCs w:val="28"/>
        </w:rPr>
        <w:t xml:space="preserve"> </w:t>
      </w:r>
      <w:r w:rsidRPr="00D337FA">
        <w:rPr>
          <w:szCs w:val="28"/>
        </w:rPr>
        <w:t>Поскольку</w:t>
      </w:r>
      <w:r w:rsidR="006C680D" w:rsidRPr="00D337FA">
        <w:rPr>
          <w:szCs w:val="28"/>
        </w:rPr>
        <w:t xml:space="preserve"> </w:t>
      </w:r>
      <w:r w:rsidRPr="00D337FA">
        <w:rPr>
          <w:szCs w:val="28"/>
        </w:rPr>
        <w:t>изначально</w:t>
      </w:r>
      <w:r w:rsidR="006C680D" w:rsidRPr="00D337FA">
        <w:rPr>
          <w:szCs w:val="28"/>
        </w:rPr>
        <w:t xml:space="preserve"> </w:t>
      </w:r>
      <w:r w:rsidRPr="00D337FA">
        <w:rPr>
          <w:szCs w:val="28"/>
        </w:rPr>
        <w:t>планировали,</w:t>
      </w:r>
      <w:r w:rsidR="006C680D" w:rsidRPr="00D337FA">
        <w:rPr>
          <w:szCs w:val="28"/>
        </w:rPr>
        <w:t xml:space="preserve"> </w:t>
      </w:r>
      <w:r w:rsidRPr="00D337FA">
        <w:rPr>
          <w:szCs w:val="28"/>
        </w:rPr>
        <w:t>что</w:t>
      </w:r>
      <w:r w:rsidR="006C680D" w:rsidRPr="00D337FA">
        <w:rPr>
          <w:szCs w:val="28"/>
        </w:rPr>
        <w:t xml:space="preserve"> </w:t>
      </w:r>
      <w:r w:rsidRPr="00D337FA">
        <w:rPr>
          <w:szCs w:val="28"/>
        </w:rPr>
        <w:t>подорожание</w:t>
      </w:r>
      <w:r w:rsidR="006C680D" w:rsidRPr="00D337FA">
        <w:rPr>
          <w:szCs w:val="28"/>
        </w:rPr>
        <w:t xml:space="preserve"> </w:t>
      </w:r>
      <w:r w:rsidRPr="00D337FA">
        <w:rPr>
          <w:szCs w:val="28"/>
        </w:rPr>
        <w:t>затронет</w:t>
      </w:r>
      <w:r w:rsidR="006C680D" w:rsidRPr="00D337FA">
        <w:rPr>
          <w:szCs w:val="28"/>
        </w:rPr>
        <w:t xml:space="preserve"> </w:t>
      </w:r>
      <w:r w:rsidRPr="00D337FA">
        <w:rPr>
          <w:szCs w:val="28"/>
        </w:rPr>
        <w:t>только</w:t>
      </w:r>
      <w:r w:rsidR="006C680D" w:rsidRPr="00D337FA">
        <w:rPr>
          <w:szCs w:val="28"/>
        </w:rPr>
        <w:t xml:space="preserve"> </w:t>
      </w:r>
      <w:r w:rsidRPr="00D337FA">
        <w:rPr>
          <w:szCs w:val="28"/>
        </w:rPr>
        <w:t>импортную</w:t>
      </w:r>
      <w:r w:rsidR="006C680D" w:rsidRPr="00D337FA">
        <w:rPr>
          <w:szCs w:val="28"/>
        </w:rPr>
        <w:t xml:space="preserve"> </w:t>
      </w:r>
      <w:r w:rsidRPr="00D337FA">
        <w:rPr>
          <w:szCs w:val="28"/>
        </w:rPr>
        <w:t>продукцию,</w:t>
      </w:r>
      <w:r w:rsidR="006C680D" w:rsidRPr="00D337FA">
        <w:rPr>
          <w:szCs w:val="28"/>
        </w:rPr>
        <w:t xml:space="preserve"> </w:t>
      </w:r>
      <w:r w:rsidRPr="00D337FA">
        <w:rPr>
          <w:szCs w:val="28"/>
        </w:rPr>
        <w:t>но</w:t>
      </w:r>
      <w:r w:rsidR="006C680D" w:rsidRPr="00D337FA">
        <w:rPr>
          <w:szCs w:val="28"/>
        </w:rPr>
        <w:t xml:space="preserve"> </w:t>
      </w:r>
      <w:r w:rsidRPr="00D337FA">
        <w:rPr>
          <w:szCs w:val="28"/>
        </w:rPr>
        <w:t>оно</w:t>
      </w:r>
      <w:r w:rsidR="006C680D" w:rsidRPr="00D337FA">
        <w:rPr>
          <w:szCs w:val="28"/>
        </w:rPr>
        <w:t xml:space="preserve"> </w:t>
      </w:r>
      <w:r w:rsidRPr="00D337FA">
        <w:rPr>
          <w:szCs w:val="28"/>
        </w:rPr>
        <w:t>привело</w:t>
      </w:r>
      <w:r w:rsidR="006C680D" w:rsidRPr="00D337FA">
        <w:rPr>
          <w:szCs w:val="28"/>
        </w:rPr>
        <w:t xml:space="preserve"> </w:t>
      </w:r>
      <w:r w:rsidRPr="00D337FA">
        <w:rPr>
          <w:szCs w:val="28"/>
        </w:rPr>
        <w:t>также</w:t>
      </w:r>
      <w:r w:rsidR="006C680D" w:rsidRPr="00D337FA">
        <w:rPr>
          <w:szCs w:val="28"/>
        </w:rPr>
        <w:t xml:space="preserve"> </w:t>
      </w:r>
      <w:r w:rsidRPr="00D337FA">
        <w:rPr>
          <w:szCs w:val="28"/>
        </w:rPr>
        <w:t>и</w:t>
      </w:r>
      <w:r w:rsidR="006C680D" w:rsidRPr="00D337FA">
        <w:rPr>
          <w:szCs w:val="28"/>
        </w:rPr>
        <w:t xml:space="preserve"> </w:t>
      </w:r>
      <w:r w:rsidRPr="00D337FA">
        <w:rPr>
          <w:szCs w:val="28"/>
        </w:rPr>
        <w:t>к</w:t>
      </w:r>
      <w:r w:rsidR="006C680D" w:rsidRPr="00D337FA">
        <w:rPr>
          <w:szCs w:val="28"/>
        </w:rPr>
        <w:t xml:space="preserve"> </w:t>
      </w:r>
      <w:r w:rsidRPr="00D337FA">
        <w:rPr>
          <w:szCs w:val="28"/>
        </w:rPr>
        <w:t>увеличению</w:t>
      </w:r>
      <w:r w:rsidR="006C680D" w:rsidRPr="00D337FA">
        <w:rPr>
          <w:szCs w:val="28"/>
        </w:rPr>
        <w:t xml:space="preserve"> </w:t>
      </w:r>
      <w:r w:rsidRPr="00D337FA">
        <w:rPr>
          <w:szCs w:val="28"/>
        </w:rPr>
        <w:t>стоимости</w:t>
      </w:r>
      <w:r w:rsidR="006C680D" w:rsidRPr="00D337FA">
        <w:rPr>
          <w:szCs w:val="28"/>
        </w:rPr>
        <w:t xml:space="preserve"> </w:t>
      </w:r>
      <w:r w:rsidRPr="00D337FA">
        <w:rPr>
          <w:szCs w:val="28"/>
        </w:rPr>
        <w:t>отечественной</w:t>
      </w:r>
      <w:r w:rsidR="006C680D" w:rsidRPr="00D337FA">
        <w:rPr>
          <w:szCs w:val="28"/>
        </w:rPr>
        <w:t xml:space="preserve"> </w:t>
      </w:r>
      <w:r w:rsidRPr="00D337FA">
        <w:rPr>
          <w:szCs w:val="28"/>
        </w:rPr>
        <w:t>техники,</w:t>
      </w:r>
      <w:r w:rsidR="006C680D" w:rsidRPr="00D337FA">
        <w:rPr>
          <w:szCs w:val="28"/>
        </w:rPr>
        <w:t xml:space="preserve"> </w:t>
      </w:r>
      <w:r w:rsidRPr="00D337FA">
        <w:rPr>
          <w:szCs w:val="28"/>
        </w:rPr>
        <w:t>что</w:t>
      </w:r>
      <w:r w:rsidR="006C680D" w:rsidRPr="00D337FA">
        <w:rPr>
          <w:szCs w:val="28"/>
        </w:rPr>
        <w:t xml:space="preserve"> </w:t>
      </w:r>
      <w:r w:rsidRPr="00D337FA">
        <w:rPr>
          <w:szCs w:val="28"/>
        </w:rPr>
        <w:t>закономерно</w:t>
      </w:r>
      <w:r w:rsidR="006C680D" w:rsidRPr="00D337FA">
        <w:rPr>
          <w:szCs w:val="28"/>
        </w:rPr>
        <w:t xml:space="preserve"> </w:t>
      </w:r>
      <w:r w:rsidRPr="00D337FA">
        <w:rPr>
          <w:szCs w:val="28"/>
        </w:rPr>
        <w:t>привело</w:t>
      </w:r>
      <w:r w:rsidR="006C680D" w:rsidRPr="00D337FA">
        <w:rPr>
          <w:szCs w:val="28"/>
        </w:rPr>
        <w:t xml:space="preserve"> </w:t>
      </w:r>
      <w:r w:rsidRPr="00D337FA">
        <w:rPr>
          <w:szCs w:val="28"/>
        </w:rPr>
        <w:t>к</w:t>
      </w:r>
      <w:r w:rsidR="006C680D" w:rsidRPr="00D337FA">
        <w:rPr>
          <w:szCs w:val="28"/>
        </w:rPr>
        <w:t xml:space="preserve"> </w:t>
      </w:r>
      <w:r w:rsidRPr="00D337FA">
        <w:rPr>
          <w:szCs w:val="28"/>
        </w:rPr>
        <w:t>падению</w:t>
      </w:r>
      <w:r w:rsidR="006C680D" w:rsidRPr="00D337FA">
        <w:rPr>
          <w:szCs w:val="28"/>
        </w:rPr>
        <w:t xml:space="preserve"> </w:t>
      </w:r>
      <w:r w:rsidRPr="00D337FA">
        <w:rPr>
          <w:szCs w:val="28"/>
        </w:rPr>
        <w:t>спроса.</w:t>
      </w:r>
      <w:r w:rsidR="006C680D" w:rsidRPr="00D337FA">
        <w:rPr>
          <w:szCs w:val="28"/>
        </w:rPr>
        <w:t xml:space="preserve"> </w:t>
      </w:r>
      <w:r w:rsidRPr="00D337FA">
        <w:rPr>
          <w:szCs w:val="28"/>
        </w:rPr>
        <w:t>Так,</w:t>
      </w:r>
      <w:r w:rsidR="006C680D" w:rsidRPr="00D337FA">
        <w:rPr>
          <w:szCs w:val="28"/>
        </w:rPr>
        <w:t xml:space="preserve"> </w:t>
      </w:r>
      <w:r w:rsidRPr="00D337FA">
        <w:rPr>
          <w:szCs w:val="28"/>
        </w:rPr>
        <w:t>по</w:t>
      </w:r>
      <w:r w:rsidR="006C680D" w:rsidRPr="00D337FA">
        <w:rPr>
          <w:szCs w:val="28"/>
        </w:rPr>
        <w:t xml:space="preserve"> </w:t>
      </w:r>
      <w:r w:rsidRPr="00D337FA">
        <w:rPr>
          <w:szCs w:val="28"/>
        </w:rPr>
        <w:t>мнению</w:t>
      </w:r>
      <w:r w:rsidR="006C680D" w:rsidRPr="00D337FA">
        <w:rPr>
          <w:szCs w:val="28"/>
        </w:rPr>
        <w:t xml:space="preserve"> </w:t>
      </w:r>
      <w:r w:rsidRPr="00D337FA">
        <w:rPr>
          <w:szCs w:val="28"/>
        </w:rPr>
        <w:t>РЗС</w:t>
      </w:r>
      <w:r w:rsidR="006C680D" w:rsidRPr="00D337FA">
        <w:rPr>
          <w:szCs w:val="28"/>
        </w:rPr>
        <w:t xml:space="preserve"> </w:t>
      </w:r>
      <w:r w:rsidRPr="00D337FA">
        <w:rPr>
          <w:szCs w:val="28"/>
        </w:rPr>
        <w:t>парадоксально,</w:t>
      </w:r>
      <w:r w:rsidR="006C680D" w:rsidRPr="00D337FA">
        <w:rPr>
          <w:szCs w:val="28"/>
        </w:rPr>
        <w:t xml:space="preserve"> </w:t>
      </w:r>
      <w:r w:rsidRPr="00D337FA">
        <w:rPr>
          <w:szCs w:val="28"/>
        </w:rPr>
        <w:t>что</w:t>
      </w:r>
      <w:r w:rsidR="006C680D" w:rsidRPr="00D337FA">
        <w:rPr>
          <w:szCs w:val="28"/>
        </w:rPr>
        <w:t xml:space="preserve"> </w:t>
      </w:r>
      <w:r w:rsidRPr="00D337FA">
        <w:rPr>
          <w:szCs w:val="28"/>
        </w:rPr>
        <w:t>организации,</w:t>
      </w:r>
      <w:r w:rsidR="006C680D" w:rsidRPr="00D337FA">
        <w:rPr>
          <w:szCs w:val="28"/>
        </w:rPr>
        <w:t xml:space="preserve"> </w:t>
      </w:r>
      <w:r w:rsidRPr="00D337FA">
        <w:rPr>
          <w:szCs w:val="28"/>
        </w:rPr>
        <w:t>обладающие</w:t>
      </w:r>
      <w:r w:rsidR="006C680D" w:rsidRPr="00D337FA">
        <w:rPr>
          <w:szCs w:val="28"/>
        </w:rPr>
        <w:t xml:space="preserve"> </w:t>
      </w:r>
      <w:r w:rsidRPr="00D337FA">
        <w:rPr>
          <w:szCs w:val="28"/>
        </w:rPr>
        <w:t>достаточными</w:t>
      </w:r>
      <w:r w:rsidR="006C680D" w:rsidRPr="00D337FA">
        <w:rPr>
          <w:szCs w:val="28"/>
        </w:rPr>
        <w:t xml:space="preserve"> </w:t>
      </w:r>
      <w:r w:rsidRPr="00D337FA">
        <w:rPr>
          <w:szCs w:val="28"/>
        </w:rPr>
        <w:t>средствами</w:t>
      </w:r>
      <w:r w:rsidR="006C680D" w:rsidRPr="00D337FA">
        <w:rPr>
          <w:szCs w:val="28"/>
        </w:rPr>
        <w:t xml:space="preserve"> </w:t>
      </w:r>
      <w:r w:rsidRPr="00D337FA">
        <w:rPr>
          <w:szCs w:val="28"/>
        </w:rPr>
        <w:t>для</w:t>
      </w:r>
      <w:r w:rsidR="006C680D" w:rsidRPr="00D337FA">
        <w:rPr>
          <w:szCs w:val="28"/>
        </w:rPr>
        <w:t xml:space="preserve"> </w:t>
      </w:r>
      <w:r w:rsidRPr="00D337FA">
        <w:rPr>
          <w:szCs w:val="28"/>
        </w:rPr>
        <w:t>обновления</w:t>
      </w:r>
      <w:r w:rsidR="006C680D" w:rsidRPr="00D337FA">
        <w:rPr>
          <w:szCs w:val="28"/>
        </w:rPr>
        <w:t xml:space="preserve"> </w:t>
      </w:r>
      <w:r w:rsidRPr="00D337FA">
        <w:rPr>
          <w:szCs w:val="28"/>
        </w:rPr>
        <w:t>своей</w:t>
      </w:r>
      <w:r w:rsidR="006C680D" w:rsidRPr="00D337FA">
        <w:rPr>
          <w:szCs w:val="28"/>
        </w:rPr>
        <w:t xml:space="preserve"> </w:t>
      </w:r>
      <w:r w:rsidRPr="00D337FA">
        <w:rPr>
          <w:szCs w:val="28"/>
        </w:rPr>
        <w:t>МТБ</w:t>
      </w:r>
      <w:r w:rsidR="006C680D" w:rsidRPr="00D337FA">
        <w:rPr>
          <w:szCs w:val="28"/>
        </w:rPr>
        <w:t xml:space="preserve"> </w:t>
      </w:r>
      <w:r w:rsidRPr="00D337FA">
        <w:rPr>
          <w:szCs w:val="28"/>
        </w:rPr>
        <w:t>отдают</w:t>
      </w:r>
      <w:r w:rsidR="006C680D" w:rsidRPr="00D337FA">
        <w:rPr>
          <w:szCs w:val="28"/>
        </w:rPr>
        <w:t xml:space="preserve"> </w:t>
      </w:r>
      <w:r w:rsidRPr="00D337FA">
        <w:rPr>
          <w:szCs w:val="28"/>
        </w:rPr>
        <w:t>предпочтение</w:t>
      </w:r>
      <w:r w:rsidR="006C680D" w:rsidRPr="00D337FA">
        <w:rPr>
          <w:szCs w:val="28"/>
        </w:rPr>
        <w:t xml:space="preserve"> </w:t>
      </w:r>
      <w:r w:rsidRPr="00D337FA">
        <w:rPr>
          <w:szCs w:val="28"/>
        </w:rPr>
        <w:t>в</w:t>
      </w:r>
      <w:r w:rsidR="006C680D" w:rsidRPr="00D337FA">
        <w:rPr>
          <w:szCs w:val="28"/>
        </w:rPr>
        <w:t xml:space="preserve"> </w:t>
      </w:r>
      <w:r w:rsidRPr="00D337FA">
        <w:rPr>
          <w:szCs w:val="28"/>
        </w:rPr>
        <w:t>пользу</w:t>
      </w:r>
      <w:r w:rsidR="006C680D" w:rsidRPr="00D337FA">
        <w:rPr>
          <w:szCs w:val="28"/>
        </w:rPr>
        <w:t xml:space="preserve"> </w:t>
      </w:r>
      <w:r w:rsidRPr="00D337FA">
        <w:rPr>
          <w:szCs w:val="28"/>
        </w:rPr>
        <w:t>импортных</w:t>
      </w:r>
      <w:r w:rsidR="006C680D" w:rsidRPr="00D337FA">
        <w:rPr>
          <w:szCs w:val="28"/>
        </w:rPr>
        <w:t xml:space="preserve"> </w:t>
      </w:r>
      <w:r w:rsidRPr="00D337FA">
        <w:rPr>
          <w:szCs w:val="28"/>
        </w:rPr>
        <w:t>аналогов,</w:t>
      </w:r>
      <w:r w:rsidR="006C680D" w:rsidRPr="00D337FA">
        <w:rPr>
          <w:szCs w:val="28"/>
        </w:rPr>
        <w:t xml:space="preserve"> </w:t>
      </w:r>
      <w:r w:rsidRPr="00D337FA">
        <w:rPr>
          <w:szCs w:val="28"/>
        </w:rPr>
        <w:t>как</w:t>
      </w:r>
      <w:r w:rsidR="006C680D" w:rsidRPr="00D337FA">
        <w:rPr>
          <w:szCs w:val="28"/>
        </w:rPr>
        <w:t xml:space="preserve"> </w:t>
      </w:r>
      <w:r w:rsidRPr="00D337FA">
        <w:rPr>
          <w:szCs w:val="28"/>
        </w:rPr>
        <w:t>правило</w:t>
      </w:r>
      <w:r w:rsidR="006C680D" w:rsidRPr="00D337FA">
        <w:rPr>
          <w:szCs w:val="28"/>
        </w:rPr>
        <w:t xml:space="preserve"> </w:t>
      </w:r>
      <w:r w:rsidRPr="00D337FA">
        <w:rPr>
          <w:szCs w:val="28"/>
        </w:rPr>
        <w:t>китайских</w:t>
      </w:r>
      <w:r w:rsidR="006C680D" w:rsidRPr="00D337FA">
        <w:rPr>
          <w:szCs w:val="28"/>
        </w:rPr>
        <w:t xml:space="preserve"> </w:t>
      </w:r>
      <w:r w:rsidRPr="00D337FA">
        <w:rPr>
          <w:szCs w:val="28"/>
        </w:rPr>
        <w:t>или</w:t>
      </w:r>
      <w:r w:rsidR="006C680D" w:rsidRPr="00D337FA">
        <w:rPr>
          <w:szCs w:val="28"/>
        </w:rPr>
        <w:t xml:space="preserve"> </w:t>
      </w:r>
      <w:r w:rsidRPr="00D337FA">
        <w:rPr>
          <w:szCs w:val="28"/>
        </w:rPr>
        <w:t>белорусских,</w:t>
      </w:r>
      <w:r w:rsidR="006C680D" w:rsidRPr="00D337FA">
        <w:rPr>
          <w:szCs w:val="28"/>
        </w:rPr>
        <w:t xml:space="preserve"> </w:t>
      </w:r>
      <w:r w:rsidRPr="00D337FA">
        <w:rPr>
          <w:szCs w:val="28"/>
        </w:rPr>
        <w:t>поскольку</w:t>
      </w:r>
      <w:r w:rsidR="006C680D" w:rsidRPr="00D337FA">
        <w:rPr>
          <w:szCs w:val="28"/>
        </w:rPr>
        <w:t xml:space="preserve"> </w:t>
      </w:r>
      <w:r w:rsidRPr="00D337FA">
        <w:rPr>
          <w:szCs w:val="28"/>
        </w:rPr>
        <w:t>в</w:t>
      </w:r>
      <w:r w:rsidR="006C680D" w:rsidRPr="00D337FA">
        <w:rPr>
          <w:szCs w:val="28"/>
        </w:rPr>
        <w:t xml:space="preserve"> </w:t>
      </w:r>
      <w:r w:rsidRPr="00D337FA">
        <w:rPr>
          <w:szCs w:val="28"/>
        </w:rPr>
        <w:t>конечном</w:t>
      </w:r>
      <w:r w:rsidR="006C680D" w:rsidRPr="00D337FA">
        <w:rPr>
          <w:szCs w:val="28"/>
        </w:rPr>
        <w:t xml:space="preserve"> </w:t>
      </w:r>
      <w:r w:rsidRPr="00D337FA">
        <w:rPr>
          <w:szCs w:val="28"/>
        </w:rPr>
        <w:t>пересчёте</w:t>
      </w:r>
      <w:r w:rsidR="006C680D" w:rsidRPr="00D337FA">
        <w:rPr>
          <w:szCs w:val="28"/>
        </w:rPr>
        <w:t xml:space="preserve"> </w:t>
      </w:r>
      <w:r w:rsidRPr="00D337FA">
        <w:rPr>
          <w:szCs w:val="28"/>
        </w:rPr>
        <w:t>по</w:t>
      </w:r>
      <w:r w:rsidR="006C680D" w:rsidRPr="00D337FA">
        <w:rPr>
          <w:szCs w:val="28"/>
        </w:rPr>
        <w:t xml:space="preserve"> </w:t>
      </w:r>
      <w:r w:rsidRPr="00D337FA">
        <w:rPr>
          <w:szCs w:val="28"/>
        </w:rPr>
        <w:t>соотношению</w:t>
      </w:r>
      <w:r w:rsidR="006C680D" w:rsidRPr="00D337FA">
        <w:rPr>
          <w:szCs w:val="28"/>
        </w:rPr>
        <w:t xml:space="preserve"> </w:t>
      </w:r>
      <w:r w:rsidRPr="00D337FA">
        <w:rPr>
          <w:szCs w:val="28"/>
        </w:rPr>
        <w:t>цена-качество</w:t>
      </w:r>
      <w:r w:rsidR="006C680D" w:rsidRPr="00D337FA">
        <w:rPr>
          <w:szCs w:val="28"/>
        </w:rPr>
        <w:t xml:space="preserve"> </w:t>
      </w:r>
      <w:r w:rsidRPr="00D337FA">
        <w:rPr>
          <w:szCs w:val="28"/>
        </w:rPr>
        <w:t>она</w:t>
      </w:r>
      <w:r w:rsidR="006C680D" w:rsidRPr="00D337FA">
        <w:rPr>
          <w:szCs w:val="28"/>
        </w:rPr>
        <w:t xml:space="preserve"> </w:t>
      </w:r>
      <w:r w:rsidRPr="00D337FA">
        <w:rPr>
          <w:szCs w:val="28"/>
        </w:rPr>
        <w:t>оказывается</w:t>
      </w:r>
      <w:r w:rsidR="006C680D" w:rsidRPr="00D337FA">
        <w:rPr>
          <w:szCs w:val="28"/>
        </w:rPr>
        <w:t xml:space="preserve"> </w:t>
      </w:r>
      <w:r w:rsidRPr="00D337FA">
        <w:rPr>
          <w:szCs w:val="28"/>
        </w:rPr>
        <w:t>более</w:t>
      </w:r>
      <w:r w:rsidR="006C680D" w:rsidRPr="00D337FA">
        <w:rPr>
          <w:szCs w:val="28"/>
        </w:rPr>
        <w:t xml:space="preserve"> </w:t>
      </w:r>
      <w:r w:rsidRPr="00D337FA">
        <w:rPr>
          <w:szCs w:val="28"/>
        </w:rPr>
        <w:t>предпочтительной.</w:t>
      </w:r>
      <w:r w:rsidR="006C680D" w:rsidRPr="00D337FA">
        <w:rPr>
          <w:szCs w:val="28"/>
        </w:rPr>
        <w:t xml:space="preserve"> </w:t>
      </w:r>
      <w:r w:rsidRPr="00D337FA">
        <w:rPr>
          <w:szCs w:val="28"/>
        </w:rPr>
        <w:t>Так,</w:t>
      </w:r>
      <w:r w:rsidR="006C680D" w:rsidRPr="00D337FA">
        <w:rPr>
          <w:szCs w:val="28"/>
        </w:rPr>
        <w:t xml:space="preserve"> </w:t>
      </w:r>
      <w:r w:rsidRPr="00D337FA">
        <w:rPr>
          <w:szCs w:val="28"/>
        </w:rPr>
        <w:t>с</w:t>
      </w:r>
      <w:r w:rsidR="006C680D" w:rsidRPr="00D337FA">
        <w:rPr>
          <w:szCs w:val="28"/>
        </w:rPr>
        <w:t xml:space="preserve"> </w:t>
      </w:r>
      <w:r w:rsidRPr="00D337FA">
        <w:rPr>
          <w:szCs w:val="28"/>
        </w:rPr>
        <w:t>января</w:t>
      </w:r>
      <w:r w:rsidR="006C680D" w:rsidRPr="00D337FA">
        <w:rPr>
          <w:szCs w:val="28"/>
        </w:rPr>
        <w:t xml:space="preserve"> </w:t>
      </w:r>
      <w:r w:rsidRPr="00D337FA">
        <w:rPr>
          <w:szCs w:val="28"/>
        </w:rPr>
        <w:t>2025</w:t>
      </w:r>
      <w:r w:rsidR="006C680D" w:rsidRPr="00D337FA">
        <w:rPr>
          <w:szCs w:val="28"/>
        </w:rPr>
        <w:t xml:space="preserve"> </w:t>
      </w:r>
      <w:r w:rsidRPr="00D337FA">
        <w:rPr>
          <w:szCs w:val="28"/>
        </w:rPr>
        <w:t>года</w:t>
      </w:r>
      <w:r w:rsidR="006C680D" w:rsidRPr="00D337FA">
        <w:rPr>
          <w:szCs w:val="28"/>
        </w:rPr>
        <w:t xml:space="preserve"> </w:t>
      </w:r>
      <w:r w:rsidRPr="00D337FA">
        <w:rPr>
          <w:szCs w:val="28"/>
        </w:rPr>
        <w:t>утилизационной</w:t>
      </w:r>
      <w:r w:rsidR="006C680D" w:rsidRPr="00D337FA">
        <w:rPr>
          <w:szCs w:val="28"/>
        </w:rPr>
        <w:t xml:space="preserve"> </w:t>
      </w:r>
      <w:r w:rsidRPr="00D337FA">
        <w:rPr>
          <w:szCs w:val="28"/>
        </w:rPr>
        <w:t>сбор</w:t>
      </w:r>
      <w:r w:rsidR="006C680D" w:rsidRPr="00D337FA">
        <w:rPr>
          <w:szCs w:val="28"/>
        </w:rPr>
        <w:t xml:space="preserve"> </w:t>
      </w:r>
      <w:r w:rsidRPr="00D337FA">
        <w:rPr>
          <w:szCs w:val="28"/>
        </w:rPr>
        <w:t>был</w:t>
      </w:r>
      <w:r w:rsidR="006C680D" w:rsidRPr="00D337FA">
        <w:rPr>
          <w:szCs w:val="28"/>
        </w:rPr>
        <w:t xml:space="preserve"> </w:t>
      </w:r>
      <w:r w:rsidRPr="00D337FA">
        <w:rPr>
          <w:szCs w:val="22"/>
        </w:rPr>
        <w:t>увеличен</w:t>
      </w:r>
      <w:r w:rsidR="006C680D" w:rsidRPr="00D337FA">
        <w:rPr>
          <w:szCs w:val="22"/>
        </w:rPr>
        <w:t xml:space="preserve"> </w:t>
      </w:r>
      <w:r w:rsidRPr="00D337FA">
        <w:rPr>
          <w:szCs w:val="22"/>
        </w:rPr>
        <w:t>в</w:t>
      </w:r>
      <w:r w:rsidR="006C680D" w:rsidRPr="00D337FA">
        <w:rPr>
          <w:szCs w:val="22"/>
        </w:rPr>
        <w:t xml:space="preserve"> </w:t>
      </w:r>
      <w:r w:rsidRPr="00D337FA">
        <w:rPr>
          <w:szCs w:val="22"/>
        </w:rPr>
        <w:t>пять</w:t>
      </w:r>
      <w:r w:rsidR="006C680D" w:rsidRPr="00D337FA">
        <w:rPr>
          <w:szCs w:val="22"/>
        </w:rPr>
        <w:t xml:space="preserve"> </w:t>
      </w:r>
      <w:r w:rsidRPr="00D337FA">
        <w:rPr>
          <w:szCs w:val="22"/>
        </w:rPr>
        <w:t>раз</w:t>
      </w:r>
      <w:r w:rsidR="006C680D" w:rsidRPr="00D337FA">
        <w:rPr>
          <w:szCs w:val="22"/>
        </w:rPr>
        <w:t xml:space="preserve"> </w:t>
      </w:r>
      <w:r w:rsidRPr="00D337FA">
        <w:rPr>
          <w:szCs w:val="22"/>
        </w:rPr>
        <w:t>для</w:t>
      </w:r>
      <w:r w:rsidR="006C680D" w:rsidRPr="00D337FA">
        <w:rPr>
          <w:szCs w:val="22"/>
        </w:rPr>
        <w:t xml:space="preserve"> </w:t>
      </w:r>
      <w:r w:rsidRPr="00D337FA">
        <w:rPr>
          <w:szCs w:val="22"/>
        </w:rPr>
        <w:t>многих</w:t>
      </w:r>
      <w:r w:rsidR="006C680D" w:rsidRPr="00D337FA">
        <w:rPr>
          <w:szCs w:val="22"/>
        </w:rPr>
        <w:t xml:space="preserve"> </w:t>
      </w:r>
      <w:r w:rsidRPr="00D337FA">
        <w:rPr>
          <w:szCs w:val="22"/>
        </w:rPr>
        <w:t>видов</w:t>
      </w:r>
      <w:r w:rsidR="006C680D" w:rsidRPr="00D337FA">
        <w:rPr>
          <w:szCs w:val="22"/>
        </w:rPr>
        <w:t xml:space="preserve"> </w:t>
      </w:r>
      <w:r w:rsidRPr="00D337FA">
        <w:rPr>
          <w:szCs w:val="22"/>
        </w:rPr>
        <w:t>техники,</w:t>
      </w:r>
      <w:r w:rsidR="006C680D" w:rsidRPr="00D337FA">
        <w:rPr>
          <w:szCs w:val="22"/>
        </w:rPr>
        <w:t xml:space="preserve"> </w:t>
      </w:r>
      <w:r w:rsidRPr="00D337FA">
        <w:rPr>
          <w:szCs w:val="22"/>
        </w:rPr>
        <w:t>исключением</w:t>
      </w:r>
      <w:r w:rsidR="006C680D" w:rsidRPr="00D337FA">
        <w:rPr>
          <w:szCs w:val="22"/>
        </w:rPr>
        <w:t xml:space="preserve"> </w:t>
      </w:r>
      <w:r w:rsidRPr="00D337FA">
        <w:rPr>
          <w:szCs w:val="22"/>
        </w:rPr>
        <w:t>стали</w:t>
      </w:r>
      <w:r w:rsidR="006C680D" w:rsidRPr="00D337FA">
        <w:rPr>
          <w:szCs w:val="22"/>
        </w:rPr>
        <w:t xml:space="preserve"> </w:t>
      </w:r>
      <w:r w:rsidRPr="00D337FA">
        <w:rPr>
          <w:szCs w:val="22"/>
        </w:rPr>
        <w:t>только</w:t>
      </w:r>
      <w:r w:rsidR="006C680D" w:rsidRPr="00D337FA">
        <w:rPr>
          <w:szCs w:val="22"/>
        </w:rPr>
        <w:t xml:space="preserve"> </w:t>
      </w:r>
      <w:r w:rsidRPr="00D337FA">
        <w:rPr>
          <w:szCs w:val="22"/>
        </w:rPr>
        <w:t>тракторы</w:t>
      </w:r>
      <w:r w:rsidR="006C680D" w:rsidRPr="00D337FA">
        <w:rPr>
          <w:szCs w:val="22"/>
        </w:rPr>
        <w:t xml:space="preserve"> </w:t>
      </w:r>
      <w:r w:rsidRPr="00D337FA">
        <w:rPr>
          <w:szCs w:val="22"/>
        </w:rPr>
        <w:t>мощностью</w:t>
      </w:r>
      <w:r w:rsidR="006C680D" w:rsidRPr="00D337FA">
        <w:rPr>
          <w:szCs w:val="22"/>
        </w:rPr>
        <w:t xml:space="preserve"> </w:t>
      </w:r>
      <w:r w:rsidRPr="00D337FA">
        <w:rPr>
          <w:szCs w:val="22"/>
        </w:rPr>
        <w:t>до</w:t>
      </w:r>
      <w:r w:rsidR="006C680D" w:rsidRPr="00D337FA">
        <w:rPr>
          <w:szCs w:val="22"/>
        </w:rPr>
        <w:t xml:space="preserve"> </w:t>
      </w:r>
      <w:r w:rsidRPr="00D337FA">
        <w:rPr>
          <w:szCs w:val="22"/>
        </w:rPr>
        <w:t>340</w:t>
      </w:r>
      <w:r w:rsidR="006C680D" w:rsidRPr="00D337FA">
        <w:rPr>
          <w:szCs w:val="22"/>
        </w:rPr>
        <w:t xml:space="preserve"> </w:t>
      </w:r>
      <w:r w:rsidRPr="00D337FA">
        <w:rPr>
          <w:szCs w:val="22"/>
        </w:rPr>
        <w:t>лошадиных</w:t>
      </w:r>
      <w:r w:rsidR="006C680D" w:rsidRPr="00D337FA">
        <w:rPr>
          <w:szCs w:val="22"/>
        </w:rPr>
        <w:t xml:space="preserve"> </w:t>
      </w:r>
      <w:r w:rsidRPr="00D337FA">
        <w:rPr>
          <w:szCs w:val="22"/>
        </w:rPr>
        <w:t>сил.</w:t>
      </w:r>
      <w:r w:rsidR="006C680D" w:rsidRPr="00D337FA">
        <w:rPr>
          <w:szCs w:val="22"/>
        </w:rPr>
        <w:t xml:space="preserve"> </w:t>
      </w:r>
      <w:r w:rsidRPr="00D337FA">
        <w:rPr>
          <w:szCs w:val="22"/>
        </w:rPr>
        <w:t>При</w:t>
      </w:r>
      <w:r w:rsidR="006C680D" w:rsidRPr="00D337FA">
        <w:rPr>
          <w:szCs w:val="22"/>
        </w:rPr>
        <w:t xml:space="preserve"> </w:t>
      </w:r>
      <w:r w:rsidRPr="00D337FA">
        <w:rPr>
          <w:szCs w:val="22"/>
        </w:rPr>
        <w:t>этом</w:t>
      </w:r>
      <w:r w:rsidR="006C680D" w:rsidRPr="00D337FA">
        <w:rPr>
          <w:szCs w:val="22"/>
        </w:rPr>
        <w:t xml:space="preserve"> </w:t>
      </w:r>
      <w:r w:rsidRPr="00D337FA">
        <w:rPr>
          <w:szCs w:val="22"/>
        </w:rPr>
        <w:t>с</w:t>
      </w:r>
      <w:r w:rsidR="006C680D" w:rsidRPr="00D337FA">
        <w:rPr>
          <w:szCs w:val="22"/>
        </w:rPr>
        <w:t xml:space="preserve"> </w:t>
      </w:r>
      <w:r w:rsidRPr="00D337FA">
        <w:rPr>
          <w:szCs w:val="22"/>
        </w:rPr>
        <w:t>2026</w:t>
      </w:r>
      <w:r w:rsidR="006C680D" w:rsidRPr="00D337FA">
        <w:rPr>
          <w:szCs w:val="22"/>
        </w:rPr>
        <w:t xml:space="preserve"> </w:t>
      </w:r>
      <w:r w:rsidRPr="00D337FA">
        <w:rPr>
          <w:szCs w:val="22"/>
        </w:rPr>
        <w:t>года</w:t>
      </w:r>
      <w:r w:rsidR="006C680D" w:rsidRPr="00D337FA">
        <w:rPr>
          <w:szCs w:val="22"/>
        </w:rPr>
        <w:t xml:space="preserve"> </w:t>
      </w:r>
      <w:r w:rsidRPr="00D337FA">
        <w:rPr>
          <w:szCs w:val="22"/>
        </w:rPr>
        <w:t>планируется</w:t>
      </w:r>
      <w:r w:rsidR="006C680D" w:rsidRPr="00D337FA">
        <w:rPr>
          <w:szCs w:val="22"/>
        </w:rPr>
        <w:t xml:space="preserve"> </w:t>
      </w:r>
      <w:r w:rsidRPr="00D337FA">
        <w:rPr>
          <w:szCs w:val="22"/>
        </w:rPr>
        <w:t>ежегодное</w:t>
      </w:r>
      <w:r w:rsidR="006C680D" w:rsidRPr="00D337FA">
        <w:rPr>
          <w:szCs w:val="22"/>
        </w:rPr>
        <w:t xml:space="preserve"> </w:t>
      </w:r>
      <w:r w:rsidRPr="00D337FA">
        <w:rPr>
          <w:szCs w:val="22"/>
        </w:rPr>
        <w:t>повышение</w:t>
      </w:r>
      <w:r w:rsidR="006C680D" w:rsidRPr="00D337FA">
        <w:rPr>
          <w:szCs w:val="22"/>
        </w:rPr>
        <w:t xml:space="preserve"> </w:t>
      </w:r>
      <w:r w:rsidRPr="00D337FA">
        <w:rPr>
          <w:szCs w:val="22"/>
        </w:rPr>
        <w:t>этого</w:t>
      </w:r>
      <w:r w:rsidR="006C680D" w:rsidRPr="00D337FA">
        <w:rPr>
          <w:szCs w:val="22"/>
        </w:rPr>
        <w:t xml:space="preserve"> </w:t>
      </w:r>
      <w:r w:rsidRPr="00D337FA">
        <w:rPr>
          <w:szCs w:val="22"/>
        </w:rPr>
        <w:t>коэффициента</w:t>
      </w:r>
      <w:r w:rsidR="006C680D" w:rsidRPr="00D337FA">
        <w:rPr>
          <w:szCs w:val="22"/>
        </w:rPr>
        <w:t xml:space="preserve"> </w:t>
      </w:r>
      <w:r w:rsidRPr="00D337FA">
        <w:rPr>
          <w:szCs w:val="22"/>
        </w:rPr>
        <w:t>на</w:t>
      </w:r>
      <w:r w:rsidR="006C680D" w:rsidRPr="00D337FA">
        <w:rPr>
          <w:szCs w:val="22"/>
        </w:rPr>
        <w:t xml:space="preserve"> </w:t>
      </w:r>
      <w:r w:rsidRPr="00D337FA">
        <w:rPr>
          <w:szCs w:val="22"/>
        </w:rPr>
        <w:t>15%,</w:t>
      </w:r>
      <w:r w:rsidR="006C680D" w:rsidRPr="00D337FA">
        <w:rPr>
          <w:szCs w:val="22"/>
        </w:rPr>
        <w:t xml:space="preserve"> </w:t>
      </w:r>
      <w:r w:rsidRPr="00D337FA">
        <w:rPr>
          <w:szCs w:val="22"/>
        </w:rPr>
        <w:t>что</w:t>
      </w:r>
      <w:r w:rsidR="006C680D" w:rsidRPr="00D337FA">
        <w:rPr>
          <w:szCs w:val="22"/>
        </w:rPr>
        <w:t xml:space="preserve"> </w:t>
      </w:r>
      <w:r w:rsidRPr="00D337FA">
        <w:rPr>
          <w:szCs w:val="22"/>
        </w:rPr>
        <w:t>может</w:t>
      </w:r>
      <w:r w:rsidR="006C680D" w:rsidRPr="00D337FA">
        <w:rPr>
          <w:szCs w:val="22"/>
        </w:rPr>
        <w:t xml:space="preserve"> </w:t>
      </w:r>
      <w:r w:rsidRPr="00D337FA">
        <w:rPr>
          <w:szCs w:val="22"/>
        </w:rPr>
        <w:t>отразится</w:t>
      </w:r>
      <w:r w:rsidR="006C680D" w:rsidRPr="00D337FA">
        <w:rPr>
          <w:szCs w:val="22"/>
        </w:rPr>
        <w:t xml:space="preserve"> </w:t>
      </w:r>
      <w:r w:rsidRPr="00D337FA">
        <w:rPr>
          <w:szCs w:val="22"/>
        </w:rPr>
        <w:t>на</w:t>
      </w:r>
      <w:r w:rsidR="006C680D" w:rsidRPr="00D337FA">
        <w:rPr>
          <w:szCs w:val="22"/>
        </w:rPr>
        <w:t xml:space="preserve"> </w:t>
      </w:r>
      <w:r w:rsidRPr="00D337FA">
        <w:rPr>
          <w:szCs w:val="22"/>
        </w:rPr>
        <w:t>конечной</w:t>
      </w:r>
      <w:r w:rsidR="006C680D" w:rsidRPr="00D337FA">
        <w:rPr>
          <w:szCs w:val="22"/>
        </w:rPr>
        <w:t xml:space="preserve"> </w:t>
      </w:r>
      <w:r w:rsidRPr="00D337FA">
        <w:rPr>
          <w:szCs w:val="22"/>
        </w:rPr>
        <w:t>стоимости,</w:t>
      </w:r>
      <w:r w:rsidR="006C680D" w:rsidRPr="00D337FA">
        <w:rPr>
          <w:szCs w:val="22"/>
        </w:rPr>
        <w:t xml:space="preserve"> </w:t>
      </w:r>
      <w:r w:rsidRPr="00D337FA">
        <w:rPr>
          <w:szCs w:val="22"/>
        </w:rPr>
        <w:t>как</w:t>
      </w:r>
      <w:r w:rsidR="006C680D" w:rsidRPr="00D337FA">
        <w:rPr>
          <w:szCs w:val="22"/>
        </w:rPr>
        <w:t xml:space="preserve"> </w:t>
      </w:r>
      <w:r w:rsidRPr="00D337FA">
        <w:rPr>
          <w:szCs w:val="22"/>
        </w:rPr>
        <w:t>отечественной,</w:t>
      </w:r>
      <w:r w:rsidR="006C680D" w:rsidRPr="00D337FA">
        <w:rPr>
          <w:szCs w:val="22"/>
        </w:rPr>
        <w:t xml:space="preserve"> </w:t>
      </w:r>
      <w:r w:rsidRPr="00D337FA">
        <w:rPr>
          <w:szCs w:val="22"/>
        </w:rPr>
        <w:t>так</w:t>
      </w:r>
      <w:r w:rsidR="006C680D" w:rsidRPr="00D337FA">
        <w:rPr>
          <w:szCs w:val="22"/>
        </w:rPr>
        <w:t xml:space="preserve"> </w:t>
      </w:r>
      <w:r w:rsidRPr="00D337FA">
        <w:rPr>
          <w:szCs w:val="22"/>
        </w:rPr>
        <w:t>и</w:t>
      </w:r>
      <w:r w:rsidR="006C680D" w:rsidRPr="00D337FA">
        <w:rPr>
          <w:szCs w:val="22"/>
        </w:rPr>
        <w:t xml:space="preserve"> </w:t>
      </w:r>
      <w:r w:rsidRPr="00D337FA">
        <w:rPr>
          <w:szCs w:val="22"/>
        </w:rPr>
        <w:t>импортной</w:t>
      </w:r>
      <w:r w:rsidR="006C680D" w:rsidRPr="00D337FA">
        <w:rPr>
          <w:szCs w:val="22"/>
        </w:rPr>
        <w:t xml:space="preserve"> </w:t>
      </w:r>
      <w:r w:rsidRPr="00D337FA">
        <w:rPr>
          <w:szCs w:val="22"/>
        </w:rPr>
        <w:t>техники.</w:t>
      </w:r>
      <w:r w:rsidR="006C680D" w:rsidRPr="00D337FA">
        <w:rPr>
          <w:szCs w:val="22"/>
        </w:rPr>
        <w:t xml:space="preserve"> </w:t>
      </w:r>
      <w:r w:rsidRPr="00D337FA">
        <w:rPr>
          <w:szCs w:val="22"/>
        </w:rPr>
        <w:t>Ещё</w:t>
      </w:r>
      <w:r w:rsidR="006C680D" w:rsidRPr="00D337FA">
        <w:rPr>
          <w:szCs w:val="22"/>
        </w:rPr>
        <w:t xml:space="preserve"> </w:t>
      </w:r>
      <w:r w:rsidRPr="00D337FA">
        <w:rPr>
          <w:szCs w:val="22"/>
        </w:rPr>
        <w:t>одним</w:t>
      </w:r>
      <w:r w:rsidR="006C680D" w:rsidRPr="00D337FA">
        <w:rPr>
          <w:szCs w:val="22"/>
        </w:rPr>
        <w:t xml:space="preserve"> </w:t>
      </w:r>
      <w:r w:rsidRPr="00D337FA">
        <w:rPr>
          <w:szCs w:val="22"/>
        </w:rPr>
        <w:t>фактором,</w:t>
      </w:r>
      <w:r w:rsidR="006C680D" w:rsidRPr="00D337FA">
        <w:rPr>
          <w:szCs w:val="22"/>
        </w:rPr>
        <w:t xml:space="preserve"> </w:t>
      </w:r>
      <w:r w:rsidRPr="00D337FA">
        <w:rPr>
          <w:szCs w:val="22"/>
        </w:rPr>
        <w:t>препятствующим</w:t>
      </w:r>
      <w:r w:rsidR="006C680D" w:rsidRPr="00D337FA">
        <w:rPr>
          <w:szCs w:val="22"/>
        </w:rPr>
        <w:t xml:space="preserve"> </w:t>
      </w:r>
      <w:r w:rsidRPr="00D337FA">
        <w:rPr>
          <w:szCs w:val="22"/>
        </w:rPr>
        <w:t>развитию</w:t>
      </w:r>
      <w:r w:rsidR="006C680D" w:rsidRPr="00D337FA">
        <w:rPr>
          <w:szCs w:val="22"/>
        </w:rPr>
        <w:t xml:space="preserve"> </w:t>
      </w:r>
      <w:r w:rsidRPr="00D337FA">
        <w:rPr>
          <w:szCs w:val="22"/>
        </w:rPr>
        <w:t>аграрной</w:t>
      </w:r>
      <w:r w:rsidR="006C680D" w:rsidRPr="00D337FA">
        <w:rPr>
          <w:szCs w:val="22"/>
        </w:rPr>
        <w:t xml:space="preserve"> </w:t>
      </w:r>
      <w:r w:rsidRPr="00D337FA">
        <w:rPr>
          <w:szCs w:val="22"/>
        </w:rPr>
        <w:t>отрасли,</w:t>
      </w:r>
      <w:r w:rsidR="006C680D" w:rsidRPr="00D337FA">
        <w:rPr>
          <w:szCs w:val="22"/>
        </w:rPr>
        <w:t xml:space="preserve"> </w:t>
      </w:r>
      <w:r w:rsidRPr="00D337FA">
        <w:rPr>
          <w:szCs w:val="22"/>
        </w:rPr>
        <w:t>являются</w:t>
      </w:r>
      <w:r w:rsidR="006C680D" w:rsidRPr="00D337FA">
        <w:rPr>
          <w:szCs w:val="22"/>
        </w:rPr>
        <w:t xml:space="preserve"> </w:t>
      </w:r>
      <w:r w:rsidRPr="00D337FA">
        <w:rPr>
          <w:szCs w:val="22"/>
        </w:rPr>
        <w:t>не</w:t>
      </w:r>
      <w:r w:rsidR="006C680D" w:rsidRPr="00D337FA">
        <w:rPr>
          <w:szCs w:val="22"/>
        </w:rPr>
        <w:t xml:space="preserve"> </w:t>
      </w:r>
      <w:r w:rsidRPr="00D337FA">
        <w:rPr>
          <w:szCs w:val="22"/>
        </w:rPr>
        <w:t>всегда</w:t>
      </w:r>
      <w:r w:rsidR="006C680D" w:rsidRPr="00D337FA">
        <w:rPr>
          <w:szCs w:val="22"/>
        </w:rPr>
        <w:t xml:space="preserve"> </w:t>
      </w:r>
      <w:r w:rsidRPr="00D337FA">
        <w:rPr>
          <w:szCs w:val="22"/>
        </w:rPr>
        <w:t>выгодные</w:t>
      </w:r>
      <w:r w:rsidR="006C680D" w:rsidRPr="00D337FA">
        <w:rPr>
          <w:szCs w:val="22"/>
        </w:rPr>
        <w:t xml:space="preserve"> </w:t>
      </w:r>
      <w:r w:rsidRPr="00D337FA">
        <w:rPr>
          <w:szCs w:val="22"/>
        </w:rPr>
        <w:t>условия</w:t>
      </w:r>
      <w:r w:rsidR="006C680D" w:rsidRPr="00D337FA">
        <w:rPr>
          <w:szCs w:val="22"/>
        </w:rPr>
        <w:t xml:space="preserve"> </w:t>
      </w:r>
      <w:r w:rsidRPr="00D337FA">
        <w:rPr>
          <w:szCs w:val="22"/>
        </w:rPr>
        <w:t>кредитования,</w:t>
      </w:r>
      <w:r w:rsidR="006C680D" w:rsidRPr="00D337FA">
        <w:rPr>
          <w:szCs w:val="22"/>
        </w:rPr>
        <w:t xml:space="preserve"> </w:t>
      </w:r>
      <w:r w:rsidRPr="00D337FA">
        <w:rPr>
          <w:szCs w:val="22"/>
        </w:rPr>
        <w:lastRenderedPageBreak/>
        <w:t>которые</w:t>
      </w:r>
      <w:r w:rsidR="006C680D" w:rsidRPr="00D337FA">
        <w:rPr>
          <w:szCs w:val="22"/>
        </w:rPr>
        <w:t xml:space="preserve"> </w:t>
      </w:r>
      <w:r w:rsidRPr="00D337FA">
        <w:rPr>
          <w:szCs w:val="22"/>
        </w:rPr>
        <w:t>часто</w:t>
      </w:r>
      <w:r w:rsidR="006C680D" w:rsidRPr="00D337FA">
        <w:rPr>
          <w:szCs w:val="22"/>
        </w:rPr>
        <w:t xml:space="preserve"> </w:t>
      </w:r>
      <w:r w:rsidRPr="00D337FA">
        <w:rPr>
          <w:szCs w:val="22"/>
        </w:rPr>
        <w:t>крайне</w:t>
      </w:r>
      <w:r w:rsidR="006C680D" w:rsidRPr="00D337FA">
        <w:rPr>
          <w:szCs w:val="22"/>
        </w:rPr>
        <w:t xml:space="preserve"> </w:t>
      </w:r>
      <w:r w:rsidRPr="00D337FA">
        <w:rPr>
          <w:szCs w:val="22"/>
        </w:rPr>
        <w:t>необходимы</w:t>
      </w:r>
      <w:r w:rsidR="006C680D" w:rsidRPr="00D337FA">
        <w:rPr>
          <w:szCs w:val="22"/>
        </w:rPr>
        <w:t xml:space="preserve"> </w:t>
      </w:r>
      <w:r w:rsidRPr="00D337FA">
        <w:rPr>
          <w:szCs w:val="22"/>
        </w:rPr>
        <w:t>не</w:t>
      </w:r>
      <w:r w:rsidR="006C680D" w:rsidRPr="00D337FA">
        <w:rPr>
          <w:szCs w:val="22"/>
        </w:rPr>
        <w:t xml:space="preserve"> </w:t>
      </w:r>
      <w:r w:rsidRPr="00D337FA">
        <w:rPr>
          <w:szCs w:val="22"/>
        </w:rPr>
        <w:t>только</w:t>
      </w:r>
      <w:r w:rsidR="006C680D" w:rsidRPr="00D337FA">
        <w:rPr>
          <w:szCs w:val="22"/>
        </w:rPr>
        <w:t xml:space="preserve"> </w:t>
      </w:r>
      <w:r w:rsidRPr="00D337FA">
        <w:rPr>
          <w:szCs w:val="22"/>
        </w:rPr>
        <w:t>для</w:t>
      </w:r>
      <w:r w:rsidR="006C680D" w:rsidRPr="00D337FA">
        <w:rPr>
          <w:szCs w:val="22"/>
        </w:rPr>
        <w:t xml:space="preserve"> </w:t>
      </w:r>
      <w:r w:rsidRPr="00D337FA">
        <w:rPr>
          <w:szCs w:val="22"/>
        </w:rPr>
        <w:t>развития,</w:t>
      </w:r>
      <w:r w:rsidR="006C680D" w:rsidRPr="00D337FA">
        <w:rPr>
          <w:szCs w:val="22"/>
        </w:rPr>
        <w:t xml:space="preserve"> </w:t>
      </w:r>
      <w:r w:rsidRPr="00D337FA">
        <w:rPr>
          <w:szCs w:val="22"/>
        </w:rPr>
        <w:t>но</w:t>
      </w:r>
      <w:r w:rsidR="006C680D" w:rsidRPr="00D337FA">
        <w:rPr>
          <w:szCs w:val="22"/>
        </w:rPr>
        <w:t xml:space="preserve"> </w:t>
      </w:r>
      <w:r w:rsidRPr="00D337FA">
        <w:rPr>
          <w:szCs w:val="22"/>
        </w:rPr>
        <w:t>и</w:t>
      </w:r>
      <w:r w:rsidR="006C680D" w:rsidRPr="00D337FA">
        <w:rPr>
          <w:szCs w:val="22"/>
        </w:rPr>
        <w:t xml:space="preserve"> </w:t>
      </w:r>
      <w:r w:rsidRPr="00D337FA">
        <w:rPr>
          <w:szCs w:val="22"/>
        </w:rPr>
        <w:t>«выживания»</w:t>
      </w:r>
      <w:r w:rsidR="006C680D" w:rsidRPr="00D337FA">
        <w:rPr>
          <w:szCs w:val="22"/>
        </w:rPr>
        <w:t xml:space="preserve"> </w:t>
      </w:r>
      <w:r w:rsidRPr="00D337FA">
        <w:rPr>
          <w:szCs w:val="22"/>
        </w:rPr>
        <w:t>бизнеса.</w:t>
      </w:r>
      <w:r w:rsidR="006C680D" w:rsidRPr="00D337FA">
        <w:rPr>
          <w:szCs w:val="22"/>
        </w:rPr>
        <w:t xml:space="preserve"> </w:t>
      </w:r>
      <w:r w:rsidRPr="00D337FA">
        <w:rPr>
          <w:szCs w:val="22"/>
        </w:rPr>
        <w:t>Многие</w:t>
      </w:r>
      <w:r w:rsidR="006C680D" w:rsidRPr="00D337FA">
        <w:rPr>
          <w:szCs w:val="22"/>
        </w:rPr>
        <w:t xml:space="preserve"> </w:t>
      </w:r>
      <w:r w:rsidRPr="00D337FA">
        <w:rPr>
          <w:szCs w:val="22"/>
        </w:rPr>
        <w:t>организации</w:t>
      </w:r>
      <w:r w:rsidR="006C680D" w:rsidRPr="00D337FA">
        <w:rPr>
          <w:szCs w:val="22"/>
        </w:rPr>
        <w:t xml:space="preserve"> </w:t>
      </w:r>
      <w:r w:rsidRPr="00D337FA">
        <w:rPr>
          <w:szCs w:val="22"/>
        </w:rPr>
        <w:t>просто</w:t>
      </w:r>
      <w:r w:rsidR="006C680D" w:rsidRPr="00D337FA">
        <w:rPr>
          <w:szCs w:val="22"/>
        </w:rPr>
        <w:t xml:space="preserve"> </w:t>
      </w:r>
      <w:r w:rsidRPr="00D337FA">
        <w:rPr>
          <w:szCs w:val="22"/>
        </w:rPr>
        <w:t>не</w:t>
      </w:r>
      <w:r w:rsidR="006C680D" w:rsidRPr="00D337FA">
        <w:rPr>
          <w:szCs w:val="22"/>
        </w:rPr>
        <w:t xml:space="preserve"> </w:t>
      </w:r>
      <w:r w:rsidRPr="00D337FA">
        <w:rPr>
          <w:szCs w:val="22"/>
        </w:rPr>
        <w:t>обладают</w:t>
      </w:r>
      <w:r w:rsidR="006C680D" w:rsidRPr="00D337FA">
        <w:rPr>
          <w:szCs w:val="22"/>
        </w:rPr>
        <w:t xml:space="preserve"> </w:t>
      </w:r>
      <w:r w:rsidRPr="00D337FA">
        <w:rPr>
          <w:szCs w:val="22"/>
        </w:rPr>
        <w:t>достаточными</w:t>
      </w:r>
      <w:r w:rsidR="006C680D" w:rsidRPr="00D337FA">
        <w:rPr>
          <w:szCs w:val="22"/>
        </w:rPr>
        <w:t xml:space="preserve"> </w:t>
      </w:r>
      <w:r w:rsidRPr="00D337FA">
        <w:rPr>
          <w:szCs w:val="22"/>
        </w:rPr>
        <w:t>ресурсами,</w:t>
      </w:r>
      <w:r w:rsidR="006C680D" w:rsidRPr="00D337FA">
        <w:rPr>
          <w:szCs w:val="22"/>
        </w:rPr>
        <w:t xml:space="preserve"> </w:t>
      </w:r>
      <w:r w:rsidRPr="00D337FA">
        <w:rPr>
          <w:szCs w:val="22"/>
        </w:rPr>
        <w:t>чтобы</w:t>
      </w:r>
      <w:r w:rsidR="006C680D" w:rsidRPr="00D337FA">
        <w:rPr>
          <w:szCs w:val="22"/>
        </w:rPr>
        <w:t xml:space="preserve"> </w:t>
      </w:r>
      <w:r w:rsidRPr="00D337FA">
        <w:rPr>
          <w:szCs w:val="22"/>
        </w:rPr>
        <w:t>приобретать</w:t>
      </w:r>
      <w:r w:rsidR="006C680D" w:rsidRPr="00D337FA">
        <w:rPr>
          <w:szCs w:val="22"/>
        </w:rPr>
        <w:t xml:space="preserve"> </w:t>
      </w:r>
      <w:r w:rsidRPr="00D337FA">
        <w:rPr>
          <w:szCs w:val="22"/>
        </w:rPr>
        <w:t>необходимую</w:t>
      </w:r>
      <w:r w:rsidR="006C680D" w:rsidRPr="00D337FA">
        <w:rPr>
          <w:szCs w:val="22"/>
        </w:rPr>
        <w:t xml:space="preserve"> </w:t>
      </w:r>
      <w:r w:rsidRPr="00D337FA">
        <w:rPr>
          <w:szCs w:val="22"/>
        </w:rPr>
        <w:t>технику</w:t>
      </w:r>
      <w:r w:rsidR="006C680D" w:rsidRPr="00D337FA">
        <w:rPr>
          <w:szCs w:val="22"/>
        </w:rPr>
        <w:t xml:space="preserve"> </w:t>
      </w:r>
      <w:r w:rsidRPr="00D337FA">
        <w:rPr>
          <w:szCs w:val="22"/>
        </w:rPr>
        <w:t>и</w:t>
      </w:r>
      <w:r w:rsidR="006C680D" w:rsidRPr="00D337FA">
        <w:rPr>
          <w:szCs w:val="22"/>
        </w:rPr>
        <w:t xml:space="preserve"> </w:t>
      </w:r>
      <w:r w:rsidRPr="00D337FA">
        <w:rPr>
          <w:szCs w:val="22"/>
        </w:rPr>
        <w:t>оборудование</w:t>
      </w:r>
      <w:r w:rsidR="006C680D" w:rsidRPr="00D337FA">
        <w:rPr>
          <w:szCs w:val="22"/>
        </w:rPr>
        <w:t xml:space="preserve"> </w:t>
      </w:r>
      <w:r w:rsidRPr="00D337FA">
        <w:rPr>
          <w:szCs w:val="22"/>
        </w:rPr>
        <w:t>уже</w:t>
      </w:r>
      <w:r w:rsidR="006C680D" w:rsidRPr="00D337FA">
        <w:rPr>
          <w:szCs w:val="22"/>
        </w:rPr>
        <w:t xml:space="preserve"> </w:t>
      </w:r>
      <w:r w:rsidRPr="00D337FA">
        <w:rPr>
          <w:szCs w:val="22"/>
        </w:rPr>
        <w:t>сегодня,</w:t>
      </w:r>
      <w:r w:rsidR="006C680D" w:rsidRPr="00D337FA">
        <w:rPr>
          <w:szCs w:val="22"/>
        </w:rPr>
        <w:t xml:space="preserve"> </w:t>
      </w:r>
      <w:r w:rsidRPr="00D337FA">
        <w:rPr>
          <w:szCs w:val="22"/>
        </w:rPr>
        <w:t>поскольку</w:t>
      </w:r>
      <w:r w:rsidR="006C680D" w:rsidRPr="00D337FA">
        <w:rPr>
          <w:szCs w:val="22"/>
        </w:rPr>
        <w:t xml:space="preserve"> </w:t>
      </w:r>
      <w:r w:rsidRPr="00D337FA">
        <w:rPr>
          <w:szCs w:val="22"/>
        </w:rPr>
        <w:t>срок</w:t>
      </w:r>
      <w:r w:rsidR="006C680D" w:rsidRPr="00D337FA">
        <w:rPr>
          <w:szCs w:val="22"/>
        </w:rPr>
        <w:t xml:space="preserve"> </w:t>
      </w:r>
      <w:r w:rsidRPr="00D337FA">
        <w:rPr>
          <w:szCs w:val="22"/>
        </w:rPr>
        <w:t>их</w:t>
      </w:r>
      <w:r w:rsidR="006C680D" w:rsidRPr="00D337FA">
        <w:rPr>
          <w:szCs w:val="22"/>
        </w:rPr>
        <w:t xml:space="preserve"> </w:t>
      </w:r>
      <w:r w:rsidRPr="00D337FA">
        <w:rPr>
          <w:szCs w:val="22"/>
        </w:rPr>
        <w:t>окупаемости</w:t>
      </w:r>
      <w:r w:rsidR="006C680D" w:rsidRPr="00D337FA">
        <w:rPr>
          <w:szCs w:val="22"/>
        </w:rPr>
        <w:t xml:space="preserve"> </w:t>
      </w:r>
      <w:r w:rsidRPr="00D337FA">
        <w:rPr>
          <w:szCs w:val="22"/>
        </w:rPr>
        <w:t>не</w:t>
      </w:r>
      <w:r w:rsidR="006C680D" w:rsidRPr="00D337FA">
        <w:rPr>
          <w:szCs w:val="22"/>
        </w:rPr>
        <w:t xml:space="preserve"> </w:t>
      </w:r>
      <w:r w:rsidRPr="00D337FA">
        <w:rPr>
          <w:szCs w:val="22"/>
        </w:rPr>
        <w:t>быстрый,</w:t>
      </w:r>
      <w:r w:rsidR="006C680D" w:rsidRPr="00D337FA">
        <w:rPr>
          <w:szCs w:val="22"/>
        </w:rPr>
        <w:t xml:space="preserve"> </w:t>
      </w:r>
      <w:r w:rsidRPr="00D337FA">
        <w:rPr>
          <w:szCs w:val="22"/>
        </w:rPr>
        <w:t>из-за</w:t>
      </w:r>
      <w:r w:rsidR="006C680D" w:rsidRPr="00D337FA">
        <w:rPr>
          <w:szCs w:val="22"/>
        </w:rPr>
        <w:t xml:space="preserve"> </w:t>
      </w:r>
      <w:r w:rsidRPr="00D337FA">
        <w:rPr>
          <w:szCs w:val="22"/>
        </w:rPr>
        <w:t>чего</w:t>
      </w:r>
      <w:r w:rsidR="006C680D" w:rsidRPr="00D337FA">
        <w:rPr>
          <w:szCs w:val="22"/>
        </w:rPr>
        <w:t xml:space="preserve"> </w:t>
      </w:r>
      <w:r w:rsidRPr="00D337FA">
        <w:rPr>
          <w:szCs w:val="22"/>
        </w:rPr>
        <w:t>многие</w:t>
      </w:r>
      <w:r w:rsidR="006C680D" w:rsidRPr="00D337FA">
        <w:rPr>
          <w:szCs w:val="22"/>
        </w:rPr>
        <w:t xml:space="preserve"> </w:t>
      </w:r>
      <w:r w:rsidRPr="00D337FA">
        <w:rPr>
          <w:szCs w:val="22"/>
        </w:rPr>
        <w:t>инвесторы</w:t>
      </w:r>
      <w:r w:rsidR="006C680D" w:rsidRPr="00D337FA">
        <w:rPr>
          <w:szCs w:val="22"/>
        </w:rPr>
        <w:t xml:space="preserve"> </w:t>
      </w:r>
      <w:r w:rsidRPr="00D337FA">
        <w:rPr>
          <w:szCs w:val="22"/>
        </w:rPr>
        <w:t>делают</w:t>
      </w:r>
      <w:r w:rsidR="006C680D" w:rsidRPr="00D337FA">
        <w:rPr>
          <w:szCs w:val="22"/>
        </w:rPr>
        <w:t xml:space="preserve"> </w:t>
      </w:r>
      <w:r w:rsidRPr="00D337FA">
        <w:rPr>
          <w:szCs w:val="22"/>
        </w:rPr>
        <w:t>свой</w:t>
      </w:r>
      <w:r w:rsidR="006C680D" w:rsidRPr="00D337FA">
        <w:rPr>
          <w:szCs w:val="22"/>
        </w:rPr>
        <w:t xml:space="preserve"> </w:t>
      </w:r>
      <w:r w:rsidRPr="00D337FA">
        <w:rPr>
          <w:szCs w:val="22"/>
        </w:rPr>
        <w:t>выбор</w:t>
      </w:r>
      <w:r w:rsidR="006C680D" w:rsidRPr="00D337FA">
        <w:rPr>
          <w:szCs w:val="22"/>
        </w:rPr>
        <w:t xml:space="preserve"> </w:t>
      </w:r>
      <w:r w:rsidRPr="00D337FA">
        <w:rPr>
          <w:szCs w:val="22"/>
        </w:rPr>
        <w:t>в</w:t>
      </w:r>
      <w:r w:rsidR="006C680D" w:rsidRPr="00D337FA">
        <w:rPr>
          <w:szCs w:val="22"/>
        </w:rPr>
        <w:t xml:space="preserve"> </w:t>
      </w:r>
      <w:r w:rsidRPr="00D337FA">
        <w:rPr>
          <w:szCs w:val="22"/>
        </w:rPr>
        <w:t>пользу</w:t>
      </w:r>
      <w:r w:rsidR="006C680D" w:rsidRPr="00D337FA">
        <w:rPr>
          <w:szCs w:val="22"/>
        </w:rPr>
        <w:t xml:space="preserve"> </w:t>
      </w:r>
      <w:r w:rsidRPr="00D337FA">
        <w:rPr>
          <w:szCs w:val="22"/>
        </w:rPr>
        <w:t>других</w:t>
      </w:r>
      <w:r w:rsidR="006C680D" w:rsidRPr="00D337FA">
        <w:rPr>
          <w:szCs w:val="22"/>
        </w:rPr>
        <w:t xml:space="preserve"> </w:t>
      </w:r>
      <w:r w:rsidRPr="00D337FA">
        <w:rPr>
          <w:szCs w:val="22"/>
        </w:rPr>
        <w:t>секторов</w:t>
      </w:r>
      <w:r w:rsidR="006C680D" w:rsidRPr="00D337FA">
        <w:rPr>
          <w:szCs w:val="22"/>
        </w:rPr>
        <w:t xml:space="preserve"> </w:t>
      </w:r>
      <w:r w:rsidRPr="00D337FA">
        <w:rPr>
          <w:szCs w:val="22"/>
        </w:rPr>
        <w:t>экономики,</w:t>
      </w:r>
      <w:r w:rsidR="006C680D" w:rsidRPr="00D337FA">
        <w:rPr>
          <w:szCs w:val="22"/>
        </w:rPr>
        <w:t xml:space="preserve"> </w:t>
      </w:r>
      <w:r w:rsidRPr="00D337FA">
        <w:rPr>
          <w:szCs w:val="22"/>
        </w:rPr>
        <w:t>где</w:t>
      </w:r>
      <w:r w:rsidR="006C680D" w:rsidRPr="00D337FA">
        <w:rPr>
          <w:szCs w:val="22"/>
        </w:rPr>
        <w:t xml:space="preserve"> </w:t>
      </w:r>
      <w:r w:rsidRPr="00D337FA">
        <w:rPr>
          <w:szCs w:val="22"/>
        </w:rPr>
        <w:t>они</w:t>
      </w:r>
      <w:r w:rsidR="006C680D" w:rsidRPr="00D337FA">
        <w:rPr>
          <w:szCs w:val="22"/>
        </w:rPr>
        <w:t xml:space="preserve"> </w:t>
      </w:r>
      <w:r w:rsidRPr="00D337FA">
        <w:rPr>
          <w:szCs w:val="22"/>
        </w:rPr>
        <w:t>могут</w:t>
      </w:r>
      <w:r w:rsidR="006C680D" w:rsidRPr="00D337FA">
        <w:rPr>
          <w:szCs w:val="22"/>
        </w:rPr>
        <w:t xml:space="preserve"> </w:t>
      </w:r>
      <w:r w:rsidRPr="00D337FA">
        <w:rPr>
          <w:szCs w:val="22"/>
        </w:rPr>
        <w:t>получить</w:t>
      </w:r>
      <w:r w:rsidR="006C680D" w:rsidRPr="00D337FA">
        <w:rPr>
          <w:szCs w:val="22"/>
        </w:rPr>
        <w:t xml:space="preserve"> </w:t>
      </w:r>
      <w:r w:rsidRPr="00D337FA">
        <w:rPr>
          <w:szCs w:val="22"/>
        </w:rPr>
        <w:t>прибыль</w:t>
      </w:r>
      <w:r w:rsidR="006C680D" w:rsidRPr="00D337FA">
        <w:rPr>
          <w:szCs w:val="22"/>
        </w:rPr>
        <w:t xml:space="preserve"> </w:t>
      </w:r>
      <w:r w:rsidRPr="00D337FA">
        <w:rPr>
          <w:szCs w:val="22"/>
        </w:rPr>
        <w:t>уже</w:t>
      </w:r>
      <w:r w:rsidR="006C680D" w:rsidRPr="00D337FA">
        <w:rPr>
          <w:szCs w:val="22"/>
        </w:rPr>
        <w:t xml:space="preserve"> </w:t>
      </w:r>
      <w:r w:rsidRPr="00D337FA">
        <w:rPr>
          <w:szCs w:val="22"/>
        </w:rPr>
        <w:t>в</w:t>
      </w:r>
      <w:r w:rsidR="006C680D" w:rsidRPr="00D337FA">
        <w:rPr>
          <w:szCs w:val="22"/>
        </w:rPr>
        <w:t xml:space="preserve"> </w:t>
      </w:r>
      <w:r w:rsidRPr="00D337FA">
        <w:rPr>
          <w:szCs w:val="22"/>
        </w:rPr>
        <w:t>краткосрочной</w:t>
      </w:r>
      <w:r w:rsidR="006C680D" w:rsidRPr="00D337FA">
        <w:rPr>
          <w:szCs w:val="22"/>
        </w:rPr>
        <w:t xml:space="preserve"> </w:t>
      </w:r>
      <w:r w:rsidRPr="00D337FA">
        <w:rPr>
          <w:szCs w:val="22"/>
        </w:rPr>
        <w:t>перспективе</w:t>
      </w:r>
      <w:r w:rsidR="006C680D" w:rsidRPr="00D337FA">
        <w:rPr>
          <w:szCs w:val="22"/>
        </w:rPr>
        <w:t xml:space="preserve"> </w:t>
      </w:r>
      <w:r w:rsidRPr="00D337FA">
        <w:rPr>
          <w:szCs w:val="22"/>
        </w:rPr>
        <w:t>[15].</w:t>
      </w:r>
      <w:r w:rsidR="006C680D" w:rsidRPr="00D337FA">
        <w:rPr>
          <w:szCs w:val="22"/>
        </w:rPr>
        <w:t xml:space="preserve"> </w:t>
      </w:r>
      <w:r w:rsidRPr="00D337FA">
        <w:rPr>
          <w:szCs w:val="22"/>
        </w:rPr>
        <w:t>В</w:t>
      </w:r>
      <w:r w:rsidR="006C680D" w:rsidRPr="00D337FA">
        <w:rPr>
          <w:szCs w:val="22"/>
        </w:rPr>
        <w:t xml:space="preserve"> </w:t>
      </w:r>
      <w:r w:rsidRPr="00D337FA">
        <w:rPr>
          <w:szCs w:val="22"/>
        </w:rPr>
        <w:t>этой</w:t>
      </w:r>
      <w:r w:rsidR="006C680D" w:rsidRPr="00D337FA">
        <w:rPr>
          <w:szCs w:val="22"/>
        </w:rPr>
        <w:t xml:space="preserve"> </w:t>
      </w:r>
      <w:r w:rsidRPr="00D337FA">
        <w:rPr>
          <w:szCs w:val="22"/>
        </w:rPr>
        <w:t>связи</w:t>
      </w:r>
      <w:r w:rsidR="006C680D" w:rsidRPr="00D337FA">
        <w:rPr>
          <w:szCs w:val="22"/>
        </w:rPr>
        <w:t xml:space="preserve"> </w:t>
      </w:r>
      <w:r w:rsidRPr="00D337FA">
        <w:rPr>
          <w:szCs w:val="22"/>
        </w:rPr>
        <w:t>для</w:t>
      </w:r>
      <w:r w:rsidR="006C680D" w:rsidRPr="00D337FA">
        <w:rPr>
          <w:szCs w:val="22"/>
        </w:rPr>
        <w:t xml:space="preserve"> </w:t>
      </w:r>
      <w:r w:rsidRPr="00D337FA">
        <w:rPr>
          <w:szCs w:val="22"/>
        </w:rPr>
        <w:t>правительства</w:t>
      </w:r>
      <w:r w:rsidR="006C680D" w:rsidRPr="00D337FA">
        <w:rPr>
          <w:szCs w:val="22"/>
        </w:rPr>
        <w:t xml:space="preserve"> </w:t>
      </w:r>
      <w:r w:rsidRPr="00D337FA">
        <w:rPr>
          <w:szCs w:val="22"/>
        </w:rPr>
        <w:t>нашей</w:t>
      </w:r>
      <w:r w:rsidR="006C680D" w:rsidRPr="00D337FA">
        <w:rPr>
          <w:szCs w:val="22"/>
        </w:rPr>
        <w:t xml:space="preserve"> </w:t>
      </w:r>
      <w:r w:rsidRPr="00D337FA">
        <w:rPr>
          <w:szCs w:val="22"/>
        </w:rPr>
        <w:t>страны</w:t>
      </w:r>
      <w:r w:rsidR="006C680D" w:rsidRPr="00D337FA">
        <w:rPr>
          <w:szCs w:val="22"/>
        </w:rPr>
        <w:t xml:space="preserve"> </w:t>
      </w:r>
      <w:r w:rsidRPr="00D337FA">
        <w:rPr>
          <w:szCs w:val="22"/>
        </w:rPr>
        <w:t>становится</w:t>
      </w:r>
      <w:r w:rsidR="006C680D" w:rsidRPr="00D337FA">
        <w:rPr>
          <w:szCs w:val="22"/>
        </w:rPr>
        <w:t xml:space="preserve"> </w:t>
      </w:r>
      <w:r w:rsidRPr="00D337FA">
        <w:rPr>
          <w:szCs w:val="22"/>
        </w:rPr>
        <w:t>крайне</w:t>
      </w:r>
      <w:r w:rsidR="006C680D" w:rsidRPr="00D337FA">
        <w:rPr>
          <w:szCs w:val="22"/>
        </w:rPr>
        <w:t xml:space="preserve"> </w:t>
      </w:r>
      <w:r w:rsidRPr="00D337FA">
        <w:rPr>
          <w:szCs w:val="22"/>
        </w:rPr>
        <w:t>важной</w:t>
      </w:r>
      <w:r w:rsidR="006C680D" w:rsidRPr="00D337FA">
        <w:rPr>
          <w:szCs w:val="22"/>
        </w:rPr>
        <w:t xml:space="preserve"> </w:t>
      </w:r>
      <w:r w:rsidRPr="00D337FA">
        <w:rPr>
          <w:szCs w:val="22"/>
        </w:rPr>
        <w:t>задачей:</w:t>
      </w:r>
      <w:r w:rsidR="006C680D" w:rsidRPr="00D337FA">
        <w:rPr>
          <w:szCs w:val="22"/>
        </w:rPr>
        <w:t xml:space="preserve"> </w:t>
      </w:r>
      <w:r w:rsidRPr="00D337FA">
        <w:rPr>
          <w:szCs w:val="22"/>
        </w:rPr>
        <w:t>в</w:t>
      </w:r>
      <w:r w:rsidR="006C680D" w:rsidRPr="00D337FA">
        <w:rPr>
          <w:szCs w:val="22"/>
        </w:rPr>
        <w:t xml:space="preserve"> </w:t>
      </w:r>
      <w:r w:rsidRPr="00D337FA">
        <w:rPr>
          <w:szCs w:val="22"/>
        </w:rPr>
        <w:t>ближайшее</w:t>
      </w:r>
      <w:r w:rsidR="006C680D" w:rsidRPr="00D337FA">
        <w:rPr>
          <w:szCs w:val="22"/>
        </w:rPr>
        <w:t xml:space="preserve"> </w:t>
      </w:r>
      <w:r w:rsidRPr="00D337FA">
        <w:rPr>
          <w:szCs w:val="22"/>
        </w:rPr>
        <w:t>время</w:t>
      </w:r>
      <w:r w:rsidR="006C680D" w:rsidRPr="00D337FA">
        <w:rPr>
          <w:szCs w:val="22"/>
        </w:rPr>
        <w:t xml:space="preserve"> </w:t>
      </w:r>
      <w:r w:rsidRPr="00D337FA">
        <w:rPr>
          <w:szCs w:val="22"/>
        </w:rPr>
        <w:t>сбалансировать</w:t>
      </w:r>
      <w:r w:rsidR="006C680D" w:rsidRPr="00D337FA">
        <w:rPr>
          <w:szCs w:val="22"/>
        </w:rPr>
        <w:t xml:space="preserve"> </w:t>
      </w:r>
      <w:r w:rsidRPr="00D337FA">
        <w:rPr>
          <w:szCs w:val="22"/>
        </w:rPr>
        <w:t>реальные</w:t>
      </w:r>
      <w:r w:rsidR="006C680D" w:rsidRPr="00D337FA">
        <w:rPr>
          <w:szCs w:val="22"/>
        </w:rPr>
        <w:t xml:space="preserve"> </w:t>
      </w:r>
      <w:r w:rsidRPr="00D337FA">
        <w:rPr>
          <w:szCs w:val="22"/>
        </w:rPr>
        <w:t>запросы</w:t>
      </w:r>
      <w:r w:rsidR="006C680D" w:rsidRPr="00D337FA">
        <w:rPr>
          <w:szCs w:val="22"/>
        </w:rPr>
        <w:t xml:space="preserve"> </w:t>
      </w:r>
      <w:r w:rsidRPr="00D337FA">
        <w:rPr>
          <w:szCs w:val="22"/>
        </w:rPr>
        <w:t>всех</w:t>
      </w:r>
      <w:r w:rsidR="006C680D" w:rsidRPr="00D337FA">
        <w:rPr>
          <w:szCs w:val="22"/>
        </w:rPr>
        <w:t xml:space="preserve"> </w:t>
      </w:r>
      <w:r w:rsidRPr="00D337FA">
        <w:rPr>
          <w:szCs w:val="22"/>
        </w:rPr>
        <w:t>участников</w:t>
      </w:r>
      <w:r w:rsidR="006C680D" w:rsidRPr="00D337FA">
        <w:rPr>
          <w:szCs w:val="22"/>
        </w:rPr>
        <w:t xml:space="preserve"> </w:t>
      </w:r>
      <w:r w:rsidRPr="00D337FA">
        <w:rPr>
          <w:szCs w:val="22"/>
        </w:rPr>
        <w:t>рынка,</w:t>
      </w:r>
      <w:r w:rsidR="006C680D" w:rsidRPr="00D337FA">
        <w:rPr>
          <w:szCs w:val="22"/>
        </w:rPr>
        <w:t xml:space="preserve"> </w:t>
      </w:r>
      <w:r w:rsidRPr="00D337FA">
        <w:rPr>
          <w:szCs w:val="22"/>
        </w:rPr>
        <w:t>чтобы</w:t>
      </w:r>
      <w:r w:rsidR="006C680D" w:rsidRPr="00D337FA">
        <w:rPr>
          <w:szCs w:val="22"/>
        </w:rPr>
        <w:t xml:space="preserve"> </w:t>
      </w:r>
      <w:r w:rsidRPr="00D337FA">
        <w:rPr>
          <w:szCs w:val="22"/>
        </w:rPr>
        <w:t>избежать</w:t>
      </w:r>
      <w:r w:rsidR="006C680D" w:rsidRPr="00D337FA">
        <w:rPr>
          <w:szCs w:val="22"/>
        </w:rPr>
        <w:t xml:space="preserve"> </w:t>
      </w:r>
      <w:r w:rsidRPr="00D337FA">
        <w:rPr>
          <w:szCs w:val="22"/>
        </w:rPr>
        <w:t>отток</w:t>
      </w:r>
      <w:r w:rsidR="006C680D" w:rsidRPr="00D337FA">
        <w:rPr>
          <w:szCs w:val="22"/>
        </w:rPr>
        <w:t xml:space="preserve"> </w:t>
      </w:r>
      <w:r w:rsidRPr="00D337FA">
        <w:rPr>
          <w:szCs w:val="22"/>
        </w:rPr>
        <w:t>капитала</w:t>
      </w:r>
      <w:r w:rsidR="006C680D" w:rsidRPr="00D337FA">
        <w:rPr>
          <w:szCs w:val="22"/>
        </w:rPr>
        <w:t xml:space="preserve"> </w:t>
      </w:r>
      <w:r w:rsidRPr="00D337FA">
        <w:rPr>
          <w:szCs w:val="22"/>
        </w:rPr>
        <w:t>из</w:t>
      </w:r>
      <w:r w:rsidR="006C680D" w:rsidRPr="00D337FA">
        <w:rPr>
          <w:szCs w:val="22"/>
        </w:rPr>
        <w:t xml:space="preserve"> </w:t>
      </w:r>
      <w:r w:rsidRPr="00D337FA">
        <w:rPr>
          <w:szCs w:val="22"/>
        </w:rPr>
        <w:t>критически</w:t>
      </w:r>
      <w:r w:rsidR="006C680D" w:rsidRPr="00D337FA">
        <w:rPr>
          <w:szCs w:val="22"/>
        </w:rPr>
        <w:t xml:space="preserve"> </w:t>
      </w:r>
      <w:r w:rsidRPr="00D337FA">
        <w:rPr>
          <w:szCs w:val="22"/>
        </w:rPr>
        <w:t>важной</w:t>
      </w:r>
      <w:r w:rsidR="006C680D" w:rsidRPr="00D337FA">
        <w:rPr>
          <w:szCs w:val="22"/>
        </w:rPr>
        <w:t xml:space="preserve"> </w:t>
      </w:r>
      <w:r w:rsidRPr="00D337FA">
        <w:rPr>
          <w:szCs w:val="22"/>
        </w:rPr>
        <w:t>отрасли,</w:t>
      </w:r>
      <w:r w:rsidR="006C680D" w:rsidRPr="00D337FA">
        <w:rPr>
          <w:szCs w:val="22"/>
        </w:rPr>
        <w:t xml:space="preserve"> </w:t>
      </w:r>
      <w:r w:rsidRPr="00D337FA">
        <w:rPr>
          <w:szCs w:val="22"/>
        </w:rPr>
        <w:t>которая</w:t>
      </w:r>
      <w:r w:rsidR="006C680D" w:rsidRPr="00D337FA">
        <w:rPr>
          <w:szCs w:val="22"/>
        </w:rPr>
        <w:t xml:space="preserve"> </w:t>
      </w:r>
      <w:r w:rsidRPr="00D337FA">
        <w:rPr>
          <w:szCs w:val="22"/>
        </w:rPr>
        <w:t>сегодня</w:t>
      </w:r>
      <w:r w:rsidR="006C680D" w:rsidRPr="00D337FA">
        <w:rPr>
          <w:szCs w:val="22"/>
        </w:rPr>
        <w:t xml:space="preserve"> </w:t>
      </w:r>
      <w:r w:rsidRPr="00D337FA">
        <w:rPr>
          <w:szCs w:val="22"/>
        </w:rPr>
        <w:t>находится</w:t>
      </w:r>
      <w:r w:rsidR="006C680D" w:rsidRPr="00D337FA">
        <w:rPr>
          <w:szCs w:val="22"/>
        </w:rPr>
        <w:t xml:space="preserve"> </w:t>
      </w:r>
      <w:r w:rsidRPr="00D337FA">
        <w:rPr>
          <w:szCs w:val="22"/>
        </w:rPr>
        <w:t>на</w:t>
      </w:r>
      <w:r w:rsidR="006C680D" w:rsidRPr="00D337FA">
        <w:rPr>
          <w:szCs w:val="22"/>
        </w:rPr>
        <w:t xml:space="preserve"> </w:t>
      </w:r>
      <w:r w:rsidRPr="00D337FA">
        <w:rPr>
          <w:szCs w:val="22"/>
        </w:rPr>
        <w:t>историческом</w:t>
      </w:r>
      <w:r w:rsidR="006C680D" w:rsidRPr="00D337FA">
        <w:rPr>
          <w:szCs w:val="22"/>
        </w:rPr>
        <w:t xml:space="preserve"> </w:t>
      </w:r>
      <w:r w:rsidRPr="00D337FA">
        <w:rPr>
          <w:szCs w:val="22"/>
        </w:rPr>
        <w:t>рубеже.</w:t>
      </w:r>
      <w:r w:rsidR="006C680D" w:rsidRPr="00D337FA">
        <w:rPr>
          <w:szCs w:val="22"/>
        </w:rPr>
        <w:t xml:space="preserve"> </w:t>
      </w:r>
      <w:r w:rsidRPr="00D337FA">
        <w:rPr>
          <w:szCs w:val="22"/>
        </w:rPr>
        <w:t>Кроме</w:t>
      </w:r>
      <w:r w:rsidR="006C680D" w:rsidRPr="00D337FA">
        <w:rPr>
          <w:szCs w:val="22"/>
        </w:rPr>
        <w:t xml:space="preserve"> </w:t>
      </w:r>
      <w:r w:rsidRPr="00D337FA">
        <w:rPr>
          <w:szCs w:val="22"/>
        </w:rPr>
        <w:t>этого,</w:t>
      </w:r>
      <w:r w:rsidR="006C680D" w:rsidRPr="00D337FA">
        <w:rPr>
          <w:szCs w:val="22"/>
        </w:rPr>
        <w:t xml:space="preserve"> </w:t>
      </w:r>
      <w:r w:rsidRPr="00D337FA">
        <w:rPr>
          <w:szCs w:val="22"/>
        </w:rPr>
        <w:t>нельзя</w:t>
      </w:r>
      <w:r w:rsidR="006C680D" w:rsidRPr="00D337FA">
        <w:rPr>
          <w:szCs w:val="22"/>
        </w:rPr>
        <w:t xml:space="preserve"> </w:t>
      </w:r>
      <w:r w:rsidRPr="00D337FA">
        <w:rPr>
          <w:szCs w:val="22"/>
        </w:rPr>
        <w:t>не</w:t>
      </w:r>
      <w:r w:rsidR="006C680D" w:rsidRPr="00D337FA">
        <w:rPr>
          <w:szCs w:val="22"/>
        </w:rPr>
        <w:t xml:space="preserve"> </w:t>
      </w:r>
      <w:r w:rsidRPr="00D337FA">
        <w:rPr>
          <w:szCs w:val="22"/>
        </w:rPr>
        <w:t>отметить</w:t>
      </w:r>
      <w:r w:rsidR="006C680D" w:rsidRPr="00D337FA">
        <w:rPr>
          <w:szCs w:val="22"/>
        </w:rPr>
        <w:t xml:space="preserve"> </w:t>
      </w:r>
      <w:r w:rsidRPr="00D337FA">
        <w:rPr>
          <w:szCs w:val="22"/>
        </w:rPr>
        <w:t>сохраняющиеся</w:t>
      </w:r>
      <w:r w:rsidR="006C680D" w:rsidRPr="00D337FA">
        <w:rPr>
          <w:szCs w:val="22"/>
        </w:rPr>
        <w:t xml:space="preserve"> </w:t>
      </w:r>
      <w:r w:rsidRPr="00D337FA">
        <w:rPr>
          <w:szCs w:val="22"/>
        </w:rPr>
        <w:t>проблемы</w:t>
      </w:r>
      <w:r w:rsidR="006C680D" w:rsidRPr="00D337FA">
        <w:rPr>
          <w:szCs w:val="22"/>
        </w:rPr>
        <w:t xml:space="preserve"> </w:t>
      </w:r>
      <w:r w:rsidRPr="00D337FA">
        <w:rPr>
          <w:szCs w:val="22"/>
        </w:rPr>
        <w:t>в</w:t>
      </w:r>
      <w:r w:rsidR="006C680D" w:rsidRPr="00D337FA">
        <w:rPr>
          <w:szCs w:val="22"/>
        </w:rPr>
        <w:t xml:space="preserve"> </w:t>
      </w:r>
      <w:r w:rsidRPr="00D337FA">
        <w:rPr>
          <w:szCs w:val="22"/>
        </w:rPr>
        <w:t>территориальных</w:t>
      </w:r>
      <w:r w:rsidR="006C680D" w:rsidRPr="00D337FA">
        <w:rPr>
          <w:szCs w:val="22"/>
        </w:rPr>
        <w:t xml:space="preserve"> </w:t>
      </w:r>
      <w:r w:rsidRPr="00D337FA">
        <w:rPr>
          <w:szCs w:val="22"/>
        </w:rPr>
        <w:t>образованиях,</w:t>
      </w:r>
      <w:r w:rsidR="006C680D" w:rsidRPr="00D337FA">
        <w:rPr>
          <w:szCs w:val="22"/>
        </w:rPr>
        <w:t xml:space="preserve"> </w:t>
      </w:r>
      <w:r w:rsidRPr="00D337FA">
        <w:rPr>
          <w:szCs w:val="22"/>
        </w:rPr>
        <w:t>которые</w:t>
      </w:r>
      <w:r w:rsidR="006C680D" w:rsidRPr="00D337FA">
        <w:rPr>
          <w:szCs w:val="22"/>
        </w:rPr>
        <w:t xml:space="preserve"> </w:t>
      </w:r>
      <w:r w:rsidRPr="00D337FA">
        <w:rPr>
          <w:szCs w:val="22"/>
        </w:rPr>
        <w:t>также</w:t>
      </w:r>
      <w:r w:rsidR="006C680D" w:rsidRPr="00D337FA">
        <w:rPr>
          <w:szCs w:val="22"/>
        </w:rPr>
        <w:t xml:space="preserve"> </w:t>
      </w:r>
      <w:r w:rsidRPr="00D337FA">
        <w:rPr>
          <w:szCs w:val="22"/>
        </w:rPr>
        <w:t>препятствуют</w:t>
      </w:r>
      <w:r w:rsidR="006C680D" w:rsidRPr="00D337FA">
        <w:rPr>
          <w:szCs w:val="22"/>
        </w:rPr>
        <w:t xml:space="preserve"> </w:t>
      </w:r>
      <w:r w:rsidRPr="00D337FA">
        <w:rPr>
          <w:szCs w:val="22"/>
        </w:rPr>
        <w:t>развитию</w:t>
      </w:r>
      <w:r w:rsidR="006C680D" w:rsidRPr="00D337FA">
        <w:rPr>
          <w:szCs w:val="22"/>
        </w:rPr>
        <w:t xml:space="preserve"> </w:t>
      </w:r>
      <w:r w:rsidRPr="00D337FA">
        <w:rPr>
          <w:szCs w:val="22"/>
        </w:rPr>
        <w:t>отрасли</w:t>
      </w:r>
      <w:r w:rsidR="006C680D" w:rsidRPr="00D337FA">
        <w:rPr>
          <w:szCs w:val="22"/>
        </w:rPr>
        <w:t xml:space="preserve"> </w:t>
      </w:r>
      <w:r w:rsidRPr="00D337FA">
        <w:rPr>
          <w:szCs w:val="22"/>
        </w:rPr>
        <w:t>в</w:t>
      </w:r>
      <w:r w:rsidR="006C680D" w:rsidRPr="00D337FA">
        <w:rPr>
          <w:szCs w:val="22"/>
        </w:rPr>
        <w:t xml:space="preserve"> </w:t>
      </w:r>
      <w:r w:rsidRPr="00D337FA">
        <w:rPr>
          <w:szCs w:val="22"/>
        </w:rPr>
        <w:t>новом</w:t>
      </w:r>
      <w:r w:rsidR="006C680D" w:rsidRPr="00D337FA">
        <w:rPr>
          <w:szCs w:val="22"/>
        </w:rPr>
        <w:t xml:space="preserve"> </w:t>
      </w:r>
      <w:r w:rsidRPr="00D337FA">
        <w:rPr>
          <w:szCs w:val="22"/>
        </w:rPr>
        <w:t>инновационном</w:t>
      </w:r>
      <w:r w:rsidR="006C680D" w:rsidRPr="00D337FA">
        <w:rPr>
          <w:szCs w:val="22"/>
        </w:rPr>
        <w:t xml:space="preserve"> </w:t>
      </w:r>
      <w:r w:rsidRPr="00D337FA">
        <w:rPr>
          <w:szCs w:val="22"/>
        </w:rPr>
        <w:t>постоянно</w:t>
      </w:r>
      <w:r w:rsidR="006C680D" w:rsidRPr="00D337FA">
        <w:rPr>
          <w:szCs w:val="22"/>
        </w:rPr>
        <w:t xml:space="preserve"> </w:t>
      </w:r>
      <w:r w:rsidRPr="00D337FA">
        <w:rPr>
          <w:szCs w:val="22"/>
        </w:rPr>
        <w:t>меняющемся</w:t>
      </w:r>
      <w:r w:rsidR="006C680D" w:rsidRPr="00D337FA">
        <w:rPr>
          <w:szCs w:val="22"/>
        </w:rPr>
        <w:t xml:space="preserve"> </w:t>
      </w:r>
      <w:r w:rsidRPr="00D337FA">
        <w:rPr>
          <w:szCs w:val="22"/>
        </w:rPr>
        <w:t>пространстве.</w:t>
      </w:r>
      <w:r w:rsidR="006C680D" w:rsidRPr="00D337FA">
        <w:rPr>
          <w:szCs w:val="22"/>
        </w:rPr>
        <w:t xml:space="preserve"> </w:t>
      </w:r>
      <w:r w:rsidRPr="00D337FA">
        <w:rPr>
          <w:szCs w:val="22"/>
        </w:rPr>
        <w:t>Сельские</w:t>
      </w:r>
      <w:r w:rsidR="006C680D" w:rsidRPr="00D337FA">
        <w:rPr>
          <w:szCs w:val="22"/>
        </w:rPr>
        <w:t xml:space="preserve"> </w:t>
      </w:r>
      <w:r w:rsidRPr="00D337FA">
        <w:rPr>
          <w:szCs w:val="22"/>
        </w:rPr>
        <w:t>территории</w:t>
      </w:r>
      <w:r w:rsidR="006C680D" w:rsidRPr="00D337FA">
        <w:rPr>
          <w:szCs w:val="22"/>
        </w:rPr>
        <w:t xml:space="preserve"> </w:t>
      </w:r>
      <w:r w:rsidRPr="00D337FA">
        <w:rPr>
          <w:szCs w:val="22"/>
        </w:rPr>
        <w:t>в</w:t>
      </w:r>
      <w:r w:rsidR="006C680D" w:rsidRPr="00D337FA">
        <w:rPr>
          <w:szCs w:val="22"/>
        </w:rPr>
        <w:t xml:space="preserve"> </w:t>
      </w:r>
      <w:r w:rsidRPr="00D337FA">
        <w:rPr>
          <w:szCs w:val="22"/>
        </w:rPr>
        <w:t>современных</w:t>
      </w:r>
      <w:r w:rsidR="006C680D" w:rsidRPr="00D337FA">
        <w:rPr>
          <w:szCs w:val="22"/>
        </w:rPr>
        <w:t xml:space="preserve"> </w:t>
      </w:r>
      <w:r w:rsidRPr="00D337FA">
        <w:rPr>
          <w:szCs w:val="22"/>
        </w:rPr>
        <w:t>условиях</w:t>
      </w:r>
      <w:r w:rsidR="006C680D" w:rsidRPr="00D337FA">
        <w:rPr>
          <w:szCs w:val="22"/>
        </w:rPr>
        <w:t xml:space="preserve"> </w:t>
      </w:r>
      <w:r w:rsidRPr="00D337FA">
        <w:rPr>
          <w:szCs w:val="22"/>
        </w:rPr>
        <w:t>являются</w:t>
      </w:r>
      <w:r w:rsidR="006C680D" w:rsidRPr="00D337FA">
        <w:rPr>
          <w:szCs w:val="22"/>
        </w:rPr>
        <w:t xml:space="preserve"> </w:t>
      </w:r>
      <w:r w:rsidRPr="00D337FA">
        <w:rPr>
          <w:szCs w:val="22"/>
        </w:rPr>
        <w:t>базисным</w:t>
      </w:r>
      <w:r w:rsidR="006C680D" w:rsidRPr="00D337FA">
        <w:rPr>
          <w:szCs w:val="22"/>
        </w:rPr>
        <w:t xml:space="preserve"> </w:t>
      </w:r>
      <w:r w:rsidRPr="00D337FA">
        <w:rPr>
          <w:szCs w:val="22"/>
        </w:rPr>
        <w:t>фундаментом</w:t>
      </w:r>
      <w:r w:rsidR="006C680D" w:rsidRPr="00D337FA">
        <w:rPr>
          <w:szCs w:val="22"/>
        </w:rPr>
        <w:t xml:space="preserve"> </w:t>
      </w:r>
      <w:r w:rsidRPr="00D337FA">
        <w:rPr>
          <w:szCs w:val="22"/>
        </w:rPr>
        <w:t>для</w:t>
      </w:r>
      <w:r w:rsidR="006C680D" w:rsidRPr="00D337FA">
        <w:rPr>
          <w:szCs w:val="22"/>
        </w:rPr>
        <w:t xml:space="preserve"> </w:t>
      </w:r>
      <w:r w:rsidRPr="00D337FA">
        <w:rPr>
          <w:szCs w:val="22"/>
        </w:rPr>
        <w:t>всего</w:t>
      </w:r>
      <w:r w:rsidR="006C680D" w:rsidRPr="00D337FA">
        <w:rPr>
          <w:szCs w:val="22"/>
        </w:rPr>
        <w:t xml:space="preserve"> </w:t>
      </w:r>
      <w:r w:rsidRPr="00D337FA">
        <w:rPr>
          <w:szCs w:val="22"/>
        </w:rPr>
        <w:t>агропромышленного</w:t>
      </w:r>
      <w:r w:rsidR="006C680D" w:rsidRPr="00D337FA">
        <w:rPr>
          <w:szCs w:val="22"/>
        </w:rPr>
        <w:t xml:space="preserve"> </w:t>
      </w:r>
      <w:r w:rsidRPr="00D337FA">
        <w:rPr>
          <w:szCs w:val="22"/>
        </w:rPr>
        <w:t>комплекса,</w:t>
      </w:r>
      <w:r w:rsidR="006C680D" w:rsidRPr="00D337FA">
        <w:rPr>
          <w:szCs w:val="22"/>
        </w:rPr>
        <w:t xml:space="preserve"> </w:t>
      </w:r>
      <w:r w:rsidRPr="00D337FA">
        <w:rPr>
          <w:szCs w:val="22"/>
        </w:rPr>
        <w:t>что</w:t>
      </w:r>
      <w:r w:rsidR="006C680D" w:rsidRPr="00D337FA">
        <w:rPr>
          <w:szCs w:val="22"/>
        </w:rPr>
        <w:t xml:space="preserve"> </w:t>
      </w:r>
      <w:r w:rsidRPr="00D337FA">
        <w:rPr>
          <w:szCs w:val="22"/>
        </w:rPr>
        <w:t>делает</w:t>
      </w:r>
      <w:r w:rsidR="006C680D" w:rsidRPr="00D337FA">
        <w:rPr>
          <w:szCs w:val="22"/>
        </w:rPr>
        <w:t xml:space="preserve"> </w:t>
      </w:r>
      <w:r w:rsidRPr="00D337FA">
        <w:rPr>
          <w:szCs w:val="22"/>
        </w:rPr>
        <w:t>вопрос</w:t>
      </w:r>
      <w:r w:rsidR="006C680D" w:rsidRPr="00D337FA">
        <w:rPr>
          <w:szCs w:val="22"/>
        </w:rPr>
        <w:t xml:space="preserve"> </w:t>
      </w:r>
      <w:r w:rsidRPr="00D337FA">
        <w:rPr>
          <w:szCs w:val="22"/>
        </w:rPr>
        <w:t>их</w:t>
      </w:r>
      <w:r w:rsidR="006C680D" w:rsidRPr="00D337FA">
        <w:rPr>
          <w:szCs w:val="22"/>
        </w:rPr>
        <w:t xml:space="preserve"> </w:t>
      </w:r>
      <w:r w:rsidRPr="00D337FA">
        <w:rPr>
          <w:szCs w:val="22"/>
        </w:rPr>
        <w:t>развития</w:t>
      </w:r>
      <w:r w:rsidR="006C680D" w:rsidRPr="00D337FA">
        <w:rPr>
          <w:szCs w:val="22"/>
        </w:rPr>
        <w:t xml:space="preserve"> </w:t>
      </w:r>
      <w:r w:rsidRPr="00D337FA">
        <w:rPr>
          <w:szCs w:val="22"/>
        </w:rPr>
        <w:t>стратегической</w:t>
      </w:r>
      <w:r w:rsidR="006C680D" w:rsidRPr="00D337FA">
        <w:rPr>
          <w:szCs w:val="22"/>
        </w:rPr>
        <w:t xml:space="preserve"> </w:t>
      </w:r>
      <w:r w:rsidRPr="00D337FA">
        <w:rPr>
          <w:szCs w:val="22"/>
        </w:rPr>
        <w:t>задачей,</w:t>
      </w:r>
      <w:r w:rsidR="006C680D" w:rsidRPr="00D337FA">
        <w:rPr>
          <w:szCs w:val="22"/>
        </w:rPr>
        <w:t xml:space="preserve"> </w:t>
      </w:r>
      <w:r w:rsidRPr="00D337FA">
        <w:rPr>
          <w:szCs w:val="22"/>
        </w:rPr>
        <w:t>требующей</w:t>
      </w:r>
      <w:r w:rsidR="006C680D" w:rsidRPr="00D337FA">
        <w:rPr>
          <w:szCs w:val="22"/>
        </w:rPr>
        <w:t xml:space="preserve"> </w:t>
      </w:r>
      <w:r w:rsidRPr="00D337FA">
        <w:rPr>
          <w:szCs w:val="22"/>
        </w:rPr>
        <w:t>постоянного</w:t>
      </w:r>
      <w:r w:rsidR="006C680D" w:rsidRPr="00D337FA">
        <w:rPr>
          <w:szCs w:val="22"/>
        </w:rPr>
        <w:t xml:space="preserve"> </w:t>
      </w:r>
      <w:r w:rsidRPr="00D337FA">
        <w:rPr>
          <w:szCs w:val="22"/>
        </w:rPr>
        <w:t>государственного</w:t>
      </w:r>
      <w:r w:rsidR="006C680D" w:rsidRPr="00D337FA">
        <w:rPr>
          <w:szCs w:val="22"/>
        </w:rPr>
        <w:t xml:space="preserve"> </w:t>
      </w:r>
      <w:r w:rsidRPr="00D337FA">
        <w:rPr>
          <w:szCs w:val="22"/>
        </w:rPr>
        <w:t>внимания</w:t>
      </w:r>
      <w:r w:rsidR="006C680D" w:rsidRPr="00D337FA">
        <w:rPr>
          <w:szCs w:val="22"/>
        </w:rPr>
        <w:t xml:space="preserve"> </w:t>
      </w:r>
      <w:r w:rsidRPr="00D337FA">
        <w:rPr>
          <w:szCs w:val="22"/>
        </w:rPr>
        <w:t>и</w:t>
      </w:r>
      <w:r w:rsidR="006C680D" w:rsidRPr="00D337FA">
        <w:rPr>
          <w:szCs w:val="22"/>
        </w:rPr>
        <w:t xml:space="preserve"> </w:t>
      </w:r>
      <w:r w:rsidRPr="00D337FA">
        <w:rPr>
          <w:szCs w:val="22"/>
        </w:rPr>
        <w:t>расширения</w:t>
      </w:r>
      <w:r w:rsidR="006C680D" w:rsidRPr="00D337FA">
        <w:rPr>
          <w:szCs w:val="22"/>
        </w:rPr>
        <w:t xml:space="preserve"> </w:t>
      </w:r>
      <w:r w:rsidRPr="00D337FA">
        <w:rPr>
          <w:szCs w:val="22"/>
        </w:rPr>
        <w:t>программ</w:t>
      </w:r>
      <w:r w:rsidR="006C680D" w:rsidRPr="00D337FA">
        <w:rPr>
          <w:szCs w:val="22"/>
        </w:rPr>
        <w:t xml:space="preserve"> </w:t>
      </w:r>
      <w:r w:rsidRPr="00D337FA">
        <w:rPr>
          <w:szCs w:val="22"/>
        </w:rPr>
        <w:t>поддержки</w:t>
      </w:r>
      <w:r w:rsidR="006C680D" w:rsidRPr="00D337FA">
        <w:rPr>
          <w:szCs w:val="22"/>
        </w:rPr>
        <w:t xml:space="preserve"> </w:t>
      </w:r>
      <w:r w:rsidRPr="00D337FA">
        <w:rPr>
          <w:szCs w:val="22"/>
        </w:rPr>
        <w:t>[16].</w:t>
      </w:r>
    </w:p>
    <w:p w:rsidR="00826D3F" w:rsidRPr="00D337FA" w:rsidRDefault="00826D3F" w:rsidP="00826D3F">
      <w:pPr>
        <w:ind w:firstLine="284"/>
        <w:rPr>
          <w:szCs w:val="22"/>
        </w:rPr>
      </w:pPr>
      <w:r w:rsidRPr="00D337FA">
        <w:rPr>
          <w:szCs w:val="22"/>
        </w:rPr>
        <w:t>Таким</w:t>
      </w:r>
      <w:r w:rsidR="006C680D" w:rsidRPr="00D337FA">
        <w:rPr>
          <w:szCs w:val="22"/>
        </w:rPr>
        <w:t xml:space="preserve"> </w:t>
      </w:r>
      <w:r w:rsidRPr="00D337FA">
        <w:rPr>
          <w:szCs w:val="22"/>
        </w:rPr>
        <w:t>образом,</w:t>
      </w:r>
      <w:r w:rsidR="006C680D" w:rsidRPr="00D337FA">
        <w:rPr>
          <w:szCs w:val="22"/>
        </w:rPr>
        <w:t xml:space="preserve"> </w:t>
      </w:r>
      <w:r w:rsidRPr="00D337FA">
        <w:rPr>
          <w:szCs w:val="22"/>
        </w:rPr>
        <w:t>проанализировав</w:t>
      </w:r>
      <w:r w:rsidR="006C680D" w:rsidRPr="00D337FA">
        <w:rPr>
          <w:szCs w:val="22"/>
        </w:rPr>
        <w:t xml:space="preserve"> </w:t>
      </w:r>
      <w:r w:rsidRPr="00D337FA">
        <w:rPr>
          <w:szCs w:val="22"/>
        </w:rPr>
        <w:t>сложившуюся</w:t>
      </w:r>
      <w:r w:rsidR="006C680D" w:rsidRPr="00D337FA">
        <w:rPr>
          <w:szCs w:val="22"/>
        </w:rPr>
        <w:t xml:space="preserve"> </w:t>
      </w:r>
      <w:r w:rsidRPr="00D337FA">
        <w:rPr>
          <w:szCs w:val="22"/>
        </w:rPr>
        <w:t>в</w:t>
      </w:r>
      <w:r w:rsidR="006C680D" w:rsidRPr="00D337FA">
        <w:rPr>
          <w:szCs w:val="22"/>
        </w:rPr>
        <w:t xml:space="preserve"> </w:t>
      </w:r>
      <w:r w:rsidRPr="00D337FA">
        <w:rPr>
          <w:szCs w:val="22"/>
        </w:rPr>
        <w:t>АПК</w:t>
      </w:r>
      <w:r w:rsidR="006C680D" w:rsidRPr="00D337FA">
        <w:rPr>
          <w:szCs w:val="22"/>
        </w:rPr>
        <w:t xml:space="preserve"> </w:t>
      </w:r>
      <w:r w:rsidRPr="00D337FA">
        <w:rPr>
          <w:szCs w:val="22"/>
        </w:rPr>
        <w:t>ситуацию,</w:t>
      </w:r>
      <w:r w:rsidR="006C680D" w:rsidRPr="00D337FA">
        <w:rPr>
          <w:szCs w:val="22"/>
        </w:rPr>
        <w:t xml:space="preserve"> </w:t>
      </w:r>
      <w:r w:rsidRPr="00D337FA">
        <w:rPr>
          <w:szCs w:val="22"/>
        </w:rPr>
        <w:t>мы</w:t>
      </w:r>
      <w:r w:rsidR="006C680D" w:rsidRPr="00D337FA">
        <w:rPr>
          <w:szCs w:val="22"/>
        </w:rPr>
        <w:t xml:space="preserve"> </w:t>
      </w:r>
      <w:r w:rsidRPr="00D337FA">
        <w:rPr>
          <w:szCs w:val="22"/>
        </w:rPr>
        <w:t>можем</w:t>
      </w:r>
      <w:r w:rsidR="006C680D" w:rsidRPr="00D337FA">
        <w:rPr>
          <w:szCs w:val="22"/>
        </w:rPr>
        <w:t xml:space="preserve"> </w:t>
      </w:r>
      <w:r w:rsidRPr="00D337FA">
        <w:rPr>
          <w:szCs w:val="22"/>
        </w:rPr>
        <w:t>охарактеризовать</w:t>
      </w:r>
      <w:r w:rsidR="006C680D" w:rsidRPr="00D337FA">
        <w:rPr>
          <w:szCs w:val="22"/>
        </w:rPr>
        <w:t xml:space="preserve"> </w:t>
      </w:r>
      <w:r w:rsidRPr="00D337FA">
        <w:rPr>
          <w:szCs w:val="22"/>
        </w:rPr>
        <w:t>её</w:t>
      </w:r>
      <w:r w:rsidR="006C680D" w:rsidRPr="00D337FA">
        <w:rPr>
          <w:szCs w:val="22"/>
        </w:rPr>
        <w:t xml:space="preserve"> </w:t>
      </w:r>
      <w:r w:rsidRPr="00D337FA">
        <w:rPr>
          <w:szCs w:val="22"/>
        </w:rPr>
        <w:t>как</w:t>
      </w:r>
      <w:r w:rsidR="006C680D" w:rsidRPr="00D337FA">
        <w:rPr>
          <w:szCs w:val="22"/>
        </w:rPr>
        <w:t xml:space="preserve"> </w:t>
      </w:r>
      <w:r w:rsidRPr="00D337FA">
        <w:rPr>
          <w:szCs w:val="22"/>
        </w:rPr>
        <w:t>непростую,</w:t>
      </w:r>
      <w:r w:rsidR="006C680D" w:rsidRPr="00D337FA">
        <w:rPr>
          <w:szCs w:val="22"/>
        </w:rPr>
        <w:t xml:space="preserve"> </w:t>
      </w:r>
      <w:r w:rsidRPr="00D337FA">
        <w:rPr>
          <w:szCs w:val="22"/>
        </w:rPr>
        <w:t>но</w:t>
      </w:r>
      <w:r w:rsidR="006C680D" w:rsidRPr="00D337FA">
        <w:rPr>
          <w:szCs w:val="22"/>
        </w:rPr>
        <w:t xml:space="preserve"> </w:t>
      </w:r>
      <w:r w:rsidRPr="00D337FA">
        <w:rPr>
          <w:szCs w:val="22"/>
        </w:rPr>
        <w:t>контролируемую.</w:t>
      </w:r>
      <w:r w:rsidR="006C680D" w:rsidRPr="00D337FA">
        <w:rPr>
          <w:szCs w:val="22"/>
        </w:rPr>
        <w:t xml:space="preserve"> </w:t>
      </w:r>
      <w:r w:rsidRPr="00D337FA">
        <w:rPr>
          <w:szCs w:val="22"/>
        </w:rPr>
        <w:t>Оперативность</w:t>
      </w:r>
      <w:r w:rsidR="006C680D" w:rsidRPr="00D337FA">
        <w:rPr>
          <w:szCs w:val="22"/>
        </w:rPr>
        <w:t xml:space="preserve"> </w:t>
      </w:r>
      <w:r w:rsidRPr="00D337FA">
        <w:rPr>
          <w:szCs w:val="22"/>
        </w:rPr>
        <w:t>и</w:t>
      </w:r>
      <w:r w:rsidR="006C680D" w:rsidRPr="00D337FA">
        <w:rPr>
          <w:szCs w:val="22"/>
        </w:rPr>
        <w:t xml:space="preserve"> </w:t>
      </w:r>
      <w:r w:rsidRPr="00D337FA">
        <w:rPr>
          <w:szCs w:val="22"/>
        </w:rPr>
        <w:t>качество</w:t>
      </w:r>
      <w:r w:rsidR="006C680D" w:rsidRPr="00D337FA">
        <w:rPr>
          <w:szCs w:val="22"/>
        </w:rPr>
        <w:t xml:space="preserve"> </w:t>
      </w:r>
      <w:r w:rsidRPr="00D337FA">
        <w:rPr>
          <w:szCs w:val="22"/>
        </w:rPr>
        <w:t>принимаемых</w:t>
      </w:r>
      <w:r w:rsidR="006C680D" w:rsidRPr="00D337FA">
        <w:rPr>
          <w:szCs w:val="22"/>
        </w:rPr>
        <w:t xml:space="preserve"> </w:t>
      </w:r>
      <w:r w:rsidRPr="00D337FA">
        <w:rPr>
          <w:szCs w:val="22"/>
        </w:rPr>
        <w:t>решений</w:t>
      </w:r>
      <w:r w:rsidR="006C680D" w:rsidRPr="00D337FA">
        <w:rPr>
          <w:szCs w:val="22"/>
        </w:rPr>
        <w:t xml:space="preserve"> </w:t>
      </w:r>
      <w:r w:rsidRPr="00D337FA">
        <w:rPr>
          <w:szCs w:val="22"/>
        </w:rPr>
        <w:t>в</w:t>
      </w:r>
      <w:r w:rsidR="006C680D" w:rsidRPr="00D337FA">
        <w:rPr>
          <w:szCs w:val="22"/>
        </w:rPr>
        <w:t xml:space="preserve"> </w:t>
      </w:r>
      <w:r w:rsidRPr="00D337FA">
        <w:rPr>
          <w:szCs w:val="22"/>
        </w:rPr>
        <w:t>это</w:t>
      </w:r>
      <w:r w:rsidR="006C680D" w:rsidRPr="00D337FA">
        <w:rPr>
          <w:szCs w:val="22"/>
        </w:rPr>
        <w:t xml:space="preserve"> </w:t>
      </w:r>
      <w:r w:rsidRPr="00D337FA">
        <w:rPr>
          <w:szCs w:val="22"/>
        </w:rPr>
        <w:t>время</w:t>
      </w:r>
      <w:r w:rsidR="006C680D" w:rsidRPr="00D337FA">
        <w:rPr>
          <w:szCs w:val="22"/>
        </w:rPr>
        <w:t xml:space="preserve"> </w:t>
      </w:r>
      <w:r w:rsidRPr="00D337FA">
        <w:rPr>
          <w:szCs w:val="22"/>
        </w:rPr>
        <w:t>занимают</w:t>
      </w:r>
      <w:r w:rsidR="006C680D" w:rsidRPr="00D337FA">
        <w:rPr>
          <w:szCs w:val="22"/>
        </w:rPr>
        <w:t xml:space="preserve"> </w:t>
      </w:r>
      <w:r w:rsidRPr="00D337FA">
        <w:rPr>
          <w:szCs w:val="22"/>
        </w:rPr>
        <w:t>первостепенное</w:t>
      </w:r>
      <w:r w:rsidR="006C680D" w:rsidRPr="00D337FA">
        <w:rPr>
          <w:szCs w:val="22"/>
        </w:rPr>
        <w:t xml:space="preserve"> </w:t>
      </w:r>
      <w:r w:rsidRPr="00D337FA">
        <w:rPr>
          <w:szCs w:val="22"/>
        </w:rPr>
        <w:t>место</w:t>
      </w:r>
      <w:r w:rsidR="006C680D" w:rsidRPr="00D337FA">
        <w:rPr>
          <w:szCs w:val="22"/>
        </w:rPr>
        <w:t xml:space="preserve"> </w:t>
      </w:r>
      <w:r w:rsidRPr="00D337FA">
        <w:rPr>
          <w:szCs w:val="22"/>
        </w:rPr>
        <w:t>в</w:t>
      </w:r>
      <w:r w:rsidR="006C680D" w:rsidRPr="00D337FA">
        <w:rPr>
          <w:szCs w:val="22"/>
        </w:rPr>
        <w:t xml:space="preserve"> </w:t>
      </w:r>
      <w:r w:rsidRPr="00D337FA">
        <w:rPr>
          <w:szCs w:val="22"/>
        </w:rPr>
        <w:t>эффективности</w:t>
      </w:r>
      <w:r w:rsidR="006C680D" w:rsidRPr="00D337FA">
        <w:rPr>
          <w:szCs w:val="22"/>
        </w:rPr>
        <w:t xml:space="preserve"> </w:t>
      </w:r>
      <w:r w:rsidRPr="00D337FA">
        <w:rPr>
          <w:szCs w:val="22"/>
        </w:rPr>
        <w:t>развития</w:t>
      </w:r>
      <w:r w:rsidR="006C680D" w:rsidRPr="00D337FA">
        <w:rPr>
          <w:szCs w:val="22"/>
        </w:rPr>
        <w:t xml:space="preserve"> </w:t>
      </w:r>
      <w:r w:rsidRPr="00D337FA">
        <w:rPr>
          <w:szCs w:val="22"/>
        </w:rPr>
        <w:t>всей</w:t>
      </w:r>
      <w:r w:rsidR="006C680D" w:rsidRPr="00D337FA">
        <w:rPr>
          <w:szCs w:val="22"/>
        </w:rPr>
        <w:t xml:space="preserve"> </w:t>
      </w:r>
      <w:r w:rsidRPr="00D337FA">
        <w:rPr>
          <w:szCs w:val="22"/>
        </w:rPr>
        <w:t>отрасли,</w:t>
      </w:r>
      <w:r w:rsidR="006C680D" w:rsidRPr="00D337FA">
        <w:rPr>
          <w:szCs w:val="22"/>
        </w:rPr>
        <w:t xml:space="preserve"> </w:t>
      </w:r>
      <w:r w:rsidRPr="00D337FA">
        <w:rPr>
          <w:szCs w:val="22"/>
        </w:rPr>
        <w:t>которая</w:t>
      </w:r>
      <w:r w:rsidR="006C680D" w:rsidRPr="00D337FA">
        <w:rPr>
          <w:szCs w:val="22"/>
        </w:rPr>
        <w:t xml:space="preserve"> </w:t>
      </w:r>
      <w:r w:rsidRPr="00D337FA">
        <w:rPr>
          <w:szCs w:val="22"/>
        </w:rPr>
        <w:t>находится</w:t>
      </w:r>
      <w:r w:rsidR="006C680D" w:rsidRPr="00D337FA">
        <w:rPr>
          <w:szCs w:val="22"/>
        </w:rPr>
        <w:t xml:space="preserve"> </w:t>
      </w:r>
      <w:r w:rsidRPr="00D337FA">
        <w:rPr>
          <w:szCs w:val="22"/>
        </w:rPr>
        <w:t>в</w:t>
      </w:r>
      <w:r w:rsidR="006C680D" w:rsidRPr="00D337FA">
        <w:rPr>
          <w:szCs w:val="22"/>
        </w:rPr>
        <w:t xml:space="preserve"> </w:t>
      </w:r>
      <w:r w:rsidRPr="00D337FA">
        <w:rPr>
          <w:szCs w:val="22"/>
        </w:rPr>
        <w:t>условиях</w:t>
      </w:r>
      <w:r w:rsidR="006C680D" w:rsidRPr="00D337FA">
        <w:rPr>
          <w:szCs w:val="22"/>
        </w:rPr>
        <w:t xml:space="preserve"> </w:t>
      </w:r>
      <w:r w:rsidRPr="00D337FA">
        <w:rPr>
          <w:szCs w:val="22"/>
        </w:rPr>
        <w:t>ограничений,</w:t>
      </w:r>
      <w:r w:rsidR="006C680D" w:rsidRPr="00D337FA">
        <w:rPr>
          <w:szCs w:val="22"/>
        </w:rPr>
        <w:t xml:space="preserve"> </w:t>
      </w:r>
      <w:r w:rsidRPr="00D337FA">
        <w:rPr>
          <w:szCs w:val="22"/>
        </w:rPr>
        <w:t>но</w:t>
      </w:r>
      <w:r w:rsidR="006C680D" w:rsidRPr="00D337FA">
        <w:rPr>
          <w:szCs w:val="22"/>
        </w:rPr>
        <w:t xml:space="preserve"> </w:t>
      </w:r>
      <w:r w:rsidRPr="00D337FA">
        <w:rPr>
          <w:szCs w:val="22"/>
        </w:rPr>
        <w:t>стремится</w:t>
      </w:r>
      <w:r w:rsidR="006C680D" w:rsidRPr="00D337FA">
        <w:rPr>
          <w:szCs w:val="22"/>
        </w:rPr>
        <w:t xml:space="preserve"> </w:t>
      </w:r>
      <w:r w:rsidRPr="00D337FA">
        <w:rPr>
          <w:szCs w:val="22"/>
        </w:rPr>
        <w:t>найти</w:t>
      </w:r>
      <w:r w:rsidR="006C680D" w:rsidRPr="00D337FA">
        <w:rPr>
          <w:szCs w:val="22"/>
        </w:rPr>
        <w:t xml:space="preserve"> </w:t>
      </w:r>
      <w:r w:rsidRPr="00D337FA">
        <w:rPr>
          <w:szCs w:val="22"/>
        </w:rPr>
        <w:t>новые</w:t>
      </w:r>
      <w:r w:rsidR="006C680D" w:rsidRPr="00D337FA">
        <w:rPr>
          <w:szCs w:val="22"/>
        </w:rPr>
        <w:t xml:space="preserve"> </w:t>
      </w:r>
      <w:r w:rsidRPr="00D337FA">
        <w:rPr>
          <w:szCs w:val="22"/>
        </w:rPr>
        <w:t>пути</w:t>
      </w:r>
      <w:r w:rsidR="006C680D" w:rsidRPr="00D337FA">
        <w:rPr>
          <w:szCs w:val="22"/>
        </w:rPr>
        <w:t xml:space="preserve"> </w:t>
      </w:r>
      <w:r w:rsidRPr="00D337FA">
        <w:rPr>
          <w:szCs w:val="22"/>
        </w:rPr>
        <w:t>развития.</w:t>
      </w:r>
      <w:r w:rsidR="006C680D" w:rsidRPr="00D337FA">
        <w:rPr>
          <w:szCs w:val="22"/>
        </w:rPr>
        <w:t xml:space="preserve"> </w:t>
      </w:r>
      <w:r w:rsidRPr="00D337FA">
        <w:rPr>
          <w:szCs w:val="22"/>
        </w:rPr>
        <w:t>Именно</w:t>
      </w:r>
      <w:r w:rsidR="006C680D" w:rsidRPr="00D337FA">
        <w:rPr>
          <w:szCs w:val="22"/>
        </w:rPr>
        <w:t xml:space="preserve"> </w:t>
      </w:r>
      <w:r w:rsidRPr="00D337FA">
        <w:rPr>
          <w:szCs w:val="22"/>
        </w:rPr>
        <w:t>государственная</w:t>
      </w:r>
      <w:r w:rsidR="006C680D" w:rsidRPr="00D337FA">
        <w:rPr>
          <w:szCs w:val="22"/>
        </w:rPr>
        <w:t xml:space="preserve"> </w:t>
      </w:r>
      <w:r w:rsidRPr="00D337FA">
        <w:rPr>
          <w:szCs w:val="22"/>
        </w:rPr>
        <w:t>поддержка</w:t>
      </w:r>
      <w:r w:rsidR="006C680D" w:rsidRPr="00D337FA">
        <w:rPr>
          <w:szCs w:val="22"/>
        </w:rPr>
        <w:t xml:space="preserve"> </w:t>
      </w:r>
      <w:r w:rsidRPr="00D337FA">
        <w:rPr>
          <w:szCs w:val="22"/>
        </w:rPr>
        <w:t>в</w:t>
      </w:r>
      <w:r w:rsidR="006C680D" w:rsidRPr="00D337FA">
        <w:rPr>
          <w:szCs w:val="22"/>
        </w:rPr>
        <w:t xml:space="preserve"> </w:t>
      </w:r>
      <w:r w:rsidRPr="00D337FA">
        <w:rPr>
          <w:szCs w:val="22"/>
        </w:rPr>
        <w:t>сложившейся</w:t>
      </w:r>
      <w:r w:rsidR="006C680D" w:rsidRPr="00D337FA">
        <w:rPr>
          <w:szCs w:val="22"/>
        </w:rPr>
        <w:t xml:space="preserve"> </w:t>
      </w:r>
      <w:r w:rsidRPr="00D337FA">
        <w:rPr>
          <w:szCs w:val="22"/>
        </w:rPr>
        <w:t>ситуации</w:t>
      </w:r>
      <w:r w:rsidR="006C680D" w:rsidRPr="00D337FA">
        <w:rPr>
          <w:szCs w:val="22"/>
        </w:rPr>
        <w:t xml:space="preserve"> </w:t>
      </w:r>
      <w:r w:rsidRPr="00D337FA">
        <w:rPr>
          <w:szCs w:val="22"/>
        </w:rPr>
        <w:t>должна</w:t>
      </w:r>
      <w:r w:rsidR="006C680D" w:rsidRPr="00D337FA">
        <w:rPr>
          <w:szCs w:val="22"/>
        </w:rPr>
        <w:t xml:space="preserve"> </w:t>
      </w:r>
      <w:r w:rsidRPr="00D337FA">
        <w:rPr>
          <w:szCs w:val="22"/>
        </w:rPr>
        <w:t>занимать</w:t>
      </w:r>
      <w:r w:rsidR="006C680D" w:rsidRPr="00D337FA">
        <w:rPr>
          <w:szCs w:val="22"/>
        </w:rPr>
        <w:t xml:space="preserve"> </w:t>
      </w:r>
      <w:r w:rsidRPr="00D337FA">
        <w:rPr>
          <w:szCs w:val="22"/>
        </w:rPr>
        <w:t>центральное</w:t>
      </w:r>
      <w:r w:rsidR="006C680D" w:rsidRPr="00D337FA">
        <w:rPr>
          <w:szCs w:val="22"/>
        </w:rPr>
        <w:t xml:space="preserve"> </w:t>
      </w:r>
      <w:r w:rsidRPr="00D337FA">
        <w:rPr>
          <w:szCs w:val="22"/>
        </w:rPr>
        <w:t>место</w:t>
      </w:r>
      <w:r w:rsidR="006C680D" w:rsidRPr="00D337FA">
        <w:rPr>
          <w:szCs w:val="22"/>
        </w:rPr>
        <w:t xml:space="preserve"> </w:t>
      </w:r>
      <w:r w:rsidRPr="00D337FA">
        <w:rPr>
          <w:szCs w:val="22"/>
        </w:rPr>
        <w:t>в</w:t>
      </w:r>
      <w:r w:rsidR="006C680D" w:rsidRPr="00D337FA">
        <w:rPr>
          <w:szCs w:val="22"/>
        </w:rPr>
        <w:t xml:space="preserve"> </w:t>
      </w:r>
      <w:r w:rsidRPr="00D337FA">
        <w:rPr>
          <w:szCs w:val="22"/>
        </w:rPr>
        <w:t>политическом</w:t>
      </w:r>
      <w:r w:rsidR="006C680D" w:rsidRPr="00D337FA">
        <w:rPr>
          <w:szCs w:val="22"/>
        </w:rPr>
        <w:t xml:space="preserve"> </w:t>
      </w:r>
      <w:r w:rsidRPr="00D337FA">
        <w:rPr>
          <w:szCs w:val="22"/>
        </w:rPr>
        <w:t>курсе</w:t>
      </w:r>
      <w:r w:rsidR="006C680D" w:rsidRPr="00D337FA">
        <w:rPr>
          <w:szCs w:val="22"/>
        </w:rPr>
        <w:t xml:space="preserve"> </w:t>
      </w:r>
      <w:r w:rsidRPr="00D337FA">
        <w:rPr>
          <w:szCs w:val="22"/>
        </w:rPr>
        <w:t>страны.</w:t>
      </w:r>
      <w:r w:rsidR="006C680D" w:rsidRPr="00D337FA">
        <w:rPr>
          <w:szCs w:val="22"/>
        </w:rPr>
        <w:t xml:space="preserve"> </w:t>
      </w:r>
      <w:r w:rsidRPr="00D337FA">
        <w:rPr>
          <w:szCs w:val="22"/>
        </w:rPr>
        <w:t>Так,</w:t>
      </w:r>
      <w:r w:rsidR="006C680D" w:rsidRPr="00D337FA">
        <w:rPr>
          <w:szCs w:val="22"/>
        </w:rPr>
        <w:t xml:space="preserve"> </w:t>
      </w:r>
      <w:r w:rsidRPr="00D337FA">
        <w:rPr>
          <w:szCs w:val="22"/>
        </w:rPr>
        <w:t>многочисленные</w:t>
      </w:r>
      <w:r w:rsidR="006C680D" w:rsidRPr="00D337FA">
        <w:rPr>
          <w:szCs w:val="22"/>
        </w:rPr>
        <w:t xml:space="preserve"> </w:t>
      </w:r>
      <w:r w:rsidRPr="00D337FA">
        <w:rPr>
          <w:szCs w:val="22"/>
        </w:rPr>
        <w:t>санкции</w:t>
      </w:r>
      <w:r w:rsidR="006C680D" w:rsidRPr="00D337FA">
        <w:rPr>
          <w:szCs w:val="22"/>
        </w:rPr>
        <w:t xml:space="preserve"> </w:t>
      </w:r>
      <w:r w:rsidRPr="00D337FA">
        <w:rPr>
          <w:szCs w:val="22"/>
        </w:rPr>
        <w:t>выявили</w:t>
      </w:r>
      <w:r w:rsidR="006C680D" w:rsidRPr="00D337FA">
        <w:rPr>
          <w:szCs w:val="22"/>
        </w:rPr>
        <w:t xml:space="preserve"> </w:t>
      </w:r>
      <w:r w:rsidRPr="00D337FA">
        <w:rPr>
          <w:szCs w:val="22"/>
        </w:rPr>
        <w:t>наиболее</w:t>
      </w:r>
      <w:r w:rsidR="006C680D" w:rsidRPr="00D337FA">
        <w:rPr>
          <w:szCs w:val="22"/>
        </w:rPr>
        <w:t xml:space="preserve"> </w:t>
      </w:r>
      <w:r w:rsidRPr="00D337FA">
        <w:rPr>
          <w:szCs w:val="22"/>
        </w:rPr>
        <w:t>слабозащищённые</w:t>
      </w:r>
      <w:r w:rsidR="006C680D" w:rsidRPr="00D337FA">
        <w:rPr>
          <w:szCs w:val="22"/>
        </w:rPr>
        <w:t xml:space="preserve"> </w:t>
      </w:r>
      <w:r w:rsidRPr="00D337FA">
        <w:rPr>
          <w:szCs w:val="22"/>
        </w:rPr>
        <w:t>направления</w:t>
      </w:r>
      <w:r w:rsidR="006C680D" w:rsidRPr="00D337FA">
        <w:rPr>
          <w:szCs w:val="22"/>
        </w:rPr>
        <w:t xml:space="preserve"> </w:t>
      </w:r>
      <w:r w:rsidRPr="00D337FA">
        <w:rPr>
          <w:szCs w:val="22"/>
        </w:rPr>
        <w:t>аграрной</w:t>
      </w:r>
      <w:r w:rsidR="006C680D" w:rsidRPr="00D337FA">
        <w:rPr>
          <w:szCs w:val="22"/>
        </w:rPr>
        <w:t xml:space="preserve"> </w:t>
      </w:r>
      <w:r w:rsidRPr="00D337FA">
        <w:rPr>
          <w:szCs w:val="22"/>
        </w:rPr>
        <w:t>отрасли,</w:t>
      </w:r>
      <w:r w:rsidR="006C680D" w:rsidRPr="00D337FA">
        <w:rPr>
          <w:szCs w:val="22"/>
        </w:rPr>
        <w:t xml:space="preserve"> </w:t>
      </w:r>
      <w:r w:rsidRPr="00D337FA">
        <w:rPr>
          <w:szCs w:val="22"/>
        </w:rPr>
        <w:t>которые</w:t>
      </w:r>
      <w:r w:rsidR="006C680D" w:rsidRPr="00D337FA">
        <w:rPr>
          <w:szCs w:val="22"/>
        </w:rPr>
        <w:t xml:space="preserve"> </w:t>
      </w:r>
      <w:r w:rsidRPr="00D337FA">
        <w:rPr>
          <w:szCs w:val="22"/>
        </w:rPr>
        <w:t>требуют</w:t>
      </w:r>
      <w:r w:rsidR="006C680D" w:rsidRPr="00D337FA">
        <w:rPr>
          <w:szCs w:val="22"/>
        </w:rPr>
        <w:t xml:space="preserve"> </w:t>
      </w:r>
      <w:r w:rsidRPr="00D337FA">
        <w:rPr>
          <w:szCs w:val="22"/>
        </w:rPr>
        <w:t>всесторонней</w:t>
      </w:r>
      <w:r w:rsidR="006C680D" w:rsidRPr="00D337FA">
        <w:rPr>
          <w:szCs w:val="22"/>
        </w:rPr>
        <w:t xml:space="preserve"> </w:t>
      </w:r>
      <w:r w:rsidRPr="00D337FA">
        <w:rPr>
          <w:szCs w:val="22"/>
        </w:rPr>
        <w:t>поддержки</w:t>
      </w:r>
      <w:r w:rsidR="006C680D" w:rsidRPr="00D337FA">
        <w:rPr>
          <w:szCs w:val="22"/>
        </w:rPr>
        <w:t xml:space="preserve"> </w:t>
      </w:r>
      <w:r w:rsidRPr="00D337FA">
        <w:rPr>
          <w:szCs w:val="22"/>
        </w:rPr>
        <w:t>и</w:t>
      </w:r>
      <w:r w:rsidR="006C680D" w:rsidRPr="00D337FA">
        <w:rPr>
          <w:szCs w:val="22"/>
        </w:rPr>
        <w:t xml:space="preserve"> </w:t>
      </w:r>
      <w:r w:rsidRPr="00D337FA">
        <w:rPr>
          <w:szCs w:val="22"/>
        </w:rPr>
        <w:t>защиты.</w:t>
      </w:r>
      <w:r w:rsidR="006C680D" w:rsidRPr="00D337FA">
        <w:rPr>
          <w:szCs w:val="22"/>
        </w:rPr>
        <w:t xml:space="preserve"> </w:t>
      </w:r>
      <w:r w:rsidRPr="00D337FA">
        <w:rPr>
          <w:szCs w:val="22"/>
        </w:rPr>
        <w:t>Разработка,</w:t>
      </w:r>
      <w:r w:rsidR="006C680D" w:rsidRPr="00D337FA">
        <w:rPr>
          <w:szCs w:val="22"/>
        </w:rPr>
        <w:t xml:space="preserve"> </w:t>
      </w:r>
      <w:r w:rsidRPr="00D337FA">
        <w:rPr>
          <w:szCs w:val="22"/>
        </w:rPr>
        <w:t>принятие</w:t>
      </w:r>
      <w:r w:rsidR="006C680D" w:rsidRPr="00D337FA">
        <w:rPr>
          <w:szCs w:val="22"/>
        </w:rPr>
        <w:t xml:space="preserve"> </w:t>
      </w:r>
      <w:r w:rsidRPr="00D337FA">
        <w:rPr>
          <w:szCs w:val="22"/>
        </w:rPr>
        <w:t>и</w:t>
      </w:r>
      <w:r w:rsidR="006C680D" w:rsidRPr="00D337FA">
        <w:rPr>
          <w:szCs w:val="22"/>
        </w:rPr>
        <w:t xml:space="preserve"> </w:t>
      </w:r>
      <w:r w:rsidRPr="00D337FA">
        <w:rPr>
          <w:szCs w:val="22"/>
        </w:rPr>
        <w:t>запуск</w:t>
      </w:r>
      <w:r w:rsidR="006C680D" w:rsidRPr="00D337FA">
        <w:rPr>
          <w:szCs w:val="22"/>
        </w:rPr>
        <w:t xml:space="preserve"> </w:t>
      </w:r>
      <w:r w:rsidRPr="00D337FA">
        <w:rPr>
          <w:szCs w:val="22"/>
        </w:rPr>
        <w:t>многих</w:t>
      </w:r>
      <w:r w:rsidR="006C680D" w:rsidRPr="00D337FA">
        <w:rPr>
          <w:szCs w:val="22"/>
        </w:rPr>
        <w:t xml:space="preserve"> </w:t>
      </w:r>
      <w:r w:rsidRPr="00D337FA">
        <w:rPr>
          <w:szCs w:val="22"/>
        </w:rPr>
        <w:t>новых</w:t>
      </w:r>
      <w:r w:rsidR="006C680D" w:rsidRPr="00D337FA">
        <w:rPr>
          <w:szCs w:val="22"/>
        </w:rPr>
        <w:t xml:space="preserve"> </w:t>
      </w:r>
      <w:r w:rsidRPr="00D337FA">
        <w:rPr>
          <w:szCs w:val="22"/>
        </w:rPr>
        <w:t>программ</w:t>
      </w:r>
      <w:r w:rsidR="006C680D" w:rsidRPr="00D337FA">
        <w:rPr>
          <w:szCs w:val="22"/>
        </w:rPr>
        <w:t xml:space="preserve"> </w:t>
      </w:r>
      <w:r w:rsidRPr="00D337FA">
        <w:rPr>
          <w:szCs w:val="22"/>
        </w:rPr>
        <w:t>поддержки</w:t>
      </w:r>
      <w:r w:rsidR="006C680D" w:rsidRPr="00D337FA">
        <w:rPr>
          <w:szCs w:val="22"/>
        </w:rPr>
        <w:t xml:space="preserve"> </w:t>
      </w:r>
      <w:r w:rsidRPr="00D337FA">
        <w:rPr>
          <w:szCs w:val="22"/>
        </w:rPr>
        <w:t>должны</w:t>
      </w:r>
      <w:r w:rsidR="006C680D" w:rsidRPr="00D337FA">
        <w:rPr>
          <w:szCs w:val="22"/>
        </w:rPr>
        <w:t xml:space="preserve"> </w:t>
      </w:r>
      <w:r w:rsidRPr="00D337FA">
        <w:rPr>
          <w:szCs w:val="22"/>
        </w:rPr>
        <w:t>ускорить</w:t>
      </w:r>
      <w:r w:rsidR="006C680D" w:rsidRPr="00D337FA">
        <w:rPr>
          <w:szCs w:val="22"/>
        </w:rPr>
        <w:t xml:space="preserve"> </w:t>
      </w:r>
      <w:r w:rsidRPr="00D337FA">
        <w:rPr>
          <w:szCs w:val="22"/>
        </w:rPr>
        <w:t>процесс</w:t>
      </w:r>
      <w:r w:rsidR="006C680D" w:rsidRPr="00D337FA">
        <w:rPr>
          <w:szCs w:val="22"/>
        </w:rPr>
        <w:t xml:space="preserve"> </w:t>
      </w:r>
      <w:r w:rsidRPr="00D337FA">
        <w:rPr>
          <w:szCs w:val="22"/>
        </w:rPr>
        <w:t>импортозамещения,</w:t>
      </w:r>
      <w:r w:rsidR="006C680D" w:rsidRPr="00D337FA">
        <w:rPr>
          <w:szCs w:val="22"/>
        </w:rPr>
        <w:t xml:space="preserve"> </w:t>
      </w:r>
      <w:r w:rsidRPr="00D337FA">
        <w:rPr>
          <w:szCs w:val="22"/>
        </w:rPr>
        <w:t>внедрения</w:t>
      </w:r>
      <w:r w:rsidR="006C680D" w:rsidRPr="00D337FA">
        <w:rPr>
          <w:szCs w:val="22"/>
        </w:rPr>
        <w:t xml:space="preserve"> </w:t>
      </w:r>
      <w:r w:rsidRPr="00D337FA">
        <w:rPr>
          <w:szCs w:val="22"/>
        </w:rPr>
        <w:t>передовых</w:t>
      </w:r>
      <w:r w:rsidR="006C680D" w:rsidRPr="00D337FA">
        <w:rPr>
          <w:szCs w:val="22"/>
        </w:rPr>
        <w:t xml:space="preserve"> </w:t>
      </w:r>
      <w:r w:rsidRPr="00D337FA">
        <w:rPr>
          <w:szCs w:val="22"/>
        </w:rPr>
        <w:t>технологий,</w:t>
      </w:r>
      <w:r w:rsidR="006C680D" w:rsidRPr="00D337FA">
        <w:rPr>
          <w:szCs w:val="22"/>
        </w:rPr>
        <w:t xml:space="preserve"> </w:t>
      </w:r>
      <w:r w:rsidRPr="00D337FA">
        <w:rPr>
          <w:szCs w:val="22"/>
        </w:rPr>
        <w:t>где</w:t>
      </w:r>
      <w:r w:rsidR="006C680D" w:rsidRPr="00D337FA">
        <w:rPr>
          <w:szCs w:val="22"/>
        </w:rPr>
        <w:t xml:space="preserve"> </w:t>
      </w:r>
      <w:r w:rsidRPr="00D337FA">
        <w:rPr>
          <w:szCs w:val="22"/>
        </w:rPr>
        <w:t>первостепенное</w:t>
      </w:r>
      <w:r w:rsidR="006C680D" w:rsidRPr="00D337FA">
        <w:rPr>
          <w:szCs w:val="22"/>
        </w:rPr>
        <w:t xml:space="preserve"> </w:t>
      </w:r>
      <w:r w:rsidRPr="00D337FA">
        <w:rPr>
          <w:szCs w:val="22"/>
        </w:rPr>
        <w:t>значение</w:t>
      </w:r>
      <w:r w:rsidR="006C680D" w:rsidRPr="00D337FA">
        <w:rPr>
          <w:szCs w:val="22"/>
        </w:rPr>
        <w:t xml:space="preserve"> </w:t>
      </w:r>
      <w:r w:rsidRPr="00D337FA">
        <w:rPr>
          <w:szCs w:val="22"/>
        </w:rPr>
        <w:t>отводится</w:t>
      </w:r>
      <w:r w:rsidR="006C680D" w:rsidRPr="00D337FA">
        <w:rPr>
          <w:szCs w:val="22"/>
        </w:rPr>
        <w:t xml:space="preserve"> </w:t>
      </w:r>
      <w:r w:rsidRPr="00D337FA">
        <w:rPr>
          <w:szCs w:val="22"/>
        </w:rPr>
        <w:t>искусственному</w:t>
      </w:r>
      <w:r w:rsidR="006C680D" w:rsidRPr="00D337FA">
        <w:rPr>
          <w:szCs w:val="22"/>
        </w:rPr>
        <w:t xml:space="preserve"> </w:t>
      </w:r>
      <w:r w:rsidRPr="00D337FA">
        <w:rPr>
          <w:szCs w:val="22"/>
        </w:rPr>
        <w:t>ин</w:t>
      </w:r>
      <w:r w:rsidRPr="00D337FA">
        <w:rPr>
          <w:szCs w:val="22"/>
        </w:rPr>
        <w:lastRenderedPageBreak/>
        <w:t>теллекту</w:t>
      </w:r>
      <w:r w:rsidR="006C680D" w:rsidRPr="00D337FA">
        <w:rPr>
          <w:szCs w:val="22"/>
        </w:rPr>
        <w:t xml:space="preserve"> </w:t>
      </w:r>
      <w:r w:rsidRPr="00D337FA">
        <w:rPr>
          <w:szCs w:val="22"/>
        </w:rPr>
        <w:t>и</w:t>
      </w:r>
      <w:r w:rsidR="006C680D" w:rsidRPr="00D337FA">
        <w:rPr>
          <w:szCs w:val="22"/>
        </w:rPr>
        <w:t xml:space="preserve"> </w:t>
      </w:r>
      <w:r w:rsidRPr="00D337FA">
        <w:rPr>
          <w:szCs w:val="22"/>
        </w:rPr>
        <w:t>инновационным</w:t>
      </w:r>
      <w:r w:rsidR="006C680D" w:rsidRPr="00D337FA">
        <w:rPr>
          <w:szCs w:val="22"/>
        </w:rPr>
        <w:t xml:space="preserve"> </w:t>
      </w:r>
      <w:r w:rsidRPr="00D337FA">
        <w:rPr>
          <w:szCs w:val="22"/>
        </w:rPr>
        <w:t>стартапам</w:t>
      </w:r>
      <w:r w:rsidR="006C680D" w:rsidRPr="00D337FA">
        <w:rPr>
          <w:szCs w:val="22"/>
        </w:rPr>
        <w:t xml:space="preserve"> </w:t>
      </w:r>
      <w:r w:rsidRPr="00D337FA">
        <w:rPr>
          <w:szCs w:val="22"/>
        </w:rPr>
        <w:t>[17].</w:t>
      </w:r>
      <w:r w:rsidR="006C680D" w:rsidRPr="00D337FA">
        <w:rPr>
          <w:szCs w:val="22"/>
        </w:rPr>
        <w:t xml:space="preserve"> </w:t>
      </w:r>
      <w:r w:rsidRPr="00D337FA">
        <w:rPr>
          <w:szCs w:val="22"/>
        </w:rPr>
        <w:t>Формирование</w:t>
      </w:r>
      <w:r w:rsidR="006C680D" w:rsidRPr="00D337FA">
        <w:rPr>
          <w:szCs w:val="22"/>
        </w:rPr>
        <w:t xml:space="preserve"> </w:t>
      </w:r>
      <w:r w:rsidRPr="00D337FA">
        <w:rPr>
          <w:szCs w:val="22"/>
        </w:rPr>
        <w:t>новой</w:t>
      </w:r>
      <w:r w:rsidR="006C680D" w:rsidRPr="00D337FA">
        <w:rPr>
          <w:szCs w:val="22"/>
        </w:rPr>
        <w:t xml:space="preserve"> </w:t>
      </w:r>
      <w:r w:rsidRPr="00D337FA">
        <w:rPr>
          <w:szCs w:val="22"/>
        </w:rPr>
        <w:t>парадигмы</w:t>
      </w:r>
      <w:r w:rsidR="006C680D" w:rsidRPr="00D337FA">
        <w:rPr>
          <w:szCs w:val="22"/>
        </w:rPr>
        <w:t xml:space="preserve"> </w:t>
      </w:r>
      <w:r w:rsidRPr="00D337FA">
        <w:rPr>
          <w:szCs w:val="22"/>
        </w:rPr>
        <w:t>развития</w:t>
      </w:r>
      <w:r w:rsidR="006C680D" w:rsidRPr="00D337FA">
        <w:rPr>
          <w:szCs w:val="22"/>
        </w:rPr>
        <w:t xml:space="preserve"> </w:t>
      </w:r>
      <w:r w:rsidRPr="00D337FA">
        <w:rPr>
          <w:szCs w:val="22"/>
        </w:rPr>
        <w:t>АПК</w:t>
      </w:r>
      <w:r w:rsidR="006C680D" w:rsidRPr="00D337FA">
        <w:rPr>
          <w:szCs w:val="22"/>
        </w:rPr>
        <w:t xml:space="preserve"> </w:t>
      </w:r>
      <w:r w:rsidRPr="00D337FA">
        <w:rPr>
          <w:szCs w:val="22"/>
        </w:rPr>
        <w:t>окажет</w:t>
      </w:r>
      <w:r w:rsidR="006C680D" w:rsidRPr="00D337FA">
        <w:rPr>
          <w:szCs w:val="22"/>
        </w:rPr>
        <w:t xml:space="preserve"> </w:t>
      </w:r>
      <w:r w:rsidRPr="00D337FA">
        <w:rPr>
          <w:szCs w:val="22"/>
        </w:rPr>
        <w:t>влияние</w:t>
      </w:r>
      <w:r w:rsidR="006C680D" w:rsidRPr="00D337FA">
        <w:rPr>
          <w:szCs w:val="22"/>
        </w:rPr>
        <w:t xml:space="preserve"> </w:t>
      </w:r>
      <w:r w:rsidRPr="00D337FA">
        <w:rPr>
          <w:szCs w:val="22"/>
        </w:rPr>
        <w:t>не</w:t>
      </w:r>
      <w:r w:rsidR="006C680D" w:rsidRPr="00D337FA">
        <w:rPr>
          <w:szCs w:val="22"/>
        </w:rPr>
        <w:t xml:space="preserve"> </w:t>
      </w:r>
      <w:r w:rsidRPr="00D337FA">
        <w:rPr>
          <w:szCs w:val="22"/>
        </w:rPr>
        <w:t>только</w:t>
      </w:r>
      <w:r w:rsidR="006C680D" w:rsidRPr="00D337FA">
        <w:rPr>
          <w:szCs w:val="22"/>
        </w:rPr>
        <w:t xml:space="preserve"> </w:t>
      </w:r>
      <w:r w:rsidRPr="00D337FA">
        <w:rPr>
          <w:szCs w:val="22"/>
        </w:rPr>
        <w:t>в</w:t>
      </w:r>
      <w:r w:rsidR="006C680D" w:rsidRPr="00D337FA">
        <w:rPr>
          <w:szCs w:val="22"/>
        </w:rPr>
        <w:t xml:space="preserve"> </w:t>
      </w:r>
      <w:r w:rsidRPr="00D337FA">
        <w:rPr>
          <w:szCs w:val="22"/>
        </w:rPr>
        <w:t>ближайшие</w:t>
      </w:r>
      <w:r w:rsidR="006C680D" w:rsidRPr="00D337FA">
        <w:rPr>
          <w:szCs w:val="22"/>
        </w:rPr>
        <w:t xml:space="preserve"> </w:t>
      </w:r>
      <w:r w:rsidRPr="00D337FA">
        <w:rPr>
          <w:szCs w:val="22"/>
        </w:rPr>
        <w:t>несколько</w:t>
      </w:r>
      <w:r w:rsidR="006C680D" w:rsidRPr="00D337FA">
        <w:rPr>
          <w:szCs w:val="22"/>
        </w:rPr>
        <w:t xml:space="preserve"> </w:t>
      </w:r>
      <w:r w:rsidRPr="00D337FA">
        <w:rPr>
          <w:szCs w:val="22"/>
        </w:rPr>
        <w:t>лет,</w:t>
      </w:r>
      <w:r w:rsidR="006C680D" w:rsidRPr="00D337FA">
        <w:rPr>
          <w:szCs w:val="22"/>
        </w:rPr>
        <w:t xml:space="preserve"> </w:t>
      </w:r>
      <w:r w:rsidRPr="00D337FA">
        <w:rPr>
          <w:szCs w:val="22"/>
        </w:rPr>
        <w:t>а</w:t>
      </w:r>
      <w:r w:rsidR="006C680D" w:rsidRPr="00D337FA">
        <w:rPr>
          <w:szCs w:val="22"/>
        </w:rPr>
        <w:t xml:space="preserve"> </w:t>
      </w:r>
      <w:r w:rsidRPr="00D337FA">
        <w:rPr>
          <w:szCs w:val="22"/>
        </w:rPr>
        <w:t>будет</w:t>
      </w:r>
      <w:r w:rsidR="006C680D" w:rsidRPr="00D337FA">
        <w:rPr>
          <w:szCs w:val="22"/>
        </w:rPr>
        <w:t xml:space="preserve"> </w:t>
      </w:r>
      <w:r w:rsidRPr="00D337FA">
        <w:rPr>
          <w:szCs w:val="22"/>
        </w:rPr>
        <w:t>иметь</w:t>
      </w:r>
      <w:r w:rsidR="006C680D" w:rsidRPr="00D337FA">
        <w:rPr>
          <w:szCs w:val="22"/>
        </w:rPr>
        <w:t xml:space="preserve"> </w:t>
      </w:r>
      <w:r w:rsidRPr="00D337FA">
        <w:rPr>
          <w:szCs w:val="22"/>
        </w:rPr>
        <w:t>долгосрочные</w:t>
      </w:r>
      <w:r w:rsidR="006C680D" w:rsidRPr="00D337FA">
        <w:rPr>
          <w:szCs w:val="22"/>
        </w:rPr>
        <w:t xml:space="preserve"> </w:t>
      </w:r>
      <w:r w:rsidRPr="00D337FA">
        <w:rPr>
          <w:szCs w:val="22"/>
        </w:rPr>
        <w:t>последствия</w:t>
      </w:r>
      <w:r w:rsidR="006C680D" w:rsidRPr="00D337FA">
        <w:rPr>
          <w:szCs w:val="22"/>
        </w:rPr>
        <w:t xml:space="preserve"> </w:t>
      </w:r>
      <w:r w:rsidRPr="00D337FA">
        <w:rPr>
          <w:szCs w:val="22"/>
        </w:rPr>
        <w:t>для</w:t>
      </w:r>
      <w:r w:rsidR="006C680D" w:rsidRPr="00D337FA">
        <w:rPr>
          <w:szCs w:val="22"/>
        </w:rPr>
        <w:t xml:space="preserve"> </w:t>
      </w:r>
      <w:r w:rsidRPr="00D337FA">
        <w:rPr>
          <w:szCs w:val="22"/>
        </w:rPr>
        <w:t>всей</w:t>
      </w:r>
      <w:r w:rsidR="006C680D" w:rsidRPr="00D337FA">
        <w:rPr>
          <w:szCs w:val="22"/>
        </w:rPr>
        <w:t xml:space="preserve"> </w:t>
      </w:r>
      <w:r w:rsidRPr="00D337FA">
        <w:rPr>
          <w:szCs w:val="22"/>
        </w:rPr>
        <w:t>страны,</w:t>
      </w:r>
      <w:r w:rsidR="006C680D" w:rsidRPr="00D337FA">
        <w:rPr>
          <w:szCs w:val="22"/>
        </w:rPr>
        <w:t xml:space="preserve"> </w:t>
      </w:r>
      <w:r w:rsidRPr="00D337FA">
        <w:rPr>
          <w:szCs w:val="22"/>
        </w:rPr>
        <w:t>поскольку</w:t>
      </w:r>
      <w:r w:rsidR="006C680D" w:rsidRPr="00D337FA">
        <w:rPr>
          <w:szCs w:val="22"/>
        </w:rPr>
        <w:t xml:space="preserve"> </w:t>
      </w:r>
      <w:r w:rsidRPr="00D337FA">
        <w:rPr>
          <w:szCs w:val="22"/>
        </w:rPr>
        <w:t>именно</w:t>
      </w:r>
      <w:r w:rsidR="006C680D" w:rsidRPr="00D337FA">
        <w:rPr>
          <w:szCs w:val="22"/>
        </w:rPr>
        <w:t xml:space="preserve"> </w:t>
      </w:r>
      <w:r w:rsidRPr="00D337FA">
        <w:rPr>
          <w:szCs w:val="22"/>
        </w:rPr>
        <w:t>от</w:t>
      </w:r>
      <w:r w:rsidR="006C680D" w:rsidRPr="00D337FA">
        <w:rPr>
          <w:szCs w:val="22"/>
        </w:rPr>
        <w:t xml:space="preserve"> </w:t>
      </w:r>
      <w:r w:rsidRPr="00D337FA">
        <w:rPr>
          <w:szCs w:val="22"/>
        </w:rPr>
        <w:t>сегодняшних</w:t>
      </w:r>
      <w:r w:rsidR="006C680D" w:rsidRPr="00D337FA">
        <w:rPr>
          <w:szCs w:val="22"/>
        </w:rPr>
        <w:t xml:space="preserve"> </w:t>
      </w:r>
      <w:r w:rsidRPr="00D337FA">
        <w:rPr>
          <w:szCs w:val="22"/>
        </w:rPr>
        <w:t>решений</w:t>
      </w:r>
      <w:r w:rsidR="006C680D" w:rsidRPr="00D337FA">
        <w:rPr>
          <w:szCs w:val="22"/>
        </w:rPr>
        <w:t xml:space="preserve"> </w:t>
      </w:r>
      <w:r w:rsidRPr="00D337FA">
        <w:rPr>
          <w:szCs w:val="22"/>
        </w:rPr>
        <w:t>будет</w:t>
      </w:r>
      <w:r w:rsidR="006C680D" w:rsidRPr="00D337FA">
        <w:rPr>
          <w:szCs w:val="22"/>
        </w:rPr>
        <w:t xml:space="preserve"> </w:t>
      </w:r>
      <w:r w:rsidRPr="00D337FA">
        <w:rPr>
          <w:szCs w:val="22"/>
        </w:rPr>
        <w:t>зависеть</w:t>
      </w:r>
      <w:r w:rsidR="006C680D" w:rsidRPr="00D337FA">
        <w:rPr>
          <w:szCs w:val="22"/>
        </w:rPr>
        <w:t xml:space="preserve"> </w:t>
      </w:r>
      <w:r w:rsidRPr="00D337FA">
        <w:rPr>
          <w:szCs w:val="22"/>
        </w:rPr>
        <w:t>продовольственная</w:t>
      </w:r>
      <w:r w:rsidR="006C680D" w:rsidRPr="00D337FA">
        <w:rPr>
          <w:szCs w:val="22"/>
        </w:rPr>
        <w:t xml:space="preserve"> </w:t>
      </w:r>
      <w:r w:rsidRPr="00D337FA">
        <w:rPr>
          <w:szCs w:val="22"/>
        </w:rPr>
        <w:t>безопасность</w:t>
      </w:r>
      <w:r w:rsidR="006C680D" w:rsidRPr="00D337FA">
        <w:rPr>
          <w:szCs w:val="22"/>
        </w:rPr>
        <w:t xml:space="preserve"> </w:t>
      </w:r>
      <w:r w:rsidRPr="00D337FA">
        <w:rPr>
          <w:szCs w:val="22"/>
        </w:rPr>
        <w:t>страны.</w:t>
      </w:r>
    </w:p>
    <w:p w:rsidR="00826D3F" w:rsidRPr="00D337FA" w:rsidRDefault="00826D3F" w:rsidP="00826D3F">
      <w:pPr>
        <w:ind w:firstLine="284"/>
        <w:rPr>
          <w:szCs w:val="24"/>
        </w:rPr>
      </w:pPr>
      <w:r w:rsidRPr="00D337FA">
        <w:rPr>
          <w:szCs w:val="24"/>
        </w:rPr>
        <w:t>В</w:t>
      </w:r>
      <w:r w:rsidR="006C680D" w:rsidRPr="00D337FA">
        <w:rPr>
          <w:szCs w:val="24"/>
        </w:rPr>
        <w:t xml:space="preserve"> </w:t>
      </w:r>
      <w:r w:rsidRPr="00D337FA">
        <w:rPr>
          <w:szCs w:val="24"/>
        </w:rPr>
        <w:t>ходе</w:t>
      </w:r>
      <w:r w:rsidR="006C680D" w:rsidRPr="00D337FA">
        <w:rPr>
          <w:szCs w:val="24"/>
        </w:rPr>
        <w:t xml:space="preserve"> </w:t>
      </w:r>
      <w:r w:rsidRPr="00D337FA">
        <w:rPr>
          <w:szCs w:val="24"/>
        </w:rPr>
        <w:t>проведённого</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сформирован</w:t>
      </w:r>
      <w:r w:rsidR="006C680D" w:rsidRPr="00D337FA">
        <w:rPr>
          <w:szCs w:val="24"/>
        </w:rPr>
        <w:t xml:space="preserve"> </w:t>
      </w:r>
      <w:r w:rsidRPr="00D337FA">
        <w:rPr>
          <w:szCs w:val="24"/>
        </w:rPr>
        <w:t>ряд</w:t>
      </w:r>
      <w:r w:rsidR="006C680D" w:rsidRPr="00D337FA">
        <w:rPr>
          <w:szCs w:val="24"/>
        </w:rPr>
        <w:t xml:space="preserve"> </w:t>
      </w:r>
      <w:r w:rsidRPr="00D337FA">
        <w:rPr>
          <w:szCs w:val="24"/>
        </w:rPr>
        <w:t>положений,</w:t>
      </w:r>
      <w:r w:rsidR="006C680D" w:rsidRPr="00D337FA">
        <w:rPr>
          <w:szCs w:val="24"/>
        </w:rPr>
        <w:t xml:space="preserve"> </w:t>
      </w:r>
      <w:r w:rsidRPr="00D337FA">
        <w:rPr>
          <w:szCs w:val="24"/>
        </w:rPr>
        <w:t>направленных</w:t>
      </w:r>
      <w:r w:rsidR="006C680D" w:rsidRPr="00D337FA">
        <w:rPr>
          <w:szCs w:val="24"/>
        </w:rPr>
        <w:t xml:space="preserve"> </w:t>
      </w:r>
      <w:r w:rsidRPr="00D337FA">
        <w:rPr>
          <w:szCs w:val="24"/>
        </w:rPr>
        <w:t>на</w:t>
      </w:r>
      <w:r w:rsidR="006C680D" w:rsidRPr="00D337FA">
        <w:rPr>
          <w:szCs w:val="24"/>
        </w:rPr>
        <w:t xml:space="preserve"> </w:t>
      </w:r>
      <w:r w:rsidRPr="00D337FA">
        <w:rPr>
          <w:szCs w:val="24"/>
        </w:rPr>
        <w:t>совершенствование</w:t>
      </w:r>
      <w:r w:rsidR="006C680D" w:rsidRPr="00D337FA">
        <w:rPr>
          <w:szCs w:val="24"/>
        </w:rPr>
        <w:t xml:space="preserve"> </w:t>
      </w:r>
      <w:r w:rsidRPr="00D337FA">
        <w:rPr>
          <w:szCs w:val="24"/>
        </w:rPr>
        <w:t>мер</w:t>
      </w:r>
      <w:r w:rsidR="006C680D" w:rsidRPr="00D337FA">
        <w:rPr>
          <w:szCs w:val="24"/>
        </w:rPr>
        <w:t xml:space="preserve"> </w:t>
      </w:r>
      <w:r w:rsidRPr="00D337FA">
        <w:rPr>
          <w:szCs w:val="24"/>
        </w:rPr>
        <w:t>и</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Российской</w:t>
      </w:r>
      <w:r w:rsidR="006C680D" w:rsidRPr="00D337FA">
        <w:rPr>
          <w:szCs w:val="24"/>
        </w:rPr>
        <w:t xml:space="preserve"> </w:t>
      </w:r>
      <w:r w:rsidRPr="00D337FA">
        <w:rPr>
          <w:szCs w:val="24"/>
        </w:rPr>
        <w:t>Федерации:</w:t>
      </w:r>
    </w:p>
    <w:p w:rsidR="00826D3F" w:rsidRPr="00D337FA" w:rsidRDefault="00826D3F" w:rsidP="00826D3F">
      <w:pPr>
        <w:ind w:firstLine="284"/>
        <w:rPr>
          <w:szCs w:val="24"/>
        </w:rPr>
      </w:pPr>
      <w:r w:rsidRPr="00D337FA">
        <w:rPr>
          <w:szCs w:val="24"/>
        </w:rPr>
        <w:t>-</w:t>
      </w:r>
      <w:r w:rsidR="006C680D" w:rsidRPr="00D337FA">
        <w:rPr>
          <w:szCs w:val="24"/>
        </w:rPr>
        <w:t xml:space="preserve"> </w:t>
      </w:r>
      <w:r w:rsidR="00283A0B" w:rsidRPr="00D337FA">
        <w:rPr>
          <w:szCs w:val="24"/>
        </w:rPr>
        <w:t>с</w:t>
      </w:r>
      <w:r w:rsidRPr="00D337FA">
        <w:rPr>
          <w:szCs w:val="24"/>
        </w:rPr>
        <w:t>нижение</w:t>
      </w:r>
      <w:r w:rsidR="006C680D" w:rsidRPr="00D337FA">
        <w:rPr>
          <w:szCs w:val="24"/>
        </w:rPr>
        <w:t xml:space="preserve"> </w:t>
      </w:r>
      <w:r w:rsidRPr="00D337FA">
        <w:rPr>
          <w:szCs w:val="24"/>
        </w:rPr>
        <w:t>или</w:t>
      </w:r>
      <w:r w:rsidR="006C680D" w:rsidRPr="00D337FA">
        <w:rPr>
          <w:szCs w:val="24"/>
        </w:rPr>
        <w:t xml:space="preserve"> </w:t>
      </w:r>
      <w:r w:rsidRPr="00D337FA">
        <w:rPr>
          <w:szCs w:val="24"/>
        </w:rPr>
        <w:t>приостановка</w:t>
      </w:r>
      <w:r w:rsidR="006C680D" w:rsidRPr="00D337FA">
        <w:rPr>
          <w:szCs w:val="24"/>
        </w:rPr>
        <w:t xml:space="preserve"> </w:t>
      </w:r>
      <w:r w:rsidRPr="00D337FA">
        <w:rPr>
          <w:szCs w:val="24"/>
        </w:rPr>
        <w:t>индексирования</w:t>
      </w:r>
      <w:r w:rsidR="006C680D" w:rsidRPr="00D337FA">
        <w:rPr>
          <w:szCs w:val="24"/>
        </w:rPr>
        <w:t xml:space="preserve"> </w:t>
      </w:r>
      <w:r w:rsidRPr="00D337FA">
        <w:rPr>
          <w:szCs w:val="24"/>
        </w:rPr>
        <w:t>утилизационного</w:t>
      </w:r>
      <w:r w:rsidR="006C680D" w:rsidRPr="00D337FA">
        <w:rPr>
          <w:szCs w:val="24"/>
        </w:rPr>
        <w:t xml:space="preserve"> </w:t>
      </w:r>
      <w:r w:rsidRPr="00D337FA">
        <w:rPr>
          <w:szCs w:val="24"/>
        </w:rPr>
        <w:t>сбора</w:t>
      </w:r>
      <w:r w:rsidR="006C680D" w:rsidRPr="00D337FA">
        <w:rPr>
          <w:szCs w:val="24"/>
        </w:rPr>
        <w:t xml:space="preserve"> </w:t>
      </w:r>
      <w:r w:rsidRPr="00D337FA">
        <w:rPr>
          <w:szCs w:val="24"/>
        </w:rPr>
        <w:t>на</w:t>
      </w:r>
      <w:r w:rsidR="006C680D" w:rsidRPr="00D337FA">
        <w:rPr>
          <w:szCs w:val="24"/>
        </w:rPr>
        <w:t xml:space="preserve"> </w:t>
      </w:r>
      <w:r w:rsidRPr="00D337FA">
        <w:rPr>
          <w:szCs w:val="24"/>
        </w:rPr>
        <w:t>сельскохозяйственную</w:t>
      </w:r>
      <w:r w:rsidR="006C680D" w:rsidRPr="00D337FA">
        <w:rPr>
          <w:szCs w:val="24"/>
        </w:rPr>
        <w:t xml:space="preserve"> </w:t>
      </w:r>
      <w:r w:rsidRPr="00D337FA">
        <w:rPr>
          <w:szCs w:val="24"/>
        </w:rPr>
        <w:t>технику,</w:t>
      </w:r>
      <w:r w:rsidR="006C680D" w:rsidRPr="00D337FA">
        <w:rPr>
          <w:szCs w:val="24"/>
        </w:rPr>
        <w:t xml:space="preserve"> </w:t>
      </w:r>
      <w:r w:rsidRPr="00D337FA">
        <w:rPr>
          <w:szCs w:val="24"/>
        </w:rPr>
        <w:t>ввиду</w:t>
      </w:r>
      <w:r w:rsidR="006C680D" w:rsidRPr="00D337FA">
        <w:rPr>
          <w:szCs w:val="24"/>
        </w:rPr>
        <w:t xml:space="preserve"> </w:t>
      </w:r>
      <w:r w:rsidRPr="00D337FA">
        <w:rPr>
          <w:szCs w:val="24"/>
        </w:rPr>
        <w:t>частого</w:t>
      </w:r>
      <w:r w:rsidR="006C680D" w:rsidRPr="00D337FA">
        <w:rPr>
          <w:szCs w:val="24"/>
        </w:rPr>
        <w:t xml:space="preserve"> </w:t>
      </w:r>
      <w:r w:rsidRPr="00D337FA">
        <w:rPr>
          <w:szCs w:val="24"/>
        </w:rPr>
        <w:t>двойственного</w:t>
      </w:r>
      <w:r w:rsidR="006C680D" w:rsidRPr="00D337FA">
        <w:rPr>
          <w:szCs w:val="24"/>
        </w:rPr>
        <w:t xml:space="preserve"> </w:t>
      </w:r>
      <w:r w:rsidRPr="00D337FA">
        <w:rPr>
          <w:szCs w:val="24"/>
        </w:rPr>
        <w:t>эффекта,</w:t>
      </w:r>
      <w:r w:rsidR="006C680D" w:rsidRPr="00D337FA">
        <w:rPr>
          <w:szCs w:val="24"/>
        </w:rPr>
        <w:t xml:space="preserve"> </w:t>
      </w:r>
      <w:r w:rsidRPr="00D337FA">
        <w:rPr>
          <w:szCs w:val="24"/>
        </w:rPr>
        <w:t>выраженного</w:t>
      </w:r>
      <w:r w:rsidR="006C680D" w:rsidRPr="00D337FA">
        <w:rPr>
          <w:szCs w:val="24"/>
        </w:rPr>
        <w:t xml:space="preserve"> </w:t>
      </w:r>
      <w:r w:rsidRPr="00D337FA">
        <w:rPr>
          <w:szCs w:val="24"/>
        </w:rPr>
        <w:t>в</w:t>
      </w:r>
      <w:r w:rsidR="006C680D" w:rsidRPr="00D337FA">
        <w:rPr>
          <w:szCs w:val="24"/>
        </w:rPr>
        <w:t xml:space="preserve"> </w:t>
      </w:r>
      <w:r w:rsidRPr="00D337FA">
        <w:rPr>
          <w:szCs w:val="24"/>
        </w:rPr>
        <w:t>повышении</w:t>
      </w:r>
      <w:r w:rsidR="006C680D" w:rsidRPr="00D337FA">
        <w:rPr>
          <w:szCs w:val="24"/>
        </w:rPr>
        <w:t xml:space="preserve"> </w:t>
      </w:r>
      <w:r w:rsidRPr="00D337FA">
        <w:rPr>
          <w:szCs w:val="24"/>
        </w:rPr>
        <w:t>цены</w:t>
      </w:r>
      <w:r w:rsidR="006C680D" w:rsidRPr="00D337FA">
        <w:rPr>
          <w:szCs w:val="24"/>
        </w:rPr>
        <w:t xml:space="preserve"> </w:t>
      </w:r>
      <w:r w:rsidRPr="00D337FA">
        <w:rPr>
          <w:szCs w:val="24"/>
        </w:rPr>
        <w:t>на</w:t>
      </w:r>
      <w:r w:rsidR="006C680D" w:rsidRPr="00D337FA">
        <w:rPr>
          <w:szCs w:val="24"/>
        </w:rPr>
        <w:t xml:space="preserve"> </w:t>
      </w:r>
      <w:r w:rsidRPr="00D337FA">
        <w:rPr>
          <w:szCs w:val="24"/>
        </w:rPr>
        <w:t>отечественную</w:t>
      </w:r>
      <w:r w:rsidR="006C680D" w:rsidRPr="00D337FA">
        <w:rPr>
          <w:szCs w:val="24"/>
        </w:rPr>
        <w:t xml:space="preserve"> </w:t>
      </w:r>
      <w:r w:rsidRPr="00D337FA">
        <w:rPr>
          <w:szCs w:val="24"/>
        </w:rPr>
        <w:t>технику</w:t>
      </w:r>
      <w:r w:rsidR="006C680D" w:rsidRPr="00D337FA">
        <w:rPr>
          <w:szCs w:val="24"/>
        </w:rPr>
        <w:t xml:space="preserve"> </w:t>
      </w:r>
      <w:r w:rsidRPr="00D337FA">
        <w:rPr>
          <w:szCs w:val="24"/>
        </w:rPr>
        <w:t>и</w:t>
      </w:r>
      <w:r w:rsidR="006C680D" w:rsidRPr="00D337FA">
        <w:rPr>
          <w:szCs w:val="24"/>
        </w:rPr>
        <w:t xml:space="preserve"> </w:t>
      </w:r>
      <w:r w:rsidRPr="00D337FA">
        <w:rPr>
          <w:szCs w:val="24"/>
        </w:rPr>
        <w:t>оборудование,</w:t>
      </w:r>
      <w:r w:rsidR="006C680D" w:rsidRPr="00D337FA">
        <w:rPr>
          <w:szCs w:val="24"/>
        </w:rPr>
        <w:t xml:space="preserve"> </w:t>
      </w:r>
      <w:r w:rsidRPr="00D337FA">
        <w:rPr>
          <w:szCs w:val="24"/>
        </w:rPr>
        <w:t>что</w:t>
      </w:r>
      <w:r w:rsidR="006C680D" w:rsidRPr="00D337FA">
        <w:rPr>
          <w:szCs w:val="24"/>
        </w:rPr>
        <w:t xml:space="preserve"> </w:t>
      </w:r>
      <w:r w:rsidRPr="00D337FA">
        <w:rPr>
          <w:szCs w:val="24"/>
        </w:rPr>
        <w:t>снижает</w:t>
      </w:r>
      <w:r w:rsidR="006C680D" w:rsidRPr="00D337FA">
        <w:rPr>
          <w:szCs w:val="24"/>
        </w:rPr>
        <w:t xml:space="preserve"> </w:t>
      </w:r>
      <w:r w:rsidRPr="00D337FA">
        <w:rPr>
          <w:szCs w:val="24"/>
        </w:rPr>
        <w:t>рентабельность</w:t>
      </w:r>
      <w:r w:rsidR="006C680D" w:rsidRPr="00D337FA">
        <w:rPr>
          <w:szCs w:val="24"/>
        </w:rPr>
        <w:t xml:space="preserve"> </w:t>
      </w:r>
      <w:r w:rsidRPr="00D337FA">
        <w:rPr>
          <w:szCs w:val="24"/>
        </w:rPr>
        <w:t>организаций</w:t>
      </w:r>
      <w:r w:rsidR="006C680D" w:rsidRPr="00D337FA">
        <w:rPr>
          <w:szCs w:val="24"/>
        </w:rPr>
        <w:t xml:space="preserve"> </w:t>
      </w:r>
      <w:r w:rsidRPr="00D337FA">
        <w:rPr>
          <w:szCs w:val="24"/>
        </w:rPr>
        <w:t>и</w:t>
      </w:r>
      <w:r w:rsidR="006C680D" w:rsidRPr="00D337FA">
        <w:rPr>
          <w:szCs w:val="24"/>
        </w:rPr>
        <w:t xml:space="preserve"> </w:t>
      </w:r>
      <w:r w:rsidRPr="00D337FA">
        <w:rPr>
          <w:szCs w:val="24"/>
        </w:rPr>
        <w:t>ведет</w:t>
      </w:r>
      <w:r w:rsidR="006C680D" w:rsidRPr="00D337FA">
        <w:rPr>
          <w:szCs w:val="24"/>
        </w:rPr>
        <w:t xml:space="preserve"> </w:t>
      </w:r>
      <w:r w:rsidRPr="00D337FA">
        <w:rPr>
          <w:szCs w:val="24"/>
        </w:rPr>
        <w:t>к</w:t>
      </w:r>
      <w:r w:rsidR="006C680D" w:rsidRPr="00D337FA">
        <w:rPr>
          <w:szCs w:val="24"/>
        </w:rPr>
        <w:t xml:space="preserve"> </w:t>
      </w:r>
      <w:r w:rsidRPr="00D337FA">
        <w:rPr>
          <w:szCs w:val="24"/>
        </w:rPr>
        <w:t>повышению</w:t>
      </w:r>
      <w:r w:rsidR="006C680D" w:rsidRPr="00D337FA">
        <w:rPr>
          <w:szCs w:val="24"/>
        </w:rPr>
        <w:t xml:space="preserve"> </w:t>
      </w:r>
      <w:r w:rsidRPr="00D337FA">
        <w:rPr>
          <w:szCs w:val="24"/>
        </w:rPr>
        <w:t>цен</w:t>
      </w:r>
      <w:r w:rsidR="006C680D" w:rsidRPr="00D337FA">
        <w:rPr>
          <w:szCs w:val="24"/>
        </w:rPr>
        <w:t xml:space="preserve"> </w:t>
      </w:r>
      <w:r w:rsidRPr="00D337FA">
        <w:rPr>
          <w:szCs w:val="24"/>
        </w:rPr>
        <w:t>на</w:t>
      </w:r>
      <w:r w:rsidR="006C680D" w:rsidRPr="00D337FA">
        <w:rPr>
          <w:szCs w:val="24"/>
        </w:rPr>
        <w:t xml:space="preserve"> </w:t>
      </w:r>
      <w:r w:rsidRPr="00D337FA">
        <w:rPr>
          <w:szCs w:val="24"/>
        </w:rPr>
        <w:t>реализуемые</w:t>
      </w:r>
      <w:r w:rsidR="006C680D" w:rsidRPr="00D337FA">
        <w:rPr>
          <w:szCs w:val="24"/>
        </w:rPr>
        <w:t xml:space="preserve"> </w:t>
      </w:r>
      <w:r w:rsidRPr="00D337FA">
        <w:rPr>
          <w:szCs w:val="24"/>
        </w:rPr>
        <w:t>ей</w:t>
      </w:r>
      <w:r w:rsidR="006C680D" w:rsidRPr="00D337FA">
        <w:rPr>
          <w:szCs w:val="24"/>
        </w:rPr>
        <w:t xml:space="preserve"> </w:t>
      </w:r>
      <w:r w:rsidRPr="00D337FA">
        <w:rPr>
          <w:szCs w:val="24"/>
        </w:rPr>
        <w:t>продукты,</w:t>
      </w:r>
      <w:r w:rsidR="006C680D" w:rsidRPr="00D337FA">
        <w:rPr>
          <w:szCs w:val="24"/>
        </w:rPr>
        <w:t xml:space="preserve"> </w:t>
      </w:r>
      <w:r w:rsidRPr="00D337FA">
        <w:rPr>
          <w:szCs w:val="24"/>
        </w:rPr>
        <w:t>делая</w:t>
      </w:r>
      <w:r w:rsidR="006C680D" w:rsidRPr="00D337FA">
        <w:rPr>
          <w:szCs w:val="24"/>
        </w:rPr>
        <w:t xml:space="preserve"> </w:t>
      </w:r>
      <w:r w:rsidRPr="00D337FA">
        <w:rPr>
          <w:szCs w:val="24"/>
        </w:rPr>
        <w:t>их</w:t>
      </w:r>
      <w:r w:rsidR="006C680D" w:rsidRPr="00D337FA">
        <w:rPr>
          <w:szCs w:val="24"/>
        </w:rPr>
        <w:t xml:space="preserve"> </w:t>
      </w:r>
      <w:r w:rsidRPr="00D337FA">
        <w:rPr>
          <w:szCs w:val="24"/>
        </w:rPr>
        <w:t>менее</w:t>
      </w:r>
      <w:r w:rsidR="006C680D" w:rsidRPr="00D337FA">
        <w:rPr>
          <w:szCs w:val="24"/>
        </w:rPr>
        <w:t xml:space="preserve"> </w:t>
      </w:r>
      <w:r w:rsidRPr="00D337FA">
        <w:rPr>
          <w:szCs w:val="24"/>
        </w:rPr>
        <w:t>конкурентоспособными,</w:t>
      </w:r>
      <w:r w:rsidR="006C680D" w:rsidRPr="00D337FA">
        <w:rPr>
          <w:szCs w:val="24"/>
        </w:rPr>
        <w:t xml:space="preserve"> </w:t>
      </w:r>
      <w:r w:rsidRPr="00D337FA">
        <w:rPr>
          <w:szCs w:val="24"/>
        </w:rPr>
        <w:t>как</w:t>
      </w:r>
      <w:r w:rsidR="006C680D" w:rsidRPr="00D337FA">
        <w:rPr>
          <w:szCs w:val="24"/>
        </w:rPr>
        <w:t xml:space="preserve"> </w:t>
      </w:r>
      <w:r w:rsidRPr="00D337FA">
        <w:rPr>
          <w:szCs w:val="24"/>
        </w:rPr>
        <w:t>на</w:t>
      </w:r>
      <w:r w:rsidR="006C680D" w:rsidRPr="00D337FA">
        <w:rPr>
          <w:szCs w:val="24"/>
        </w:rPr>
        <w:t xml:space="preserve"> </w:t>
      </w:r>
      <w:r w:rsidRPr="00D337FA">
        <w:rPr>
          <w:szCs w:val="24"/>
        </w:rPr>
        <w:t>внутреннем,</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зарубежном</w:t>
      </w:r>
      <w:r w:rsidR="006C680D" w:rsidRPr="00D337FA">
        <w:rPr>
          <w:szCs w:val="24"/>
        </w:rPr>
        <w:t xml:space="preserve"> </w:t>
      </w:r>
      <w:r w:rsidRPr="00D337FA">
        <w:rPr>
          <w:szCs w:val="24"/>
        </w:rPr>
        <w:t>рынке</w:t>
      </w:r>
      <w:r w:rsidR="00C8298C" w:rsidRPr="00D337FA">
        <w:rPr>
          <w:szCs w:val="24"/>
        </w:rPr>
        <w:t>;</w:t>
      </w:r>
    </w:p>
    <w:p w:rsidR="00826D3F" w:rsidRPr="00D337FA" w:rsidRDefault="00826D3F" w:rsidP="00826D3F">
      <w:pPr>
        <w:ind w:firstLine="284"/>
        <w:rPr>
          <w:szCs w:val="24"/>
        </w:rPr>
      </w:pPr>
      <w:r w:rsidRPr="00D337FA">
        <w:rPr>
          <w:szCs w:val="24"/>
        </w:rPr>
        <w:t>-</w:t>
      </w:r>
      <w:r w:rsidR="006C680D" w:rsidRPr="00D337FA">
        <w:rPr>
          <w:szCs w:val="24"/>
        </w:rPr>
        <w:t xml:space="preserve"> </w:t>
      </w:r>
      <w:r w:rsidR="00283A0B" w:rsidRPr="00D337FA">
        <w:rPr>
          <w:szCs w:val="24"/>
        </w:rPr>
        <w:t>у</w:t>
      </w:r>
      <w:r w:rsidRPr="00D337FA">
        <w:rPr>
          <w:szCs w:val="24"/>
        </w:rPr>
        <w:t>скорение</w:t>
      </w:r>
      <w:r w:rsidR="006C680D" w:rsidRPr="00D337FA">
        <w:rPr>
          <w:szCs w:val="24"/>
        </w:rPr>
        <w:t xml:space="preserve"> </w:t>
      </w:r>
      <w:r w:rsidRPr="00D337FA">
        <w:rPr>
          <w:szCs w:val="24"/>
        </w:rPr>
        <w:t>процесса</w:t>
      </w:r>
      <w:r w:rsidR="006C680D" w:rsidRPr="00D337FA">
        <w:rPr>
          <w:szCs w:val="24"/>
        </w:rPr>
        <w:t xml:space="preserve"> </w:t>
      </w:r>
      <w:r w:rsidRPr="00D337FA">
        <w:rPr>
          <w:szCs w:val="24"/>
        </w:rPr>
        <w:t>наполнения</w:t>
      </w:r>
      <w:r w:rsidR="006C680D" w:rsidRPr="00D337FA">
        <w:rPr>
          <w:szCs w:val="24"/>
        </w:rPr>
        <w:t xml:space="preserve"> </w:t>
      </w:r>
      <w:r w:rsidRPr="00D337FA">
        <w:rPr>
          <w:szCs w:val="24"/>
        </w:rPr>
        <w:t>в</w:t>
      </w:r>
      <w:r w:rsidR="006C680D" w:rsidRPr="00D337FA">
        <w:rPr>
          <w:szCs w:val="24"/>
        </w:rPr>
        <w:t xml:space="preserve"> </w:t>
      </w:r>
      <w:r w:rsidRPr="00D337FA">
        <w:rPr>
          <w:szCs w:val="24"/>
        </w:rPr>
        <w:t>краткосрочной</w:t>
      </w:r>
      <w:r w:rsidR="006C680D" w:rsidRPr="00D337FA">
        <w:rPr>
          <w:szCs w:val="24"/>
        </w:rPr>
        <w:t xml:space="preserve"> </w:t>
      </w:r>
      <w:r w:rsidRPr="00D337FA">
        <w:rPr>
          <w:szCs w:val="24"/>
        </w:rPr>
        <w:t>перспективе</w:t>
      </w:r>
      <w:r w:rsidR="006C680D" w:rsidRPr="00D337FA">
        <w:rPr>
          <w:szCs w:val="24"/>
        </w:rPr>
        <w:t xml:space="preserve"> </w:t>
      </w:r>
      <w:r w:rsidRPr="00D337FA">
        <w:rPr>
          <w:szCs w:val="24"/>
        </w:rPr>
        <w:t>единой</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платформы</w:t>
      </w:r>
      <w:r w:rsidR="006C680D" w:rsidRPr="00D337FA">
        <w:rPr>
          <w:szCs w:val="24"/>
        </w:rPr>
        <w:t xml:space="preserve"> </w:t>
      </w:r>
      <w:r w:rsidRPr="00D337FA">
        <w:rPr>
          <w:szCs w:val="24"/>
        </w:rPr>
        <w:t>для</w:t>
      </w:r>
      <w:r w:rsidR="006C680D" w:rsidRPr="00D337FA">
        <w:rPr>
          <w:szCs w:val="24"/>
        </w:rPr>
        <w:t xml:space="preserve"> </w:t>
      </w:r>
      <w:r w:rsidRPr="00D337FA">
        <w:rPr>
          <w:szCs w:val="24"/>
        </w:rPr>
        <w:t>АПК,</w:t>
      </w:r>
      <w:r w:rsidR="006C680D" w:rsidRPr="00D337FA">
        <w:rPr>
          <w:szCs w:val="24"/>
        </w:rPr>
        <w:t xml:space="preserve"> </w:t>
      </w:r>
      <w:r w:rsidRPr="00D337FA">
        <w:rPr>
          <w:szCs w:val="24"/>
        </w:rPr>
        <w:t>способной</w:t>
      </w:r>
      <w:r w:rsidR="006C680D" w:rsidRPr="00D337FA">
        <w:rPr>
          <w:szCs w:val="24"/>
        </w:rPr>
        <w:t xml:space="preserve"> </w:t>
      </w:r>
      <w:r w:rsidRPr="00D337FA">
        <w:rPr>
          <w:szCs w:val="24"/>
        </w:rPr>
        <w:t>интегрировать</w:t>
      </w:r>
      <w:r w:rsidR="006C680D" w:rsidRPr="00D337FA">
        <w:rPr>
          <w:szCs w:val="24"/>
        </w:rPr>
        <w:t xml:space="preserve"> </w:t>
      </w:r>
      <w:r w:rsidRPr="00D337FA">
        <w:rPr>
          <w:szCs w:val="24"/>
        </w:rPr>
        <w:t>данные</w:t>
      </w:r>
      <w:r w:rsidR="006C680D" w:rsidRPr="00D337FA">
        <w:rPr>
          <w:szCs w:val="24"/>
        </w:rPr>
        <w:t xml:space="preserve"> </w:t>
      </w:r>
      <w:r w:rsidRPr="00D337FA">
        <w:rPr>
          <w:szCs w:val="24"/>
        </w:rPr>
        <w:t>о</w:t>
      </w:r>
      <w:r w:rsidR="006C680D" w:rsidRPr="00D337FA">
        <w:rPr>
          <w:szCs w:val="24"/>
        </w:rPr>
        <w:t xml:space="preserve"> </w:t>
      </w:r>
      <w:r w:rsidRPr="00D337FA">
        <w:rPr>
          <w:szCs w:val="24"/>
        </w:rPr>
        <w:t>посевных</w:t>
      </w:r>
      <w:r w:rsidR="006C680D" w:rsidRPr="00D337FA">
        <w:rPr>
          <w:szCs w:val="24"/>
        </w:rPr>
        <w:t xml:space="preserve"> </w:t>
      </w:r>
      <w:r w:rsidRPr="00D337FA">
        <w:rPr>
          <w:szCs w:val="24"/>
        </w:rPr>
        <w:t>площадях,</w:t>
      </w:r>
      <w:r w:rsidR="006C680D" w:rsidRPr="00D337FA">
        <w:rPr>
          <w:szCs w:val="24"/>
        </w:rPr>
        <w:t xml:space="preserve"> </w:t>
      </w:r>
      <w:r w:rsidRPr="00D337FA">
        <w:rPr>
          <w:szCs w:val="24"/>
        </w:rPr>
        <w:t>запасах</w:t>
      </w:r>
      <w:r w:rsidR="006C680D" w:rsidRPr="00D337FA">
        <w:rPr>
          <w:szCs w:val="24"/>
        </w:rPr>
        <w:t xml:space="preserve"> </w:t>
      </w:r>
      <w:r w:rsidRPr="00D337FA">
        <w:rPr>
          <w:szCs w:val="24"/>
        </w:rPr>
        <w:t>и</w:t>
      </w:r>
      <w:r w:rsidR="006C680D" w:rsidRPr="00D337FA">
        <w:rPr>
          <w:szCs w:val="24"/>
        </w:rPr>
        <w:t xml:space="preserve"> </w:t>
      </w:r>
      <w:r w:rsidRPr="00D337FA">
        <w:rPr>
          <w:szCs w:val="24"/>
        </w:rPr>
        <w:t>логистике,</w:t>
      </w:r>
      <w:r w:rsidR="006C680D" w:rsidRPr="00D337FA">
        <w:rPr>
          <w:szCs w:val="24"/>
        </w:rPr>
        <w:t xml:space="preserve"> </w:t>
      </w:r>
      <w:r w:rsidRPr="00D337FA">
        <w:rPr>
          <w:szCs w:val="24"/>
        </w:rPr>
        <w:t>что</w:t>
      </w:r>
      <w:r w:rsidR="006C680D" w:rsidRPr="00D337FA">
        <w:rPr>
          <w:szCs w:val="24"/>
        </w:rPr>
        <w:t xml:space="preserve"> </w:t>
      </w:r>
      <w:r w:rsidRPr="00D337FA">
        <w:rPr>
          <w:szCs w:val="24"/>
        </w:rPr>
        <w:t>отразится</w:t>
      </w:r>
      <w:r w:rsidR="006C680D" w:rsidRPr="00D337FA">
        <w:rPr>
          <w:szCs w:val="24"/>
        </w:rPr>
        <w:t xml:space="preserve"> </w:t>
      </w:r>
      <w:r w:rsidRPr="00D337FA">
        <w:rPr>
          <w:szCs w:val="24"/>
        </w:rPr>
        <w:t>на</w:t>
      </w:r>
      <w:r w:rsidR="006C680D" w:rsidRPr="00D337FA">
        <w:rPr>
          <w:szCs w:val="24"/>
        </w:rPr>
        <w:t xml:space="preserve"> </w:t>
      </w:r>
      <w:r w:rsidRPr="00D337FA">
        <w:rPr>
          <w:szCs w:val="24"/>
        </w:rPr>
        <w:t>эффективности</w:t>
      </w:r>
      <w:r w:rsidR="006C680D" w:rsidRPr="00D337FA">
        <w:rPr>
          <w:szCs w:val="24"/>
        </w:rPr>
        <w:t xml:space="preserve"> </w:t>
      </w:r>
      <w:r w:rsidRPr="00D337FA">
        <w:rPr>
          <w:szCs w:val="24"/>
        </w:rPr>
        <w:t>принимаемых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по</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поддержке.</w:t>
      </w:r>
      <w:r w:rsidR="006C680D" w:rsidRPr="00D337FA">
        <w:rPr>
          <w:szCs w:val="24"/>
        </w:rPr>
        <w:t xml:space="preserve"> </w:t>
      </w:r>
      <w:r w:rsidRPr="00D337FA">
        <w:rPr>
          <w:szCs w:val="24"/>
        </w:rPr>
        <w:t>Её</w:t>
      </w:r>
      <w:r w:rsidR="006C680D" w:rsidRPr="00D337FA">
        <w:rPr>
          <w:szCs w:val="24"/>
        </w:rPr>
        <w:t xml:space="preserve"> </w:t>
      </w:r>
      <w:r w:rsidRPr="00D337FA">
        <w:rPr>
          <w:szCs w:val="24"/>
        </w:rPr>
        <w:t>внедрение</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упростить</w:t>
      </w:r>
      <w:r w:rsidR="006C680D" w:rsidRPr="00D337FA">
        <w:rPr>
          <w:szCs w:val="24"/>
        </w:rPr>
        <w:t xml:space="preserve"> </w:t>
      </w:r>
      <w:r w:rsidRPr="00D337FA">
        <w:rPr>
          <w:szCs w:val="24"/>
        </w:rPr>
        <w:t>получение</w:t>
      </w:r>
      <w:r w:rsidR="006C680D" w:rsidRPr="00D337FA">
        <w:rPr>
          <w:szCs w:val="24"/>
        </w:rPr>
        <w:t xml:space="preserve"> </w:t>
      </w:r>
      <w:r w:rsidRPr="00D337FA">
        <w:rPr>
          <w:szCs w:val="24"/>
        </w:rPr>
        <w:t>грантов,</w:t>
      </w:r>
      <w:r w:rsidR="006C680D" w:rsidRPr="00D337FA">
        <w:rPr>
          <w:szCs w:val="24"/>
        </w:rPr>
        <w:t xml:space="preserve"> </w:t>
      </w:r>
      <w:r w:rsidRPr="00D337FA">
        <w:rPr>
          <w:szCs w:val="24"/>
        </w:rPr>
        <w:t>кредитов</w:t>
      </w:r>
      <w:r w:rsidR="006C680D" w:rsidRPr="00D337FA">
        <w:rPr>
          <w:szCs w:val="24"/>
        </w:rPr>
        <w:t xml:space="preserve"> </w:t>
      </w:r>
      <w:r w:rsidRPr="00D337FA">
        <w:rPr>
          <w:szCs w:val="24"/>
        </w:rPr>
        <w:t>и</w:t>
      </w:r>
      <w:r w:rsidR="006C680D" w:rsidRPr="00D337FA">
        <w:rPr>
          <w:szCs w:val="24"/>
        </w:rPr>
        <w:t xml:space="preserve"> </w:t>
      </w:r>
      <w:r w:rsidRPr="00D337FA">
        <w:rPr>
          <w:szCs w:val="24"/>
        </w:rPr>
        <w:t>сформировать</w:t>
      </w:r>
      <w:r w:rsidR="006C680D" w:rsidRPr="00D337FA">
        <w:rPr>
          <w:szCs w:val="24"/>
        </w:rPr>
        <w:t xml:space="preserve"> </w:t>
      </w:r>
      <w:r w:rsidRPr="00D337FA">
        <w:rPr>
          <w:szCs w:val="24"/>
        </w:rPr>
        <w:t>единую</w:t>
      </w:r>
      <w:r w:rsidR="006C680D" w:rsidRPr="00D337FA">
        <w:rPr>
          <w:szCs w:val="24"/>
        </w:rPr>
        <w:t xml:space="preserve"> </w:t>
      </w:r>
      <w:r w:rsidRPr="00D337FA">
        <w:rPr>
          <w:szCs w:val="24"/>
        </w:rPr>
        <w:t>систему</w:t>
      </w:r>
      <w:r w:rsidR="006C680D" w:rsidRPr="00D337FA">
        <w:rPr>
          <w:szCs w:val="24"/>
        </w:rPr>
        <w:t xml:space="preserve"> </w:t>
      </w:r>
      <w:r w:rsidRPr="00D337FA">
        <w:rPr>
          <w:szCs w:val="24"/>
        </w:rPr>
        <w:t>отчетности,</w:t>
      </w:r>
      <w:r w:rsidR="006C680D" w:rsidRPr="00D337FA">
        <w:rPr>
          <w:szCs w:val="24"/>
        </w:rPr>
        <w:t xml:space="preserve"> </w:t>
      </w:r>
      <w:r w:rsidRPr="00D337FA">
        <w:rPr>
          <w:szCs w:val="24"/>
        </w:rPr>
        <w:t>минимизируя</w:t>
      </w:r>
      <w:r w:rsidR="006C680D" w:rsidRPr="00D337FA">
        <w:rPr>
          <w:szCs w:val="24"/>
        </w:rPr>
        <w:t xml:space="preserve"> </w:t>
      </w:r>
      <w:r w:rsidRPr="00D337FA">
        <w:rPr>
          <w:szCs w:val="24"/>
        </w:rPr>
        <w:t>административные</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Централизованная</w:t>
      </w:r>
      <w:r w:rsidR="006C680D" w:rsidRPr="00D337FA">
        <w:rPr>
          <w:szCs w:val="24"/>
        </w:rPr>
        <w:t xml:space="preserve"> </w:t>
      </w:r>
      <w:r w:rsidRPr="00D337FA">
        <w:rPr>
          <w:szCs w:val="24"/>
        </w:rPr>
        <w:t>система</w:t>
      </w:r>
      <w:r w:rsidR="006C680D" w:rsidRPr="00D337FA">
        <w:rPr>
          <w:szCs w:val="24"/>
        </w:rPr>
        <w:t xml:space="preserve"> </w:t>
      </w:r>
      <w:r w:rsidRPr="00D337FA">
        <w:rPr>
          <w:szCs w:val="24"/>
        </w:rPr>
        <w:t>улучшит</w:t>
      </w:r>
      <w:r w:rsidR="006C680D" w:rsidRPr="00D337FA">
        <w:rPr>
          <w:szCs w:val="24"/>
        </w:rPr>
        <w:t xml:space="preserve"> </w:t>
      </w:r>
      <w:r w:rsidRPr="00D337FA">
        <w:rPr>
          <w:szCs w:val="24"/>
        </w:rPr>
        <w:t>прослеживаемость</w:t>
      </w:r>
      <w:r w:rsidR="006C680D" w:rsidRPr="00D337FA">
        <w:rPr>
          <w:szCs w:val="24"/>
        </w:rPr>
        <w:t xml:space="preserve"> </w:t>
      </w:r>
      <w:r w:rsidRPr="00D337FA">
        <w:rPr>
          <w:szCs w:val="24"/>
        </w:rPr>
        <w:t>продукции,</w:t>
      </w:r>
      <w:r w:rsidR="006C680D" w:rsidRPr="00D337FA">
        <w:rPr>
          <w:szCs w:val="24"/>
        </w:rPr>
        <w:t xml:space="preserve"> </w:t>
      </w:r>
      <w:r w:rsidRPr="00D337FA">
        <w:rPr>
          <w:szCs w:val="24"/>
        </w:rPr>
        <w:t>сертификации,</w:t>
      </w:r>
      <w:r w:rsidR="006C680D" w:rsidRPr="00D337FA">
        <w:rPr>
          <w:szCs w:val="24"/>
        </w:rPr>
        <w:t xml:space="preserve"> </w:t>
      </w:r>
      <w:r w:rsidRPr="00D337FA">
        <w:rPr>
          <w:szCs w:val="24"/>
        </w:rPr>
        <w:t>выхода</w:t>
      </w:r>
      <w:r w:rsidR="006C680D" w:rsidRPr="00D337FA">
        <w:rPr>
          <w:szCs w:val="24"/>
        </w:rPr>
        <w:t xml:space="preserve"> </w:t>
      </w:r>
      <w:r w:rsidRPr="00D337FA">
        <w:rPr>
          <w:szCs w:val="24"/>
        </w:rPr>
        <w:t>на</w:t>
      </w:r>
      <w:r w:rsidR="006C680D" w:rsidRPr="00D337FA">
        <w:rPr>
          <w:szCs w:val="24"/>
        </w:rPr>
        <w:t xml:space="preserve"> </w:t>
      </w:r>
      <w:r w:rsidRPr="00D337FA">
        <w:rPr>
          <w:szCs w:val="24"/>
        </w:rPr>
        <w:t>внешние</w:t>
      </w:r>
      <w:r w:rsidR="006C680D" w:rsidRPr="00D337FA">
        <w:rPr>
          <w:szCs w:val="24"/>
        </w:rPr>
        <w:t xml:space="preserve"> </w:t>
      </w:r>
      <w:r w:rsidRPr="00D337FA">
        <w:rPr>
          <w:szCs w:val="24"/>
        </w:rPr>
        <w:t>рынки</w:t>
      </w:r>
      <w:r w:rsidR="006C680D" w:rsidRPr="00D337FA">
        <w:rPr>
          <w:szCs w:val="24"/>
        </w:rPr>
        <w:t xml:space="preserve"> </w:t>
      </w:r>
      <w:r w:rsidRPr="00D337FA">
        <w:rPr>
          <w:szCs w:val="24"/>
        </w:rPr>
        <w:t>и</w:t>
      </w:r>
      <w:r w:rsidR="006C680D" w:rsidRPr="00D337FA">
        <w:rPr>
          <w:szCs w:val="24"/>
        </w:rPr>
        <w:t xml:space="preserve"> </w:t>
      </w:r>
      <w:r w:rsidRPr="00D337FA">
        <w:rPr>
          <w:szCs w:val="24"/>
        </w:rPr>
        <w:t>повысит</w:t>
      </w:r>
      <w:r w:rsidR="006C680D" w:rsidRPr="00D337FA">
        <w:rPr>
          <w:szCs w:val="24"/>
        </w:rPr>
        <w:t xml:space="preserve"> </w:t>
      </w:r>
      <w:r w:rsidRPr="00D337FA">
        <w:rPr>
          <w:szCs w:val="24"/>
        </w:rPr>
        <w:t>доверие</w:t>
      </w:r>
      <w:r w:rsidR="006C680D" w:rsidRPr="00D337FA">
        <w:rPr>
          <w:szCs w:val="24"/>
        </w:rPr>
        <w:t xml:space="preserve"> </w:t>
      </w:r>
      <w:r w:rsidRPr="00D337FA">
        <w:rPr>
          <w:szCs w:val="24"/>
        </w:rPr>
        <w:t>покупателей.</w:t>
      </w:r>
      <w:r w:rsidR="006C680D" w:rsidRPr="00D337FA">
        <w:rPr>
          <w:szCs w:val="24"/>
        </w:rPr>
        <w:t xml:space="preserve"> </w:t>
      </w:r>
      <w:r w:rsidRPr="00D337FA">
        <w:rPr>
          <w:szCs w:val="24"/>
        </w:rPr>
        <w:t>Каждый</w:t>
      </w:r>
      <w:r w:rsidR="006C680D" w:rsidRPr="00D337FA">
        <w:rPr>
          <w:szCs w:val="24"/>
        </w:rPr>
        <w:t xml:space="preserve"> </w:t>
      </w:r>
      <w:r w:rsidRPr="00D337FA">
        <w:rPr>
          <w:szCs w:val="24"/>
        </w:rPr>
        <w:t>год</w:t>
      </w:r>
      <w:r w:rsidR="006C680D" w:rsidRPr="00D337FA">
        <w:rPr>
          <w:szCs w:val="24"/>
        </w:rPr>
        <w:t xml:space="preserve"> </w:t>
      </w:r>
      <w:r w:rsidRPr="00D337FA">
        <w:rPr>
          <w:szCs w:val="24"/>
        </w:rPr>
        <w:t>в</w:t>
      </w:r>
      <w:r w:rsidR="006C680D" w:rsidRPr="00D337FA">
        <w:rPr>
          <w:szCs w:val="24"/>
        </w:rPr>
        <w:t xml:space="preserve"> </w:t>
      </w:r>
      <w:r w:rsidRPr="00D337FA">
        <w:rPr>
          <w:szCs w:val="24"/>
        </w:rPr>
        <w:t>современных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сыграть</w:t>
      </w:r>
      <w:r w:rsidR="006C680D" w:rsidRPr="00D337FA">
        <w:rPr>
          <w:szCs w:val="24"/>
        </w:rPr>
        <w:t xml:space="preserve"> </w:t>
      </w:r>
      <w:r w:rsidRPr="00D337FA">
        <w:rPr>
          <w:szCs w:val="24"/>
        </w:rPr>
        <w:t>решающую</w:t>
      </w:r>
      <w:r w:rsidR="006C680D" w:rsidRPr="00D337FA">
        <w:rPr>
          <w:szCs w:val="24"/>
        </w:rPr>
        <w:t xml:space="preserve"> </w:t>
      </w:r>
      <w:r w:rsidRPr="00D337FA">
        <w:rPr>
          <w:szCs w:val="24"/>
        </w:rPr>
        <w:t>роль,</w:t>
      </w:r>
      <w:r w:rsidR="006C680D" w:rsidRPr="00D337FA">
        <w:rPr>
          <w:szCs w:val="24"/>
        </w:rPr>
        <w:t xml:space="preserve"> </w:t>
      </w:r>
      <w:r w:rsidRPr="00D337FA">
        <w:rPr>
          <w:szCs w:val="24"/>
        </w:rPr>
        <w:t>что</w:t>
      </w:r>
      <w:r w:rsidR="006C680D" w:rsidRPr="00D337FA">
        <w:rPr>
          <w:szCs w:val="24"/>
        </w:rPr>
        <w:t xml:space="preserve"> </w:t>
      </w:r>
      <w:r w:rsidRPr="00D337FA">
        <w:rPr>
          <w:szCs w:val="24"/>
        </w:rPr>
        <w:t>делает</w:t>
      </w:r>
      <w:r w:rsidR="006C680D" w:rsidRPr="00D337FA">
        <w:rPr>
          <w:szCs w:val="24"/>
        </w:rPr>
        <w:t xml:space="preserve"> </w:t>
      </w:r>
      <w:r w:rsidRPr="00D337FA">
        <w:rPr>
          <w:szCs w:val="24"/>
        </w:rPr>
        <w:t>полноценный</w:t>
      </w:r>
      <w:r w:rsidR="006C680D" w:rsidRPr="00D337FA">
        <w:rPr>
          <w:szCs w:val="24"/>
        </w:rPr>
        <w:t xml:space="preserve"> </w:t>
      </w:r>
      <w:r w:rsidRPr="00D337FA">
        <w:rPr>
          <w:szCs w:val="24"/>
        </w:rPr>
        <w:t>её</w:t>
      </w:r>
      <w:r w:rsidR="006C680D" w:rsidRPr="00D337FA">
        <w:rPr>
          <w:szCs w:val="24"/>
        </w:rPr>
        <w:t xml:space="preserve"> </w:t>
      </w:r>
      <w:r w:rsidRPr="00D337FA">
        <w:rPr>
          <w:szCs w:val="24"/>
        </w:rPr>
        <w:t>запланированный</w:t>
      </w:r>
      <w:r w:rsidR="006C680D" w:rsidRPr="00D337FA">
        <w:rPr>
          <w:szCs w:val="24"/>
        </w:rPr>
        <w:t xml:space="preserve"> </w:t>
      </w:r>
      <w:r w:rsidRPr="00D337FA">
        <w:rPr>
          <w:szCs w:val="24"/>
        </w:rPr>
        <w:t>запуск</w:t>
      </w:r>
      <w:r w:rsidR="006C680D" w:rsidRPr="00D337FA">
        <w:rPr>
          <w:szCs w:val="24"/>
        </w:rPr>
        <w:t xml:space="preserve"> </w:t>
      </w:r>
      <w:r w:rsidRPr="00D337FA">
        <w:rPr>
          <w:szCs w:val="24"/>
        </w:rPr>
        <w:t>на</w:t>
      </w:r>
      <w:r w:rsidR="006C680D" w:rsidRPr="00D337FA">
        <w:rPr>
          <w:szCs w:val="24"/>
        </w:rPr>
        <w:t xml:space="preserve"> </w:t>
      </w:r>
      <w:r w:rsidRPr="00D337FA">
        <w:rPr>
          <w:szCs w:val="24"/>
        </w:rPr>
        <w:t>полную</w:t>
      </w:r>
      <w:r w:rsidR="006C680D" w:rsidRPr="00D337FA">
        <w:rPr>
          <w:szCs w:val="24"/>
        </w:rPr>
        <w:t xml:space="preserve"> </w:t>
      </w:r>
      <w:r w:rsidRPr="00D337FA">
        <w:rPr>
          <w:szCs w:val="24"/>
        </w:rPr>
        <w:t>мощность</w:t>
      </w:r>
      <w:r w:rsidR="006C680D" w:rsidRPr="00D337FA">
        <w:rPr>
          <w:szCs w:val="24"/>
        </w:rPr>
        <w:t xml:space="preserve"> </w:t>
      </w:r>
      <w:r w:rsidRPr="00D337FA">
        <w:rPr>
          <w:szCs w:val="24"/>
        </w:rPr>
        <w:t>в</w:t>
      </w:r>
      <w:r w:rsidR="006C680D" w:rsidRPr="00D337FA">
        <w:rPr>
          <w:szCs w:val="24"/>
        </w:rPr>
        <w:t xml:space="preserve"> </w:t>
      </w:r>
      <w:r w:rsidRPr="00D337FA">
        <w:rPr>
          <w:szCs w:val="24"/>
        </w:rPr>
        <w:t>2030</w:t>
      </w:r>
      <w:r w:rsidR="006C680D" w:rsidRPr="00D337FA">
        <w:rPr>
          <w:szCs w:val="24"/>
        </w:rPr>
        <w:t xml:space="preserve"> </w:t>
      </w:r>
      <w:r w:rsidRPr="00D337FA">
        <w:rPr>
          <w:szCs w:val="24"/>
        </w:rPr>
        <w:t>году</w:t>
      </w:r>
      <w:r w:rsidR="006C680D" w:rsidRPr="00D337FA">
        <w:rPr>
          <w:szCs w:val="24"/>
        </w:rPr>
        <w:t xml:space="preserve"> </w:t>
      </w:r>
      <w:r w:rsidRPr="00D337FA">
        <w:rPr>
          <w:szCs w:val="24"/>
        </w:rPr>
        <w:t>не</w:t>
      </w:r>
      <w:r w:rsidR="006C680D" w:rsidRPr="00D337FA">
        <w:rPr>
          <w:szCs w:val="24"/>
        </w:rPr>
        <w:t xml:space="preserve"> </w:t>
      </w:r>
      <w:r w:rsidRPr="00D337FA">
        <w:rPr>
          <w:szCs w:val="24"/>
        </w:rPr>
        <w:t>самым</w:t>
      </w:r>
      <w:r w:rsidR="006C680D" w:rsidRPr="00D337FA">
        <w:rPr>
          <w:szCs w:val="24"/>
        </w:rPr>
        <w:t xml:space="preserve"> </w:t>
      </w:r>
      <w:r w:rsidRPr="00D337FA">
        <w:rPr>
          <w:szCs w:val="24"/>
        </w:rPr>
        <w:t>оптимальным</w:t>
      </w:r>
      <w:r w:rsidR="006C680D" w:rsidRPr="00D337FA">
        <w:rPr>
          <w:szCs w:val="24"/>
        </w:rPr>
        <w:t xml:space="preserve"> </w:t>
      </w:r>
      <w:r w:rsidRPr="00D337FA">
        <w:rPr>
          <w:szCs w:val="24"/>
        </w:rPr>
        <w:t>решением</w:t>
      </w:r>
      <w:r w:rsidR="00C8298C" w:rsidRPr="00D337FA">
        <w:rPr>
          <w:szCs w:val="24"/>
        </w:rPr>
        <w:t>;</w:t>
      </w:r>
    </w:p>
    <w:p w:rsidR="00826D3F" w:rsidRPr="00D337FA" w:rsidRDefault="00826D3F" w:rsidP="00826D3F">
      <w:pPr>
        <w:ind w:firstLine="284"/>
        <w:rPr>
          <w:szCs w:val="24"/>
        </w:rPr>
      </w:pPr>
      <w:r w:rsidRPr="00D337FA">
        <w:rPr>
          <w:szCs w:val="24"/>
        </w:rPr>
        <w:t>-</w:t>
      </w:r>
      <w:r w:rsidR="006C680D" w:rsidRPr="00D337FA">
        <w:rPr>
          <w:szCs w:val="24"/>
        </w:rPr>
        <w:t xml:space="preserve"> </w:t>
      </w:r>
      <w:r w:rsidR="00C8298C" w:rsidRPr="00D337FA">
        <w:rPr>
          <w:szCs w:val="24"/>
        </w:rPr>
        <w:t>п</w:t>
      </w:r>
      <w:r w:rsidRPr="00D337FA">
        <w:rPr>
          <w:szCs w:val="24"/>
        </w:rPr>
        <w:t>илотный</w:t>
      </w:r>
      <w:r w:rsidR="006C680D" w:rsidRPr="00D337FA">
        <w:rPr>
          <w:szCs w:val="24"/>
        </w:rPr>
        <w:t xml:space="preserve"> </w:t>
      </w:r>
      <w:r w:rsidRPr="00D337FA">
        <w:rPr>
          <w:szCs w:val="24"/>
        </w:rPr>
        <w:t>запуск</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«Умная</w:t>
      </w:r>
      <w:r w:rsidR="006C680D" w:rsidRPr="00D337FA">
        <w:rPr>
          <w:szCs w:val="24"/>
        </w:rPr>
        <w:t xml:space="preserve"> </w:t>
      </w:r>
      <w:r w:rsidRPr="00D337FA">
        <w:rPr>
          <w:szCs w:val="24"/>
        </w:rPr>
        <w:t>техника»,</w:t>
      </w:r>
      <w:r w:rsidR="006C680D" w:rsidRPr="00D337FA">
        <w:rPr>
          <w:szCs w:val="24"/>
        </w:rPr>
        <w:t xml:space="preserve"> </w:t>
      </w:r>
      <w:r w:rsidRPr="00D337FA">
        <w:rPr>
          <w:szCs w:val="24"/>
        </w:rPr>
        <w:t>позволяющей</w:t>
      </w:r>
      <w:r w:rsidR="006C680D" w:rsidRPr="00D337FA">
        <w:rPr>
          <w:szCs w:val="24"/>
        </w:rPr>
        <w:t xml:space="preserve"> </w:t>
      </w:r>
      <w:r w:rsidRPr="00D337FA">
        <w:rPr>
          <w:szCs w:val="24"/>
        </w:rPr>
        <w:t>на</w:t>
      </w:r>
      <w:r w:rsidR="006C680D" w:rsidRPr="00D337FA">
        <w:rPr>
          <w:szCs w:val="24"/>
        </w:rPr>
        <w:t xml:space="preserve"> </w:t>
      </w:r>
      <w:r w:rsidRPr="00D337FA">
        <w:rPr>
          <w:szCs w:val="24"/>
        </w:rPr>
        <w:t>выгодных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приобретать</w:t>
      </w:r>
      <w:r w:rsidR="006C680D" w:rsidRPr="00D337FA">
        <w:rPr>
          <w:szCs w:val="24"/>
        </w:rPr>
        <w:t xml:space="preserve"> </w:t>
      </w:r>
      <w:r w:rsidRPr="00D337FA">
        <w:rPr>
          <w:szCs w:val="24"/>
        </w:rPr>
        <w:t>технику</w:t>
      </w:r>
      <w:r w:rsidR="006C680D" w:rsidRPr="00D337FA">
        <w:rPr>
          <w:szCs w:val="24"/>
        </w:rPr>
        <w:t xml:space="preserve"> </w:t>
      </w:r>
      <w:r w:rsidRPr="00D337FA">
        <w:rPr>
          <w:szCs w:val="24"/>
        </w:rPr>
        <w:t>и</w:t>
      </w:r>
      <w:r w:rsidR="006C680D" w:rsidRPr="00D337FA">
        <w:rPr>
          <w:szCs w:val="24"/>
        </w:rPr>
        <w:t xml:space="preserve"> </w:t>
      </w:r>
      <w:r w:rsidRPr="00D337FA">
        <w:rPr>
          <w:szCs w:val="24"/>
        </w:rPr>
        <w:t>оборудование</w:t>
      </w:r>
      <w:r w:rsidR="006C680D" w:rsidRPr="00D337FA">
        <w:rPr>
          <w:szCs w:val="24"/>
        </w:rPr>
        <w:t xml:space="preserve"> </w:t>
      </w:r>
      <w:r w:rsidRPr="00D337FA">
        <w:rPr>
          <w:szCs w:val="24"/>
        </w:rPr>
        <w:t>с</w:t>
      </w:r>
      <w:r w:rsidR="006C680D" w:rsidRPr="00D337FA">
        <w:rPr>
          <w:szCs w:val="24"/>
        </w:rPr>
        <w:t xml:space="preserve"> </w:t>
      </w:r>
      <w:r w:rsidRPr="00D337FA">
        <w:rPr>
          <w:szCs w:val="24"/>
        </w:rPr>
        <w:t>искусственным</w:t>
      </w:r>
      <w:r w:rsidR="006C680D" w:rsidRPr="00D337FA">
        <w:rPr>
          <w:szCs w:val="24"/>
        </w:rPr>
        <w:t xml:space="preserve"> </w:t>
      </w:r>
      <w:r w:rsidRPr="00D337FA">
        <w:rPr>
          <w:szCs w:val="24"/>
        </w:rPr>
        <w:t>интеллектом.</w:t>
      </w:r>
      <w:r w:rsidR="006C680D" w:rsidRPr="00D337FA">
        <w:rPr>
          <w:szCs w:val="24"/>
        </w:rPr>
        <w:t xml:space="preserve"> </w:t>
      </w:r>
      <w:r w:rsidRPr="00D337FA">
        <w:rPr>
          <w:szCs w:val="24"/>
        </w:rPr>
        <w:t>На</w:t>
      </w:r>
      <w:r w:rsidR="006C680D" w:rsidRPr="00D337FA">
        <w:rPr>
          <w:szCs w:val="24"/>
        </w:rPr>
        <w:t xml:space="preserve"> </w:t>
      </w:r>
      <w:r w:rsidRPr="00D337FA">
        <w:rPr>
          <w:szCs w:val="24"/>
        </w:rPr>
        <w:t>первоначальном</w:t>
      </w:r>
      <w:r w:rsidR="006C680D" w:rsidRPr="00D337FA">
        <w:rPr>
          <w:szCs w:val="24"/>
        </w:rPr>
        <w:t xml:space="preserve"> </w:t>
      </w:r>
      <w:r w:rsidRPr="00D337FA">
        <w:rPr>
          <w:szCs w:val="24"/>
        </w:rPr>
        <w:t>этапе</w:t>
      </w:r>
      <w:r w:rsidR="006C680D" w:rsidRPr="00D337FA">
        <w:rPr>
          <w:szCs w:val="24"/>
        </w:rPr>
        <w:t xml:space="preserve"> </w:t>
      </w:r>
      <w:r w:rsidRPr="00D337FA">
        <w:rPr>
          <w:szCs w:val="24"/>
        </w:rPr>
        <w:t>это</w:t>
      </w:r>
      <w:r w:rsidR="006C680D" w:rsidRPr="00D337FA">
        <w:rPr>
          <w:szCs w:val="24"/>
        </w:rPr>
        <w:t xml:space="preserve"> </w:t>
      </w:r>
      <w:r w:rsidRPr="00D337FA">
        <w:rPr>
          <w:szCs w:val="24"/>
        </w:rPr>
        <w:t>могут</w:t>
      </w:r>
      <w:r w:rsidR="006C680D" w:rsidRPr="00D337FA">
        <w:rPr>
          <w:szCs w:val="24"/>
        </w:rPr>
        <w:t xml:space="preserve"> </w:t>
      </w:r>
      <w:r w:rsidRPr="00D337FA">
        <w:rPr>
          <w:szCs w:val="24"/>
        </w:rPr>
        <w:t>быть</w:t>
      </w:r>
      <w:r w:rsidR="006C680D" w:rsidRPr="00D337FA">
        <w:rPr>
          <w:szCs w:val="24"/>
        </w:rPr>
        <w:t xml:space="preserve"> </w:t>
      </w:r>
      <w:r w:rsidRPr="00D337FA">
        <w:rPr>
          <w:szCs w:val="24"/>
        </w:rPr>
        <w:t>дроны</w:t>
      </w:r>
      <w:r w:rsidR="006C680D" w:rsidRPr="00D337FA">
        <w:rPr>
          <w:szCs w:val="24"/>
        </w:rPr>
        <w:t xml:space="preserve"> </w:t>
      </w:r>
      <w:r w:rsidRPr="00D337FA">
        <w:rPr>
          <w:szCs w:val="24"/>
        </w:rPr>
        <w:t>для</w:t>
      </w:r>
      <w:r w:rsidR="006C680D" w:rsidRPr="00D337FA">
        <w:rPr>
          <w:szCs w:val="24"/>
        </w:rPr>
        <w:t xml:space="preserve"> </w:t>
      </w:r>
      <w:r w:rsidRPr="00D337FA">
        <w:rPr>
          <w:szCs w:val="24"/>
        </w:rPr>
        <w:t>мониторинга</w:t>
      </w:r>
      <w:r w:rsidR="006C680D" w:rsidRPr="00D337FA">
        <w:rPr>
          <w:szCs w:val="24"/>
        </w:rPr>
        <w:t xml:space="preserve"> </w:t>
      </w:r>
      <w:r w:rsidRPr="00D337FA">
        <w:rPr>
          <w:szCs w:val="24"/>
        </w:rPr>
        <w:t>состояния</w:t>
      </w:r>
      <w:r w:rsidR="006C680D" w:rsidRPr="00D337FA">
        <w:rPr>
          <w:szCs w:val="24"/>
        </w:rPr>
        <w:t xml:space="preserve"> </w:t>
      </w:r>
      <w:r w:rsidRPr="00D337FA">
        <w:rPr>
          <w:szCs w:val="24"/>
        </w:rPr>
        <w:t>полей,</w:t>
      </w:r>
      <w:r w:rsidR="006C680D" w:rsidRPr="00D337FA">
        <w:rPr>
          <w:szCs w:val="24"/>
        </w:rPr>
        <w:t xml:space="preserve"> </w:t>
      </w:r>
      <w:r w:rsidRPr="00D337FA">
        <w:rPr>
          <w:szCs w:val="24"/>
        </w:rPr>
        <w:t>сенсоры</w:t>
      </w:r>
      <w:r w:rsidR="006C680D" w:rsidRPr="00D337FA">
        <w:rPr>
          <w:szCs w:val="24"/>
        </w:rPr>
        <w:t xml:space="preserve"> </w:t>
      </w:r>
      <w:r w:rsidRPr="00D337FA">
        <w:rPr>
          <w:szCs w:val="24"/>
        </w:rPr>
        <w:t>почвы</w:t>
      </w:r>
      <w:r w:rsidR="006C680D" w:rsidRPr="00D337FA">
        <w:rPr>
          <w:szCs w:val="24"/>
        </w:rPr>
        <w:t xml:space="preserve"> </w:t>
      </w:r>
      <w:r w:rsidRPr="00D337FA">
        <w:rPr>
          <w:szCs w:val="24"/>
        </w:rPr>
        <w:t>и</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контроля</w:t>
      </w:r>
      <w:r w:rsidR="006C680D" w:rsidRPr="00D337FA">
        <w:rPr>
          <w:szCs w:val="24"/>
        </w:rPr>
        <w:t xml:space="preserve"> </w:t>
      </w:r>
      <w:r w:rsidRPr="00D337FA">
        <w:rPr>
          <w:szCs w:val="24"/>
        </w:rPr>
        <w:t>за</w:t>
      </w:r>
      <w:r w:rsidR="006C680D" w:rsidRPr="00D337FA">
        <w:rPr>
          <w:szCs w:val="24"/>
        </w:rPr>
        <w:t xml:space="preserve"> </w:t>
      </w:r>
      <w:r w:rsidRPr="00D337FA">
        <w:rPr>
          <w:szCs w:val="24"/>
        </w:rPr>
        <w:t>расте</w:t>
      </w:r>
      <w:r w:rsidRPr="00D337FA">
        <w:rPr>
          <w:szCs w:val="24"/>
        </w:rPr>
        <w:lastRenderedPageBreak/>
        <w:t>ниями</w:t>
      </w:r>
      <w:r w:rsidR="006C680D" w:rsidRPr="00D337FA">
        <w:rPr>
          <w:szCs w:val="24"/>
        </w:rPr>
        <w:t xml:space="preserve"> </w:t>
      </w:r>
      <w:r w:rsidRPr="00D337FA">
        <w:rPr>
          <w:szCs w:val="24"/>
        </w:rPr>
        <w:t>с</w:t>
      </w:r>
      <w:r w:rsidR="006C680D" w:rsidRPr="00D337FA">
        <w:rPr>
          <w:szCs w:val="24"/>
        </w:rPr>
        <w:t xml:space="preserve"> </w:t>
      </w:r>
      <w:r w:rsidRPr="00D337FA">
        <w:rPr>
          <w:szCs w:val="24"/>
        </w:rPr>
        <w:t>подключением</w:t>
      </w:r>
      <w:r w:rsidR="006C680D" w:rsidRPr="00D337FA">
        <w:rPr>
          <w:szCs w:val="24"/>
        </w:rPr>
        <w:t xml:space="preserve"> </w:t>
      </w:r>
      <w:r w:rsidRPr="00D337FA">
        <w:rPr>
          <w:szCs w:val="24"/>
        </w:rPr>
        <w:t>к</w:t>
      </w:r>
      <w:r w:rsidR="006C680D" w:rsidRPr="00D337FA">
        <w:rPr>
          <w:szCs w:val="24"/>
        </w:rPr>
        <w:t xml:space="preserve"> </w:t>
      </w:r>
      <w:r w:rsidRPr="00D337FA">
        <w:rPr>
          <w:szCs w:val="24"/>
        </w:rPr>
        <w:t>хранилищу</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облаке,</w:t>
      </w:r>
      <w:r w:rsidR="006C680D" w:rsidRPr="00D337FA">
        <w:rPr>
          <w:szCs w:val="24"/>
        </w:rPr>
        <w:t xml:space="preserve"> </w:t>
      </w:r>
      <w:r w:rsidRPr="00D337FA">
        <w:rPr>
          <w:szCs w:val="24"/>
        </w:rPr>
        <w:t>где</w:t>
      </w:r>
      <w:r w:rsidR="006C680D" w:rsidRPr="00D337FA">
        <w:rPr>
          <w:szCs w:val="24"/>
        </w:rPr>
        <w:t xml:space="preserve"> </w:t>
      </w:r>
      <w:r w:rsidRPr="00D337FA">
        <w:rPr>
          <w:szCs w:val="24"/>
        </w:rPr>
        <w:t>ИИ</w:t>
      </w:r>
      <w:r w:rsidR="006C680D" w:rsidRPr="00D337FA">
        <w:rPr>
          <w:szCs w:val="24"/>
        </w:rPr>
        <w:t xml:space="preserve"> </w:t>
      </w:r>
      <w:r w:rsidRPr="00D337FA">
        <w:rPr>
          <w:szCs w:val="24"/>
        </w:rPr>
        <w:t>самостоятельно</w:t>
      </w:r>
      <w:r w:rsidR="006C680D" w:rsidRPr="00D337FA">
        <w:rPr>
          <w:szCs w:val="24"/>
        </w:rPr>
        <w:t xml:space="preserve"> </w:t>
      </w:r>
      <w:r w:rsidRPr="00D337FA">
        <w:rPr>
          <w:szCs w:val="24"/>
        </w:rPr>
        <w:t>будет</w:t>
      </w:r>
      <w:r w:rsidR="006C680D" w:rsidRPr="00D337FA">
        <w:rPr>
          <w:szCs w:val="24"/>
        </w:rPr>
        <w:t xml:space="preserve"> </w:t>
      </w:r>
      <w:r w:rsidRPr="00D337FA">
        <w:rPr>
          <w:szCs w:val="24"/>
        </w:rPr>
        <w:t>рекомендовать</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по</w:t>
      </w:r>
      <w:r w:rsidR="006C680D" w:rsidRPr="00D337FA">
        <w:rPr>
          <w:szCs w:val="24"/>
        </w:rPr>
        <w:t xml:space="preserve"> </w:t>
      </w:r>
      <w:r w:rsidRPr="00D337FA">
        <w:rPr>
          <w:szCs w:val="24"/>
        </w:rPr>
        <w:t>обработке</w:t>
      </w:r>
      <w:r w:rsidR="006C680D" w:rsidRPr="00D337FA">
        <w:rPr>
          <w:szCs w:val="24"/>
        </w:rPr>
        <w:t xml:space="preserve"> </w:t>
      </w:r>
      <w:r w:rsidRPr="00D337FA">
        <w:rPr>
          <w:szCs w:val="24"/>
        </w:rPr>
        <w:t>площадей.</w:t>
      </w:r>
      <w:r w:rsidR="006C680D" w:rsidRPr="00D337FA">
        <w:rPr>
          <w:szCs w:val="24"/>
        </w:rPr>
        <w:t xml:space="preserve"> </w:t>
      </w:r>
      <w:r w:rsidRPr="00D337FA">
        <w:rPr>
          <w:szCs w:val="24"/>
        </w:rPr>
        <w:t>Вторым</w:t>
      </w:r>
      <w:r w:rsidR="006C680D" w:rsidRPr="00D337FA">
        <w:rPr>
          <w:szCs w:val="24"/>
        </w:rPr>
        <w:t xml:space="preserve"> </w:t>
      </w:r>
      <w:r w:rsidRPr="00D337FA">
        <w:rPr>
          <w:szCs w:val="24"/>
        </w:rPr>
        <w:t>этапом</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стать</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отдельных</w:t>
      </w:r>
      <w:r w:rsidR="006C680D" w:rsidRPr="00D337FA">
        <w:rPr>
          <w:szCs w:val="24"/>
        </w:rPr>
        <w:t xml:space="preserve"> </w:t>
      </w:r>
      <w:r w:rsidRPr="00D337FA">
        <w:rPr>
          <w:szCs w:val="24"/>
        </w:rPr>
        <w:t>групп</w:t>
      </w:r>
      <w:r w:rsidR="006C680D" w:rsidRPr="00D337FA">
        <w:rPr>
          <w:szCs w:val="24"/>
        </w:rPr>
        <w:t xml:space="preserve"> </w:t>
      </w:r>
      <w:r w:rsidRPr="00D337FA">
        <w:rPr>
          <w:szCs w:val="24"/>
        </w:rPr>
        <w:t>отечественной</w:t>
      </w:r>
      <w:r w:rsidR="006C680D" w:rsidRPr="00D337FA">
        <w:rPr>
          <w:szCs w:val="24"/>
        </w:rPr>
        <w:t xml:space="preserve"> </w:t>
      </w:r>
      <w:r w:rsidRPr="00D337FA">
        <w:rPr>
          <w:szCs w:val="24"/>
        </w:rPr>
        <w:t>техники</w:t>
      </w:r>
      <w:r w:rsidR="006C680D" w:rsidRPr="00D337FA">
        <w:rPr>
          <w:szCs w:val="24"/>
        </w:rPr>
        <w:t xml:space="preserve"> </w:t>
      </w:r>
      <w:r w:rsidRPr="00D337FA">
        <w:rPr>
          <w:szCs w:val="24"/>
        </w:rPr>
        <w:t>в</w:t>
      </w:r>
      <w:r w:rsidR="006C680D" w:rsidRPr="00D337FA">
        <w:rPr>
          <w:szCs w:val="24"/>
        </w:rPr>
        <w:t xml:space="preserve"> </w:t>
      </w:r>
      <w:r w:rsidRPr="00D337FA">
        <w:rPr>
          <w:szCs w:val="24"/>
        </w:rPr>
        <w:t>отдельную</w:t>
      </w:r>
      <w:r w:rsidR="006C680D" w:rsidRPr="00D337FA">
        <w:rPr>
          <w:szCs w:val="24"/>
        </w:rPr>
        <w:t xml:space="preserve"> </w:t>
      </w:r>
      <w:r w:rsidRPr="00D337FA">
        <w:rPr>
          <w:szCs w:val="24"/>
        </w:rPr>
        <w:t>категорию</w:t>
      </w:r>
      <w:r w:rsidR="006C680D" w:rsidRPr="00D337FA">
        <w:rPr>
          <w:szCs w:val="24"/>
        </w:rPr>
        <w:t xml:space="preserve"> </w:t>
      </w:r>
      <w:r w:rsidRPr="00D337FA">
        <w:rPr>
          <w:szCs w:val="24"/>
        </w:rPr>
        <w:t>инновационного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где</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использоваться</w:t>
      </w:r>
      <w:r w:rsidR="006C680D" w:rsidRPr="00D337FA">
        <w:rPr>
          <w:szCs w:val="24"/>
        </w:rPr>
        <w:t xml:space="preserve"> </w:t>
      </w:r>
      <w:r w:rsidRPr="00D337FA">
        <w:rPr>
          <w:szCs w:val="24"/>
        </w:rPr>
        <w:t>современные</w:t>
      </w:r>
      <w:r w:rsidR="006C680D" w:rsidRPr="00D337FA">
        <w:rPr>
          <w:szCs w:val="24"/>
        </w:rPr>
        <w:t xml:space="preserve"> </w:t>
      </w:r>
      <w:r w:rsidRPr="00D337FA">
        <w:rPr>
          <w:szCs w:val="24"/>
        </w:rPr>
        <w:t>технологии,</w:t>
      </w:r>
      <w:r w:rsidR="006C680D" w:rsidRPr="00D337FA">
        <w:rPr>
          <w:szCs w:val="24"/>
        </w:rPr>
        <w:t xml:space="preserve"> </w:t>
      </w:r>
      <w:r w:rsidRPr="00D337FA">
        <w:rPr>
          <w:szCs w:val="24"/>
        </w:rPr>
        <w:t>отвечающие</w:t>
      </w:r>
      <w:r w:rsidR="006C680D" w:rsidRPr="00D337FA">
        <w:rPr>
          <w:szCs w:val="24"/>
        </w:rPr>
        <w:t xml:space="preserve"> </w:t>
      </w:r>
      <w:r w:rsidRPr="00D337FA">
        <w:rPr>
          <w:szCs w:val="24"/>
        </w:rPr>
        <w:t>всем</w:t>
      </w:r>
      <w:r w:rsidR="006C680D" w:rsidRPr="00D337FA">
        <w:rPr>
          <w:szCs w:val="24"/>
        </w:rPr>
        <w:t xml:space="preserve"> </w:t>
      </w:r>
      <w:r w:rsidRPr="00D337FA">
        <w:rPr>
          <w:szCs w:val="24"/>
        </w:rPr>
        <w:t>современным</w:t>
      </w:r>
      <w:r w:rsidR="006C680D" w:rsidRPr="00D337FA">
        <w:rPr>
          <w:szCs w:val="24"/>
        </w:rPr>
        <w:t xml:space="preserve"> </w:t>
      </w:r>
      <w:r w:rsidRPr="00D337FA">
        <w:rPr>
          <w:szCs w:val="24"/>
        </w:rPr>
        <w:t>вызовам</w:t>
      </w:r>
      <w:r w:rsidR="006C680D" w:rsidRPr="00D337FA">
        <w:rPr>
          <w:szCs w:val="24"/>
        </w:rPr>
        <w:t xml:space="preserve"> </w:t>
      </w:r>
      <w:r w:rsidRPr="00D337FA">
        <w:rPr>
          <w:szCs w:val="24"/>
        </w:rPr>
        <w:t>и</w:t>
      </w:r>
      <w:r w:rsidR="006C680D" w:rsidRPr="00D337FA">
        <w:rPr>
          <w:szCs w:val="24"/>
        </w:rPr>
        <w:t xml:space="preserve"> </w:t>
      </w:r>
      <w:r w:rsidRPr="00D337FA">
        <w:rPr>
          <w:szCs w:val="24"/>
        </w:rPr>
        <w:t>запросам.</w:t>
      </w:r>
      <w:r w:rsidR="006C680D" w:rsidRPr="00D337FA">
        <w:rPr>
          <w:szCs w:val="24"/>
        </w:rPr>
        <w:t xml:space="preserve"> </w:t>
      </w:r>
      <w:r w:rsidRPr="00D337FA">
        <w:rPr>
          <w:szCs w:val="24"/>
        </w:rPr>
        <w:t>Заключительным</w:t>
      </w:r>
      <w:r w:rsidR="006C680D" w:rsidRPr="00D337FA">
        <w:rPr>
          <w:szCs w:val="24"/>
        </w:rPr>
        <w:t xml:space="preserve"> </w:t>
      </w:r>
      <w:r w:rsidRPr="00D337FA">
        <w:rPr>
          <w:szCs w:val="24"/>
        </w:rPr>
        <w:t>этапом</w:t>
      </w:r>
      <w:r w:rsidR="006C680D" w:rsidRPr="00D337FA">
        <w:rPr>
          <w:szCs w:val="24"/>
        </w:rPr>
        <w:t xml:space="preserve"> </w:t>
      </w:r>
      <w:r w:rsidRPr="00D337FA">
        <w:rPr>
          <w:szCs w:val="24"/>
        </w:rPr>
        <w:t>станет</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категорий</w:t>
      </w:r>
      <w:r w:rsidR="006C680D" w:rsidRPr="00D337FA">
        <w:rPr>
          <w:szCs w:val="24"/>
        </w:rPr>
        <w:t xml:space="preserve"> </w:t>
      </w:r>
      <w:r w:rsidRPr="00D337FA">
        <w:rPr>
          <w:szCs w:val="24"/>
        </w:rPr>
        <w:t>техники,</w:t>
      </w:r>
      <w:r w:rsidR="006C680D" w:rsidRPr="00D337FA">
        <w:rPr>
          <w:szCs w:val="24"/>
        </w:rPr>
        <w:t xml:space="preserve"> </w:t>
      </w:r>
      <w:r w:rsidRPr="00D337FA">
        <w:rPr>
          <w:szCs w:val="24"/>
        </w:rPr>
        <w:t>оборудования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иных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в</w:t>
      </w:r>
      <w:r w:rsidR="006C680D" w:rsidRPr="00D337FA">
        <w:rPr>
          <w:szCs w:val="24"/>
        </w:rPr>
        <w:t xml:space="preserve"> </w:t>
      </w:r>
      <w:r w:rsidRPr="00D337FA">
        <w:rPr>
          <w:szCs w:val="24"/>
        </w:rPr>
        <w:t>отдельные</w:t>
      </w:r>
      <w:r w:rsidR="006C680D" w:rsidRPr="00D337FA">
        <w:rPr>
          <w:szCs w:val="24"/>
        </w:rPr>
        <w:t xml:space="preserve"> </w:t>
      </w:r>
      <w:r w:rsidRPr="00D337FA">
        <w:rPr>
          <w:szCs w:val="24"/>
        </w:rPr>
        <w:t>кластеры,</w:t>
      </w:r>
      <w:r w:rsidR="006C680D" w:rsidRPr="00D337FA">
        <w:rPr>
          <w:szCs w:val="24"/>
        </w:rPr>
        <w:t xml:space="preserve"> </w:t>
      </w:r>
      <w:r w:rsidRPr="00D337FA">
        <w:rPr>
          <w:szCs w:val="24"/>
        </w:rPr>
        <w:t>исходя</w:t>
      </w:r>
      <w:r w:rsidR="006C680D" w:rsidRPr="00D337FA">
        <w:rPr>
          <w:szCs w:val="24"/>
        </w:rPr>
        <w:t xml:space="preserve"> </w:t>
      </w:r>
      <w:r w:rsidRPr="00D337FA">
        <w:rPr>
          <w:szCs w:val="24"/>
        </w:rPr>
        <w:t>из</w:t>
      </w:r>
      <w:r w:rsidR="006C680D" w:rsidRPr="00D337FA">
        <w:rPr>
          <w:szCs w:val="24"/>
        </w:rPr>
        <w:t xml:space="preserve"> </w:t>
      </w:r>
      <w:r w:rsidRPr="00D337FA">
        <w:rPr>
          <w:szCs w:val="24"/>
        </w:rPr>
        <w:t>их</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составляющей,</w:t>
      </w:r>
      <w:r w:rsidR="006C680D" w:rsidRPr="00D337FA">
        <w:rPr>
          <w:szCs w:val="24"/>
        </w:rPr>
        <w:t xml:space="preserve"> </w:t>
      </w:r>
      <w:r w:rsidRPr="00D337FA">
        <w:rPr>
          <w:szCs w:val="24"/>
        </w:rPr>
        <w:t>отвечающей</w:t>
      </w:r>
      <w:r w:rsidR="006C680D" w:rsidRPr="00D337FA">
        <w:rPr>
          <w:szCs w:val="24"/>
        </w:rPr>
        <w:t xml:space="preserve"> </w:t>
      </w:r>
      <w:r w:rsidRPr="00D337FA">
        <w:rPr>
          <w:szCs w:val="24"/>
        </w:rPr>
        <w:t>современным</w:t>
      </w:r>
      <w:r w:rsidR="006C680D" w:rsidRPr="00D337FA">
        <w:rPr>
          <w:szCs w:val="24"/>
        </w:rPr>
        <w:t xml:space="preserve"> </w:t>
      </w:r>
      <w:r w:rsidRPr="00D337FA">
        <w:rPr>
          <w:szCs w:val="24"/>
        </w:rPr>
        <w:t>стандартам.</w:t>
      </w:r>
      <w:r w:rsidR="006C680D" w:rsidRPr="00D337FA">
        <w:rPr>
          <w:szCs w:val="24"/>
        </w:rPr>
        <w:t xml:space="preserve"> </w:t>
      </w:r>
      <w:r w:rsidRPr="00D337FA">
        <w:rPr>
          <w:szCs w:val="24"/>
        </w:rPr>
        <w:t>Компании-лидеры</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получать</w:t>
      </w:r>
      <w:r w:rsidR="006C680D" w:rsidRPr="00D337FA">
        <w:rPr>
          <w:szCs w:val="24"/>
        </w:rPr>
        <w:t xml:space="preserve"> </w:t>
      </w:r>
      <w:r w:rsidRPr="00D337FA">
        <w:rPr>
          <w:szCs w:val="24"/>
        </w:rPr>
        <w:t>денежные</w:t>
      </w:r>
      <w:r w:rsidR="006C680D" w:rsidRPr="00D337FA">
        <w:rPr>
          <w:szCs w:val="24"/>
        </w:rPr>
        <w:t xml:space="preserve"> </w:t>
      </w:r>
      <w:r w:rsidRPr="00D337FA">
        <w:rPr>
          <w:szCs w:val="24"/>
        </w:rPr>
        <w:t>средства</w:t>
      </w:r>
      <w:r w:rsidR="006C680D" w:rsidRPr="00D337FA">
        <w:rPr>
          <w:szCs w:val="24"/>
        </w:rPr>
        <w:t xml:space="preserve"> </w:t>
      </w:r>
      <w:r w:rsidRPr="00D337FA">
        <w:rPr>
          <w:szCs w:val="24"/>
        </w:rPr>
        <w:t>на</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своих</w:t>
      </w:r>
      <w:r w:rsidR="006C680D" w:rsidRPr="00D337FA">
        <w:rPr>
          <w:szCs w:val="24"/>
        </w:rPr>
        <w:t xml:space="preserve"> </w:t>
      </w:r>
      <w:r w:rsidRPr="00D337FA">
        <w:rPr>
          <w:szCs w:val="24"/>
        </w:rPr>
        <w:t>производств,</w:t>
      </w:r>
      <w:r w:rsidR="006C680D" w:rsidRPr="00D337FA">
        <w:rPr>
          <w:szCs w:val="24"/>
        </w:rPr>
        <w:t xml:space="preserve"> </w:t>
      </w:r>
      <w:r w:rsidRPr="00D337FA">
        <w:rPr>
          <w:szCs w:val="24"/>
        </w:rPr>
        <w:t>а</w:t>
      </w:r>
      <w:r w:rsidR="006C680D" w:rsidRPr="00D337FA">
        <w:rPr>
          <w:szCs w:val="24"/>
        </w:rPr>
        <w:t xml:space="preserve"> </w:t>
      </w:r>
      <w:r w:rsidRPr="00D337FA">
        <w:rPr>
          <w:szCs w:val="24"/>
        </w:rPr>
        <w:t>государство</w:t>
      </w:r>
      <w:r w:rsidR="006C680D" w:rsidRPr="00D337FA">
        <w:rPr>
          <w:szCs w:val="24"/>
        </w:rPr>
        <w:t xml:space="preserve"> </w:t>
      </w:r>
      <w:r w:rsidRPr="00D337FA">
        <w:rPr>
          <w:szCs w:val="24"/>
        </w:rPr>
        <w:t>будет</w:t>
      </w:r>
      <w:r w:rsidR="006C680D" w:rsidRPr="00D337FA">
        <w:rPr>
          <w:szCs w:val="24"/>
        </w:rPr>
        <w:t xml:space="preserve"> </w:t>
      </w:r>
      <w:r w:rsidRPr="00D337FA">
        <w:rPr>
          <w:szCs w:val="24"/>
        </w:rPr>
        <w:t>помогать</w:t>
      </w:r>
      <w:r w:rsidR="006C680D" w:rsidRPr="00D337FA">
        <w:rPr>
          <w:szCs w:val="24"/>
        </w:rPr>
        <w:t xml:space="preserve"> </w:t>
      </w:r>
      <w:r w:rsidRPr="00D337FA">
        <w:rPr>
          <w:szCs w:val="24"/>
        </w:rPr>
        <w:t>реализовывать</w:t>
      </w:r>
      <w:r w:rsidR="006C680D" w:rsidRPr="00D337FA">
        <w:rPr>
          <w:szCs w:val="24"/>
        </w:rPr>
        <w:t xml:space="preserve"> </w:t>
      </w:r>
      <w:r w:rsidRPr="00D337FA">
        <w:rPr>
          <w:szCs w:val="24"/>
        </w:rPr>
        <w:t>их</w:t>
      </w:r>
      <w:r w:rsidR="006C680D" w:rsidRPr="00D337FA">
        <w:rPr>
          <w:szCs w:val="24"/>
        </w:rPr>
        <w:t xml:space="preserve"> </w:t>
      </w:r>
      <w:r w:rsidRPr="00D337FA">
        <w:rPr>
          <w:szCs w:val="24"/>
        </w:rPr>
        <w:t>продукцию</w:t>
      </w:r>
      <w:r w:rsidR="006C680D" w:rsidRPr="00D337FA">
        <w:rPr>
          <w:szCs w:val="24"/>
        </w:rPr>
        <w:t xml:space="preserve"> </w:t>
      </w:r>
      <w:r w:rsidRPr="00D337FA">
        <w:rPr>
          <w:szCs w:val="24"/>
        </w:rPr>
        <w:t>на</w:t>
      </w:r>
      <w:r w:rsidR="006C680D" w:rsidRPr="00D337FA">
        <w:rPr>
          <w:szCs w:val="24"/>
        </w:rPr>
        <w:t xml:space="preserve"> </w:t>
      </w:r>
      <w:r w:rsidRPr="00D337FA">
        <w:rPr>
          <w:szCs w:val="24"/>
        </w:rPr>
        <w:t>лучших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как</w:t>
      </w:r>
      <w:r w:rsidR="006C680D" w:rsidRPr="00D337FA">
        <w:rPr>
          <w:szCs w:val="24"/>
        </w:rPr>
        <w:t xml:space="preserve"> </w:t>
      </w:r>
      <w:r w:rsidRPr="00D337FA">
        <w:rPr>
          <w:szCs w:val="24"/>
        </w:rPr>
        <w:t>для</w:t>
      </w:r>
      <w:r w:rsidR="006C680D" w:rsidRPr="00D337FA">
        <w:rPr>
          <w:szCs w:val="24"/>
        </w:rPr>
        <w:t xml:space="preserve"> </w:t>
      </w:r>
      <w:r w:rsidRPr="00D337FA">
        <w:rPr>
          <w:szCs w:val="24"/>
        </w:rPr>
        <w:t>товаропроизводителей,</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покупателей</w:t>
      </w:r>
      <w:r w:rsidR="006C680D" w:rsidRPr="00D337FA">
        <w:rPr>
          <w:szCs w:val="24"/>
        </w:rPr>
        <w:t xml:space="preserve"> </w:t>
      </w:r>
      <w:r w:rsidRPr="00D337FA">
        <w:rPr>
          <w:szCs w:val="24"/>
        </w:rPr>
        <w:t>благодаря</w:t>
      </w:r>
      <w:r w:rsidR="006C680D" w:rsidRPr="00D337FA">
        <w:rPr>
          <w:szCs w:val="24"/>
        </w:rPr>
        <w:t xml:space="preserve"> </w:t>
      </w:r>
      <w:r w:rsidRPr="00D337FA">
        <w:rPr>
          <w:szCs w:val="24"/>
        </w:rPr>
        <w:t>программам</w:t>
      </w:r>
      <w:r w:rsidR="006C680D" w:rsidRPr="00D337FA">
        <w:rPr>
          <w:szCs w:val="24"/>
        </w:rPr>
        <w:t xml:space="preserve"> </w:t>
      </w:r>
      <w:r w:rsidRPr="00D337FA">
        <w:rPr>
          <w:szCs w:val="24"/>
        </w:rPr>
        <w:t>субсидирования</w:t>
      </w:r>
      <w:r w:rsidR="00C8298C" w:rsidRPr="00D337FA">
        <w:rPr>
          <w:szCs w:val="24"/>
        </w:rPr>
        <w:t>;</w:t>
      </w:r>
    </w:p>
    <w:p w:rsidR="00826D3F" w:rsidRPr="00D337FA" w:rsidRDefault="00826D3F" w:rsidP="00826D3F">
      <w:pPr>
        <w:ind w:firstLine="284"/>
        <w:rPr>
          <w:szCs w:val="24"/>
        </w:rPr>
      </w:pPr>
      <w:r w:rsidRPr="00D337FA">
        <w:rPr>
          <w:szCs w:val="24"/>
        </w:rPr>
        <w:t>-</w:t>
      </w:r>
      <w:r w:rsidR="006C680D" w:rsidRPr="00D337FA">
        <w:rPr>
          <w:szCs w:val="24"/>
        </w:rPr>
        <w:t xml:space="preserve"> </w:t>
      </w:r>
      <w:r w:rsidR="00C8298C" w:rsidRPr="00D337FA">
        <w:rPr>
          <w:szCs w:val="24"/>
        </w:rPr>
        <w:t>р</w:t>
      </w:r>
      <w:r w:rsidRPr="00D337FA">
        <w:rPr>
          <w:szCs w:val="24"/>
        </w:rPr>
        <w:t>асширение</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и</w:t>
      </w:r>
      <w:r w:rsidR="006C680D" w:rsidRPr="00D337FA">
        <w:rPr>
          <w:szCs w:val="24"/>
        </w:rPr>
        <w:t xml:space="preserve"> </w:t>
      </w:r>
      <w:r w:rsidRPr="00D337FA">
        <w:rPr>
          <w:szCs w:val="24"/>
        </w:rPr>
        <w:t>способов</w:t>
      </w:r>
      <w:r w:rsidR="006C680D" w:rsidRPr="00D337FA">
        <w:rPr>
          <w:szCs w:val="24"/>
        </w:rPr>
        <w:t xml:space="preserve"> </w:t>
      </w:r>
      <w:r w:rsidRPr="00D337FA">
        <w:rPr>
          <w:szCs w:val="24"/>
        </w:rPr>
        <w:t>обмена</w:t>
      </w:r>
      <w:r w:rsidR="006C680D" w:rsidRPr="00D337FA">
        <w:rPr>
          <w:szCs w:val="24"/>
        </w:rPr>
        <w:t xml:space="preserve"> </w:t>
      </w:r>
      <w:r w:rsidRPr="00D337FA">
        <w:rPr>
          <w:szCs w:val="24"/>
        </w:rPr>
        <w:t>опытом</w:t>
      </w:r>
      <w:r w:rsidR="006C680D" w:rsidRPr="00D337FA">
        <w:rPr>
          <w:szCs w:val="24"/>
        </w:rPr>
        <w:t xml:space="preserve"> </w:t>
      </w:r>
      <w:r w:rsidRPr="00D337FA">
        <w:rPr>
          <w:szCs w:val="24"/>
        </w:rPr>
        <w:t>с</w:t>
      </w:r>
      <w:r w:rsidR="006C680D" w:rsidRPr="00D337FA">
        <w:rPr>
          <w:szCs w:val="24"/>
        </w:rPr>
        <w:t xml:space="preserve"> </w:t>
      </w:r>
      <w:r w:rsidRPr="00D337FA">
        <w:rPr>
          <w:szCs w:val="24"/>
        </w:rPr>
        <w:t>зарубежными</w:t>
      </w:r>
      <w:r w:rsidR="006C680D" w:rsidRPr="00D337FA">
        <w:rPr>
          <w:szCs w:val="24"/>
        </w:rPr>
        <w:t xml:space="preserve"> </w:t>
      </w:r>
      <w:r w:rsidRPr="00D337FA">
        <w:rPr>
          <w:szCs w:val="24"/>
        </w:rPr>
        <w:t>партнёрами</w:t>
      </w:r>
      <w:r w:rsidR="006C680D" w:rsidRPr="00D337FA">
        <w:rPr>
          <w:szCs w:val="24"/>
        </w:rPr>
        <w:t xml:space="preserve"> </w:t>
      </w:r>
      <w:r w:rsidRPr="00D337FA">
        <w:rPr>
          <w:szCs w:val="24"/>
        </w:rPr>
        <w:t>из</w:t>
      </w:r>
      <w:r w:rsidR="006C680D" w:rsidRPr="00D337FA">
        <w:rPr>
          <w:szCs w:val="24"/>
        </w:rPr>
        <w:t xml:space="preserve"> </w:t>
      </w:r>
      <w:r w:rsidRPr="00D337FA">
        <w:rPr>
          <w:szCs w:val="24"/>
        </w:rPr>
        <w:t>дружественных</w:t>
      </w:r>
      <w:r w:rsidR="006C680D" w:rsidRPr="00D337FA">
        <w:rPr>
          <w:szCs w:val="24"/>
        </w:rPr>
        <w:t xml:space="preserve"> </w:t>
      </w:r>
      <w:r w:rsidRPr="00D337FA">
        <w:rPr>
          <w:szCs w:val="24"/>
        </w:rPr>
        <w:t>стран</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всевозможных</w:t>
      </w:r>
      <w:r w:rsidR="006C680D" w:rsidRPr="00D337FA">
        <w:rPr>
          <w:szCs w:val="24"/>
        </w:rPr>
        <w:t xml:space="preserve"> </w:t>
      </w:r>
      <w:r w:rsidRPr="00D337FA">
        <w:rPr>
          <w:szCs w:val="24"/>
        </w:rPr>
        <w:t>выставках,</w:t>
      </w:r>
      <w:r w:rsidR="006C680D" w:rsidRPr="00D337FA">
        <w:rPr>
          <w:szCs w:val="24"/>
        </w:rPr>
        <w:t xml:space="preserve"> </w:t>
      </w:r>
      <w:r w:rsidRPr="00D337FA">
        <w:rPr>
          <w:szCs w:val="24"/>
        </w:rPr>
        <w:t>форумах,</w:t>
      </w:r>
      <w:r w:rsidR="006C680D" w:rsidRPr="00D337FA">
        <w:rPr>
          <w:szCs w:val="24"/>
        </w:rPr>
        <w:t xml:space="preserve"> </w:t>
      </w:r>
      <w:r w:rsidRPr="00D337FA">
        <w:rPr>
          <w:szCs w:val="24"/>
        </w:rPr>
        <w:t>конференциях,</w:t>
      </w:r>
      <w:r w:rsidR="006C680D" w:rsidRPr="00D337FA">
        <w:rPr>
          <w:szCs w:val="24"/>
        </w:rPr>
        <w:t xml:space="preserve"> </w:t>
      </w:r>
      <w:r w:rsidRPr="00D337FA">
        <w:rPr>
          <w:szCs w:val="24"/>
        </w:rPr>
        <w:t>семинарах</w:t>
      </w:r>
      <w:r w:rsidR="00C8298C" w:rsidRPr="00D337FA">
        <w:rPr>
          <w:szCs w:val="24"/>
        </w:rPr>
        <w:t>;</w:t>
      </w:r>
    </w:p>
    <w:p w:rsidR="00826D3F" w:rsidRPr="00D337FA" w:rsidRDefault="00826D3F" w:rsidP="00826D3F">
      <w:pPr>
        <w:ind w:firstLine="284"/>
        <w:rPr>
          <w:szCs w:val="24"/>
        </w:rPr>
      </w:pPr>
      <w:r w:rsidRPr="00D337FA">
        <w:rPr>
          <w:szCs w:val="24"/>
        </w:rPr>
        <w:t>-</w:t>
      </w:r>
      <w:r w:rsidR="006C680D" w:rsidRPr="00D337FA">
        <w:rPr>
          <w:szCs w:val="24"/>
        </w:rPr>
        <w:t xml:space="preserve"> </w:t>
      </w:r>
      <w:r w:rsidR="00C8298C" w:rsidRPr="00D337FA">
        <w:rPr>
          <w:szCs w:val="24"/>
        </w:rPr>
        <w:t>в</w:t>
      </w:r>
      <w:r w:rsidRPr="00D337FA">
        <w:rPr>
          <w:szCs w:val="24"/>
        </w:rPr>
        <w:t>недрение</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динамических</w:t>
      </w:r>
      <w:r w:rsidR="006C680D" w:rsidRPr="00D337FA">
        <w:rPr>
          <w:szCs w:val="24"/>
        </w:rPr>
        <w:t xml:space="preserve"> </w:t>
      </w:r>
      <w:r w:rsidRPr="00D337FA">
        <w:rPr>
          <w:szCs w:val="24"/>
        </w:rPr>
        <w:t>субсидий</w:t>
      </w:r>
      <w:r w:rsidR="006C680D" w:rsidRPr="00D337FA">
        <w:rPr>
          <w:szCs w:val="24"/>
        </w:rPr>
        <w:t xml:space="preserve"> </w:t>
      </w:r>
      <w:r w:rsidRPr="00D337FA">
        <w:rPr>
          <w:szCs w:val="24"/>
        </w:rPr>
        <w:t>по</w:t>
      </w:r>
      <w:r w:rsidR="006C680D" w:rsidRPr="00D337FA">
        <w:rPr>
          <w:szCs w:val="24"/>
        </w:rPr>
        <w:t xml:space="preserve"> </w:t>
      </w:r>
      <w:r w:rsidRPr="00D337FA">
        <w:rPr>
          <w:szCs w:val="24"/>
        </w:rPr>
        <w:t>результату</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стратегически</w:t>
      </w:r>
      <w:r w:rsidR="006C680D" w:rsidRPr="00D337FA">
        <w:rPr>
          <w:szCs w:val="24"/>
        </w:rPr>
        <w:t xml:space="preserve"> </w:t>
      </w:r>
      <w:r w:rsidRPr="00D337FA">
        <w:rPr>
          <w:szCs w:val="24"/>
        </w:rPr>
        <w:t>важном</w:t>
      </w:r>
      <w:r w:rsidR="006C680D" w:rsidRPr="00D337FA">
        <w:rPr>
          <w:szCs w:val="24"/>
        </w:rPr>
        <w:t xml:space="preserve"> </w:t>
      </w:r>
      <w:r w:rsidRPr="00D337FA">
        <w:rPr>
          <w:szCs w:val="24"/>
        </w:rPr>
        <w:t>кластере</w:t>
      </w:r>
      <w:r w:rsidR="006C680D" w:rsidRPr="00D337FA">
        <w:rPr>
          <w:szCs w:val="24"/>
        </w:rPr>
        <w:t xml:space="preserve"> </w:t>
      </w:r>
      <w:r w:rsidRPr="00D337FA">
        <w:rPr>
          <w:szCs w:val="24"/>
        </w:rPr>
        <w:t>АПК,</w:t>
      </w:r>
      <w:r w:rsidR="006C680D" w:rsidRPr="00D337FA">
        <w:rPr>
          <w:szCs w:val="24"/>
        </w:rPr>
        <w:t xml:space="preserve"> </w:t>
      </w:r>
      <w:r w:rsidRPr="00D337FA">
        <w:rPr>
          <w:szCs w:val="24"/>
        </w:rPr>
        <w:t>где</w:t>
      </w:r>
      <w:r w:rsidR="006C680D" w:rsidRPr="00D337FA">
        <w:rPr>
          <w:szCs w:val="24"/>
        </w:rPr>
        <w:t xml:space="preserve"> </w:t>
      </w:r>
      <w:r w:rsidRPr="00D337FA">
        <w:rPr>
          <w:szCs w:val="24"/>
        </w:rPr>
        <w:t>выплаты</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зависеть</w:t>
      </w:r>
      <w:r w:rsidR="006C680D" w:rsidRPr="00D337FA">
        <w:rPr>
          <w:szCs w:val="24"/>
        </w:rPr>
        <w:t xml:space="preserve"> </w:t>
      </w:r>
      <w:r w:rsidRPr="00D337FA">
        <w:rPr>
          <w:szCs w:val="24"/>
        </w:rPr>
        <w:t>от</w:t>
      </w:r>
      <w:r w:rsidR="006C680D" w:rsidRPr="00D337FA">
        <w:rPr>
          <w:szCs w:val="24"/>
        </w:rPr>
        <w:t xml:space="preserve"> </w:t>
      </w:r>
      <w:r w:rsidRPr="00D337FA">
        <w:rPr>
          <w:szCs w:val="24"/>
        </w:rPr>
        <w:t>реальных</w:t>
      </w:r>
      <w:r w:rsidR="006C680D" w:rsidRPr="00D337FA">
        <w:rPr>
          <w:szCs w:val="24"/>
        </w:rPr>
        <w:t xml:space="preserve"> </w:t>
      </w:r>
      <w:r w:rsidRPr="00D337FA">
        <w:rPr>
          <w:szCs w:val="24"/>
        </w:rPr>
        <w:t>показателей</w:t>
      </w:r>
      <w:r w:rsidR="006C680D" w:rsidRPr="00D337FA">
        <w:rPr>
          <w:szCs w:val="24"/>
        </w:rPr>
        <w:t xml:space="preserve"> </w:t>
      </w:r>
      <w:r w:rsidRPr="00D337FA">
        <w:rPr>
          <w:szCs w:val="24"/>
        </w:rPr>
        <w:t>компании</w:t>
      </w:r>
      <w:r w:rsidR="006C680D" w:rsidRPr="00D337FA">
        <w:rPr>
          <w:szCs w:val="24"/>
        </w:rPr>
        <w:t xml:space="preserve"> </w:t>
      </w:r>
      <w:r w:rsidRPr="00D337FA">
        <w:rPr>
          <w:szCs w:val="24"/>
        </w:rPr>
        <w:t>в</w:t>
      </w:r>
      <w:r w:rsidR="006C680D" w:rsidRPr="00D337FA">
        <w:rPr>
          <w:szCs w:val="24"/>
        </w:rPr>
        <w:t xml:space="preserve"> </w:t>
      </w:r>
      <w:r w:rsidRPr="00D337FA">
        <w:rPr>
          <w:szCs w:val="24"/>
        </w:rPr>
        <w:t>полном</w:t>
      </w:r>
      <w:r w:rsidR="006C680D" w:rsidRPr="00D337FA">
        <w:rPr>
          <w:szCs w:val="24"/>
        </w:rPr>
        <w:t xml:space="preserve"> </w:t>
      </w:r>
      <w:r w:rsidRPr="00D337FA">
        <w:rPr>
          <w:szCs w:val="24"/>
        </w:rPr>
        <w:t>цикле</w:t>
      </w:r>
      <w:r w:rsidR="006C680D" w:rsidRPr="00D337FA">
        <w:rPr>
          <w:szCs w:val="24"/>
        </w:rPr>
        <w:t xml:space="preserve"> </w:t>
      </w:r>
      <w:r w:rsidRPr="00D337FA">
        <w:rPr>
          <w:szCs w:val="24"/>
        </w:rPr>
        <w:t>их</w:t>
      </w:r>
      <w:r w:rsidR="006C680D" w:rsidRPr="00D337FA">
        <w:rPr>
          <w:szCs w:val="24"/>
        </w:rPr>
        <w:t xml:space="preserve"> </w:t>
      </w:r>
      <w:r w:rsidRPr="00D337FA">
        <w:rPr>
          <w:szCs w:val="24"/>
        </w:rPr>
        <w:t>работы,</w:t>
      </w:r>
      <w:r w:rsidR="006C680D" w:rsidRPr="00D337FA">
        <w:rPr>
          <w:szCs w:val="24"/>
        </w:rPr>
        <w:t xml:space="preserve"> </w:t>
      </w:r>
      <w:r w:rsidRPr="00D337FA">
        <w:rPr>
          <w:szCs w:val="24"/>
        </w:rPr>
        <w:t>что</w:t>
      </w:r>
      <w:r w:rsidR="006C680D" w:rsidRPr="00D337FA">
        <w:rPr>
          <w:szCs w:val="24"/>
        </w:rPr>
        <w:t xml:space="preserve"> </w:t>
      </w:r>
      <w:r w:rsidRPr="00D337FA">
        <w:rPr>
          <w:szCs w:val="24"/>
        </w:rPr>
        <w:t>будет</w:t>
      </w:r>
      <w:r w:rsidR="006C680D" w:rsidRPr="00D337FA">
        <w:rPr>
          <w:szCs w:val="24"/>
        </w:rPr>
        <w:t xml:space="preserve"> </w:t>
      </w:r>
      <w:r w:rsidRPr="00D337FA">
        <w:rPr>
          <w:szCs w:val="24"/>
        </w:rPr>
        <w:t>стимулировать</w:t>
      </w:r>
      <w:r w:rsidR="006C680D" w:rsidRPr="00D337FA">
        <w:rPr>
          <w:szCs w:val="24"/>
        </w:rPr>
        <w:t xml:space="preserve"> </w:t>
      </w:r>
      <w:r w:rsidRPr="00D337FA">
        <w:rPr>
          <w:szCs w:val="24"/>
        </w:rPr>
        <w:t>их</w:t>
      </w:r>
      <w:r w:rsidR="006C680D" w:rsidRPr="00D337FA">
        <w:rPr>
          <w:szCs w:val="24"/>
        </w:rPr>
        <w:t xml:space="preserve"> </w:t>
      </w:r>
      <w:r w:rsidRPr="00D337FA">
        <w:rPr>
          <w:szCs w:val="24"/>
        </w:rPr>
        <w:t>постоянному</w:t>
      </w:r>
      <w:r w:rsidR="006C680D" w:rsidRPr="00D337FA">
        <w:rPr>
          <w:szCs w:val="24"/>
        </w:rPr>
        <w:t xml:space="preserve"> </w:t>
      </w:r>
      <w:r w:rsidRPr="00D337FA">
        <w:rPr>
          <w:szCs w:val="24"/>
        </w:rPr>
        <w:t>повышению</w:t>
      </w:r>
      <w:r w:rsidR="006C680D" w:rsidRPr="00D337FA">
        <w:rPr>
          <w:szCs w:val="24"/>
        </w:rPr>
        <w:t xml:space="preserve"> </w:t>
      </w:r>
      <w:r w:rsidRPr="00D337FA">
        <w:rPr>
          <w:szCs w:val="24"/>
        </w:rPr>
        <w:t>эффективности</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[18]</w:t>
      </w:r>
      <w:r w:rsidR="00C8298C" w:rsidRPr="00D337FA">
        <w:rPr>
          <w:szCs w:val="24"/>
        </w:rPr>
        <w:t>;</w:t>
      </w:r>
    </w:p>
    <w:p w:rsidR="00826D3F" w:rsidRPr="00D337FA" w:rsidRDefault="00826D3F" w:rsidP="00826D3F">
      <w:pPr>
        <w:ind w:firstLine="284"/>
        <w:rPr>
          <w:szCs w:val="24"/>
        </w:rPr>
      </w:pPr>
      <w:r w:rsidRPr="00D337FA">
        <w:rPr>
          <w:szCs w:val="24"/>
        </w:rPr>
        <w:t>-</w:t>
      </w:r>
      <w:r w:rsidR="006C680D" w:rsidRPr="00D337FA">
        <w:rPr>
          <w:szCs w:val="24"/>
        </w:rPr>
        <w:t xml:space="preserve"> </w:t>
      </w:r>
      <w:r w:rsidR="00C8298C" w:rsidRPr="00D337FA">
        <w:rPr>
          <w:szCs w:val="24"/>
        </w:rPr>
        <w:t>с</w:t>
      </w:r>
      <w:r w:rsidRPr="00D337FA">
        <w:rPr>
          <w:szCs w:val="24"/>
        </w:rPr>
        <w:t>оздание</w:t>
      </w:r>
      <w:r w:rsidR="006C680D" w:rsidRPr="00D337FA">
        <w:rPr>
          <w:szCs w:val="24"/>
        </w:rPr>
        <w:t xml:space="preserve"> </w:t>
      </w:r>
      <w:r w:rsidRPr="00D337FA">
        <w:rPr>
          <w:szCs w:val="24"/>
        </w:rPr>
        <w:t>объединений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кооперативов,</w:t>
      </w:r>
      <w:r w:rsidR="006C680D" w:rsidRPr="00D337FA">
        <w:rPr>
          <w:szCs w:val="24"/>
        </w:rPr>
        <w:t xml:space="preserve"> </w:t>
      </w:r>
      <w:r w:rsidRPr="00D337FA">
        <w:rPr>
          <w:szCs w:val="24"/>
        </w:rPr>
        <w:t>как</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средних</w:t>
      </w:r>
      <w:r w:rsidR="006C680D" w:rsidRPr="00D337FA">
        <w:rPr>
          <w:szCs w:val="24"/>
        </w:rPr>
        <w:t xml:space="preserve"> </w:t>
      </w:r>
      <w:r w:rsidRPr="00D337FA">
        <w:rPr>
          <w:szCs w:val="24"/>
        </w:rPr>
        <w:t>организаций,</w:t>
      </w:r>
      <w:r w:rsidR="006C680D" w:rsidRPr="00D337FA">
        <w:rPr>
          <w:szCs w:val="24"/>
        </w:rPr>
        <w:t xml:space="preserve"> </w:t>
      </w:r>
      <w:r w:rsidRPr="00D337FA">
        <w:rPr>
          <w:szCs w:val="24"/>
        </w:rPr>
        <w:t>ориентированных</w:t>
      </w:r>
      <w:r w:rsidR="006C680D" w:rsidRPr="00D337FA">
        <w:rPr>
          <w:szCs w:val="24"/>
        </w:rPr>
        <w:t xml:space="preserve"> </w:t>
      </w:r>
      <w:r w:rsidRPr="00D337FA">
        <w:rPr>
          <w:szCs w:val="24"/>
        </w:rPr>
        <w:t>на</w:t>
      </w:r>
      <w:r w:rsidR="006C680D" w:rsidRPr="00D337FA">
        <w:rPr>
          <w:szCs w:val="24"/>
        </w:rPr>
        <w:t xml:space="preserve"> </w:t>
      </w:r>
      <w:r w:rsidRPr="00D337FA">
        <w:rPr>
          <w:szCs w:val="24"/>
        </w:rPr>
        <w:t>совместную</w:t>
      </w:r>
      <w:r w:rsidR="006C680D" w:rsidRPr="00D337FA">
        <w:rPr>
          <w:szCs w:val="24"/>
        </w:rPr>
        <w:t xml:space="preserve"> </w:t>
      </w:r>
      <w:r w:rsidRPr="00D337FA">
        <w:rPr>
          <w:szCs w:val="24"/>
        </w:rPr>
        <w:t>реализацию</w:t>
      </w:r>
      <w:r w:rsidR="006C680D" w:rsidRPr="00D337FA">
        <w:rPr>
          <w:szCs w:val="24"/>
        </w:rPr>
        <w:t xml:space="preserve"> </w:t>
      </w:r>
      <w:r w:rsidRPr="00D337FA">
        <w:rPr>
          <w:szCs w:val="24"/>
        </w:rPr>
        <w:t>инновационных</w:t>
      </w:r>
      <w:r w:rsidR="006C680D" w:rsidRPr="00D337FA">
        <w:rPr>
          <w:szCs w:val="24"/>
        </w:rPr>
        <w:t xml:space="preserve"> </w:t>
      </w:r>
      <w:r w:rsidRPr="00D337FA">
        <w:rPr>
          <w:szCs w:val="24"/>
        </w:rPr>
        <w:t>бизнес-проектов,</w:t>
      </w:r>
      <w:r w:rsidR="006C680D" w:rsidRPr="00D337FA">
        <w:rPr>
          <w:szCs w:val="24"/>
        </w:rPr>
        <w:t xml:space="preserve"> </w:t>
      </w:r>
      <w:r w:rsidRPr="00D337FA">
        <w:rPr>
          <w:szCs w:val="24"/>
        </w:rPr>
        <w:t>способных</w:t>
      </w:r>
      <w:r w:rsidR="006C680D" w:rsidRPr="00D337FA">
        <w:rPr>
          <w:szCs w:val="24"/>
        </w:rPr>
        <w:t xml:space="preserve"> </w:t>
      </w:r>
      <w:r w:rsidRPr="00D337FA">
        <w:rPr>
          <w:szCs w:val="24"/>
        </w:rPr>
        <w:t>оказать</w:t>
      </w:r>
      <w:r w:rsidR="006C680D" w:rsidRPr="00D337FA">
        <w:rPr>
          <w:szCs w:val="24"/>
        </w:rPr>
        <w:t xml:space="preserve"> </w:t>
      </w:r>
      <w:r w:rsidRPr="00D337FA">
        <w:rPr>
          <w:szCs w:val="24"/>
        </w:rPr>
        <w:t>влияние</w:t>
      </w:r>
      <w:r w:rsidR="006C680D" w:rsidRPr="00D337FA">
        <w:rPr>
          <w:szCs w:val="24"/>
        </w:rPr>
        <w:t xml:space="preserve"> </w:t>
      </w:r>
      <w:r w:rsidRPr="00D337FA">
        <w:rPr>
          <w:szCs w:val="24"/>
        </w:rPr>
        <w:t>на</w:t>
      </w:r>
      <w:r w:rsidR="006C680D" w:rsidRPr="00D337FA">
        <w:rPr>
          <w:szCs w:val="24"/>
        </w:rPr>
        <w:t xml:space="preserve"> </w:t>
      </w:r>
      <w:r w:rsidRPr="00D337FA">
        <w:rPr>
          <w:szCs w:val="24"/>
        </w:rPr>
        <w:t>весь</w:t>
      </w:r>
      <w:r w:rsidR="006C680D" w:rsidRPr="00D337FA">
        <w:rPr>
          <w:szCs w:val="24"/>
        </w:rPr>
        <w:t xml:space="preserve"> </w:t>
      </w:r>
      <w:r w:rsidRPr="00D337FA">
        <w:rPr>
          <w:szCs w:val="24"/>
        </w:rPr>
        <w:t>АПК.</w:t>
      </w:r>
      <w:r w:rsidR="006C680D" w:rsidRPr="00D337FA">
        <w:rPr>
          <w:szCs w:val="24"/>
        </w:rPr>
        <w:t xml:space="preserve"> </w:t>
      </w:r>
      <w:r w:rsidRPr="00D337FA">
        <w:rPr>
          <w:szCs w:val="24"/>
        </w:rPr>
        <w:t>Для</w:t>
      </w:r>
      <w:r w:rsidR="006C680D" w:rsidRPr="00D337FA">
        <w:rPr>
          <w:szCs w:val="24"/>
        </w:rPr>
        <w:t xml:space="preserve"> </w:t>
      </w:r>
      <w:r w:rsidRPr="00D337FA">
        <w:rPr>
          <w:szCs w:val="24"/>
        </w:rPr>
        <w:t>их</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должны</w:t>
      </w:r>
      <w:r w:rsidR="006C680D" w:rsidRPr="00D337FA">
        <w:rPr>
          <w:szCs w:val="24"/>
        </w:rPr>
        <w:t xml:space="preserve"> </w:t>
      </w:r>
      <w:r w:rsidRPr="00D337FA">
        <w:rPr>
          <w:szCs w:val="24"/>
        </w:rPr>
        <w:t>вводиться</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стимулирующие</w:t>
      </w:r>
      <w:r w:rsidR="006C680D" w:rsidRPr="00D337FA">
        <w:rPr>
          <w:szCs w:val="24"/>
        </w:rPr>
        <w:t xml:space="preserve"> </w:t>
      </w:r>
      <w:r w:rsidRPr="00D337FA">
        <w:rPr>
          <w:szCs w:val="24"/>
        </w:rPr>
        <w:t>меры</w:t>
      </w:r>
      <w:r w:rsidR="006C680D" w:rsidRPr="00D337FA">
        <w:rPr>
          <w:szCs w:val="24"/>
        </w:rPr>
        <w:t xml:space="preserve"> </w:t>
      </w:r>
      <w:r w:rsidRPr="00D337FA">
        <w:rPr>
          <w:szCs w:val="24"/>
        </w:rPr>
        <w:t>–</w:t>
      </w:r>
      <w:r w:rsidR="006C680D" w:rsidRPr="00D337FA">
        <w:rPr>
          <w:szCs w:val="24"/>
        </w:rPr>
        <w:t xml:space="preserve"> </w:t>
      </w:r>
      <w:r w:rsidRPr="00D337FA">
        <w:rPr>
          <w:szCs w:val="24"/>
        </w:rPr>
        <w:t>налоговые</w:t>
      </w:r>
      <w:r w:rsidR="006C680D" w:rsidRPr="00D337FA">
        <w:rPr>
          <w:szCs w:val="24"/>
        </w:rPr>
        <w:t xml:space="preserve"> </w:t>
      </w:r>
      <w:r w:rsidRPr="00D337FA">
        <w:rPr>
          <w:szCs w:val="24"/>
        </w:rPr>
        <w:t>преференции,</w:t>
      </w:r>
      <w:r w:rsidR="006C680D" w:rsidRPr="00D337FA">
        <w:rPr>
          <w:szCs w:val="24"/>
        </w:rPr>
        <w:t xml:space="preserve"> </w:t>
      </w:r>
      <w:r w:rsidRPr="00D337FA">
        <w:rPr>
          <w:szCs w:val="24"/>
        </w:rPr>
        <w:t>гранты,</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софинансирования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многое</w:t>
      </w:r>
      <w:r w:rsidR="006C680D" w:rsidRPr="00D337FA">
        <w:rPr>
          <w:szCs w:val="24"/>
        </w:rPr>
        <w:t xml:space="preserve"> </w:t>
      </w:r>
      <w:r w:rsidRPr="00D337FA">
        <w:rPr>
          <w:szCs w:val="24"/>
        </w:rPr>
        <w:t>другое</w:t>
      </w:r>
      <w:r w:rsidR="00C8298C" w:rsidRPr="00D337FA">
        <w:rPr>
          <w:szCs w:val="24"/>
        </w:rPr>
        <w:t>;</w:t>
      </w:r>
    </w:p>
    <w:p w:rsidR="00826D3F" w:rsidRPr="00D337FA" w:rsidRDefault="00826D3F" w:rsidP="00826D3F">
      <w:pPr>
        <w:ind w:firstLine="284"/>
        <w:rPr>
          <w:szCs w:val="24"/>
        </w:rPr>
      </w:pPr>
      <w:r w:rsidRPr="00D337FA">
        <w:rPr>
          <w:szCs w:val="24"/>
        </w:rPr>
        <w:t>-</w:t>
      </w:r>
      <w:r w:rsidR="006C680D" w:rsidRPr="00D337FA">
        <w:rPr>
          <w:szCs w:val="24"/>
        </w:rPr>
        <w:t xml:space="preserve"> </w:t>
      </w:r>
      <w:r w:rsidR="00C8298C" w:rsidRPr="00D337FA">
        <w:rPr>
          <w:szCs w:val="24"/>
        </w:rPr>
        <w:t>з</w:t>
      </w:r>
      <w:r w:rsidRPr="00D337FA">
        <w:rPr>
          <w:szCs w:val="24"/>
        </w:rPr>
        <w:t>апуск</w:t>
      </w:r>
      <w:r w:rsidR="006C680D" w:rsidRPr="00D337FA">
        <w:rPr>
          <w:szCs w:val="24"/>
        </w:rPr>
        <w:t xml:space="preserve"> </w:t>
      </w:r>
      <w:r w:rsidRPr="00D337FA">
        <w:rPr>
          <w:szCs w:val="24"/>
        </w:rPr>
        <w:t>региональных</w:t>
      </w:r>
      <w:r w:rsidR="006C680D" w:rsidRPr="00D337FA">
        <w:rPr>
          <w:szCs w:val="24"/>
        </w:rPr>
        <w:t xml:space="preserve"> </w:t>
      </w:r>
      <w:r w:rsidRPr="00D337FA">
        <w:rPr>
          <w:szCs w:val="24"/>
        </w:rPr>
        <w:t>«хабов»</w:t>
      </w:r>
      <w:r w:rsidR="006C680D" w:rsidRPr="00D337FA">
        <w:rPr>
          <w:szCs w:val="24"/>
        </w:rPr>
        <w:t xml:space="preserve"> </w:t>
      </w:r>
      <w:r w:rsidRPr="00D337FA">
        <w:rPr>
          <w:szCs w:val="24"/>
        </w:rPr>
        <w:t>всестороннего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АПК,</w:t>
      </w:r>
      <w:r w:rsidR="006C680D" w:rsidRPr="00D337FA">
        <w:rPr>
          <w:szCs w:val="24"/>
        </w:rPr>
        <w:t xml:space="preserve"> </w:t>
      </w:r>
      <w:r w:rsidRPr="00D337FA">
        <w:rPr>
          <w:szCs w:val="24"/>
        </w:rPr>
        <w:t>как</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программ</w:t>
      </w:r>
      <w:r w:rsidR="006C680D" w:rsidRPr="00D337FA">
        <w:rPr>
          <w:szCs w:val="24"/>
        </w:rPr>
        <w:t xml:space="preserve"> </w:t>
      </w:r>
      <w:r w:rsidRPr="00D337FA">
        <w:rPr>
          <w:szCs w:val="24"/>
        </w:rPr>
        <w:t>повышения</w:t>
      </w:r>
      <w:r w:rsidR="006C680D" w:rsidRPr="00D337FA">
        <w:rPr>
          <w:szCs w:val="24"/>
        </w:rPr>
        <w:t xml:space="preserve"> </w:t>
      </w:r>
      <w:r w:rsidRPr="00D337FA">
        <w:rPr>
          <w:szCs w:val="24"/>
        </w:rPr>
        <w:t>квалификации,</w:t>
      </w:r>
      <w:r w:rsidR="006C680D" w:rsidRPr="00D337FA">
        <w:rPr>
          <w:szCs w:val="24"/>
        </w:rPr>
        <w:t xml:space="preserve"> </w:t>
      </w:r>
      <w:r w:rsidRPr="00D337FA">
        <w:rPr>
          <w:szCs w:val="24"/>
        </w:rPr>
        <w:t>трудоустройства,</w:t>
      </w:r>
      <w:r w:rsidR="006C680D" w:rsidRPr="00D337FA">
        <w:rPr>
          <w:szCs w:val="24"/>
        </w:rPr>
        <w:t xml:space="preserve"> </w:t>
      </w:r>
      <w:r w:rsidRPr="00D337FA">
        <w:rPr>
          <w:szCs w:val="24"/>
        </w:rPr>
        <w:t>программ</w:t>
      </w:r>
      <w:r w:rsidR="006C680D" w:rsidRPr="00D337FA">
        <w:rPr>
          <w:szCs w:val="24"/>
        </w:rPr>
        <w:t xml:space="preserve"> </w:t>
      </w:r>
      <w:r w:rsidRPr="00D337FA">
        <w:rPr>
          <w:szCs w:val="24"/>
        </w:rPr>
        <w:t>стажировок</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формирования</w:t>
      </w:r>
      <w:r w:rsidR="006C680D" w:rsidRPr="00D337FA">
        <w:rPr>
          <w:szCs w:val="24"/>
        </w:rPr>
        <w:t xml:space="preserve"> </w:t>
      </w:r>
      <w:r w:rsidRPr="00D337FA">
        <w:rPr>
          <w:szCs w:val="24"/>
        </w:rPr>
        <w:t>точек</w:t>
      </w:r>
      <w:r w:rsidR="006C680D" w:rsidRPr="00D337FA">
        <w:rPr>
          <w:szCs w:val="24"/>
        </w:rPr>
        <w:t xml:space="preserve"> </w:t>
      </w:r>
      <w:r w:rsidRPr="00D337FA">
        <w:rPr>
          <w:szCs w:val="24"/>
        </w:rPr>
        <w:t>притяжения</w:t>
      </w:r>
      <w:r w:rsidR="006C680D" w:rsidRPr="00D337FA">
        <w:rPr>
          <w:szCs w:val="24"/>
        </w:rPr>
        <w:t xml:space="preserve"> </w:t>
      </w:r>
      <w:r w:rsidRPr="00D337FA">
        <w:rPr>
          <w:szCs w:val="24"/>
        </w:rPr>
        <w:t>инновационных</w:t>
      </w:r>
      <w:r w:rsidR="006C680D" w:rsidRPr="00D337FA">
        <w:rPr>
          <w:szCs w:val="24"/>
        </w:rPr>
        <w:t xml:space="preserve"> </w:t>
      </w:r>
      <w:r w:rsidRPr="00D337FA">
        <w:rPr>
          <w:szCs w:val="24"/>
        </w:rPr>
        <w:t>проектов,</w:t>
      </w:r>
      <w:r w:rsidR="006C680D" w:rsidRPr="00D337FA">
        <w:rPr>
          <w:szCs w:val="24"/>
        </w:rPr>
        <w:t xml:space="preserve"> </w:t>
      </w:r>
      <w:r w:rsidRPr="00D337FA">
        <w:rPr>
          <w:szCs w:val="24"/>
        </w:rPr>
        <w:t>требующих</w:t>
      </w:r>
      <w:r w:rsidR="006C680D" w:rsidRPr="00D337FA">
        <w:rPr>
          <w:szCs w:val="24"/>
        </w:rPr>
        <w:t xml:space="preserve"> </w:t>
      </w:r>
      <w:r w:rsidRPr="00D337FA">
        <w:rPr>
          <w:szCs w:val="24"/>
        </w:rPr>
        <w:t>кооперации</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участников</w:t>
      </w:r>
      <w:r w:rsidR="006C680D" w:rsidRPr="00D337FA">
        <w:rPr>
          <w:szCs w:val="24"/>
        </w:rPr>
        <w:t xml:space="preserve"> </w:t>
      </w:r>
      <w:r w:rsidRPr="00D337FA">
        <w:rPr>
          <w:szCs w:val="24"/>
        </w:rPr>
        <w:t>бизнес-</w:t>
      </w:r>
      <w:r w:rsidRPr="00D337FA">
        <w:rPr>
          <w:szCs w:val="24"/>
        </w:rPr>
        <w:lastRenderedPageBreak/>
        <w:t>сообщества</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w:t>
      </w:r>
      <w:r w:rsidR="00C8298C" w:rsidRPr="00D337FA">
        <w:rPr>
          <w:szCs w:val="24"/>
        </w:rPr>
        <w:t>о</w:t>
      </w:r>
      <w:r w:rsidR="006C680D" w:rsidRPr="00D337FA">
        <w:rPr>
          <w:szCs w:val="24"/>
        </w:rPr>
        <w:t xml:space="preserve"> </w:t>
      </w:r>
      <w:r w:rsidR="00C8298C" w:rsidRPr="00D337FA">
        <w:rPr>
          <w:szCs w:val="24"/>
        </w:rPr>
        <w:t>из</w:t>
      </w:r>
      <w:r w:rsidR="006C680D" w:rsidRPr="00D337FA">
        <w:rPr>
          <w:szCs w:val="24"/>
        </w:rPr>
        <w:t xml:space="preserve"> </w:t>
      </w:r>
      <w:r w:rsidR="00C8298C" w:rsidRPr="00D337FA">
        <w:rPr>
          <w:szCs w:val="24"/>
        </w:rPr>
        <w:t>сельскохозяйственной</w:t>
      </w:r>
      <w:r w:rsidR="006C680D" w:rsidRPr="00D337FA">
        <w:rPr>
          <w:szCs w:val="24"/>
        </w:rPr>
        <w:t xml:space="preserve"> </w:t>
      </w:r>
      <w:r w:rsidR="00C8298C" w:rsidRPr="00D337FA">
        <w:rPr>
          <w:szCs w:val="24"/>
        </w:rPr>
        <w:t>сферы;</w:t>
      </w:r>
    </w:p>
    <w:p w:rsidR="00826D3F" w:rsidRPr="00D337FA" w:rsidRDefault="00826D3F" w:rsidP="00826D3F">
      <w:pPr>
        <w:ind w:firstLine="284"/>
        <w:rPr>
          <w:szCs w:val="24"/>
        </w:rPr>
      </w:pPr>
      <w:r w:rsidRPr="00D337FA">
        <w:rPr>
          <w:szCs w:val="24"/>
        </w:rPr>
        <w:t>-</w:t>
      </w:r>
      <w:r w:rsidR="006C680D" w:rsidRPr="00D337FA">
        <w:rPr>
          <w:szCs w:val="24"/>
        </w:rPr>
        <w:t xml:space="preserve"> </w:t>
      </w:r>
      <w:r w:rsidR="00C8298C" w:rsidRPr="00D337FA">
        <w:rPr>
          <w:szCs w:val="24"/>
        </w:rPr>
        <w:t>у</w:t>
      </w:r>
      <w:r w:rsidRPr="00D337FA">
        <w:rPr>
          <w:szCs w:val="24"/>
        </w:rPr>
        <w:t>величение</w:t>
      </w:r>
      <w:r w:rsidR="006C680D" w:rsidRPr="00D337FA">
        <w:rPr>
          <w:szCs w:val="24"/>
        </w:rPr>
        <w:t xml:space="preserve"> </w:t>
      </w:r>
      <w:r w:rsidRPr="00D337FA">
        <w:rPr>
          <w:szCs w:val="24"/>
        </w:rPr>
        <w:t>количества</w:t>
      </w:r>
      <w:r w:rsidR="006C680D" w:rsidRPr="00D337FA">
        <w:rPr>
          <w:szCs w:val="24"/>
        </w:rPr>
        <w:t xml:space="preserve"> </w:t>
      </w:r>
      <w:r w:rsidRPr="00D337FA">
        <w:rPr>
          <w:szCs w:val="24"/>
        </w:rPr>
        <w:t>регулярных</w:t>
      </w:r>
      <w:r w:rsidR="006C680D" w:rsidRPr="00D337FA">
        <w:rPr>
          <w:szCs w:val="24"/>
        </w:rPr>
        <w:t xml:space="preserve"> </w:t>
      </w:r>
      <w:r w:rsidRPr="00D337FA">
        <w:rPr>
          <w:szCs w:val="24"/>
        </w:rPr>
        <w:t>встреч</w:t>
      </w:r>
      <w:r w:rsidR="006C680D" w:rsidRPr="00D337FA">
        <w:rPr>
          <w:szCs w:val="24"/>
        </w:rPr>
        <w:t xml:space="preserve"> </w:t>
      </w:r>
      <w:r w:rsidRPr="00D337FA">
        <w:rPr>
          <w:szCs w:val="24"/>
        </w:rPr>
        <w:t>с</w:t>
      </w:r>
      <w:r w:rsidR="006C680D" w:rsidRPr="00D337FA">
        <w:rPr>
          <w:szCs w:val="24"/>
        </w:rPr>
        <w:t xml:space="preserve"> </w:t>
      </w:r>
      <w:r w:rsidRPr="00D337FA">
        <w:rPr>
          <w:szCs w:val="24"/>
        </w:rPr>
        <w:t>участниками</w:t>
      </w:r>
      <w:r w:rsidR="006C680D" w:rsidRPr="00D337FA">
        <w:rPr>
          <w:szCs w:val="24"/>
        </w:rPr>
        <w:t xml:space="preserve"> </w:t>
      </w:r>
      <w:r w:rsidRPr="00D337FA">
        <w:rPr>
          <w:szCs w:val="24"/>
        </w:rPr>
        <w:t>бизнес-сообщества,</w:t>
      </w:r>
      <w:r w:rsidR="006C680D" w:rsidRPr="00D337FA">
        <w:rPr>
          <w:szCs w:val="24"/>
        </w:rPr>
        <w:t xml:space="preserve"> </w:t>
      </w:r>
      <w:r w:rsidRPr="00D337FA">
        <w:rPr>
          <w:szCs w:val="24"/>
        </w:rPr>
        <w:t>где</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представлены</w:t>
      </w:r>
      <w:r w:rsidR="006C680D" w:rsidRPr="00D337FA">
        <w:rPr>
          <w:szCs w:val="24"/>
        </w:rPr>
        <w:t xml:space="preserve"> </w:t>
      </w:r>
      <w:r w:rsidRPr="00D337FA">
        <w:rPr>
          <w:szCs w:val="24"/>
        </w:rPr>
        <w:t>как</w:t>
      </w:r>
      <w:r w:rsidR="006C680D" w:rsidRPr="00D337FA">
        <w:rPr>
          <w:szCs w:val="24"/>
        </w:rPr>
        <w:t xml:space="preserve"> </w:t>
      </w:r>
      <w:r w:rsidRPr="00D337FA">
        <w:rPr>
          <w:szCs w:val="24"/>
        </w:rPr>
        <w:t>крупные</w:t>
      </w:r>
      <w:r w:rsidR="006C680D" w:rsidRPr="00D337FA">
        <w:rPr>
          <w:szCs w:val="24"/>
        </w:rPr>
        <w:t xml:space="preserve"> </w:t>
      </w:r>
      <w:r w:rsidRPr="00D337FA">
        <w:rPr>
          <w:szCs w:val="24"/>
        </w:rPr>
        <w:t>агрохолдинги,</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малые</w:t>
      </w:r>
      <w:r w:rsidR="006C680D" w:rsidRPr="00D337FA">
        <w:rPr>
          <w:szCs w:val="24"/>
        </w:rPr>
        <w:t xml:space="preserve"> </w:t>
      </w:r>
      <w:r w:rsidRPr="00D337FA">
        <w:rPr>
          <w:szCs w:val="24"/>
        </w:rPr>
        <w:t>компании,</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часто</w:t>
      </w:r>
      <w:r w:rsidR="006C680D" w:rsidRPr="00D337FA">
        <w:rPr>
          <w:szCs w:val="24"/>
        </w:rPr>
        <w:t xml:space="preserve"> </w:t>
      </w:r>
      <w:r w:rsidRPr="00D337FA">
        <w:rPr>
          <w:szCs w:val="24"/>
        </w:rPr>
        <w:t>не</w:t>
      </w:r>
      <w:r w:rsidR="006C680D" w:rsidRPr="00D337FA">
        <w:rPr>
          <w:szCs w:val="24"/>
        </w:rPr>
        <w:t xml:space="preserve"> </w:t>
      </w:r>
      <w:r w:rsidRPr="00D337FA">
        <w:rPr>
          <w:szCs w:val="24"/>
        </w:rPr>
        <w:t>имеют</w:t>
      </w:r>
      <w:r w:rsidR="006C680D" w:rsidRPr="00D337FA">
        <w:rPr>
          <w:szCs w:val="24"/>
        </w:rPr>
        <w:t xml:space="preserve"> </w:t>
      </w:r>
      <w:r w:rsidRPr="00D337FA">
        <w:rPr>
          <w:szCs w:val="24"/>
        </w:rPr>
        <w:t>возможностей</w:t>
      </w:r>
      <w:r w:rsidR="006C680D" w:rsidRPr="00D337FA">
        <w:rPr>
          <w:szCs w:val="24"/>
        </w:rPr>
        <w:t xml:space="preserve"> </w:t>
      </w:r>
      <w:r w:rsidRPr="00D337FA">
        <w:rPr>
          <w:szCs w:val="24"/>
        </w:rPr>
        <w:t>высказать</w:t>
      </w:r>
      <w:r w:rsidR="006C680D" w:rsidRPr="00D337FA">
        <w:rPr>
          <w:szCs w:val="24"/>
        </w:rPr>
        <w:t xml:space="preserve"> </w:t>
      </w:r>
      <w:r w:rsidRPr="00D337FA">
        <w:rPr>
          <w:szCs w:val="24"/>
        </w:rPr>
        <w:t>свою</w:t>
      </w:r>
      <w:r w:rsidR="006C680D" w:rsidRPr="00D337FA">
        <w:rPr>
          <w:szCs w:val="24"/>
        </w:rPr>
        <w:t xml:space="preserve"> </w:t>
      </w:r>
      <w:r w:rsidRPr="00D337FA">
        <w:rPr>
          <w:szCs w:val="24"/>
        </w:rPr>
        <w:t>позицию</w:t>
      </w:r>
      <w:r w:rsidR="006C680D" w:rsidRPr="00D337FA">
        <w:rPr>
          <w:szCs w:val="24"/>
        </w:rPr>
        <w:t xml:space="preserve"> </w:t>
      </w:r>
      <w:r w:rsidRPr="00D337FA">
        <w:rPr>
          <w:szCs w:val="24"/>
        </w:rPr>
        <w:t>относительно</w:t>
      </w:r>
      <w:r w:rsidR="006C680D" w:rsidRPr="00D337FA">
        <w:rPr>
          <w:szCs w:val="24"/>
        </w:rPr>
        <w:t xml:space="preserve"> </w:t>
      </w:r>
      <w:r w:rsidRPr="00D337FA">
        <w:rPr>
          <w:szCs w:val="24"/>
        </w:rPr>
        <w:t>проблем,</w:t>
      </w:r>
      <w:r w:rsidR="006C680D" w:rsidRPr="00D337FA">
        <w:rPr>
          <w:szCs w:val="24"/>
        </w:rPr>
        <w:t xml:space="preserve"> </w:t>
      </w:r>
      <w:r w:rsidRPr="00D337FA">
        <w:rPr>
          <w:szCs w:val="24"/>
        </w:rPr>
        <w:t>с</w:t>
      </w:r>
      <w:r w:rsidR="006C680D" w:rsidRPr="00D337FA">
        <w:rPr>
          <w:szCs w:val="24"/>
        </w:rPr>
        <w:t xml:space="preserve"> </w:t>
      </w:r>
      <w:r w:rsidRPr="00D337FA">
        <w:rPr>
          <w:szCs w:val="24"/>
        </w:rPr>
        <w:t>которыми</w:t>
      </w:r>
      <w:r w:rsidR="006C680D" w:rsidRPr="00D337FA">
        <w:rPr>
          <w:szCs w:val="24"/>
        </w:rPr>
        <w:t xml:space="preserve"> </w:t>
      </w:r>
      <w:r w:rsidRPr="00D337FA">
        <w:rPr>
          <w:szCs w:val="24"/>
        </w:rPr>
        <w:t>они</w:t>
      </w:r>
      <w:r w:rsidR="006C680D" w:rsidRPr="00D337FA">
        <w:rPr>
          <w:szCs w:val="24"/>
        </w:rPr>
        <w:t xml:space="preserve"> </w:t>
      </w:r>
      <w:r w:rsidRPr="00D337FA">
        <w:rPr>
          <w:szCs w:val="24"/>
        </w:rPr>
        <w:t>ежедневно</w:t>
      </w:r>
      <w:r w:rsidR="006C680D" w:rsidRPr="00D337FA">
        <w:rPr>
          <w:szCs w:val="24"/>
        </w:rPr>
        <w:t xml:space="preserve"> </w:t>
      </w:r>
      <w:r w:rsidRPr="00D337FA">
        <w:rPr>
          <w:szCs w:val="24"/>
        </w:rPr>
        <w:t>сталкиваются.</w:t>
      </w:r>
      <w:r w:rsidR="006C680D" w:rsidRPr="00D337FA">
        <w:rPr>
          <w:szCs w:val="24"/>
        </w:rPr>
        <w:t xml:space="preserve"> </w:t>
      </w:r>
      <w:r w:rsidRPr="00D337FA">
        <w:rPr>
          <w:szCs w:val="24"/>
        </w:rPr>
        <w:t>Проведение</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мероприятий</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иметь</w:t>
      </w:r>
      <w:r w:rsidR="006C680D" w:rsidRPr="00D337FA">
        <w:rPr>
          <w:szCs w:val="24"/>
        </w:rPr>
        <w:t xml:space="preserve"> </w:t>
      </w:r>
      <w:r w:rsidRPr="00D337FA">
        <w:rPr>
          <w:szCs w:val="24"/>
        </w:rPr>
        <w:t>четко</w:t>
      </w:r>
      <w:r w:rsidR="006C680D" w:rsidRPr="00D337FA">
        <w:rPr>
          <w:szCs w:val="24"/>
        </w:rPr>
        <w:t xml:space="preserve"> </w:t>
      </w:r>
      <w:r w:rsidRPr="00D337FA">
        <w:rPr>
          <w:szCs w:val="24"/>
        </w:rPr>
        <w:t>сформированную</w:t>
      </w:r>
      <w:r w:rsidR="006C680D" w:rsidRPr="00D337FA">
        <w:rPr>
          <w:szCs w:val="24"/>
        </w:rPr>
        <w:t xml:space="preserve"> </w:t>
      </w:r>
      <w:r w:rsidRPr="00D337FA">
        <w:rPr>
          <w:szCs w:val="24"/>
        </w:rPr>
        <w:t>структуру,</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участники</w:t>
      </w:r>
      <w:r w:rsidR="006C680D" w:rsidRPr="00D337FA">
        <w:rPr>
          <w:szCs w:val="24"/>
        </w:rPr>
        <w:t xml:space="preserve"> </w:t>
      </w:r>
      <w:r w:rsidRPr="00D337FA">
        <w:rPr>
          <w:szCs w:val="24"/>
        </w:rPr>
        <w:t>смогут</w:t>
      </w:r>
      <w:r w:rsidR="006C680D" w:rsidRPr="00D337FA">
        <w:rPr>
          <w:szCs w:val="24"/>
        </w:rPr>
        <w:t xml:space="preserve"> </w:t>
      </w:r>
      <w:r w:rsidRPr="00D337FA">
        <w:rPr>
          <w:szCs w:val="24"/>
        </w:rPr>
        <w:t>построить</w:t>
      </w:r>
      <w:r w:rsidR="006C680D" w:rsidRPr="00D337FA">
        <w:rPr>
          <w:szCs w:val="24"/>
        </w:rPr>
        <w:t xml:space="preserve"> </w:t>
      </w:r>
      <w:r w:rsidRPr="00D337FA">
        <w:rPr>
          <w:szCs w:val="24"/>
        </w:rPr>
        <w:t>диалог,</w:t>
      </w:r>
      <w:r w:rsidR="006C680D" w:rsidRPr="00D337FA">
        <w:rPr>
          <w:szCs w:val="24"/>
        </w:rPr>
        <w:t xml:space="preserve"> </w:t>
      </w:r>
      <w:r w:rsidRPr="00D337FA">
        <w:rPr>
          <w:szCs w:val="24"/>
        </w:rPr>
        <w:t>обменяться</w:t>
      </w:r>
      <w:r w:rsidR="006C680D" w:rsidRPr="00D337FA">
        <w:rPr>
          <w:szCs w:val="24"/>
        </w:rPr>
        <w:t xml:space="preserve"> </w:t>
      </w:r>
      <w:r w:rsidRPr="00D337FA">
        <w:rPr>
          <w:szCs w:val="24"/>
        </w:rPr>
        <w:t>практиками</w:t>
      </w:r>
      <w:r w:rsidR="006C680D" w:rsidRPr="00D337FA">
        <w:rPr>
          <w:szCs w:val="24"/>
        </w:rPr>
        <w:t xml:space="preserve"> </w:t>
      </w:r>
      <w:r w:rsidRPr="00D337FA">
        <w:rPr>
          <w:szCs w:val="24"/>
        </w:rPr>
        <w:t>и</w:t>
      </w:r>
      <w:r w:rsidR="006C680D" w:rsidRPr="00D337FA">
        <w:rPr>
          <w:szCs w:val="24"/>
        </w:rPr>
        <w:t xml:space="preserve"> </w:t>
      </w:r>
      <w:r w:rsidRPr="00D337FA">
        <w:rPr>
          <w:szCs w:val="24"/>
        </w:rPr>
        <w:t>заняться</w:t>
      </w:r>
      <w:r w:rsidR="006C680D" w:rsidRPr="00D337FA">
        <w:rPr>
          <w:szCs w:val="24"/>
        </w:rPr>
        <w:t xml:space="preserve"> </w:t>
      </w:r>
      <w:r w:rsidRPr="00D337FA">
        <w:rPr>
          <w:szCs w:val="24"/>
        </w:rPr>
        <w:t>совместным</w:t>
      </w:r>
      <w:r w:rsidR="006C680D" w:rsidRPr="00D337FA">
        <w:rPr>
          <w:szCs w:val="24"/>
        </w:rPr>
        <w:t xml:space="preserve"> </w:t>
      </w:r>
      <w:r w:rsidRPr="00D337FA">
        <w:rPr>
          <w:szCs w:val="24"/>
        </w:rPr>
        <w:t>поиском</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После</w:t>
      </w:r>
      <w:r w:rsidR="006C680D" w:rsidRPr="00D337FA">
        <w:rPr>
          <w:szCs w:val="24"/>
        </w:rPr>
        <w:t xml:space="preserve"> </w:t>
      </w:r>
      <w:r w:rsidRPr="00D337FA">
        <w:rPr>
          <w:szCs w:val="24"/>
        </w:rPr>
        <w:t>чего</w:t>
      </w:r>
      <w:r w:rsidR="006C680D" w:rsidRPr="00D337FA">
        <w:rPr>
          <w:szCs w:val="24"/>
        </w:rPr>
        <w:t xml:space="preserve"> </w:t>
      </w:r>
      <w:r w:rsidRPr="00D337FA">
        <w:rPr>
          <w:szCs w:val="24"/>
        </w:rPr>
        <w:t>единым</w:t>
      </w:r>
      <w:r w:rsidR="006C680D" w:rsidRPr="00D337FA">
        <w:rPr>
          <w:szCs w:val="24"/>
        </w:rPr>
        <w:t xml:space="preserve"> </w:t>
      </w:r>
      <w:r w:rsidRPr="00D337FA">
        <w:rPr>
          <w:szCs w:val="24"/>
        </w:rPr>
        <w:t>коллегиальным</w:t>
      </w:r>
      <w:r w:rsidR="006C680D" w:rsidRPr="00D337FA">
        <w:rPr>
          <w:szCs w:val="24"/>
        </w:rPr>
        <w:t xml:space="preserve"> </w:t>
      </w:r>
      <w:r w:rsidRPr="00D337FA">
        <w:rPr>
          <w:szCs w:val="24"/>
        </w:rPr>
        <w:t>мнением,</w:t>
      </w:r>
      <w:r w:rsidR="006C680D" w:rsidRPr="00D337FA">
        <w:rPr>
          <w:szCs w:val="24"/>
        </w:rPr>
        <w:t xml:space="preserve"> </w:t>
      </w:r>
      <w:r w:rsidRPr="00D337FA">
        <w:rPr>
          <w:szCs w:val="24"/>
        </w:rPr>
        <w:t>подкреплённым</w:t>
      </w:r>
      <w:r w:rsidR="006C680D" w:rsidRPr="00D337FA">
        <w:rPr>
          <w:szCs w:val="24"/>
        </w:rPr>
        <w:t xml:space="preserve"> </w:t>
      </w:r>
      <w:r w:rsidRPr="00D337FA">
        <w:rPr>
          <w:szCs w:val="24"/>
        </w:rPr>
        <w:t>фактическими</w:t>
      </w:r>
      <w:r w:rsidR="006C680D" w:rsidRPr="00D337FA">
        <w:rPr>
          <w:szCs w:val="24"/>
        </w:rPr>
        <w:t xml:space="preserve"> </w:t>
      </w:r>
      <w:r w:rsidRPr="00D337FA">
        <w:rPr>
          <w:szCs w:val="24"/>
        </w:rPr>
        <w:t>документами,</w:t>
      </w:r>
      <w:r w:rsidR="006C680D" w:rsidRPr="00D337FA">
        <w:rPr>
          <w:szCs w:val="24"/>
        </w:rPr>
        <w:t xml:space="preserve"> </w:t>
      </w:r>
      <w:r w:rsidRPr="00D337FA">
        <w:rPr>
          <w:szCs w:val="24"/>
        </w:rPr>
        <w:t>они</w:t>
      </w:r>
      <w:r w:rsidR="006C680D" w:rsidRPr="00D337FA">
        <w:rPr>
          <w:szCs w:val="24"/>
        </w:rPr>
        <w:t xml:space="preserve"> </w:t>
      </w:r>
      <w:r w:rsidRPr="00D337FA">
        <w:rPr>
          <w:szCs w:val="24"/>
        </w:rPr>
        <w:t>смогут</w:t>
      </w:r>
      <w:r w:rsidR="006C680D" w:rsidRPr="00D337FA">
        <w:rPr>
          <w:szCs w:val="24"/>
        </w:rPr>
        <w:t xml:space="preserve"> </w:t>
      </w:r>
      <w:r w:rsidRPr="00D337FA">
        <w:rPr>
          <w:szCs w:val="24"/>
        </w:rPr>
        <w:t>оказать</w:t>
      </w:r>
      <w:r w:rsidR="006C680D" w:rsidRPr="00D337FA">
        <w:rPr>
          <w:szCs w:val="24"/>
        </w:rPr>
        <w:t xml:space="preserve"> </w:t>
      </w:r>
      <w:r w:rsidRPr="00D337FA">
        <w:rPr>
          <w:szCs w:val="24"/>
        </w:rPr>
        <w:t>влияние</w:t>
      </w:r>
      <w:r w:rsidR="006C680D" w:rsidRPr="00D337FA">
        <w:rPr>
          <w:szCs w:val="24"/>
        </w:rPr>
        <w:t xml:space="preserve"> </w:t>
      </w:r>
      <w:r w:rsidRPr="00D337FA">
        <w:rPr>
          <w:szCs w:val="24"/>
        </w:rPr>
        <w:t>на</w:t>
      </w:r>
      <w:r w:rsidR="006C680D" w:rsidRPr="00D337FA">
        <w:rPr>
          <w:szCs w:val="24"/>
        </w:rPr>
        <w:t xml:space="preserve"> </w:t>
      </w:r>
      <w:r w:rsidRPr="00D337FA">
        <w:rPr>
          <w:szCs w:val="24"/>
        </w:rPr>
        <w:t>инструментарий</w:t>
      </w:r>
      <w:r w:rsidR="006C680D" w:rsidRPr="00D337FA">
        <w:rPr>
          <w:szCs w:val="24"/>
        </w:rPr>
        <w:t xml:space="preserve"> </w:t>
      </w:r>
      <w:r w:rsidRPr="00D337FA">
        <w:rPr>
          <w:szCs w:val="24"/>
        </w:rPr>
        <w:t>их</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и</w:t>
      </w:r>
      <w:r w:rsidR="006C680D" w:rsidRPr="00D337FA">
        <w:rPr>
          <w:szCs w:val="24"/>
        </w:rPr>
        <w:t xml:space="preserve"> </w:t>
      </w:r>
      <w:r w:rsidRPr="00D337FA">
        <w:rPr>
          <w:szCs w:val="24"/>
        </w:rPr>
        <w:t>профильные</w:t>
      </w:r>
      <w:r w:rsidR="006C680D" w:rsidRPr="00D337FA">
        <w:rPr>
          <w:szCs w:val="24"/>
        </w:rPr>
        <w:t xml:space="preserve"> </w:t>
      </w:r>
      <w:r w:rsidRPr="00D337FA">
        <w:rPr>
          <w:szCs w:val="24"/>
        </w:rPr>
        <w:t>институты,</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убрать</w:t>
      </w:r>
      <w:r w:rsidR="006C680D" w:rsidRPr="00D337FA">
        <w:rPr>
          <w:szCs w:val="24"/>
        </w:rPr>
        <w:t xml:space="preserve"> </w:t>
      </w:r>
      <w:r w:rsidRPr="00D337FA">
        <w:rPr>
          <w:szCs w:val="24"/>
        </w:rPr>
        <w:t>существующие</w:t>
      </w:r>
      <w:r w:rsidR="006C680D" w:rsidRPr="00D337FA">
        <w:rPr>
          <w:szCs w:val="24"/>
        </w:rPr>
        <w:t xml:space="preserve"> </w:t>
      </w:r>
      <w:r w:rsidRPr="00D337FA">
        <w:rPr>
          <w:szCs w:val="24"/>
        </w:rPr>
        <w:t>барьеры</w:t>
      </w:r>
      <w:r w:rsidR="006C680D" w:rsidRPr="00D337FA">
        <w:rPr>
          <w:szCs w:val="24"/>
        </w:rPr>
        <w:t xml:space="preserve"> </w:t>
      </w:r>
      <w:r w:rsidRPr="00D337FA">
        <w:rPr>
          <w:szCs w:val="24"/>
        </w:rPr>
        <w:t>и</w:t>
      </w:r>
      <w:r w:rsidR="006C680D" w:rsidRPr="00D337FA">
        <w:rPr>
          <w:szCs w:val="24"/>
        </w:rPr>
        <w:t xml:space="preserve"> </w:t>
      </w:r>
      <w:r w:rsidRPr="00D337FA">
        <w:rPr>
          <w:szCs w:val="24"/>
        </w:rPr>
        <w:t>повысить</w:t>
      </w:r>
      <w:r w:rsidR="006C680D" w:rsidRPr="00D337FA">
        <w:rPr>
          <w:szCs w:val="24"/>
        </w:rPr>
        <w:t xml:space="preserve"> </w:t>
      </w:r>
      <w:r w:rsidRPr="00D337FA">
        <w:rPr>
          <w:szCs w:val="24"/>
        </w:rPr>
        <w:t>эффективность</w:t>
      </w:r>
      <w:r w:rsidR="006C680D" w:rsidRPr="00D337FA">
        <w:rPr>
          <w:szCs w:val="24"/>
        </w:rPr>
        <w:t xml:space="preserve"> </w:t>
      </w:r>
      <w:r w:rsidRPr="00D337FA">
        <w:rPr>
          <w:szCs w:val="24"/>
        </w:rPr>
        <w:t>производств.</w:t>
      </w:r>
    </w:p>
    <w:p w:rsidR="00826D3F" w:rsidRPr="00D337FA" w:rsidRDefault="00826D3F" w:rsidP="00826D3F">
      <w:pPr>
        <w:ind w:firstLine="284"/>
        <w:rPr>
          <w:szCs w:val="24"/>
        </w:rPr>
      </w:pPr>
      <w:r w:rsidRPr="00D337FA">
        <w:rPr>
          <w:szCs w:val="24"/>
        </w:rPr>
        <w:t>Поэтапная</w:t>
      </w:r>
      <w:r w:rsidR="006C680D" w:rsidRPr="00D337FA">
        <w:rPr>
          <w:szCs w:val="24"/>
        </w:rPr>
        <w:t xml:space="preserve"> </w:t>
      </w:r>
      <w:r w:rsidRPr="00D337FA">
        <w:rPr>
          <w:szCs w:val="24"/>
        </w:rPr>
        <w:t>реализация</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позволила</w:t>
      </w:r>
      <w:r w:rsidR="006C680D" w:rsidRPr="00D337FA">
        <w:rPr>
          <w:szCs w:val="24"/>
        </w:rPr>
        <w:t xml:space="preserve"> </w:t>
      </w:r>
      <w:r w:rsidRPr="00D337FA">
        <w:rPr>
          <w:szCs w:val="24"/>
        </w:rPr>
        <w:t>бы</w:t>
      </w:r>
      <w:r w:rsidR="006C680D" w:rsidRPr="00D337FA">
        <w:rPr>
          <w:szCs w:val="24"/>
        </w:rPr>
        <w:t xml:space="preserve"> </w:t>
      </w:r>
      <w:r w:rsidRPr="00D337FA">
        <w:rPr>
          <w:szCs w:val="24"/>
        </w:rPr>
        <w:t>значительно</w:t>
      </w:r>
      <w:r w:rsidR="006C680D" w:rsidRPr="00D337FA">
        <w:rPr>
          <w:szCs w:val="24"/>
        </w:rPr>
        <w:t xml:space="preserve"> </w:t>
      </w:r>
      <w:r w:rsidRPr="00D337FA">
        <w:rPr>
          <w:szCs w:val="24"/>
        </w:rPr>
        <w:t>расширить</w:t>
      </w:r>
      <w:r w:rsidR="006C680D" w:rsidRPr="00D337FA">
        <w:rPr>
          <w:szCs w:val="24"/>
        </w:rPr>
        <w:t xml:space="preserve"> </w:t>
      </w:r>
      <w:r w:rsidRPr="00D337FA">
        <w:rPr>
          <w:szCs w:val="24"/>
        </w:rPr>
        <w:t>действующий</w:t>
      </w:r>
      <w:r w:rsidR="006C680D" w:rsidRPr="00D337FA">
        <w:rPr>
          <w:szCs w:val="24"/>
        </w:rPr>
        <w:t xml:space="preserve"> </w:t>
      </w:r>
      <w:r w:rsidRPr="00D337FA">
        <w:rPr>
          <w:szCs w:val="24"/>
        </w:rPr>
        <w:t>сегодня</w:t>
      </w:r>
      <w:r w:rsidR="006C680D" w:rsidRPr="00D337FA">
        <w:rPr>
          <w:szCs w:val="24"/>
        </w:rPr>
        <w:t xml:space="preserve"> </w:t>
      </w:r>
      <w:r w:rsidRPr="00D337FA">
        <w:rPr>
          <w:szCs w:val="24"/>
        </w:rPr>
        <w:t>инструментарий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аграрных</w:t>
      </w:r>
      <w:r w:rsidR="006C680D" w:rsidRPr="00D337FA">
        <w:rPr>
          <w:szCs w:val="24"/>
        </w:rPr>
        <w:t xml:space="preserve"> </w:t>
      </w:r>
      <w:r w:rsidRPr="00D337FA">
        <w:rPr>
          <w:szCs w:val="24"/>
        </w:rPr>
        <w:t>компаний,</w:t>
      </w:r>
      <w:r w:rsidR="006C680D" w:rsidRPr="00D337FA">
        <w:rPr>
          <w:szCs w:val="24"/>
        </w:rPr>
        <w:t xml:space="preserve"> </w:t>
      </w:r>
      <w:r w:rsidRPr="00D337FA">
        <w:rPr>
          <w:szCs w:val="24"/>
        </w:rPr>
        <w:t>c</w:t>
      </w:r>
      <w:r w:rsidR="006C680D" w:rsidRPr="00D337FA">
        <w:rPr>
          <w:szCs w:val="24"/>
        </w:rPr>
        <w:t xml:space="preserve"> </w:t>
      </w:r>
      <w:r w:rsidRPr="00D337FA">
        <w:rPr>
          <w:szCs w:val="24"/>
        </w:rPr>
        <w:t>помощью</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и</w:t>
      </w:r>
      <w:r w:rsidR="006C680D" w:rsidRPr="00D337FA">
        <w:rPr>
          <w:szCs w:val="24"/>
        </w:rPr>
        <w:t xml:space="preserve"> </w:t>
      </w:r>
      <w:r w:rsidRPr="00D337FA">
        <w:rPr>
          <w:szCs w:val="24"/>
        </w:rPr>
        <w:t>программам.</w:t>
      </w:r>
      <w:r w:rsidR="006C680D" w:rsidRPr="00D337FA">
        <w:rPr>
          <w:szCs w:val="24"/>
        </w:rPr>
        <w:t xml:space="preserve"> </w:t>
      </w:r>
      <w:r w:rsidRPr="00D337FA">
        <w:rPr>
          <w:szCs w:val="24"/>
        </w:rPr>
        <w:t>Благодаря</w:t>
      </w:r>
      <w:r w:rsidR="006C680D" w:rsidRPr="00D337FA">
        <w:rPr>
          <w:szCs w:val="24"/>
        </w:rPr>
        <w:t xml:space="preserve"> </w:t>
      </w:r>
      <w:r w:rsidRPr="00D337FA">
        <w:rPr>
          <w:szCs w:val="24"/>
        </w:rPr>
        <w:t>новым</w:t>
      </w:r>
      <w:r w:rsidR="006C680D" w:rsidRPr="00D337FA">
        <w:rPr>
          <w:szCs w:val="24"/>
        </w:rPr>
        <w:t xml:space="preserve"> </w:t>
      </w:r>
      <w:r w:rsidRPr="00D337FA">
        <w:rPr>
          <w:szCs w:val="24"/>
        </w:rPr>
        <w:t>активам</w:t>
      </w:r>
      <w:r w:rsidR="006C680D" w:rsidRPr="00D337FA">
        <w:rPr>
          <w:szCs w:val="24"/>
        </w:rPr>
        <w:t xml:space="preserve"> </w:t>
      </w:r>
      <w:r w:rsidRPr="00D337FA">
        <w:rPr>
          <w:szCs w:val="24"/>
        </w:rPr>
        <w:t>компании</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смогли</w:t>
      </w:r>
      <w:r w:rsidR="006C680D" w:rsidRPr="00D337FA">
        <w:rPr>
          <w:szCs w:val="24"/>
        </w:rPr>
        <w:t xml:space="preserve"> </w:t>
      </w:r>
      <w:r w:rsidRPr="00D337FA">
        <w:rPr>
          <w:szCs w:val="24"/>
        </w:rPr>
        <w:t>бы</w:t>
      </w:r>
      <w:r w:rsidR="006C680D" w:rsidRPr="00D337FA">
        <w:rPr>
          <w:szCs w:val="24"/>
        </w:rPr>
        <w:t xml:space="preserve"> </w:t>
      </w:r>
      <w:r w:rsidRPr="00D337FA">
        <w:rPr>
          <w:szCs w:val="24"/>
        </w:rPr>
        <w:t>увеличить</w:t>
      </w:r>
      <w:r w:rsidR="006C680D" w:rsidRPr="00D337FA">
        <w:rPr>
          <w:szCs w:val="24"/>
        </w:rPr>
        <w:t xml:space="preserve"> </w:t>
      </w:r>
      <w:r w:rsidRPr="00D337FA">
        <w:rPr>
          <w:szCs w:val="24"/>
        </w:rPr>
        <w:t>свою</w:t>
      </w:r>
      <w:r w:rsidR="006C680D" w:rsidRPr="00D337FA">
        <w:rPr>
          <w:szCs w:val="24"/>
        </w:rPr>
        <w:t xml:space="preserve"> </w:t>
      </w:r>
      <w:r w:rsidRPr="00D337FA">
        <w:rPr>
          <w:szCs w:val="24"/>
        </w:rPr>
        <w:t>прибыль,</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положительно</w:t>
      </w:r>
      <w:r w:rsidR="006C680D" w:rsidRPr="00D337FA">
        <w:rPr>
          <w:szCs w:val="24"/>
        </w:rPr>
        <w:t xml:space="preserve"> </w:t>
      </w:r>
      <w:r w:rsidRPr="00D337FA">
        <w:rPr>
          <w:szCs w:val="24"/>
        </w:rPr>
        <w:t>повлиять</w:t>
      </w:r>
      <w:r w:rsidR="006C680D" w:rsidRPr="00D337FA">
        <w:rPr>
          <w:szCs w:val="24"/>
        </w:rPr>
        <w:t xml:space="preserve"> </w:t>
      </w:r>
      <w:r w:rsidRPr="00D337FA">
        <w:rPr>
          <w:szCs w:val="24"/>
        </w:rPr>
        <w:t>на</w:t>
      </w:r>
      <w:r w:rsidR="006C680D" w:rsidRPr="00D337FA">
        <w:rPr>
          <w:szCs w:val="24"/>
        </w:rPr>
        <w:t xml:space="preserve"> </w:t>
      </w:r>
      <w:r w:rsidRPr="00D337FA">
        <w:rPr>
          <w:szCs w:val="24"/>
        </w:rPr>
        <w:t>территории,</w:t>
      </w:r>
      <w:r w:rsidR="006C680D" w:rsidRPr="00D337FA">
        <w:rPr>
          <w:szCs w:val="24"/>
        </w:rPr>
        <w:t xml:space="preserve"> </w:t>
      </w:r>
      <w:r w:rsidRPr="00D337FA">
        <w:rPr>
          <w:szCs w:val="24"/>
        </w:rPr>
        <w:t>на</w:t>
      </w:r>
      <w:r w:rsidR="006C680D" w:rsidRPr="00D337FA">
        <w:rPr>
          <w:szCs w:val="24"/>
        </w:rPr>
        <w:t xml:space="preserve"> </w:t>
      </w:r>
      <w:r w:rsidRPr="00D337FA">
        <w:rPr>
          <w:szCs w:val="24"/>
        </w:rPr>
        <w:t>которых</w:t>
      </w:r>
      <w:r w:rsidR="006C680D" w:rsidRPr="00D337FA">
        <w:rPr>
          <w:szCs w:val="24"/>
        </w:rPr>
        <w:t xml:space="preserve"> </w:t>
      </w:r>
      <w:r w:rsidRPr="00D337FA">
        <w:rPr>
          <w:szCs w:val="24"/>
        </w:rPr>
        <w:t>они</w:t>
      </w:r>
      <w:r w:rsidR="006C680D" w:rsidRPr="00D337FA">
        <w:rPr>
          <w:szCs w:val="24"/>
        </w:rPr>
        <w:t xml:space="preserve"> </w:t>
      </w:r>
      <w:r w:rsidRPr="00D337FA">
        <w:rPr>
          <w:szCs w:val="24"/>
        </w:rPr>
        <w:t>работают,</w:t>
      </w:r>
      <w:r w:rsidR="006C680D" w:rsidRPr="00D337FA">
        <w:rPr>
          <w:szCs w:val="24"/>
        </w:rPr>
        <w:t xml:space="preserve"> </w:t>
      </w:r>
      <w:r w:rsidRPr="00D337FA">
        <w:rPr>
          <w:szCs w:val="24"/>
        </w:rPr>
        <w:t>большая</w:t>
      </w:r>
      <w:r w:rsidR="006C680D" w:rsidRPr="00D337FA">
        <w:rPr>
          <w:szCs w:val="24"/>
        </w:rPr>
        <w:t xml:space="preserve"> </w:t>
      </w:r>
      <w:r w:rsidRPr="00D337FA">
        <w:rPr>
          <w:szCs w:val="24"/>
        </w:rPr>
        <w:t>часть</w:t>
      </w:r>
      <w:r w:rsidR="006C680D" w:rsidRPr="00D337FA">
        <w:rPr>
          <w:szCs w:val="24"/>
        </w:rPr>
        <w:t xml:space="preserve"> </w:t>
      </w:r>
      <w:r w:rsidRPr="00D337FA">
        <w:rPr>
          <w:szCs w:val="24"/>
        </w:rPr>
        <w:t>из</w:t>
      </w:r>
      <w:r w:rsidR="006C680D" w:rsidRPr="00D337FA">
        <w:rPr>
          <w:szCs w:val="24"/>
        </w:rPr>
        <w:t xml:space="preserve"> </w:t>
      </w:r>
      <w:r w:rsidRPr="00D337FA">
        <w:rPr>
          <w:szCs w:val="24"/>
        </w:rPr>
        <w:t>которых</w:t>
      </w:r>
      <w:r w:rsidR="006C680D" w:rsidRPr="00D337FA">
        <w:rPr>
          <w:szCs w:val="24"/>
        </w:rPr>
        <w:t xml:space="preserve"> </w:t>
      </w:r>
      <w:r w:rsidRPr="00D337FA">
        <w:rPr>
          <w:szCs w:val="24"/>
        </w:rPr>
        <w:t>находится</w:t>
      </w:r>
      <w:r w:rsidR="006C680D" w:rsidRPr="00D337FA">
        <w:rPr>
          <w:szCs w:val="24"/>
        </w:rPr>
        <w:t xml:space="preserve"> </w:t>
      </w:r>
      <w:r w:rsidRPr="00D337FA">
        <w:rPr>
          <w:szCs w:val="24"/>
        </w:rPr>
        <w:t>в</w:t>
      </w:r>
      <w:r w:rsidR="006C680D" w:rsidRPr="00D337FA">
        <w:rPr>
          <w:szCs w:val="24"/>
        </w:rPr>
        <w:t xml:space="preserve"> </w:t>
      </w:r>
      <w:r w:rsidRPr="00D337FA">
        <w:rPr>
          <w:szCs w:val="24"/>
        </w:rPr>
        <w:t>сельской</w:t>
      </w:r>
      <w:r w:rsidR="006C680D" w:rsidRPr="00D337FA">
        <w:rPr>
          <w:szCs w:val="24"/>
        </w:rPr>
        <w:t xml:space="preserve"> </w:t>
      </w:r>
      <w:r w:rsidRPr="00D337FA">
        <w:rPr>
          <w:szCs w:val="24"/>
        </w:rPr>
        <w:t>местности.</w:t>
      </w:r>
      <w:r w:rsidR="006C680D" w:rsidRPr="00D337FA">
        <w:rPr>
          <w:szCs w:val="24"/>
        </w:rPr>
        <w:t xml:space="preserve"> </w:t>
      </w:r>
      <w:r w:rsidRPr="00D337FA">
        <w:rPr>
          <w:szCs w:val="24"/>
        </w:rPr>
        <w:t>Улучшение</w:t>
      </w:r>
      <w:r w:rsidR="006C680D" w:rsidRPr="00D337FA">
        <w:rPr>
          <w:szCs w:val="24"/>
        </w:rPr>
        <w:t xml:space="preserve"> </w:t>
      </w:r>
      <w:r w:rsidRPr="00D337FA">
        <w:rPr>
          <w:szCs w:val="24"/>
        </w:rPr>
        <w:t>качества</w:t>
      </w:r>
      <w:r w:rsidR="006C680D" w:rsidRPr="00D337FA">
        <w:rPr>
          <w:szCs w:val="24"/>
        </w:rPr>
        <w:t xml:space="preserve"> </w:t>
      </w:r>
      <w:r w:rsidRPr="00D337FA">
        <w:rPr>
          <w:szCs w:val="24"/>
        </w:rPr>
        <w:t>и</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жизни</w:t>
      </w:r>
      <w:r w:rsidR="006C680D" w:rsidRPr="00D337FA">
        <w:rPr>
          <w:szCs w:val="24"/>
        </w:rPr>
        <w:t xml:space="preserve"> </w:t>
      </w:r>
      <w:r w:rsidRPr="00D337FA">
        <w:rPr>
          <w:szCs w:val="24"/>
        </w:rPr>
        <w:t>в</w:t>
      </w:r>
      <w:r w:rsidR="006C680D" w:rsidRPr="00D337FA">
        <w:rPr>
          <w:szCs w:val="24"/>
        </w:rPr>
        <w:t xml:space="preserve"> </w:t>
      </w:r>
      <w:r w:rsidRPr="00D337FA">
        <w:rPr>
          <w:szCs w:val="24"/>
        </w:rPr>
        <w:t>сельской</w:t>
      </w:r>
      <w:r w:rsidR="006C680D" w:rsidRPr="00D337FA">
        <w:rPr>
          <w:szCs w:val="24"/>
        </w:rPr>
        <w:t xml:space="preserve"> </w:t>
      </w:r>
      <w:r w:rsidRPr="00D337FA">
        <w:rPr>
          <w:szCs w:val="24"/>
        </w:rPr>
        <w:t>местности</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станет</w:t>
      </w:r>
      <w:r w:rsidR="006C680D" w:rsidRPr="00D337FA">
        <w:rPr>
          <w:szCs w:val="24"/>
        </w:rPr>
        <w:t xml:space="preserve"> </w:t>
      </w:r>
      <w:r w:rsidRPr="00D337FA">
        <w:rPr>
          <w:szCs w:val="24"/>
        </w:rPr>
        <w:t>ещё</w:t>
      </w:r>
      <w:r w:rsidR="006C680D" w:rsidRPr="00D337FA">
        <w:rPr>
          <w:szCs w:val="24"/>
        </w:rPr>
        <w:t xml:space="preserve"> </w:t>
      </w:r>
      <w:r w:rsidRPr="00D337FA">
        <w:rPr>
          <w:szCs w:val="24"/>
        </w:rPr>
        <w:t>одним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роста,</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напрямую</w:t>
      </w:r>
      <w:r w:rsidR="006C680D" w:rsidRPr="00D337FA">
        <w:rPr>
          <w:szCs w:val="24"/>
        </w:rPr>
        <w:t xml:space="preserve"> </w:t>
      </w:r>
      <w:r w:rsidRPr="00D337FA">
        <w:rPr>
          <w:szCs w:val="24"/>
        </w:rPr>
        <w:t>взаимосвязан</w:t>
      </w:r>
      <w:r w:rsidR="006C680D" w:rsidRPr="00D337FA">
        <w:rPr>
          <w:szCs w:val="24"/>
        </w:rPr>
        <w:t xml:space="preserve"> </w:t>
      </w:r>
      <w:r w:rsidRPr="00D337FA">
        <w:rPr>
          <w:szCs w:val="24"/>
        </w:rPr>
        <w:t>с</w:t>
      </w:r>
      <w:r w:rsidR="006C680D" w:rsidRPr="00D337FA">
        <w:rPr>
          <w:szCs w:val="24"/>
        </w:rPr>
        <w:t xml:space="preserve"> </w:t>
      </w:r>
      <w:r w:rsidRPr="00D337FA">
        <w:rPr>
          <w:szCs w:val="24"/>
        </w:rPr>
        <w:t>успешностью</w:t>
      </w:r>
      <w:r w:rsidR="006C680D" w:rsidRPr="00D337FA">
        <w:rPr>
          <w:szCs w:val="24"/>
        </w:rPr>
        <w:t xml:space="preserve"> </w:t>
      </w:r>
      <w:r w:rsidRPr="00D337FA">
        <w:rPr>
          <w:szCs w:val="24"/>
        </w:rPr>
        <w:t>сельскохозяйственных</w:t>
      </w:r>
      <w:r w:rsidR="006C680D" w:rsidRPr="00D337FA">
        <w:rPr>
          <w:szCs w:val="24"/>
        </w:rPr>
        <w:t xml:space="preserve"> </w:t>
      </w:r>
      <w:r w:rsidRPr="00D337FA">
        <w:rPr>
          <w:szCs w:val="24"/>
        </w:rPr>
        <w:t>компаний,</w:t>
      </w:r>
      <w:r w:rsidR="006C680D" w:rsidRPr="00D337FA">
        <w:rPr>
          <w:szCs w:val="24"/>
        </w:rPr>
        <w:t xml:space="preserve"> </w:t>
      </w:r>
      <w:r w:rsidRPr="00D337FA">
        <w:rPr>
          <w:szCs w:val="24"/>
        </w:rPr>
        <w:t>являющихся</w:t>
      </w:r>
      <w:r w:rsidR="006C680D" w:rsidRPr="00D337FA">
        <w:rPr>
          <w:szCs w:val="24"/>
        </w:rPr>
        <w:t xml:space="preserve"> </w:t>
      </w:r>
      <w:r w:rsidRPr="00D337FA">
        <w:rPr>
          <w:szCs w:val="24"/>
        </w:rPr>
        <w:t>в</w:t>
      </w:r>
      <w:r w:rsidR="006C680D" w:rsidRPr="00D337FA">
        <w:rPr>
          <w:szCs w:val="24"/>
        </w:rPr>
        <w:t xml:space="preserve"> </w:t>
      </w:r>
      <w:r w:rsidRPr="00D337FA">
        <w:rPr>
          <w:szCs w:val="24"/>
        </w:rPr>
        <w:t>большинстве</w:t>
      </w:r>
      <w:r w:rsidR="006C680D" w:rsidRPr="00D337FA">
        <w:rPr>
          <w:szCs w:val="24"/>
        </w:rPr>
        <w:t xml:space="preserve"> </w:t>
      </w:r>
      <w:r w:rsidRPr="00D337FA">
        <w:rPr>
          <w:szCs w:val="24"/>
        </w:rPr>
        <w:t>случаев</w:t>
      </w:r>
      <w:r w:rsidR="006C680D" w:rsidRPr="00D337FA">
        <w:rPr>
          <w:szCs w:val="24"/>
        </w:rPr>
        <w:t xml:space="preserve"> </w:t>
      </w:r>
      <w:r w:rsidRPr="00D337FA">
        <w:rPr>
          <w:szCs w:val="24"/>
        </w:rPr>
        <w:t>основным</w:t>
      </w:r>
      <w:r w:rsidR="006C680D" w:rsidRPr="00D337FA">
        <w:rPr>
          <w:szCs w:val="24"/>
        </w:rPr>
        <w:t xml:space="preserve"> </w:t>
      </w:r>
      <w:r w:rsidRPr="00D337FA">
        <w:rPr>
          <w:szCs w:val="24"/>
        </w:rPr>
        <w:t>местом</w:t>
      </w:r>
      <w:r w:rsidR="006C680D" w:rsidRPr="00D337FA">
        <w:rPr>
          <w:szCs w:val="24"/>
        </w:rPr>
        <w:t xml:space="preserve"> </w:t>
      </w:r>
      <w:r w:rsidRPr="00D337FA">
        <w:rPr>
          <w:szCs w:val="24"/>
        </w:rPr>
        <w:t>работы</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населения.</w:t>
      </w:r>
      <w:r w:rsidR="006C680D" w:rsidRPr="00D337FA">
        <w:rPr>
          <w:szCs w:val="24"/>
        </w:rPr>
        <w:t xml:space="preserve"> </w:t>
      </w:r>
      <w:r w:rsidRPr="00D337FA">
        <w:rPr>
          <w:szCs w:val="24"/>
        </w:rPr>
        <w:t>Вопрос</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всеми</w:t>
      </w:r>
      <w:r w:rsidR="006C680D" w:rsidRPr="00D337FA">
        <w:rPr>
          <w:szCs w:val="24"/>
        </w:rPr>
        <w:t xml:space="preserve"> </w:t>
      </w:r>
      <w:r w:rsidRPr="00D337FA">
        <w:rPr>
          <w:szCs w:val="24"/>
        </w:rPr>
        <w:t>необходимыми</w:t>
      </w:r>
      <w:r w:rsidR="006C680D" w:rsidRPr="00D337FA">
        <w:rPr>
          <w:szCs w:val="24"/>
        </w:rPr>
        <w:t xml:space="preserve"> </w:t>
      </w:r>
      <w:r w:rsidRPr="00D337FA">
        <w:rPr>
          <w:szCs w:val="24"/>
        </w:rPr>
        <w:t>средствами</w:t>
      </w:r>
      <w:r w:rsidR="006C680D" w:rsidRPr="00D337FA">
        <w:rPr>
          <w:szCs w:val="24"/>
        </w:rPr>
        <w:t xml:space="preserve"> </w:t>
      </w:r>
      <w:r w:rsidRPr="00D337FA">
        <w:rPr>
          <w:szCs w:val="24"/>
        </w:rPr>
        <w:t>должен</w:t>
      </w:r>
      <w:r w:rsidR="006C680D" w:rsidRPr="00D337FA">
        <w:rPr>
          <w:szCs w:val="24"/>
        </w:rPr>
        <w:t xml:space="preserve"> </w:t>
      </w:r>
      <w:r w:rsidRPr="00D337FA">
        <w:rPr>
          <w:szCs w:val="24"/>
        </w:rPr>
        <w:t>быть</w:t>
      </w:r>
      <w:r w:rsidR="006C680D" w:rsidRPr="00D337FA">
        <w:rPr>
          <w:szCs w:val="24"/>
        </w:rPr>
        <w:t xml:space="preserve"> </w:t>
      </w:r>
      <w:r w:rsidRPr="00D337FA">
        <w:rPr>
          <w:szCs w:val="24"/>
        </w:rPr>
        <w:t>предметом</w:t>
      </w:r>
      <w:r w:rsidR="006C680D" w:rsidRPr="00D337FA">
        <w:rPr>
          <w:szCs w:val="24"/>
        </w:rPr>
        <w:t xml:space="preserve"> </w:t>
      </w:r>
      <w:r w:rsidRPr="00D337FA">
        <w:rPr>
          <w:szCs w:val="24"/>
        </w:rPr>
        <w:t>постоянных</w:t>
      </w:r>
      <w:r w:rsidR="006C680D" w:rsidRPr="00D337FA">
        <w:rPr>
          <w:szCs w:val="24"/>
        </w:rPr>
        <w:t xml:space="preserve"> </w:t>
      </w:r>
      <w:r w:rsidRPr="00D337FA">
        <w:rPr>
          <w:szCs w:val="24"/>
        </w:rPr>
        <w:t>дискуссий,</w:t>
      </w:r>
      <w:r w:rsidR="006C680D" w:rsidRPr="00D337FA">
        <w:rPr>
          <w:szCs w:val="24"/>
        </w:rPr>
        <w:t xml:space="preserve"> </w:t>
      </w:r>
      <w:r w:rsidRPr="00D337FA">
        <w:rPr>
          <w:szCs w:val="24"/>
        </w:rPr>
        <w:t>встреч</w:t>
      </w:r>
      <w:r w:rsidR="006C680D" w:rsidRPr="00D337FA">
        <w:rPr>
          <w:szCs w:val="24"/>
        </w:rPr>
        <w:t xml:space="preserve"> </w:t>
      </w:r>
      <w:r w:rsidRPr="00D337FA">
        <w:rPr>
          <w:szCs w:val="24"/>
        </w:rPr>
        <w:t>и</w:t>
      </w:r>
      <w:r w:rsidR="006C680D" w:rsidRPr="00D337FA">
        <w:rPr>
          <w:szCs w:val="24"/>
        </w:rPr>
        <w:t xml:space="preserve"> </w:t>
      </w:r>
      <w:r w:rsidRPr="00D337FA">
        <w:rPr>
          <w:szCs w:val="24"/>
        </w:rPr>
        <w:t>конференций,</w:t>
      </w:r>
      <w:r w:rsidR="006C680D" w:rsidRPr="00D337FA">
        <w:rPr>
          <w:szCs w:val="24"/>
        </w:rPr>
        <w:t xml:space="preserve"> </w:t>
      </w:r>
      <w:r w:rsidRPr="00D337FA">
        <w:rPr>
          <w:szCs w:val="24"/>
        </w:rPr>
        <w:t>как</w:t>
      </w:r>
      <w:r w:rsidR="006C680D" w:rsidRPr="00D337FA">
        <w:rPr>
          <w:szCs w:val="24"/>
        </w:rPr>
        <w:t xml:space="preserve"> </w:t>
      </w:r>
      <w:r w:rsidRPr="00D337FA">
        <w:rPr>
          <w:szCs w:val="24"/>
        </w:rPr>
        <w:t>на</w:t>
      </w:r>
      <w:r w:rsidR="006C680D" w:rsidRPr="00D337FA">
        <w:rPr>
          <w:szCs w:val="24"/>
        </w:rPr>
        <w:t xml:space="preserve"> </w:t>
      </w:r>
      <w:r w:rsidRPr="00D337FA">
        <w:rPr>
          <w:szCs w:val="24"/>
        </w:rPr>
        <w:t>государственном,</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предпринимательском</w:t>
      </w:r>
      <w:r w:rsidR="006C680D" w:rsidRPr="00D337FA">
        <w:rPr>
          <w:szCs w:val="24"/>
        </w:rPr>
        <w:t xml:space="preserve"> </w:t>
      </w:r>
      <w:r w:rsidRPr="00D337FA">
        <w:rPr>
          <w:szCs w:val="24"/>
        </w:rPr>
        <w:t>уровне</w:t>
      </w:r>
      <w:r w:rsidR="006C680D" w:rsidRPr="00D337FA">
        <w:rPr>
          <w:szCs w:val="24"/>
        </w:rPr>
        <w:t xml:space="preserve"> </w:t>
      </w:r>
      <w:r w:rsidRPr="00D337FA">
        <w:rPr>
          <w:szCs w:val="24"/>
        </w:rPr>
        <w:t>для</w:t>
      </w:r>
      <w:r w:rsidR="006C680D" w:rsidRPr="00D337FA">
        <w:rPr>
          <w:szCs w:val="24"/>
        </w:rPr>
        <w:t xml:space="preserve"> </w:t>
      </w:r>
      <w:r w:rsidRPr="00D337FA">
        <w:rPr>
          <w:szCs w:val="24"/>
        </w:rPr>
        <w:t>оперативного</w:t>
      </w:r>
      <w:r w:rsidR="006C680D" w:rsidRPr="00D337FA">
        <w:rPr>
          <w:szCs w:val="24"/>
        </w:rPr>
        <w:t xml:space="preserve"> </w:t>
      </w:r>
      <w:r w:rsidRPr="00D337FA">
        <w:rPr>
          <w:szCs w:val="24"/>
        </w:rPr>
        <w:t>принятия</w:t>
      </w:r>
      <w:r w:rsidR="006C680D" w:rsidRPr="00D337FA">
        <w:rPr>
          <w:szCs w:val="24"/>
        </w:rPr>
        <w:t xml:space="preserve"> </w:t>
      </w:r>
      <w:r w:rsidRPr="00D337FA">
        <w:rPr>
          <w:szCs w:val="24"/>
        </w:rPr>
        <w:t>всех</w:t>
      </w:r>
      <w:r w:rsidR="006C680D" w:rsidRPr="00D337FA">
        <w:rPr>
          <w:szCs w:val="24"/>
        </w:rPr>
        <w:t xml:space="preserve"> </w:t>
      </w:r>
      <w:r w:rsidRPr="00D337FA">
        <w:rPr>
          <w:szCs w:val="24"/>
        </w:rPr>
        <w:t>необходимых</w:t>
      </w:r>
      <w:r w:rsidR="006C680D" w:rsidRPr="00D337FA">
        <w:rPr>
          <w:szCs w:val="24"/>
        </w:rPr>
        <w:t xml:space="preserve"> </w:t>
      </w:r>
      <w:r w:rsidRPr="00D337FA">
        <w:rPr>
          <w:szCs w:val="24"/>
        </w:rPr>
        <w:t>изменений</w:t>
      </w:r>
      <w:r w:rsidR="006C680D" w:rsidRPr="00D337FA">
        <w:rPr>
          <w:szCs w:val="24"/>
        </w:rPr>
        <w:t xml:space="preserve"> </w:t>
      </w:r>
      <w:r w:rsidRPr="00D337FA">
        <w:rPr>
          <w:szCs w:val="24"/>
        </w:rPr>
        <w:t>в</w:t>
      </w:r>
      <w:r w:rsidR="006C680D" w:rsidRPr="00D337FA">
        <w:rPr>
          <w:szCs w:val="24"/>
        </w:rPr>
        <w:t xml:space="preserve"> </w:t>
      </w:r>
      <w:r w:rsidRPr="00D337FA">
        <w:rPr>
          <w:szCs w:val="24"/>
        </w:rPr>
        <w:t>постоянно</w:t>
      </w:r>
      <w:r w:rsidR="006C680D" w:rsidRPr="00D337FA">
        <w:rPr>
          <w:szCs w:val="24"/>
        </w:rPr>
        <w:t xml:space="preserve"> </w:t>
      </w:r>
      <w:r w:rsidRPr="00D337FA">
        <w:rPr>
          <w:szCs w:val="24"/>
        </w:rPr>
        <w:t>видоизменяющемся</w:t>
      </w:r>
      <w:r w:rsidR="006C680D" w:rsidRPr="00D337FA">
        <w:rPr>
          <w:szCs w:val="24"/>
        </w:rPr>
        <w:t xml:space="preserve"> </w:t>
      </w:r>
      <w:r w:rsidRPr="00D337FA">
        <w:rPr>
          <w:szCs w:val="24"/>
        </w:rPr>
        <w:t>внутреннем</w:t>
      </w:r>
      <w:r w:rsidR="006C680D" w:rsidRPr="00D337FA">
        <w:rPr>
          <w:szCs w:val="24"/>
        </w:rPr>
        <w:t xml:space="preserve"> </w:t>
      </w:r>
      <w:r w:rsidRPr="00D337FA">
        <w:rPr>
          <w:szCs w:val="24"/>
        </w:rPr>
        <w:t>и</w:t>
      </w:r>
      <w:r w:rsidR="006C680D" w:rsidRPr="00D337FA">
        <w:rPr>
          <w:szCs w:val="24"/>
        </w:rPr>
        <w:t xml:space="preserve"> </w:t>
      </w:r>
      <w:r w:rsidRPr="00D337FA">
        <w:rPr>
          <w:szCs w:val="24"/>
        </w:rPr>
        <w:t>внешнем</w:t>
      </w:r>
      <w:r w:rsidR="006C680D" w:rsidRPr="00D337FA">
        <w:rPr>
          <w:szCs w:val="24"/>
        </w:rPr>
        <w:t xml:space="preserve"> </w:t>
      </w:r>
      <w:r w:rsidRPr="00D337FA">
        <w:rPr>
          <w:szCs w:val="24"/>
        </w:rPr>
        <w:t>пространстве.</w:t>
      </w:r>
    </w:p>
    <w:p w:rsidR="00826D3F" w:rsidRPr="00D337FA" w:rsidRDefault="00826D3F" w:rsidP="00826D3F">
      <w:pPr>
        <w:ind w:firstLine="284"/>
        <w:rPr>
          <w:szCs w:val="24"/>
        </w:rPr>
      </w:pPr>
      <w:r w:rsidRPr="00D337FA">
        <w:rPr>
          <w:szCs w:val="24"/>
        </w:rPr>
        <w:t>Практическая</w:t>
      </w:r>
      <w:r w:rsidR="006C680D" w:rsidRPr="00D337FA">
        <w:rPr>
          <w:szCs w:val="24"/>
        </w:rPr>
        <w:t xml:space="preserve"> </w:t>
      </w:r>
      <w:r w:rsidRPr="00D337FA">
        <w:rPr>
          <w:szCs w:val="24"/>
        </w:rPr>
        <w:t>значимость</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предложений</w:t>
      </w:r>
      <w:r w:rsidR="006C680D" w:rsidRPr="00D337FA">
        <w:rPr>
          <w:szCs w:val="24"/>
        </w:rPr>
        <w:t xml:space="preserve"> </w:t>
      </w:r>
      <w:r w:rsidRPr="00D337FA">
        <w:rPr>
          <w:szCs w:val="24"/>
        </w:rPr>
        <w:t>будет</w:t>
      </w:r>
      <w:r w:rsidR="006C680D" w:rsidRPr="00D337FA">
        <w:rPr>
          <w:szCs w:val="24"/>
        </w:rPr>
        <w:t xml:space="preserve"> </w:t>
      </w:r>
      <w:r w:rsidRPr="00D337FA">
        <w:rPr>
          <w:szCs w:val="24"/>
        </w:rPr>
        <w:t>актуальна</w:t>
      </w:r>
      <w:r w:rsidR="006C680D" w:rsidRPr="00D337FA">
        <w:rPr>
          <w:szCs w:val="24"/>
        </w:rPr>
        <w:t xml:space="preserve"> </w:t>
      </w:r>
      <w:r w:rsidRPr="00D337FA">
        <w:rPr>
          <w:szCs w:val="24"/>
        </w:rPr>
        <w:t>при</w:t>
      </w:r>
      <w:r w:rsidR="006C680D" w:rsidRPr="00D337FA">
        <w:rPr>
          <w:szCs w:val="24"/>
        </w:rPr>
        <w:t xml:space="preserve"> </w:t>
      </w:r>
      <w:r w:rsidRPr="00D337FA">
        <w:rPr>
          <w:szCs w:val="24"/>
        </w:rPr>
        <w:t>рассмотрении</w:t>
      </w:r>
      <w:r w:rsidR="006C680D" w:rsidRPr="00D337FA">
        <w:rPr>
          <w:szCs w:val="24"/>
        </w:rPr>
        <w:t xml:space="preserve"> </w:t>
      </w:r>
      <w:r w:rsidRPr="00D337FA">
        <w:rPr>
          <w:szCs w:val="24"/>
        </w:rPr>
        <w:t>проблематики</w:t>
      </w:r>
      <w:r w:rsidR="006C680D" w:rsidRPr="00D337FA">
        <w:rPr>
          <w:szCs w:val="24"/>
        </w:rPr>
        <w:t xml:space="preserve"> </w:t>
      </w:r>
      <w:r w:rsidRPr="00D337FA">
        <w:rPr>
          <w:szCs w:val="24"/>
        </w:rPr>
        <w:t>перечня</w:t>
      </w:r>
      <w:r w:rsidR="006C680D" w:rsidRPr="00D337FA">
        <w:rPr>
          <w:szCs w:val="24"/>
        </w:rPr>
        <w:t xml:space="preserve"> </w:t>
      </w:r>
      <w:r w:rsidRPr="00D337FA">
        <w:rPr>
          <w:szCs w:val="24"/>
        </w:rPr>
        <w:t>мер</w:t>
      </w:r>
      <w:r w:rsidR="006C680D" w:rsidRPr="00D337FA">
        <w:rPr>
          <w:szCs w:val="24"/>
        </w:rPr>
        <w:t xml:space="preserve"> </w:t>
      </w:r>
      <w:r w:rsidRPr="00D337FA">
        <w:rPr>
          <w:szCs w:val="24"/>
        </w:rPr>
        <w:t>и</w:t>
      </w:r>
      <w:r w:rsidR="006C680D" w:rsidRPr="00D337FA">
        <w:rPr>
          <w:szCs w:val="24"/>
        </w:rPr>
        <w:t xml:space="preserve"> </w:t>
      </w:r>
      <w:r w:rsidRPr="00D337FA">
        <w:rPr>
          <w:szCs w:val="24"/>
        </w:rPr>
        <w:t>программ</w:t>
      </w:r>
      <w:r w:rsidR="006C680D" w:rsidRPr="00D337FA">
        <w:rPr>
          <w:szCs w:val="24"/>
        </w:rPr>
        <w:t xml:space="preserve"> </w:t>
      </w:r>
      <w:r w:rsidRPr="00D337FA">
        <w:rPr>
          <w:szCs w:val="24"/>
        </w:rPr>
        <w:lastRenderedPageBreak/>
        <w:t>поддержки</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Российской</w:t>
      </w:r>
      <w:r w:rsidR="006C680D" w:rsidRPr="00D337FA">
        <w:rPr>
          <w:szCs w:val="24"/>
        </w:rPr>
        <w:t xml:space="preserve"> </w:t>
      </w:r>
      <w:r w:rsidRPr="00D337FA">
        <w:rPr>
          <w:szCs w:val="24"/>
        </w:rPr>
        <w:t>Федерации,</w:t>
      </w:r>
      <w:r w:rsidR="006C680D" w:rsidRPr="00D337FA">
        <w:rPr>
          <w:szCs w:val="24"/>
        </w:rPr>
        <w:t xml:space="preserve"> </w:t>
      </w:r>
      <w:r w:rsidRPr="00D337FA">
        <w:rPr>
          <w:szCs w:val="24"/>
        </w:rPr>
        <w:t>как</w:t>
      </w:r>
      <w:r w:rsidR="006C680D" w:rsidRPr="00D337FA">
        <w:rPr>
          <w:szCs w:val="24"/>
        </w:rPr>
        <w:t xml:space="preserve"> </w:t>
      </w:r>
      <w:r w:rsidRPr="00D337FA">
        <w:rPr>
          <w:szCs w:val="24"/>
        </w:rPr>
        <w:t>основного</w:t>
      </w:r>
      <w:r w:rsidR="006C680D" w:rsidRPr="00D337FA">
        <w:rPr>
          <w:szCs w:val="24"/>
        </w:rPr>
        <w:t xml:space="preserve"> </w:t>
      </w:r>
      <w:r w:rsidRPr="00D337FA">
        <w:rPr>
          <w:szCs w:val="24"/>
        </w:rPr>
        <w:t>элемента</w:t>
      </w:r>
      <w:r w:rsidR="006C680D" w:rsidRPr="00D337FA">
        <w:rPr>
          <w:szCs w:val="24"/>
        </w:rPr>
        <w:t xml:space="preserve"> </w:t>
      </w:r>
      <w:r w:rsidRPr="00D337FA">
        <w:rPr>
          <w:szCs w:val="24"/>
        </w:rPr>
        <w:t>продовольственной</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в</w:t>
      </w:r>
      <w:r w:rsidR="006C680D" w:rsidRPr="00D337FA">
        <w:rPr>
          <w:szCs w:val="24"/>
        </w:rPr>
        <w:t xml:space="preserve"> </w:t>
      </w:r>
      <w:r w:rsidRPr="00D337FA">
        <w:rPr>
          <w:szCs w:val="24"/>
        </w:rPr>
        <w:t>современных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геополитической</w:t>
      </w:r>
      <w:r w:rsidR="006C680D" w:rsidRPr="00D337FA">
        <w:rPr>
          <w:szCs w:val="24"/>
        </w:rPr>
        <w:t xml:space="preserve"> </w:t>
      </w:r>
      <w:r w:rsidRPr="00D337FA">
        <w:rPr>
          <w:szCs w:val="24"/>
        </w:rPr>
        <w:t>нестабильности,</w:t>
      </w:r>
      <w:r w:rsidR="006C680D" w:rsidRPr="00D337FA">
        <w:rPr>
          <w:szCs w:val="24"/>
        </w:rPr>
        <w:t xml:space="preserve"> </w:t>
      </w:r>
      <w:r w:rsidRPr="00D337FA">
        <w:rPr>
          <w:szCs w:val="24"/>
        </w:rPr>
        <w:t>ограничений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реализации</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импортозамещения.</w:t>
      </w:r>
      <w:r w:rsidR="006C680D" w:rsidRPr="00D337FA">
        <w:rPr>
          <w:szCs w:val="24"/>
        </w:rPr>
        <w:t xml:space="preserve"> </w:t>
      </w:r>
      <w:r w:rsidRPr="00D337FA">
        <w:rPr>
          <w:szCs w:val="24"/>
        </w:rPr>
        <w:tab/>
        <w:t>Выбранный</w:t>
      </w:r>
      <w:r w:rsidR="006C680D" w:rsidRPr="00D337FA">
        <w:rPr>
          <w:szCs w:val="24"/>
        </w:rPr>
        <w:t xml:space="preserve"> </w:t>
      </w:r>
      <w:r w:rsidRPr="00D337FA">
        <w:rPr>
          <w:szCs w:val="24"/>
        </w:rPr>
        <w:t>сегодня</w:t>
      </w:r>
      <w:r w:rsidR="006C680D" w:rsidRPr="00D337FA">
        <w:rPr>
          <w:szCs w:val="24"/>
        </w:rPr>
        <w:t xml:space="preserve"> </w:t>
      </w:r>
      <w:r w:rsidRPr="00D337FA">
        <w:rPr>
          <w:szCs w:val="24"/>
        </w:rPr>
        <w:t>государственный</w:t>
      </w:r>
      <w:r w:rsidR="006C680D" w:rsidRPr="00D337FA">
        <w:rPr>
          <w:szCs w:val="24"/>
        </w:rPr>
        <w:t xml:space="preserve"> </w:t>
      </w:r>
      <w:r w:rsidRPr="00D337FA">
        <w:rPr>
          <w:szCs w:val="24"/>
        </w:rPr>
        <w:t>курс</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Российской</w:t>
      </w:r>
      <w:r w:rsidR="006C680D" w:rsidRPr="00D337FA">
        <w:rPr>
          <w:szCs w:val="24"/>
        </w:rPr>
        <w:t xml:space="preserve"> </w:t>
      </w:r>
      <w:r w:rsidRPr="00D337FA">
        <w:rPr>
          <w:szCs w:val="24"/>
        </w:rPr>
        <w:t>Федерации,</w:t>
      </w:r>
      <w:r w:rsidR="006C680D" w:rsidRPr="00D337FA">
        <w:rPr>
          <w:szCs w:val="24"/>
        </w:rPr>
        <w:t xml:space="preserve"> </w:t>
      </w:r>
      <w:r w:rsidRPr="00D337FA">
        <w:rPr>
          <w:szCs w:val="24"/>
        </w:rPr>
        <w:t>направленный</w:t>
      </w:r>
      <w:r w:rsidR="006C680D" w:rsidRPr="00D337FA">
        <w:rPr>
          <w:szCs w:val="24"/>
        </w:rPr>
        <w:t xml:space="preserve"> </w:t>
      </w:r>
      <w:r w:rsidRPr="00D337FA">
        <w:rPr>
          <w:szCs w:val="24"/>
        </w:rPr>
        <w:t>на</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и</w:t>
      </w:r>
      <w:r w:rsidR="006C680D" w:rsidRPr="00D337FA">
        <w:rPr>
          <w:szCs w:val="24"/>
        </w:rPr>
        <w:t xml:space="preserve"> </w:t>
      </w:r>
      <w:r w:rsidRPr="00D337FA">
        <w:rPr>
          <w:szCs w:val="24"/>
        </w:rPr>
        <w:t>использования</w:t>
      </w:r>
      <w:r w:rsidR="006C680D" w:rsidRPr="00D337FA">
        <w:rPr>
          <w:szCs w:val="24"/>
        </w:rPr>
        <w:t xml:space="preserve"> </w:t>
      </w:r>
      <w:r w:rsidRPr="00D337FA">
        <w:rPr>
          <w:szCs w:val="24"/>
        </w:rPr>
        <w:t>отечественного</w:t>
      </w:r>
      <w:r w:rsidR="006C680D" w:rsidRPr="00D337FA">
        <w:rPr>
          <w:szCs w:val="24"/>
        </w:rPr>
        <w:t xml:space="preserve"> </w:t>
      </w:r>
      <w:r w:rsidRPr="00D337FA">
        <w:rPr>
          <w:szCs w:val="24"/>
        </w:rPr>
        <w:t>производственного</w:t>
      </w:r>
      <w:r w:rsidR="006C680D" w:rsidRPr="00D337FA">
        <w:rPr>
          <w:szCs w:val="24"/>
        </w:rPr>
        <w:t xml:space="preserve"> </w:t>
      </w:r>
      <w:r w:rsidRPr="00D337FA">
        <w:rPr>
          <w:szCs w:val="24"/>
        </w:rPr>
        <w:t>фонда</w:t>
      </w:r>
      <w:r w:rsidR="006C680D" w:rsidRPr="00D337FA">
        <w:rPr>
          <w:szCs w:val="24"/>
        </w:rPr>
        <w:t xml:space="preserve"> </w:t>
      </w:r>
      <w:r w:rsidRPr="00D337FA">
        <w:rPr>
          <w:szCs w:val="24"/>
        </w:rPr>
        <w:t>(техники,</w:t>
      </w:r>
      <w:r w:rsidR="006C680D" w:rsidRPr="00D337FA">
        <w:rPr>
          <w:szCs w:val="24"/>
        </w:rPr>
        <w:t xml:space="preserve"> </w:t>
      </w:r>
      <w:r w:rsidRPr="00D337FA">
        <w:rPr>
          <w:szCs w:val="24"/>
        </w:rPr>
        <w:t>оборудования,</w:t>
      </w:r>
      <w:r w:rsidR="006C680D" w:rsidRPr="00D337FA">
        <w:rPr>
          <w:szCs w:val="24"/>
        </w:rPr>
        <w:t xml:space="preserve"> </w:t>
      </w:r>
      <w:r w:rsidRPr="00D337FA">
        <w:rPr>
          <w:szCs w:val="24"/>
        </w:rPr>
        <w:t>семян</w:t>
      </w:r>
      <w:r w:rsidR="006C680D" w:rsidRPr="00D337FA">
        <w:rPr>
          <w:szCs w:val="24"/>
        </w:rPr>
        <w:t xml:space="preserve"> </w:t>
      </w:r>
      <w:r w:rsidRPr="00D337FA">
        <w:rPr>
          <w:szCs w:val="24"/>
        </w:rPr>
        <w:t>и</w:t>
      </w:r>
      <w:r w:rsidR="006C680D" w:rsidRPr="00D337FA">
        <w:rPr>
          <w:szCs w:val="24"/>
        </w:rPr>
        <w:t xml:space="preserve"> </w:t>
      </w:r>
      <w:r w:rsidRPr="00D337FA">
        <w:rPr>
          <w:szCs w:val="24"/>
        </w:rPr>
        <w:t>др.)</w:t>
      </w:r>
      <w:r w:rsidR="006C680D" w:rsidRPr="00D337FA">
        <w:rPr>
          <w:szCs w:val="24"/>
        </w:rPr>
        <w:t xml:space="preserve"> </w:t>
      </w:r>
      <w:r w:rsidRPr="00D337FA">
        <w:rPr>
          <w:szCs w:val="24"/>
        </w:rPr>
        <w:t>требует</w:t>
      </w:r>
      <w:r w:rsidR="006C680D" w:rsidRPr="00D337FA">
        <w:rPr>
          <w:szCs w:val="24"/>
        </w:rPr>
        <w:t xml:space="preserve"> </w:t>
      </w:r>
      <w:r w:rsidRPr="00D337FA">
        <w:rPr>
          <w:szCs w:val="24"/>
        </w:rPr>
        <w:t>значительной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в</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уязвимых</w:t>
      </w:r>
      <w:r w:rsidR="006C680D" w:rsidRPr="00D337FA">
        <w:rPr>
          <w:szCs w:val="24"/>
        </w:rPr>
        <w:t xml:space="preserve"> </w:t>
      </w:r>
      <w:r w:rsidRPr="00D337FA">
        <w:rPr>
          <w:szCs w:val="24"/>
        </w:rPr>
        <w:t>местах</w:t>
      </w:r>
      <w:r w:rsidR="006C680D" w:rsidRPr="00D337FA">
        <w:rPr>
          <w:szCs w:val="24"/>
        </w:rPr>
        <w:t xml:space="preserve"> </w:t>
      </w:r>
      <w:r w:rsidRPr="00D337FA">
        <w:rPr>
          <w:szCs w:val="24"/>
        </w:rPr>
        <w:t>сельского</w:t>
      </w:r>
      <w:r w:rsidR="00F70991">
        <w:rPr>
          <w:szCs w:val="24"/>
        </w:rPr>
        <w:t xml:space="preserve"> </w:t>
      </w:r>
      <w:r w:rsidRPr="00D337FA">
        <w:rPr>
          <w:szCs w:val="24"/>
        </w:rPr>
        <w:t>хозяйства,</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понесли</w:t>
      </w:r>
      <w:r w:rsidR="006C680D" w:rsidRPr="00D337FA">
        <w:rPr>
          <w:szCs w:val="24"/>
        </w:rPr>
        <w:t xml:space="preserve"> </w:t>
      </w:r>
      <w:r w:rsidRPr="00D337FA">
        <w:rPr>
          <w:szCs w:val="24"/>
        </w:rPr>
        <w:t>убытки</w:t>
      </w:r>
      <w:r w:rsidR="006C680D" w:rsidRPr="00D337FA">
        <w:rPr>
          <w:szCs w:val="24"/>
        </w:rPr>
        <w:t xml:space="preserve"> </w:t>
      </w:r>
      <w:r w:rsidRPr="00D337FA">
        <w:rPr>
          <w:szCs w:val="24"/>
        </w:rPr>
        <w:t>из-за</w:t>
      </w:r>
      <w:r w:rsidR="006C680D" w:rsidRPr="00D337FA">
        <w:rPr>
          <w:szCs w:val="24"/>
        </w:rPr>
        <w:t xml:space="preserve"> </w:t>
      </w:r>
      <w:r w:rsidRPr="00D337FA">
        <w:rPr>
          <w:szCs w:val="24"/>
        </w:rPr>
        <w:t>санкций.</w:t>
      </w:r>
      <w:r w:rsidR="006C680D" w:rsidRPr="00D337FA">
        <w:rPr>
          <w:szCs w:val="24"/>
        </w:rPr>
        <w:t xml:space="preserve"> </w:t>
      </w:r>
      <w:r w:rsidRPr="00D337FA">
        <w:rPr>
          <w:szCs w:val="24"/>
        </w:rPr>
        <w:t>Реализацию</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действий</w:t>
      </w:r>
      <w:r w:rsidR="006C680D" w:rsidRPr="00D337FA">
        <w:rPr>
          <w:szCs w:val="24"/>
        </w:rPr>
        <w:t xml:space="preserve"> </w:t>
      </w:r>
      <w:r w:rsidRPr="00D337FA">
        <w:rPr>
          <w:szCs w:val="24"/>
        </w:rPr>
        <w:t>мы</w:t>
      </w:r>
      <w:r w:rsidR="006C680D" w:rsidRPr="00D337FA">
        <w:rPr>
          <w:szCs w:val="24"/>
        </w:rPr>
        <w:t xml:space="preserve"> </w:t>
      </w:r>
      <w:r w:rsidRPr="00D337FA">
        <w:rPr>
          <w:szCs w:val="24"/>
        </w:rPr>
        <w:t>ежегодно</w:t>
      </w:r>
      <w:r w:rsidR="006C680D" w:rsidRPr="00D337FA">
        <w:rPr>
          <w:szCs w:val="24"/>
        </w:rPr>
        <w:t xml:space="preserve"> </w:t>
      </w:r>
      <w:r w:rsidRPr="00D337FA">
        <w:rPr>
          <w:szCs w:val="24"/>
        </w:rPr>
        <w:t>наблюдаем,</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её</w:t>
      </w:r>
      <w:r w:rsidR="006C680D" w:rsidRPr="00D337FA">
        <w:rPr>
          <w:szCs w:val="24"/>
        </w:rPr>
        <w:t xml:space="preserve"> </w:t>
      </w:r>
      <w:r w:rsidRPr="00D337FA">
        <w:rPr>
          <w:szCs w:val="24"/>
        </w:rPr>
        <w:t>объем</w:t>
      </w:r>
      <w:r w:rsidR="006C680D" w:rsidRPr="00D337FA">
        <w:rPr>
          <w:szCs w:val="24"/>
        </w:rPr>
        <w:t xml:space="preserve"> </w:t>
      </w:r>
      <w:r w:rsidRPr="00D337FA">
        <w:rPr>
          <w:szCs w:val="24"/>
        </w:rPr>
        <w:t>нельзя</w:t>
      </w:r>
      <w:r w:rsidR="006C680D" w:rsidRPr="00D337FA">
        <w:rPr>
          <w:szCs w:val="24"/>
        </w:rPr>
        <w:t xml:space="preserve"> </w:t>
      </w:r>
      <w:r w:rsidRPr="00D337FA">
        <w:rPr>
          <w:szCs w:val="24"/>
        </w:rPr>
        <w:t>однозначно</w:t>
      </w:r>
      <w:r w:rsidR="006C680D" w:rsidRPr="00D337FA">
        <w:rPr>
          <w:szCs w:val="24"/>
        </w:rPr>
        <w:t xml:space="preserve"> </w:t>
      </w:r>
      <w:r w:rsidRPr="00D337FA">
        <w:rPr>
          <w:szCs w:val="24"/>
        </w:rPr>
        <w:t>охарактеризовать,</w:t>
      </w:r>
      <w:r w:rsidR="006C680D" w:rsidRPr="00D337FA">
        <w:rPr>
          <w:szCs w:val="24"/>
        </w:rPr>
        <w:t xml:space="preserve"> </w:t>
      </w:r>
      <w:r w:rsidRPr="00D337FA">
        <w:rPr>
          <w:szCs w:val="24"/>
        </w:rPr>
        <w:t>как</w:t>
      </w:r>
      <w:r w:rsidR="006C680D" w:rsidRPr="00D337FA">
        <w:rPr>
          <w:szCs w:val="24"/>
        </w:rPr>
        <w:t xml:space="preserve"> </w:t>
      </w:r>
      <w:r w:rsidRPr="00D337FA">
        <w:rPr>
          <w:szCs w:val="24"/>
        </w:rPr>
        <w:t>достаточный,</w:t>
      </w:r>
      <w:r w:rsidR="006C680D" w:rsidRPr="00D337FA">
        <w:rPr>
          <w:szCs w:val="24"/>
        </w:rPr>
        <w:t xml:space="preserve"> </w:t>
      </w:r>
      <w:r w:rsidRPr="00D337FA">
        <w:rPr>
          <w:szCs w:val="24"/>
        </w:rPr>
        <w:t>поскольку</w:t>
      </w:r>
      <w:r w:rsidR="006C680D" w:rsidRPr="00D337FA">
        <w:rPr>
          <w:szCs w:val="24"/>
        </w:rPr>
        <w:t xml:space="preserve"> </w:t>
      </w:r>
      <w:r w:rsidRPr="00D337FA">
        <w:rPr>
          <w:szCs w:val="24"/>
        </w:rPr>
        <w:t>некоторые</w:t>
      </w:r>
      <w:r w:rsidR="006C680D" w:rsidRPr="00D337FA">
        <w:rPr>
          <w:szCs w:val="24"/>
        </w:rPr>
        <w:t xml:space="preserve"> </w:t>
      </w:r>
      <w:r w:rsidRPr="00D337FA">
        <w:rPr>
          <w:szCs w:val="24"/>
        </w:rPr>
        <w:t>проблемы</w:t>
      </w:r>
      <w:r w:rsidR="006C680D" w:rsidRPr="00D337FA">
        <w:rPr>
          <w:szCs w:val="24"/>
        </w:rPr>
        <w:t xml:space="preserve"> </w:t>
      </w:r>
      <w:r w:rsidRPr="00D337FA">
        <w:rPr>
          <w:szCs w:val="24"/>
        </w:rPr>
        <w:t>продолжают</w:t>
      </w:r>
      <w:r w:rsidR="006C680D" w:rsidRPr="00D337FA">
        <w:rPr>
          <w:szCs w:val="24"/>
        </w:rPr>
        <w:t xml:space="preserve"> </w:t>
      </w:r>
      <w:r w:rsidRPr="00D337FA">
        <w:rPr>
          <w:szCs w:val="24"/>
        </w:rPr>
        <w:t>сохраняться.</w:t>
      </w:r>
      <w:r w:rsidR="006C680D" w:rsidRPr="00D337FA">
        <w:rPr>
          <w:szCs w:val="24"/>
        </w:rPr>
        <w:t xml:space="preserve"> </w:t>
      </w:r>
      <w:r w:rsidRPr="00D337FA">
        <w:rPr>
          <w:szCs w:val="24"/>
        </w:rPr>
        <w:t>Основная</w:t>
      </w:r>
      <w:r w:rsidR="006C680D" w:rsidRPr="00D337FA">
        <w:rPr>
          <w:szCs w:val="24"/>
        </w:rPr>
        <w:t xml:space="preserve"> </w:t>
      </w:r>
      <w:r w:rsidRPr="00D337FA">
        <w:rPr>
          <w:szCs w:val="24"/>
        </w:rPr>
        <w:t>ставка</w:t>
      </w:r>
      <w:r w:rsidR="006C680D" w:rsidRPr="00D337FA">
        <w:rPr>
          <w:szCs w:val="24"/>
        </w:rPr>
        <w:t xml:space="preserve"> </w:t>
      </w:r>
      <w:r w:rsidRPr="00D337FA">
        <w:rPr>
          <w:szCs w:val="24"/>
        </w:rPr>
        <w:t>в</w:t>
      </w:r>
      <w:r w:rsidR="006C680D" w:rsidRPr="00D337FA">
        <w:rPr>
          <w:szCs w:val="24"/>
        </w:rPr>
        <w:t xml:space="preserve"> </w:t>
      </w:r>
      <w:r w:rsidRPr="00D337FA">
        <w:rPr>
          <w:szCs w:val="24"/>
        </w:rPr>
        <w:t>сегодняшних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быть</w:t>
      </w:r>
      <w:r w:rsidR="006C680D" w:rsidRPr="00D337FA">
        <w:rPr>
          <w:szCs w:val="24"/>
        </w:rPr>
        <w:t xml:space="preserve"> </w:t>
      </w:r>
      <w:r w:rsidRPr="00D337FA">
        <w:rPr>
          <w:szCs w:val="24"/>
        </w:rPr>
        <w:t>сосредоточена</w:t>
      </w:r>
      <w:r w:rsidR="006C680D" w:rsidRPr="00D337FA">
        <w:rPr>
          <w:szCs w:val="24"/>
        </w:rPr>
        <w:t xml:space="preserve"> </w:t>
      </w:r>
      <w:r w:rsidRPr="00D337FA">
        <w:rPr>
          <w:szCs w:val="24"/>
        </w:rPr>
        <w:t>на</w:t>
      </w:r>
      <w:r w:rsidR="006C680D" w:rsidRPr="00D337FA">
        <w:rPr>
          <w:szCs w:val="24"/>
        </w:rPr>
        <w:t xml:space="preserve"> </w:t>
      </w:r>
      <w:r w:rsidRPr="00D337FA">
        <w:rPr>
          <w:szCs w:val="24"/>
        </w:rPr>
        <w:t>развитии</w:t>
      </w:r>
      <w:r w:rsidR="006C680D" w:rsidRPr="00D337FA">
        <w:rPr>
          <w:szCs w:val="24"/>
        </w:rPr>
        <w:t xml:space="preserve"> </w:t>
      </w:r>
      <w:r w:rsidRPr="00D337FA">
        <w:rPr>
          <w:szCs w:val="24"/>
        </w:rPr>
        <w:t>инновационного</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кластера,</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сейчас</w:t>
      </w:r>
      <w:r w:rsidR="006C680D" w:rsidRPr="00D337FA">
        <w:rPr>
          <w:szCs w:val="24"/>
        </w:rPr>
        <w:t xml:space="preserve"> </w:t>
      </w:r>
      <w:r w:rsidRPr="00D337FA">
        <w:rPr>
          <w:szCs w:val="24"/>
        </w:rPr>
        <w:t>испытывает</w:t>
      </w:r>
      <w:r w:rsidR="006C680D" w:rsidRPr="00D337FA">
        <w:rPr>
          <w:szCs w:val="24"/>
        </w:rPr>
        <w:t xml:space="preserve"> </w:t>
      </w:r>
      <w:r w:rsidRPr="00D337FA">
        <w:rPr>
          <w:szCs w:val="24"/>
        </w:rPr>
        <w:t>«бум»</w:t>
      </w:r>
      <w:r w:rsidR="006C680D" w:rsidRPr="00D337FA">
        <w:rPr>
          <w:szCs w:val="24"/>
        </w:rPr>
        <w:t xml:space="preserve"> </w:t>
      </w:r>
      <w:r w:rsidRPr="00D337FA">
        <w:rPr>
          <w:szCs w:val="24"/>
        </w:rPr>
        <w:t>своего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во</w:t>
      </w:r>
      <w:r w:rsidR="006C680D" w:rsidRPr="00D337FA">
        <w:rPr>
          <w:szCs w:val="24"/>
        </w:rPr>
        <w:t xml:space="preserve"> </w:t>
      </w:r>
      <w:r w:rsidRPr="00D337FA">
        <w:rPr>
          <w:szCs w:val="24"/>
        </w:rPr>
        <w:t>многих</w:t>
      </w:r>
      <w:r w:rsidR="006C680D" w:rsidRPr="00D337FA">
        <w:rPr>
          <w:szCs w:val="24"/>
        </w:rPr>
        <w:t xml:space="preserve"> </w:t>
      </w:r>
      <w:r w:rsidRPr="00D337FA">
        <w:rPr>
          <w:szCs w:val="24"/>
        </w:rPr>
        <w:t>странах</w:t>
      </w:r>
      <w:r w:rsidR="006C680D" w:rsidRPr="00D337FA">
        <w:rPr>
          <w:szCs w:val="24"/>
        </w:rPr>
        <w:t xml:space="preserve"> </w:t>
      </w:r>
      <w:r w:rsidRPr="00D337FA">
        <w:rPr>
          <w:szCs w:val="24"/>
        </w:rPr>
        <w:t>на</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уровнях,</w:t>
      </w:r>
      <w:r w:rsidR="006C680D" w:rsidRPr="00D337FA">
        <w:rPr>
          <w:szCs w:val="24"/>
        </w:rPr>
        <w:t xml:space="preserve"> </w:t>
      </w:r>
      <w:r w:rsidRPr="00D337FA">
        <w:rPr>
          <w:szCs w:val="24"/>
        </w:rPr>
        <w:t>начиная</w:t>
      </w:r>
      <w:r w:rsidR="006C680D" w:rsidRPr="00D337FA">
        <w:rPr>
          <w:szCs w:val="24"/>
        </w:rPr>
        <w:t xml:space="preserve"> </w:t>
      </w:r>
      <w:r w:rsidRPr="00D337FA">
        <w:rPr>
          <w:szCs w:val="24"/>
        </w:rPr>
        <w:t>от</w:t>
      </w:r>
      <w:r w:rsidR="006C680D" w:rsidRPr="00D337FA">
        <w:rPr>
          <w:szCs w:val="24"/>
        </w:rPr>
        <w:t xml:space="preserve"> </w:t>
      </w:r>
      <w:r w:rsidRPr="00D337FA">
        <w:rPr>
          <w:szCs w:val="24"/>
        </w:rPr>
        <w:t>крупных</w:t>
      </w:r>
      <w:r w:rsidR="006C680D" w:rsidRPr="00D337FA">
        <w:rPr>
          <w:szCs w:val="24"/>
        </w:rPr>
        <w:t xml:space="preserve"> </w:t>
      </w:r>
      <w:r w:rsidRPr="00D337FA">
        <w:rPr>
          <w:szCs w:val="24"/>
          <w:lang w:val="en-US"/>
        </w:rPr>
        <w:t>IT</w:t>
      </w:r>
      <w:r w:rsidRPr="00D337FA">
        <w:rPr>
          <w:szCs w:val="24"/>
        </w:rPr>
        <w:t>-гинатов</w:t>
      </w:r>
      <w:r w:rsidR="006C680D" w:rsidRPr="00D337FA">
        <w:rPr>
          <w:szCs w:val="24"/>
        </w:rPr>
        <w:t xml:space="preserve"> </w:t>
      </w:r>
      <w:r w:rsidRPr="00D337FA">
        <w:rPr>
          <w:szCs w:val="24"/>
        </w:rPr>
        <w:t>и</w:t>
      </w:r>
      <w:r w:rsidR="006C680D" w:rsidRPr="00D337FA">
        <w:rPr>
          <w:szCs w:val="24"/>
        </w:rPr>
        <w:t xml:space="preserve"> </w:t>
      </w:r>
      <w:r w:rsidRPr="00D337FA">
        <w:rPr>
          <w:szCs w:val="24"/>
        </w:rPr>
        <w:t>заканчивая</w:t>
      </w:r>
      <w:r w:rsidR="006C680D" w:rsidRPr="00D337FA">
        <w:rPr>
          <w:szCs w:val="24"/>
        </w:rPr>
        <w:t xml:space="preserve"> </w:t>
      </w:r>
      <w:r w:rsidRPr="00D337FA">
        <w:rPr>
          <w:szCs w:val="24"/>
        </w:rPr>
        <w:t>университетами.</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как</w:t>
      </w:r>
      <w:r w:rsidR="006C680D" w:rsidRPr="00D337FA">
        <w:rPr>
          <w:szCs w:val="24"/>
        </w:rPr>
        <w:t xml:space="preserve"> </w:t>
      </w:r>
      <w:r w:rsidRPr="00D337FA">
        <w:rPr>
          <w:szCs w:val="24"/>
        </w:rPr>
        <w:t>правило</w:t>
      </w:r>
      <w:r w:rsidR="006C680D" w:rsidRPr="00D337FA">
        <w:rPr>
          <w:szCs w:val="24"/>
        </w:rPr>
        <w:t xml:space="preserve"> </w:t>
      </w:r>
      <w:r w:rsidRPr="00D337FA">
        <w:rPr>
          <w:szCs w:val="24"/>
        </w:rPr>
        <w:t>являются</w:t>
      </w:r>
      <w:r w:rsidR="006C680D" w:rsidRPr="00D337FA">
        <w:rPr>
          <w:szCs w:val="24"/>
        </w:rPr>
        <w:t xml:space="preserve"> </w:t>
      </w:r>
      <w:r w:rsidRPr="00D337FA">
        <w:rPr>
          <w:szCs w:val="24"/>
        </w:rPr>
        <w:t>общими</w:t>
      </w:r>
      <w:r w:rsidR="006C680D" w:rsidRPr="00D337FA">
        <w:rPr>
          <w:szCs w:val="24"/>
        </w:rPr>
        <w:t xml:space="preserve"> </w:t>
      </w:r>
      <w:r w:rsidRPr="00D337FA">
        <w:rPr>
          <w:szCs w:val="24"/>
        </w:rPr>
        <w:t>и</w:t>
      </w:r>
      <w:r w:rsidR="006C680D" w:rsidRPr="00D337FA">
        <w:rPr>
          <w:szCs w:val="24"/>
        </w:rPr>
        <w:t xml:space="preserve"> </w:t>
      </w:r>
      <w:r w:rsidRPr="00D337FA">
        <w:rPr>
          <w:szCs w:val="24"/>
        </w:rPr>
        <w:t>не</w:t>
      </w:r>
      <w:r w:rsidR="006C680D" w:rsidRPr="00D337FA">
        <w:rPr>
          <w:szCs w:val="24"/>
        </w:rPr>
        <w:t xml:space="preserve"> </w:t>
      </w:r>
      <w:r w:rsidRPr="00D337FA">
        <w:rPr>
          <w:szCs w:val="24"/>
        </w:rPr>
        <w:t>всегда</w:t>
      </w:r>
      <w:r w:rsidR="006C680D" w:rsidRPr="00D337FA">
        <w:rPr>
          <w:szCs w:val="24"/>
        </w:rPr>
        <w:t xml:space="preserve"> </w:t>
      </w:r>
      <w:r w:rsidRPr="00D337FA">
        <w:rPr>
          <w:szCs w:val="24"/>
        </w:rPr>
        <w:t>применимыми</w:t>
      </w:r>
      <w:r w:rsidR="006C680D" w:rsidRPr="00D337FA">
        <w:rPr>
          <w:szCs w:val="24"/>
        </w:rPr>
        <w:t xml:space="preserve"> </w:t>
      </w:r>
      <w:r w:rsidRPr="00D337FA">
        <w:rPr>
          <w:szCs w:val="24"/>
        </w:rPr>
        <w:t>в</w:t>
      </w:r>
      <w:r w:rsidR="006C680D" w:rsidRPr="00D337FA">
        <w:rPr>
          <w:szCs w:val="24"/>
        </w:rPr>
        <w:t xml:space="preserve"> </w:t>
      </w:r>
      <w:r w:rsidRPr="00D337FA">
        <w:rPr>
          <w:szCs w:val="24"/>
        </w:rPr>
        <w:t>АПК,</w:t>
      </w:r>
      <w:r w:rsidR="006C680D" w:rsidRPr="00D337FA">
        <w:rPr>
          <w:szCs w:val="24"/>
        </w:rPr>
        <w:t xml:space="preserve"> </w:t>
      </w:r>
      <w:r w:rsidRPr="00D337FA">
        <w:rPr>
          <w:szCs w:val="24"/>
        </w:rPr>
        <w:t>поскольку</w:t>
      </w:r>
      <w:r w:rsidR="006C680D" w:rsidRPr="00D337FA">
        <w:rPr>
          <w:szCs w:val="24"/>
        </w:rPr>
        <w:t xml:space="preserve"> </w:t>
      </w:r>
      <w:r w:rsidRPr="00D337FA">
        <w:rPr>
          <w:szCs w:val="24"/>
        </w:rPr>
        <w:t>это</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сложной</w:t>
      </w:r>
      <w:r w:rsidR="006C680D" w:rsidRPr="00D337FA">
        <w:rPr>
          <w:szCs w:val="24"/>
        </w:rPr>
        <w:t xml:space="preserve"> </w:t>
      </w:r>
      <w:r w:rsidRPr="00D337FA">
        <w:rPr>
          <w:szCs w:val="24"/>
        </w:rPr>
        <w:t>задачей.</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смогут</w:t>
      </w:r>
      <w:r w:rsidR="006C680D" w:rsidRPr="00D337FA">
        <w:rPr>
          <w:szCs w:val="24"/>
        </w:rPr>
        <w:t xml:space="preserve"> </w:t>
      </w:r>
      <w:r w:rsidRPr="00D337FA">
        <w:rPr>
          <w:szCs w:val="24"/>
        </w:rPr>
        <w:t>совместить</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искусственного</w:t>
      </w:r>
      <w:r w:rsidR="006C680D" w:rsidRPr="00D337FA">
        <w:rPr>
          <w:szCs w:val="24"/>
        </w:rPr>
        <w:t xml:space="preserve"> </w:t>
      </w:r>
      <w:r w:rsidRPr="00D337FA">
        <w:rPr>
          <w:szCs w:val="24"/>
        </w:rPr>
        <w:t>интеллекта</w:t>
      </w:r>
      <w:r w:rsidR="006C680D" w:rsidRPr="00D337FA">
        <w:rPr>
          <w:szCs w:val="24"/>
        </w:rPr>
        <w:t xml:space="preserve"> </w:t>
      </w:r>
      <w:r w:rsidRPr="00D337FA">
        <w:rPr>
          <w:szCs w:val="24"/>
        </w:rPr>
        <w:t>с</w:t>
      </w:r>
      <w:r w:rsidR="006C680D" w:rsidRPr="00D337FA">
        <w:rPr>
          <w:szCs w:val="24"/>
        </w:rPr>
        <w:t xml:space="preserve"> </w:t>
      </w:r>
      <w:r w:rsidRPr="00D337FA">
        <w:rPr>
          <w:szCs w:val="24"/>
        </w:rPr>
        <w:t>АПК,</w:t>
      </w:r>
      <w:r w:rsidR="006C680D" w:rsidRPr="00D337FA">
        <w:rPr>
          <w:szCs w:val="24"/>
        </w:rPr>
        <w:t xml:space="preserve"> </w:t>
      </w:r>
      <w:r w:rsidRPr="00D337FA">
        <w:rPr>
          <w:szCs w:val="24"/>
        </w:rPr>
        <w:t>сумеют</w:t>
      </w:r>
      <w:r w:rsidR="006C680D" w:rsidRPr="00D337FA">
        <w:rPr>
          <w:szCs w:val="24"/>
        </w:rPr>
        <w:t xml:space="preserve"> </w:t>
      </w:r>
      <w:r w:rsidRPr="00D337FA">
        <w:rPr>
          <w:szCs w:val="24"/>
        </w:rPr>
        <w:t>занять</w:t>
      </w:r>
      <w:r w:rsidR="006C680D" w:rsidRPr="00D337FA">
        <w:rPr>
          <w:szCs w:val="24"/>
        </w:rPr>
        <w:t xml:space="preserve"> </w:t>
      </w:r>
      <w:r w:rsidRPr="00D337FA">
        <w:rPr>
          <w:szCs w:val="24"/>
        </w:rPr>
        <w:t>лидирующие</w:t>
      </w:r>
      <w:r w:rsidR="006C680D" w:rsidRPr="00D337FA">
        <w:rPr>
          <w:szCs w:val="24"/>
        </w:rPr>
        <w:t xml:space="preserve"> </w:t>
      </w:r>
      <w:r w:rsidRPr="00D337FA">
        <w:rPr>
          <w:szCs w:val="24"/>
        </w:rPr>
        <w:t>места</w:t>
      </w:r>
      <w:r w:rsidR="006C680D" w:rsidRPr="00D337FA">
        <w:rPr>
          <w:szCs w:val="24"/>
        </w:rPr>
        <w:t xml:space="preserve"> </w:t>
      </w:r>
      <w:r w:rsidRPr="00D337FA">
        <w:rPr>
          <w:szCs w:val="24"/>
        </w:rPr>
        <w:t>на</w:t>
      </w:r>
      <w:r w:rsidR="006C680D" w:rsidRPr="00D337FA">
        <w:rPr>
          <w:szCs w:val="24"/>
        </w:rPr>
        <w:t xml:space="preserve"> </w:t>
      </w:r>
      <w:r w:rsidRPr="00D337FA">
        <w:rPr>
          <w:szCs w:val="24"/>
        </w:rPr>
        <w:t>мировой</w:t>
      </w:r>
      <w:r w:rsidR="006C680D" w:rsidRPr="00D337FA">
        <w:rPr>
          <w:szCs w:val="24"/>
        </w:rPr>
        <w:t xml:space="preserve"> </w:t>
      </w:r>
      <w:r w:rsidRPr="00D337FA">
        <w:rPr>
          <w:szCs w:val="24"/>
        </w:rPr>
        <w:t>арене,</w:t>
      </w:r>
      <w:r w:rsidR="006C680D" w:rsidRPr="00D337FA">
        <w:rPr>
          <w:szCs w:val="24"/>
        </w:rPr>
        <w:t xml:space="preserve"> </w:t>
      </w:r>
      <w:r w:rsidRPr="00D337FA">
        <w:rPr>
          <w:szCs w:val="24"/>
        </w:rPr>
        <w:t>как</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продажи</w:t>
      </w:r>
      <w:r w:rsidR="006C680D" w:rsidRPr="00D337FA">
        <w:rPr>
          <w:szCs w:val="24"/>
        </w:rPr>
        <w:t xml:space="preserve"> </w:t>
      </w:r>
      <w:r w:rsidRPr="00D337FA">
        <w:rPr>
          <w:szCs w:val="24"/>
        </w:rPr>
        <w:t>продукции,</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технологических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чаще</w:t>
      </w:r>
      <w:r w:rsidR="006C680D" w:rsidRPr="00D337FA">
        <w:rPr>
          <w:szCs w:val="24"/>
        </w:rPr>
        <w:t xml:space="preserve"> </w:t>
      </w:r>
      <w:r w:rsidRPr="00D337FA">
        <w:rPr>
          <w:szCs w:val="24"/>
        </w:rPr>
        <w:t>всего</w:t>
      </w:r>
      <w:r w:rsidR="006C680D" w:rsidRPr="00D337FA">
        <w:rPr>
          <w:szCs w:val="24"/>
        </w:rPr>
        <w:t xml:space="preserve"> </w:t>
      </w:r>
      <w:r w:rsidRPr="00D337FA">
        <w:rPr>
          <w:szCs w:val="24"/>
        </w:rPr>
        <w:t>выгоднее</w:t>
      </w:r>
      <w:r w:rsidR="006C680D" w:rsidRPr="00D337FA">
        <w:rPr>
          <w:szCs w:val="24"/>
        </w:rPr>
        <w:t xml:space="preserve"> </w:t>
      </w:r>
      <w:r w:rsidRPr="00D337FA">
        <w:rPr>
          <w:szCs w:val="24"/>
        </w:rPr>
        <w:t>приобретать,</w:t>
      </w:r>
      <w:r w:rsidR="006C680D" w:rsidRPr="00D337FA">
        <w:rPr>
          <w:szCs w:val="24"/>
        </w:rPr>
        <w:t xml:space="preserve"> </w:t>
      </w:r>
      <w:r w:rsidRPr="00D337FA">
        <w:rPr>
          <w:szCs w:val="24"/>
        </w:rPr>
        <w:t>чем</w:t>
      </w:r>
      <w:r w:rsidR="006C680D" w:rsidRPr="00D337FA">
        <w:rPr>
          <w:szCs w:val="24"/>
        </w:rPr>
        <w:t xml:space="preserve"> </w:t>
      </w:r>
      <w:r w:rsidRPr="00D337FA">
        <w:rPr>
          <w:szCs w:val="24"/>
        </w:rPr>
        <w:t>заниматься</w:t>
      </w:r>
      <w:r w:rsidR="006C680D" w:rsidRPr="00D337FA">
        <w:rPr>
          <w:szCs w:val="24"/>
        </w:rPr>
        <w:t xml:space="preserve"> </w:t>
      </w:r>
      <w:r w:rsidRPr="00D337FA">
        <w:rPr>
          <w:szCs w:val="24"/>
        </w:rPr>
        <w:t>их</w:t>
      </w:r>
      <w:r w:rsidR="006C680D" w:rsidRPr="00D337FA">
        <w:rPr>
          <w:szCs w:val="24"/>
        </w:rPr>
        <w:t xml:space="preserve"> </w:t>
      </w:r>
      <w:r w:rsidRPr="00D337FA">
        <w:rPr>
          <w:szCs w:val="24"/>
        </w:rPr>
        <w:t>самостоятельной</w:t>
      </w:r>
      <w:r w:rsidR="006C680D" w:rsidRPr="00D337FA">
        <w:rPr>
          <w:szCs w:val="24"/>
        </w:rPr>
        <w:t xml:space="preserve"> </w:t>
      </w:r>
      <w:r w:rsidRPr="00D337FA">
        <w:rPr>
          <w:szCs w:val="24"/>
        </w:rPr>
        <w:t>разработкой.</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это</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сделать</w:t>
      </w:r>
      <w:r w:rsidR="006C680D" w:rsidRPr="00D337FA">
        <w:rPr>
          <w:szCs w:val="24"/>
        </w:rPr>
        <w:t xml:space="preserve"> </w:t>
      </w:r>
      <w:r w:rsidRPr="00D337FA">
        <w:rPr>
          <w:szCs w:val="24"/>
        </w:rPr>
        <w:t>этот</w:t>
      </w:r>
      <w:r w:rsidR="006C680D" w:rsidRPr="00D337FA">
        <w:rPr>
          <w:szCs w:val="24"/>
        </w:rPr>
        <w:t xml:space="preserve"> </w:t>
      </w:r>
      <w:r w:rsidRPr="00D337FA">
        <w:rPr>
          <w:szCs w:val="24"/>
        </w:rPr>
        <w:t>курс</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приоритетной</w:t>
      </w:r>
      <w:r w:rsidR="006C680D" w:rsidRPr="00D337FA">
        <w:rPr>
          <w:szCs w:val="24"/>
        </w:rPr>
        <w:t xml:space="preserve"> </w:t>
      </w:r>
      <w:r w:rsidRPr="00D337FA">
        <w:rPr>
          <w:szCs w:val="24"/>
        </w:rPr>
        <w:t>задачей</w:t>
      </w:r>
      <w:r w:rsidR="006C680D" w:rsidRPr="00D337FA">
        <w:rPr>
          <w:szCs w:val="24"/>
        </w:rPr>
        <w:t xml:space="preserve"> </w:t>
      </w:r>
      <w:r w:rsidRPr="00D337FA">
        <w:rPr>
          <w:szCs w:val="24"/>
        </w:rPr>
        <w:t>стратегической</w:t>
      </w:r>
      <w:r w:rsidR="006C680D" w:rsidRPr="00D337FA">
        <w:rPr>
          <w:szCs w:val="24"/>
        </w:rPr>
        <w:t xml:space="preserve"> </w:t>
      </w:r>
      <w:r w:rsidRPr="00D337FA">
        <w:rPr>
          <w:szCs w:val="24"/>
        </w:rPr>
        <w:t>политики</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искусственного</w:t>
      </w:r>
      <w:r w:rsidR="006C680D" w:rsidRPr="00D337FA">
        <w:rPr>
          <w:szCs w:val="24"/>
        </w:rPr>
        <w:t xml:space="preserve"> </w:t>
      </w:r>
      <w:r w:rsidRPr="00D337FA">
        <w:rPr>
          <w:szCs w:val="24"/>
        </w:rPr>
        <w:t>интеллекта</w:t>
      </w:r>
      <w:r w:rsidR="006C680D" w:rsidRPr="00D337FA">
        <w:rPr>
          <w:szCs w:val="24"/>
        </w:rPr>
        <w:t xml:space="preserve"> </w:t>
      </w:r>
      <w:r w:rsidRPr="00D337FA">
        <w:rPr>
          <w:szCs w:val="24"/>
        </w:rPr>
        <w:t>и</w:t>
      </w:r>
      <w:r w:rsidR="006C680D" w:rsidRPr="00D337FA">
        <w:rPr>
          <w:szCs w:val="24"/>
        </w:rPr>
        <w:t xml:space="preserve"> </w:t>
      </w:r>
      <w:r w:rsidRPr="00D337FA">
        <w:rPr>
          <w:szCs w:val="24"/>
        </w:rPr>
        <w:t>всей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в</w:t>
      </w:r>
      <w:r w:rsidR="006C680D" w:rsidRPr="00D337FA">
        <w:rPr>
          <w:szCs w:val="24"/>
        </w:rPr>
        <w:t xml:space="preserve"> </w:t>
      </w:r>
      <w:r w:rsidRPr="00D337FA">
        <w:rPr>
          <w:szCs w:val="24"/>
        </w:rPr>
        <w:t>целом.</w:t>
      </w:r>
      <w:r w:rsidR="006C680D" w:rsidRPr="00D337FA">
        <w:rPr>
          <w:szCs w:val="24"/>
        </w:rPr>
        <w:t xml:space="preserve"> </w:t>
      </w:r>
    </w:p>
    <w:p w:rsidR="00826D3F" w:rsidRPr="00D337FA" w:rsidRDefault="00826D3F" w:rsidP="00826D3F">
      <w:pPr>
        <w:ind w:firstLine="284"/>
        <w:rPr>
          <w:szCs w:val="22"/>
        </w:rPr>
      </w:pPr>
    </w:p>
    <w:p w:rsidR="00826D3F" w:rsidRPr="00D337FA" w:rsidRDefault="00826D3F" w:rsidP="00826D3F">
      <w:pPr>
        <w:ind w:firstLine="284"/>
        <w:rPr>
          <w:b/>
          <w:szCs w:val="22"/>
        </w:rPr>
      </w:pPr>
      <w:r w:rsidRPr="00D337FA">
        <w:rPr>
          <w:b/>
          <w:szCs w:val="22"/>
        </w:rPr>
        <w:t>Заключение</w:t>
      </w:r>
      <w:r w:rsidR="006C680D" w:rsidRPr="00D337FA">
        <w:rPr>
          <w:b/>
          <w:szCs w:val="22"/>
        </w:rPr>
        <w:t xml:space="preserve"> </w:t>
      </w:r>
      <w:r w:rsidR="006C680D" w:rsidRPr="00D337FA">
        <w:rPr>
          <w:szCs w:val="24"/>
        </w:rPr>
        <w:t xml:space="preserve"> </w:t>
      </w:r>
    </w:p>
    <w:p w:rsidR="00826D3F" w:rsidRPr="00D337FA" w:rsidRDefault="00826D3F" w:rsidP="00826D3F">
      <w:pPr>
        <w:ind w:firstLine="284"/>
        <w:rPr>
          <w:szCs w:val="24"/>
        </w:rPr>
      </w:pPr>
      <w:r w:rsidRPr="00D337FA">
        <w:rPr>
          <w:szCs w:val="24"/>
        </w:rPr>
        <w:t>Многочисленные</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проводимые</w:t>
      </w:r>
      <w:r w:rsidR="006C680D" w:rsidRPr="00D337FA">
        <w:rPr>
          <w:szCs w:val="24"/>
        </w:rPr>
        <w:t xml:space="preserve"> </w:t>
      </w:r>
      <w:r w:rsidRPr="00D337FA">
        <w:rPr>
          <w:szCs w:val="24"/>
        </w:rPr>
        <w:t>в</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несколько</w:t>
      </w:r>
      <w:r w:rsidR="006C680D" w:rsidRPr="00D337FA">
        <w:rPr>
          <w:szCs w:val="24"/>
        </w:rPr>
        <w:t xml:space="preserve"> </w:t>
      </w:r>
      <w:r w:rsidRPr="00D337FA">
        <w:rPr>
          <w:szCs w:val="24"/>
        </w:rPr>
        <w:t>лет</w:t>
      </w:r>
      <w:r w:rsidR="006C680D" w:rsidRPr="00D337FA">
        <w:rPr>
          <w:szCs w:val="24"/>
        </w:rPr>
        <w:t xml:space="preserve"> </w:t>
      </w:r>
      <w:r w:rsidRPr="00D337FA">
        <w:rPr>
          <w:szCs w:val="24"/>
        </w:rPr>
        <w:t>в</w:t>
      </w:r>
      <w:r w:rsidR="006C680D" w:rsidRPr="00D337FA">
        <w:rPr>
          <w:szCs w:val="24"/>
        </w:rPr>
        <w:t xml:space="preserve"> </w:t>
      </w:r>
      <w:r w:rsidRPr="00D337FA">
        <w:rPr>
          <w:szCs w:val="24"/>
        </w:rPr>
        <w:t>аграрном</w:t>
      </w:r>
      <w:r w:rsidR="006C680D" w:rsidRPr="00D337FA">
        <w:rPr>
          <w:szCs w:val="24"/>
        </w:rPr>
        <w:t xml:space="preserve"> </w:t>
      </w:r>
      <w:r w:rsidRPr="00D337FA">
        <w:rPr>
          <w:szCs w:val="24"/>
        </w:rPr>
        <w:t>секторе,</w:t>
      </w:r>
      <w:r w:rsidR="006C680D" w:rsidRPr="00D337FA">
        <w:rPr>
          <w:szCs w:val="24"/>
        </w:rPr>
        <w:t xml:space="preserve"> </w:t>
      </w:r>
      <w:r w:rsidRPr="00D337FA">
        <w:rPr>
          <w:szCs w:val="24"/>
        </w:rPr>
        <w:t>должны</w:t>
      </w:r>
      <w:r w:rsidR="006C680D" w:rsidRPr="00D337FA">
        <w:rPr>
          <w:szCs w:val="24"/>
        </w:rPr>
        <w:t xml:space="preserve"> </w:t>
      </w:r>
      <w:r w:rsidRPr="00D337FA">
        <w:rPr>
          <w:szCs w:val="24"/>
        </w:rPr>
        <w:t>приниматься</w:t>
      </w:r>
      <w:r w:rsidR="006C680D" w:rsidRPr="00D337FA">
        <w:rPr>
          <w:szCs w:val="24"/>
        </w:rPr>
        <w:t xml:space="preserve"> </w:t>
      </w:r>
      <w:r w:rsidRPr="00D337FA">
        <w:rPr>
          <w:szCs w:val="24"/>
        </w:rPr>
        <w:t>во</w:t>
      </w:r>
      <w:r w:rsidR="006C680D" w:rsidRPr="00D337FA">
        <w:rPr>
          <w:szCs w:val="24"/>
        </w:rPr>
        <w:t xml:space="preserve"> </w:t>
      </w:r>
      <w:r w:rsidRPr="00D337FA">
        <w:rPr>
          <w:szCs w:val="24"/>
        </w:rPr>
        <w:t>внимание</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всех</w:t>
      </w:r>
      <w:r w:rsidR="006C680D" w:rsidRPr="00D337FA">
        <w:rPr>
          <w:szCs w:val="24"/>
        </w:rPr>
        <w:t xml:space="preserve"> </w:t>
      </w:r>
      <w:r w:rsidRPr="00D337FA">
        <w:rPr>
          <w:szCs w:val="24"/>
        </w:rPr>
        <w:t>уровнях,</w:t>
      </w:r>
      <w:r w:rsidR="006C680D" w:rsidRPr="00D337FA">
        <w:rPr>
          <w:szCs w:val="24"/>
        </w:rPr>
        <w:t xml:space="preserve"> </w:t>
      </w:r>
      <w:r w:rsidRPr="00D337FA">
        <w:rPr>
          <w:szCs w:val="24"/>
        </w:rPr>
        <w:t>вне</w:t>
      </w:r>
      <w:r w:rsidR="006C680D" w:rsidRPr="00D337FA">
        <w:rPr>
          <w:szCs w:val="24"/>
        </w:rPr>
        <w:t xml:space="preserve"> </w:t>
      </w:r>
      <w:r w:rsidRPr="00D337FA">
        <w:rPr>
          <w:szCs w:val="24"/>
        </w:rPr>
        <w:t>зависимости</w:t>
      </w:r>
      <w:r w:rsidR="006C680D" w:rsidRPr="00D337FA">
        <w:rPr>
          <w:szCs w:val="24"/>
        </w:rPr>
        <w:t xml:space="preserve"> </w:t>
      </w:r>
      <w:r w:rsidRPr="00D337FA">
        <w:rPr>
          <w:szCs w:val="24"/>
        </w:rPr>
        <w:t>от</w:t>
      </w:r>
      <w:r w:rsidR="006C680D" w:rsidRPr="00D337FA">
        <w:rPr>
          <w:szCs w:val="24"/>
        </w:rPr>
        <w:t xml:space="preserve"> </w:t>
      </w:r>
      <w:r w:rsidRPr="00D337FA">
        <w:rPr>
          <w:szCs w:val="24"/>
        </w:rPr>
        <w:t>того,</w:t>
      </w:r>
      <w:r w:rsidR="006C680D" w:rsidRPr="00D337FA">
        <w:rPr>
          <w:szCs w:val="24"/>
        </w:rPr>
        <w:t xml:space="preserve"> </w:t>
      </w:r>
      <w:r w:rsidRPr="00D337FA">
        <w:rPr>
          <w:szCs w:val="24"/>
        </w:rPr>
        <w:t>кто</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их</w:t>
      </w:r>
      <w:r w:rsidR="006C680D" w:rsidRPr="00D337FA">
        <w:rPr>
          <w:szCs w:val="24"/>
        </w:rPr>
        <w:t xml:space="preserve"> </w:t>
      </w:r>
      <w:r w:rsidRPr="00D337FA">
        <w:rPr>
          <w:szCs w:val="24"/>
        </w:rPr>
        <w:t>автором</w:t>
      </w:r>
      <w:r w:rsidR="006C680D" w:rsidRPr="00D337FA">
        <w:rPr>
          <w:szCs w:val="24"/>
        </w:rPr>
        <w:t xml:space="preserve"> </w:t>
      </w:r>
      <w:r w:rsidR="00A53D60">
        <w:rPr>
          <w:szCs w:val="24"/>
        </w:rPr>
        <w:t>–</w:t>
      </w:r>
      <w:r w:rsidR="006C680D" w:rsidRPr="00D337FA">
        <w:rPr>
          <w:szCs w:val="24"/>
        </w:rPr>
        <w:t xml:space="preserve"> </w:t>
      </w:r>
      <w:r w:rsidRPr="00D337FA">
        <w:rPr>
          <w:szCs w:val="24"/>
        </w:rPr>
        <w:t>исследователь,</w:t>
      </w:r>
      <w:r w:rsidR="006C680D" w:rsidRPr="00D337FA">
        <w:rPr>
          <w:szCs w:val="24"/>
        </w:rPr>
        <w:t xml:space="preserve"> </w:t>
      </w:r>
      <w:r w:rsidRPr="00D337FA">
        <w:rPr>
          <w:szCs w:val="24"/>
        </w:rPr>
        <w:t>ученый</w:t>
      </w:r>
      <w:r w:rsidR="006C680D" w:rsidRPr="00D337FA">
        <w:rPr>
          <w:szCs w:val="24"/>
        </w:rPr>
        <w:t xml:space="preserve"> </w:t>
      </w:r>
      <w:r w:rsidRPr="00D337FA">
        <w:rPr>
          <w:szCs w:val="24"/>
        </w:rPr>
        <w:t>или</w:t>
      </w:r>
      <w:r w:rsidR="006C680D" w:rsidRPr="00D337FA">
        <w:rPr>
          <w:szCs w:val="24"/>
        </w:rPr>
        <w:t xml:space="preserve"> </w:t>
      </w:r>
      <w:r w:rsidRPr="00D337FA">
        <w:rPr>
          <w:szCs w:val="24"/>
        </w:rPr>
        <w:t>предприниматель,</w:t>
      </w:r>
      <w:r w:rsidR="006C680D" w:rsidRPr="00D337FA">
        <w:rPr>
          <w:szCs w:val="24"/>
        </w:rPr>
        <w:t xml:space="preserve"> </w:t>
      </w:r>
      <w:r w:rsidRPr="00D337FA">
        <w:rPr>
          <w:szCs w:val="24"/>
        </w:rPr>
        <w:t>по</w:t>
      </w:r>
      <w:r w:rsidRPr="00D337FA">
        <w:rPr>
          <w:szCs w:val="24"/>
        </w:rPr>
        <w:lastRenderedPageBreak/>
        <w:t>скольку</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самые</w:t>
      </w:r>
      <w:r w:rsidR="006C680D" w:rsidRPr="00D337FA">
        <w:rPr>
          <w:szCs w:val="24"/>
        </w:rPr>
        <w:t xml:space="preserve"> </w:t>
      </w:r>
      <w:r w:rsidRPr="00D337FA">
        <w:rPr>
          <w:szCs w:val="24"/>
        </w:rPr>
        <w:t>смелые</w:t>
      </w:r>
      <w:r w:rsidR="006C680D" w:rsidRPr="00D337FA">
        <w:rPr>
          <w:szCs w:val="24"/>
        </w:rPr>
        <w:t xml:space="preserve"> </w:t>
      </w:r>
      <w:r w:rsidRPr="00D337FA">
        <w:rPr>
          <w:szCs w:val="24"/>
        </w:rPr>
        <w:t>и</w:t>
      </w:r>
      <w:r w:rsidR="006C680D" w:rsidRPr="00D337FA">
        <w:rPr>
          <w:szCs w:val="24"/>
        </w:rPr>
        <w:t xml:space="preserve"> </w:t>
      </w:r>
      <w:r w:rsidRPr="00D337FA">
        <w:rPr>
          <w:szCs w:val="24"/>
        </w:rPr>
        <w:t>амби</w:t>
      </w:r>
      <w:r w:rsidR="00F70991">
        <w:rPr>
          <w:szCs w:val="24"/>
        </w:rPr>
        <w:t>циозные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являются</w:t>
      </w:r>
      <w:r w:rsidR="006C680D" w:rsidRPr="00D337FA">
        <w:rPr>
          <w:szCs w:val="24"/>
        </w:rPr>
        <w:t xml:space="preserve"> </w:t>
      </w:r>
      <w:r w:rsidRPr="00D337FA">
        <w:rPr>
          <w:szCs w:val="24"/>
        </w:rPr>
        <w:t>главными</w:t>
      </w:r>
      <w:r w:rsidR="006C680D" w:rsidRPr="00D337FA">
        <w:rPr>
          <w:szCs w:val="24"/>
        </w:rPr>
        <w:t xml:space="preserve"> </w:t>
      </w:r>
      <w:r w:rsidRPr="00D337FA">
        <w:rPr>
          <w:szCs w:val="24"/>
        </w:rPr>
        <w:t>факторами</w:t>
      </w:r>
      <w:r w:rsidR="006C680D" w:rsidRPr="00D337FA">
        <w:rPr>
          <w:szCs w:val="24"/>
        </w:rPr>
        <w:t xml:space="preserve"> </w:t>
      </w:r>
      <w:r w:rsidRPr="00D337FA">
        <w:rPr>
          <w:szCs w:val="24"/>
        </w:rPr>
        <w:t>прогресса</w:t>
      </w:r>
      <w:r w:rsidR="006C680D" w:rsidRPr="00D337FA">
        <w:rPr>
          <w:szCs w:val="24"/>
        </w:rPr>
        <w:t xml:space="preserve"> </w:t>
      </w:r>
      <w:r w:rsidRPr="00D337FA">
        <w:rPr>
          <w:szCs w:val="24"/>
        </w:rPr>
        <w:t>ввиду</w:t>
      </w:r>
      <w:r w:rsidR="006C680D" w:rsidRPr="00D337FA">
        <w:rPr>
          <w:szCs w:val="24"/>
        </w:rPr>
        <w:t xml:space="preserve"> </w:t>
      </w:r>
      <w:r w:rsidRPr="00D337FA">
        <w:rPr>
          <w:szCs w:val="24"/>
        </w:rPr>
        <w:t>своей</w:t>
      </w:r>
      <w:r w:rsidR="006C680D" w:rsidRPr="00D337FA">
        <w:rPr>
          <w:szCs w:val="24"/>
        </w:rPr>
        <w:t xml:space="preserve"> </w:t>
      </w:r>
      <w:r w:rsidRPr="00D337FA">
        <w:rPr>
          <w:szCs w:val="24"/>
        </w:rPr>
        <w:t>первоначальной</w:t>
      </w:r>
      <w:r w:rsidR="006C680D" w:rsidRPr="00D337FA">
        <w:rPr>
          <w:szCs w:val="24"/>
        </w:rPr>
        <w:t xml:space="preserve"> </w:t>
      </w:r>
      <w:r w:rsidRPr="00D337FA">
        <w:rPr>
          <w:szCs w:val="24"/>
        </w:rPr>
        <w:t>неординардности.</w:t>
      </w:r>
      <w:r w:rsidR="006C680D" w:rsidRPr="00D337FA">
        <w:rPr>
          <w:szCs w:val="24"/>
        </w:rPr>
        <w:t xml:space="preserve"> </w:t>
      </w:r>
      <w:r w:rsidRPr="00D337FA">
        <w:rPr>
          <w:szCs w:val="24"/>
        </w:rPr>
        <w:t>Кроме</w:t>
      </w:r>
      <w:r w:rsidR="006C680D" w:rsidRPr="00D337FA">
        <w:rPr>
          <w:szCs w:val="24"/>
        </w:rPr>
        <w:t xml:space="preserve"> </w:t>
      </w:r>
      <w:r w:rsidRPr="00D337FA">
        <w:rPr>
          <w:szCs w:val="24"/>
        </w:rPr>
        <w:t>того,</w:t>
      </w:r>
      <w:r w:rsidR="006C680D" w:rsidRPr="00D337FA">
        <w:rPr>
          <w:szCs w:val="24"/>
        </w:rPr>
        <w:t xml:space="preserve"> </w:t>
      </w:r>
      <w:r w:rsidRPr="00D337FA">
        <w:rPr>
          <w:szCs w:val="24"/>
        </w:rPr>
        <w:t>не</w:t>
      </w:r>
      <w:r w:rsidR="00F70991">
        <w:rPr>
          <w:szCs w:val="24"/>
        </w:rPr>
        <w:t xml:space="preserve"> </w:t>
      </w:r>
      <w:r w:rsidRPr="00D337FA">
        <w:rPr>
          <w:szCs w:val="24"/>
        </w:rPr>
        <w:t>меньшее</w:t>
      </w:r>
      <w:r w:rsidR="006C680D" w:rsidRPr="00D337FA">
        <w:rPr>
          <w:szCs w:val="24"/>
        </w:rPr>
        <w:t xml:space="preserve"> </w:t>
      </w:r>
      <w:r w:rsidRPr="00D337FA">
        <w:rPr>
          <w:szCs w:val="24"/>
        </w:rPr>
        <w:t>значение</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отводиться</w:t>
      </w:r>
      <w:r w:rsidR="006C680D" w:rsidRPr="00D337FA">
        <w:rPr>
          <w:szCs w:val="24"/>
        </w:rPr>
        <w:t xml:space="preserve"> </w:t>
      </w:r>
      <w:r w:rsidRPr="00D337FA">
        <w:rPr>
          <w:szCs w:val="24"/>
        </w:rPr>
        <w:t>формированию</w:t>
      </w:r>
      <w:r w:rsidR="006C680D" w:rsidRPr="00D337FA">
        <w:rPr>
          <w:szCs w:val="24"/>
        </w:rPr>
        <w:t xml:space="preserve"> </w:t>
      </w:r>
      <w:r w:rsidRPr="00D337FA">
        <w:rPr>
          <w:szCs w:val="24"/>
        </w:rPr>
        <w:t>кадровой</w:t>
      </w:r>
      <w:r w:rsidR="006C680D" w:rsidRPr="00D337FA">
        <w:rPr>
          <w:szCs w:val="24"/>
        </w:rPr>
        <w:t xml:space="preserve"> </w:t>
      </w:r>
      <w:r w:rsidRPr="00D337FA">
        <w:rPr>
          <w:szCs w:val="24"/>
        </w:rPr>
        <w:t>основы</w:t>
      </w:r>
      <w:r w:rsidR="006C680D" w:rsidRPr="00D337FA">
        <w:rPr>
          <w:szCs w:val="24"/>
        </w:rPr>
        <w:t xml:space="preserve"> </w:t>
      </w:r>
      <w:r w:rsidRPr="00D337FA">
        <w:rPr>
          <w:szCs w:val="24"/>
        </w:rPr>
        <w:t>для</w:t>
      </w:r>
      <w:r w:rsidR="006C680D" w:rsidRPr="00D337FA">
        <w:rPr>
          <w:szCs w:val="24"/>
        </w:rPr>
        <w:t xml:space="preserve"> </w:t>
      </w:r>
      <w:r w:rsidRPr="00D337FA">
        <w:rPr>
          <w:szCs w:val="24"/>
        </w:rPr>
        <w:t>соответствия</w:t>
      </w:r>
      <w:r w:rsidR="006C680D" w:rsidRPr="00D337FA">
        <w:rPr>
          <w:szCs w:val="24"/>
        </w:rPr>
        <w:t xml:space="preserve"> </w:t>
      </w:r>
      <w:r w:rsidRPr="00D337FA">
        <w:rPr>
          <w:szCs w:val="24"/>
        </w:rPr>
        <w:t>работников</w:t>
      </w:r>
      <w:r w:rsidR="006C680D" w:rsidRPr="00D337FA">
        <w:rPr>
          <w:szCs w:val="24"/>
        </w:rPr>
        <w:t xml:space="preserve"> </w:t>
      </w:r>
      <w:r w:rsidRPr="00D337FA">
        <w:rPr>
          <w:szCs w:val="24"/>
        </w:rPr>
        <w:t>современным</w:t>
      </w:r>
      <w:r w:rsidR="006C680D" w:rsidRPr="00D337FA">
        <w:rPr>
          <w:szCs w:val="24"/>
        </w:rPr>
        <w:t xml:space="preserve"> </w:t>
      </w:r>
      <w:r w:rsidRPr="00D337FA">
        <w:rPr>
          <w:szCs w:val="24"/>
        </w:rPr>
        <w:t>стандартам</w:t>
      </w:r>
      <w:r w:rsidR="006C680D" w:rsidRPr="00D337FA">
        <w:rPr>
          <w:szCs w:val="24"/>
        </w:rPr>
        <w:t xml:space="preserve"> </w:t>
      </w:r>
      <w:r w:rsidRPr="00D337FA">
        <w:rPr>
          <w:szCs w:val="24"/>
        </w:rPr>
        <w:t>высокотехнологического</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В</w:t>
      </w:r>
      <w:r w:rsidR="006C680D" w:rsidRPr="00D337FA">
        <w:rPr>
          <w:szCs w:val="24"/>
        </w:rPr>
        <w:t xml:space="preserve"> </w:t>
      </w:r>
      <w:r w:rsidRPr="00D337FA">
        <w:rPr>
          <w:szCs w:val="24"/>
        </w:rPr>
        <w:t>случаях</w:t>
      </w:r>
      <w:r w:rsidR="006C680D" w:rsidRPr="00D337FA">
        <w:rPr>
          <w:szCs w:val="24"/>
        </w:rPr>
        <w:t xml:space="preserve"> </w:t>
      </w:r>
      <w:r w:rsidRPr="00D337FA">
        <w:rPr>
          <w:szCs w:val="24"/>
        </w:rPr>
        <w:t>не</w:t>
      </w:r>
      <w:r w:rsidR="006C680D" w:rsidRPr="00D337FA">
        <w:rPr>
          <w:szCs w:val="24"/>
        </w:rPr>
        <w:t xml:space="preserve"> </w:t>
      </w:r>
      <w:r w:rsidRPr="00D337FA">
        <w:rPr>
          <w:szCs w:val="24"/>
        </w:rPr>
        <w:t>хватки</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специализированных</w:t>
      </w:r>
      <w:r w:rsidR="006C680D" w:rsidRPr="00D337FA">
        <w:rPr>
          <w:szCs w:val="24"/>
        </w:rPr>
        <w:t xml:space="preserve"> </w:t>
      </w:r>
      <w:r w:rsidRPr="00D337FA">
        <w:rPr>
          <w:szCs w:val="24"/>
        </w:rPr>
        <w:t>кадров,</w:t>
      </w:r>
      <w:r w:rsidR="006C680D" w:rsidRPr="00D337FA">
        <w:rPr>
          <w:szCs w:val="24"/>
        </w:rPr>
        <w:t xml:space="preserve"> </w:t>
      </w:r>
      <w:r w:rsidRPr="00D337FA">
        <w:rPr>
          <w:szCs w:val="24"/>
        </w:rPr>
        <w:t>действующие</w:t>
      </w:r>
      <w:r w:rsidR="006C680D" w:rsidRPr="00D337FA">
        <w:rPr>
          <w:szCs w:val="24"/>
        </w:rPr>
        <w:t xml:space="preserve"> </w:t>
      </w:r>
      <w:r w:rsidRPr="00D337FA">
        <w:rPr>
          <w:szCs w:val="24"/>
        </w:rPr>
        <w:t>работники</w:t>
      </w:r>
      <w:r w:rsidR="006C680D" w:rsidRPr="00D337FA">
        <w:rPr>
          <w:szCs w:val="24"/>
        </w:rPr>
        <w:t xml:space="preserve"> </w:t>
      </w:r>
      <w:r w:rsidRPr="00D337FA">
        <w:rPr>
          <w:szCs w:val="24"/>
        </w:rPr>
        <w:t>должны</w:t>
      </w:r>
      <w:r w:rsidR="006C680D" w:rsidRPr="00D337FA">
        <w:rPr>
          <w:szCs w:val="24"/>
        </w:rPr>
        <w:t xml:space="preserve"> </w:t>
      </w:r>
      <w:r w:rsidRPr="00D337FA">
        <w:rPr>
          <w:szCs w:val="24"/>
        </w:rPr>
        <w:t>проходить</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переподготовки.</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происходить</w:t>
      </w:r>
      <w:r w:rsidR="006C680D" w:rsidRPr="00D337FA">
        <w:rPr>
          <w:szCs w:val="24"/>
        </w:rPr>
        <w:t xml:space="preserve"> </w:t>
      </w:r>
      <w:r w:rsidRPr="00D337FA">
        <w:rPr>
          <w:szCs w:val="24"/>
        </w:rPr>
        <w:t>постоянное</w:t>
      </w:r>
      <w:r w:rsidR="006C680D" w:rsidRPr="00D337FA">
        <w:rPr>
          <w:szCs w:val="24"/>
        </w:rPr>
        <w:t xml:space="preserve"> </w:t>
      </w:r>
      <w:r w:rsidRPr="00D337FA">
        <w:rPr>
          <w:szCs w:val="24"/>
        </w:rPr>
        <w:t>взаимодействие</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всеми</w:t>
      </w:r>
      <w:r w:rsidR="006C680D" w:rsidRPr="00D337FA">
        <w:rPr>
          <w:szCs w:val="24"/>
        </w:rPr>
        <w:t xml:space="preserve"> </w:t>
      </w:r>
      <w:r w:rsidRPr="00D337FA">
        <w:rPr>
          <w:szCs w:val="24"/>
        </w:rPr>
        <w:t>участниками</w:t>
      </w:r>
      <w:r w:rsidR="006C680D" w:rsidRPr="00D337FA">
        <w:rPr>
          <w:szCs w:val="24"/>
        </w:rPr>
        <w:t xml:space="preserve"> </w:t>
      </w:r>
      <w:r w:rsidRPr="00D337FA">
        <w:rPr>
          <w:szCs w:val="24"/>
        </w:rPr>
        <w:t>экономики,</w:t>
      </w:r>
      <w:r w:rsidR="006C680D" w:rsidRPr="00D337FA">
        <w:rPr>
          <w:szCs w:val="24"/>
        </w:rPr>
        <w:t xml:space="preserve"> </w:t>
      </w:r>
      <w:r w:rsidRPr="00D337FA">
        <w:rPr>
          <w:szCs w:val="24"/>
        </w:rPr>
        <w:t>взаимодействующими</w:t>
      </w:r>
      <w:r w:rsidR="006C680D" w:rsidRPr="00D337FA">
        <w:rPr>
          <w:szCs w:val="24"/>
        </w:rPr>
        <w:t xml:space="preserve"> </w:t>
      </w:r>
      <w:r w:rsidRPr="00D337FA">
        <w:rPr>
          <w:szCs w:val="24"/>
        </w:rPr>
        <w:t>с</w:t>
      </w:r>
      <w:r w:rsidR="006C680D" w:rsidRPr="00D337FA">
        <w:rPr>
          <w:szCs w:val="24"/>
        </w:rPr>
        <w:t xml:space="preserve"> </w:t>
      </w:r>
      <w:r w:rsidRPr="00D337FA">
        <w:rPr>
          <w:szCs w:val="24"/>
        </w:rPr>
        <w:t>аграрным</w:t>
      </w:r>
      <w:r w:rsidR="006C680D" w:rsidRPr="00D337FA">
        <w:rPr>
          <w:szCs w:val="24"/>
        </w:rPr>
        <w:t xml:space="preserve"> </w:t>
      </w:r>
      <w:r w:rsidRPr="00D337FA">
        <w:rPr>
          <w:szCs w:val="24"/>
        </w:rPr>
        <w:t>сектором,</w:t>
      </w:r>
      <w:r w:rsidR="006C680D" w:rsidRPr="00D337FA">
        <w:rPr>
          <w:szCs w:val="24"/>
        </w:rPr>
        <w:t xml:space="preserve"> </w:t>
      </w:r>
      <w:r w:rsidRPr="00D337FA">
        <w:rPr>
          <w:szCs w:val="24"/>
        </w:rPr>
        <w:t>но</w:t>
      </w:r>
      <w:r w:rsidR="006C680D" w:rsidRPr="00D337FA">
        <w:rPr>
          <w:szCs w:val="24"/>
        </w:rPr>
        <w:t xml:space="preserve"> </w:t>
      </w:r>
      <w:r w:rsidRPr="00D337FA">
        <w:rPr>
          <w:szCs w:val="24"/>
        </w:rPr>
        <w:t>базисной</w:t>
      </w:r>
      <w:r w:rsidR="006C680D" w:rsidRPr="00D337FA">
        <w:rPr>
          <w:szCs w:val="24"/>
        </w:rPr>
        <w:t xml:space="preserve"> </w:t>
      </w:r>
      <w:r w:rsidRPr="00D337FA">
        <w:rPr>
          <w:szCs w:val="24"/>
        </w:rPr>
        <w:t>основой</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быть</w:t>
      </w:r>
      <w:r w:rsidR="006C680D" w:rsidRPr="00D337FA">
        <w:rPr>
          <w:szCs w:val="24"/>
        </w:rPr>
        <w:t xml:space="preserve"> </w:t>
      </w:r>
      <w:r w:rsidRPr="00D337FA">
        <w:rPr>
          <w:szCs w:val="24"/>
        </w:rPr>
        <w:t>взаимодействие</w:t>
      </w:r>
      <w:r w:rsidR="006C680D" w:rsidRPr="00D337FA">
        <w:rPr>
          <w:szCs w:val="24"/>
        </w:rPr>
        <w:t xml:space="preserve"> </w:t>
      </w:r>
      <w:r w:rsidRPr="00D337FA">
        <w:rPr>
          <w:szCs w:val="24"/>
        </w:rPr>
        <w:t>университет-предприятие-государство.</w:t>
      </w:r>
      <w:r w:rsidR="006C680D" w:rsidRPr="00D337FA">
        <w:rPr>
          <w:szCs w:val="24"/>
        </w:rPr>
        <w:t xml:space="preserve"> </w:t>
      </w:r>
    </w:p>
    <w:p w:rsidR="00826D3F" w:rsidRPr="00D337FA" w:rsidRDefault="00826D3F" w:rsidP="00826D3F">
      <w:pPr>
        <w:ind w:firstLine="284"/>
        <w:rPr>
          <w:szCs w:val="24"/>
        </w:rPr>
      </w:pPr>
      <w:r w:rsidRPr="00D337FA">
        <w:rPr>
          <w:szCs w:val="24"/>
        </w:rPr>
        <w:t>В</w:t>
      </w:r>
      <w:r w:rsidR="006C680D" w:rsidRPr="00D337FA">
        <w:rPr>
          <w:szCs w:val="24"/>
        </w:rPr>
        <w:t xml:space="preserve"> </w:t>
      </w:r>
      <w:r w:rsidRPr="00D337FA">
        <w:rPr>
          <w:szCs w:val="24"/>
        </w:rPr>
        <w:t>ходе</w:t>
      </w:r>
      <w:r w:rsidR="006C680D" w:rsidRPr="00D337FA">
        <w:rPr>
          <w:szCs w:val="24"/>
        </w:rPr>
        <w:t xml:space="preserve"> </w:t>
      </w:r>
      <w:r w:rsidRPr="00D337FA">
        <w:rPr>
          <w:szCs w:val="24"/>
        </w:rPr>
        <w:t>проведённого</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авторами</w:t>
      </w:r>
      <w:r w:rsidR="006C680D" w:rsidRPr="00D337FA">
        <w:rPr>
          <w:szCs w:val="24"/>
        </w:rPr>
        <w:t xml:space="preserve"> </w:t>
      </w:r>
      <w:r w:rsidRPr="00D337FA">
        <w:rPr>
          <w:szCs w:val="24"/>
        </w:rPr>
        <w:t>были</w:t>
      </w:r>
      <w:r w:rsidR="006C680D" w:rsidRPr="00D337FA">
        <w:rPr>
          <w:szCs w:val="24"/>
        </w:rPr>
        <w:t xml:space="preserve"> </w:t>
      </w:r>
      <w:r w:rsidRPr="00D337FA">
        <w:rPr>
          <w:szCs w:val="24"/>
        </w:rPr>
        <w:t>решены</w:t>
      </w:r>
      <w:r w:rsidR="006C680D" w:rsidRPr="00D337FA">
        <w:rPr>
          <w:szCs w:val="24"/>
        </w:rPr>
        <w:t xml:space="preserve"> </w:t>
      </w:r>
      <w:r w:rsidRPr="00D337FA">
        <w:rPr>
          <w:szCs w:val="24"/>
        </w:rPr>
        <w:t>все</w:t>
      </w:r>
      <w:r w:rsidR="006C680D" w:rsidRPr="00D337FA">
        <w:rPr>
          <w:szCs w:val="24"/>
        </w:rPr>
        <w:t xml:space="preserve"> </w:t>
      </w:r>
      <w:r w:rsidRPr="00D337FA">
        <w:rPr>
          <w:szCs w:val="24"/>
        </w:rPr>
        <w:t>поставленные</w:t>
      </w:r>
      <w:r w:rsidR="006C680D" w:rsidRPr="00D337FA">
        <w:rPr>
          <w:szCs w:val="24"/>
        </w:rPr>
        <w:t xml:space="preserve"> </w:t>
      </w:r>
      <w:r w:rsidRPr="00D337FA">
        <w:rPr>
          <w:szCs w:val="24"/>
        </w:rPr>
        <w:t>задачи,</w:t>
      </w:r>
      <w:r w:rsidR="006C680D" w:rsidRPr="00D337FA">
        <w:rPr>
          <w:szCs w:val="24"/>
        </w:rPr>
        <w:t xml:space="preserve"> </w:t>
      </w:r>
      <w:r w:rsidRPr="00D337FA">
        <w:rPr>
          <w:szCs w:val="24"/>
        </w:rPr>
        <w:t>связанные</w:t>
      </w:r>
      <w:r w:rsidR="006C680D" w:rsidRPr="00D337FA">
        <w:rPr>
          <w:szCs w:val="24"/>
        </w:rPr>
        <w:t xml:space="preserve"> </w:t>
      </w:r>
      <w:r w:rsidRPr="00D337FA">
        <w:rPr>
          <w:szCs w:val="24"/>
        </w:rPr>
        <w:t>с</w:t>
      </w:r>
      <w:r w:rsidR="006C680D" w:rsidRPr="00D337FA">
        <w:rPr>
          <w:szCs w:val="24"/>
        </w:rPr>
        <w:t xml:space="preserve"> </w:t>
      </w:r>
      <w:r w:rsidRPr="00D337FA">
        <w:rPr>
          <w:szCs w:val="24"/>
        </w:rPr>
        <w:t>изучение</w:t>
      </w:r>
      <w:r w:rsidR="006C680D" w:rsidRPr="00D337FA">
        <w:rPr>
          <w:szCs w:val="24"/>
        </w:rPr>
        <w:t xml:space="preserve"> </w:t>
      </w:r>
      <w:r w:rsidRPr="00D337FA">
        <w:rPr>
          <w:szCs w:val="24"/>
        </w:rPr>
        <w:t>проблематики</w:t>
      </w:r>
      <w:r w:rsidR="006C680D" w:rsidRPr="00D337FA">
        <w:rPr>
          <w:szCs w:val="24"/>
        </w:rPr>
        <w:t xml:space="preserve"> </w:t>
      </w:r>
      <w:r w:rsidRPr="00D337FA">
        <w:rPr>
          <w:szCs w:val="24"/>
        </w:rPr>
        <w:t>комплексной</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и</w:t>
      </w:r>
      <w:r w:rsidR="006C680D" w:rsidRPr="00D337FA">
        <w:rPr>
          <w:szCs w:val="24"/>
        </w:rPr>
        <w:t xml:space="preserve"> </w:t>
      </w:r>
      <w:r w:rsidRPr="00D337FA">
        <w:rPr>
          <w:szCs w:val="24"/>
        </w:rPr>
        <w:t>основных</w:t>
      </w:r>
      <w:r w:rsidR="006C680D" w:rsidRPr="00D337FA">
        <w:rPr>
          <w:szCs w:val="24"/>
        </w:rPr>
        <w:t xml:space="preserve"> </w:t>
      </w:r>
      <w:r w:rsidRPr="00D337FA">
        <w:rPr>
          <w:szCs w:val="24"/>
        </w:rPr>
        <w:t>направлений</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особое</w:t>
      </w:r>
      <w:r w:rsidR="006C680D" w:rsidRPr="00D337FA">
        <w:rPr>
          <w:szCs w:val="24"/>
        </w:rPr>
        <w:t xml:space="preserve"> </w:t>
      </w:r>
      <w:r w:rsidRPr="00D337FA">
        <w:rPr>
          <w:szCs w:val="24"/>
        </w:rPr>
        <w:t>значение</w:t>
      </w:r>
      <w:r w:rsidR="006C680D" w:rsidRPr="00D337FA">
        <w:rPr>
          <w:szCs w:val="24"/>
        </w:rPr>
        <w:t xml:space="preserve"> </w:t>
      </w:r>
      <w:r w:rsidRPr="00D337FA">
        <w:rPr>
          <w:szCs w:val="24"/>
        </w:rPr>
        <w:t>было</w:t>
      </w:r>
      <w:r w:rsidR="006C680D" w:rsidRPr="00D337FA">
        <w:rPr>
          <w:szCs w:val="24"/>
        </w:rPr>
        <w:t xml:space="preserve"> </w:t>
      </w:r>
      <w:r w:rsidRPr="00D337FA">
        <w:rPr>
          <w:szCs w:val="24"/>
        </w:rPr>
        <w:t>уделено</w:t>
      </w:r>
      <w:r w:rsidR="006C680D" w:rsidRPr="00D337FA">
        <w:rPr>
          <w:szCs w:val="24"/>
        </w:rPr>
        <w:t xml:space="preserve"> </w:t>
      </w:r>
      <w:r w:rsidRPr="00D337FA">
        <w:rPr>
          <w:szCs w:val="24"/>
        </w:rPr>
        <w:t>анализу</w:t>
      </w:r>
      <w:r w:rsidR="006C680D" w:rsidRPr="00D337FA">
        <w:rPr>
          <w:szCs w:val="24"/>
        </w:rPr>
        <w:t xml:space="preserve"> </w:t>
      </w:r>
      <w:r w:rsidRPr="00D337FA">
        <w:rPr>
          <w:szCs w:val="24"/>
        </w:rPr>
        <w:t>объемов</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сельского</w:t>
      </w:r>
      <w:r w:rsidR="006C680D" w:rsidRPr="00D337FA">
        <w:rPr>
          <w:szCs w:val="24"/>
        </w:rPr>
        <w:t xml:space="preserve"> </w:t>
      </w:r>
      <w:r w:rsidRPr="00D337FA">
        <w:rPr>
          <w:szCs w:val="24"/>
        </w:rPr>
        <w:t>хозяйства</w:t>
      </w:r>
      <w:r w:rsidR="006C680D" w:rsidRPr="00D337FA">
        <w:rPr>
          <w:szCs w:val="24"/>
        </w:rPr>
        <w:t xml:space="preserve"> </w:t>
      </w:r>
      <w:r w:rsidRPr="00D337FA">
        <w:rPr>
          <w:szCs w:val="24"/>
        </w:rPr>
        <w:t>в</w:t>
      </w:r>
      <w:r w:rsidR="006C680D" w:rsidRPr="00D337FA">
        <w:rPr>
          <w:szCs w:val="24"/>
        </w:rPr>
        <w:t xml:space="preserve"> </w:t>
      </w:r>
      <w:r w:rsidRPr="00D337FA">
        <w:rPr>
          <w:szCs w:val="24"/>
        </w:rPr>
        <w:t>разных</w:t>
      </w:r>
      <w:r w:rsidR="006C680D" w:rsidRPr="00D337FA">
        <w:rPr>
          <w:szCs w:val="24"/>
        </w:rPr>
        <w:t xml:space="preserve"> </w:t>
      </w:r>
      <w:r w:rsidRPr="00D337FA">
        <w:rPr>
          <w:szCs w:val="24"/>
        </w:rPr>
        <w:t>странах</w:t>
      </w:r>
      <w:r w:rsidR="006C680D" w:rsidRPr="00D337FA">
        <w:rPr>
          <w:szCs w:val="24"/>
        </w:rPr>
        <w:t xml:space="preserve"> </w:t>
      </w:r>
      <w:r w:rsidRPr="00D337FA">
        <w:rPr>
          <w:szCs w:val="24"/>
        </w:rPr>
        <w:t>мира</w:t>
      </w:r>
      <w:r w:rsidR="006C680D" w:rsidRPr="00D337FA">
        <w:rPr>
          <w:szCs w:val="24"/>
        </w:rPr>
        <w:t xml:space="preserve"> </w:t>
      </w:r>
      <w:r w:rsidRPr="00D337FA">
        <w:rPr>
          <w:szCs w:val="24"/>
        </w:rPr>
        <w:t>и</w:t>
      </w:r>
      <w:r w:rsidR="006C680D" w:rsidRPr="00D337FA">
        <w:rPr>
          <w:szCs w:val="24"/>
        </w:rPr>
        <w:t xml:space="preserve"> </w:t>
      </w:r>
      <w:r w:rsidRPr="00D337FA">
        <w:rPr>
          <w:szCs w:val="24"/>
        </w:rPr>
        <w:t>их</w:t>
      </w:r>
      <w:r w:rsidR="006C680D" w:rsidRPr="00D337FA">
        <w:rPr>
          <w:szCs w:val="24"/>
        </w:rPr>
        <w:t xml:space="preserve"> </w:t>
      </w:r>
      <w:r w:rsidRPr="00D337FA">
        <w:rPr>
          <w:szCs w:val="24"/>
        </w:rPr>
        <w:t>специфике.</w:t>
      </w:r>
      <w:r w:rsidR="006C680D" w:rsidRPr="00D337FA">
        <w:rPr>
          <w:szCs w:val="24"/>
        </w:rPr>
        <w:t xml:space="preserve"> </w:t>
      </w:r>
    </w:p>
    <w:p w:rsidR="00826D3F" w:rsidRPr="00D337FA" w:rsidRDefault="00826D3F" w:rsidP="00826D3F">
      <w:pPr>
        <w:ind w:firstLine="284"/>
        <w:rPr>
          <w:szCs w:val="24"/>
        </w:rPr>
      </w:pPr>
      <w:r w:rsidRPr="00D337FA">
        <w:rPr>
          <w:szCs w:val="24"/>
        </w:rPr>
        <w:t>В</w:t>
      </w:r>
      <w:r w:rsidR="006C680D" w:rsidRPr="00D337FA">
        <w:rPr>
          <w:szCs w:val="24"/>
        </w:rPr>
        <w:t xml:space="preserve"> </w:t>
      </w:r>
      <w:r w:rsidRPr="00D337FA">
        <w:rPr>
          <w:szCs w:val="24"/>
        </w:rPr>
        <w:t>работе</w:t>
      </w:r>
      <w:r w:rsidR="006C680D" w:rsidRPr="00D337FA">
        <w:rPr>
          <w:szCs w:val="24"/>
        </w:rPr>
        <w:t xml:space="preserve"> </w:t>
      </w:r>
      <w:r w:rsidRPr="00D337FA">
        <w:rPr>
          <w:szCs w:val="24"/>
        </w:rPr>
        <w:t>сформирована</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представлена</w:t>
      </w:r>
      <w:r w:rsidR="006C680D" w:rsidRPr="00D337FA">
        <w:rPr>
          <w:szCs w:val="24"/>
        </w:rPr>
        <w:t xml:space="preserve"> </w:t>
      </w:r>
      <w:r w:rsidRPr="00D337FA">
        <w:rPr>
          <w:szCs w:val="24"/>
        </w:rPr>
        <w:t>оценка</w:t>
      </w:r>
      <w:r w:rsidR="006C680D" w:rsidRPr="00D337FA">
        <w:rPr>
          <w:szCs w:val="24"/>
        </w:rPr>
        <w:t xml:space="preserve"> </w:t>
      </w:r>
      <w:r w:rsidRPr="00D337FA">
        <w:rPr>
          <w:szCs w:val="24"/>
        </w:rPr>
        <w:t>динамики</w:t>
      </w:r>
      <w:r w:rsidR="006C680D" w:rsidRPr="00D337FA">
        <w:rPr>
          <w:szCs w:val="24"/>
        </w:rPr>
        <w:t xml:space="preserve"> </w:t>
      </w:r>
      <w:r w:rsidRPr="00D337FA">
        <w:rPr>
          <w:szCs w:val="24"/>
        </w:rPr>
        <w:t>основных</w:t>
      </w:r>
      <w:r w:rsidR="006C680D" w:rsidRPr="00D337FA">
        <w:rPr>
          <w:szCs w:val="24"/>
        </w:rPr>
        <w:t xml:space="preserve"> </w:t>
      </w:r>
      <w:r w:rsidRPr="00D337FA">
        <w:rPr>
          <w:szCs w:val="24"/>
        </w:rPr>
        <w:t>ежегодных</w:t>
      </w:r>
      <w:r w:rsidR="006C680D" w:rsidRPr="00D337FA">
        <w:rPr>
          <w:szCs w:val="24"/>
        </w:rPr>
        <w:t xml:space="preserve"> </w:t>
      </w:r>
      <w:r w:rsidRPr="00D337FA">
        <w:rPr>
          <w:szCs w:val="24"/>
        </w:rPr>
        <w:t>изменений</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ключевых</w:t>
      </w:r>
      <w:r w:rsidR="006C680D" w:rsidRPr="00D337FA">
        <w:rPr>
          <w:szCs w:val="24"/>
        </w:rPr>
        <w:t xml:space="preserve"> </w:t>
      </w:r>
      <w:r w:rsidRPr="00D337FA">
        <w:rPr>
          <w:szCs w:val="24"/>
        </w:rPr>
        <w:t>событий</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позволяют</w:t>
      </w:r>
      <w:r w:rsidR="006C680D" w:rsidRPr="00D337FA">
        <w:rPr>
          <w:szCs w:val="24"/>
        </w:rPr>
        <w:t xml:space="preserve"> </w:t>
      </w:r>
      <w:r w:rsidRPr="00D337FA">
        <w:rPr>
          <w:szCs w:val="24"/>
        </w:rPr>
        <w:t>выявить</w:t>
      </w:r>
      <w:r w:rsidR="006C680D" w:rsidRPr="00D337FA">
        <w:rPr>
          <w:szCs w:val="24"/>
        </w:rPr>
        <w:t xml:space="preserve"> </w:t>
      </w:r>
      <w:r w:rsidRPr="00D337FA">
        <w:rPr>
          <w:szCs w:val="24"/>
        </w:rPr>
        <w:t>резервы</w:t>
      </w:r>
      <w:r w:rsidR="006C680D" w:rsidRPr="00D337FA">
        <w:rPr>
          <w:szCs w:val="24"/>
        </w:rPr>
        <w:t xml:space="preserve"> </w:t>
      </w:r>
      <w:r w:rsidRPr="00D337FA">
        <w:rPr>
          <w:szCs w:val="24"/>
        </w:rPr>
        <w:t>инновационного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в</w:t>
      </w:r>
      <w:r w:rsidR="006C680D" w:rsidRPr="00D337FA">
        <w:rPr>
          <w:szCs w:val="24"/>
        </w:rPr>
        <w:t xml:space="preserve"> </w:t>
      </w:r>
      <w:r w:rsidRPr="00D337FA">
        <w:rPr>
          <w:szCs w:val="24"/>
        </w:rPr>
        <w:t>сегменте</w:t>
      </w:r>
      <w:r w:rsidR="006C680D" w:rsidRPr="00D337FA">
        <w:rPr>
          <w:szCs w:val="24"/>
        </w:rPr>
        <w:t xml:space="preserve"> </w:t>
      </w:r>
      <w:r w:rsidRPr="00D337FA">
        <w:rPr>
          <w:szCs w:val="24"/>
        </w:rPr>
        <w:t>агробизнеса</w:t>
      </w:r>
      <w:r w:rsidR="006C680D" w:rsidRPr="00D337FA">
        <w:rPr>
          <w:szCs w:val="24"/>
        </w:rPr>
        <w:t xml:space="preserve"> </w:t>
      </w:r>
      <w:r w:rsidRPr="00D337FA">
        <w:rPr>
          <w:szCs w:val="24"/>
        </w:rPr>
        <w:t>при</w:t>
      </w:r>
      <w:r w:rsidR="006C680D" w:rsidRPr="00D337FA">
        <w:rPr>
          <w:szCs w:val="24"/>
        </w:rPr>
        <w:t xml:space="preserve"> </w:t>
      </w:r>
      <w:r w:rsidRPr="00D337FA">
        <w:rPr>
          <w:szCs w:val="24"/>
        </w:rPr>
        <w:t>наличии</w:t>
      </w:r>
      <w:r w:rsidR="006C680D" w:rsidRPr="00D337FA">
        <w:rPr>
          <w:szCs w:val="24"/>
        </w:rPr>
        <w:t xml:space="preserve"> </w:t>
      </w:r>
      <w:r w:rsidRPr="00D337FA">
        <w:rPr>
          <w:szCs w:val="24"/>
        </w:rPr>
        <w:t>производственно-технического</w:t>
      </w:r>
      <w:r w:rsidR="006C680D" w:rsidRPr="00D337FA">
        <w:rPr>
          <w:szCs w:val="24"/>
        </w:rPr>
        <w:t xml:space="preserve"> </w:t>
      </w:r>
      <w:r w:rsidRPr="00D337FA">
        <w:rPr>
          <w:szCs w:val="24"/>
        </w:rPr>
        <w:t>потенциала.</w:t>
      </w:r>
      <w:r w:rsidR="006C680D" w:rsidRPr="00D337FA">
        <w:rPr>
          <w:szCs w:val="24"/>
        </w:rPr>
        <w:t xml:space="preserve">  </w:t>
      </w:r>
    </w:p>
    <w:p w:rsidR="00826D3F" w:rsidRPr="00D337FA" w:rsidRDefault="00826D3F" w:rsidP="00826D3F">
      <w:pPr>
        <w:ind w:firstLine="284"/>
        <w:rPr>
          <w:szCs w:val="24"/>
        </w:rPr>
      </w:pPr>
      <w:r w:rsidRPr="00D337FA">
        <w:rPr>
          <w:szCs w:val="24"/>
        </w:rPr>
        <w:t>Предложен</w:t>
      </w:r>
      <w:r w:rsidR="006C680D" w:rsidRPr="00D337FA">
        <w:rPr>
          <w:szCs w:val="24"/>
        </w:rPr>
        <w:t xml:space="preserve"> </w:t>
      </w:r>
      <w:r w:rsidRPr="00D337FA">
        <w:rPr>
          <w:szCs w:val="24"/>
        </w:rPr>
        <w:t>инновационный</w:t>
      </w:r>
      <w:r w:rsidR="006C680D" w:rsidRPr="00D337FA">
        <w:rPr>
          <w:szCs w:val="24"/>
        </w:rPr>
        <w:t xml:space="preserve"> </w:t>
      </w:r>
      <w:r w:rsidRPr="00D337FA">
        <w:rPr>
          <w:szCs w:val="24"/>
        </w:rPr>
        <w:t>подход</w:t>
      </w:r>
      <w:r w:rsidR="006C680D" w:rsidRPr="00D337FA">
        <w:rPr>
          <w:szCs w:val="24"/>
        </w:rPr>
        <w:t xml:space="preserve"> </w:t>
      </w:r>
      <w:r w:rsidRPr="00D337FA">
        <w:rPr>
          <w:szCs w:val="24"/>
        </w:rPr>
        <w:t>формирования</w:t>
      </w:r>
      <w:r w:rsidR="006C680D" w:rsidRPr="00D337FA">
        <w:rPr>
          <w:szCs w:val="24"/>
        </w:rPr>
        <w:t xml:space="preserve"> </w:t>
      </w:r>
      <w:r w:rsidRPr="00D337FA">
        <w:rPr>
          <w:szCs w:val="24"/>
        </w:rPr>
        <w:t>организационно-хозяйственных</w:t>
      </w:r>
      <w:r w:rsidR="006C680D" w:rsidRPr="00D337FA">
        <w:rPr>
          <w:szCs w:val="24"/>
        </w:rPr>
        <w:t xml:space="preserve"> </w:t>
      </w:r>
      <w:r w:rsidRPr="00D337FA">
        <w:rPr>
          <w:szCs w:val="24"/>
        </w:rPr>
        <w:t>отношений,</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быть</w:t>
      </w:r>
      <w:r w:rsidR="006C680D" w:rsidRPr="00D337FA">
        <w:rPr>
          <w:szCs w:val="24"/>
        </w:rPr>
        <w:t xml:space="preserve"> </w:t>
      </w:r>
      <w:r w:rsidRPr="00D337FA">
        <w:rPr>
          <w:szCs w:val="24"/>
        </w:rPr>
        <w:t>обоснован</w:t>
      </w:r>
      <w:r w:rsidR="006C680D" w:rsidRPr="00D337FA">
        <w:rPr>
          <w:szCs w:val="24"/>
        </w:rPr>
        <w:t xml:space="preserve"> </w:t>
      </w:r>
      <w:r w:rsidRPr="00D337FA">
        <w:rPr>
          <w:szCs w:val="24"/>
        </w:rPr>
        <w:t>положительными</w:t>
      </w:r>
      <w:r w:rsidR="006C680D" w:rsidRPr="00D337FA">
        <w:rPr>
          <w:szCs w:val="24"/>
        </w:rPr>
        <w:t xml:space="preserve"> </w:t>
      </w:r>
      <w:r w:rsidRPr="00D337FA">
        <w:rPr>
          <w:szCs w:val="24"/>
        </w:rPr>
        <w:t>экономическими</w:t>
      </w:r>
      <w:r w:rsidR="006C680D" w:rsidRPr="00D337FA">
        <w:rPr>
          <w:szCs w:val="24"/>
        </w:rPr>
        <w:t xml:space="preserve"> </w:t>
      </w:r>
      <w:r w:rsidRPr="00D337FA">
        <w:rPr>
          <w:szCs w:val="24"/>
        </w:rPr>
        <w:t>результатами</w:t>
      </w:r>
      <w:r w:rsidR="006C680D" w:rsidRPr="00D337FA">
        <w:rPr>
          <w:szCs w:val="24"/>
        </w:rPr>
        <w:t xml:space="preserve"> </w:t>
      </w:r>
      <w:r w:rsidRPr="00D337FA">
        <w:rPr>
          <w:szCs w:val="24"/>
        </w:rPr>
        <w:t>от</w:t>
      </w:r>
      <w:r w:rsidR="006C680D" w:rsidRPr="00D337FA">
        <w:rPr>
          <w:szCs w:val="24"/>
        </w:rPr>
        <w:t xml:space="preserve"> </w:t>
      </w:r>
      <w:r w:rsidRPr="00D337FA">
        <w:rPr>
          <w:szCs w:val="24"/>
        </w:rPr>
        <w:t>внедрения</w:t>
      </w:r>
      <w:r w:rsidR="006C680D" w:rsidRPr="00D337FA">
        <w:rPr>
          <w:szCs w:val="24"/>
        </w:rPr>
        <w:t xml:space="preserve"> </w:t>
      </w:r>
      <w:r w:rsidRPr="00D337FA">
        <w:rPr>
          <w:szCs w:val="24"/>
        </w:rPr>
        <w:t>технико-технологических</w:t>
      </w:r>
      <w:r w:rsidR="006C680D" w:rsidRPr="00D337FA">
        <w:rPr>
          <w:szCs w:val="24"/>
        </w:rPr>
        <w:t xml:space="preserve"> </w:t>
      </w:r>
      <w:r w:rsidRPr="00D337FA">
        <w:rPr>
          <w:szCs w:val="24"/>
        </w:rPr>
        <w:t>новшеств</w:t>
      </w:r>
      <w:r w:rsidR="006C680D" w:rsidRPr="00D337FA">
        <w:rPr>
          <w:szCs w:val="24"/>
        </w:rPr>
        <w:t xml:space="preserve"> </w:t>
      </w:r>
      <w:r w:rsidRPr="00D337FA">
        <w:rPr>
          <w:szCs w:val="24"/>
        </w:rPr>
        <w:t>с</w:t>
      </w:r>
      <w:r w:rsidR="006C680D" w:rsidRPr="00D337FA">
        <w:rPr>
          <w:szCs w:val="24"/>
        </w:rPr>
        <w:t xml:space="preserve"> </w:t>
      </w:r>
      <w:r w:rsidRPr="00D337FA">
        <w:rPr>
          <w:szCs w:val="24"/>
        </w:rPr>
        <w:t>применением</w:t>
      </w:r>
      <w:r w:rsidR="006C680D" w:rsidRPr="00D337FA">
        <w:rPr>
          <w:szCs w:val="24"/>
        </w:rPr>
        <w:t xml:space="preserve"> </w:t>
      </w:r>
      <w:r w:rsidRPr="00D337FA">
        <w:rPr>
          <w:szCs w:val="24"/>
        </w:rPr>
        <w:t>инновационных</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сельскохозяйственного</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с</w:t>
      </w:r>
      <w:r w:rsidR="006C680D" w:rsidRPr="00D337FA">
        <w:rPr>
          <w:szCs w:val="24"/>
        </w:rPr>
        <w:t xml:space="preserve"> </w:t>
      </w:r>
      <w:r w:rsidRPr="00D337FA">
        <w:rPr>
          <w:szCs w:val="24"/>
        </w:rPr>
        <w:t>использованием</w:t>
      </w:r>
      <w:r w:rsidR="006C680D" w:rsidRPr="00D337FA">
        <w:rPr>
          <w:szCs w:val="24"/>
        </w:rPr>
        <w:t xml:space="preserve"> </w:t>
      </w:r>
      <w:r w:rsidRPr="00D337FA">
        <w:rPr>
          <w:szCs w:val="24"/>
        </w:rPr>
        <w:t>экологически</w:t>
      </w:r>
      <w:r w:rsidR="006C680D" w:rsidRPr="00D337FA">
        <w:rPr>
          <w:szCs w:val="24"/>
        </w:rPr>
        <w:t xml:space="preserve"> </w:t>
      </w:r>
      <w:r w:rsidRPr="00D337FA">
        <w:rPr>
          <w:szCs w:val="24"/>
        </w:rPr>
        <w:t>чистых</w:t>
      </w:r>
      <w:r w:rsidR="006C680D" w:rsidRPr="00D337FA">
        <w:rPr>
          <w:szCs w:val="24"/>
        </w:rPr>
        <w:t xml:space="preserve"> </w:t>
      </w:r>
      <w:r w:rsidRPr="00D337FA">
        <w:rPr>
          <w:szCs w:val="24"/>
        </w:rPr>
        <w:t>и</w:t>
      </w:r>
      <w:r w:rsidR="006C680D" w:rsidRPr="00D337FA">
        <w:rPr>
          <w:szCs w:val="24"/>
        </w:rPr>
        <w:t xml:space="preserve"> </w:t>
      </w:r>
      <w:r w:rsidRPr="00D337FA">
        <w:rPr>
          <w:szCs w:val="24"/>
        </w:rPr>
        <w:t>органических</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с</w:t>
      </w:r>
      <w:r w:rsidR="006C680D" w:rsidRPr="00D337FA">
        <w:rPr>
          <w:szCs w:val="24"/>
        </w:rPr>
        <w:t xml:space="preserve"> </w:t>
      </w:r>
      <w:r w:rsidRPr="00D337FA">
        <w:rPr>
          <w:szCs w:val="24"/>
        </w:rPr>
        <w:t>целью</w:t>
      </w:r>
      <w:r w:rsidR="006C680D" w:rsidRPr="00D337FA">
        <w:rPr>
          <w:szCs w:val="24"/>
        </w:rPr>
        <w:t xml:space="preserve"> </w:t>
      </w:r>
      <w:r w:rsidRPr="00D337FA">
        <w:rPr>
          <w:szCs w:val="24"/>
        </w:rPr>
        <w:t>повышения</w:t>
      </w:r>
      <w:r w:rsidR="006C680D" w:rsidRPr="00D337FA">
        <w:rPr>
          <w:szCs w:val="24"/>
        </w:rPr>
        <w:t xml:space="preserve"> </w:t>
      </w:r>
      <w:r w:rsidRPr="00D337FA">
        <w:rPr>
          <w:szCs w:val="24"/>
        </w:rPr>
        <w:t>уровня</w:t>
      </w:r>
      <w:r w:rsidR="006C680D" w:rsidRPr="00D337FA">
        <w:rPr>
          <w:szCs w:val="24"/>
        </w:rPr>
        <w:t xml:space="preserve"> </w:t>
      </w:r>
      <w:r w:rsidRPr="00D337FA">
        <w:rPr>
          <w:szCs w:val="24"/>
        </w:rPr>
        <w:t>товарности</w:t>
      </w:r>
      <w:r w:rsidR="006C680D" w:rsidRPr="00D337FA">
        <w:rPr>
          <w:szCs w:val="24"/>
        </w:rPr>
        <w:t xml:space="preserve"> </w:t>
      </w:r>
      <w:r w:rsidRPr="00D337FA">
        <w:rPr>
          <w:szCs w:val="24"/>
        </w:rPr>
        <w:t>аграрной</w:t>
      </w:r>
      <w:r w:rsidR="006C680D" w:rsidRPr="00D337FA">
        <w:rPr>
          <w:szCs w:val="24"/>
        </w:rPr>
        <w:t xml:space="preserve"> </w:t>
      </w:r>
      <w:r w:rsidRPr="00D337FA">
        <w:rPr>
          <w:szCs w:val="24"/>
        </w:rPr>
        <w:t>продукции.</w:t>
      </w:r>
    </w:p>
    <w:p w:rsidR="00826D3F" w:rsidRPr="00D337FA" w:rsidRDefault="00826D3F" w:rsidP="00826D3F">
      <w:pPr>
        <w:ind w:firstLine="284"/>
        <w:rPr>
          <w:szCs w:val="24"/>
        </w:rPr>
      </w:pPr>
      <w:r w:rsidRPr="00D337FA">
        <w:rPr>
          <w:szCs w:val="24"/>
        </w:rPr>
        <w:lastRenderedPageBreak/>
        <w:t>В</w:t>
      </w:r>
      <w:r w:rsidR="006C680D" w:rsidRPr="00D337FA">
        <w:rPr>
          <w:szCs w:val="24"/>
        </w:rPr>
        <w:t xml:space="preserve"> </w:t>
      </w:r>
      <w:r w:rsidRPr="00D337FA">
        <w:rPr>
          <w:szCs w:val="24"/>
        </w:rPr>
        <w:t>работе</w:t>
      </w:r>
      <w:r w:rsidR="006C680D" w:rsidRPr="00D337FA">
        <w:rPr>
          <w:szCs w:val="24"/>
        </w:rPr>
        <w:t xml:space="preserve"> </w:t>
      </w:r>
      <w:r w:rsidRPr="00D337FA">
        <w:rPr>
          <w:szCs w:val="24"/>
        </w:rPr>
        <w:t>сформулированы</w:t>
      </w:r>
      <w:r w:rsidR="006C680D" w:rsidRPr="00D337FA">
        <w:rPr>
          <w:szCs w:val="24"/>
        </w:rPr>
        <w:t xml:space="preserve"> </w:t>
      </w:r>
      <w:r w:rsidRPr="00D337FA">
        <w:rPr>
          <w:szCs w:val="24"/>
        </w:rPr>
        <w:t>взаимосвязанные</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направленные</w:t>
      </w:r>
      <w:r w:rsidR="006C680D" w:rsidRPr="00D337FA">
        <w:rPr>
          <w:szCs w:val="24"/>
        </w:rPr>
        <w:t xml:space="preserve"> </w:t>
      </w:r>
      <w:r w:rsidRPr="00D337FA">
        <w:rPr>
          <w:szCs w:val="24"/>
        </w:rPr>
        <w:t>на</w:t>
      </w:r>
      <w:r w:rsidR="006C680D" w:rsidRPr="00D337FA">
        <w:rPr>
          <w:szCs w:val="24"/>
        </w:rPr>
        <w:t xml:space="preserve"> </w:t>
      </w:r>
      <w:r w:rsidRPr="00D337FA">
        <w:rPr>
          <w:szCs w:val="24"/>
        </w:rPr>
        <w:t>совершенствование</w:t>
      </w:r>
      <w:r w:rsidR="006C680D" w:rsidRPr="00D337FA">
        <w:rPr>
          <w:szCs w:val="24"/>
        </w:rPr>
        <w:t xml:space="preserve"> </w:t>
      </w:r>
      <w:r w:rsidRPr="00D337FA">
        <w:rPr>
          <w:szCs w:val="24"/>
        </w:rPr>
        <w:t>и</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действующих</w:t>
      </w:r>
      <w:r w:rsidR="006C680D" w:rsidRPr="00D337FA">
        <w:rPr>
          <w:szCs w:val="24"/>
        </w:rPr>
        <w:t xml:space="preserve"> </w:t>
      </w:r>
      <w:r w:rsidRPr="00D337FA">
        <w:rPr>
          <w:szCs w:val="24"/>
        </w:rPr>
        <w:t>программ</w:t>
      </w:r>
      <w:r w:rsidR="006C680D" w:rsidRPr="00D337FA">
        <w:rPr>
          <w:szCs w:val="24"/>
        </w:rPr>
        <w:t xml:space="preserve"> </w:t>
      </w:r>
      <w:r w:rsidRPr="00D337FA">
        <w:rPr>
          <w:szCs w:val="24"/>
        </w:rPr>
        <w:t>и</w:t>
      </w:r>
      <w:r w:rsidR="006C680D" w:rsidRPr="00D337FA">
        <w:rPr>
          <w:szCs w:val="24"/>
        </w:rPr>
        <w:t xml:space="preserve"> </w:t>
      </w:r>
      <w:r w:rsidRPr="00D337FA">
        <w:rPr>
          <w:szCs w:val="24"/>
        </w:rPr>
        <w:t>мер</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как</w:t>
      </w:r>
      <w:r w:rsidR="006C680D" w:rsidRPr="00D337FA">
        <w:rPr>
          <w:szCs w:val="24"/>
        </w:rPr>
        <w:t xml:space="preserve"> </w:t>
      </w:r>
      <w:r w:rsidRPr="00D337FA">
        <w:rPr>
          <w:szCs w:val="24"/>
        </w:rPr>
        <w:t>главного</w:t>
      </w:r>
      <w:r w:rsidR="006C680D" w:rsidRPr="00D337FA">
        <w:rPr>
          <w:szCs w:val="24"/>
        </w:rPr>
        <w:t xml:space="preserve"> </w:t>
      </w:r>
      <w:r w:rsidRPr="00D337FA">
        <w:rPr>
          <w:szCs w:val="24"/>
        </w:rPr>
        <w:t>элемента</w:t>
      </w:r>
      <w:r w:rsidR="006C680D" w:rsidRPr="00D337FA">
        <w:rPr>
          <w:szCs w:val="24"/>
        </w:rPr>
        <w:t xml:space="preserve"> </w:t>
      </w:r>
      <w:r w:rsidRPr="00D337FA">
        <w:rPr>
          <w:szCs w:val="24"/>
        </w:rPr>
        <w:t>продовольственной</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страны.</w:t>
      </w:r>
    </w:p>
    <w:p w:rsidR="008932D6" w:rsidRPr="00D337FA" w:rsidRDefault="00826D3F" w:rsidP="008932D6">
      <w:pPr>
        <w:ind w:firstLine="284"/>
        <w:rPr>
          <w:szCs w:val="24"/>
        </w:rPr>
      </w:pP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нового</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пространства</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позволить</w:t>
      </w:r>
      <w:r w:rsidR="006C680D" w:rsidRPr="00D337FA">
        <w:rPr>
          <w:szCs w:val="24"/>
        </w:rPr>
        <w:t xml:space="preserve"> </w:t>
      </w:r>
      <w:r w:rsidRPr="00D337FA">
        <w:rPr>
          <w:szCs w:val="24"/>
        </w:rPr>
        <w:t>создать</w:t>
      </w:r>
      <w:r w:rsidR="006C680D" w:rsidRPr="00D337FA">
        <w:rPr>
          <w:szCs w:val="24"/>
        </w:rPr>
        <w:t xml:space="preserve"> </w:t>
      </w:r>
      <w:r w:rsidRPr="00D337FA">
        <w:rPr>
          <w:szCs w:val="24"/>
        </w:rPr>
        <w:t>необходимые</w:t>
      </w:r>
      <w:r w:rsidR="006C680D" w:rsidRPr="00D337FA">
        <w:rPr>
          <w:szCs w:val="24"/>
        </w:rPr>
        <w:t xml:space="preserve"> </w:t>
      </w:r>
      <w:r w:rsidRPr="00D337FA">
        <w:rPr>
          <w:szCs w:val="24"/>
        </w:rPr>
        <w:t>перспективы</w:t>
      </w:r>
      <w:r w:rsidR="006C680D" w:rsidRPr="00D337FA">
        <w:rPr>
          <w:szCs w:val="24"/>
        </w:rPr>
        <w:t xml:space="preserve"> </w:t>
      </w:r>
      <w:r w:rsidRPr="00D337FA">
        <w:rPr>
          <w:szCs w:val="24"/>
        </w:rPr>
        <w:t>для</w:t>
      </w:r>
      <w:r w:rsidR="006C680D" w:rsidRPr="00D337FA">
        <w:rPr>
          <w:szCs w:val="24"/>
        </w:rPr>
        <w:t xml:space="preserve"> </w:t>
      </w:r>
      <w:r w:rsidRPr="00D337FA">
        <w:rPr>
          <w:szCs w:val="24"/>
        </w:rPr>
        <w:t>устойчивого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всей</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в</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где</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детальное</w:t>
      </w:r>
      <w:r w:rsidR="006C680D" w:rsidRPr="00D337FA">
        <w:rPr>
          <w:szCs w:val="24"/>
        </w:rPr>
        <w:t xml:space="preserve"> </w:t>
      </w:r>
      <w:r w:rsidRPr="00D337FA">
        <w:rPr>
          <w:szCs w:val="24"/>
        </w:rPr>
        <w:t>внимание</w:t>
      </w:r>
      <w:r w:rsidR="006C680D" w:rsidRPr="00D337FA">
        <w:rPr>
          <w:szCs w:val="24"/>
        </w:rPr>
        <w:t xml:space="preserve"> </w:t>
      </w:r>
      <w:r w:rsidRPr="00D337FA">
        <w:rPr>
          <w:szCs w:val="24"/>
        </w:rPr>
        <w:t>будет</w:t>
      </w:r>
      <w:r w:rsidR="006C680D" w:rsidRPr="00D337FA">
        <w:rPr>
          <w:szCs w:val="24"/>
        </w:rPr>
        <w:t xml:space="preserve"> </w:t>
      </w:r>
      <w:r w:rsidRPr="00D337FA">
        <w:rPr>
          <w:szCs w:val="24"/>
        </w:rPr>
        <w:t>уделяться</w:t>
      </w:r>
      <w:r w:rsidR="006C680D" w:rsidRPr="00D337FA">
        <w:rPr>
          <w:szCs w:val="24"/>
        </w:rPr>
        <w:t xml:space="preserve"> </w:t>
      </w:r>
      <w:r w:rsidRPr="00D337FA">
        <w:rPr>
          <w:szCs w:val="24"/>
        </w:rPr>
        <w:t>инструментам</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компаний,</w:t>
      </w:r>
      <w:r w:rsidR="006C680D" w:rsidRPr="00D337FA">
        <w:rPr>
          <w:szCs w:val="24"/>
        </w:rPr>
        <w:t xml:space="preserve"> </w:t>
      </w:r>
      <w:r w:rsidRPr="00D337FA">
        <w:rPr>
          <w:szCs w:val="24"/>
        </w:rPr>
        <w:t>исходя</w:t>
      </w:r>
      <w:r w:rsidR="006C680D" w:rsidRPr="00D337FA">
        <w:rPr>
          <w:szCs w:val="24"/>
        </w:rPr>
        <w:t xml:space="preserve"> </w:t>
      </w:r>
      <w:r w:rsidRPr="00D337FA">
        <w:rPr>
          <w:szCs w:val="24"/>
        </w:rPr>
        <w:t>из</w:t>
      </w:r>
      <w:r w:rsidR="006C680D" w:rsidRPr="00D337FA">
        <w:rPr>
          <w:szCs w:val="24"/>
        </w:rPr>
        <w:t xml:space="preserve"> </w:t>
      </w:r>
      <w:r w:rsidRPr="00D337FA">
        <w:rPr>
          <w:szCs w:val="24"/>
        </w:rPr>
        <w:t>их</w:t>
      </w:r>
      <w:r w:rsidR="006C680D" w:rsidRPr="00D337FA">
        <w:rPr>
          <w:szCs w:val="24"/>
        </w:rPr>
        <w:t xml:space="preserve"> </w:t>
      </w:r>
      <w:r w:rsidRPr="00D337FA">
        <w:rPr>
          <w:szCs w:val="24"/>
        </w:rPr>
        <w:t>реальных</w:t>
      </w:r>
      <w:r w:rsidR="006C680D" w:rsidRPr="00D337FA">
        <w:rPr>
          <w:szCs w:val="24"/>
        </w:rPr>
        <w:t xml:space="preserve"> </w:t>
      </w:r>
      <w:r w:rsidRPr="00D337FA">
        <w:rPr>
          <w:szCs w:val="24"/>
        </w:rPr>
        <w:t>потребностей.</w:t>
      </w:r>
      <w:r w:rsidR="006C680D" w:rsidRPr="00D337FA">
        <w:rPr>
          <w:szCs w:val="24"/>
        </w:rPr>
        <w:t xml:space="preserve"> </w:t>
      </w:r>
      <w:r w:rsidRPr="00D337FA">
        <w:rPr>
          <w:szCs w:val="24"/>
        </w:rPr>
        <w:t>Государственная</w:t>
      </w:r>
      <w:r w:rsidR="006C680D" w:rsidRPr="00D337FA">
        <w:rPr>
          <w:szCs w:val="24"/>
        </w:rPr>
        <w:t xml:space="preserve"> </w:t>
      </w:r>
      <w:r w:rsidRPr="00D337FA">
        <w:rPr>
          <w:szCs w:val="24"/>
        </w:rPr>
        <w:t>поддержка</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позволять</w:t>
      </w:r>
      <w:r w:rsidR="006C680D" w:rsidRPr="00D337FA">
        <w:rPr>
          <w:szCs w:val="24"/>
        </w:rPr>
        <w:t xml:space="preserve"> </w:t>
      </w:r>
      <w:r w:rsidRPr="00D337FA">
        <w:rPr>
          <w:szCs w:val="24"/>
        </w:rPr>
        <w:t>организациям</w:t>
      </w:r>
      <w:r w:rsidR="006C680D" w:rsidRPr="00D337FA">
        <w:rPr>
          <w:szCs w:val="24"/>
        </w:rPr>
        <w:t xml:space="preserve"> </w:t>
      </w:r>
      <w:r w:rsidRPr="00D337FA">
        <w:rPr>
          <w:szCs w:val="24"/>
        </w:rPr>
        <w:t>не</w:t>
      </w:r>
      <w:r w:rsidR="006C680D" w:rsidRPr="00D337FA">
        <w:rPr>
          <w:szCs w:val="24"/>
        </w:rPr>
        <w:t xml:space="preserve"> </w:t>
      </w:r>
      <w:r w:rsidRPr="00D337FA">
        <w:rPr>
          <w:szCs w:val="24"/>
        </w:rPr>
        <w:t>просто</w:t>
      </w:r>
      <w:r w:rsidR="006C680D" w:rsidRPr="00D337FA">
        <w:rPr>
          <w:szCs w:val="24"/>
        </w:rPr>
        <w:t xml:space="preserve"> </w:t>
      </w:r>
      <w:r w:rsidRPr="00D337FA">
        <w:rPr>
          <w:szCs w:val="24"/>
        </w:rPr>
        <w:t>оставаться</w:t>
      </w:r>
      <w:r w:rsidR="006C680D" w:rsidRPr="00D337FA">
        <w:rPr>
          <w:szCs w:val="24"/>
        </w:rPr>
        <w:t xml:space="preserve"> </w:t>
      </w:r>
      <w:r w:rsidRPr="00D337FA">
        <w:rPr>
          <w:szCs w:val="24"/>
        </w:rPr>
        <w:t>конкурентоспособными</w:t>
      </w:r>
      <w:r w:rsidR="006C680D" w:rsidRPr="00D337FA">
        <w:rPr>
          <w:szCs w:val="24"/>
        </w:rPr>
        <w:t xml:space="preserve"> </w:t>
      </w:r>
      <w:r w:rsidRPr="00D337FA">
        <w:rPr>
          <w:szCs w:val="24"/>
        </w:rPr>
        <w:t>на</w:t>
      </w:r>
      <w:r w:rsidR="006C680D" w:rsidRPr="00D337FA">
        <w:rPr>
          <w:szCs w:val="24"/>
        </w:rPr>
        <w:t xml:space="preserve"> </w:t>
      </w:r>
      <w:r w:rsidRPr="00D337FA">
        <w:rPr>
          <w:szCs w:val="24"/>
        </w:rPr>
        <w:t>мировой</w:t>
      </w:r>
      <w:r w:rsidR="006C680D" w:rsidRPr="00D337FA">
        <w:rPr>
          <w:szCs w:val="24"/>
        </w:rPr>
        <w:t xml:space="preserve"> </w:t>
      </w:r>
      <w:r w:rsidRPr="00D337FA">
        <w:rPr>
          <w:szCs w:val="24"/>
        </w:rPr>
        <w:t>арене,</w:t>
      </w:r>
      <w:r w:rsidR="006C680D" w:rsidRPr="00D337FA">
        <w:rPr>
          <w:szCs w:val="24"/>
        </w:rPr>
        <w:t xml:space="preserve"> </w:t>
      </w:r>
      <w:r w:rsidRPr="00D337FA">
        <w:rPr>
          <w:szCs w:val="24"/>
        </w:rPr>
        <w:t>а</w:t>
      </w:r>
      <w:r w:rsidR="006C680D" w:rsidRPr="00D337FA">
        <w:rPr>
          <w:szCs w:val="24"/>
        </w:rPr>
        <w:t xml:space="preserve"> </w:t>
      </w:r>
      <w:r w:rsidRPr="00D337FA">
        <w:rPr>
          <w:szCs w:val="24"/>
        </w:rPr>
        <w:t>постоянно</w:t>
      </w:r>
      <w:r w:rsidR="006C680D" w:rsidRPr="00D337FA">
        <w:rPr>
          <w:szCs w:val="24"/>
        </w:rPr>
        <w:t xml:space="preserve"> </w:t>
      </w:r>
      <w:r w:rsidRPr="00D337FA">
        <w:rPr>
          <w:szCs w:val="24"/>
        </w:rPr>
        <w:t>улучшать</w:t>
      </w:r>
      <w:r w:rsidR="006C680D" w:rsidRPr="00D337FA">
        <w:rPr>
          <w:szCs w:val="24"/>
        </w:rPr>
        <w:t xml:space="preserve"> </w:t>
      </w:r>
      <w:r w:rsidRPr="00D337FA">
        <w:rPr>
          <w:szCs w:val="24"/>
        </w:rPr>
        <w:t>свои</w:t>
      </w:r>
      <w:r w:rsidR="006C680D" w:rsidRPr="00D337FA">
        <w:rPr>
          <w:szCs w:val="24"/>
        </w:rPr>
        <w:t xml:space="preserve"> </w:t>
      </w:r>
      <w:r w:rsidRPr="00D337FA">
        <w:rPr>
          <w:szCs w:val="24"/>
        </w:rPr>
        <w:t>позиции</w:t>
      </w:r>
      <w:r w:rsidR="006C680D" w:rsidRPr="00D337FA">
        <w:rPr>
          <w:szCs w:val="24"/>
        </w:rPr>
        <w:t xml:space="preserve"> </w:t>
      </w:r>
      <w:r w:rsidRPr="00D337FA">
        <w:rPr>
          <w:szCs w:val="24"/>
        </w:rPr>
        <w:t>на</w:t>
      </w:r>
      <w:r w:rsidR="006C680D" w:rsidRPr="00D337FA">
        <w:rPr>
          <w:szCs w:val="24"/>
        </w:rPr>
        <w:t xml:space="preserve"> </w:t>
      </w:r>
      <w:r w:rsidRPr="00D337FA">
        <w:rPr>
          <w:szCs w:val="24"/>
        </w:rPr>
        <w:t>рыночном</w:t>
      </w:r>
      <w:r w:rsidR="006C680D" w:rsidRPr="00D337FA">
        <w:rPr>
          <w:szCs w:val="24"/>
        </w:rPr>
        <w:t xml:space="preserve"> </w:t>
      </w:r>
      <w:r w:rsidRPr="00D337FA">
        <w:rPr>
          <w:szCs w:val="24"/>
        </w:rPr>
        <w:t>пространстве,</w:t>
      </w:r>
      <w:r w:rsidR="006C680D" w:rsidRPr="00D337FA">
        <w:rPr>
          <w:szCs w:val="24"/>
        </w:rPr>
        <w:t xml:space="preserve"> </w:t>
      </w:r>
      <w:r w:rsidRPr="00D337FA">
        <w:rPr>
          <w:szCs w:val="24"/>
        </w:rPr>
        <w:t>модернизировать</w:t>
      </w:r>
      <w:r w:rsidR="006C680D" w:rsidRPr="00D337FA">
        <w:rPr>
          <w:szCs w:val="24"/>
        </w:rPr>
        <w:t xml:space="preserve"> </w:t>
      </w:r>
      <w:r w:rsidRPr="00D337FA">
        <w:rPr>
          <w:szCs w:val="24"/>
        </w:rPr>
        <w:t>производство</w:t>
      </w:r>
      <w:r w:rsidR="006C680D" w:rsidRPr="00D337FA">
        <w:rPr>
          <w:szCs w:val="24"/>
        </w:rPr>
        <w:t xml:space="preserve"> </w:t>
      </w:r>
      <w:r w:rsidRPr="00D337FA">
        <w:rPr>
          <w:szCs w:val="24"/>
        </w:rPr>
        <w:t>и</w:t>
      </w:r>
      <w:r w:rsidR="006C680D" w:rsidRPr="00D337FA">
        <w:rPr>
          <w:szCs w:val="24"/>
        </w:rPr>
        <w:t xml:space="preserve"> </w:t>
      </w:r>
      <w:r w:rsidRPr="00D337FA">
        <w:rPr>
          <w:szCs w:val="24"/>
        </w:rPr>
        <w:t>находить</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точки</w:t>
      </w:r>
      <w:r w:rsidR="006C680D" w:rsidRPr="00D337FA">
        <w:rPr>
          <w:szCs w:val="24"/>
        </w:rPr>
        <w:t xml:space="preserve"> </w:t>
      </w:r>
      <w:r w:rsidRPr="00D337FA">
        <w:rPr>
          <w:szCs w:val="24"/>
        </w:rPr>
        <w:t>сбыта</w:t>
      </w:r>
      <w:r w:rsidR="006C680D" w:rsidRPr="00D337FA">
        <w:rPr>
          <w:szCs w:val="24"/>
        </w:rPr>
        <w:t xml:space="preserve"> </w:t>
      </w:r>
      <w:r w:rsidRPr="00D337FA">
        <w:rPr>
          <w:szCs w:val="24"/>
        </w:rPr>
        <w:t>продукции.</w:t>
      </w:r>
      <w:r w:rsidR="006C680D" w:rsidRPr="00D337FA">
        <w:rPr>
          <w:szCs w:val="24"/>
        </w:rPr>
        <w:t xml:space="preserve"> </w:t>
      </w:r>
      <w:r w:rsidRPr="00D337FA">
        <w:rPr>
          <w:szCs w:val="24"/>
        </w:rPr>
        <w:t>Важно</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сохранить</w:t>
      </w:r>
      <w:r w:rsidR="006C680D" w:rsidRPr="00D337FA">
        <w:rPr>
          <w:szCs w:val="24"/>
        </w:rPr>
        <w:t xml:space="preserve"> </w:t>
      </w:r>
      <w:r w:rsidRPr="00D337FA">
        <w:rPr>
          <w:szCs w:val="24"/>
        </w:rPr>
        <w:t>экономический</w:t>
      </w:r>
      <w:r w:rsidR="006C680D" w:rsidRPr="00D337FA">
        <w:rPr>
          <w:szCs w:val="24"/>
        </w:rPr>
        <w:t xml:space="preserve"> </w:t>
      </w:r>
      <w:r w:rsidRPr="00D337FA">
        <w:rPr>
          <w:szCs w:val="24"/>
        </w:rPr>
        <w:t>баланс</w:t>
      </w:r>
      <w:r w:rsidR="006C680D" w:rsidRPr="00D337FA">
        <w:rPr>
          <w:szCs w:val="24"/>
        </w:rPr>
        <w:t xml:space="preserve"> </w:t>
      </w:r>
      <w:r w:rsidRPr="00D337FA">
        <w:rPr>
          <w:szCs w:val="24"/>
        </w:rPr>
        <w:t>для</w:t>
      </w:r>
      <w:r w:rsidR="006C680D" w:rsidRPr="00D337FA">
        <w:rPr>
          <w:szCs w:val="24"/>
        </w:rPr>
        <w:t xml:space="preserve"> </w:t>
      </w:r>
      <w:r w:rsidRPr="00D337FA">
        <w:rPr>
          <w:szCs w:val="24"/>
        </w:rPr>
        <w:t>исключения</w:t>
      </w:r>
      <w:r w:rsidR="006C680D" w:rsidRPr="00D337FA">
        <w:rPr>
          <w:szCs w:val="24"/>
        </w:rPr>
        <w:t xml:space="preserve"> </w:t>
      </w:r>
      <w:r w:rsidRPr="00D337FA">
        <w:rPr>
          <w:szCs w:val="24"/>
        </w:rPr>
        <w:t>ситуации,</w:t>
      </w:r>
      <w:r w:rsidR="006C680D" w:rsidRPr="00D337FA">
        <w:rPr>
          <w:szCs w:val="24"/>
        </w:rPr>
        <w:t xml:space="preserve"> </w:t>
      </w:r>
      <w:r w:rsidRPr="00D337FA">
        <w:rPr>
          <w:szCs w:val="24"/>
        </w:rPr>
        <w:t>когда</w:t>
      </w:r>
      <w:r w:rsidR="006C680D" w:rsidRPr="00D337FA">
        <w:rPr>
          <w:szCs w:val="24"/>
        </w:rPr>
        <w:t xml:space="preserve"> </w:t>
      </w:r>
      <w:r w:rsidRPr="00D337FA">
        <w:rPr>
          <w:szCs w:val="24"/>
        </w:rPr>
        <w:t>одна</w:t>
      </w:r>
      <w:r w:rsidR="006C680D" w:rsidRPr="00D337FA">
        <w:rPr>
          <w:szCs w:val="24"/>
        </w:rPr>
        <w:t xml:space="preserve"> </w:t>
      </w:r>
      <w:r w:rsidRPr="00D337FA">
        <w:rPr>
          <w:szCs w:val="24"/>
        </w:rPr>
        <w:t>подотрасль</w:t>
      </w:r>
      <w:r w:rsidR="006C680D" w:rsidRPr="00D337FA">
        <w:rPr>
          <w:szCs w:val="24"/>
        </w:rPr>
        <w:t xml:space="preserve"> </w:t>
      </w:r>
      <w:r w:rsidRPr="00D337FA">
        <w:rPr>
          <w:szCs w:val="24"/>
        </w:rPr>
        <w:t>развивается</w:t>
      </w:r>
      <w:r w:rsidR="006C680D" w:rsidRPr="00D337FA">
        <w:rPr>
          <w:szCs w:val="24"/>
        </w:rPr>
        <w:t xml:space="preserve"> </w:t>
      </w:r>
      <w:r w:rsidRPr="00D337FA">
        <w:rPr>
          <w:szCs w:val="24"/>
        </w:rPr>
        <w:t>за</w:t>
      </w:r>
      <w:r w:rsidR="006C680D" w:rsidRPr="00D337FA">
        <w:rPr>
          <w:szCs w:val="24"/>
        </w:rPr>
        <w:t xml:space="preserve"> </w:t>
      </w:r>
      <w:r w:rsidRPr="00D337FA">
        <w:rPr>
          <w:szCs w:val="24"/>
        </w:rPr>
        <w:t>счёт</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другой.</w:t>
      </w:r>
      <w:r w:rsidR="006C680D" w:rsidRPr="00D337FA">
        <w:rPr>
          <w:szCs w:val="24"/>
        </w:rPr>
        <w:t xml:space="preserve"> </w:t>
      </w:r>
      <w:r w:rsidRPr="00D337FA">
        <w:rPr>
          <w:szCs w:val="24"/>
        </w:rPr>
        <w:t>Главными</w:t>
      </w:r>
      <w:r w:rsidR="006C680D" w:rsidRPr="00D337FA">
        <w:rPr>
          <w:szCs w:val="24"/>
        </w:rPr>
        <w:t xml:space="preserve"> </w:t>
      </w:r>
      <w:r w:rsidRPr="00D337FA">
        <w:rPr>
          <w:szCs w:val="24"/>
        </w:rPr>
        <w:t>инструментами</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w:t>
      </w:r>
      <w:r w:rsidR="006C680D" w:rsidRPr="00D337FA">
        <w:rPr>
          <w:szCs w:val="24"/>
        </w:rPr>
        <w:t xml:space="preserve"> </w:t>
      </w:r>
      <w:r w:rsidRPr="00D337FA">
        <w:rPr>
          <w:szCs w:val="24"/>
        </w:rPr>
        <w:t>этих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должны</w:t>
      </w:r>
      <w:r w:rsidR="006C680D" w:rsidRPr="00D337FA">
        <w:rPr>
          <w:szCs w:val="24"/>
        </w:rPr>
        <w:t xml:space="preserve"> </w:t>
      </w:r>
      <w:r w:rsidRPr="00D337FA">
        <w:rPr>
          <w:szCs w:val="24"/>
        </w:rPr>
        <w:t>стать</w:t>
      </w:r>
      <w:r w:rsidR="006C680D" w:rsidRPr="00D337FA">
        <w:rPr>
          <w:szCs w:val="24"/>
        </w:rPr>
        <w:t xml:space="preserve"> </w:t>
      </w:r>
      <w:r w:rsidRPr="00D337FA">
        <w:rPr>
          <w:szCs w:val="24"/>
        </w:rPr>
        <w:t>гранты,</w:t>
      </w:r>
      <w:r w:rsidR="006C680D" w:rsidRPr="00D337FA">
        <w:rPr>
          <w:szCs w:val="24"/>
        </w:rPr>
        <w:t xml:space="preserve"> </w:t>
      </w:r>
      <w:r w:rsidRPr="00D337FA">
        <w:rPr>
          <w:szCs w:val="24"/>
        </w:rPr>
        <w:t>субсидии</w:t>
      </w:r>
      <w:r w:rsidR="006C680D" w:rsidRPr="00D337FA">
        <w:rPr>
          <w:szCs w:val="24"/>
        </w:rPr>
        <w:t xml:space="preserve"> </w:t>
      </w:r>
      <w:r w:rsidRPr="00D337FA">
        <w:rPr>
          <w:szCs w:val="24"/>
        </w:rPr>
        <w:t>и</w:t>
      </w:r>
      <w:r w:rsidR="006C680D" w:rsidRPr="00D337FA">
        <w:rPr>
          <w:szCs w:val="24"/>
        </w:rPr>
        <w:t xml:space="preserve"> </w:t>
      </w:r>
      <w:r w:rsidRPr="00D337FA">
        <w:rPr>
          <w:szCs w:val="24"/>
        </w:rPr>
        <w:t>кредиты</w:t>
      </w:r>
      <w:r w:rsidR="006C680D" w:rsidRPr="00D337FA">
        <w:rPr>
          <w:szCs w:val="24"/>
        </w:rPr>
        <w:t xml:space="preserve"> </w:t>
      </w:r>
      <w:r w:rsidRPr="00D337FA">
        <w:rPr>
          <w:szCs w:val="24"/>
        </w:rPr>
        <w:t>для</w:t>
      </w:r>
      <w:r w:rsidR="006C680D" w:rsidRPr="00D337FA">
        <w:rPr>
          <w:szCs w:val="24"/>
        </w:rPr>
        <w:t xml:space="preserve"> </w:t>
      </w:r>
      <w:r w:rsidRPr="00D337FA">
        <w:rPr>
          <w:szCs w:val="24"/>
        </w:rPr>
        <w:t>сельскохозяйственных</w:t>
      </w:r>
      <w:r w:rsidR="006C680D" w:rsidRPr="00D337FA">
        <w:rPr>
          <w:szCs w:val="24"/>
        </w:rPr>
        <w:t xml:space="preserve"> </w:t>
      </w:r>
      <w:r w:rsidRPr="00D337FA">
        <w:rPr>
          <w:szCs w:val="24"/>
        </w:rPr>
        <w:t>компаний.</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ускорить</w:t>
      </w:r>
      <w:r w:rsidR="006C680D" w:rsidRPr="00D337FA">
        <w:rPr>
          <w:szCs w:val="24"/>
        </w:rPr>
        <w:t xml:space="preserve"> </w:t>
      </w:r>
      <w:r w:rsidRPr="00D337FA">
        <w:rPr>
          <w:szCs w:val="24"/>
        </w:rPr>
        <w:t>процесс</w:t>
      </w:r>
      <w:r w:rsidR="006C680D" w:rsidRPr="00D337FA">
        <w:rPr>
          <w:szCs w:val="24"/>
        </w:rPr>
        <w:t xml:space="preserve"> </w:t>
      </w:r>
      <w:r w:rsidRPr="00D337FA">
        <w:rPr>
          <w:szCs w:val="24"/>
        </w:rPr>
        <w:t>импортозамещения,</w:t>
      </w:r>
      <w:r w:rsidR="006C680D" w:rsidRPr="00D337FA">
        <w:rPr>
          <w:szCs w:val="24"/>
        </w:rPr>
        <w:t xml:space="preserve"> </w:t>
      </w:r>
      <w:r w:rsidRPr="00D337FA">
        <w:rPr>
          <w:szCs w:val="24"/>
        </w:rPr>
        <w:t>а</w:t>
      </w:r>
      <w:r w:rsidR="006C680D" w:rsidRPr="00D337FA">
        <w:rPr>
          <w:szCs w:val="24"/>
        </w:rPr>
        <w:t xml:space="preserve"> </w:t>
      </w:r>
      <w:r w:rsidRPr="00D337FA">
        <w:rPr>
          <w:szCs w:val="24"/>
        </w:rPr>
        <w:t>как</w:t>
      </w:r>
      <w:r w:rsidR="006C680D" w:rsidRPr="00D337FA">
        <w:rPr>
          <w:szCs w:val="24"/>
        </w:rPr>
        <w:t xml:space="preserve"> </w:t>
      </w:r>
      <w:r w:rsidRPr="00D337FA">
        <w:rPr>
          <w:szCs w:val="24"/>
        </w:rPr>
        <w:t>следствие</w:t>
      </w:r>
      <w:r w:rsidR="006C680D" w:rsidRPr="00D337FA">
        <w:rPr>
          <w:szCs w:val="24"/>
        </w:rPr>
        <w:t xml:space="preserve"> </w:t>
      </w:r>
      <w:r w:rsidRPr="00D337FA">
        <w:rPr>
          <w:szCs w:val="24"/>
        </w:rPr>
        <w:t>и</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всей</w:t>
      </w:r>
      <w:r w:rsidR="006C680D" w:rsidRPr="00D337FA">
        <w:rPr>
          <w:szCs w:val="24"/>
        </w:rPr>
        <w:t xml:space="preserve"> </w:t>
      </w:r>
      <w:r w:rsidRPr="00D337FA">
        <w:rPr>
          <w:szCs w:val="24"/>
        </w:rPr>
        <w:t>аграрной</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поскольку</w:t>
      </w:r>
      <w:r w:rsidR="006C680D" w:rsidRPr="00D337FA">
        <w:rPr>
          <w:szCs w:val="24"/>
        </w:rPr>
        <w:t xml:space="preserve"> </w:t>
      </w:r>
      <w:r w:rsidRPr="00D337FA">
        <w:rPr>
          <w:szCs w:val="24"/>
        </w:rPr>
        <w:t>сегодня</w:t>
      </w:r>
      <w:r w:rsidR="006C680D" w:rsidRPr="00D337FA">
        <w:rPr>
          <w:szCs w:val="24"/>
        </w:rPr>
        <w:t xml:space="preserve"> </w:t>
      </w:r>
      <w:r w:rsidRPr="00D337FA">
        <w:rPr>
          <w:szCs w:val="24"/>
        </w:rPr>
        <w:t>основной</w:t>
      </w:r>
      <w:r w:rsidR="006C680D" w:rsidRPr="00D337FA">
        <w:rPr>
          <w:szCs w:val="24"/>
        </w:rPr>
        <w:t xml:space="preserve"> </w:t>
      </w:r>
      <w:r w:rsidRPr="00D337FA">
        <w:rPr>
          <w:szCs w:val="24"/>
        </w:rPr>
        <w:t>приоритет</w:t>
      </w:r>
      <w:r w:rsidR="006C680D" w:rsidRPr="00D337FA">
        <w:rPr>
          <w:szCs w:val="24"/>
        </w:rPr>
        <w:t xml:space="preserve"> </w:t>
      </w:r>
      <w:r w:rsidRPr="00D337FA">
        <w:rPr>
          <w:szCs w:val="24"/>
        </w:rPr>
        <w:t>отдаётся</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отечественной</w:t>
      </w:r>
      <w:r w:rsidR="006C680D" w:rsidRPr="00D337FA">
        <w:rPr>
          <w:szCs w:val="24"/>
        </w:rPr>
        <w:t xml:space="preserve"> </w:t>
      </w:r>
      <w:r w:rsidRPr="00D337FA">
        <w:rPr>
          <w:szCs w:val="24"/>
        </w:rPr>
        <w:t>продукции</w:t>
      </w:r>
      <w:r w:rsidR="006C680D" w:rsidRPr="00D337FA">
        <w:rPr>
          <w:szCs w:val="24"/>
        </w:rPr>
        <w:t xml:space="preserve"> </w:t>
      </w:r>
      <w:r w:rsidRPr="00D337FA">
        <w:rPr>
          <w:szCs w:val="24"/>
        </w:rPr>
        <w:t>или</w:t>
      </w:r>
      <w:r w:rsidR="006C680D" w:rsidRPr="00D337FA">
        <w:rPr>
          <w:szCs w:val="24"/>
        </w:rPr>
        <w:t xml:space="preserve"> </w:t>
      </w:r>
      <w:r w:rsidRPr="00D337FA">
        <w:rPr>
          <w:szCs w:val="24"/>
        </w:rPr>
        <w:t>же</w:t>
      </w:r>
      <w:r w:rsidR="006C680D" w:rsidRPr="00D337FA">
        <w:rPr>
          <w:szCs w:val="24"/>
        </w:rPr>
        <w:t xml:space="preserve"> </w:t>
      </w:r>
      <w:r w:rsidRPr="00D337FA">
        <w:rPr>
          <w:szCs w:val="24"/>
        </w:rPr>
        <w:t>временно</w:t>
      </w:r>
      <w:r w:rsidR="006C680D" w:rsidRPr="00D337FA">
        <w:rPr>
          <w:szCs w:val="24"/>
        </w:rPr>
        <w:t xml:space="preserve"> </w:t>
      </w:r>
      <w:r w:rsidRPr="00D337FA">
        <w:rPr>
          <w:szCs w:val="24"/>
        </w:rPr>
        <w:t>импортируемой</w:t>
      </w:r>
      <w:r w:rsidR="006C680D" w:rsidRPr="00D337FA">
        <w:rPr>
          <w:szCs w:val="24"/>
        </w:rPr>
        <w:t xml:space="preserve"> </w:t>
      </w:r>
      <w:r w:rsidRPr="00D337FA">
        <w:rPr>
          <w:szCs w:val="24"/>
        </w:rPr>
        <w:t>из</w:t>
      </w:r>
      <w:r w:rsidR="006C680D" w:rsidRPr="00D337FA">
        <w:rPr>
          <w:szCs w:val="24"/>
        </w:rPr>
        <w:t xml:space="preserve"> </w:t>
      </w:r>
      <w:r w:rsidRPr="00D337FA">
        <w:rPr>
          <w:szCs w:val="24"/>
        </w:rPr>
        <w:t>дружественных</w:t>
      </w:r>
      <w:r w:rsidR="006C680D" w:rsidRPr="00D337FA">
        <w:rPr>
          <w:szCs w:val="24"/>
        </w:rPr>
        <w:t xml:space="preserve"> </w:t>
      </w:r>
      <w:r w:rsidRPr="00D337FA">
        <w:rPr>
          <w:szCs w:val="24"/>
        </w:rPr>
        <w:t>стран</w:t>
      </w:r>
      <w:r w:rsidR="006C680D" w:rsidRPr="00D337FA">
        <w:rPr>
          <w:szCs w:val="24"/>
        </w:rPr>
        <w:t xml:space="preserve"> </w:t>
      </w:r>
      <w:r w:rsidRPr="00D337FA">
        <w:rPr>
          <w:szCs w:val="24"/>
        </w:rPr>
        <w:t>до</w:t>
      </w:r>
      <w:r w:rsidR="006C680D" w:rsidRPr="00D337FA">
        <w:rPr>
          <w:szCs w:val="24"/>
        </w:rPr>
        <w:t xml:space="preserve"> </w:t>
      </w:r>
      <w:r w:rsidRPr="00D337FA">
        <w:rPr>
          <w:szCs w:val="24"/>
        </w:rPr>
        <w:t>её</w:t>
      </w:r>
      <w:r w:rsidR="006C680D" w:rsidRPr="00D337FA">
        <w:rPr>
          <w:szCs w:val="24"/>
        </w:rPr>
        <w:t xml:space="preserve"> </w:t>
      </w:r>
      <w:r w:rsidRPr="00D337FA">
        <w:rPr>
          <w:szCs w:val="24"/>
        </w:rPr>
        <w:t>разработки</w:t>
      </w:r>
      <w:r w:rsidR="006C680D" w:rsidRPr="00D337FA">
        <w:rPr>
          <w:szCs w:val="24"/>
        </w:rPr>
        <w:t xml:space="preserve"> </w:t>
      </w:r>
      <w:r w:rsidRPr="00D337FA">
        <w:rPr>
          <w:szCs w:val="24"/>
        </w:rPr>
        <w:t>внутри</w:t>
      </w:r>
      <w:r w:rsidR="006C680D" w:rsidRPr="00D337FA">
        <w:rPr>
          <w:szCs w:val="24"/>
        </w:rPr>
        <w:t xml:space="preserve"> </w:t>
      </w:r>
      <w:r w:rsidRPr="00D337FA">
        <w:rPr>
          <w:szCs w:val="24"/>
        </w:rPr>
        <w:t>страны.</w:t>
      </w:r>
      <w:r w:rsidR="006C680D" w:rsidRPr="00D337FA">
        <w:rPr>
          <w:szCs w:val="24"/>
        </w:rPr>
        <w:t xml:space="preserve"> </w:t>
      </w:r>
      <w:r w:rsidRPr="00D337FA">
        <w:rPr>
          <w:szCs w:val="24"/>
        </w:rPr>
        <w:t>Всё</w:t>
      </w:r>
      <w:r w:rsidR="006C680D" w:rsidRPr="00D337FA">
        <w:rPr>
          <w:szCs w:val="24"/>
        </w:rPr>
        <w:t xml:space="preserve"> </w:t>
      </w:r>
      <w:r w:rsidRPr="00D337FA">
        <w:rPr>
          <w:szCs w:val="24"/>
        </w:rPr>
        <w:t>это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говорить</w:t>
      </w:r>
      <w:r w:rsidR="006C680D" w:rsidRPr="00D337FA">
        <w:rPr>
          <w:szCs w:val="24"/>
        </w:rPr>
        <w:t xml:space="preserve"> </w:t>
      </w:r>
      <w:r w:rsidRPr="00D337FA">
        <w:rPr>
          <w:szCs w:val="24"/>
        </w:rPr>
        <w:t>о</w:t>
      </w:r>
      <w:r w:rsidR="006C680D" w:rsidRPr="00D337FA">
        <w:rPr>
          <w:szCs w:val="24"/>
        </w:rPr>
        <w:t xml:space="preserve"> </w:t>
      </w:r>
      <w:r w:rsidRPr="00D337FA">
        <w:rPr>
          <w:szCs w:val="24"/>
        </w:rPr>
        <w:t>том,</w:t>
      </w:r>
      <w:r w:rsidR="006C680D" w:rsidRPr="00D337FA">
        <w:rPr>
          <w:szCs w:val="24"/>
        </w:rPr>
        <w:t xml:space="preserve"> </w:t>
      </w:r>
      <w:r w:rsidRPr="00D337FA">
        <w:rPr>
          <w:szCs w:val="24"/>
        </w:rPr>
        <w:t>что</w:t>
      </w:r>
      <w:r w:rsidR="006C680D" w:rsidRPr="00D337FA">
        <w:rPr>
          <w:szCs w:val="24"/>
        </w:rPr>
        <w:t xml:space="preserve"> </w:t>
      </w:r>
      <w:r w:rsidRPr="00D337FA">
        <w:rPr>
          <w:szCs w:val="24"/>
        </w:rPr>
        <w:t>общий</w:t>
      </w:r>
      <w:r w:rsidR="006C680D" w:rsidRPr="00D337FA">
        <w:rPr>
          <w:szCs w:val="24"/>
        </w:rPr>
        <w:t xml:space="preserve"> </w:t>
      </w:r>
      <w:r w:rsidRPr="00D337FA">
        <w:rPr>
          <w:szCs w:val="24"/>
        </w:rPr>
        <w:t>прогноз</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ситуации</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благоприятным,</w:t>
      </w:r>
      <w:r w:rsidR="006C680D" w:rsidRPr="00D337FA">
        <w:rPr>
          <w:szCs w:val="24"/>
        </w:rPr>
        <w:t xml:space="preserve"> </w:t>
      </w:r>
      <w:r w:rsidRPr="00D337FA">
        <w:rPr>
          <w:szCs w:val="24"/>
        </w:rPr>
        <w:t>но</w:t>
      </w:r>
      <w:r w:rsidR="006C680D" w:rsidRPr="00D337FA">
        <w:rPr>
          <w:szCs w:val="24"/>
        </w:rPr>
        <w:t xml:space="preserve"> </w:t>
      </w:r>
      <w:r w:rsidRPr="00D337FA">
        <w:rPr>
          <w:szCs w:val="24"/>
        </w:rPr>
        <w:t>для</w:t>
      </w:r>
      <w:r w:rsidR="006C680D" w:rsidRPr="00D337FA">
        <w:rPr>
          <w:szCs w:val="24"/>
        </w:rPr>
        <w:t xml:space="preserve"> </w:t>
      </w:r>
      <w:r w:rsidRPr="00D337FA">
        <w:rPr>
          <w:szCs w:val="24"/>
        </w:rPr>
        <w:t>его</w:t>
      </w:r>
      <w:r w:rsidR="006C680D" w:rsidRPr="00D337FA">
        <w:rPr>
          <w:szCs w:val="24"/>
        </w:rPr>
        <w:t xml:space="preserve"> </w:t>
      </w:r>
      <w:r w:rsidRPr="00D337FA">
        <w:rPr>
          <w:szCs w:val="24"/>
        </w:rPr>
        <w:t>поддержания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улучшения</w:t>
      </w:r>
      <w:r w:rsidR="006C680D" w:rsidRPr="00D337FA">
        <w:rPr>
          <w:szCs w:val="24"/>
        </w:rPr>
        <w:t xml:space="preserve"> </w:t>
      </w:r>
      <w:r w:rsidRPr="00D337FA">
        <w:rPr>
          <w:szCs w:val="24"/>
        </w:rPr>
        <w:t>требуется</w:t>
      </w:r>
      <w:r w:rsidR="006C680D" w:rsidRPr="00D337FA">
        <w:rPr>
          <w:szCs w:val="24"/>
        </w:rPr>
        <w:t xml:space="preserve"> </w:t>
      </w:r>
      <w:r w:rsidRPr="00D337FA">
        <w:rPr>
          <w:szCs w:val="24"/>
        </w:rPr>
        <w:t>постоянное</w:t>
      </w:r>
      <w:r w:rsidR="006C680D" w:rsidRPr="00D337FA">
        <w:rPr>
          <w:szCs w:val="24"/>
        </w:rPr>
        <w:t xml:space="preserve"> </w:t>
      </w:r>
      <w:r w:rsidRPr="00D337FA">
        <w:rPr>
          <w:szCs w:val="24"/>
        </w:rPr>
        <w:t>увеличение</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главным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к</w:t>
      </w:r>
      <w:r w:rsidR="006C680D" w:rsidRPr="00D337FA">
        <w:rPr>
          <w:szCs w:val="24"/>
        </w:rPr>
        <w:t xml:space="preserve"> </w:t>
      </w:r>
      <w:r w:rsidRPr="00D337FA">
        <w:rPr>
          <w:szCs w:val="24"/>
        </w:rPr>
        <w:t>устойчивому</w:t>
      </w:r>
      <w:r w:rsidR="006C680D" w:rsidRPr="00D337FA">
        <w:rPr>
          <w:szCs w:val="24"/>
        </w:rPr>
        <w:t xml:space="preserve"> </w:t>
      </w:r>
      <w:r w:rsidRPr="00D337FA">
        <w:rPr>
          <w:szCs w:val="24"/>
        </w:rPr>
        <w:t>и</w:t>
      </w:r>
      <w:r w:rsidR="006C680D" w:rsidRPr="00D337FA">
        <w:rPr>
          <w:szCs w:val="24"/>
        </w:rPr>
        <w:t xml:space="preserve"> </w:t>
      </w:r>
      <w:r w:rsidRPr="00D337FA">
        <w:rPr>
          <w:szCs w:val="24"/>
        </w:rPr>
        <w:t>эффективному</w:t>
      </w:r>
      <w:r w:rsidR="006C680D" w:rsidRPr="00D337FA">
        <w:rPr>
          <w:szCs w:val="24"/>
        </w:rPr>
        <w:t xml:space="preserve"> </w:t>
      </w:r>
      <w:r w:rsidRPr="00D337FA">
        <w:rPr>
          <w:szCs w:val="24"/>
        </w:rPr>
        <w:t>развитию</w:t>
      </w:r>
      <w:r w:rsidR="006C680D" w:rsidRPr="00D337FA">
        <w:rPr>
          <w:szCs w:val="24"/>
        </w:rPr>
        <w:t xml:space="preserve"> </w:t>
      </w:r>
      <w:r w:rsidRPr="00D337FA">
        <w:rPr>
          <w:szCs w:val="24"/>
        </w:rPr>
        <w:t>агропромышленного</w:t>
      </w:r>
      <w:r w:rsidR="006C680D" w:rsidRPr="00D337FA">
        <w:rPr>
          <w:szCs w:val="24"/>
        </w:rPr>
        <w:t xml:space="preserve"> </w:t>
      </w:r>
      <w:r w:rsidRPr="00D337FA">
        <w:rPr>
          <w:szCs w:val="24"/>
        </w:rPr>
        <w:t>комплекса</w:t>
      </w:r>
      <w:r w:rsidR="006C680D" w:rsidRPr="00D337FA">
        <w:rPr>
          <w:szCs w:val="24"/>
        </w:rPr>
        <w:t xml:space="preserve"> </w:t>
      </w:r>
      <w:r w:rsidRPr="00D337FA">
        <w:rPr>
          <w:szCs w:val="24"/>
        </w:rPr>
        <w:t>Российской</w:t>
      </w:r>
      <w:r w:rsidR="006C680D" w:rsidRPr="00D337FA">
        <w:rPr>
          <w:szCs w:val="24"/>
        </w:rPr>
        <w:t xml:space="preserve"> </w:t>
      </w:r>
      <w:r w:rsidRPr="00D337FA">
        <w:rPr>
          <w:szCs w:val="24"/>
        </w:rPr>
        <w:t>Федерации</w:t>
      </w:r>
      <w:r w:rsidR="006C680D" w:rsidRPr="00D337FA">
        <w:rPr>
          <w:szCs w:val="24"/>
        </w:rPr>
        <w:t xml:space="preserve"> </w:t>
      </w:r>
      <w:r w:rsidRPr="00D337FA">
        <w:rPr>
          <w:szCs w:val="24"/>
        </w:rPr>
        <w:t>на</w:t>
      </w:r>
      <w:r w:rsidR="006C680D" w:rsidRPr="00D337FA">
        <w:rPr>
          <w:szCs w:val="24"/>
        </w:rPr>
        <w:t xml:space="preserve"> </w:t>
      </w:r>
      <w:r w:rsidRPr="00D337FA">
        <w:rPr>
          <w:szCs w:val="24"/>
        </w:rPr>
        <w:t>долгосрочную</w:t>
      </w:r>
      <w:r w:rsidR="006C680D" w:rsidRPr="00D337FA">
        <w:rPr>
          <w:szCs w:val="24"/>
        </w:rPr>
        <w:t xml:space="preserve"> </w:t>
      </w:r>
      <w:r w:rsidRPr="00D337FA">
        <w:rPr>
          <w:szCs w:val="24"/>
        </w:rPr>
        <w:t>перспективу.</w:t>
      </w:r>
    </w:p>
    <w:p w:rsidR="00C8298C" w:rsidRPr="00D337FA" w:rsidRDefault="00C8298C" w:rsidP="008932D6">
      <w:pPr>
        <w:ind w:firstLine="284"/>
        <w:rPr>
          <w:sz w:val="28"/>
          <w:szCs w:val="28"/>
        </w:rPr>
      </w:pPr>
    </w:p>
    <w:p w:rsidR="00947DEC" w:rsidRPr="00D337FA" w:rsidRDefault="00947DEC" w:rsidP="008932D6">
      <w:pPr>
        <w:ind w:firstLine="284"/>
        <w:rPr>
          <w:sz w:val="28"/>
          <w:szCs w:val="28"/>
        </w:rPr>
        <w:sectPr w:rsidR="00947DEC" w:rsidRPr="00D337FA" w:rsidSect="008932D6">
          <w:footnotePr>
            <w:numRestart w:val="eachPage"/>
          </w:footnotePr>
          <w:type w:val="continuous"/>
          <w:pgSz w:w="11907" w:h="16840" w:code="9"/>
          <w:pgMar w:top="1418" w:right="1134" w:bottom="1418" w:left="1134" w:header="1021" w:footer="1021" w:gutter="0"/>
          <w:cols w:num="2" w:space="708"/>
          <w:docGrid w:linePitch="360"/>
        </w:sectPr>
      </w:pPr>
    </w:p>
    <w:p w:rsidR="00B706E9" w:rsidRPr="00D337FA" w:rsidRDefault="00B706E9" w:rsidP="00947DEC">
      <w:pPr>
        <w:ind w:firstLine="284"/>
        <w:jc w:val="center"/>
        <w:rPr>
          <w:rFonts w:eastAsia="Aptos"/>
          <w:b/>
          <w:bCs/>
          <w:kern w:val="2"/>
          <w:szCs w:val="24"/>
          <w14:ligatures w14:val="standardContextual"/>
        </w:rPr>
      </w:pPr>
    </w:p>
    <w:p w:rsidR="00B706E9" w:rsidRPr="00D337FA" w:rsidRDefault="00B706E9" w:rsidP="00947DEC">
      <w:pPr>
        <w:ind w:firstLine="284"/>
        <w:jc w:val="center"/>
        <w:rPr>
          <w:rFonts w:eastAsia="Aptos"/>
          <w:b/>
          <w:bCs/>
          <w:kern w:val="2"/>
          <w:szCs w:val="24"/>
          <w14:ligatures w14:val="standardContextual"/>
        </w:rPr>
      </w:pPr>
    </w:p>
    <w:p w:rsidR="00B706E9" w:rsidRPr="00D337FA" w:rsidRDefault="00B706E9" w:rsidP="00947DEC">
      <w:pPr>
        <w:ind w:firstLine="284"/>
        <w:jc w:val="center"/>
        <w:rPr>
          <w:rFonts w:eastAsia="Aptos"/>
          <w:b/>
          <w:bCs/>
          <w:kern w:val="2"/>
          <w:szCs w:val="24"/>
          <w14:ligatures w14:val="standardContextual"/>
        </w:rPr>
      </w:pPr>
    </w:p>
    <w:p w:rsidR="00947DEC" w:rsidRPr="00D337FA" w:rsidRDefault="00947DEC" w:rsidP="00947DEC">
      <w:pPr>
        <w:ind w:firstLine="284"/>
        <w:jc w:val="center"/>
        <w:rPr>
          <w:rFonts w:eastAsia="Aptos"/>
          <w:b/>
          <w:bCs/>
          <w:kern w:val="2"/>
          <w:szCs w:val="24"/>
          <w14:ligatures w14:val="standardContextual"/>
        </w:rPr>
      </w:pPr>
      <w:r w:rsidRPr="00D337FA">
        <w:rPr>
          <w:rFonts w:eastAsia="Aptos"/>
          <w:b/>
          <w:bCs/>
          <w:kern w:val="2"/>
          <w:szCs w:val="24"/>
          <w14:ligatures w14:val="standardContextual"/>
        </w:rPr>
        <w:lastRenderedPageBreak/>
        <w:t>ЛИТЕРАТУРА</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Издательский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дом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«Коммерсантъ».</w:t>
      </w:r>
      <w:r w:rsidR="006C680D" w:rsidRPr="00D337FA">
        <w:rPr>
          <w:rFonts w:eastAsia="Aptos"/>
          <w:i/>
          <w:iCs/>
          <w:kern w:val="2"/>
          <w:szCs w:val="24"/>
          <w14:ligatures w14:val="standardContextual"/>
        </w:rPr>
        <w:t xml:space="preserve"> </w:t>
      </w:r>
      <w:r w:rsidRPr="00D337FA">
        <w:rPr>
          <w:rFonts w:eastAsia="Aptos"/>
          <w:i/>
          <w:iCs/>
          <w:kern w:val="2"/>
          <w:szCs w:val="24"/>
          <w:lang w:val="en-US"/>
          <w14:ligatures w14:val="standardContextual"/>
        </w:rPr>
        <w:t>URL</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lang w:val="en-US"/>
          <w14:ligatures w14:val="standardContextual"/>
        </w:rPr>
        <w:t>https</w:t>
      </w:r>
      <w:r w:rsidRPr="00D337FA">
        <w:rPr>
          <w:rFonts w:eastAsia="Aptos"/>
          <w:i/>
          <w:iCs/>
          <w:kern w:val="2"/>
          <w:szCs w:val="24"/>
          <w14:ligatures w14:val="standardContextual"/>
        </w:rPr>
        <w:t>://</w:t>
      </w:r>
      <w:r w:rsidRPr="00D337FA">
        <w:rPr>
          <w:rFonts w:eastAsia="Aptos"/>
          <w:i/>
          <w:iCs/>
          <w:kern w:val="2"/>
          <w:szCs w:val="24"/>
          <w:lang w:val="en-US"/>
          <w14:ligatures w14:val="standardContextual"/>
        </w:rPr>
        <w:t>www</w:t>
      </w:r>
      <w:r w:rsidRPr="00D337FA">
        <w:rPr>
          <w:rFonts w:eastAsia="Aptos"/>
          <w:i/>
          <w:iCs/>
          <w:kern w:val="2"/>
          <w:szCs w:val="24"/>
          <w14:ligatures w14:val="standardContextual"/>
        </w:rPr>
        <w:t>.</w:t>
      </w:r>
      <w:r w:rsidRPr="00D337FA">
        <w:rPr>
          <w:rFonts w:eastAsia="Aptos"/>
          <w:i/>
          <w:iCs/>
          <w:kern w:val="2"/>
          <w:szCs w:val="24"/>
          <w:lang w:val="en-US"/>
          <w14:ligatures w14:val="standardContextual"/>
        </w:rPr>
        <w:t>kommersant</w:t>
      </w:r>
      <w:r w:rsidRPr="00D337FA">
        <w:rPr>
          <w:rFonts w:eastAsia="Aptos"/>
          <w:i/>
          <w:iCs/>
          <w:kern w:val="2"/>
          <w:szCs w:val="24"/>
          <w14:ligatures w14:val="standardContextual"/>
        </w:rPr>
        <w:t>.</w:t>
      </w:r>
      <w:r w:rsidRPr="00D337FA">
        <w:rPr>
          <w:rFonts w:eastAsia="Aptos"/>
          <w:i/>
          <w:iCs/>
          <w:kern w:val="2"/>
          <w:szCs w:val="24"/>
          <w:lang w:val="en-US"/>
          <w14:ligatures w14:val="standardContextual"/>
        </w:rPr>
        <w:t>ru</w:t>
      </w:r>
      <w:r w:rsidRPr="00D337FA">
        <w:rPr>
          <w:rFonts w:eastAsia="Aptos"/>
          <w:i/>
          <w:iCs/>
          <w:kern w:val="2"/>
          <w:szCs w:val="24"/>
          <w14:ligatures w14:val="standardContextual"/>
        </w:rPr>
        <w:t>/</w:t>
      </w:r>
      <w:r w:rsidRPr="00D337FA">
        <w:rPr>
          <w:rFonts w:eastAsia="Aptos"/>
          <w:i/>
          <w:iCs/>
          <w:kern w:val="2"/>
          <w:szCs w:val="24"/>
          <w:lang w:val="en-US"/>
          <w14:ligatures w14:val="standardContextual"/>
        </w:rPr>
        <w:t>doc</w:t>
      </w:r>
      <w:r w:rsidRPr="00D337FA">
        <w:rPr>
          <w:rFonts w:eastAsia="Aptos"/>
          <w:i/>
          <w:iCs/>
          <w:kern w:val="2"/>
          <w:szCs w:val="24"/>
          <w14:ligatures w14:val="standardContextual"/>
        </w:rPr>
        <w:t>/8100301</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(дата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обращения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27.10.2025).</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Тяпкина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Ф.,</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Муратова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Зарубежный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опыт</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государственной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поддержки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сельского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хозяйства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Естественно-гуманитарные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исследования.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2024.</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w:t>
      </w:r>
      <w:r w:rsidR="00A53D60">
        <w:rPr>
          <w:rFonts w:eastAsia="Aptos"/>
          <w:i/>
          <w:iCs/>
          <w:kern w:val="2"/>
          <w:szCs w:val="24"/>
          <w14:ligatures w14:val="standardContextual"/>
        </w:rPr>
        <w:t xml:space="preserve"> </w:t>
      </w:r>
      <w:r w:rsidRPr="00D337FA">
        <w:rPr>
          <w:rFonts w:eastAsia="Aptos"/>
          <w:i/>
          <w:iCs/>
          <w:kern w:val="2"/>
          <w:szCs w:val="24"/>
          <w14:ligatures w14:val="standardContextual"/>
        </w:rPr>
        <w:t>(52).</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261-268.</w:t>
      </w:r>
      <w:r w:rsidR="006C680D" w:rsidRPr="00D337FA">
        <w:rPr>
          <w:rFonts w:eastAsia="Aptos"/>
          <w:i/>
          <w:iCs/>
          <w:kern w:val="2"/>
          <w:szCs w:val="24"/>
          <w14:ligatures w14:val="standardContextual"/>
        </w:rPr>
        <w:t xml:space="preserve"> </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Гелета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Т.</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Шумилина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Современные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методы</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государственной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поддержки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сельского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хозяйства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на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региональном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уровне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Инновационная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экономика: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информация,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аналитика,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прогнозы.</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2025.</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3.</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146-151.</w:t>
      </w:r>
      <w:r w:rsidR="006C680D" w:rsidRPr="00D337FA">
        <w:rPr>
          <w:rFonts w:eastAsia="Aptos"/>
          <w:i/>
          <w:iCs/>
          <w:kern w:val="2"/>
          <w:szCs w:val="24"/>
          <w14:ligatures w14:val="standardContextual"/>
        </w:rPr>
        <w:t xml:space="preserve">  </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Правительство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России.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URL:</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http://government.ru/news/55621/</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(дата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обращения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02.11.2025).</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Нестеренко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Садыков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Ленщиков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Казанцев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Совершенствование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инструментов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государственной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поддержки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АПК</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Вестник</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Академии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знаний.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2025.</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1(66).</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862-867.</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Организация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экономического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сотрудничества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развития.</w:t>
      </w:r>
      <w:r w:rsidR="006C680D" w:rsidRPr="00D337FA">
        <w:rPr>
          <w:rFonts w:eastAsia="Aptos"/>
          <w:i/>
          <w:iCs/>
          <w:kern w:val="2"/>
          <w:szCs w:val="24"/>
          <w14:ligatures w14:val="standardContextual"/>
        </w:rPr>
        <w:t xml:space="preserve"> </w:t>
      </w:r>
      <w:r w:rsidRPr="00D337FA">
        <w:rPr>
          <w:rFonts w:eastAsia="Aptos"/>
          <w:i/>
          <w:iCs/>
          <w:kern w:val="2"/>
          <w:szCs w:val="24"/>
          <w:lang w:val="en-US"/>
          <w14:ligatures w14:val="standardContextual"/>
        </w:rPr>
        <w:t>URL</w:t>
      </w:r>
      <w:r w:rsidRPr="00D337FA">
        <w:rPr>
          <w:rFonts w:eastAsia="Aptos"/>
          <w:i/>
          <w:iCs/>
          <w:kern w:val="2"/>
          <w:szCs w:val="24"/>
          <w14:ligatures w14:val="standardContextual"/>
        </w:rPr>
        <w:t>:https://www.oecd.org/en/data/indicators/agricultural-financial-support.html</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(дата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обращения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06.11.2025).</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Лосева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4325C9"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Федосьина</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Дуплий</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Е.</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Сравнительный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анализ</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государственной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поддержки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сельхозпроизводителей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России</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мире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Управление.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2023.</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Т.</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11</w:t>
      </w:r>
      <w:r w:rsidR="004325C9"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25-34.</w:t>
      </w:r>
    </w:p>
    <w:p w:rsidR="00826D3F" w:rsidRPr="00D337FA" w:rsidRDefault="004325C9"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Прущак</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Кублин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Воронов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Рущицкая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Вклад</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малых</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форм</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агробизнеса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обеспечение</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продовольственной</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безопасности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России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Аграрный</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вестник</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Урала.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2025.</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Т.</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25</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1.</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150-162.</w:t>
      </w:r>
      <w:r w:rsidR="006C680D" w:rsidRPr="00D337FA">
        <w:rPr>
          <w:rFonts w:eastAsia="Aptos"/>
          <w:i/>
          <w:iCs/>
          <w:kern w:val="2"/>
          <w:szCs w:val="24"/>
          <w14:ligatures w14:val="standardContextual"/>
        </w:rPr>
        <w:t xml:space="preserve"> </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Севастьянов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Формирование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специализации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сельских</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территорий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как</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фактор</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их</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будущего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экономического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развития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Островские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чтения.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2024.</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1.</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267-270.</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Министерство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сельского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хозяйства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Российской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Федерации.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URL:</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https://mcx.gov.ru/activity/state-support/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(дата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обращения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08.11.2025).</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Президент</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России.</w:t>
      </w:r>
      <w:r w:rsidR="006C680D" w:rsidRPr="00D337FA">
        <w:rPr>
          <w:rFonts w:eastAsia="Aptos"/>
          <w:i/>
          <w:iCs/>
          <w:kern w:val="2"/>
          <w:szCs w:val="24"/>
          <w14:ligatures w14:val="standardContextual"/>
        </w:rPr>
        <w:t xml:space="preserve"> </w:t>
      </w:r>
      <w:r w:rsidRPr="00D337FA">
        <w:rPr>
          <w:rFonts w:eastAsia="Aptos"/>
          <w:i/>
          <w:iCs/>
          <w:kern w:val="2"/>
          <w:szCs w:val="24"/>
          <w:lang w:val="en-US"/>
          <w14:ligatures w14:val="standardContextual"/>
        </w:rPr>
        <w:t>URL</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http://www.kremlin.ru/events/president/news/74234</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(дата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обращения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10.11.2025).</w:t>
      </w:r>
    </w:p>
    <w:p w:rsidR="00826D3F" w:rsidRPr="00D337FA" w:rsidRDefault="004325C9"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Кублин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Плеханов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Санинский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Тинякова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Гармонизация</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производственных</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экономических</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отношений</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при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импортозамещении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АПК</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Конкурентоспособность</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глобальном</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мире:</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экономика,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наука,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технологии.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2017.</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4-2</w:t>
      </w:r>
      <w:r w:rsid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(38).</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71-76.</w:t>
      </w:r>
    </w:p>
    <w:p w:rsidR="00826D3F" w:rsidRPr="00D337FA" w:rsidRDefault="004325C9"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Соломахин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Литвинова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Дегтярева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Андреева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Актуальные</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аспекты</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развития</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государственной</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поддержки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АПК</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России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Наука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Образование.</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2024.</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Т.</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7</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2</w:t>
      </w:r>
      <w:r w:rsidRPr="00D337FA">
        <w:rPr>
          <w:rFonts w:eastAsia="Aptos"/>
          <w:i/>
          <w:iCs/>
          <w:kern w:val="2"/>
          <w:szCs w:val="24"/>
          <w14:ligatures w14:val="standardContextual"/>
        </w:rPr>
        <w:t>.</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Российский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аграрный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холдинг</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«АГРОИНВЕСТ».</w:t>
      </w:r>
      <w:r w:rsidR="006C680D" w:rsidRPr="00D337FA">
        <w:rPr>
          <w:rFonts w:eastAsia="Aptos"/>
          <w:i/>
          <w:iCs/>
          <w:kern w:val="2"/>
          <w:szCs w:val="24"/>
          <w14:ligatures w14:val="standardContextual"/>
        </w:rPr>
        <w:t xml:space="preserve"> </w:t>
      </w:r>
      <w:r w:rsidRPr="00D337FA">
        <w:rPr>
          <w:rFonts w:eastAsia="Aptos"/>
          <w:i/>
          <w:iCs/>
          <w:kern w:val="2"/>
          <w:szCs w:val="24"/>
          <w:lang w:val="en-US"/>
          <w14:ligatures w14:val="standardContextual"/>
        </w:rPr>
        <w:t>URL</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https://agrovesti.net/news/indst/rossijskij-zernovoj-soyuz-obvinil-otechestvennye-zavody-v-roste-utilsbora-do-40-primer-iz-rostova.html</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(дата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обращения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12.11.2025).</w:t>
      </w:r>
    </w:p>
    <w:p w:rsidR="00826D3F" w:rsidRPr="00D337FA" w:rsidRDefault="00826D3F"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Барышникова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А.</w:t>
      </w:r>
      <w:r w:rsidR="004325C9"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Киреева</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Н.</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А.,</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Прущак</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О.</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Экономическая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безопасность</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продовольственной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системы:</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теоретико-методолог</w:t>
      </w:r>
      <w:r w:rsidR="004325C9" w:rsidRPr="00D337FA">
        <w:rPr>
          <w:rFonts w:eastAsia="Aptos"/>
          <w:i/>
          <w:iCs/>
          <w:kern w:val="2"/>
          <w:szCs w:val="24"/>
          <w14:ligatures w14:val="standardContextual"/>
        </w:rPr>
        <w:t>ические</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подходы</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к</w:t>
      </w:r>
      <w:r w:rsidR="006C680D" w:rsidRPr="00D337FA">
        <w:rPr>
          <w:rFonts w:eastAsia="Aptos"/>
          <w:i/>
          <w:iCs/>
          <w:kern w:val="2"/>
          <w:szCs w:val="24"/>
          <w14:ligatures w14:val="standardContextual"/>
        </w:rPr>
        <w:t xml:space="preserve"> </w:t>
      </w:r>
      <w:r w:rsidR="004325C9" w:rsidRPr="00D337FA">
        <w:rPr>
          <w:rFonts w:eastAsia="Aptos"/>
          <w:i/>
          <w:iCs/>
          <w:kern w:val="2"/>
          <w:szCs w:val="24"/>
          <w14:ligatures w14:val="standardContextual"/>
        </w:rPr>
        <w:t>исследованию</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Международный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сельскохозяйственный</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журнал.</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2023.</w:t>
      </w:r>
      <w:r w:rsidR="006C680D" w:rsidRPr="00D337FA">
        <w:rPr>
          <w:rFonts w:eastAsia="Aptos"/>
          <w:i/>
          <w:iCs/>
          <w:kern w:val="2"/>
          <w:szCs w:val="24"/>
          <w14:ligatures w14:val="standardContextual"/>
        </w:rPr>
        <w:t xml:space="preserve"> </w:t>
      </w:r>
      <w:r w:rsidR="00283A0B"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283A0B" w:rsidRPr="00D337FA">
        <w:rPr>
          <w:rFonts w:eastAsia="Aptos"/>
          <w:i/>
          <w:iCs/>
          <w:kern w:val="2"/>
          <w:szCs w:val="24"/>
          <w14:ligatures w14:val="standardContextual"/>
        </w:rPr>
        <w:t>1</w:t>
      </w:r>
      <w:r w:rsidR="00D337FA">
        <w:rPr>
          <w:rFonts w:eastAsia="Aptos"/>
          <w:i/>
          <w:iCs/>
          <w:kern w:val="2"/>
          <w:szCs w:val="24"/>
          <w14:ligatures w14:val="standardContextual"/>
        </w:rPr>
        <w:t xml:space="preserve"> </w:t>
      </w:r>
      <w:r w:rsidR="00283A0B" w:rsidRPr="00D337FA">
        <w:rPr>
          <w:rFonts w:eastAsia="Aptos"/>
          <w:i/>
          <w:iCs/>
          <w:kern w:val="2"/>
          <w:szCs w:val="24"/>
          <w14:ligatures w14:val="standardContextual"/>
        </w:rPr>
        <w:t>(391).</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85-91.</w:t>
      </w:r>
      <w:r w:rsidR="006C680D" w:rsidRPr="00D337FA">
        <w:rPr>
          <w:rFonts w:eastAsia="Aptos"/>
          <w:i/>
          <w:iCs/>
          <w:kern w:val="2"/>
          <w:szCs w:val="24"/>
          <w14:ligatures w14:val="standardContextual"/>
        </w:rPr>
        <w:t xml:space="preserve"> </w:t>
      </w:r>
    </w:p>
    <w:p w:rsidR="00826D3F" w:rsidRPr="00D337FA" w:rsidRDefault="004325C9" w:rsidP="005A0605">
      <w:pPr>
        <w:numPr>
          <w:ilvl w:val="0"/>
          <w:numId w:val="1"/>
        </w:numPr>
        <w:ind w:left="0" w:firstLine="284"/>
        <w:contextualSpacing/>
        <w:rPr>
          <w:rFonts w:eastAsia="Aptos"/>
          <w:i/>
          <w:iCs/>
          <w:kern w:val="2"/>
          <w:szCs w:val="24"/>
          <w:lang w:val="en-US"/>
          <w14:ligatures w14:val="standardContextual"/>
        </w:rPr>
      </w:pPr>
      <w:r w:rsidRPr="00D337FA">
        <w:rPr>
          <w:rFonts w:eastAsia="Aptos"/>
          <w:i/>
          <w:iCs/>
          <w:kern w:val="2"/>
          <w:szCs w:val="24"/>
          <w14:ligatures w14:val="standardContextual"/>
        </w:rPr>
        <w:t>Севастьянов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Д.</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Прущак</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Кублин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Глухова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Л.</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Проблемы</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устойчивого</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социально-экономического</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развития</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сельских</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территориальных</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образований</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Вестник</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Волжского</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университета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им.</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В</w:t>
      </w:r>
      <w:r w:rsidR="00826D3F" w:rsidRPr="00D337FA">
        <w:rPr>
          <w:rFonts w:eastAsia="Aptos"/>
          <w:i/>
          <w:iCs/>
          <w:kern w:val="2"/>
          <w:szCs w:val="24"/>
          <w:lang w:val="en-US"/>
          <w14:ligatures w14:val="standardContextual"/>
        </w:rPr>
        <w:t>.</w:t>
      </w:r>
      <w:r w:rsidR="00826D3F" w:rsidRPr="00D337FA">
        <w:rPr>
          <w:rFonts w:eastAsia="Aptos"/>
          <w:i/>
          <w:iCs/>
          <w:kern w:val="2"/>
          <w:szCs w:val="24"/>
          <w14:ligatures w14:val="standardContextual"/>
        </w:rPr>
        <w:t>Н</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14:ligatures w14:val="standardContextual"/>
        </w:rPr>
        <w:t>Татищева</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2024.</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14:ligatures w14:val="standardContextual"/>
        </w:rPr>
        <w:t>Т</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w:t>
      </w:r>
      <w:r w:rsidRPr="00D337FA">
        <w:rPr>
          <w:rFonts w:eastAsia="Aptos"/>
          <w:i/>
          <w:iCs/>
          <w:kern w:val="2"/>
          <w:szCs w:val="24"/>
          <w:lang w:val="en-US"/>
          <w14:ligatures w14:val="standardContextual"/>
        </w:rPr>
        <w:t>.</w:t>
      </w:r>
      <w:r w:rsidR="006C680D" w:rsidRPr="00D337FA">
        <w:rPr>
          <w:rFonts w:eastAsia="Aptos"/>
          <w:i/>
          <w:iCs/>
          <w:kern w:val="2"/>
          <w:szCs w:val="24"/>
          <w14:ligatures w14:val="standardContextual"/>
        </w:rPr>
        <w:t xml:space="preserve"> </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3(54).</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14:ligatures w14:val="standardContextual"/>
        </w:rPr>
        <w:t>С</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133-149.</w:t>
      </w:r>
    </w:p>
    <w:p w:rsidR="00826D3F" w:rsidRPr="00D337FA" w:rsidRDefault="00826D3F" w:rsidP="005A0605">
      <w:pPr>
        <w:numPr>
          <w:ilvl w:val="0"/>
          <w:numId w:val="1"/>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Tolmachev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283A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Tsypin</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Barashov</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Statistical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study</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dynamics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agricultural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production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post-soviet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countries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context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food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security</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Smart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Innovation,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Systems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Technologies.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2020.</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Vol.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172.</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699-711.</w:t>
      </w:r>
    </w:p>
    <w:p w:rsidR="00826D3F" w:rsidRPr="00D337FA" w:rsidRDefault="00283A0B" w:rsidP="005A0605">
      <w:pPr>
        <w:numPr>
          <w:ilvl w:val="0"/>
          <w:numId w:val="1"/>
        </w:numPr>
        <w:ind w:left="0" w:firstLine="284"/>
        <w:contextualSpacing/>
        <w:rPr>
          <w:rFonts w:eastAsia="Aptos"/>
          <w:i/>
          <w:iCs/>
          <w:kern w:val="2"/>
          <w:szCs w:val="24"/>
          <w14:ligatures w14:val="standardContextual"/>
        </w:rPr>
      </w:pPr>
      <w:r w:rsidRPr="00D337FA">
        <w:rPr>
          <w:rFonts w:eastAsia="Aptos"/>
          <w:i/>
          <w:iCs/>
          <w:kern w:val="2"/>
          <w:szCs w:val="24"/>
          <w14:ligatures w14:val="standardContextual"/>
        </w:rPr>
        <w:t>Липатова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Л.</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Кужельная</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О.</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Строкан</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Е.</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В.,</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Пылькина</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М.</w:t>
      </w:r>
      <w:r w:rsidR="006C680D" w:rsidRPr="00D337FA">
        <w:rPr>
          <w:rFonts w:eastAsia="Aptos"/>
          <w:i/>
          <w:iCs/>
          <w:kern w:val="2"/>
          <w:szCs w:val="24"/>
          <w14:ligatures w14:val="standardContextual"/>
        </w:rPr>
        <w:t xml:space="preserve"> </w:t>
      </w:r>
      <w:r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Современная</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демографическая</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ситуация</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продовольственная</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безопасность</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России</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АПК:</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экономика,</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управление.</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2023.</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9.</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С.</w:t>
      </w:r>
      <w:r w:rsidR="006C680D" w:rsidRPr="00D337FA">
        <w:rPr>
          <w:rFonts w:eastAsia="Aptos"/>
          <w:i/>
          <w:iCs/>
          <w:kern w:val="2"/>
          <w:szCs w:val="24"/>
          <w14:ligatures w14:val="standardContextual"/>
        </w:rPr>
        <w:t xml:space="preserve"> </w:t>
      </w:r>
      <w:r w:rsidR="00826D3F" w:rsidRPr="00D337FA">
        <w:rPr>
          <w:rFonts w:eastAsia="Aptos"/>
          <w:i/>
          <w:iCs/>
          <w:kern w:val="2"/>
          <w:szCs w:val="24"/>
          <w14:ligatures w14:val="standardContextual"/>
        </w:rPr>
        <w:t>3-16.</w:t>
      </w:r>
      <w:r w:rsidR="006C680D" w:rsidRPr="00D337FA">
        <w:rPr>
          <w:rFonts w:eastAsia="Aptos"/>
          <w:i/>
          <w:iCs/>
          <w:kern w:val="2"/>
          <w:szCs w:val="24"/>
          <w14:ligatures w14:val="standardContextual"/>
        </w:rPr>
        <w:t xml:space="preserve"> </w:t>
      </w:r>
    </w:p>
    <w:p w:rsidR="00826D3F" w:rsidRPr="00D337FA" w:rsidRDefault="00826D3F" w:rsidP="004325C9">
      <w:pPr>
        <w:ind w:left="284" w:firstLine="0"/>
        <w:contextualSpacing/>
        <w:rPr>
          <w:rFonts w:eastAsia="Aptos"/>
          <w:i/>
          <w:iCs/>
          <w:kern w:val="2"/>
          <w:szCs w:val="24"/>
          <w14:ligatures w14:val="standardContextual"/>
        </w:rPr>
      </w:pPr>
    </w:p>
    <w:p w:rsidR="00B706E9" w:rsidRPr="00D337FA" w:rsidRDefault="00B706E9" w:rsidP="004325C9">
      <w:pPr>
        <w:ind w:left="284" w:firstLine="0"/>
        <w:contextualSpacing/>
        <w:jc w:val="center"/>
        <w:rPr>
          <w:rFonts w:eastAsia="Aptos"/>
          <w:b/>
          <w:iCs/>
          <w:kern w:val="2"/>
          <w:szCs w:val="24"/>
          <w:lang w:val="en-US"/>
          <w14:ligatures w14:val="standardContextual"/>
        </w:rPr>
      </w:pPr>
    </w:p>
    <w:p w:rsidR="00826D3F" w:rsidRPr="00D337FA" w:rsidRDefault="004325C9" w:rsidP="004325C9">
      <w:pPr>
        <w:ind w:left="284" w:firstLine="0"/>
        <w:contextualSpacing/>
        <w:jc w:val="center"/>
        <w:rPr>
          <w:rFonts w:eastAsia="Aptos"/>
          <w:b/>
          <w:iCs/>
          <w:kern w:val="2"/>
          <w:szCs w:val="24"/>
          <w:lang w:val="en-US"/>
          <w14:ligatures w14:val="standardContextual"/>
        </w:rPr>
      </w:pPr>
      <w:r w:rsidRPr="00D337FA">
        <w:rPr>
          <w:rFonts w:eastAsia="Aptos"/>
          <w:b/>
          <w:iCs/>
          <w:kern w:val="2"/>
          <w:szCs w:val="24"/>
          <w:lang w:val="en-US"/>
          <w14:ligatures w14:val="standardContextual"/>
        </w:rPr>
        <w:lastRenderedPageBreak/>
        <w:t>REFERENCES</w:t>
      </w:r>
    </w:p>
    <w:p w:rsidR="00826D3F" w:rsidRPr="00D337FA" w:rsidRDefault="00283A0B" w:rsidP="005A0605">
      <w:pPr>
        <w:pStyle w:val="affb"/>
        <w:numPr>
          <w:ilvl w:val="0"/>
          <w:numId w:val="5"/>
        </w:numPr>
        <w:spacing w:after="0" w:line="240" w:lineRule="auto"/>
        <w:ind w:left="0" w:firstLine="284"/>
        <w:jc w:val="both"/>
        <w:rPr>
          <w:rFonts w:ascii="Times New Roman" w:eastAsia="Aptos" w:hAnsi="Times New Roman" w:cs="Times New Roman"/>
          <w:i/>
          <w:iCs/>
          <w:sz w:val="24"/>
          <w:szCs w:val="24"/>
          <w:lang w:val="en-US"/>
        </w:rPr>
      </w:pPr>
      <w:r w:rsidRPr="00D337FA">
        <w:rPr>
          <w:rFonts w:ascii="Times New Roman" w:eastAsia="Aptos" w:hAnsi="Times New Roman" w:cs="Times New Roman"/>
          <w:i/>
          <w:iCs/>
          <w:sz w:val="24"/>
          <w:szCs w:val="24"/>
          <w:lang w:val="en-US"/>
        </w:rPr>
        <w:t>Izdatel'skij</w:t>
      </w:r>
      <w:r w:rsidR="006C680D" w:rsidRPr="00D337FA">
        <w:rPr>
          <w:rFonts w:ascii="Times New Roman" w:eastAsia="Aptos" w:hAnsi="Times New Roman" w:cs="Times New Roman"/>
          <w:i/>
          <w:iCs/>
          <w:sz w:val="24"/>
          <w:szCs w:val="24"/>
          <w:lang w:val="en-US"/>
        </w:rPr>
        <w:t xml:space="preserve"> </w:t>
      </w:r>
      <w:r w:rsidRPr="00D337FA">
        <w:rPr>
          <w:rFonts w:ascii="Times New Roman" w:eastAsia="Aptos" w:hAnsi="Times New Roman" w:cs="Times New Roman"/>
          <w:i/>
          <w:iCs/>
          <w:sz w:val="24"/>
          <w:szCs w:val="24"/>
          <w:lang w:val="en-US"/>
        </w:rPr>
        <w:t>dom</w:t>
      </w:r>
      <w:r w:rsidR="006C680D" w:rsidRPr="00D337FA">
        <w:rPr>
          <w:rFonts w:ascii="Times New Roman" w:eastAsia="Aptos" w:hAnsi="Times New Roman" w:cs="Times New Roman"/>
          <w:i/>
          <w:iCs/>
          <w:sz w:val="24"/>
          <w:szCs w:val="24"/>
          <w:lang w:val="en-US"/>
        </w:rPr>
        <w:t xml:space="preserve"> </w:t>
      </w:r>
      <w:r w:rsidRPr="00D337FA">
        <w:rPr>
          <w:rFonts w:ascii="Times New Roman" w:eastAsia="Aptos" w:hAnsi="Times New Roman" w:cs="Times New Roman"/>
          <w:i/>
          <w:iCs/>
          <w:sz w:val="24"/>
          <w:szCs w:val="24"/>
          <w:lang w:val="en-US"/>
        </w:rPr>
        <w:t>«Kommersant»</w:t>
      </w:r>
      <w:r w:rsidR="006C680D" w:rsidRPr="00D337FA">
        <w:rPr>
          <w:rFonts w:ascii="Times New Roman" w:eastAsia="Aptos" w:hAnsi="Times New Roman" w:cs="Times New Roman"/>
          <w:i/>
          <w:iCs/>
          <w:sz w:val="24"/>
          <w:szCs w:val="24"/>
          <w:lang w:val="en-US"/>
        </w:rPr>
        <w:t xml:space="preserve"> </w:t>
      </w:r>
      <w:r w:rsidRPr="00D337FA">
        <w:rPr>
          <w:rFonts w:ascii="Times New Roman" w:eastAsia="Aptos" w:hAnsi="Times New Roman" w:cs="Times New Roman"/>
          <w:i/>
          <w:iCs/>
          <w:sz w:val="24"/>
          <w:szCs w:val="24"/>
          <w:lang w:val="en-US"/>
        </w:rPr>
        <w:t>[</w:t>
      </w:r>
      <w:r w:rsidR="00826D3F" w:rsidRPr="00D337FA">
        <w:rPr>
          <w:rFonts w:ascii="Times New Roman" w:eastAsia="Aptos" w:hAnsi="Times New Roman" w:cs="Times New Roman"/>
          <w:i/>
          <w:iCs/>
          <w:sz w:val="24"/>
          <w:szCs w:val="24"/>
          <w:lang w:val="en-US"/>
        </w:rPr>
        <w:t>Kommersant</w:t>
      </w:r>
      <w:r w:rsidR="006C680D" w:rsidRPr="00D337FA">
        <w:rPr>
          <w:rFonts w:ascii="Times New Roman" w:eastAsia="Aptos" w:hAnsi="Times New Roman" w:cs="Times New Roman"/>
          <w:i/>
          <w:iCs/>
          <w:sz w:val="24"/>
          <w:szCs w:val="24"/>
          <w:lang w:val="en-US"/>
        </w:rPr>
        <w:t xml:space="preserve"> </w:t>
      </w:r>
      <w:r w:rsidR="00826D3F" w:rsidRPr="00D337FA">
        <w:rPr>
          <w:rFonts w:ascii="Times New Roman" w:eastAsia="Aptos" w:hAnsi="Times New Roman" w:cs="Times New Roman"/>
          <w:i/>
          <w:iCs/>
          <w:sz w:val="24"/>
          <w:szCs w:val="24"/>
          <w:lang w:val="en-US"/>
        </w:rPr>
        <w:t>Publishing</w:t>
      </w:r>
      <w:r w:rsidR="006C680D" w:rsidRPr="00D337FA">
        <w:rPr>
          <w:rFonts w:ascii="Times New Roman" w:eastAsia="Aptos" w:hAnsi="Times New Roman" w:cs="Times New Roman"/>
          <w:i/>
          <w:iCs/>
          <w:sz w:val="24"/>
          <w:szCs w:val="24"/>
          <w:lang w:val="en-US"/>
        </w:rPr>
        <w:t xml:space="preserve"> </w:t>
      </w:r>
      <w:r w:rsidR="00826D3F" w:rsidRPr="00D337FA">
        <w:rPr>
          <w:rFonts w:ascii="Times New Roman" w:eastAsia="Aptos" w:hAnsi="Times New Roman" w:cs="Times New Roman"/>
          <w:i/>
          <w:iCs/>
          <w:sz w:val="24"/>
          <w:szCs w:val="24"/>
          <w:lang w:val="en-US"/>
        </w:rPr>
        <w:t>House</w:t>
      </w:r>
      <w:r w:rsidRPr="00D337FA">
        <w:rPr>
          <w:rFonts w:ascii="Times New Roman" w:eastAsia="Aptos" w:hAnsi="Times New Roman" w:cs="Times New Roman"/>
          <w:i/>
          <w:iCs/>
          <w:sz w:val="24"/>
          <w:szCs w:val="24"/>
          <w:lang w:val="en-US"/>
        </w:rPr>
        <w:t>]</w:t>
      </w:r>
      <w:r w:rsidR="00826D3F" w:rsidRPr="00D337FA">
        <w:rPr>
          <w:rFonts w:ascii="Times New Roman" w:eastAsia="Aptos" w:hAnsi="Times New Roman" w:cs="Times New Roman"/>
          <w:i/>
          <w:iCs/>
          <w:sz w:val="24"/>
          <w:szCs w:val="24"/>
          <w:lang w:val="en-US"/>
        </w:rPr>
        <w:t>.</w:t>
      </w:r>
      <w:r w:rsidR="006C680D" w:rsidRPr="00D337FA">
        <w:rPr>
          <w:rFonts w:ascii="Times New Roman" w:eastAsia="Aptos" w:hAnsi="Times New Roman" w:cs="Times New Roman"/>
          <w:i/>
          <w:iCs/>
          <w:sz w:val="24"/>
          <w:szCs w:val="24"/>
          <w:lang w:val="en-US"/>
        </w:rPr>
        <w:t xml:space="preserve"> </w:t>
      </w:r>
      <w:r w:rsidR="00826D3F" w:rsidRPr="00D337FA">
        <w:rPr>
          <w:rFonts w:ascii="Times New Roman" w:eastAsia="Aptos" w:hAnsi="Times New Roman" w:cs="Times New Roman"/>
          <w:i/>
          <w:iCs/>
          <w:sz w:val="24"/>
          <w:szCs w:val="24"/>
          <w:lang w:val="en-US"/>
        </w:rPr>
        <w:t>URL:</w:t>
      </w:r>
      <w:r w:rsidR="006C680D" w:rsidRPr="00D337FA">
        <w:rPr>
          <w:rFonts w:ascii="Times New Roman" w:eastAsia="Aptos" w:hAnsi="Times New Roman" w:cs="Times New Roman"/>
          <w:i/>
          <w:iCs/>
          <w:sz w:val="24"/>
          <w:szCs w:val="24"/>
          <w:lang w:val="en-US"/>
        </w:rPr>
        <w:t xml:space="preserve"> </w:t>
      </w:r>
      <w:r w:rsidR="00826D3F" w:rsidRPr="00D337FA">
        <w:rPr>
          <w:rFonts w:ascii="Times New Roman" w:eastAsia="Aptos" w:hAnsi="Times New Roman" w:cs="Times New Roman"/>
          <w:i/>
          <w:iCs/>
          <w:sz w:val="24"/>
          <w:szCs w:val="24"/>
          <w:lang w:val="en-US"/>
        </w:rPr>
        <w:t>https://www.kommersant.ru/doc/8100301</w:t>
      </w:r>
      <w:r w:rsidR="006C680D" w:rsidRPr="00D337FA">
        <w:rPr>
          <w:rFonts w:ascii="Times New Roman" w:eastAsia="Aptos" w:hAnsi="Times New Roman" w:cs="Times New Roman"/>
          <w:i/>
          <w:iCs/>
          <w:sz w:val="24"/>
          <w:szCs w:val="24"/>
          <w:lang w:val="en-US"/>
        </w:rPr>
        <w:t xml:space="preserve"> </w:t>
      </w:r>
      <w:r w:rsidR="00826D3F" w:rsidRPr="00D337FA">
        <w:rPr>
          <w:rFonts w:ascii="Times New Roman" w:eastAsia="Aptos" w:hAnsi="Times New Roman" w:cs="Times New Roman"/>
          <w:i/>
          <w:iCs/>
          <w:sz w:val="24"/>
          <w:szCs w:val="24"/>
          <w:lang w:val="en-US"/>
        </w:rPr>
        <w:t>(accessed:</w:t>
      </w:r>
      <w:r w:rsidR="006C680D" w:rsidRPr="00D337FA">
        <w:rPr>
          <w:rFonts w:ascii="Times New Roman" w:eastAsia="Aptos" w:hAnsi="Times New Roman" w:cs="Times New Roman"/>
          <w:i/>
          <w:iCs/>
          <w:sz w:val="24"/>
          <w:szCs w:val="24"/>
          <w:lang w:val="en-US"/>
        </w:rPr>
        <w:t xml:space="preserve"> </w:t>
      </w:r>
      <w:r w:rsidR="00826D3F" w:rsidRPr="00D337FA">
        <w:rPr>
          <w:rFonts w:ascii="Times New Roman" w:eastAsia="Aptos" w:hAnsi="Times New Roman" w:cs="Times New Roman"/>
          <w:i/>
          <w:iCs/>
          <w:sz w:val="24"/>
          <w:szCs w:val="24"/>
          <w:lang w:val="en-US"/>
        </w:rPr>
        <w:t>27.10.2025).</w:t>
      </w:r>
    </w:p>
    <w:p w:rsidR="00826D3F" w:rsidRPr="00D337FA" w:rsidRDefault="00826D3F"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Tyapkina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w:t>
      </w:r>
      <w:r w:rsidR="00283A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Muratova</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Zarubezhnyj</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opyt</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gosudarstvennoj</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podderzhki</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sel'skogo</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hozyajstva</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w:t>
      </w:r>
      <w:r w:rsidRPr="00D337FA">
        <w:rPr>
          <w:rFonts w:eastAsia="Aptos"/>
          <w:i/>
          <w:iCs/>
          <w:kern w:val="2"/>
          <w:szCs w:val="24"/>
          <w:lang w:val="en-US"/>
          <w14:ligatures w14:val="standardContextual"/>
        </w:rPr>
        <w:t>Foreign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Experience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State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Support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for</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Agriculture</w:t>
      </w:r>
      <w:r w:rsidR="00283A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Estestvenno-gumanitarnye</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issledovaniya</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Natural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Humanitarian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Research.</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2024.</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(52).</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261-268.</w:t>
      </w:r>
      <w:r w:rsidR="006C680D" w:rsidRPr="00D337FA">
        <w:rPr>
          <w:rFonts w:eastAsia="Aptos"/>
          <w:i/>
          <w:iCs/>
          <w:kern w:val="2"/>
          <w:szCs w:val="24"/>
          <w:lang w:val="en-US"/>
          <w14:ligatures w14:val="standardContextual"/>
        </w:rPr>
        <w:t xml:space="preserve"> </w:t>
      </w:r>
    </w:p>
    <w:p w:rsidR="00826D3F" w:rsidRPr="00D337FA" w:rsidRDefault="00826D3F"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Geleta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283A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Shumilina</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E.</w:t>
      </w:r>
      <w:r w:rsidR="006C680D" w:rsidRPr="00D337FA">
        <w:rPr>
          <w:rFonts w:eastAsia="Aptos"/>
          <w:i/>
          <w:iCs/>
          <w:kern w:val="2"/>
          <w:szCs w:val="24"/>
          <w:lang w:val="en-US"/>
          <w14:ligatures w14:val="standardContextual"/>
        </w:rPr>
        <w:t xml:space="preserve"> </w:t>
      </w:r>
      <w:r w:rsidR="00283A0B"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Sovremennye</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metody</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gosudarstvennoj</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podderzhki</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sel'skogo</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hozyajstva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na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regional'nom</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urovne</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w:t>
      </w:r>
      <w:r w:rsidRPr="00D337FA">
        <w:rPr>
          <w:rFonts w:eastAsia="Aptos"/>
          <w:i/>
          <w:iCs/>
          <w:kern w:val="2"/>
          <w:szCs w:val="24"/>
          <w:lang w:val="en-US"/>
          <w14:ligatures w14:val="standardContextual"/>
        </w:rPr>
        <w:t>Modern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Methods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State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Support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for</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Agriculture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Regional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Level</w:t>
      </w:r>
      <w:r w:rsidR="00D13E72"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6C680D" w:rsidRPr="00D337FA">
        <w:rPr>
          <w:lang w:val="en-US"/>
        </w:rPr>
        <w:t xml:space="preserve"> </w:t>
      </w:r>
      <w:r w:rsidR="00D13E72" w:rsidRPr="00D337FA">
        <w:rPr>
          <w:rFonts w:eastAsia="Aptos"/>
          <w:i/>
          <w:iCs/>
          <w:kern w:val="2"/>
          <w:szCs w:val="24"/>
          <w:lang w:val="en-US"/>
          <w14:ligatures w14:val="standardContextual"/>
        </w:rPr>
        <w:t>Innovacionnaya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ekonomika: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informaciya,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analitika,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prognozy</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Innovative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Economy:</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Information,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Analytics,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Forecasts.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2025.</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3.</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146-151.</w:t>
      </w:r>
      <w:r w:rsidR="006C680D" w:rsidRPr="00D337FA">
        <w:rPr>
          <w:rFonts w:eastAsia="Aptos"/>
          <w:i/>
          <w:iCs/>
          <w:kern w:val="2"/>
          <w:szCs w:val="24"/>
          <w:lang w:val="en-US"/>
          <w14:ligatures w14:val="standardContextual"/>
        </w:rPr>
        <w:t xml:space="preserve"> </w:t>
      </w:r>
    </w:p>
    <w:p w:rsidR="00826D3F" w:rsidRPr="00D337FA" w:rsidRDefault="00D13E72"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Pravitel'stvo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Rossii.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Russian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Government</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URL: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http://government.ru/news/55621</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(accessed: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02.11.2025).</w:t>
      </w:r>
      <w:r w:rsidR="006C680D" w:rsidRPr="00D337FA">
        <w:rPr>
          <w:rFonts w:eastAsia="Aptos"/>
          <w:i/>
          <w:iCs/>
          <w:kern w:val="2"/>
          <w:szCs w:val="24"/>
          <w:lang w:val="en-US"/>
          <w14:ligatures w14:val="standardContextual"/>
        </w:rPr>
        <w:t xml:space="preserve"> </w:t>
      </w:r>
    </w:p>
    <w:p w:rsidR="00826D3F" w:rsidRPr="00D337FA" w:rsidRDefault="00D13E72"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Nesterenko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Sadykov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Lenshchikov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Kazantsev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Sovershenstvovanie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instrumentov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gosudarstvennoj</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podderzhki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APK</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Improving</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tools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state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support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for</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agriculture</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Vestnik</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Akademii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znanij</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Bulletin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Academy</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Knowledge.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2025.</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1(66).</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862-867</w:t>
      </w:r>
      <w:r w:rsidR="006C680D" w:rsidRPr="00D337FA">
        <w:rPr>
          <w:rFonts w:eastAsia="Aptos"/>
          <w:i/>
          <w:iCs/>
          <w:kern w:val="2"/>
          <w:szCs w:val="24"/>
          <w:lang w:val="en-US"/>
          <w14:ligatures w14:val="standardContextual"/>
        </w:rPr>
        <w:t xml:space="preserve"> </w:t>
      </w:r>
    </w:p>
    <w:p w:rsidR="00826D3F" w:rsidRPr="00D337FA" w:rsidRDefault="0058560B"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Organizaciya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ekonomicheskogo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sotrudnichestva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razvitiya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Organization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for</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Economic</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Cooperation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Development</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URL:https://www.oecd.org/en/data/indicators/agricultural-financial-support.html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(accessed: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06.11.2025).</w:t>
      </w:r>
      <w:r w:rsidR="006C680D" w:rsidRPr="00D337FA">
        <w:rPr>
          <w:rFonts w:eastAsia="Aptos"/>
          <w:i/>
          <w:iCs/>
          <w:kern w:val="2"/>
          <w:szCs w:val="24"/>
          <w:lang w:val="en-US"/>
          <w14:ligatures w14:val="standardContextual"/>
        </w:rPr>
        <w:t xml:space="preserve"> </w:t>
      </w:r>
    </w:p>
    <w:p w:rsidR="00826D3F" w:rsidRPr="00D337FA" w:rsidRDefault="00826D3F"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Loseva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A.V.</w:t>
      </w:r>
      <w:r w:rsidR="00D13E72"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Fedosina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A.V.,</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Dupliy</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E.</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Sravnitel'nyj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analiz</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gosudarstvennoj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podderzhki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sel'hozproizvoditelej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Rossii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mire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Pr="00D337FA">
        <w:rPr>
          <w:rFonts w:eastAsia="Aptos"/>
          <w:i/>
          <w:iCs/>
          <w:kern w:val="2"/>
          <w:szCs w:val="24"/>
          <w:lang w:val="en-US"/>
          <w14:ligatures w14:val="standardContextual"/>
        </w:rPr>
        <w:t>Comparative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analysis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state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support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for</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agricultural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producers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Russia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world</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Upravlenie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Management.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2023.</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Vol.</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11,</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2.</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25-34.</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DOI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10.26425/2309-3633-2023-11-2-25-34.</w:t>
      </w:r>
      <w:r w:rsidR="006C680D" w:rsidRPr="00D337FA">
        <w:rPr>
          <w:rFonts w:eastAsia="Aptos"/>
          <w:i/>
          <w:iCs/>
          <w:kern w:val="2"/>
          <w:szCs w:val="24"/>
          <w:lang w:val="en-US"/>
          <w14:ligatures w14:val="standardContextual"/>
        </w:rPr>
        <w:t xml:space="preserve"> </w:t>
      </w:r>
    </w:p>
    <w:p w:rsidR="00826D3F" w:rsidRPr="00D337FA" w:rsidRDefault="00D13E72"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Pruschak</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Kublin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Voronov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Ruschitskaya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Vklad</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malyh</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form</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agro-biznesa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obespechenie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prodovol'stvennoj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bezopasnosti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Rossii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Contribution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small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forms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agribusiness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to</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ensuring</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food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security</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Russia</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Agrarnyj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vestnik</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Urala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Agrarian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Bulletin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Urals.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2025.</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Vol.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25</w:t>
      </w:r>
      <w:r w:rsidRPr="00D337FA">
        <w:rPr>
          <w:rFonts w:eastAsia="Aptos"/>
          <w:i/>
          <w:iCs/>
          <w:kern w:val="2"/>
          <w:szCs w:val="24"/>
          <w:lang w:val="en-US"/>
          <w14:ligatures w14:val="standardContextual"/>
        </w:rPr>
        <w:t>.</w:t>
      </w:r>
      <w:r w:rsidR="006C680D" w:rsidRPr="00D337FA">
        <w:rPr>
          <w:rFonts w:eastAsia="Aptos"/>
          <w:i/>
          <w:iCs/>
          <w:kern w:val="2"/>
          <w:szCs w:val="24"/>
          <w14:ligatures w14:val="standardContextual"/>
        </w:rPr>
        <w:t xml:space="preserve"> </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1.</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150-162.</w:t>
      </w:r>
      <w:r w:rsidR="006C680D" w:rsidRPr="00D337FA">
        <w:rPr>
          <w:rFonts w:eastAsia="Aptos"/>
          <w:i/>
          <w:iCs/>
          <w:kern w:val="2"/>
          <w:szCs w:val="24"/>
          <w:lang w:val="en-US"/>
          <w14:ligatures w14:val="standardContextual"/>
        </w:rPr>
        <w:t xml:space="preserve"> </w:t>
      </w:r>
    </w:p>
    <w:p w:rsidR="00826D3F" w:rsidRPr="00D337FA" w:rsidRDefault="00826D3F"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Sevastyanov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Formirovanie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specializacii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sel'skih</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territorij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kak</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faktor</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ih</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budushchego</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ekonomicheskogo</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razvitiya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Pr="00D337FA">
        <w:rPr>
          <w:rFonts w:eastAsia="Aptos"/>
          <w:i/>
          <w:iCs/>
          <w:kern w:val="2"/>
          <w:szCs w:val="24"/>
          <w:lang w:val="en-US"/>
          <w14:ligatures w14:val="standardContextual"/>
        </w:rPr>
        <w:t>Formation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Specialization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Rural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Areas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Factor</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Their</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Future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Economic</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Development</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Ostrovskie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chteniya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Ostrovskie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Chteniya.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2024.</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1.</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267-270.</w:t>
      </w:r>
    </w:p>
    <w:p w:rsidR="00826D3F" w:rsidRPr="00D337FA" w:rsidRDefault="0058560B"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Ministerstvo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sel'skogo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hozyajstva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Rossijskoj</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Federacii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Ministry</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Agriculture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Russian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Federation</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URL: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https://mcx.gov.ru/activity/state-support/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(accessed: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08.11.2025).</w:t>
      </w:r>
      <w:r w:rsidR="006C680D" w:rsidRPr="00D337FA">
        <w:rPr>
          <w:rFonts w:eastAsia="Aptos"/>
          <w:i/>
          <w:iCs/>
          <w:kern w:val="2"/>
          <w:szCs w:val="24"/>
          <w:lang w:val="en-US"/>
          <w14:ligatures w14:val="standardContextual"/>
        </w:rPr>
        <w:t xml:space="preserve"> </w:t>
      </w:r>
    </w:p>
    <w:p w:rsidR="00826D3F" w:rsidRPr="00D337FA" w:rsidRDefault="0058560B"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Prezident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Rossii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President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Russia</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URL: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http://www.kremlin.ru/events/president/news/74234</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(accessed: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10.11.2025).</w:t>
      </w:r>
      <w:r w:rsidR="006C680D" w:rsidRPr="00D337FA">
        <w:rPr>
          <w:rFonts w:eastAsia="Aptos"/>
          <w:i/>
          <w:iCs/>
          <w:kern w:val="2"/>
          <w:szCs w:val="24"/>
          <w:lang w:val="en-US"/>
          <w14:ligatures w14:val="standardContextual"/>
        </w:rPr>
        <w:t xml:space="preserve"> </w:t>
      </w:r>
    </w:p>
    <w:p w:rsidR="00826D3F" w:rsidRPr="00D337FA" w:rsidRDefault="00D13E72"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Kublin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Plekhanov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Saninsky</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Tinyakova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Garmonizaciya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proizvod-stvennyh</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ekonomicheskih</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otnoshenij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pri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importozameshchenii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APK</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Harmonization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production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economic</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relations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context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import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substitution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agro-industrial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complex</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Konkurentosposobnost'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global'nom</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mire: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ekonomika,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nauka,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tekhnologii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Competitiveness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Global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World: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Economics,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Science,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Technology.</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2017.</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4-2(38).</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71-76.</w:t>
      </w:r>
    </w:p>
    <w:p w:rsidR="00826D3F" w:rsidRPr="00D337FA" w:rsidRDefault="00D13E72"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Solomakhin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Litvinova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Degtyareva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Andreeva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Aktual'nye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aspekty</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razvitiya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gosudarstvennoj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podderzhki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APK</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Rossii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Actual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aspects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development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state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support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for</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R</w:t>
      </w:r>
      <w:r w:rsidRPr="00D337FA">
        <w:rPr>
          <w:rFonts w:eastAsia="Aptos"/>
          <w:i/>
          <w:iCs/>
          <w:kern w:val="2"/>
          <w:szCs w:val="24"/>
          <w:lang w:val="en-US"/>
          <w14:ligatures w14:val="standardContextual"/>
        </w:rPr>
        <w:t>ussian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agro-industrial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complex</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Nauka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Obrazovanie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Science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Education.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2024.</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Vol.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7</w:t>
      </w:r>
      <w:r w:rsidRPr="00D337FA">
        <w:rPr>
          <w:rFonts w:eastAsia="Aptos"/>
          <w:i/>
          <w:iCs/>
          <w:kern w:val="2"/>
          <w:szCs w:val="24"/>
          <w:lang w:val="en-US"/>
          <w14:ligatures w14:val="standardContextual"/>
        </w:rPr>
        <w:t>.</w:t>
      </w:r>
      <w:r w:rsidR="006C680D" w:rsidRPr="00D337FA">
        <w:rPr>
          <w:rFonts w:eastAsia="Aptos"/>
          <w:i/>
          <w:iCs/>
          <w:kern w:val="2"/>
          <w:szCs w:val="24"/>
          <w14:ligatures w14:val="standardContextual"/>
        </w:rPr>
        <w:t xml:space="preserve"> </w:t>
      </w:r>
      <w:r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w:t>
      </w:r>
    </w:p>
    <w:p w:rsidR="00826D3F" w:rsidRPr="00D337FA" w:rsidRDefault="0058560B"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Rossijskij</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agrarnyj</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holding</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«AGROINVEST»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Russian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Agricultural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Holding</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AGROINVEST</w:t>
      </w:r>
      <w:r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URL: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https://agrovesti.net/news/indst/rossijskij-zernovoj-soyuz-obvinil-otechestvennye-zavody-v-roste-utilsbora-do-40-primer-iz-rostova.html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(accessed: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12.11.2025).</w:t>
      </w:r>
      <w:r w:rsidR="006C680D" w:rsidRPr="00D337FA">
        <w:rPr>
          <w:rFonts w:eastAsia="Aptos"/>
          <w:i/>
          <w:iCs/>
          <w:kern w:val="2"/>
          <w:szCs w:val="24"/>
          <w:lang w:val="en-US"/>
          <w14:ligatures w14:val="standardContextual"/>
        </w:rPr>
        <w:t xml:space="preserve"> </w:t>
      </w:r>
    </w:p>
    <w:p w:rsidR="00826D3F" w:rsidRPr="00D337FA" w:rsidRDefault="00826D3F"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Baryshnikova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w:t>
      </w:r>
      <w:r w:rsidR="00D13E72"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Kireeva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Prushchak</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O.</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Ekonomicheskaya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bezopasnost'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prodo-vol'stvennoj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sistemy:</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teoretiko-metodologicheskie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podhody</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k</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issledovaniyu</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Pr="00D337FA">
        <w:rPr>
          <w:rFonts w:eastAsia="Aptos"/>
          <w:i/>
          <w:iCs/>
          <w:kern w:val="2"/>
          <w:szCs w:val="24"/>
          <w:lang w:val="en-US"/>
          <w14:ligatures w14:val="standardContextual"/>
        </w:rPr>
        <w:t>Economic</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Security</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Food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System: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Theoretical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Methodological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Approaches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Research</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Mezhdunarodnyj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sel'skohozyajstvennyj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zhurnal</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Intern</w:t>
      </w:r>
      <w:r w:rsidR="00D13E72" w:rsidRPr="00D337FA">
        <w:rPr>
          <w:rFonts w:eastAsia="Aptos"/>
          <w:i/>
          <w:iCs/>
          <w:kern w:val="2"/>
          <w:szCs w:val="24"/>
          <w:lang w:val="en-US"/>
          <w14:ligatures w14:val="standardContextual"/>
        </w:rPr>
        <w:t>ational</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Agricultural</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Journal.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2023.</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1(391).</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85-91</w:t>
      </w:r>
    </w:p>
    <w:p w:rsidR="00826D3F" w:rsidRPr="00D337FA" w:rsidRDefault="00D13E72"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lastRenderedPageBreak/>
        <w:t>Sevastyanov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Pruschak</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Kublin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Glukhova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Problemy</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ustojchivogo</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social'no-ekonomicheskogo</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razvitiya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sel'skih</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territorial'nyh</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obrazovanij</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Problems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sustainable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socio-economic</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development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w:t>
      </w:r>
      <w:r w:rsidRPr="00D337FA">
        <w:rPr>
          <w:rFonts w:eastAsia="Aptos"/>
          <w:i/>
          <w:iCs/>
          <w:kern w:val="2"/>
          <w:szCs w:val="24"/>
          <w:lang w:val="en-US"/>
          <w14:ligatures w14:val="standardContextual"/>
        </w:rPr>
        <w:t>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rural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territorial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formations</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Vestnik</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Volzhskogo</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universiteta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im.</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V.N.</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Tatishcheva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Bulletin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V.N.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Tatishchev</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Volga</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State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University.</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2024.</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Vol.</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3(54).</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133-149.</w:t>
      </w:r>
    </w:p>
    <w:p w:rsidR="00826D3F" w:rsidRPr="00D337FA" w:rsidRDefault="00826D3F" w:rsidP="005A0605">
      <w:pPr>
        <w:numPr>
          <w:ilvl w:val="0"/>
          <w:numId w:val="5"/>
        </w:numPr>
        <w:ind w:left="0" w:firstLine="284"/>
        <w:contextualSpacing/>
        <w:rPr>
          <w:rFonts w:eastAsia="Aptos"/>
          <w:i/>
          <w:iCs/>
          <w:kern w:val="2"/>
          <w:szCs w:val="24"/>
          <w:lang w:val="en-US"/>
          <w14:ligatures w14:val="standardContextual"/>
        </w:rPr>
      </w:pPr>
      <w:r w:rsidRPr="00D337FA">
        <w:rPr>
          <w:rFonts w:eastAsia="Aptos"/>
          <w:i/>
          <w:iCs/>
          <w:kern w:val="2"/>
          <w:szCs w:val="24"/>
          <w:lang w:val="en-US"/>
          <w14:ligatures w14:val="standardContextual"/>
        </w:rPr>
        <w:t>Tolmachev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D13E72"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Tsypin</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A.,</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Barashov</w:t>
      </w:r>
      <w:r w:rsidR="006C680D" w:rsidRPr="00D337FA">
        <w:rPr>
          <w:rFonts w:eastAsia="Aptos"/>
          <w:i/>
          <w:iCs/>
          <w:kern w:val="2"/>
          <w:szCs w:val="24"/>
          <w:lang w:val="en-US"/>
          <w14:ligatures w14:val="standardContextual"/>
        </w:rPr>
        <w:t xml:space="preserve"> </w:t>
      </w:r>
      <w:r w:rsidR="00D13E72"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Statistical</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study</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dynamics</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agricultural</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pro-duction</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post-soviet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countries</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context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food</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security</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Pr="00D337FA">
        <w:rPr>
          <w:rFonts w:eastAsia="Aptos"/>
          <w:i/>
          <w:iCs/>
          <w:kern w:val="2"/>
          <w:szCs w:val="24"/>
          <w:lang w:val="en-US"/>
          <w14:ligatures w14:val="standardContextual"/>
        </w:rPr>
        <w:t>Statistical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study</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dynamics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agricultural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production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post-soviet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countries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context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of</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food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security</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Smart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Innovation,</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Systems</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Technologies</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Smart</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Innovation,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Systems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Technologies.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2020.</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Vol.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172.</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699-711.</w:t>
      </w:r>
    </w:p>
    <w:p w:rsidR="00947DEC" w:rsidRPr="00D337FA" w:rsidRDefault="00D13E72" w:rsidP="005A0605">
      <w:pPr>
        <w:numPr>
          <w:ilvl w:val="0"/>
          <w:numId w:val="5"/>
        </w:numPr>
        <w:ind w:left="0" w:firstLine="284"/>
        <w:contextualSpacing/>
        <w:rPr>
          <w:rFonts w:eastAsia="Aptos"/>
          <w:kern w:val="2"/>
          <w:szCs w:val="24"/>
          <w:lang w:val="en-US"/>
          <w14:ligatures w14:val="standardContextual"/>
        </w:rPr>
      </w:pPr>
      <w:r w:rsidRPr="00D337FA">
        <w:rPr>
          <w:rFonts w:eastAsia="Aptos"/>
          <w:i/>
          <w:iCs/>
          <w:kern w:val="2"/>
          <w:szCs w:val="24"/>
          <w:lang w:val="en-US"/>
          <w14:ligatures w14:val="standardContextual"/>
        </w:rPr>
        <w:t>Lipatova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L.</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N.,</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Kuzhelnaya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O.</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Strokana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E.</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V.,</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Pylkina</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M.</w:t>
      </w:r>
      <w:r w:rsidR="006C680D" w:rsidRPr="00D337FA">
        <w:rPr>
          <w:rFonts w:eastAsia="Aptos"/>
          <w:i/>
          <w:iCs/>
          <w:kern w:val="2"/>
          <w:szCs w:val="24"/>
          <w:lang w:val="en-US"/>
          <w14:ligatures w14:val="standardContextual"/>
        </w:rPr>
        <w:t xml:space="preserve"> </w:t>
      </w:r>
      <w:r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Sovremennaya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demo-graficheskaya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situaciya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prodovol'stvennaya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bezopasnost'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Rossii</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826D3F" w:rsidRPr="00D337FA">
        <w:rPr>
          <w:rFonts w:eastAsia="Aptos"/>
          <w:i/>
          <w:iCs/>
          <w:kern w:val="2"/>
          <w:szCs w:val="24"/>
          <w:lang w:val="en-US"/>
          <w14:ligatures w14:val="standardContextual"/>
        </w:rPr>
        <w:t>The</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current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demographic</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situation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food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security</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in</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Russia</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APK:</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ekonomika,</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upravlenie</w:t>
      </w:r>
      <w:r w:rsidR="006C680D" w:rsidRPr="00D337FA">
        <w:rPr>
          <w:rFonts w:eastAsia="Aptos"/>
          <w:i/>
          <w:iCs/>
          <w:kern w:val="2"/>
          <w:szCs w:val="24"/>
          <w:lang w:val="en-US"/>
          <w14:ligatures w14:val="standardContextual"/>
        </w:rPr>
        <w:t xml:space="preserve"> </w:t>
      </w:r>
      <w:r w:rsidR="0058560B" w:rsidRPr="00D337FA">
        <w:rPr>
          <w:rFonts w:eastAsia="Aptos"/>
          <w:i/>
          <w:iCs/>
          <w:kern w:val="2"/>
          <w:szCs w:val="24"/>
          <w:lang w:val="en-US"/>
          <w14:ligatures w14:val="standardContextual"/>
        </w:rPr>
        <w: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AIC:</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Economics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and</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Management.</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2023.</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No.</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9.</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S.</w:t>
      </w:r>
      <w:r w:rsidR="006C680D" w:rsidRPr="00D337FA">
        <w:rPr>
          <w:rFonts w:eastAsia="Aptos"/>
          <w:i/>
          <w:iCs/>
          <w:kern w:val="2"/>
          <w:szCs w:val="24"/>
          <w:lang w:val="en-US"/>
          <w14:ligatures w14:val="standardContextual"/>
        </w:rPr>
        <w:t xml:space="preserve"> </w:t>
      </w:r>
      <w:r w:rsidR="00826D3F" w:rsidRPr="00D337FA">
        <w:rPr>
          <w:rFonts w:eastAsia="Aptos"/>
          <w:i/>
          <w:iCs/>
          <w:kern w:val="2"/>
          <w:szCs w:val="24"/>
          <w:lang w:val="en-US"/>
          <w14:ligatures w14:val="standardContextual"/>
        </w:rPr>
        <w:t>3-16.</w:t>
      </w:r>
    </w:p>
    <w:p w:rsidR="00595379" w:rsidRPr="00D337FA" w:rsidRDefault="00595379" w:rsidP="00655A06">
      <w:pPr>
        <w:pStyle w:val="afe"/>
        <w:rPr>
          <w:color w:val="auto"/>
          <w:highlight w:val="yellow"/>
          <w:lang w:val="en-US"/>
        </w:rPr>
      </w:pPr>
    </w:p>
    <w:p w:rsidR="00E95AAD" w:rsidRPr="00D337FA" w:rsidRDefault="00E95AAD" w:rsidP="00E95AAD">
      <w:pPr>
        <w:rPr>
          <w:i/>
          <w:sz w:val="28"/>
          <w:szCs w:val="28"/>
          <w:highlight w:val="yellow"/>
          <w:lang w:val="en-US"/>
        </w:rPr>
        <w:sectPr w:rsidR="00E95AAD" w:rsidRPr="00D337FA" w:rsidSect="00E61989">
          <w:footnotePr>
            <w:numRestart w:val="eachPage"/>
          </w:footnotePr>
          <w:type w:val="continuous"/>
          <w:pgSz w:w="11907" w:h="16840" w:code="9"/>
          <w:pgMar w:top="1418" w:right="1134" w:bottom="1418" w:left="1134" w:header="1021" w:footer="1021" w:gutter="0"/>
          <w:cols w:space="708"/>
          <w:docGrid w:linePitch="360"/>
        </w:sectPr>
      </w:pPr>
    </w:p>
    <w:p w:rsidR="002E26D0" w:rsidRPr="00D337FA" w:rsidRDefault="0058560B" w:rsidP="00F81124">
      <w:pPr>
        <w:pStyle w:val="afe"/>
        <w:rPr>
          <w:i/>
          <w:color w:val="auto"/>
        </w:rPr>
      </w:pPr>
      <w:r w:rsidRPr="00D337FA">
        <w:rPr>
          <w:rFonts w:eastAsia="Aptos"/>
          <w:b/>
          <w:bCs/>
          <w:i/>
          <w:color w:val="auto"/>
          <w:kern w:val="2"/>
          <w:lang w:eastAsia="en-US"/>
          <w14:ligatures w14:val="standardContextual"/>
        </w:rPr>
        <w:lastRenderedPageBreak/>
        <w:t>Севастьянов</w:t>
      </w:r>
      <w:r w:rsidR="006C680D" w:rsidRPr="00D337FA">
        <w:rPr>
          <w:rFonts w:eastAsia="Aptos"/>
          <w:i/>
          <w:color w:val="auto"/>
          <w:kern w:val="2"/>
          <w:lang w:eastAsia="en-US"/>
          <w14:ligatures w14:val="standardContextual"/>
        </w:rPr>
        <w:t xml:space="preserve"> </w:t>
      </w:r>
      <w:r w:rsidRPr="00D337FA">
        <w:rPr>
          <w:rFonts w:eastAsia="Aptos"/>
          <w:b/>
          <w:bCs/>
          <w:i/>
          <w:color w:val="auto"/>
          <w:kern w:val="2"/>
          <w:lang w:eastAsia="en-US"/>
          <w14:ligatures w14:val="standardContextual"/>
        </w:rPr>
        <w:t>Дмитрий</w:t>
      </w:r>
      <w:r w:rsidR="006C680D" w:rsidRPr="00D337FA">
        <w:rPr>
          <w:rFonts w:eastAsia="Aptos"/>
          <w:b/>
          <w:bCs/>
          <w:i/>
          <w:color w:val="auto"/>
          <w:kern w:val="2"/>
          <w:lang w:eastAsia="en-US"/>
          <w14:ligatures w14:val="standardContextual"/>
        </w:rPr>
        <w:t xml:space="preserve"> </w:t>
      </w:r>
      <w:r w:rsidRPr="00D337FA">
        <w:rPr>
          <w:rFonts w:eastAsia="Aptos"/>
          <w:b/>
          <w:bCs/>
          <w:i/>
          <w:color w:val="auto"/>
          <w:kern w:val="2"/>
          <w:lang w:eastAsia="en-US"/>
          <w14:ligatures w14:val="standardContextual"/>
        </w:rPr>
        <w:t>Владимирович</w:t>
      </w:r>
      <w:r w:rsidR="00A53D60">
        <w:rPr>
          <w:rFonts w:eastAsia="Aptos"/>
          <w:b/>
          <w:bCs/>
          <w:i/>
          <w:color w:val="auto"/>
          <w:kern w:val="2"/>
          <w:lang w:eastAsia="en-US"/>
          <w14:ligatures w14:val="standardContextual"/>
        </w:rPr>
        <w:t xml:space="preserve"> </w:t>
      </w:r>
      <w:r w:rsidR="00947DEC"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аспирант</w:t>
      </w:r>
      <w:r w:rsidR="006C680D" w:rsidRPr="00D337FA">
        <w:rPr>
          <w:rFonts w:eastAsia="Aptos"/>
          <w:i/>
          <w:color w:val="auto"/>
          <w:kern w:val="2"/>
          <w:lang w:eastAsia="en-US"/>
          <w14:ligatures w14:val="standardContextual"/>
        </w:rPr>
        <w:t xml:space="preserve"> </w:t>
      </w:r>
      <w:r w:rsidR="00947DEC" w:rsidRPr="00D337FA">
        <w:rPr>
          <w:rFonts w:eastAsia="Aptos"/>
          <w:i/>
          <w:color w:val="auto"/>
          <w:kern w:val="2"/>
          <w:lang w:eastAsia="en-US"/>
          <w14:ligatures w14:val="standardContextual"/>
        </w:rPr>
        <w:t>кафедры</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экономики</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и</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маркетинга</w:t>
      </w:r>
      <w:r w:rsidR="00947DEC"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Саратовский</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государственный</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технический</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университет</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имени</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Гагарина</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Ю.А.</w:t>
      </w:r>
      <w:r w:rsidR="00947DEC"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947DEC" w:rsidRPr="00D337FA">
        <w:rPr>
          <w:rFonts w:eastAsia="Aptos"/>
          <w:i/>
          <w:color w:val="auto"/>
          <w:kern w:val="2"/>
          <w:lang w:eastAsia="en-US"/>
          <w14:ligatures w14:val="standardContextual"/>
        </w:rPr>
        <w:t>Россия,</w:t>
      </w:r>
      <w:r w:rsidR="006C680D" w:rsidRPr="00D337FA">
        <w:rPr>
          <w:rFonts w:eastAsia="Aptos"/>
          <w:i/>
          <w:color w:val="auto"/>
          <w:kern w:val="2"/>
          <w:lang w:eastAsia="en-US"/>
          <w14:ligatures w14:val="standardContextual"/>
        </w:rPr>
        <w:t xml:space="preserve"> </w:t>
      </w:r>
      <w:r w:rsidR="00947DEC" w:rsidRPr="00D337FA">
        <w:rPr>
          <w:rFonts w:eastAsia="Aptos"/>
          <w:i/>
          <w:color w:val="auto"/>
          <w:kern w:val="2"/>
          <w:lang w:eastAsia="en-US"/>
          <w14:ligatures w14:val="standardContextual"/>
        </w:rPr>
        <w:t>4</w:t>
      </w:r>
      <w:r w:rsidR="00F81124" w:rsidRPr="00D337FA">
        <w:rPr>
          <w:rFonts w:eastAsia="Aptos"/>
          <w:i/>
          <w:color w:val="auto"/>
          <w:kern w:val="2"/>
          <w:lang w:eastAsia="en-US"/>
          <w14:ligatures w14:val="standardContextual"/>
        </w:rPr>
        <w:t>1</w:t>
      </w:r>
      <w:r w:rsidR="00947DEC" w:rsidRPr="00D337FA">
        <w:rPr>
          <w:rFonts w:eastAsia="Aptos"/>
          <w:i/>
          <w:color w:val="auto"/>
          <w:kern w:val="2"/>
          <w:lang w:eastAsia="en-US"/>
          <w14:ligatures w14:val="standardContextual"/>
        </w:rPr>
        <w:t>00</w:t>
      </w:r>
      <w:r w:rsidR="00F81124" w:rsidRPr="00D337FA">
        <w:rPr>
          <w:rFonts w:eastAsia="Aptos"/>
          <w:i/>
          <w:color w:val="auto"/>
          <w:kern w:val="2"/>
          <w:lang w:eastAsia="en-US"/>
          <w14:ligatures w14:val="standardContextual"/>
        </w:rPr>
        <w:t>54</w:t>
      </w:r>
      <w:r w:rsidR="00947DEC"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947DEC" w:rsidRPr="00D337FA">
        <w:rPr>
          <w:rFonts w:eastAsia="Aptos"/>
          <w:i/>
          <w:color w:val="auto"/>
          <w:kern w:val="2"/>
          <w:lang w:eastAsia="en-US"/>
          <w14:ligatures w14:val="standardContextual"/>
        </w:rPr>
        <w:t>г.</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Саратов</w:t>
      </w:r>
      <w:r w:rsidR="00947DEC"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947DEC" w:rsidRPr="00D337FA">
        <w:rPr>
          <w:rFonts w:eastAsia="Aptos"/>
          <w:i/>
          <w:color w:val="auto"/>
          <w:kern w:val="2"/>
          <w:lang w:eastAsia="en-US"/>
          <w14:ligatures w14:val="standardContextual"/>
        </w:rPr>
        <w:t>ул.</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Политехническая</w:t>
      </w:r>
      <w:r w:rsidR="00947DEC"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947DEC" w:rsidRPr="00D337FA">
        <w:rPr>
          <w:rFonts w:eastAsia="Aptos"/>
          <w:i/>
          <w:color w:val="auto"/>
          <w:kern w:val="2"/>
          <w:lang w:eastAsia="en-US"/>
          <w14:ligatures w14:val="standardContextual"/>
        </w:rPr>
        <w:t>д</w:t>
      </w:r>
      <w:r w:rsidR="00F81124"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F81124" w:rsidRPr="00D337FA">
        <w:rPr>
          <w:rFonts w:eastAsia="Aptos"/>
          <w:i/>
          <w:color w:val="auto"/>
          <w:kern w:val="2"/>
          <w:lang w:eastAsia="en-US"/>
          <w14:ligatures w14:val="standardContextual"/>
        </w:rPr>
        <w:t>77</w:t>
      </w:r>
      <w:r w:rsidR="00D33863" w:rsidRPr="00D337FA">
        <w:rPr>
          <w:rFonts w:eastAsia="Aptos"/>
          <w:i/>
          <w:color w:val="auto"/>
          <w:kern w:val="2"/>
          <w:lang w:eastAsia="en-US"/>
          <w14:ligatures w14:val="standardContextual"/>
        </w:rPr>
        <w:t>;</w:t>
      </w:r>
      <w:r w:rsidR="006C680D" w:rsidRPr="00D337FA">
        <w:rPr>
          <w:rFonts w:eastAsia="Aptos"/>
          <w:i/>
          <w:color w:val="auto"/>
          <w:kern w:val="2"/>
          <w:lang w:eastAsia="en-US"/>
          <w14:ligatures w14:val="standardContextual"/>
        </w:rPr>
        <w:t xml:space="preserve"> </w:t>
      </w:r>
      <w:r w:rsidR="002E26D0" w:rsidRPr="00D337FA">
        <w:rPr>
          <w:i/>
          <w:color w:val="auto"/>
          <w:lang w:val="de-DE"/>
        </w:rPr>
        <w:t>E</w:t>
      </w:r>
      <w:r w:rsidR="002E26D0" w:rsidRPr="00D337FA">
        <w:rPr>
          <w:i/>
          <w:color w:val="auto"/>
        </w:rPr>
        <w:t>-</w:t>
      </w:r>
      <w:r w:rsidR="002E26D0" w:rsidRPr="00D337FA">
        <w:rPr>
          <w:i/>
          <w:color w:val="auto"/>
          <w:lang w:val="de-DE"/>
        </w:rPr>
        <w:t>mail</w:t>
      </w:r>
      <w:r w:rsidR="002E26D0" w:rsidRPr="00D337FA">
        <w:rPr>
          <w:i/>
          <w:color w:val="auto"/>
        </w:rPr>
        <w:t>:</w:t>
      </w:r>
      <w:r w:rsidR="006C680D" w:rsidRPr="00D337FA">
        <w:rPr>
          <w:i/>
          <w:color w:val="auto"/>
        </w:rPr>
        <w:t xml:space="preserve"> </w:t>
      </w:r>
      <w:r w:rsidR="00F81124" w:rsidRPr="00D337FA">
        <w:rPr>
          <w:i/>
          <w:color w:val="auto"/>
          <w:lang w:val="en-US"/>
        </w:rPr>
        <w:t>vayyaya</w:t>
      </w:r>
      <w:r w:rsidR="00F81124" w:rsidRPr="00D337FA">
        <w:rPr>
          <w:i/>
          <w:color w:val="auto"/>
        </w:rPr>
        <w:t>@</w:t>
      </w:r>
      <w:r w:rsidR="00F81124" w:rsidRPr="00D337FA">
        <w:rPr>
          <w:i/>
          <w:color w:val="auto"/>
          <w:lang w:val="en-US"/>
        </w:rPr>
        <w:t>inbox</w:t>
      </w:r>
      <w:r w:rsidR="00F81124" w:rsidRPr="00D337FA">
        <w:rPr>
          <w:i/>
          <w:color w:val="auto"/>
        </w:rPr>
        <w:t>.</w:t>
      </w:r>
      <w:r w:rsidR="00F81124" w:rsidRPr="00D337FA">
        <w:rPr>
          <w:i/>
          <w:color w:val="auto"/>
          <w:lang w:val="en-US"/>
        </w:rPr>
        <w:t>ru</w:t>
      </w:r>
      <w:r w:rsidR="00947DEC" w:rsidRPr="00D337FA">
        <w:rPr>
          <w:i/>
          <w:color w:val="auto"/>
        </w:rPr>
        <w:t>;</w:t>
      </w:r>
      <w:r w:rsidR="006C680D" w:rsidRPr="00D337FA">
        <w:rPr>
          <w:i/>
          <w:color w:val="auto"/>
        </w:rPr>
        <w:t xml:space="preserve"> </w:t>
      </w:r>
      <w:r w:rsidR="00947DEC" w:rsidRPr="00D337FA">
        <w:rPr>
          <w:i/>
          <w:color w:val="auto"/>
          <w:lang w:val="en-US"/>
        </w:rPr>
        <w:t>https</w:t>
      </w:r>
      <w:r w:rsidR="00947DEC" w:rsidRPr="00D337FA">
        <w:rPr>
          <w:i/>
          <w:color w:val="auto"/>
        </w:rPr>
        <w:t>://</w:t>
      </w:r>
      <w:r w:rsidR="00947DEC" w:rsidRPr="00D337FA">
        <w:rPr>
          <w:i/>
          <w:color w:val="auto"/>
          <w:lang w:val="en-US"/>
        </w:rPr>
        <w:t>orcid</w:t>
      </w:r>
      <w:r w:rsidR="00947DEC" w:rsidRPr="00D337FA">
        <w:rPr>
          <w:i/>
          <w:color w:val="auto"/>
        </w:rPr>
        <w:t>.</w:t>
      </w:r>
      <w:r w:rsidR="00947DEC" w:rsidRPr="00D337FA">
        <w:rPr>
          <w:i/>
          <w:color w:val="auto"/>
          <w:lang w:val="en-US"/>
        </w:rPr>
        <w:t>org</w:t>
      </w:r>
      <w:r w:rsidR="00947DEC" w:rsidRPr="00D337FA">
        <w:rPr>
          <w:i/>
          <w:color w:val="auto"/>
        </w:rPr>
        <w:t>/</w:t>
      </w:r>
      <w:r w:rsidR="00F81124" w:rsidRPr="00D337FA">
        <w:rPr>
          <w:i/>
          <w:color w:val="auto"/>
        </w:rPr>
        <w:t>0009-0005-5301-9439</w:t>
      </w:r>
    </w:p>
    <w:p w:rsidR="002C5936" w:rsidRPr="00D337FA" w:rsidRDefault="00F81124" w:rsidP="00F81124">
      <w:pPr>
        <w:ind w:firstLine="284"/>
        <w:rPr>
          <w:i/>
          <w:szCs w:val="24"/>
          <w:highlight w:val="yellow"/>
        </w:rPr>
      </w:pPr>
      <w:r w:rsidRPr="00D337FA">
        <w:rPr>
          <w:b/>
          <w:bCs/>
          <w:i/>
          <w:iCs/>
          <w:szCs w:val="24"/>
        </w:rPr>
        <w:t>Прущак</w:t>
      </w:r>
      <w:r w:rsidR="006C680D" w:rsidRPr="00D337FA">
        <w:rPr>
          <w:i/>
          <w:iCs/>
          <w:szCs w:val="24"/>
        </w:rPr>
        <w:t xml:space="preserve"> </w:t>
      </w:r>
      <w:r w:rsidRPr="00D337FA">
        <w:rPr>
          <w:b/>
          <w:bCs/>
          <w:i/>
          <w:iCs/>
          <w:szCs w:val="24"/>
        </w:rPr>
        <w:t>Олеся</w:t>
      </w:r>
      <w:r w:rsidR="006C680D" w:rsidRPr="00D337FA">
        <w:rPr>
          <w:b/>
          <w:bCs/>
          <w:i/>
          <w:iCs/>
          <w:szCs w:val="24"/>
        </w:rPr>
        <w:t xml:space="preserve"> </w:t>
      </w:r>
      <w:r w:rsidRPr="00D337FA">
        <w:rPr>
          <w:b/>
          <w:bCs/>
          <w:i/>
          <w:iCs/>
          <w:szCs w:val="24"/>
        </w:rPr>
        <w:t>Владимировна</w:t>
      </w:r>
      <w:r w:rsidR="006C680D" w:rsidRPr="00D337FA">
        <w:rPr>
          <w:b/>
          <w:bCs/>
          <w:i/>
          <w:iCs/>
          <w:szCs w:val="24"/>
        </w:rPr>
        <w:t xml:space="preserve"> </w:t>
      </w:r>
      <w:r w:rsidR="00591917" w:rsidRPr="00D337FA">
        <w:rPr>
          <w:i/>
          <w:iCs/>
          <w:szCs w:val="24"/>
        </w:rPr>
        <w:t>–</w:t>
      </w:r>
      <w:r w:rsidR="006C680D" w:rsidRPr="00D337FA">
        <w:rPr>
          <w:i/>
          <w:iCs/>
          <w:szCs w:val="24"/>
        </w:rPr>
        <w:t xml:space="preserve"> </w:t>
      </w:r>
      <w:r w:rsidR="00591917" w:rsidRPr="00D337FA">
        <w:rPr>
          <w:i/>
          <w:iCs/>
          <w:szCs w:val="24"/>
        </w:rPr>
        <w:t>доктор</w:t>
      </w:r>
      <w:r w:rsidR="006C680D" w:rsidRPr="00D337FA">
        <w:rPr>
          <w:i/>
          <w:iCs/>
          <w:szCs w:val="24"/>
        </w:rPr>
        <w:t xml:space="preserve"> </w:t>
      </w:r>
      <w:r w:rsidR="00591917" w:rsidRPr="00D337FA">
        <w:rPr>
          <w:i/>
          <w:iCs/>
          <w:szCs w:val="24"/>
        </w:rPr>
        <w:t>экономических</w:t>
      </w:r>
      <w:r w:rsidR="006C680D" w:rsidRPr="00D337FA">
        <w:rPr>
          <w:i/>
          <w:iCs/>
          <w:szCs w:val="24"/>
        </w:rPr>
        <w:t xml:space="preserve"> </w:t>
      </w:r>
      <w:r w:rsidR="00591917" w:rsidRPr="00D337FA">
        <w:rPr>
          <w:i/>
          <w:iCs/>
          <w:szCs w:val="24"/>
        </w:rPr>
        <w:t>наук,</w:t>
      </w:r>
      <w:r w:rsidR="006C680D" w:rsidRPr="00D337FA">
        <w:rPr>
          <w:i/>
          <w:iCs/>
          <w:szCs w:val="24"/>
        </w:rPr>
        <w:t xml:space="preserve"> </w:t>
      </w:r>
      <w:r w:rsidRPr="00D337FA">
        <w:rPr>
          <w:i/>
          <w:iCs/>
          <w:szCs w:val="24"/>
        </w:rPr>
        <w:t>кафедры</w:t>
      </w:r>
      <w:r w:rsidR="006C680D" w:rsidRPr="00D337FA">
        <w:rPr>
          <w:i/>
          <w:iCs/>
          <w:szCs w:val="24"/>
        </w:rPr>
        <w:t xml:space="preserve"> </w:t>
      </w:r>
      <w:r w:rsidRPr="00D337FA">
        <w:rPr>
          <w:i/>
          <w:iCs/>
          <w:szCs w:val="24"/>
        </w:rPr>
        <w:t>экономики</w:t>
      </w:r>
      <w:r w:rsidR="006C680D" w:rsidRPr="00D337FA">
        <w:rPr>
          <w:i/>
          <w:iCs/>
          <w:szCs w:val="24"/>
        </w:rPr>
        <w:t xml:space="preserve"> </w:t>
      </w:r>
      <w:r w:rsidRPr="00D337FA">
        <w:rPr>
          <w:i/>
          <w:iCs/>
          <w:szCs w:val="24"/>
        </w:rPr>
        <w:t>и</w:t>
      </w:r>
      <w:r w:rsidR="006C680D" w:rsidRPr="00D337FA">
        <w:rPr>
          <w:i/>
          <w:iCs/>
          <w:szCs w:val="24"/>
        </w:rPr>
        <w:t xml:space="preserve"> </w:t>
      </w:r>
      <w:r w:rsidRPr="00D337FA">
        <w:rPr>
          <w:i/>
          <w:iCs/>
          <w:szCs w:val="24"/>
        </w:rPr>
        <w:t>маркетинга,</w:t>
      </w:r>
      <w:r w:rsidR="006C680D" w:rsidRPr="00D337FA">
        <w:rPr>
          <w:i/>
          <w:iCs/>
          <w:szCs w:val="24"/>
        </w:rPr>
        <w:t xml:space="preserve"> </w:t>
      </w:r>
      <w:r w:rsidRPr="00D337FA">
        <w:rPr>
          <w:i/>
          <w:iCs/>
          <w:szCs w:val="24"/>
        </w:rPr>
        <w:t>Саратовский</w:t>
      </w:r>
      <w:r w:rsidR="006C680D" w:rsidRPr="00D337FA">
        <w:rPr>
          <w:i/>
          <w:iCs/>
          <w:szCs w:val="24"/>
        </w:rPr>
        <w:t xml:space="preserve"> </w:t>
      </w:r>
      <w:r w:rsidRPr="00D337FA">
        <w:rPr>
          <w:i/>
          <w:iCs/>
          <w:szCs w:val="24"/>
        </w:rPr>
        <w:t>государственный</w:t>
      </w:r>
      <w:r w:rsidR="006C680D" w:rsidRPr="00D337FA">
        <w:rPr>
          <w:i/>
          <w:iCs/>
          <w:szCs w:val="24"/>
        </w:rPr>
        <w:t xml:space="preserve"> </w:t>
      </w:r>
      <w:r w:rsidRPr="00D337FA">
        <w:rPr>
          <w:i/>
          <w:iCs/>
          <w:szCs w:val="24"/>
        </w:rPr>
        <w:t>технический</w:t>
      </w:r>
      <w:r w:rsidR="006C680D" w:rsidRPr="00D337FA">
        <w:rPr>
          <w:i/>
          <w:iCs/>
          <w:szCs w:val="24"/>
        </w:rPr>
        <w:t xml:space="preserve"> </w:t>
      </w:r>
      <w:r w:rsidRPr="00D337FA">
        <w:rPr>
          <w:i/>
          <w:iCs/>
          <w:szCs w:val="24"/>
        </w:rPr>
        <w:t>университет</w:t>
      </w:r>
      <w:r w:rsidR="006C680D" w:rsidRPr="00D337FA">
        <w:rPr>
          <w:i/>
          <w:iCs/>
          <w:szCs w:val="24"/>
        </w:rPr>
        <w:t xml:space="preserve"> </w:t>
      </w:r>
      <w:r w:rsidRPr="00D337FA">
        <w:rPr>
          <w:i/>
          <w:iCs/>
          <w:szCs w:val="24"/>
        </w:rPr>
        <w:t>имени</w:t>
      </w:r>
      <w:r w:rsidR="006C680D" w:rsidRPr="00D337FA">
        <w:rPr>
          <w:i/>
          <w:iCs/>
          <w:szCs w:val="24"/>
        </w:rPr>
        <w:t xml:space="preserve"> </w:t>
      </w:r>
      <w:r w:rsidRPr="00D337FA">
        <w:rPr>
          <w:i/>
          <w:iCs/>
          <w:szCs w:val="24"/>
        </w:rPr>
        <w:t>Гагарина</w:t>
      </w:r>
      <w:r w:rsidR="006C680D" w:rsidRPr="00D337FA">
        <w:rPr>
          <w:i/>
          <w:iCs/>
          <w:szCs w:val="24"/>
        </w:rPr>
        <w:t xml:space="preserve"> </w:t>
      </w:r>
      <w:r w:rsidRPr="00D337FA">
        <w:rPr>
          <w:i/>
          <w:iCs/>
          <w:szCs w:val="24"/>
        </w:rPr>
        <w:t>Ю.А.,</w:t>
      </w:r>
      <w:r w:rsidR="006C680D" w:rsidRPr="00D337FA">
        <w:rPr>
          <w:i/>
          <w:iCs/>
          <w:szCs w:val="24"/>
        </w:rPr>
        <w:t xml:space="preserve"> </w:t>
      </w:r>
      <w:r w:rsidRPr="00D337FA">
        <w:rPr>
          <w:i/>
          <w:iCs/>
          <w:szCs w:val="24"/>
        </w:rPr>
        <w:t>Россия,</w:t>
      </w:r>
      <w:r w:rsidR="006C680D" w:rsidRPr="00D337FA">
        <w:rPr>
          <w:i/>
          <w:iCs/>
          <w:szCs w:val="24"/>
        </w:rPr>
        <w:t xml:space="preserve"> </w:t>
      </w:r>
      <w:r w:rsidRPr="00D337FA">
        <w:rPr>
          <w:i/>
          <w:iCs/>
          <w:szCs w:val="24"/>
        </w:rPr>
        <w:t>410054,</w:t>
      </w:r>
      <w:r w:rsidR="006C680D" w:rsidRPr="00D337FA">
        <w:rPr>
          <w:i/>
          <w:iCs/>
          <w:szCs w:val="24"/>
        </w:rPr>
        <w:t xml:space="preserve"> </w:t>
      </w:r>
      <w:r w:rsidRPr="00D337FA">
        <w:rPr>
          <w:i/>
          <w:iCs/>
          <w:szCs w:val="24"/>
        </w:rPr>
        <w:t>г.</w:t>
      </w:r>
      <w:r w:rsidR="006C680D" w:rsidRPr="00D337FA">
        <w:rPr>
          <w:i/>
          <w:iCs/>
          <w:szCs w:val="24"/>
        </w:rPr>
        <w:t xml:space="preserve"> </w:t>
      </w:r>
      <w:r w:rsidRPr="00D337FA">
        <w:rPr>
          <w:i/>
          <w:iCs/>
          <w:szCs w:val="24"/>
        </w:rPr>
        <w:t>Саратов,</w:t>
      </w:r>
      <w:r w:rsidR="006C680D" w:rsidRPr="00D337FA">
        <w:rPr>
          <w:i/>
          <w:iCs/>
          <w:szCs w:val="24"/>
        </w:rPr>
        <w:t xml:space="preserve"> </w:t>
      </w:r>
      <w:r w:rsidRPr="00D337FA">
        <w:rPr>
          <w:i/>
          <w:iCs/>
          <w:szCs w:val="24"/>
        </w:rPr>
        <w:t>ул.</w:t>
      </w:r>
      <w:r w:rsidR="006C680D" w:rsidRPr="00D337FA">
        <w:rPr>
          <w:i/>
          <w:iCs/>
          <w:szCs w:val="24"/>
        </w:rPr>
        <w:t xml:space="preserve"> </w:t>
      </w:r>
      <w:r w:rsidRPr="00D337FA">
        <w:rPr>
          <w:i/>
          <w:iCs/>
          <w:szCs w:val="24"/>
        </w:rPr>
        <w:t>Политехническая,</w:t>
      </w:r>
      <w:r w:rsidR="006C680D" w:rsidRPr="00D337FA">
        <w:rPr>
          <w:i/>
          <w:iCs/>
          <w:szCs w:val="24"/>
        </w:rPr>
        <w:t xml:space="preserve"> </w:t>
      </w:r>
      <w:r w:rsidRPr="00D337FA">
        <w:rPr>
          <w:i/>
          <w:iCs/>
          <w:szCs w:val="24"/>
        </w:rPr>
        <w:t>д.</w:t>
      </w:r>
      <w:r w:rsidR="006C680D" w:rsidRPr="00D337FA">
        <w:rPr>
          <w:i/>
          <w:iCs/>
          <w:szCs w:val="24"/>
        </w:rPr>
        <w:t xml:space="preserve"> </w:t>
      </w:r>
      <w:r w:rsidRPr="00D337FA">
        <w:rPr>
          <w:i/>
          <w:iCs/>
          <w:szCs w:val="24"/>
        </w:rPr>
        <w:t>77;</w:t>
      </w:r>
      <w:r w:rsidR="006C680D" w:rsidRPr="00D337FA">
        <w:rPr>
          <w:i/>
          <w:iCs/>
          <w:szCs w:val="24"/>
        </w:rPr>
        <w:t xml:space="preserve"> </w:t>
      </w:r>
      <w:r w:rsidRPr="00D337FA">
        <w:rPr>
          <w:i/>
          <w:iCs/>
          <w:szCs w:val="24"/>
        </w:rPr>
        <w:t>E-mail:</w:t>
      </w:r>
      <w:r w:rsidR="006C680D" w:rsidRPr="00D337FA">
        <w:rPr>
          <w:i/>
          <w:iCs/>
          <w:szCs w:val="24"/>
        </w:rPr>
        <w:t xml:space="preserve"> </w:t>
      </w:r>
      <w:r w:rsidRPr="00D337FA">
        <w:rPr>
          <w:i/>
          <w:iCs/>
          <w:szCs w:val="24"/>
        </w:rPr>
        <w:t>o.pruchak@yandex.ru;</w:t>
      </w:r>
      <w:r w:rsidR="006C680D" w:rsidRPr="00D337FA">
        <w:rPr>
          <w:i/>
          <w:iCs/>
          <w:szCs w:val="24"/>
        </w:rPr>
        <w:t xml:space="preserve"> </w:t>
      </w:r>
      <w:r w:rsidRPr="00D337FA">
        <w:rPr>
          <w:i/>
          <w:iCs/>
          <w:szCs w:val="24"/>
        </w:rPr>
        <w:t>https://orcid.org/0000-0001-5201-2650</w:t>
      </w:r>
    </w:p>
    <w:p w:rsidR="008268E9" w:rsidRPr="00D337FA" w:rsidRDefault="00F81124" w:rsidP="0042656C">
      <w:pPr>
        <w:tabs>
          <w:tab w:val="left" w:pos="284"/>
        </w:tabs>
        <w:ind w:firstLine="284"/>
        <w:rPr>
          <w:i/>
          <w:szCs w:val="24"/>
          <w:lang w:val="en-US"/>
        </w:rPr>
      </w:pPr>
      <w:r w:rsidRPr="00D337FA">
        <w:rPr>
          <w:b/>
          <w:bCs/>
          <w:i/>
          <w:iCs/>
          <w:szCs w:val="24"/>
          <w:lang w:val="en-US"/>
        </w:rPr>
        <w:lastRenderedPageBreak/>
        <w:t>Dmitry</w:t>
      </w:r>
      <w:r w:rsidR="006C680D" w:rsidRPr="00D337FA">
        <w:rPr>
          <w:b/>
          <w:bCs/>
          <w:i/>
          <w:iCs/>
          <w:szCs w:val="24"/>
          <w:lang w:val="en-US"/>
        </w:rPr>
        <w:t xml:space="preserve"> </w:t>
      </w:r>
      <w:r w:rsidRPr="00D337FA">
        <w:rPr>
          <w:b/>
          <w:bCs/>
          <w:i/>
          <w:iCs/>
          <w:szCs w:val="24"/>
          <w:lang w:val="en-US"/>
        </w:rPr>
        <w:t>V</w:t>
      </w:r>
      <w:r w:rsidR="00B07E32">
        <w:rPr>
          <w:b/>
          <w:bCs/>
          <w:i/>
          <w:iCs/>
          <w:szCs w:val="24"/>
          <w:lang w:val="en-US"/>
        </w:rPr>
        <w:t xml:space="preserve">. </w:t>
      </w:r>
      <w:r w:rsidR="00B07E32" w:rsidRPr="00B07E32">
        <w:rPr>
          <w:b/>
          <w:bCs/>
          <w:i/>
          <w:iCs/>
          <w:szCs w:val="24"/>
          <w:lang w:val="en-US"/>
        </w:rPr>
        <w:t>Sevastyanov</w:t>
      </w:r>
      <w:r w:rsidR="006C680D" w:rsidRPr="00D337FA">
        <w:rPr>
          <w:i/>
          <w:iCs/>
          <w:szCs w:val="24"/>
          <w:lang w:val="en-US"/>
        </w:rPr>
        <w:t xml:space="preserve"> </w:t>
      </w:r>
      <w:r w:rsidRPr="00D337FA">
        <w:rPr>
          <w:i/>
          <w:iCs/>
          <w:szCs w:val="24"/>
          <w:lang w:val="en-US"/>
        </w:rPr>
        <w:t>–</w:t>
      </w:r>
      <w:r w:rsidR="006C680D" w:rsidRPr="00D337FA">
        <w:rPr>
          <w:i/>
          <w:iCs/>
          <w:szCs w:val="24"/>
          <w:lang w:val="en-US"/>
        </w:rPr>
        <w:t xml:space="preserve"> </w:t>
      </w:r>
      <w:r w:rsidR="0042656C" w:rsidRPr="00D337FA">
        <w:rPr>
          <w:i/>
          <w:iCs/>
          <w:szCs w:val="24"/>
          <w:lang w:val="en-US"/>
        </w:rPr>
        <w:t>Postgraduate</w:t>
      </w:r>
      <w:r w:rsidR="006C680D" w:rsidRPr="00D337FA">
        <w:rPr>
          <w:i/>
          <w:iCs/>
          <w:szCs w:val="24"/>
          <w:lang w:val="en-US"/>
        </w:rPr>
        <w:t xml:space="preserve"> </w:t>
      </w:r>
      <w:r w:rsidR="0042656C" w:rsidRPr="00D337FA">
        <w:rPr>
          <w:i/>
          <w:iCs/>
          <w:szCs w:val="24"/>
          <w:lang w:val="en-US"/>
        </w:rPr>
        <w:t>student,</w:t>
      </w:r>
      <w:r w:rsidR="006C680D" w:rsidRPr="00D337FA">
        <w:rPr>
          <w:i/>
          <w:iCs/>
          <w:szCs w:val="24"/>
          <w:lang w:val="en-US"/>
        </w:rPr>
        <w:t xml:space="preserve"> </w:t>
      </w:r>
      <w:r w:rsidR="0042656C" w:rsidRPr="00D337FA">
        <w:rPr>
          <w:i/>
          <w:iCs/>
          <w:szCs w:val="24"/>
          <w:lang w:val="en-US"/>
        </w:rPr>
        <w:t>Yuri</w:t>
      </w:r>
      <w:r w:rsidR="006C680D" w:rsidRPr="00D337FA">
        <w:rPr>
          <w:i/>
          <w:iCs/>
          <w:szCs w:val="24"/>
          <w:lang w:val="en-US"/>
        </w:rPr>
        <w:t xml:space="preserve"> </w:t>
      </w:r>
      <w:r w:rsidR="0042656C" w:rsidRPr="00D337FA">
        <w:rPr>
          <w:i/>
          <w:iCs/>
          <w:szCs w:val="24"/>
          <w:lang w:val="en-US"/>
        </w:rPr>
        <w:t>Gagarin</w:t>
      </w:r>
      <w:r w:rsidR="006C680D" w:rsidRPr="00D337FA">
        <w:rPr>
          <w:i/>
          <w:iCs/>
          <w:szCs w:val="24"/>
          <w:lang w:val="en-US"/>
        </w:rPr>
        <w:t xml:space="preserve"> </w:t>
      </w:r>
      <w:r w:rsidR="0042656C" w:rsidRPr="00D337FA">
        <w:rPr>
          <w:i/>
          <w:iCs/>
          <w:szCs w:val="24"/>
          <w:lang w:val="en-US"/>
        </w:rPr>
        <w:t>State</w:t>
      </w:r>
      <w:r w:rsidR="006C680D" w:rsidRPr="00D337FA">
        <w:rPr>
          <w:i/>
          <w:iCs/>
          <w:szCs w:val="24"/>
          <w:lang w:val="en-US"/>
        </w:rPr>
        <w:t xml:space="preserve"> </w:t>
      </w:r>
      <w:r w:rsidR="0042656C" w:rsidRPr="00D337FA">
        <w:rPr>
          <w:i/>
          <w:iCs/>
          <w:szCs w:val="24"/>
          <w:lang w:val="en-US"/>
        </w:rPr>
        <w:t>Technical</w:t>
      </w:r>
      <w:r w:rsidR="006C680D" w:rsidRPr="00D337FA">
        <w:rPr>
          <w:i/>
          <w:iCs/>
          <w:szCs w:val="24"/>
          <w:lang w:val="en-US"/>
        </w:rPr>
        <w:t xml:space="preserve"> </w:t>
      </w:r>
      <w:r w:rsidR="0042656C" w:rsidRPr="00D337FA">
        <w:rPr>
          <w:i/>
          <w:iCs/>
          <w:szCs w:val="24"/>
          <w:lang w:val="en-US"/>
        </w:rPr>
        <w:t>University</w:t>
      </w:r>
      <w:r w:rsidR="006C680D" w:rsidRPr="00D337FA">
        <w:rPr>
          <w:i/>
          <w:iCs/>
          <w:szCs w:val="24"/>
          <w:lang w:val="en-US"/>
        </w:rPr>
        <w:t xml:space="preserve"> </w:t>
      </w:r>
      <w:r w:rsidR="0042656C" w:rsidRPr="00D337FA">
        <w:rPr>
          <w:i/>
          <w:iCs/>
          <w:szCs w:val="24"/>
          <w:lang w:val="en-US"/>
        </w:rPr>
        <w:t>of</w:t>
      </w:r>
      <w:r w:rsidR="006C680D" w:rsidRPr="00D337FA">
        <w:rPr>
          <w:i/>
          <w:iCs/>
          <w:szCs w:val="24"/>
          <w:lang w:val="en-US"/>
        </w:rPr>
        <w:t xml:space="preserve"> </w:t>
      </w:r>
      <w:r w:rsidR="0042656C" w:rsidRPr="00D337FA">
        <w:rPr>
          <w:i/>
          <w:iCs/>
          <w:szCs w:val="24"/>
          <w:lang w:val="en-US"/>
        </w:rPr>
        <w:t>Saratov,</w:t>
      </w:r>
      <w:r w:rsidR="006C680D" w:rsidRPr="00D337FA">
        <w:rPr>
          <w:i/>
          <w:iCs/>
          <w:szCs w:val="24"/>
          <w:lang w:val="en-US"/>
        </w:rPr>
        <w:t xml:space="preserve"> </w:t>
      </w:r>
      <w:r w:rsidR="0042656C" w:rsidRPr="00D337FA">
        <w:rPr>
          <w:i/>
          <w:iCs/>
          <w:szCs w:val="24"/>
          <w:lang w:val="en-US"/>
        </w:rPr>
        <w:t>77,</w:t>
      </w:r>
      <w:r w:rsidR="006C680D" w:rsidRPr="00D337FA">
        <w:rPr>
          <w:i/>
          <w:iCs/>
          <w:szCs w:val="24"/>
          <w:lang w:val="en-US"/>
        </w:rPr>
        <w:t xml:space="preserve"> </w:t>
      </w:r>
      <w:r w:rsidR="0042656C" w:rsidRPr="00D337FA">
        <w:rPr>
          <w:i/>
          <w:iCs/>
          <w:szCs w:val="24"/>
          <w:lang w:val="en-US"/>
        </w:rPr>
        <w:t>Politechnicheskaya</w:t>
      </w:r>
      <w:r w:rsidR="006C680D" w:rsidRPr="00D337FA">
        <w:rPr>
          <w:i/>
          <w:iCs/>
          <w:szCs w:val="24"/>
          <w:lang w:val="en-US"/>
        </w:rPr>
        <w:t xml:space="preserve"> </w:t>
      </w:r>
      <w:r w:rsidR="0042656C" w:rsidRPr="00D337FA">
        <w:rPr>
          <w:i/>
          <w:iCs/>
          <w:szCs w:val="24"/>
          <w:lang w:val="en-US"/>
        </w:rPr>
        <w:t>St.,</w:t>
      </w:r>
      <w:r w:rsidR="006C680D" w:rsidRPr="00D337FA">
        <w:rPr>
          <w:i/>
          <w:iCs/>
          <w:szCs w:val="24"/>
          <w:lang w:val="en-US"/>
        </w:rPr>
        <w:t xml:space="preserve"> </w:t>
      </w:r>
      <w:r w:rsidR="0042656C" w:rsidRPr="00D337FA">
        <w:rPr>
          <w:i/>
          <w:iCs/>
          <w:szCs w:val="24"/>
          <w:lang w:val="en-US"/>
        </w:rPr>
        <w:t>Saratov,</w:t>
      </w:r>
      <w:r w:rsidR="006C680D" w:rsidRPr="00D337FA">
        <w:rPr>
          <w:i/>
          <w:iCs/>
          <w:szCs w:val="24"/>
          <w:lang w:val="en-US"/>
        </w:rPr>
        <w:t xml:space="preserve"> </w:t>
      </w:r>
      <w:r w:rsidR="0042656C" w:rsidRPr="00D337FA">
        <w:rPr>
          <w:i/>
          <w:iCs/>
          <w:szCs w:val="24"/>
          <w:lang w:val="en-US"/>
        </w:rPr>
        <w:t>410054,</w:t>
      </w:r>
      <w:r w:rsidR="006C680D" w:rsidRPr="00D337FA">
        <w:rPr>
          <w:i/>
          <w:iCs/>
          <w:szCs w:val="24"/>
          <w:lang w:val="en-US"/>
        </w:rPr>
        <w:t xml:space="preserve"> </w:t>
      </w:r>
      <w:r w:rsidR="0042656C" w:rsidRPr="00D337FA">
        <w:rPr>
          <w:i/>
          <w:iCs/>
          <w:szCs w:val="24"/>
          <w:lang w:val="en-US"/>
        </w:rPr>
        <w:t>Russia;</w:t>
      </w:r>
      <w:r w:rsidR="006C680D" w:rsidRPr="00D337FA">
        <w:rPr>
          <w:i/>
          <w:iCs/>
          <w:szCs w:val="24"/>
          <w:lang w:val="en-US"/>
        </w:rPr>
        <w:t xml:space="preserve"> </w:t>
      </w:r>
      <w:r w:rsidRPr="00D337FA">
        <w:rPr>
          <w:i/>
          <w:iCs/>
          <w:szCs w:val="24"/>
          <w:lang w:val="en-US"/>
        </w:rPr>
        <w:t>E-mail:</w:t>
      </w:r>
      <w:r w:rsidR="006C680D" w:rsidRPr="00D337FA">
        <w:rPr>
          <w:i/>
          <w:iCs/>
          <w:szCs w:val="24"/>
          <w:lang w:val="en-US"/>
        </w:rPr>
        <w:t xml:space="preserve"> </w:t>
      </w:r>
      <w:r w:rsidR="008268E9" w:rsidRPr="00D337FA">
        <w:rPr>
          <w:i/>
          <w:iCs/>
          <w:szCs w:val="24"/>
          <w:lang w:val="en-US"/>
        </w:rPr>
        <w:t>vayyaya@inbox.ru</w:t>
      </w:r>
      <w:r w:rsidRPr="00D337FA">
        <w:rPr>
          <w:i/>
          <w:iCs/>
          <w:szCs w:val="24"/>
          <w:lang w:val="en-US"/>
        </w:rPr>
        <w:t>;</w:t>
      </w:r>
      <w:r w:rsidR="006C680D" w:rsidRPr="00D337FA">
        <w:rPr>
          <w:i/>
          <w:iCs/>
          <w:szCs w:val="24"/>
          <w:lang w:val="en-US"/>
        </w:rPr>
        <w:t xml:space="preserve"> </w:t>
      </w:r>
      <w:r w:rsidRPr="00D337FA">
        <w:rPr>
          <w:i/>
          <w:iCs/>
          <w:szCs w:val="24"/>
          <w:lang w:val="en-US"/>
        </w:rPr>
        <w:t>https://orcid.org</w:t>
      </w:r>
      <w:r w:rsidR="006C680D" w:rsidRPr="00D337FA">
        <w:rPr>
          <w:i/>
          <w:iCs/>
          <w:szCs w:val="24"/>
          <w:lang w:val="en-US"/>
        </w:rPr>
        <w:t xml:space="preserve"> </w:t>
      </w:r>
      <w:r w:rsidRPr="00D337FA">
        <w:rPr>
          <w:i/>
          <w:iCs/>
          <w:szCs w:val="24"/>
          <w:lang w:val="en-US"/>
        </w:rPr>
        <w:t>/</w:t>
      </w:r>
      <w:r w:rsidR="008268E9" w:rsidRPr="00D337FA">
        <w:rPr>
          <w:i/>
          <w:iCs/>
          <w:szCs w:val="24"/>
          <w:lang w:val="en-US"/>
        </w:rPr>
        <w:t>0009-0005-5301-9439</w:t>
      </w:r>
      <w:r w:rsidR="006C680D" w:rsidRPr="00D337FA">
        <w:rPr>
          <w:i/>
          <w:iCs/>
          <w:szCs w:val="24"/>
          <w:lang w:val="en-US"/>
        </w:rPr>
        <w:t xml:space="preserve"> </w:t>
      </w:r>
    </w:p>
    <w:p w:rsidR="0042656C" w:rsidRPr="00D337FA" w:rsidRDefault="0042656C" w:rsidP="00F81124">
      <w:pPr>
        <w:tabs>
          <w:tab w:val="left" w:pos="284"/>
        </w:tabs>
        <w:ind w:firstLine="284"/>
        <w:rPr>
          <w:i/>
          <w:szCs w:val="24"/>
          <w:lang w:val="en-US"/>
        </w:rPr>
      </w:pPr>
    </w:p>
    <w:p w:rsidR="0042656C" w:rsidRPr="00D337FA" w:rsidRDefault="0042656C" w:rsidP="00F81124">
      <w:pPr>
        <w:tabs>
          <w:tab w:val="left" w:pos="284"/>
        </w:tabs>
        <w:ind w:firstLine="284"/>
        <w:rPr>
          <w:i/>
          <w:szCs w:val="24"/>
          <w:lang w:val="en-US"/>
        </w:rPr>
      </w:pPr>
    </w:p>
    <w:p w:rsidR="003802B5" w:rsidRPr="00D337FA" w:rsidRDefault="0058560B" w:rsidP="008268E9">
      <w:pPr>
        <w:ind w:firstLine="284"/>
        <w:rPr>
          <w:i/>
          <w:szCs w:val="24"/>
          <w:lang w:val="en-US"/>
        </w:rPr>
      </w:pPr>
      <w:r w:rsidRPr="00D337FA">
        <w:rPr>
          <w:b/>
          <w:i/>
          <w:szCs w:val="24"/>
          <w:lang w:val="en-US"/>
        </w:rPr>
        <w:t>Olesya</w:t>
      </w:r>
      <w:r w:rsidR="006C680D" w:rsidRPr="00D337FA">
        <w:rPr>
          <w:b/>
          <w:i/>
          <w:szCs w:val="24"/>
          <w:lang w:val="en-US"/>
        </w:rPr>
        <w:t xml:space="preserve"> </w:t>
      </w:r>
      <w:r w:rsidRPr="00D337FA">
        <w:rPr>
          <w:b/>
          <w:i/>
          <w:szCs w:val="24"/>
          <w:lang w:val="en-US"/>
        </w:rPr>
        <w:t>V.</w:t>
      </w:r>
      <w:r w:rsidR="006C680D" w:rsidRPr="00D337FA">
        <w:rPr>
          <w:b/>
          <w:i/>
          <w:szCs w:val="24"/>
          <w:lang w:val="en-US"/>
        </w:rPr>
        <w:t xml:space="preserve"> </w:t>
      </w:r>
      <w:r w:rsidRPr="00D337FA">
        <w:rPr>
          <w:b/>
          <w:i/>
          <w:szCs w:val="24"/>
          <w:lang w:val="en-US"/>
        </w:rPr>
        <w:t>Pruschak</w:t>
      </w:r>
      <w:r w:rsidR="006C680D" w:rsidRPr="00D337FA">
        <w:rPr>
          <w:b/>
          <w:i/>
          <w:szCs w:val="24"/>
          <w:lang w:val="en-US"/>
        </w:rPr>
        <w:t xml:space="preserve"> </w:t>
      </w:r>
      <w:r w:rsidR="00F81124" w:rsidRPr="00D337FA">
        <w:rPr>
          <w:b/>
          <w:i/>
          <w:szCs w:val="24"/>
          <w:lang w:val="en-US"/>
        </w:rPr>
        <w:t>–</w:t>
      </w:r>
      <w:r w:rsidR="006C680D" w:rsidRPr="00D337FA">
        <w:rPr>
          <w:b/>
          <w:i/>
          <w:szCs w:val="24"/>
          <w:lang w:val="en-US"/>
        </w:rPr>
        <w:t xml:space="preserve"> </w:t>
      </w:r>
      <w:r w:rsidR="00D337FA" w:rsidRPr="00D337FA">
        <w:rPr>
          <w:i/>
          <w:szCs w:val="24"/>
          <w:lang w:val="en-US"/>
        </w:rPr>
        <w:t>Dr. Sc. (Economics), Professor of the Department of Economics and Marketing</w:t>
      </w:r>
      <w:r w:rsidR="008268E9" w:rsidRPr="00D337FA">
        <w:rPr>
          <w:i/>
          <w:szCs w:val="24"/>
          <w:lang w:val="en-US"/>
        </w:rPr>
        <w:t>,</w:t>
      </w:r>
      <w:r w:rsidR="006C680D" w:rsidRPr="00D337FA">
        <w:rPr>
          <w:i/>
          <w:szCs w:val="24"/>
          <w:lang w:val="en-US"/>
        </w:rPr>
        <w:t xml:space="preserve"> </w:t>
      </w:r>
      <w:r w:rsidR="0042656C" w:rsidRPr="00D337FA">
        <w:rPr>
          <w:i/>
          <w:szCs w:val="24"/>
          <w:lang w:val="en-US"/>
        </w:rPr>
        <w:t>Yuri</w:t>
      </w:r>
      <w:r w:rsidR="006C680D" w:rsidRPr="00D337FA">
        <w:rPr>
          <w:i/>
          <w:szCs w:val="24"/>
          <w:lang w:val="en-US"/>
        </w:rPr>
        <w:t xml:space="preserve"> </w:t>
      </w:r>
      <w:r w:rsidR="0042656C" w:rsidRPr="00D337FA">
        <w:rPr>
          <w:i/>
          <w:szCs w:val="24"/>
          <w:lang w:val="en-US"/>
        </w:rPr>
        <w:t>Gagarin</w:t>
      </w:r>
      <w:r w:rsidR="006C680D" w:rsidRPr="00D337FA">
        <w:rPr>
          <w:i/>
          <w:szCs w:val="24"/>
          <w:lang w:val="en-US"/>
        </w:rPr>
        <w:t xml:space="preserve"> </w:t>
      </w:r>
      <w:r w:rsidR="0042656C" w:rsidRPr="00D337FA">
        <w:rPr>
          <w:i/>
          <w:szCs w:val="24"/>
          <w:lang w:val="en-US"/>
        </w:rPr>
        <w:t>State</w:t>
      </w:r>
      <w:r w:rsidR="006C680D" w:rsidRPr="00D337FA">
        <w:rPr>
          <w:i/>
          <w:szCs w:val="24"/>
          <w:lang w:val="en-US"/>
        </w:rPr>
        <w:t xml:space="preserve"> </w:t>
      </w:r>
      <w:r w:rsidR="0042656C" w:rsidRPr="00D337FA">
        <w:rPr>
          <w:i/>
          <w:szCs w:val="24"/>
          <w:lang w:val="en-US"/>
        </w:rPr>
        <w:t>Technical</w:t>
      </w:r>
      <w:r w:rsidR="006C680D" w:rsidRPr="00D337FA">
        <w:rPr>
          <w:i/>
          <w:szCs w:val="24"/>
          <w:lang w:val="en-US"/>
        </w:rPr>
        <w:t xml:space="preserve"> </w:t>
      </w:r>
      <w:r w:rsidR="0042656C" w:rsidRPr="00D337FA">
        <w:rPr>
          <w:i/>
          <w:szCs w:val="24"/>
          <w:lang w:val="en-US"/>
        </w:rPr>
        <w:t>University</w:t>
      </w:r>
      <w:r w:rsidR="006C680D" w:rsidRPr="00D337FA">
        <w:rPr>
          <w:i/>
          <w:szCs w:val="24"/>
          <w:lang w:val="en-US"/>
        </w:rPr>
        <w:t xml:space="preserve"> </w:t>
      </w:r>
      <w:r w:rsidR="0042656C" w:rsidRPr="00D337FA">
        <w:rPr>
          <w:i/>
          <w:szCs w:val="24"/>
          <w:lang w:val="en-US"/>
        </w:rPr>
        <w:t>of</w:t>
      </w:r>
      <w:r w:rsidR="006C680D" w:rsidRPr="00D337FA">
        <w:rPr>
          <w:i/>
          <w:szCs w:val="24"/>
          <w:lang w:val="en-US"/>
        </w:rPr>
        <w:t xml:space="preserve"> </w:t>
      </w:r>
      <w:r w:rsidR="0042656C" w:rsidRPr="00D337FA">
        <w:rPr>
          <w:i/>
          <w:szCs w:val="24"/>
          <w:lang w:val="en-US"/>
        </w:rPr>
        <w:t>Saratov,</w:t>
      </w:r>
      <w:r w:rsidR="006C680D" w:rsidRPr="00D337FA">
        <w:rPr>
          <w:i/>
          <w:szCs w:val="24"/>
          <w:lang w:val="en-US"/>
        </w:rPr>
        <w:t xml:space="preserve"> </w:t>
      </w:r>
      <w:r w:rsidR="0042656C" w:rsidRPr="00D337FA">
        <w:rPr>
          <w:i/>
          <w:szCs w:val="24"/>
          <w:lang w:val="en-US"/>
        </w:rPr>
        <w:t>77,</w:t>
      </w:r>
      <w:r w:rsidR="006C680D" w:rsidRPr="00D337FA">
        <w:rPr>
          <w:i/>
          <w:szCs w:val="24"/>
          <w:lang w:val="en-US"/>
        </w:rPr>
        <w:t xml:space="preserve"> </w:t>
      </w:r>
      <w:r w:rsidR="0042656C" w:rsidRPr="00D337FA">
        <w:rPr>
          <w:i/>
          <w:szCs w:val="24"/>
          <w:lang w:val="en-US"/>
        </w:rPr>
        <w:t>Politechnicheskaya</w:t>
      </w:r>
      <w:r w:rsidR="006C680D" w:rsidRPr="00D337FA">
        <w:rPr>
          <w:i/>
          <w:szCs w:val="24"/>
          <w:lang w:val="en-US"/>
        </w:rPr>
        <w:t xml:space="preserve"> </w:t>
      </w:r>
      <w:r w:rsidR="0042656C" w:rsidRPr="00D337FA">
        <w:rPr>
          <w:i/>
          <w:szCs w:val="24"/>
          <w:lang w:val="en-US"/>
        </w:rPr>
        <w:t>St.,</w:t>
      </w:r>
      <w:r w:rsidR="006C680D" w:rsidRPr="00D337FA">
        <w:rPr>
          <w:i/>
          <w:szCs w:val="24"/>
          <w:lang w:val="en-US"/>
        </w:rPr>
        <w:t xml:space="preserve"> </w:t>
      </w:r>
      <w:r w:rsidR="0042656C" w:rsidRPr="00D337FA">
        <w:rPr>
          <w:i/>
          <w:szCs w:val="24"/>
          <w:lang w:val="en-US"/>
        </w:rPr>
        <w:t>Saratov,</w:t>
      </w:r>
      <w:r w:rsidR="006C680D" w:rsidRPr="00D337FA">
        <w:rPr>
          <w:i/>
          <w:szCs w:val="24"/>
          <w:lang w:val="en-US"/>
        </w:rPr>
        <w:t xml:space="preserve"> </w:t>
      </w:r>
      <w:r w:rsidR="0042656C" w:rsidRPr="00D337FA">
        <w:rPr>
          <w:i/>
          <w:szCs w:val="24"/>
          <w:lang w:val="en-US"/>
        </w:rPr>
        <w:t>410054,</w:t>
      </w:r>
      <w:r w:rsidR="006C680D" w:rsidRPr="00D337FA">
        <w:rPr>
          <w:i/>
          <w:szCs w:val="24"/>
          <w:lang w:val="en-US"/>
        </w:rPr>
        <w:t xml:space="preserve"> </w:t>
      </w:r>
      <w:r w:rsidR="0042656C" w:rsidRPr="00D337FA">
        <w:rPr>
          <w:i/>
          <w:szCs w:val="24"/>
          <w:lang w:val="en-US"/>
        </w:rPr>
        <w:t>Russia;</w:t>
      </w:r>
      <w:r w:rsidR="006C680D" w:rsidRPr="00D337FA">
        <w:rPr>
          <w:i/>
          <w:szCs w:val="24"/>
          <w:lang w:val="en-US"/>
        </w:rPr>
        <w:t xml:space="preserve"> </w:t>
      </w:r>
      <w:r w:rsidR="008268E9" w:rsidRPr="00D337FA">
        <w:rPr>
          <w:i/>
          <w:szCs w:val="24"/>
          <w:lang w:val="en-US"/>
        </w:rPr>
        <w:t>E-mail:</w:t>
      </w:r>
      <w:r w:rsidR="006C680D" w:rsidRPr="00D337FA">
        <w:rPr>
          <w:i/>
          <w:szCs w:val="24"/>
          <w:lang w:val="en-US"/>
        </w:rPr>
        <w:t xml:space="preserve"> </w:t>
      </w:r>
      <w:r w:rsidR="008268E9" w:rsidRPr="00D337FA">
        <w:rPr>
          <w:i/>
          <w:szCs w:val="24"/>
          <w:lang w:val="en-US"/>
        </w:rPr>
        <w:t>o.pruchak@yandex.ru;</w:t>
      </w:r>
      <w:r w:rsidR="006C680D" w:rsidRPr="00D337FA">
        <w:rPr>
          <w:i/>
          <w:szCs w:val="24"/>
          <w:lang w:val="en-US"/>
        </w:rPr>
        <w:t xml:space="preserve"> </w:t>
      </w:r>
      <w:r w:rsidR="008268E9" w:rsidRPr="00D337FA">
        <w:rPr>
          <w:i/>
          <w:szCs w:val="24"/>
          <w:lang w:val="en-US"/>
        </w:rPr>
        <w:t>https://orcid.org</w:t>
      </w:r>
      <w:r w:rsidR="006C680D" w:rsidRPr="00D337FA">
        <w:rPr>
          <w:i/>
          <w:szCs w:val="24"/>
          <w:lang w:val="en-US"/>
        </w:rPr>
        <w:t xml:space="preserve"> </w:t>
      </w:r>
      <w:r w:rsidR="008268E9" w:rsidRPr="00D337FA">
        <w:rPr>
          <w:i/>
          <w:szCs w:val="24"/>
          <w:lang w:val="en-US"/>
        </w:rPr>
        <w:t>/0000-0001-5201-2650</w:t>
      </w:r>
    </w:p>
    <w:p w:rsidR="00D33863" w:rsidRPr="00D337FA" w:rsidRDefault="00D33863" w:rsidP="00591917">
      <w:pPr>
        <w:ind w:firstLine="284"/>
        <w:rPr>
          <w:i/>
          <w:iCs/>
          <w:szCs w:val="24"/>
          <w:lang w:val="en-US"/>
        </w:rPr>
      </w:pPr>
    </w:p>
    <w:p w:rsidR="002E26D0" w:rsidRPr="00D337FA" w:rsidRDefault="002E26D0" w:rsidP="002E26D0">
      <w:pPr>
        <w:kinsoku w:val="0"/>
        <w:overflowPunct w:val="0"/>
        <w:autoSpaceDE w:val="0"/>
        <w:autoSpaceDN w:val="0"/>
        <w:spacing w:before="120"/>
        <w:jc w:val="right"/>
        <w:outlineLvl w:val="0"/>
        <w:rPr>
          <w:i/>
          <w:sz w:val="22"/>
          <w:szCs w:val="22"/>
          <w:highlight w:val="yellow"/>
          <w:lang w:val="de-DE"/>
        </w:rPr>
        <w:sectPr w:rsidR="002E26D0" w:rsidRPr="00D337FA" w:rsidSect="00847021">
          <w:footnotePr>
            <w:numRestart w:val="eachPage"/>
          </w:footnotePr>
          <w:type w:val="continuous"/>
          <w:pgSz w:w="11907" w:h="16840" w:code="9"/>
          <w:pgMar w:top="1418" w:right="1134" w:bottom="1418" w:left="1134" w:header="1021" w:footer="1021" w:gutter="0"/>
          <w:cols w:num="2" w:space="708"/>
          <w:docGrid w:linePitch="360"/>
        </w:sectPr>
      </w:pPr>
    </w:p>
    <w:p w:rsidR="002E26D0" w:rsidRPr="003E3A6F" w:rsidRDefault="002E26D0" w:rsidP="002E26D0">
      <w:pPr>
        <w:kinsoku w:val="0"/>
        <w:overflowPunct w:val="0"/>
        <w:autoSpaceDE w:val="0"/>
        <w:autoSpaceDN w:val="0"/>
        <w:spacing w:before="120"/>
        <w:jc w:val="right"/>
        <w:outlineLvl w:val="0"/>
        <w:rPr>
          <w:i/>
          <w:sz w:val="22"/>
          <w:szCs w:val="22"/>
        </w:rPr>
      </w:pPr>
      <w:r w:rsidRPr="003E3A6F">
        <w:rPr>
          <w:i/>
          <w:sz w:val="22"/>
          <w:szCs w:val="22"/>
        </w:rPr>
        <w:lastRenderedPageBreak/>
        <w:t>Статья</w:t>
      </w:r>
      <w:r w:rsidR="006C680D" w:rsidRPr="003E3A6F">
        <w:rPr>
          <w:i/>
          <w:sz w:val="22"/>
          <w:szCs w:val="22"/>
        </w:rPr>
        <w:t xml:space="preserve"> </w:t>
      </w:r>
      <w:r w:rsidRPr="003E3A6F">
        <w:rPr>
          <w:i/>
          <w:sz w:val="22"/>
          <w:szCs w:val="22"/>
        </w:rPr>
        <w:t>поступила</w:t>
      </w:r>
      <w:r w:rsidR="006C680D" w:rsidRPr="003E3A6F">
        <w:rPr>
          <w:i/>
          <w:sz w:val="22"/>
          <w:szCs w:val="22"/>
        </w:rPr>
        <w:t xml:space="preserve"> </w:t>
      </w:r>
      <w:r w:rsidRPr="003E3A6F">
        <w:rPr>
          <w:i/>
          <w:sz w:val="22"/>
          <w:szCs w:val="22"/>
        </w:rPr>
        <w:t>в</w:t>
      </w:r>
      <w:r w:rsidR="006C680D" w:rsidRPr="003E3A6F">
        <w:rPr>
          <w:i/>
          <w:sz w:val="22"/>
          <w:szCs w:val="22"/>
        </w:rPr>
        <w:t xml:space="preserve"> </w:t>
      </w:r>
      <w:r w:rsidRPr="003E3A6F">
        <w:rPr>
          <w:i/>
          <w:sz w:val="22"/>
          <w:szCs w:val="22"/>
        </w:rPr>
        <w:t>редакцию</w:t>
      </w:r>
      <w:r w:rsidR="006C680D" w:rsidRPr="003E3A6F">
        <w:rPr>
          <w:i/>
          <w:sz w:val="22"/>
          <w:szCs w:val="22"/>
        </w:rPr>
        <w:t xml:space="preserve"> </w:t>
      </w:r>
      <w:r w:rsidR="008268E9" w:rsidRPr="003E3A6F">
        <w:rPr>
          <w:i/>
          <w:sz w:val="22"/>
          <w:szCs w:val="22"/>
        </w:rPr>
        <w:t>29</w:t>
      </w:r>
      <w:r w:rsidRPr="003E3A6F">
        <w:rPr>
          <w:i/>
          <w:sz w:val="22"/>
          <w:szCs w:val="22"/>
        </w:rPr>
        <w:t>.</w:t>
      </w:r>
      <w:r w:rsidR="008268E9" w:rsidRPr="003E3A6F">
        <w:rPr>
          <w:i/>
          <w:sz w:val="22"/>
          <w:szCs w:val="22"/>
        </w:rPr>
        <w:t>12</w:t>
      </w:r>
      <w:r w:rsidRPr="003E3A6F">
        <w:rPr>
          <w:i/>
          <w:sz w:val="22"/>
          <w:szCs w:val="22"/>
        </w:rPr>
        <w:t>.25,</w:t>
      </w:r>
      <w:r w:rsidR="006C680D" w:rsidRPr="003E3A6F">
        <w:rPr>
          <w:i/>
          <w:sz w:val="22"/>
          <w:szCs w:val="22"/>
        </w:rPr>
        <w:t xml:space="preserve"> </w:t>
      </w:r>
      <w:r w:rsidRPr="003E3A6F">
        <w:rPr>
          <w:i/>
          <w:sz w:val="22"/>
          <w:szCs w:val="22"/>
        </w:rPr>
        <w:t>принята</w:t>
      </w:r>
      <w:r w:rsidR="006C680D" w:rsidRPr="003E3A6F">
        <w:rPr>
          <w:i/>
          <w:sz w:val="22"/>
          <w:szCs w:val="22"/>
        </w:rPr>
        <w:t xml:space="preserve"> </w:t>
      </w:r>
      <w:r w:rsidRPr="003E3A6F">
        <w:rPr>
          <w:i/>
          <w:sz w:val="22"/>
          <w:szCs w:val="22"/>
        </w:rPr>
        <w:t>к</w:t>
      </w:r>
      <w:r w:rsidR="006C680D" w:rsidRPr="003E3A6F">
        <w:rPr>
          <w:i/>
          <w:sz w:val="22"/>
          <w:szCs w:val="22"/>
        </w:rPr>
        <w:t xml:space="preserve"> </w:t>
      </w:r>
      <w:r w:rsidRPr="003E3A6F">
        <w:rPr>
          <w:i/>
          <w:sz w:val="22"/>
          <w:szCs w:val="22"/>
        </w:rPr>
        <w:t>опубликованию</w:t>
      </w:r>
      <w:r w:rsidR="006C680D" w:rsidRPr="003E3A6F">
        <w:rPr>
          <w:i/>
          <w:sz w:val="22"/>
          <w:szCs w:val="22"/>
        </w:rPr>
        <w:t xml:space="preserve"> </w:t>
      </w:r>
      <w:r w:rsidR="00E57478" w:rsidRPr="003E3A6F">
        <w:rPr>
          <w:i/>
          <w:sz w:val="22"/>
          <w:szCs w:val="22"/>
        </w:rPr>
        <w:t>15</w:t>
      </w:r>
      <w:r w:rsidRPr="003E3A6F">
        <w:rPr>
          <w:i/>
          <w:sz w:val="22"/>
          <w:szCs w:val="22"/>
        </w:rPr>
        <w:t>.</w:t>
      </w:r>
      <w:r w:rsidR="008268E9" w:rsidRPr="003E3A6F">
        <w:rPr>
          <w:i/>
          <w:sz w:val="22"/>
          <w:szCs w:val="22"/>
        </w:rPr>
        <w:t>03</w:t>
      </w:r>
      <w:r w:rsidRPr="003E3A6F">
        <w:rPr>
          <w:i/>
          <w:sz w:val="22"/>
          <w:szCs w:val="22"/>
        </w:rPr>
        <w:t>.2</w:t>
      </w:r>
      <w:r w:rsidR="008268E9" w:rsidRPr="003E3A6F">
        <w:rPr>
          <w:i/>
          <w:sz w:val="22"/>
          <w:szCs w:val="22"/>
        </w:rPr>
        <w:t>6</w:t>
      </w:r>
    </w:p>
    <w:p w:rsidR="002E26D0" w:rsidRPr="003E3A6F" w:rsidRDefault="002E26D0" w:rsidP="00847021">
      <w:pPr>
        <w:ind w:firstLine="142"/>
        <w:rPr>
          <w:i/>
          <w:sz w:val="22"/>
          <w:szCs w:val="22"/>
        </w:rPr>
        <w:sectPr w:rsidR="002E26D0" w:rsidRPr="003E3A6F" w:rsidSect="002E26D0">
          <w:footnotePr>
            <w:numRestart w:val="eachPage"/>
          </w:footnotePr>
          <w:type w:val="continuous"/>
          <w:pgSz w:w="11907" w:h="16840" w:code="9"/>
          <w:pgMar w:top="1418" w:right="1134" w:bottom="1418" w:left="1134" w:header="1021" w:footer="1021" w:gutter="0"/>
          <w:cols w:space="708"/>
          <w:docGrid w:linePitch="360"/>
        </w:sectPr>
      </w:pPr>
    </w:p>
    <w:p w:rsidR="00B1675E" w:rsidRPr="003E3A6F" w:rsidRDefault="00B1675E" w:rsidP="00847021">
      <w:pPr>
        <w:ind w:firstLine="142"/>
        <w:rPr>
          <w:i/>
          <w:sz w:val="22"/>
          <w:szCs w:val="22"/>
        </w:rPr>
      </w:pPr>
    </w:p>
    <w:p w:rsidR="00B1675E" w:rsidRPr="00D337FA" w:rsidRDefault="00B1675E"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283A0B" w:rsidRDefault="00283A0B" w:rsidP="00847021">
      <w:pPr>
        <w:ind w:firstLine="142"/>
        <w:rPr>
          <w:i/>
          <w:szCs w:val="24"/>
        </w:rPr>
      </w:pPr>
    </w:p>
    <w:p w:rsidR="00D337FA" w:rsidRPr="00D337FA" w:rsidRDefault="00D337FA"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283A0B" w:rsidRPr="00D337FA" w:rsidRDefault="00283A0B" w:rsidP="00847021">
      <w:pPr>
        <w:ind w:firstLine="142"/>
        <w:rPr>
          <w:i/>
          <w:szCs w:val="24"/>
        </w:rPr>
      </w:pPr>
    </w:p>
    <w:p w:rsidR="00C8298C" w:rsidRPr="00D337FA" w:rsidRDefault="00C8298C" w:rsidP="00847021">
      <w:pPr>
        <w:ind w:firstLine="142"/>
        <w:rPr>
          <w:i/>
          <w:szCs w:val="24"/>
        </w:rPr>
      </w:pPr>
    </w:p>
    <w:p w:rsidR="00C8298C" w:rsidRPr="00D337FA" w:rsidRDefault="00C8298C" w:rsidP="00847021">
      <w:pPr>
        <w:ind w:firstLine="142"/>
        <w:rPr>
          <w:i/>
          <w:szCs w:val="24"/>
        </w:rPr>
      </w:pPr>
    </w:p>
    <w:p w:rsidR="00C8298C" w:rsidRPr="00D337FA" w:rsidRDefault="00C8298C" w:rsidP="00847021">
      <w:pPr>
        <w:ind w:firstLine="142"/>
        <w:rPr>
          <w:i/>
          <w:szCs w:val="24"/>
        </w:rPr>
      </w:pPr>
    </w:p>
    <w:p w:rsidR="00C9796F" w:rsidRPr="00D337FA" w:rsidRDefault="00C9796F" w:rsidP="00C9796F">
      <w:pPr>
        <w:tabs>
          <w:tab w:val="center" w:pos="4677"/>
        </w:tabs>
        <w:ind w:right="-1" w:firstLine="0"/>
        <w:jc w:val="right"/>
        <w:rPr>
          <w:rFonts w:ascii="Arial" w:hAnsi="Arial" w:cs="Arial"/>
          <w:i/>
          <w:szCs w:val="24"/>
        </w:rPr>
      </w:pPr>
      <w:r w:rsidRPr="00D337FA">
        <w:rPr>
          <w:rFonts w:ascii="Arial CYR" w:hAnsi="Arial CYR" w:cs="Arial CYR"/>
          <w:b/>
          <w:bCs/>
          <w:i/>
          <w:iCs/>
          <w:caps/>
          <w:szCs w:val="24"/>
          <w:u w:val="single"/>
          <w:lang w:eastAsia="ru-RU"/>
        </w:rPr>
        <w:lastRenderedPageBreak/>
        <w:t>ФИНАНСЫ</w:t>
      </w:r>
    </w:p>
    <w:p w:rsidR="00C9796F" w:rsidRPr="00D337FA" w:rsidRDefault="00C9796F" w:rsidP="00C9796F">
      <w:pPr>
        <w:ind w:firstLine="142"/>
        <w:rPr>
          <w:rFonts w:ascii="Arial" w:hAnsi="Arial" w:cs="Arial"/>
          <w:i/>
          <w:szCs w:val="24"/>
        </w:rPr>
      </w:pPr>
    </w:p>
    <w:p w:rsidR="00C9796F" w:rsidRPr="00D337FA" w:rsidRDefault="00C9796F" w:rsidP="00C9796F">
      <w:pPr>
        <w:ind w:firstLine="142"/>
        <w:rPr>
          <w:rFonts w:ascii="Arial" w:hAnsi="Arial" w:cs="Arial"/>
          <w:i/>
          <w:szCs w:val="24"/>
        </w:rPr>
      </w:pPr>
      <w:r w:rsidRPr="00D337FA">
        <w:rPr>
          <w:rFonts w:ascii="Arial" w:hAnsi="Arial" w:cs="Arial"/>
          <w:i/>
          <w:szCs w:val="24"/>
        </w:rPr>
        <w:t>УДК</w:t>
      </w:r>
      <w:r w:rsidR="006C680D" w:rsidRPr="00D337FA">
        <w:rPr>
          <w:rFonts w:ascii="Arial" w:hAnsi="Arial" w:cs="Arial"/>
          <w:i/>
          <w:szCs w:val="24"/>
        </w:rPr>
        <w:t xml:space="preserve"> </w:t>
      </w:r>
      <w:r w:rsidRPr="00D337FA">
        <w:rPr>
          <w:rFonts w:ascii="Arial" w:hAnsi="Arial" w:cs="Arial"/>
          <w:i/>
          <w:szCs w:val="24"/>
        </w:rPr>
        <w:t>336.71</w:t>
      </w:r>
    </w:p>
    <w:p w:rsidR="00C9796F" w:rsidRPr="00D337FA" w:rsidRDefault="00C9796F" w:rsidP="00C9796F">
      <w:pPr>
        <w:ind w:firstLine="142"/>
        <w:rPr>
          <w:rFonts w:ascii="Arial" w:hAnsi="Arial" w:cs="Arial"/>
          <w:b/>
          <w:i/>
          <w:szCs w:val="24"/>
        </w:rPr>
      </w:pPr>
      <w:r w:rsidRPr="00D337FA">
        <w:rPr>
          <w:rFonts w:ascii="Arial" w:hAnsi="Arial" w:cs="Arial"/>
          <w:b/>
          <w:i/>
          <w:szCs w:val="24"/>
        </w:rPr>
        <w:t>Л.В.</w:t>
      </w:r>
      <w:r w:rsidR="006C680D" w:rsidRPr="00D337FA">
        <w:rPr>
          <w:rFonts w:ascii="Arial" w:hAnsi="Arial" w:cs="Arial"/>
          <w:b/>
          <w:i/>
          <w:szCs w:val="24"/>
        </w:rPr>
        <w:t xml:space="preserve"> </w:t>
      </w:r>
      <w:r w:rsidRPr="00D337FA">
        <w:rPr>
          <w:rFonts w:ascii="Arial" w:hAnsi="Arial" w:cs="Arial"/>
          <w:b/>
          <w:i/>
          <w:szCs w:val="24"/>
        </w:rPr>
        <w:t>Ильина,</w:t>
      </w:r>
      <w:r w:rsidR="006C680D" w:rsidRPr="00D337FA">
        <w:rPr>
          <w:rFonts w:ascii="Arial" w:hAnsi="Arial" w:cs="Arial"/>
          <w:b/>
          <w:i/>
          <w:szCs w:val="24"/>
        </w:rPr>
        <w:t xml:space="preserve"> </w:t>
      </w:r>
      <w:r w:rsidRPr="00D337FA">
        <w:rPr>
          <w:rFonts w:ascii="Arial" w:hAnsi="Arial" w:cs="Arial"/>
          <w:b/>
          <w:i/>
          <w:szCs w:val="24"/>
        </w:rPr>
        <w:t>Ю.Е.</w:t>
      </w:r>
      <w:r w:rsidR="006C680D" w:rsidRPr="00D337FA">
        <w:rPr>
          <w:rFonts w:ascii="Arial" w:hAnsi="Arial" w:cs="Arial"/>
          <w:b/>
          <w:i/>
          <w:szCs w:val="24"/>
        </w:rPr>
        <w:t xml:space="preserve"> </w:t>
      </w:r>
      <w:r w:rsidRPr="00D337FA">
        <w:rPr>
          <w:rFonts w:ascii="Arial" w:hAnsi="Arial" w:cs="Arial"/>
          <w:b/>
          <w:i/>
          <w:szCs w:val="24"/>
        </w:rPr>
        <w:t>Копченко,</w:t>
      </w:r>
      <w:r w:rsidR="006C680D" w:rsidRPr="00D337FA">
        <w:rPr>
          <w:rFonts w:ascii="Arial" w:hAnsi="Arial" w:cs="Arial"/>
          <w:b/>
          <w:i/>
          <w:szCs w:val="24"/>
        </w:rPr>
        <w:t xml:space="preserve"> </w:t>
      </w:r>
      <w:r w:rsidRPr="00D337FA">
        <w:rPr>
          <w:rFonts w:ascii="Arial" w:hAnsi="Arial" w:cs="Arial"/>
          <w:b/>
          <w:i/>
          <w:szCs w:val="24"/>
        </w:rPr>
        <w:t>О.А.</w:t>
      </w:r>
      <w:r w:rsidR="006C680D" w:rsidRPr="00D337FA">
        <w:rPr>
          <w:rFonts w:ascii="Arial" w:hAnsi="Arial" w:cs="Arial"/>
          <w:b/>
          <w:i/>
          <w:szCs w:val="24"/>
        </w:rPr>
        <w:t xml:space="preserve"> </w:t>
      </w:r>
      <w:r w:rsidRPr="00D337FA">
        <w:rPr>
          <w:rFonts w:ascii="Arial" w:hAnsi="Arial" w:cs="Arial"/>
          <w:b/>
          <w:i/>
          <w:szCs w:val="24"/>
        </w:rPr>
        <w:t>Кукляева</w:t>
      </w:r>
    </w:p>
    <w:p w:rsidR="00C9796F" w:rsidRPr="00D337FA" w:rsidRDefault="00C9796F" w:rsidP="00C9796F">
      <w:pPr>
        <w:ind w:firstLine="142"/>
        <w:rPr>
          <w:rFonts w:ascii="Arial" w:hAnsi="Arial" w:cs="Arial"/>
          <w:b/>
          <w:i/>
          <w:szCs w:val="24"/>
        </w:rPr>
      </w:pPr>
      <w:r w:rsidRPr="00D337FA">
        <w:rPr>
          <w:rFonts w:ascii="Arial" w:hAnsi="Arial" w:cs="Arial"/>
          <w:b/>
          <w:i/>
          <w:szCs w:val="24"/>
        </w:rPr>
        <w:t>L.V.</w:t>
      </w:r>
      <w:r w:rsidR="006C680D" w:rsidRPr="00D337FA">
        <w:rPr>
          <w:rFonts w:ascii="Arial" w:hAnsi="Arial" w:cs="Arial"/>
          <w:b/>
          <w:i/>
          <w:szCs w:val="24"/>
        </w:rPr>
        <w:t xml:space="preserve"> </w:t>
      </w:r>
      <w:r w:rsidRPr="00D337FA">
        <w:rPr>
          <w:rFonts w:ascii="Arial" w:hAnsi="Arial" w:cs="Arial"/>
          <w:b/>
          <w:i/>
          <w:szCs w:val="24"/>
        </w:rPr>
        <w:t>Ilyina,</w:t>
      </w:r>
      <w:r w:rsidR="006C680D" w:rsidRPr="00D337FA">
        <w:rPr>
          <w:rFonts w:ascii="Arial" w:hAnsi="Arial" w:cs="Arial"/>
          <w:b/>
          <w:i/>
          <w:szCs w:val="24"/>
        </w:rPr>
        <w:t xml:space="preserve"> </w:t>
      </w:r>
      <w:r w:rsidRPr="00D337FA">
        <w:rPr>
          <w:rFonts w:ascii="Arial" w:hAnsi="Arial" w:cs="Arial"/>
          <w:b/>
          <w:i/>
          <w:szCs w:val="24"/>
        </w:rPr>
        <w:t>Y</w:t>
      </w:r>
      <w:r w:rsidRPr="00D337FA">
        <w:rPr>
          <w:rFonts w:ascii="Arial" w:hAnsi="Arial" w:cs="Arial"/>
          <w:b/>
          <w:i/>
          <w:szCs w:val="24"/>
          <w:lang w:val="en-US"/>
        </w:rPr>
        <w:t>u</w:t>
      </w:r>
      <w:r w:rsidRPr="00D337FA">
        <w:rPr>
          <w:rFonts w:ascii="Arial" w:hAnsi="Arial" w:cs="Arial"/>
          <w:b/>
          <w:i/>
          <w:szCs w:val="24"/>
        </w:rPr>
        <w:t>.E.</w:t>
      </w:r>
      <w:r w:rsidR="006C680D" w:rsidRPr="00D337FA">
        <w:rPr>
          <w:rFonts w:ascii="Arial" w:hAnsi="Arial" w:cs="Arial"/>
          <w:b/>
          <w:i/>
          <w:szCs w:val="24"/>
        </w:rPr>
        <w:t xml:space="preserve"> </w:t>
      </w:r>
      <w:r w:rsidRPr="00D337FA">
        <w:rPr>
          <w:rFonts w:ascii="Arial" w:hAnsi="Arial" w:cs="Arial"/>
          <w:b/>
          <w:i/>
          <w:szCs w:val="24"/>
        </w:rPr>
        <w:t>Kopchenko,</w:t>
      </w:r>
      <w:r w:rsidR="006C680D" w:rsidRPr="00D337FA">
        <w:rPr>
          <w:rFonts w:ascii="Arial" w:hAnsi="Arial" w:cs="Arial"/>
          <w:b/>
          <w:i/>
          <w:szCs w:val="24"/>
        </w:rPr>
        <w:t xml:space="preserve"> </w:t>
      </w:r>
      <w:r w:rsidRPr="00D337FA">
        <w:rPr>
          <w:rFonts w:ascii="Arial" w:hAnsi="Arial" w:cs="Arial"/>
          <w:b/>
          <w:i/>
          <w:szCs w:val="24"/>
        </w:rPr>
        <w:t>O.A.</w:t>
      </w:r>
      <w:r w:rsidR="006C680D" w:rsidRPr="00D337FA">
        <w:rPr>
          <w:rFonts w:ascii="Arial" w:hAnsi="Arial" w:cs="Arial"/>
          <w:b/>
          <w:i/>
          <w:szCs w:val="24"/>
        </w:rPr>
        <w:t xml:space="preserve"> </w:t>
      </w:r>
      <w:r w:rsidRPr="00D337FA">
        <w:rPr>
          <w:rFonts w:ascii="Arial" w:hAnsi="Arial" w:cs="Arial"/>
          <w:b/>
          <w:i/>
          <w:szCs w:val="24"/>
        </w:rPr>
        <w:t>Kuklyaeva</w:t>
      </w:r>
      <w:r w:rsidR="006C680D" w:rsidRPr="00D337FA">
        <w:rPr>
          <w:rFonts w:ascii="Arial" w:hAnsi="Arial" w:cs="Arial"/>
          <w:b/>
          <w:i/>
          <w:szCs w:val="24"/>
        </w:rPr>
        <w:t xml:space="preserve"> </w:t>
      </w:r>
    </w:p>
    <w:p w:rsidR="00C9796F" w:rsidRPr="00D337FA" w:rsidRDefault="00C9796F" w:rsidP="00C9796F">
      <w:pPr>
        <w:ind w:firstLine="142"/>
        <w:rPr>
          <w:rFonts w:ascii="Arial" w:hAnsi="Arial" w:cs="Arial"/>
          <w:b/>
          <w:i/>
          <w:szCs w:val="24"/>
        </w:rPr>
      </w:pPr>
    </w:p>
    <w:p w:rsidR="00C9796F" w:rsidRPr="00D337FA" w:rsidRDefault="00C9796F" w:rsidP="00C9796F">
      <w:pPr>
        <w:ind w:firstLine="142"/>
        <w:jc w:val="center"/>
        <w:rPr>
          <w:rFonts w:ascii="Arial" w:hAnsi="Arial" w:cs="Arial"/>
          <w:b/>
          <w:szCs w:val="24"/>
        </w:rPr>
      </w:pPr>
      <w:r w:rsidRPr="00D337FA">
        <w:rPr>
          <w:rFonts w:ascii="Arial" w:hAnsi="Arial" w:cs="Arial"/>
          <w:b/>
          <w:szCs w:val="24"/>
        </w:rPr>
        <w:t>САНАЦИЯ</w:t>
      </w:r>
      <w:r w:rsidR="006C680D" w:rsidRPr="00D337FA">
        <w:rPr>
          <w:rFonts w:ascii="Arial" w:hAnsi="Arial" w:cs="Arial"/>
          <w:b/>
          <w:szCs w:val="24"/>
        </w:rPr>
        <w:t xml:space="preserve"> </w:t>
      </w:r>
      <w:r w:rsidRPr="00D337FA">
        <w:rPr>
          <w:rFonts w:ascii="Arial" w:hAnsi="Arial" w:cs="Arial"/>
          <w:b/>
          <w:szCs w:val="24"/>
        </w:rPr>
        <w:t>В</w:t>
      </w:r>
      <w:r w:rsidR="006C680D" w:rsidRPr="00D337FA">
        <w:rPr>
          <w:rFonts w:ascii="Arial" w:hAnsi="Arial" w:cs="Arial"/>
          <w:b/>
          <w:szCs w:val="24"/>
        </w:rPr>
        <w:t xml:space="preserve"> </w:t>
      </w:r>
      <w:r w:rsidRPr="00D337FA">
        <w:rPr>
          <w:rFonts w:ascii="Arial" w:hAnsi="Arial" w:cs="Arial"/>
          <w:b/>
          <w:szCs w:val="24"/>
        </w:rPr>
        <w:t>СИСТЕМЕ</w:t>
      </w:r>
      <w:r w:rsidR="006C680D" w:rsidRPr="00D337FA">
        <w:rPr>
          <w:rFonts w:ascii="Arial" w:hAnsi="Arial" w:cs="Arial"/>
          <w:b/>
          <w:szCs w:val="24"/>
        </w:rPr>
        <w:t xml:space="preserve"> </w:t>
      </w:r>
      <w:r w:rsidRPr="00D337FA">
        <w:rPr>
          <w:rFonts w:ascii="Arial" w:hAnsi="Arial" w:cs="Arial"/>
          <w:b/>
          <w:szCs w:val="24"/>
        </w:rPr>
        <w:t>УПРАВЛЕНИЯ</w:t>
      </w:r>
      <w:r w:rsidR="006C680D" w:rsidRPr="00D337FA">
        <w:rPr>
          <w:rFonts w:ascii="Arial" w:hAnsi="Arial" w:cs="Arial"/>
          <w:b/>
          <w:szCs w:val="24"/>
        </w:rPr>
        <w:t xml:space="preserve"> </w:t>
      </w:r>
      <w:r w:rsidRPr="00D337FA">
        <w:rPr>
          <w:rFonts w:ascii="Arial" w:hAnsi="Arial" w:cs="Arial"/>
          <w:b/>
          <w:szCs w:val="24"/>
        </w:rPr>
        <w:t>ДЕФОЛТОМ</w:t>
      </w:r>
      <w:r w:rsidR="006C680D" w:rsidRPr="00D337FA">
        <w:rPr>
          <w:rFonts w:ascii="Arial" w:hAnsi="Arial" w:cs="Arial"/>
          <w:b/>
          <w:szCs w:val="24"/>
        </w:rPr>
        <w:t xml:space="preserve"> </w:t>
      </w:r>
      <w:r w:rsidRPr="00D337FA">
        <w:rPr>
          <w:rFonts w:ascii="Arial" w:hAnsi="Arial" w:cs="Arial"/>
          <w:b/>
          <w:szCs w:val="24"/>
        </w:rPr>
        <w:t>БАНКА:</w:t>
      </w:r>
      <w:r w:rsidR="006C680D" w:rsidRPr="00D337FA">
        <w:rPr>
          <w:rFonts w:ascii="Arial" w:hAnsi="Arial" w:cs="Arial"/>
          <w:b/>
          <w:szCs w:val="24"/>
        </w:rPr>
        <w:t xml:space="preserve"> </w:t>
      </w:r>
    </w:p>
    <w:p w:rsidR="00C9796F" w:rsidRPr="00D337FA" w:rsidRDefault="00C9796F" w:rsidP="00C9796F">
      <w:pPr>
        <w:ind w:firstLine="142"/>
        <w:jc w:val="center"/>
        <w:rPr>
          <w:rFonts w:ascii="Arial" w:hAnsi="Arial" w:cs="Arial"/>
          <w:b/>
          <w:szCs w:val="24"/>
          <w:lang w:val="en-US"/>
        </w:rPr>
      </w:pPr>
      <w:r w:rsidRPr="00D337FA">
        <w:rPr>
          <w:rFonts w:ascii="Arial" w:hAnsi="Arial" w:cs="Arial"/>
          <w:b/>
          <w:szCs w:val="24"/>
        </w:rPr>
        <w:t>ОЦЕНКА</w:t>
      </w:r>
      <w:r w:rsidR="006C680D" w:rsidRPr="00D337FA">
        <w:rPr>
          <w:rFonts w:ascii="Arial" w:hAnsi="Arial" w:cs="Arial"/>
          <w:b/>
          <w:szCs w:val="24"/>
          <w:lang w:val="en-US"/>
        </w:rPr>
        <w:t xml:space="preserve"> </w:t>
      </w:r>
      <w:r w:rsidRPr="00D337FA">
        <w:rPr>
          <w:rFonts w:ascii="Arial" w:hAnsi="Arial" w:cs="Arial"/>
          <w:b/>
          <w:szCs w:val="24"/>
        </w:rPr>
        <w:t>ЦЕЛЕСООБРАЗНОСТИ</w:t>
      </w:r>
      <w:r w:rsidR="006C680D" w:rsidRPr="00D337FA">
        <w:rPr>
          <w:rFonts w:ascii="Arial" w:hAnsi="Arial" w:cs="Arial"/>
          <w:b/>
          <w:szCs w:val="24"/>
          <w:lang w:val="en-US"/>
        </w:rPr>
        <w:t xml:space="preserve"> </w:t>
      </w:r>
      <w:r w:rsidRPr="00D337FA">
        <w:rPr>
          <w:rFonts w:ascii="Arial" w:hAnsi="Arial" w:cs="Arial"/>
          <w:b/>
          <w:szCs w:val="24"/>
        </w:rPr>
        <w:t>И</w:t>
      </w:r>
      <w:r w:rsidR="006C680D" w:rsidRPr="00D337FA">
        <w:rPr>
          <w:rFonts w:ascii="Arial" w:hAnsi="Arial" w:cs="Arial"/>
          <w:b/>
          <w:szCs w:val="24"/>
          <w:lang w:val="en-US"/>
        </w:rPr>
        <w:t xml:space="preserve"> </w:t>
      </w:r>
      <w:r w:rsidRPr="00D337FA">
        <w:rPr>
          <w:rFonts w:ascii="Arial" w:hAnsi="Arial" w:cs="Arial"/>
          <w:b/>
          <w:szCs w:val="24"/>
        </w:rPr>
        <w:t>ЭФФЕКТИВНОСТИ</w:t>
      </w:r>
    </w:p>
    <w:p w:rsidR="00C9796F" w:rsidRPr="00D337FA" w:rsidRDefault="00C9796F" w:rsidP="00C9796F">
      <w:pPr>
        <w:ind w:firstLine="142"/>
        <w:jc w:val="center"/>
        <w:rPr>
          <w:rFonts w:ascii="Arial" w:hAnsi="Arial" w:cs="Arial"/>
          <w:b/>
          <w:szCs w:val="24"/>
          <w:lang w:val="en-US"/>
        </w:rPr>
      </w:pPr>
    </w:p>
    <w:p w:rsidR="00C9796F" w:rsidRPr="00D337FA" w:rsidRDefault="00C9796F" w:rsidP="00C9796F">
      <w:pPr>
        <w:ind w:firstLine="142"/>
        <w:jc w:val="center"/>
        <w:rPr>
          <w:rFonts w:ascii="Arial" w:hAnsi="Arial" w:cs="Arial"/>
          <w:b/>
          <w:szCs w:val="24"/>
          <w:lang w:val="en-US"/>
        </w:rPr>
      </w:pPr>
      <w:r w:rsidRPr="00D337FA">
        <w:rPr>
          <w:rFonts w:ascii="Arial" w:hAnsi="Arial" w:cs="Arial"/>
          <w:b/>
          <w:szCs w:val="24"/>
          <w:lang w:val="en-US"/>
        </w:rPr>
        <w:t>RESOLUTION</w:t>
      </w:r>
      <w:r w:rsidR="006C680D" w:rsidRPr="00D337FA">
        <w:rPr>
          <w:rFonts w:ascii="Arial" w:hAnsi="Arial" w:cs="Arial"/>
          <w:b/>
          <w:szCs w:val="24"/>
          <w:lang w:val="en-US"/>
        </w:rPr>
        <w:t xml:space="preserve"> </w:t>
      </w:r>
      <w:r w:rsidRPr="00D337FA">
        <w:rPr>
          <w:rFonts w:ascii="Arial" w:hAnsi="Arial" w:cs="Arial"/>
          <w:b/>
          <w:szCs w:val="24"/>
          <w:lang w:val="en-US"/>
        </w:rPr>
        <w:t>IN</w:t>
      </w:r>
      <w:r w:rsidR="006C680D" w:rsidRPr="00D337FA">
        <w:rPr>
          <w:rFonts w:ascii="Arial" w:hAnsi="Arial" w:cs="Arial"/>
          <w:b/>
          <w:szCs w:val="24"/>
          <w:lang w:val="en-US"/>
        </w:rPr>
        <w:t xml:space="preserve"> </w:t>
      </w:r>
      <w:r w:rsidRPr="00D337FA">
        <w:rPr>
          <w:rFonts w:ascii="Arial" w:hAnsi="Arial" w:cs="Arial"/>
          <w:b/>
          <w:szCs w:val="24"/>
          <w:lang w:val="en-US"/>
        </w:rPr>
        <w:t>A</w:t>
      </w:r>
      <w:r w:rsidR="006C680D" w:rsidRPr="00D337FA">
        <w:rPr>
          <w:rFonts w:ascii="Arial" w:hAnsi="Arial" w:cs="Arial"/>
          <w:b/>
          <w:szCs w:val="24"/>
          <w:lang w:val="en-US"/>
        </w:rPr>
        <w:t xml:space="preserve"> </w:t>
      </w:r>
      <w:r w:rsidRPr="00D337FA">
        <w:rPr>
          <w:rFonts w:ascii="Arial" w:hAnsi="Arial" w:cs="Arial"/>
          <w:b/>
          <w:szCs w:val="24"/>
          <w:lang w:val="en-US"/>
        </w:rPr>
        <w:t>BANK'S</w:t>
      </w:r>
      <w:r w:rsidR="006C680D" w:rsidRPr="00D337FA">
        <w:rPr>
          <w:rFonts w:ascii="Arial" w:hAnsi="Arial" w:cs="Arial"/>
          <w:b/>
          <w:szCs w:val="24"/>
          <w:lang w:val="en-US"/>
        </w:rPr>
        <w:t xml:space="preserve"> </w:t>
      </w:r>
      <w:r w:rsidRPr="00D337FA">
        <w:rPr>
          <w:rFonts w:ascii="Arial" w:hAnsi="Arial" w:cs="Arial"/>
          <w:b/>
          <w:szCs w:val="24"/>
          <w:lang w:val="en-US"/>
        </w:rPr>
        <w:t>DEFAULT</w:t>
      </w:r>
      <w:r w:rsidR="006C680D" w:rsidRPr="00D337FA">
        <w:rPr>
          <w:rFonts w:ascii="Arial" w:hAnsi="Arial" w:cs="Arial"/>
          <w:b/>
          <w:szCs w:val="24"/>
          <w:lang w:val="en-US"/>
        </w:rPr>
        <w:t xml:space="preserve"> </w:t>
      </w:r>
      <w:r w:rsidRPr="00D337FA">
        <w:rPr>
          <w:rFonts w:ascii="Arial" w:hAnsi="Arial" w:cs="Arial"/>
          <w:b/>
          <w:szCs w:val="24"/>
          <w:lang w:val="en-US"/>
        </w:rPr>
        <w:t>MANAGEMENT</w:t>
      </w:r>
      <w:r w:rsidR="006C680D" w:rsidRPr="00D337FA">
        <w:rPr>
          <w:rFonts w:ascii="Arial" w:hAnsi="Arial" w:cs="Arial"/>
          <w:b/>
          <w:szCs w:val="24"/>
          <w:lang w:val="en-US"/>
        </w:rPr>
        <w:t xml:space="preserve"> </w:t>
      </w:r>
      <w:r w:rsidRPr="00D337FA">
        <w:rPr>
          <w:rFonts w:ascii="Arial" w:hAnsi="Arial" w:cs="Arial"/>
          <w:b/>
          <w:szCs w:val="24"/>
          <w:lang w:val="en-US"/>
        </w:rPr>
        <w:t>SYSTEM:</w:t>
      </w:r>
    </w:p>
    <w:p w:rsidR="00C9796F" w:rsidRPr="00D337FA" w:rsidRDefault="00C9796F" w:rsidP="00C9796F">
      <w:pPr>
        <w:ind w:firstLine="142"/>
        <w:jc w:val="center"/>
        <w:rPr>
          <w:rFonts w:ascii="Arial" w:hAnsi="Arial" w:cs="Arial"/>
          <w:b/>
          <w:szCs w:val="24"/>
          <w:lang w:val="en-US"/>
        </w:rPr>
      </w:pPr>
      <w:r w:rsidRPr="00D337FA">
        <w:rPr>
          <w:rFonts w:ascii="Arial" w:hAnsi="Arial" w:cs="Arial"/>
          <w:b/>
          <w:szCs w:val="24"/>
          <w:lang w:val="en-US"/>
        </w:rPr>
        <w:t>ASSESSING</w:t>
      </w:r>
      <w:r w:rsidR="006C680D" w:rsidRPr="00D337FA">
        <w:rPr>
          <w:rFonts w:ascii="Arial" w:hAnsi="Arial" w:cs="Arial"/>
          <w:b/>
          <w:szCs w:val="24"/>
          <w:lang w:val="en-US"/>
        </w:rPr>
        <w:t xml:space="preserve"> </w:t>
      </w:r>
      <w:r w:rsidRPr="00D337FA">
        <w:rPr>
          <w:rFonts w:ascii="Arial" w:hAnsi="Arial" w:cs="Arial"/>
          <w:b/>
          <w:szCs w:val="24"/>
          <w:lang w:val="en-US"/>
        </w:rPr>
        <w:t>ITS</w:t>
      </w:r>
      <w:r w:rsidR="006C680D" w:rsidRPr="00D337FA">
        <w:rPr>
          <w:rFonts w:ascii="Arial" w:hAnsi="Arial" w:cs="Arial"/>
          <w:b/>
          <w:szCs w:val="24"/>
          <w:lang w:val="en-US"/>
        </w:rPr>
        <w:t xml:space="preserve"> </w:t>
      </w:r>
      <w:r w:rsidRPr="00D337FA">
        <w:rPr>
          <w:rFonts w:ascii="Arial" w:hAnsi="Arial" w:cs="Arial"/>
          <w:b/>
          <w:szCs w:val="24"/>
          <w:lang w:val="en-US"/>
        </w:rPr>
        <w:t>FEASIBILITY</w:t>
      </w:r>
      <w:r w:rsidR="006C680D" w:rsidRPr="00D337FA">
        <w:rPr>
          <w:rFonts w:ascii="Arial" w:hAnsi="Arial" w:cs="Arial"/>
          <w:b/>
          <w:szCs w:val="24"/>
          <w:lang w:val="en-US"/>
        </w:rPr>
        <w:t xml:space="preserve"> </w:t>
      </w:r>
      <w:r w:rsidRPr="00D337FA">
        <w:rPr>
          <w:rFonts w:ascii="Arial" w:hAnsi="Arial" w:cs="Arial"/>
          <w:b/>
          <w:szCs w:val="24"/>
          <w:lang w:val="en-US"/>
        </w:rPr>
        <w:t>AND</w:t>
      </w:r>
      <w:r w:rsidR="006C680D" w:rsidRPr="00D337FA">
        <w:rPr>
          <w:rFonts w:ascii="Arial" w:hAnsi="Arial" w:cs="Arial"/>
          <w:b/>
          <w:szCs w:val="24"/>
          <w:lang w:val="en-US"/>
        </w:rPr>
        <w:t xml:space="preserve"> </w:t>
      </w:r>
      <w:r w:rsidRPr="00D337FA">
        <w:rPr>
          <w:rFonts w:ascii="Arial" w:hAnsi="Arial" w:cs="Arial"/>
          <w:b/>
          <w:szCs w:val="24"/>
          <w:lang w:val="en-US"/>
        </w:rPr>
        <w:t>EFFECTIVENESS</w:t>
      </w:r>
    </w:p>
    <w:p w:rsidR="00C9796F" w:rsidRPr="00D337FA" w:rsidRDefault="00C9796F" w:rsidP="00C9796F">
      <w:pPr>
        <w:ind w:firstLine="142"/>
        <w:rPr>
          <w:i/>
          <w:szCs w:val="24"/>
          <w:lang w:val="en-US"/>
        </w:rPr>
      </w:pPr>
    </w:p>
    <w:p w:rsidR="00C9796F" w:rsidRPr="00D337FA" w:rsidRDefault="00C9796F" w:rsidP="00C9796F">
      <w:pPr>
        <w:rPr>
          <w:b/>
          <w:sz w:val="28"/>
          <w:szCs w:val="28"/>
          <w:lang w:val="en-US"/>
        </w:rPr>
        <w:sectPr w:rsidR="00C9796F" w:rsidRPr="00D337FA" w:rsidSect="002E26D0">
          <w:headerReference w:type="default" r:id="rId21"/>
          <w:footnotePr>
            <w:numRestart w:val="eachPage"/>
          </w:footnotePr>
          <w:type w:val="continuous"/>
          <w:pgSz w:w="11907" w:h="16840" w:code="9"/>
          <w:pgMar w:top="1418" w:right="1134" w:bottom="1418" w:left="1134" w:header="1021" w:footer="1021" w:gutter="0"/>
          <w:cols w:space="708"/>
          <w:docGrid w:linePitch="360"/>
        </w:sectPr>
      </w:pPr>
    </w:p>
    <w:p w:rsidR="00C9796F" w:rsidRPr="00D337FA" w:rsidRDefault="00C9796F" w:rsidP="00C9796F">
      <w:pPr>
        <w:ind w:firstLine="0"/>
        <w:rPr>
          <w:i/>
          <w:szCs w:val="24"/>
        </w:rPr>
      </w:pPr>
      <w:r w:rsidRPr="00D337FA">
        <w:rPr>
          <w:b/>
          <w:i/>
          <w:szCs w:val="24"/>
        </w:rPr>
        <w:lastRenderedPageBreak/>
        <w:t>Аннотация</w:t>
      </w:r>
      <w:r w:rsidRPr="00D337FA">
        <w:rPr>
          <w:b/>
          <w:i/>
          <w:szCs w:val="24"/>
          <w:lang w:val="en-US"/>
        </w:rPr>
        <w:t>.</w:t>
      </w:r>
      <w:r w:rsidR="006C680D" w:rsidRPr="00D337FA">
        <w:rPr>
          <w:b/>
          <w:i/>
          <w:szCs w:val="24"/>
          <w:lang w:val="en-US"/>
        </w:rPr>
        <w:t xml:space="preserve"> </w:t>
      </w:r>
      <w:r w:rsidR="00FB2463" w:rsidRPr="00D337FA">
        <w:rPr>
          <w:i/>
          <w:szCs w:val="24"/>
        </w:rPr>
        <w:t>Статья</w:t>
      </w:r>
      <w:r w:rsidR="006C680D" w:rsidRPr="00D337FA">
        <w:rPr>
          <w:i/>
          <w:szCs w:val="24"/>
        </w:rPr>
        <w:t xml:space="preserve"> </w:t>
      </w:r>
      <w:r w:rsidR="00FB2463" w:rsidRPr="00D337FA">
        <w:rPr>
          <w:i/>
          <w:szCs w:val="24"/>
        </w:rPr>
        <w:t>посвящена</w:t>
      </w:r>
      <w:r w:rsidR="006C680D" w:rsidRPr="00D337FA">
        <w:rPr>
          <w:i/>
          <w:szCs w:val="24"/>
        </w:rPr>
        <w:t xml:space="preserve"> </w:t>
      </w:r>
      <w:r w:rsidR="00FB2463" w:rsidRPr="00D337FA">
        <w:rPr>
          <w:i/>
          <w:szCs w:val="24"/>
        </w:rPr>
        <w:t>исследованию</w:t>
      </w:r>
      <w:r w:rsidR="006C680D" w:rsidRPr="00D337FA">
        <w:rPr>
          <w:i/>
          <w:szCs w:val="24"/>
        </w:rPr>
        <w:t xml:space="preserve"> </w:t>
      </w:r>
      <w:r w:rsidR="00FB2463" w:rsidRPr="00D337FA">
        <w:rPr>
          <w:i/>
          <w:szCs w:val="24"/>
        </w:rPr>
        <w:t>теории</w:t>
      </w:r>
      <w:r w:rsidR="006C680D" w:rsidRPr="00D337FA">
        <w:rPr>
          <w:i/>
          <w:szCs w:val="24"/>
        </w:rPr>
        <w:t xml:space="preserve"> </w:t>
      </w:r>
      <w:r w:rsidR="00FB2463" w:rsidRPr="00D337FA">
        <w:rPr>
          <w:i/>
          <w:szCs w:val="24"/>
        </w:rPr>
        <w:t>и</w:t>
      </w:r>
      <w:r w:rsidR="006C680D" w:rsidRPr="00D337FA">
        <w:rPr>
          <w:i/>
          <w:szCs w:val="24"/>
        </w:rPr>
        <w:t xml:space="preserve"> </w:t>
      </w:r>
      <w:r w:rsidR="00FB2463" w:rsidRPr="00D337FA">
        <w:rPr>
          <w:i/>
          <w:szCs w:val="24"/>
        </w:rPr>
        <w:t>практики</w:t>
      </w:r>
      <w:r w:rsidR="006C680D" w:rsidRPr="00D337FA">
        <w:rPr>
          <w:i/>
          <w:szCs w:val="24"/>
        </w:rPr>
        <w:t xml:space="preserve"> </w:t>
      </w:r>
      <w:r w:rsidR="00FB2463" w:rsidRPr="00D337FA">
        <w:rPr>
          <w:i/>
          <w:szCs w:val="24"/>
        </w:rPr>
        <w:t>санации</w:t>
      </w:r>
      <w:r w:rsidR="006C680D" w:rsidRPr="00D337FA">
        <w:rPr>
          <w:i/>
          <w:szCs w:val="24"/>
        </w:rPr>
        <w:t xml:space="preserve"> </w:t>
      </w:r>
      <w:r w:rsidR="00FB2463" w:rsidRPr="00D337FA">
        <w:rPr>
          <w:i/>
          <w:szCs w:val="24"/>
        </w:rPr>
        <w:t>банков</w:t>
      </w:r>
      <w:r w:rsidR="006C680D" w:rsidRPr="00D337FA">
        <w:rPr>
          <w:i/>
          <w:szCs w:val="24"/>
        </w:rPr>
        <w:t xml:space="preserve"> </w:t>
      </w:r>
      <w:r w:rsidR="00FB2463" w:rsidRPr="00D337FA">
        <w:rPr>
          <w:i/>
          <w:szCs w:val="24"/>
        </w:rPr>
        <w:t>в</w:t>
      </w:r>
      <w:r w:rsidR="006C680D" w:rsidRPr="00D337FA">
        <w:rPr>
          <w:i/>
          <w:szCs w:val="24"/>
        </w:rPr>
        <w:t xml:space="preserve"> </w:t>
      </w:r>
      <w:r w:rsidR="00FB2463" w:rsidRPr="00D337FA">
        <w:rPr>
          <w:i/>
          <w:szCs w:val="24"/>
        </w:rPr>
        <w:t>контексте</w:t>
      </w:r>
      <w:r w:rsidR="006C680D" w:rsidRPr="00D337FA">
        <w:rPr>
          <w:i/>
          <w:szCs w:val="24"/>
        </w:rPr>
        <w:t xml:space="preserve"> </w:t>
      </w:r>
      <w:r w:rsidR="00FB2463" w:rsidRPr="00D337FA">
        <w:rPr>
          <w:i/>
          <w:szCs w:val="24"/>
        </w:rPr>
        <w:t>решения</w:t>
      </w:r>
      <w:r w:rsidR="006C680D" w:rsidRPr="00D337FA">
        <w:rPr>
          <w:i/>
          <w:szCs w:val="24"/>
        </w:rPr>
        <w:t xml:space="preserve"> </w:t>
      </w:r>
      <w:r w:rsidR="00FB2463" w:rsidRPr="00D337FA">
        <w:rPr>
          <w:i/>
          <w:szCs w:val="24"/>
        </w:rPr>
        <w:t>проблем</w:t>
      </w:r>
      <w:r w:rsidR="006C680D" w:rsidRPr="00D337FA">
        <w:rPr>
          <w:i/>
          <w:szCs w:val="24"/>
        </w:rPr>
        <w:t xml:space="preserve"> </w:t>
      </w:r>
      <w:r w:rsidR="00FB2463" w:rsidRPr="00D337FA">
        <w:rPr>
          <w:i/>
          <w:szCs w:val="24"/>
        </w:rPr>
        <w:t>оценки</w:t>
      </w:r>
      <w:r w:rsidR="006C680D" w:rsidRPr="00D337FA">
        <w:rPr>
          <w:i/>
          <w:szCs w:val="24"/>
        </w:rPr>
        <w:t xml:space="preserve"> </w:t>
      </w:r>
      <w:r w:rsidR="00FB2463" w:rsidRPr="00D337FA">
        <w:rPr>
          <w:i/>
          <w:szCs w:val="24"/>
        </w:rPr>
        <w:t>ее</w:t>
      </w:r>
      <w:r w:rsidR="006C680D" w:rsidRPr="00D337FA">
        <w:rPr>
          <w:i/>
          <w:szCs w:val="24"/>
        </w:rPr>
        <w:t xml:space="preserve"> </w:t>
      </w:r>
      <w:r w:rsidR="00FB2463" w:rsidRPr="00D337FA">
        <w:rPr>
          <w:i/>
          <w:szCs w:val="24"/>
        </w:rPr>
        <w:t>целесообразности</w:t>
      </w:r>
      <w:r w:rsidR="006C680D" w:rsidRPr="00D337FA">
        <w:rPr>
          <w:i/>
          <w:szCs w:val="24"/>
        </w:rPr>
        <w:t xml:space="preserve"> </w:t>
      </w:r>
      <w:r w:rsidR="00FB2463" w:rsidRPr="00D337FA">
        <w:rPr>
          <w:i/>
          <w:szCs w:val="24"/>
        </w:rPr>
        <w:t>и</w:t>
      </w:r>
      <w:r w:rsidR="006C680D" w:rsidRPr="00D337FA">
        <w:rPr>
          <w:i/>
          <w:szCs w:val="24"/>
        </w:rPr>
        <w:t xml:space="preserve"> </w:t>
      </w:r>
      <w:r w:rsidR="00FB2463" w:rsidRPr="00D337FA">
        <w:rPr>
          <w:i/>
          <w:szCs w:val="24"/>
        </w:rPr>
        <w:t>эффективности.</w:t>
      </w:r>
      <w:r w:rsidR="006C680D" w:rsidRPr="00D337FA">
        <w:rPr>
          <w:i/>
          <w:szCs w:val="24"/>
        </w:rPr>
        <w:t xml:space="preserve"> </w:t>
      </w:r>
      <w:r w:rsidR="00FB2463" w:rsidRPr="00D337FA">
        <w:rPr>
          <w:i/>
          <w:szCs w:val="24"/>
        </w:rPr>
        <w:t>На</w:t>
      </w:r>
      <w:r w:rsidR="006C680D" w:rsidRPr="00D337FA">
        <w:rPr>
          <w:i/>
          <w:szCs w:val="24"/>
        </w:rPr>
        <w:t xml:space="preserve"> </w:t>
      </w:r>
      <w:r w:rsidR="00FB2463" w:rsidRPr="00D337FA">
        <w:rPr>
          <w:i/>
          <w:szCs w:val="24"/>
        </w:rPr>
        <w:t>основе</w:t>
      </w:r>
      <w:r w:rsidR="006C680D" w:rsidRPr="00D337FA">
        <w:rPr>
          <w:i/>
          <w:szCs w:val="24"/>
        </w:rPr>
        <w:t xml:space="preserve"> </w:t>
      </w:r>
      <w:r w:rsidR="00FB2463" w:rsidRPr="00D337FA">
        <w:rPr>
          <w:i/>
          <w:szCs w:val="24"/>
        </w:rPr>
        <w:t>результатов</w:t>
      </w:r>
      <w:r w:rsidR="006C680D" w:rsidRPr="00D337FA">
        <w:rPr>
          <w:i/>
          <w:szCs w:val="24"/>
        </w:rPr>
        <w:t xml:space="preserve"> </w:t>
      </w:r>
      <w:r w:rsidR="00FB2463" w:rsidRPr="00D337FA">
        <w:rPr>
          <w:i/>
          <w:szCs w:val="24"/>
        </w:rPr>
        <w:t>теоретического</w:t>
      </w:r>
      <w:r w:rsidR="006C680D" w:rsidRPr="00D337FA">
        <w:rPr>
          <w:i/>
          <w:szCs w:val="24"/>
        </w:rPr>
        <w:t xml:space="preserve"> </w:t>
      </w:r>
      <w:r w:rsidR="00FB2463" w:rsidRPr="00D337FA">
        <w:rPr>
          <w:i/>
          <w:szCs w:val="24"/>
        </w:rPr>
        <w:t>осмысления</w:t>
      </w:r>
      <w:r w:rsidR="006C680D" w:rsidRPr="00D337FA">
        <w:rPr>
          <w:i/>
          <w:szCs w:val="24"/>
        </w:rPr>
        <w:t xml:space="preserve"> </w:t>
      </w:r>
      <w:r w:rsidR="00FB2463" w:rsidRPr="00D337FA">
        <w:rPr>
          <w:i/>
          <w:szCs w:val="24"/>
        </w:rPr>
        <w:t>подходов</w:t>
      </w:r>
      <w:r w:rsidR="006C680D" w:rsidRPr="00D337FA">
        <w:rPr>
          <w:i/>
          <w:szCs w:val="24"/>
        </w:rPr>
        <w:t xml:space="preserve"> </w:t>
      </w:r>
      <w:r w:rsidR="00FB2463" w:rsidRPr="00D337FA">
        <w:rPr>
          <w:i/>
          <w:szCs w:val="24"/>
        </w:rPr>
        <w:t>к</w:t>
      </w:r>
      <w:r w:rsidR="006C680D" w:rsidRPr="00D337FA">
        <w:rPr>
          <w:i/>
          <w:szCs w:val="24"/>
        </w:rPr>
        <w:t xml:space="preserve"> </w:t>
      </w:r>
      <w:r w:rsidR="00FB2463" w:rsidRPr="00D337FA">
        <w:rPr>
          <w:i/>
          <w:szCs w:val="24"/>
        </w:rPr>
        <w:t>трактовке</w:t>
      </w:r>
      <w:r w:rsidR="006C680D" w:rsidRPr="00D337FA">
        <w:rPr>
          <w:i/>
          <w:szCs w:val="24"/>
        </w:rPr>
        <w:t xml:space="preserve"> </w:t>
      </w:r>
      <w:r w:rsidR="00FB2463" w:rsidRPr="00D337FA">
        <w:rPr>
          <w:i/>
          <w:szCs w:val="24"/>
        </w:rPr>
        <w:t>понятий</w:t>
      </w:r>
      <w:r w:rsidR="006C680D" w:rsidRPr="00D337FA">
        <w:rPr>
          <w:i/>
          <w:szCs w:val="24"/>
        </w:rPr>
        <w:t xml:space="preserve"> </w:t>
      </w:r>
      <w:r w:rsidR="00FB2463" w:rsidRPr="00D337FA">
        <w:rPr>
          <w:i/>
          <w:szCs w:val="24"/>
        </w:rPr>
        <w:t>«целесообразность»</w:t>
      </w:r>
      <w:r w:rsidR="006C680D" w:rsidRPr="00D337FA">
        <w:rPr>
          <w:i/>
          <w:szCs w:val="24"/>
        </w:rPr>
        <w:t xml:space="preserve"> </w:t>
      </w:r>
      <w:r w:rsidR="00FB2463" w:rsidRPr="00D337FA">
        <w:rPr>
          <w:i/>
          <w:szCs w:val="24"/>
        </w:rPr>
        <w:t>и</w:t>
      </w:r>
      <w:r w:rsidR="006C680D" w:rsidRPr="00D337FA">
        <w:rPr>
          <w:i/>
          <w:szCs w:val="24"/>
        </w:rPr>
        <w:t xml:space="preserve"> </w:t>
      </w:r>
      <w:r w:rsidR="00FB2463" w:rsidRPr="00D337FA">
        <w:rPr>
          <w:i/>
          <w:szCs w:val="24"/>
        </w:rPr>
        <w:t>«эффективность»</w:t>
      </w:r>
      <w:r w:rsidR="006C680D" w:rsidRPr="00D337FA">
        <w:rPr>
          <w:i/>
          <w:szCs w:val="24"/>
        </w:rPr>
        <w:t xml:space="preserve"> </w:t>
      </w:r>
      <w:r w:rsidR="00FB2463" w:rsidRPr="00D337FA">
        <w:rPr>
          <w:i/>
          <w:szCs w:val="24"/>
        </w:rPr>
        <w:t>было</w:t>
      </w:r>
      <w:r w:rsidR="006C680D" w:rsidRPr="00D337FA">
        <w:rPr>
          <w:i/>
          <w:szCs w:val="24"/>
        </w:rPr>
        <w:t xml:space="preserve"> </w:t>
      </w:r>
      <w:r w:rsidR="00FB2463" w:rsidRPr="00D337FA">
        <w:rPr>
          <w:i/>
          <w:szCs w:val="24"/>
        </w:rPr>
        <w:t>раскрыто</w:t>
      </w:r>
      <w:r w:rsidR="006C680D" w:rsidRPr="00D337FA">
        <w:rPr>
          <w:i/>
          <w:szCs w:val="24"/>
        </w:rPr>
        <w:t xml:space="preserve"> </w:t>
      </w:r>
      <w:r w:rsidR="00FB2463" w:rsidRPr="00D337FA">
        <w:rPr>
          <w:i/>
          <w:szCs w:val="24"/>
        </w:rPr>
        <w:t>их</w:t>
      </w:r>
      <w:r w:rsidR="006C680D" w:rsidRPr="00D337FA">
        <w:rPr>
          <w:i/>
          <w:szCs w:val="24"/>
        </w:rPr>
        <w:t xml:space="preserve"> </w:t>
      </w:r>
      <w:r w:rsidR="00FB2463" w:rsidRPr="00D337FA">
        <w:rPr>
          <w:i/>
          <w:szCs w:val="24"/>
        </w:rPr>
        <w:t>содержание</w:t>
      </w:r>
      <w:r w:rsidR="006C680D" w:rsidRPr="00D337FA">
        <w:rPr>
          <w:i/>
          <w:szCs w:val="24"/>
        </w:rPr>
        <w:t xml:space="preserve"> </w:t>
      </w:r>
      <w:r w:rsidR="00FB2463" w:rsidRPr="00D337FA">
        <w:rPr>
          <w:i/>
          <w:szCs w:val="24"/>
        </w:rPr>
        <w:t>применительно</w:t>
      </w:r>
      <w:r w:rsidR="006C680D" w:rsidRPr="00D337FA">
        <w:rPr>
          <w:i/>
          <w:szCs w:val="24"/>
        </w:rPr>
        <w:t xml:space="preserve"> </w:t>
      </w:r>
      <w:r w:rsidR="00FB2463" w:rsidRPr="00D337FA">
        <w:rPr>
          <w:i/>
          <w:szCs w:val="24"/>
        </w:rPr>
        <w:t>к</w:t>
      </w:r>
      <w:r w:rsidR="006C680D" w:rsidRPr="00D337FA">
        <w:rPr>
          <w:i/>
          <w:szCs w:val="24"/>
        </w:rPr>
        <w:t xml:space="preserve"> </w:t>
      </w:r>
      <w:r w:rsidR="00FB2463" w:rsidRPr="00D337FA">
        <w:rPr>
          <w:i/>
          <w:szCs w:val="24"/>
        </w:rPr>
        <w:t>санации</w:t>
      </w:r>
      <w:r w:rsidR="006C680D" w:rsidRPr="00D337FA">
        <w:rPr>
          <w:i/>
          <w:szCs w:val="24"/>
        </w:rPr>
        <w:t xml:space="preserve"> </w:t>
      </w:r>
      <w:r w:rsidR="00FB2463" w:rsidRPr="00D337FA">
        <w:rPr>
          <w:i/>
          <w:szCs w:val="24"/>
        </w:rPr>
        <w:t>банков</w:t>
      </w:r>
      <w:r w:rsidR="006C680D" w:rsidRPr="00D337FA">
        <w:rPr>
          <w:i/>
          <w:szCs w:val="24"/>
        </w:rPr>
        <w:t xml:space="preserve"> </w:t>
      </w:r>
      <w:r w:rsidR="00FB2463" w:rsidRPr="00D337FA">
        <w:rPr>
          <w:i/>
          <w:szCs w:val="24"/>
        </w:rPr>
        <w:t>и</w:t>
      </w:r>
      <w:r w:rsidR="006C680D" w:rsidRPr="00D337FA">
        <w:rPr>
          <w:i/>
          <w:szCs w:val="24"/>
        </w:rPr>
        <w:t xml:space="preserve"> </w:t>
      </w:r>
      <w:r w:rsidR="00FB2463" w:rsidRPr="00D337FA">
        <w:rPr>
          <w:i/>
          <w:szCs w:val="24"/>
        </w:rPr>
        <w:t>выявлены</w:t>
      </w:r>
      <w:r w:rsidR="006C680D" w:rsidRPr="00D337FA">
        <w:rPr>
          <w:i/>
          <w:szCs w:val="24"/>
        </w:rPr>
        <w:t xml:space="preserve"> </w:t>
      </w:r>
      <w:r w:rsidR="00FB2463" w:rsidRPr="00D337FA">
        <w:rPr>
          <w:i/>
          <w:szCs w:val="24"/>
        </w:rPr>
        <w:t>существенные</w:t>
      </w:r>
      <w:r w:rsidR="006C680D" w:rsidRPr="00D337FA">
        <w:rPr>
          <w:i/>
          <w:szCs w:val="24"/>
        </w:rPr>
        <w:t xml:space="preserve"> </w:t>
      </w:r>
      <w:r w:rsidR="00FB2463" w:rsidRPr="00D337FA">
        <w:rPr>
          <w:i/>
          <w:szCs w:val="24"/>
        </w:rPr>
        <w:t>характеристики,</w:t>
      </w:r>
      <w:r w:rsidR="006C680D" w:rsidRPr="00D337FA">
        <w:rPr>
          <w:i/>
          <w:szCs w:val="24"/>
        </w:rPr>
        <w:t xml:space="preserve"> </w:t>
      </w:r>
      <w:r w:rsidR="00FB2463" w:rsidRPr="00D337FA">
        <w:rPr>
          <w:i/>
          <w:szCs w:val="24"/>
        </w:rPr>
        <w:t>отражающие</w:t>
      </w:r>
      <w:r w:rsidR="006C680D" w:rsidRPr="00D337FA">
        <w:rPr>
          <w:i/>
          <w:szCs w:val="24"/>
        </w:rPr>
        <w:t xml:space="preserve"> </w:t>
      </w:r>
      <w:r w:rsidR="00FB2463" w:rsidRPr="00D337FA">
        <w:rPr>
          <w:i/>
          <w:szCs w:val="24"/>
        </w:rPr>
        <w:t>динамические</w:t>
      </w:r>
      <w:r w:rsidR="006C680D" w:rsidRPr="00D337FA">
        <w:rPr>
          <w:i/>
          <w:szCs w:val="24"/>
        </w:rPr>
        <w:t xml:space="preserve"> </w:t>
      </w:r>
      <w:r w:rsidR="00FB2463" w:rsidRPr="00D337FA">
        <w:rPr>
          <w:i/>
          <w:szCs w:val="24"/>
        </w:rPr>
        <w:t>изменения</w:t>
      </w:r>
      <w:r w:rsidR="006C680D" w:rsidRPr="00D337FA">
        <w:rPr>
          <w:i/>
          <w:szCs w:val="24"/>
        </w:rPr>
        <w:t xml:space="preserve"> </w:t>
      </w:r>
      <w:r w:rsidR="00FB2463" w:rsidRPr="00D337FA">
        <w:rPr>
          <w:i/>
          <w:szCs w:val="24"/>
        </w:rPr>
        <w:t>ключевых</w:t>
      </w:r>
      <w:r w:rsidR="006C680D" w:rsidRPr="00D337FA">
        <w:rPr>
          <w:i/>
          <w:szCs w:val="24"/>
        </w:rPr>
        <w:t xml:space="preserve"> </w:t>
      </w:r>
      <w:r w:rsidR="00FB2463" w:rsidRPr="00D337FA">
        <w:rPr>
          <w:i/>
          <w:szCs w:val="24"/>
        </w:rPr>
        <w:t>результатов</w:t>
      </w:r>
      <w:r w:rsidR="006C680D" w:rsidRPr="00D337FA">
        <w:rPr>
          <w:i/>
          <w:szCs w:val="24"/>
        </w:rPr>
        <w:t xml:space="preserve"> </w:t>
      </w:r>
      <w:r w:rsidR="00FB2463" w:rsidRPr="00D337FA">
        <w:rPr>
          <w:i/>
          <w:szCs w:val="24"/>
        </w:rPr>
        <w:t>финансового</w:t>
      </w:r>
      <w:r w:rsidR="006C680D" w:rsidRPr="00D337FA">
        <w:rPr>
          <w:i/>
          <w:szCs w:val="24"/>
        </w:rPr>
        <w:t xml:space="preserve"> </w:t>
      </w:r>
      <w:r w:rsidR="00FB2463" w:rsidRPr="00D337FA">
        <w:rPr>
          <w:i/>
          <w:szCs w:val="24"/>
        </w:rPr>
        <w:t>оздоровления</w:t>
      </w:r>
      <w:r w:rsidR="006C680D" w:rsidRPr="00D337FA">
        <w:rPr>
          <w:i/>
          <w:szCs w:val="24"/>
        </w:rPr>
        <w:t xml:space="preserve"> </w:t>
      </w:r>
      <w:r w:rsidR="00FB2463" w:rsidRPr="00D337FA">
        <w:rPr>
          <w:i/>
          <w:szCs w:val="24"/>
        </w:rPr>
        <w:t>во</w:t>
      </w:r>
      <w:r w:rsidR="006C680D" w:rsidRPr="00D337FA">
        <w:rPr>
          <w:i/>
          <w:szCs w:val="24"/>
        </w:rPr>
        <w:t xml:space="preserve"> </w:t>
      </w:r>
      <w:r w:rsidR="00FB2463" w:rsidRPr="00D337FA">
        <w:rPr>
          <w:i/>
          <w:szCs w:val="24"/>
        </w:rPr>
        <w:t>времени.</w:t>
      </w:r>
      <w:r w:rsidR="006C680D" w:rsidRPr="00D337FA">
        <w:rPr>
          <w:i/>
          <w:szCs w:val="24"/>
        </w:rPr>
        <w:t xml:space="preserve"> </w:t>
      </w:r>
      <w:r w:rsidR="00FB2463" w:rsidRPr="00D337FA">
        <w:rPr>
          <w:i/>
          <w:szCs w:val="24"/>
        </w:rPr>
        <w:t>Установлено,</w:t>
      </w:r>
      <w:r w:rsidR="006C680D" w:rsidRPr="00D337FA">
        <w:rPr>
          <w:i/>
          <w:szCs w:val="24"/>
        </w:rPr>
        <w:t xml:space="preserve"> </w:t>
      </w:r>
      <w:r w:rsidR="00FB2463" w:rsidRPr="00D337FA">
        <w:rPr>
          <w:i/>
          <w:szCs w:val="24"/>
        </w:rPr>
        <w:t>что</w:t>
      </w:r>
      <w:r w:rsidR="006C680D" w:rsidRPr="00D337FA">
        <w:rPr>
          <w:i/>
          <w:szCs w:val="24"/>
        </w:rPr>
        <w:t xml:space="preserve"> </w:t>
      </w:r>
      <w:r w:rsidR="00FB2463" w:rsidRPr="00D337FA">
        <w:rPr>
          <w:i/>
          <w:szCs w:val="24"/>
        </w:rPr>
        <w:t>реализуемые</w:t>
      </w:r>
      <w:r w:rsidR="006C680D" w:rsidRPr="00D337FA">
        <w:rPr>
          <w:i/>
          <w:szCs w:val="24"/>
        </w:rPr>
        <w:t xml:space="preserve"> </w:t>
      </w:r>
      <w:r w:rsidR="00FB2463" w:rsidRPr="00D337FA">
        <w:rPr>
          <w:i/>
          <w:szCs w:val="24"/>
        </w:rPr>
        <w:t>в</w:t>
      </w:r>
      <w:r w:rsidR="006C680D" w:rsidRPr="00D337FA">
        <w:rPr>
          <w:i/>
          <w:szCs w:val="24"/>
        </w:rPr>
        <w:t xml:space="preserve"> </w:t>
      </w:r>
      <w:r w:rsidR="00FB2463" w:rsidRPr="00D337FA">
        <w:rPr>
          <w:i/>
          <w:szCs w:val="24"/>
        </w:rPr>
        <w:t>настоящее</w:t>
      </w:r>
      <w:r w:rsidR="006C680D" w:rsidRPr="00D337FA">
        <w:rPr>
          <w:i/>
          <w:szCs w:val="24"/>
        </w:rPr>
        <w:t xml:space="preserve"> </w:t>
      </w:r>
      <w:r w:rsidR="00FB2463" w:rsidRPr="00D337FA">
        <w:rPr>
          <w:i/>
          <w:szCs w:val="24"/>
        </w:rPr>
        <w:t>время</w:t>
      </w:r>
      <w:r w:rsidR="006C680D" w:rsidRPr="00D337FA">
        <w:rPr>
          <w:i/>
          <w:szCs w:val="24"/>
        </w:rPr>
        <w:t xml:space="preserve"> </w:t>
      </w:r>
      <w:r w:rsidR="00FB2463" w:rsidRPr="00D337FA">
        <w:rPr>
          <w:i/>
          <w:szCs w:val="24"/>
        </w:rPr>
        <w:t>механизмы</w:t>
      </w:r>
      <w:r w:rsidR="006C680D" w:rsidRPr="00D337FA">
        <w:rPr>
          <w:i/>
          <w:szCs w:val="24"/>
        </w:rPr>
        <w:t xml:space="preserve"> </w:t>
      </w:r>
      <w:r w:rsidR="00FB2463" w:rsidRPr="00D337FA">
        <w:rPr>
          <w:i/>
          <w:szCs w:val="24"/>
        </w:rPr>
        <w:t>санации</w:t>
      </w:r>
      <w:r w:rsidR="006C680D" w:rsidRPr="00D337FA">
        <w:rPr>
          <w:i/>
          <w:szCs w:val="24"/>
        </w:rPr>
        <w:t xml:space="preserve"> </w:t>
      </w:r>
      <w:r w:rsidR="00FB2463" w:rsidRPr="00D337FA">
        <w:rPr>
          <w:i/>
          <w:szCs w:val="24"/>
        </w:rPr>
        <w:t>не</w:t>
      </w:r>
      <w:r w:rsidR="006C680D" w:rsidRPr="00D337FA">
        <w:rPr>
          <w:i/>
          <w:szCs w:val="24"/>
        </w:rPr>
        <w:t xml:space="preserve"> </w:t>
      </w:r>
      <w:r w:rsidR="00FB2463" w:rsidRPr="00D337FA">
        <w:rPr>
          <w:i/>
          <w:szCs w:val="24"/>
        </w:rPr>
        <w:t>лишены</w:t>
      </w:r>
      <w:r w:rsidR="006C680D" w:rsidRPr="00D337FA">
        <w:rPr>
          <w:i/>
          <w:szCs w:val="24"/>
        </w:rPr>
        <w:t xml:space="preserve"> </w:t>
      </w:r>
      <w:r w:rsidR="00FB2463" w:rsidRPr="00D337FA">
        <w:rPr>
          <w:i/>
          <w:szCs w:val="24"/>
        </w:rPr>
        <w:t>недостатков</w:t>
      </w:r>
      <w:r w:rsidR="006C680D" w:rsidRPr="00D337FA">
        <w:rPr>
          <w:i/>
          <w:szCs w:val="24"/>
        </w:rPr>
        <w:t xml:space="preserve"> </w:t>
      </w:r>
      <w:r w:rsidR="00FB2463" w:rsidRPr="00D337FA">
        <w:rPr>
          <w:i/>
          <w:szCs w:val="24"/>
        </w:rPr>
        <w:t>как</w:t>
      </w:r>
      <w:r w:rsidR="006C680D" w:rsidRPr="00D337FA">
        <w:rPr>
          <w:i/>
          <w:szCs w:val="24"/>
        </w:rPr>
        <w:t xml:space="preserve"> </w:t>
      </w:r>
      <w:r w:rsidR="00FB2463" w:rsidRPr="00D337FA">
        <w:rPr>
          <w:i/>
          <w:szCs w:val="24"/>
        </w:rPr>
        <w:t>с</w:t>
      </w:r>
      <w:r w:rsidR="006C680D" w:rsidRPr="00D337FA">
        <w:rPr>
          <w:i/>
          <w:szCs w:val="24"/>
        </w:rPr>
        <w:t xml:space="preserve"> </w:t>
      </w:r>
      <w:r w:rsidR="00FB2463" w:rsidRPr="00D337FA">
        <w:rPr>
          <w:i/>
          <w:szCs w:val="24"/>
        </w:rPr>
        <w:t>позиций</w:t>
      </w:r>
      <w:r w:rsidR="006C680D" w:rsidRPr="00D337FA">
        <w:rPr>
          <w:i/>
          <w:szCs w:val="24"/>
        </w:rPr>
        <w:t xml:space="preserve"> </w:t>
      </w:r>
      <w:r w:rsidR="00FB2463" w:rsidRPr="00D337FA">
        <w:rPr>
          <w:i/>
          <w:szCs w:val="24"/>
        </w:rPr>
        <w:t>выбора</w:t>
      </w:r>
      <w:r w:rsidR="006C680D" w:rsidRPr="00D337FA">
        <w:rPr>
          <w:i/>
          <w:szCs w:val="24"/>
        </w:rPr>
        <w:t xml:space="preserve"> </w:t>
      </w:r>
      <w:r w:rsidR="00FB2463" w:rsidRPr="00D337FA">
        <w:rPr>
          <w:i/>
          <w:szCs w:val="24"/>
        </w:rPr>
        <w:t>оптимальных</w:t>
      </w:r>
      <w:r w:rsidR="006C680D" w:rsidRPr="00D337FA">
        <w:rPr>
          <w:i/>
          <w:szCs w:val="24"/>
        </w:rPr>
        <w:t xml:space="preserve"> </w:t>
      </w:r>
      <w:r w:rsidR="00FB2463" w:rsidRPr="00D337FA">
        <w:rPr>
          <w:i/>
          <w:szCs w:val="24"/>
        </w:rPr>
        <w:t>механизмов</w:t>
      </w:r>
      <w:r w:rsidR="006C680D" w:rsidRPr="00D337FA">
        <w:rPr>
          <w:i/>
          <w:szCs w:val="24"/>
        </w:rPr>
        <w:t xml:space="preserve"> </w:t>
      </w:r>
      <w:r w:rsidR="00FB2463" w:rsidRPr="00D337FA">
        <w:rPr>
          <w:i/>
          <w:szCs w:val="24"/>
        </w:rPr>
        <w:t>финансирования</w:t>
      </w:r>
      <w:r w:rsidR="006C680D" w:rsidRPr="00D337FA">
        <w:rPr>
          <w:i/>
          <w:szCs w:val="24"/>
        </w:rPr>
        <w:t xml:space="preserve"> </w:t>
      </w:r>
      <w:r w:rsidR="00FB2463" w:rsidRPr="00D337FA">
        <w:rPr>
          <w:i/>
          <w:szCs w:val="24"/>
        </w:rPr>
        <w:t>процедур</w:t>
      </w:r>
      <w:r w:rsidR="006C680D" w:rsidRPr="00D337FA">
        <w:rPr>
          <w:i/>
          <w:szCs w:val="24"/>
        </w:rPr>
        <w:t xml:space="preserve"> </w:t>
      </w:r>
      <w:r w:rsidR="00FB2463" w:rsidRPr="00D337FA">
        <w:rPr>
          <w:i/>
          <w:szCs w:val="24"/>
        </w:rPr>
        <w:t>финансового</w:t>
      </w:r>
      <w:r w:rsidR="006C680D" w:rsidRPr="00D337FA">
        <w:rPr>
          <w:i/>
          <w:szCs w:val="24"/>
        </w:rPr>
        <w:t xml:space="preserve"> </w:t>
      </w:r>
      <w:r w:rsidR="00FB2463" w:rsidRPr="00D337FA">
        <w:rPr>
          <w:i/>
          <w:szCs w:val="24"/>
        </w:rPr>
        <w:t>оздоровления</w:t>
      </w:r>
      <w:r w:rsidR="006C680D" w:rsidRPr="00D337FA">
        <w:rPr>
          <w:i/>
          <w:szCs w:val="24"/>
        </w:rPr>
        <w:t xml:space="preserve"> </w:t>
      </w:r>
      <w:r w:rsidR="00FB2463" w:rsidRPr="00D337FA">
        <w:rPr>
          <w:i/>
          <w:szCs w:val="24"/>
        </w:rPr>
        <w:t>банков,</w:t>
      </w:r>
      <w:r w:rsidR="006C680D" w:rsidRPr="00D337FA">
        <w:rPr>
          <w:i/>
          <w:szCs w:val="24"/>
        </w:rPr>
        <w:t xml:space="preserve"> </w:t>
      </w:r>
      <w:r w:rsidR="00FB2463" w:rsidRPr="00D337FA">
        <w:rPr>
          <w:i/>
          <w:szCs w:val="24"/>
        </w:rPr>
        <w:t>так</w:t>
      </w:r>
      <w:r w:rsidR="006C680D" w:rsidRPr="00D337FA">
        <w:rPr>
          <w:i/>
          <w:szCs w:val="24"/>
        </w:rPr>
        <w:t xml:space="preserve"> </w:t>
      </w:r>
      <w:r w:rsidR="00FB2463" w:rsidRPr="00D337FA">
        <w:rPr>
          <w:i/>
          <w:szCs w:val="24"/>
        </w:rPr>
        <w:t>и</w:t>
      </w:r>
      <w:r w:rsidR="006C680D" w:rsidRPr="00D337FA">
        <w:rPr>
          <w:i/>
          <w:szCs w:val="24"/>
        </w:rPr>
        <w:t xml:space="preserve"> </w:t>
      </w:r>
      <w:r w:rsidR="00FB2463" w:rsidRPr="00D337FA">
        <w:rPr>
          <w:i/>
          <w:szCs w:val="24"/>
        </w:rPr>
        <w:t>оценки</w:t>
      </w:r>
      <w:r w:rsidR="006C680D" w:rsidRPr="00D337FA">
        <w:rPr>
          <w:i/>
          <w:szCs w:val="24"/>
        </w:rPr>
        <w:t xml:space="preserve"> </w:t>
      </w:r>
      <w:r w:rsidR="00FB2463" w:rsidRPr="00D337FA">
        <w:rPr>
          <w:i/>
          <w:szCs w:val="24"/>
        </w:rPr>
        <w:t>целесообразности</w:t>
      </w:r>
      <w:r w:rsidR="006C680D" w:rsidRPr="00D337FA">
        <w:rPr>
          <w:i/>
          <w:szCs w:val="24"/>
        </w:rPr>
        <w:t xml:space="preserve"> </w:t>
      </w:r>
      <w:r w:rsidR="00FB2463" w:rsidRPr="00D337FA">
        <w:rPr>
          <w:i/>
          <w:szCs w:val="24"/>
        </w:rPr>
        <w:t>и</w:t>
      </w:r>
      <w:r w:rsidR="006C680D" w:rsidRPr="00D337FA">
        <w:rPr>
          <w:i/>
          <w:szCs w:val="24"/>
        </w:rPr>
        <w:t xml:space="preserve"> </w:t>
      </w:r>
      <w:r w:rsidR="00FB2463" w:rsidRPr="00D337FA">
        <w:rPr>
          <w:i/>
          <w:szCs w:val="24"/>
        </w:rPr>
        <w:t>эффективности</w:t>
      </w:r>
      <w:r w:rsidR="006C680D" w:rsidRPr="00D337FA">
        <w:rPr>
          <w:i/>
          <w:szCs w:val="24"/>
        </w:rPr>
        <w:t xml:space="preserve"> </w:t>
      </w:r>
      <w:r w:rsidR="00FB2463" w:rsidRPr="00D337FA">
        <w:rPr>
          <w:i/>
          <w:szCs w:val="24"/>
        </w:rPr>
        <w:t>его</w:t>
      </w:r>
      <w:r w:rsidR="006C680D" w:rsidRPr="00D337FA">
        <w:rPr>
          <w:i/>
          <w:szCs w:val="24"/>
        </w:rPr>
        <w:t xml:space="preserve"> </w:t>
      </w:r>
      <w:r w:rsidR="00FB2463" w:rsidRPr="00D337FA">
        <w:rPr>
          <w:i/>
          <w:szCs w:val="24"/>
        </w:rPr>
        <w:t>осуществления.</w:t>
      </w:r>
      <w:r w:rsidR="006C680D" w:rsidRPr="00D337FA">
        <w:rPr>
          <w:i/>
          <w:szCs w:val="24"/>
        </w:rPr>
        <w:t xml:space="preserve"> </w:t>
      </w:r>
      <w:r w:rsidR="00FB2463" w:rsidRPr="00D337FA">
        <w:rPr>
          <w:i/>
          <w:szCs w:val="24"/>
        </w:rPr>
        <w:t>Такой</w:t>
      </w:r>
      <w:r w:rsidR="006C680D" w:rsidRPr="00D337FA">
        <w:rPr>
          <w:i/>
          <w:szCs w:val="24"/>
        </w:rPr>
        <w:t xml:space="preserve"> </w:t>
      </w:r>
      <w:r w:rsidR="00FB2463" w:rsidRPr="00D337FA">
        <w:rPr>
          <w:i/>
          <w:szCs w:val="24"/>
        </w:rPr>
        <w:t>вывод</w:t>
      </w:r>
      <w:r w:rsidR="006C680D" w:rsidRPr="00D337FA">
        <w:rPr>
          <w:i/>
          <w:szCs w:val="24"/>
        </w:rPr>
        <w:t xml:space="preserve"> </w:t>
      </w:r>
      <w:r w:rsidR="00FB2463" w:rsidRPr="00D337FA">
        <w:rPr>
          <w:i/>
          <w:szCs w:val="24"/>
        </w:rPr>
        <w:t>послужил</w:t>
      </w:r>
      <w:r w:rsidR="006C680D" w:rsidRPr="00D337FA">
        <w:rPr>
          <w:i/>
          <w:szCs w:val="24"/>
        </w:rPr>
        <w:t xml:space="preserve"> </w:t>
      </w:r>
      <w:r w:rsidR="00FB2463" w:rsidRPr="00D337FA">
        <w:rPr>
          <w:i/>
          <w:szCs w:val="24"/>
        </w:rPr>
        <w:t>основанием</w:t>
      </w:r>
      <w:r w:rsidR="006C680D" w:rsidRPr="00D337FA">
        <w:rPr>
          <w:i/>
          <w:szCs w:val="24"/>
        </w:rPr>
        <w:t xml:space="preserve"> </w:t>
      </w:r>
      <w:r w:rsidR="00FB2463" w:rsidRPr="00D337FA">
        <w:rPr>
          <w:i/>
          <w:szCs w:val="24"/>
        </w:rPr>
        <w:t>для</w:t>
      </w:r>
      <w:r w:rsidR="006C680D" w:rsidRPr="00D337FA">
        <w:rPr>
          <w:i/>
          <w:szCs w:val="24"/>
        </w:rPr>
        <w:t xml:space="preserve"> </w:t>
      </w:r>
      <w:r w:rsidR="00FB2463" w:rsidRPr="00D337FA">
        <w:rPr>
          <w:i/>
          <w:szCs w:val="24"/>
        </w:rPr>
        <w:t>разработки</w:t>
      </w:r>
      <w:r w:rsidR="006C680D" w:rsidRPr="00D337FA">
        <w:rPr>
          <w:i/>
          <w:szCs w:val="24"/>
        </w:rPr>
        <w:t xml:space="preserve"> </w:t>
      </w:r>
      <w:r w:rsidR="00FB2463" w:rsidRPr="00D337FA">
        <w:rPr>
          <w:i/>
          <w:szCs w:val="24"/>
        </w:rPr>
        <w:t>предложений</w:t>
      </w:r>
      <w:r w:rsidR="006C680D" w:rsidRPr="00D337FA">
        <w:rPr>
          <w:i/>
          <w:szCs w:val="24"/>
        </w:rPr>
        <w:t xml:space="preserve"> </w:t>
      </w:r>
      <w:r w:rsidR="00FB2463" w:rsidRPr="00D337FA">
        <w:rPr>
          <w:i/>
          <w:szCs w:val="24"/>
        </w:rPr>
        <w:t>по</w:t>
      </w:r>
      <w:r w:rsidR="006C680D" w:rsidRPr="00D337FA">
        <w:rPr>
          <w:i/>
          <w:szCs w:val="24"/>
        </w:rPr>
        <w:t xml:space="preserve"> </w:t>
      </w:r>
      <w:r w:rsidR="00FB2463" w:rsidRPr="00D337FA">
        <w:rPr>
          <w:i/>
          <w:szCs w:val="24"/>
        </w:rPr>
        <w:t>совершенствованию</w:t>
      </w:r>
      <w:r w:rsidR="006C680D" w:rsidRPr="00D337FA">
        <w:rPr>
          <w:i/>
          <w:szCs w:val="24"/>
        </w:rPr>
        <w:t xml:space="preserve"> </w:t>
      </w:r>
      <w:r w:rsidR="00FB2463" w:rsidRPr="00D337FA">
        <w:rPr>
          <w:i/>
          <w:szCs w:val="24"/>
        </w:rPr>
        <w:t>практики</w:t>
      </w:r>
      <w:r w:rsidR="006C680D" w:rsidRPr="00D337FA">
        <w:rPr>
          <w:i/>
          <w:szCs w:val="24"/>
        </w:rPr>
        <w:t xml:space="preserve"> </w:t>
      </w:r>
      <w:r w:rsidR="00FB2463" w:rsidRPr="00D337FA">
        <w:rPr>
          <w:i/>
          <w:szCs w:val="24"/>
        </w:rPr>
        <w:t>санации</w:t>
      </w:r>
      <w:r w:rsidR="006C680D" w:rsidRPr="00D337FA">
        <w:rPr>
          <w:i/>
          <w:szCs w:val="24"/>
        </w:rPr>
        <w:t xml:space="preserve"> </w:t>
      </w:r>
      <w:r w:rsidR="00FB2463" w:rsidRPr="00D337FA">
        <w:rPr>
          <w:i/>
          <w:szCs w:val="24"/>
        </w:rPr>
        <w:t>российских</w:t>
      </w:r>
      <w:r w:rsidR="006C680D" w:rsidRPr="00D337FA">
        <w:rPr>
          <w:i/>
          <w:szCs w:val="24"/>
        </w:rPr>
        <w:t xml:space="preserve"> </w:t>
      </w:r>
      <w:r w:rsidR="00FB2463" w:rsidRPr="00D337FA">
        <w:rPr>
          <w:i/>
          <w:szCs w:val="24"/>
        </w:rPr>
        <w:t>банков,</w:t>
      </w:r>
      <w:r w:rsidR="006C680D" w:rsidRPr="00D337FA">
        <w:rPr>
          <w:i/>
          <w:szCs w:val="24"/>
        </w:rPr>
        <w:t xml:space="preserve"> </w:t>
      </w:r>
      <w:r w:rsidR="00FB2463" w:rsidRPr="00D337FA">
        <w:rPr>
          <w:i/>
          <w:szCs w:val="24"/>
        </w:rPr>
        <w:t>позволяющие</w:t>
      </w:r>
      <w:r w:rsidR="006C680D" w:rsidRPr="00D337FA">
        <w:rPr>
          <w:i/>
          <w:szCs w:val="24"/>
        </w:rPr>
        <w:t xml:space="preserve"> </w:t>
      </w:r>
      <w:r w:rsidR="00FB2463" w:rsidRPr="00D337FA">
        <w:rPr>
          <w:i/>
          <w:szCs w:val="24"/>
        </w:rPr>
        <w:t>повысить</w:t>
      </w:r>
      <w:r w:rsidR="006C680D" w:rsidRPr="00D337FA">
        <w:rPr>
          <w:i/>
          <w:szCs w:val="24"/>
        </w:rPr>
        <w:t xml:space="preserve"> </w:t>
      </w:r>
      <w:r w:rsidR="00FB2463" w:rsidRPr="00D337FA">
        <w:rPr>
          <w:i/>
          <w:szCs w:val="24"/>
        </w:rPr>
        <w:t>ее</w:t>
      </w:r>
      <w:r w:rsidR="006C680D" w:rsidRPr="00D337FA">
        <w:rPr>
          <w:i/>
          <w:szCs w:val="24"/>
        </w:rPr>
        <w:t xml:space="preserve"> </w:t>
      </w:r>
      <w:r w:rsidR="00FB2463" w:rsidRPr="00D337FA">
        <w:rPr>
          <w:i/>
          <w:szCs w:val="24"/>
        </w:rPr>
        <w:t>эффективность</w:t>
      </w:r>
      <w:r w:rsidR="006C680D" w:rsidRPr="00D337FA">
        <w:rPr>
          <w:i/>
          <w:szCs w:val="24"/>
        </w:rPr>
        <w:t xml:space="preserve"> </w:t>
      </w:r>
      <w:r w:rsidR="00FB2463" w:rsidRPr="00D337FA">
        <w:rPr>
          <w:i/>
          <w:szCs w:val="24"/>
        </w:rPr>
        <w:t>и</w:t>
      </w:r>
      <w:r w:rsidR="006C680D" w:rsidRPr="00D337FA">
        <w:rPr>
          <w:i/>
          <w:szCs w:val="24"/>
        </w:rPr>
        <w:t xml:space="preserve"> </w:t>
      </w:r>
      <w:r w:rsidR="00FB2463" w:rsidRPr="00D337FA">
        <w:rPr>
          <w:i/>
          <w:szCs w:val="24"/>
        </w:rPr>
        <w:t>минимизировать</w:t>
      </w:r>
      <w:r w:rsidR="006C680D" w:rsidRPr="00D337FA">
        <w:rPr>
          <w:i/>
          <w:szCs w:val="24"/>
        </w:rPr>
        <w:t xml:space="preserve"> </w:t>
      </w:r>
      <w:r w:rsidR="00FB2463" w:rsidRPr="00D337FA">
        <w:rPr>
          <w:i/>
          <w:szCs w:val="24"/>
        </w:rPr>
        <w:t>государственные</w:t>
      </w:r>
      <w:r w:rsidR="006C680D" w:rsidRPr="00D337FA">
        <w:rPr>
          <w:i/>
          <w:szCs w:val="24"/>
        </w:rPr>
        <w:t xml:space="preserve"> </w:t>
      </w:r>
      <w:r w:rsidR="00FB2463" w:rsidRPr="00D337FA">
        <w:rPr>
          <w:i/>
          <w:szCs w:val="24"/>
        </w:rPr>
        <w:t>расходы</w:t>
      </w:r>
      <w:r w:rsidR="006C680D" w:rsidRPr="00D337FA">
        <w:rPr>
          <w:i/>
          <w:szCs w:val="24"/>
        </w:rPr>
        <w:t xml:space="preserve"> </w:t>
      </w:r>
      <w:r w:rsidR="00FB2463" w:rsidRPr="00D337FA">
        <w:rPr>
          <w:i/>
          <w:szCs w:val="24"/>
        </w:rPr>
        <w:t>на</w:t>
      </w:r>
      <w:r w:rsidR="006C680D" w:rsidRPr="00D337FA">
        <w:rPr>
          <w:i/>
          <w:szCs w:val="24"/>
        </w:rPr>
        <w:t xml:space="preserve"> </w:t>
      </w:r>
      <w:r w:rsidR="00FB2463" w:rsidRPr="00D337FA">
        <w:rPr>
          <w:i/>
          <w:szCs w:val="24"/>
        </w:rPr>
        <w:t>предотвращение</w:t>
      </w:r>
      <w:r w:rsidR="006C680D" w:rsidRPr="00D337FA">
        <w:rPr>
          <w:i/>
          <w:szCs w:val="24"/>
        </w:rPr>
        <w:t xml:space="preserve"> </w:t>
      </w:r>
      <w:r w:rsidR="00FB2463" w:rsidRPr="00D337FA">
        <w:rPr>
          <w:i/>
          <w:szCs w:val="24"/>
        </w:rPr>
        <w:t>угроз</w:t>
      </w:r>
      <w:r w:rsidR="006C680D" w:rsidRPr="00D337FA">
        <w:rPr>
          <w:i/>
          <w:szCs w:val="24"/>
        </w:rPr>
        <w:t xml:space="preserve"> </w:t>
      </w:r>
      <w:r w:rsidR="00FB2463" w:rsidRPr="00D337FA">
        <w:rPr>
          <w:i/>
          <w:szCs w:val="24"/>
        </w:rPr>
        <w:t>дефолта</w:t>
      </w:r>
      <w:r w:rsidR="006C680D" w:rsidRPr="00D337FA">
        <w:rPr>
          <w:i/>
          <w:szCs w:val="24"/>
        </w:rPr>
        <w:t xml:space="preserve"> </w:t>
      </w:r>
      <w:r w:rsidR="00FB2463" w:rsidRPr="00D337FA">
        <w:rPr>
          <w:i/>
          <w:szCs w:val="24"/>
        </w:rPr>
        <w:t>банков</w:t>
      </w:r>
      <w:r w:rsidR="006C680D" w:rsidRPr="00D337FA">
        <w:rPr>
          <w:i/>
          <w:szCs w:val="24"/>
        </w:rPr>
        <w:t xml:space="preserve"> </w:t>
      </w:r>
      <w:r w:rsidR="00FB2463" w:rsidRPr="00D337FA">
        <w:rPr>
          <w:i/>
          <w:szCs w:val="24"/>
        </w:rPr>
        <w:t>в</w:t>
      </w:r>
      <w:r w:rsidR="006C680D" w:rsidRPr="00D337FA">
        <w:rPr>
          <w:i/>
          <w:szCs w:val="24"/>
        </w:rPr>
        <w:t xml:space="preserve"> </w:t>
      </w:r>
      <w:r w:rsidR="00FB2463" w:rsidRPr="00D337FA">
        <w:rPr>
          <w:i/>
          <w:szCs w:val="24"/>
        </w:rPr>
        <w:t>будущем.</w:t>
      </w:r>
      <w:r w:rsidR="006C680D" w:rsidRPr="00D337FA">
        <w:rPr>
          <w:i/>
          <w:szCs w:val="24"/>
        </w:rPr>
        <w:t xml:space="preserve"> </w:t>
      </w:r>
    </w:p>
    <w:p w:rsidR="00C9796F" w:rsidRPr="00D337FA" w:rsidRDefault="00C9796F" w:rsidP="00C9796F">
      <w:pPr>
        <w:ind w:firstLine="0"/>
        <w:rPr>
          <w:szCs w:val="24"/>
        </w:rPr>
      </w:pPr>
    </w:p>
    <w:p w:rsidR="00C9796F" w:rsidRPr="00D337FA" w:rsidRDefault="00FB2463" w:rsidP="00C9796F">
      <w:pPr>
        <w:autoSpaceDE w:val="0"/>
        <w:autoSpaceDN w:val="0"/>
        <w:adjustRightInd w:val="0"/>
        <w:ind w:firstLine="0"/>
        <w:textAlignment w:val="center"/>
        <w:rPr>
          <w:iCs/>
          <w:szCs w:val="24"/>
          <w:lang w:eastAsia="ru-RU"/>
        </w:rPr>
      </w:pPr>
      <w:r w:rsidRPr="00D337FA">
        <w:rPr>
          <w:iCs/>
          <w:szCs w:val="24"/>
          <w:lang w:eastAsia="ru-RU"/>
        </w:rPr>
        <w:t>Банк,</w:t>
      </w:r>
      <w:r w:rsidR="006C680D" w:rsidRPr="00D337FA">
        <w:rPr>
          <w:iCs/>
          <w:szCs w:val="24"/>
          <w:lang w:eastAsia="ru-RU"/>
        </w:rPr>
        <w:t xml:space="preserve"> </w:t>
      </w:r>
      <w:r w:rsidRPr="00D337FA">
        <w:rPr>
          <w:iCs/>
          <w:szCs w:val="24"/>
          <w:lang w:eastAsia="ru-RU"/>
        </w:rPr>
        <w:t>санация,</w:t>
      </w:r>
      <w:r w:rsidR="006C680D" w:rsidRPr="00D337FA">
        <w:rPr>
          <w:iCs/>
          <w:szCs w:val="24"/>
          <w:lang w:eastAsia="ru-RU"/>
        </w:rPr>
        <w:t xml:space="preserve"> </w:t>
      </w:r>
      <w:r w:rsidRPr="00D337FA">
        <w:rPr>
          <w:iCs/>
          <w:szCs w:val="24"/>
          <w:lang w:eastAsia="ru-RU"/>
        </w:rPr>
        <w:t>дефолт,</w:t>
      </w:r>
      <w:r w:rsidR="006C680D" w:rsidRPr="00D337FA">
        <w:rPr>
          <w:iCs/>
          <w:szCs w:val="24"/>
          <w:lang w:eastAsia="ru-RU"/>
        </w:rPr>
        <w:t xml:space="preserve"> </w:t>
      </w:r>
      <w:r w:rsidRPr="00D337FA">
        <w:rPr>
          <w:iCs/>
          <w:szCs w:val="24"/>
          <w:lang w:eastAsia="ru-RU"/>
        </w:rPr>
        <w:t>целесообразность,</w:t>
      </w:r>
      <w:r w:rsidR="006C680D" w:rsidRPr="00D337FA">
        <w:rPr>
          <w:iCs/>
          <w:szCs w:val="24"/>
          <w:lang w:eastAsia="ru-RU"/>
        </w:rPr>
        <w:t xml:space="preserve"> </w:t>
      </w:r>
      <w:r w:rsidRPr="00D337FA">
        <w:rPr>
          <w:iCs/>
          <w:szCs w:val="24"/>
          <w:lang w:eastAsia="ru-RU"/>
        </w:rPr>
        <w:t>эффективность,</w:t>
      </w:r>
      <w:r w:rsidR="006C680D" w:rsidRPr="00D337FA">
        <w:rPr>
          <w:iCs/>
          <w:szCs w:val="24"/>
          <w:lang w:eastAsia="ru-RU"/>
        </w:rPr>
        <w:t xml:space="preserve"> </w:t>
      </w:r>
      <w:r w:rsidRPr="00D337FA">
        <w:rPr>
          <w:iCs/>
          <w:szCs w:val="24"/>
          <w:lang w:eastAsia="ru-RU"/>
        </w:rPr>
        <w:t>санационный</w:t>
      </w:r>
      <w:r w:rsidR="006C680D" w:rsidRPr="00D337FA">
        <w:rPr>
          <w:iCs/>
          <w:szCs w:val="24"/>
          <w:lang w:eastAsia="ru-RU"/>
        </w:rPr>
        <w:t xml:space="preserve"> </w:t>
      </w:r>
      <w:r w:rsidRPr="00D337FA">
        <w:rPr>
          <w:iCs/>
          <w:szCs w:val="24"/>
          <w:lang w:eastAsia="ru-RU"/>
        </w:rPr>
        <w:t>аудит,</w:t>
      </w:r>
      <w:r w:rsidR="006C680D" w:rsidRPr="00D337FA">
        <w:rPr>
          <w:iCs/>
          <w:szCs w:val="24"/>
          <w:lang w:eastAsia="ru-RU"/>
        </w:rPr>
        <w:t xml:space="preserve"> </w:t>
      </w:r>
      <w:r w:rsidRPr="00D337FA">
        <w:rPr>
          <w:iCs/>
          <w:szCs w:val="24"/>
          <w:lang w:eastAsia="ru-RU"/>
        </w:rPr>
        <w:t>Фонд</w:t>
      </w:r>
      <w:r w:rsidR="006C680D" w:rsidRPr="00D337FA">
        <w:rPr>
          <w:iCs/>
          <w:szCs w:val="24"/>
          <w:lang w:eastAsia="ru-RU"/>
        </w:rPr>
        <w:t xml:space="preserve"> </w:t>
      </w:r>
      <w:r w:rsidRPr="00D337FA">
        <w:rPr>
          <w:iCs/>
          <w:szCs w:val="24"/>
          <w:lang w:eastAsia="ru-RU"/>
        </w:rPr>
        <w:t>консолидации</w:t>
      </w:r>
      <w:r w:rsidR="006C680D" w:rsidRPr="00D337FA">
        <w:rPr>
          <w:iCs/>
          <w:szCs w:val="24"/>
          <w:lang w:eastAsia="ru-RU"/>
        </w:rPr>
        <w:t xml:space="preserve"> </w:t>
      </w:r>
      <w:r w:rsidRPr="00D337FA">
        <w:rPr>
          <w:iCs/>
          <w:szCs w:val="24"/>
          <w:lang w:eastAsia="ru-RU"/>
        </w:rPr>
        <w:t>банковского</w:t>
      </w:r>
      <w:r w:rsidR="006C680D" w:rsidRPr="00D337FA">
        <w:rPr>
          <w:iCs/>
          <w:szCs w:val="24"/>
          <w:lang w:eastAsia="ru-RU"/>
        </w:rPr>
        <w:t xml:space="preserve"> </w:t>
      </w:r>
      <w:r w:rsidRPr="00D337FA">
        <w:rPr>
          <w:iCs/>
          <w:szCs w:val="24"/>
          <w:lang w:eastAsia="ru-RU"/>
        </w:rPr>
        <w:t>сектора</w:t>
      </w:r>
    </w:p>
    <w:p w:rsidR="00C9796F" w:rsidRPr="00D337FA" w:rsidRDefault="00C9796F" w:rsidP="00C9796F">
      <w:pPr>
        <w:autoSpaceDE w:val="0"/>
        <w:autoSpaceDN w:val="0"/>
        <w:adjustRightInd w:val="0"/>
        <w:ind w:firstLine="0"/>
        <w:textAlignment w:val="center"/>
        <w:rPr>
          <w:iCs/>
          <w:szCs w:val="24"/>
          <w:lang w:eastAsia="ru-RU"/>
        </w:rPr>
      </w:pPr>
    </w:p>
    <w:p w:rsidR="00C9796F" w:rsidRPr="00D337FA" w:rsidRDefault="00C9796F" w:rsidP="00C9796F">
      <w:pPr>
        <w:autoSpaceDE w:val="0"/>
        <w:autoSpaceDN w:val="0"/>
        <w:adjustRightInd w:val="0"/>
        <w:ind w:firstLine="0"/>
        <w:textAlignment w:val="center"/>
        <w:rPr>
          <w:iCs/>
          <w:szCs w:val="24"/>
          <w:lang w:eastAsia="ru-RU"/>
        </w:rPr>
      </w:pPr>
    </w:p>
    <w:p w:rsidR="00C9796F" w:rsidRPr="00D337FA" w:rsidRDefault="00C9796F" w:rsidP="00C9796F">
      <w:pPr>
        <w:shd w:val="clear" w:color="auto" w:fill="FFFFFF"/>
        <w:tabs>
          <w:tab w:val="left" w:pos="3066"/>
        </w:tabs>
        <w:ind w:firstLine="0"/>
        <w:rPr>
          <w:rFonts w:eastAsia="Times New Roman"/>
          <w:i/>
          <w:szCs w:val="24"/>
          <w:lang w:val="en-US" w:eastAsia="ru-RU"/>
        </w:rPr>
      </w:pPr>
      <w:r w:rsidRPr="00D337FA">
        <w:rPr>
          <w:rFonts w:eastAsia="Times New Roman"/>
          <w:b/>
          <w:i/>
          <w:szCs w:val="24"/>
          <w:lang w:val="en-US" w:eastAsia="ru-RU"/>
        </w:rPr>
        <w:lastRenderedPageBreak/>
        <w:t>Abstract.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This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article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examines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theory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practice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bank</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resolution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context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assessing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its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feasibility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effectiveness.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Based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results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theoretical</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analysis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approaches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to</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interpreting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concepts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«feasibility»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«effectiveness»,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their</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meaning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relation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to</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bank</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resolution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was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revealed,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significant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characteristics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reflecting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dynamic</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changes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key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results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fi-nancial</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recovery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over</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time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were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identified.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was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established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that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currently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implemented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resolution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mechanisms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are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not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without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shortcomings,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both</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terms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selecting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optimal</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mechanisms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for</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financing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bank</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financial</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recovery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procedures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assessing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feasibility</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effectiveness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their</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implementation.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This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conclusion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served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basis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for</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developing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proposals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for</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improving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practice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bank</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resolution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Russia,</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increasing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its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effectiveness</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and</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minimizing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government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spending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preventing</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threat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of</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bank</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default</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in</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the</w:t>
      </w:r>
      <w:r w:rsidR="006C680D" w:rsidRPr="00D337FA">
        <w:rPr>
          <w:rFonts w:eastAsia="Times New Roman"/>
          <w:i/>
          <w:szCs w:val="24"/>
          <w:lang w:val="en-US" w:eastAsia="ru-RU"/>
        </w:rPr>
        <w:t xml:space="preserve"> </w:t>
      </w:r>
      <w:r w:rsidR="00FB2463" w:rsidRPr="00D337FA">
        <w:rPr>
          <w:rFonts w:eastAsia="Times New Roman"/>
          <w:i/>
          <w:szCs w:val="24"/>
          <w:lang w:val="en-US" w:eastAsia="ru-RU"/>
        </w:rPr>
        <w:t>future</w:t>
      </w:r>
      <w:r w:rsidRPr="00D337FA">
        <w:rPr>
          <w:rFonts w:eastAsia="Times New Roman"/>
          <w:i/>
          <w:szCs w:val="24"/>
          <w:lang w:val="en-US" w:eastAsia="ru-RU"/>
        </w:rPr>
        <w:t>.</w:t>
      </w:r>
      <w:r w:rsidR="006C680D" w:rsidRPr="00D337FA">
        <w:rPr>
          <w:rFonts w:eastAsia="Times New Roman"/>
          <w:i/>
          <w:szCs w:val="24"/>
          <w:lang w:val="en-US" w:eastAsia="ru-RU"/>
        </w:rPr>
        <w:t xml:space="preserve"> </w:t>
      </w:r>
    </w:p>
    <w:p w:rsidR="00C9796F" w:rsidRPr="00D337FA" w:rsidRDefault="00C9796F" w:rsidP="00C9796F">
      <w:pPr>
        <w:shd w:val="clear" w:color="auto" w:fill="FFFFFF"/>
        <w:ind w:firstLine="0"/>
        <w:rPr>
          <w:rFonts w:eastAsia="Times New Roman"/>
          <w:szCs w:val="24"/>
          <w:lang w:val="en-US" w:eastAsia="ru-RU"/>
        </w:rPr>
      </w:pPr>
    </w:p>
    <w:p w:rsidR="00C9796F" w:rsidRPr="00D337FA" w:rsidRDefault="00C9796F" w:rsidP="00C9796F">
      <w:pPr>
        <w:shd w:val="clear" w:color="auto" w:fill="FFFFFF"/>
        <w:ind w:firstLine="0"/>
        <w:rPr>
          <w:rFonts w:eastAsia="Times New Roman"/>
          <w:szCs w:val="24"/>
          <w:lang w:val="en-US" w:eastAsia="ru-RU"/>
        </w:rPr>
      </w:pPr>
    </w:p>
    <w:p w:rsidR="00C9796F" w:rsidRPr="00D337FA" w:rsidRDefault="00C9796F" w:rsidP="00C9796F">
      <w:pPr>
        <w:shd w:val="clear" w:color="auto" w:fill="FFFFFF"/>
        <w:ind w:firstLine="0"/>
        <w:rPr>
          <w:rFonts w:eastAsia="Times New Roman"/>
          <w:szCs w:val="24"/>
          <w:lang w:val="en-US" w:eastAsia="ru-RU"/>
        </w:rPr>
      </w:pPr>
    </w:p>
    <w:p w:rsidR="00C9796F" w:rsidRPr="00D337FA" w:rsidRDefault="00C9796F" w:rsidP="00C9796F">
      <w:pPr>
        <w:shd w:val="clear" w:color="auto" w:fill="FFFFFF"/>
        <w:ind w:firstLine="0"/>
        <w:rPr>
          <w:rFonts w:eastAsia="Times New Roman"/>
          <w:szCs w:val="24"/>
          <w:lang w:val="en-US" w:eastAsia="ru-RU"/>
        </w:rPr>
      </w:pPr>
    </w:p>
    <w:p w:rsidR="00C9796F" w:rsidRPr="00D337FA" w:rsidRDefault="00C9796F" w:rsidP="00C9796F">
      <w:pPr>
        <w:shd w:val="clear" w:color="auto" w:fill="FFFFFF"/>
        <w:ind w:firstLine="0"/>
        <w:rPr>
          <w:rFonts w:eastAsia="Times New Roman"/>
          <w:szCs w:val="24"/>
          <w:lang w:val="en-US" w:eastAsia="ru-RU"/>
        </w:rPr>
      </w:pPr>
    </w:p>
    <w:p w:rsidR="00C9796F" w:rsidRPr="00D337FA" w:rsidRDefault="00FB2463" w:rsidP="00C9796F">
      <w:pPr>
        <w:shd w:val="clear" w:color="auto" w:fill="FFFFFF"/>
        <w:tabs>
          <w:tab w:val="left" w:pos="3066"/>
        </w:tabs>
        <w:ind w:firstLine="0"/>
        <w:rPr>
          <w:rFonts w:eastAsia="Times New Roman"/>
          <w:szCs w:val="24"/>
          <w:lang w:val="en-US" w:eastAsia="ru-RU"/>
        </w:rPr>
      </w:pPr>
      <w:r w:rsidRPr="00D337FA">
        <w:rPr>
          <w:rFonts w:eastAsia="Times New Roman"/>
          <w:szCs w:val="24"/>
          <w:lang w:val="en-US" w:eastAsia="ru-RU"/>
        </w:rPr>
        <w:t>Bank,</w:t>
      </w:r>
      <w:r w:rsidR="006C680D" w:rsidRPr="00D337FA">
        <w:rPr>
          <w:rFonts w:eastAsia="Times New Roman"/>
          <w:szCs w:val="24"/>
          <w:lang w:val="en-US" w:eastAsia="ru-RU"/>
        </w:rPr>
        <w:t xml:space="preserve"> </w:t>
      </w:r>
      <w:r w:rsidRPr="00D337FA">
        <w:rPr>
          <w:rFonts w:eastAsia="Times New Roman"/>
          <w:szCs w:val="24"/>
          <w:lang w:val="en-US" w:eastAsia="ru-RU"/>
        </w:rPr>
        <w:t>resolution,</w:t>
      </w:r>
      <w:r w:rsidR="006C680D" w:rsidRPr="00D337FA">
        <w:rPr>
          <w:rFonts w:eastAsia="Times New Roman"/>
          <w:szCs w:val="24"/>
          <w:lang w:val="en-US" w:eastAsia="ru-RU"/>
        </w:rPr>
        <w:t xml:space="preserve"> </w:t>
      </w:r>
      <w:r w:rsidRPr="00D337FA">
        <w:rPr>
          <w:rFonts w:eastAsia="Times New Roman"/>
          <w:szCs w:val="24"/>
          <w:lang w:val="en-US" w:eastAsia="ru-RU"/>
        </w:rPr>
        <w:t>default,</w:t>
      </w:r>
      <w:r w:rsidR="006C680D" w:rsidRPr="00D337FA">
        <w:rPr>
          <w:rFonts w:eastAsia="Times New Roman"/>
          <w:szCs w:val="24"/>
          <w:lang w:val="en-US" w:eastAsia="ru-RU"/>
        </w:rPr>
        <w:t xml:space="preserve"> </w:t>
      </w:r>
      <w:r w:rsidRPr="00D337FA">
        <w:rPr>
          <w:rFonts w:eastAsia="Times New Roman"/>
          <w:szCs w:val="24"/>
          <w:lang w:val="en-US" w:eastAsia="ru-RU"/>
        </w:rPr>
        <w:t>feasibility,</w:t>
      </w:r>
      <w:r w:rsidR="006C680D" w:rsidRPr="00D337FA">
        <w:rPr>
          <w:rFonts w:eastAsia="Times New Roman"/>
          <w:szCs w:val="24"/>
          <w:lang w:val="en-US" w:eastAsia="ru-RU"/>
        </w:rPr>
        <w:t xml:space="preserve"> </w:t>
      </w:r>
      <w:r w:rsidRPr="00D337FA">
        <w:rPr>
          <w:rFonts w:eastAsia="Times New Roman"/>
          <w:szCs w:val="24"/>
          <w:lang w:val="en-US" w:eastAsia="ru-RU"/>
        </w:rPr>
        <w:t>effectiveness,</w:t>
      </w:r>
      <w:r w:rsidR="006C680D" w:rsidRPr="00D337FA">
        <w:rPr>
          <w:rFonts w:eastAsia="Times New Roman"/>
          <w:szCs w:val="24"/>
          <w:lang w:val="en-US" w:eastAsia="ru-RU"/>
        </w:rPr>
        <w:t xml:space="preserve"> </w:t>
      </w:r>
      <w:r w:rsidRPr="00D337FA">
        <w:rPr>
          <w:rFonts w:eastAsia="Times New Roman"/>
          <w:szCs w:val="24"/>
          <w:lang w:val="en-US" w:eastAsia="ru-RU"/>
        </w:rPr>
        <w:t>resolution</w:t>
      </w:r>
      <w:r w:rsidR="006C680D" w:rsidRPr="00D337FA">
        <w:rPr>
          <w:rFonts w:eastAsia="Times New Roman"/>
          <w:szCs w:val="24"/>
          <w:lang w:val="en-US" w:eastAsia="ru-RU"/>
        </w:rPr>
        <w:t xml:space="preserve"> </w:t>
      </w:r>
      <w:r w:rsidRPr="00D337FA">
        <w:rPr>
          <w:rFonts w:eastAsia="Times New Roman"/>
          <w:szCs w:val="24"/>
          <w:lang w:val="en-US" w:eastAsia="ru-RU"/>
        </w:rPr>
        <w:t>audit,</w:t>
      </w:r>
      <w:r w:rsidR="006C680D" w:rsidRPr="00D337FA">
        <w:rPr>
          <w:rFonts w:eastAsia="Times New Roman"/>
          <w:szCs w:val="24"/>
          <w:lang w:val="en-US" w:eastAsia="ru-RU"/>
        </w:rPr>
        <w:t xml:space="preserve"> </w:t>
      </w:r>
      <w:r w:rsidRPr="00D337FA">
        <w:rPr>
          <w:rFonts w:eastAsia="Times New Roman"/>
          <w:szCs w:val="24"/>
          <w:lang w:val="en-US" w:eastAsia="ru-RU"/>
        </w:rPr>
        <w:t>Banking</w:t>
      </w:r>
      <w:r w:rsidR="006C680D" w:rsidRPr="00D337FA">
        <w:rPr>
          <w:rFonts w:eastAsia="Times New Roman"/>
          <w:szCs w:val="24"/>
          <w:lang w:val="en-US" w:eastAsia="ru-RU"/>
        </w:rPr>
        <w:t xml:space="preserve"> </w:t>
      </w:r>
      <w:r w:rsidRPr="00D337FA">
        <w:rPr>
          <w:rFonts w:eastAsia="Times New Roman"/>
          <w:szCs w:val="24"/>
          <w:lang w:val="en-US" w:eastAsia="ru-RU"/>
        </w:rPr>
        <w:t>Sector</w:t>
      </w:r>
      <w:r w:rsidR="006C680D" w:rsidRPr="00D337FA">
        <w:rPr>
          <w:rFonts w:eastAsia="Times New Roman"/>
          <w:szCs w:val="24"/>
          <w:lang w:val="en-US" w:eastAsia="ru-RU"/>
        </w:rPr>
        <w:t xml:space="preserve"> </w:t>
      </w:r>
      <w:r w:rsidRPr="00D337FA">
        <w:rPr>
          <w:rFonts w:eastAsia="Times New Roman"/>
          <w:szCs w:val="24"/>
          <w:lang w:val="en-US" w:eastAsia="ru-RU"/>
        </w:rPr>
        <w:t>Consolidation</w:t>
      </w:r>
      <w:r w:rsidR="006C680D" w:rsidRPr="00D337FA">
        <w:rPr>
          <w:rFonts w:eastAsia="Times New Roman"/>
          <w:szCs w:val="24"/>
          <w:lang w:val="en-US" w:eastAsia="ru-RU"/>
        </w:rPr>
        <w:t xml:space="preserve"> </w:t>
      </w:r>
      <w:r w:rsidRPr="00D337FA">
        <w:rPr>
          <w:rFonts w:eastAsia="Times New Roman"/>
          <w:szCs w:val="24"/>
          <w:lang w:val="en-US" w:eastAsia="ru-RU"/>
        </w:rPr>
        <w:t>Fund</w:t>
      </w:r>
    </w:p>
    <w:p w:rsidR="00C9796F" w:rsidRPr="00D337FA" w:rsidRDefault="00C9796F" w:rsidP="00C9796F">
      <w:pPr>
        <w:shd w:val="clear" w:color="auto" w:fill="FFFFFF"/>
        <w:tabs>
          <w:tab w:val="left" w:pos="3066"/>
        </w:tabs>
        <w:ind w:firstLine="0"/>
        <w:rPr>
          <w:rFonts w:eastAsia="Times New Roman"/>
          <w:szCs w:val="24"/>
          <w:lang w:val="en-US" w:eastAsia="ru-RU"/>
        </w:rPr>
      </w:pPr>
    </w:p>
    <w:p w:rsidR="00C9796F" w:rsidRPr="00D337FA" w:rsidRDefault="00C9796F" w:rsidP="00C9796F">
      <w:pPr>
        <w:ind w:firstLine="142"/>
        <w:rPr>
          <w:i/>
          <w:szCs w:val="24"/>
          <w:lang w:val="en-US"/>
        </w:rPr>
      </w:pPr>
    </w:p>
    <w:p w:rsidR="00C9796F" w:rsidRPr="00D337FA" w:rsidRDefault="00C9796F" w:rsidP="00C9796F">
      <w:pPr>
        <w:ind w:firstLine="142"/>
        <w:rPr>
          <w:i/>
          <w:szCs w:val="24"/>
          <w:lang w:val="en-US"/>
        </w:rPr>
        <w:sectPr w:rsidR="00C9796F" w:rsidRPr="00D337FA" w:rsidSect="006E52B9">
          <w:footnotePr>
            <w:numRestart w:val="eachPage"/>
          </w:footnotePr>
          <w:type w:val="continuous"/>
          <w:pgSz w:w="11907" w:h="16840" w:code="9"/>
          <w:pgMar w:top="1418" w:right="1134" w:bottom="1418" w:left="1134" w:header="1021" w:footer="1021" w:gutter="0"/>
          <w:cols w:num="2" w:space="708"/>
          <w:docGrid w:linePitch="360"/>
        </w:sectPr>
      </w:pPr>
    </w:p>
    <w:p w:rsidR="00C9796F" w:rsidRPr="00D337FA" w:rsidRDefault="00C9796F" w:rsidP="00C9796F">
      <w:pPr>
        <w:ind w:firstLine="142"/>
        <w:rPr>
          <w:i/>
          <w:szCs w:val="24"/>
          <w:lang w:val="en-US"/>
        </w:rPr>
      </w:pPr>
    </w:p>
    <w:p w:rsidR="00C9796F" w:rsidRPr="00D337FA" w:rsidRDefault="00C9796F" w:rsidP="00C9796F">
      <w:pPr>
        <w:ind w:firstLine="142"/>
        <w:rPr>
          <w:i/>
          <w:szCs w:val="24"/>
          <w:lang w:val="en-US"/>
        </w:rPr>
      </w:pPr>
    </w:p>
    <w:p w:rsidR="00C9796F" w:rsidRPr="00D337FA" w:rsidRDefault="00C9796F" w:rsidP="00C9796F">
      <w:pPr>
        <w:ind w:firstLine="142"/>
        <w:rPr>
          <w:i/>
          <w:szCs w:val="24"/>
          <w:lang w:val="en-US"/>
        </w:rPr>
      </w:pPr>
    </w:p>
    <w:p w:rsidR="00FB2463" w:rsidRPr="00D337FA" w:rsidRDefault="00FB2463" w:rsidP="00C9796F">
      <w:pPr>
        <w:ind w:firstLine="142"/>
        <w:rPr>
          <w:i/>
          <w:szCs w:val="24"/>
          <w:lang w:val="en-US"/>
        </w:rPr>
      </w:pPr>
    </w:p>
    <w:p w:rsidR="00C9796F" w:rsidRPr="00D337FA" w:rsidRDefault="00C9796F" w:rsidP="00C9796F">
      <w:pPr>
        <w:ind w:firstLine="142"/>
        <w:rPr>
          <w:i/>
          <w:szCs w:val="24"/>
          <w:lang w:val="en-US"/>
        </w:rPr>
      </w:pPr>
    </w:p>
    <w:p w:rsidR="00C9796F" w:rsidRPr="00D337FA" w:rsidRDefault="00C9796F" w:rsidP="00C9796F">
      <w:pPr>
        <w:ind w:firstLine="0"/>
        <w:rPr>
          <w:i/>
          <w:szCs w:val="24"/>
          <w:lang w:val="en-US"/>
        </w:rPr>
        <w:sectPr w:rsidR="00C9796F"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C9796F" w:rsidRPr="00D337FA" w:rsidRDefault="00C9796F" w:rsidP="00C9796F">
      <w:pPr>
        <w:ind w:firstLine="0"/>
        <w:jc w:val="left"/>
        <w:rPr>
          <w:b/>
          <w:szCs w:val="24"/>
        </w:rPr>
      </w:pPr>
      <w:r w:rsidRPr="00D337FA">
        <w:rPr>
          <w:rFonts w:ascii="Times New Roman CYR" w:hAnsi="Times New Roman CYR" w:cs="Times New Roman CYR"/>
          <w:sz w:val="20"/>
          <w:szCs w:val="20"/>
        </w:rPr>
        <w:lastRenderedPageBreak/>
        <w:t>©</w:t>
      </w:r>
      <w:r w:rsidR="006C680D" w:rsidRPr="00D337FA">
        <w:rPr>
          <w:rFonts w:ascii="Times New Roman CYR" w:hAnsi="Times New Roman CYR" w:cs="Times New Roman CYR"/>
          <w:sz w:val="20"/>
          <w:szCs w:val="20"/>
        </w:rPr>
        <w:t xml:space="preserve"> </w:t>
      </w:r>
      <w:r w:rsidR="00FB2463" w:rsidRPr="00D337FA">
        <w:rPr>
          <w:rFonts w:ascii="Times New Roman CYR" w:hAnsi="Times New Roman CYR" w:cs="Times New Roman CYR"/>
          <w:sz w:val="20"/>
          <w:szCs w:val="20"/>
        </w:rPr>
        <w:t>Ильина</w:t>
      </w:r>
      <w:r w:rsidR="006C680D" w:rsidRPr="00D337FA">
        <w:rPr>
          <w:rFonts w:ascii="Times New Roman CYR" w:hAnsi="Times New Roman CYR" w:cs="Times New Roman CYR"/>
          <w:sz w:val="20"/>
          <w:szCs w:val="20"/>
        </w:rPr>
        <w:t xml:space="preserve"> </w:t>
      </w:r>
      <w:r w:rsidR="00FB2463" w:rsidRPr="00D337FA">
        <w:rPr>
          <w:rFonts w:ascii="Times New Roman CYR" w:hAnsi="Times New Roman CYR" w:cs="Times New Roman CYR"/>
          <w:sz w:val="20"/>
          <w:szCs w:val="20"/>
        </w:rPr>
        <w:t>Л.В.,</w:t>
      </w:r>
      <w:r w:rsidR="006C680D" w:rsidRPr="00D337FA">
        <w:rPr>
          <w:rFonts w:ascii="Times New Roman CYR" w:hAnsi="Times New Roman CYR" w:cs="Times New Roman CYR"/>
          <w:sz w:val="20"/>
          <w:szCs w:val="20"/>
        </w:rPr>
        <w:t xml:space="preserve"> </w:t>
      </w:r>
      <w:r w:rsidR="00FB2463" w:rsidRPr="00D337FA">
        <w:rPr>
          <w:rFonts w:ascii="Times New Roman CYR" w:hAnsi="Times New Roman CYR" w:cs="Times New Roman CYR"/>
          <w:sz w:val="20"/>
          <w:szCs w:val="20"/>
        </w:rPr>
        <w:t>Копченко</w:t>
      </w:r>
      <w:r w:rsidR="006C680D" w:rsidRPr="00D337FA">
        <w:rPr>
          <w:rFonts w:ascii="Times New Roman CYR" w:hAnsi="Times New Roman CYR" w:cs="Times New Roman CYR"/>
          <w:sz w:val="20"/>
          <w:szCs w:val="20"/>
        </w:rPr>
        <w:t xml:space="preserve"> </w:t>
      </w:r>
      <w:r w:rsidR="00FB2463" w:rsidRPr="00D337FA">
        <w:rPr>
          <w:rFonts w:ascii="Times New Roman CYR" w:hAnsi="Times New Roman CYR" w:cs="Times New Roman CYR"/>
          <w:sz w:val="20"/>
          <w:szCs w:val="20"/>
        </w:rPr>
        <w:t>Ю.Е.,</w:t>
      </w:r>
      <w:r w:rsidR="006C680D" w:rsidRPr="00D337FA">
        <w:rPr>
          <w:rFonts w:ascii="Times New Roman CYR" w:hAnsi="Times New Roman CYR" w:cs="Times New Roman CYR"/>
          <w:sz w:val="20"/>
          <w:szCs w:val="20"/>
        </w:rPr>
        <w:t xml:space="preserve"> </w:t>
      </w:r>
      <w:r w:rsidR="00FB2463" w:rsidRPr="00D337FA">
        <w:rPr>
          <w:rFonts w:ascii="Times New Roman CYR" w:hAnsi="Times New Roman CYR" w:cs="Times New Roman CYR"/>
          <w:sz w:val="20"/>
          <w:szCs w:val="20"/>
        </w:rPr>
        <w:t>Кукляева</w:t>
      </w:r>
      <w:r w:rsidR="006C680D" w:rsidRPr="00D337FA">
        <w:rPr>
          <w:rFonts w:ascii="Times New Roman CYR" w:hAnsi="Times New Roman CYR" w:cs="Times New Roman CYR"/>
          <w:sz w:val="20"/>
          <w:szCs w:val="20"/>
        </w:rPr>
        <w:t xml:space="preserve"> </w:t>
      </w:r>
      <w:r w:rsidR="00FB2463" w:rsidRPr="00D337FA">
        <w:rPr>
          <w:rFonts w:ascii="Times New Roman CYR" w:hAnsi="Times New Roman CYR" w:cs="Times New Roman CYR"/>
          <w:sz w:val="20"/>
          <w:szCs w:val="20"/>
        </w:rPr>
        <w:t>О.А.</w:t>
      </w:r>
      <w:r w:rsidRPr="00D337FA">
        <w:rPr>
          <w:rFonts w:ascii="Times New Roman CYR" w:hAnsi="Times New Roman CYR" w:cs="Times New Roman CYR"/>
          <w:spacing w:val="-4"/>
          <w:sz w:val="20"/>
          <w:szCs w:val="20"/>
        </w:rPr>
        <w:t>,</w:t>
      </w:r>
      <w:r w:rsidR="006C680D" w:rsidRPr="00D337FA">
        <w:rPr>
          <w:rFonts w:ascii="Times New Roman CYR" w:hAnsi="Times New Roman CYR" w:cs="Times New Roman CYR"/>
          <w:spacing w:val="-4"/>
          <w:sz w:val="20"/>
          <w:szCs w:val="20"/>
        </w:rPr>
        <w:t xml:space="preserve"> </w:t>
      </w:r>
      <w:r w:rsidRPr="00D337FA">
        <w:rPr>
          <w:rFonts w:ascii="Times New Roman CYR" w:hAnsi="Times New Roman CYR" w:cs="Times New Roman CYR"/>
          <w:spacing w:val="-4"/>
          <w:sz w:val="20"/>
          <w:szCs w:val="20"/>
        </w:rPr>
        <w:t>2026</w:t>
      </w:r>
    </w:p>
    <w:p w:rsidR="00FB2463" w:rsidRPr="00D337FA" w:rsidRDefault="00FB2463" w:rsidP="00FB2463">
      <w:pPr>
        <w:sectPr w:rsidR="00FB2463" w:rsidRPr="00D337FA" w:rsidSect="002E26D0">
          <w:headerReference w:type="default" r:id="rId22"/>
          <w:footnotePr>
            <w:numRestart w:val="eachPage"/>
          </w:footnotePr>
          <w:type w:val="continuous"/>
          <w:pgSz w:w="11907" w:h="16840" w:code="9"/>
          <w:pgMar w:top="1418" w:right="1134" w:bottom="1418" w:left="1134" w:header="1021" w:footer="1021" w:gutter="0"/>
          <w:cols w:space="708"/>
          <w:docGrid w:linePitch="360"/>
        </w:sectPr>
      </w:pPr>
    </w:p>
    <w:p w:rsidR="00FB2463" w:rsidRPr="00D337FA" w:rsidRDefault="00FB2463" w:rsidP="00FB2463">
      <w:pPr>
        <w:ind w:firstLine="284"/>
        <w:rPr>
          <w:b/>
        </w:rPr>
      </w:pPr>
      <w:r w:rsidRPr="00D337FA">
        <w:rPr>
          <w:b/>
        </w:rPr>
        <w:lastRenderedPageBreak/>
        <w:t>Введение</w:t>
      </w:r>
    </w:p>
    <w:p w:rsidR="00FB2463" w:rsidRPr="00D337FA" w:rsidRDefault="00FB2463" w:rsidP="00FB2463">
      <w:pPr>
        <w:ind w:firstLine="284"/>
      </w:pPr>
      <w:r w:rsidRPr="00D337FA">
        <w:t>Институт</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государства</w:t>
      </w:r>
      <w:r w:rsidR="006C680D" w:rsidRPr="00D337FA">
        <w:t xml:space="preserve"> </w:t>
      </w:r>
      <w:r w:rsidR="00E5106D" w:rsidRPr="00D337FA">
        <w:t>–</w:t>
      </w:r>
      <w:r w:rsidR="006C680D" w:rsidRPr="00D337FA">
        <w:t xml:space="preserve"> </w:t>
      </w:r>
      <w:r w:rsidRPr="00D337FA">
        <w:t>явление</w:t>
      </w:r>
      <w:r w:rsidR="006C680D" w:rsidRPr="00D337FA">
        <w:t xml:space="preserve"> </w:t>
      </w:r>
      <w:r w:rsidRPr="00D337FA">
        <w:t>для</w:t>
      </w:r>
      <w:r w:rsidR="006C680D" w:rsidRPr="00D337FA">
        <w:t xml:space="preserve"> </w:t>
      </w:r>
      <w:r w:rsidRPr="00D337FA">
        <w:t>современного</w:t>
      </w:r>
      <w:r w:rsidR="006C680D" w:rsidRPr="00D337FA">
        <w:t xml:space="preserve"> </w:t>
      </w:r>
      <w:r w:rsidRPr="00D337FA">
        <w:t>этапа</w:t>
      </w:r>
      <w:r w:rsidR="006C680D" w:rsidRPr="00D337FA">
        <w:t xml:space="preserve"> </w:t>
      </w:r>
      <w:r w:rsidRPr="00D337FA">
        <w:t>развития</w:t>
      </w:r>
      <w:r w:rsidR="006C680D" w:rsidRPr="00D337FA">
        <w:t xml:space="preserve"> </w:t>
      </w:r>
      <w:r w:rsidRPr="00D337FA">
        <w:t>банковской</w:t>
      </w:r>
      <w:r w:rsidR="006C680D" w:rsidRPr="00D337FA">
        <w:t xml:space="preserve"> </w:t>
      </w:r>
      <w:r w:rsidRPr="00D337FA">
        <w:t>системы</w:t>
      </w:r>
      <w:r w:rsidR="006C680D" w:rsidRPr="00D337FA">
        <w:t xml:space="preserve"> </w:t>
      </w:r>
      <w:r w:rsidRPr="00D337FA">
        <w:t>России</w:t>
      </w:r>
      <w:r w:rsidR="006C680D" w:rsidRPr="00D337FA">
        <w:t xml:space="preserve"> </w:t>
      </w:r>
      <w:r w:rsidRPr="00D337FA">
        <w:t>далеко</w:t>
      </w:r>
      <w:r w:rsidR="006C680D" w:rsidRPr="00D337FA">
        <w:t xml:space="preserve"> </w:t>
      </w:r>
      <w:r w:rsidRPr="00D337FA">
        <w:t>не</w:t>
      </w:r>
      <w:r w:rsidR="006C680D" w:rsidRPr="00D337FA">
        <w:t xml:space="preserve"> </w:t>
      </w:r>
      <w:r w:rsidRPr="00D337FA">
        <w:t>новое.</w:t>
      </w:r>
      <w:r w:rsidR="006C680D" w:rsidRPr="00D337FA">
        <w:t xml:space="preserve"> </w:t>
      </w:r>
      <w:r w:rsidRPr="00D337FA">
        <w:t>Истории</w:t>
      </w:r>
      <w:r w:rsidR="006C680D" w:rsidRPr="00D337FA">
        <w:t xml:space="preserve"> </w:t>
      </w:r>
      <w:r w:rsidRPr="00D337FA">
        <w:t>известны</w:t>
      </w:r>
      <w:r w:rsidR="006C680D" w:rsidRPr="00D337FA">
        <w:t xml:space="preserve"> </w:t>
      </w:r>
      <w:r w:rsidRPr="00D337FA">
        <w:t>примеры</w:t>
      </w:r>
      <w:r w:rsidR="006C680D" w:rsidRPr="00D337FA">
        <w:t xml:space="preserve"> </w:t>
      </w:r>
      <w:r w:rsidRPr="00D337FA">
        <w:t>участия</w:t>
      </w:r>
      <w:r w:rsidR="006C680D" w:rsidRPr="00D337FA">
        <w:t xml:space="preserve"> </w:t>
      </w:r>
      <w:r w:rsidRPr="00D337FA">
        <w:t>Правительства</w:t>
      </w:r>
      <w:r w:rsidR="006C680D" w:rsidRPr="00D337FA">
        <w:t xml:space="preserve"> </w:t>
      </w:r>
      <w:r w:rsidRPr="00D337FA">
        <w:t>в</w:t>
      </w:r>
      <w:r w:rsidR="006C680D" w:rsidRPr="00D337FA">
        <w:t xml:space="preserve"> </w:t>
      </w:r>
      <w:r w:rsidRPr="00D337FA">
        <w:t>«спасении»</w:t>
      </w:r>
      <w:r w:rsidR="006C680D" w:rsidRPr="00D337FA">
        <w:t xml:space="preserve"> </w:t>
      </w:r>
      <w:r w:rsidRPr="00D337FA">
        <w:t>банков,</w:t>
      </w:r>
      <w:r w:rsidR="006C680D" w:rsidRPr="00D337FA">
        <w:t xml:space="preserve"> </w:t>
      </w:r>
      <w:r w:rsidRPr="00D337FA">
        <w:t>неспособных</w:t>
      </w:r>
      <w:r w:rsidR="006C680D" w:rsidRPr="00D337FA">
        <w:t xml:space="preserve"> </w:t>
      </w:r>
      <w:r w:rsidRPr="00D337FA">
        <w:t>исполнять</w:t>
      </w:r>
      <w:r w:rsidR="006C680D" w:rsidRPr="00D337FA">
        <w:t xml:space="preserve"> </w:t>
      </w:r>
      <w:r w:rsidRPr="00D337FA">
        <w:t>свои</w:t>
      </w:r>
      <w:r w:rsidR="006C680D" w:rsidRPr="00D337FA">
        <w:t xml:space="preserve"> </w:t>
      </w:r>
      <w:r w:rsidRPr="00D337FA">
        <w:t>обязательства</w:t>
      </w:r>
      <w:r w:rsidR="006C680D" w:rsidRPr="00D337FA">
        <w:t xml:space="preserve"> </w:t>
      </w:r>
      <w:r w:rsidRPr="00D337FA">
        <w:t>перед</w:t>
      </w:r>
      <w:r w:rsidR="006C680D" w:rsidRPr="00D337FA">
        <w:t xml:space="preserve"> </w:t>
      </w:r>
      <w:r w:rsidRPr="00D337FA">
        <w:t>вкладчиками,</w:t>
      </w:r>
      <w:r w:rsidR="006C680D" w:rsidRPr="00D337FA">
        <w:t xml:space="preserve"> </w:t>
      </w:r>
      <w:r w:rsidRPr="00D337FA">
        <w:t>начиная</w:t>
      </w:r>
      <w:r w:rsidR="006C680D" w:rsidRPr="00D337FA">
        <w:t xml:space="preserve"> </w:t>
      </w:r>
      <w:r w:rsidRPr="00D337FA">
        <w:t>с</w:t>
      </w:r>
      <w:r w:rsidR="006C680D" w:rsidRPr="00D337FA">
        <w:t xml:space="preserve"> </w:t>
      </w:r>
      <w:r w:rsidRPr="00D337FA">
        <w:t>конца</w:t>
      </w:r>
      <w:r w:rsidR="006C680D" w:rsidRPr="00D337FA">
        <w:t xml:space="preserve"> </w:t>
      </w:r>
      <w:r w:rsidRPr="00D337FA">
        <w:rPr>
          <w:lang w:val="en-US"/>
        </w:rPr>
        <w:t>XIX</w:t>
      </w:r>
      <w:r w:rsidR="006C680D" w:rsidRPr="00D337FA">
        <w:t xml:space="preserve"> </w:t>
      </w:r>
      <w:r w:rsidRPr="00D337FA">
        <w:t>века.</w:t>
      </w:r>
      <w:r w:rsidR="006C680D" w:rsidRPr="00D337FA">
        <w:t xml:space="preserve"> </w:t>
      </w:r>
      <w:r w:rsidRPr="00D337FA">
        <w:t>Так,</w:t>
      </w:r>
      <w:r w:rsidR="006C680D" w:rsidRPr="00D337FA">
        <w:t xml:space="preserve"> </w:t>
      </w:r>
      <w:r w:rsidRPr="00D337FA">
        <w:t>в</w:t>
      </w:r>
      <w:r w:rsidR="006C680D" w:rsidRPr="00D337FA">
        <w:t xml:space="preserve"> </w:t>
      </w:r>
      <w:r w:rsidRPr="00D337FA">
        <w:t>1875</w:t>
      </w:r>
      <w:r w:rsidR="006C680D" w:rsidRPr="00D337FA">
        <w:t xml:space="preserve"> </w:t>
      </w:r>
      <w:r w:rsidRPr="00D337FA">
        <w:t>году</w:t>
      </w:r>
      <w:r w:rsidR="006C680D" w:rsidRPr="00D337FA">
        <w:t xml:space="preserve"> </w:t>
      </w:r>
      <w:r w:rsidRPr="00D337FA">
        <w:t>Правительство</w:t>
      </w:r>
      <w:r w:rsidR="006C680D" w:rsidRPr="00D337FA">
        <w:t xml:space="preserve"> </w:t>
      </w:r>
      <w:r w:rsidRPr="00D337FA">
        <w:t>царской</w:t>
      </w:r>
      <w:r w:rsidR="006C680D" w:rsidRPr="00D337FA">
        <w:t xml:space="preserve"> </w:t>
      </w:r>
      <w:r w:rsidRPr="00D337FA">
        <w:t>России</w:t>
      </w:r>
      <w:r w:rsidR="006C680D" w:rsidRPr="00D337FA">
        <w:t xml:space="preserve"> </w:t>
      </w:r>
      <w:r w:rsidRPr="00D337FA">
        <w:t>для</w:t>
      </w:r>
      <w:r w:rsidR="006C680D" w:rsidRPr="00D337FA">
        <w:t xml:space="preserve"> </w:t>
      </w:r>
      <w:r w:rsidRPr="00D337FA">
        <w:t>предотвращения</w:t>
      </w:r>
      <w:r w:rsidR="006C680D" w:rsidRPr="00D337FA">
        <w:t xml:space="preserve"> </w:t>
      </w:r>
      <w:r w:rsidRPr="00D337FA">
        <w:t>системного</w:t>
      </w:r>
      <w:r w:rsidR="006C680D" w:rsidRPr="00D337FA">
        <w:t xml:space="preserve"> </w:t>
      </w:r>
      <w:r w:rsidRPr="00D337FA">
        <w:t>банковского</w:t>
      </w:r>
      <w:r w:rsidR="006C680D" w:rsidRPr="00D337FA">
        <w:t xml:space="preserve"> </w:t>
      </w:r>
      <w:r w:rsidRPr="00D337FA">
        <w:t>кризиса</w:t>
      </w:r>
      <w:r w:rsidR="006C680D" w:rsidRPr="00D337FA">
        <w:t xml:space="preserve"> </w:t>
      </w:r>
      <w:r w:rsidRPr="00D337FA">
        <w:t>и</w:t>
      </w:r>
      <w:r w:rsidR="006C680D" w:rsidRPr="00D337FA">
        <w:t xml:space="preserve"> </w:t>
      </w:r>
      <w:r w:rsidRPr="00D337FA">
        <w:t>его</w:t>
      </w:r>
      <w:r w:rsidR="006C680D" w:rsidRPr="00D337FA">
        <w:t xml:space="preserve"> </w:t>
      </w:r>
      <w:r w:rsidRPr="00D337FA">
        <w:t>возможных</w:t>
      </w:r>
      <w:r w:rsidR="006C680D" w:rsidRPr="00D337FA">
        <w:t xml:space="preserve"> </w:t>
      </w:r>
      <w:r w:rsidRPr="00D337FA">
        <w:t>последствий</w:t>
      </w:r>
      <w:r w:rsidR="006C680D" w:rsidRPr="00D337FA">
        <w:t xml:space="preserve"> </w:t>
      </w:r>
      <w:r w:rsidRPr="00D337FA">
        <w:t>оказало</w:t>
      </w:r>
      <w:r w:rsidR="006C680D" w:rsidRPr="00D337FA">
        <w:t xml:space="preserve"> </w:t>
      </w:r>
      <w:r w:rsidRPr="00D337FA">
        <w:t>господдержку</w:t>
      </w:r>
      <w:r w:rsidR="006C680D" w:rsidRPr="00D337FA">
        <w:t xml:space="preserve"> </w:t>
      </w:r>
      <w:r w:rsidRPr="00D337FA">
        <w:t>Коммерческому</w:t>
      </w:r>
      <w:r w:rsidR="006C680D" w:rsidRPr="00D337FA">
        <w:t xml:space="preserve"> </w:t>
      </w:r>
      <w:r w:rsidRPr="00D337FA">
        <w:t>ссудному</w:t>
      </w:r>
      <w:r w:rsidR="006C680D" w:rsidRPr="00D337FA">
        <w:t xml:space="preserve"> </w:t>
      </w:r>
      <w:r w:rsidRPr="00D337FA">
        <w:t>банку,</w:t>
      </w:r>
      <w:r w:rsidR="006C680D" w:rsidRPr="00D337FA">
        <w:t xml:space="preserve"> </w:t>
      </w:r>
      <w:r w:rsidRPr="00D337FA">
        <w:t>подвергшемуся</w:t>
      </w:r>
      <w:r w:rsidR="006C680D" w:rsidRPr="00D337FA">
        <w:t xml:space="preserve"> </w:t>
      </w:r>
      <w:r w:rsidRPr="00D337FA">
        <w:t>дефолту,</w:t>
      </w:r>
      <w:r w:rsidR="006C680D" w:rsidRPr="00D337FA">
        <w:t xml:space="preserve"> </w:t>
      </w:r>
      <w:r w:rsidRPr="00D337FA">
        <w:t>в</w:t>
      </w:r>
      <w:r w:rsidR="006C680D" w:rsidRPr="00D337FA">
        <w:t xml:space="preserve"> </w:t>
      </w:r>
      <w:r w:rsidRPr="00D337FA">
        <w:t>размере</w:t>
      </w:r>
      <w:r w:rsidR="006C680D" w:rsidRPr="00D337FA">
        <w:t xml:space="preserve"> </w:t>
      </w:r>
      <w:r w:rsidRPr="00D337FA">
        <w:t>7</w:t>
      </w:r>
      <w:r w:rsidR="006C680D" w:rsidRPr="00D337FA">
        <w:t xml:space="preserve"> </w:t>
      </w:r>
      <w:r w:rsidRPr="00D337FA">
        <w:t>млн</w:t>
      </w:r>
      <w:r w:rsidR="006C680D" w:rsidRPr="00D337FA">
        <w:t xml:space="preserve"> </w:t>
      </w:r>
      <w:r w:rsidRPr="00D337FA">
        <w:t>рублей</w:t>
      </w:r>
      <w:r w:rsidR="006C680D" w:rsidRPr="00D337FA">
        <w:t xml:space="preserve"> </w:t>
      </w:r>
      <w:r w:rsidRPr="00D337FA">
        <w:t>[1].</w:t>
      </w:r>
      <w:r w:rsidR="006C680D" w:rsidRPr="00D337FA">
        <w:t xml:space="preserve"> </w:t>
      </w:r>
      <w:r w:rsidRPr="00D337FA">
        <w:t>Не</w:t>
      </w:r>
      <w:r w:rsidR="006C680D" w:rsidRPr="00D337FA">
        <w:t xml:space="preserve"> </w:t>
      </w:r>
      <w:r w:rsidRPr="00D337FA">
        <w:t>сумев</w:t>
      </w:r>
      <w:r w:rsidR="006C680D" w:rsidRPr="00D337FA">
        <w:t xml:space="preserve"> </w:t>
      </w:r>
      <w:r w:rsidRPr="00D337FA">
        <w:t>распорядиться</w:t>
      </w:r>
      <w:r w:rsidR="006C680D" w:rsidRPr="00D337FA">
        <w:t xml:space="preserve"> </w:t>
      </w:r>
      <w:r w:rsidRPr="00D337FA">
        <w:t>полученными</w:t>
      </w:r>
      <w:r w:rsidR="006C680D" w:rsidRPr="00D337FA">
        <w:t xml:space="preserve"> </w:t>
      </w:r>
      <w:r w:rsidRPr="00D337FA">
        <w:t>средствами,</w:t>
      </w:r>
      <w:r w:rsidR="006C680D" w:rsidRPr="00D337FA">
        <w:t xml:space="preserve"> </w:t>
      </w:r>
      <w:r w:rsidRPr="00D337FA">
        <w:t>банк</w:t>
      </w:r>
      <w:r w:rsidR="006C680D" w:rsidRPr="00D337FA">
        <w:t xml:space="preserve"> </w:t>
      </w:r>
      <w:r w:rsidRPr="00D337FA">
        <w:t>был</w:t>
      </w:r>
      <w:r w:rsidR="006C680D" w:rsidRPr="00D337FA">
        <w:t xml:space="preserve"> </w:t>
      </w:r>
      <w:r w:rsidRPr="00D337FA">
        <w:t>ликвидирован,</w:t>
      </w:r>
      <w:r w:rsidR="006C680D" w:rsidRPr="00D337FA">
        <w:t xml:space="preserve"> </w:t>
      </w:r>
      <w:r w:rsidRPr="00D337FA">
        <w:t>что</w:t>
      </w:r>
      <w:r w:rsidR="006C680D" w:rsidRPr="00D337FA">
        <w:t xml:space="preserve"> </w:t>
      </w:r>
      <w:r w:rsidRPr="00D337FA">
        <w:t>дало</w:t>
      </w:r>
      <w:r w:rsidR="006C680D" w:rsidRPr="00D337FA">
        <w:t xml:space="preserve"> </w:t>
      </w:r>
      <w:r w:rsidRPr="00D337FA">
        <w:t>толчок</w:t>
      </w:r>
      <w:r w:rsidR="006C680D" w:rsidRPr="00D337FA">
        <w:t xml:space="preserve"> </w:t>
      </w:r>
      <w:r w:rsidRPr="00D337FA">
        <w:t>для</w:t>
      </w:r>
      <w:r w:rsidR="006C680D" w:rsidRPr="00D337FA">
        <w:t xml:space="preserve"> </w:t>
      </w:r>
      <w:r w:rsidRPr="00D337FA">
        <w:t>дискуссии</w:t>
      </w:r>
      <w:r w:rsidR="006C680D" w:rsidRPr="00D337FA">
        <w:t xml:space="preserve"> </w:t>
      </w:r>
      <w:r w:rsidRPr="00D337FA">
        <w:t>по</w:t>
      </w:r>
      <w:r w:rsidR="006C680D" w:rsidRPr="00D337FA">
        <w:t xml:space="preserve"> </w:t>
      </w:r>
      <w:r w:rsidRPr="00D337FA">
        <w:t>широкому</w:t>
      </w:r>
      <w:r w:rsidR="006C680D" w:rsidRPr="00D337FA">
        <w:t xml:space="preserve"> </w:t>
      </w:r>
      <w:r w:rsidRPr="00D337FA">
        <w:t>кругу</w:t>
      </w:r>
      <w:r w:rsidR="006C680D" w:rsidRPr="00D337FA">
        <w:t xml:space="preserve"> </w:t>
      </w:r>
      <w:r w:rsidRPr="00D337FA">
        <w:t>вопросов,</w:t>
      </w:r>
      <w:r w:rsidR="006C680D" w:rsidRPr="00D337FA">
        <w:t xml:space="preserve"> </w:t>
      </w:r>
      <w:r w:rsidRPr="00D337FA">
        <w:t>начиная</w:t>
      </w:r>
      <w:r w:rsidR="006C680D" w:rsidRPr="00D337FA">
        <w:t xml:space="preserve"> </w:t>
      </w:r>
      <w:r w:rsidRPr="00D337FA">
        <w:t>с</w:t>
      </w:r>
      <w:r w:rsidR="006C680D" w:rsidRPr="00D337FA">
        <w:t xml:space="preserve"> </w:t>
      </w:r>
      <w:r w:rsidRPr="00D337FA">
        <w:t>проблемы</w:t>
      </w:r>
      <w:r w:rsidR="006C680D" w:rsidRPr="00D337FA">
        <w:t xml:space="preserve"> </w:t>
      </w:r>
      <w:r w:rsidRPr="00D337FA">
        <w:t>низкой</w:t>
      </w:r>
      <w:r w:rsidR="006C680D" w:rsidRPr="00D337FA">
        <w:t xml:space="preserve"> </w:t>
      </w:r>
      <w:r w:rsidRPr="00D337FA">
        <w:t>квалификации</w:t>
      </w:r>
      <w:r w:rsidR="006C680D" w:rsidRPr="00D337FA">
        <w:t xml:space="preserve"> </w:t>
      </w:r>
      <w:r w:rsidRPr="00D337FA">
        <w:t>банковских</w:t>
      </w:r>
      <w:r w:rsidR="006C680D" w:rsidRPr="00D337FA">
        <w:t xml:space="preserve"> </w:t>
      </w:r>
      <w:r w:rsidRPr="00D337FA">
        <w:t>менеджеров</w:t>
      </w:r>
      <w:r w:rsidR="006C680D" w:rsidRPr="00D337FA">
        <w:t xml:space="preserve"> </w:t>
      </w:r>
      <w:r w:rsidRPr="00D337FA">
        <w:t>и</w:t>
      </w:r>
      <w:r w:rsidR="006C680D" w:rsidRPr="00D337FA">
        <w:t xml:space="preserve"> </w:t>
      </w:r>
      <w:r w:rsidRPr="00D337FA">
        <w:t>заканчивая</w:t>
      </w:r>
      <w:r w:rsidR="006C680D" w:rsidRPr="00D337FA">
        <w:t xml:space="preserve"> </w:t>
      </w:r>
      <w:r w:rsidRPr="00D337FA">
        <w:t>поиском</w:t>
      </w:r>
      <w:r w:rsidR="006C680D" w:rsidRPr="00D337FA">
        <w:t xml:space="preserve"> </w:t>
      </w:r>
      <w:r w:rsidRPr="00D337FA">
        <w:t>механизмов</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и</w:t>
      </w:r>
      <w:r w:rsidR="006C680D" w:rsidRPr="00D337FA">
        <w:t xml:space="preserve"> </w:t>
      </w:r>
      <w:r w:rsidRPr="00D337FA">
        <w:t>построением</w:t>
      </w:r>
      <w:r w:rsidR="006C680D" w:rsidRPr="00D337FA">
        <w:t xml:space="preserve"> </w:t>
      </w:r>
      <w:r w:rsidRPr="00D337FA">
        <w:t>системы</w:t>
      </w:r>
      <w:r w:rsidR="006C680D" w:rsidRPr="00D337FA">
        <w:t xml:space="preserve"> </w:t>
      </w:r>
      <w:r w:rsidRPr="00D337FA">
        <w:t>контроля</w:t>
      </w:r>
      <w:r w:rsidR="006C680D" w:rsidRPr="00D337FA">
        <w:t xml:space="preserve"> </w:t>
      </w:r>
      <w:r w:rsidRPr="00D337FA">
        <w:t>за</w:t>
      </w:r>
      <w:r w:rsidR="006C680D" w:rsidRPr="00D337FA">
        <w:t xml:space="preserve"> </w:t>
      </w:r>
      <w:r w:rsidRPr="00D337FA">
        <w:t>эффективностью</w:t>
      </w:r>
      <w:r w:rsidR="006C680D" w:rsidRPr="00D337FA">
        <w:t xml:space="preserve"> </w:t>
      </w:r>
      <w:r w:rsidRPr="00D337FA">
        <w:t>использования</w:t>
      </w:r>
      <w:r w:rsidR="006C680D" w:rsidRPr="00D337FA">
        <w:t xml:space="preserve"> </w:t>
      </w:r>
      <w:r w:rsidRPr="00D337FA">
        <w:t>выделяемых</w:t>
      </w:r>
      <w:r w:rsidR="006C680D" w:rsidRPr="00D337FA">
        <w:t xml:space="preserve"> </w:t>
      </w:r>
      <w:r w:rsidRPr="00D337FA">
        <w:t>средств.</w:t>
      </w:r>
      <w:r w:rsidR="006C680D" w:rsidRPr="00D337FA">
        <w:t xml:space="preserve">     </w:t>
      </w:r>
    </w:p>
    <w:p w:rsidR="00FB2463" w:rsidRPr="00D337FA" w:rsidRDefault="00FB2463" w:rsidP="00FB2463">
      <w:pPr>
        <w:ind w:firstLine="284"/>
      </w:pPr>
      <w:r w:rsidRPr="00D337FA">
        <w:t>По</w:t>
      </w:r>
      <w:r w:rsidR="006C680D" w:rsidRPr="00D337FA">
        <w:t xml:space="preserve"> </w:t>
      </w:r>
      <w:r w:rsidRPr="00D337FA">
        <w:t>прошествии</w:t>
      </w:r>
      <w:r w:rsidR="006C680D" w:rsidRPr="00D337FA">
        <w:t xml:space="preserve"> </w:t>
      </w:r>
      <w:r w:rsidRPr="00D337FA">
        <w:t>150</w:t>
      </w:r>
      <w:r w:rsidR="006C680D" w:rsidRPr="00D337FA">
        <w:t xml:space="preserve"> </w:t>
      </w:r>
      <w:r w:rsidRPr="00D337FA">
        <w:t>лет</w:t>
      </w:r>
      <w:r w:rsidR="006C680D" w:rsidRPr="00D337FA">
        <w:t xml:space="preserve"> </w:t>
      </w:r>
      <w:r w:rsidRPr="00D337FA">
        <w:t>с</w:t>
      </w:r>
      <w:r w:rsidR="006C680D" w:rsidRPr="00D337FA">
        <w:t xml:space="preserve"> </w:t>
      </w:r>
      <w:r w:rsidRPr="00D337FA">
        <w:t>момента</w:t>
      </w:r>
      <w:r w:rsidR="006C680D" w:rsidRPr="00D337FA">
        <w:t xml:space="preserve"> </w:t>
      </w:r>
      <w:r w:rsidRPr="00D337FA">
        <w:t>описанных</w:t>
      </w:r>
      <w:r w:rsidR="006C680D" w:rsidRPr="00D337FA">
        <w:t xml:space="preserve"> </w:t>
      </w:r>
      <w:r w:rsidRPr="00D337FA">
        <w:t>событий,</w:t>
      </w:r>
      <w:r w:rsidR="006C680D" w:rsidRPr="00D337FA">
        <w:t xml:space="preserve"> </w:t>
      </w:r>
      <w:r w:rsidRPr="00D337FA">
        <w:t>вопрос</w:t>
      </w:r>
      <w:r w:rsidR="006C680D" w:rsidRPr="00D337FA">
        <w:t xml:space="preserve"> </w:t>
      </w:r>
      <w:r w:rsidRPr="00D337FA">
        <w:t>об</w:t>
      </w:r>
      <w:r w:rsidR="006C680D" w:rsidRPr="00D337FA">
        <w:t xml:space="preserve"> </w:t>
      </w:r>
      <w:r w:rsidRPr="00D337FA">
        <w:t>участии</w:t>
      </w:r>
      <w:r w:rsidR="006C680D" w:rsidRPr="00D337FA">
        <w:t xml:space="preserve"> </w:t>
      </w:r>
      <w:r w:rsidRPr="00D337FA">
        <w:t>государства</w:t>
      </w:r>
      <w:r w:rsidR="006C680D" w:rsidRPr="00D337FA">
        <w:t xml:space="preserve"> </w:t>
      </w:r>
      <w:r w:rsidRPr="00D337FA">
        <w:t>в</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не</w:t>
      </w:r>
      <w:r w:rsidR="006C680D" w:rsidRPr="00D337FA">
        <w:t xml:space="preserve"> </w:t>
      </w:r>
      <w:r w:rsidRPr="00D337FA">
        <w:t>теряет</w:t>
      </w:r>
      <w:r w:rsidR="006C680D" w:rsidRPr="00D337FA">
        <w:t xml:space="preserve"> </w:t>
      </w:r>
      <w:r w:rsidRPr="00D337FA">
        <w:t>своей</w:t>
      </w:r>
      <w:r w:rsidR="006C680D" w:rsidRPr="00D337FA">
        <w:t xml:space="preserve"> </w:t>
      </w:r>
      <w:r w:rsidRPr="00D337FA">
        <w:t>актуальности.</w:t>
      </w:r>
      <w:r w:rsidR="006C680D" w:rsidRPr="00D337FA">
        <w:t xml:space="preserve"> </w:t>
      </w:r>
      <w:r w:rsidRPr="00D337FA">
        <w:t>Предметом</w:t>
      </w:r>
      <w:r w:rsidR="006C680D" w:rsidRPr="00D337FA">
        <w:t xml:space="preserve"> </w:t>
      </w:r>
      <w:r w:rsidRPr="00D337FA">
        <w:t>острой</w:t>
      </w:r>
      <w:r w:rsidR="006C680D" w:rsidRPr="00D337FA">
        <w:t xml:space="preserve"> </w:t>
      </w:r>
      <w:r w:rsidRPr="00D337FA">
        <w:t>критики</w:t>
      </w:r>
      <w:r w:rsidR="006C680D" w:rsidRPr="00D337FA">
        <w:t xml:space="preserve"> </w:t>
      </w:r>
      <w:r w:rsidRPr="00D337FA">
        <w:t>на</w:t>
      </w:r>
      <w:r w:rsidR="006C680D" w:rsidRPr="00D337FA">
        <w:t xml:space="preserve"> </w:t>
      </w:r>
      <w:r w:rsidRPr="00D337FA">
        <w:t>рубеже</w:t>
      </w:r>
      <w:r w:rsidR="006C680D" w:rsidRPr="00D337FA">
        <w:t xml:space="preserve"> </w:t>
      </w:r>
      <w:r w:rsidRPr="00D337FA">
        <w:t>2000-х</w:t>
      </w:r>
      <w:r w:rsidR="006C680D" w:rsidRPr="00D337FA">
        <w:t xml:space="preserve"> </w:t>
      </w:r>
      <w:r w:rsidRPr="00D337FA">
        <w:t>годов</w:t>
      </w:r>
      <w:r w:rsidR="006C680D" w:rsidRPr="00D337FA">
        <w:t xml:space="preserve"> </w:t>
      </w:r>
      <w:r w:rsidRPr="00D337FA">
        <w:t>была</w:t>
      </w:r>
      <w:r w:rsidR="006C680D" w:rsidRPr="00D337FA">
        <w:t xml:space="preserve"> </w:t>
      </w:r>
      <w:r w:rsidRPr="00D337FA">
        <w:t>сама</w:t>
      </w:r>
      <w:r w:rsidR="006C680D" w:rsidRPr="00D337FA">
        <w:t xml:space="preserve"> </w:t>
      </w:r>
      <w:r w:rsidRPr="00D337FA">
        <w:t>идея</w:t>
      </w:r>
      <w:r w:rsidR="006C680D" w:rsidRPr="00D337FA">
        <w:t xml:space="preserve"> </w:t>
      </w:r>
      <w:r w:rsidRPr="00D337FA">
        <w:t>о</w:t>
      </w:r>
      <w:r w:rsidR="006C680D" w:rsidRPr="00D337FA">
        <w:t xml:space="preserve"> </w:t>
      </w:r>
      <w:r w:rsidRPr="00D337FA">
        <w:t>санации</w:t>
      </w:r>
      <w:r w:rsidR="006C680D" w:rsidRPr="00D337FA">
        <w:t xml:space="preserve"> </w:t>
      </w:r>
      <w:r w:rsidRPr="00D337FA">
        <w:t>очевидно</w:t>
      </w:r>
      <w:r w:rsidR="006C680D" w:rsidRPr="00D337FA">
        <w:t xml:space="preserve"> </w:t>
      </w:r>
      <w:r w:rsidRPr="00D337FA">
        <w:t>неэффективного</w:t>
      </w:r>
      <w:r w:rsidR="006C680D" w:rsidRPr="00D337FA">
        <w:t xml:space="preserve"> </w:t>
      </w:r>
      <w:r w:rsidRPr="00D337FA">
        <w:t>частного</w:t>
      </w:r>
      <w:r w:rsidR="006C680D" w:rsidRPr="00D337FA">
        <w:t xml:space="preserve"> </w:t>
      </w:r>
      <w:r w:rsidRPr="00D337FA">
        <w:t>бизнеса</w:t>
      </w:r>
      <w:r w:rsidR="006C680D" w:rsidRPr="00D337FA">
        <w:t xml:space="preserve"> </w:t>
      </w:r>
      <w:r w:rsidRPr="00D337FA">
        <w:t>за</w:t>
      </w:r>
      <w:r w:rsidR="006C680D" w:rsidRPr="00D337FA">
        <w:t xml:space="preserve"> </w:t>
      </w:r>
      <w:r w:rsidRPr="00D337FA">
        <w:t>счет</w:t>
      </w:r>
      <w:r w:rsidR="006C680D" w:rsidRPr="00D337FA">
        <w:t xml:space="preserve"> </w:t>
      </w:r>
      <w:r w:rsidRPr="00D337FA">
        <w:t>государственных</w:t>
      </w:r>
      <w:r w:rsidR="006C680D" w:rsidRPr="00D337FA">
        <w:t xml:space="preserve"> </w:t>
      </w:r>
      <w:r w:rsidRPr="00D337FA">
        <w:t>средств,</w:t>
      </w:r>
      <w:r w:rsidR="006C680D" w:rsidRPr="00D337FA">
        <w:t xml:space="preserve"> </w:t>
      </w:r>
      <w:r w:rsidRPr="00D337FA">
        <w:t>в</w:t>
      </w:r>
      <w:r w:rsidR="006C680D" w:rsidRPr="00D337FA">
        <w:t xml:space="preserve"> </w:t>
      </w:r>
      <w:r w:rsidRPr="00D337FA">
        <w:t>период</w:t>
      </w:r>
      <w:r w:rsidR="006C680D" w:rsidRPr="00D337FA">
        <w:t xml:space="preserve"> </w:t>
      </w:r>
      <w:r w:rsidRPr="00D337FA">
        <w:t>2014-2015</w:t>
      </w:r>
      <w:r w:rsidR="006C680D" w:rsidRPr="00D337FA">
        <w:t xml:space="preserve"> </w:t>
      </w:r>
      <w:r w:rsidRPr="00D337FA">
        <w:t>годов</w:t>
      </w:r>
      <w:r w:rsidR="006C680D" w:rsidRPr="00D337FA">
        <w:t xml:space="preserve"> </w:t>
      </w:r>
      <w:r w:rsidRPr="00D337FA">
        <w:t>-</w:t>
      </w:r>
      <w:r w:rsidR="006C680D" w:rsidRPr="00D337FA">
        <w:t xml:space="preserve"> </w:t>
      </w:r>
      <w:r w:rsidRPr="00D337FA">
        <w:t>низкое</w:t>
      </w:r>
      <w:r w:rsidR="006C680D" w:rsidRPr="00D337FA">
        <w:t xml:space="preserve"> </w:t>
      </w:r>
      <w:r w:rsidRPr="00D337FA">
        <w:t>качество</w:t>
      </w:r>
      <w:r w:rsidR="006C680D" w:rsidRPr="00D337FA">
        <w:t xml:space="preserve"> </w:t>
      </w:r>
      <w:r w:rsidRPr="00D337FA">
        <w:t>работы</w:t>
      </w:r>
      <w:r w:rsidR="006C680D" w:rsidRPr="00D337FA">
        <w:t xml:space="preserve"> </w:t>
      </w:r>
      <w:r w:rsidRPr="00D337FA">
        <w:t>банка-санатора,</w:t>
      </w:r>
      <w:r w:rsidR="006C680D" w:rsidRPr="00D337FA">
        <w:t xml:space="preserve"> </w:t>
      </w:r>
      <w:r w:rsidRPr="00D337FA">
        <w:t>ориентирующегося</w:t>
      </w:r>
      <w:r w:rsidR="006C680D" w:rsidRPr="00D337FA">
        <w:t xml:space="preserve"> </w:t>
      </w:r>
      <w:r w:rsidRPr="00D337FA">
        <w:t>на</w:t>
      </w:r>
      <w:r w:rsidR="006C680D" w:rsidRPr="00D337FA">
        <w:t xml:space="preserve"> </w:t>
      </w:r>
      <w:r w:rsidRPr="00D337FA">
        <w:t>решение</w:t>
      </w:r>
      <w:r w:rsidR="006C680D" w:rsidRPr="00D337FA">
        <w:t xml:space="preserve"> </w:t>
      </w:r>
      <w:r w:rsidRPr="00D337FA">
        <w:t>собственных</w:t>
      </w:r>
      <w:r w:rsidR="006C680D" w:rsidRPr="00D337FA">
        <w:t xml:space="preserve"> </w:t>
      </w:r>
      <w:r w:rsidRPr="00D337FA">
        <w:t>проблем</w:t>
      </w:r>
      <w:r w:rsidR="006C680D" w:rsidRPr="00D337FA">
        <w:t xml:space="preserve"> </w:t>
      </w:r>
      <w:r w:rsidRPr="00D337FA">
        <w:t>за</w:t>
      </w:r>
      <w:r w:rsidR="006C680D" w:rsidRPr="00D337FA">
        <w:t xml:space="preserve"> </w:t>
      </w:r>
      <w:r w:rsidRPr="00D337FA">
        <w:t>счет</w:t>
      </w:r>
      <w:r w:rsidR="006C680D" w:rsidRPr="00D337FA">
        <w:t xml:space="preserve"> </w:t>
      </w:r>
      <w:r w:rsidRPr="00D337FA">
        <w:t>выделяемых</w:t>
      </w:r>
      <w:r w:rsidR="006C680D" w:rsidRPr="00D337FA">
        <w:t xml:space="preserve"> </w:t>
      </w:r>
      <w:r w:rsidRPr="00D337FA">
        <w:t>средств</w:t>
      </w:r>
      <w:r w:rsidR="006C680D" w:rsidRPr="00D337FA">
        <w:t xml:space="preserve"> </w:t>
      </w:r>
      <w:r w:rsidRPr="00D337FA">
        <w:t>и,</w:t>
      </w:r>
      <w:r w:rsidR="006C680D" w:rsidRPr="00D337FA">
        <w:t xml:space="preserve"> </w:t>
      </w:r>
      <w:r w:rsidRPr="00D337FA">
        <w:t>как</w:t>
      </w:r>
      <w:r w:rsidR="006C680D" w:rsidRPr="00D337FA">
        <w:t xml:space="preserve"> </w:t>
      </w:r>
      <w:r w:rsidRPr="00D337FA">
        <w:t>следствие,</w:t>
      </w:r>
      <w:r w:rsidR="006C680D" w:rsidRPr="00D337FA">
        <w:t xml:space="preserve"> </w:t>
      </w:r>
      <w:r w:rsidRPr="00D337FA">
        <w:t>отсутствие</w:t>
      </w:r>
      <w:r w:rsidR="006C680D" w:rsidRPr="00D337FA">
        <w:t xml:space="preserve"> </w:t>
      </w:r>
      <w:r w:rsidRPr="00D337FA">
        <w:t>позитивной</w:t>
      </w:r>
      <w:r w:rsidR="006C680D" w:rsidRPr="00D337FA">
        <w:t xml:space="preserve"> </w:t>
      </w:r>
      <w:r w:rsidRPr="00D337FA">
        <w:t>динамики</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проблемного</w:t>
      </w:r>
      <w:r w:rsidR="006C680D" w:rsidRPr="00D337FA">
        <w:t xml:space="preserve"> </w:t>
      </w:r>
      <w:r w:rsidRPr="00D337FA">
        <w:t>банка,</w:t>
      </w:r>
      <w:r w:rsidR="006C680D" w:rsidRPr="00D337FA">
        <w:t xml:space="preserve"> </w:t>
      </w:r>
      <w:r w:rsidRPr="00D337FA">
        <w:t>сегодня</w:t>
      </w:r>
      <w:r w:rsidR="006C680D" w:rsidRPr="00D337FA">
        <w:t xml:space="preserve"> </w:t>
      </w:r>
      <w:r w:rsidRPr="00D337FA">
        <w:t>-</w:t>
      </w:r>
      <w:r w:rsidR="006C680D" w:rsidRPr="00D337FA">
        <w:t xml:space="preserve"> </w:t>
      </w:r>
      <w:r w:rsidRPr="00D337FA">
        <w:t>вопрос</w:t>
      </w:r>
      <w:r w:rsidR="006C680D" w:rsidRPr="00D337FA">
        <w:t xml:space="preserve"> </w:t>
      </w:r>
      <w:r w:rsidRPr="00D337FA">
        <w:t>о</w:t>
      </w:r>
      <w:r w:rsidR="006C680D" w:rsidRPr="00D337FA">
        <w:t xml:space="preserve"> </w:t>
      </w:r>
      <w:r w:rsidRPr="00D337FA">
        <w:t>целевых</w:t>
      </w:r>
      <w:r w:rsidR="006C680D" w:rsidRPr="00D337FA">
        <w:t xml:space="preserve"> </w:t>
      </w:r>
      <w:r w:rsidRPr="00D337FA">
        <w:t>показателях</w:t>
      </w:r>
      <w:r w:rsidR="006C680D" w:rsidRPr="00D337FA">
        <w:t xml:space="preserve"> </w:t>
      </w:r>
      <w:r w:rsidRPr="00D337FA">
        <w:t>санации</w:t>
      </w:r>
      <w:r w:rsidR="006C680D" w:rsidRPr="00D337FA">
        <w:t xml:space="preserve"> </w:t>
      </w:r>
      <w:r w:rsidRPr="00D337FA">
        <w:t>и</w:t>
      </w:r>
      <w:r w:rsidR="006C680D" w:rsidRPr="00D337FA">
        <w:t xml:space="preserve"> </w:t>
      </w:r>
      <w:r w:rsidRPr="00D337FA">
        <w:t>ее</w:t>
      </w:r>
      <w:r w:rsidR="006C680D" w:rsidRPr="00D337FA">
        <w:t xml:space="preserve"> </w:t>
      </w:r>
      <w:r w:rsidRPr="00D337FA">
        <w:t>эффективности.</w:t>
      </w:r>
    </w:p>
    <w:p w:rsidR="00FB2463" w:rsidRPr="00D337FA" w:rsidRDefault="00FB2463" w:rsidP="00FB2463">
      <w:pPr>
        <w:ind w:firstLine="284"/>
      </w:pPr>
      <w:r w:rsidRPr="00D337FA">
        <w:t>Практика</w:t>
      </w:r>
      <w:r w:rsidR="006C680D" w:rsidRPr="00D337FA">
        <w:t xml:space="preserve"> </w:t>
      </w:r>
      <w:r w:rsidRPr="00D337FA">
        <w:t>показывает,</w:t>
      </w:r>
      <w:r w:rsidR="006C680D" w:rsidRPr="00D337FA">
        <w:t xml:space="preserve"> </w:t>
      </w:r>
      <w:r w:rsidRPr="00D337FA">
        <w:t>что</w:t>
      </w:r>
      <w:r w:rsidR="006C680D" w:rsidRPr="00D337FA">
        <w:t xml:space="preserve"> </w:t>
      </w:r>
      <w:r w:rsidRPr="00D337FA">
        <w:t>решение</w:t>
      </w:r>
      <w:r w:rsidR="006C680D" w:rsidRPr="00D337FA">
        <w:t xml:space="preserve"> </w:t>
      </w:r>
      <w:r w:rsidRPr="00D337FA">
        <w:t>вопросов</w:t>
      </w:r>
      <w:r w:rsidR="006C680D" w:rsidRPr="00D337FA">
        <w:t xml:space="preserve"> </w:t>
      </w:r>
      <w:r w:rsidRPr="00D337FA">
        <w:t>о</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проблемного</w:t>
      </w:r>
      <w:r w:rsidR="006C680D" w:rsidRPr="00D337FA">
        <w:t xml:space="preserve"> </w:t>
      </w:r>
      <w:r w:rsidRPr="00D337FA">
        <w:t>банка</w:t>
      </w:r>
      <w:r w:rsidR="006C680D" w:rsidRPr="00D337FA">
        <w:t xml:space="preserve"> </w:t>
      </w:r>
      <w:r w:rsidRPr="00D337FA">
        <w:t>осуществляется</w:t>
      </w:r>
      <w:r w:rsidR="006C680D" w:rsidRPr="00D337FA">
        <w:t xml:space="preserve"> </w:t>
      </w:r>
      <w:r w:rsidRPr="00D337FA">
        <w:t>на</w:t>
      </w:r>
      <w:r w:rsidR="006C680D" w:rsidRPr="00D337FA">
        <w:t xml:space="preserve"> </w:t>
      </w:r>
      <w:r w:rsidRPr="00D337FA">
        <w:t>разных</w:t>
      </w:r>
      <w:r w:rsidR="006C680D" w:rsidRPr="00D337FA">
        <w:t xml:space="preserve"> </w:t>
      </w:r>
      <w:r w:rsidRPr="00D337FA">
        <w:t>стадиях</w:t>
      </w:r>
      <w:r w:rsidR="006C680D" w:rsidRPr="00D337FA">
        <w:t xml:space="preserve"> </w:t>
      </w:r>
      <w:r w:rsidRPr="00D337FA">
        <w:t>его</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При</w:t>
      </w:r>
      <w:r w:rsidR="006C680D" w:rsidRPr="00D337FA">
        <w:t xml:space="preserve"> </w:t>
      </w:r>
      <w:r w:rsidRPr="00D337FA">
        <w:t>этом</w:t>
      </w:r>
      <w:r w:rsidR="006C680D" w:rsidRPr="00D337FA">
        <w:t xml:space="preserve"> </w:t>
      </w:r>
      <w:r w:rsidRPr="00D337FA">
        <w:t>проблематика</w:t>
      </w:r>
      <w:r w:rsidR="006C680D" w:rsidRPr="00D337FA">
        <w:t xml:space="preserve"> </w:t>
      </w:r>
      <w:r w:rsidRPr="00D337FA">
        <w:t>целесообразности</w:t>
      </w:r>
      <w:r w:rsidR="006C680D" w:rsidRPr="00D337FA">
        <w:t xml:space="preserve"> </w:t>
      </w:r>
      <w:r w:rsidRPr="00D337FA">
        <w:t>санации</w:t>
      </w:r>
      <w:r w:rsidR="006C680D" w:rsidRPr="00D337FA">
        <w:t xml:space="preserve"> </w:t>
      </w:r>
      <w:r w:rsidRPr="00D337FA">
        <w:t>и</w:t>
      </w:r>
      <w:r w:rsidR="006C680D" w:rsidRPr="00D337FA">
        <w:t xml:space="preserve"> </w:t>
      </w:r>
      <w:r w:rsidRPr="00D337FA">
        <w:t>ее</w:t>
      </w:r>
      <w:r w:rsidR="006C680D" w:rsidRPr="00D337FA">
        <w:t xml:space="preserve"> </w:t>
      </w:r>
      <w:r w:rsidRPr="00D337FA">
        <w:t>обоснование</w:t>
      </w:r>
      <w:r w:rsidR="006C680D" w:rsidRPr="00D337FA">
        <w:t xml:space="preserve"> </w:t>
      </w:r>
      <w:r w:rsidRPr="00D337FA">
        <w:t>по</w:t>
      </w:r>
      <w:r w:rsidR="006C680D" w:rsidRPr="00D337FA">
        <w:t xml:space="preserve"> </w:t>
      </w:r>
      <w:r w:rsidRPr="00D337FA">
        <w:t>экономическим,</w:t>
      </w:r>
      <w:r w:rsidR="006C680D" w:rsidRPr="00D337FA">
        <w:t xml:space="preserve"> </w:t>
      </w:r>
      <w:r w:rsidRPr="00D337FA">
        <w:t>социальным</w:t>
      </w:r>
      <w:r w:rsidR="006C680D" w:rsidRPr="00D337FA">
        <w:t xml:space="preserve"> </w:t>
      </w:r>
      <w:r w:rsidRPr="00D337FA">
        <w:t>и</w:t>
      </w:r>
      <w:r w:rsidR="006C680D" w:rsidRPr="00D337FA">
        <w:t xml:space="preserve"> </w:t>
      </w:r>
      <w:r w:rsidRPr="00D337FA">
        <w:t>системно</w:t>
      </w:r>
      <w:r w:rsidR="006C680D" w:rsidRPr="00D337FA">
        <w:t xml:space="preserve"> </w:t>
      </w:r>
      <w:r w:rsidRPr="00D337FA">
        <w:t>значимым</w:t>
      </w:r>
      <w:r w:rsidR="006C680D" w:rsidRPr="00D337FA">
        <w:t xml:space="preserve"> </w:t>
      </w:r>
      <w:r w:rsidRPr="00D337FA">
        <w:t>критериям</w:t>
      </w:r>
      <w:r w:rsidR="006C680D" w:rsidRPr="00D337FA">
        <w:t xml:space="preserve"> </w:t>
      </w:r>
      <w:r w:rsidRPr="00D337FA">
        <w:t>явно</w:t>
      </w:r>
      <w:r w:rsidR="006C680D" w:rsidRPr="00D337FA">
        <w:t xml:space="preserve"> </w:t>
      </w:r>
      <w:r w:rsidRPr="00D337FA">
        <w:t>превалирует</w:t>
      </w:r>
      <w:r w:rsidR="006C680D" w:rsidRPr="00D337FA">
        <w:t xml:space="preserve"> </w:t>
      </w:r>
      <w:r w:rsidRPr="00D337FA">
        <w:t>над</w:t>
      </w:r>
      <w:r w:rsidR="006C680D" w:rsidRPr="00D337FA">
        <w:t xml:space="preserve"> </w:t>
      </w:r>
      <w:r w:rsidRPr="00D337FA">
        <w:t>вопросами</w:t>
      </w:r>
      <w:r w:rsidR="006C680D" w:rsidRPr="00D337FA">
        <w:t xml:space="preserve"> </w:t>
      </w:r>
      <w:r w:rsidRPr="00D337FA">
        <w:t>оценки</w:t>
      </w:r>
      <w:r w:rsidR="006C680D" w:rsidRPr="00D337FA">
        <w:t xml:space="preserve"> </w:t>
      </w:r>
      <w:r w:rsidRPr="00D337FA">
        <w:t>эффективности</w:t>
      </w:r>
      <w:r w:rsidR="006C680D" w:rsidRPr="00D337FA">
        <w:t xml:space="preserve"> </w:t>
      </w:r>
      <w:r w:rsidRPr="00D337FA">
        <w:t>реализуемых</w:t>
      </w:r>
      <w:r w:rsidR="006C680D" w:rsidRPr="00D337FA">
        <w:t xml:space="preserve"> </w:t>
      </w:r>
      <w:r w:rsidRPr="00D337FA">
        <w:t>мероприятий,</w:t>
      </w:r>
      <w:r w:rsidR="006C680D" w:rsidRPr="00D337FA">
        <w:t xml:space="preserve"> </w:t>
      </w:r>
      <w:r w:rsidRPr="00D337FA">
        <w:t>которая</w:t>
      </w:r>
      <w:r w:rsidR="006C680D" w:rsidRPr="00D337FA">
        <w:t xml:space="preserve"> </w:t>
      </w:r>
      <w:r w:rsidRPr="00D337FA">
        <w:t>в</w:t>
      </w:r>
      <w:r w:rsidR="006C680D" w:rsidRPr="00D337FA">
        <w:t xml:space="preserve"> </w:t>
      </w:r>
      <w:r w:rsidRPr="00D337FA">
        <w:t>ряде</w:t>
      </w:r>
      <w:r w:rsidR="006C680D" w:rsidRPr="00D337FA">
        <w:t xml:space="preserve"> </w:t>
      </w:r>
      <w:r w:rsidRPr="00D337FA">
        <w:t>случаев</w:t>
      </w:r>
      <w:r w:rsidR="006C680D" w:rsidRPr="00D337FA">
        <w:t xml:space="preserve"> </w:t>
      </w:r>
      <w:r w:rsidRPr="00D337FA">
        <w:t>даже</w:t>
      </w:r>
      <w:r w:rsidR="006C680D" w:rsidRPr="00D337FA">
        <w:t xml:space="preserve"> </w:t>
      </w:r>
      <w:r w:rsidRPr="00D337FA">
        <w:t>не</w:t>
      </w:r>
      <w:r w:rsidR="006C680D" w:rsidRPr="00D337FA">
        <w:t xml:space="preserve"> </w:t>
      </w:r>
      <w:r w:rsidRPr="00D337FA">
        <w:t>проводится.</w:t>
      </w:r>
      <w:r w:rsidR="006C680D" w:rsidRPr="00D337FA">
        <w:t xml:space="preserve"> </w:t>
      </w:r>
    </w:p>
    <w:p w:rsidR="00FB2463" w:rsidRPr="00D337FA" w:rsidRDefault="00FB2463" w:rsidP="00FB2463">
      <w:pPr>
        <w:ind w:firstLine="284"/>
      </w:pPr>
      <w:r w:rsidRPr="00D337FA">
        <w:lastRenderedPageBreak/>
        <w:t>Цель</w:t>
      </w:r>
      <w:r w:rsidR="006C680D" w:rsidRPr="00D337FA">
        <w:t xml:space="preserve"> </w:t>
      </w:r>
      <w:r w:rsidRPr="00D337FA">
        <w:t>исследования</w:t>
      </w:r>
      <w:r w:rsidR="006C680D" w:rsidRPr="00D337FA">
        <w:t xml:space="preserve"> </w:t>
      </w:r>
      <w:r w:rsidR="00E5106D" w:rsidRPr="00D337FA">
        <w:t>–</w:t>
      </w:r>
      <w:r w:rsidR="006C680D" w:rsidRPr="00D337FA">
        <w:t xml:space="preserve"> </w:t>
      </w:r>
      <w:r w:rsidRPr="00D337FA">
        <w:t>провести</w:t>
      </w:r>
      <w:r w:rsidR="006C680D" w:rsidRPr="00D337FA">
        <w:t xml:space="preserve"> </w:t>
      </w:r>
      <w:r w:rsidRPr="00D337FA">
        <w:t>теоретический</w:t>
      </w:r>
      <w:r w:rsidR="006C680D" w:rsidRPr="00D337FA">
        <w:t xml:space="preserve"> </w:t>
      </w:r>
      <w:r w:rsidRPr="00D337FA">
        <w:t>анализ</w:t>
      </w:r>
      <w:r w:rsidR="006C680D" w:rsidRPr="00D337FA">
        <w:t xml:space="preserve"> </w:t>
      </w:r>
      <w:r w:rsidRPr="00D337FA">
        <w:t>содержания</w:t>
      </w:r>
      <w:r w:rsidR="006C680D" w:rsidRPr="00D337FA">
        <w:t xml:space="preserve"> </w:t>
      </w:r>
      <w:r w:rsidRPr="00D337FA">
        <w:t>понятий</w:t>
      </w:r>
      <w:r w:rsidR="006C680D" w:rsidRPr="00D337FA">
        <w:t xml:space="preserve"> </w:t>
      </w:r>
      <w:r w:rsidRPr="00D337FA">
        <w:t>«целесообразность»</w:t>
      </w:r>
      <w:r w:rsidR="006C680D" w:rsidRPr="00D337FA">
        <w:t xml:space="preserve"> </w:t>
      </w:r>
      <w:r w:rsidRPr="00D337FA">
        <w:t>и</w:t>
      </w:r>
      <w:r w:rsidR="006C680D" w:rsidRPr="00D337FA">
        <w:t xml:space="preserve"> </w:t>
      </w:r>
      <w:r w:rsidRPr="00D337FA">
        <w:t>«эффективность»,</w:t>
      </w:r>
      <w:r w:rsidR="006C680D" w:rsidRPr="00D337FA">
        <w:t xml:space="preserve"> </w:t>
      </w:r>
      <w:r w:rsidRPr="00D337FA">
        <w:t>определить</w:t>
      </w:r>
      <w:r w:rsidR="006C680D" w:rsidRPr="00D337FA">
        <w:t xml:space="preserve"> </w:t>
      </w:r>
      <w:r w:rsidRPr="00D337FA">
        <w:t>сферу</w:t>
      </w:r>
      <w:r w:rsidR="006C680D" w:rsidRPr="00D337FA">
        <w:t xml:space="preserve"> </w:t>
      </w:r>
      <w:r w:rsidRPr="00D337FA">
        <w:t>их</w:t>
      </w:r>
      <w:r w:rsidR="006C680D" w:rsidRPr="00D337FA">
        <w:t xml:space="preserve"> </w:t>
      </w:r>
      <w:r w:rsidRPr="00D337FA">
        <w:t>использования</w:t>
      </w:r>
      <w:r w:rsidR="006C680D" w:rsidRPr="00D337FA">
        <w:t xml:space="preserve"> </w:t>
      </w:r>
      <w:r w:rsidRPr="00D337FA">
        <w:t>на</w:t>
      </w:r>
      <w:r w:rsidR="006C680D" w:rsidRPr="00D337FA">
        <w:t xml:space="preserve"> </w:t>
      </w:r>
      <w:r w:rsidRPr="00D337FA">
        <w:t>практике</w:t>
      </w:r>
      <w:r w:rsidR="006C680D" w:rsidRPr="00D337FA">
        <w:t xml:space="preserve"> </w:t>
      </w:r>
      <w:r w:rsidRPr="00D337FA">
        <w:t>и</w:t>
      </w:r>
      <w:r w:rsidR="006C680D" w:rsidRPr="00D337FA">
        <w:t xml:space="preserve"> </w:t>
      </w:r>
      <w:r w:rsidRPr="00D337FA">
        <w:t>дать</w:t>
      </w:r>
      <w:r w:rsidR="006C680D" w:rsidRPr="00D337FA">
        <w:t xml:space="preserve"> </w:t>
      </w:r>
      <w:r w:rsidRPr="00D337FA">
        <w:t>оценку</w:t>
      </w:r>
      <w:r w:rsidR="006C680D" w:rsidRPr="00D337FA">
        <w:t xml:space="preserve"> </w:t>
      </w:r>
      <w:r w:rsidRPr="00D337FA">
        <w:t>использующимся</w:t>
      </w:r>
      <w:r w:rsidR="006C680D" w:rsidRPr="00D337FA">
        <w:t xml:space="preserve"> </w:t>
      </w:r>
      <w:r w:rsidRPr="00D337FA">
        <w:t>в</w:t>
      </w:r>
      <w:r w:rsidR="006C680D" w:rsidRPr="00D337FA">
        <w:t xml:space="preserve"> </w:t>
      </w:r>
      <w:r w:rsidRPr="00D337FA">
        <w:t>настоящее</w:t>
      </w:r>
      <w:r w:rsidR="006C680D" w:rsidRPr="00D337FA">
        <w:t xml:space="preserve"> </w:t>
      </w:r>
      <w:r w:rsidRPr="00D337FA">
        <w:t>время</w:t>
      </w:r>
      <w:r w:rsidR="006C680D" w:rsidRPr="00D337FA">
        <w:t xml:space="preserve"> </w:t>
      </w:r>
      <w:r w:rsidRPr="00D337FA">
        <w:t>подходам</w:t>
      </w:r>
      <w:r w:rsidR="006C680D" w:rsidRPr="00D337FA">
        <w:t xml:space="preserve"> </w:t>
      </w:r>
      <w:r w:rsidRPr="00D337FA">
        <w:t>к</w:t>
      </w:r>
      <w:r w:rsidR="006C680D" w:rsidRPr="00D337FA">
        <w:t xml:space="preserve"> </w:t>
      </w:r>
      <w:r w:rsidRPr="00D337FA">
        <w:t>определению</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в</w:t>
      </w:r>
      <w:r w:rsidR="006C680D" w:rsidRPr="00D337FA">
        <w:t xml:space="preserve"> </w:t>
      </w:r>
      <w:r w:rsidRPr="00D337FA">
        <w:t>системе</w:t>
      </w:r>
      <w:r w:rsidR="006C680D" w:rsidRPr="00D337FA">
        <w:t xml:space="preserve"> </w:t>
      </w:r>
      <w:r w:rsidRPr="00D337FA">
        <w:t>мер</w:t>
      </w:r>
      <w:r w:rsidR="006C680D" w:rsidRPr="00D337FA">
        <w:t xml:space="preserve"> </w:t>
      </w:r>
      <w:r w:rsidRPr="00D337FA">
        <w:t>по</w:t>
      </w:r>
      <w:r w:rsidR="006C680D" w:rsidRPr="00D337FA">
        <w:t xml:space="preserve"> </w:t>
      </w:r>
      <w:r w:rsidRPr="00D337FA">
        <w:t>управлению</w:t>
      </w:r>
      <w:r w:rsidR="006C680D" w:rsidRPr="00D337FA">
        <w:t xml:space="preserve"> </w:t>
      </w:r>
      <w:r w:rsidRPr="00D337FA">
        <w:t>дефолтом.</w:t>
      </w:r>
    </w:p>
    <w:p w:rsidR="00FB2463" w:rsidRPr="00D337FA" w:rsidRDefault="00FB2463" w:rsidP="00FB2463">
      <w:pPr>
        <w:ind w:firstLine="284"/>
      </w:pPr>
    </w:p>
    <w:p w:rsidR="00FB2463" w:rsidRPr="00D337FA" w:rsidRDefault="00FB2463" w:rsidP="00FB2463">
      <w:pPr>
        <w:ind w:firstLine="284"/>
        <w:rPr>
          <w:b/>
        </w:rPr>
      </w:pPr>
      <w:r w:rsidRPr="00D337FA">
        <w:rPr>
          <w:b/>
        </w:rPr>
        <w:t>Теоретический</w:t>
      </w:r>
      <w:r w:rsidR="006C680D" w:rsidRPr="00D337FA">
        <w:rPr>
          <w:b/>
        </w:rPr>
        <w:t xml:space="preserve"> </w:t>
      </w:r>
      <w:r w:rsidRPr="00D337FA">
        <w:rPr>
          <w:b/>
        </w:rPr>
        <w:t>анализ</w:t>
      </w:r>
    </w:p>
    <w:p w:rsidR="00FB2463" w:rsidRPr="00D337FA" w:rsidRDefault="00FB2463" w:rsidP="00FB2463">
      <w:pPr>
        <w:ind w:firstLine="284"/>
      </w:pPr>
      <w:r w:rsidRPr="00D337FA">
        <w:t>Категории</w:t>
      </w:r>
      <w:r w:rsidR="006C680D" w:rsidRPr="00D337FA">
        <w:t xml:space="preserve"> </w:t>
      </w:r>
      <w:r w:rsidRPr="00D337FA">
        <w:t>«целесообразность»</w:t>
      </w:r>
      <w:r w:rsidR="006C680D" w:rsidRPr="00D337FA">
        <w:t xml:space="preserve"> </w:t>
      </w:r>
      <w:r w:rsidRPr="00D337FA">
        <w:t>и</w:t>
      </w:r>
      <w:r w:rsidR="006C680D" w:rsidRPr="00D337FA">
        <w:t xml:space="preserve"> </w:t>
      </w:r>
      <w:r w:rsidRPr="00D337FA">
        <w:t>«эффективность»</w:t>
      </w:r>
      <w:r w:rsidR="006C680D" w:rsidRPr="00D337FA">
        <w:t xml:space="preserve"> </w:t>
      </w:r>
      <w:r w:rsidRPr="00D337FA">
        <w:t>относятся</w:t>
      </w:r>
      <w:r w:rsidR="006C680D" w:rsidRPr="00D337FA">
        <w:t xml:space="preserve"> </w:t>
      </w:r>
      <w:r w:rsidRPr="00D337FA">
        <w:t>к</w:t>
      </w:r>
      <w:r w:rsidR="006C680D" w:rsidRPr="00D337FA">
        <w:t xml:space="preserve"> </w:t>
      </w:r>
      <w:r w:rsidRPr="00D337FA">
        <w:t>числу</w:t>
      </w:r>
      <w:r w:rsidR="006C680D" w:rsidRPr="00D337FA">
        <w:t xml:space="preserve"> </w:t>
      </w:r>
      <w:r w:rsidRPr="00D337FA">
        <w:t>интуитивно</w:t>
      </w:r>
      <w:r w:rsidR="006C680D" w:rsidRPr="00D337FA">
        <w:t xml:space="preserve"> </w:t>
      </w:r>
      <w:r w:rsidRPr="00D337FA">
        <w:t>понятных.</w:t>
      </w:r>
      <w:r w:rsidR="006C680D" w:rsidRPr="00D337FA">
        <w:t xml:space="preserve"> </w:t>
      </w:r>
      <w:r w:rsidRPr="00D337FA">
        <w:t>Первая</w:t>
      </w:r>
      <w:r w:rsidR="006C680D" w:rsidRPr="00D337FA">
        <w:t xml:space="preserve"> </w:t>
      </w:r>
      <w:r w:rsidRPr="00D337FA">
        <w:t>из</w:t>
      </w:r>
      <w:r w:rsidR="006C680D" w:rsidRPr="00D337FA">
        <w:t xml:space="preserve"> </w:t>
      </w:r>
      <w:r w:rsidRPr="00D337FA">
        <w:t>них</w:t>
      </w:r>
      <w:r w:rsidR="006C680D" w:rsidRPr="00D337FA">
        <w:t xml:space="preserve"> </w:t>
      </w:r>
      <w:r w:rsidRPr="00D337FA">
        <w:t>–</w:t>
      </w:r>
      <w:r w:rsidR="006C680D" w:rsidRPr="00D337FA">
        <w:t xml:space="preserve"> </w:t>
      </w:r>
      <w:r w:rsidRPr="00D337FA">
        <w:t>«целесообразность»</w:t>
      </w:r>
      <w:r w:rsidR="006C680D" w:rsidRPr="00D337FA">
        <w:t xml:space="preserve"> </w:t>
      </w:r>
      <w:r w:rsidRPr="00D337FA">
        <w:t>–</w:t>
      </w:r>
      <w:r w:rsidR="006C680D" w:rsidRPr="00D337FA">
        <w:t xml:space="preserve"> </w:t>
      </w:r>
      <w:r w:rsidRPr="00D337FA">
        <w:t>дает</w:t>
      </w:r>
      <w:r w:rsidR="006C680D" w:rsidRPr="00D337FA">
        <w:t xml:space="preserve"> </w:t>
      </w:r>
      <w:r w:rsidRPr="00D337FA">
        <w:t>ответ</w:t>
      </w:r>
      <w:r w:rsidR="006C680D" w:rsidRPr="00D337FA">
        <w:t xml:space="preserve"> </w:t>
      </w:r>
      <w:r w:rsidRPr="00D337FA">
        <w:t>на</w:t>
      </w:r>
      <w:r w:rsidR="006C680D" w:rsidRPr="00D337FA">
        <w:t xml:space="preserve"> </w:t>
      </w:r>
      <w:r w:rsidRPr="00D337FA">
        <w:t>вопрос:</w:t>
      </w:r>
      <w:r w:rsidR="006C680D" w:rsidRPr="00D337FA">
        <w:t xml:space="preserve"> </w:t>
      </w:r>
      <w:r w:rsidRPr="00D337FA">
        <w:t>«Зачем?</w:t>
      </w:r>
      <w:r w:rsidR="006C680D" w:rsidRPr="00D337FA">
        <w:t xml:space="preserve"> </w:t>
      </w:r>
      <w:r w:rsidRPr="00D337FA">
        <w:t>Почему</w:t>
      </w:r>
      <w:r w:rsidR="006C680D" w:rsidRPr="00D337FA">
        <w:t xml:space="preserve"> </w:t>
      </w:r>
      <w:r w:rsidRPr="00D337FA">
        <w:t>это</w:t>
      </w:r>
      <w:r w:rsidR="006C680D" w:rsidRPr="00D337FA">
        <w:t xml:space="preserve"> </w:t>
      </w:r>
      <w:r w:rsidRPr="00D337FA">
        <w:t>надо</w:t>
      </w:r>
      <w:r w:rsidR="006C680D" w:rsidRPr="00D337FA">
        <w:t xml:space="preserve"> </w:t>
      </w:r>
      <w:r w:rsidRPr="00D337FA">
        <w:t>делать?</w:t>
      </w:r>
      <w:r w:rsidR="006C680D" w:rsidRPr="00D337FA">
        <w:t xml:space="preserve"> </w:t>
      </w:r>
      <w:r w:rsidRPr="00D337FA">
        <w:t>С</w:t>
      </w:r>
      <w:r w:rsidR="006C680D" w:rsidRPr="00D337FA">
        <w:t xml:space="preserve"> </w:t>
      </w:r>
      <w:r w:rsidRPr="00D337FA">
        <w:t>какой</w:t>
      </w:r>
      <w:r w:rsidR="006C680D" w:rsidRPr="00D337FA">
        <w:t xml:space="preserve"> </w:t>
      </w:r>
      <w:r w:rsidRPr="00D337FA">
        <w:t>целью?».</w:t>
      </w:r>
      <w:r w:rsidR="006C680D" w:rsidRPr="00D337FA">
        <w:t xml:space="preserve"> </w:t>
      </w:r>
      <w:r w:rsidRPr="00D337FA">
        <w:t>Вторая</w:t>
      </w:r>
      <w:r w:rsidR="006C680D" w:rsidRPr="00D337FA">
        <w:t xml:space="preserve"> </w:t>
      </w:r>
      <w:r w:rsidRPr="00D337FA">
        <w:t>–</w:t>
      </w:r>
      <w:r w:rsidR="006C680D" w:rsidRPr="00D337FA">
        <w:t xml:space="preserve"> </w:t>
      </w:r>
      <w:r w:rsidRPr="00D337FA">
        <w:t>«эффективность»</w:t>
      </w:r>
      <w:r w:rsidR="006C680D" w:rsidRPr="00D337FA">
        <w:t xml:space="preserve"> </w:t>
      </w:r>
      <w:r w:rsidRPr="00D337FA">
        <w:t>–</w:t>
      </w:r>
      <w:r w:rsidR="006C680D" w:rsidRPr="00D337FA">
        <w:t xml:space="preserve"> </w:t>
      </w:r>
      <w:r w:rsidRPr="00D337FA">
        <w:t>характеризует</w:t>
      </w:r>
      <w:r w:rsidR="006C680D" w:rsidRPr="00D337FA">
        <w:t xml:space="preserve"> </w:t>
      </w:r>
      <w:r w:rsidRPr="00D337FA">
        <w:t>конечный</w:t>
      </w:r>
      <w:r w:rsidR="006C680D" w:rsidRPr="00D337FA">
        <w:t xml:space="preserve"> </w:t>
      </w:r>
      <w:r w:rsidRPr="00D337FA">
        <w:t>эффект,</w:t>
      </w:r>
      <w:r w:rsidR="006C680D" w:rsidRPr="00D337FA">
        <w:t xml:space="preserve"> </w:t>
      </w:r>
      <w:r w:rsidRPr="00D337FA">
        <w:t>который</w:t>
      </w:r>
      <w:r w:rsidR="006C680D" w:rsidRPr="00D337FA">
        <w:t xml:space="preserve"> </w:t>
      </w:r>
      <w:r w:rsidRPr="00D337FA">
        <w:t>предполагается</w:t>
      </w:r>
      <w:r w:rsidR="006C680D" w:rsidRPr="00D337FA">
        <w:t xml:space="preserve"> </w:t>
      </w:r>
      <w:r w:rsidRPr="00D337FA">
        <w:t>достичь</w:t>
      </w:r>
      <w:r w:rsidR="006C680D" w:rsidRPr="00D337FA">
        <w:t xml:space="preserve"> </w:t>
      </w:r>
      <w:r w:rsidRPr="00D337FA">
        <w:t>в</w:t>
      </w:r>
      <w:r w:rsidR="006C680D" w:rsidRPr="00D337FA">
        <w:t xml:space="preserve"> </w:t>
      </w:r>
      <w:r w:rsidRPr="00D337FA">
        <w:t>результате</w:t>
      </w:r>
      <w:r w:rsidR="006C680D" w:rsidRPr="00D337FA">
        <w:t xml:space="preserve"> </w:t>
      </w:r>
      <w:r w:rsidRPr="00D337FA">
        <w:t>практических</w:t>
      </w:r>
      <w:r w:rsidR="006C680D" w:rsidRPr="00D337FA">
        <w:t xml:space="preserve"> </w:t>
      </w:r>
      <w:r w:rsidRPr="00D337FA">
        <w:t>действий</w:t>
      </w:r>
      <w:r w:rsidR="006C680D" w:rsidRPr="00D337FA">
        <w:t xml:space="preserve"> </w:t>
      </w:r>
      <w:r w:rsidRPr="00D337FA">
        <w:t>по</w:t>
      </w:r>
      <w:r w:rsidR="006C680D" w:rsidRPr="00D337FA">
        <w:t xml:space="preserve"> </w:t>
      </w:r>
      <w:r w:rsidRPr="00D337FA">
        <w:t>достижению</w:t>
      </w:r>
      <w:r w:rsidR="006C680D" w:rsidRPr="00D337FA">
        <w:t xml:space="preserve"> </w:t>
      </w:r>
      <w:r w:rsidRPr="00D337FA">
        <w:t>поставленных</w:t>
      </w:r>
      <w:r w:rsidR="006C680D" w:rsidRPr="00D337FA">
        <w:t xml:space="preserve"> </w:t>
      </w:r>
      <w:r w:rsidRPr="00D337FA">
        <w:t>целей.</w:t>
      </w:r>
    </w:p>
    <w:p w:rsidR="00FB2463" w:rsidRPr="00D337FA" w:rsidRDefault="00FB2463" w:rsidP="00FB2463">
      <w:pPr>
        <w:ind w:firstLine="284"/>
      </w:pPr>
      <w:r w:rsidRPr="00D337FA">
        <w:t>Тем</w:t>
      </w:r>
      <w:r w:rsidR="006C680D" w:rsidRPr="00D337FA">
        <w:t xml:space="preserve"> </w:t>
      </w:r>
      <w:r w:rsidRPr="00D337FA">
        <w:t>не</w:t>
      </w:r>
      <w:r w:rsidR="006C680D" w:rsidRPr="00D337FA">
        <w:t xml:space="preserve"> </w:t>
      </w:r>
      <w:r w:rsidRPr="00D337FA">
        <w:t>менее</w:t>
      </w:r>
      <w:r w:rsidR="006C680D" w:rsidRPr="00D337FA">
        <w:t xml:space="preserve"> </w:t>
      </w:r>
      <w:r w:rsidRPr="00D337FA">
        <w:t>в</w:t>
      </w:r>
      <w:r w:rsidR="006C680D" w:rsidRPr="00D337FA">
        <w:t xml:space="preserve"> </w:t>
      </w:r>
      <w:r w:rsidRPr="00D337FA">
        <w:t>экономической</w:t>
      </w:r>
      <w:r w:rsidR="006C680D" w:rsidRPr="00D337FA">
        <w:t xml:space="preserve"> </w:t>
      </w:r>
      <w:r w:rsidRPr="00D337FA">
        <w:t>науке</w:t>
      </w:r>
      <w:r w:rsidR="006C680D" w:rsidRPr="00D337FA">
        <w:t xml:space="preserve"> </w:t>
      </w:r>
      <w:r w:rsidRPr="00D337FA">
        <w:t>вопрос</w:t>
      </w:r>
      <w:r w:rsidR="006C680D" w:rsidRPr="00D337FA">
        <w:t xml:space="preserve"> </w:t>
      </w:r>
      <w:r w:rsidRPr="00D337FA">
        <w:t>о</w:t>
      </w:r>
      <w:r w:rsidR="006C680D" w:rsidRPr="00D337FA">
        <w:t xml:space="preserve"> </w:t>
      </w:r>
      <w:r w:rsidRPr="00D337FA">
        <w:t>разграничении</w:t>
      </w:r>
      <w:r w:rsidR="006C680D" w:rsidRPr="00D337FA">
        <w:t xml:space="preserve"> </w:t>
      </w:r>
      <w:r w:rsidRPr="00D337FA">
        <w:t>этих</w:t>
      </w:r>
      <w:r w:rsidR="006C680D" w:rsidRPr="00D337FA">
        <w:t xml:space="preserve"> </w:t>
      </w:r>
      <w:r w:rsidRPr="00D337FA">
        <w:t>понятий,</w:t>
      </w:r>
      <w:r w:rsidR="006C680D" w:rsidRPr="00D337FA">
        <w:t xml:space="preserve"> </w:t>
      </w:r>
      <w:r w:rsidRPr="00D337FA">
        <w:t>различий</w:t>
      </w:r>
      <w:r w:rsidR="006C680D" w:rsidRPr="00D337FA">
        <w:t xml:space="preserve"> </w:t>
      </w:r>
      <w:r w:rsidRPr="00D337FA">
        <w:t>в</w:t>
      </w:r>
      <w:r w:rsidR="006C680D" w:rsidRPr="00D337FA">
        <w:t xml:space="preserve"> </w:t>
      </w:r>
      <w:r w:rsidRPr="00D337FA">
        <w:t>их</w:t>
      </w:r>
      <w:r w:rsidR="006C680D" w:rsidRPr="00D337FA">
        <w:t xml:space="preserve"> </w:t>
      </w:r>
      <w:r w:rsidRPr="00D337FA">
        <w:t>содержании,</w:t>
      </w:r>
      <w:r w:rsidR="006C680D" w:rsidRPr="00D337FA">
        <w:t xml:space="preserve"> </w:t>
      </w:r>
      <w:r w:rsidRPr="00D337FA">
        <w:t>взаимосвязи</w:t>
      </w:r>
      <w:r w:rsidR="006C680D" w:rsidRPr="00D337FA">
        <w:t xml:space="preserve"> </w:t>
      </w:r>
      <w:r w:rsidRPr="00D337FA">
        <w:t>и</w:t>
      </w:r>
      <w:r w:rsidR="006C680D" w:rsidRPr="00D337FA">
        <w:t xml:space="preserve"> </w:t>
      </w:r>
      <w:r w:rsidRPr="00D337FA">
        <w:t>практическом</w:t>
      </w:r>
      <w:r w:rsidR="006C680D" w:rsidRPr="00D337FA">
        <w:t xml:space="preserve"> </w:t>
      </w:r>
      <w:r w:rsidRPr="00D337FA">
        <w:t>применении</w:t>
      </w:r>
      <w:r w:rsidR="006C680D" w:rsidRPr="00D337FA">
        <w:t xml:space="preserve"> </w:t>
      </w:r>
      <w:r w:rsidRPr="00D337FA">
        <w:t>в</w:t>
      </w:r>
      <w:r w:rsidR="006C680D" w:rsidRPr="00D337FA">
        <w:t xml:space="preserve"> </w:t>
      </w:r>
      <w:r w:rsidRPr="00D337FA">
        <w:t>оценке</w:t>
      </w:r>
      <w:r w:rsidR="006C680D" w:rsidRPr="00D337FA">
        <w:t xml:space="preserve"> </w:t>
      </w:r>
      <w:r w:rsidRPr="00D337FA">
        <w:t>экономических</w:t>
      </w:r>
      <w:r w:rsidR="006C680D" w:rsidRPr="00D337FA">
        <w:t xml:space="preserve"> </w:t>
      </w:r>
      <w:r w:rsidRPr="00D337FA">
        <w:t>решений</w:t>
      </w:r>
      <w:r w:rsidR="006C680D" w:rsidRPr="00D337FA">
        <w:t xml:space="preserve"> </w:t>
      </w:r>
      <w:r w:rsidRPr="00D337FA">
        <w:t>до</w:t>
      </w:r>
      <w:r w:rsidR="006C680D" w:rsidRPr="00D337FA">
        <w:t xml:space="preserve"> </w:t>
      </w:r>
      <w:r w:rsidRPr="00D337FA">
        <w:t>сих</w:t>
      </w:r>
      <w:r w:rsidR="006C680D" w:rsidRPr="00D337FA">
        <w:t xml:space="preserve"> </w:t>
      </w:r>
      <w:r w:rsidRPr="00D337FA">
        <w:t>пор</w:t>
      </w:r>
      <w:r w:rsidR="006C680D" w:rsidRPr="00D337FA">
        <w:t xml:space="preserve"> </w:t>
      </w:r>
      <w:r w:rsidRPr="00D337FA">
        <w:t>является</w:t>
      </w:r>
      <w:r w:rsidR="006C680D" w:rsidRPr="00D337FA">
        <w:t xml:space="preserve"> </w:t>
      </w:r>
      <w:r w:rsidRPr="00D337FA">
        <w:t>предметом</w:t>
      </w:r>
      <w:r w:rsidR="006C680D" w:rsidRPr="00D337FA">
        <w:t xml:space="preserve"> </w:t>
      </w:r>
      <w:r w:rsidRPr="00D337FA">
        <w:t>острых</w:t>
      </w:r>
      <w:r w:rsidR="006C680D" w:rsidRPr="00D337FA">
        <w:t xml:space="preserve"> </w:t>
      </w:r>
      <w:r w:rsidRPr="00D337FA">
        <w:t>дискуссий</w:t>
      </w:r>
      <w:r w:rsidR="006C680D" w:rsidRPr="00D337FA">
        <w:t xml:space="preserve"> </w:t>
      </w:r>
      <w:r w:rsidRPr="00D337FA">
        <w:t>с</w:t>
      </w:r>
      <w:r w:rsidR="006C680D" w:rsidRPr="00D337FA">
        <w:t xml:space="preserve"> </w:t>
      </w:r>
      <w:r w:rsidRPr="00D337FA">
        <w:t>превалированием</w:t>
      </w:r>
      <w:r w:rsidR="006C680D" w:rsidRPr="00D337FA">
        <w:t xml:space="preserve"> </w:t>
      </w:r>
      <w:r w:rsidRPr="00D337FA">
        <w:t>двух</w:t>
      </w:r>
      <w:r w:rsidR="006C680D" w:rsidRPr="00D337FA">
        <w:t xml:space="preserve"> </w:t>
      </w:r>
      <w:r w:rsidRPr="00D337FA">
        <w:t>точек</w:t>
      </w:r>
      <w:r w:rsidR="006C680D" w:rsidRPr="00D337FA">
        <w:t xml:space="preserve"> </w:t>
      </w:r>
      <w:r w:rsidRPr="00D337FA">
        <w:t>зрения.</w:t>
      </w:r>
      <w:r w:rsidR="006C680D" w:rsidRPr="00D337FA">
        <w:t xml:space="preserve"> </w:t>
      </w:r>
      <w:r w:rsidRPr="00D337FA">
        <w:t>Согласно</w:t>
      </w:r>
      <w:r w:rsidR="006C680D" w:rsidRPr="00D337FA">
        <w:t xml:space="preserve"> </w:t>
      </w:r>
      <w:r w:rsidRPr="00D337FA">
        <w:t>первой</w:t>
      </w:r>
      <w:r w:rsidR="006C680D" w:rsidRPr="00D337FA">
        <w:t xml:space="preserve"> </w:t>
      </w:r>
      <w:r w:rsidRPr="00D337FA">
        <w:t>из</w:t>
      </w:r>
      <w:r w:rsidR="006C680D" w:rsidRPr="00D337FA">
        <w:t xml:space="preserve"> </w:t>
      </w:r>
      <w:r w:rsidRPr="00D337FA">
        <w:t>них,</w:t>
      </w:r>
      <w:r w:rsidR="006C680D" w:rsidRPr="00D337FA">
        <w:t xml:space="preserve"> </w:t>
      </w:r>
      <w:r w:rsidRPr="00D337FA">
        <w:t>понятия</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будучи</w:t>
      </w:r>
      <w:r w:rsidR="006C680D" w:rsidRPr="00D337FA">
        <w:t xml:space="preserve"> </w:t>
      </w:r>
      <w:r w:rsidRPr="00D337FA">
        <w:t>оценочными</w:t>
      </w:r>
      <w:r w:rsidR="006C680D" w:rsidRPr="00D337FA">
        <w:t xml:space="preserve"> </w:t>
      </w:r>
      <w:r w:rsidRPr="00D337FA">
        <w:t>категориями,</w:t>
      </w:r>
      <w:r w:rsidR="006C680D" w:rsidRPr="00D337FA">
        <w:t xml:space="preserve"> </w:t>
      </w:r>
      <w:r w:rsidRPr="00D337FA">
        <w:t>тождественны</w:t>
      </w:r>
      <w:r w:rsidR="006C680D" w:rsidRPr="00D337FA">
        <w:t xml:space="preserve"> </w:t>
      </w:r>
      <w:r w:rsidRPr="00D337FA">
        <w:t>и</w:t>
      </w:r>
      <w:r w:rsidR="006C680D" w:rsidRPr="00D337FA">
        <w:t xml:space="preserve"> </w:t>
      </w:r>
      <w:r w:rsidRPr="00D337FA">
        <w:t>целесообразность</w:t>
      </w:r>
      <w:r w:rsidR="006C680D" w:rsidRPr="00D337FA">
        <w:t xml:space="preserve"> </w:t>
      </w:r>
      <w:r w:rsidRPr="00D337FA">
        <w:t>является</w:t>
      </w:r>
      <w:r w:rsidR="006C680D" w:rsidRPr="00D337FA">
        <w:t xml:space="preserve"> </w:t>
      </w:r>
      <w:r w:rsidRPr="00D337FA">
        <w:t>частным</w:t>
      </w:r>
      <w:r w:rsidR="006C680D" w:rsidRPr="00D337FA">
        <w:t xml:space="preserve"> </w:t>
      </w:r>
      <w:r w:rsidRPr="00D337FA">
        <w:t>проявлением</w:t>
      </w:r>
      <w:r w:rsidR="006C680D" w:rsidRPr="00D337FA">
        <w:t xml:space="preserve"> </w:t>
      </w:r>
      <w:r w:rsidRPr="00D337FA">
        <w:t>эффективности.</w:t>
      </w:r>
      <w:r w:rsidR="006C680D" w:rsidRPr="00D337FA">
        <w:t xml:space="preserve"> </w:t>
      </w:r>
      <w:r w:rsidRPr="00D337FA">
        <w:t>Такого</w:t>
      </w:r>
      <w:r w:rsidR="006C680D" w:rsidRPr="00D337FA">
        <w:t xml:space="preserve"> </w:t>
      </w:r>
      <w:r w:rsidRPr="00D337FA">
        <w:t>мнения,</w:t>
      </w:r>
      <w:r w:rsidR="006C680D" w:rsidRPr="00D337FA">
        <w:t xml:space="preserve"> </w:t>
      </w:r>
      <w:r w:rsidRPr="00D337FA">
        <w:t>в</w:t>
      </w:r>
      <w:r w:rsidR="006C680D" w:rsidRPr="00D337FA">
        <w:t xml:space="preserve"> </w:t>
      </w:r>
      <w:r w:rsidRPr="00D337FA">
        <w:t>частности,</w:t>
      </w:r>
      <w:r w:rsidR="006C680D" w:rsidRPr="00D337FA">
        <w:t xml:space="preserve"> </w:t>
      </w:r>
      <w:r w:rsidRPr="00D337FA">
        <w:t>придерживаются</w:t>
      </w:r>
      <w:r w:rsidR="006C680D" w:rsidRPr="00D337FA">
        <w:t xml:space="preserve"> </w:t>
      </w:r>
      <w:r w:rsidRPr="00D337FA">
        <w:t>аналитики</w:t>
      </w:r>
      <w:r w:rsidR="006C680D" w:rsidRPr="00D337FA">
        <w:t xml:space="preserve"> </w:t>
      </w:r>
      <w:r w:rsidRPr="00D337FA">
        <w:t>портала</w:t>
      </w:r>
      <w:r w:rsidR="006C680D" w:rsidRPr="00D337FA">
        <w:t xml:space="preserve"> </w:t>
      </w:r>
      <w:r w:rsidRPr="00D337FA">
        <w:t>Businessman.ru,</w:t>
      </w:r>
      <w:r w:rsidR="006C680D" w:rsidRPr="00D337FA">
        <w:t xml:space="preserve"> </w:t>
      </w:r>
      <w:r w:rsidRPr="00D337FA">
        <w:t>предлагающие</w:t>
      </w:r>
      <w:r w:rsidR="006C680D" w:rsidRPr="00D337FA">
        <w:t xml:space="preserve"> </w:t>
      </w:r>
      <w:r w:rsidRPr="00D337FA">
        <w:t>понимать</w:t>
      </w:r>
      <w:r w:rsidR="006C680D" w:rsidRPr="00D337FA">
        <w:t xml:space="preserve"> </w:t>
      </w:r>
      <w:r w:rsidRPr="00D337FA">
        <w:t>под</w:t>
      </w:r>
      <w:r w:rsidR="006C680D" w:rsidRPr="00D337FA">
        <w:t xml:space="preserve"> </w:t>
      </w:r>
      <w:r w:rsidRPr="00D337FA">
        <w:t>целесообразностью</w:t>
      </w:r>
      <w:r w:rsidR="006C680D" w:rsidRPr="00D337FA">
        <w:t xml:space="preserve"> </w:t>
      </w:r>
      <w:r w:rsidRPr="00D337FA">
        <w:t>деятельности</w:t>
      </w:r>
      <w:r w:rsidR="006C680D" w:rsidRPr="00D337FA">
        <w:t xml:space="preserve"> </w:t>
      </w:r>
      <w:r w:rsidRPr="00D337FA">
        <w:t>создаваемого</w:t>
      </w:r>
      <w:r w:rsidR="006C680D" w:rsidRPr="00D337FA">
        <w:t xml:space="preserve"> </w:t>
      </w:r>
      <w:r w:rsidRPr="00D337FA">
        <w:t>предприятия</w:t>
      </w:r>
      <w:r w:rsidR="006C680D" w:rsidRPr="00D337FA">
        <w:t xml:space="preserve"> </w:t>
      </w:r>
      <w:r w:rsidRPr="00D337FA">
        <w:t>отношение</w:t>
      </w:r>
      <w:r w:rsidR="006C680D" w:rsidRPr="00D337FA">
        <w:t xml:space="preserve"> </w:t>
      </w:r>
      <w:r w:rsidRPr="00D337FA">
        <w:t>планируемых</w:t>
      </w:r>
      <w:r w:rsidR="006C680D" w:rsidRPr="00D337FA">
        <w:t xml:space="preserve"> </w:t>
      </w:r>
      <w:r w:rsidRPr="00D337FA">
        <w:t>доходов</w:t>
      </w:r>
      <w:r w:rsidR="006C680D" w:rsidRPr="00D337FA">
        <w:t xml:space="preserve"> </w:t>
      </w:r>
      <w:r w:rsidRPr="00D337FA">
        <w:t>к</w:t>
      </w:r>
      <w:r w:rsidR="006C680D" w:rsidRPr="00D337FA">
        <w:t xml:space="preserve"> </w:t>
      </w:r>
      <w:r w:rsidRPr="00D337FA">
        <w:t>планируемым</w:t>
      </w:r>
      <w:r w:rsidR="006C680D" w:rsidRPr="00D337FA">
        <w:t xml:space="preserve"> </w:t>
      </w:r>
      <w:r w:rsidRPr="00D337FA">
        <w:t>расходам,</w:t>
      </w:r>
      <w:r w:rsidR="006C680D" w:rsidRPr="00D337FA">
        <w:t xml:space="preserve"> </w:t>
      </w:r>
      <w:r w:rsidRPr="00D337FA">
        <w:t>то</w:t>
      </w:r>
      <w:r w:rsidR="006C680D" w:rsidRPr="00D337FA">
        <w:t xml:space="preserve"> </w:t>
      </w:r>
      <w:r w:rsidRPr="00D337FA">
        <w:t>есть</w:t>
      </w:r>
      <w:r w:rsidR="006C680D" w:rsidRPr="00D337FA">
        <w:t xml:space="preserve"> </w:t>
      </w:r>
      <w:r w:rsidRPr="00D337FA">
        <w:t>его</w:t>
      </w:r>
      <w:r w:rsidR="006C680D" w:rsidRPr="00D337FA">
        <w:t xml:space="preserve"> </w:t>
      </w:r>
      <w:r w:rsidRPr="00D337FA">
        <w:t>эффективность</w:t>
      </w:r>
      <w:r w:rsidR="006C680D" w:rsidRPr="00D337FA">
        <w:t xml:space="preserve"> </w:t>
      </w:r>
      <w:r w:rsidRPr="00D337FA">
        <w:t>[2].</w:t>
      </w:r>
      <w:r w:rsidR="006C680D" w:rsidRPr="00D337FA">
        <w:t xml:space="preserve"> </w:t>
      </w:r>
      <w:r w:rsidRPr="00D337FA">
        <w:t>Представители</w:t>
      </w:r>
      <w:r w:rsidR="006C680D" w:rsidRPr="00D337FA">
        <w:t xml:space="preserve"> </w:t>
      </w:r>
      <w:r w:rsidRPr="00D337FA">
        <w:t>другой</w:t>
      </w:r>
      <w:r w:rsidR="006C680D" w:rsidRPr="00D337FA">
        <w:t xml:space="preserve"> </w:t>
      </w:r>
      <w:r w:rsidRPr="00D337FA">
        <w:t>точки</w:t>
      </w:r>
      <w:r w:rsidR="006C680D" w:rsidRPr="00D337FA">
        <w:t xml:space="preserve"> </w:t>
      </w:r>
      <w:r w:rsidRPr="00D337FA">
        <w:t>зрения,</w:t>
      </w:r>
      <w:r w:rsidR="006C680D" w:rsidRPr="00D337FA">
        <w:t xml:space="preserve"> </w:t>
      </w:r>
      <w:r w:rsidRPr="00D337FA">
        <w:t>напротив,</w:t>
      </w:r>
      <w:r w:rsidR="006C680D" w:rsidRPr="00D337FA">
        <w:t xml:space="preserve"> </w:t>
      </w:r>
      <w:r w:rsidRPr="00D337FA">
        <w:t>принимая</w:t>
      </w:r>
      <w:r w:rsidR="006C680D" w:rsidRPr="00D337FA">
        <w:t xml:space="preserve"> </w:t>
      </w:r>
      <w:r w:rsidRPr="00D337FA">
        <w:t>во</w:t>
      </w:r>
      <w:r w:rsidR="006C680D" w:rsidRPr="00D337FA">
        <w:t xml:space="preserve"> </w:t>
      </w:r>
      <w:r w:rsidRPr="00D337FA">
        <w:t>внимание</w:t>
      </w:r>
      <w:r w:rsidR="006C680D" w:rsidRPr="00D337FA">
        <w:t xml:space="preserve"> </w:t>
      </w:r>
      <w:r w:rsidRPr="00D337FA">
        <w:t>генезис</w:t>
      </w:r>
      <w:r w:rsidR="006C680D" w:rsidRPr="00D337FA">
        <w:t xml:space="preserve"> </w:t>
      </w:r>
      <w:r w:rsidRPr="00D337FA">
        <w:t>понятия</w:t>
      </w:r>
      <w:r w:rsidR="006C680D" w:rsidRPr="00D337FA">
        <w:t xml:space="preserve"> </w:t>
      </w:r>
      <w:r w:rsidRPr="00D337FA">
        <w:t>«эффективность»,</w:t>
      </w:r>
      <w:r w:rsidR="006C680D" w:rsidRPr="00D337FA">
        <w:t xml:space="preserve"> </w:t>
      </w:r>
      <w:r w:rsidRPr="00D337FA">
        <w:t>появление</w:t>
      </w:r>
      <w:r w:rsidR="006C680D" w:rsidRPr="00D337FA">
        <w:t xml:space="preserve"> </w:t>
      </w:r>
      <w:r w:rsidRPr="00D337FA">
        <w:t>новых</w:t>
      </w:r>
      <w:r w:rsidR="006C680D" w:rsidRPr="00D337FA">
        <w:t xml:space="preserve"> </w:t>
      </w:r>
      <w:r w:rsidRPr="00D337FA">
        <w:t>видов</w:t>
      </w:r>
      <w:r w:rsidR="006C680D" w:rsidRPr="00D337FA">
        <w:t xml:space="preserve"> </w:t>
      </w:r>
      <w:r w:rsidRPr="00D337FA">
        <w:t>эффективностей</w:t>
      </w:r>
      <w:r w:rsidR="006C680D" w:rsidRPr="00D337FA">
        <w:t xml:space="preserve"> </w:t>
      </w:r>
      <w:r w:rsidRPr="00D337FA">
        <w:t>(социальной,</w:t>
      </w:r>
      <w:r w:rsidR="006C680D" w:rsidRPr="00D337FA">
        <w:t xml:space="preserve"> </w:t>
      </w:r>
      <w:r w:rsidRPr="00D337FA">
        <w:t>бюджетной,</w:t>
      </w:r>
      <w:r w:rsidR="006C680D" w:rsidRPr="00D337FA">
        <w:t xml:space="preserve"> </w:t>
      </w:r>
      <w:r w:rsidRPr="00D337FA">
        <w:t>технологической,</w:t>
      </w:r>
      <w:r w:rsidR="006C680D" w:rsidRPr="00D337FA">
        <w:t xml:space="preserve"> </w:t>
      </w:r>
      <w:r w:rsidRPr="00D337FA">
        <w:t>институциональной)</w:t>
      </w:r>
      <w:r w:rsidR="006C680D" w:rsidRPr="00D337FA">
        <w:t xml:space="preserve"> </w:t>
      </w:r>
      <w:r w:rsidRPr="00D337FA">
        <w:t>и</w:t>
      </w:r>
      <w:r w:rsidR="006C680D" w:rsidRPr="00D337FA">
        <w:t xml:space="preserve"> </w:t>
      </w:r>
      <w:r w:rsidRPr="00D337FA">
        <w:t>стремление</w:t>
      </w:r>
      <w:r w:rsidR="006C680D" w:rsidRPr="00D337FA">
        <w:t xml:space="preserve"> </w:t>
      </w:r>
      <w:r w:rsidRPr="00D337FA">
        <w:t>общества</w:t>
      </w:r>
      <w:r w:rsidR="006C680D" w:rsidRPr="00D337FA">
        <w:t xml:space="preserve"> </w:t>
      </w:r>
      <w:r w:rsidRPr="00D337FA">
        <w:t>к</w:t>
      </w:r>
      <w:r w:rsidR="006C680D" w:rsidRPr="00D337FA">
        <w:t xml:space="preserve"> </w:t>
      </w:r>
      <w:r w:rsidRPr="00D337FA">
        <w:t>достижению</w:t>
      </w:r>
      <w:r w:rsidR="006C680D" w:rsidRPr="00D337FA">
        <w:t xml:space="preserve"> </w:t>
      </w:r>
      <w:r w:rsidRPr="00D337FA">
        <w:t>целей,</w:t>
      </w:r>
      <w:r w:rsidR="006C680D" w:rsidRPr="00D337FA">
        <w:t xml:space="preserve"> </w:t>
      </w:r>
      <w:r w:rsidRPr="00D337FA">
        <w:t>неподдающихся</w:t>
      </w:r>
      <w:r w:rsidR="006C680D" w:rsidRPr="00D337FA">
        <w:t xml:space="preserve"> </w:t>
      </w:r>
      <w:r w:rsidRPr="00D337FA">
        <w:t>количественному</w:t>
      </w:r>
      <w:r w:rsidR="006C680D" w:rsidRPr="00D337FA">
        <w:t xml:space="preserve"> </w:t>
      </w:r>
      <w:r w:rsidRPr="00D337FA">
        <w:t>измерению,</w:t>
      </w:r>
      <w:r w:rsidR="006C680D" w:rsidRPr="00D337FA">
        <w:t xml:space="preserve"> </w:t>
      </w:r>
      <w:r w:rsidRPr="00D337FA">
        <w:t>обосновывают</w:t>
      </w:r>
      <w:r w:rsidR="006C680D" w:rsidRPr="00D337FA">
        <w:t xml:space="preserve"> </w:t>
      </w:r>
      <w:r w:rsidRPr="00D337FA">
        <w:t>необходимость</w:t>
      </w:r>
      <w:r w:rsidR="006C680D" w:rsidRPr="00D337FA">
        <w:t xml:space="preserve"> </w:t>
      </w:r>
      <w:r w:rsidRPr="00D337FA">
        <w:t>выделения</w:t>
      </w:r>
      <w:r w:rsidR="006C680D" w:rsidRPr="00D337FA">
        <w:t xml:space="preserve"> </w:t>
      </w:r>
      <w:r w:rsidRPr="00D337FA">
        <w:t>понятия</w:t>
      </w:r>
      <w:r w:rsidR="006C680D" w:rsidRPr="00D337FA">
        <w:t xml:space="preserve"> </w:t>
      </w:r>
      <w:r w:rsidRPr="00D337FA">
        <w:t>«целесообразность»</w:t>
      </w:r>
      <w:r w:rsidR="006C680D" w:rsidRPr="00D337FA">
        <w:t xml:space="preserve"> </w:t>
      </w:r>
      <w:r w:rsidRPr="00D337FA">
        <w:t>в</w:t>
      </w:r>
      <w:r w:rsidR="006C680D" w:rsidRPr="00D337FA">
        <w:t xml:space="preserve"> </w:t>
      </w:r>
      <w:r w:rsidRPr="00D337FA">
        <w:t>самостоятельную</w:t>
      </w:r>
      <w:r w:rsidR="006C680D" w:rsidRPr="00D337FA">
        <w:t xml:space="preserve"> </w:t>
      </w:r>
      <w:r w:rsidRPr="00D337FA">
        <w:t>экономическую</w:t>
      </w:r>
      <w:r w:rsidR="006C680D" w:rsidRPr="00D337FA">
        <w:t xml:space="preserve"> </w:t>
      </w:r>
      <w:r w:rsidRPr="00D337FA">
        <w:t>категорию</w:t>
      </w:r>
      <w:r w:rsidR="006C680D" w:rsidRPr="00D337FA">
        <w:t xml:space="preserve"> </w:t>
      </w:r>
      <w:r w:rsidRPr="00D337FA">
        <w:t>[3].</w:t>
      </w:r>
      <w:r w:rsidR="006C680D" w:rsidRPr="00D337FA">
        <w:t xml:space="preserve">    </w:t>
      </w:r>
    </w:p>
    <w:p w:rsidR="00FB2463" w:rsidRPr="00D337FA" w:rsidRDefault="00FB2463" w:rsidP="00FB2463">
      <w:pPr>
        <w:ind w:firstLine="284"/>
      </w:pPr>
      <w:r w:rsidRPr="00D337FA">
        <w:lastRenderedPageBreak/>
        <w:t>Компромиссом,</w:t>
      </w:r>
      <w:r w:rsidR="006C680D" w:rsidRPr="00D337FA">
        <w:t xml:space="preserve"> </w:t>
      </w:r>
      <w:r w:rsidRPr="00D337FA">
        <w:t>объединяющим</w:t>
      </w:r>
      <w:r w:rsidR="006C680D" w:rsidRPr="00D337FA">
        <w:t xml:space="preserve"> </w:t>
      </w:r>
      <w:r w:rsidRPr="00D337FA">
        <w:t>описанные</w:t>
      </w:r>
      <w:r w:rsidR="006C680D" w:rsidRPr="00D337FA">
        <w:t xml:space="preserve"> </w:t>
      </w:r>
      <w:r w:rsidRPr="00D337FA">
        <w:t>точки</w:t>
      </w:r>
      <w:r w:rsidR="006C680D" w:rsidRPr="00D337FA">
        <w:t xml:space="preserve"> </w:t>
      </w:r>
      <w:r w:rsidRPr="00D337FA">
        <w:t>зрения,</w:t>
      </w:r>
      <w:r w:rsidR="006C680D" w:rsidRPr="00D337FA">
        <w:t xml:space="preserve"> </w:t>
      </w:r>
      <w:r w:rsidRPr="00D337FA">
        <w:t>можно</w:t>
      </w:r>
      <w:r w:rsidR="006C680D" w:rsidRPr="00D337FA">
        <w:t xml:space="preserve"> </w:t>
      </w:r>
      <w:r w:rsidRPr="00D337FA">
        <w:t>считать</w:t>
      </w:r>
      <w:r w:rsidR="006C680D" w:rsidRPr="00D337FA">
        <w:t xml:space="preserve"> </w:t>
      </w:r>
      <w:r w:rsidRPr="00D337FA">
        <w:t>позицию</w:t>
      </w:r>
      <w:r w:rsidR="006C680D" w:rsidRPr="00D337FA">
        <w:t xml:space="preserve"> </w:t>
      </w:r>
      <w:r w:rsidRPr="00D337FA">
        <w:t>А.В.</w:t>
      </w:r>
      <w:r w:rsidR="006C680D" w:rsidRPr="00D337FA">
        <w:t xml:space="preserve"> </w:t>
      </w:r>
      <w:r w:rsidRPr="00D337FA">
        <w:t>Архиреева,</w:t>
      </w:r>
      <w:r w:rsidR="006C680D" w:rsidRPr="00D337FA">
        <w:t xml:space="preserve"> </w:t>
      </w:r>
      <w:r w:rsidRPr="00D337FA">
        <w:t>который</w:t>
      </w:r>
      <w:r w:rsidR="006C680D" w:rsidRPr="00D337FA">
        <w:t xml:space="preserve"> </w:t>
      </w:r>
      <w:r w:rsidRPr="00D337FA">
        <w:t>систематизируя</w:t>
      </w:r>
      <w:r w:rsidR="006C680D" w:rsidRPr="00D337FA">
        <w:t xml:space="preserve"> </w:t>
      </w:r>
      <w:r w:rsidRPr="00D337FA">
        <w:t>имеющиеся</w:t>
      </w:r>
      <w:r w:rsidR="006C680D" w:rsidRPr="00D337FA">
        <w:t xml:space="preserve"> </w:t>
      </w:r>
      <w:r w:rsidRPr="00D337FA">
        <w:t>в</w:t>
      </w:r>
      <w:r w:rsidR="006C680D" w:rsidRPr="00D337FA">
        <w:t xml:space="preserve"> </w:t>
      </w:r>
      <w:r w:rsidRPr="00D337FA">
        <w:t>научной</w:t>
      </w:r>
      <w:r w:rsidR="006C680D" w:rsidRPr="00D337FA">
        <w:t xml:space="preserve"> </w:t>
      </w:r>
      <w:r w:rsidRPr="00D337FA">
        <w:t>литературе</w:t>
      </w:r>
      <w:r w:rsidR="006C680D" w:rsidRPr="00D337FA">
        <w:t xml:space="preserve"> </w:t>
      </w:r>
      <w:r w:rsidRPr="00D337FA">
        <w:t>определения,</w:t>
      </w:r>
      <w:r w:rsidR="006C680D" w:rsidRPr="00D337FA">
        <w:t xml:space="preserve"> </w:t>
      </w:r>
      <w:r w:rsidRPr="00D337FA">
        <w:t>рассматривает</w:t>
      </w:r>
      <w:r w:rsidR="006C680D" w:rsidRPr="00D337FA">
        <w:t xml:space="preserve"> </w:t>
      </w:r>
      <w:r w:rsidRPr="00D337FA">
        <w:t>эффективность</w:t>
      </w:r>
      <w:r w:rsidR="006C680D" w:rsidRPr="00D337FA">
        <w:t xml:space="preserve"> </w:t>
      </w:r>
      <w:r w:rsidRPr="00D337FA">
        <w:t>как</w:t>
      </w:r>
      <w:r w:rsidR="006C680D" w:rsidRPr="00D337FA">
        <w:t xml:space="preserve"> </w:t>
      </w:r>
      <w:r w:rsidRPr="00D337FA">
        <w:t>изменчивое</w:t>
      </w:r>
      <w:r w:rsidR="006C680D" w:rsidRPr="00D337FA">
        <w:t xml:space="preserve"> </w:t>
      </w:r>
      <w:r w:rsidRPr="00D337FA">
        <w:t>понятие,</w:t>
      </w:r>
      <w:r w:rsidR="006C680D" w:rsidRPr="00D337FA">
        <w:t xml:space="preserve"> </w:t>
      </w:r>
      <w:r w:rsidRPr="00D337FA">
        <w:t>подверженное</w:t>
      </w:r>
      <w:r w:rsidR="006C680D" w:rsidRPr="00D337FA">
        <w:t xml:space="preserve"> </w:t>
      </w:r>
      <w:r w:rsidRPr="00D337FA">
        <w:t>влиянию</w:t>
      </w:r>
      <w:r w:rsidR="006C680D" w:rsidRPr="00D337FA">
        <w:t xml:space="preserve"> </w:t>
      </w:r>
      <w:r w:rsidRPr="00D337FA">
        <w:t>различных</w:t>
      </w:r>
      <w:r w:rsidR="006C680D" w:rsidRPr="00D337FA">
        <w:t xml:space="preserve"> </w:t>
      </w:r>
      <w:r w:rsidRPr="00D337FA">
        <w:t>факторов</w:t>
      </w:r>
      <w:r w:rsidR="006C680D" w:rsidRPr="00D337FA">
        <w:t xml:space="preserve"> </w:t>
      </w:r>
      <w:r w:rsidRPr="00D337FA">
        <w:t>и</w:t>
      </w:r>
      <w:r w:rsidR="006C680D" w:rsidRPr="00D337FA">
        <w:t xml:space="preserve"> </w:t>
      </w:r>
      <w:r w:rsidRPr="00D337FA">
        <w:t>интерпретаций</w:t>
      </w:r>
      <w:r w:rsidR="006C680D" w:rsidRPr="00D337FA">
        <w:t xml:space="preserve"> </w:t>
      </w:r>
      <w:r w:rsidRPr="00D337FA">
        <w:t>экспертов</w:t>
      </w:r>
      <w:r w:rsidR="006C680D" w:rsidRPr="00D337FA">
        <w:t xml:space="preserve"> </w:t>
      </w:r>
      <w:r w:rsidRPr="00D337FA">
        <w:t>[4],</w:t>
      </w:r>
      <w:r w:rsidR="006C680D" w:rsidRPr="00D337FA">
        <w:t xml:space="preserve"> </w:t>
      </w:r>
      <w:r w:rsidRPr="00D337FA">
        <w:t>содержание</w:t>
      </w:r>
      <w:r w:rsidR="006C680D" w:rsidRPr="00D337FA">
        <w:t xml:space="preserve"> </w:t>
      </w:r>
      <w:r w:rsidRPr="00D337FA">
        <w:t>которого</w:t>
      </w:r>
      <w:r w:rsidR="006C680D" w:rsidRPr="00D337FA">
        <w:t xml:space="preserve"> </w:t>
      </w:r>
      <w:r w:rsidRPr="00D337FA">
        <w:t>может</w:t>
      </w:r>
      <w:r w:rsidR="006C680D" w:rsidRPr="00D337FA">
        <w:t xml:space="preserve"> </w:t>
      </w:r>
      <w:r w:rsidRPr="00D337FA">
        <w:t>раскрываться</w:t>
      </w:r>
      <w:r w:rsidR="006C680D" w:rsidRPr="00D337FA">
        <w:t xml:space="preserve"> </w:t>
      </w:r>
      <w:r w:rsidRPr="00D337FA">
        <w:t>и</w:t>
      </w:r>
      <w:r w:rsidR="006C680D" w:rsidRPr="00D337FA">
        <w:t xml:space="preserve"> </w:t>
      </w:r>
      <w:r w:rsidRPr="00D337FA">
        <w:t>с</w:t>
      </w:r>
      <w:r w:rsidR="006C680D" w:rsidRPr="00D337FA">
        <w:t xml:space="preserve"> </w:t>
      </w:r>
      <w:r w:rsidRPr="00D337FA">
        <w:t>субъективных,</w:t>
      </w:r>
      <w:r w:rsidR="006C680D" w:rsidRPr="00D337FA">
        <w:t xml:space="preserve"> </w:t>
      </w:r>
      <w:r w:rsidRPr="00D337FA">
        <w:t>и</w:t>
      </w:r>
      <w:r w:rsidR="006C680D" w:rsidRPr="00D337FA">
        <w:t xml:space="preserve"> </w:t>
      </w:r>
      <w:r w:rsidRPr="00D337FA">
        <w:t>с</w:t>
      </w:r>
      <w:r w:rsidR="006C680D" w:rsidRPr="00D337FA">
        <w:t xml:space="preserve"> </w:t>
      </w:r>
      <w:r w:rsidRPr="00D337FA">
        <w:t>объективных</w:t>
      </w:r>
      <w:r w:rsidR="006C680D" w:rsidRPr="00D337FA">
        <w:t xml:space="preserve"> </w:t>
      </w:r>
      <w:r w:rsidRPr="00D337FA">
        <w:t>позиций,</w:t>
      </w:r>
      <w:r w:rsidR="006C680D" w:rsidRPr="00D337FA">
        <w:t xml:space="preserve"> </w:t>
      </w:r>
      <w:r w:rsidRPr="00D337FA">
        <w:t>что</w:t>
      </w:r>
      <w:r w:rsidR="006C680D" w:rsidRPr="00D337FA">
        <w:t xml:space="preserve"> </w:t>
      </w:r>
      <w:r w:rsidRPr="00D337FA">
        <w:t>влечет</w:t>
      </w:r>
      <w:r w:rsidR="006C680D" w:rsidRPr="00D337FA">
        <w:t xml:space="preserve"> </w:t>
      </w:r>
      <w:r w:rsidRPr="00D337FA">
        <w:t>за</w:t>
      </w:r>
      <w:r w:rsidR="006C680D" w:rsidRPr="00D337FA">
        <w:t xml:space="preserve"> </w:t>
      </w:r>
      <w:r w:rsidRPr="00D337FA">
        <w:t>собой</w:t>
      </w:r>
      <w:r w:rsidR="006C680D" w:rsidRPr="00D337FA">
        <w:t xml:space="preserve"> </w:t>
      </w:r>
      <w:r w:rsidRPr="00D337FA">
        <w:t>возможность</w:t>
      </w:r>
      <w:r w:rsidR="006C680D" w:rsidRPr="00D337FA">
        <w:t xml:space="preserve"> </w:t>
      </w:r>
      <w:r w:rsidRPr="00D337FA">
        <w:t>аналогий</w:t>
      </w:r>
      <w:r w:rsidR="006C680D" w:rsidRPr="00D337FA">
        <w:t xml:space="preserve"> </w:t>
      </w:r>
      <w:r w:rsidRPr="00D337FA">
        <w:t>с</w:t>
      </w:r>
      <w:r w:rsidR="006C680D" w:rsidRPr="00D337FA">
        <w:t xml:space="preserve"> </w:t>
      </w:r>
      <w:r w:rsidRPr="00D337FA">
        <w:t>другими</w:t>
      </w:r>
      <w:r w:rsidR="006C680D" w:rsidRPr="00D337FA">
        <w:t xml:space="preserve"> </w:t>
      </w:r>
      <w:r w:rsidRPr="00D337FA">
        <w:t>понятиями,</w:t>
      </w:r>
      <w:r w:rsidR="006C680D" w:rsidRPr="00D337FA">
        <w:t xml:space="preserve"> </w:t>
      </w:r>
      <w:r w:rsidRPr="00D337FA">
        <w:t>такими</w:t>
      </w:r>
      <w:r w:rsidR="006C680D" w:rsidRPr="00D337FA">
        <w:t xml:space="preserve"> </w:t>
      </w:r>
      <w:r w:rsidRPr="00D337FA">
        <w:t>как,</w:t>
      </w:r>
      <w:r w:rsidR="006C680D" w:rsidRPr="00D337FA">
        <w:t xml:space="preserve"> </w:t>
      </w:r>
      <w:r w:rsidRPr="00D337FA">
        <w:t>например,</w:t>
      </w:r>
      <w:r w:rsidR="006C680D" w:rsidRPr="00D337FA">
        <w:t xml:space="preserve"> </w:t>
      </w:r>
      <w:r w:rsidRPr="00D337FA">
        <w:t>«справедливость»</w:t>
      </w:r>
      <w:r w:rsidR="006C680D" w:rsidRPr="00D337FA">
        <w:t xml:space="preserve"> </w:t>
      </w:r>
      <w:r w:rsidRPr="00D337FA">
        <w:t>или</w:t>
      </w:r>
      <w:r w:rsidR="006C680D" w:rsidRPr="00D337FA">
        <w:t xml:space="preserve"> </w:t>
      </w:r>
      <w:r w:rsidRPr="00D337FA">
        <w:t>«целесообразность».</w:t>
      </w:r>
      <w:r w:rsidR="006C680D" w:rsidRPr="00D337FA">
        <w:t xml:space="preserve">     </w:t>
      </w:r>
    </w:p>
    <w:p w:rsidR="00FB2463" w:rsidRPr="00D337FA" w:rsidRDefault="00FB2463" w:rsidP="00FB2463">
      <w:pPr>
        <w:ind w:firstLine="284"/>
      </w:pPr>
      <w:r w:rsidRPr="00D337FA">
        <w:t>По</w:t>
      </w:r>
      <w:r w:rsidR="006C680D" w:rsidRPr="00D337FA">
        <w:t xml:space="preserve"> </w:t>
      </w:r>
      <w:r w:rsidRPr="00D337FA">
        <w:t>нашему</w:t>
      </w:r>
      <w:r w:rsidR="006C680D" w:rsidRPr="00D337FA">
        <w:t xml:space="preserve"> </w:t>
      </w:r>
      <w:r w:rsidRPr="00D337FA">
        <w:t>мнению,</w:t>
      </w:r>
      <w:r w:rsidR="006C680D" w:rsidRPr="00D337FA">
        <w:t xml:space="preserve"> </w:t>
      </w:r>
      <w:r w:rsidRPr="00D337FA">
        <w:t>понятия</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тесно</w:t>
      </w:r>
      <w:r w:rsidR="006C680D" w:rsidRPr="00D337FA">
        <w:t xml:space="preserve"> </w:t>
      </w:r>
      <w:r w:rsidRPr="00D337FA">
        <w:t>взаимосвязаны</w:t>
      </w:r>
      <w:r w:rsidR="006C680D" w:rsidRPr="00D337FA">
        <w:t xml:space="preserve"> </w:t>
      </w:r>
      <w:r w:rsidRPr="00D337FA">
        <w:t>между</w:t>
      </w:r>
      <w:r w:rsidR="006C680D" w:rsidRPr="00D337FA">
        <w:t xml:space="preserve"> </w:t>
      </w:r>
      <w:r w:rsidRPr="00D337FA">
        <w:t>собой,</w:t>
      </w:r>
      <w:r w:rsidR="006C680D" w:rsidRPr="00D337FA">
        <w:t xml:space="preserve"> </w:t>
      </w:r>
      <w:r w:rsidRPr="00D337FA">
        <w:t>но</w:t>
      </w:r>
      <w:r w:rsidR="006C680D" w:rsidRPr="00D337FA">
        <w:t xml:space="preserve"> </w:t>
      </w:r>
      <w:r w:rsidRPr="00D337FA">
        <w:t>не</w:t>
      </w:r>
      <w:r w:rsidR="006C680D" w:rsidRPr="00D337FA">
        <w:t xml:space="preserve"> </w:t>
      </w:r>
      <w:r w:rsidRPr="00D337FA">
        <w:t>являются</w:t>
      </w:r>
      <w:r w:rsidR="006C680D" w:rsidRPr="00D337FA">
        <w:t xml:space="preserve"> </w:t>
      </w:r>
      <w:r w:rsidRPr="00D337FA">
        <w:t>равнозначными.</w:t>
      </w:r>
      <w:r w:rsidR="006C680D" w:rsidRPr="00D337FA">
        <w:t xml:space="preserve"> </w:t>
      </w:r>
      <w:r w:rsidRPr="00D337FA">
        <w:t>Их</w:t>
      </w:r>
      <w:r w:rsidR="006C680D" w:rsidRPr="00D337FA">
        <w:t xml:space="preserve"> </w:t>
      </w:r>
      <w:r w:rsidRPr="00D337FA">
        <w:t>взаимосвязь</w:t>
      </w:r>
      <w:r w:rsidR="006C680D" w:rsidRPr="00D337FA">
        <w:t xml:space="preserve"> </w:t>
      </w:r>
      <w:r w:rsidRPr="00D337FA">
        <w:t>и</w:t>
      </w:r>
      <w:r w:rsidR="006C680D" w:rsidRPr="00D337FA">
        <w:t xml:space="preserve"> </w:t>
      </w:r>
      <w:r w:rsidRPr="00D337FA">
        <w:t>различия</w:t>
      </w:r>
      <w:r w:rsidR="006C680D" w:rsidRPr="00D337FA">
        <w:t xml:space="preserve"> </w:t>
      </w:r>
      <w:r w:rsidRPr="00D337FA">
        <w:t>проявляются</w:t>
      </w:r>
      <w:r w:rsidR="006C680D" w:rsidRPr="00D337FA">
        <w:t xml:space="preserve"> </w:t>
      </w:r>
      <w:r w:rsidRPr="00D337FA">
        <w:t>во</w:t>
      </w:r>
      <w:r w:rsidR="006C680D" w:rsidRPr="00D337FA">
        <w:t xml:space="preserve"> </w:t>
      </w:r>
      <w:r w:rsidRPr="00D337FA">
        <w:t>взаимодействии</w:t>
      </w:r>
      <w:r w:rsidR="006C680D" w:rsidRPr="00D337FA">
        <w:t xml:space="preserve"> </w:t>
      </w:r>
      <w:r w:rsidRPr="00D337FA">
        <w:t>субъекта</w:t>
      </w:r>
      <w:r w:rsidR="006C680D" w:rsidRPr="00D337FA">
        <w:t xml:space="preserve"> </w:t>
      </w:r>
      <w:r w:rsidRPr="00D337FA">
        <w:t>и</w:t>
      </w:r>
      <w:r w:rsidR="006C680D" w:rsidRPr="00D337FA">
        <w:t xml:space="preserve"> </w:t>
      </w:r>
      <w:r w:rsidRPr="00D337FA">
        <w:t>объекта,</w:t>
      </w:r>
      <w:r w:rsidR="006C680D" w:rsidRPr="00D337FA">
        <w:t xml:space="preserve"> </w:t>
      </w:r>
      <w:r w:rsidRPr="00D337FA">
        <w:t>субъективного</w:t>
      </w:r>
      <w:r w:rsidR="006C680D" w:rsidRPr="00D337FA">
        <w:t xml:space="preserve"> </w:t>
      </w:r>
      <w:r w:rsidRPr="00D337FA">
        <w:t>и</w:t>
      </w:r>
      <w:r w:rsidR="006C680D" w:rsidRPr="00D337FA">
        <w:t xml:space="preserve"> </w:t>
      </w:r>
      <w:r w:rsidRPr="00D337FA">
        <w:t>объективного</w:t>
      </w:r>
      <w:r w:rsidR="006C680D" w:rsidRPr="00D337FA">
        <w:t xml:space="preserve"> </w:t>
      </w:r>
      <w:r w:rsidRPr="00D337FA">
        <w:t>подхода</w:t>
      </w:r>
      <w:r w:rsidR="006C680D" w:rsidRPr="00D337FA">
        <w:t xml:space="preserve"> </w:t>
      </w:r>
      <w:r w:rsidRPr="00D337FA">
        <w:t>к</w:t>
      </w:r>
      <w:r w:rsidR="006C680D" w:rsidRPr="00D337FA">
        <w:t xml:space="preserve"> </w:t>
      </w:r>
      <w:r w:rsidRPr="00D337FA">
        <w:t>оценке.</w:t>
      </w:r>
      <w:r w:rsidR="006C680D" w:rsidRPr="00D337FA">
        <w:t xml:space="preserve">    </w:t>
      </w:r>
    </w:p>
    <w:p w:rsidR="00FB2463" w:rsidRPr="00D337FA" w:rsidRDefault="00FB2463" w:rsidP="00FB2463">
      <w:pPr>
        <w:ind w:firstLine="284"/>
      </w:pPr>
      <w:r w:rsidRPr="00D337FA">
        <w:t>Так</w:t>
      </w:r>
      <w:r w:rsidR="006C680D" w:rsidRPr="00D337FA">
        <w:t xml:space="preserve"> </w:t>
      </w:r>
      <w:r w:rsidRPr="00D337FA">
        <w:t>целесообразность</w:t>
      </w:r>
      <w:r w:rsidR="006C680D" w:rsidRPr="00D337FA">
        <w:t xml:space="preserve"> </w:t>
      </w:r>
      <w:r w:rsidRPr="00D337FA">
        <w:t>представляет</w:t>
      </w:r>
      <w:r w:rsidR="006C680D" w:rsidRPr="00D337FA">
        <w:t xml:space="preserve"> </w:t>
      </w:r>
      <w:r w:rsidRPr="00D337FA">
        <w:t>собой</w:t>
      </w:r>
      <w:r w:rsidR="006C680D" w:rsidRPr="00D337FA">
        <w:t xml:space="preserve"> </w:t>
      </w:r>
      <w:r w:rsidRPr="00D337FA">
        <w:t>субъективную</w:t>
      </w:r>
      <w:r w:rsidR="006C680D" w:rsidRPr="00D337FA">
        <w:t xml:space="preserve"> </w:t>
      </w:r>
      <w:r w:rsidRPr="00D337FA">
        <w:t>оценку</w:t>
      </w:r>
      <w:r w:rsidR="006C680D" w:rsidRPr="00D337FA">
        <w:t xml:space="preserve"> </w:t>
      </w:r>
      <w:r w:rsidRPr="00D337FA">
        <w:t>возникающей</w:t>
      </w:r>
      <w:r w:rsidR="006C680D" w:rsidRPr="00D337FA">
        <w:t xml:space="preserve"> </w:t>
      </w:r>
      <w:r w:rsidRPr="00D337FA">
        <w:t>проблемы</w:t>
      </w:r>
      <w:r w:rsidR="006C680D" w:rsidRPr="00D337FA">
        <w:t xml:space="preserve"> </w:t>
      </w:r>
      <w:r w:rsidRPr="00D337FA">
        <w:t>или</w:t>
      </w:r>
      <w:r w:rsidR="006C680D" w:rsidRPr="00D337FA">
        <w:t xml:space="preserve"> </w:t>
      </w:r>
      <w:r w:rsidRPr="00D337FA">
        <w:t>управленческой</w:t>
      </w:r>
      <w:r w:rsidR="006C680D" w:rsidRPr="00D337FA">
        <w:t xml:space="preserve"> </w:t>
      </w:r>
      <w:r w:rsidRPr="00D337FA">
        <w:t>задачи,</w:t>
      </w:r>
      <w:r w:rsidR="006C680D" w:rsidRPr="00D337FA">
        <w:t xml:space="preserve"> </w:t>
      </w:r>
      <w:r w:rsidRPr="00D337FA">
        <w:t>когда</w:t>
      </w:r>
      <w:r w:rsidR="006C680D" w:rsidRPr="00D337FA">
        <w:t xml:space="preserve"> </w:t>
      </w:r>
      <w:r w:rsidRPr="00D337FA">
        <w:t>информация</w:t>
      </w:r>
      <w:r w:rsidR="006C680D" w:rsidRPr="00D337FA">
        <w:t xml:space="preserve"> </w:t>
      </w:r>
      <w:r w:rsidRPr="00D337FA">
        <w:t>о</w:t>
      </w:r>
      <w:r w:rsidR="006C680D" w:rsidRPr="00D337FA">
        <w:t xml:space="preserve"> </w:t>
      </w:r>
      <w:r w:rsidRPr="00D337FA">
        <w:t>разнице</w:t>
      </w:r>
      <w:r w:rsidR="006C680D" w:rsidRPr="00D337FA">
        <w:t xml:space="preserve"> </w:t>
      </w:r>
      <w:r w:rsidRPr="00D337FA">
        <w:t>между</w:t>
      </w:r>
      <w:r w:rsidR="006C680D" w:rsidRPr="00D337FA">
        <w:t xml:space="preserve"> </w:t>
      </w:r>
      <w:r w:rsidRPr="00D337FA">
        <w:t>требуемым</w:t>
      </w:r>
      <w:r w:rsidR="006C680D" w:rsidRPr="00D337FA">
        <w:t xml:space="preserve"> </w:t>
      </w:r>
      <w:r w:rsidRPr="00D337FA">
        <w:t>и</w:t>
      </w:r>
      <w:r w:rsidR="006C680D" w:rsidRPr="00D337FA">
        <w:t xml:space="preserve"> </w:t>
      </w:r>
      <w:r w:rsidRPr="00D337FA">
        <w:t>фактическим</w:t>
      </w:r>
      <w:r w:rsidR="006C680D" w:rsidRPr="00D337FA">
        <w:t xml:space="preserve"> </w:t>
      </w:r>
      <w:r w:rsidRPr="00D337FA">
        <w:t>состоянием</w:t>
      </w:r>
      <w:r w:rsidR="006C680D" w:rsidRPr="00D337FA">
        <w:t xml:space="preserve"> </w:t>
      </w:r>
      <w:r w:rsidRPr="00D337FA">
        <w:t>объекта</w:t>
      </w:r>
      <w:r w:rsidR="006C680D" w:rsidRPr="00D337FA">
        <w:t xml:space="preserve"> </w:t>
      </w:r>
      <w:r w:rsidRPr="00D337FA">
        <w:t>(процесса,</w:t>
      </w:r>
      <w:r w:rsidR="006C680D" w:rsidRPr="00D337FA">
        <w:t xml:space="preserve"> </w:t>
      </w:r>
      <w:r w:rsidRPr="00D337FA">
        <w:t>явления)</w:t>
      </w:r>
      <w:r w:rsidR="006C680D" w:rsidRPr="00D337FA">
        <w:t xml:space="preserve"> </w:t>
      </w:r>
      <w:r w:rsidRPr="00D337FA">
        <w:t>превращается</w:t>
      </w:r>
      <w:r w:rsidR="006C680D" w:rsidRPr="00D337FA">
        <w:t xml:space="preserve"> </w:t>
      </w:r>
      <w:r w:rsidRPr="00D337FA">
        <w:t>в</w:t>
      </w:r>
      <w:r w:rsidR="006C680D" w:rsidRPr="00D337FA">
        <w:t xml:space="preserve"> </w:t>
      </w:r>
      <w:r w:rsidRPr="00D337FA">
        <w:t>причину,</w:t>
      </w:r>
      <w:r w:rsidR="006C680D" w:rsidRPr="00D337FA">
        <w:t xml:space="preserve"> </w:t>
      </w:r>
      <w:r w:rsidRPr="00D337FA">
        <w:t>определяющую</w:t>
      </w:r>
      <w:r w:rsidR="006C680D" w:rsidRPr="00D337FA">
        <w:t xml:space="preserve"> </w:t>
      </w:r>
      <w:r w:rsidRPr="00D337FA">
        <w:t>характер</w:t>
      </w:r>
      <w:r w:rsidR="006C680D" w:rsidRPr="00D337FA">
        <w:t xml:space="preserve"> </w:t>
      </w:r>
      <w:r w:rsidRPr="00D337FA">
        <w:t>действий</w:t>
      </w:r>
      <w:r w:rsidR="006C680D" w:rsidRPr="00D337FA">
        <w:t xml:space="preserve"> </w:t>
      </w:r>
      <w:r w:rsidRPr="00D337FA">
        <w:t>субъекта</w:t>
      </w:r>
      <w:r w:rsidR="006C680D" w:rsidRPr="00D337FA">
        <w:t xml:space="preserve"> </w:t>
      </w:r>
      <w:r w:rsidRPr="00D337FA">
        <w:t>по</w:t>
      </w:r>
      <w:r w:rsidR="006C680D" w:rsidRPr="00D337FA">
        <w:t xml:space="preserve"> </w:t>
      </w:r>
      <w:r w:rsidRPr="00D337FA">
        <w:t>приближению</w:t>
      </w:r>
      <w:r w:rsidR="006C680D" w:rsidRPr="00D337FA">
        <w:t xml:space="preserve"> </w:t>
      </w:r>
      <w:r w:rsidRPr="00D337FA">
        <w:t>объекта</w:t>
      </w:r>
      <w:r w:rsidR="006C680D" w:rsidRPr="00D337FA">
        <w:t xml:space="preserve"> </w:t>
      </w:r>
      <w:r w:rsidRPr="00D337FA">
        <w:t>к</w:t>
      </w:r>
      <w:r w:rsidR="006C680D" w:rsidRPr="00D337FA">
        <w:t xml:space="preserve"> </w:t>
      </w:r>
      <w:r w:rsidRPr="00D337FA">
        <w:t>требующемуся</w:t>
      </w:r>
      <w:r w:rsidR="006C680D" w:rsidRPr="00D337FA">
        <w:t xml:space="preserve"> </w:t>
      </w:r>
      <w:r w:rsidRPr="00D337FA">
        <w:t>состоянию</w:t>
      </w:r>
      <w:r w:rsidR="006C680D" w:rsidRPr="00D337FA">
        <w:t xml:space="preserve"> </w:t>
      </w:r>
      <w:r w:rsidRPr="00D337FA">
        <w:t>[5].</w:t>
      </w:r>
      <w:r w:rsidR="006C680D" w:rsidRPr="00D337FA">
        <w:t xml:space="preserve"> </w:t>
      </w:r>
    </w:p>
    <w:p w:rsidR="00FB2463" w:rsidRPr="00D337FA" w:rsidRDefault="00FB2463" w:rsidP="00FB2463">
      <w:pPr>
        <w:ind w:firstLine="284"/>
      </w:pPr>
      <w:r w:rsidRPr="00D337FA">
        <w:t>Субъективный</w:t>
      </w:r>
      <w:r w:rsidR="006C680D" w:rsidRPr="00D337FA">
        <w:t xml:space="preserve"> </w:t>
      </w:r>
      <w:r w:rsidRPr="00D337FA">
        <w:t>характер</w:t>
      </w:r>
      <w:r w:rsidR="006C680D" w:rsidRPr="00D337FA">
        <w:t xml:space="preserve"> </w:t>
      </w:r>
      <w:r w:rsidRPr="00D337FA">
        <w:t>целесообразности</w:t>
      </w:r>
      <w:r w:rsidR="006C680D" w:rsidRPr="00D337FA">
        <w:t xml:space="preserve"> </w:t>
      </w:r>
      <w:r w:rsidRPr="00D337FA">
        <w:t>объясняет</w:t>
      </w:r>
      <w:r w:rsidR="006C680D" w:rsidRPr="00D337FA">
        <w:t xml:space="preserve"> </w:t>
      </w:r>
      <w:r w:rsidRPr="00D337FA">
        <w:t>различия</w:t>
      </w:r>
      <w:r w:rsidR="006C680D" w:rsidRPr="00D337FA">
        <w:t xml:space="preserve"> </w:t>
      </w:r>
      <w:r w:rsidRPr="00D337FA">
        <w:t>во</w:t>
      </w:r>
      <w:r w:rsidR="006C680D" w:rsidRPr="00D337FA">
        <w:t xml:space="preserve"> </w:t>
      </w:r>
      <w:r w:rsidRPr="00D337FA">
        <w:t>взглядах</w:t>
      </w:r>
      <w:r w:rsidR="006C680D" w:rsidRPr="00D337FA">
        <w:t xml:space="preserve"> </w:t>
      </w:r>
      <w:r w:rsidRPr="00D337FA">
        <w:t>на</w:t>
      </w:r>
      <w:r w:rsidR="006C680D" w:rsidRPr="00D337FA">
        <w:t xml:space="preserve"> </w:t>
      </w:r>
      <w:r w:rsidRPr="00D337FA">
        <w:t>трактовку</w:t>
      </w:r>
      <w:r w:rsidR="006C680D" w:rsidRPr="00D337FA">
        <w:t xml:space="preserve"> </w:t>
      </w:r>
      <w:r w:rsidRPr="00D337FA">
        <w:t>одного</w:t>
      </w:r>
      <w:r w:rsidR="006C680D" w:rsidRPr="00D337FA">
        <w:t xml:space="preserve"> </w:t>
      </w:r>
      <w:r w:rsidRPr="00D337FA">
        <w:t>и</w:t>
      </w:r>
      <w:r w:rsidR="006C680D" w:rsidRPr="00D337FA">
        <w:t xml:space="preserve"> </w:t>
      </w:r>
      <w:r w:rsidRPr="00D337FA">
        <w:t>того</w:t>
      </w:r>
      <w:r w:rsidR="006C680D" w:rsidRPr="00D337FA">
        <w:t xml:space="preserve"> </w:t>
      </w:r>
      <w:r w:rsidRPr="00D337FA">
        <w:t>же</w:t>
      </w:r>
      <w:r w:rsidR="006C680D" w:rsidRPr="00D337FA">
        <w:t xml:space="preserve"> </w:t>
      </w:r>
      <w:r w:rsidRPr="00D337FA">
        <w:t>события</w:t>
      </w:r>
      <w:r w:rsidR="006C680D" w:rsidRPr="00D337FA">
        <w:t xml:space="preserve"> </w:t>
      </w:r>
      <w:r w:rsidRPr="00D337FA">
        <w:t>разными</w:t>
      </w:r>
      <w:r w:rsidR="006C680D" w:rsidRPr="00D337FA">
        <w:t xml:space="preserve"> </w:t>
      </w:r>
      <w:r w:rsidRPr="00D337FA">
        <w:t>исследователями,</w:t>
      </w:r>
      <w:r w:rsidR="006C680D" w:rsidRPr="00D337FA">
        <w:t xml:space="preserve"> </w:t>
      </w:r>
      <w:r w:rsidRPr="00D337FA">
        <w:t>что</w:t>
      </w:r>
      <w:r w:rsidR="006C680D" w:rsidRPr="00D337FA">
        <w:t xml:space="preserve"> </w:t>
      </w:r>
      <w:r w:rsidRPr="00D337FA">
        <w:t>на</w:t>
      </w:r>
      <w:r w:rsidR="006C680D" w:rsidRPr="00D337FA">
        <w:t xml:space="preserve"> </w:t>
      </w:r>
      <w:r w:rsidRPr="00D337FA">
        <w:t>практике</w:t>
      </w:r>
      <w:r w:rsidR="006C680D" w:rsidRPr="00D337FA">
        <w:t xml:space="preserve"> </w:t>
      </w:r>
      <w:r w:rsidRPr="00D337FA">
        <w:t>становится</w:t>
      </w:r>
      <w:r w:rsidR="006C680D" w:rsidRPr="00D337FA">
        <w:t xml:space="preserve"> </w:t>
      </w:r>
      <w:r w:rsidRPr="00D337FA">
        <w:t>причиной</w:t>
      </w:r>
      <w:r w:rsidR="006C680D" w:rsidRPr="00D337FA">
        <w:t xml:space="preserve"> </w:t>
      </w:r>
      <w:r w:rsidRPr="00D337FA">
        <w:t>неверных</w:t>
      </w:r>
      <w:r w:rsidR="006C680D" w:rsidRPr="00D337FA">
        <w:t xml:space="preserve"> </w:t>
      </w:r>
      <w:r w:rsidRPr="00D337FA">
        <w:t>экономических</w:t>
      </w:r>
      <w:r w:rsidR="006C680D" w:rsidRPr="00D337FA">
        <w:t xml:space="preserve"> </w:t>
      </w:r>
      <w:r w:rsidRPr="00D337FA">
        <w:t>решений.</w:t>
      </w:r>
      <w:r w:rsidR="006C680D" w:rsidRPr="00D337FA">
        <w:t xml:space="preserve"> </w:t>
      </w:r>
      <w:r w:rsidRPr="00D337FA">
        <w:t>Стремление</w:t>
      </w:r>
      <w:r w:rsidR="006C680D" w:rsidRPr="00D337FA">
        <w:t xml:space="preserve"> </w:t>
      </w:r>
      <w:r w:rsidRPr="00D337FA">
        <w:t>нивелировать</w:t>
      </w:r>
      <w:r w:rsidR="006C680D" w:rsidRPr="00D337FA">
        <w:t xml:space="preserve"> </w:t>
      </w:r>
      <w:r w:rsidRPr="00D337FA">
        <w:t>влияние</w:t>
      </w:r>
      <w:r w:rsidR="006C680D" w:rsidRPr="00D337FA">
        <w:t xml:space="preserve"> </w:t>
      </w:r>
      <w:r w:rsidRPr="00D337FA">
        <w:t>разных</w:t>
      </w:r>
      <w:r w:rsidR="006C680D" w:rsidRPr="00D337FA">
        <w:t xml:space="preserve"> </w:t>
      </w:r>
      <w:r w:rsidRPr="00D337FA">
        <w:t>побудительных</w:t>
      </w:r>
      <w:r w:rsidR="006C680D" w:rsidRPr="00D337FA">
        <w:t xml:space="preserve"> </w:t>
      </w:r>
      <w:r w:rsidRPr="00D337FA">
        <w:t>мотивов</w:t>
      </w:r>
      <w:r w:rsidR="006C680D" w:rsidRPr="00D337FA">
        <w:t xml:space="preserve"> </w:t>
      </w:r>
      <w:r w:rsidRPr="00D337FA">
        <w:t>субъектов</w:t>
      </w:r>
      <w:r w:rsidR="006C680D" w:rsidRPr="00D337FA">
        <w:t xml:space="preserve"> </w:t>
      </w:r>
      <w:r w:rsidRPr="00D337FA">
        <w:t>оценки</w:t>
      </w:r>
      <w:r w:rsidR="006C680D" w:rsidRPr="00D337FA">
        <w:t xml:space="preserve"> </w:t>
      </w:r>
      <w:r w:rsidRPr="00D337FA">
        <w:t>заставляет</w:t>
      </w:r>
      <w:r w:rsidR="006C680D" w:rsidRPr="00D337FA">
        <w:t xml:space="preserve"> </w:t>
      </w:r>
      <w:r w:rsidRPr="00D337FA">
        <w:t>дать</w:t>
      </w:r>
      <w:r w:rsidR="006C680D" w:rsidRPr="00D337FA">
        <w:t xml:space="preserve"> </w:t>
      </w:r>
      <w:r w:rsidRPr="00D337FA">
        <w:t>целесообразности</w:t>
      </w:r>
      <w:r w:rsidR="006C680D" w:rsidRPr="00D337FA">
        <w:t xml:space="preserve"> </w:t>
      </w:r>
      <w:r w:rsidRPr="00D337FA">
        <w:t>объективную</w:t>
      </w:r>
      <w:r w:rsidR="006C680D" w:rsidRPr="00D337FA">
        <w:t xml:space="preserve"> </w:t>
      </w:r>
      <w:r w:rsidRPr="00D337FA">
        <w:t>характеристику,</w:t>
      </w:r>
      <w:r w:rsidR="006C680D" w:rsidRPr="00D337FA">
        <w:t xml:space="preserve"> </w:t>
      </w:r>
      <w:r w:rsidRPr="00D337FA">
        <w:t>роль</w:t>
      </w:r>
      <w:r w:rsidR="006C680D" w:rsidRPr="00D337FA">
        <w:t xml:space="preserve"> </w:t>
      </w:r>
      <w:r w:rsidRPr="00D337FA">
        <w:t>которой</w:t>
      </w:r>
      <w:r w:rsidR="006C680D" w:rsidRPr="00D337FA">
        <w:t xml:space="preserve"> </w:t>
      </w:r>
      <w:r w:rsidRPr="00D337FA">
        <w:t>выполняет</w:t>
      </w:r>
      <w:r w:rsidR="006C680D" w:rsidRPr="00D337FA">
        <w:t xml:space="preserve"> </w:t>
      </w:r>
      <w:r w:rsidRPr="00D337FA">
        <w:t>эффективность.</w:t>
      </w:r>
      <w:r w:rsidR="006C680D" w:rsidRPr="00D337FA">
        <w:t xml:space="preserve"> </w:t>
      </w:r>
      <w:r w:rsidRPr="00D337FA">
        <w:t>В</w:t>
      </w:r>
      <w:r w:rsidR="006C680D" w:rsidRPr="00D337FA">
        <w:t xml:space="preserve"> </w:t>
      </w:r>
      <w:r w:rsidRPr="00D337FA">
        <w:t>такой</w:t>
      </w:r>
      <w:r w:rsidR="006C680D" w:rsidRPr="00D337FA">
        <w:t xml:space="preserve"> </w:t>
      </w:r>
      <w:r w:rsidRPr="00D337FA">
        <w:t>трактовке</w:t>
      </w:r>
      <w:r w:rsidR="006C680D" w:rsidRPr="00D337FA">
        <w:t xml:space="preserve"> </w:t>
      </w:r>
      <w:r w:rsidRPr="00D337FA">
        <w:t>эффективность,</w:t>
      </w:r>
      <w:r w:rsidR="006C680D" w:rsidRPr="00D337FA">
        <w:t xml:space="preserve"> </w:t>
      </w:r>
      <w:r w:rsidRPr="00D337FA">
        <w:t>подтвержденная</w:t>
      </w:r>
      <w:r w:rsidR="006C680D" w:rsidRPr="00D337FA">
        <w:t xml:space="preserve"> </w:t>
      </w:r>
      <w:r w:rsidRPr="00D337FA">
        <w:t>динамикой</w:t>
      </w:r>
      <w:r w:rsidR="006C680D" w:rsidRPr="00D337FA">
        <w:t xml:space="preserve"> </w:t>
      </w:r>
      <w:r w:rsidRPr="00D337FA">
        <w:t>оценочных</w:t>
      </w:r>
      <w:r w:rsidR="006C680D" w:rsidRPr="00D337FA">
        <w:t xml:space="preserve"> </w:t>
      </w:r>
      <w:r w:rsidRPr="00D337FA">
        <w:t>показателей,</w:t>
      </w:r>
      <w:r w:rsidR="006C680D" w:rsidRPr="00D337FA">
        <w:t xml:space="preserve"> </w:t>
      </w:r>
      <w:r w:rsidRPr="00D337FA">
        <w:t>характеризует</w:t>
      </w:r>
      <w:r w:rsidR="006C680D" w:rsidRPr="00D337FA">
        <w:t xml:space="preserve"> </w:t>
      </w:r>
      <w:r w:rsidRPr="00D337FA">
        <w:t>обоснованность</w:t>
      </w:r>
      <w:r w:rsidR="006C680D" w:rsidRPr="00D337FA">
        <w:t xml:space="preserve"> </w:t>
      </w:r>
      <w:r w:rsidRPr="00D337FA">
        <w:t>первоначального</w:t>
      </w:r>
      <w:r w:rsidR="006C680D" w:rsidRPr="00D337FA">
        <w:t xml:space="preserve"> </w:t>
      </w:r>
      <w:r w:rsidRPr="00D337FA">
        <w:t>мнения</w:t>
      </w:r>
      <w:r w:rsidR="006C680D" w:rsidRPr="00D337FA">
        <w:t xml:space="preserve"> </w:t>
      </w:r>
      <w:r w:rsidRPr="00D337FA">
        <w:t>о</w:t>
      </w:r>
      <w:r w:rsidR="006C680D" w:rsidRPr="00D337FA">
        <w:t xml:space="preserve"> </w:t>
      </w:r>
      <w:r w:rsidRPr="00D337FA">
        <w:t>целесообразности</w:t>
      </w:r>
      <w:r w:rsidR="006C680D" w:rsidRPr="00D337FA">
        <w:t xml:space="preserve"> </w:t>
      </w:r>
      <w:r w:rsidRPr="00D337FA">
        <w:t>осуществления</w:t>
      </w:r>
      <w:r w:rsidR="006C680D" w:rsidRPr="00D337FA">
        <w:t xml:space="preserve"> </w:t>
      </w:r>
      <w:r w:rsidRPr="00D337FA">
        <w:t>определенной</w:t>
      </w:r>
      <w:r w:rsidR="006C680D" w:rsidRPr="00D337FA">
        <w:t xml:space="preserve"> </w:t>
      </w:r>
      <w:r w:rsidRPr="00D337FA">
        <w:t>деятельности.</w:t>
      </w:r>
    </w:p>
    <w:p w:rsidR="00FB2463" w:rsidRPr="00D337FA" w:rsidRDefault="00FB2463" w:rsidP="00FB2463">
      <w:pPr>
        <w:ind w:firstLine="284"/>
      </w:pPr>
      <w:r w:rsidRPr="00D337FA">
        <w:t>В</w:t>
      </w:r>
      <w:r w:rsidR="006C680D" w:rsidRPr="00D337FA">
        <w:t xml:space="preserve"> </w:t>
      </w:r>
      <w:r w:rsidRPr="00D337FA">
        <w:t>отличии</w:t>
      </w:r>
      <w:r w:rsidR="006C680D" w:rsidRPr="00D337FA">
        <w:t xml:space="preserve"> </w:t>
      </w:r>
      <w:r w:rsidRPr="00D337FA">
        <w:t>от</w:t>
      </w:r>
      <w:r w:rsidR="006C680D" w:rsidRPr="00D337FA">
        <w:t xml:space="preserve"> </w:t>
      </w:r>
      <w:r w:rsidRPr="00D337FA">
        <w:t>«целесообразности»,</w:t>
      </w:r>
      <w:r w:rsidR="006C680D" w:rsidRPr="00D337FA">
        <w:t xml:space="preserve"> </w:t>
      </w:r>
      <w:r w:rsidRPr="00D337FA">
        <w:t>понятие</w:t>
      </w:r>
      <w:r w:rsidR="006C680D" w:rsidRPr="00D337FA">
        <w:t xml:space="preserve"> </w:t>
      </w:r>
      <w:r w:rsidRPr="00D337FA">
        <w:t>«эффективность»</w:t>
      </w:r>
      <w:r w:rsidR="006C680D" w:rsidRPr="00D337FA">
        <w:t xml:space="preserve"> </w:t>
      </w:r>
      <w:r w:rsidRPr="00D337FA">
        <w:t>является</w:t>
      </w:r>
      <w:r w:rsidR="006C680D" w:rsidRPr="00D337FA">
        <w:t xml:space="preserve"> </w:t>
      </w:r>
      <w:r w:rsidRPr="00D337FA">
        <w:t>результатом</w:t>
      </w:r>
      <w:r w:rsidR="006C680D" w:rsidRPr="00D337FA">
        <w:t xml:space="preserve"> </w:t>
      </w:r>
      <w:r w:rsidRPr="00D337FA">
        <w:t>длительной</w:t>
      </w:r>
      <w:r w:rsidR="006C680D" w:rsidRPr="00D337FA">
        <w:t xml:space="preserve"> </w:t>
      </w:r>
      <w:r w:rsidRPr="00D337FA">
        <w:t>эволюции,</w:t>
      </w:r>
      <w:r w:rsidR="006C680D" w:rsidRPr="00D337FA">
        <w:t xml:space="preserve"> </w:t>
      </w:r>
      <w:r w:rsidRPr="00D337FA">
        <w:t>а</w:t>
      </w:r>
      <w:r w:rsidR="006C680D" w:rsidRPr="00D337FA">
        <w:t xml:space="preserve"> </w:t>
      </w:r>
      <w:r w:rsidRPr="00D337FA">
        <w:t>представления</w:t>
      </w:r>
      <w:r w:rsidR="006C680D" w:rsidRPr="00D337FA">
        <w:t xml:space="preserve"> </w:t>
      </w:r>
      <w:r w:rsidRPr="00D337FA">
        <w:t>о</w:t>
      </w:r>
      <w:r w:rsidR="006C680D" w:rsidRPr="00D337FA">
        <w:t xml:space="preserve"> </w:t>
      </w:r>
      <w:r w:rsidRPr="00D337FA">
        <w:t>его</w:t>
      </w:r>
      <w:r w:rsidR="006C680D" w:rsidRPr="00D337FA">
        <w:t xml:space="preserve"> </w:t>
      </w:r>
      <w:r w:rsidRPr="00D337FA">
        <w:t>содержании</w:t>
      </w:r>
      <w:r w:rsidR="006C680D" w:rsidRPr="00D337FA">
        <w:t xml:space="preserve"> </w:t>
      </w:r>
      <w:r w:rsidRPr="00D337FA">
        <w:t>и</w:t>
      </w:r>
      <w:r w:rsidR="006C680D" w:rsidRPr="00D337FA">
        <w:t xml:space="preserve"> </w:t>
      </w:r>
      <w:r w:rsidRPr="00D337FA">
        <w:t>показателях</w:t>
      </w:r>
      <w:r w:rsidR="006C680D" w:rsidRPr="00D337FA">
        <w:t xml:space="preserve"> </w:t>
      </w:r>
      <w:r w:rsidRPr="00D337FA">
        <w:lastRenderedPageBreak/>
        <w:t>трансформировались</w:t>
      </w:r>
      <w:r w:rsidR="006C680D" w:rsidRPr="00D337FA">
        <w:t xml:space="preserve"> </w:t>
      </w:r>
      <w:r w:rsidRPr="00D337FA">
        <w:t>в</w:t>
      </w:r>
      <w:r w:rsidR="006C680D" w:rsidRPr="00D337FA">
        <w:t xml:space="preserve"> </w:t>
      </w:r>
      <w:r w:rsidRPr="00D337FA">
        <w:t>соответствии</w:t>
      </w:r>
      <w:r w:rsidR="006C680D" w:rsidRPr="00D337FA">
        <w:t xml:space="preserve"> </w:t>
      </w:r>
      <w:r w:rsidRPr="00D337FA">
        <w:t>с</w:t>
      </w:r>
      <w:r w:rsidR="006C680D" w:rsidRPr="00D337FA">
        <w:t xml:space="preserve"> </w:t>
      </w:r>
      <w:r w:rsidRPr="00D337FA">
        <w:t>законами</w:t>
      </w:r>
      <w:r w:rsidR="006C680D" w:rsidRPr="00D337FA">
        <w:t xml:space="preserve"> </w:t>
      </w:r>
      <w:r w:rsidRPr="00D337FA">
        <w:t>диалектики</w:t>
      </w:r>
      <w:r w:rsidR="006C680D" w:rsidRPr="00D337FA">
        <w:t xml:space="preserve"> </w:t>
      </w:r>
      <w:r w:rsidRPr="00D337FA">
        <w:t>и</w:t>
      </w:r>
      <w:r w:rsidR="006C680D" w:rsidRPr="00D337FA">
        <w:t xml:space="preserve"> </w:t>
      </w:r>
      <w:r w:rsidRPr="00D337FA">
        <w:t>развитием</w:t>
      </w:r>
      <w:r w:rsidR="006C680D" w:rsidRPr="00D337FA">
        <w:t xml:space="preserve"> </w:t>
      </w:r>
      <w:r w:rsidRPr="00D337FA">
        <w:t>экономических</w:t>
      </w:r>
      <w:r w:rsidR="006C680D" w:rsidRPr="00D337FA">
        <w:t xml:space="preserve"> </w:t>
      </w:r>
      <w:r w:rsidRPr="00D337FA">
        <w:t>систем.</w:t>
      </w:r>
      <w:r w:rsidR="006C680D" w:rsidRPr="00D337FA">
        <w:t xml:space="preserve"> </w:t>
      </w:r>
      <w:r w:rsidRPr="00D337FA">
        <w:t>В</w:t>
      </w:r>
      <w:r w:rsidR="006C680D" w:rsidRPr="00D337FA">
        <w:t xml:space="preserve"> </w:t>
      </w:r>
      <w:r w:rsidRPr="00D337FA">
        <w:t>результате</w:t>
      </w:r>
      <w:r w:rsidR="006C680D" w:rsidRPr="00D337FA">
        <w:t xml:space="preserve"> </w:t>
      </w:r>
      <w:r w:rsidRPr="00D337FA">
        <w:t>сегодня</w:t>
      </w:r>
      <w:r w:rsidR="006C680D" w:rsidRPr="00D337FA">
        <w:t xml:space="preserve"> </w:t>
      </w:r>
      <w:r w:rsidRPr="00D337FA">
        <w:t>эффективность</w:t>
      </w:r>
      <w:r w:rsidR="006C680D" w:rsidRPr="00D337FA">
        <w:t xml:space="preserve"> </w:t>
      </w:r>
      <w:r w:rsidRPr="00D337FA">
        <w:t>рассматривается</w:t>
      </w:r>
      <w:r w:rsidR="006C680D" w:rsidRPr="00D337FA">
        <w:t xml:space="preserve"> </w:t>
      </w:r>
      <w:r w:rsidRPr="00D337FA">
        <w:t>как</w:t>
      </w:r>
      <w:r w:rsidR="006C680D" w:rsidRPr="00D337FA">
        <w:t xml:space="preserve"> </w:t>
      </w:r>
      <w:r w:rsidRPr="00D337FA">
        <w:t>многомерный</w:t>
      </w:r>
      <w:r w:rsidR="006C680D" w:rsidRPr="00D337FA">
        <w:t xml:space="preserve"> </w:t>
      </w:r>
      <w:r w:rsidRPr="00D337FA">
        <w:t>показатель,</w:t>
      </w:r>
      <w:r w:rsidR="006C680D" w:rsidRPr="00D337FA">
        <w:t xml:space="preserve"> </w:t>
      </w:r>
      <w:r w:rsidRPr="00D337FA">
        <w:t>характеризующий</w:t>
      </w:r>
      <w:r w:rsidR="006C680D" w:rsidRPr="00D337FA">
        <w:t xml:space="preserve"> </w:t>
      </w:r>
      <w:r w:rsidRPr="00D337FA">
        <w:t>суммарные</w:t>
      </w:r>
      <w:r w:rsidR="006C680D" w:rsidRPr="00D337FA">
        <w:t xml:space="preserve"> </w:t>
      </w:r>
      <w:r w:rsidRPr="00D337FA">
        <w:t>изменения</w:t>
      </w:r>
      <w:r w:rsidR="006C680D" w:rsidRPr="00D337FA">
        <w:t xml:space="preserve"> </w:t>
      </w:r>
      <w:r w:rsidRPr="00D337FA">
        <w:t>различных</w:t>
      </w:r>
      <w:r w:rsidR="006C680D" w:rsidRPr="00D337FA">
        <w:t xml:space="preserve"> </w:t>
      </w:r>
      <w:r w:rsidRPr="00D337FA">
        <w:t>количественных</w:t>
      </w:r>
      <w:r w:rsidR="006C680D" w:rsidRPr="00D337FA">
        <w:t xml:space="preserve"> </w:t>
      </w:r>
      <w:r w:rsidRPr="00D337FA">
        <w:t>и</w:t>
      </w:r>
      <w:r w:rsidR="006C680D" w:rsidRPr="00D337FA">
        <w:t xml:space="preserve"> </w:t>
      </w:r>
      <w:r w:rsidRPr="00D337FA">
        <w:t>качественных,</w:t>
      </w:r>
      <w:r w:rsidR="006C680D" w:rsidRPr="00D337FA">
        <w:t xml:space="preserve"> </w:t>
      </w:r>
      <w:r w:rsidRPr="00D337FA">
        <w:t>микро-</w:t>
      </w:r>
      <w:r w:rsidR="006C680D" w:rsidRPr="00D337FA">
        <w:t xml:space="preserve"> </w:t>
      </w:r>
      <w:r w:rsidRPr="00D337FA">
        <w:t>и</w:t>
      </w:r>
      <w:r w:rsidR="006C680D" w:rsidRPr="00D337FA">
        <w:t xml:space="preserve"> </w:t>
      </w:r>
      <w:r w:rsidRPr="00D337FA">
        <w:t>макроэкономических</w:t>
      </w:r>
      <w:r w:rsidR="006C680D" w:rsidRPr="00D337FA">
        <w:t xml:space="preserve"> </w:t>
      </w:r>
      <w:r w:rsidRPr="00D337FA">
        <w:t>результатов</w:t>
      </w:r>
      <w:r w:rsidR="006C680D" w:rsidRPr="00D337FA">
        <w:t xml:space="preserve"> </w:t>
      </w:r>
      <w:r w:rsidRPr="00D337FA">
        <w:t>во</w:t>
      </w:r>
      <w:r w:rsidR="006C680D" w:rsidRPr="00D337FA">
        <w:t xml:space="preserve"> </w:t>
      </w:r>
      <w:r w:rsidRPr="00D337FA">
        <w:t>времени</w:t>
      </w:r>
      <w:r w:rsidR="006C680D" w:rsidRPr="00D337FA">
        <w:t xml:space="preserve"> </w:t>
      </w:r>
      <w:r w:rsidRPr="00D337FA">
        <w:t>[6].</w:t>
      </w:r>
      <w:r w:rsidR="006C680D" w:rsidRPr="00D337FA">
        <w:t xml:space="preserve"> </w:t>
      </w:r>
    </w:p>
    <w:p w:rsidR="00FB2463" w:rsidRPr="00D337FA" w:rsidRDefault="00FB2463" w:rsidP="00FB2463">
      <w:pPr>
        <w:ind w:firstLine="284"/>
      </w:pPr>
      <w:r w:rsidRPr="00D337FA">
        <w:t>Рассмотрение</w:t>
      </w:r>
      <w:r w:rsidR="006C680D" w:rsidRPr="00D337FA">
        <w:t xml:space="preserve"> </w:t>
      </w:r>
      <w:r w:rsidRPr="00D337FA">
        <w:t>понятий</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в</w:t>
      </w:r>
      <w:r w:rsidR="006C680D" w:rsidRPr="00D337FA">
        <w:t xml:space="preserve"> </w:t>
      </w:r>
      <w:r w:rsidRPr="00D337FA">
        <w:t>контексте</w:t>
      </w:r>
      <w:r w:rsidR="006C680D" w:rsidRPr="00D337FA">
        <w:t xml:space="preserve"> </w:t>
      </w:r>
      <w:r w:rsidRPr="00D337FA">
        <w:t>предмета</w:t>
      </w:r>
      <w:r w:rsidR="006C680D" w:rsidRPr="00D337FA">
        <w:t xml:space="preserve"> </w:t>
      </w:r>
      <w:r w:rsidRPr="00D337FA">
        <w:t>настоящего</w:t>
      </w:r>
      <w:r w:rsidR="006C680D" w:rsidRPr="00D337FA">
        <w:t xml:space="preserve"> </w:t>
      </w:r>
      <w:r w:rsidRPr="00D337FA">
        <w:t>исследования</w:t>
      </w:r>
      <w:r w:rsidR="006C680D" w:rsidRPr="00D337FA">
        <w:t xml:space="preserve"> </w:t>
      </w:r>
      <w:r w:rsidRPr="00D337FA">
        <w:t>заставляет</w:t>
      </w:r>
      <w:r w:rsidR="006C680D" w:rsidRPr="00D337FA">
        <w:t xml:space="preserve"> </w:t>
      </w:r>
      <w:r w:rsidRPr="00D337FA">
        <w:t>выделить</w:t>
      </w:r>
      <w:r w:rsidR="006C680D" w:rsidRPr="00D337FA">
        <w:t xml:space="preserve"> </w:t>
      </w:r>
      <w:r w:rsidRPr="00D337FA">
        <w:t>их</w:t>
      </w:r>
      <w:r w:rsidR="006C680D" w:rsidRPr="00D337FA">
        <w:t xml:space="preserve"> </w:t>
      </w:r>
      <w:r w:rsidRPr="00D337FA">
        <w:t>существенные</w:t>
      </w:r>
      <w:r w:rsidR="006C680D" w:rsidRPr="00D337FA">
        <w:t xml:space="preserve"> </w:t>
      </w:r>
      <w:r w:rsidRPr="00D337FA">
        <w:t>характеристики,</w:t>
      </w:r>
      <w:r w:rsidR="006C680D" w:rsidRPr="00D337FA">
        <w:t xml:space="preserve"> </w:t>
      </w:r>
      <w:r w:rsidRPr="00D337FA">
        <w:t>которые</w:t>
      </w:r>
      <w:r w:rsidR="006C680D" w:rsidRPr="00D337FA">
        <w:t xml:space="preserve"> </w:t>
      </w:r>
      <w:r w:rsidRPr="00D337FA">
        <w:t>позволят</w:t>
      </w:r>
      <w:r w:rsidR="006C680D" w:rsidRPr="00D337FA">
        <w:t xml:space="preserve"> </w:t>
      </w:r>
      <w:r w:rsidRPr="00D337FA">
        <w:t>однозначно</w:t>
      </w:r>
      <w:r w:rsidR="006C680D" w:rsidRPr="00D337FA">
        <w:t xml:space="preserve"> </w:t>
      </w:r>
      <w:r w:rsidRPr="00D337FA">
        <w:t>определиться</w:t>
      </w:r>
      <w:r w:rsidR="006C680D" w:rsidRPr="00D337FA">
        <w:t xml:space="preserve"> </w:t>
      </w:r>
      <w:r w:rsidRPr="00D337FA">
        <w:t>с</w:t>
      </w:r>
      <w:r w:rsidR="006C680D" w:rsidRPr="00D337FA">
        <w:t xml:space="preserve"> </w:t>
      </w:r>
      <w:r w:rsidRPr="00D337FA">
        <w:t>подходом</w:t>
      </w:r>
      <w:r w:rsidR="006C680D" w:rsidRPr="00D337FA">
        <w:t xml:space="preserve"> </w:t>
      </w:r>
      <w:r w:rsidRPr="00D337FA">
        <w:t>к</w:t>
      </w:r>
      <w:r w:rsidR="006C680D" w:rsidRPr="00D337FA">
        <w:t xml:space="preserve"> </w:t>
      </w:r>
      <w:r w:rsidRPr="00D337FA">
        <w:t>применению</w:t>
      </w:r>
      <w:r w:rsidR="006C680D" w:rsidRPr="00D337FA">
        <w:t xml:space="preserve"> </w:t>
      </w:r>
      <w:r w:rsidRPr="00D337FA">
        <w:t>этих</w:t>
      </w:r>
      <w:r w:rsidR="006C680D" w:rsidRPr="00D337FA">
        <w:t xml:space="preserve"> </w:t>
      </w:r>
      <w:r w:rsidRPr="00D337FA">
        <w:t>понятий</w:t>
      </w:r>
      <w:r w:rsidR="006C680D" w:rsidRPr="00D337FA">
        <w:t xml:space="preserve"> </w:t>
      </w:r>
      <w:r w:rsidRPr="00D337FA">
        <w:t>в</w:t>
      </w:r>
      <w:r w:rsidR="006C680D" w:rsidRPr="00D337FA">
        <w:t xml:space="preserve"> </w:t>
      </w:r>
      <w:r w:rsidRPr="00D337FA">
        <w:t>практике</w:t>
      </w:r>
      <w:r w:rsidR="006C680D" w:rsidRPr="00D337FA">
        <w:t xml:space="preserve"> </w:t>
      </w:r>
      <w:r w:rsidRPr="00D337FA">
        <w:t>санации</w:t>
      </w:r>
      <w:r w:rsidR="006C680D" w:rsidRPr="00D337FA">
        <w:t xml:space="preserve"> </w:t>
      </w:r>
      <w:r w:rsidRPr="00D337FA">
        <w:t>банков.</w:t>
      </w:r>
      <w:r w:rsidR="006C680D" w:rsidRPr="00D337FA">
        <w:t xml:space="preserve"> </w:t>
      </w:r>
    </w:p>
    <w:p w:rsidR="00FB2463" w:rsidRPr="00D337FA" w:rsidRDefault="00FB2463" w:rsidP="00FB2463">
      <w:pPr>
        <w:ind w:firstLine="284"/>
      </w:pPr>
      <w:r w:rsidRPr="00D337FA">
        <w:t>В</w:t>
      </w:r>
      <w:r w:rsidR="006C680D" w:rsidRPr="00D337FA">
        <w:t xml:space="preserve"> </w:t>
      </w:r>
      <w:r w:rsidRPr="00D337FA">
        <w:t>случае</w:t>
      </w:r>
      <w:r w:rsidR="006C680D" w:rsidRPr="00D337FA">
        <w:t xml:space="preserve"> </w:t>
      </w:r>
      <w:r w:rsidRPr="00D337FA">
        <w:t>с</w:t>
      </w:r>
      <w:r w:rsidR="006C680D" w:rsidRPr="00D337FA">
        <w:t xml:space="preserve"> </w:t>
      </w:r>
      <w:r w:rsidRPr="00D337FA">
        <w:t>целесообразностью,</w:t>
      </w:r>
      <w:r w:rsidR="006C680D" w:rsidRPr="00D337FA">
        <w:t xml:space="preserve"> </w:t>
      </w:r>
      <w:r w:rsidRPr="00D337FA">
        <w:t>оценка</w:t>
      </w:r>
      <w:r w:rsidR="006C680D" w:rsidRPr="00D337FA">
        <w:t xml:space="preserve"> </w:t>
      </w:r>
      <w:r w:rsidRPr="00D337FA">
        <w:t>проводится</w:t>
      </w:r>
      <w:r w:rsidR="006C680D" w:rsidRPr="00D337FA">
        <w:t xml:space="preserve"> </w:t>
      </w:r>
      <w:r w:rsidRPr="00D337FA">
        <w:t>применительно</w:t>
      </w:r>
      <w:r w:rsidR="006C680D" w:rsidRPr="00D337FA">
        <w:t xml:space="preserve"> </w:t>
      </w:r>
      <w:r w:rsidRPr="00D337FA">
        <w:t>к</w:t>
      </w:r>
      <w:r w:rsidR="006C680D" w:rsidRPr="00D337FA">
        <w:t xml:space="preserve"> </w:t>
      </w:r>
      <w:r w:rsidRPr="00D337FA">
        <w:t>объекту,</w:t>
      </w:r>
      <w:r w:rsidR="006C680D" w:rsidRPr="00D337FA">
        <w:t xml:space="preserve"> </w:t>
      </w:r>
      <w:r w:rsidRPr="00D337FA">
        <w:t>отклонение</w:t>
      </w:r>
      <w:r w:rsidR="006C680D" w:rsidRPr="00D337FA">
        <w:t xml:space="preserve"> </w:t>
      </w:r>
      <w:r w:rsidRPr="00D337FA">
        <w:t>которого</w:t>
      </w:r>
      <w:r w:rsidR="006C680D" w:rsidRPr="00D337FA">
        <w:t xml:space="preserve"> </w:t>
      </w:r>
      <w:r w:rsidRPr="00D337FA">
        <w:t>от</w:t>
      </w:r>
      <w:r w:rsidR="006C680D" w:rsidRPr="00D337FA">
        <w:t xml:space="preserve"> </w:t>
      </w:r>
      <w:r w:rsidRPr="00D337FA">
        <w:t>требуемого</w:t>
      </w:r>
      <w:r w:rsidR="006C680D" w:rsidRPr="00D337FA">
        <w:t xml:space="preserve"> </w:t>
      </w:r>
      <w:r w:rsidRPr="00D337FA">
        <w:t>(идеального)</w:t>
      </w:r>
      <w:r w:rsidR="006C680D" w:rsidRPr="00D337FA">
        <w:t xml:space="preserve"> </w:t>
      </w:r>
      <w:r w:rsidRPr="00D337FA">
        <w:t>состояния,</w:t>
      </w:r>
      <w:r w:rsidR="006C680D" w:rsidRPr="00D337FA">
        <w:t xml:space="preserve"> </w:t>
      </w:r>
      <w:r w:rsidRPr="00D337FA">
        <w:t>заставляет</w:t>
      </w:r>
      <w:r w:rsidR="006C680D" w:rsidRPr="00D337FA">
        <w:t xml:space="preserve"> </w:t>
      </w:r>
      <w:r w:rsidRPr="00D337FA">
        <w:t>субъект</w:t>
      </w:r>
      <w:r w:rsidR="006C680D" w:rsidRPr="00D337FA">
        <w:t xml:space="preserve"> </w:t>
      </w:r>
      <w:r w:rsidRPr="00D337FA">
        <w:t>оценки</w:t>
      </w:r>
      <w:r w:rsidR="006C680D" w:rsidRPr="00D337FA">
        <w:t xml:space="preserve"> </w:t>
      </w:r>
      <w:r w:rsidRPr="00D337FA">
        <w:t>предпринимать</w:t>
      </w:r>
      <w:r w:rsidR="006C680D" w:rsidRPr="00D337FA">
        <w:t xml:space="preserve"> </w:t>
      </w:r>
      <w:r w:rsidRPr="00D337FA">
        <w:t>определенные</w:t>
      </w:r>
      <w:r w:rsidR="006C680D" w:rsidRPr="00D337FA">
        <w:t xml:space="preserve"> </w:t>
      </w:r>
      <w:r w:rsidRPr="00D337FA">
        <w:t>действия.</w:t>
      </w:r>
      <w:r w:rsidR="006C680D" w:rsidRPr="00D337FA">
        <w:t xml:space="preserve"> </w:t>
      </w:r>
      <w:r w:rsidRPr="00D337FA">
        <w:t>Применительно</w:t>
      </w:r>
      <w:r w:rsidR="006C680D" w:rsidRPr="00D337FA">
        <w:t xml:space="preserve"> </w:t>
      </w:r>
      <w:r w:rsidRPr="00D337FA">
        <w:t>к</w:t>
      </w:r>
      <w:r w:rsidR="006C680D" w:rsidRPr="00D337FA">
        <w:t xml:space="preserve"> </w:t>
      </w:r>
      <w:r w:rsidRPr="00D337FA">
        <w:t>санации</w:t>
      </w:r>
      <w:r w:rsidR="006C680D" w:rsidRPr="00D337FA">
        <w:t xml:space="preserve"> </w:t>
      </w:r>
      <w:r w:rsidRPr="00D337FA">
        <w:t>банка</w:t>
      </w:r>
      <w:r w:rsidR="006C680D" w:rsidRPr="00D337FA">
        <w:t xml:space="preserve"> </w:t>
      </w:r>
      <w:r w:rsidRPr="00D337FA">
        <w:t>решение</w:t>
      </w:r>
      <w:r w:rsidR="006C680D" w:rsidRPr="00D337FA">
        <w:t xml:space="preserve"> </w:t>
      </w:r>
      <w:r w:rsidRPr="00D337FA">
        <w:t>о</w:t>
      </w:r>
      <w:r w:rsidR="006C680D" w:rsidRPr="00D337FA">
        <w:t xml:space="preserve"> </w:t>
      </w:r>
      <w:r w:rsidRPr="00D337FA">
        <w:t>ее</w:t>
      </w:r>
      <w:r w:rsidR="006C680D" w:rsidRPr="00D337FA">
        <w:t xml:space="preserve"> </w:t>
      </w:r>
      <w:r w:rsidRPr="00D337FA">
        <w:t>целесообразности</w:t>
      </w:r>
      <w:r w:rsidR="006C680D" w:rsidRPr="00D337FA">
        <w:t xml:space="preserve"> </w:t>
      </w:r>
      <w:r w:rsidRPr="00D337FA">
        <w:t>принимается</w:t>
      </w:r>
      <w:r w:rsidR="006C680D" w:rsidRPr="00D337FA">
        <w:t xml:space="preserve"> </w:t>
      </w:r>
      <w:r w:rsidRPr="00D337FA">
        <w:t>Банком</w:t>
      </w:r>
      <w:r w:rsidR="006C680D" w:rsidRPr="00D337FA">
        <w:t xml:space="preserve"> </w:t>
      </w:r>
      <w:r w:rsidRPr="00D337FA">
        <w:t>России</w:t>
      </w:r>
      <w:r w:rsidR="006C680D" w:rsidRPr="00D337FA">
        <w:t xml:space="preserve"> </w:t>
      </w:r>
      <w:r w:rsidRPr="00D337FA">
        <w:t>ввиду</w:t>
      </w:r>
      <w:r w:rsidR="006C680D" w:rsidRPr="00D337FA">
        <w:t xml:space="preserve"> </w:t>
      </w:r>
      <w:r w:rsidRPr="00D337FA">
        <w:t>стремительного</w:t>
      </w:r>
      <w:r w:rsidR="006C680D" w:rsidRPr="00D337FA">
        <w:t xml:space="preserve"> </w:t>
      </w:r>
      <w:r w:rsidRPr="00D337FA">
        <w:t>ухудшения</w:t>
      </w:r>
      <w:r w:rsidR="006C680D" w:rsidRPr="00D337FA">
        <w:t xml:space="preserve"> </w:t>
      </w:r>
      <w:r w:rsidRPr="00D337FA">
        <w:t>финансового</w:t>
      </w:r>
      <w:r w:rsidR="006C680D" w:rsidRPr="00D337FA">
        <w:t xml:space="preserve"> </w:t>
      </w:r>
      <w:r w:rsidRPr="00D337FA">
        <w:t>состояния</w:t>
      </w:r>
      <w:r w:rsidR="006C680D" w:rsidRPr="00D337FA">
        <w:t xml:space="preserve"> </w:t>
      </w:r>
      <w:r w:rsidRPr="00D337FA">
        <w:t>банка,</w:t>
      </w:r>
      <w:r w:rsidR="006C680D" w:rsidRPr="00D337FA">
        <w:t xml:space="preserve"> </w:t>
      </w:r>
      <w:r w:rsidRPr="00D337FA">
        <w:t>возникновения</w:t>
      </w:r>
      <w:r w:rsidR="006C680D" w:rsidRPr="00D337FA">
        <w:t xml:space="preserve"> </w:t>
      </w:r>
      <w:r w:rsidRPr="00D337FA">
        <w:t>угрозы</w:t>
      </w:r>
      <w:r w:rsidR="006C680D" w:rsidRPr="00D337FA">
        <w:t xml:space="preserve"> </w:t>
      </w:r>
      <w:r w:rsidRPr="00D337FA">
        <w:t>утраты</w:t>
      </w:r>
      <w:r w:rsidR="006C680D" w:rsidRPr="00D337FA">
        <w:t xml:space="preserve"> </w:t>
      </w:r>
      <w:r w:rsidRPr="00D337FA">
        <w:t>его</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и</w:t>
      </w:r>
      <w:r w:rsidR="006C680D" w:rsidRPr="00D337FA">
        <w:t xml:space="preserve"> </w:t>
      </w:r>
      <w:r w:rsidRPr="00D337FA">
        <w:t>проявления</w:t>
      </w:r>
      <w:r w:rsidR="006C680D" w:rsidRPr="00D337FA">
        <w:t xml:space="preserve"> </w:t>
      </w:r>
      <w:r w:rsidRPr="00D337FA">
        <w:t>первых</w:t>
      </w:r>
      <w:r w:rsidR="006C680D" w:rsidRPr="00D337FA">
        <w:t xml:space="preserve"> </w:t>
      </w:r>
      <w:r w:rsidRPr="00D337FA">
        <w:t>признаков</w:t>
      </w:r>
      <w:r w:rsidR="006C680D" w:rsidRPr="00D337FA">
        <w:t xml:space="preserve"> </w:t>
      </w:r>
      <w:r w:rsidRPr="00D337FA">
        <w:t>банкротства.</w:t>
      </w:r>
      <w:r w:rsidR="006C680D" w:rsidRPr="00D337FA">
        <w:t xml:space="preserve"> </w:t>
      </w:r>
      <w:r w:rsidRPr="00D337FA">
        <w:t>Побудительным</w:t>
      </w:r>
      <w:r w:rsidR="006C680D" w:rsidRPr="00D337FA">
        <w:t xml:space="preserve"> </w:t>
      </w:r>
      <w:r w:rsidRPr="00D337FA">
        <w:t>мотивом</w:t>
      </w:r>
      <w:r w:rsidR="006C680D" w:rsidRPr="00D337FA">
        <w:t xml:space="preserve"> </w:t>
      </w:r>
      <w:r w:rsidRPr="00D337FA">
        <w:t>регулятора</w:t>
      </w:r>
      <w:r w:rsidR="006C680D" w:rsidRPr="00D337FA">
        <w:t xml:space="preserve"> </w:t>
      </w:r>
      <w:r w:rsidRPr="00D337FA">
        <w:t>является</w:t>
      </w:r>
      <w:r w:rsidR="006C680D" w:rsidRPr="00D337FA">
        <w:t xml:space="preserve"> </w:t>
      </w:r>
      <w:r w:rsidRPr="00D337FA">
        <w:t>предотвращение</w:t>
      </w:r>
      <w:r w:rsidR="006C680D" w:rsidRPr="00D337FA">
        <w:t xml:space="preserve"> </w:t>
      </w:r>
      <w:r w:rsidRPr="00D337FA">
        <w:t>угрозы</w:t>
      </w:r>
      <w:r w:rsidR="006C680D" w:rsidRPr="00D337FA">
        <w:t xml:space="preserve"> </w:t>
      </w:r>
      <w:r w:rsidRPr="00D337FA">
        <w:t>прекращения</w:t>
      </w:r>
      <w:r w:rsidR="006C680D" w:rsidRPr="00D337FA">
        <w:t xml:space="preserve"> </w:t>
      </w:r>
      <w:r w:rsidRPr="00D337FA">
        <w:t>деятельности</w:t>
      </w:r>
      <w:r w:rsidR="006C680D" w:rsidRPr="00D337FA">
        <w:t xml:space="preserve"> </w:t>
      </w:r>
      <w:r w:rsidRPr="00D337FA">
        <w:t>банка</w:t>
      </w:r>
      <w:r w:rsidR="006C680D" w:rsidRPr="00D337FA">
        <w:t xml:space="preserve"> </w:t>
      </w:r>
      <w:r w:rsidRPr="00D337FA">
        <w:t>и</w:t>
      </w:r>
      <w:r w:rsidR="006C680D" w:rsidRPr="00D337FA">
        <w:t xml:space="preserve"> </w:t>
      </w:r>
      <w:r w:rsidRPr="00D337FA">
        <w:t>трансформации</w:t>
      </w:r>
      <w:r w:rsidR="006C680D" w:rsidRPr="00D337FA">
        <w:t xml:space="preserve"> </w:t>
      </w:r>
      <w:r w:rsidRPr="00D337FA">
        <w:t>экономического</w:t>
      </w:r>
      <w:r w:rsidR="006C680D" w:rsidRPr="00D337FA">
        <w:t xml:space="preserve"> </w:t>
      </w:r>
      <w:r w:rsidRPr="00D337FA">
        <w:t>события</w:t>
      </w:r>
      <w:r w:rsidR="006C680D" w:rsidRPr="00D337FA">
        <w:t xml:space="preserve"> </w:t>
      </w:r>
      <w:r w:rsidRPr="00D337FA">
        <w:t>дефолта</w:t>
      </w:r>
      <w:r w:rsidR="006C680D" w:rsidRPr="00D337FA">
        <w:t xml:space="preserve"> </w:t>
      </w:r>
      <w:r w:rsidRPr="00D337FA">
        <w:t>в</w:t>
      </w:r>
      <w:r w:rsidR="006C680D" w:rsidRPr="00D337FA">
        <w:t xml:space="preserve"> </w:t>
      </w:r>
      <w:r w:rsidRPr="00D337FA">
        <w:t>его</w:t>
      </w:r>
      <w:r w:rsidR="006C680D" w:rsidRPr="00D337FA">
        <w:t xml:space="preserve"> </w:t>
      </w:r>
      <w:r w:rsidRPr="00D337FA">
        <w:t>юридический</w:t>
      </w:r>
      <w:r w:rsidR="006C680D" w:rsidRPr="00D337FA">
        <w:t xml:space="preserve"> </w:t>
      </w:r>
      <w:r w:rsidRPr="00D337FA">
        <w:t>факт</w:t>
      </w:r>
      <w:r w:rsidR="006C680D" w:rsidRPr="00D337FA">
        <w:t xml:space="preserve"> </w:t>
      </w:r>
      <w:r w:rsidRPr="00D337FA">
        <w:t>[7].</w:t>
      </w:r>
      <w:r w:rsidR="006C680D" w:rsidRPr="00D337FA">
        <w:t xml:space="preserve"> </w:t>
      </w:r>
      <w:r w:rsidRPr="00D337FA">
        <w:t>Критерием</w:t>
      </w:r>
      <w:r w:rsidR="006C680D" w:rsidRPr="00D337FA">
        <w:t xml:space="preserve"> </w:t>
      </w:r>
      <w:r w:rsidRPr="00D337FA">
        <w:t>оценки</w:t>
      </w:r>
      <w:r w:rsidR="006C680D" w:rsidRPr="00D337FA">
        <w:t xml:space="preserve"> </w:t>
      </w:r>
      <w:r w:rsidRPr="00D337FA">
        <w:t>целесообразности</w:t>
      </w:r>
      <w:r w:rsidR="006C680D" w:rsidRPr="00D337FA">
        <w:t xml:space="preserve"> </w:t>
      </w:r>
      <w:r w:rsidRPr="00D337FA">
        <w:t>санации</w:t>
      </w:r>
      <w:r w:rsidR="006C680D" w:rsidRPr="00D337FA">
        <w:t xml:space="preserve"> </w:t>
      </w:r>
      <w:r w:rsidRPr="00D337FA">
        <w:t>проблемного</w:t>
      </w:r>
      <w:r w:rsidR="006C680D" w:rsidRPr="00D337FA">
        <w:t xml:space="preserve"> </w:t>
      </w:r>
      <w:r w:rsidRPr="00D337FA">
        <w:t>банка</w:t>
      </w:r>
      <w:r w:rsidR="006C680D" w:rsidRPr="00D337FA">
        <w:t xml:space="preserve"> </w:t>
      </w:r>
      <w:r w:rsidRPr="00D337FA">
        <w:t>выступает</w:t>
      </w:r>
      <w:r w:rsidR="006C680D" w:rsidRPr="00D337FA">
        <w:t xml:space="preserve"> </w:t>
      </w:r>
      <w:r w:rsidRPr="00D337FA">
        <w:t>величина</w:t>
      </w:r>
      <w:r w:rsidR="006C680D" w:rsidRPr="00D337FA">
        <w:t xml:space="preserve"> </w:t>
      </w:r>
      <w:r w:rsidRPr="00D337FA">
        <w:t>затрат</w:t>
      </w:r>
      <w:r w:rsidR="006C680D" w:rsidRPr="00D337FA">
        <w:t xml:space="preserve"> </w:t>
      </w:r>
      <w:r w:rsidRPr="00D337FA">
        <w:t>на</w:t>
      </w:r>
      <w:r w:rsidR="006C680D" w:rsidRPr="00D337FA">
        <w:t xml:space="preserve"> </w:t>
      </w:r>
      <w:r w:rsidRPr="00D337FA">
        <w:t>ее</w:t>
      </w:r>
      <w:r w:rsidR="006C680D" w:rsidRPr="00D337FA">
        <w:t xml:space="preserve"> </w:t>
      </w:r>
      <w:r w:rsidRPr="00D337FA">
        <w:t>осуществление,</w:t>
      </w:r>
      <w:r w:rsidR="006C680D" w:rsidRPr="00D337FA">
        <w:t xml:space="preserve"> </w:t>
      </w:r>
      <w:r w:rsidRPr="00D337FA">
        <w:t>которая</w:t>
      </w:r>
      <w:r w:rsidR="006C680D" w:rsidRPr="00D337FA">
        <w:t xml:space="preserve"> </w:t>
      </w:r>
      <w:r w:rsidRPr="00D337FA">
        <w:t>сопоставляется</w:t>
      </w:r>
      <w:r w:rsidR="006C680D" w:rsidRPr="00D337FA">
        <w:t xml:space="preserve"> </w:t>
      </w:r>
      <w:r w:rsidRPr="00D337FA">
        <w:t>либо</w:t>
      </w:r>
      <w:r w:rsidR="006C680D" w:rsidRPr="00D337FA">
        <w:t xml:space="preserve"> </w:t>
      </w:r>
      <w:r w:rsidRPr="00D337FA">
        <w:t>с</w:t>
      </w:r>
      <w:r w:rsidR="006C680D" w:rsidRPr="00D337FA">
        <w:t xml:space="preserve"> </w:t>
      </w:r>
      <w:r w:rsidRPr="00D337FA">
        <w:t>размером</w:t>
      </w:r>
      <w:r w:rsidR="006C680D" w:rsidRPr="00D337FA">
        <w:t xml:space="preserve"> </w:t>
      </w:r>
      <w:r w:rsidRPr="00D337FA">
        <w:t>страховой</w:t>
      </w:r>
      <w:r w:rsidR="006C680D" w:rsidRPr="00D337FA">
        <w:t xml:space="preserve"> </w:t>
      </w:r>
      <w:r w:rsidRPr="00D337FA">
        <w:t>ответственности</w:t>
      </w:r>
      <w:r w:rsidR="006C680D" w:rsidRPr="00D337FA">
        <w:t xml:space="preserve"> </w:t>
      </w:r>
      <w:r w:rsidRPr="00D337FA">
        <w:t>Агентства</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(для</w:t>
      </w:r>
      <w:r w:rsidR="006C680D" w:rsidRPr="00D337FA">
        <w:t xml:space="preserve"> </w:t>
      </w:r>
      <w:r w:rsidRPr="00D337FA">
        <w:t>несистемно</w:t>
      </w:r>
      <w:r w:rsidR="006C680D" w:rsidRPr="00D337FA">
        <w:t xml:space="preserve"> </w:t>
      </w:r>
      <w:r w:rsidRPr="00D337FA">
        <w:t>значимых</w:t>
      </w:r>
      <w:r w:rsidR="006C680D" w:rsidRPr="00D337FA">
        <w:t xml:space="preserve"> </w:t>
      </w:r>
      <w:r w:rsidRPr="00D337FA">
        <w:t>банков),</w:t>
      </w:r>
      <w:r w:rsidR="006C680D" w:rsidRPr="00D337FA">
        <w:t xml:space="preserve"> </w:t>
      </w:r>
      <w:r w:rsidRPr="00D337FA">
        <w:t>либо</w:t>
      </w:r>
      <w:r w:rsidR="006C680D" w:rsidRPr="00D337FA">
        <w:t xml:space="preserve"> </w:t>
      </w:r>
      <w:r w:rsidRPr="00D337FA">
        <w:t>с</w:t>
      </w:r>
      <w:r w:rsidR="006C680D" w:rsidRPr="00D337FA">
        <w:t xml:space="preserve"> </w:t>
      </w:r>
      <w:r w:rsidRPr="00D337FA">
        <w:t>величиной</w:t>
      </w:r>
      <w:r w:rsidR="006C680D" w:rsidRPr="00D337FA">
        <w:t xml:space="preserve"> </w:t>
      </w:r>
      <w:r w:rsidRPr="00D337FA">
        <w:t>ущерба</w:t>
      </w:r>
      <w:r w:rsidR="006C680D" w:rsidRPr="00D337FA">
        <w:t xml:space="preserve"> </w:t>
      </w:r>
      <w:r w:rsidRPr="00D337FA">
        <w:t>экономике</w:t>
      </w:r>
      <w:r w:rsidR="006C680D" w:rsidRPr="00D337FA">
        <w:t xml:space="preserve"> </w:t>
      </w:r>
      <w:r w:rsidRPr="00D337FA">
        <w:t>в</w:t>
      </w:r>
      <w:r w:rsidR="006C680D" w:rsidRPr="00D337FA">
        <w:t xml:space="preserve"> </w:t>
      </w:r>
      <w:r w:rsidRPr="00D337FA">
        <w:t>случае</w:t>
      </w:r>
      <w:r w:rsidR="006C680D" w:rsidRPr="00D337FA">
        <w:t xml:space="preserve"> </w:t>
      </w:r>
      <w:r w:rsidRPr="00D337FA">
        <w:t>банкротства</w:t>
      </w:r>
      <w:r w:rsidR="006C680D" w:rsidRPr="00D337FA">
        <w:t xml:space="preserve"> </w:t>
      </w:r>
      <w:r w:rsidRPr="00D337FA">
        <w:t>системно</w:t>
      </w:r>
      <w:r w:rsidR="006C680D" w:rsidRPr="00D337FA">
        <w:t xml:space="preserve"> </w:t>
      </w:r>
      <w:r w:rsidRPr="00D337FA">
        <w:t>значимого</w:t>
      </w:r>
      <w:r w:rsidR="006C680D" w:rsidRPr="00D337FA">
        <w:t xml:space="preserve"> </w:t>
      </w:r>
      <w:r w:rsidRPr="00D337FA">
        <w:t>банка</w:t>
      </w:r>
      <w:r w:rsidR="006C680D" w:rsidRPr="00D337FA">
        <w:t xml:space="preserve"> </w:t>
      </w:r>
      <w:r w:rsidRPr="00D337FA">
        <w:t>[8].</w:t>
      </w:r>
      <w:r w:rsidR="006C680D" w:rsidRPr="00D337FA">
        <w:t xml:space="preserve"> </w:t>
      </w:r>
      <w:r w:rsidRPr="00D337FA">
        <w:t>Исходя</w:t>
      </w:r>
      <w:r w:rsidR="006C680D" w:rsidRPr="00D337FA">
        <w:t xml:space="preserve"> </w:t>
      </w:r>
      <w:r w:rsidRPr="00D337FA">
        <w:t>из</w:t>
      </w:r>
      <w:r w:rsidR="006C680D" w:rsidRPr="00D337FA">
        <w:t xml:space="preserve"> </w:t>
      </w:r>
      <w:r w:rsidRPr="00D337FA">
        <w:t>этого,</w:t>
      </w:r>
      <w:r w:rsidR="006C680D" w:rsidRPr="00D337FA">
        <w:t xml:space="preserve"> </w:t>
      </w:r>
      <w:r w:rsidRPr="00D337FA">
        <w:t>санация</w:t>
      </w:r>
      <w:r w:rsidR="006C680D" w:rsidRPr="00D337FA">
        <w:t xml:space="preserve"> </w:t>
      </w:r>
      <w:r w:rsidRPr="00D337FA">
        <w:t>признается</w:t>
      </w:r>
      <w:r w:rsidR="006C680D" w:rsidRPr="00D337FA">
        <w:t xml:space="preserve"> </w:t>
      </w:r>
      <w:r w:rsidRPr="00D337FA">
        <w:t>целесообразной</w:t>
      </w:r>
      <w:r w:rsidR="006C680D" w:rsidRPr="00D337FA">
        <w:t xml:space="preserve"> </w:t>
      </w:r>
      <w:r w:rsidRPr="00D337FA">
        <w:t>в</w:t>
      </w:r>
      <w:r w:rsidR="006C680D" w:rsidRPr="00D337FA">
        <w:t xml:space="preserve"> </w:t>
      </w:r>
      <w:r w:rsidRPr="00D337FA">
        <w:t>двух</w:t>
      </w:r>
      <w:r w:rsidR="006C680D" w:rsidRPr="00D337FA">
        <w:t xml:space="preserve"> </w:t>
      </w:r>
      <w:r w:rsidRPr="00D337FA">
        <w:t>случаях:</w:t>
      </w:r>
    </w:p>
    <w:p w:rsidR="00FB2463" w:rsidRPr="00D337FA" w:rsidRDefault="00FB2463" w:rsidP="00FB2463">
      <w:pPr>
        <w:ind w:firstLine="284"/>
      </w:pPr>
      <w:r w:rsidRPr="00D337FA">
        <w:t>-</w:t>
      </w:r>
      <w:r w:rsidR="006C680D" w:rsidRPr="00D337FA">
        <w:t xml:space="preserve"> </w:t>
      </w:r>
      <w:r w:rsidRPr="00D337FA">
        <w:t>если</w:t>
      </w:r>
      <w:r w:rsidR="006C680D" w:rsidRPr="00D337FA">
        <w:t xml:space="preserve"> </w:t>
      </w:r>
      <w:r w:rsidRPr="00D337FA">
        <w:t>банк</w:t>
      </w:r>
      <w:r w:rsidR="006C680D" w:rsidRPr="00D337FA">
        <w:t xml:space="preserve"> </w:t>
      </w:r>
      <w:r w:rsidRPr="00D337FA">
        <w:t>не</w:t>
      </w:r>
      <w:r w:rsidR="006C680D" w:rsidRPr="00D337FA">
        <w:t xml:space="preserve"> </w:t>
      </w:r>
      <w:r w:rsidRPr="00D337FA">
        <w:t>системно</w:t>
      </w:r>
      <w:r w:rsidR="006C680D" w:rsidRPr="00D337FA">
        <w:t xml:space="preserve"> </w:t>
      </w:r>
      <w:r w:rsidRPr="00D337FA">
        <w:t>значимый</w:t>
      </w:r>
      <w:r w:rsidR="006C680D" w:rsidRPr="00D337FA">
        <w:t xml:space="preserve"> </w:t>
      </w:r>
      <w:r w:rsidR="00E5106D" w:rsidRPr="00D337FA">
        <w:t>–</w:t>
      </w:r>
      <w:r w:rsidR="006C680D" w:rsidRPr="00D337FA">
        <w:t xml:space="preserve"> </w:t>
      </w:r>
      <w:r w:rsidRPr="00D337FA">
        <w:t>имущества</w:t>
      </w:r>
      <w:r w:rsidR="006C680D" w:rsidRPr="00D337FA">
        <w:t xml:space="preserve"> </w:t>
      </w:r>
      <w:r w:rsidRPr="00D337FA">
        <w:t>банка</w:t>
      </w:r>
      <w:r w:rsidR="006C680D" w:rsidRPr="00D337FA">
        <w:t xml:space="preserve"> </w:t>
      </w:r>
      <w:r w:rsidRPr="00D337FA">
        <w:t>недостаточно</w:t>
      </w:r>
      <w:r w:rsidR="006C680D" w:rsidRPr="00D337FA">
        <w:t xml:space="preserve"> </w:t>
      </w:r>
      <w:r w:rsidRPr="00D337FA">
        <w:t>для</w:t>
      </w:r>
      <w:r w:rsidR="006C680D" w:rsidRPr="00D337FA">
        <w:t xml:space="preserve"> </w:t>
      </w:r>
      <w:r w:rsidRPr="00D337FA">
        <w:t>исполнения</w:t>
      </w:r>
      <w:r w:rsidR="006C680D" w:rsidRPr="00D337FA">
        <w:t xml:space="preserve"> </w:t>
      </w:r>
      <w:r w:rsidRPr="00D337FA">
        <w:t>всех</w:t>
      </w:r>
      <w:r w:rsidR="006C680D" w:rsidRPr="00D337FA">
        <w:t xml:space="preserve"> </w:t>
      </w:r>
      <w:r w:rsidRPr="00D337FA">
        <w:t>имеющихся</w:t>
      </w:r>
      <w:r w:rsidR="006C680D" w:rsidRPr="00D337FA">
        <w:t xml:space="preserve"> </w:t>
      </w:r>
      <w:r w:rsidRPr="00D337FA">
        <w:t>у</w:t>
      </w:r>
      <w:r w:rsidR="006C680D" w:rsidRPr="00D337FA">
        <w:t xml:space="preserve"> </w:t>
      </w:r>
      <w:r w:rsidRPr="00D337FA">
        <w:t>него</w:t>
      </w:r>
      <w:r w:rsidR="006C680D" w:rsidRPr="00D337FA">
        <w:t xml:space="preserve"> </w:t>
      </w:r>
      <w:r w:rsidRPr="00D337FA">
        <w:t>обязательств,</w:t>
      </w:r>
      <w:r w:rsidR="006C680D" w:rsidRPr="00D337FA">
        <w:t xml:space="preserve"> </w:t>
      </w:r>
      <w:r w:rsidRPr="00D337FA">
        <w:t>образовалась</w:t>
      </w:r>
      <w:r w:rsidR="006C680D" w:rsidRPr="00D337FA">
        <w:t xml:space="preserve"> </w:t>
      </w:r>
      <w:r w:rsidRPr="00D337FA">
        <w:t>«дыра</w:t>
      </w:r>
      <w:r w:rsidR="006C680D" w:rsidRPr="00D337FA">
        <w:t xml:space="preserve"> </w:t>
      </w:r>
      <w:r w:rsidRPr="00D337FA">
        <w:t>в</w:t>
      </w:r>
      <w:r w:rsidR="006C680D" w:rsidRPr="00D337FA">
        <w:t xml:space="preserve"> </w:t>
      </w:r>
      <w:r w:rsidRPr="00D337FA">
        <w:t>балансе»,</w:t>
      </w:r>
      <w:r w:rsidR="006C680D" w:rsidRPr="00D337FA">
        <w:t xml:space="preserve"> </w:t>
      </w:r>
      <w:r w:rsidRPr="00D337FA">
        <w:t>которую</w:t>
      </w:r>
      <w:r w:rsidR="006C680D" w:rsidRPr="00D337FA">
        <w:t xml:space="preserve"> </w:t>
      </w:r>
      <w:r w:rsidRPr="00D337FA">
        <w:t>необходимо</w:t>
      </w:r>
      <w:r w:rsidR="006C680D" w:rsidRPr="00D337FA">
        <w:t xml:space="preserve"> </w:t>
      </w:r>
      <w:r w:rsidRPr="00D337FA">
        <w:t>покрыть</w:t>
      </w:r>
      <w:r w:rsidR="006C680D" w:rsidRPr="00D337FA">
        <w:t xml:space="preserve"> </w:t>
      </w:r>
      <w:r w:rsidRPr="00D337FA">
        <w:t>за</w:t>
      </w:r>
      <w:r w:rsidR="006C680D" w:rsidRPr="00D337FA">
        <w:t xml:space="preserve"> </w:t>
      </w:r>
      <w:r w:rsidRPr="00D337FA">
        <w:t>счет</w:t>
      </w:r>
      <w:r w:rsidR="006C680D" w:rsidRPr="00D337FA">
        <w:t xml:space="preserve"> </w:t>
      </w:r>
      <w:r w:rsidRPr="00D337FA">
        <w:t>средств</w:t>
      </w:r>
      <w:r w:rsidR="006C680D" w:rsidRPr="00D337FA">
        <w:t xml:space="preserve"> </w:t>
      </w:r>
      <w:r w:rsidRPr="00D337FA">
        <w:t>санатора,</w:t>
      </w:r>
      <w:r w:rsidR="006C680D" w:rsidRPr="00D337FA">
        <w:t xml:space="preserve"> </w:t>
      </w:r>
      <w:r w:rsidRPr="00D337FA">
        <w:t>и</w:t>
      </w:r>
      <w:r w:rsidR="006C680D" w:rsidRPr="00D337FA">
        <w:t xml:space="preserve"> </w:t>
      </w:r>
      <w:r w:rsidRPr="00D337FA">
        <w:t>эта</w:t>
      </w:r>
      <w:r w:rsidR="006C680D" w:rsidRPr="00D337FA">
        <w:t xml:space="preserve"> </w:t>
      </w:r>
      <w:r w:rsidRPr="00D337FA">
        <w:t>величина</w:t>
      </w:r>
      <w:r w:rsidR="006C680D" w:rsidRPr="00D337FA">
        <w:t xml:space="preserve"> </w:t>
      </w:r>
      <w:r w:rsidRPr="00D337FA">
        <w:t>меньше,</w:t>
      </w:r>
      <w:r w:rsidR="006C680D" w:rsidRPr="00D337FA">
        <w:t xml:space="preserve"> </w:t>
      </w:r>
      <w:r w:rsidRPr="00D337FA">
        <w:t>чем</w:t>
      </w:r>
      <w:r w:rsidR="006C680D" w:rsidRPr="00D337FA">
        <w:t xml:space="preserve"> </w:t>
      </w:r>
      <w:r w:rsidRPr="00D337FA">
        <w:t>размер</w:t>
      </w:r>
      <w:r w:rsidR="006C680D" w:rsidRPr="00D337FA">
        <w:t xml:space="preserve"> </w:t>
      </w:r>
      <w:r w:rsidRPr="00D337FA">
        <w:t>гарантированных</w:t>
      </w:r>
      <w:r w:rsidR="006C680D" w:rsidRPr="00D337FA">
        <w:t xml:space="preserve"> </w:t>
      </w:r>
      <w:r w:rsidRPr="00D337FA">
        <w:t>государством</w:t>
      </w:r>
      <w:r w:rsidR="006C680D" w:rsidRPr="00D337FA">
        <w:t xml:space="preserve"> </w:t>
      </w:r>
      <w:r w:rsidRPr="00D337FA">
        <w:lastRenderedPageBreak/>
        <w:t>выплат</w:t>
      </w:r>
      <w:r w:rsidR="006C680D" w:rsidRPr="00D337FA">
        <w:t xml:space="preserve"> </w:t>
      </w:r>
      <w:r w:rsidRPr="00D337FA">
        <w:t>по</w:t>
      </w:r>
      <w:r w:rsidR="006C680D" w:rsidRPr="00D337FA">
        <w:t xml:space="preserve"> </w:t>
      </w:r>
      <w:r w:rsidRPr="00D337FA">
        <w:t>вкладам,</w:t>
      </w:r>
      <w:r w:rsidR="006C680D" w:rsidRPr="00D337FA">
        <w:t xml:space="preserve"> </w:t>
      </w:r>
      <w:r w:rsidRPr="00D337FA">
        <w:t>застрахованных</w:t>
      </w:r>
      <w:r w:rsidR="006C680D" w:rsidRPr="00D337FA">
        <w:t xml:space="preserve"> </w:t>
      </w:r>
      <w:r w:rsidRPr="00D337FA">
        <w:t>Агентством</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p>
    <w:p w:rsidR="00FB2463" w:rsidRPr="00D337FA" w:rsidRDefault="00FB2463" w:rsidP="00FB2463">
      <w:pPr>
        <w:ind w:firstLine="284"/>
      </w:pPr>
      <w:r w:rsidRPr="00D337FA">
        <w:t>-</w:t>
      </w:r>
      <w:r w:rsidR="006C680D" w:rsidRPr="00D337FA">
        <w:t xml:space="preserve"> </w:t>
      </w:r>
      <w:r w:rsidRPr="00D337FA">
        <w:t>если</w:t>
      </w:r>
      <w:r w:rsidR="006C680D" w:rsidRPr="00D337FA">
        <w:t xml:space="preserve"> </w:t>
      </w:r>
      <w:r w:rsidRPr="00D337FA">
        <w:t>банк</w:t>
      </w:r>
      <w:r w:rsidR="006C680D" w:rsidRPr="00D337FA">
        <w:t xml:space="preserve"> </w:t>
      </w:r>
      <w:r w:rsidRPr="00D337FA">
        <w:t>системно</w:t>
      </w:r>
      <w:r w:rsidR="006C680D" w:rsidRPr="00D337FA">
        <w:t xml:space="preserve"> </w:t>
      </w:r>
      <w:r w:rsidRPr="00D337FA">
        <w:t>значимый</w:t>
      </w:r>
      <w:r w:rsidR="006C680D" w:rsidRPr="00D337FA">
        <w:t xml:space="preserve"> </w:t>
      </w:r>
      <w:r w:rsidR="00E5106D" w:rsidRPr="00D337FA">
        <w:t>–</w:t>
      </w:r>
      <w:r w:rsidR="006C680D" w:rsidRPr="00D337FA">
        <w:t xml:space="preserve"> </w:t>
      </w:r>
      <w:r w:rsidRPr="00D337FA">
        <w:t>затраты</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банка</w:t>
      </w:r>
      <w:r w:rsidR="006C680D" w:rsidRPr="00D337FA">
        <w:t xml:space="preserve"> </w:t>
      </w:r>
      <w:r w:rsidRPr="00D337FA">
        <w:t>существенно</w:t>
      </w:r>
      <w:r w:rsidR="006C680D" w:rsidRPr="00D337FA">
        <w:t xml:space="preserve"> </w:t>
      </w:r>
      <w:r w:rsidRPr="00D337FA">
        <w:t>меньше,</w:t>
      </w:r>
      <w:r w:rsidR="006C680D" w:rsidRPr="00D337FA">
        <w:t xml:space="preserve"> </w:t>
      </w:r>
      <w:r w:rsidRPr="00D337FA">
        <w:t>чем</w:t>
      </w:r>
      <w:r w:rsidR="006C680D" w:rsidRPr="00D337FA">
        <w:t xml:space="preserve"> </w:t>
      </w:r>
      <w:r w:rsidRPr="00D337FA">
        <w:t>совокупные</w:t>
      </w:r>
      <w:r w:rsidR="006C680D" w:rsidRPr="00D337FA">
        <w:t xml:space="preserve"> </w:t>
      </w:r>
      <w:r w:rsidRPr="00D337FA">
        <w:t>потери</w:t>
      </w:r>
      <w:r w:rsidR="006C680D" w:rsidRPr="00D337FA">
        <w:t xml:space="preserve"> </w:t>
      </w:r>
      <w:r w:rsidRPr="00D337FA">
        <w:t>банковского</w:t>
      </w:r>
      <w:r w:rsidR="006C680D" w:rsidRPr="00D337FA">
        <w:t xml:space="preserve"> </w:t>
      </w:r>
      <w:r w:rsidRPr="00D337FA">
        <w:t>сектора,</w:t>
      </w:r>
      <w:r w:rsidR="006C680D" w:rsidRPr="00D337FA">
        <w:t xml:space="preserve"> </w:t>
      </w:r>
      <w:r w:rsidRPr="00D337FA">
        <w:t>вызванные</w:t>
      </w:r>
      <w:r w:rsidR="006C680D" w:rsidRPr="00D337FA">
        <w:t xml:space="preserve"> </w:t>
      </w:r>
      <w:r w:rsidRPr="00D337FA">
        <w:t>«эффектом</w:t>
      </w:r>
      <w:r w:rsidR="006C680D" w:rsidRPr="00D337FA">
        <w:t xml:space="preserve"> </w:t>
      </w:r>
      <w:r w:rsidRPr="00D337FA">
        <w:t>домино»</w:t>
      </w:r>
      <w:r w:rsidR="006C680D" w:rsidRPr="00D337FA">
        <w:t xml:space="preserve"> </w:t>
      </w:r>
      <w:r w:rsidRPr="00D337FA">
        <w:t>в</w:t>
      </w:r>
      <w:r w:rsidR="006C680D" w:rsidRPr="00D337FA">
        <w:t xml:space="preserve"> </w:t>
      </w:r>
      <w:r w:rsidRPr="00D337FA">
        <w:t>случае</w:t>
      </w:r>
      <w:r w:rsidR="006C680D" w:rsidRPr="00D337FA">
        <w:t xml:space="preserve"> </w:t>
      </w:r>
      <w:r w:rsidRPr="00D337FA">
        <w:t>банкротства</w:t>
      </w:r>
      <w:r w:rsidR="006C680D" w:rsidRPr="00D337FA">
        <w:t xml:space="preserve"> </w:t>
      </w:r>
      <w:r w:rsidRPr="00D337FA">
        <w:t>банка,</w:t>
      </w:r>
      <w:r w:rsidR="006C680D" w:rsidRPr="00D337FA">
        <w:t xml:space="preserve"> </w:t>
      </w:r>
      <w:r w:rsidRPr="00D337FA">
        <w:t>распространяющимся</w:t>
      </w:r>
      <w:r w:rsidR="006C680D" w:rsidRPr="00D337FA">
        <w:t xml:space="preserve"> </w:t>
      </w:r>
      <w:r w:rsidRPr="00D337FA">
        <w:t>на</w:t>
      </w:r>
      <w:r w:rsidR="006C680D" w:rsidRPr="00D337FA">
        <w:t xml:space="preserve"> </w:t>
      </w:r>
      <w:r w:rsidRPr="00D337FA">
        <w:t>экономику</w:t>
      </w:r>
      <w:r w:rsidR="006C680D" w:rsidRPr="00D337FA">
        <w:t xml:space="preserve"> </w:t>
      </w:r>
      <w:r w:rsidRPr="00D337FA">
        <w:t>в</w:t>
      </w:r>
      <w:r w:rsidR="006C680D" w:rsidRPr="00D337FA">
        <w:t xml:space="preserve"> </w:t>
      </w:r>
      <w:r w:rsidRPr="00D337FA">
        <w:t>целом.</w:t>
      </w:r>
    </w:p>
    <w:p w:rsidR="00FB2463" w:rsidRPr="00D337FA" w:rsidRDefault="00FB2463" w:rsidP="00FB2463">
      <w:pPr>
        <w:ind w:firstLine="284"/>
      </w:pPr>
      <w:r w:rsidRPr="00D337FA">
        <w:t>Обращает</w:t>
      </w:r>
      <w:r w:rsidR="006C680D" w:rsidRPr="00D337FA">
        <w:t xml:space="preserve"> </w:t>
      </w:r>
      <w:r w:rsidRPr="00D337FA">
        <w:t>на</w:t>
      </w:r>
      <w:r w:rsidR="006C680D" w:rsidRPr="00D337FA">
        <w:t xml:space="preserve"> </w:t>
      </w:r>
      <w:r w:rsidRPr="00D337FA">
        <w:t>себя</w:t>
      </w:r>
      <w:r w:rsidR="006C680D" w:rsidRPr="00D337FA">
        <w:t xml:space="preserve"> </w:t>
      </w:r>
      <w:r w:rsidRPr="00D337FA">
        <w:t>внимание</w:t>
      </w:r>
      <w:r w:rsidR="006C680D" w:rsidRPr="00D337FA">
        <w:t xml:space="preserve"> </w:t>
      </w:r>
      <w:r w:rsidRPr="00D337FA">
        <w:t>тот</w:t>
      </w:r>
      <w:r w:rsidR="006C680D" w:rsidRPr="00D337FA">
        <w:t xml:space="preserve"> </w:t>
      </w:r>
      <w:r w:rsidRPr="00D337FA">
        <w:t>факт,</w:t>
      </w:r>
      <w:r w:rsidR="006C680D" w:rsidRPr="00D337FA">
        <w:t xml:space="preserve"> </w:t>
      </w:r>
      <w:r w:rsidRPr="00D337FA">
        <w:t>что</w:t>
      </w:r>
      <w:r w:rsidR="006C680D" w:rsidRPr="00D337FA">
        <w:t xml:space="preserve"> </w:t>
      </w:r>
      <w:r w:rsidRPr="00D337FA">
        <w:t>в</w:t>
      </w:r>
      <w:r w:rsidR="006C680D" w:rsidRPr="00D337FA">
        <w:t xml:space="preserve"> </w:t>
      </w:r>
      <w:r w:rsidRPr="00D337FA">
        <w:t>случае</w:t>
      </w:r>
      <w:r w:rsidR="006C680D" w:rsidRPr="00D337FA">
        <w:t xml:space="preserve"> </w:t>
      </w:r>
      <w:r w:rsidRPr="00D337FA">
        <w:t>положительного</w:t>
      </w:r>
      <w:r w:rsidR="006C680D" w:rsidRPr="00D337FA">
        <w:t xml:space="preserve"> </w:t>
      </w:r>
      <w:r w:rsidRPr="00D337FA">
        <w:t>решения</w:t>
      </w:r>
      <w:r w:rsidR="006C680D" w:rsidRPr="00D337FA">
        <w:t xml:space="preserve"> </w:t>
      </w:r>
      <w:r w:rsidRPr="00D337FA">
        <w:t>о</w:t>
      </w:r>
      <w:r w:rsidR="006C680D" w:rsidRPr="00D337FA">
        <w:t xml:space="preserve"> </w:t>
      </w:r>
      <w:r w:rsidRPr="00D337FA">
        <w:t>целесообразности</w:t>
      </w:r>
      <w:r w:rsidR="006C680D" w:rsidRPr="00D337FA">
        <w:t xml:space="preserve"> </w:t>
      </w:r>
      <w:r w:rsidRPr="00D337FA">
        <w:t>санации,</w:t>
      </w:r>
      <w:r w:rsidR="006C680D" w:rsidRPr="00D337FA">
        <w:t xml:space="preserve"> </w:t>
      </w:r>
      <w:r w:rsidRPr="00D337FA">
        <w:t>основанном</w:t>
      </w:r>
      <w:r w:rsidR="006C680D" w:rsidRPr="00D337FA">
        <w:t xml:space="preserve"> </w:t>
      </w:r>
      <w:r w:rsidRPr="00D337FA">
        <w:t>на</w:t>
      </w:r>
      <w:r w:rsidR="006C680D" w:rsidRPr="00D337FA">
        <w:t xml:space="preserve"> </w:t>
      </w:r>
      <w:r w:rsidRPr="00D337FA">
        <w:t>оценке</w:t>
      </w:r>
      <w:r w:rsidR="006C680D" w:rsidRPr="00D337FA">
        <w:t xml:space="preserve"> </w:t>
      </w:r>
      <w:r w:rsidRPr="00D337FA">
        <w:t>затрат</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вопрос</w:t>
      </w:r>
      <w:r w:rsidR="006C680D" w:rsidRPr="00D337FA">
        <w:t xml:space="preserve"> </w:t>
      </w:r>
      <w:r w:rsidRPr="00D337FA">
        <w:t>об</w:t>
      </w:r>
      <w:r w:rsidR="006C680D" w:rsidRPr="00D337FA">
        <w:t xml:space="preserve"> </w:t>
      </w:r>
      <w:r w:rsidRPr="00D337FA">
        <w:t>ее</w:t>
      </w:r>
      <w:r w:rsidR="006C680D" w:rsidRPr="00D337FA">
        <w:t xml:space="preserve"> </w:t>
      </w:r>
      <w:r w:rsidRPr="00D337FA">
        <w:t>эффективности</w:t>
      </w:r>
      <w:r w:rsidR="006C680D" w:rsidRPr="00D337FA">
        <w:t xml:space="preserve"> </w:t>
      </w:r>
      <w:r w:rsidRPr="00D337FA">
        <w:t>еще</w:t>
      </w:r>
      <w:r w:rsidR="006C680D" w:rsidRPr="00D337FA">
        <w:t xml:space="preserve"> </w:t>
      </w:r>
      <w:r w:rsidRPr="00D337FA">
        <w:t>не</w:t>
      </w:r>
      <w:r w:rsidR="006C680D" w:rsidRPr="00D337FA">
        <w:t xml:space="preserve"> </w:t>
      </w:r>
      <w:r w:rsidRPr="00D337FA">
        <w:t>стоит.</w:t>
      </w:r>
      <w:r w:rsidR="006C680D" w:rsidRPr="00D337FA">
        <w:t xml:space="preserve"> </w:t>
      </w:r>
      <w:r w:rsidRPr="00D337FA">
        <w:t>Точнее</w:t>
      </w:r>
      <w:r w:rsidR="006C680D" w:rsidRPr="00D337FA">
        <w:t xml:space="preserve"> </w:t>
      </w:r>
      <w:r w:rsidRPr="00D337FA">
        <w:t>предполагается,</w:t>
      </w:r>
      <w:r w:rsidR="006C680D" w:rsidRPr="00D337FA">
        <w:t xml:space="preserve"> </w:t>
      </w:r>
      <w:r w:rsidRPr="00D337FA">
        <w:t>что</w:t>
      </w:r>
      <w:r w:rsidR="006C680D" w:rsidRPr="00D337FA">
        <w:t xml:space="preserve"> </w:t>
      </w:r>
      <w:r w:rsidRPr="00D337FA">
        <w:t>поскольку</w:t>
      </w:r>
      <w:r w:rsidR="006C680D" w:rsidRPr="00D337FA">
        <w:t xml:space="preserve"> </w:t>
      </w:r>
      <w:r w:rsidRPr="00D337FA">
        <w:t>санация</w:t>
      </w:r>
      <w:r w:rsidR="006C680D" w:rsidRPr="00D337FA">
        <w:t xml:space="preserve"> </w:t>
      </w:r>
      <w:r w:rsidRPr="00D337FA">
        <w:t>признана</w:t>
      </w:r>
      <w:r w:rsidR="006C680D" w:rsidRPr="00D337FA">
        <w:t xml:space="preserve"> </w:t>
      </w:r>
      <w:r w:rsidRPr="00D337FA">
        <w:t>целесообразной,</w:t>
      </w:r>
      <w:r w:rsidR="006C680D" w:rsidRPr="00D337FA">
        <w:t xml:space="preserve"> </w:t>
      </w:r>
      <w:r w:rsidRPr="00D337FA">
        <w:t>то</w:t>
      </w:r>
      <w:r w:rsidR="006C680D" w:rsidRPr="00D337FA">
        <w:t xml:space="preserve"> </w:t>
      </w:r>
      <w:r w:rsidRPr="00D337FA">
        <w:t>в</w:t>
      </w:r>
      <w:r w:rsidR="006C680D" w:rsidRPr="00D337FA">
        <w:t xml:space="preserve"> </w:t>
      </w:r>
      <w:r w:rsidRPr="00D337FA">
        <w:t>текущем</w:t>
      </w:r>
      <w:r w:rsidR="006C680D" w:rsidRPr="00D337FA">
        <w:t xml:space="preserve"> </w:t>
      </w:r>
      <w:r w:rsidRPr="00D337FA">
        <w:t>моменте</w:t>
      </w:r>
      <w:r w:rsidR="006C680D" w:rsidRPr="00D337FA">
        <w:t xml:space="preserve"> </w:t>
      </w:r>
      <w:r w:rsidRPr="00D337FA">
        <w:t>она</w:t>
      </w:r>
      <w:r w:rsidR="006C680D" w:rsidRPr="00D337FA">
        <w:t xml:space="preserve"> </w:t>
      </w:r>
      <w:r w:rsidRPr="00D337FA">
        <w:t>эффективна,</w:t>
      </w:r>
      <w:r w:rsidR="006C680D" w:rsidRPr="00D337FA">
        <w:t xml:space="preserve"> </w:t>
      </w:r>
      <w:r w:rsidRPr="00D337FA">
        <w:t>поскольку</w:t>
      </w:r>
      <w:r w:rsidR="006C680D" w:rsidRPr="00D337FA">
        <w:t xml:space="preserve"> </w:t>
      </w:r>
      <w:r w:rsidRPr="00D337FA">
        <w:t>характеризуется</w:t>
      </w:r>
      <w:r w:rsidR="006C680D" w:rsidRPr="00D337FA">
        <w:t xml:space="preserve"> </w:t>
      </w:r>
      <w:r w:rsidRPr="00D337FA">
        <w:t>минимальными</w:t>
      </w:r>
      <w:r w:rsidR="006C680D" w:rsidRPr="00D337FA">
        <w:t xml:space="preserve"> </w:t>
      </w:r>
      <w:r w:rsidRPr="00D337FA">
        <w:t>затратами</w:t>
      </w:r>
      <w:r w:rsidR="006C680D" w:rsidRPr="00D337FA">
        <w:t xml:space="preserve"> </w:t>
      </w:r>
      <w:r w:rsidRPr="00D337FA">
        <w:t>на</w:t>
      </w:r>
      <w:r w:rsidR="006C680D" w:rsidRPr="00D337FA">
        <w:t xml:space="preserve"> </w:t>
      </w:r>
      <w:r w:rsidRPr="00D337FA">
        <w:t>достижение</w:t>
      </w:r>
      <w:r w:rsidR="006C680D" w:rsidRPr="00D337FA">
        <w:t xml:space="preserve"> </w:t>
      </w:r>
      <w:r w:rsidRPr="00D337FA">
        <w:t>желаемого</w:t>
      </w:r>
      <w:r w:rsidR="006C680D" w:rsidRPr="00D337FA">
        <w:t xml:space="preserve"> </w:t>
      </w:r>
      <w:r w:rsidRPr="00D337FA">
        <w:t>результата</w:t>
      </w:r>
      <w:r w:rsidR="006C680D" w:rsidRPr="00D337FA">
        <w:t xml:space="preserve"> </w:t>
      </w:r>
      <w:r w:rsidRPr="00D337FA">
        <w:t>в</w:t>
      </w:r>
      <w:r w:rsidR="006C680D" w:rsidRPr="00D337FA">
        <w:t xml:space="preserve"> </w:t>
      </w:r>
      <w:r w:rsidRPr="00D337FA">
        <w:t>будущем.</w:t>
      </w:r>
      <w:r w:rsidR="006C680D" w:rsidRPr="00D337FA">
        <w:t xml:space="preserve"> </w:t>
      </w:r>
    </w:p>
    <w:p w:rsidR="00FB2463" w:rsidRPr="00D337FA" w:rsidRDefault="00FB2463" w:rsidP="00FB2463">
      <w:pPr>
        <w:ind w:firstLine="284"/>
      </w:pPr>
      <w:r w:rsidRPr="00D337FA">
        <w:t>Показатели</w:t>
      </w:r>
      <w:r w:rsidR="006C680D" w:rsidRPr="00D337FA">
        <w:t xml:space="preserve"> </w:t>
      </w:r>
      <w:r w:rsidRPr="00D337FA">
        <w:t>эффективности</w:t>
      </w:r>
      <w:r w:rsidR="006C680D" w:rsidRPr="00D337FA">
        <w:t xml:space="preserve"> </w:t>
      </w:r>
      <w:r w:rsidRPr="00D337FA">
        <w:t>выходят</w:t>
      </w:r>
      <w:r w:rsidR="006C680D" w:rsidRPr="00D337FA">
        <w:t xml:space="preserve"> </w:t>
      </w:r>
      <w:r w:rsidRPr="00D337FA">
        <w:t>на</w:t>
      </w:r>
      <w:r w:rsidR="006C680D" w:rsidRPr="00D337FA">
        <w:t xml:space="preserve"> </w:t>
      </w:r>
      <w:r w:rsidRPr="00D337FA">
        <w:t>первый</w:t>
      </w:r>
      <w:r w:rsidR="006C680D" w:rsidRPr="00D337FA">
        <w:t xml:space="preserve"> </w:t>
      </w:r>
      <w:r w:rsidRPr="00D337FA">
        <w:t>план</w:t>
      </w:r>
      <w:r w:rsidR="006C680D" w:rsidRPr="00D337FA">
        <w:t xml:space="preserve"> </w:t>
      </w:r>
      <w:r w:rsidRPr="00D337FA">
        <w:t>в</w:t>
      </w:r>
      <w:r w:rsidR="006C680D" w:rsidRPr="00D337FA">
        <w:t xml:space="preserve"> </w:t>
      </w:r>
      <w:r w:rsidRPr="00D337FA">
        <w:t>дальнейшем,</w:t>
      </w:r>
      <w:r w:rsidR="006C680D" w:rsidRPr="00D337FA">
        <w:t xml:space="preserve"> </w:t>
      </w:r>
      <w:r w:rsidRPr="00D337FA">
        <w:t>в</w:t>
      </w:r>
      <w:r w:rsidR="006C680D" w:rsidRPr="00D337FA">
        <w:t xml:space="preserve"> </w:t>
      </w:r>
      <w:r w:rsidRPr="00D337FA">
        <w:t>процессе</w:t>
      </w:r>
      <w:r w:rsidR="006C680D" w:rsidRPr="00D337FA">
        <w:t xml:space="preserve"> </w:t>
      </w:r>
      <w:r w:rsidRPr="00D337FA">
        <w:t>санации.</w:t>
      </w:r>
    </w:p>
    <w:p w:rsidR="00FB2463" w:rsidRPr="00D337FA" w:rsidRDefault="00FB2463" w:rsidP="00FB2463">
      <w:pPr>
        <w:ind w:firstLine="284"/>
      </w:pPr>
      <w:r w:rsidRPr="00D337FA">
        <w:t>В</w:t>
      </w:r>
      <w:r w:rsidR="006C680D" w:rsidRPr="00D337FA">
        <w:t xml:space="preserve"> </w:t>
      </w:r>
      <w:r w:rsidRPr="00D337FA">
        <w:t>теоретическом</w:t>
      </w:r>
      <w:r w:rsidR="006C680D" w:rsidRPr="00D337FA">
        <w:t xml:space="preserve"> </w:t>
      </w:r>
      <w:r w:rsidRPr="00D337FA">
        <w:t>плане</w:t>
      </w:r>
      <w:r w:rsidR="006C680D" w:rsidRPr="00D337FA">
        <w:t xml:space="preserve"> </w:t>
      </w:r>
      <w:r w:rsidRPr="00D337FA">
        <w:t>вопросы</w:t>
      </w:r>
      <w:r w:rsidR="006C680D" w:rsidRPr="00D337FA">
        <w:t xml:space="preserve"> </w:t>
      </w:r>
      <w:r w:rsidRPr="00D337FA">
        <w:t>оценки</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в</w:t>
      </w:r>
      <w:r w:rsidR="006C680D" w:rsidRPr="00D337FA">
        <w:t xml:space="preserve"> </w:t>
      </w:r>
      <w:r w:rsidRPr="00D337FA">
        <w:t>банковском</w:t>
      </w:r>
      <w:r w:rsidR="006C680D" w:rsidRPr="00D337FA">
        <w:t xml:space="preserve"> </w:t>
      </w:r>
      <w:r w:rsidRPr="00D337FA">
        <w:t>секторе</w:t>
      </w:r>
      <w:r w:rsidR="006C680D" w:rsidRPr="00D337FA">
        <w:t xml:space="preserve"> </w:t>
      </w:r>
      <w:r w:rsidRPr="00D337FA">
        <w:t>редко</w:t>
      </w:r>
      <w:r w:rsidR="006C680D" w:rsidRPr="00D337FA">
        <w:t xml:space="preserve"> </w:t>
      </w:r>
      <w:r w:rsidRPr="00D337FA">
        <w:t>выступают</w:t>
      </w:r>
      <w:r w:rsidR="006C680D" w:rsidRPr="00D337FA">
        <w:t xml:space="preserve"> </w:t>
      </w:r>
      <w:r w:rsidRPr="00D337FA">
        <w:t>предметом</w:t>
      </w:r>
      <w:r w:rsidR="006C680D" w:rsidRPr="00D337FA">
        <w:t xml:space="preserve"> </w:t>
      </w:r>
      <w:r w:rsidRPr="00D337FA">
        <w:t>самостоятельных</w:t>
      </w:r>
      <w:r w:rsidR="006C680D" w:rsidRPr="00D337FA">
        <w:t xml:space="preserve"> </w:t>
      </w:r>
      <w:r w:rsidRPr="00D337FA">
        <w:t>научных</w:t>
      </w:r>
      <w:r w:rsidR="006C680D" w:rsidRPr="00D337FA">
        <w:t xml:space="preserve"> </w:t>
      </w:r>
      <w:r w:rsidRPr="00D337FA">
        <w:t>исследований</w:t>
      </w:r>
      <w:r w:rsidR="006C680D" w:rsidRPr="00D337FA">
        <w:t xml:space="preserve"> </w:t>
      </w:r>
      <w:r w:rsidRPr="00D337FA">
        <w:t>и</w:t>
      </w:r>
      <w:r w:rsidR="006C680D" w:rsidRPr="00D337FA">
        <w:t xml:space="preserve"> </w:t>
      </w:r>
      <w:r w:rsidRPr="00D337FA">
        <w:t>содержат</w:t>
      </w:r>
      <w:r w:rsidR="006C680D" w:rsidRPr="00D337FA">
        <w:t xml:space="preserve"> </w:t>
      </w:r>
      <w:r w:rsidRPr="00D337FA">
        <w:t>разноаспектные</w:t>
      </w:r>
      <w:r w:rsidR="006C680D" w:rsidRPr="00D337FA">
        <w:t xml:space="preserve"> </w:t>
      </w:r>
      <w:r w:rsidRPr="00D337FA">
        <w:t>точки</w:t>
      </w:r>
      <w:r w:rsidR="006C680D" w:rsidRPr="00D337FA">
        <w:t xml:space="preserve"> </w:t>
      </w:r>
      <w:r w:rsidRPr="00D337FA">
        <w:t>зрения</w:t>
      </w:r>
      <w:r w:rsidR="006C680D" w:rsidRPr="00D337FA">
        <w:t xml:space="preserve"> </w:t>
      </w:r>
      <w:r w:rsidRPr="00D337FA">
        <w:t>как</w:t>
      </w:r>
      <w:r w:rsidR="006C680D" w:rsidRPr="00D337FA">
        <w:t xml:space="preserve"> </w:t>
      </w:r>
      <w:r w:rsidRPr="00D337FA">
        <w:t>о</w:t>
      </w:r>
      <w:r w:rsidR="006C680D" w:rsidRPr="00D337FA">
        <w:t xml:space="preserve"> </w:t>
      </w:r>
      <w:r w:rsidRPr="00D337FA">
        <w:t>времени</w:t>
      </w:r>
      <w:r w:rsidR="006C680D" w:rsidRPr="00D337FA">
        <w:t xml:space="preserve"> </w:t>
      </w:r>
      <w:r w:rsidRPr="00D337FA">
        <w:t>проведения</w:t>
      </w:r>
      <w:r w:rsidR="006C680D" w:rsidRPr="00D337FA">
        <w:t xml:space="preserve"> </w:t>
      </w:r>
      <w:r w:rsidRPr="00D337FA">
        <w:t>оценки,</w:t>
      </w:r>
      <w:r w:rsidR="006C680D" w:rsidRPr="00D337FA">
        <w:t xml:space="preserve"> </w:t>
      </w:r>
      <w:r w:rsidRPr="00D337FA">
        <w:t>так</w:t>
      </w:r>
      <w:r w:rsidR="006C680D" w:rsidRPr="00D337FA">
        <w:t xml:space="preserve"> </w:t>
      </w:r>
      <w:r w:rsidRPr="00D337FA">
        <w:t>и</w:t>
      </w:r>
      <w:r w:rsidR="006C680D" w:rsidRPr="00D337FA">
        <w:t xml:space="preserve"> </w:t>
      </w:r>
      <w:r w:rsidRPr="00D337FA">
        <w:t>показателях</w:t>
      </w:r>
      <w:r w:rsidR="006C680D" w:rsidRPr="00D337FA">
        <w:t xml:space="preserve"> </w:t>
      </w:r>
      <w:r w:rsidRPr="00D337FA">
        <w:t>на</w:t>
      </w:r>
      <w:r w:rsidR="006C680D" w:rsidRPr="00D337FA">
        <w:t xml:space="preserve"> </w:t>
      </w:r>
      <w:r w:rsidRPr="00D337FA">
        <w:t>основе</w:t>
      </w:r>
      <w:r w:rsidR="006C680D" w:rsidRPr="00D337FA">
        <w:t xml:space="preserve"> </w:t>
      </w:r>
      <w:r w:rsidRPr="00D337FA">
        <w:t>которых</w:t>
      </w:r>
      <w:r w:rsidR="006C680D" w:rsidRPr="00D337FA">
        <w:t xml:space="preserve"> </w:t>
      </w:r>
      <w:r w:rsidRPr="00D337FA">
        <w:t>она</w:t>
      </w:r>
      <w:r w:rsidR="006C680D" w:rsidRPr="00D337FA">
        <w:t xml:space="preserve"> </w:t>
      </w:r>
      <w:r w:rsidRPr="00D337FA">
        <w:t>дается.</w:t>
      </w:r>
    </w:p>
    <w:p w:rsidR="00FB2463" w:rsidRPr="00D337FA" w:rsidRDefault="00FB2463" w:rsidP="00FB2463">
      <w:pPr>
        <w:ind w:firstLine="284"/>
      </w:pPr>
      <w:r w:rsidRPr="00D337FA">
        <w:t>Так,</w:t>
      </w:r>
      <w:r w:rsidR="006C680D" w:rsidRPr="00D337FA">
        <w:t xml:space="preserve"> </w:t>
      </w:r>
      <w:r w:rsidRPr="00D337FA">
        <w:t>одни</w:t>
      </w:r>
      <w:r w:rsidR="006C680D" w:rsidRPr="00D337FA">
        <w:t xml:space="preserve"> </w:t>
      </w:r>
      <w:r w:rsidRPr="00D337FA">
        <w:t>исследователи</w:t>
      </w:r>
      <w:r w:rsidR="006C680D" w:rsidRPr="00D337FA">
        <w:t xml:space="preserve"> </w:t>
      </w:r>
      <w:r w:rsidRPr="00D337FA">
        <w:t>предлагают</w:t>
      </w:r>
      <w:r w:rsidR="006C680D" w:rsidRPr="00D337FA">
        <w:t xml:space="preserve"> </w:t>
      </w:r>
      <w:r w:rsidRPr="00D337FA">
        <w:t>оценивать</w:t>
      </w:r>
      <w:r w:rsidR="006C680D" w:rsidRPr="00D337FA">
        <w:t xml:space="preserve"> </w:t>
      </w:r>
      <w:r w:rsidRPr="00D337FA">
        <w:t>эффективность</w:t>
      </w:r>
      <w:r w:rsidR="006C680D" w:rsidRPr="00D337FA">
        <w:t xml:space="preserve"> </w:t>
      </w:r>
      <w:r w:rsidRPr="00D337FA">
        <w:t>использования</w:t>
      </w:r>
      <w:r w:rsidR="006C680D" w:rsidRPr="00D337FA">
        <w:t xml:space="preserve"> </w:t>
      </w:r>
      <w:r w:rsidRPr="00D337FA">
        <w:t>средств,</w:t>
      </w:r>
      <w:r w:rsidR="006C680D" w:rsidRPr="00D337FA">
        <w:t xml:space="preserve"> </w:t>
      </w:r>
      <w:r w:rsidRPr="00D337FA">
        <w:t>выделенных</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в</w:t>
      </w:r>
      <w:r w:rsidR="006C680D" w:rsidRPr="00D337FA">
        <w:t xml:space="preserve"> </w:t>
      </w:r>
      <w:r w:rsidRPr="00D337FA">
        <w:t>процессе</w:t>
      </w:r>
      <w:r w:rsidR="006C680D" w:rsidRPr="00D337FA">
        <w:t xml:space="preserve"> </w:t>
      </w:r>
      <w:r w:rsidRPr="00D337FA">
        <w:t>оценки</w:t>
      </w:r>
      <w:r w:rsidR="006C680D" w:rsidRPr="00D337FA">
        <w:t xml:space="preserve"> </w:t>
      </w:r>
      <w:r w:rsidRPr="00D337FA">
        <w:t>общей</w:t>
      </w:r>
      <w:r w:rsidR="006C680D" w:rsidRPr="00D337FA">
        <w:t xml:space="preserve"> </w:t>
      </w:r>
      <w:r w:rsidRPr="00D337FA">
        <w:t>эффективности</w:t>
      </w:r>
      <w:r w:rsidR="006C680D" w:rsidRPr="00D337FA">
        <w:t xml:space="preserve"> </w:t>
      </w:r>
      <w:r w:rsidRPr="00D337FA">
        <w:t>функционирования</w:t>
      </w:r>
      <w:r w:rsidR="006C680D" w:rsidRPr="00D337FA">
        <w:t xml:space="preserve"> </w:t>
      </w:r>
      <w:r w:rsidRPr="00D337FA">
        <w:t>Фонда</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r w:rsidR="006C680D" w:rsidRPr="00D337FA">
        <w:t xml:space="preserve"> </w:t>
      </w:r>
      <w:r w:rsidRPr="00D337FA">
        <w:t>по</w:t>
      </w:r>
      <w:r w:rsidR="006C680D" w:rsidRPr="00D337FA">
        <w:t xml:space="preserve"> </w:t>
      </w:r>
      <w:r w:rsidRPr="00D337FA">
        <w:t>достижению</w:t>
      </w:r>
      <w:r w:rsidR="006C680D" w:rsidRPr="00D337FA">
        <w:t xml:space="preserve"> </w:t>
      </w:r>
      <w:r w:rsidRPr="00D337FA">
        <w:t>поставленных</w:t>
      </w:r>
      <w:r w:rsidR="006C680D" w:rsidRPr="00D337FA">
        <w:t xml:space="preserve"> </w:t>
      </w:r>
      <w:r w:rsidRPr="00D337FA">
        <w:t>перед</w:t>
      </w:r>
      <w:r w:rsidR="006C680D" w:rsidRPr="00D337FA">
        <w:t xml:space="preserve"> </w:t>
      </w:r>
      <w:r w:rsidRPr="00D337FA">
        <w:t>ним</w:t>
      </w:r>
      <w:r w:rsidR="006C680D" w:rsidRPr="00D337FA">
        <w:t xml:space="preserve"> </w:t>
      </w:r>
      <w:r w:rsidRPr="00D337FA">
        <w:t>целей</w:t>
      </w:r>
      <w:r w:rsidR="006C680D" w:rsidRPr="00D337FA">
        <w:t xml:space="preserve"> </w:t>
      </w:r>
      <w:r w:rsidRPr="00D337FA">
        <w:t>и</w:t>
      </w:r>
      <w:r w:rsidR="006C680D" w:rsidRPr="00D337FA">
        <w:t xml:space="preserve"> </w:t>
      </w:r>
      <w:r w:rsidRPr="00D337FA">
        <w:t>функций</w:t>
      </w:r>
      <w:r w:rsidR="006C680D" w:rsidRPr="00D337FA">
        <w:t xml:space="preserve"> </w:t>
      </w:r>
      <w:r w:rsidRPr="00D337FA">
        <w:t>по</w:t>
      </w:r>
      <w:r w:rsidR="006C680D" w:rsidRPr="00D337FA">
        <w:t xml:space="preserve"> </w:t>
      </w:r>
      <w:r w:rsidRPr="00D337FA">
        <w:t>финансовому</w:t>
      </w:r>
      <w:r w:rsidR="006C680D" w:rsidRPr="00D337FA">
        <w:t xml:space="preserve"> </w:t>
      </w:r>
      <w:r w:rsidRPr="00D337FA">
        <w:t>оздоровлению</w:t>
      </w:r>
      <w:r w:rsidR="006C680D" w:rsidRPr="00D337FA">
        <w:t xml:space="preserve"> </w:t>
      </w:r>
      <w:r w:rsidRPr="00D337FA">
        <w:t>банков</w:t>
      </w:r>
      <w:r w:rsidR="006C680D" w:rsidRPr="00D337FA">
        <w:t xml:space="preserve"> </w:t>
      </w:r>
      <w:r w:rsidRPr="00D337FA">
        <w:t>с</w:t>
      </w:r>
      <w:r w:rsidR="006C680D" w:rsidRPr="00D337FA">
        <w:t xml:space="preserve"> </w:t>
      </w:r>
      <w:r w:rsidRPr="00D337FA">
        <w:t>использованием</w:t>
      </w:r>
      <w:r w:rsidR="006C680D" w:rsidRPr="00D337FA">
        <w:t xml:space="preserve"> </w:t>
      </w:r>
      <w:r w:rsidRPr="00D337FA">
        <w:t>системы</w:t>
      </w:r>
      <w:r w:rsidR="006C680D" w:rsidRPr="00D337FA">
        <w:t xml:space="preserve"> </w:t>
      </w:r>
      <w:r w:rsidRPr="00D337FA">
        <w:t>показателей,</w:t>
      </w:r>
      <w:r w:rsidR="006C680D" w:rsidRPr="00D337FA">
        <w:t xml:space="preserve"> </w:t>
      </w:r>
      <w:r w:rsidRPr="00D337FA">
        <w:t>включающей:</w:t>
      </w:r>
      <w:r w:rsidR="006C680D" w:rsidRPr="00D337FA">
        <w:t xml:space="preserve"> </w:t>
      </w:r>
      <w:r w:rsidRPr="00D337FA">
        <w:t>количество</w:t>
      </w:r>
      <w:r w:rsidR="006C680D" w:rsidRPr="00D337FA">
        <w:t xml:space="preserve"> </w:t>
      </w:r>
      <w:r w:rsidRPr="00D337FA">
        <w:t>банков,</w:t>
      </w:r>
      <w:r w:rsidR="006C680D" w:rsidRPr="00D337FA">
        <w:t xml:space="preserve"> </w:t>
      </w:r>
      <w:r w:rsidRPr="00D337FA">
        <w:t>приведенных</w:t>
      </w:r>
      <w:r w:rsidR="006C680D" w:rsidRPr="00D337FA">
        <w:t xml:space="preserve"> </w:t>
      </w:r>
      <w:r w:rsidRPr="00D337FA">
        <w:t>в</w:t>
      </w:r>
      <w:r w:rsidR="006C680D" w:rsidRPr="00D337FA">
        <w:t xml:space="preserve"> </w:t>
      </w:r>
      <w:r w:rsidRPr="00D337FA">
        <w:t>стабильное</w:t>
      </w:r>
      <w:r w:rsidR="006C680D" w:rsidRPr="00D337FA">
        <w:t xml:space="preserve"> </w:t>
      </w:r>
      <w:r w:rsidRPr="00D337FA">
        <w:t>финансовое</w:t>
      </w:r>
      <w:r w:rsidR="006C680D" w:rsidRPr="00D337FA">
        <w:t xml:space="preserve"> </w:t>
      </w:r>
      <w:r w:rsidRPr="00D337FA">
        <w:t>состояние,</w:t>
      </w:r>
      <w:r w:rsidR="006C680D" w:rsidRPr="00D337FA">
        <w:t xml:space="preserve"> </w:t>
      </w:r>
      <w:r w:rsidRPr="00D337FA">
        <w:t>по</w:t>
      </w:r>
      <w:r w:rsidR="006C680D" w:rsidRPr="00D337FA">
        <w:t xml:space="preserve"> </w:t>
      </w:r>
      <w:r w:rsidRPr="00D337FA">
        <w:t>отношению</w:t>
      </w:r>
      <w:r w:rsidR="006C680D" w:rsidRPr="00D337FA">
        <w:t xml:space="preserve"> </w:t>
      </w:r>
      <w:r w:rsidRPr="00D337FA">
        <w:t>к</w:t>
      </w:r>
      <w:r w:rsidR="006C680D" w:rsidRPr="00D337FA">
        <w:t xml:space="preserve"> </w:t>
      </w:r>
      <w:r w:rsidRPr="00D337FA">
        <w:t>количеству</w:t>
      </w:r>
      <w:r w:rsidR="006C680D" w:rsidRPr="00D337FA">
        <w:t xml:space="preserve"> </w:t>
      </w:r>
      <w:r w:rsidRPr="00D337FA">
        <w:t>санируемых;</w:t>
      </w:r>
      <w:r w:rsidR="006C680D" w:rsidRPr="00D337FA">
        <w:t xml:space="preserve"> </w:t>
      </w:r>
      <w:r w:rsidRPr="00D337FA">
        <w:t>объем</w:t>
      </w:r>
      <w:r w:rsidR="006C680D" w:rsidRPr="00D337FA">
        <w:t xml:space="preserve"> </w:t>
      </w:r>
      <w:r w:rsidRPr="00D337FA">
        <w:t>затраченных</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средств</w:t>
      </w:r>
      <w:r w:rsidR="006C680D" w:rsidRPr="00D337FA">
        <w:t xml:space="preserve"> </w:t>
      </w:r>
      <w:r w:rsidRPr="00D337FA">
        <w:t>в</w:t>
      </w:r>
      <w:r w:rsidR="006C680D" w:rsidRPr="00D337FA">
        <w:t xml:space="preserve"> </w:t>
      </w:r>
      <w:r w:rsidRPr="00D337FA">
        <w:t>динамике</w:t>
      </w:r>
      <w:r w:rsidR="006C680D" w:rsidRPr="00D337FA">
        <w:t xml:space="preserve"> </w:t>
      </w:r>
      <w:r w:rsidRPr="00D337FA">
        <w:t>с</w:t>
      </w:r>
      <w:r w:rsidR="006C680D" w:rsidRPr="00D337FA">
        <w:t xml:space="preserve"> </w:t>
      </w:r>
      <w:r w:rsidRPr="00D337FA">
        <w:t>поправкой</w:t>
      </w:r>
      <w:r w:rsidR="006C680D" w:rsidRPr="00D337FA">
        <w:t xml:space="preserve"> </w:t>
      </w:r>
      <w:r w:rsidRPr="00D337FA">
        <w:t>на</w:t>
      </w:r>
      <w:r w:rsidR="006C680D" w:rsidRPr="00D337FA">
        <w:t xml:space="preserve"> </w:t>
      </w:r>
      <w:r w:rsidRPr="00D337FA">
        <w:t>состояние</w:t>
      </w:r>
      <w:r w:rsidR="006C680D" w:rsidRPr="00D337FA">
        <w:t xml:space="preserve"> </w:t>
      </w:r>
      <w:r w:rsidRPr="00D337FA">
        <w:t>экономики;</w:t>
      </w:r>
      <w:r w:rsidR="006C680D" w:rsidRPr="00D337FA">
        <w:t xml:space="preserve"> </w:t>
      </w:r>
      <w:r w:rsidRPr="00D337FA">
        <w:t>финансовые</w:t>
      </w:r>
      <w:r w:rsidR="006C680D" w:rsidRPr="00D337FA">
        <w:t xml:space="preserve"> </w:t>
      </w:r>
      <w:r w:rsidRPr="00D337FA">
        <w:t>показатели</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разбитых</w:t>
      </w:r>
      <w:r w:rsidR="006C680D" w:rsidRPr="00D337FA">
        <w:t xml:space="preserve"> </w:t>
      </w:r>
      <w:r w:rsidRPr="00D337FA">
        <w:t>по</w:t>
      </w:r>
      <w:r w:rsidR="006C680D" w:rsidRPr="00D337FA">
        <w:t xml:space="preserve"> </w:t>
      </w:r>
      <w:r w:rsidRPr="00D337FA">
        <w:t>категориям</w:t>
      </w:r>
      <w:r w:rsidR="006C680D" w:rsidRPr="00D337FA">
        <w:t xml:space="preserve"> </w:t>
      </w:r>
      <w:r w:rsidRPr="00D337FA">
        <w:t>в</w:t>
      </w:r>
      <w:r w:rsidR="006C680D" w:rsidRPr="00D337FA">
        <w:t xml:space="preserve"> </w:t>
      </w:r>
      <w:r w:rsidRPr="00D337FA">
        <w:t>зависимости</w:t>
      </w:r>
      <w:r w:rsidR="006C680D" w:rsidRPr="00D337FA">
        <w:t xml:space="preserve"> </w:t>
      </w:r>
      <w:r w:rsidRPr="00D337FA">
        <w:t>от</w:t>
      </w:r>
      <w:r w:rsidR="006C680D" w:rsidRPr="00D337FA">
        <w:t xml:space="preserve"> </w:t>
      </w:r>
      <w:r w:rsidRPr="00D337FA">
        <w:t>их</w:t>
      </w:r>
      <w:r w:rsidR="006C680D" w:rsidRPr="00D337FA">
        <w:t xml:space="preserve"> </w:t>
      </w:r>
      <w:r w:rsidRPr="00D337FA">
        <w:t>финансового</w:t>
      </w:r>
      <w:r w:rsidR="006C680D" w:rsidRPr="00D337FA">
        <w:t xml:space="preserve"> </w:t>
      </w:r>
      <w:r w:rsidRPr="00D337FA">
        <w:t>состояния</w:t>
      </w:r>
      <w:r w:rsidR="006C680D" w:rsidRPr="00D337FA">
        <w:t xml:space="preserve"> </w:t>
      </w:r>
      <w:r w:rsidRPr="00D337FA">
        <w:t>перед</w:t>
      </w:r>
      <w:r w:rsidR="006C680D" w:rsidRPr="00D337FA">
        <w:t xml:space="preserve"> </w:t>
      </w:r>
      <w:r w:rsidRPr="00D337FA">
        <w:t>санацией</w:t>
      </w:r>
      <w:r w:rsidR="006C680D" w:rsidRPr="00D337FA">
        <w:t xml:space="preserve"> </w:t>
      </w:r>
      <w:r w:rsidRPr="00D337FA">
        <w:t>и</w:t>
      </w:r>
      <w:r w:rsidR="006C680D" w:rsidRPr="00D337FA">
        <w:t xml:space="preserve"> </w:t>
      </w:r>
      <w:r w:rsidRPr="00D337FA">
        <w:t>от</w:t>
      </w:r>
      <w:r w:rsidR="006C680D" w:rsidRPr="00D337FA">
        <w:t xml:space="preserve"> </w:t>
      </w:r>
      <w:r w:rsidRPr="00D337FA">
        <w:t>времени</w:t>
      </w:r>
      <w:r w:rsidR="006C680D" w:rsidRPr="00D337FA">
        <w:t xml:space="preserve"> </w:t>
      </w:r>
      <w:r w:rsidRPr="00D337FA">
        <w:t>начала</w:t>
      </w:r>
      <w:r w:rsidR="006C680D" w:rsidRPr="00D337FA">
        <w:t xml:space="preserve"> </w:t>
      </w:r>
      <w:r w:rsidRPr="00D337FA">
        <w:t>санационных</w:t>
      </w:r>
      <w:r w:rsidR="006C680D" w:rsidRPr="00D337FA">
        <w:t xml:space="preserve"> </w:t>
      </w:r>
      <w:r w:rsidRPr="00D337FA">
        <w:t>мероприятий</w:t>
      </w:r>
      <w:r w:rsidR="006C680D" w:rsidRPr="00D337FA">
        <w:t xml:space="preserve"> </w:t>
      </w:r>
      <w:r w:rsidRPr="00D337FA">
        <w:t>[9].</w:t>
      </w:r>
      <w:r w:rsidR="006C680D" w:rsidRPr="00D337FA">
        <w:t xml:space="preserve"> </w:t>
      </w:r>
      <w:r w:rsidRPr="00D337FA">
        <w:t>Другие</w:t>
      </w:r>
      <w:r w:rsidR="006C680D" w:rsidRPr="00D337FA">
        <w:t xml:space="preserve"> </w:t>
      </w:r>
      <w:r w:rsidRPr="00D337FA">
        <w:t>подчеркивают</w:t>
      </w:r>
      <w:r w:rsidR="006C680D" w:rsidRPr="00D337FA">
        <w:t xml:space="preserve"> </w:t>
      </w:r>
      <w:r w:rsidRPr="00D337FA">
        <w:t>необходимость</w:t>
      </w:r>
      <w:r w:rsidR="006C680D" w:rsidRPr="00D337FA">
        <w:t xml:space="preserve"> </w:t>
      </w:r>
      <w:r w:rsidRPr="00D337FA">
        <w:t>оценки</w:t>
      </w:r>
      <w:r w:rsidR="006C680D" w:rsidRPr="00D337FA">
        <w:t xml:space="preserve"> </w:t>
      </w:r>
      <w:r w:rsidRPr="00D337FA">
        <w:t>макроэкономической</w:t>
      </w:r>
      <w:r w:rsidR="006C680D" w:rsidRPr="00D337FA">
        <w:t xml:space="preserve"> </w:t>
      </w:r>
      <w:r w:rsidRPr="00D337FA">
        <w:t>и</w:t>
      </w:r>
      <w:r w:rsidR="006C680D" w:rsidRPr="00D337FA">
        <w:t xml:space="preserve"> </w:t>
      </w:r>
      <w:r w:rsidRPr="00D337FA">
        <w:t>социальной</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выражающейся</w:t>
      </w:r>
      <w:r w:rsidR="006C680D" w:rsidRPr="00D337FA">
        <w:t xml:space="preserve"> </w:t>
      </w:r>
      <w:r w:rsidRPr="00D337FA">
        <w:t>в</w:t>
      </w:r>
      <w:r w:rsidR="006C680D" w:rsidRPr="00D337FA">
        <w:t xml:space="preserve"> </w:t>
      </w:r>
      <w:r w:rsidRPr="00D337FA">
        <w:lastRenderedPageBreak/>
        <w:t>показателях,</w:t>
      </w:r>
      <w:r w:rsidR="006C680D" w:rsidRPr="00D337FA">
        <w:t xml:space="preserve"> </w:t>
      </w:r>
      <w:r w:rsidRPr="00D337FA">
        <w:t>характеризующих</w:t>
      </w:r>
      <w:r w:rsidR="006C680D" w:rsidRPr="00D337FA">
        <w:t xml:space="preserve"> </w:t>
      </w:r>
      <w:r w:rsidRPr="00D337FA">
        <w:t>минимальный</w:t>
      </w:r>
      <w:r w:rsidR="006C680D" w:rsidRPr="00D337FA">
        <w:t xml:space="preserve"> </w:t>
      </w:r>
      <w:r w:rsidRPr="00D337FA">
        <w:t>ущерб</w:t>
      </w:r>
      <w:r w:rsidR="006C680D" w:rsidRPr="00D337FA">
        <w:t xml:space="preserve"> </w:t>
      </w:r>
      <w:r w:rsidRPr="00D337FA">
        <w:t>для</w:t>
      </w:r>
      <w:r w:rsidR="006C680D" w:rsidRPr="00D337FA">
        <w:t xml:space="preserve"> </w:t>
      </w:r>
      <w:r w:rsidRPr="00D337FA">
        <w:t>общества,</w:t>
      </w:r>
      <w:r w:rsidR="006C680D" w:rsidRPr="00D337FA">
        <w:t xml:space="preserve"> </w:t>
      </w:r>
      <w:r w:rsidRPr="00D337FA">
        <w:t>государства,</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и</w:t>
      </w:r>
      <w:r w:rsidR="006C680D" w:rsidRPr="00D337FA">
        <w:t xml:space="preserve"> </w:t>
      </w:r>
      <w:r w:rsidRPr="00D337FA">
        <w:t>клиентов</w:t>
      </w:r>
      <w:r w:rsidR="006C680D" w:rsidRPr="00D337FA">
        <w:t xml:space="preserve"> </w:t>
      </w:r>
      <w:r w:rsidRPr="00D337FA">
        <w:t>санируемого</w:t>
      </w:r>
      <w:r w:rsidR="006C680D" w:rsidRPr="00D337FA">
        <w:t xml:space="preserve"> </w:t>
      </w:r>
      <w:r w:rsidRPr="00D337FA">
        <w:t>банка</w:t>
      </w:r>
      <w:r w:rsidR="006C680D" w:rsidRPr="00D337FA">
        <w:t xml:space="preserve"> </w:t>
      </w:r>
      <w:r w:rsidRPr="00D337FA">
        <w:t>[10].</w:t>
      </w:r>
      <w:r w:rsidR="006C680D" w:rsidRPr="00D337FA">
        <w:t xml:space="preserve"> </w:t>
      </w:r>
      <w:r w:rsidRPr="00D337FA">
        <w:t>Третьи,</w:t>
      </w:r>
      <w:r w:rsidR="006C680D" w:rsidRPr="00D337FA">
        <w:t xml:space="preserve"> </w:t>
      </w:r>
      <w:r w:rsidRPr="00D337FA">
        <w:t>говорят</w:t>
      </w:r>
      <w:r w:rsidR="006C680D" w:rsidRPr="00D337FA">
        <w:t xml:space="preserve"> </w:t>
      </w:r>
      <w:r w:rsidRPr="00D337FA">
        <w:t>о</w:t>
      </w:r>
      <w:r w:rsidR="006C680D" w:rsidRPr="00D337FA">
        <w:t xml:space="preserve"> </w:t>
      </w:r>
      <w:r w:rsidRPr="00D337FA">
        <w:t>возможности</w:t>
      </w:r>
      <w:r w:rsidR="006C680D" w:rsidRPr="00D337FA">
        <w:t xml:space="preserve"> </w:t>
      </w:r>
      <w:r w:rsidRPr="00D337FA">
        <w:t>оценки</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только</w:t>
      </w:r>
      <w:r w:rsidR="006C680D" w:rsidRPr="00D337FA">
        <w:t xml:space="preserve"> </w:t>
      </w:r>
      <w:r w:rsidRPr="00D337FA">
        <w:t>по</w:t>
      </w:r>
      <w:r w:rsidR="006C680D" w:rsidRPr="00D337FA">
        <w:t xml:space="preserve"> </w:t>
      </w:r>
      <w:r w:rsidRPr="00D337FA">
        <w:t>истечению</w:t>
      </w:r>
      <w:r w:rsidR="006C680D" w:rsidRPr="00D337FA">
        <w:t xml:space="preserve"> </w:t>
      </w:r>
      <w:r w:rsidRPr="00D337FA">
        <w:t>3-4</w:t>
      </w:r>
      <w:r w:rsidR="006C680D" w:rsidRPr="00D337FA">
        <w:t xml:space="preserve"> </w:t>
      </w:r>
      <w:r w:rsidRPr="00D337FA">
        <w:t>лет</w:t>
      </w:r>
      <w:r w:rsidR="006C680D" w:rsidRPr="00D337FA">
        <w:t xml:space="preserve"> </w:t>
      </w:r>
      <w:r w:rsidRPr="00D337FA">
        <w:t>с</w:t>
      </w:r>
      <w:r w:rsidR="006C680D" w:rsidRPr="00D337FA">
        <w:t xml:space="preserve"> </w:t>
      </w:r>
      <w:r w:rsidRPr="00D337FA">
        <w:t>момента</w:t>
      </w:r>
      <w:r w:rsidR="006C680D" w:rsidRPr="00D337FA">
        <w:t xml:space="preserve"> </w:t>
      </w:r>
      <w:r w:rsidRPr="00D337FA">
        <w:t>ее</w:t>
      </w:r>
      <w:r w:rsidR="006C680D" w:rsidRPr="00D337FA">
        <w:t xml:space="preserve"> </w:t>
      </w:r>
      <w:r w:rsidRPr="00D337FA">
        <w:t>начала</w:t>
      </w:r>
      <w:r w:rsidR="006C680D" w:rsidRPr="00D337FA">
        <w:t xml:space="preserve"> </w:t>
      </w:r>
      <w:r w:rsidRPr="00D337FA">
        <w:t>на</w:t>
      </w:r>
      <w:r w:rsidR="006C680D" w:rsidRPr="00D337FA">
        <w:t xml:space="preserve"> </w:t>
      </w:r>
      <w:r w:rsidRPr="00D337FA">
        <w:t>основании</w:t>
      </w:r>
      <w:r w:rsidR="006C680D" w:rsidRPr="00D337FA">
        <w:t xml:space="preserve"> </w:t>
      </w:r>
      <w:r w:rsidRPr="00D337FA">
        <w:t>динамики</w:t>
      </w:r>
      <w:r w:rsidR="006C680D" w:rsidRPr="00D337FA">
        <w:t xml:space="preserve"> </w:t>
      </w:r>
      <w:r w:rsidRPr="00D337FA">
        <w:t>финансовых</w:t>
      </w:r>
      <w:r w:rsidR="006C680D" w:rsidRPr="00D337FA">
        <w:t xml:space="preserve"> </w:t>
      </w:r>
      <w:r w:rsidRPr="00D337FA">
        <w:t>результатов</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w:t>
      </w:r>
      <w:r w:rsidRPr="00D337FA">
        <w:rPr>
          <w:lang w:val="en-US"/>
        </w:rPr>
        <w:t>ROA</w:t>
      </w:r>
      <w:r w:rsidRPr="00D337FA">
        <w:t>,</w:t>
      </w:r>
      <w:r w:rsidR="006C680D" w:rsidRPr="00D337FA">
        <w:t xml:space="preserve"> </w:t>
      </w:r>
      <w:r w:rsidRPr="00D337FA">
        <w:t>достаточность</w:t>
      </w:r>
      <w:r w:rsidR="006C680D" w:rsidRPr="00D337FA">
        <w:t xml:space="preserve"> </w:t>
      </w:r>
      <w:r w:rsidRPr="00D337FA">
        <w:t>собственного</w:t>
      </w:r>
      <w:r w:rsidR="006C680D" w:rsidRPr="00D337FA">
        <w:t xml:space="preserve"> </w:t>
      </w:r>
      <w:r w:rsidRPr="00D337FA">
        <w:t>капитала,</w:t>
      </w:r>
      <w:r w:rsidR="006C680D" w:rsidRPr="00D337FA">
        <w:t xml:space="preserve"> </w:t>
      </w:r>
      <w:r w:rsidRPr="00D337FA">
        <w:t>доля</w:t>
      </w:r>
      <w:r w:rsidR="006C680D" w:rsidRPr="00D337FA">
        <w:t xml:space="preserve"> </w:t>
      </w:r>
      <w:r w:rsidRPr="00D337FA">
        <w:t>просроченной</w:t>
      </w:r>
      <w:r w:rsidR="006C680D" w:rsidRPr="00D337FA">
        <w:t xml:space="preserve"> </w:t>
      </w:r>
      <w:r w:rsidRPr="00D337FA">
        <w:t>задолженности</w:t>
      </w:r>
      <w:r w:rsidR="006C680D" w:rsidRPr="00D337FA">
        <w:t xml:space="preserve"> </w:t>
      </w:r>
      <w:r w:rsidRPr="00D337FA">
        <w:t>по</w:t>
      </w:r>
      <w:r w:rsidR="006C680D" w:rsidRPr="00D337FA">
        <w:t xml:space="preserve"> </w:t>
      </w:r>
      <w:r w:rsidRPr="00D337FA">
        <w:t>кредитам,</w:t>
      </w:r>
      <w:r w:rsidR="006C680D" w:rsidRPr="00D337FA">
        <w:t xml:space="preserve"> </w:t>
      </w:r>
      <w:r w:rsidRPr="00D337FA">
        <w:t>качество</w:t>
      </w:r>
      <w:r w:rsidR="006C680D" w:rsidRPr="00D337FA">
        <w:t xml:space="preserve"> </w:t>
      </w:r>
      <w:r w:rsidRPr="00D337FA">
        <w:t>активов,</w:t>
      </w:r>
      <w:r w:rsidR="006C680D" w:rsidRPr="00D337FA">
        <w:t xml:space="preserve"> </w:t>
      </w:r>
      <w:r w:rsidRPr="00D337FA">
        <w:t>уровень</w:t>
      </w:r>
      <w:r w:rsidR="006C680D" w:rsidRPr="00D337FA">
        <w:t xml:space="preserve"> </w:t>
      </w:r>
      <w:r w:rsidRPr="00D337FA">
        <w:t>резервирования</w:t>
      </w:r>
      <w:r w:rsidR="006C680D" w:rsidRPr="00D337FA">
        <w:t xml:space="preserve"> </w:t>
      </w:r>
      <w:r w:rsidRPr="00D337FA">
        <w:t>против</w:t>
      </w:r>
      <w:r w:rsidR="006C680D" w:rsidRPr="00D337FA">
        <w:t xml:space="preserve"> </w:t>
      </w:r>
      <w:r w:rsidRPr="00D337FA">
        <w:t>потерь</w:t>
      </w:r>
      <w:r w:rsidR="006C680D" w:rsidRPr="00D337FA">
        <w:t xml:space="preserve"> </w:t>
      </w:r>
      <w:r w:rsidRPr="00D337FA">
        <w:t>по</w:t>
      </w:r>
      <w:r w:rsidR="006C680D" w:rsidRPr="00D337FA">
        <w:t xml:space="preserve"> </w:t>
      </w:r>
      <w:r w:rsidRPr="00D337FA">
        <w:t>кредитам)</w:t>
      </w:r>
      <w:r w:rsidR="006C680D" w:rsidRPr="00D337FA">
        <w:t xml:space="preserve"> </w:t>
      </w:r>
      <w:r w:rsidRPr="00D337FA">
        <w:t>[11].</w:t>
      </w:r>
      <w:r w:rsidR="006C680D" w:rsidRPr="00D337FA">
        <w:t xml:space="preserve"> </w:t>
      </w:r>
    </w:p>
    <w:p w:rsidR="00FB2463" w:rsidRPr="00D337FA" w:rsidRDefault="00FB2463" w:rsidP="00FB2463">
      <w:pPr>
        <w:ind w:firstLine="284"/>
      </w:pPr>
      <w:r w:rsidRPr="00D337FA">
        <w:t>Несмотря</w:t>
      </w:r>
      <w:r w:rsidR="006C680D" w:rsidRPr="00D337FA">
        <w:t xml:space="preserve"> </w:t>
      </w:r>
      <w:r w:rsidRPr="00D337FA">
        <w:t>на</w:t>
      </w:r>
      <w:r w:rsidR="006C680D" w:rsidRPr="00D337FA">
        <w:t xml:space="preserve"> </w:t>
      </w:r>
      <w:r w:rsidRPr="00D337FA">
        <w:t>то,</w:t>
      </w:r>
      <w:r w:rsidR="006C680D" w:rsidRPr="00D337FA">
        <w:t xml:space="preserve"> </w:t>
      </w:r>
      <w:r w:rsidRPr="00D337FA">
        <w:t>что</w:t>
      </w:r>
      <w:r w:rsidR="006C680D" w:rsidRPr="00D337FA">
        <w:t xml:space="preserve"> </w:t>
      </w:r>
      <w:r w:rsidRPr="00D337FA">
        <w:t>описанные</w:t>
      </w:r>
      <w:r w:rsidR="006C680D" w:rsidRPr="00D337FA">
        <w:t xml:space="preserve"> </w:t>
      </w:r>
      <w:r w:rsidRPr="00D337FA">
        <w:t>точки</w:t>
      </w:r>
      <w:r w:rsidR="006C680D" w:rsidRPr="00D337FA">
        <w:t xml:space="preserve"> </w:t>
      </w:r>
      <w:r w:rsidRPr="00D337FA">
        <w:t>зрения</w:t>
      </w:r>
      <w:r w:rsidR="006C680D" w:rsidRPr="00D337FA">
        <w:t xml:space="preserve"> </w:t>
      </w:r>
      <w:r w:rsidRPr="00D337FA">
        <w:t>содержат</w:t>
      </w:r>
      <w:r w:rsidR="006C680D" w:rsidRPr="00D337FA">
        <w:t xml:space="preserve"> </w:t>
      </w:r>
      <w:r w:rsidRPr="00D337FA">
        <w:t>разноплановые</w:t>
      </w:r>
      <w:r w:rsidR="006C680D" w:rsidRPr="00D337FA">
        <w:t xml:space="preserve"> </w:t>
      </w:r>
      <w:r w:rsidRPr="00D337FA">
        <w:t>подходы</w:t>
      </w:r>
      <w:r w:rsidR="006C680D" w:rsidRPr="00D337FA">
        <w:t xml:space="preserve"> </w:t>
      </w:r>
      <w:r w:rsidRPr="00D337FA">
        <w:t>к</w:t>
      </w:r>
      <w:r w:rsidR="006C680D" w:rsidRPr="00D337FA">
        <w:t xml:space="preserve"> </w:t>
      </w:r>
      <w:r w:rsidRPr="00D337FA">
        <w:t>оценке</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их</w:t>
      </w:r>
      <w:r w:rsidR="006C680D" w:rsidRPr="00D337FA">
        <w:t xml:space="preserve"> </w:t>
      </w:r>
      <w:r w:rsidRPr="00D337FA">
        <w:t>анализ,</w:t>
      </w:r>
      <w:r w:rsidR="006C680D" w:rsidRPr="00D337FA">
        <w:t xml:space="preserve"> </w:t>
      </w:r>
      <w:r w:rsidRPr="00D337FA">
        <w:t>тем</w:t>
      </w:r>
      <w:r w:rsidR="006C680D" w:rsidRPr="00D337FA">
        <w:t xml:space="preserve"> </w:t>
      </w:r>
      <w:r w:rsidRPr="00D337FA">
        <w:t>не</w:t>
      </w:r>
      <w:r w:rsidR="006C680D" w:rsidRPr="00D337FA">
        <w:t xml:space="preserve"> </w:t>
      </w:r>
      <w:r w:rsidRPr="00D337FA">
        <w:t>менее,</w:t>
      </w:r>
      <w:r w:rsidR="006C680D" w:rsidRPr="00D337FA">
        <w:t xml:space="preserve"> </w:t>
      </w:r>
      <w:r w:rsidRPr="00D337FA">
        <w:t>позволяет</w:t>
      </w:r>
      <w:r w:rsidR="006C680D" w:rsidRPr="00D337FA">
        <w:t xml:space="preserve"> </w:t>
      </w:r>
      <w:r w:rsidRPr="00D337FA">
        <w:t>выделить</w:t>
      </w:r>
      <w:r w:rsidR="006C680D" w:rsidRPr="00D337FA">
        <w:t xml:space="preserve"> </w:t>
      </w:r>
      <w:r w:rsidRPr="00D337FA">
        <w:t>несколько</w:t>
      </w:r>
      <w:r w:rsidR="006C680D" w:rsidRPr="00D337FA">
        <w:t xml:space="preserve"> </w:t>
      </w:r>
      <w:r w:rsidRPr="00D337FA">
        <w:t>ключевых</w:t>
      </w:r>
      <w:r w:rsidR="006C680D" w:rsidRPr="00D337FA">
        <w:t xml:space="preserve"> </w:t>
      </w:r>
      <w:r w:rsidRPr="00D337FA">
        <w:t>моментов</w:t>
      </w:r>
      <w:r w:rsidR="006C680D" w:rsidRPr="00D337FA">
        <w:t xml:space="preserve"> </w:t>
      </w:r>
      <w:r w:rsidRPr="00D337FA">
        <w:t>и</w:t>
      </w:r>
      <w:r w:rsidR="006C680D" w:rsidRPr="00D337FA">
        <w:t xml:space="preserve"> </w:t>
      </w:r>
      <w:r w:rsidRPr="00D337FA">
        <w:t>сформулировать</w:t>
      </w:r>
      <w:r w:rsidR="006C680D" w:rsidRPr="00D337FA">
        <w:t xml:space="preserve"> </w:t>
      </w:r>
      <w:r w:rsidRPr="00D337FA">
        <w:t>авторскую</w:t>
      </w:r>
      <w:r w:rsidR="006C680D" w:rsidRPr="00D337FA">
        <w:t xml:space="preserve"> </w:t>
      </w:r>
      <w:r w:rsidRPr="00D337FA">
        <w:t>позицию</w:t>
      </w:r>
      <w:r w:rsidR="006C680D" w:rsidRPr="00D337FA">
        <w:t xml:space="preserve"> </w:t>
      </w:r>
      <w:r w:rsidRPr="00D337FA">
        <w:t>относительно</w:t>
      </w:r>
      <w:r w:rsidR="006C680D" w:rsidRPr="00D337FA">
        <w:t xml:space="preserve"> </w:t>
      </w:r>
      <w:r w:rsidRPr="00D337FA">
        <w:t>видовой</w:t>
      </w:r>
      <w:r w:rsidR="006C680D" w:rsidRPr="00D337FA">
        <w:t xml:space="preserve"> </w:t>
      </w:r>
      <w:r w:rsidRPr="00D337FA">
        <w:t>структуры</w:t>
      </w:r>
      <w:r w:rsidR="006C680D" w:rsidRPr="00D337FA">
        <w:t xml:space="preserve"> </w:t>
      </w:r>
      <w:r w:rsidRPr="00D337FA">
        <w:t>показателей</w:t>
      </w:r>
      <w:r w:rsidR="006C680D" w:rsidRPr="00D337FA">
        <w:t xml:space="preserve"> </w:t>
      </w:r>
      <w:r w:rsidRPr="00D337FA">
        <w:t>и</w:t>
      </w:r>
      <w:r w:rsidR="006C680D" w:rsidRPr="00D337FA">
        <w:t xml:space="preserve"> </w:t>
      </w:r>
      <w:r w:rsidRPr="00D337FA">
        <w:t>критериев</w:t>
      </w:r>
      <w:r w:rsidR="006C680D" w:rsidRPr="00D337FA">
        <w:t xml:space="preserve"> </w:t>
      </w:r>
      <w:r w:rsidRPr="00D337FA">
        <w:t>оценки</w:t>
      </w:r>
      <w:r w:rsidR="006C680D" w:rsidRPr="00D337FA">
        <w:t xml:space="preserve"> </w:t>
      </w:r>
      <w:r w:rsidRPr="00D337FA">
        <w:t>эффективности</w:t>
      </w:r>
      <w:r w:rsidR="006C680D" w:rsidRPr="00D337FA">
        <w:t xml:space="preserve"> </w:t>
      </w:r>
      <w:r w:rsidRPr="00D337FA">
        <w:t>санации.</w:t>
      </w:r>
    </w:p>
    <w:p w:rsidR="00FB2463" w:rsidRPr="00D337FA" w:rsidRDefault="00FB2463" w:rsidP="00FB2463">
      <w:pPr>
        <w:ind w:firstLine="284"/>
      </w:pPr>
      <w:r w:rsidRPr="00D337FA">
        <w:t>Во-первых,</w:t>
      </w:r>
      <w:r w:rsidR="006C680D" w:rsidRPr="00D337FA">
        <w:t xml:space="preserve"> </w:t>
      </w:r>
      <w:r w:rsidRPr="00D337FA">
        <w:t>объектом</w:t>
      </w:r>
      <w:r w:rsidR="006C680D" w:rsidRPr="00D337FA">
        <w:t xml:space="preserve"> </w:t>
      </w:r>
      <w:r w:rsidRPr="00D337FA">
        <w:t>оценки</w:t>
      </w:r>
      <w:r w:rsidR="006C680D" w:rsidRPr="00D337FA">
        <w:t xml:space="preserve"> </w:t>
      </w:r>
      <w:r w:rsidRPr="00D337FA">
        <w:t>могут</w:t>
      </w:r>
      <w:r w:rsidR="006C680D" w:rsidRPr="00D337FA">
        <w:t xml:space="preserve"> </w:t>
      </w:r>
      <w:r w:rsidRPr="00D337FA">
        <w:t>выступать:</w:t>
      </w:r>
    </w:p>
    <w:p w:rsidR="00FB2463" w:rsidRPr="00D337FA" w:rsidRDefault="00FB2463" w:rsidP="00FB2463">
      <w:pPr>
        <w:ind w:firstLine="284"/>
      </w:pPr>
      <w:r w:rsidRPr="00D337FA">
        <w:t>-</w:t>
      </w:r>
      <w:r w:rsidR="006C680D" w:rsidRPr="00D337FA">
        <w:t xml:space="preserve"> </w:t>
      </w:r>
      <w:r w:rsidRPr="00D337FA">
        <w:t>эффективность</w:t>
      </w:r>
      <w:r w:rsidR="006C680D" w:rsidRPr="00D337FA">
        <w:t xml:space="preserve"> </w:t>
      </w:r>
      <w:r w:rsidRPr="00D337FA">
        <w:t>деятельности</w:t>
      </w:r>
      <w:r w:rsidR="006C680D" w:rsidRPr="00D337FA">
        <w:t xml:space="preserve"> </w:t>
      </w:r>
      <w:r w:rsidRPr="00D337FA">
        <w:t>специализированных</w:t>
      </w:r>
      <w:r w:rsidR="006C680D" w:rsidRPr="00D337FA">
        <w:t xml:space="preserve"> </w:t>
      </w:r>
      <w:r w:rsidRPr="00D337FA">
        <w:t>институтов,</w:t>
      </w:r>
      <w:r w:rsidR="006C680D" w:rsidRPr="00D337FA">
        <w:t xml:space="preserve"> </w:t>
      </w:r>
      <w:r w:rsidRPr="00D337FA">
        <w:t>наделенных</w:t>
      </w:r>
      <w:r w:rsidR="006C680D" w:rsidRPr="00D337FA">
        <w:t xml:space="preserve"> </w:t>
      </w:r>
      <w:r w:rsidRPr="00D337FA">
        <w:t>функциями</w:t>
      </w:r>
      <w:r w:rsidR="006C680D" w:rsidRPr="00D337FA">
        <w:t xml:space="preserve"> </w:t>
      </w:r>
      <w:r w:rsidRPr="00D337FA">
        <w:t>управления</w:t>
      </w:r>
      <w:r w:rsidR="006C680D" w:rsidRPr="00D337FA">
        <w:t xml:space="preserve"> </w:t>
      </w:r>
      <w:r w:rsidRPr="00D337FA">
        <w:t>санацией</w:t>
      </w:r>
      <w:r w:rsidR="006C680D" w:rsidRPr="00D337FA">
        <w:t xml:space="preserve"> </w:t>
      </w:r>
      <w:r w:rsidRPr="00D337FA">
        <w:t>банков</w:t>
      </w:r>
      <w:r w:rsidR="006C680D" w:rsidRPr="00D337FA">
        <w:t xml:space="preserve"> </w:t>
      </w:r>
      <w:r w:rsidRPr="00D337FA">
        <w:t>(Фонд</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r w:rsidR="006C680D" w:rsidRPr="00D337FA">
        <w:t xml:space="preserve"> </w:t>
      </w:r>
      <w:r w:rsidRPr="00D337FA">
        <w:t>Агентство</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в</w:t>
      </w:r>
      <w:r w:rsidR="006C680D" w:rsidRPr="00D337FA">
        <w:t xml:space="preserve"> </w:t>
      </w:r>
      <w:r w:rsidRPr="00D337FA">
        <w:t>разрезе</w:t>
      </w:r>
      <w:r w:rsidR="006C680D" w:rsidRPr="00D337FA">
        <w:t xml:space="preserve"> </w:t>
      </w:r>
      <w:r w:rsidRPr="00D337FA">
        <w:t>всех</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и</w:t>
      </w:r>
      <w:r w:rsidR="006C680D" w:rsidRPr="00D337FA">
        <w:t xml:space="preserve"> </w:t>
      </w:r>
      <w:r w:rsidRPr="00D337FA">
        <w:t>каждого</w:t>
      </w:r>
      <w:r w:rsidR="006C680D" w:rsidRPr="00D337FA">
        <w:t xml:space="preserve"> </w:t>
      </w:r>
      <w:r w:rsidRPr="00D337FA">
        <w:t>банка</w:t>
      </w:r>
      <w:r w:rsidR="006C680D" w:rsidRPr="00D337FA">
        <w:t xml:space="preserve"> </w:t>
      </w:r>
      <w:r w:rsidRPr="00D337FA">
        <w:t>в</w:t>
      </w:r>
      <w:r w:rsidR="006C680D" w:rsidRPr="00D337FA">
        <w:t xml:space="preserve"> </w:t>
      </w:r>
      <w:r w:rsidRPr="00D337FA">
        <w:t>отдельности;</w:t>
      </w:r>
    </w:p>
    <w:p w:rsidR="00FB2463" w:rsidRPr="00D337FA" w:rsidRDefault="00FB2463" w:rsidP="00FB2463">
      <w:pPr>
        <w:ind w:firstLine="284"/>
      </w:pPr>
      <w:r w:rsidRPr="00D337FA">
        <w:t>-</w:t>
      </w:r>
      <w:r w:rsidR="006C680D" w:rsidRPr="00D337FA">
        <w:t xml:space="preserve"> </w:t>
      </w:r>
      <w:r w:rsidRPr="00D337FA">
        <w:t>эффективность</w:t>
      </w:r>
      <w:r w:rsidR="006C680D" w:rsidRPr="00D337FA">
        <w:t xml:space="preserve"> </w:t>
      </w:r>
      <w:r w:rsidRPr="00D337FA">
        <w:t>деятельности</w:t>
      </w:r>
      <w:r w:rsidR="006C680D" w:rsidRPr="00D337FA">
        <w:t xml:space="preserve"> </w:t>
      </w:r>
      <w:r w:rsidRPr="00D337FA">
        <w:t>санируемого</w:t>
      </w:r>
      <w:r w:rsidR="006C680D" w:rsidRPr="00D337FA">
        <w:t xml:space="preserve"> </w:t>
      </w:r>
      <w:r w:rsidRPr="00D337FA">
        <w:t>банка</w:t>
      </w:r>
      <w:r w:rsidR="006C680D" w:rsidRPr="00D337FA">
        <w:t xml:space="preserve"> </w:t>
      </w:r>
      <w:r w:rsidRPr="00D337FA">
        <w:t>по</w:t>
      </w:r>
      <w:r w:rsidR="006C680D" w:rsidRPr="00D337FA">
        <w:t xml:space="preserve"> </w:t>
      </w:r>
      <w:r w:rsidRPr="00D337FA">
        <w:t>достижению</w:t>
      </w:r>
      <w:r w:rsidR="006C680D" w:rsidRPr="00D337FA">
        <w:t xml:space="preserve"> </w:t>
      </w:r>
      <w:r w:rsidRPr="00D337FA">
        <w:t>результатов,</w:t>
      </w:r>
      <w:r w:rsidR="006C680D" w:rsidRPr="00D337FA">
        <w:t xml:space="preserve"> </w:t>
      </w:r>
      <w:r w:rsidRPr="00D337FA">
        <w:t>предусмотренных</w:t>
      </w:r>
      <w:r w:rsidR="006C680D" w:rsidRPr="00D337FA">
        <w:t xml:space="preserve"> </w:t>
      </w:r>
      <w:r w:rsidRPr="00D337FA">
        <w:t>планом</w:t>
      </w:r>
      <w:r w:rsidR="006C680D" w:rsidRPr="00D337FA">
        <w:t xml:space="preserve"> </w:t>
      </w:r>
      <w:r w:rsidRPr="00D337FA">
        <w:t>санации;</w:t>
      </w:r>
    </w:p>
    <w:p w:rsidR="00FB2463" w:rsidRPr="00D337FA" w:rsidRDefault="00FB2463" w:rsidP="00FB2463">
      <w:pPr>
        <w:ind w:firstLine="284"/>
      </w:pPr>
      <w:r w:rsidRPr="00D337FA">
        <w:t>-</w:t>
      </w:r>
      <w:r w:rsidR="006C680D" w:rsidRPr="00D337FA">
        <w:t xml:space="preserve"> </w:t>
      </w:r>
      <w:r w:rsidRPr="00D337FA">
        <w:t>эффективность</w:t>
      </w:r>
      <w:r w:rsidR="006C680D" w:rsidRPr="00D337FA">
        <w:t xml:space="preserve"> </w:t>
      </w:r>
      <w:r w:rsidRPr="00D337FA">
        <w:t>использования</w:t>
      </w:r>
      <w:r w:rsidR="006C680D" w:rsidRPr="00D337FA">
        <w:t xml:space="preserve"> </w:t>
      </w:r>
      <w:r w:rsidRPr="00D337FA">
        <w:t>средств,</w:t>
      </w:r>
      <w:r w:rsidR="006C680D" w:rsidRPr="00D337FA">
        <w:t xml:space="preserve"> </w:t>
      </w:r>
      <w:r w:rsidRPr="00D337FA">
        <w:t>выделенных</w:t>
      </w:r>
      <w:r w:rsidR="006C680D" w:rsidRPr="00D337FA">
        <w:t xml:space="preserve"> </w:t>
      </w:r>
      <w:r w:rsidRPr="00D337FA">
        <w:t>санатору</w:t>
      </w:r>
      <w:r w:rsidR="006C680D" w:rsidRPr="00D337FA">
        <w:t xml:space="preserve"> </w:t>
      </w:r>
      <w:r w:rsidRPr="00D337FA">
        <w:t>на</w:t>
      </w:r>
      <w:r w:rsidR="006C680D" w:rsidRPr="00D337FA">
        <w:t xml:space="preserve"> </w:t>
      </w:r>
      <w:r w:rsidRPr="00D337FA">
        <w:t>цели</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проблемного</w:t>
      </w:r>
      <w:r w:rsidR="006C680D" w:rsidRPr="00D337FA">
        <w:t xml:space="preserve"> </w:t>
      </w:r>
      <w:r w:rsidRPr="00D337FA">
        <w:t>банка;</w:t>
      </w:r>
    </w:p>
    <w:p w:rsidR="00FB2463" w:rsidRPr="00D337FA" w:rsidRDefault="00FB2463" w:rsidP="00FB2463">
      <w:pPr>
        <w:ind w:firstLine="284"/>
      </w:pPr>
      <w:r w:rsidRPr="00D337FA">
        <w:t>-</w:t>
      </w:r>
      <w:r w:rsidR="006C680D" w:rsidRPr="00D337FA">
        <w:t xml:space="preserve"> </w:t>
      </w:r>
      <w:r w:rsidRPr="00D337FA">
        <w:t>достаточность</w:t>
      </w:r>
      <w:r w:rsidR="006C680D" w:rsidRPr="00D337FA">
        <w:t xml:space="preserve"> </w:t>
      </w:r>
      <w:r w:rsidRPr="00D337FA">
        <w:t>объема</w:t>
      </w:r>
      <w:r w:rsidR="006C680D" w:rsidRPr="00D337FA">
        <w:t xml:space="preserve"> </w:t>
      </w:r>
      <w:r w:rsidRPr="00D337FA">
        <w:t>финансирования,</w:t>
      </w:r>
      <w:r w:rsidR="006C680D" w:rsidRPr="00D337FA">
        <w:t xml:space="preserve"> </w:t>
      </w:r>
      <w:r w:rsidRPr="00D337FA">
        <w:t>запрашиваемого</w:t>
      </w:r>
      <w:r w:rsidR="006C680D" w:rsidRPr="00D337FA">
        <w:t xml:space="preserve"> </w:t>
      </w:r>
      <w:r w:rsidRPr="00D337FA">
        <w:t>санатором,</w:t>
      </w:r>
      <w:r w:rsidR="006C680D" w:rsidRPr="00D337FA">
        <w:t xml:space="preserve"> </w:t>
      </w:r>
      <w:r w:rsidRPr="00D337FA">
        <w:t>для</w:t>
      </w:r>
      <w:r w:rsidR="006C680D" w:rsidRPr="00D337FA">
        <w:t xml:space="preserve"> </w:t>
      </w:r>
      <w:r w:rsidRPr="00D337FA">
        <w:t>обеспечения</w:t>
      </w:r>
      <w:r w:rsidR="006C680D" w:rsidRPr="00D337FA">
        <w:t xml:space="preserve"> </w:t>
      </w:r>
      <w:r w:rsidRPr="00D337FA">
        <w:t>эффективности</w:t>
      </w:r>
      <w:r w:rsidR="006C680D" w:rsidRPr="00D337FA">
        <w:t xml:space="preserve"> </w:t>
      </w:r>
      <w:r w:rsidRPr="00D337FA">
        <w:t>мероприятий</w:t>
      </w:r>
      <w:r w:rsidR="006C680D" w:rsidRPr="00D337FA">
        <w:t xml:space="preserve"> </w:t>
      </w:r>
      <w:r w:rsidRPr="00D337FA">
        <w:t>по</w:t>
      </w:r>
      <w:r w:rsidR="006C680D" w:rsidRPr="00D337FA">
        <w:t xml:space="preserve"> </w:t>
      </w:r>
      <w:r w:rsidRPr="00D337FA">
        <w:t>финансовому</w:t>
      </w:r>
      <w:r w:rsidR="006C680D" w:rsidRPr="00D337FA">
        <w:t xml:space="preserve"> </w:t>
      </w:r>
      <w:r w:rsidRPr="00D337FA">
        <w:t>оздоровлению.</w:t>
      </w:r>
      <w:r w:rsidR="006C680D" w:rsidRPr="00D337FA">
        <w:t xml:space="preserve"> </w:t>
      </w:r>
      <w:r w:rsidRPr="00D337FA">
        <w:t>Введение</w:t>
      </w:r>
      <w:r w:rsidR="006C680D" w:rsidRPr="00D337FA">
        <w:t xml:space="preserve"> </w:t>
      </w:r>
      <w:r w:rsidRPr="00D337FA">
        <w:t>этого</w:t>
      </w:r>
      <w:r w:rsidR="006C680D" w:rsidRPr="00D337FA">
        <w:t xml:space="preserve"> </w:t>
      </w:r>
      <w:r w:rsidRPr="00D337FA">
        <w:t>показателя</w:t>
      </w:r>
      <w:r w:rsidR="006C680D" w:rsidRPr="00D337FA">
        <w:t xml:space="preserve"> </w:t>
      </w:r>
      <w:r w:rsidRPr="00D337FA">
        <w:t>в</w:t>
      </w:r>
      <w:r w:rsidR="006C680D" w:rsidRPr="00D337FA">
        <w:t xml:space="preserve"> </w:t>
      </w:r>
      <w:r w:rsidRPr="00D337FA">
        <w:t>состав</w:t>
      </w:r>
      <w:r w:rsidR="006C680D" w:rsidRPr="00D337FA">
        <w:t xml:space="preserve"> </w:t>
      </w:r>
      <w:r w:rsidRPr="00D337FA">
        <w:t>показателей</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продиктовано</w:t>
      </w:r>
      <w:r w:rsidR="006C680D" w:rsidRPr="00D337FA">
        <w:t xml:space="preserve"> </w:t>
      </w:r>
      <w:r w:rsidRPr="00D337FA">
        <w:t>негативной</w:t>
      </w:r>
      <w:r w:rsidR="006C680D" w:rsidRPr="00D337FA">
        <w:t xml:space="preserve"> </w:t>
      </w:r>
      <w:r w:rsidRPr="00D337FA">
        <w:t>тенденцией</w:t>
      </w:r>
      <w:r w:rsidR="006C680D" w:rsidRPr="00D337FA">
        <w:t xml:space="preserve"> </w:t>
      </w:r>
      <w:r w:rsidRPr="00D337FA">
        <w:t>к</w:t>
      </w:r>
      <w:r w:rsidR="006C680D" w:rsidRPr="00D337FA">
        <w:t xml:space="preserve"> </w:t>
      </w:r>
      <w:r w:rsidRPr="00D337FA">
        <w:t>росту</w:t>
      </w:r>
      <w:r w:rsidR="006C680D" w:rsidRPr="00D337FA">
        <w:t xml:space="preserve"> </w:t>
      </w:r>
      <w:r w:rsidRPr="00D337FA">
        <w:t>затрат</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банков</w:t>
      </w:r>
      <w:r w:rsidR="006C680D" w:rsidRPr="00D337FA">
        <w:t xml:space="preserve"> </w:t>
      </w:r>
      <w:r w:rsidRPr="00D337FA">
        <w:t>в</w:t>
      </w:r>
      <w:r w:rsidR="006C680D" w:rsidRPr="00D337FA">
        <w:t xml:space="preserve"> </w:t>
      </w:r>
      <w:r w:rsidRPr="00D337FA">
        <w:t>процессе</w:t>
      </w:r>
      <w:r w:rsidR="006C680D" w:rsidRPr="00D337FA">
        <w:t xml:space="preserve"> </w:t>
      </w:r>
      <w:r w:rsidRPr="00D337FA">
        <w:t>ее</w:t>
      </w:r>
      <w:r w:rsidR="006C680D" w:rsidRPr="00D337FA">
        <w:t xml:space="preserve"> </w:t>
      </w:r>
      <w:r w:rsidRPr="00D337FA">
        <w:t>осуществления.</w:t>
      </w:r>
      <w:r w:rsidR="006C680D" w:rsidRPr="00D337FA">
        <w:t xml:space="preserve"> </w:t>
      </w:r>
    </w:p>
    <w:p w:rsidR="00FB2463" w:rsidRPr="00D337FA" w:rsidRDefault="00FB2463" w:rsidP="00FB2463">
      <w:pPr>
        <w:ind w:firstLine="284"/>
      </w:pPr>
      <w:r w:rsidRPr="00D337FA">
        <w:t>Во-вторых,</w:t>
      </w:r>
      <w:r w:rsidR="006C680D" w:rsidRPr="00D337FA">
        <w:t xml:space="preserve"> </w:t>
      </w:r>
      <w:r w:rsidRPr="00D337FA">
        <w:t>принимая</w:t>
      </w:r>
      <w:r w:rsidR="006C680D" w:rsidRPr="00D337FA">
        <w:t xml:space="preserve"> </w:t>
      </w:r>
      <w:r w:rsidRPr="00D337FA">
        <w:t>во</w:t>
      </w:r>
      <w:r w:rsidR="006C680D" w:rsidRPr="00D337FA">
        <w:t xml:space="preserve"> </w:t>
      </w:r>
      <w:r w:rsidRPr="00D337FA">
        <w:t>внимание</w:t>
      </w:r>
      <w:r w:rsidR="006C680D" w:rsidRPr="00D337FA">
        <w:t xml:space="preserve"> </w:t>
      </w:r>
      <w:r w:rsidRPr="00D337FA">
        <w:t>продолжительность</w:t>
      </w:r>
      <w:r w:rsidR="006C680D" w:rsidRPr="00D337FA">
        <w:t xml:space="preserve"> </w:t>
      </w:r>
      <w:r w:rsidRPr="00D337FA">
        <w:t>процесса</w:t>
      </w:r>
      <w:r w:rsidR="006C680D" w:rsidRPr="00D337FA">
        <w:t xml:space="preserve"> </w:t>
      </w:r>
      <w:r w:rsidRPr="00D337FA">
        <w:t>санации</w:t>
      </w:r>
      <w:r w:rsidR="006C680D" w:rsidRPr="00D337FA">
        <w:t xml:space="preserve"> </w:t>
      </w:r>
      <w:r w:rsidRPr="00D337FA">
        <w:t>во</w:t>
      </w:r>
      <w:r w:rsidR="006C680D" w:rsidRPr="00D337FA">
        <w:t xml:space="preserve"> </w:t>
      </w:r>
      <w:r w:rsidRPr="00D337FA">
        <w:t>времени,</w:t>
      </w:r>
      <w:r w:rsidR="006C680D" w:rsidRPr="00D337FA">
        <w:t xml:space="preserve"> </w:t>
      </w:r>
      <w:r w:rsidRPr="00D337FA">
        <w:t>оценка</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должна</w:t>
      </w:r>
      <w:r w:rsidR="006C680D" w:rsidRPr="00D337FA">
        <w:t xml:space="preserve"> </w:t>
      </w:r>
      <w:r w:rsidRPr="00D337FA">
        <w:t>проводиться</w:t>
      </w:r>
      <w:r w:rsidR="006C680D" w:rsidRPr="00D337FA">
        <w:t xml:space="preserve"> </w:t>
      </w:r>
      <w:r w:rsidRPr="00D337FA">
        <w:t>на</w:t>
      </w:r>
      <w:r w:rsidR="006C680D" w:rsidRPr="00D337FA">
        <w:t xml:space="preserve"> </w:t>
      </w:r>
      <w:r w:rsidRPr="00D337FA">
        <w:t>всех</w:t>
      </w:r>
      <w:r w:rsidR="006C680D" w:rsidRPr="00D337FA">
        <w:t xml:space="preserve"> </w:t>
      </w:r>
      <w:r w:rsidRPr="00D337FA">
        <w:t>этапах</w:t>
      </w:r>
      <w:r w:rsidR="006C680D" w:rsidRPr="00D337FA">
        <w:t xml:space="preserve"> </w:t>
      </w:r>
      <w:r w:rsidRPr="00D337FA">
        <w:t>реализации</w:t>
      </w:r>
      <w:r w:rsidR="006C680D" w:rsidRPr="00D337FA">
        <w:t xml:space="preserve"> </w:t>
      </w:r>
      <w:r w:rsidRPr="00D337FA">
        <w:t>плана</w:t>
      </w:r>
      <w:r w:rsidR="006C680D" w:rsidRPr="00D337FA">
        <w:t xml:space="preserve"> </w:t>
      </w:r>
      <w:r w:rsidRPr="00D337FA">
        <w:t>санации</w:t>
      </w:r>
      <w:r w:rsidR="006C680D" w:rsidRPr="00D337FA">
        <w:t xml:space="preserve"> </w:t>
      </w:r>
      <w:r w:rsidRPr="00D337FA">
        <w:t>с</w:t>
      </w:r>
      <w:r w:rsidR="006C680D" w:rsidRPr="00D337FA">
        <w:t xml:space="preserve"> </w:t>
      </w:r>
      <w:r w:rsidRPr="00D337FA">
        <w:t>установленной</w:t>
      </w:r>
      <w:r w:rsidR="006C680D" w:rsidRPr="00D337FA">
        <w:t xml:space="preserve"> </w:t>
      </w:r>
      <w:r w:rsidRPr="00D337FA">
        <w:t>периодичностью</w:t>
      </w:r>
      <w:r w:rsidR="006C680D" w:rsidRPr="00D337FA">
        <w:t xml:space="preserve"> </w:t>
      </w:r>
      <w:r w:rsidRPr="00D337FA">
        <w:t>(ежегодно,</w:t>
      </w:r>
      <w:r w:rsidR="006C680D" w:rsidRPr="00D337FA">
        <w:t xml:space="preserve"> </w:t>
      </w:r>
      <w:r w:rsidRPr="00D337FA">
        <w:t>на</w:t>
      </w:r>
      <w:r w:rsidR="006C680D" w:rsidRPr="00D337FA">
        <w:t xml:space="preserve"> </w:t>
      </w:r>
      <w:r w:rsidRPr="00D337FA">
        <w:t>стадии</w:t>
      </w:r>
      <w:r w:rsidR="006C680D" w:rsidRPr="00D337FA">
        <w:t xml:space="preserve"> </w:t>
      </w:r>
      <w:r w:rsidRPr="00D337FA">
        <w:t>выхода</w:t>
      </w:r>
      <w:r w:rsidR="006C680D" w:rsidRPr="00D337FA">
        <w:t xml:space="preserve"> </w:t>
      </w:r>
      <w:r w:rsidRPr="00D337FA">
        <w:t>из</w:t>
      </w:r>
      <w:r w:rsidR="006C680D" w:rsidRPr="00D337FA">
        <w:t xml:space="preserve"> </w:t>
      </w:r>
      <w:r w:rsidRPr="00D337FA">
        <w:t>санации).</w:t>
      </w:r>
    </w:p>
    <w:p w:rsidR="00FB2463" w:rsidRPr="00D337FA" w:rsidRDefault="00FB2463" w:rsidP="00FB2463">
      <w:pPr>
        <w:ind w:firstLine="284"/>
      </w:pPr>
      <w:r w:rsidRPr="00D337FA">
        <w:lastRenderedPageBreak/>
        <w:t>В-третьих,</w:t>
      </w:r>
      <w:r w:rsidR="006C680D" w:rsidRPr="00D337FA">
        <w:t xml:space="preserve"> </w:t>
      </w:r>
      <w:r w:rsidRPr="00D337FA">
        <w:t>текущая</w:t>
      </w:r>
      <w:r w:rsidR="006C680D" w:rsidRPr="00D337FA">
        <w:t xml:space="preserve"> </w:t>
      </w:r>
      <w:r w:rsidRPr="00D337FA">
        <w:t>эффективность</w:t>
      </w:r>
      <w:r w:rsidR="006C680D" w:rsidRPr="00D337FA">
        <w:t xml:space="preserve"> </w:t>
      </w:r>
      <w:r w:rsidRPr="00D337FA">
        <w:t>санации</w:t>
      </w:r>
      <w:r w:rsidR="006C680D" w:rsidRPr="00D337FA">
        <w:t xml:space="preserve"> </w:t>
      </w:r>
      <w:r w:rsidRPr="00D337FA">
        <w:t>должна</w:t>
      </w:r>
      <w:r w:rsidR="006C680D" w:rsidRPr="00D337FA">
        <w:t xml:space="preserve"> </w:t>
      </w:r>
      <w:r w:rsidRPr="00D337FA">
        <w:t>оцениваться</w:t>
      </w:r>
      <w:r w:rsidR="006C680D" w:rsidRPr="00D337FA">
        <w:t xml:space="preserve"> </w:t>
      </w:r>
      <w:r w:rsidRPr="00D337FA">
        <w:t>с</w:t>
      </w:r>
      <w:r w:rsidR="006C680D" w:rsidRPr="00D337FA">
        <w:t xml:space="preserve"> </w:t>
      </w:r>
      <w:r w:rsidRPr="00D337FA">
        <w:t>использованием</w:t>
      </w:r>
      <w:r w:rsidR="006C680D" w:rsidRPr="00D337FA">
        <w:t xml:space="preserve"> </w:t>
      </w:r>
      <w:r w:rsidRPr="00D337FA">
        <w:t>системы</w:t>
      </w:r>
      <w:r w:rsidR="006C680D" w:rsidRPr="00D337FA">
        <w:t xml:space="preserve"> </w:t>
      </w:r>
      <w:r w:rsidRPr="00D337FA">
        <w:t>критериев,</w:t>
      </w:r>
      <w:r w:rsidR="006C680D" w:rsidRPr="00D337FA">
        <w:t xml:space="preserve"> </w:t>
      </w:r>
      <w:r w:rsidRPr="00D337FA">
        <w:t>позволяющих</w:t>
      </w:r>
      <w:r w:rsidR="006C680D" w:rsidRPr="00D337FA">
        <w:t xml:space="preserve"> </w:t>
      </w:r>
      <w:r w:rsidRPr="00D337FA">
        <w:t>интерпретировать</w:t>
      </w:r>
      <w:r w:rsidR="006C680D" w:rsidRPr="00D337FA">
        <w:t xml:space="preserve"> </w:t>
      </w:r>
      <w:r w:rsidRPr="00D337FA">
        <w:t>полученные</w:t>
      </w:r>
      <w:r w:rsidR="006C680D" w:rsidRPr="00D337FA">
        <w:t xml:space="preserve"> </w:t>
      </w:r>
      <w:r w:rsidRPr="00D337FA">
        <w:t>в</w:t>
      </w:r>
      <w:r w:rsidR="006C680D" w:rsidRPr="00D337FA">
        <w:t xml:space="preserve"> </w:t>
      </w:r>
      <w:r w:rsidRPr="00D337FA">
        <w:t>ходе</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банка</w:t>
      </w:r>
      <w:r w:rsidR="006C680D" w:rsidRPr="00D337FA">
        <w:t xml:space="preserve"> </w:t>
      </w:r>
      <w:r w:rsidRPr="00D337FA">
        <w:t>результаты.</w:t>
      </w:r>
      <w:r w:rsidR="006C680D" w:rsidRPr="00D337FA">
        <w:t xml:space="preserve"> </w:t>
      </w:r>
      <w:r w:rsidRPr="00D337FA">
        <w:t>В</w:t>
      </w:r>
      <w:r w:rsidR="006C680D" w:rsidRPr="00D337FA">
        <w:t xml:space="preserve"> </w:t>
      </w:r>
      <w:r w:rsidRPr="00D337FA">
        <w:t>качестве</w:t>
      </w:r>
      <w:r w:rsidR="006C680D" w:rsidRPr="00D337FA">
        <w:t xml:space="preserve"> </w:t>
      </w:r>
      <w:r w:rsidRPr="00D337FA">
        <w:t>промежуточных</w:t>
      </w:r>
      <w:r w:rsidR="006C680D" w:rsidRPr="00D337FA">
        <w:t xml:space="preserve"> </w:t>
      </w:r>
      <w:r w:rsidRPr="00D337FA">
        <w:t>результатов,</w:t>
      </w:r>
      <w:r w:rsidR="006C680D" w:rsidRPr="00D337FA">
        <w:t xml:space="preserve"> </w:t>
      </w:r>
      <w:r w:rsidRPr="00D337FA">
        <w:t>на</w:t>
      </w:r>
      <w:r w:rsidR="006C680D" w:rsidRPr="00D337FA">
        <w:t xml:space="preserve"> </w:t>
      </w:r>
      <w:r w:rsidRPr="00D337FA">
        <w:t>основе</w:t>
      </w:r>
      <w:r w:rsidR="006C680D" w:rsidRPr="00D337FA">
        <w:t xml:space="preserve"> </w:t>
      </w:r>
      <w:r w:rsidRPr="00D337FA">
        <w:t>которых</w:t>
      </w:r>
      <w:r w:rsidR="006C680D" w:rsidRPr="00D337FA">
        <w:t xml:space="preserve"> </w:t>
      </w:r>
      <w:r w:rsidRPr="00D337FA">
        <w:t>делается</w:t>
      </w:r>
      <w:r w:rsidR="006C680D" w:rsidRPr="00D337FA">
        <w:t xml:space="preserve"> </w:t>
      </w:r>
      <w:r w:rsidRPr="00D337FA">
        <w:t>вывод</w:t>
      </w:r>
      <w:r w:rsidR="006C680D" w:rsidRPr="00D337FA">
        <w:t xml:space="preserve"> </w:t>
      </w:r>
      <w:r w:rsidRPr="00D337FA">
        <w:t>об</w:t>
      </w:r>
      <w:r w:rsidR="006C680D" w:rsidRPr="00D337FA">
        <w:t xml:space="preserve"> </w:t>
      </w:r>
      <w:r w:rsidRPr="00D337FA">
        <w:t>эффективности</w:t>
      </w:r>
      <w:r w:rsidR="006C680D" w:rsidRPr="00D337FA">
        <w:t xml:space="preserve"> </w:t>
      </w:r>
      <w:r w:rsidRPr="00D337FA">
        <w:t>процесса</w:t>
      </w:r>
      <w:r w:rsidR="006C680D" w:rsidRPr="00D337FA">
        <w:t xml:space="preserve"> </w:t>
      </w:r>
      <w:r w:rsidRPr="00D337FA">
        <w:t>санации,</w:t>
      </w:r>
      <w:r w:rsidR="006C680D" w:rsidRPr="00D337FA">
        <w:t xml:space="preserve"> </w:t>
      </w:r>
      <w:r w:rsidRPr="00D337FA">
        <w:t>необходимо</w:t>
      </w:r>
      <w:r w:rsidR="006C680D" w:rsidRPr="00D337FA">
        <w:t xml:space="preserve"> </w:t>
      </w:r>
      <w:r w:rsidRPr="00D337FA">
        <w:t>выделять</w:t>
      </w:r>
      <w:r w:rsidR="006C680D" w:rsidRPr="00D337FA">
        <w:t xml:space="preserve"> </w:t>
      </w:r>
      <w:r w:rsidRPr="00D337FA">
        <w:t>базовые</w:t>
      </w:r>
      <w:r w:rsidR="006C680D" w:rsidRPr="00D337FA">
        <w:t xml:space="preserve"> </w:t>
      </w:r>
      <w:r w:rsidRPr="00D337FA">
        <w:t>показатели</w:t>
      </w:r>
      <w:r w:rsidR="006C680D" w:rsidRPr="00D337FA">
        <w:t xml:space="preserve"> </w:t>
      </w:r>
      <w:r w:rsidRPr="00D337FA">
        <w:t>деятельности</w:t>
      </w:r>
      <w:r w:rsidR="006C680D" w:rsidRPr="00D337FA">
        <w:t xml:space="preserve"> </w:t>
      </w:r>
      <w:r w:rsidRPr="00D337FA">
        <w:t>банка,</w:t>
      </w:r>
      <w:r w:rsidR="006C680D" w:rsidRPr="00D337FA">
        <w:t xml:space="preserve"> </w:t>
      </w:r>
      <w:r w:rsidRPr="00D337FA">
        <w:t>позитивная</w:t>
      </w:r>
      <w:r w:rsidR="006C680D" w:rsidRPr="00D337FA">
        <w:t xml:space="preserve"> </w:t>
      </w:r>
      <w:r w:rsidRPr="00D337FA">
        <w:t>динамика</w:t>
      </w:r>
      <w:r w:rsidR="006C680D" w:rsidRPr="00D337FA">
        <w:t xml:space="preserve"> </w:t>
      </w:r>
      <w:r w:rsidRPr="00D337FA">
        <w:t>которых</w:t>
      </w:r>
      <w:r w:rsidR="006C680D" w:rsidRPr="00D337FA">
        <w:t xml:space="preserve"> </w:t>
      </w:r>
      <w:r w:rsidRPr="00D337FA">
        <w:t>свидетельствует</w:t>
      </w:r>
      <w:r w:rsidR="006C680D" w:rsidRPr="00D337FA">
        <w:t xml:space="preserve"> </w:t>
      </w:r>
      <w:r w:rsidRPr="00D337FA">
        <w:t>о</w:t>
      </w:r>
      <w:r w:rsidR="006C680D" w:rsidRPr="00D337FA">
        <w:t xml:space="preserve"> </w:t>
      </w:r>
      <w:r w:rsidRPr="00D337FA">
        <w:t>восстановлении</w:t>
      </w:r>
      <w:r w:rsidR="006C680D" w:rsidRPr="00D337FA">
        <w:t xml:space="preserve"> </w:t>
      </w:r>
      <w:r w:rsidRPr="00D337FA">
        <w:t>его</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Для</w:t>
      </w:r>
      <w:r w:rsidR="006C680D" w:rsidRPr="00D337FA">
        <w:t xml:space="preserve"> </w:t>
      </w:r>
      <w:r w:rsidRPr="00D337FA">
        <w:t>этих</w:t>
      </w:r>
      <w:r w:rsidR="006C680D" w:rsidRPr="00D337FA">
        <w:t xml:space="preserve"> </w:t>
      </w:r>
      <w:r w:rsidRPr="00D337FA">
        <w:t>целей</w:t>
      </w:r>
      <w:r w:rsidR="006C680D" w:rsidRPr="00D337FA">
        <w:t xml:space="preserve"> </w:t>
      </w:r>
      <w:r w:rsidRPr="00D337FA">
        <w:t>можно</w:t>
      </w:r>
      <w:r w:rsidR="006C680D" w:rsidRPr="00D337FA">
        <w:t xml:space="preserve"> </w:t>
      </w:r>
      <w:r w:rsidRPr="00D337FA">
        <w:t>использовать</w:t>
      </w:r>
      <w:r w:rsidR="006C680D" w:rsidRPr="00D337FA">
        <w:t xml:space="preserve"> </w:t>
      </w:r>
      <w:r w:rsidRPr="00D337FA">
        <w:t>показатели,</w:t>
      </w:r>
      <w:r w:rsidR="006C680D" w:rsidRPr="00D337FA">
        <w:t xml:space="preserve"> </w:t>
      </w:r>
      <w:r w:rsidRPr="00D337FA">
        <w:t>положенные</w:t>
      </w:r>
      <w:r w:rsidR="006C680D" w:rsidRPr="00D337FA">
        <w:t xml:space="preserve"> </w:t>
      </w:r>
      <w:r w:rsidRPr="00D337FA">
        <w:t>в</w:t>
      </w:r>
      <w:r w:rsidR="006C680D" w:rsidRPr="00D337FA">
        <w:t xml:space="preserve"> </w:t>
      </w:r>
      <w:r w:rsidRPr="00D337FA">
        <w:t>основу</w:t>
      </w:r>
      <w:r w:rsidR="006C680D" w:rsidRPr="00D337FA">
        <w:t xml:space="preserve"> </w:t>
      </w:r>
      <w:r w:rsidRPr="00D337FA">
        <w:t>классификации</w:t>
      </w:r>
      <w:r w:rsidR="006C680D" w:rsidRPr="00D337FA">
        <w:t xml:space="preserve"> </w:t>
      </w:r>
      <w:r w:rsidRPr="00D337FA">
        <w:t>банков</w:t>
      </w:r>
      <w:r w:rsidR="006C680D" w:rsidRPr="00D337FA">
        <w:t xml:space="preserve"> </w:t>
      </w:r>
      <w:r w:rsidRPr="00D337FA">
        <w:t>по</w:t>
      </w:r>
      <w:r w:rsidR="006C680D" w:rsidRPr="00D337FA">
        <w:t xml:space="preserve"> </w:t>
      </w:r>
      <w:r w:rsidRPr="00D337FA">
        <w:t>группам</w:t>
      </w:r>
      <w:r w:rsidR="006C680D" w:rsidRPr="00D337FA">
        <w:t xml:space="preserve"> </w:t>
      </w:r>
      <w:r w:rsidRPr="00D337FA">
        <w:t>проблемности,</w:t>
      </w:r>
      <w:r w:rsidR="006C680D" w:rsidRPr="00D337FA">
        <w:t xml:space="preserve"> </w:t>
      </w:r>
      <w:r w:rsidRPr="00D337FA">
        <w:t>перечень</w:t>
      </w:r>
      <w:r w:rsidR="006C680D" w:rsidRPr="00D337FA">
        <w:t xml:space="preserve"> </w:t>
      </w:r>
      <w:r w:rsidRPr="00D337FA">
        <w:t>и</w:t>
      </w:r>
      <w:r w:rsidR="006C680D" w:rsidRPr="00D337FA">
        <w:t xml:space="preserve"> </w:t>
      </w:r>
      <w:r w:rsidRPr="00D337FA">
        <w:t>методика</w:t>
      </w:r>
      <w:r w:rsidR="006C680D" w:rsidRPr="00D337FA">
        <w:t xml:space="preserve"> </w:t>
      </w:r>
      <w:r w:rsidRPr="00D337FA">
        <w:t>расчета</w:t>
      </w:r>
      <w:r w:rsidR="006C680D" w:rsidRPr="00D337FA">
        <w:t xml:space="preserve"> </w:t>
      </w:r>
      <w:r w:rsidRPr="00D337FA">
        <w:t>которых</w:t>
      </w:r>
      <w:r w:rsidR="006C680D" w:rsidRPr="00D337FA">
        <w:t xml:space="preserve"> </w:t>
      </w:r>
      <w:r w:rsidRPr="00D337FA">
        <w:t>регламентированы</w:t>
      </w:r>
      <w:r w:rsidR="006C680D" w:rsidRPr="00D337FA">
        <w:t xml:space="preserve"> </w:t>
      </w:r>
      <w:r w:rsidRPr="00D337FA">
        <w:t>Указанием</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от</w:t>
      </w:r>
      <w:r w:rsidR="006C680D" w:rsidRPr="00D337FA">
        <w:t xml:space="preserve"> </w:t>
      </w:r>
      <w:r w:rsidRPr="00D337FA">
        <w:t>3</w:t>
      </w:r>
      <w:r w:rsidR="006C680D" w:rsidRPr="00D337FA">
        <w:t xml:space="preserve"> </w:t>
      </w:r>
      <w:r w:rsidRPr="00D337FA">
        <w:t>апреля</w:t>
      </w:r>
      <w:r w:rsidR="006C680D" w:rsidRPr="00D337FA">
        <w:t xml:space="preserve"> </w:t>
      </w:r>
      <w:r w:rsidRPr="00D337FA">
        <w:t>2017</w:t>
      </w:r>
      <w:r w:rsidR="006C680D" w:rsidRPr="00D337FA">
        <w:t xml:space="preserve"> </w:t>
      </w:r>
      <w:r w:rsidRPr="00D337FA">
        <w:t>года</w:t>
      </w:r>
      <w:r w:rsidR="006C680D" w:rsidRPr="00D337FA">
        <w:t xml:space="preserve"> </w:t>
      </w:r>
      <w:r w:rsidRPr="00D337FA">
        <w:t>№</w:t>
      </w:r>
      <w:r w:rsidR="00D337FA">
        <w:t xml:space="preserve"> </w:t>
      </w:r>
      <w:r w:rsidRPr="00D337FA">
        <w:t>4336-У</w:t>
      </w:r>
      <w:r w:rsidR="006C680D" w:rsidRPr="00D337FA">
        <w:t xml:space="preserve"> </w:t>
      </w:r>
      <w:r w:rsidRPr="00D337FA">
        <w:t>«Об</w:t>
      </w:r>
      <w:r w:rsidR="006C680D" w:rsidRPr="00D337FA">
        <w:t xml:space="preserve"> </w:t>
      </w:r>
      <w:r w:rsidRPr="00D337FA">
        <w:t>оценке</w:t>
      </w:r>
      <w:r w:rsidR="006C680D" w:rsidRPr="00D337FA">
        <w:t xml:space="preserve"> </w:t>
      </w:r>
      <w:r w:rsidRPr="00D337FA">
        <w:t>экономического</w:t>
      </w:r>
      <w:r w:rsidR="006C680D" w:rsidRPr="00D337FA">
        <w:t xml:space="preserve"> </w:t>
      </w:r>
      <w:r w:rsidRPr="00D337FA">
        <w:t>положения</w:t>
      </w:r>
      <w:r w:rsidR="006C680D" w:rsidRPr="00D337FA">
        <w:t xml:space="preserve"> </w:t>
      </w:r>
      <w:r w:rsidRPr="00D337FA">
        <w:t>банков».</w:t>
      </w:r>
      <w:r w:rsidR="006C680D" w:rsidRPr="00D337FA">
        <w:t xml:space="preserve"> </w:t>
      </w:r>
      <w:r w:rsidRPr="00D337FA">
        <w:t>Преимущества</w:t>
      </w:r>
      <w:r w:rsidR="006C680D" w:rsidRPr="00D337FA">
        <w:t xml:space="preserve"> </w:t>
      </w:r>
      <w:r w:rsidRPr="00D337FA">
        <w:t>этой</w:t>
      </w:r>
      <w:r w:rsidR="006C680D" w:rsidRPr="00D337FA">
        <w:t xml:space="preserve"> </w:t>
      </w:r>
      <w:r w:rsidRPr="00D337FA">
        <w:t>методики</w:t>
      </w:r>
      <w:r w:rsidR="006C680D" w:rsidRPr="00D337FA">
        <w:t xml:space="preserve"> </w:t>
      </w:r>
      <w:r w:rsidRPr="00D337FA">
        <w:t>заключается</w:t>
      </w:r>
      <w:r w:rsidR="006C680D" w:rsidRPr="00D337FA">
        <w:t xml:space="preserve"> </w:t>
      </w:r>
      <w:r w:rsidRPr="00D337FA">
        <w:t>в</w:t>
      </w:r>
      <w:r w:rsidR="006C680D" w:rsidRPr="00D337FA">
        <w:t xml:space="preserve"> </w:t>
      </w:r>
      <w:r w:rsidRPr="00D337FA">
        <w:t>том,</w:t>
      </w:r>
      <w:r w:rsidR="006C680D" w:rsidRPr="00D337FA">
        <w:t xml:space="preserve"> </w:t>
      </w:r>
      <w:r w:rsidRPr="00D337FA">
        <w:t>что</w:t>
      </w:r>
      <w:r w:rsidR="006C680D" w:rsidRPr="00D337FA">
        <w:t xml:space="preserve"> </w:t>
      </w:r>
      <w:r w:rsidRPr="00D337FA">
        <w:t>она</w:t>
      </w:r>
      <w:r w:rsidR="006C680D" w:rsidRPr="00D337FA">
        <w:t xml:space="preserve"> </w:t>
      </w:r>
      <w:r w:rsidRPr="00D337FA">
        <w:t>позволяет</w:t>
      </w:r>
      <w:r w:rsidR="006C680D" w:rsidRPr="00D337FA">
        <w:t xml:space="preserve"> </w:t>
      </w:r>
      <w:r w:rsidRPr="00D337FA">
        <w:t>давать</w:t>
      </w:r>
      <w:r w:rsidR="006C680D" w:rsidRPr="00D337FA">
        <w:t xml:space="preserve"> </w:t>
      </w:r>
      <w:r w:rsidRPr="00D337FA">
        <w:t>оценку</w:t>
      </w:r>
      <w:r w:rsidR="006C680D" w:rsidRPr="00D337FA">
        <w:t xml:space="preserve"> </w:t>
      </w:r>
      <w:r w:rsidRPr="00D337FA">
        <w:t>динамическим</w:t>
      </w:r>
      <w:r w:rsidR="006C680D" w:rsidRPr="00D337FA">
        <w:t xml:space="preserve"> </w:t>
      </w:r>
      <w:r w:rsidRPr="00D337FA">
        <w:t>изменениям</w:t>
      </w:r>
      <w:r w:rsidR="006C680D" w:rsidRPr="00D337FA">
        <w:t xml:space="preserve"> </w:t>
      </w:r>
      <w:r w:rsidRPr="00D337FA">
        <w:t>капитала</w:t>
      </w:r>
      <w:r w:rsidR="006C680D" w:rsidRPr="00D337FA">
        <w:t xml:space="preserve"> </w:t>
      </w:r>
      <w:r w:rsidRPr="00D337FA">
        <w:t>банка,</w:t>
      </w:r>
      <w:r w:rsidR="006C680D" w:rsidRPr="00D337FA">
        <w:t xml:space="preserve"> </w:t>
      </w:r>
      <w:r w:rsidRPr="00D337FA">
        <w:t>его</w:t>
      </w:r>
      <w:r w:rsidR="006C680D" w:rsidRPr="00D337FA">
        <w:t xml:space="preserve"> </w:t>
      </w:r>
      <w:r w:rsidRPr="00D337FA">
        <w:t>активов,</w:t>
      </w:r>
      <w:r w:rsidR="006C680D" w:rsidRPr="00D337FA">
        <w:t xml:space="preserve"> </w:t>
      </w:r>
      <w:r w:rsidRPr="00D337FA">
        <w:t>доходности,</w:t>
      </w:r>
      <w:r w:rsidR="006C680D" w:rsidRPr="00D337FA">
        <w:t xml:space="preserve"> </w:t>
      </w:r>
      <w:r w:rsidRPr="00D337FA">
        <w:t>ликвидности,</w:t>
      </w:r>
      <w:r w:rsidR="006C680D" w:rsidRPr="00D337FA">
        <w:t xml:space="preserve"> </w:t>
      </w:r>
      <w:r w:rsidRPr="00D337FA">
        <w:t>рисков</w:t>
      </w:r>
      <w:r w:rsidR="006C680D" w:rsidRPr="00D337FA">
        <w:t xml:space="preserve"> </w:t>
      </w:r>
      <w:r w:rsidRPr="00D337FA">
        <w:t>концентрации,</w:t>
      </w:r>
      <w:r w:rsidR="006C680D" w:rsidRPr="00D337FA">
        <w:t xml:space="preserve"> </w:t>
      </w:r>
      <w:r w:rsidRPr="00D337FA">
        <w:t>обязательных</w:t>
      </w:r>
      <w:r w:rsidR="006C680D" w:rsidRPr="00D337FA">
        <w:t xml:space="preserve"> </w:t>
      </w:r>
      <w:r w:rsidRPr="00D337FA">
        <w:t>экономических</w:t>
      </w:r>
      <w:r w:rsidR="006C680D" w:rsidRPr="00D337FA">
        <w:t xml:space="preserve"> </w:t>
      </w:r>
      <w:r w:rsidRPr="00D337FA">
        <w:t>нормативов</w:t>
      </w:r>
      <w:r w:rsidR="006C680D" w:rsidRPr="00D337FA">
        <w:t xml:space="preserve"> </w:t>
      </w:r>
      <w:r w:rsidRPr="00D337FA">
        <w:t>и</w:t>
      </w:r>
      <w:r w:rsidR="006C680D" w:rsidRPr="00D337FA">
        <w:t xml:space="preserve"> </w:t>
      </w:r>
      <w:r w:rsidRPr="00D337FA">
        <w:t>качества</w:t>
      </w:r>
      <w:r w:rsidR="006C680D" w:rsidRPr="00D337FA">
        <w:t xml:space="preserve"> </w:t>
      </w:r>
      <w:r w:rsidRPr="00D337FA">
        <w:t>управления</w:t>
      </w:r>
      <w:r w:rsidR="006C680D" w:rsidRPr="00D337FA">
        <w:t xml:space="preserve"> </w:t>
      </w:r>
      <w:r w:rsidRPr="00D337FA">
        <w:t>банком.</w:t>
      </w:r>
      <w:r w:rsidR="006C680D" w:rsidRPr="00D337FA">
        <w:t xml:space="preserve"> </w:t>
      </w:r>
      <w:r w:rsidRPr="00D337FA">
        <w:t>Критерием</w:t>
      </w:r>
      <w:r w:rsidR="006C680D" w:rsidRPr="00D337FA">
        <w:t xml:space="preserve"> </w:t>
      </w:r>
      <w:r w:rsidRPr="00D337FA">
        <w:t>признания</w:t>
      </w:r>
      <w:r w:rsidR="006C680D" w:rsidRPr="00D337FA">
        <w:t xml:space="preserve"> </w:t>
      </w:r>
      <w:r w:rsidRPr="00D337FA">
        <w:t>санационных</w:t>
      </w:r>
      <w:r w:rsidR="006C680D" w:rsidRPr="00D337FA">
        <w:t xml:space="preserve"> </w:t>
      </w:r>
      <w:r w:rsidRPr="00D337FA">
        <w:t>процедур</w:t>
      </w:r>
      <w:r w:rsidR="006C680D" w:rsidRPr="00D337FA">
        <w:t xml:space="preserve"> </w:t>
      </w:r>
      <w:r w:rsidRPr="00D337FA">
        <w:t>эффективными</w:t>
      </w:r>
      <w:r w:rsidR="006C680D" w:rsidRPr="00D337FA">
        <w:t xml:space="preserve"> </w:t>
      </w:r>
      <w:r w:rsidRPr="00D337FA">
        <w:t>должна</w:t>
      </w:r>
      <w:r w:rsidR="006C680D" w:rsidRPr="00D337FA">
        <w:t xml:space="preserve"> </w:t>
      </w:r>
      <w:r w:rsidRPr="00D337FA">
        <w:t>стать</w:t>
      </w:r>
      <w:r w:rsidR="006C680D" w:rsidRPr="00D337FA">
        <w:t xml:space="preserve"> </w:t>
      </w:r>
      <w:r w:rsidRPr="00D337FA">
        <w:t>«миграция»</w:t>
      </w:r>
      <w:r w:rsidR="006C680D" w:rsidRPr="00D337FA">
        <w:t xml:space="preserve"> </w:t>
      </w:r>
      <w:r w:rsidRPr="00D337FA">
        <w:t>банка</w:t>
      </w:r>
      <w:r w:rsidR="006C680D" w:rsidRPr="00D337FA">
        <w:t xml:space="preserve"> </w:t>
      </w:r>
      <w:r w:rsidRPr="00D337FA">
        <w:t>из</w:t>
      </w:r>
      <w:r w:rsidR="006C680D" w:rsidRPr="00D337FA">
        <w:t xml:space="preserve"> </w:t>
      </w:r>
      <w:r w:rsidRPr="00D337FA">
        <w:t>одной</w:t>
      </w:r>
      <w:r w:rsidR="006C680D" w:rsidRPr="00D337FA">
        <w:t xml:space="preserve"> </w:t>
      </w:r>
      <w:r w:rsidRPr="00D337FA">
        <w:t>классификационной</w:t>
      </w:r>
      <w:r w:rsidR="006C680D" w:rsidRPr="00D337FA">
        <w:t xml:space="preserve"> </w:t>
      </w:r>
      <w:r w:rsidRPr="00D337FA">
        <w:t>группы</w:t>
      </w:r>
      <w:r w:rsidR="006C680D" w:rsidRPr="00D337FA">
        <w:t xml:space="preserve"> </w:t>
      </w:r>
      <w:r w:rsidRPr="00D337FA">
        <w:t>с</w:t>
      </w:r>
      <w:r w:rsidR="006C680D" w:rsidRPr="00D337FA">
        <w:t xml:space="preserve"> </w:t>
      </w:r>
      <w:r w:rsidRPr="00D337FA">
        <w:t>высокой</w:t>
      </w:r>
      <w:r w:rsidR="006C680D" w:rsidRPr="00D337FA">
        <w:t xml:space="preserve"> </w:t>
      </w:r>
      <w:r w:rsidRPr="00D337FA">
        <w:t>степенью</w:t>
      </w:r>
      <w:r w:rsidR="006C680D" w:rsidRPr="00D337FA">
        <w:t xml:space="preserve"> </w:t>
      </w:r>
      <w:r w:rsidRPr="00D337FA">
        <w:t>проблемности</w:t>
      </w:r>
      <w:r w:rsidR="006C680D" w:rsidRPr="00D337FA">
        <w:t xml:space="preserve"> </w:t>
      </w:r>
      <w:r w:rsidRPr="00D337FA">
        <w:t>в</w:t>
      </w:r>
      <w:r w:rsidR="006C680D" w:rsidRPr="00D337FA">
        <w:t xml:space="preserve"> </w:t>
      </w:r>
      <w:r w:rsidRPr="00D337FA">
        <w:t>другую,</w:t>
      </w:r>
      <w:r w:rsidR="006C680D" w:rsidRPr="00D337FA">
        <w:t xml:space="preserve"> </w:t>
      </w:r>
      <w:r w:rsidRPr="00D337FA">
        <w:t>с</w:t>
      </w:r>
      <w:r w:rsidR="006C680D" w:rsidRPr="00D337FA">
        <w:t xml:space="preserve"> </w:t>
      </w:r>
      <w:r w:rsidRPr="00D337FA">
        <w:t>низкой</w:t>
      </w:r>
      <w:r w:rsidR="006C680D" w:rsidRPr="00D337FA">
        <w:t xml:space="preserve"> </w:t>
      </w:r>
      <w:r w:rsidRPr="00D337FA">
        <w:t>степенью</w:t>
      </w:r>
      <w:r w:rsidR="006C680D" w:rsidRPr="00D337FA">
        <w:t xml:space="preserve"> </w:t>
      </w:r>
      <w:r w:rsidRPr="00D337FA">
        <w:t>проблемности.</w:t>
      </w:r>
      <w:r w:rsidR="006C680D" w:rsidRPr="00D337FA">
        <w:t xml:space="preserve">      </w:t>
      </w:r>
    </w:p>
    <w:p w:rsidR="00FB2463" w:rsidRPr="00D337FA" w:rsidRDefault="00FB2463" w:rsidP="00FB2463">
      <w:pPr>
        <w:ind w:firstLine="284"/>
      </w:pPr>
      <w:r w:rsidRPr="00D337FA">
        <w:lastRenderedPageBreak/>
        <w:t>В-четвертых,</w:t>
      </w:r>
      <w:r w:rsidR="006C680D" w:rsidRPr="00D337FA">
        <w:t xml:space="preserve"> </w:t>
      </w:r>
      <w:r w:rsidRPr="00D337FA">
        <w:t>по</w:t>
      </w:r>
      <w:r w:rsidR="006C680D" w:rsidRPr="00D337FA">
        <w:t xml:space="preserve"> </w:t>
      </w:r>
      <w:r w:rsidRPr="00D337FA">
        <w:t>завершению</w:t>
      </w:r>
      <w:r w:rsidR="006C680D" w:rsidRPr="00D337FA">
        <w:t xml:space="preserve"> </w:t>
      </w:r>
      <w:r w:rsidRPr="00D337FA">
        <w:t>санации</w:t>
      </w:r>
      <w:r w:rsidR="006C680D" w:rsidRPr="00D337FA">
        <w:t xml:space="preserve"> </w:t>
      </w:r>
      <w:r w:rsidRPr="00D337FA">
        <w:t>можно</w:t>
      </w:r>
      <w:r w:rsidR="006C680D" w:rsidRPr="00D337FA">
        <w:t xml:space="preserve"> </w:t>
      </w:r>
      <w:r w:rsidRPr="00D337FA">
        <w:t>говорить</w:t>
      </w:r>
      <w:r w:rsidR="006C680D" w:rsidRPr="00D337FA">
        <w:t xml:space="preserve"> </w:t>
      </w:r>
      <w:r w:rsidRPr="00D337FA">
        <w:t>об</w:t>
      </w:r>
      <w:r w:rsidR="006C680D" w:rsidRPr="00D337FA">
        <w:t xml:space="preserve"> </w:t>
      </w:r>
      <w:r w:rsidRPr="00D337FA">
        <w:t>ее</w:t>
      </w:r>
      <w:r w:rsidR="006C680D" w:rsidRPr="00D337FA">
        <w:t xml:space="preserve"> </w:t>
      </w:r>
      <w:r w:rsidRPr="00D337FA">
        <w:t>общей</w:t>
      </w:r>
      <w:r w:rsidR="006C680D" w:rsidRPr="00D337FA">
        <w:t xml:space="preserve"> </w:t>
      </w:r>
      <w:r w:rsidRPr="00D337FA">
        <w:t>(итоговой,</w:t>
      </w:r>
      <w:r w:rsidR="006C680D" w:rsidRPr="00D337FA">
        <w:t xml:space="preserve"> </w:t>
      </w:r>
      <w:r w:rsidRPr="00D337FA">
        <w:t>конечной)</w:t>
      </w:r>
      <w:r w:rsidR="006C680D" w:rsidRPr="00D337FA">
        <w:t xml:space="preserve"> </w:t>
      </w:r>
      <w:r w:rsidRPr="00D337FA">
        <w:t>эффективности.</w:t>
      </w:r>
      <w:r w:rsidR="006C680D" w:rsidRPr="00D337FA">
        <w:t xml:space="preserve"> </w:t>
      </w:r>
      <w:r w:rsidRPr="00D337FA">
        <w:t>При</w:t>
      </w:r>
      <w:r w:rsidR="006C680D" w:rsidRPr="00D337FA">
        <w:t xml:space="preserve"> </w:t>
      </w:r>
      <w:r w:rsidRPr="00D337FA">
        <w:t>этом,</w:t>
      </w:r>
      <w:r w:rsidR="006C680D" w:rsidRPr="00D337FA">
        <w:t xml:space="preserve"> </w:t>
      </w:r>
      <w:r w:rsidRPr="00D337FA">
        <w:t>общая</w:t>
      </w:r>
      <w:r w:rsidR="006C680D" w:rsidRPr="00D337FA">
        <w:t xml:space="preserve"> </w:t>
      </w:r>
      <w:r w:rsidRPr="00D337FA">
        <w:t>эффективность</w:t>
      </w:r>
      <w:r w:rsidR="006C680D" w:rsidRPr="00D337FA">
        <w:t xml:space="preserve"> </w:t>
      </w:r>
      <w:r w:rsidRPr="00D337FA">
        <w:t>санации</w:t>
      </w:r>
      <w:r w:rsidR="006C680D" w:rsidRPr="00D337FA">
        <w:t xml:space="preserve"> </w:t>
      </w:r>
      <w:r w:rsidRPr="00D337FA">
        <w:t>должна</w:t>
      </w:r>
      <w:r w:rsidR="006C680D" w:rsidRPr="00D337FA">
        <w:t xml:space="preserve"> </w:t>
      </w:r>
      <w:r w:rsidRPr="00D337FA">
        <w:t>рассматриваться</w:t>
      </w:r>
      <w:r w:rsidR="006C680D" w:rsidRPr="00D337FA">
        <w:t xml:space="preserve"> </w:t>
      </w:r>
      <w:r w:rsidRPr="00D337FA">
        <w:t>во</w:t>
      </w:r>
      <w:r w:rsidR="006C680D" w:rsidRPr="00D337FA">
        <w:t xml:space="preserve"> </w:t>
      </w:r>
      <w:r w:rsidRPr="00D337FA">
        <w:t>взаимосвязи</w:t>
      </w:r>
      <w:r w:rsidR="006C680D" w:rsidRPr="00D337FA">
        <w:t xml:space="preserve"> </w:t>
      </w:r>
      <w:r w:rsidRPr="00D337FA">
        <w:t>достижения</w:t>
      </w:r>
      <w:r w:rsidR="006C680D" w:rsidRPr="00D337FA">
        <w:t xml:space="preserve"> </w:t>
      </w:r>
      <w:r w:rsidRPr="00D337FA">
        <w:t>количественных</w:t>
      </w:r>
      <w:r w:rsidR="006C680D" w:rsidRPr="00D337FA">
        <w:t xml:space="preserve"> </w:t>
      </w:r>
      <w:r w:rsidRPr="00D337FA">
        <w:t>и</w:t>
      </w:r>
      <w:r w:rsidR="006C680D" w:rsidRPr="00D337FA">
        <w:t xml:space="preserve"> </w:t>
      </w:r>
      <w:r w:rsidRPr="00D337FA">
        <w:t>качественных</w:t>
      </w:r>
      <w:r w:rsidR="006C680D" w:rsidRPr="00D337FA">
        <w:t xml:space="preserve"> </w:t>
      </w:r>
      <w:r w:rsidRPr="00D337FA">
        <w:t>целей:</w:t>
      </w:r>
      <w:r w:rsidR="006C680D" w:rsidRPr="00D337FA">
        <w:t xml:space="preserve"> </w:t>
      </w:r>
      <w:r w:rsidRPr="00D337FA">
        <w:t>финансовая</w:t>
      </w:r>
      <w:r w:rsidR="006C680D" w:rsidRPr="00D337FA">
        <w:t xml:space="preserve"> </w:t>
      </w:r>
      <w:r w:rsidRPr="00D337FA">
        <w:t>устойчивость</w:t>
      </w:r>
      <w:r w:rsidR="006C680D" w:rsidRPr="00D337FA">
        <w:t xml:space="preserve"> </w:t>
      </w:r>
      <w:r w:rsidRPr="00D337FA">
        <w:t>банка</w:t>
      </w:r>
      <w:r w:rsidR="006C680D" w:rsidRPr="00D337FA">
        <w:t xml:space="preserve"> </w:t>
      </w:r>
      <w:r w:rsidRPr="00D337FA">
        <w:t>восстановлена,</w:t>
      </w:r>
      <w:r w:rsidR="006C680D" w:rsidRPr="00D337FA">
        <w:t xml:space="preserve"> </w:t>
      </w:r>
      <w:r w:rsidRPr="00D337FA">
        <w:t>и</w:t>
      </w:r>
      <w:r w:rsidR="006C680D" w:rsidRPr="00D337FA">
        <w:t xml:space="preserve"> </w:t>
      </w:r>
      <w:r w:rsidRPr="00D337FA">
        <w:t>он</w:t>
      </w:r>
      <w:r w:rsidR="006C680D" w:rsidRPr="00D337FA">
        <w:t xml:space="preserve"> </w:t>
      </w:r>
      <w:r w:rsidRPr="00D337FA">
        <w:t>может</w:t>
      </w:r>
      <w:r w:rsidR="006C680D" w:rsidRPr="00D337FA">
        <w:t xml:space="preserve"> </w:t>
      </w:r>
      <w:r w:rsidRPr="00D337FA">
        <w:t>продолжить</w:t>
      </w:r>
      <w:r w:rsidR="006C680D" w:rsidRPr="00D337FA">
        <w:t xml:space="preserve"> </w:t>
      </w:r>
      <w:r w:rsidRPr="00D337FA">
        <w:t>свою</w:t>
      </w:r>
      <w:r w:rsidR="006C680D" w:rsidRPr="00D337FA">
        <w:t xml:space="preserve"> </w:t>
      </w:r>
      <w:r w:rsidRPr="00D337FA">
        <w:t>деятельность</w:t>
      </w:r>
      <w:r w:rsidR="006C680D" w:rsidRPr="00D337FA">
        <w:t xml:space="preserve"> </w:t>
      </w:r>
      <w:r w:rsidRPr="00D337FA">
        <w:t>в</w:t>
      </w:r>
      <w:r w:rsidR="006C680D" w:rsidRPr="00D337FA">
        <w:t xml:space="preserve"> </w:t>
      </w:r>
      <w:r w:rsidRPr="00D337FA">
        <w:t>дальнейшем</w:t>
      </w:r>
      <w:r w:rsidR="006C680D" w:rsidRPr="00D337FA">
        <w:t xml:space="preserve"> </w:t>
      </w:r>
      <w:r w:rsidRPr="00D337FA">
        <w:t>(достигнута</w:t>
      </w:r>
      <w:r w:rsidR="006C680D" w:rsidRPr="00D337FA">
        <w:t xml:space="preserve"> </w:t>
      </w:r>
      <w:r w:rsidRPr="00D337FA">
        <w:t>качественная</w:t>
      </w:r>
      <w:r w:rsidR="006C680D" w:rsidRPr="00D337FA">
        <w:t xml:space="preserve"> </w:t>
      </w:r>
      <w:r w:rsidRPr="00D337FA">
        <w:t>цель</w:t>
      </w:r>
      <w:r w:rsidR="006C680D" w:rsidRPr="00D337FA">
        <w:t xml:space="preserve"> </w:t>
      </w:r>
      <w:r w:rsidRPr="00D337FA">
        <w:t>санации)</w:t>
      </w:r>
      <w:r w:rsidR="006C680D" w:rsidRPr="00D337FA">
        <w:t xml:space="preserve"> </w:t>
      </w:r>
      <w:r w:rsidRPr="00D337FA">
        <w:t>и</w:t>
      </w:r>
      <w:r w:rsidR="006C680D" w:rsidRPr="00D337FA">
        <w:t xml:space="preserve"> </w:t>
      </w:r>
      <w:r w:rsidRPr="00D337FA">
        <w:t>средства,</w:t>
      </w:r>
      <w:r w:rsidR="006C680D" w:rsidRPr="00D337FA">
        <w:t xml:space="preserve"> </w:t>
      </w:r>
      <w:r w:rsidRPr="00D337FA">
        <w:t>выделенные</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окупились</w:t>
      </w:r>
      <w:r w:rsidR="006C680D" w:rsidRPr="00D337FA">
        <w:t xml:space="preserve"> </w:t>
      </w:r>
      <w:r w:rsidRPr="00D337FA">
        <w:t>или</w:t>
      </w:r>
      <w:r w:rsidR="006C680D" w:rsidRPr="00D337FA">
        <w:t xml:space="preserve"> </w:t>
      </w:r>
      <w:r w:rsidRPr="00D337FA">
        <w:t>возвращены</w:t>
      </w:r>
      <w:r w:rsidR="006C680D" w:rsidRPr="00D337FA">
        <w:t xml:space="preserve"> </w:t>
      </w:r>
      <w:r w:rsidRPr="00D337FA">
        <w:t>санатору</w:t>
      </w:r>
      <w:r w:rsidR="006C680D" w:rsidRPr="00D337FA">
        <w:t xml:space="preserve"> </w:t>
      </w:r>
      <w:r w:rsidRPr="00D337FA">
        <w:t>(достигнута</w:t>
      </w:r>
      <w:r w:rsidR="006C680D" w:rsidRPr="00D337FA">
        <w:t xml:space="preserve"> </w:t>
      </w:r>
      <w:r w:rsidRPr="00D337FA">
        <w:t>количественная</w:t>
      </w:r>
      <w:r w:rsidR="006C680D" w:rsidRPr="00D337FA">
        <w:t xml:space="preserve"> </w:t>
      </w:r>
      <w:r w:rsidRPr="00D337FA">
        <w:t>цель</w:t>
      </w:r>
      <w:r w:rsidR="006C680D" w:rsidRPr="00D337FA">
        <w:t xml:space="preserve"> </w:t>
      </w:r>
      <w:r w:rsidRPr="00D337FA">
        <w:t>санации).</w:t>
      </w:r>
      <w:r w:rsidR="006C680D" w:rsidRPr="00D337FA">
        <w:t xml:space="preserve"> </w:t>
      </w:r>
      <w:r w:rsidRPr="00D337FA">
        <w:t>Только</w:t>
      </w:r>
      <w:r w:rsidR="006C680D" w:rsidRPr="00D337FA">
        <w:t xml:space="preserve"> </w:t>
      </w:r>
      <w:r w:rsidRPr="00D337FA">
        <w:t>в</w:t>
      </w:r>
      <w:r w:rsidR="006C680D" w:rsidRPr="00D337FA">
        <w:t xml:space="preserve"> </w:t>
      </w:r>
      <w:r w:rsidRPr="00D337FA">
        <w:t>этом</w:t>
      </w:r>
      <w:r w:rsidR="006C680D" w:rsidRPr="00D337FA">
        <w:t xml:space="preserve"> </w:t>
      </w:r>
      <w:r w:rsidRPr="00D337FA">
        <w:t>случае</w:t>
      </w:r>
      <w:r w:rsidR="006C680D" w:rsidRPr="00D337FA">
        <w:t xml:space="preserve"> </w:t>
      </w:r>
      <w:r w:rsidRPr="00D337FA">
        <w:t>эффективность</w:t>
      </w:r>
      <w:r w:rsidR="006C680D" w:rsidRPr="00D337FA">
        <w:t xml:space="preserve"> </w:t>
      </w:r>
      <w:r w:rsidRPr="00D337FA">
        <w:t>санационных</w:t>
      </w:r>
      <w:r w:rsidR="006C680D" w:rsidRPr="00D337FA">
        <w:t xml:space="preserve"> </w:t>
      </w:r>
      <w:r w:rsidRPr="00D337FA">
        <w:t>процедур</w:t>
      </w:r>
      <w:r w:rsidR="006C680D" w:rsidRPr="00D337FA">
        <w:t xml:space="preserve"> </w:t>
      </w:r>
      <w:r w:rsidRPr="00D337FA">
        <w:t>будет</w:t>
      </w:r>
      <w:r w:rsidR="006C680D" w:rsidRPr="00D337FA">
        <w:t xml:space="preserve"> </w:t>
      </w:r>
      <w:r w:rsidRPr="00D337FA">
        <w:t>соответствовать</w:t>
      </w:r>
      <w:r w:rsidR="006C680D" w:rsidRPr="00D337FA">
        <w:t xml:space="preserve"> </w:t>
      </w:r>
      <w:r w:rsidRPr="00D337FA">
        <w:t>требованиям</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понимающем</w:t>
      </w:r>
      <w:r w:rsidR="006C680D" w:rsidRPr="00D337FA">
        <w:t xml:space="preserve"> </w:t>
      </w:r>
      <w:r w:rsidRPr="00D337FA">
        <w:t>под</w:t>
      </w:r>
      <w:r w:rsidR="006C680D" w:rsidRPr="00D337FA">
        <w:t xml:space="preserve"> </w:t>
      </w:r>
      <w:r w:rsidRPr="00D337FA">
        <w:t>эффективностью</w:t>
      </w:r>
      <w:r w:rsidR="006C680D" w:rsidRPr="00D337FA">
        <w:t xml:space="preserve"> </w:t>
      </w:r>
      <w:r w:rsidRPr="00D337FA">
        <w:t>санации</w:t>
      </w:r>
      <w:r w:rsidR="006C680D" w:rsidRPr="00D337FA">
        <w:t xml:space="preserve"> </w:t>
      </w:r>
      <w:r w:rsidRPr="00D337FA">
        <w:t>достижение</w:t>
      </w:r>
      <w:r w:rsidR="006C680D" w:rsidRPr="00D337FA">
        <w:t xml:space="preserve"> </w:t>
      </w:r>
      <w:r w:rsidRPr="00D337FA">
        <w:t>поставленных</w:t>
      </w:r>
      <w:r w:rsidR="006C680D" w:rsidRPr="00D337FA">
        <w:t xml:space="preserve"> </w:t>
      </w:r>
      <w:r w:rsidRPr="00D337FA">
        <w:t>целей</w:t>
      </w:r>
      <w:r w:rsidR="006C680D" w:rsidRPr="00D337FA">
        <w:t xml:space="preserve"> </w:t>
      </w:r>
      <w:r w:rsidRPr="00D337FA">
        <w:t>и</w:t>
      </w:r>
      <w:r w:rsidR="006C680D" w:rsidRPr="00D337FA">
        <w:t xml:space="preserve"> </w:t>
      </w:r>
      <w:r w:rsidRPr="00D337FA">
        <w:t>желаемых</w:t>
      </w:r>
      <w:r w:rsidR="006C680D" w:rsidRPr="00D337FA">
        <w:t xml:space="preserve"> </w:t>
      </w:r>
      <w:r w:rsidRPr="00D337FA">
        <w:t>результатов</w:t>
      </w:r>
      <w:r w:rsidR="006C680D" w:rsidRPr="00D337FA">
        <w:t xml:space="preserve"> </w:t>
      </w:r>
      <w:r w:rsidRPr="00D337FA">
        <w:t>с</w:t>
      </w:r>
      <w:r w:rsidR="006C680D" w:rsidRPr="00D337FA">
        <w:t xml:space="preserve"> </w:t>
      </w:r>
      <w:r w:rsidRPr="00D337FA">
        <w:t>максимальной</w:t>
      </w:r>
      <w:r w:rsidR="006C680D" w:rsidRPr="00D337FA">
        <w:t xml:space="preserve"> </w:t>
      </w:r>
      <w:r w:rsidRPr="00D337FA">
        <w:t>отдачей</w:t>
      </w:r>
      <w:r w:rsidR="006C680D" w:rsidRPr="00D337FA">
        <w:t xml:space="preserve"> </w:t>
      </w:r>
      <w:r w:rsidRPr="00D337FA">
        <w:t>от</w:t>
      </w:r>
      <w:r w:rsidR="006C680D" w:rsidRPr="00D337FA">
        <w:t xml:space="preserve"> </w:t>
      </w:r>
      <w:r w:rsidRPr="00D337FA">
        <w:t>доступных</w:t>
      </w:r>
      <w:r w:rsidR="006C680D" w:rsidRPr="00D337FA">
        <w:t xml:space="preserve"> </w:t>
      </w:r>
      <w:r w:rsidRPr="00D337FA">
        <w:t>ресурсов</w:t>
      </w:r>
      <w:r w:rsidR="006C680D" w:rsidRPr="00D337FA">
        <w:t xml:space="preserve"> </w:t>
      </w:r>
      <w:r w:rsidRPr="00D337FA">
        <w:t>при</w:t>
      </w:r>
      <w:r w:rsidR="006C680D" w:rsidRPr="00D337FA">
        <w:t xml:space="preserve"> </w:t>
      </w:r>
      <w:r w:rsidRPr="00D337FA">
        <w:t>минимизации</w:t>
      </w:r>
      <w:r w:rsidR="006C680D" w:rsidRPr="00D337FA">
        <w:t xml:space="preserve"> </w:t>
      </w:r>
      <w:r w:rsidRPr="00D337FA">
        <w:t>ресурсозатрат</w:t>
      </w:r>
      <w:r w:rsidR="006C680D" w:rsidRPr="00D337FA">
        <w:t xml:space="preserve"> </w:t>
      </w:r>
      <w:r w:rsidRPr="00D337FA">
        <w:t>[12].</w:t>
      </w:r>
    </w:p>
    <w:p w:rsidR="00FB2463" w:rsidRPr="00D337FA" w:rsidRDefault="00FB2463" w:rsidP="00FB2463">
      <w:pPr>
        <w:ind w:firstLine="284"/>
      </w:pPr>
    </w:p>
    <w:p w:rsidR="00FB2463" w:rsidRPr="00D337FA" w:rsidRDefault="00FB2463" w:rsidP="00FB2463">
      <w:pPr>
        <w:ind w:firstLine="284"/>
        <w:rPr>
          <w:b/>
        </w:rPr>
      </w:pPr>
      <w:r w:rsidRPr="00D337FA">
        <w:rPr>
          <w:b/>
        </w:rPr>
        <w:t>Эмпирический</w:t>
      </w:r>
      <w:r w:rsidR="006C680D" w:rsidRPr="00D337FA">
        <w:rPr>
          <w:b/>
        </w:rPr>
        <w:t xml:space="preserve"> </w:t>
      </w:r>
      <w:r w:rsidRPr="00D337FA">
        <w:rPr>
          <w:b/>
        </w:rPr>
        <w:t>анализ</w:t>
      </w:r>
      <w:r w:rsidR="006C680D" w:rsidRPr="00D337FA">
        <w:rPr>
          <w:b/>
        </w:rPr>
        <w:t xml:space="preserve">   </w:t>
      </w:r>
    </w:p>
    <w:p w:rsidR="00FB2463" w:rsidRPr="00D337FA" w:rsidRDefault="00FB2463" w:rsidP="00FB2463">
      <w:pPr>
        <w:ind w:firstLine="284"/>
      </w:pPr>
      <w:r w:rsidRPr="00D337FA">
        <w:t>В</w:t>
      </w:r>
      <w:r w:rsidR="006C680D" w:rsidRPr="00D337FA">
        <w:t xml:space="preserve"> </w:t>
      </w:r>
      <w:r w:rsidRPr="00D337FA">
        <w:t>настоящее</w:t>
      </w:r>
      <w:r w:rsidR="006C680D" w:rsidRPr="00D337FA">
        <w:t xml:space="preserve"> </w:t>
      </w:r>
      <w:r w:rsidRPr="00D337FA">
        <w:t>время</w:t>
      </w:r>
      <w:r w:rsidR="006C680D" w:rsidRPr="00D337FA">
        <w:t xml:space="preserve"> </w:t>
      </w:r>
      <w:r w:rsidRPr="00D337FA">
        <w:t>санацию</w:t>
      </w:r>
      <w:r w:rsidR="006C680D" w:rsidRPr="00D337FA">
        <w:t xml:space="preserve"> </w:t>
      </w:r>
      <w:r w:rsidRPr="00D337FA">
        <w:t>проблемных</w:t>
      </w:r>
      <w:r w:rsidR="006C680D" w:rsidRPr="00D337FA">
        <w:t xml:space="preserve"> </w:t>
      </w:r>
      <w:r w:rsidRPr="00D337FA">
        <w:t>банков</w:t>
      </w:r>
      <w:r w:rsidR="006C680D" w:rsidRPr="00D337FA">
        <w:t xml:space="preserve"> </w:t>
      </w:r>
      <w:r w:rsidRPr="00D337FA">
        <w:t>осуществляют</w:t>
      </w:r>
      <w:r w:rsidR="006C680D" w:rsidRPr="00D337FA">
        <w:t xml:space="preserve"> </w:t>
      </w:r>
      <w:r w:rsidRPr="00D337FA">
        <w:t>два</w:t>
      </w:r>
      <w:r w:rsidR="006C680D" w:rsidRPr="00D337FA">
        <w:t xml:space="preserve"> </w:t>
      </w:r>
      <w:r w:rsidRPr="00D337FA">
        <w:t>финансовых</w:t>
      </w:r>
      <w:r w:rsidR="006C680D" w:rsidRPr="00D337FA">
        <w:t xml:space="preserve"> </w:t>
      </w:r>
      <w:r w:rsidRPr="00D337FA">
        <w:t>института,</w:t>
      </w:r>
      <w:r w:rsidR="006C680D" w:rsidRPr="00D337FA">
        <w:t xml:space="preserve"> </w:t>
      </w:r>
      <w:r w:rsidRPr="00D337FA">
        <w:t>сравнительная</w:t>
      </w:r>
      <w:r w:rsidR="006C680D" w:rsidRPr="00D337FA">
        <w:t xml:space="preserve"> </w:t>
      </w:r>
      <w:r w:rsidRPr="00D337FA">
        <w:t>характеристика</w:t>
      </w:r>
      <w:r w:rsidR="006C680D" w:rsidRPr="00D337FA">
        <w:t xml:space="preserve"> </w:t>
      </w:r>
      <w:r w:rsidRPr="00D337FA">
        <w:t>деятельности</w:t>
      </w:r>
      <w:r w:rsidR="006C680D" w:rsidRPr="00D337FA">
        <w:t xml:space="preserve"> </w:t>
      </w:r>
      <w:r w:rsidRPr="00D337FA">
        <w:t>которых</w:t>
      </w:r>
      <w:r w:rsidR="006C680D" w:rsidRPr="00D337FA">
        <w:t xml:space="preserve"> </w:t>
      </w:r>
      <w:r w:rsidRPr="00D337FA">
        <w:t>в</w:t>
      </w:r>
      <w:r w:rsidR="006C680D" w:rsidRPr="00D337FA">
        <w:t xml:space="preserve"> </w:t>
      </w:r>
      <w:r w:rsidRPr="00D337FA">
        <w:t>области</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банков</w:t>
      </w:r>
      <w:r w:rsidR="006C680D" w:rsidRPr="00D337FA">
        <w:t xml:space="preserve"> </w:t>
      </w:r>
      <w:r w:rsidRPr="00D337FA">
        <w:t>представлена</w:t>
      </w:r>
      <w:r w:rsidR="006C680D" w:rsidRPr="00D337FA">
        <w:t xml:space="preserve"> </w:t>
      </w:r>
      <w:r w:rsidRPr="00D337FA">
        <w:t>в</w:t>
      </w:r>
      <w:r w:rsidR="006C680D" w:rsidRPr="00D337FA">
        <w:t xml:space="preserve"> </w:t>
      </w:r>
      <w:r w:rsidRPr="00D337FA">
        <w:t>табл.</w:t>
      </w:r>
      <w:r w:rsidR="006C680D" w:rsidRPr="00D337FA">
        <w:t xml:space="preserve"> </w:t>
      </w:r>
      <w:r w:rsidRPr="00D337FA">
        <w:t>1.</w:t>
      </w:r>
    </w:p>
    <w:p w:rsidR="004A1229" w:rsidRPr="00D337FA" w:rsidRDefault="004A1229" w:rsidP="00FB2463">
      <w:pPr>
        <w:tabs>
          <w:tab w:val="center" w:pos="4677"/>
        </w:tabs>
        <w:ind w:right="-1" w:firstLine="0"/>
        <w:jc w:val="right"/>
        <w:rPr>
          <w:szCs w:val="28"/>
        </w:rPr>
      </w:pPr>
    </w:p>
    <w:p w:rsidR="004A1229" w:rsidRPr="00D337FA" w:rsidRDefault="004A1229" w:rsidP="00FB2463">
      <w:pPr>
        <w:tabs>
          <w:tab w:val="center" w:pos="4677"/>
        </w:tabs>
        <w:ind w:right="-1" w:firstLine="0"/>
        <w:jc w:val="right"/>
        <w:rPr>
          <w:szCs w:val="28"/>
        </w:rPr>
        <w:sectPr w:rsidR="004A1229" w:rsidRPr="00D337FA" w:rsidSect="00FB2463">
          <w:footnotePr>
            <w:numRestart w:val="eachPage"/>
          </w:footnotePr>
          <w:type w:val="continuous"/>
          <w:pgSz w:w="11907" w:h="16840" w:code="9"/>
          <w:pgMar w:top="1418" w:right="1134" w:bottom="1418" w:left="1134" w:header="1021" w:footer="1021" w:gutter="0"/>
          <w:cols w:num="2" w:space="708"/>
          <w:docGrid w:linePitch="360"/>
        </w:sectPr>
      </w:pPr>
    </w:p>
    <w:p w:rsidR="00FB2463" w:rsidRPr="00D337FA" w:rsidRDefault="00FB2463" w:rsidP="00FB2463">
      <w:pPr>
        <w:tabs>
          <w:tab w:val="center" w:pos="4677"/>
        </w:tabs>
        <w:ind w:right="-1" w:firstLine="0"/>
        <w:jc w:val="right"/>
        <w:rPr>
          <w:rFonts w:ascii="Arial" w:hAnsi="Arial" w:cs="Arial"/>
          <w:i/>
          <w:sz w:val="22"/>
          <w:szCs w:val="22"/>
        </w:rPr>
      </w:pPr>
      <w:r w:rsidRPr="00D337FA">
        <w:rPr>
          <w:rFonts w:ascii="Arial" w:hAnsi="Arial" w:cs="Arial"/>
          <w:i/>
          <w:sz w:val="22"/>
          <w:szCs w:val="22"/>
        </w:rPr>
        <w:lastRenderedPageBreak/>
        <w:t>Таблица</w:t>
      </w:r>
      <w:r w:rsidR="006C680D" w:rsidRPr="00D337FA">
        <w:rPr>
          <w:rFonts w:ascii="Arial" w:hAnsi="Arial" w:cs="Arial"/>
          <w:i/>
          <w:sz w:val="22"/>
          <w:szCs w:val="22"/>
        </w:rPr>
        <w:t xml:space="preserve"> </w:t>
      </w:r>
      <w:r w:rsidRPr="00D337FA">
        <w:rPr>
          <w:rFonts w:ascii="Arial" w:hAnsi="Arial" w:cs="Arial"/>
          <w:i/>
          <w:sz w:val="22"/>
          <w:szCs w:val="22"/>
        </w:rPr>
        <w:t>1</w:t>
      </w:r>
      <w:r w:rsidR="006C680D" w:rsidRPr="00D337FA">
        <w:rPr>
          <w:rFonts w:ascii="Arial" w:hAnsi="Arial" w:cs="Arial"/>
          <w:i/>
          <w:sz w:val="22"/>
          <w:szCs w:val="22"/>
        </w:rPr>
        <w:t xml:space="preserve"> </w:t>
      </w:r>
    </w:p>
    <w:p w:rsidR="00FB2463" w:rsidRPr="00D337FA" w:rsidRDefault="00FB2463" w:rsidP="00FB2463">
      <w:pPr>
        <w:pStyle w:val="aff5"/>
        <w:shd w:val="clear" w:color="auto" w:fill="FFFFFF"/>
        <w:spacing w:before="0" w:beforeAutospacing="0" w:after="0" w:afterAutospacing="0"/>
        <w:jc w:val="center"/>
        <w:rPr>
          <w:rFonts w:ascii="Arial" w:hAnsi="Arial" w:cs="Arial"/>
          <w:i/>
          <w:sz w:val="22"/>
          <w:szCs w:val="22"/>
        </w:rPr>
      </w:pPr>
      <w:r w:rsidRPr="00D337FA">
        <w:rPr>
          <w:rFonts w:ascii="Arial" w:hAnsi="Arial" w:cs="Arial"/>
          <w:i/>
          <w:sz w:val="22"/>
          <w:szCs w:val="22"/>
        </w:rPr>
        <w:t>Сравнительная</w:t>
      </w:r>
      <w:r w:rsidR="006C680D" w:rsidRPr="00D337FA">
        <w:rPr>
          <w:rFonts w:ascii="Arial" w:hAnsi="Arial" w:cs="Arial"/>
          <w:i/>
          <w:sz w:val="22"/>
          <w:szCs w:val="22"/>
        </w:rPr>
        <w:t xml:space="preserve"> </w:t>
      </w:r>
      <w:r w:rsidRPr="00D337FA">
        <w:rPr>
          <w:rFonts w:ascii="Arial" w:hAnsi="Arial" w:cs="Arial"/>
          <w:i/>
          <w:sz w:val="22"/>
          <w:szCs w:val="22"/>
        </w:rPr>
        <w:t>характеристика</w:t>
      </w:r>
      <w:r w:rsidR="006C680D" w:rsidRPr="00D337FA">
        <w:rPr>
          <w:rFonts w:ascii="Arial" w:hAnsi="Arial" w:cs="Arial"/>
          <w:i/>
          <w:sz w:val="22"/>
          <w:szCs w:val="22"/>
        </w:rPr>
        <w:t xml:space="preserve"> </w:t>
      </w:r>
      <w:r w:rsidRPr="00D337FA">
        <w:rPr>
          <w:rFonts w:ascii="Arial" w:hAnsi="Arial" w:cs="Arial"/>
          <w:i/>
          <w:sz w:val="22"/>
          <w:szCs w:val="22"/>
        </w:rPr>
        <w:t>деятельности</w:t>
      </w:r>
      <w:r w:rsidR="006C680D" w:rsidRPr="00D337FA">
        <w:rPr>
          <w:rFonts w:ascii="Arial" w:hAnsi="Arial" w:cs="Arial"/>
          <w:i/>
          <w:sz w:val="22"/>
          <w:szCs w:val="22"/>
        </w:rPr>
        <w:t xml:space="preserve"> </w:t>
      </w:r>
      <w:r w:rsidRPr="00D337FA">
        <w:rPr>
          <w:rFonts w:ascii="Arial" w:hAnsi="Arial" w:cs="Arial"/>
          <w:i/>
          <w:sz w:val="22"/>
          <w:szCs w:val="22"/>
        </w:rPr>
        <w:t>Агентства</w:t>
      </w:r>
      <w:r w:rsidR="006C680D" w:rsidRPr="00D337FA">
        <w:rPr>
          <w:rFonts w:ascii="Arial" w:hAnsi="Arial" w:cs="Arial"/>
          <w:i/>
          <w:sz w:val="22"/>
          <w:szCs w:val="22"/>
        </w:rPr>
        <w:t xml:space="preserve"> </w:t>
      </w:r>
      <w:r w:rsidRPr="00D337FA">
        <w:rPr>
          <w:rFonts w:ascii="Arial" w:hAnsi="Arial" w:cs="Arial"/>
          <w:i/>
          <w:sz w:val="22"/>
          <w:szCs w:val="22"/>
        </w:rPr>
        <w:t>по</w:t>
      </w:r>
      <w:r w:rsidR="006C680D" w:rsidRPr="00D337FA">
        <w:rPr>
          <w:rFonts w:ascii="Arial" w:hAnsi="Arial" w:cs="Arial"/>
          <w:i/>
          <w:sz w:val="22"/>
          <w:szCs w:val="22"/>
        </w:rPr>
        <w:t xml:space="preserve"> </w:t>
      </w:r>
      <w:r w:rsidRPr="00D337FA">
        <w:rPr>
          <w:rFonts w:ascii="Arial" w:hAnsi="Arial" w:cs="Arial"/>
          <w:i/>
          <w:sz w:val="22"/>
          <w:szCs w:val="22"/>
        </w:rPr>
        <w:t>страхованию</w:t>
      </w:r>
      <w:r w:rsidR="006C680D" w:rsidRPr="00D337FA">
        <w:rPr>
          <w:rFonts w:ascii="Arial" w:hAnsi="Arial" w:cs="Arial"/>
          <w:i/>
          <w:sz w:val="22"/>
          <w:szCs w:val="22"/>
        </w:rPr>
        <w:t xml:space="preserve"> </w:t>
      </w:r>
      <w:r w:rsidRPr="00D337FA">
        <w:rPr>
          <w:rFonts w:ascii="Arial" w:hAnsi="Arial" w:cs="Arial"/>
          <w:i/>
          <w:sz w:val="22"/>
          <w:szCs w:val="22"/>
        </w:rPr>
        <w:t>вкладов</w:t>
      </w:r>
      <w:r w:rsidR="006C680D" w:rsidRPr="00D337FA">
        <w:rPr>
          <w:rFonts w:ascii="Arial" w:hAnsi="Arial" w:cs="Arial"/>
          <w:i/>
          <w:sz w:val="22"/>
          <w:szCs w:val="22"/>
        </w:rPr>
        <w:t xml:space="preserve"> </w:t>
      </w:r>
      <w:r w:rsidRPr="00D337FA">
        <w:rPr>
          <w:rFonts w:ascii="Arial" w:hAnsi="Arial" w:cs="Arial"/>
          <w:i/>
          <w:sz w:val="22"/>
          <w:szCs w:val="22"/>
        </w:rPr>
        <w:t>и</w:t>
      </w:r>
      <w:r w:rsidR="006C680D" w:rsidRPr="00D337FA">
        <w:rPr>
          <w:rFonts w:ascii="Arial" w:hAnsi="Arial" w:cs="Arial"/>
          <w:i/>
          <w:sz w:val="22"/>
          <w:szCs w:val="22"/>
        </w:rPr>
        <w:t xml:space="preserve"> </w:t>
      </w:r>
      <w:r w:rsidRPr="00D337FA">
        <w:rPr>
          <w:rFonts w:ascii="Arial" w:hAnsi="Arial" w:cs="Arial"/>
          <w:i/>
          <w:sz w:val="22"/>
          <w:szCs w:val="22"/>
        </w:rPr>
        <w:t>Фонда</w:t>
      </w:r>
      <w:r w:rsidR="006C680D" w:rsidRPr="00D337FA">
        <w:rPr>
          <w:rFonts w:ascii="Arial" w:hAnsi="Arial" w:cs="Arial"/>
          <w:i/>
          <w:sz w:val="22"/>
          <w:szCs w:val="22"/>
        </w:rPr>
        <w:t xml:space="preserve"> </w:t>
      </w:r>
      <w:r w:rsidRPr="00D337FA">
        <w:rPr>
          <w:rFonts w:ascii="Arial" w:hAnsi="Arial" w:cs="Arial"/>
          <w:i/>
          <w:sz w:val="22"/>
          <w:szCs w:val="22"/>
        </w:rPr>
        <w:t>консолидации</w:t>
      </w:r>
      <w:r w:rsidR="006C680D" w:rsidRPr="00D337FA">
        <w:rPr>
          <w:rFonts w:ascii="Arial" w:hAnsi="Arial" w:cs="Arial"/>
          <w:i/>
          <w:sz w:val="22"/>
          <w:szCs w:val="22"/>
        </w:rPr>
        <w:t xml:space="preserve"> </w:t>
      </w:r>
      <w:r w:rsidRPr="00D337FA">
        <w:rPr>
          <w:rFonts w:ascii="Arial" w:hAnsi="Arial" w:cs="Arial"/>
          <w:i/>
          <w:sz w:val="22"/>
          <w:szCs w:val="22"/>
        </w:rPr>
        <w:t>банковского</w:t>
      </w:r>
      <w:r w:rsidR="006C680D" w:rsidRPr="00D337FA">
        <w:rPr>
          <w:rFonts w:ascii="Arial" w:hAnsi="Arial" w:cs="Arial"/>
          <w:i/>
          <w:sz w:val="22"/>
          <w:szCs w:val="22"/>
        </w:rPr>
        <w:t xml:space="preserve"> </w:t>
      </w:r>
      <w:r w:rsidRPr="00D337FA">
        <w:rPr>
          <w:rFonts w:ascii="Arial" w:hAnsi="Arial" w:cs="Arial"/>
          <w:i/>
          <w:sz w:val="22"/>
          <w:szCs w:val="22"/>
        </w:rPr>
        <w:t>сектора</w:t>
      </w:r>
      <w:r w:rsidR="006C680D" w:rsidRPr="00D337FA">
        <w:rPr>
          <w:rFonts w:ascii="Arial" w:hAnsi="Arial" w:cs="Arial"/>
          <w:i/>
          <w:sz w:val="22"/>
          <w:szCs w:val="22"/>
        </w:rPr>
        <w:t xml:space="preserve"> </w:t>
      </w:r>
      <w:r w:rsidRPr="00D337FA">
        <w:rPr>
          <w:rFonts w:ascii="Arial" w:hAnsi="Arial" w:cs="Arial"/>
          <w:i/>
          <w:sz w:val="22"/>
          <w:szCs w:val="22"/>
        </w:rPr>
        <w:t>по</w:t>
      </w:r>
      <w:r w:rsidR="006C680D" w:rsidRPr="00D337FA">
        <w:rPr>
          <w:rFonts w:ascii="Arial" w:hAnsi="Arial" w:cs="Arial"/>
          <w:i/>
          <w:sz w:val="22"/>
          <w:szCs w:val="22"/>
        </w:rPr>
        <w:t xml:space="preserve"> </w:t>
      </w:r>
      <w:r w:rsidRPr="00D337FA">
        <w:rPr>
          <w:rFonts w:ascii="Arial" w:hAnsi="Arial" w:cs="Arial"/>
          <w:i/>
          <w:sz w:val="22"/>
          <w:szCs w:val="22"/>
        </w:rPr>
        <w:t>финансовому</w:t>
      </w:r>
      <w:r w:rsidR="006C680D" w:rsidRPr="00D337FA">
        <w:rPr>
          <w:rFonts w:ascii="Arial" w:hAnsi="Arial" w:cs="Arial"/>
          <w:i/>
          <w:sz w:val="22"/>
          <w:szCs w:val="22"/>
        </w:rPr>
        <w:t xml:space="preserve"> </w:t>
      </w:r>
      <w:r w:rsidRPr="00D337FA">
        <w:rPr>
          <w:rFonts w:ascii="Arial" w:hAnsi="Arial" w:cs="Arial"/>
          <w:i/>
          <w:sz w:val="22"/>
          <w:szCs w:val="22"/>
        </w:rPr>
        <w:t>оздоровлению</w:t>
      </w:r>
      <w:r w:rsidR="006C680D" w:rsidRPr="00D337FA">
        <w:rPr>
          <w:rFonts w:ascii="Arial" w:hAnsi="Arial" w:cs="Arial"/>
          <w:i/>
          <w:sz w:val="22"/>
          <w:szCs w:val="22"/>
        </w:rPr>
        <w:t xml:space="preserve"> </w:t>
      </w:r>
      <w:r w:rsidRPr="00D337FA">
        <w:rPr>
          <w:rFonts w:ascii="Arial" w:hAnsi="Arial" w:cs="Arial"/>
          <w:i/>
          <w:sz w:val="22"/>
          <w:szCs w:val="22"/>
        </w:rPr>
        <w:t>банков</w:t>
      </w:r>
      <w:r w:rsidR="006C680D" w:rsidRPr="00D337FA">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4110"/>
      </w:tblGrid>
      <w:tr w:rsidR="00D337FA" w:rsidRPr="00D337FA" w:rsidTr="00FB2463">
        <w:trPr>
          <w:tblHeader/>
        </w:trPr>
        <w:tc>
          <w:tcPr>
            <w:tcW w:w="2093" w:type="dxa"/>
            <w:shd w:val="clear" w:color="auto" w:fill="auto"/>
            <w:vAlign w:val="center"/>
          </w:tcPr>
          <w:p w:rsidR="00FB2463" w:rsidRPr="00D337FA" w:rsidRDefault="00FB2463" w:rsidP="00FB2463">
            <w:pPr>
              <w:ind w:firstLine="0"/>
              <w:jc w:val="center"/>
              <w:rPr>
                <w:sz w:val="22"/>
                <w:szCs w:val="22"/>
              </w:rPr>
            </w:pPr>
            <w:r w:rsidRPr="00D337FA">
              <w:rPr>
                <w:sz w:val="22"/>
                <w:szCs w:val="22"/>
              </w:rPr>
              <w:t>Критерий</w:t>
            </w:r>
          </w:p>
          <w:p w:rsidR="00FB2463" w:rsidRPr="00D337FA" w:rsidRDefault="00FB2463" w:rsidP="00FB2463">
            <w:pPr>
              <w:ind w:firstLine="0"/>
              <w:jc w:val="center"/>
              <w:rPr>
                <w:sz w:val="22"/>
                <w:szCs w:val="22"/>
              </w:rPr>
            </w:pPr>
            <w:r w:rsidRPr="00D337FA">
              <w:rPr>
                <w:sz w:val="22"/>
                <w:szCs w:val="22"/>
              </w:rPr>
              <w:t>сравнения</w:t>
            </w:r>
          </w:p>
        </w:tc>
        <w:tc>
          <w:tcPr>
            <w:tcW w:w="3544" w:type="dxa"/>
            <w:shd w:val="clear" w:color="auto" w:fill="auto"/>
            <w:vAlign w:val="center"/>
          </w:tcPr>
          <w:p w:rsidR="00FB2463" w:rsidRPr="00D337FA" w:rsidRDefault="00FB2463" w:rsidP="00FB2463">
            <w:pPr>
              <w:ind w:firstLine="0"/>
              <w:jc w:val="center"/>
              <w:rPr>
                <w:sz w:val="22"/>
                <w:szCs w:val="22"/>
              </w:rPr>
            </w:pPr>
            <w:r w:rsidRPr="00D337FA">
              <w:rPr>
                <w:sz w:val="22"/>
                <w:szCs w:val="22"/>
              </w:rPr>
              <w:t>Агентство</w:t>
            </w:r>
            <w:r w:rsidR="006C680D" w:rsidRPr="00D337FA">
              <w:rPr>
                <w:sz w:val="22"/>
                <w:szCs w:val="22"/>
              </w:rPr>
              <w:t xml:space="preserve"> </w:t>
            </w:r>
            <w:r w:rsidRPr="00D337FA">
              <w:rPr>
                <w:sz w:val="22"/>
                <w:szCs w:val="22"/>
              </w:rPr>
              <w:t>по</w:t>
            </w:r>
            <w:r w:rsidR="006C680D" w:rsidRPr="00D337FA">
              <w:rPr>
                <w:sz w:val="22"/>
                <w:szCs w:val="22"/>
              </w:rPr>
              <w:t xml:space="preserve"> </w:t>
            </w:r>
            <w:r w:rsidRPr="00D337FA">
              <w:rPr>
                <w:sz w:val="22"/>
                <w:szCs w:val="22"/>
              </w:rPr>
              <w:t>страхованию</w:t>
            </w:r>
            <w:r w:rsidR="006C680D" w:rsidRPr="00D337FA">
              <w:rPr>
                <w:sz w:val="22"/>
                <w:szCs w:val="22"/>
              </w:rPr>
              <w:t xml:space="preserve"> </w:t>
            </w:r>
            <w:r w:rsidRPr="00D337FA">
              <w:rPr>
                <w:sz w:val="22"/>
                <w:szCs w:val="22"/>
              </w:rPr>
              <w:t>вкладов</w:t>
            </w:r>
            <w:r w:rsidR="006C680D" w:rsidRPr="00D337FA">
              <w:rPr>
                <w:sz w:val="22"/>
                <w:szCs w:val="22"/>
              </w:rPr>
              <w:t xml:space="preserve"> </w:t>
            </w:r>
            <w:r w:rsidRPr="00D337FA">
              <w:rPr>
                <w:sz w:val="22"/>
                <w:szCs w:val="22"/>
              </w:rPr>
              <w:t>(АСВ)</w:t>
            </w:r>
          </w:p>
        </w:tc>
        <w:tc>
          <w:tcPr>
            <w:tcW w:w="4110" w:type="dxa"/>
            <w:shd w:val="clear" w:color="auto" w:fill="auto"/>
            <w:vAlign w:val="center"/>
          </w:tcPr>
          <w:p w:rsidR="00FB2463" w:rsidRPr="00D337FA" w:rsidRDefault="00FB2463" w:rsidP="00FB2463">
            <w:pPr>
              <w:ind w:firstLine="0"/>
              <w:jc w:val="center"/>
              <w:rPr>
                <w:sz w:val="22"/>
                <w:szCs w:val="22"/>
              </w:rPr>
            </w:pPr>
            <w:r w:rsidRPr="00D337FA">
              <w:rPr>
                <w:sz w:val="22"/>
                <w:szCs w:val="22"/>
              </w:rPr>
              <w:t>Фонд</w:t>
            </w:r>
            <w:r w:rsidR="006C680D" w:rsidRPr="00D337FA">
              <w:rPr>
                <w:sz w:val="22"/>
                <w:szCs w:val="22"/>
              </w:rPr>
              <w:t xml:space="preserve"> </w:t>
            </w:r>
            <w:r w:rsidRPr="00D337FA">
              <w:rPr>
                <w:sz w:val="22"/>
                <w:szCs w:val="22"/>
              </w:rPr>
              <w:t>консолидации</w:t>
            </w:r>
            <w:r w:rsidR="006C680D" w:rsidRPr="00D337FA">
              <w:rPr>
                <w:sz w:val="22"/>
                <w:szCs w:val="22"/>
              </w:rPr>
              <w:t xml:space="preserve"> </w:t>
            </w:r>
            <w:r w:rsidRPr="00D337FA">
              <w:rPr>
                <w:sz w:val="22"/>
                <w:szCs w:val="22"/>
              </w:rPr>
              <w:t>банковского</w:t>
            </w:r>
            <w:r w:rsidR="006C680D" w:rsidRPr="00D337FA">
              <w:rPr>
                <w:sz w:val="22"/>
                <w:szCs w:val="22"/>
              </w:rPr>
              <w:t xml:space="preserve"> </w:t>
            </w:r>
            <w:r w:rsidRPr="00D337FA">
              <w:rPr>
                <w:sz w:val="22"/>
                <w:szCs w:val="22"/>
              </w:rPr>
              <w:t>сектора</w:t>
            </w:r>
            <w:r w:rsidR="006C680D" w:rsidRPr="00D337FA">
              <w:rPr>
                <w:sz w:val="22"/>
                <w:szCs w:val="22"/>
              </w:rPr>
              <w:t xml:space="preserve"> </w:t>
            </w:r>
            <w:r w:rsidRPr="00D337FA">
              <w:rPr>
                <w:sz w:val="22"/>
                <w:szCs w:val="22"/>
              </w:rPr>
              <w:t>(ФКБС)</w:t>
            </w:r>
          </w:p>
        </w:tc>
      </w:tr>
      <w:tr w:rsidR="00D337FA" w:rsidRPr="00D337FA" w:rsidTr="00FB2463">
        <w:tc>
          <w:tcPr>
            <w:tcW w:w="2093" w:type="dxa"/>
            <w:shd w:val="clear" w:color="auto" w:fill="auto"/>
          </w:tcPr>
          <w:p w:rsidR="00FB2463" w:rsidRPr="00D337FA" w:rsidRDefault="00FB2463" w:rsidP="00D337FA">
            <w:pPr>
              <w:ind w:firstLine="0"/>
              <w:rPr>
                <w:sz w:val="22"/>
                <w:szCs w:val="22"/>
              </w:rPr>
            </w:pPr>
            <w:r w:rsidRPr="00D337FA">
              <w:rPr>
                <w:sz w:val="22"/>
                <w:szCs w:val="22"/>
              </w:rPr>
              <w:t>Период</w:t>
            </w:r>
            <w:r w:rsidR="006C680D" w:rsidRPr="00D337FA">
              <w:rPr>
                <w:sz w:val="22"/>
                <w:szCs w:val="22"/>
              </w:rPr>
              <w:t xml:space="preserve"> </w:t>
            </w:r>
            <w:r w:rsidRPr="00D337FA">
              <w:rPr>
                <w:sz w:val="22"/>
                <w:szCs w:val="22"/>
              </w:rPr>
              <w:t>осуществления</w:t>
            </w:r>
            <w:r w:rsidR="006C680D" w:rsidRPr="00D337FA">
              <w:rPr>
                <w:sz w:val="22"/>
                <w:szCs w:val="22"/>
              </w:rPr>
              <w:t xml:space="preserve"> </w:t>
            </w:r>
            <w:r w:rsidRPr="00D337FA">
              <w:rPr>
                <w:sz w:val="22"/>
                <w:szCs w:val="22"/>
              </w:rPr>
              <w:t>функций</w:t>
            </w:r>
            <w:r w:rsidR="006C680D" w:rsidRPr="00D337FA">
              <w:rPr>
                <w:sz w:val="22"/>
                <w:szCs w:val="22"/>
              </w:rPr>
              <w:t xml:space="preserve"> </w:t>
            </w:r>
            <w:r w:rsidRPr="00D337FA">
              <w:rPr>
                <w:sz w:val="22"/>
                <w:szCs w:val="22"/>
              </w:rPr>
              <w:t>по</w:t>
            </w:r>
            <w:r w:rsidR="006C680D" w:rsidRPr="00D337FA">
              <w:rPr>
                <w:sz w:val="22"/>
                <w:szCs w:val="22"/>
              </w:rPr>
              <w:t xml:space="preserve"> </w:t>
            </w:r>
            <w:r w:rsidRPr="00D337FA">
              <w:rPr>
                <w:sz w:val="22"/>
                <w:szCs w:val="22"/>
              </w:rPr>
              <w:t>санации</w:t>
            </w:r>
            <w:r w:rsidR="006C680D" w:rsidRPr="00D337FA">
              <w:rPr>
                <w:sz w:val="22"/>
                <w:szCs w:val="22"/>
              </w:rPr>
              <w:t xml:space="preserve"> </w:t>
            </w:r>
            <w:r w:rsidRPr="00D337FA">
              <w:rPr>
                <w:sz w:val="22"/>
                <w:szCs w:val="22"/>
              </w:rPr>
              <w:t>банков</w:t>
            </w:r>
          </w:p>
        </w:tc>
        <w:tc>
          <w:tcPr>
            <w:tcW w:w="3544" w:type="dxa"/>
            <w:shd w:val="clear" w:color="auto" w:fill="auto"/>
          </w:tcPr>
          <w:p w:rsidR="00FB2463" w:rsidRPr="00D337FA" w:rsidRDefault="00FB2463" w:rsidP="00FB2463">
            <w:pPr>
              <w:ind w:firstLine="0"/>
              <w:jc w:val="left"/>
              <w:rPr>
                <w:sz w:val="22"/>
                <w:szCs w:val="22"/>
              </w:rPr>
            </w:pPr>
            <w:r w:rsidRPr="00D337FA">
              <w:rPr>
                <w:sz w:val="22"/>
                <w:szCs w:val="22"/>
              </w:rPr>
              <w:t>2008-2017</w:t>
            </w:r>
            <w:r w:rsidR="006C680D" w:rsidRPr="00D337FA">
              <w:rPr>
                <w:sz w:val="22"/>
                <w:szCs w:val="22"/>
              </w:rPr>
              <w:t xml:space="preserve"> </w:t>
            </w:r>
            <w:r w:rsidRPr="00D337FA">
              <w:rPr>
                <w:sz w:val="22"/>
                <w:szCs w:val="22"/>
              </w:rPr>
              <w:t>годы.</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настоящее</w:t>
            </w:r>
            <w:r w:rsidR="006C680D" w:rsidRPr="00D337FA">
              <w:rPr>
                <w:sz w:val="22"/>
                <w:szCs w:val="22"/>
              </w:rPr>
              <w:t xml:space="preserve"> </w:t>
            </w:r>
            <w:r w:rsidRPr="00D337FA">
              <w:rPr>
                <w:sz w:val="22"/>
                <w:szCs w:val="22"/>
              </w:rPr>
              <w:t>время</w:t>
            </w:r>
            <w:r w:rsidR="006C680D" w:rsidRPr="00D337FA">
              <w:rPr>
                <w:sz w:val="22"/>
                <w:szCs w:val="22"/>
              </w:rPr>
              <w:t xml:space="preserve"> </w:t>
            </w:r>
            <w:r w:rsidRPr="00D337FA">
              <w:rPr>
                <w:sz w:val="22"/>
                <w:szCs w:val="22"/>
              </w:rPr>
              <w:t>осуществляет</w:t>
            </w:r>
            <w:r w:rsidR="006C680D" w:rsidRPr="00D337FA">
              <w:rPr>
                <w:sz w:val="22"/>
                <w:szCs w:val="22"/>
              </w:rPr>
              <w:t xml:space="preserve"> </w:t>
            </w:r>
            <w:r w:rsidRPr="00D337FA">
              <w:rPr>
                <w:sz w:val="22"/>
                <w:szCs w:val="22"/>
              </w:rPr>
              <w:t>финансовое</w:t>
            </w:r>
            <w:r w:rsidR="006C680D" w:rsidRPr="00D337FA">
              <w:rPr>
                <w:sz w:val="22"/>
                <w:szCs w:val="22"/>
              </w:rPr>
              <w:t xml:space="preserve"> </w:t>
            </w:r>
            <w:r w:rsidRPr="00D337FA">
              <w:rPr>
                <w:sz w:val="22"/>
                <w:szCs w:val="22"/>
              </w:rPr>
              <w:t>оздоровление</w:t>
            </w:r>
            <w:r w:rsidR="006C680D" w:rsidRPr="00D337FA">
              <w:rPr>
                <w:sz w:val="22"/>
                <w:szCs w:val="22"/>
              </w:rPr>
              <w:t xml:space="preserve"> </w:t>
            </w:r>
            <w:r w:rsidRPr="00D337FA">
              <w:rPr>
                <w:sz w:val="22"/>
                <w:szCs w:val="22"/>
              </w:rPr>
              <w:t>банков,</w:t>
            </w:r>
            <w:r w:rsidR="006C680D" w:rsidRPr="00D337FA">
              <w:rPr>
                <w:sz w:val="22"/>
                <w:szCs w:val="22"/>
              </w:rPr>
              <w:t xml:space="preserve"> </w:t>
            </w:r>
            <w:r w:rsidRPr="00D337FA">
              <w:rPr>
                <w:sz w:val="22"/>
                <w:szCs w:val="22"/>
              </w:rPr>
              <w:t>санация</w:t>
            </w:r>
            <w:r w:rsidR="006C680D" w:rsidRPr="00D337FA">
              <w:rPr>
                <w:sz w:val="22"/>
                <w:szCs w:val="22"/>
              </w:rPr>
              <w:t xml:space="preserve"> </w:t>
            </w:r>
            <w:r w:rsidRPr="00D337FA">
              <w:rPr>
                <w:sz w:val="22"/>
                <w:szCs w:val="22"/>
              </w:rPr>
              <w:t>которых</w:t>
            </w:r>
            <w:r w:rsidR="006C680D" w:rsidRPr="00D337FA">
              <w:rPr>
                <w:sz w:val="22"/>
                <w:szCs w:val="22"/>
              </w:rPr>
              <w:t xml:space="preserve"> </w:t>
            </w:r>
            <w:r w:rsidRPr="00D337FA">
              <w:rPr>
                <w:sz w:val="22"/>
                <w:szCs w:val="22"/>
              </w:rPr>
              <w:t>не</w:t>
            </w:r>
            <w:r w:rsidR="006C680D" w:rsidRPr="00D337FA">
              <w:rPr>
                <w:sz w:val="22"/>
                <w:szCs w:val="22"/>
              </w:rPr>
              <w:t xml:space="preserve"> </w:t>
            </w:r>
            <w:r w:rsidRPr="00D337FA">
              <w:rPr>
                <w:sz w:val="22"/>
                <w:szCs w:val="22"/>
              </w:rPr>
              <w:t>завершена</w:t>
            </w:r>
          </w:p>
        </w:tc>
        <w:tc>
          <w:tcPr>
            <w:tcW w:w="4110" w:type="dxa"/>
            <w:shd w:val="clear" w:color="auto" w:fill="auto"/>
          </w:tcPr>
          <w:p w:rsidR="00FB2463" w:rsidRPr="00D337FA" w:rsidRDefault="00FB2463" w:rsidP="00FB2463">
            <w:pPr>
              <w:ind w:firstLine="0"/>
              <w:jc w:val="left"/>
              <w:rPr>
                <w:sz w:val="22"/>
                <w:szCs w:val="22"/>
              </w:rPr>
            </w:pPr>
            <w:r w:rsidRPr="00D337FA">
              <w:rPr>
                <w:sz w:val="22"/>
                <w:szCs w:val="22"/>
              </w:rPr>
              <w:t>С</w:t>
            </w:r>
            <w:r w:rsidR="006C680D" w:rsidRPr="00D337FA">
              <w:rPr>
                <w:sz w:val="22"/>
                <w:szCs w:val="22"/>
              </w:rPr>
              <w:t xml:space="preserve"> </w:t>
            </w:r>
            <w:r w:rsidRPr="00D337FA">
              <w:rPr>
                <w:sz w:val="22"/>
                <w:szCs w:val="22"/>
              </w:rPr>
              <w:t>2017</w:t>
            </w:r>
            <w:r w:rsidR="006C680D" w:rsidRPr="00D337FA">
              <w:rPr>
                <w:sz w:val="22"/>
                <w:szCs w:val="22"/>
              </w:rPr>
              <w:t xml:space="preserve"> </w:t>
            </w:r>
            <w:r w:rsidRPr="00D337FA">
              <w:rPr>
                <w:sz w:val="22"/>
                <w:szCs w:val="22"/>
              </w:rPr>
              <w:t>года</w:t>
            </w:r>
            <w:r w:rsidR="006C680D" w:rsidRPr="00D337FA">
              <w:rPr>
                <w:sz w:val="22"/>
                <w:szCs w:val="22"/>
              </w:rPr>
              <w:t xml:space="preserve"> </w:t>
            </w:r>
            <w:r w:rsidRPr="00D337FA">
              <w:rPr>
                <w:sz w:val="22"/>
                <w:szCs w:val="22"/>
              </w:rPr>
              <w:t>по</w:t>
            </w:r>
            <w:r w:rsidR="006C680D" w:rsidRPr="00D337FA">
              <w:rPr>
                <w:sz w:val="22"/>
                <w:szCs w:val="22"/>
              </w:rPr>
              <w:t xml:space="preserve"> </w:t>
            </w:r>
            <w:r w:rsidRPr="00D337FA">
              <w:rPr>
                <w:sz w:val="22"/>
                <w:szCs w:val="22"/>
              </w:rPr>
              <w:t>настоящее</w:t>
            </w:r>
            <w:r w:rsidR="006C680D" w:rsidRPr="00D337FA">
              <w:rPr>
                <w:sz w:val="22"/>
                <w:szCs w:val="22"/>
              </w:rPr>
              <w:t xml:space="preserve"> </w:t>
            </w:r>
            <w:r w:rsidRPr="00D337FA">
              <w:rPr>
                <w:sz w:val="22"/>
                <w:szCs w:val="22"/>
              </w:rPr>
              <w:t>время</w:t>
            </w:r>
          </w:p>
        </w:tc>
      </w:tr>
      <w:tr w:rsidR="00D337FA" w:rsidRPr="00D337FA" w:rsidTr="00FB2463">
        <w:tc>
          <w:tcPr>
            <w:tcW w:w="2093" w:type="dxa"/>
            <w:shd w:val="clear" w:color="auto" w:fill="auto"/>
          </w:tcPr>
          <w:p w:rsidR="00FB2463" w:rsidRPr="00D337FA" w:rsidRDefault="00FB2463" w:rsidP="00D337FA">
            <w:pPr>
              <w:ind w:firstLine="0"/>
              <w:rPr>
                <w:sz w:val="22"/>
                <w:szCs w:val="22"/>
              </w:rPr>
            </w:pPr>
            <w:r w:rsidRPr="00D337FA">
              <w:rPr>
                <w:sz w:val="22"/>
                <w:szCs w:val="22"/>
              </w:rPr>
              <w:t>Приоритет</w:t>
            </w:r>
            <w:r w:rsidR="006C680D" w:rsidRPr="00D337FA">
              <w:rPr>
                <w:sz w:val="22"/>
                <w:szCs w:val="22"/>
              </w:rPr>
              <w:t xml:space="preserve"> </w:t>
            </w:r>
            <w:r w:rsidRPr="00D337FA">
              <w:rPr>
                <w:sz w:val="22"/>
                <w:szCs w:val="22"/>
              </w:rPr>
              <w:t>функций</w:t>
            </w:r>
            <w:r w:rsidR="006C680D" w:rsidRPr="00D337FA">
              <w:rPr>
                <w:sz w:val="22"/>
                <w:szCs w:val="22"/>
              </w:rPr>
              <w:t xml:space="preserve"> </w:t>
            </w:r>
            <w:r w:rsidRPr="00D337FA">
              <w:rPr>
                <w:sz w:val="22"/>
                <w:szCs w:val="22"/>
              </w:rPr>
              <w:t>по</w:t>
            </w:r>
            <w:r w:rsidR="006C680D" w:rsidRPr="00D337FA">
              <w:rPr>
                <w:sz w:val="22"/>
                <w:szCs w:val="22"/>
              </w:rPr>
              <w:t xml:space="preserve"> </w:t>
            </w:r>
            <w:r w:rsidRPr="00D337FA">
              <w:rPr>
                <w:sz w:val="22"/>
                <w:szCs w:val="22"/>
              </w:rPr>
              <w:t>финансовому</w:t>
            </w:r>
            <w:r w:rsidR="006C680D" w:rsidRPr="00D337FA">
              <w:rPr>
                <w:sz w:val="22"/>
                <w:szCs w:val="22"/>
              </w:rPr>
              <w:t xml:space="preserve"> </w:t>
            </w:r>
            <w:r w:rsidRPr="00D337FA">
              <w:rPr>
                <w:sz w:val="22"/>
                <w:szCs w:val="22"/>
              </w:rPr>
              <w:t>оздоровлению</w:t>
            </w:r>
            <w:r w:rsidR="006C680D" w:rsidRPr="00D337FA">
              <w:rPr>
                <w:sz w:val="22"/>
                <w:szCs w:val="22"/>
              </w:rPr>
              <w:t xml:space="preserve"> </w:t>
            </w:r>
            <w:r w:rsidRPr="00D337FA">
              <w:rPr>
                <w:sz w:val="22"/>
                <w:szCs w:val="22"/>
              </w:rPr>
              <w:t>банков</w:t>
            </w:r>
          </w:p>
        </w:tc>
        <w:tc>
          <w:tcPr>
            <w:tcW w:w="3544" w:type="dxa"/>
            <w:shd w:val="clear" w:color="auto" w:fill="auto"/>
          </w:tcPr>
          <w:p w:rsidR="00FB2463" w:rsidRPr="00D337FA" w:rsidRDefault="00FB2463" w:rsidP="00FB2463">
            <w:pPr>
              <w:ind w:firstLine="0"/>
              <w:jc w:val="left"/>
              <w:rPr>
                <w:sz w:val="22"/>
                <w:szCs w:val="22"/>
              </w:rPr>
            </w:pPr>
            <w:r w:rsidRPr="00D337FA">
              <w:rPr>
                <w:sz w:val="22"/>
                <w:szCs w:val="22"/>
              </w:rPr>
              <w:t>Функция</w:t>
            </w:r>
            <w:r w:rsidR="006C680D" w:rsidRPr="00D337FA">
              <w:rPr>
                <w:sz w:val="22"/>
                <w:szCs w:val="22"/>
              </w:rPr>
              <w:t xml:space="preserve"> </w:t>
            </w:r>
            <w:r w:rsidRPr="00D337FA">
              <w:rPr>
                <w:sz w:val="22"/>
                <w:szCs w:val="22"/>
              </w:rPr>
              <w:t>является</w:t>
            </w:r>
            <w:r w:rsidR="006C680D" w:rsidRPr="00D337FA">
              <w:rPr>
                <w:sz w:val="22"/>
                <w:szCs w:val="22"/>
              </w:rPr>
              <w:t xml:space="preserve"> </w:t>
            </w:r>
            <w:r w:rsidRPr="00D337FA">
              <w:rPr>
                <w:sz w:val="22"/>
                <w:szCs w:val="22"/>
              </w:rPr>
              <w:t>дополнительной</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соответствии</w:t>
            </w:r>
            <w:r w:rsidR="006C680D" w:rsidRPr="00D337FA">
              <w:rPr>
                <w:sz w:val="22"/>
                <w:szCs w:val="22"/>
              </w:rPr>
              <w:t xml:space="preserve"> </w:t>
            </w:r>
            <w:r w:rsidRPr="00D337FA">
              <w:rPr>
                <w:sz w:val="22"/>
                <w:szCs w:val="22"/>
              </w:rPr>
              <w:t>с</w:t>
            </w:r>
            <w:r w:rsidR="006C680D" w:rsidRPr="00D337FA">
              <w:rPr>
                <w:sz w:val="22"/>
                <w:szCs w:val="22"/>
              </w:rPr>
              <w:t xml:space="preserve"> </w:t>
            </w:r>
            <w:r w:rsidRPr="00D337FA">
              <w:rPr>
                <w:sz w:val="22"/>
                <w:szCs w:val="22"/>
              </w:rPr>
              <w:t>Федеральным</w:t>
            </w:r>
            <w:r w:rsidR="006C680D" w:rsidRPr="00D337FA">
              <w:rPr>
                <w:sz w:val="22"/>
                <w:szCs w:val="22"/>
              </w:rPr>
              <w:t xml:space="preserve"> </w:t>
            </w:r>
            <w:r w:rsidRPr="00D337FA">
              <w:rPr>
                <w:sz w:val="22"/>
                <w:szCs w:val="22"/>
              </w:rPr>
              <w:t>законом</w:t>
            </w:r>
            <w:r w:rsidR="006C680D" w:rsidRPr="00D337FA">
              <w:rPr>
                <w:sz w:val="22"/>
                <w:szCs w:val="22"/>
              </w:rPr>
              <w:t xml:space="preserve"> </w:t>
            </w:r>
            <w:r w:rsidRPr="00D337FA">
              <w:rPr>
                <w:sz w:val="22"/>
                <w:szCs w:val="22"/>
              </w:rPr>
              <w:t>от</w:t>
            </w:r>
            <w:r w:rsidR="006C680D" w:rsidRPr="00D337FA">
              <w:rPr>
                <w:sz w:val="22"/>
                <w:szCs w:val="22"/>
              </w:rPr>
              <w:t xml:space="preserve"> </w:t>
            </w:r>
            <w:r w:rsidRPr="00D337FA">
              <w:rPr>
                <w:sz w:val="22"/>
                <w:szCs w:val="22"/>
              </w:rPr>
              <w:t>27</w:t>
            </w:r>
            <w:r w:rsidR="006C680D" w:rsidRPr="00D337FA">
              <w:rPr>
                <w:sz w:val="22"/>
                <w:szCs w:val="22"/>
              </w:rPr>
              <w:t xml:space="preserve"> </w:t>
            </w:r>
            <w:r w:rsidRPr="00D337FA">
              <w:rPr>
                <w:sz w:val="22"/>
                <w:szCs w:val="22"/>
              </w:rPr>
              <w:t>октября</w:t>
            </w:r>
            <w:r w:rsidR="006C680D" w:rsidRPr="00D337FA">
              <w:rPr>
                <w:sz w:val="22"/>
                <w:szCs w:val="22"/>
              </w:rPr>
              <w:t xml:space="preserve"> </w:t>
            </w:r>
            <w:r w:rsidRPr="00D337FA">
              <w:rPr>
                <w:sz w:val="22"/>
                <w:szCs w:val="22"/>
              </w:rPr>
              <w:t>2008</w:t>
            </w:r>
            <w:r w:rsidR="006C680D" w:rsidRPr="00D337FA">
              <w:rPr>
                <w:sz w:val="22"/>
                <w:szCs w:val="22"/>
              </w:rPr>
              <w:t xml:space="preserve"> </w:t>
            </w:r>
            <w:r w:rsidRPr="00D337FA">
              <w:rPr>
                <w:sz w:val="22"/>
                <w:szCs w:val="22"/>
              </w:rPr>
              <w:t>года</w:t>
            </w:r>
            <w:r w:rsidR="006C680D" w:rsidRPr="00D337FA">
              <w:rPr>
                <w:sz w:val="22"/>
                <w:szCs w:val="22"/>
              </w:rPr>
              <w:t xml:space="preserve"> </w:t>
            </w:r>
            <w:r w:rsidRPr="00D337FA">
              <w:rPr>
                <w:sz w:val="22"/>
                <w:szCs w:val="22"/>
              </w:rPr>
              <w:t>№175-Ф3</w:t>
            </w:r>
            <w:r w:rsidR="006C680D" w:rsidRPr="00D337FA">
              <w:rPr>
                <w:sz w:val="22"/>
                <w:szCs w:val="22"/>
              </w:rPr>
              <w:t xml:space="preserve"> </w:t>
            </w:r>
            <w:r w:rsidRPr="00D337FA">
              <w:rPr>
                <w:sz w:val="22"/>
                <w:szCs w:val="22"/>
              </w:rPr>
              <w:t>«О</w:t>
            </w:r>
            <w:r w:rsidR="006C680D" w:rsidRPr="00D337FA">
              <w:rPr>
                <w:sz w:val="22"/>
                <w:szCs w:val="22"/>
              </w:rPr>
              <w:t xml:space="preserve"> </w:t>
            </w:r>
            <w:r w:rsidRPr="00D337FA">
              <w:rPr>
                <w:sz w:val="22"/>
                <w:szCs w:val="22"/>
              </w:rPr>
              <w:t>дополнительных</w:t>
            </w:r>
            <w:r w:rsidR="006C680D" w:rsidRPr="00D337FA">
              <w:rPr>
                <w:sz w:val="22"/>
                <w:szCs w:val="22"/>
              </w:rPr>
              <w:t xml:space="preserve"> </w:t>
            </w:r>
            <w:r w:rsidRPr="00D337FA">
              <w:rPr>
                <w:sz w:val="22"/>
                <w:szCs w:val="22"/>
              </w:rPr>
              <w:t>мерах</w:t>
            </w:r>
            <w:r w:rsidR="006C680D" w:rsidRPr="00D337FA">
              <w:rPr>
                <w:sz w:val="22"/>
                <w:szCs w:val="22"/>
              </w:rPr>
              <w:t xml:space="preserve"> </w:t>
            </w:r>
            <w:r w:rsidRPr="00D337FA">
              <w:rPr>
                <w:sz w:val="22"/>
                <w:szCs w:val="22"/>
              </w:rPr>
              <w:t>для</w:t>
            </w:r>
            <w:r w:rsidR="006C680D" w:rsidRPr="00D337FA">
              <w:rPr>
                <w:sz w:val="22"/>
                <w:szCs w:val="22"/>
              </w:rPr>
              <w:t xml:space="preserve"> </w:t>
            </w:r>
            <w:r w:rsidRPr="00D337FA">
              <w:rPr>
                <w:sz w:val="22"/>
                <w:szCs w:val="22"/>
              </w:rPr>
              <w:t>укрепления</w:t>
            </w:r>
            <w:r w:rsidR="006C680D" w:rsidRPr="00D337FA">
              <w:rPr>
                <w:sz w:val="22"/>
                <w:szCs w:val="22"/>
              </w:rPr>
              <w:t xml:space="preserve"> </w:t>
            </w:r>
            <w:r w:rsidRPr="00D337FA">
              <w:rPr>
                <w:sz w:val="22"/>
                <w:szCs w:val="22"/>
              </w:rPr>
              <w:t>стабильности</w:t>
            </w:r>
            <w:r w:rsidR="006C680D" w:rsidRPr="00D337FA">
              <w:rPr>
                <w:sz w:val="22"/>
                <w:szCs w:val="22"/>
              </w:rPr>
              <w:t xml:space="preserve"> </w:t>
            </w:r>
            <w:r w:rsidRPr="00D337FA">
              <w:rPr>
                <w:sz w:val="22"/>
                <w:szCs w:val="22"/>
              </w:rPr>
              <w:t>банковской</w:t>
            </w:r>
            <w:r w:rsidR="006C680D" w:rsidRPr="00D337FA">
              <w:rPr>
                <w:sz w:val="22"/>
                <w:szCs w:val="22"/>
              </w:rPr>
              <w:t xml:space="preserve"> </w:t>
            </w:r>
            <w:r w:rsidRPr="00D337FA">
              <w:rPr>
                <w:sz w:val="22"/>
                <w:szCs w:val="22"/>
              </w:rPr>
              <w:t>системы</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период</w:t>
            </w:r>
            <w:r w:rsidR="006C680D" w:rsidRPr="00D337FA">
              <w:rPr>
                <w:sz w:val="22"/>
                <w:szCs w:val="22"/>
              </w:rPr>
              <w:t xml:space="preserve"> </w:t>
            </w:r>
            <w:r w:rsidRPr="00D337FA">
              <w:rPr>
                <w:sz w:val="22"/>
                <w:szCs w:val="22"/>
              </w:rPr>
              <w:t>до</w:t>
            </w:r>
            <w:r w:rsidR="006C680D" w:rsidRPr="00D337FA">
              <w:rPr>
                <w:sz w:val="22"/>
                <w:szCs w:val="22"/>
              </w:rPr>
              <w:t xml:space="preserve"> </w:t>
            </w:r>
            <w:r w:rsidRPr="00D337FA">
              <w:rPr>
                <w:sz w:val="22"/>
                <w:szCs w:val="22"/>
              </w:rPr>
              <w:t>31</w:t>
            </w:r>
            <w:r w:rsidR="006C680D" w:rsidRPr="00D337FA">
              <w:rPr>
                <w:sz w:val="22"/>
                <w:szCs w:val="22"/>
              </w:rPr>
              <w:t xml:space="preserve"> </w:t>
            </w:r>
            <w:r w:rsidRPr="00D337FA">
              <w:rPr>
                <w:sz w:val="22"/>
                <w:szCs w:val="22"/>
              </w:rPr>
              <w:t>декабря</w:t>
            </w:r>
            <w:r w:rsidR="006C680D" w:rsidRPr="00D337FA">
              <w:rPr>
                <w:sz w:val="22"/>
                <w:szCs w:val="22"/>
              </w:rPr>
              <w:t xml:space="preserve"> </w:t>
            </w:r>
            <w:r w:rsidRPr="00D337FA">
              <w:rPr>
                <w:sz w:val="22"/>
                <w:szCs w:val="22"/>
              </w:rPr>
              <w:t>2014</w:t>
            </w:r>
            <w:r w:rsidR="006C680D" w:rsidRPr="00D337FA">
              <w:rPr>
                <w:sz w:val="22"/>
                <w:szCs w:val="22"/>
              </w:rPr>
              <w:t xml:space="preserve"> </w:t>
            </w:r>
            <w:r w:rsidRPr="00D337FA">
              <w:rPr>
                <w:sz w:val="22"/>
                <w:szCs w:val="22"/>
              </w:rPr>
              <w:t>года»</w:t>
            </w:r>
          </w:p>
        </w:tc>
        <w:tc>
          <w:tcPr>
            <w:tcW w:w="4110" w:type="dxa"/>
            <w:shd w:val="clear" w:color="auto" w:fill="auto"/>
          </w:tcPr>
          <w:p w:rsidR="00FB2463" w:rsidRPr="00D337FA" w:rsidRDefault="00FB2463" w:rsidP="00FB2463">
            <w:pPr>
              <w:ind w:firstLine="0"/>
              <w:jc w:val="left"/>
              <w:rPr>
                <w:sz w:val="22"/>
                <w:szCs w:val="22"/>
              </w:rPr>
            </w:pPr>
            <w:r w:rsidRPr="00D337FA">
              <w:rPr>
                <w:sz w:val="22"/>
                <w:szCs w:val="22"/>
              </w:rPr>
              <w:t>Специализированный</w:t>
            </w:r>
            <w:r w:rsidR="006C680D" w:rsidRPr="00D337FA">
              <w:rPr>
                <w:sz w:val="22"/>
                <w:szCs w:val="22"/>
              </w:rPr>
              <w:t xml:space="preserve"> </w:t>
            </w:r>
            <w:r w:rsidRPr="00D337FA">
              <w:rPr>
                <w:sz w:val="22"/>
                <w:szCs w:val="22"/>
              </w:rPr>
              <w:t>финансовый</w:t>
            </w:r>
            <w:r w:rsidR="006C680D" w:rsidRPr="00D337FA">
              <w:rPr>
                <w:sz w:val="22"/>
                <w:szCs w:val="22"/>
              </w:rPr>
              <w:t xml:space="preserve"> </w:t>
            </w:r>
            <w:r w:rsidRPr="00D337FA">
              <w:rPr>
                <w:sz w:val="22"/>
                <w:szCs w:val="22"/>
              </w:rPr>
              <w:t>институт,</w:t>
            </w:r>
            <w:r w:rsidR="006C680D" w:rsidRPr="00D337FA">
              <w:rPr>
                <w:sz w:val="22"/>
                <w:szCs w:val="22"/>
              </w:rPr>
              <w:t xml:space="preserve"> </w:t>
            </w:r>
            <w:r w:rsidRPr="00D337FA">
              <w:rPr>
                <w:sz w:val="22"/>
                <w:szCs w:val="22"/>
              </w:rPr>
              <w:t>созданный</w:t>
            </w:r>
            <w:r w:rsidR="006C680D" w:rsidRPr="00D337FA">
              <w:rPr>
                <w:sz w:val="22"/>
                <w:szCs w:val="22"/>
              </w:rPr>
              <w:t xml:space="preserve"> </w:t>
            </w:r>
            <w:r w:rsidRPr="00D337FA">
              <w:rPr>
                <w:sz w:val="22"/>
                <w:szCs w:val="22"/>
              </w:rPr>
              <w:t>Банком</w:t>
            </w:r>
            <w:r w:rsidR="006C680D" w:rsidRPr="00D337FA">
              <w:rPr>
                <w:sz w:val="22"/>
                <w:szCs w:val="22"/>
              </w:rPr>
              <w:t xml:space="preserve"> </w:t>
            </w:r>
            <w:r w:rsidRPr="00D337FA">
              <w:rPr>
                <w:sz w:val="22"/>
                <w:szCs w:val="22"/>
              </w:rPr>
              <w:t>России</w:t>
            </w:r>
            <w:r w:rsidR="006C680D" w:rsidRPr="00D337FA">
              <w:rPr>
                <w:sz w:val="22"/>
                <w:szCs w:val="22"/>
              </w:rPr>
              <w:t xml:space="preserve"> </w:t>
            </w:r>
            <w:r w:rsidRPr="00D337FA">
              <w:rPr>
                <w:sz w:val="22"/>
                <w:szCs w:val="22"/>
              </w:rPr>
              <w:t>с</w:t>
            </w:r>
            <w:r w:rsidR="006C680D" w:rsidRPr="00D337FA">
              <w:rPr>
                <w:sz w:val="22"/>
                <w:szCs w:val="22"/>
              </w:rPr>
              <w:t xml:space="preserve"> </w:t>
            </w:r>
            <w:r w:rsidRPr="00D337FA">
              <w:rPr>
                <w:sz w:val="22"/>
                <w:szCs w:val="22"/>
              </w:rPr>
              <w:t>целью</w:t>
            </w:r>
            <w:r w:rsidR="006C680D" w:rsidRPr="00D337FA">
              <w:rPr>
                <w:sz w:val="22"/>
                <w:szCs w:val="22"/>
              </w:rPr>
              <w:t xml:space="preserve"> </w:t>
            </w:r>
            <w:r w:rsidRPr="00D337FA">
              <w:rPr>
                <w:sz w:val="22"/>
                <w:szCs w:val="22"/>
              </w:rPr>
              <w:t>участия</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осуществлении</w:t>
            </w:r>
            <w:r w:rsidR="006C680D" w:rsidRPr="00D337FA">
              <w:rPr>
                <w:sz w:val="22"/>
                <w:szCs w:val="22"/>
              </w:rPr>
              <w:t xml:space="preserve"> </w:t>
            </w:r>
            <w:r w:rsidRPr="00D337FA">
              <w:rPr>
                <w:sz w:val="22"/>
                <w:szCs w:val="22"/>
              </w:rPr>
              <w:t>мер</w:t>
            </w:r>
            <w:r w:rsidR="006C680D" w:rsidRPr="00D337FA">
              <w:rPr>
                <w:sz w:val="22"/>
                <w:szCs w:val="22"/>
              </w:rPr>
              <w:t xml:space="preserve"> </w:t>
            </w:r>
            <w:r w:rsidRPr="00D337FA">
              <w:rPr>
                <w:sz w:val="22"/>
                <w:szCs w:val="22"/>
              </w:rPr>
              <w:t>по</w:t>
            </w:r>
            <w:r w:rsidR="006C680D" w:rsidRPr="00D337FA">
              <w:rPr>
                <w:sz w:val="22"/>
                <w:szCs w:val="22"/>
              </w:rPr>
              <w:t xml:space="preserve"> </w:t>
            </w:r>
            <w:r w:rsidRPr="00D337FA">
              <w:rPr>
                <w:sz w:val="22"/>
                <w:szCs w:val="22"/>
              </w:rPr>
              <w:t>предупреждению</w:t>
            </w:r>
            <w:r w:rsidR="006C680D" w:rsidRPr="00D337FA">
              <w:rPr>
                <w:sz w:val="22"/>
                <w:szCs w:val="22"/>
              </w:rPr>
              <w:t xml:space="preserve"> </w:t>
            </w:r>
            <w:r w:rsidRPr="00D337FA">
              <w:rPr>
                <w:sz w:val="22"/>
                <w:szCs w:val="22"/>
              </w:rPr>
              <w:t>банкротства</w:t>
            </w:r>
            <w:r w:rsidR="006C680D" w:rsidRPr="00D337FA">
              <w:rPr>
                <w:sz w:val="22"/>
                <w:szCs w:val="22"/>
              </w:rPr>
              <w:t xml:space="preserve"> </w:t>
            </w:r>
            <w:r w:rsidRPr="00D337FA">
              <w:rPr>
                <w:sz w:val="22"/>
                <w:szCs w:val="22"/>
              </w:rPr>
              <w:t>банков</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соответствии</w:t>
            </w:r>
            <w:r w:rsidR="006C680D" w:rsidRPr="00D337FA">
              <w:rPr>
                <w:sz w:val="22"/>
                <w:szCs w:val="22"/>
              </w:rPr>
              <w:t xml:space="preserve"> </w:t>
            </w:r>
            <w:r w:rsidRPr="00D337FA">
              <w:rPr>
                <w:sz w:val="22"/>
                <w:szCs w:val="22"/>
              </w:rPr>
              <w:t>с</w:t>
            </w:r>
            <w:r w:rsidR="006C680D" w:rsidRPr="00D337FA">
              <w:rPr>
                <w:sz w:val="22"/>
                <w:szCs w:val="22"/>
              </w:rPr>
              <w:t xml:space="preserve">  </w:t>
            </w:r>
            <w:r w:rsidRPr="00D337FA">
              <w:rPr>
                <w:sz w:val="22"/>
                <w:szCs w:val="22"/>
              </w:rPr>
              <w:t>Федеральным</w:t>
            </w:r>
            <w:r w:rsidR="006C680D" w:rsidRPr="00D337FA">
              <w:rPr>
                <w:sz w:val="22"/>
                <w:szCs w:val="22"/>
              </w:rPr>
              <w:t xml:space="preserve"> </w:t>
            </w:r>
            <w:r w:rsidRPr="00D337FA">
              <w:rPr>
                <w:sz w:val="22"/>
                <w:szCs w:val="22"/>
              </w:rPr>
              <w:t>законом</w:t>
            </w:r>
            <w:r w:rsidR="006C680D" w:rsidRPr="00D337FA">
              <w:rPr>
                <w:sz w:val="22"/>
                <w:szCs w:val="22"/>
              </w:rPr>
              <w:t xml:space="preserve"> </w:t>
            </w:r>
            <w:r w:rsidRPr="00D337FA">
              <w:rPr>
                <w:sz w:val="22"/>
                <w:szCs w:val="22"/>
              </w:rPr>
              <w:t>от</w:t>
            </w:r>
            <w:r w:rsidR="006C680D" w:rsidRPr="00D337FA">
              <w:rPr>
                <w:sz w:val="22"/>
                <w:szCs w:val="22"/>
              </w:rPr>
              <w:t xml:space="preserve"> </w:t>
            </w:r>
            <w:r w:rsidRPr="00D337FA">
              <w:rPr>
                <w:sz w:val="22"/>
                <w:szCs w:val="22"/>
              </w:rPr>
              <w:t>10</w:t>
            </w:r>
            <w:r w:rsidR="006C680D" w:rsidRPr="00D337FA">
              <w:rPr>
                <w:sz w:val="22"/>
                <w:szCs w:val="22"/>
              </w:rPr>
              <w:t xml:space="preserve"> </w:t>
            </w:r>
            <w:r w:rsidRPr="00D337FA">
              <w:rPr>
                <w:sz w:val="22"/>
                <w:szCs w:val="22"/>
              </w:rPr>
              <w:t>июля</w:t>
            </w:r>
            <w:r w:rsidR="006C680D" w:rsidRPr="00D337FA">
              <w:rPr>
                <w:sz w:val="22"/>
                <w:szCs w:val="22"/>
              </w:rPr>
              <w:t xml:space="preserve"> </w:t>
            </w:r>
            <w:r w:rsidRPr="00D337FA">
              <w:rPr>
                <w:sz w:val="22"/>
                <w:szCs w:val="22"/>
              </w:rPr>
              <w:t>2002</w:t>
            </w:r>
            <w:r w:rsidR="006C680D" w:rsidRPr="00D337FA">
              <w:rPr>
                <w:sz w:val="22"/>
                <w:szCs w:val="22"/>
              </w:rPr>
              <w:t xml:space="preserve"> </w:t>
            </w:r>
            <w:r w:rsidRPr="00D337FA">
              <w:rPr>
                <w:sz w:val="22"/>
                <w:szCs w:val="22"/>
              </w:rPr>
              <w:t>года</w:t>
            </w:r>
            <w:r w:rsidR="006C680D" w:rsidRPr="00D337FA">
              <w:rPr>
                <w:sz w:val="22"/>
                <w:szCs w:val="22"/>
              </w:rPr>
              <w:t xml:space="preserve"> </w:t>
            </w:r>
            <w:r w:rsidRPr="00D337FA">
              <w:rPr>
                <w:sz w:val="22"/>
                <w:szCs w:val="22"/>
              </w:rPr>
              <w:t>№86-ФЗ</w:t>
            </w:r>
            <w:r w:rsidR="006C680D" w:rsidRPr="00D337FA">
              <w:rPr>
                <w:sz w:val="22"/>
                <w:szCs w:val="22"/>
              </w:rPr>
              <w:t xml:space="preserve"> </w:t>
            </w:r>
            <w:r w:rsidRPr="00D337FA">
              <w:rPr>
                <w:sz w:val="22"/>
                <w:szCs w:val="22"/>
              </w:rPr>
              <w:t>«О</w:t>
            </w:r>
            <w:r w:rsidR="006C680D" w:rsidRPr="00D337FA">
              <w:rPr>
                <w:sz w:val="22"/>
                <w:szCs w:val="22"/>
              </w:rPr>
              <w:t xml:space="preserve"> </w:t>
            </w:r>
            <w:r w:rsidRPr="00D337FA">
              <w:rPr>
                <w:sz w:val="22"/>
                <w:szCs w:val="22"/>
              </w:rPr>
              <w:t>Центральном</w:t>
            </w:r>
            <w:r w:rsidR="006C680D" w:rsidRPr="00D337FA">
              <w:rPr>
                <w:sz w:val="22"/>
                <w:szCs w:val="22"/>
              </w:rPr>
              <w:t xml:space="preserve"> </w:t>
            </w:r>
            <w:r w:rsidRPr="00D337FA">
              <w:rPr>
                <w:sz w:val="22"/>
                <w:szCs w:val="22"/>
              </w:rPr>
              <w:t>банке</w:t>
            </w:r>
            <w:r w:rsidR="006C680D" w:rsidRPr="00D337FA">
              <w:rPr>
                <w:sz w:val="22"/>
                <w:szCs w:val="22"/>
              </w:rPr>
              <w:t xml:space="preserve"> </w:t>
            </w:r>
            <w:r w:rsidRPr="00D337FA">
              <w:rPr>
                <w:sz w:val="22"/>
                <w:szCs w:val="22"/>
              </w:rPr>
              <w:t>Российской</w:t>
            </w:r>
            <w:r w:rsidR="006C680D" w:rsidRPr="00D337FA">
              <w:rPr>
                <w:sz w:val="22"/>
                <w:szCs w:val="22"/>
              </w:rPr>
              <w:t xml:space="preserve"> </w:t>
            </w:r>
            <w:r w:rsidRPr="00D337FA">
              <w:rPr>
                <w:sz w:val="22"/>
                <w:szCs w:val="22"/>
              </w:rPr>
              <w:t>Федерации»</w:t>
            </w:r>
          </w:p>
        </w:tc>
      </w:tr>
      <w:tr w:rsidR="00D337FA" w:rsidRPr="00D337FA" w:rsidTr="00FB2463">
        <w:tc>
          <w:tcPr>
            <w:tcW w:w="2093" w:type="dxa"/>
            <w:shd w:val="clear" w:color="auto" w:fill="auto"/>
          </w:tcPr>
          <w:p w:rsidR="00FB2463" w:rsidRPr="00D337FA" w:rsidRDefault="00FB2463" w:rsidP="00D337FA">
            <w:pPr>
              <w:ind w:firstLine="0"/>
              <w:rPr>
                <w:sz w:val="22"/>
                <w:szCs w:val="22"/>
              </w:rPr>
            </w:pPr>
            <w:r w:rsidRPr="00D337FA">
              <w:rPr>
                <w:sz w:val="22"/>
                <w:szCs w:val="22"/>
              </w:rPr>
              <w:t>Механизм</w:t>
            </w:r>
            <w:r w:rsidR="006C680D" w:rsidRPr="00D337FA">
              <w:rPr>
                <w:sz w:val="22"/>
                <w:szCs w:val="22"/>
              </w:rPr>
              <w:t xml:space="preserve"> </w:t>
            </w:r>
            <w:r w:rsidRPr="00D337FA">
              <w:rPr>
                <w:sz w:val="22"/>
                <w:szCs w:val="22"/>
              </w:rPr>
              <w:t>санации</w:t>
            </w:r>
          </w:p>
        </w:tc>
        <w:tc>
          <w:tcPr>
            <w:tcW w:w="3544" w:type="dxa"/>
            <w:shd w:val="clear" w:color="auto" w:fill="auto"/>
          </w:tcPr>
          <w:p w:rsidR="00FB2463" w:rsidRPr="00D337FA" w:rsidRDefault="00FB2463" w:rsidP="00FB2463">
            <w:pPr>
              <w:ind w:firstLine="0"/>
              <w:jc w:val="left"/>
              <w:rPr>
                <w:sz w:val="22"/>
                <w:szCs w:val="22"/>
              </w:rPr>
            </w:pPr>
            <w:r w:rsidRPr="00D337FA">
              <w:rPr>
                <w:sz w:val="22"/>
                <w:szCs w:val="22"/>
              </w:rPr>
              <w:t>Кредитный</w:t>
            </w:r>
            <w:r w:rsidR="006C680D" w:rsidRPr="00D337FA">
              <w:rPr>
                <w:sz w:val="22"/>
                <w:szCs w:val="22"/>
              </w:rPr>
              <w:t xml:space="preserve"> </w:t>
            </w:r>
            <w:r w:rsidRPr="00D337FA">
              <w:rPr>
                <w:sz w:val="22"/>
                <w:szCs w:val="22"/>
              </w:rPr>
              <w:t>механизм</w:t>
            </w:r>
            <w:r w:rsidR="006C680D" w:rsidRPr="00D337FA">
              <w:rPr>
                <w:sz w:val="22"/>
                <w:szCs w:val="22"/>
              </w:rPr>
              <w:t xml:space="preserve"> </w:t>
            </w:r>
            <w:r w:rsidRPr="00D337FA">
              <w:rPr>
                <w:sz w:val="22"/>
                <w:szCs w:val="22"/>
              </w:rPr>
              <w:t>санации,</w:t>
            </w:r>
            <w:r w:rsidR="006C680D" w:rsidRPr="00D337FA">
              <w:rPr>
                <w:sz w:val="22"/>
                <w:szCs w:val="22"/>
              </w:rPr>
              <w:t xml:space="preserve"> </w:t>
            </w:r>
            <w:r w:rsidRPr="00D337FA">
              <w:rPr>
                <w:sz w:val="22"/>
                <w:szCs w:val="22"/>
              </w:rPr>
              <w:t>предполагающий</w:t>
            </w:r>
            <w:r w:rsidR="006C680D" w:rsidRPr="00D337FA">
              <w:rPr>
                <w:sz w:val="22"/>
                <w:szCs w:val="22"/>
              </w:rPr>
              <w:t xml:space="preserve"> </w:t>
            </w:r>
            <w:r w:rsidRPr="00D337FA">
              <w:rPr>
                <w:sz w:val="22"/>
                <w:szCs w:val="22"/>
              </w:rPr>
              <w:t>получение</w:t>
            </w:r>
            <w:r w:rsidR="006C680D" w:rsidRPr="00D337FA">
              <w:rPr>
                <w:sz w:val="22"/>
                <w:szCs w:val="22"/>
              </w:rPr>
              <w:t xml:space="preserve"> </w:t>
            </w:r>
            <w:r w:rsidRPr="00D337FA">
              <w:rPr>
                <w:sz w:val="22"/>
                <w:szCs w:val="22"/>
              </w:rPr>
              <w:t>АСВ</w:t>
            </w:r>
            <w:r w:rsidR="006C680D" w:rsidRPr="00D337FA">
              <w:rPr>
                <w:sz w:val="22"/>
                <w:szCs w:val="22"/>
              </w:rPr>
              <w:t xml:space="preserve"> </w:t>
            </w:r>
            <w:r w:rsidRPr="00D337FA">
              <w:rPr>
                <w:sz w:val="22"/>
                <w:szCs w:val="22"/>
              </w:rPr>
              <w:t>кредитов</w:t>
            </w:r>
            <w:r w:rsidR="006C680D" w:rsidRPr="00D337FA">
              <w:rPr>
                <w:sz w:val="22"/>
                <w:szCs w:val="22"/>
              </w:rPr>
              <w:t xml:space="preserve"> </w:t>
            </w:r>
            <w:r w:rsidRPr="00D337FA">
              <w:rPr>
                <w:sz w:val="22"/>
                <w:szCs w:val="22"/>
              </w:rPr>
              <w:t>от</w:t>
            </w:r>
            <w:r w:rsidR="006C680D" w:rsidRPr="00D337FA">
              <w:rPr>
                <w:sz w:val="22"/>
                <w:szCs w:val="22"/>
              </w:rPr>
              <w:t xml:space="preserve"> </w:t>
            </w:r>
            <w:r w:rsidRPr="00D337FA">
              <w:rPr>
                <w:sz w:val="22"/>
                <w:szCs w:val="22"/>
              </w:rPr>
              <w:t>Банка</w:t>
            </w:r>
            <w:r w:rsidR="006C680D" w:rsidRPr="00D337FA">
              <w:rPr>
                <w:sz w:val="22"/>
                <w:szCs w:val="22"/>
              </w:rPr>
              <w:t xml:space="preserve"> </w:t>
            </w:r>
            <w:r w:rsidRPr="00D337FA">
              <w:rPr>
                <w:sz w:val="22"/>
                <w:szCs w:val="22"/>
              </w:rPr>
              <w:t>России,</w:t>
            </w:r>
            <w:r w:rsidR="006C680D" w:rsidRPr="00D337FA">
              <w:rPr>
                <w:sz w:val="22"/>
                <w:szCs w:val="22"/>
              </w:rPr>
              <w:t xml:space="preserve"> </w:t>
            </w:r>
            <w:r w:rsidRPr="00D337FA">
              <w:rPr>
                <w:sz w:val="22"/>
                <w:szCs w:val="22"/>
              </w:rPr>
              <w:t>которые</w:t>
            </w:r>
            <w:r w:rsidR="006C680D" w:rsidRPr="00D337FA">
              <w:rPr>
                <w:sz w:val="22"/>
                <w:szCs w:val="22"/>
              </w:rPr>
              <w:t xml:space="preserve"> </w:t>
            </w:r>
            <w:r w:rsidRPr="00D337FA">
              <w:rPr>
                <w:sz w:val="22"/>
                <w:szCs w:val="22"/>
              </w:rPr>
              <w:t>предоставлялись</w:t>
            </w:r>
            <w:r w:rsidR="006C680D" w:rsidRPr="00D337FA">
              <w:rPr>
                <w:sz w:val="22"/>
                <w:szCs w:val="22"/>
              </w:rPr>
              <w:t xml:space="preserve"> </w:t>
            </w:r>
            <w:r w:rsidRPr="00D337FA">
              <w:rPr>
                <w:sz w:val="22"/>
                <w:szCs w:val="22"/>
              </w:rPr>
              <w:t>санируемому</w:t>
            </w:r>
            <w:r w:rsidR="006C680D" w:rsidRPr="00D337FA">
              <w:rPr>
                <w:sz w:val="22"/>
                <w:szCs w:val="22"/>
              </w:rPr>
              <w:t xml:space="preserve"> </w:t>
            </w:r>
            <w:r w:rsidRPr="00D337FA">
              <w:rPr>
                <w:sz w:val="22"/>
                <w:szCs w:val="22"/>
              </w:rPr>
              <w:t>банку</w:t>
            </w:r>
            <w:r w:rsidR="006C680D" w:rsidRPr="00D337FA">
              <w:rPr>
                <w:sz w:val="22"/>
                <w:szCs w:val="22"/>
              </w:rPr>
              <w:t xml:space="preserve"> </w:t>
            </w:r>
            <w:r w:rsidRPr="00D337FA">
              <w:rPr>
                <w:sz w:val="22"/>
                <w:szCs w:val="22"/>
              </w:rPr>
              <w:t>сроком</w:t>
            </w:r>
            <w:r w:rsidR="006C680D" w:rsidRPr="00D337FA">
              <w:rPr>
                <w:sz w:val="22"/>
                <w:szCs w:val="22"/>
              </w:rPr>
              <w:t xml:space="preserve"> </w:t>
            </w:r>
            <w:r w:rsidRPr="00D337FA">
              <w:rPr>
                <w:sz w:val="22"/>
                <w:szCs w:val="22"/>
              </w:rPr>
              <w:t>на</w:t>
            </w:r>
            <w:r w:rsidR="006C680D" w:rsidRPr="00D337FA">
              <w:rPr>
                <w:sz w:val="22"/>
                <w:szCs w:val="22"/>
              </w:rPr>
              <w:t xml:space="preserve"> </w:t>
            </w:r>
            <w:r w:rsidRPr="00D337FA">
              <w:rPr>
                <w:sz w:val="22"/>
                <w:szCs w:val="22"/>
              </w:rPr>
              <w:t>10</w:t>
            </w:r>
            <w:r w:rsidR="006C680D" w:rsidRPr="00D337FA">
              <w:rPr>
                <w:sz w:val="22"/>
                <w:szCs w:val="22"/>
              </w:rPr>
              <w:t xml:space="preserve"> </w:t>
            </w:r>
            <w:r w:rsidRPr="00D337FA">
              <w:rPr>
                <w:sz w:val="22"/>
                <w:szCs w:val="22"/>
              </w:rPr>
              <w:t>лет</w:t>
            </w:r>
            <w:r w:rsidR="006C680D" w:rsidRPr="00D337FA">
              <w:rPr>
                <w:sz w:val="22"/>
                <w:szCs w:val="22"/>
              </w:rPr>
              <w:t xml:space="preserve"> </w:t>
            </w:r>
            <w:r w:rsidRPr="00D337FA">
              <w:rPr>
                <w:sz w:val="22"/>
                <w:szCs w:val="22"/>
              </w:rPr>
              <w:t>под</w:t>
            </w:r>
            <w:r w:rsidR="006C680D" w:rsidRPr="00D337FA">
              <w:rPr>
                <w:sz w:val="22"/>
                <w:szCs w:val="22"/>
              </w:rPr>
              <w:t xml:space="preserve"> </w:t>
            </w:r>
            <w:r w:rsidRPr="00D337FA">
              <w:rPr>
                <w:sz w:val="22"/>
                <w:szCs w:val="22"/>
              </w:rPr>
              <w:t>0,51%</w:t>
            </w:r>
            <w:r w:rsidR="006C680D" w:rsidRPr="00D337FA">
              <w:rPr>
                <w:sz w:val="22"/>
                <w:szCs w:val="22"/>
              </w:rPr>
              <w:t xml:space="preserve"> </w:t>
            </w:r>
            <w:r w:rsidRPr="00D337FA">
              <w:rPr>
                <w:sz w:val="22"/>
                <w:szCs w:val="22"/>
              </w:rPr>
              <w:lastRenderedPageBreak/>
              <w:t>годовых</w:t>
            </w:r>
            <w:r w:rsidR="006C680D" w:rsidRPr="00D337FA">
              <w:rPr>
                <w:sz w:val="22"/>
                <w:szCs w:val="22"/>
              </w:rPr>
              <w:t xml:space="preserve"> </w:t>
            </w:r>
            <w:r w:rsidRPr="00D337FA">
              <w:rPr>
                <w:sz w:val="22"/>
                <w:szCs w:val="22"/>
              </w:rPr>
              <w:t>и</w:t>
            </w:r>
            <w:r w:rsidR="006C680D" w:rsidRPr="00D337FA">
              <w:rPr>
                <w:sz w:val="22"/>
                <w:szCs w:val="22"/>
              </w:rPr>
              <w:t xml:space="preserve"> </w:t>
            </w:r>
            <w:r w:rsidRPr="00D337FA">
              <w:rPr>
                <w:sz w:val="22"/>
                <w:szCs w:val="22"/>
              </w:rPr>
              <w:t>инвестору</w:t>
            </w:r>
            <w:r w:rsidR="006C680D" w:rsidRPr="00D337FA">
              <w:rPr>
                <w:sz w:val="22"/>
                <w:szCs w:val="22"/>
              </w:rPr>
              <w:t xml:space="preserve"> </w:t>
            </w:r>
            <w:r w:rsidRPr="00D337FA">
              <w:rPr>
                <w:sz w:val="22"/>
                <w:szCs w:val="22"/>
              </w:rPr>
              <w:t>сроком</w:t>
            </w:r>
            <w:r w:rsidR="006C680D" w:rsidRPr="00D337FA">
              <w:rPr>
                <w:sz w:val="22"/>
                <w:szCs w:val="22"/>
              </w:rPr>
              <w:t xml:space="preserve"> </w:t>
            </w:r>
            <w:r w:rsidRPr="00D337FA">
              <w:rPr>
                <w:sz w:val="22"/>
                <w:szCs w:val="22"/>
              </w:rPr>
              <w:t>на</w:t>
            </w:r>
            <w:r w:rsidR="006C680D" w:rsidRPr="00D337FA">
              <w:rPr>
                <w:sz w:val="22"/>
                <w:szCs w:val="22"/>
              </w:rPr>
              <w:t xml:space="preserve"> </w:t>
            </w:r>
            <w:r w:rsidRPr="00D337FA">
              <w:rPr>
                <w:sz w:val="22"/>
                <w:szCs w:val="22"/>
              </w:rPr>
              <w:t>6</w:t>
            </w:r>
            <w:r w:rsidR="006C680D" w:rsidRPr="00D337FA">
              <w:rPr>
                <w:sz w:val="22"/>
                <w:szCs w:val="22"/>
              </w:rPr>
              <w:t xml:space="preserve"> </w:t>
            </w:r>
            <w:r w:rsidRPr="00D337FA">
              <w:rPr>
                <w:sz w:val="22"/>
                <w:szCs w:val="22"/>
              </w:rPr>
              <w:t>лет</w:t>
            </w:r>
            <w:r w:rsidR="006C680D" w:rsidRPr="00D337FA">
              <w:rPr>
                <w:sz w:val="22"/>
                <w:szCs w:val="22"/>
              </w:rPr>
              <w:t xml:space="preserve"> </w:t>
            </w:r>
            <w:r w:rsidRPr="00D337FA">
              <w:rPr>
                <w:sz w:val="22"/>
                <w:szCs w:val="22"/>
              </w:rPr>
              <w:t>под</w:t>
            </w:r>
            <w:r w:rsidR="006C680D" w:rsidRPr="00D337FA">
              <w:rPr>
                <w:sz w:val="22"/>
                <w:szCs w:val="22"/>
              </w:rPr>
              <w:t xml:space="preserve"> </w:t>
            </w:r>
            <w:r w:rsidRPr="00D337FA">
              <w:rPr>
                <w:sz w:val="22"/>
                <w:szCs w:val="22"/>
              </w:rPr>
              <w:t>6,01%</w:t>
            </w:r>
          </w:p>
        </w:tc>
        <w:tc>
          <w:tcPr>
            <w:tcW w:w="4110" w:type="dxa"/>
            <w:shd w:val="clear" w:color="auto" w:fill="auto"/>
          </w:tcPr>
          <w:p w:rsidR="00FB2463" w:rsidRPr="00D337FA" w:rsidRDefault="00FB2463" w:rsidP="00FB2463">
            <w:pPr>
              <w:ind w:firstLine="0"/>
              <w:jc w:val="left"/>
              <w:rPr>
                <w:sz w:val="22"/>
                <w:szCs w:val="22"/>
              </w:rPr>
            </w:pPr>
            <w:r w:rsidRPr="00D337FA">
              <w:rPr>
                <w:sz w:val="22"/>
                <w:szCs w:val="22"/>
              </w:rPr>
              <w:lastRenderedPageBreak/>
              <w:t>Механизм</w:t>
            </w:r>
            <w:r w:rsidR="006C680D" w:rsidRPr="00D337FA">
              <w:rPr>
                <w:sz w:val="22"/>
                <w:szCs w:val="22"/>
              </w:rPr>
              <w:t xml:space="preserve"> </w:t>
            </w:r>
            <w:r w:rsidRPr="00D337FA">
              <w:rPr>
                <w:sz w:val="22"/>
                <w:szCs w:val="22"/>
              </w:rPr>
              <w:t>прямого</w:t>
            </w:r>
            <w:r w:rsidR="006C680D" w:rsidRPr="00D337FA">
              <w:rPr>
                <w:sz w:val="22"/>
                <w:szCs w:val="22"/>
              </w:rPr>
              <w:t xml:space="preserve"> </w:t>
            </w:r>
            <w:r w:rsidRPr="00D337FA">
              <w:rPr>
                <w:sz w:val="22"/>
                <w:szCs w:val="22"/>
              </w:rPr>
              <w:t>участия</w:t>
            </w:r>
            <w:r w:rsidR="006C680D" w:rsidRPr="00D337FA">
              <w:rPr>
                <w:sz w:val="22"/>
                <w:szCs w:val="22"/>
              </w:rPr>
              <w:t xml:space="preserve"> </w:t>
            </w:r>
            <w:r w:rsidRPr="00D337FA">
              <w:rPr>
                <w:sz w:val="22"/>
                <w:szCs w:val="22"/>
              </w:rPr>
              <w:t>ФКБС</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деятельности</w:t>
            </w:r>
            <w:r w:rsidR="006C680D" w:rsidRPr="00D337FA">
              <w:rPr>
                <w:sz w:val="22"/>
                <w:szCs w:val="22"/>
              </w:rPr>
              <w:t xml:space="preserve"> </w:t>
            </w:r>
            <w:r w:rsidRPr="00D337FA">
              <w:rPr>
                <w:sz w:val="22"/>
                <w:szCs w:val="22"/>
              </w:rPr>
              <w:t>санируемого</w:t>
            </w:r>
            <w:r w:rsidR="006C680D" w:rsidRPr="00D337FA">
              <w:rPr>
                <w:sz w:val="22"/>
                <w:szCs w:val="22"/>
              </w:rPr>
              <w:t xml:space="preserve"> </w:t>
            </w:r>
            <w:r w:rsidRPr="00D337FA">
              <w:rPr>
                <w:sz w:val="22"/>
                <w:szCs w:val="22"/>
              </w:rPr>
              <w:t>банка</w:t>
            </w:r>
            <w:r w:rsidR="006C680D" w:rsidRPr="00D337FA">
              <w:rPr>
                <w:sz w:val="22"/>
                <w:szCs w:val="22"/>
              </w:rPr>
              <w:t xml:space="preserve"> </w:t>
            </w:r>
            <w:r w:rsidRPr="00D337FA">
              <w:rPr>
                <w:sz w:val="22"/>
                <w:szCs w:val="22"/>
              </w:rPr>
              <w:t>посредством</w:t>
            </w:r>
            <w:r w:rsidR="006C680D" w:rsidRPr="00D337FA">
              <w:rPr>
                <w:sz w:val="22"/>
                <w:szCs w:val="22"/>
              </w:rPr>
              <w:t xml:space="preserve"> </w:t>
            </w:r>
            <w:r w:rsidRPr="00D337FA">
              <w:rPr>
                <w:sz w:val="22"/>
                <w:szCs w:val="22"/>
              </w:rPr>
              <w:t>выкупа</w:t>
            </w:r>
            <w:r w:rsidR="006C680D" w:rsidRPr="00D337FA">
              <w:rPr>
                <w:sz w:val="22"/>
                <w:szCs w:val="22"/>
              </w:rPr>
              <w:t xml:space="preserve"> </w:t>
            </w:r>
            <w:r w:rsidRPr="00D337FA">
              <w:rPr>
                <w:sz w:val="22"/>
                <w:szCs w:val="22"/>
              </w:rPr>
              <w:t>акций</w:t>
            </w:r>
            <w:r w:rsidR="006C680D" w:rsidRPr="00D337FA">
              <w:rPr>
                <w:sz w:val="22"/>
                <w:szCs w:val="22"/>
              </w:rPr>
              <w:t xml:space="preserve"> </w:t>
            </w:r>
            <w:r w:rsidRPr="00D337FA">
              <w:rPr>
                <w:sz w:val="22"/>
                <w:szCs w:val="22"/>
              </w:rPr>
              <w:t>(долей),</w:t>
            </w:r>
            <w:r w:rsidR="006C680D" w:rsidRPr="00D337FA">
              <w:rPr>
                <w:sz w:val="22"/>
                <w:szCs w:val="22"/>
              </w:rPr>
              <w:t xml:space="preserve"> </w:t>
            </w:r>
            <w:r w:rsidRPr="00D337FA">
              <w:rPr>
                <w:sz w:val="22"/>
                <w:szCs w:val="22"/>
              </w:rPr>
              <w:t>предоставления</w:t>
            </w:r>
            <w:r w:rsidR="006C680D" w:rsidRPr="00D337FA">
              <w:rPr>
                <w:sz w:val="22"/>
                <w:szCs w:val="22"/>
              </w:rPr>
              <w:t xml:space="preserve"> </w:t>
            </w:r>
            <w:r w:rsidRPr="00D337FA">
              <w:rPr>
                <w:sz w:val="22"/>
                <w:szCs w:val="22"/>
              </w:rPr>
              <w:t>кредитов</w:t>
            </w:r>
            <w:r w:rsidR="006C680D" w:rsidRPr="00D337FA">
              <w:rPr>
                <w:sz w:val="22"/>
                <w:szCs w:val="22"/>
              </w:rPr>
              <w:t xml:space="preserve"> </w:t>
            </w:r>
            <w:r w:rsidRPr="00D337FA">
              <w:rPr>
                <w:sz w:val="22"/>
                <w:szCs w:val="22"/>
              </w:rPr>
              <w:t>и</w:t>
            </w:r>
            <w:r w:rsidR="006C680D" w:rsidRPr="00D337FA">
              <w:rPr>
                <w:sz w:val="22"/>
                <w:szCs w:val="22"/>
              </w:rPr>
              <w:t xml:space="preserve"> </w:t>
            </w:r>
            <w:r w:rsidRPr="00D337FA">
              <w:rPr>
                <w:sz w:val="22"/>
                <w:szCs w:val="22"/>
              </w:rPr>
              <w:t>депозитов</w:t>
            </w:r>
            <w:r w:rsidR="006C680D" w:rsidRPr="00D337FA">
              <w:rPr>
                <w:sz w:val="22"/>
                <w:szCs w:val="22"/>
              </w:rPr>
              <w:t xml:space="preserve"> </w:t>
            </w:r>
            <w:r w:rsidRPr="00D337FA">
              <w:rPr>
                <w:sz w:val="22"/>
                <w:szCs w:val="22"/>
              </w:rPr>
              <w:t>за</w:t>
            </w:r>
            <w:r w:rsidR="006C680D" w:rsidRPr="00D337FA">
              <w:rPr>
                <w:sz w:val="22"/>
                <w:szCs w:val="22"/>
              </w:rPr>
              <w:t xml:space="preserve"> </w:t>
            </w:r>
            <w:r w:rsidRPr="00D337FA">
              <w:rPr>
                <w:sz w:val="22"/>
                <w:szCs w:val="22"/>
              </w:rPr>
              <w:t>счет</w:t>
            </w:r>
            <w:r w:rsidR="006C680D" w:rsidRPr="00D337FA">
              <w:rPr>
                <w:sz w:val="22"/>
                <w:szCs w:val="22"/>
              </w:rPr>
              <w:t xml:space="preserve"> </w:t>
            </w:r>
            <w:r w:rsidRPr="00D337FA">
              <w:rPr>
                <w:sz w:val="22"/>
                <w:szCs w:val="22"/>
              </w:rPr>
              <w:t>средств,</w:t>
            </w:r>
            <w:r w:rsidR="006C680D" w:rsidRPr="00D337FA">
              <w:rPr>
                <w:sz w:val="22"/>
                <w:szCs w:val="22"/>
              </w:rPr>
              <w:t xml:space="preserve"> </w:t>
            </w:r>
            <w:r w:rsidRPr="00D337FA">
              <w:rPr>
                <w:sz w:val="22"/>
                <w:szCs w:val="22"/>
              </w:rPr>
              <w:t>выделяемых</w:t>
            </w:r>
            <w:r w:rsidR="006C680D" w:rsidRPr="00D337FA">
              <w:rPr>
                <w:sz w:val="22"/>
                <w:szCs w:val="22"/>
              </w:rPr>
              <w:t xml:space="preserve"> </w:t>
            </w:r>
            <w:r w:rsidRPr="00D337FA">
              <w:rPr>
                <w:sz w:val="22"/>
                <w:szCs w:val="22"/>
              </w:rPr>
              <w:t>Банком</w:t>
            </w:r>
            <w:r w:rsidR="006C680D" w:rsidRPr="00D337FA">
              <w:rPr>
                <w:sz w:val="22"/>
                <w:szCs w:val="22"/>
              </w:rPr>
              <w:t xml:space="preserve"> </w:t>
            </w:r>
            <w:r w:rsidRPr="00D337FA">
              <w:rPr>
                <w:sz w:val="22"/>
                <w:szCs w:val="22"/>
              </w:rPr>
              <w:t>России</w:t>
            </w:r>
            <w:r w:rsidR="006C680D" w:rsidRPr="00D337FA">
              <w:rPr>
                <w:sz w:val="22"/>
                <w:szCs w:val="22"/>
              </w:rPr>
              <w:t xml:space="preserve"> </w:t>
            </w:r>
          </w:p>
        </w:tc>
      </w:tr>
      <w:tr w:rsidR="00D337FA" w:rsidRPr="00D337FA" w:rsidTr="00FB2463">
        <w:tc>
          <w:tcPr>
            <w:tcW w:w="2093" w:type="dxa"/>
            <w:shd w:val="clear" w:color="auto" w:fill="auto"/>
          </w:tcPr>
          <w:p w:rsidR="00FB2463" w:rsidRPr="00D337FA" w:rsidRDefault="00FB2463" w:rsidP="00FB2463">
            <w:pPr>
              <w:ind w:firstLine="0"/>
              <w:rPr>
                <w:sz w:val="22"/>
                <w:szCs w:val="22"/>
              </w:rPr>
            </w:pPr>
            <w:r w:rsidRPr="00D337FA">
              <w:rPr>
                <w:sz w:val="22"/>
                <w:szCs w:val="22"/>
              </w:rPr>
              <w:lastRenderedPageBreak/>
              <w:t>Привлечение</w:t>
            </w:r>
            <w:r w:rsidR="006C680D" w:rsidRPr="00D337FA">
              <w:rPr>
                <w:sz w:val="22"/>
                <w:szCs w:val="22"/>
              </w:rPr>
              <w:t xml:space="preserve"> </w:t>
            </w:r>
            <w:r w:rsidRPr="00D337FA">
              <w:rPr>
                <w:sz w:val="22"/>
                <w:szCs w:val="22"/>
              </w:rPr>
              <w:t>инвестора</w:t>
            </w:r>
            <w:r w:rsidR="006C680D" w:rsidRPr="00D337FA">
              <w:rPr>
                <w:sz w:val="22"/>
                <w:szCs w:val="22"/>
              </w:rPr>
              <w:t xml:space="preserve"> </w:t>
            </w:r>
            <w:r w:rsidRPr="00D337FA">
              <w:rPr>
                <w:sz w:val="22"/>
                <w:szCs w:val="22"/>
              </w:rPr>
              <w:t>к</w:t>
            </w:r>
            <w:r w:rsidR="006C680D" w:rsidRPr="00D337FA">
              <w:rPr>
                <w:sz w:val="22"/>
                <w:szCs w:val="22"/>
              </w:rPr>
              <w:t xml:space="preserve"> </w:t>
            </w:r>
            <w:r w:rsidRPr="00D337FA">
              <w:rPr>
                <w:sz w:val="22"/>
                <w:szCs w:val="22"/>
              </w:rPr>
              <w:t>санации</w:t>
            </w:r>
            <w:r w:rsidR="006C680D" w:rsidRPr="00D337FA">
              <w:rPr>
                <w:sz w:val="22"/>
                <w:szCs w:val="22"/>
              </w:rPr>
              <w:t xml:space="preserve"> </w:t>
            </w:r>
            <w:r w:rsidRPr="00D337FA">
              <w:rPr>
                <w:sz w:val="22"/>
                <w:szCs w:val="22"/>
              </w:rPr>
              <w:t>банка</w:t>
            </w:r>
          </w:p>
        </w:tc>
        <w:tc>
          <w:tcPr>
            <w:tcW w:w="3544" w:type="dxa"/>
            <w:shd w:val="clear" w:color="auto" w:fill="auto"/>
          </w:tcPr>
          <w:p w:rsidR="00FB2463" w:rsidRPr="00D337FA" w:rsidRDefault="00FB2463" w:rsidP="006C680D">
            <w:pPr>
              <w:ind w:firstLine="30"/>
              <w:jc w:val="left"/>
              <w:rPr>
                <w:sz w:val="22"/>
                <w:szCs w:val="22"/>
              </w:rPr>
            </w:pPr>
            <w:r w:rsidRPr="00D337FA">
              <w:rPr>
                <w:sz w:val="22"/>
                <w:szCs w:val="22"/>
              </w:rPr>
              <w:t>К</w:t>
            </w:r>
            <w:r w:rsidR="006C680D" w:rsidRPr="00D337FA">
              <w:rPr>
                <w:sz w:val="22"/>
                <w:szCs w:val="22"/>
              </w:rPr>
              <w:t xml:space="preserve"> </w:t>
            </w:r>
            <w:r w:rsidRPr="00D337FA">
              <w:rPr>
                <w:sz w:val="22"/>
                <w:szCs w:val="22"/>
              </w:rPr>
              <w:t>санации</w:t>
            </w:r>
            <w:r w:rsidR="006C680D" w:rsidRPr="00D337FA">
              <w:rPr>
                <w:sz w:val="22"/>
                <w:szCs w:val="22"/>
              </w:rPr>
              <w:t xml:space="preserve"> </w:t>
            </w:r>
            <w:r w:rsidRPr="00D337FA">
              <w:rPr>
                <w:sz w:val="22"/>
                <w:szCs w:val="22"/>
              </w:rPr>
              <w:t>привлекается</w:t>
            </w:r>
            <w:r w:rsidR="006C680D" w:rsidRPr="00D337FA">
              <w:rPr>
                <w:sz w:val="22"/>
                <w:szCs w:val="22"/>
              </w:rPr>
              <w:t xml:space="preserve"> </w:t>
            </w:r>
            <w:r w:rsidRPr="00D337FA">
              <w:rPr>
                <w:sz w:val="22"/>
                <w:szCs w:val="22"/>
              </w:rPr>
              <w:t>инвестор</w:t>
            </w:r>
            <w:r w:rsidR="006C680D" w:rsidRPr="00D337FA">
              <w:rPr>
                <w:sz w:val="22"/>
                <w:szCs w:val="22"/>
              </w:rPr>
              <w:t xml:space="preserve"> </w:t>
            </w:r>
            <w:r w:rsidRPr="00D337FA">
              <w:rPr>
                <w:sz w:val="22"/>
                <w:szCs w:val="22"/>
              </w:rPr>
              <w:t>(банк),</w:t>
            </w:r>
            <w:r w:rsidR="006C680D" w:rsidRPr="00D337FA">
              <w:rPr>
                <w:sz w:val="22"/>
                <w:szCs w:val="22"/>
              </w:rPr>
              <w:t xml:space="preserve"> </w:t>
            </w:r>
            <w:r w:rsidRPr="00D337FA">
              <w:rPr>
                <w:sz w:val="22"/>
                <w:szCs w:val="22"/>
              </w:rPr>
              <w:t>осуществляющий</w:t>
            </w:r>
            <w:r w:rsidR="006C680D" w:rsidRPr="00D337FA">
              <w:rPr>
                <w:sz w:val="22"/>
                <w:szCs w:val="22"/>
              </w:rPr>
              <w:t xml:space="preserve"> </w:t>
            </w:r>
            <w:r w:rsidRPr="00D337FA">
              <w:rPr>
                <w:sz w:val="22"/>
                <w:szCs w:val="22"/>
              </w:rPr>
              <w:t>реализацию</w:t>
            </w:r>
            <w:r w:rsidR="006C680D" w:rsidRPr="00D337FA">
              <w:rPr>
                <w:sz w:val="22"/>
                <w:szCs w:val="22"/>
              </w:rPr>
              <w:t xml:space="preserve"> </w:t>
            </w:r>
            <w:r w:rsidRPr="00D337FA">
              <w:rPr>
                <w:sz w:val="22"/>
                <w:szCs w:val="22"/>
              </w:rPr>
              <w:t>плана</w:t>
            </w:r>
            <w:r w:rsidR="006C680D" w:rsidRPr="00D337FA">
              <w:rPr>
                <w:sz w:val="22"/>
                <w:szCs w:val="22"/>
              </w:rPr>
              <w:t xml:space="preserve"> </w:t>
            </w:r>
            <w:r w:rsidRPr="00D337FA">
              <w:rPr>
                <w:sz w:val="22"/>
                <w:szCs w:val="22"/>
              </w:rPr>
              <w:t>санации</w:t>
            </w:r>
            <w:r w:rsidR="006C680D" w:rsidRPr="00D337FA">
              <w:rPr>
                <w:sz w:val="22"/>
                <w:szCs w:val="22"/>
              </w:rPr>
              <w:t xml:space="preserve"> </w:t>
            </w:r>
            <w:r w:rsidRPr="00D337FA">
              <w:rPr>
                <w:sz w:val="22"/>
                <w:szCs w:val="22"/>
              </w:rPr>
              <w:t>за</w:t>
            </w:r>
            <w:r w:rsidR="006C680D" w:rsidRPr="00D337FA">
              <w:rPr>
                <w:sz w:val="22"/>
                <w:szCs w:val="22"/>
              </w:rPr>
              <w:t xml:space="preserve"> </w:t>
            </w:r>
            <w:r w:rsidRPr="00D337FA">
              <w:rPr>
                <w:sz w:val="22"/>
                <w:szCs w:val="22"/>
              </w:rPr>
              <w:t>счет</w:t>
            </w:r>
            <w:r w:rsidR="006C680D" w:rsidRPr="00D337FA">
              <w:rPr>
                <w:sz w:val="22"/>
                <w:szCs w:val="22"/>
              </w:rPr>
              <w:t xml:space="preserve"> </w:t>
            </w:r>
            <w:r w:rsidRPr="00D337FA">
              <w:rPr>
                <w:sz w:val="22"/>
                <w:szCs w:val="22"/>
              </w:rPr>
              <w:t>выделенных</w:t>
            </w:r>
            <w:r w:rsidR="006C680D" w:rsidRPr="00D337FA">
              <w:rPr>
                <w:sz w:val="22"/>
                <w:szCs w:val="22"/>
              </w:rPr>
              <w:t xml:space="preserve"> </w:t>
            </w:r>
            <w:r w:rsidRPr="00D337FA">
              <w:rPr>
                <w:sz w:val="22"/>
                <w:szCs w:val="22"/>
              </w:rPr>
              <w:t>средств</w:t>
            </w:r>
            <w:r w:rsidR="006C680D" w:rsidRPr="00D337FA">
              <w:rPr>
                <w:sz w:val="22"/>
                <w:szCs w:val="22"/>
              </w:rPr>
              <w:t xml:space="preserve"> </w:t>
            </w:r>
          </w:p>
        </w:tc>
        <w:tc>
          <w:tcPr>
            <w:tcW w:w="4110" w:type="dxa"/>
            <w:shd w:val="clear" w:color="auto" w:fill="auto"/>
          </w:tcPr>
          <w:p w:rsidR="00FB2463" w:rsidRPr="00D337FA" w:rsidRDefault="00FB2463" w:rsidP="006C680D">
            <w:pPr>
              <w:ind w:firstLine="30"/>
              <w:jc w:val="left"/>
              <w:rPr>
                <w:sz w:val="22"/>
                <w:szCs w:val="22"/>
              </w:rPr>
            </w:pPr>
            <w:r w:rsidRPr="00D337FA">
              <w:rPr>
                <w:sz w:val="22"/>
                <w:szCs w:val="22"/>
              </w:rPr>
              <w:t>Привлечение</w:t>
            </w:r>
            <w:r w:rsidR="006C680D" w:rsidRPr="00D337FA">
              <w:rPr>
                <w:sz w:val="22"/>
                <w:szCs w:val="22"/>
              </w:rPr>
              <w:t xml:space="preserve"> </w:t>
            </w:r>
            <w:r w:rsidRPr="00D337FA">
              <w:rPr>
                <w:sz w:val="22"/>
                <w:szCs w:val="22"/>
              </w:rPr>
              <w:t>инвестора</w:t>
            </w:r>
            <w:r w:rsidR="006C680D" w:rsidRPr="00D337FA">
              <w:rPr>
                <w:sz w:val="22"/>
                <w:szCs w:val="22"/>
              </w:rPr>
              <w:t xml:space="preserve"> </w:t>
            </w:r>
            <w:r w:rsidRPr="00D337FA">
              <w:rPr>
                <w:sz w:val="22"/>
                <w:szCs w:val="22"/>
              </w:rPr>
              <w:t>рассматривается</w:t>
            </w:r>
            <w:r w:rsidR="006C680D" w:rsidRPr="00D337FA">
              <w:rPr>
                <w:sz w:val="22"/>
                <w:szCs w:val="22"/>
              </w:rPr>
              <w:t xml:space="preserve"> </w:t>
            </w:r>
            <w:r w:rsidRPr="00D337FA">
              <w:rPr>
                <w:sz w:val="22"/>
                <w:szCs w:val="22"/>
              </w:rPr>
              <w:t>как</w:t>
            </w:r>
            <w:r w:rsidR="006C680D" w:rsidRPr="00D337FA">
              <w:rPr>
                <w:sz w:val="22"/>
                <w:szCs w:val="22"/>
              </w:rPr>
              <w:t xml:space="preserve"> </w:t>
            </w:r>
            <w:r w:rsidRPr="00D337FA">
              <w:rPr>
                <w:sz w:val="22"/>
                <w:szCs w:val="22"/>
              </w:rPr>
              <w:t>один</w:t>
            </w:r>
            <w:r w:rsidR="006C680D" w:rsidRPr="00D337FA">
              <w:rPr>
                <w:sz w:val="22"/>
                <w:szCs w:val="22"/>
              </w:rPr>
              <w:t xml:space="preserve"> </w:t>
            </w:r>
            <w:r w:rsidRPr="00D337FA">
              <w:rPr>
                <w:sz w:val="22"/>
                <w:szCs w:val="22"/>
              </w:rPr>
              <w:t>из</w:t>
            </w:r>
            <w:r w:rsidR="006C680D" w:rsidRPr="00D337FA">
              <w:rPr>
                <w:sz w:val="22"/>
                <w:szCs w:val="22"/>
              </w:rPr>
              <w:t xml:space="preserve"> </w:t>
            </w:r>
            <w:r w:rsidRPr="00D337FA">
              <w:rPr>
                <w:sz w:val="22"/>
                <w:szCs w:val="22"/>
              </w:rPr>
              <w:t>возможных</w:t>
            </w:r>
            <w:r w:rsidR="006C680D" w:rsidRPr="00D337FA">
              <w:rPr>
                <w:sz w:val="22"/>
                <w:szCs w:val="22"/>
              </w:rPr>
              <w:t xml:space="preserve"> </w:t>
            </w:r>
            <w:r w:rsidRPr="00D337FA">
              <w:rPr>
                <w:sz w:val="22"/>
                <w:szCs w:val="22"/>
              </w:rPr>
              <w:t>механизмов</w:t>
            </w:r>
            <w:r w:rsidR="006C680D" w:rsidRPr="00D337FA">
              <w:rPr>
                <w:sz w:val="22"/>
                <w:szCs w:val="22"/>
              </w:rPr>
              <w:t xml:space="preserve"> </w:t>
            </w:r>
            <w:r w:rsidRPr="00D337FA">
              <w:rPr>
                <w:sz w:val="22"/>
                <w:szCs w:val="22"/>
              </w:rPr>
              <w:t>санации,</w:t>
            </w:r>
            <w:r w:rsidR="006C680D" w:rsidRPr="00D337FA">
              <w:rPr>
                <w:sz w:val="22"/>
                <w:szCs w:val="22"/>
              </w:rPr>
              <w:t xml:space="preserve"> </w:t>
            </w:r>
            <w:r w:rsidRPr="00D337FA">
              <w:rPr>
                <w:sz w:val="22"/>
                <w:szCs w:val="22"/>
              </w:rPr>
              <w:t>но</w:t>
            </w:r>
            <w:r w:rsidR="006C680D" w:rsidRPr="00D337FA">
              <w:rPr>
                <w:sz w:val="22"/>
                <w:szCs w:val="22"/>
              </w:rPr>
              <w:t xml:space="preserve"> </w:t>
            </w:r>
            <w:r w:rsidRPr="00D337FA">
              <w:rPr>
                <w:sz w:val="22"/>
                <w:szCs w:val="22"/>
              </w:rPr>
              <w:t>не</w:t>
            </w:r>
            <w:r w:rsidR="006C680D" w:rsidRPr="00D337FA">
              <w:rPr>
                <w:sz w:val="22"/>
                <w:szCs w:val="22"/>
              </w:rPr>
              <w:t xml:space="preserve"> </w:t>
            </w:r>
            <w:r w:rsidRPr="00D337FA">
              <w:rPr>
                <w:sz w:val="22"/>
                <w:szCs w:val="22"/>
              </w:rPr>
              <w:t>является</w:t>
            </w:r>
            <w:r w:rsidR="006C680D" w:rsidRPr="00D337FA">
              <w:rPr>
                <w:sz w:val="22"/>
                <w:szCs w:val="22"/>
              </w:rPr>
              <w:t xml:space="preserve"> </w:t>
            </w:r>
            <w:r w:rsidRPr="00D337FA">
              <w:rPr>
                <w:sz w:val="22"/>
                <w:szCs w:val="22"/>
              </w:rPr>
              <w:t>приоритетным.</w:t>
            </w:r>
            <w:r w:rsidR="006C680D" w:rsidRPr="00D337FA">
              <w:rPr>
                <w:sz w:val="22"/>
                <w:szCs w:val="22"/>
              </w:rPr>
              <w:t xml:space="preserve"> </w:t>
            </w:r>
            <w:r w:rsidRPr="00D337FA">
              <w:rPr>
                <w:sz w:val="22"/>
                <w:szCs w:val="22"/>
              </w:rPr>
              <w:t>Случаев</w:t>
            </w:r>
            <w:r w:rsidR="006C680D" w:rsidRPr="00D337FA">
              <w:rPr>
                <w:sz w:val="22"/>
                <w:szCs w:val="22"/>
              </w:rPr>
              <w:t xml:space="preserve"> </w:t>
            </w:r>
            <w:r w:rsidRPr="00D337FA">
              <w:rPr>
                <w:sz w:val="22"/>
                <w:szCs w:val="22"/>
              </w:rPr>
              <w:t>привлечения</w:t>
            </w:r>
            <w:r w:rsidR="006C680D" w:rsidRPr="00D337FA">
              <w:rPr>
                <w:sz w:val="22"/>
                <w:szCs w:val="22"/>
              </w:rPr>
              <w:t xml:space="preserve"> </w:t>
            </w:r>
            <w:r w:rsidRPr="00D337FA">
              <w:rPr>
                <w:sz w:val="22"/>
                <w:szCs w:val="22"/>
              </w:rPr>
              <w:t>стороннего</w:t>
            </w:r>
            <w:r w:rsidR="006C680D" w:rsidRPr="00D337FA">
              <w:rPr>
                <w:sz w:val="22"/>
                <w:szCs w:val="22"/>
              </w:rPr>
              <w:t xml:space="preserve"> </w:t>
            </w:r>
            <w:r w:rsidRPr="00D337FA">
              <w:rPr>
                <w:sz w:val="22"/>
                <w:szCs w:val="22"/>
              </w:rPr>
              <w:t>инвестора</w:t>
            </w:r>
            <w:r w:rsidR="006C680D" w:rsidRPr="00D337FA">
              <w:rPr>
                <w:sz w:val="22"/>
                <w:szCs w:val="22"/>
              </w:rPr>
              <w:t xml:space="preserve"> </w:t>
            </w:r>
            <w:r w:rsidRPr="00D337FA">
              <w:rPr>
                <w:sz w:val="22"/>
                <w:szCs w:val="22"/>
              </w:rPr>
              <w:t>не</w:t>
            </w:r>
            <w:r w:rsidR="006C680D" w:rsidRPr="00D337FA">
              <w:rPr>
                <w:sz w:val="22"/>
                <w:szCs w:val="22"/>
              </w:rPr>
              <w:t xml:space="preserve"> </w:t>
            </w:r>
            <w:r w:rsidRPr="00D337FA">
              <w:rPr>
                <w:sz w:val="22"/>
                <w:szCs w:val="22"/>
              </w:rPr>
              <w:t>было</w:t>
            </w:r>
            <w:r w:rsidR="006C680D" w:rsidRPr="00D337FA">
              <w:rPr>
                <w:sz w:val="22"/>
                <w:szCs w:val="22"/>
              </w:rPr>
              <w:t xml:space="preserve">  </w:t>
            </w:r>
          </w:p>
        </w:tc>
      </w:tr>
      <w:tr w:rsidR="00D337FA" w:rsidRPr="00D337FA" w:rsidTr="00FB2463">
        <w:tc>
          <w:tcPr>
            <w:tcW w:w="2093" w:type="dxa"/>
            <w:shd w:val="clear" w:color="auto" w:fill="auto"/>
          </w:tcPr>
          <w:p w:rsidR="00FB2463" w:rsidRPr="00D337FA" w:rsidRDefault="00FB2463" w:rsidP="00D337FA">
            <w:pPr>
              <w:ind w:firstLine="0"/>
              <w:rPr>
                <w:sz w:val="22"/>
                <w:szCs w:val="22"/>
              </w:rPr>
            </w:pPr>
            <w:r w:rsidRPr="00D337FA">
              <w:rPr>
                <w:sz w:val="22"/>
                <w:szCs w:val="22"/>
              </w:rPr>
              <w:t>Количество</w:t>
            </w:r>
            <w:r w:rsidR="006C680D" w:rsidRPr="00D337FA">
              <w:rPr>
                <w:sz w:val="22"/>
                <w:szCs w:val="22"/>
              </w:rPr>
              <w:t xml:space="preserve"> </w:t>
            </w:r>
            <w:r w:rsidRPr="00D337FA">
              <w:rPr>
                <w:sz w:val="22"/>
                <w:szCs w:val="22"/>
              </w:rPr>
              <w:t>санируемых</w:t>
            </w:r>
            <w:r w:rsidR="006C680D" w:rsidRPr="00D337FA">
              <w:rPr>
                <w:sz w:val="22"/>
                <w:szCs w:val="22"/>
              </w:rPr>
              <w:t xml:space="preserve"> </w:t>
            </w:r>
            <w:r w:rsidRPr="00D337FA">
              <w:rPr>
                <w:sz w:val="22"/>
                <w:szCs w:val="22"/>
              </w:rPr>
              <w:t>банков</w:t>
            </w:r>
          </w:p>
        </w:tc>
        <w:tc>
          <w:tcPr>
            <w:tcW w:w="3544" w:type="dxa"/>
            <w:shd w:val="clear" w:color="auto" w:fill="auto"/>
          </w:tcPr>
          <w:p w:rsidR="00FB2463" w:rsidRPr="00D337FA" w:rsidRDefault="00FB2463" w:rsidP="006C680D">
            <w:pPr>
              <w:ind w:firstLine="30"/>
              <w:jc w:val="left"/>
              <w:rPr>
                <w:sz w:val="22"/>
                <w:szCs w:val="22"/>
              </w:rPr>
            </w:pPr>
            <w:r w:rsidRPr="00D337FA">
              <w:rPr>
                <w:sz w:val="22"/>
                <w:szCs w:val="22"/>
              </w:rPr>
              <w:t>51</w:t>
            </w:r>
            <w:r w:rsidR="006C680D" w:rsidRPr="00D337FA">
              <w:rPr>
                <w:sz w:val="22"/>
                <w:szCs w:val="22"/>
              </w:rPr>
              <w:t xml:space="preserve"> </w:t>
            </w:r>
            <w:r w:rsidRPr="00D337FA">
              <w:rPr>
                <w:sz w:val="22"/>
                <w:szCs w:val="22"/>
              </w:rPr>
              <w:t>банк.</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отношении</w:t>
            </w:r>
            <w:r w:rsidR="006C680D" w:rsidRPr="00D337FA">
              <w:rPr>
                <w:sz w:val="22"/>
                <w:szCs w:val="22"/>
              </w:rPr>
              <w:t xml:space="preserve"> </w:t>
            </w:r>
            <w:r w:rsidRPr="00D337FA">
              <w:rPr>
                <w:sz w:val="22"/>
                <w:szCs w:val="22"/>
              </w:rPr>
              <w:t>10</w:t>
            </w:r>
            <w:r w:rsidR="006C680D" w:rsidRPr="00D337FA">
              <w:rPr>
                <w:sz w:val="22"/>
                <w:szCs w:val="22"/>
              </w:rPr>
              <w:t xml:space="preserve"> </w:t>
            </w:r>
            <w:r w:rsidRPr="00D337FA">
              <w:rPr>
                <w:sz w:val="22"/>
                <w:szCs w:val="22"/>
              </w:rPr>
              <w:t>банков</w:t>
            </w:r>
            <w:r w:rsidR="006C680D" w:rsidRPr="00D337FA">
              <w:rPr>
                <w:sz w:val="22"/>
                <w:szCs w:val="22"/>
              </w:rPr>
              <w:t xml:space="preserve"> </w:t>
            </w:r>
            <w:r w:rsidRPr="00D337FA">
              <w:rPr>
                <w:sz w:val="22"/>
                <w:szCs w:val="22"/>
              </w:rPr>
              <w:t>санационные</w:t>
            </w:r>
            <w:r w:rsidR="006C680D" w:rsidRPr="00D337FA">
              <w:rPr>
                <w:sz w:val="22"/>
                <w:szCs w:val="22"/>
              </w:rPr>
              <w:t xml:space="preserve"> </w:t>
            </w:r>
            <w:r w:rsidRPr="00D337FA">
              <w:rPr>
                <w:sz w:val="22"/>
                <w:szCs w:val="22"/>
              </w:rPr>
              <w:t>процедуры</w:t>
            </w:r>
            <w:r w:rsidR="006C680D" w:rsidRPr="00D337FA">
              <w:rPr>
                <w:sz w:val="22"/>
                <w:szCs w:val="22"/>
              </w:rPr>
              <w:t xml:space="preserve"> </w:t>
            </w:r>
            <w:r w:rsidRPr="00D337FA">
              <w:rPr>
                <w:sz w:val="22"/>
                <w:szCs w:val="22"/>
              </w:rPr>
              <w:t>не</w:t>
            </w:r>
            <w:r w:rsidR="006C680D" w:rsidRPr="00D337FA">
              <w:rPr>
                <w:sz w:val="22"/>
                <w:szCs w:val="22"/>
              </w:rPr>
              <w:t xml:space="preserve"> </w:t>
            </w:r>
            <w:r w:rsidRPr="00D337FA">
              <w:rPr>
                <w:sz w:val="22"/>
                <w:szCs w:val="22"/>
              </w:rPr>
              <w:t>завершены</w:t>
            </w:r>
          </w:p>
        </w:tc>
        <w:tc>
          <w:tcPr>
            <w:tcW w:w="4110" w:type="dxa"/>
            <w:shd w:val="clear" w:color="auto" w:fill="auto"/>
          </w:tcPr>
          <w:p w:rsidR="00FB2463" w:rsidRPr="00D337FA" w:rsidRDefault="00FB2463" w:rsidP="006C680D">
            <w:pPr>
              <w:ind w:firstLine="30"/>
              <w:jc w:val="left"/>
              <w:rPr>
                <w:sz w:val="22"/>
                <w:szCs w:val="22"/>
              </w:rPr>
            </w:pPr>
            <w:r w:rsidRPr="00D337FA">
              <w:rPr>
                <w:sz w:val="22"/>
                <w:szCs w:val="22"/>
              </w:rPr>
              <w:t>10</w:t>
            </w:r>
            <w:r w:rsidR="006C680D" w:rsidRPr="00D337FA">
              <w:rPr>
                <w:sz w:val="22"/>
                <w:szCs w:val="22"/>
              </w:rPr>
              <w:t xml:space="preserve"> </w:t>
            </w:r>
            <w:r w:rsidRPr="00D337FA">
              <w:rPr>
                <w:sz w:val="22"/>
                <w:szCs w:val="22"/>
              </w:rPr>
              <w:t>банков.</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отношении</w:t>
            </w:r>
            <w:r w:rsidR="006C680D" w:rsidRPr="00D337FA">
              <w:rPr>
                <w:sz w:val="22"/>
                <w:szCs w:val="22"/>
              </w:rPr>
              <w:t xml:space="preserve"> </w:t>
            </w:r>
            <w:r w:rsidRPr="00D337FA">
              <w:rPr>
                <w:sz w:val="22"/>
                <w:szCs w:val="22"/>
              </w:rPr>
              <w:t>7</w:t>
            </w:r>
            <w:r w:rsidR="006C680D" w:rsidRPr="00D337FA">
              <w:rPr>
                <w:sz w:val="22"/>
                <w:szCs w:val="22"/>
              </w:rPr>
              <w:t xml:space="preserve"> </w:t>
            </w:r>
            <w:r w:rsidRPr="00D337FA">
              <w:rPr>
                <w:sz w:val="22"/>
                <w:szCs w:val="22"/>
              </w:rPr>
              <w:t>банков</w:t>
            </w:r>
            <w:r w:rsidR="006C680D" w:rsidRPr="00D337FA">
              <w:rPr>
                <w:sz w:val="22"/>
                <w:szCs w:val="22"/>
              </w:rPr>
              <w:t xml:space="preserve"> </w:t>
            </w:r>
            <w:r w:rsidRPr="00D337FA">
              <w:rPr>
                <w:sz w:val="22"/>
                <w:szCs w:val="22"/>
              </w:rPr>
              <w:t>санационные</w:t>
            </w:r>
            <w:r w:rsidR="006C680D" w:rsidRPr="00D337FA">
              <w:rPr>
                <w:sz w:val="22"/>
                <w:szCs w:val="22"/>
              </w:rPr>
              <w:t xml:space="preserve"> </w:t>
            </w:r>
            <w:r w:rsidRPr="00D337FA">
              <w:rPr>
                <w:sz w:val="22"/>
                <w:szCs w:val="22"/>
              </w:rPr>
              <w:t>процедуры</w:t>
            </w:r>
            <w:r w:rsidR="006C680D" w:rsidRPr="00D337FA">
              <w:rPr>
                <w:sz w:val="22"/>
                <w:szCs w:val="22"/>
              </w:rPr>
              <w:t xml:space="preserve"> </w:t>
            </w:r>
            <w:r w:rsidRPr="00D337FA">
              <w:rPr>
                <w:sz w:val="22"/>
                <w:szCs w:val="22"/>
              </w:rPr>
              <w:t>завершены</w:t>
            </w:r>
          </w:p>
        </w:tc>
      </w:tr>
      <w:tr w:rsidR="00FB2463" w:rsidRPr="00D337FA" w:rsidTr="00FB2463">
        <w:tc>
          <w:tcPr>
            <w:tcW w:w="2093" w:type="dxa"/>
            <w:shd w:val="clear" w:color="auto" w:fill="auto"/>
          </w:tcPr>
          <w:p w:rsidR="00FB2463" w:rsidRPr="00D337FA" w:rsidRDefault="00FB2463" w:rsidP="00D337FA">
            <w:pPr>
              <w:ind w:firstLine="0"/>
              <w:rPr>
                <w:sz w:val="22"/>
                <w:szCs w:val="22"/>
              </w:rPr>
            </w:pPr>
            <w:r w:rsidRPr="00D337FA">
              <w:rPr>
                <w:sz w:val="22"/>
                <w:szCs w:val="22"/>
              </w:rPr>
              <w:t>Результат</w:t>
            </w:r>
            <w:r w:rsidR="006C680D" w:rsidRPr="00D337FA">
              <w:rPr>
                <w:sz w:val="22"/>
                <w:szCs w:val="22"/>
              </w:rPr>
              <w:t xml:space="preserve"> </w:t>
            </w:r>
            <w:r w:rsidRPr="00D337FA">
              <w:rPr>
                <w:sz w:val="22"/>
                <w:szCs w:val="22"/>
              </w:rPr>
              <w:t>санации</w:t>
            </w:r>
          </w:p>
        </w:tc>
        <w:tc>
          <w:tcPr>
            <w:tcW w:w="3544" w:type="dxa"/>
            <w:shd w:val="clear" w:color="auto" w:fill="auto"/>
          </w:tcPr>
          <w:p w:rsidR="00FB2463" w:rsidRPr="00D337FA" w:rsidRDefault="00FB2463" w:rsidP="006C680D">
            <w:pPr>
              <w:keepNext/>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Восстановление</w:t>
            </w:r>
            <w:r w:rsidR="006C680D" w:rsidRPr="00D337FA">
              <w:rPr>
                <w:sz w:val="22"/>
                <w:szCs w:val="22"/>
              </w:rPr>
              <w:t xml:space="preserve"> </w:t>
            </w:r>
            <w:r w:rsidRPr="00D337FA">
              <w:rPr>
                <w:sz w:val="22"/>
                <w:szCs w:val="22"/>
              </w:rPr>
              <w:t>финансовой</w:t>
            </w:r>
            <w:r w:rsidR="006C680D" w:rsidRPr="00D337FA">
              <w:rPr>
                <w:sz w:val="22"/>
                <w:szCs w:val="22"/>
              </w:rPr>
              <w:t xml:space="preserve"> </w:t>
            </w:r>
            <w:r w:rsidRPr="00D337FA">
              <w:rPr>
                <w:sz w:val="22"/>
                <w:szCs w:val="22"/>
              </w:rPr>
              <w:t>устойчивости</w:t>
            </w:r>
            <w:r w:rsidR="006C680D" w:rsidRPr="00D337FA">
              <w:rPr>
                <w:sz w:val="22"/>
                <w:szCs w:val="22"/>
              </w:rPr>
              <w:t xml:space="preserve"> </w:t>
            </w:r>
            <w:r w:rsidRPr="00D337FA">
              <w:rPr>
                <w:sz w:val="22"/>
                <w:szCs w:val="22"/>
              </w:rPr>
              <w:t>и</w:t>
            </w:r>
            <w:r w:rsidR="006C680D" w:rsidRPr="00D337FA">
              <w:rPr>
                <w:sz w:val="22"/>
                <w:szCs w:val="22"/>
              </w:rPr>
              <w:t xml:space="preserve"> </w:t>
            </w:r>
            <w:r w:rsidRPr="00D337FA">
              <w:rPr>
                <w:sz w:val="22"/>
                <w:szCs w:val="22"/>
              </w:rPr>
              <w:t>продолжение</w:t>
            </w:r>
            <w:r w:rsidR="006C680D" w:rsidRPr="00D337FA">
              <w:rPr>
                <w:sz w:val="22"/>
                <w:szCs w:val="22"/>
              </w:rPr>
              <w:t xml:space="preserve"> </w:t>
            </w:r>
            <w:r w:rsidRPr="00D337FA">
              <w:rPr>
                <w:sz w:val="22"/>
                <w:szCs w:val="22"/>
              </w:rPr>
              <w:t>деятельности</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качестве</w:t>
            </w:r>
            <w:r w:rsidR="006C680D" w:rsidRPr="00D337FA">
              <w:rPr>
                <w:sz w:val="22"/>
                <w:szCs w:val="22"/>
              </w:rPr>
              <w:t xml:space="preserve"> </w:t>
            </w:r>
            <w:r w:rsidRPr="00D337FA">
              <w:rPr>
                <w:sz w:val="22"/>
                <w:szCs w:val="22"/>
              </w:rPr>
              <w:t>самостоятельного</w:t>
            </w:r>
            <w:r w:rsidR="006C680D" w:rsidRPr="00D337FA">
              <w:rPr>
                <w:sz w:val="22"/>
                <w:szCs w:val="22"/>
              </w:rPr>
              <w:t xml:space="preserve"> </w:t>
            </w:r>
            <w:r w:rsidRPr="00D337FA">
              <w:rPr>
                <w:sz w:val="22"/>
                <w:szCs w:val="22"/>
              </w:rPr>
              <w:t>банка</w:t>
            </w:r>
            <w:r w:rsidR="006C680D" w:rsidRPr="00D337FA">
              <w:rPr>
                <w:sz w:val="22"/>
                <w:szCs w:val="22"/>
              </w:rPr>
              <w:t xml:space="preserve"> – </w:t>
            </w:r>
            <w:r w:rsidRPr="00D337FA">
              <w:rPr>
                <w:sz w:val="22"/>
                <w:szCs w:val="22"/>
              </w:rPr>
              <w:t>4</w:t>
            </w:r>
            <w:r w:rsidR="006C680D" w:rsidRPr="00D337FA">
              <w:rPr>
                <w:sz w:val="22"/>
                <w:szCs w:val="22"/>
              </w:rPr>
              <w:t xml:space="preserve"> </w:t>
            </w:r>
            <w:r w:rsidRPr="00D337FA">
              <w:rPr>
                <w:sz w:val="22"/>
                <w:szCs w:val="22"/>
              </w:rPr>
              <w:t>банка</w:t>
            </w:r>
          </w:p>
          <w:p w:rsidR="00FB2463" w:rsidRPr="00D337FA" w:rsidRDefault="00FB2463" w:rsidP="006C680D">
            <w:pPr>
              <w:keepNext/>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Отзыв</w:t>
            </w:r>
            <w:r w:rsidR="006C680D" w:rsidRPr="00D337FA">
              <w:rPr>
                <w:sz w:val="22"/>
                <w:szCs w:val="22"/>
              </w:rPr>
              <w:t xml:space="preserve"> </w:t>
            </w:r>
            <w:r w:rsidRPr="00D337FA">
              <w:rPr>
                <w:sz w:val="22"/>
                <w:szCs w:val="22"/>
              </w:rPr>
              <w:t>лицензии</w:t>
            </w:r>
            <w:r w:rsidR="006C680D" w:rsidRPr="00D337FA">
              <w:rPr>
                <w:sz w:val="22"/>
                <w:szCs w:val="22"/>
              </w:rPr>
              <w:t xml:space="preserve"> – </w:t>
            </w:r>
            <w:r w:rsidRPr="00D337FA">
              <w:rPr>
                <w:sz w:val="22"/>
                <w:szCs w:val="22"/>
              </w:rPr>
              <w:t>7</w:t>
            </w:r>
            <w:r w:rsidR="006C680D" w:rsidRPr="00D337FA">
              <w:rPr>
                <w:sz w:val="22"/>
                <w:szCs w:val="22"/>
              </w:rPr>
              <w:t xml:space="preserve"> </w:t>
            </w:r>
            <w:r w:rsidRPr="00D337FA">
              <w:rPr>
                <w:sz w:val="22"/>
                <w:szCs w:val="22"/>
              </w:rPr>
              <w:t>банков</w:t>
            </w:r>
          </w:p>
          <w:p w:rsidR="00FB2463" w:rsidRPr="00D337FA" w:rsidRDefault="00FB2463" w:rsidP="006C680D">
            <w:pPr>
              <w:keepNext/>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Реорганизация</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форме</w:t>
            </w:r>
            <w:r w:rsidR="006C680D" w:rsidRPr="00D337FA">
              <w:rPr>
                <w:sz w:val="22"/>
                <w:szCs w:val="22"/>
              </w:rPr>
              <w:t xml:space="preserve"> </w:t>
            </w:r>
            <w:r w:rsidRPr="00D337FA">
              <w:rPr>
                <w:sz w:val="22"/>
                <w:szCs w:val="22"/>
              </w:rPr>
              <w:t>присоединения</w:t>
            </w:r>
            <w:r w:rsidR="006C680D" w:rsidRPr="00D337FA">
              <w:rPr>
                <w:sz w:val="22"/>
                <w:szCs w:val="22"/>
              </w:rPr>
              <w:t xml:space="preserve"> </w:t>
            </w:r>
            <w:r w:rsidRPr="00D337FA">
              <w:rPr>
                <w:sz w:val="22"/>
                <w:szCs w:val="22"/>
              </w:rPr>
              <w:t>к</w:t>
            </w:r>
            <w:r w:rsidR="006C680D" w:rsidRPr="00D337FA">
              <w:rPr>
                <w:sz w:val="22"/>
                <w:szCs w:val="22"/>
              </w:rPr>
              <w:t xml:space="preserve"> </w:t>
            </w:r>
            <w:r w:rsidRPr="00D337FA">
              <w:rPr>
                <w:sz w:val="22"/>
                <w:szCs w:val="22"/>
              </w:rPr>
              <w:t>банку-санатору</w:t>
            </w:r>
            <w:r w:rsidR="006C680D" w:rsidRPr="00D337FA">
              <w:rPr>
                <w:sz w:val="22"/>
                <w:szCs w:val="22"/>
              </w:rPr>
              <w:t xml:space="preserve"> – </w:t>
            </w:r>
            <w:r w:rsidRPr="00D337FA">
              <w:rPr>
                <w:sz w:val="22"/>
                <w:szCs w:val="22"/>
              </w:rPr>
              <w:t>30</w:t>
            </w:r>
            <w:r w:rsidR="006C680D" w:rsidRPr="00D337FA">
              <w:rPr>
                <w:sz w:val="22"/>
                <w:szCs w:val="22"/>
              </w:rPr>
              <w:t xml:space="preserve"> </w:t>
            </w:r>
            <w:r w:rsidRPr="00D337FA">
              <w:rPr>
                <w:sz w:val="22"/>
                <w:szCs w:val="22"/>
              </w:rPr>
              <w:t>банков</w:t>
            </w:r>
          </w:p>
          <w:p w:rsidR="00FB2463" w:rsidRPr="00D337FA" w:rsidRDefault="00FB2463" w:rsidP="006C680D">
            <w:pPr>
              <w:keepNext/>
              <w:ind w:firstLine="30"/>
              <w:jc w:val="left"/>
              <w:rPr>
                <w:sz w:val="22"/>
                <w:szCs w:val="22"/>
              </w:rPr>
            </w:pPr>
          </w:p>
        </w:tc>
        <w:tc>
          <w:tcPr>
            <w:tcW w:w="4110" w:type="dxa"/>
            <w:shd w:val="clear" w:color="auto" w:fill="auto"/>
          </w:tcPr>
          <w:p w:rsidR="00FB2463" w:rsidRPr="00D337FA" w:rsidRDefault="00FB2463" w:rsidP="006C680D">
            <w:pPr>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Реорганизация</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форме</w:t>
            </w:r>
            <w:r w:rsidR="006C680D" w:rsidRPr="00D337FA">
              <w:rPr>
                <w:sz w:val="22"/>
                <w:szCs w:val="22"/>
              </w:rPr>
              <w:t xml:space="preserve"> </w:t>
            </w:r>
            <w:r w:rsidRPr="00D337FA">
              <w:rPr>
                <w:sz w:val="22"/>
                <w:szCs w:val="22"/>
              </w:rPr>
              <w:t>присоединения</w:t>
            </w:r>
            <w:r w:rsidR="006C680D" w:rsidRPr="00D337FA">
              <w:rPr>
                <w:sz w:val="22"/>
                <w:szCs w:val="22"/>
              </w:rPr>
              <w:t xml:space="preserve"> </w:t>
            </w:r>
            <w:r w:rsidRPr="00D337FA">
              <w:rPr>
                <w:sz w:val="22"/>
                <w:szCs w:val="22"/>
              </w:rPr>
              <w:t>к</w:t>
            </w:r>
            <w:r w:rsidR="006C680D" w:rsidRPr="00D337FA">
              <w:rPr>
                <w:sz w:val="22"/>
                <w:szCs w:val="22"/>
              </w:rPr>
              <w:t xml:space="preserve"> </w:t>
            </w:r>
            <w:r w:rsidRPr="00D337FA">
              <w:rPr>
                <w:sz w:val="22"/>
                <w:szCs w:val="22"/>
              </w:rPr>
              <w:t>другому</w:t>
            </w:r>
            <w:r w:rsidR="006C680D" w:rsidRPr="00D337FA">
              <w:rPr>
                <w:sz w:val="22"/>
                <w:szCs w:val="22"/>
              </w:rPr>
              <w:t xml:space="preserve"> </w:t>
            </w:r>
            <w:r w:rsidRPr="00D337FA">
              <w:rPr>
                <w:sz w:val="22"/>
                <w:szCs w:val="22"/>
              </w:rPr>
              <w:t>банку</w:t>
            </w:r>
            <w:r w:rsidR="006C680D" w:rsidRPr="00D337FA">
              <w:rPr>
                <w:sz w:val="22"/>
                <w:szCs w:val="22"/>
              </w:rPr>
              <w:t xml:space="preserve"> – </w:t>
            </w:r>
            <w:r w:rsidRPr="00D337FA">
              <w:rPr>
                <w:sz w:val="22"/>
                <w:szCs w:val="22"/>
              </w:rPr>
              <w:t>4</w:t>
            </w:r>
            <w:r w:rsidR="006C680D" w:rsidRPr="00D337FA">
              <w:rPr>
                <w:sz w:val="22"/>
                <w:szCs w:val="22"/>
              </w:rPr>
              <w:t xml:space="preserve"> </w:t>
            </w:r>
            <w:r w:rsidRPr="00D337FA">
              <w:rPr>
                <w:sz w:val="22"/>
                <w:szCs w:val="22"/>
              </w:rPr>
              <w:t>банка</w:t>
            </w:r>
          </w:p>
          <w:p w:rsidR="00FB2463" w:rsidRPr="00D337FA" w:rsidRDefault="00FB2463" w:rsidP="006C680D">
            <w:pPr>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Передача</w:t>
            </w:r>
            <w:r w:rsidR="006C680D" w:rsidRPr="00D337FA">
              <w:rPr>
                <w:sz w:val="22"/>
                <w:szCs w:val="22"/>
              </w:rPr>
              <w:t xml:space="preserve"> </w:t>
            </w:r>
            <w:r w:rsidRPr="00D337FA">
              <w:rPr>
                <w:sz w:val="22"/>
                <w:szCs w:val="22"/>
              </w:rPr>
              <w:t>государству</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лице</w:t>
            </w:r>
            <w:r w:rsidR="006C680D" w:rsidRPr="00D337FA">
              <w:rPr>
                <w:sz w:val="22"/>
                <w:szCs w:val="22"/>
              </w:rPr>
              <w:t xml:space="preserve"> </w:t>
            </w:r>
            <w:r w:rsidRPr="00D337FA">
              <w:rPr>
                <w:sz w:val="22"/>
                <w:szCs w:val="22"/>
              </w:rPr>
              <w:t>Росимущества</w:t>
            </w:r>
            <w:r w:rsidR="006C680D" w:rsidRPr="00D337FA">
              <w:rPr>
                <w:sz w:val="22"/>
                <w:szCs w:val="22"/>
              </w:rPr>
              <w:t xml:space="preserve"> – </w:t>
            </w:r>
            <w:r w:rsidRPr="00D337FA">
              <w:rPr>
                <w:sz w:val="22"/>
                <w:szCs w:val="22"/>
              </w:rPr>
              <w:t>1</w:t>
            </w:r>
            <w:r w:rsidR="006C680D" w:rsidRPr="00D337FA">
              <w:rPr>
                <w:sz w:val="22"/>
                <w:szCs w:val="22"/>
              </w:rPr>
              <w:t xml:space="preserve"> </w:t>
            </w:r>
            <w:r w:rsidRPr="00D337FA">
              <w:rPr>
                <w:sz w:val="22"/>
                <w:szCs w:val="22"/>
              </w:rPr>
              <w:t>банк</w:t>
            </w:r>
            <w:r w:rsidR="006C680D" w:rsidRPr="00D337FA">
              <w:rPr>
                <w:sz w:val="22"/>
                <w:szCs w:val="22"/>
              </w:rPr>
              <w:t xml:space="preserve"> </w:t>
            </w:r>
          </w:p>
          <w:p w:rsidR="00FB2463" w:rsidRPr="00D337FA" w:rsidRDefault="00FB2463" w:rsidP="006C680D">
            <w:pPr>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Перепрофилирование</w:t>
            </w:r>
            <w:r w:rsidR="006C680D" w:rsidRPr="00D337FA">
              <w:rPr>
                <w:sz w:val="22"/>
                <w:szCs w:val="22"/>
              </w:rPr>
              <w:t xml:space="preserve"> </w:t>
            </w:r>
            <w:r w:rsidRPr="00D337FA">
              <w:rPr>
                <w:sz w:val="22"/>
                <w:szCs w:val="22"/>
              </w:rPr>
              <w:t>в</w:t>
            </w:r>
            <w:r w:rsidR="006C680D" w:rsidRPr="00D337FA">
              <w:rPr>
                <w:sz w:val="22"/>
                <w:szCs w:val="22"/>
              </w:rPr>
              <w:t xml:space="preserve"> </w:t>
            </w:r>
            <w:r w:rsidRPr="00D337FA">
              <w:rPr>
                <w:sz w:val="22"/>
                <w:szCs w:val="22"/>
              </w:rPr>
              <w:t>Банк</w:t>
            </w:r>
            <w:r w:rsidR="006C680D" w:rsidRPr="00D337FA">
              <w:rPr>
                <w:sz w:val="22"/>
                <w:szCs w:val="22"/>
              </w:rPr>
              <w:t xml:space="preserve"> </w:t>
            </w:r>
            <w:r w:rsidRPr="00D337FA">
              <w:rPr>
                <w:sz w:val="22"/>
                <w:szCs w:val="22"/>
              </w:rPr>
              <w:t>непрофильных</w:t>
            </w:r>
            <w:r w:rsidR="006C680D" w:rsidRPr="00D337FA">
              <w:rPr>
                <w:sz w:val="22"/>
                <w:szCs w:val="22"/>
              </w:rPr>
              <w:t xml:space="preserve"> </w:t>
            </w:r>
            <w:r w:rsidRPr="00D337FA">
              <w:rPr>
                <w:sz w:val="22"/>
                <w:szCs w:val="22"/>
              </w:rPr>
              <w:t>активов</w:t>
            </w:r>
            <w:r w:rsidR="006C680D" w:rsidRPr="00D337FA">
              <w:rPr>
                <w:sz w:val="22"/>
                <w:szCs w:val="22"/>
              </w:rPr>
              <w:t xml:space="preserve"> – </w:t>
            </w:r>
            <w:r w:rsidRPr="00D337FA">
              <w:rPr>
                <w:sz w:val="22"/>
                <w:szCs w:val="22"/>
              </w:rPr>
              <w:t>1</w:t>
            </w:r>
            <w:r w:rsidR="006C680D" w:rsidRPr="00D337FA">
              <w:rPr>
                <w:sz w:val="22"/>
                <w:szCs w:val="22"/>
              </w:rPr>
              <w:t xml:space="preserve"> </w:t>
            </w:r>
            <w:r w:rsidRPr="00D337FA">
              <w:rPr>
                <w:sz w:val="22"/>
                <w:szCs w:val="22"/>
              </w:rPr>
              <w:t>банк</w:t>
            </w:r>
            <w:r w:rsidR="006C680D" w:rsidRPr="00D337FA">
              <w:rPr>
                <w:sz w:val="22"/>
                <w:szCs w:val="22"/>
              </w:rPr>
              <w:t xml:space="preserve"> </w:t>
            </w:r>
          </w:p>
          <w:p w:rsidR="00FB2463" w:rsidRPr="00D337FA" w:rsidRDefault="00FB2463" w:rsidP="006C680D">
            <w:pPr>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Отзыв</w:t>
            </w:r>
            <w:r w:rsidR="006C680D" w:rsidRPr="00D337FA">
              <w:rPr>
                <w:sz w:val="22"/>
                <w:szCs w:val="22"/>
              </w:rPr>
              <w:t xml:space="preserve"> </w:t>
            </w:r>
            <w:r w:rsidRPr="00D337FA">
              <w:rPr>
                <w:sz w:val="22"/>
                <w:szCs w:val="22"/>
              </w:rPr>
              <w:t>лицензии</w:t>
            </w:r>
            <w:r w:rsidR="006C680D" w:rsidRPr="00D337FA">
              <w:rPr>
                <w:sz w:val="22"/>
                <w:szCs w:val="22"/>
              </w:rPr>
              <w:t xml:space="preserve"> </w:t>
            </w:r>
            <w:r w:rsidRPr="00D337FA">
              <w:rPr>
                <w:sz w:val="22"/>
                <w:szCs w:val="22"/>
              </w:rPr>
              <w:t>с</w:t>
            </w:r>
            <w:r w:rsidR="006C680D" w:rsidRPr="00D337FA">
              <w:rPr>
                <w:sz w:val="22"/>
                <w:szCs w:val="22"/>
              </w:rPr>
              <w:t xml:space="preserve"> </w:t>
            </w:r>
            <w:r w:rsidRPr="00D337FA">
              <w:rPr>
                <w:sz w:val="22"/>
                <w:szCs w:val="22"/>
              </w:rPr>
              <w:t>выкупом</w:t>
            </w:r>
            <w:r w:rsidR="006C680D" w:rsidRPr="00D337FA">
              <w:rPr>
                <w:sz w:val="22"/>
                <w:szCs w:val="22"/>
              </w:rPr>
              <w:t xml:space="preserve"> </w:t>
            </w:r>
            <w:r w:rsidRPr="00D337FA">
              <w:rPr>
                <w:sz w:val="22"/>
                <w:szCs w:val="22"/>
              </w:rPr>
              <w:t>активов</w:t>
            </w:r>
            <w:r w:rsidR="006C680D" w:rsidRPr="00D337FA">
              <w:rPr>
                <w:sz w:val="22"/>
                <w:szCs w:val="22"/>
              </w:rPr>
              <w:t xml:space="preserve"> </w:t>
            </w:r>
            <w:r w:rsidRPr="00D337FA">
              <w:rPr>
                <w:sz w:val="22"/>
                <w:szCs w:val="22"/>
              </w:rPr>
              <w:t>другим</w:t>
            </w:r>
            <w:r w:rsidR="006C680D" w:rsidRPr="00D337FA">
              <w:rPr>
                <w:sz w:val="22"/>
                <w:szCs w:val="22"/>
              </w:rPr>
              <w:t xml:space="preserve"> </w:t>
            </w:r>
            <w:r w:rsidRPr="00D337FA">
              <w:rPr>
                <w:sz w:val="22"/>
                <w:szCs w:val="22"/>
              </w:rPr>
              <w:t>банком</w:t>
            </w:r>
            <w:r w:rsidR="006C680D" w:rsidRPr="00D337FA">
              <w:rPr>
                <w:sz w:val="22"/>
                <w:szCs w:val="22"/>
              </w:rPr>
              <w:t xml:space="preserve"> – </w:t>
            </w:r>
            <w:r w:rsidRPr="00D337FA">
              <w:rPr>
                <w:sz w:val="22"/>
                <w:szCs w:val="22"/>
              </w:rPr>
              <w:t>1</w:t>
            </w:r>
            <w:r w:rsidR="006C680D" w:rsidRPr="00D337FA">
              <w:rPr>
                <w:sz w:val="22"/>
                <w:szCs w:val="22"/>
              </w:rPr>
              <w:t xml:space="preserve"> </w:t>
            </w:r>
            <w:r w:rsidRPr="00D337FA">
              <w:rPr>
                <w:sz w:val="22"/>
                <w:szCs w:val="22"/>
              </w:rPr>
              <w:t>банк</w:t>
            </w:r>
            <w:r w:rsidR="006C680D" w:rsidRPr="00D337FA">
              <w:rPr>
                <w:sz w:val="22"/>
                <w:szCs w:val="22"/>
              </w:rPr>
              <w:t xml:space="preserve"> </w:t>
            </w:r>
          </w:p>
          <w:p w:rsidR="00FB2463" w:rsidRPr="00D337FA" w:rsidRDefault="00FB2463" w:rsidP="006C680D">
            <w:pPr>
              <w:ind w:firstLine="30"/>
              <w:jc w:val="left"/>
              <w:rPr>
                <w:sz w:val="22"/>
                <w:szCs w:val="22"/>
              </w:rPr>
            </w:pPr>
            <w:r w:rsidRPr="00D337FA">
              <w:rPr>
                <w:sz w:val="22"/>
                <w:szCs w:val="22"/>
              </w:rPr>
              <w:t>▪</w:t>
            </w:r>
            <w:r w:rsidR="006C680D" w:rsidRPr="00D337FA">
              <w:rPr>
                <w:sz w:val="22"/>
                <w:szCs w:val="22"/>
              </w:rPr>
              <w:t xml:space="preserve"> </w:t>
            </w:r>
            <w:r w:rsidRPr="00D337FA">
              <w:rPr>
                <w:sz w:val="22"/>
                <w:szCs w:val="22"/>
              </w:rPr>
              <w:t>Рыночная</w:t>
            </w:r>
            <w:r w:rsidR="006C680D" w:rsidRPr="00D337FA">
              <w:rPr>
                <w:sz w:val="22"/>
                <w:szCs w:val="22"/>
              </w:rPr>
              <w:t xml:space="preserve"> </w:t>
            </w:r>
            <w:r w:rsidRPr="00D337FA">
              <w:rPr>
                <w:sz w:val="22"/>
                <w:szCs w:val="22"/>
              </w:rPr>
              <w:t>продажа</w:t>
            </w:r>
            <w:r w:rsidR="006C680D" w:rsidRPr="00D337FA">
              <w:rPr>
                <w:sz w:val="22"/>
                <w:szCs w:val="22"/>
              </w:rPr>
              <w:t xml:space="preserve"> </w:t>
            </w:r>
            <w:r w:rsidRPr="00D337FA">
              <w:rPr>
                <w:sz w:val="22"/>
                <w:szCs w:val="22"/>
              </w:rPr>
              <w:t>банка</w:t>
            </w:r>
            <w:r w:rsidR="006C680D" w:rsidRPr="00D337FA">
              <w:rPr>
                <w:sz w:val="22"/>
                <w:szCs w:val="22"/>
              </w:rPr>
              <w:t xml:space="preserve"> </w:t>
            </w:r>
            <w:r w:rsidRPr="00D337FA">
              <w:rPr>
                <w:sz w:val="22"/>
                <w:szCs w:val="22"/>
              </w:rPr>
              <w:t>после</w:t>
            </w:r>
            <w:r w:rsidR="006C680D" w:rsidRPr="00D337FA">
              <w:rPr>
                <w:sz w:val="22"/>
                <w:szCs w:val="22"/>
              </w:rPr>
              <w:t xml:space="preserve"> </w:t>
            </w:r>
            <w:r w:rsidRPr="00D337FA">
              <w:rPr>
                <w:sz w:val="22"/>
                <w:szCs w:val="22"/>
              </w:rPr>
              <w:t>завершения</w:t>
            </w:r>
            <w:r w:rsidR="006C680D" w:rsidRPr="00D337FA">
              <w:rPr>
                <w:sz w:val="22"/>
                <w:szCs w:val="22"/>
              </w:rPr>
              <w:t xml:space="preserve"> </w:t>
            </w:r>
            <w:r w:rsidRPr="00D337FA">
              <w:rPr>
                <w:sz w:val="22"/>
                <w:szCs w:val="22"/>
              </w:rPr>
              <w:t>санации</w:t>
            </w:r>
            <w:r w:rsidR="006C680D" w:rsidRPr="00D337FA">
              <w:rPr>
                <w:sz w:val="22"/>
                <w:szCs w:val="22"/>
              </w:rPr>
              <w:t xml:space="preserve"> – </w:t>
            </w:r>
            <w:r w:rsidRPr="00D337FA">
              <w:rPr>
                <w:sz w:val="22"/>
                <w:szCs w:val="22"/>
              </w:rPr>
              <w:t>1</w:t>
            </w:r>
            <w:r w:rsidR="006C680D" w:rsidRPr="00D337FA">
              <w:rPr>
                <w:sz w:val="22"/>
                <w:szCs w:val="22"/>
              </w:rPr>
              <w:t xml:space="preserve"> </w:t>
            </w:r>
            <w:r w:rsidRPr="00D337FA">
              <w:rPr>
                <w:sz w:val="22"/>
                <w:szCs w:val="22"/>
              </w:rPr>
              <w:t>банк</w:t>
            </w:r>
          </w:p>
        </w:tc>
      </w:tr>
    </w:tbl>
    <w:p w:rsidR="00FB2463" w:rsidRPr="00D337FA" w:rsidRDefault="00FB2463" w:rsidP="00FB2463">
      <w:pPr>
        <w:tabs>
          <w:tab w:val="center" w:pos="4677"/>
        </w:tabs>
        <w:ind w:right="-1" w:firstLine="0"/>
        <w:jc w:val="right"/>
        <w:rPr>
          <w:rFonts w:ascii="Arial CYR" w:hAnsi="Arial CYR" w:cs="Arial CYR"/>
          <w:b/>
          <w:bCs/>
          <w:i/>
          <w:iCs/>
          <w:caps/>
          <w:szCs w:val="24"/>
          <w:u w:val="single"/>
          <w:lang w:eastAsia="ru-RU"/>
        </w:rPr>
      </w:pPr>
    </w:p>
    <w:p w:rsidR="004A1229" w:rsidRPr="00D337FA" w:rsidRDefault="004A1229" w:rsidP="004A1229">
      <w:pPr>
        <w:sectPr w:rsidR="004A122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4A1229" w:rsidRPr="00D337FA" w:rsidRDefault="004A1229" w:rsidP="004A1229">
      <w:pPr>
        <w:ind w:firstLine="284"/>
      </w:pPr>
      <w:r w:rsidRPr="00D337FA">
        <w:lastRenderedPageBreak/>
        <w:t>Поскольку</w:t>
      </w:r>
      <w:r w:rsidR="006C680D" w:rsidRPr="00D337FA">
        <w:t xml:space="preserve"> </w:t>
      </w:r>
      <w:r w:rsidRPr="00D337FA">
        <w:t>санация</w:t>
      </w:r>
      <w:r w:rsidR="006C680D" w:rsidRPr="00D337FA">
        <w:t xml:space="preserve"> </w:t>
      </w:r>
      <w:r w:rsidRPr="00D337FA">
        <w:t>осуществляется</w:t>
      </w:r>
      <w:r w:rsidR="006C680D" w:rsidRPr="00D337FA">
        <w:t xml:space="preserve"> </w:t>
      </w:r>
      <w:r w:rsidRPr="00D337FA">
        <w:t>разными</w:t>
      </w:r>
      <w:r w:rsidR="006C680D" w:rsidRPr="00D337FA">
        <w:t xml:space="preserve"> </w:t>
      </w:r>
      <w:r w:rsidRPr="00D337FA">
        <w:t>институтами</w:t>
      </w:r>
      <w:r w:rsidR="006C680D" w:rsidRPr="00D337FA">
        <w:t xml:space="preserve"> </w:t>
      </w:r>
      <w:r w:rsidRPr="00D337FA">
        <w:t>с</w:t>
      </w:r>
      <w:r w:rsidR="006C680D" w:rsidRPr="00D337FA">
        <w:t xml:space="preserve"> </w:t>
      </w:r>
      <w:r w:rsidRPr="00D337FA">
        <w:t>использованием</w:t>
      </w:r>
      <w:r w:rsidR="006C680D" w:rsidRPr="00D337FA">
        <w:t xml:space="preserve"> </w:t>
      </w:r>
      <w:r w:rsidRPr="00D337FA">
        <w:t>разных</w:t>
      </w:r>
      <w:r w:rsidR="006C680D" w:rsidRPr="00D337FA">
        <w:t xml:space="preserve"> </w:t>
      </w:r>
      <w:r w:rsidRPr="00D337FA">
        <w:t>механизмов</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то</w:t>
      </w:r>
      <w:r w:rsidR="006C680D" w:rsidRPr="00D337FA">
        <w:t xml:space="preserve"> </w:t>
      </w:r>
      <w:r w:rsidRPr="00D337FA">
        <w:t>и</w:t>
      </w:r>
      <w:r w:rsidR="006C680D" w:rsidRPr="00D337FA">
        <w:t xml:space="preserve"> </w:t>
      </w:r>
      <w:r w:rsidRPr="00D337FA">
        <w:t>давать</w:t>
      </w:r>
      <w:r w:rsidR="006C680D" w:rsidRPr="00D337FA">
        <w:t xml:space="preserve"> </w:t>
      </w:r>
      <w:r w:rsidRPr="00D337FA">
        <w:t>оценку</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необходимо</w:t>
      </w:r>
      <w:r w:rsidR="006C680D" w:rsidRPr="00D337FA">
        <w:t xml:space="preserve"> </w:t>
      </w:r>
      <w:r w:rsidRPr="00D337FA">
        <w:t>в</w:t>
      </w:r>
      <w:r w:rsidR="006C680D" w:rsidRPr="00D337FA">
        <w:t xml:space="preserve"> </w:t>
      </w:r>
      <w:r w:rsidRPr="00D337FA">
        <w:t>разрезе</w:t>
      </w:r>
      <w:r w:rsidR="006C680D" w:rsidRPr="00D337FA">
        <w:t xml:space="preserve"> </w:t>
      </w:r>
      <w:r w:rsidRPr="00D337FA">
        <w:t>деятельности</w:t>
      </w:r>
      <w:r w:rsidR="006C680D" w:rsidRPr="00D337FA">
        <w:t xml:space="preserve"> </w:t>
      </w:r>
      <w:r w:rsidRPr="00D337FA">
        <w:t>Агентства</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и</w:t>
      </w:r>
      <w:r w:rsidR="006C680D" w:rsidRPr="00D337FA">
        <w:t xml:space="preserve"> </w:t>
      </w:r>
      <w:r w:rsidRPr="00D337FA">
        <w:t>Фонда</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p>
    <w:p w:rsidR="004A1229" w:rsidRPr="00D337FA" w:rsidRDefault="004A1229" w:rsidP="004A1229">
      <w:pPr>
        <w:ind w:firstLine="284"/>
      </w:pPr>
      <w:r w:rsidRPr="00D337FA">
        <w:t>В</w:t>
      </w:r>
      <w:r w:rsidR="006C680D" w:rsidRPr="00D337FA">
        <w:t xml:space="preserve"> </w:t>
      </w:r>
      <w:r w:rsidRPr="00D337FA">
        <w:t>случае</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через</w:t>
      </w:r>
      <w:r w:rsidR="006C680D" w:rsidRPr="00D337FA">
        <w:t xml:space="preserve"> </w:t>
      </w:r>
      <w:r w:rsidRPr="00D337FA">
        <w:t>Агентство</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во</w:t>
      </w:r>
      <w:r w:rsidR="006C680D" w:rsidRPr="00D337FA">
        <w:t xml:space="preserve"> </w:t>
      </w:r>
      <w:r w:rsidRPr="00D337FA">
        <w:t>всех</w:t>
      </w:r>
      <w:r w:rsidR="006C680D" w:rsidRPr="00D337FA">
        <w:t xml:space="preserve"> </w:t>
      </w:r>
      <w:r w:rsidRPr="00D337FA">
        <w:t>случаях</w:t>
      </w:r>
      <w:r w:rsidR="006C680D" w:rsidRPr="00D337FA">
        <w:t xml:space="preserve"> </w:t>
      </w:r>
      <w:r w:rsidRPr="00D337FA">
        <w:t>она</w:t>
      </w:r>
      <w:r w:rsidR="006C680D" w:rsidRPr="00D337FA">
        <w:t xml:space="preserve"> </w:t>
      </w:r>
      <w:r w:rsidRPr="00D337FA">
        <w:t>была</w:t>
      </w:r>
      <w:r w:rsidR="006C680D" w:rsidRPr="00D337FA">
        <w:t xml:space="preserve"> </w:t>
      </w:r>
      <w:r w:rsidRPr="00D337FA">
        <w:t>признана</w:t>
      </w:r>
      <w:r w:rsidR="006C680D" w:rsidRPr="00D337FA">
        <w:t xml:space="preserve"> </w:t>
      </w:r>
      <w:r w:rsidRPr="00D337FA">
        <w:t>целесообразной.</w:t>
      </w:r>
      <w:r w:rsidR="006C680D" w:rsidRPr="00D337FA">
        <w:t xml:space="preserve"> </w:t>
      </w:r>
      <w:r w:rsidRPr="00D337FA">
        <w:t>В</w:t>
      </w:r>
      <w:r w:rsidR="006C680D" w:rsidRPr="00D337FA">
        <w:t xml:space="preserve"> </w:t>
      </w:r>
      <w:r w:rsidRPr="00D337FA">
        <w:t>расчет</w:t>
      </w:r>
      <w:r w:rsidR="006C680D" w:rsidRPr="00D337FA">
        <w:t xml:space="preserve"> </w:t>
      </w:r>
      <w:r w:rsidRPr="00D337FA">
        <w:t>принимались</w:t>
      </w:r>
      <w:r w:rsidR="006C680D" w:rsidRPr="00D337FA">
        <w:t xml:space="preserve"> </w:t>
      </w:r>
      <w:r w:rsidRPr="00D337FA">
        <w:t>такие</w:t>
      </w:r>
      <w:r w:rsidR="006C680D" w:rsidRPr="00D337FA">
        <w:t xml:space="preserve"> </w:t>
      </w:r>
      <w:r w:rsidRPr="00D337FA">
        <w:t>критерии,</w:t>
      </w:r>
      <w:r w:rsidR="006C680D" w:rsidRPr="00D337FA">
        <w:t xml:space="preserve"> </w:t>
      </w:r>
      <w:r w:rsidRPr="00D337FA">
        <w:t>как</w:t>
      </w:r>
      <w:r w:rsidR="006C680D" w:rsidRPr="00D337FA">
        <w:t xml:space="preserve"> </w:t>
      </w:r>
      <w:r w:rsidRPr="00D337FA">
        <w:t>значимость</w:t>
      </w:r>
      <w:r w:rsidR="006C680D" w:rsidRPr="00D337FA">
        <w:t xml:space="preserve"> </w:t>
      </w:r>
      <w:r w:rsidRPr="00D337FA">
        <w:t>для</w:t>
      </w:r>
      <w:r w:rsidR="006C680D" w:rsidRPr="00D337FA">
        <w:t xml:space="preserve"> </w:t>
      </w:r>
      <w:r w:rsidRPr="00D337FA">
        <w:t>региона</w:t>
      </w:r>
      <w:r w:rsidR="006C680D" w:rsidRPr="00D337FA">
        <w:t xml:space="preserve"> </w:t>
      </w:r>
      <w:r w:rsidRPr="00D337FA">
        <w:t>(например,</w:t>
      </w:r>
      <w:r w:rsidR="006C680D" w:rsidRPr="00D337FA">
        <w:t xml:space="preserve"> </w:t>
      </w:r>
      <w:r w:rsidRPr="00D337FA">
        <w:t>Губернский</w:t>
      </w:r>
      <w:r w:rsidR="006C680D" w:rsidRPr="00D337FA">
        <w:t xml:space="preserve"> </w:t>
      </w:r>
      <w:r w:rsidRPr="00D337FA">
        <w:t>банк</w:t>
      </w:r>
      <w:r w:rsidR="006C680D" w:rsidRPr="00D337FA">
        <w:t xml:space="preserve"> </w:t>
      </w:r>
      <w:r w:rsidRPr="00D337FA">
        <w:t>«Тарханы»</w:t>
      </w:r>
      <w:r w:rsidR="006C680D" w:rsidRPr="00D337FA">
        <w:t xml:space="preserve"> </w:t>
      </w:r>
      <w:r w:rsidRPr="00D337FA">
        <w:t>и</w:t>
      </w:r>
      <w:r w:rsidR="006C680D" w:rsidRPr="00D337FA">
        <w:t xml:space="preserve"> </w:t>
      </w:r>
      <w:r w:rsidRPr="00D337FA">
        <w:t>крымский</w:t>
      </w:r>
      <w:r w:rsidR="006C680D" w:rsidRPr="00D337FA">
        <w:t xml:space="preserve"> </w:t>
      </w:r>
      <w:r w:rsidRPr="00D337FA">
        <w:t>банк</w:t>
      </w:r>
      <w:r w:rsidR="006C680D" w:rsidRPr="00D337FA">
        <w:t xml:space="preserve"> </w:t>
      </w:r>
      <w:r w:rsidRPr="00D337FA">
        <w:t>«Генбанк»),</w:t>
      </w:r>
      <w:r w:rsidR="006C680D" w:rsidRPr="00D337FA">
        <w:t xml:space="preserve"> </w:t>
      </w:r>
      <w:r w:rsidRPr="00D337FA">
        <w:t>величина</w:t>
      </w:r>
      <w:r w:rsidR="006C680D" w:rsidRPr="00D337FA">
        <w:t xml:space="preserve"> </w:t>
      </w:r>
      <w:r w:rsidRPr="00D337FA">
        <w:t>обязательств</w:t>
      </w:r>
      <w:r w:rsidR="006C680D" w:rsidRPr="00D337FA">
        <w:t xml:space="preserve"> </w:t>
      </w:r>
      <w:r w:rsidRPr="00D337FA">
        <w:t>по</w:t>
      </w:r>
      <w:r w:rsidR="006C680D" w:rsidRPr="00D337FA">
        <w:t xml:space="preserve"> </w:t>
      </w:r>
      <w:r w:rsidRPr="00D337FA">
        <w:t>вкладам</w:t>
      </w:r>
      <w:r w:rsidR="006C680D" w:rsidRPr="00D337FA">
        <w:t xml:space="preserve"> </w:t>
      </w:r>
      <w:r w:rsidRPr="00D337FA">
        <w:t>физических</w:t>
      </w:r>
      <w:r w:rsidR="006C680D" w:rsidRPr="00D337FA">
        <w:t xml:space="preserve"> </w:t>
      </w:r>
      <w:r w:rsidRPr="00D337FA">
        <w:t>лиц</w:t>
      </w:r>
      <w:r w:rsidR="006C680D" w:rsidRPr="00D337FA">
        <w:t xml:space="preserve"> </w:t>
      </w:r>
      <w:r w:rsidRPr="00D337FA">
        <w:t>(например,</w:t>
      </w:r>
      <w:r w:rsidR="006C680D" w:rsidRPr="00D337FA">
        <w:t xml:space="preserve"> </w:t>
      </w:r>
      <w:r w:rsidRPr="00D337FA">
        <w:t>Банк</w:t>
      </w:r>
      <w:r w:rsidR="006C680D" w:rsidRPr="00D337FA">
        <w:t xml:space="preserve"> </w:t>
      </w:r>
      <w:r w:rsidRPr="00D337FA">
        <w:t>«Открытие»</w:t>
      </w:r>
      <w:r w:rsidR="006C680D" w:rsidRPr="00D337FA">
        <w:t xml:space="preserve"> </w:t>
      </w:r>
      <w:r w:rsidRPr="00D337FA">
        <w:t>и</w:t>
      </w:r>
      <w:r w:rsidR="006C680D" w:rsidRPr="00D337FA">
        <w:t xml:space="preserve"> </w:t>
      </w:r>
      <w:r w:rsidRPr="00D337FA">
        <w:t>«Банк</w:t>
      </w:r>
      <w:r w:rsidR="006C680D" w:rsidRPr="00D337FA">
        <w:t xml:space="preserve"> </w:t>
      </w:r>
      <w:r w:rsidRPr="00D337FA">
        <w:t>Уралсиб»),</w:t>
      </w:r>
      <w:r w:rsidR="006C680D" w:rsidRPr="00D337FA">
        <w:t xml:space="preserve"> </w:t>
      </w:r>
      <w:r w:rsidRPr="00D337FA">
        <w:t>социальная</w:t>
      </w:r>
      <w:r w:rsidR="006C680D" w:rsidRPr="00D337FA">
        <w:t xml:space="preserve"> </w:t>
      </w:r>
      <w:r w:rsidRPr="00D337FA">
        <w:t>значимость</w:t>
      </w:r>
      <w:r w:rsidR="006C680D" w:rsidRPr="00D337FA">
        <w:t xml:space="preserve"> </w:t>
      </w:r>
      <w:r w:rsidRPr="00D337FA">
        <w:t>банка</w:t>
      </w:r>
      <w:r w:rsidR="006C680D" w:rsidRPr="00D337FA">
        <w:t xml:space="preserve"> </w:t>
      </w:r>
      <w:r w:rsidRPr="00D337FA">
        <w:t>(например,</w:t>
      </w:r>
      <w:r w:rsidR="006C680D" w:rsidRPr="00D337FA">
        <w:t xml:space="preserve"> </w:t>
      </w:r>
      <w:r w:rsidRPr="00D337FA">
        <w:t>банк</w:t>
      </w:r>
      <w:r w:rsidR="006C680D" w:rsidRPr="00D337FA">
        <w:t xml:space="preserve"> </w:t>
      </w:r>
      <w:r w:rsidRPr="00D337FA">
        <w:t>«Траст»).</w:t>
      </w:r>
      <w:r w:rsidR="006C680D" w:rsidRPr="00D337FA">
        <w:t xml:space="preserve"> </w:t>
      </w:r>
    </w:p>
    <w:p w:rsidR="004A1229" w:rsidRPr="00D337FA" w:rsidRDefault="004A1229" w:rsidP="004A1229">
      <w:pPr>
        <w:ind w:firstLine="284"/>
      </w:pPr>
      <w:r w:rsidRPr="00D337FA">
        <w:t>Оценить</w:t>
      </w:r>
      <w:r w:rsidR="006C680D" w:rsidRPr="00D337FA">
        <w:t xml:space="preserve"> </w:t>
      </w:r>
      <w:r w:rsidRPr="00D337FA">
        <w:t>конечную</w:t>
      </w:r>
      <w:r w:rsidR="006C680D" w:rsidRPr="00D337FA">
        <w:t xml:space="preserve"> </w:t>
      </w:r>
      <w:r w:rsidRPr="00D337FA">
        <w:t>эффективность</w:t>
      </w:r>
      <w:r w:rsidR="006C680D" w:rsidRPr="00D337FA">
        <w:t xml:space="preserve"> </w:t>
      </w:r>
      <w:r w:rsidRPr="00D337FA">
        <w:t>санаций</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Агентства</w:t>
      </w:r>
      <w:r w:rsidR="006C680D" w:rsidRPr="00D337FA">
        <w:t xml:space="preserve"> </w:t>
      </w:r>
      <w:r w:rsidRPr="00D337FA">
        <w:t>во</w:t>
      </w:r>
      <w:r w:rsidR="006C680D" w:rsidRPr="00D337FA">
        <w:t xml:space="preserve"> </w:t>
      </w:r>
      <w:r w:rsidRPr="00D337FA">
        <w:t>взаимосвязи</w:t>
      </w:r>
      <w:r w:rsidR="006C680D" w:rsidRPr="00D337FA">
        <w:t xml:space="preserve"> </w:t>
      </w:r>
      <w:r w:rsidRPr="00D337FA">
        <w:t>с</w:t>
      </w:r>
      <w:r w:rsidR="006C680D" w:rsidRPr="00D337FA">
        <w:t xml:space="preserve"> </w:t>
      </w:r>
      <w:r w:rsidRPr="00D337FA">
        <w:t>ее</w:t>
      </w:r>
      <w:r w:rsidR="006C680D" w:rsidRPr="00D337FA">
        <w:t xml:space="preserve"> </w:t>
      </w:r>
      <w:r w:rsidRPr="00D337FA">
        <w:t>целесообразностью</w:t>
      </w:r>
      <w:r w:rsidR="006C680D" w:rsidRPr="00D337FA">
        <w:t xml:space="preserve"> </w:t>
      </w:r>
      <w:r w:rsidRPr="00D337FA">
        <w:t>можно</w:t>
      </w:r>
      <w:r w:rsidR="006C680D" w:rsidRPr="00D337FA">
        <w:t xml:space="preserve"> </w:t>
      </w:r>
      <w:r w:rsidRPr="00D337FA">
        <w:t>на</w:t>
      </w:r>
      <w:r w:rsidR="006C680D" w:rsidRPr="00D337FA">
        <w:t xml:space="preserve"> </w:t>
      </w:r>
      <w:r w:rsidRPr="00D337FA">
        <w:t>основании</w:t>
      </w:r>
      <w:r w:rsidR="006C680D" w:rsidRPr="00D337FA">
        <w:t xml:space="preserve"> </w:t>
      </w:r>
      <w:r w:rsidRPr="00D337FA">
        <w:t>следующих</w:t>
      </w:r>
      <w:r w:rsidR="006C680D" w:rsidRPr="00D337FA">
        <w:t xml:space="preserve"> </w:t>
      </w:r>
      <w:r w:rsidRPr="00D337FA">
        <w:t>выводов:</w:t>
      </w:r>
    </w:p>
    <w:p w:rsidR="004A1229" w:rsidRPr="00D337FA" w:rsidRDefault="004A1229" w:rsidP="004A1229">
      <w:pPr>
        <w:ind w:firstLine="284"/>
      </w:pPr>
      <w:r w:rsidRPr="00D337FA">
        <w:t>-</w:t>
      </w:r>
      <w:r w:rsidR="006C680D" w:rsidRPr="00D337FA">
        <w:t xml:space="preserve"> </w:t>
      </w:r>
      <w:r w:rsidRPr="00D337FA">
        <w:t>в</w:t>
      </w:r>
      <w:r w:rsidR="006C680D" w:rsidRPr="00D337FA">
        <w:t xml:space="preserve"> </w:t>
      </w:r>
      <w:r w:rsidRPr="00D337FA">
        <w:t>4</w:t>
      </w:r>
      <w:r w:rsidR="006C680D" w:rsidRPr="00D337FA">
        <w:t xml:space="preserve"> </w:t>
      </w:r>
      <w:r w:rsidRPr="00D337FA">
        <w:t>случаях</w:t>
      </w:r>
      <w:r w:rsidR="006C680D" w:rsidRPr="00D337FA">
        <w:t xml:space="preserve"> </w:t>
      </w:r>
      <w:r w:rsidRPr="00D337FA">
        <w:t>санация</w:t>
      </w:r>
      <w:r w:rsidR="006C680D" w:rsidRPr="00D337FA">
        <w:t xml:space="preserve"> </w:t>
      </w:r>
      <w:r w:rsidRPr="00D337FA">
        <w:t>завершилась</w:t>
      </w:r>
      <w:r w:rsidR="006C680D" w:rsidRPr="00D337FA">
        <w:t xml:space="preserve"> </w:t>
      </w:r>
      <w:r w:rsidRPr="00D337FA">
        <w:t>восстановлением</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банков,</w:t>
      </w:r>
      <w:r w:rsidR="006C680D" w:rsidRPr="00D337FA">
        <w:t xml:space="preserve"> </w:t>
      </w:r>
      <w:r w:rsidRPr="00D337FA">
        <w:t>они</w:t>
      </w:r>
      <w:r w:rsidR="006C680D" w:rsidRPr="00D337FA">
        <w:t xml:space="preserve"> </w:t>
      </w:r>
      <w:r w:rsidRPr="00D337FA">
        <w:t>успешно</w:t>
      </w:r>
      <w:r w:rsidR="006C680D" w:rsidRPr="00D337FA">
        <w:t xml:space="preserve"> </w:t>
      </w:r>
      <w:r w:rsidRPr="00D337FA">
        <w:t>функционирую</w:t>
      </w:r>
      <w:r w:rsidR="006C680D" w:rsidRPr="00D337FA">
        <w:t xml:space="preserve"> </w:t>
      </w:r>
      <w:r w:rsidRPr="00D337FA">
        <w:t>в</w:t>
      </w:r>
      <w:r w:rsidR="006C680D" w:rsidRPr="00D337FA">
        <w:t xml:space="preserve"> </w:t>
      </w:r>
      <w:r w:rsidRPr="00D337FA">
        <w:t>настоящее</w:t>
      </w:r>
      <w:r w:rsidR="006C680D" w:rsidRPr="00D337FA">
        <w:t xml:space="preserve"> </w:t>
      </w:r>
      <w:r w:rsidRPr="00D337FA">
        <w:t>время,</w:t>
      </w:r>
      <w:r w:rsidR="006C680D" w:rsidRPr="00D337FA">
        <w:t xml:space="preserve"> </w:t>
      </w:r>
      <w:r w:rsidRPr="00D337FA">
        <w:t>средства,</w:t>
      </w:r>
      <w:r w:rsidR="006C680D" w:rsidRPr="00D337FA">
        <w:t xml:space="preserve"> </w:t>
      </w:r>
      <w:r w:rsidRPr="00D337FA">
        <w:t>выделенные</w:t>
      </w:r>
      <w:r w:rsidR="006C680D" w:rsidRPr="00D337FA">
        <w:t xml:space="preserve"> </w:t>
      </w:r>
      <w:r w:rsidRPr="00D337FA">
        <w:t>на</w:t>
      </w:r>
      <w:r w:rsidR="006C680D" w:rsidRPr="00D337FA">
        <w:t xml:space="preserve"> </w:t>
      </w:r>
      <w:r w:rsidRPr="00D337FA">
        <w:lastRenderedPageBreak/>
        <w:t>санацию</w:t>
      </w:r>
      <w:r w:rsidR="006C680D" w:rsidRPr="00D337FA">
        <w:t xml:space="preserve"> </w:t>
      </w:r>
      <w:r w:rsidRPr="00D337FA">
        <w:t>вместе</w:t>
      </w:r>
      <w:r w:rsidR="006C680D" w:rsidRPr="00D337FA">
        <w:t xml:space="preserve"> </w:t>
      </w:r>
      <w:r w:rsidRPr="00D337FA">
        <w:t>с</w:t>
      </w:r>
      <w:r w:rsidR="006C680D" w:rsidRPr="00D337FA">
        <w:t xml:space="preserve"> </w:t>
      </w:r>
      <w:r w:rsidRPr="00D337FA">
        <w:t>начисленными</w:t>
      </w:r>
      <w:r w:rsidR="006C680D" w:rsidRPr="00D337FA">
        <w:t xml:space="preserve"> </w:t>
      </w:r>
      <w:r w:rsidRPr="00D337FA">
        <w:t>процентами,</w:t>
      </w:r>
      <w:r w:rsidR="006C680D" w:rsidRPr="00D337FA">
        <w:t xml:space="preserve"> </w:t>
      </w:r>
      <w:r w:rsidRPr="00D337FA">
        <w:t>были</w:t>
      </w:r>
      <w:r w:rsidR="006C680D" w:rsidRPr="00D337FA">
        <w:t xml:space="preserve"> </w:t>
      </w:r>
      <w:r w:rsidRPr="00D337FA">
        <w:t>возвращены</w:t>
      </w:r>
      <w:r w:rsidR="006C680D" w:rsidRPr="00D337FA">
        <w:t xml:space="preserve"> </w:t>
      </w:r>
      <w:r w:rsidRPr="00D337FA">
        <w:t>Агентству;</w:t>
      </w:r>
    </w:p>
    <w:p w:rsidR="004A1229" w:rsidRPr="00D337FA" w:rsidRDefault="004A1229" w:rsidP="004A1229">
      <w:pPr>
        <w:ind w:firstLine="284"/>
      </w:pPr>
      <w:r w:rsidRPr="00D337FA">
        <w:t>-</w:t>
      </w:r>
      <w:r w:rsidR="006C680D" w:rsidRPr="00D337FA">
        <w:t xml:space="preserve"> </w:t>
      </w:r>
      <w:r w:rsidRPr="00D337FA">
        <w:t>в</w:t>
      </w:r>
      <w:r w:rsidR="006C680D" w:rsidRPr="00D337FA">
        <w:t xml:space="preserve"> </w:t>
      </w:r>
      <w:r w:rsidRPr="00D337FA">
        <w:t>30</w:t>
      </w:r>
      <w:r w:rsidR="006C680D" w:rsidRPr="00D337FA">
        <w:t xml:space="preserve"> </w:t>
      </w:r>
      <w:r w:rsidRPr="00D337FA">
        <w:t>случаях</w:t>
      </w:r>
      <w:r w:rsidR="006C680D" w:rsidRPr="00D337FA">
        <w:t xml:space="preserve"> </w:t>
      </w:r>
      <w:r w:rsidRPr="00D337FA">
        <w:t>санация</w:t>
      </w:r>
      <w:r w:rsidR="006C680D" w:rsidRPr="00D337FA">
        <w:t xml:space="preserve"> </w:t>
      </w:r>
      <w:r w:rsidRPr="00D337FA">
        <w:t>завершилась</w:t>
      </w:r>
      <w:r w:rsidR="006C680D" w:rsidRPr="00D337FA">
        <w:t xml:space="preserve"> </w:t>
      </w:r>
      <w:r w:rsidRPr="00D337FA">
        <w:t>реорганизацией</w:t>
      </w:r>
      <w:r w:rsidR="006C680D" w:rsidRPr="00D337FA">
        <w:t xml:space="preserve"> </w:t>
      </w:r>
      <w:r w:rsidRPr="00D337FA">
        <w:t>проблемных</w:t>
      </w:r>
      <w:r w:rsidR="006C680D" w:rsidRPr="00D337FA">
        <w:t xml:space="preserve"> </w:t>
      </w:r>
      <w:r w:rsidRPr="00D337FA">
        <w:t>банков</w:t>
      </w:r>
      <w:r w:rsidR="006C680D" w:rsidRPr="00D337FA">
        <w:t xml:space="preserve"> </w:t>
      </w:r>
      <w:r w:rsidRPr="00D337FA">
        <w:t>и</w:t>
      </w:r>
      <w:r w:rsidR="006C680D" w:rsidRPr="00D337FA">
        <w:t xml:space="preserve"> </w:t>
      </w:r>
      <w:r w:rsidRPr="00D337FA">
        <w:t>их</w:t>
      </w:r>
      <w:r w:rsidR="006C680D" w:rsidRPr="00D337FA">
        <w:t xml:space="preserve"> </w:t>
      </w:r>
      <w:r w:rsidRPr="00D337FA">
        <w:t>присоединением</w:t>
      </w:r>
      <w:r w:rsidR="006C680D" w:rsidRPr="00D337FA">
        <w:t xml:space="preserve"> </w:t>
      </w:r>
      <w:r w:rsidRPr="00D337FA">
        <w:t>к</w:t>
      </w:r>
      <w:r w:rsidR="006C680D" w:rsidRPr="00D337FA">
        <w:t xml:space="preserve"> </w:t>
      </w:r>
      <w:r w:rsidRPr="00D337FA">
        <w:t>банку-санатору.</w:t>
      </w:r>
      <w:r w:rsidR="006C680D" w:rsidRPr="00D337FA">
        <w:t xml:space="preserve"> </w:t>
      </w:r>
      <w:r w:rsidRPr="00D337FA">
        <w:t>Санируемые</w:t>
      </w:r>
      <w:r w:rsidR="006C680D" w:rsidRPr="00D337FA">
        <w:t xml:space="preserve"> </w:t>
      </w:r>
      <w:r w:rsidRPr="00D337FA">
        <w:t>банки</w:t>
      </w:r>
      <w:r w:rsidR="006C680D" w:rsidRPr="00D337FA">
        <w:t xml:space="preserve"> </w:t>
      </w:r>
      <w:r w:rsidRPr="00D337FA">
        <w:t>продолжили</w:t>
      </w:r>
      <w:r w:rsidR="006C680D" w:rsidRPr="00D337FA">
        <w:t xml:space="preserve"> </w:t>
      </w:r>
      <w:r w:rsidRPr="00D337FA">
        <w:t>свою</w:t>
      </w:r>
      <w:r w:rsidR="006C680D" w:rsidRPr="00D337FA">
        <w:t xml:space="preserve"> </w:t>
      </w:r>
      <w:r w:rsidRPr="00D337FA">
        <w:t>деятельность</w:t>
      </w:r>
      <w:r w:rsidR="006C680D" w:rsidRPr="00D337FA">
        <w:t xml:space="preserve"> </w:t>
      </w:r>
      <w:r w:rsidRPr="00D337FA">
        <w:t>в</w:t>
      </w:r>
      <w:r w:rsidR="006C680D" w:rsidRPr="00D337FA">
        <w:t xml:space="preserve"> </w:t>
      </w:r>
      <w:r w:rsidRPr="00D337FA">
        <w:t>качестве</w:t>
      </w:r>
      <w:r w:rsidR="006C680D" w:rsidRPr="00D337FA">
        <w:t xml:space="preserve"> </w:t>
      </w:r>
      <w:r w:rsidRPr="00D337FA">
        <w:t>структурных</w:t>
      </w:r>
      <w:r w:rsidR="006C680D" w:rsidRPr="00D337FA">
        <w:t xml:space="preserve"> </w:t>
      </w:r>
      <w:r w:rsidRPr="00D337FA">
        <w:t>подразделений</w:t>
      </w:r>
      <w:r w:rsidR="006C680D" w:rsidRPr="00D337FA">
        <w:t xml:space="preserve"> </w:t>
      </w:r>
      <w:r w:rsidRPr="00D337FA">
        <w:t>банка-санатора,</w:t>
      </w:r>
      <w:r w:rsidR="006C680D" w:rsidRPr="00D337FA">
        <w:t xml:space="preserve"> </w:t>
      </w:r>
      <w:r w:rsidRPr="00D337FA">
        <w:t>что</w:t>
      </w:r>
      <w:r w:rsidR="006C680D" w:rsidRPr="00D337FA">
        <w:t xml:space="preserve"> </w:t>
      </w:r>
      <w:r w:rsidRPr="00D337FA">
        <w:t>позволило</w:t>
      </w:r>
      <w:r w:rsidR="006C680D" w:rsidRPr="00D337FA">
        <w:t xml:space="preserve"> </w:t>
      </w:r>
      <w:r w:rsidRPr="00D337FA">
        <w:t>достичь</w:t>
      </w:r>
      <w:r w:rsidR="006C680D" w:rsidRPr="00D337FA">
        <w:t xml:space="preserve"> </w:t>
      </w:r>
      <w:r w:rsidRPr="00D337FA">
        <w:t>«синергетического</w:t>
      </w:r>
      <w:r w:rsidR="006C680D" w:rsidRPr="00D337FA">
        <w:t xml:space="preserve"> </w:t>
      </w:r>
      <w:r w:rsidRPr="00D337FA">
        <w:t>эффекта»</w:t>
      </w:r>
      <w:r w:rsidR="006C680D" w:rsidRPr="00D337FA">
        <w:t xml:space="preserve"> </w:t>
      </w:r>
      <w:r w:rsidRPr="00D337FA">
        <w:t>за</w:t>
      </w:r>
      <w:r w:rsidR="006C680D" w:rsidRPr="00D337FA">
        <w:t xml:space="preserve"> </w:t>
      </w:r>
      <w:r w:rsidRPr="00D337FA">
        <w:t>счет</w:t>
      </w:r>
      <w:r w:rsidR="006C680D" w:rsidRPr="00D337FA">
        <w:t xml:space="preserve"> </w:t>
      </w:r>
      <w:r w:rsidRPr="00D337FA">
        <w:t>объединения</w:t>
      </w:r>
      <w:r w:rsidR="006C680D" w:rsidRPr="00D337FA">
        <w:t xml:space="preserve"> </w:t>
      </w:r>
      <w:r w:rsidRPr="00D337FA">
        <w:t>клиентской</w:t>
      </w:r>
      <w:r w:rsidR="006C680D" w:rsidRPr="00D337FA">
        <w:t xml:space="preserve"> </w:t>
      </w:r>
      <w:r w:rsidRPr="00D337FA">
        <w:t>базы</w:t>
      </w:r>
      <w:r w:rsidR="006C680D" w:rsidRPr="00D337FA">
        <w:t xml:space="preserve"> </w:t>
      </w:r>
      <w:r w:rsidRPr="00D337FA">
        <w:t>и</w:t>
      </w:r>
      <w:r w:rsidR="006C680D" w:rsidRPr="00D337FA">
        <w:t xml:space="preserve"> </w:t>
      </w:r>
      <w:r w:rsidRPr="00D337FA">
        <w:t>увеличения</w:t>
      </w:r>
      <w:r w:rsidR="006C680D" w:rsidRPr="00D337FA">
        <w:t xml:space="preserve"> </w:t>
      </w:r>
      <w:r w:rsidRPr="00D337FA">
        <w:t>масштабов</w:t>
      </w:r>
      <w:r w:rsidR="006C680D" w:rsidRPr="00D337FA">
        <w:t xml:space="preserve"> </w:t>
      </w:r>
      <w:r w:rsidRPr="00D337FA">
        <w:t>бизнеса.</w:t>
      </w:r>
      <w:r w:rsidR="006C680D" w:rsidRPr="00D337FA">
        <w:t xml:space="preserve">  </w:t>
      </w:r>
    </w:p>
    <w:p w:rsidR="004A1229" w:rsidRPr="00D337FA" w:rsidRDefault="004A1229" w:rsidP="004A1229">
      <w:pPr>
        <w:ind w:firstLine="284"/>
      </w:pPr>
      <w:r w:rsidRPr="00D337FA">
        <w:t>Однако,</w:t>
      </w:r>
      <w:r w:rsidR="006C680D" w:rsidRPr="00D337FA">
        <w:t xml:space="preserve"> </w:t>
      </w:r>
      <w:r w:rsidRPr="00D337FA">
        <w:t>в</w:t>
      </w:r>
      <w:r w:rsidR="006C680D" w:rsidRPr="00D337FA">
        <w:t xml:space="preserve"> </w:t>
      </w:r>
      <w:r w:rsidRPr="00D337FA">
        <w:t>целом</w:t>
      </w:r>
      <w:r w:rsidR="006C680D" w:rsidRPr="00D337FA">
        <w:t xml:space="preserve"> </w:t>
      </w:r>
      <w:r w:rsidRPr="00D337FA">
        <w:t>эффективность</w:t>
      </w:r>
      <w:r w:rsidR="006C680D" w:rsidRPr="00D337FA">
        <w:t xml:space="preserve"> </w:t>
      </w:r>
      <w:r w:rsidRPr="00D337FA">
        <w:t>санационных</w:t>
      </w:r>
      <w:r w:rsidR="006C680D" w:rsidRPr="00D337FA">
        <w:t xml:space="preserve"> </w:t>
      </w:r>
      <w:r w:rsidRPr="00D337FA">
        <w:t>процедур</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Агентства</w:t>
      </w:r>
      <w:r w:rsidR="006C680D" w:rsidRPr="00D337FA">
        <w:t xml:space="preserve"> </w:t>
      </w:r>
      <w:r w:rsidRPr="00D337FA">
        <w:t>экспертами</w:t>
      </w:r>
      <w:r w:rsidR="006C680D" w:rsidRPr="00D337FA">
        <w:t xml:space="preserve"> </w:t>
      </w:r>
      <w:r w:rsidRPr="00D337FA">
        <w:t>была</w:t>
      </w:r>
      <w:r w:rsidR="006C680D" w:rsidRPr="00D337FA">
        <w:t xml:space="preserve"> </w:t>
      </w:r>
      <w:r w:rsidRPr="00D337FA">
        <w:t>признана</w:t>
      </w:r>
      <w:r w:rsidR="006C680D" w:rsidRPr="00D337FA">
        <w:t xml:space="preserve"> </w:t>
      </w:r>
      <w:r w:rsidRPr="00D337FA">
        <w:t>низко</w:t>
      </w:r>
      <w:r w:rsidR="006C680D" w:rsidRPr="00D337FA">
        <w:t xml:space="preserve"> </w:t>
      </w:r>
      <w:r w:rsidRPr="00D337FA">
        <w:t>эффективной</w:t>
      </w:r>
      <w:r w:rsidR="006C680D" w:rsidRPr="00D337FA">
        <w:t xml:space="preserve"> </w:t>
      </w:r>
      <w:r w:rsidRPr="00D337FA">
        <w:t>по</w:t>
      </w:r>
      <w:r w:rsidR="006C680D" w:rsidRPr="00D337FA">
        <w:t xml:space="preserve"> </w:t>
      </w:r>
      <w:r w:rsidRPr="00D337FA">
        <w:t>следующим</w:t>
      </w:r>
      <w:r w:rsidR="006C680D" w:rsidRPr="00D337FA">
        <w:t xml:space="preserve"> </w:t>
      </w:r>
      <w:r w:rsidRPr="00D337FA">
        <w:t>причинам:</w:t>
      </w:r>
    </w:p>
    <w:p w:rsidR="004A1229" w:rsidRPr="00D337FA" w:rsidRDefault="004A1229" w:rsidP="004A1229">
      <w:pPr>
        <w:ind w:firstLine="284"/>
      </w:pPr>
      <w:r w:rsidRPr="00D337FA">
        <w:t>1)</w:t>
      </w:r>
      <w:r w:rsidR="006C680D" w:rsidRPr="00D337FA">
        <w:t xml:space="preserve"> </w:t>
      </w:r>
      <w:r w:rsidRPr="00D337FA">
        <w:t>неэффективная</w:t>
      </w:r>
      <w:r w:rsidR="006C680D" w:rsidRPr="00D337FA">
        <w:t xml:space="preserve"> </w:t>
      </w:r>
      <w:r w:rsidRPr="00D337FA">
        <w:t>деятельность</w:t>
      </w:r>
      <w:r w:rsidR="006C680D" w:rsidRPr="00D337FA">
        <w:t xml:space="preserve"> </w:t>
      </w:r>
      <w:r w:rsidRPr="00D337FA">
        <w:t>Агентства,</w:t>
      </w:r>
      <w:r w:rsidR="006C680D" w:rsidRPr="00D337FA">
        <w:t xml:space="preserve"> </w:t>
      </w:r>
      <w:r w:rsidRPr="00D337FA">
        <w:t>а</w:t>
      </w:r>
      <w:r w:rsidR="006C680D" w:rsidRPr="00D337FA">
        <w:t xml:space="preserve"> </w:t>
      </w:r>
      <w:r w:rsidRPr="00D337FA">
        <w:t>именно:</w:t>
      </w:r>
      <w:r w:rsidR="006C680D" w:rsidRPr="00D337FA">
        <w:t xml:space="preserve"> </w:t>
      </w:r>
      <w:r w:rsidRPr="00D337FA">
        <w:t>непрозрачные</w:t>
      </w:r>
      <w:r w:rsidR="006C680D" w:rsidRPr="00D337FA">
        <w:t xml:space="preserve"> </w:t>
      </w:r>
      <w:r w:rsidRPr="00D337FA">
        <w:t>критерии</w:t>
      </w:r>
      <w:r w:rsidR="006C680D" w:rsidRPr="00D337FA">
        <w:t xml:space="preserve"> </w:t>
      </w:r>
      <w:r w:rsidRPr="00D337FA">
        <w:t>выбора</w:t>
      </w:r>
      <w:r w:rsidR="006C680D" w:rsidRPr="00D337FA">
        <w:t xml:space="preserve"> </w:t>
      </w:r>
      <w:r w:rsidRPr="00D337FA">
        <w:t>банка-санатора;</w:t>
      </w:r>
      <w:r w:rsidR="006C680D" w:rsidRPr="00D337FA">
        <w:t xml:space="preserve"> </w:t>
      </w:r>
      <w:r w:rsidRPr="00D337FA">
        <w:t>бесконтрольное</w:t>
      </w:r>
      <w:r w:rsidR="006C680D" w:rsidRPr="00D337FA">
        <w:t xml:space="preserve"> </w:t>
      </w:r>
      <w:r w:rsidRPr="00D337FA">
        <w:t>использование</w:t>
      </w:r>
      <w:r w:rsidR="006C680D" w:rsidRPr="00D337FA">
        <w:t xml:space="preserve"> </w:t>
      </w:r>
      <w:r w:rsidRPr="00D337FA">
        <w:t>банками-санаторами</w:t>
      </w:r>
      <w:r w:rsidR="006C680D" w:rsidRPr="00D337FA">
        <w:t xml:space="preserve"> </w:t>
      </w:r>
      <w:r w:rsidRPr="00D337FA">
        <w:t>выделенных</w:t>
      </w:r>
      <w:r w:rsidR="006C680D" w:rsidRPr="00D337FA">
        <w:t xml:space="preserve"> </w:t>
      </w:r>
      <w:r w:rsidRPr="00D337FA">
        <w:t>на</w:t>
      </w:r>
      <w:r w:rsidR="006C680D" w:rsidRPr="00D337FA">
        <w:t xml:space="preserve"> </w:t>
      </w:r>
      <w:r w:rsidRPr="00D337FA">
        <w:t>льготный</w:t>
      </w:r>
      <w:r w:rsidR="006C680D" w:rsidRPr="00D337FA">
        <w:t xml:space="preserve"> </w:t>
      </w:r>
      <w:r w:rsidRPr="00D337FA">
        <w:t>условиях</w:t>
      </w:r>
      <w:r w:rsidR="006C680D" w:rsidRPr="00D337FA">
        <w:t xml:space="preserve"> </w:t>
      </w:r>
      <w:r w:rsidRPr="00D337FA">
        <w:t>средств</w:t>
      </w:r>
      <w:r w:rsidR="006C680D" w:rsidRPr="00D337FA">
        <w:t xml:space="preserve"> </w:t>
      </w:r>
      <w:r w:rsidRPr="00D337FA">
        <w:t>на</w:t>
      </w:r>
      <w:r w:rsidR="006C680D" w:rsidRPr="00D337FA">
        <w:t xml:space="preserve"> </w:t>
      </w:r>
      <w:r w:rsidRPr="00D337FA">
        <w:t>цели</w:t>
      </w:r>
      <w:r w:rsidR="006C680D" w:rsidRPr="00D337FA">
        <w:t xml:space="preserve"> </w:t>
      </w:r>
      <w:r w:rsidRPr="00D337FA">
        <w:t>не</w:t>
      </w:r>
      <w:r w:rsidR="006C680D" w:rsidRPr="00D337FA">
        <w:t xml:space="preserve"> </w:t>
      </w:r>
      <w:r w:rsidRPr="00D337FA">
        <w:t>связанные</w:t>
      </w:r>
      <w:r w:rsidR="006C680D" w:rsidRPr="00D337FA">
        <w:t xml:space="preserve"> </w:t>
      </w:r>
      <w:r w:rsidRPr="00D337FA">
        <w:t>с</w:t>
      </w:r>
      <w:r w:rsidR="006C680D" w:rsidRPr="00D337FA">
        <w:t xml:space="preserve"> </w:t>
      </w:r>
      <w:r w:rsidRPr="00D337FA">
        <w:t>финансовым</w:t>
      </w:r>
      <w:r w:rsidR="006C680D" w:rsidRPr="00D337FA">
        <w:t xml:space="preserve"> </w:t>
      </w:r>
      <w:r w:rsidRPr="00D337FA">
        <w:t>оздоровлением</w:t>
      </w:r>
      <w:r w:rsidR="006C680D" w:rsidRPr="00D337FA">
        <w:t xml:space="preserve"> </w:t>
      </w:r>
      <w:r w:rsidRPr="00D337FA">
        <w:t>проблемного</w:t>
      </w:r>
      <w:r w:rsidR="006C680D" w:rsidRPr="00D337FA">
        <w:t xml:space="preserve"> </w:t>
      </w:r>
      <w:r w:rsidRPr="00D337FA">
        <w:t>банка;</w:t>
      </w:r>
      <w:r w:rsidR="006C680D" w:rsidRPr="00D337FA">
        <w:t xml:space="preserve"> </w:t>
      </w:r>
      <w:r w:rsidRPr="00D337FA">
        <w:t>отсутствие</w:t>
      </w:r>
      <w:r w:rsidR="006C680D" w:rsidRPr="00D337FA">
        <w:t xml:space="preserve"> </w:t>
      </w:r>
      <w:r w:rsidRPr="00D337FA">
        <w:t>четкой</w:t>
      </w:r>
      <w:r w:rsidR="006C680D" w:rsidRPr="00D337FA">
        <w:t xml:space="preserve"> </w:t>
      </w:r>
      <w:r w:rsidRPr="00D337FA">
        <w:t>«дорожной</w:t>
      </w:r>
      <w:r w:rsidR="006C680D" w:rsidRPr="00D337FA">
        <w:t xml:space="preserve"> </w:t>
      </w:r>
      <w:r w:rsidRPr="00D337FA">
        <w:t>карты»</w:t>
      </w:r>
      <w:r w:rsidR="006C680D" w:rsidRPr="00D337FA">
        <w:t xml:space="preserve"> </w:t>
      </w:r>
      <w:r w:rsidRPr="00D337FA">
        <w:t>санации</w:t>
      </w:r>
      <w:r w:rsidR="006C680D" w:rsidRPr="00D337FA">
        <w:t xml:space="preserve"> </w:t>
      </w:r>
      <w:r w:rsidRPr="00D337FA">
        <w:t>и</w:t>
      </w:r>
      <w:r w:rsidR="006C680D" w:rsidRPr="00D337FA">
        <w:t xml:space="preserve"> </w:t>
      </w:r>
      <w:r w:rsidRPr="00D337FA">
        <w:t>срока,</w:t>
      </w:r>
      <w:r w:rsidR="006C680D" w:rsidRPr="00D337FA">
        <w:t xml:space="preserve"> </w:t>
      </w:r>
      <w:r w:rsidRPr="00D337FA">
        <w:t>в</w:t>
      </w:r>
      <w:r w:rsidR="006C680D" w:rsidRPr="00D337FA">
        <w:t xml:space="preserve"> </w:t>
      </w:r>
      <w:r w:rsidRPr="00D337FA">
        <w:t>течение</w:t>
      </w:r>
      <w:r w:rsidR="006C680D" w:rsidRPr="00D337FA">
        <w:t xml:space="preserve"> </w:t>
      </w:r>
      <w:r w:rsidRPr="00D337FA">
        <w:t>которого</w:t>
      </w:r>
      <w:r w:rsidR="006C680D" w:rsidRPr="00D337FA">
        <w:t xml:space="preserve"> </w:t>
      </w:r>
      <w:r w:rsidRPr="00D337FA">
        <w:t>санируемый</w:t>
      </w:r>
      <w:r w:rsidR="006C680D" w:rsidRPr="00D337FA">
        <w:t xml:space="preserve"> </w:t>
      </w:r>
      <w:r w:rsidRPr="00D337FA">
        <w:t>банк</w:t>
      </w:r>
      <w:r w:rsidR="006C680D" w:rsidRPr="00D337FA">
        <w:t xml:space="preserve"> </w:t>
      </w:r>
      <w:r w:rsidRPr="00D337FA">
        <w:t>может</w:t>
      </w:r>
      <w:r w:rsidR="006C680D" w:rsidRPr="00D337FA">
        <w:t xml:space="preserve"> </w:t>
      </w:r>
      <w:r w:rsidRPr="00D337FA">
        <w:t>нарушать</w:t>
      </w:r>
      <w:r w:rsidR="006C680D" w:rsidRPr="00D337FA">
        <w:t xml:space="preserve"> </w:t>
      </w:r>
      <w:r w:rsidRPr="00D337FA">
        <w:t>обязательные</w:t>
      </w:r>
      <w:r w:rsidR="006C680D" w:rsidRPr="00D337FA">
        <w:t xml:space="preserve"> </w:t>
      </w:r>
      <w:r w:rsidRPr="00D337FA">
        <w:t>нормативы;</w:t>
      </w:r>
      <w:r w:rsidR="006C680D" w:rsidRPr="00D337FA">
        <w:t xml:space="preserve"> </w:t>
      </w:r>
      <w:r w:rsidRPr="00D337FA">
        <w:t>отсутствие</w:t>
      </w:r>
      <w:r w:rsidR="006C680D" w:rsidRPr="00D337FA">
        <w:t xml:space="preserve"> </w:t>
      </w:r>
      <w:r w:rsidRPr="00D337FA">
        <w:t>требований</w:t>
      </w:r>
      <w:r w:rsidR="006C680D" w:rsidRPr="00D337FA">
        <w:t xml:space="preserve"> </w:t>
      </w:r>
      <w:r w:rsidRPr="00D337FA">
        <w:t>размещать</w:t>
      </w:r>
      <w:r w:rsidR="006C680D" w:rsidRPr="00D337FA">
        <w:t xml:space="preserve"> </w:t>
      </w:r>
      <w:r w:rsidRPr="00D337FA">
        <w:t>в</w:t>
      </w:r>
      <w:r w:rsidR="006C680D" w:rsidRPr="00D337FA">
        <w:t xml:space="preserve"> </w:t>
      </w:r>
      <w:r w:rsidRPr="00D337FA">
        <w:t>публичном</w:t>
      </w:r>
      <w:r w:rsidR="006C680D" w:rsidRPr="00D337FA">
        <w:t xml:space="preserve"> </w:t>
      </w:r>
      <w:r w:rsidRPr="00D337FA">
        <w:t>доступе</w:t>
      </w:r>
      <w:r w:rsidR="006C680D" w:rsidRPr="00D337FA">
        <w:t xml:space="preserve"> </w:t>
      </w:r>
      <w:r w:rsidRPr="00D337FA">
        <w:t>отчетность</w:t>
      </w:r>
      <w:r w:rsidR="006C680D" w:rsidRPr="00D337FA">
        <w:t xml:space="preserve"> </w:t>
      </w:r>
      <w:r w:rsidRPr="00D337FA">
        <w:t>санируемого</w:t>
      </w:r>
      <w:r w:rsidR="006C680D" w:rsidRPr="00D337FA">
        <w:t xml:space="preserve"> </w:t>
      </w:r>
      <w:r w:rsidRPr="00D337FA">
        <w:lastRenderedPageBreak/>
        <w:t>банка</w:t>
      </w:r>
      <w:r w:rsidR="006C680D" w:rsidRPr="00D337FA">
        <w:t xml:space="preserve"> </w:t>
      </w:r>
      <w:r w:rsidRPr="00D337FA">
        <w:t>и</w:t>
      </w:r>
      <w:r w:rsidR="006C680D" w:rsidRPr="00D337FA">
        <w:t xml:space="preserve"> </w:t>
      </w:r>
      <w:r w:rsidRPr="00D337FA">
        <w:t>проводить</w:t>
      </w:r>
      <w:r w:rsidR="006C680D" w:rsidRPr="00D337FA">
        <w:t xml:space="preserve"> </w:t>
      </w:r>
      <w:r w:rsidRPr="00D337FA">
        <w:t>внешний</w:t>
      </w:r>
      <w:r w:rsidR="006C680D" w:rsidRPr="00D337FA">
        <w:t xml:space="preserve"> </w:t>
      </w:r>
      <w:r w:rsidRPr="00D337FA">
        <w:t>аудит</w:t>
      </w:r>
      <w:r w:rsidR="006C680D" w:rsidRPr="00D337FA">
        <w:t xml:space="preserve"> </w:t>
      </w:r>
      <w:r w:rsidRPr="00D337FA">
        <w:t>процедуры</w:t>
      </w:r>
      <w:r w:rsidR="006C680D" w:rsidRPr="00D337FA">
        <w:t xml:space="preserve"> </w:t>
      </w:r>
      <w:r w:rsidRPr="00D337FA">
        <w:t>санации</w:t>
      </w:r>
      <w:r w:rsidR="006C680D" w:rsidRPr="00D337FA">
        <w:t xml:space="preserve"> </w:t>
      </w:r>
      <w:r w:rsidRPr="00D337FA">
        <w:t>[13];</w:t>
      </w:r>
    </w:p>
    <w:p w:rsidR="004A1229" w:rsidRPr="00D337FA" w:rsidRDefault="004A1229" w:rsidP="004A1229">
      <w:pPr>
        <w:ind w:firstLine="284"/>
      </w:pPr>
      <w:r w:rsidRPr="00D337FA">
        <w:t>2)</w:t>
      </w:r>
      <w:r w:rsidR="006C680D" w:rsidRPr="00D337FA">
        <w:t xml:space="preserve"> </w:t>
      </w:r>
      <w:r w:rsidRPr="00D337FA">
        <w:t>неверная</w:t>
      </w:r>
      <w:r w:rsidR="006C680D" w:rsidRPr="00D337FA">
        <w:t xml:space="preserve"> </w:t>
      </w:r>
      <w:r w:rsidRPr="00D337FA">
        <w:t>оценка</w:t>
      </w:r>
      <w:r w:rsidR="006C680D" w:rsidRPr="00D337FA">
        <w:t xml:space="preserve"> </w:t>
      </w:r>
      <w:r w:rsidRPr="00D337FA">
        <w:t>банком-санатором</w:t>
      </w:r>
      <w:r w:rsidR="006C680D" w:rsidRPr="00D337FA">
        <w:t xml:space="preserve"> </w:t>
      </w:r>
      <w:r w:rsidRPr="00D337FA">
        <w:t>рисков</w:t>
      </w:r>
      <w:r w:rsidR="006C680D" w:rsidRPr="00D337FA">
        <w:t xml:space="preserve"> </w:t>
      </w:r>
      <w:r w:rsidRPr="00D337FA">
        <w:t>санации,</w:t>
      </w:r>
      <w:r w:rsidR="006C680D" w:rsidRPr="00D337FA">
        <w:t xml:space="preserve"> </w:t>
      </w:r>
      <w:r w:rsidRPr="00D337FA">
        <w:t>связанных</w:t>
      </w:r>
      <w:r w:rsidR="006C680D" w:rsidRPr="00D337FA">
        <w:t xml:space="preserve"> </w:t>
      </w:r>
      <w:r w:rsidRPr="00D337FA">
        <w:t>с:</w:t>
      </w:r>
      <w:r w:rsidR="006C680D" w:rsidRPr="00D337FA">
        <w:t xml:space="preserve"> </w:t>
      </w:r>
      <w:r w:rsidRPr="00D337FA">
        <w:t>ошибками</w:t>
      </w:r>
      <w:r w:rsidR="006C680D" w:rsidRPr="00D337FA">
        <w:t xml:space="preserve"> </w:t>
      </w:r>
      <w:r w:rsidRPr="00D337FA">
        <w:t>в</w:t>
      </w:r>
      <w:r w:rsidR="006C680D" w:rsidRPr="00D337FA">
        <w:t xml:space="preserve"> </w:t>
      </w:r>
      <w:r w:rsidRPr="00D337FA">
        <w:t>оценке</w:t>
      </w:r>
      <w:r w:rsidR="006C680D" w:rsidRPr="00D337FA">
        <w:t xml:space="preserve"> </w:t>
      </w:r>
      <w:r w:rsidRPr="00D337FA">
        <w:t>объема</w:t>
      </w:r>
      <w:r w:rsidR="006C680D" w:rsidRPr="00D337FA">
        <w:t xml:space="preserve"> </w:t>
      </w:r>
      <w:r w:rsidRPr="00D337FA">
        <w:t>запрашиваемого</w:t>
      </w:r>
      <w:r w:rsidR="006C680D" w:rsidRPr="00D337FA">
        <w:t xml:space="preserve"> </w:t>
      </w:r>
      <w:r w:rsidRPr="00D337FA">
        <w:t>финансирования;</w:t>
      </w:r>
      <w:r w:rsidR="006C680D" w:rsidRPr="00D337FA">
        <w:t xml:space="preserve"> </w:t>
      </w:r>
      <w:r w:rsidRPr="00D337FA">
        <w:t>недооценкой</w:t>
      </w:r>
      <w:r w:rsidR="006C680D" w:rsidRPr="00D337FA">
        <w:t xml:space="preserve"> </w:t>
      </w:r>
      <w:r w:rsidRPr="00D337FA">
        <w:t>затрат</w:t>
      </w:r>
      <w:r w:rsidR="006C680D" w:rsidRPr="00D337FA">
        <w:t xml:space="preserve"> </w:t>
      </w:r>
      <w:r w:rsidRPr="00D337FA">
        <w:t>на</w:t>
      </w:r>
      <w:r w:rsidR="006C680D" w:rsidRPr="00D337FA">
        <w:t xml:space="preserve"> </w:t>
      </w:r>
      <w:r w:rsidRPr="00D337FA">
        <w:t>интеграцию</w:t>
      </w:r>
      <w:r w:rsidR="006C680D" w:rsidRPr="00D337FA">
        <w:t xml:space="preserve"> </w:t>
      </w:r>
      <w:r w:rsidRPr="00D337FA">
        <w:t>с</w:t>
      </w:r>
      <w:r w:rsidR="006C680D" w:rsidRPr="00D337FA">
        <w:t xml:space="preserve"> </w:t>
      </w:r>
      <w:r w:rsidRPr="00D337FA">
        <w:t>санируемым</w:t>
      </w:r>
      <w:r w:rsidR="006C680D" w:rsidRPr="00D337FA">
        <w:t xml:space="preserve"> </w:t>
      </w:r>
      <w:r w:rsidRPr="00D337FA">
        <w:t>банком,</w:t>
      </w:r>
      <w:r w:rsidR="006C680D" w:rsidRPr="00D337FA">
        <w:t xml:space="preserve"> </w:t>
      </w:r>
      <w:r w:rsidRPr="00D337FA">
        <w:t>находящимся</w:t>
      </w:r>
      <w:r w:rsidR="006C680D" w:rsidRPr="00D337FA">
        <w:t xml:space="preserve"> </w:t>
      </w:r>
      <w:r w:rsidRPr="00D337FA">
        <w:t>в</w:t>
      </w:r>
      <w:r w:rsidR="006C680D" w:rsidRPr="00D337FA">
        <w:t xml:space="preserve"> </w:t>
      </w:r>
      <w:r w:rsidRPr="00D337FA">
        <w:t>стрессовой</w:t>
      </w:r>
      <w:r w:rsidR="006C680D" w:rsidRPr="00D337FA">
        <w:t xml:space="preserve"> </w:t>
      </w:r>
      <w:r w:rsidRPr="00D337FA">
        <w:t>ситуации</w:t>
      </w:r>
      <w:r w:rsidR="006C680D" w:rsidRPr="00D337FA">
        <w:t xml:space="preserve"> </w:t>
      </w:r>
      <w:r w:rsidRPr="00D337FA">
        <w:t>и</w:t>
      </w:r>
      <w:r w:rsidR="006C680D" w:rsidRPr="00D337FA">
        <w:t xml:space="preserve"> </w:t>
      </w:r>
      <w:r w:rsidRPr="00D337FA">
        <w:t>реализующим</w:t>
      </w:r>
      <w:r w:rsidR="006C680D" w:rsidRPr="00D337FA">
        <w:t xml:space="preserve"> </w:t>
      </w:r>
      <w:r w:rsidRPr="00D337FA">
        <w:t>принципиально</w:t>
      </w:r>
      <w:r w:rsidR="006C680D" w:rsidRPr="00D337FA">
        <w:t xml:space="preserve"> </w:t>
      </w:r>
      <w:r w:rsidRPr="00D337FA">
        <w:t>иную</w:t>
      </w:r>
      <w:r w:rsidR="006C680D" w:rsidRPr="00D337FA">
        <w:t xml:space="preserve"> </w:t>
      </w:r>
      <w:r w:rsidRPr="00D337FA">
        <w:t>бизнес-модель;</w:t>
      </w:r>
      <w:r w:rsidR="006C680D" w:rsidRPr="00D337FA">
        <w:t xml:space="preserve"> </w:t>
      </w:r>
      <w:r w:rsidRPr="00D337FA">
        <w:t>конфликтом</w:t>
      </w:r>
      <w:r w:rsidR="006C680D" w:rsidRPr="00D337FA">
        <w:t xml:space="preserve"> </w:t>
      </w:r>
      <w:r w:rsidRPr="00D337FA">
        <w:t>интересов</w:t>
      </w:r>
      <w:r w:rsidR="006C680D" w:rsidRPr="00D337FA">
        <w:t xml:space="preserve"> </w:t>
      </w:r>
      <w:r w:rsidRPr="00D337FA">
        <w:t>менеджеров</w:t>
      </w:r>
      <w:r w:rsidR="006C680D" w:rsidRPr="00D337FA">
        <w:t xml:space="preserve"> </w:t>
      </w:r>
      <w:r w:rsidRPr="00D337FA">
        <w:t>санируемого</w:t>
      </w:r>
      <w:r w:rsidR="006C680D" w:rsidRPr="00D337FA">
        <w:t xml:space="preserve"> </w:t>
      </w:r>
      <w:r w:rsidRPr="00D337FA">
        <w:t>и</w:t>
      </w:r>
      <w:r w:rsidR="006C680D" w:rsidRPr="00D337FA">
        <w:t xml:space="preserve"> </w:t>
      </w:r>
      <w:r w:rsidRPr="00D337FA">
        <w:t>санирующего</w:t>
      </w:r>
      <w:r w:rsidR="006C680D" w:rsidRPr="00D337FA">
        <w:t xml:space="preserve"> </w:t>
      </w:r>
      <w:r w:rsidRPr="00D337FA">
        <w:t>банка;</w:t>
      </w:r>
      <w:r w:rsidR="006C680D" w:rsidRPr="00D337FA">
        <w:t xml:space="preserve"> </w:t>
      </w:r>
      <w:r w:rsidRPr="00D337FA">
        <w:t>переоценкой</w:t>
      </w:r>
      <w:r w:rsidR="006C680D" w:rsidRPr="00D337FA">
        <w:t xml:space="preserve"> </w:t>
      </w:r>
      <w:r w:rsidRPr="00D337FA">
        <w:t>ожидаемого</w:t>
      </w:r>
      <w:r w:rsidR="006C680D" w:rsidRPr="00D337FA">
        <w:t xml:space="preserve"> </w:t>
      </w:r>
      <w:r w:rsidRPr="00D337FA">
        <w:t>синергетического</w:t>
      </w:r>
      <w:r w:rsidR="006C680D" w:rsidRPr="00D337FA">
        <w:t xml:space="preserve"> </w:t>
      </w:r>
      <w:r w:rsidRPr="00D337FA">
        <w:t>эффекта</w:t>
      </w:r>
      <w:r w:rsidR="006C680D" w:rsidRPr="00D337FA">
        <w:t xml:space="preserve"> </w:t>
      </w:r>
      <w:r w:rsidRPr="00D337FA">
        <w:t>от</w:t>
      </w:r>
      <w:r w:rsidR="006C680D" w:rsidRPr="00D337FA">
        <w:t xml:space="preserve"> </w:t>
      </w:r>
      <w:r w:rsidRPr="00D337FA">
        <w:t>реализации</w:t>
      </w:r>
      <w:r w:rsidR="006C680D" w:rsidRPr="00D337FA">
        <w:t xml:space="preserve"> </w:t>
      </w:r>
      <w:r w:rsidRPr="00D337FA">
        <w:t>мер</w:t>
      </w:r>
      <w:r w:rsidR="006C680D" w:rsidRPr="00D337FA">
        <w:t xml:space="preserve"> </w:t>
      </w:r>
      <w:r w:rsidRPr="00D337FA">
        <w:t>по</w:t>
      </w:r>
      <w:r w:rsidR="006C680D" w:rsidRPr="00D337FA">
        <w:t xml:space="preserve"> </w:t>
      </w:r>
      <w:r w:rsidRPr="00D337FA">
        <w:t>финансовому</w:t>
      </w:r>
      <w:r w:rsidR="006C680D" w:rsidRPr="00D337FA">
        <w:t xml:space="preserve"> </w:t>
      </w:r>
      <w:r w:rsidRPr="00D337FA">
        <w:t>оздоровлению</w:t>
      </w:r>
      <w:r w:rsidR="006C680D" w:rsidRPr="00D337FA">
        <w:t xml:space="preserve"> </w:t>
      </w:r>
      <w:r w:rsidRPr="00D337FA">
        <w:t>[14];</w:t>
      </w:r>
    </w:p>
    <w:p w:rsidR="004A1229" w:rsidRPr="00D337FA" w:rsidRDefault="004A1229" w:rsidP="004A1229">
      <w:pPr>
        <w:ind w:firstLine="284"/>
      </w:pPr>
      <w:r w:rsidRPr="00D337FA">
        <w:t>3)</w:t>
      </w:r>
      <w:r w:rsidR="006C680D" w:rsidRPr="00D337FA">
        <w:t xml:space="preserve"> </w:t>
      </w:r>
      <w:r w:rsidRPr="00D337FA">
        <w:t>отсутствие</w:t>
      </w:r>
      <w:r w:rsidR="006C680D" w:rsidRPr="00D337FA">
        <w:t xml:space="preserve"> </w:t>
      </w:r>
      <w:r w:rsidRPr="00D337FA">
        <w:t>нормативной</w:t>
      </w:r>
      <w:r w:rsidR="006C680D" w:rsidRPr="00D337FA">
        <w:t xml:space="preserve"> </w:t>
      </w:r>
      <w:r w:rsidRPr="00D337FA">
        <w:t>базы,</w:t>
      </w:r>
      <w:r w:rsidR="006C680D" w:rsidRPr="00D337FA">
        <w:t xml:space="preserve"> </w:t>
      </w:r>
      <w:r w:rsidRPr="00D337FA">
        <w:t>регламентирующей</w:t>
      </w:r>
      <w:r w:rsidR="006C680D" w:rsidRPr="00D337FA">
        <w:t xml:space="preserve"> </w:t>
      </w:r>
      <w:r w:rsidRPr="00D337FA">
        <w:t>требования</w:t>
      </w:r>
      <w:r w:rsidR="006C680D" w:rsidRPr="00D337FA">
        <w:t xml:space="preserve"> </w:t>
      </w:r>
      <w:r w:rsidRPr="00D337FA">
        <w:t>к</w:t>
      </w:r>
      <w:r w:rsidR="006C680D" w:rsidRPr="00D337FA">
        <w:t xml:space="preserve"> </w:t>
      </w:r>
      <w:r w:rsidRPr="00D337FA">
        <w:t>банкам-санаторам</w:t>
      </w:r>
      <w:r w:rsidR="006C680D" w:rsidRPr="00D337FA">
        <w:t xml:space="preserve"> </w:t>
      </w:r>
      <w:r w:rsidRPr="00D337FA">
        <w:t>[15].</w:t>
      </w:r>
      <w:r w:rsidR="006C680D" w:rsidRPr="00D337FA">
        <w:t xml:space="preserve"> </w:t>
      </w:r>
      <w:r w:rsidRPr="00D337FA">
        <w:t>Указание</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от</w:t>
      </w:r>
      <w:r w:rsidR="006C680D" w:rsidRPr="00D337FA">
        <w:t xml:space="preserve"> </w:t>
      </w:r>
      <w:r w:rsidRPr="00D337FA">
        <w:t>29</w:t>
      </w:r>
      <w:r w:rsidR="006C680D" w:rsidRPr="00D337FA">
        <w:t xml:space="preserve"> </w:t>
      </w:r>
      <w:r w:rsidRPr="00D337FA">
        <w:t>апреля</w:t>
      </w:r>
      <w:r w:rsidR="006C680D" w:rsidRPr="00D337FA">
        <w:t xml:space="preserve"> </w:t>
      </w:r>
      <w:r w:rsidRPr="00D337FA">
        <w:t>2016</w:t>
      </w:r>
      <w:r w:rsidR="006C680D" w:rsidRPr="00D337FA">
        <w:t xml:space="preserve"> </w:t>
      </w:r>
      <w:r w:rsidRPr="00D337FA">
        <w:t>года</w:t>
      </w:r>
      <w:r w:rsidR="006C680D" w:rsidRPr="00D337FA">
        <w:t xml:space="preserve"> </w:t>
      </w:r>
      <w:r w:rsidRPr="00D337FA">
        <w:t>№4010-У</w:t>
      </w:r>
      <w:r w:rsidR="006C680D" w:rsidRPr="00D337FA">
        <w:t xml:space="preserve"> </w:t>
      </w:r>
      <w:r w:rsidRPr="00D337FA">
        <w:t>«О</w:t>
      </w:r>
      <w:r w:rsidR="006C680D" w:rsidRPr="00D337FA">
        <w:t xml:space="preserve"> </w:t>
      </w:r>
      <w:r w:rsidRPr="00D337FA">
        <w:t>порядке</w:t>
      </w:r>
      <w:r w:rsidR="006C680D" w:rsidRPr="00D337FA">
        <w:t xml:space="preserve"> </w:t>
      </w:r>
      <w:r w:rsidRPr="00D337FA">
        <w:t>и</w:t>
      </w:r>
      <w:r w:rsidR="006C680D" w:rsidRPr="00D337FA">
        <w:t xml:space="preserve"> </w:t>
      </w:r>
      <w:r w:rsidRPr="00D337FA">
        <w:t>условиях</w:t>
      </w:r>
      <w:r w:rsidR="006C680D" w:rsidRPr="00D337FA">
        <w:t xml:space="preserve"> </w:t>
      </w:r>
      <w:r w:rsidRPr="00D337FA">
        <w:t>проведения</w:t>
      </w:r>
      <w:r w:rsidR="006C680D" w:rsidRPr="00D337FA">
        <w:t xml:space="preserve"> </w:t>
      </w:r>
      <w:r w:rsidRPr="00D337FA">
        <w:t>закрытого</w:t>
      </w:r>
      <w:r w:rsidR="006C680D" w:rsidRPr="00D337FA">
        <w:t xml:space="preserve"> </w:t>
      </w:r>
      <w:r w:rsidRPr="00D337FA">
        <w:t>конкурса</w:t>
      </w:r>
      <w:r w:rsidR="006C680D" w:rsidRPr="00D337FA">
        <w:t xml:space="preserve"> </w:t>
      </w:r>
      <w:r w:rsidRPr="00D337FA">
        <w:t>по</w:t>
      </w:r>
      <w:r w:rsidR="006C680D" w:rsidRPr="00D337FA">
        <w:t xml:space="preserve"> </w:t>
      </w:r>
      <w:r w:rsidRPr="00D337FA">
        <w:t>отбору</w:t>
      </w:r>
      <w:r w:rsidR="006C680D" w:rsidRPr="00D337FA">
        <w:t xml:space="preserve"> </w:t>
      </w:r>
      <w:r w:rsidRPr="00D337FA">
        <w:t>приобретателя</w:t>
      </w:r>
      <w:r w:rsidR="006C680D" w:rsidRPr="00D337FA">
        <w:t xml:space="preserve"> </w:t>
      </w:r>
      <w:r w:rsidRPr="00D337FA">
        <w:t>(приобретателей)</w:t>
      </w:r>
      <w:r w:rsidR="006C680D" w:rsidRPr="00D337FA">
        <w:t xml:space="preserve"> </w:t>
      </w:r>
      <w:r w:rsidRPr="00D337FA">
        <w:t>имущества</w:t>
      </w:r>
      <w:r w:rsidR="006C680D" w:rsidRPr="00D337FA">
        <w:t xml:space="preserve"> </w:t>
      </w:r>
      <w:r w:rsidRPr="00D337FA">
        <w:t>и</w:t>
      </w:r>
      <w:r w:rsidR="006C680D" w:rsidRPr="00D337FA">
        <w:t xml:space="preserve"> </w:t>
      </w:r>
      <w:r w:rsidRPr="00D337FA">
        <w:t>обязательств</w:t>
      </w:r>
      <w:r w:rsidR="006C680D" w:rsidRPr="00D337FA">
        <w:t xml:space="preserve"> </w:t>
      </w:r>
      <w:r w:rsidRPr="00D337FA">
        <w:t>банков»,</w:t>
      </w:r>
      <w:r w:rsidR="006C680D" w:rsidRPr="00D337FA">
        <w:t xml:space="preserve"> </w:t>
      </w:r>
      <w:r w:rsidRPr="00D337FA">
        <w:t>устанавливающее</w:t>
      </w:r>
      <w:r w:rsidR="006C680D" w:rsidRPr="00D337FA">
        <w:t xml:space="preserve"> </w:t>
      </w:r>
      <w:r w:rsidRPr="00D337FA">
        <w:t>в</w:t>
      </w:r>
      <w:r w:rsidR="006C680D" w:rsidRPr="00D337FA">
        <w:t xml:space="preserve"> </w:t>
      </w:r>
      <w:r w:rsidRPr="00D337FA">
        <w:t>качестве</w:t>
      </w:r>
      <w:r w:rsidR="006C680D" w:rsidRPr="00D337FA">
        <w:t xml:space="preserve"> </w:t>
      </w:r>
      <w:r w:rsidRPr="00D337FA">
        <w:t>необходимого</w:t>
      </w:r>
      <w:r w:rsidR="006C680D" w:rsidRPr="00D337FA">
        <w:t xml:space="preserve"> </w:t>
      </w:r>
      <w:r w:rsidRPr="00D337FA">
        <w:t>условия</w:t>
      </w:r>
      <w:r w:rsidR="006C680D" w:rsidRPr="00D337FA">
        <w:t xml:space="preserve"> </w:t>
      </w:r>
      <w:r w:rsidRPr="00D337FA">
        <w:t>для</w:t>
      </w:r>
      <w:r w:rsidR="006C680D" w:rsidRPr="00D337FA">
        <w:t xml:space="preserve"> </w:t>
      </w:r>
      <w:r w:rsidRPr="00D337FA">
        <w:t>получения</w:t>
      </w:r>
      <w:r w:rsidR="006C680D" w:rsidRPr="00D337FA">
        <w:t xml:space="preserve"> </w:t>
      </w:r>
      <w:r w:rsidRPr="00D337FA">
        <w:t>статуса</w:t>
      </w:r>
      <w:r w:rsidR="006C680D" w:rsidRPr="00D337FA">
        <w:t xml:space="preserve"> </w:t>
      </w:r>
      <w:r w:rsidRPr="00D337FA">
        <w:t>банка-санатора</w:t>
      </w:r>
      <w:r w:rsidR="006C680D" w:rsidRPr="00D337FA">
        <w:t xml:space="preserve"> </w:t>
      </w:r>
      <w:r w:rsidRPr="00D337FA">
        <w:t>наличие</w:t>
      </w:r>
      <w:r w:rsidR="006C680D" w:rsidRPr="00D337FA">
        <w:t xml:space="preserve"> </w:t>
      </w:r>
      <w:r w:rsidRPr="00D337FA">
        <w:t>положительного</w:t>
      </w:r>
      <w:r w:rsidR="006C680D" w:rsidRPr="00D337FA">
        <w:t xml:space="preserve"> </w:t>
      </w:r>
      <w:r w:rsidRPr="00D337FA">
        <w:t>суммарного</w:t>
      </w:r>
      <w:r w:rsidR="006C680D" w:rsidRPr="00D337FA">
        <w:t xml:space="preserve"> </w:t>
      </w:r>
      <w:r w:rsidRPr="00D337FA">
        <w:t>финансового</w:t>
      </w:r>
      <w:r w:rsidR="006C680D" w:rsidRPr="00D337FA">
        <w:t xml:space="preserve"> </w:t>
      </w:r>
      <w:r w:rsidRPr="00D337FA">
        <w:t>результата</w:t>
      </w:r>
      <w:r w:rsidR="006C680D" w:rsidRPr="00D337FA">
        <w:t xml:space="preserve"> </w:t>
      </w:r>
      <w:r w:rsidRPr="00D337FA">
        <w:t>и</w:t>
      </w:r>
      <w:r w:rsidR="006C680D" w:rsidRPr="00D337FA">
        <w:t xml:space="preserve"> </w:t>
      </w:r>
      <w:r w:rsidRPr="00D337FA">
        <w:t>запаса</w:t>
      </w:r>
      <w:r w:rsidR="006C680D" w:rsidRPr="00D337FA">
        <w:t xml:space="preserve"> </w:t>
      </w:r>
      <w:r w:rsidRPr="00D337FA">
        <w:t>капитала</w:t>
      </w:r>
      <w:r w:rsidR="006C680D" w:rsidRPr="00D337FA">
        <w:t xml:space="preserve"> </w:t>
      </w:r>
      <w:r w:rsidRPr="00D337FA">
        <w:t>в</w:t>
      </w:r>
      <w:r w:rsidR="006C680D" w:rsidRPr="00D337FA">
        <w:t xml:space="preserve"> </w:t>
      </w:r>
      <w:r w:rsidRPr="00D337FA">
        <w:t>размере</w:t>
      </w:r>
      <w:r w:rsidR="006C680D" w:rsidRPr="00D337FA">
        <w:t xml:space="preserve"> </w:t>
      </w:r>
      <w:r w:rsidRPr="00D337FA">
        <w:t>не</w:t>
      </w:r>
      <w:r w:rsidR="006C680D" w:rsidRPr="00D337FA">
        <w:t xml:space="preserve"> </w:t>
      </w:r>
      <w:r w:rsidRPr="00D337FA">
        <w:t>менее</w:t>
      </w:r>
      <w:r w:rsidR="006C680D" w:rsidRPr="00D337FA">
        <w:t xml:space="preserve"> </w:t>
      </w:r>
      <w:r w:rsidRPr="00D337FA">
        <w:t>10%</w:t>
      </w:r>
      <w:r w:rsidR="006C680D" w:rsidRPr="00D337FA">
        <w:t xml:space="preserve"> </w:t>
      </w:r>
      <w:r w:rsidRPr="00D337FA">
        <w:t>от</w:t>
      </w:r>
      <w:r w:rsidR="006C680D" w:rsidRPr="00D337FA">
        <w:t xml:space="preserve"> </w:t>
      </w:r>
      <w:r w:rsidRPr="00D337FA">
        <w:t>обязательств</w:t>
      </w:r>
      <w:r w:rsidR="006C680D" w:rsidRPr="00D337FA">
        <w:t xml:space="preserve"> </w:t>
      </w:r>
      <w:r w:rsidRPr="00D337FA">
        <w:t>проблемного</w:t>
      </w:r>
      <w:r w:rsidR="006C680D" w:rsidRPr="00D337FA">
        <w:t xml:space="preserve"> </w:t>
      </w:r>
      <w:r w:rsidRPr="00D337FA">
        <w:t>банка,</w:t>
      </w:r>
      <w:r w:rsidR="006C680D" w:rsidRPr="00D337FA">
        <w:t xml:space="preserve"> </w:t>
      </w:r>
      <w:r w:rsidRPr="00D337FA">
        <w:t>вступило</w:t>
      </w:r>
      <w:r w:rsidR="006C680D" w:rsidRPr="00D337FA">
        <w:t xml:space="preserve"> </w:t>
      </w:r>
      <w:r w:rsidRPr="00D337FA">
        <w:t>в</w:t>
      </w:r>
      <w:r w:rsidR="006C680D" w:rsidRPr="00D337FA">
        <w:t xml:space="preserve"> </w:t>
      </w:r>
      <w:r w:rsidRPr="00D337FA">
        <w:t>силу</w:t>
      </w:r>
      <w:r w:rsidR="006C680D" w:rsidRPr="00D337FA">
        <w:t xml:space="preserve"> </w:t>
      </w:r>
      <w:r w:rsidRPr="00D337FA">
        <w:t>только</w:t>
      </w:r>
      <w:r w:rsidR="006C680D" w:rsidRPr="00D337FA">
        <w:t xml:space="preserve"> </w:t>
      </w:r>
      <w:r w:rsidRPr="00D337FA">
        <w:t>по</w:t>
      </w:r>
      <w:r w:rsidR="006C680D" w:rsidRPr="00D337FA">
        <w:t xml:space="preserve"> </w:t>
      </w:r>
      <w:r w:rsidRPr="00D337FA">
        <w:t>истечению</w:t>
      </w:r>
      <w:r w:rsidR="006C680D" w:rsidRPr="00D337FA">
        <w:t xml:space="preserve"> </w:t>
      </w:r>
      <w:r w:rsidRPr="00D337FA">
        <w:t>8</w:t>
      </w:r>
      <w:r w:rsidR="006C680D" w:rsidRPr="00D337FA">
        <w:t xml:space="preserve"> </w:t>
      </w:r>
      <w:r w:rsidRPr="00D337FA">
        <w:t>лет</w:t>
      </w:r>
      <w:r w:rsidR="006C680D" w:rsidRPr="00D337FA">
        <w:t xml:space="preserve"> </w:t>
      </w:r>
      <w:r w:rsidRPr="00D337FA">
        <w:t>после</w:t>
      </w:r>
      <w:r w:rsidR="006C680D" w:rsidRPr="00D337FA">
        <w:t xml:space="preserve"> </w:t>
      </w:r>
      <w:r w:rsidRPr="00D337FA">
        <w:t>начала</w:t>
      </w:r>
      <w:r w:rsidR="006C680D" w:rsidRPr="00D337FA">
        <w:t xml:space="preserve"> </w:t>
      </w:r>
      <w:r w:rsidRPr="00D337FA">
        <w:t>масштабной</w:t>
      </w:r>
      <w:r w:rsidR="006C680D" w:rsidRPr="00D337FA">
        <w:t xml:space="preserve"> </w:t>
      </w:r>
      <w:r w:rsidRPr="00D337FA">
        <w:t>практики</w:t>
      </w:r>
      <w:r w:rsidR="006C680D" w:rsidRPr="00D337FA">
        <w:t xml:space="preserve"> </w:t>
      </w:r>
      <w:r w:rsidRPr="00D337FA">
        <w:t>санации.</w:t>
      </w:r>
      <w:r w:rsidR="006C680D" w:rsidRPr="00D337FA">
        <w:t xml:space="preserve"> </w:t>
      </w:r>
      <w:r w:rsidRPr="00D337FA">
        <w:t>В</w:t>
      </w:r>
      <w:r w:rsidR="006C680D" w:rsidRPr="00D337FA">
        <w:t xml:space="preserve"> </w:t>
      </w:r>
      <w:r w:rsidRPr="00D337FA">
        <w:t>результате,</w:t>
      </w:r>
      <w:r w:rsidR="006C680D" w:rsidRPr="00D337FA">
        <w:t xml:space="preserve"> </w:t>
      </w:r>
      <w:r w:rsidRPr="00D337FA">
        <w:t>нередки</w:t>
      </w:r>
      <w:r w:rsidR="006C680D" w:rsidRPr="00D337FA">
        <w:t xml:space="preserve"> </w:t>
      </w:r>
      <w:r w:rsidRPr="00D337FA">
        <w:t>были</w:t>
      </w:r>
      <w:r w:rsidR="006C680D" w:rsidRPr="00D337FA">
        <w:t xml:space="preserve"> </w:t>
      </w:r>
      <w:r w:rsidRPr="00D337FA">
        <w:t>случаи,</w:t>
      </w:r>
      <w:r w:rsidR="006C680D" w:rsidRPr="00D337FA">
        <w:t xml:space="preserve"> </w:t>
      </w:r>
      <w:r w:rsidRPr="00D337FA">
        <w:t>когда</w:t>
      </w:r>
      <w:r w:rsidR="006C680D" w:rsidRPr="00D337FA">
        <w:t xml:space="preserve"> </w:t>
      </w:r>
      <w:r w:rsidRPr="00D337FA">
        <w:t>банк-санатор</w:t>
      </w:r>
      <w:r w:rsidR="006C680D" w:rsidRPr="00D337FA">
        <w:t xml:space="preserve"> </w:t>
      </w:r>
      <w:r w:rsidRPr="00D337FA">
        <w:t>участвовал</w:t>
      </w:r>
      <w:r w:rsidR="006C680D" w:rsidRPr="00D337FA">
        <w:t xml:space="preserve"> </w:t>
      </w:r>
      <w:r w:rsidRPr="00D337FA">
        <w:t>в</w:t>
      </w:r>
      <w:r w:rsidR="006C680D" w:rsidRPr="00D337FA">
        <w:t xml:space="preserve"> </w:t>
      </w:r>
      <w:r w:rsidRPr="00D337FA">
        <w:t>финансовом</w:t>
      </w:r>
      <w:r w:rsidR="006C680D" w:rsidRPr="00D337FA">
        <w:t xml:space="preserve"> </w:t>
      </w:r>
      <w:r w:rsidRPr="00D337FA">
        <w:t>оздоровлении</w:t>
      </w:r>
      <w:r w:rsidR="006C680D" w:rsidRPr="00D337FA">
        <w:t xml:space="preserve"> </w:t>
      </w:r>
      <w:r w:rsidRPr="00D337FA">
        <w:t>нескольких</w:t>
      </w:r>
      <w:r w:rsidR="006C680D" w:rsidRPr="00D337FA">
        <w:t xml:space="preserve"> </w:t>
      </w:r>
      <w:r w:rsidRPr="00D337FA">
        <w:t>проблемных</w:t>
      </w:r>
      <w:r w:rsidR="006C680D" w:rsidRPr="00D337FA">
        <w:t xml:space="preserve"> </w:t>
      </w:r>
      <w:r w:rsidRPr="00D337FA">
        <w:t>банков</w:t>
      </w:r>
      <w:r w:rsidR="006C680D" w:rsidRPr="00D337FA">
        <w:t xml:space="preserve"> </w:t>
      </w:r>
      <w:r w:rsidRPr="00D337FA">
        <w:t>(такие</w:t>
      </w:r>
      <w:r w:rsidR="006C680D" w:rsidRPr="00D337FA">
        <w:t xml:space="preserve"> </w:t>
      </w:r>
      <w:r w:rsidRPr="00D337FA">
        <w:t>банки</w:t>
      </w:r>
      <w:r w:rsidR="006C680D" w:rsidRPr="00D337FA">
        <w:t xml:space="preserve"> </w:t>
      </w:r>
      <w:r w:rsidRPr="00D337FA">
        <w:t>получили</w:t>
      </w:r>
      <w:r w:rsidR="006C680D" w:rsidRPr="00D337FA">
        <w:t xml:space="preserve"> </w:t>
      </w:r>
      <w:r w:rsidRPr="00D337FA">
        <w:t>название</w:t>
      </w:r>
      <w:r w:rsidR="006C680D" w:rsidRPr="00D337FA">
        <w:t xml:space="preserve"> </w:t>
      </w:r>
      <w:r w:rsidRPr="00D337FA">
        <w:t>«мегасанаторы»)</w:t>
      </w:r>
      <w:r w:rsidR="006C680D" w:rsidRPr="00D337FA">
        <w:t xml:space="preserve"> </w:t>
      </w:r>
      <w:r w:rsidRPr="00D337FA">
        <w:t>и</w:t>
      </w:r>
      <w:r w:rsidR="006C680D" w:rsidRPr="00D337FA">
        <w:t xml:space="preserve"> </w:t>
      </w:r>
      <w:r w:rsidRPr="00D337FA">
        <w:t>сам</w:t>
      </w:r>
      <w:r w:rsidR="006C680D" w:rsidRPr="00D337FA">
        <w:t xml:space="preserve"> </w:t>
      </w:r>
      <w:r w:rsidRPr="00D337FA">
        <w:t>через</w:t>
      </w:r>
      <w:r w:rsidR="006C680D" w:rsidRPr="00D337FA">
        <w:t xml:space="preserve"> </w:t>
      </w:r>
      <w:r w:rsidRPr="00D337FA">
        <w:t>определенный</w:t>
      </w:r>
      <w:r w:rsidR="006C680D" w:rsidRPr="00D337FA">
        <w:t xml:space="preserve"> </w:t>
      </w:r>
      <w:r w:rsidRPr="00D337FA">
        <w:t>период</w:t>
      </w:r>
      <w:r w:rsidR="006C680D" w:rsidRPr="00D337FA">
        <w:t xml:space="preserve"> </w:t>
      </w:r>
      <w:r w:rsidRPr="00D337FA">
        <w:t>времени</w:t>
      </w:r>
      <w:r w:rsidR="006C680D" w:rsidRPr="00D337FA">
        <w:t xml:space="preserve"> </w:t>
      </w:r>
      <w:r w:rsidRPr="00D337FA">
        <w:t>становился</w:t>
      </w:r>
      <w:r w:rsidR="006C680D" w:rsidRPr="00D337FA">
        <w:t xml:space="preserve"> </w:t>
      </w:r>
      <w:r w:rsidRPr="00D337FA">
        <w:t>проблемным,</w:t>
      </w:r>
      <w:r w:rsidR="006C680D" w:rsidRPr="00D337FA">
        <w:t xml:space="preserve"> </w:t>
      </w:r>
      <w:r w:rsidRPr="00D337FA">
        <w:t>и</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него</w:t>
      </w:r>
      <w:r w:rsidR="006C680D" w:rsidRPr="00D337FA">
        <w:t xml:space="preserve"> </w:t>
      </w:r>
      <w:r w:rsidRPr="00D337FA">
        <w:t>начинались</w:t>
      </w:r>
      <w:r w:rsidR="006C680D" w:rsidRPr="00D337FA">
        <w:t xml:space="preserve"> </w:t>
      </w:r>
      <w:r w:rsidRPr="00D337FA">
        <w:t>процедуры</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(БИНБАНК,</w:t>
      </w:r>
      <w:r w:rsidR="006C680D" w:rsidRPr="00D337FA">
        <w:t xml:space="preserve"> </w:t>
      </w:r>
      <w:r w:rsidRPr="00D337FA">
        <w:t>банк</w:t>
      </w:r>
      <w:r w:rsidR="006C680D" w:rsidRPr="00D337FA">
        <w:t xml:space="preserve"> </w:t>
      </w:r>
      <w:r w:rsidRPr="00D337FA">
        <w:t>«Российский</w:t>
      </w:r>
      <w:r w:rsidR="006C680D" w:rsidRPr="00D337FA">
        <w:t xml:space="preserve"> </w:t>
      </w:r>
      <w:r w:rsidRPr="00D337FA">
        <w:t>капитал»).</w:t>
      </w:r>
      <w:r w:rsidR="006C680D" w:rsidRPr="00D337FA">
        <w:t xml:space="preserve">   </w:t>
      </w:r>
    </w:p>
    <w:p w:rsidR="004A1229" w:rsidRPr="00D337FA" w:rsidRDefault="004A1229" w:rsidP="004A1229">
      <w:pPr>
        <w:ind w:firstLine="284"/>
      </w:pPr>
      <w:r w:rsidRPr="00D337FA">
        <w:t>4)</w:t>
      </w:r>
      <w:r w:rsidR="006C680D" w:rsidRPr="00D337FA">
        <w:t xml:space="preserve"> </w:t>
      </w:r>
      <w:r w:rsidRPr="00D337FA">
        <w:t>эффективность</w:t>
      </w:r>
      <w:r w:rsidR="006C680D" w:rsidRPr="00D337FA">
        <w:t xml:space="preserve"> </w:t>
      </w:r>
      <w:r w:rsidRPr="00D337FA">
        <w:t>деятельности</w:t>
      </w:r>
      <w:r w:rsidR="006C680D" w:rsidRPr="00D337FA">
        <w:t xml:space="preserve"> </w:t>
      </w:r>
      <w:r w:rsidRPr="00D337FA">
        <w:t>АСВ</w:t>
      </w:r>
      <w:r w:rsidR="006C680D" w:rsidRPr="00D337FA">
        <w:t xml:space="preserve"> </w:t>
      </w:r>
      <w:r w:rsidRPr="00D337FA">
        <w:t>по</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стала</w:t>
      </w:r>
      <w:r w:rsidR="006C680D" w:rsidRPr="00D337FA">
        <w:t xml:space="preserve"> </w:t>
      </w:r>
      <w:r w:rsidRPr="00D337FA">
        <w:t>предметом</w:t>
      </w:r>
      <w:r w:rsidR="006C680D" w:rsidRPr="00D337FA">
        <w:t xml:space="preserve"> </w:t>
      </w:r>
      <w:r w:rsidRPr="00D337FA">
        <w:t>оценки</w:t>
      </w:r>
      <w:r w:rsidR="006C680D" w:rsidRPr="00D337FA">
        <w:t xml:space="preserve"> </w:t>
      </w:r>
      <w:r w:rsidRPr="00D337FA">
        <w:t>только</w:t>
      </w:r>
      <w:r w:rsidR="006C680D" w:rsidRPr="00D337FA">
        <w:t xml:space="preserve"> </w:t>
      </w:r>
      <w:r w:rsidRPr="00D337FA">
        <w:t>в</w:t>
      </w:r>
      <w:r w:rsidR="006C680D" w:rsidRPr="00D337FA">
        <w:t xml:space="preserve"> </w:t>
      </w:r>
      <w:r w:rsidRPr="00D337FA">
        <w:t>2024</w:t>
      </w:r>
      <w:r w:rsidR="006C680D" w:rsidRPr="00D337FA">
        <w:t xml:space="preserve"> </w:t>
      </w:r>
      <w:r w:rsidRPr="00D337FA">
        <w:t>году,</w:t>
      </w:r>
      <w:r w:rsidR="006C680D" w:rsidRPr="00D337FA">
        <w:t xml:space="preserve"> </w:t>
      </w:r>
      <w:r w:rsidRPr="00D337FA">
        <w:t>когда</w:t>
      </w:r>
      <w:r w:rsidR="006C680D" w:rsidRPr="00D337FA">
        <w:t xml:space="preserve"> </w:t>
      </w:r>
      <w:r w:rsidRPr="00D337FA">
        <w:t>в</w:t>
      </w:r>
      <w:r w:rsidR="006C680D" w:rsidRPr="00D337FA">
        <w:t xml:space="preserve"> </w:t>
      </w:r>
      <w:r w:rsidRPr="00D337FA">
        <w:t>состав</w:t>
      </w:r>
      <w:r w:rsidR="006C680D" w:rsidRPr="00D337FA">
        <w:t xml:space="preserve"> </w:t>
      </w:r>
      <w:r w:rsidRPr="00D337FA">
        <w:t>ключевых</w:t>
      </w:r>
      <w:r w:rsidR="006C680D" w:rsidRPr="00D337FA">
        <w:t xml:space="preserve"> </w:t>
      </w:r>
      <w:r w:rsidRPr="00D337FA">
        <w:t>показателей</w:t>
      </w:r>
      <w:r w:rsidR="006C680D" w:rsidRPr="00D337FA">
        <w:t xml:space="preserve"> </w:t>
      </w:r>
      <w:r w:rsidRPr="00D337FA">
        <w:t>эффективности</w:t>
      </w:r>
      <w:r w:rsidR="006C680D" w:rsidRPr="00D337FA">
        <w:t xml:space="preserve"> </w:t>
      </w:r>
      <w:r w:rsidRPr="00D337FA">
        <w:t>деятельности</w:t>
      </w:r>
      <w:r w:rsidR="006C680D" w:rsidRPr="00D337FA">
        <w:t xml:space="preserve"> </w:t>
      </w:r>
      <w:r w:rsidRPr="00D337FA">
        <w:t>Агентства</w:t>
      </w:r>
      <w:r w:rsidR="006C680D" w:rsidRPr="00D337FA">
        <w:t xml:space="preserve"> </w:t>
      </w:r>
      <w:r w:rsidRPr="00D337FA">
        <w:t>был</w:t>
      </w:r>
      <w:r w:rsidR="006C680D" w:rsidRPr="00D337FA">
        <w:t xml:space="preserve"> </w:t>
      </w:r>
      <w:r w:rsidRPr="00D337FA">
        <w:t>включен</w:t>
      </w:r>
      <w:r w:rsidR="006C680D" w:rsidRPr="00D337FA">
        <w:t xml:space="preserve"> </w:t>
      </w:r>
      <w:r w:rsidRPr="00D337FA">
        <w:t>показатель</w:t>
      </w:r>
      <w:r w:rsidR="006C680D" w:rsidRPr="00D337FA">
        <w:t xml:space="preserve"> </w:t>
      </w:r>
      <w:r w:rsidRPr="00D337FA">
        <w:t>«Контроль</w:t>
      </w:r>
      <w:r w:rsidR="006C680D" w:rsidRPr="00D337FA">
        <w:t xml:space="preserve"> </w:t>
      </w:r>
      <w:r w:rsidRPr="00D337FA">
        <w:t>за</w:t>
      </w:r>
      <w:r w:rsidR="006C680D" w:rsidRPr="00D337FA">
        <w:t xml:space="preserve"> </w:t>
      </w:r>
      <w:r w:rsidRPr="00D337FA">
        <w:t>исполнением</w:t>
      </w:r>
      <w:r w:rsidR="006C680D" w:rsidRPr="00D337FA">
        <w:t xml:space="preserve"> </w:t>
      </w:r>
      <w:r w:rsidRPr="00D337FA">
        <w:t>банками,</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которых</w:t>
      </w:r>
      <w:r w:rsidR="006C680D" w:rsidRPr="00D337FA">
        <w:t xml:space="preserve"> </w:t>
      </w:r>
      <w:r w:rsidRPr="00D337FA">
        <w:t>Агентство</w:t>
      </w:r>
      <w:r w:rsidR="006C680D" w:rsidRPr="00D337FA">
        <w:t xml:space="preserve"> </w:t>
      </w:r>
      <w:r w:rsidRPr="00D337FA">
        <w:t>участвует</w:t>
      </w:r>
      <w:r w:rsidR="006C680D" w:rsidRPr="00D337FA">
        <w:t xml:space="preserve"> </w:t>
      </w:r>
      <w:r w:rsidRPr="00D337FA">
        <w:t>в</w:t>
      </w:r>
      <w:r w:rsidR="006C680D" w:rsidRPr="00D337FA">
        <w:t xml:space="preserve"> </w:t>
      </w:r>
      <w:r w:rsidRPr="00D337FA">
        <w:t>осуществлении</w:t>
      </w:r>
      <w:r w:rsidR="006C680D" w:rsidRPr="00D337FA">
        <w:t xml:space="preserve"> </w:t>
      </w:r>
      <w:r w:rsidRPr="00D337FA">
        <w:t>мер</w:t>
      </w:r>
      <w:r w:rsidR="006C680D" w:rsidRPr="00D337FA">
        <w:t xml:space="preserve"> </w:t>
      </w:r>
      <w:r w:rsidRPr="00D337FA">
        <w:t>по</w:t>
      </w:r>
      <w:r w:rsidR="006C680D" w:rsidRPr="00D337FA">
        <w:t xml:space="preserve"> </w:t>
      </w:r>
      <w:r w:rsidRPr="00D337FA">
        <w:t>предупреждению</w:t>
      </w:r>
      <w:r w:rsidR="006C680D" w:rsidRPr="00D337FA">
        <w:t xml:space="preserve"> </w:t>
      </w:r>
      <w:r w:rsidRPr="00D337FA">
        <w:lastRenderedPageBreak/>
        <w:t>банкротства,</w:t>
      </w:r>
      <w:r w:rsidR="006C680D" w:rsidRPr="00D337FA">
        <w:t xml:space="preserve"> </w:t>
      </w:r>
      <w:r w:rsidRPr="00D337FA">
        <w:t>планов</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являющихся</w:t>
      </w:r>
      <w:r w:rsidR="006C680D" w:rsidRPr="00D337FA">
        <w:t xml:space="preserve"> </w:t>
      </w:r>
      <w:r w:rsidRPr="00D337FA">
        <w:t>неотъемлемой</w:t>
      </w:r>
      <w:r w:rsidR="006C680D" w:rsidRPr="00D337FA">
        <w:t xml:space="preserve"> </w:t>
      </w:r>
      <w:r w:rsidRPr="00D337FA">
        <w:t>частью</w:t>
      </w:r>
      <w:r w:rsidR="006C680D" w:rsidRPr="00D337FA">
        <w:t xml:space="preserve"> </w:t>
      </w:r>
      <w:r w:rsidRPr="00D337FA">
        <w:t>планов</w:t>
      </w:r>
      <w:r w:rsidR="006C680D" w:rsidRPr="00D337FA">
        <w:t xml:space="preserve"> </w:t>
      </w:r>
      <w:r w:rsidRPr="00D337FA">
        <w:t>участия</w:t>
      </w:r>
      <w:r w:rsidR="006C680D" w:rsidRPr="00D337FA">
        <w:t xml:space="preserve"> </w:t>
      </w:r>
      <w:r w:rsidRPr="00D337FA">
        <w:t>Агентства</w:t>
      </w:r>
      <w:r w:rsidR="006C680D" w:rsidRPr="00D337FA">
        <w:t xml:space="preserve"> </w:t>
      </w:r>
      <w:r w:rsidRPr="00D337FA">
        <w:t>в</w:t>
      </w:r>
      <w:r w:rsidR="006C680D" w:rsidRPr="00D337FA">
        <w:t xml:space="preserve"> </w:t>
      </w:r>
      <w:r w:rsidRPr="00D337FA">
        <w:t>осуществлении</w:t>
      </w:r>
      <w:r w:rsidR="006C680D" w:rsidRPr="00D337FA">
        <w:t xml:space="preserve"> </w:t>
      </w:r>
      <w:r w:rsidRPr="00D337FA">
        <w:t>мер</w:t>
      </w:r>
      <w:r w:rsidR="006C680D" w:rsidRPr="00D337FA">
        <w:t xml:space="preserve"> </w:t>
      </w:r>
      <w:r w:rsidRPr="00D337FA">
        <w:t>по</w:t>
      </w:r>
      <w:r w:rsidR="006C680D" w:rsidRPr="00D337FA">
        <w:t xml:space="preserve"> </w:t>
      </w:r>
      <w:r w:rsidRPr="00D337FA">
        <w:t>предупреждению</w:t>
      </w:r>
      <w:r w:rsidR="006C680D" w:rsidRPr="00D337FA">
        <w:t xml:space="preserve"> </w:t>
      </w:r>
      <w:r w:rsidRPr="00D337FA">
        <w:t>банкротства</w:t>
      </w:r>
      <w:r w:rsidR="006C680D" w:rsidRPr="00D337FA">
        <w:t xml:space="preserve"> </w:t>
      </w:r>
      <w:r w:rsidRPr="00D337FA">
        <w:t>банков»,</w:t>
      </w:r>
      <w:r w:rsidR="006C680D" w:rsidRPr="00D337FA">
        <w:t xml:space="preserve"> </w:t>
      </w:r>
      <w:r w:rsidRPr="00D337FA">
        <w:t>целевое</w:t>
      </w:r>
      <w:r w:rsidR="006C680D" w:rsidRPr="00D337FA">
        <w:t xml:space="preserve"> </w:t>
      </w:r>
      <w:r w:rsidRPr="00D337FA">
        <w:t>значение</w:t>
      </w:r>
      <w:r w:rsidR="006C680D" w:rsidRPr="00D337FA">
        <w:t xml:space="preserve"> </w:t>
      </w:r>
      <w:r w:rsidRPr="00D337FA">
        <w:t>которого</w:t>
      </w:r>
      <w:r w:rsidR="006C680D" w:rsidRPr="00D337FA">
        <w:t xml:space="preserve"> </w:t>
      </w:r>
      <w:r w:rsidRPr="00D337FA">
        <w:t>установлено</w:t>
      </w:r>
      <w:r w:rsidR="006C680D" w:rsidRPr="00D337FA">
        <w:t xml:space="preserve"> </w:t>
      </w:r>
      <w:r w:rsidRPr="00D337FA">
        <w:t>на</w:t>
      </w:r>
      <w:r w:rsidR="006C680D" w:rsidRPr="00D337FA">
        <w:t xml:space="preserve"> </w:t>
      </w:r>
      <w:r w:rsidRPr="00D337FA">
        <w:t>уровне</w:t>
      </w:r>
      <w:r w:rsidR="006C680D" w:rsidRPr="00D337FA">
        <w:t xml:space="preserve"> </w:t>
      </w:r>
      <w:r w:rsidRPr="00D337FA">
        <w:t>100%.</w:t>
      </w:r>
      <w:r w:rsidR="006C680D" w:rsidRPr="00D337FA">
        <w:t xml:space="preserve"> </w:t>
      </w:r>
      <w:r w:rsidRPr="00D337FA">
        <w:t>Он</w:t>
      </w:r>
      <w:r w:rsidR="006C680D" w:rsidRPr="00D337FA">
        <w:t xml:space="preserve"> </w:t>
      </w:r>
      <w:r w:rsidRPr="00D337FA">
        <w:t>определяется</w:t>
      </w:r>
      <w:r w:rsidR="006C680D" w:rsidRPr="00D337FA">
        <w:t xml:space="preserve"> </w:t>
      </w:r>
      <w:r w:rsidRPr="00D337FA">
        <w:t>как</w:t>
      </w:r>
      <w:r w:rsidR="006C680D" w:rsidRPr="00D337FA">
        <w:t xml:space="preserve"> </w:t>
      </w:r>
      <w:r w:rsidRPr="00D337FA">
        <w:t>доля</w:t>
      </w:r>
      <w:r w:rsidR="006C680D" w:rsidRPr="00D337FA">
        <w:t xml:space="preserve"> </w:t>
      </w:r>
      <w:r w:rsidRPr="00D337FA">
        <w:t>реагирования</w:t>
      </w:r>
      <w:r w:rsidR="006C680D" w:rsidRPr="00D337FA">
        <w:t xml:space="preserve"> </w:t>
      </w:r>
      <w:r w:rsidRPr="00D337FA">
        <w:t>Агентства</w:t>
      </w:r>
      <w:r w:rsidR="006C680D" w:rsidRPr="00D337FA">
        <w:t xml:space="preserve"> </w:t>
      </w:r>
      <w:r w:rsidRPr="00D337FA">
        <w:t>на</w:t>
      </w:r>
      <w:r w:rsidR="006C680D" w:rsidRPr="00D337FA">
        <w:t xml:space="preserve"> </w:t>
      </w:r>
      <w:r w:rsidRPr="00D337FA">
        <w:t>выявленные</w:t>
      </w:r>
      <w:r w:rsidR="006C680D" w:rsidRPr="00D337FA">
        <w:t xml:space="preserve"> </w:t>
      </w:r>
      <w:r w:rsidRPr="00D337FA">
        <w:t>отклонения</w:t>
      </w:r>
      <w:r w:rsidR="006C680D" w:rsidRPr="00D337FA">
        <w:t xml:space="preserve"> </w:t>
      </w:r>
      <w:r w:rsidRPr="00D337FA">
        <w:t>отрицательного</w:t>
      </w:r>
      <w:r w:rsidR="006C680D" w:rsidRPr="00D337FA">
        <w:t xml:space="preserve"> </w:t>
      </w:r>
      <w:r w:rsidRPr="00D337FA">
        <w:t>характера</w:t>
      </w:r>
      <w:r w:rsidR="006C680D" w:rsidRPr="00D337FA">
        <w:t xml:space="preserve"> </w:t>
      </w:r>
      <w:r w:rsidRPr="00D337FA">
        <w:t>контрольных</w:t>
      </w:r>
      <w:r w:rsidR="006C680D" w:rsidRPr="00D337FA">
        <w:t xml:space="preserve"> </w:t>
      </w:r>
      <w:r w:rsidRPr="00D337FA">
        <w:t>показателей</w:t>
      </w:r>
      <w:r w:rsidR="006C680D" w:rsidRPr="00D337FA">
        <w:t xml:space="preserve"> </w:t>
      </w:r>
      <w:r w:rsidRPr="00D337FA">
        <w:t>деятельности</w:t>
      </w:r>
      <w:r w:rsidR="006C680D" w:rsidRPr="00D337FA">
        <w:t xml:space="preserve"> </w:t>
      </w:r>
      <w:r w:rsidRPr="00D337FA">
        <w:t>санируемого</w:t>
      </w:r>
      <w:r w:rsidR="006C680D" w:rsidRPr="00D337FA">
        <w:t xml:space="preserve"> </w:t>
      </w:r>
      <w:r w:rsidRPr="00D337FA">
        <w:t>банка</w:t>
      </w:r>
      <w:r w:rsidR="006C680D" w:rsidRPr="00D337FA">
        <w:t xml:space="preserve"> </w:t>
      </w:r>
      <w:r w:rsidRPr="00D337FA">
        <w:t>и</w:t>
      </w:r>
      <w:r w:rsidR="006C680D" w:rsidRPr="00D337FA">
        <w:t xml:space="preserve"> </w:t>
      </w:r>
      <w:r w:rsidRPr="00D337FA">
        <w:t>убыточные</w:t>
      </w:r>
      <w:r w:rsidR="006C680D" w:rsidRPr="00D337FA">
        <w:t xml:space="preserve"> </w:t>
      </w:r>
      <w:r w:rsidRPr="00D337FA">
        <w:t>для</w:t>
      </w:r>
      <w:r w:rsidR="006C680D" w:rsidRPr="00D337FA">
        <w:t xml:space="preserve"> </w:t>
      </w:r>
      <w:r w:rsidRPr="00D337FA">
        <w:t>банка</w:t>
      </w:r>
      <w:r w:rsidR="006C680D" w:rsidRPr="00D337FA">
        <w:t xml:space="preserve"> </w:t>
      </w:r>
      <w:r w:rsidRPr="00D337FA">
        <w:t>сделки</w:t>
      </w:r>
      <w:r w:rsidR="006C680D" w:rsidRPr="00D337FA">
        <w:t xml:space="preserve"> </w:t>
      </w:r>
      <w:r w:rsidRPr="00D337FA">
        <w:t>с</w:t>
      </w:r>
      <w:r w:rsidR="006C680D" w:rsidRPr="00D337FA">
        <w:t xml:space="preserve"> </w:t>
      </w:r>
      <w:r w:rsidRPr="00D337FA">
        <w:t>инвестором</w:t>
      </w:r>
      <w:r w:rsidR="006C680D" w:rsidRPr="00D337FA">
        <w:t xml:space="preserve"> </w:t>
      </w:r>
      <w:r w:rsidRPr="00D337FA">
        <w:t>или</w:t>
      </w:r>
      <w:r w:rsidR="006C680D" w:rsidRPr="00D337FA">
        <w:t xml:space="preserve"> </w:t>
      </w:r>
      <w:r w:rsidRPr="00D337FA">
        <w:t>связанными</w:t>
      </w:r>
      <w:r w:rsidR="006C680D" w:rsidRPr="00D337FA">
        <w:t xml:space="preserve"> </w:t>
      </w:r>
      <w:r w:rsidRPr="00D337FA">
        <w:t>с</w:t>
      </w:r>
      <w:r w:rsidR="006C680D" w:rsidRPr="00D337FA">
        <w:t xml:space="preserve"> </w:t>
      </w:r>
      <w:r w:rsidRPr="00D337FA">
        <w:t>ним</w:t>
      </w:r>
      <w:r w:rsidR="006C680D" w:rsidRPr="00D337FA">
        <w:t xml:space="preserve"> </w:t>
      </w:r>
      <w:r w:rsidRPr="00D337FA">
        <w:t>лицами</w:t>
      </w:r>
      <w:r w:rsidR="006C680D" w:rsidRPr="00D337FA">
        <w:t xml:space="preserve"> </w:t>
      </w:r>
      <w:r w:rsidRPr="00D337FA">
        <w:t>[16].</w:t>
      </w:r>
      <w:r w:rsidR="006C680D" w:rsidRPr="00D337FA">
        <w:t xml:space="preserve"> </w:t>
      </w:r>
      <w:r w:rsidRPr="00D337FA">
        <w:t>Реагирование</w:t>
      </w:r>
      <w:r w:rsidR="006C680D" w:rsidRPr="00D337FA">
        <w:t xml:space="preserve"> </w:t>
      </w:r>
      <w:r w:rsidRPr="00D337FA">
        <w:t>на</w:t>
      </w:r>
      <w:r w:rsidR="006C680D" w:rsidRPr="00D337FA">
        <w:t xml:space="preserve"> </w:t>
      </w:r>
      <w:r w:rsidRPr="00D337FA">
        <w:t>негативные</w:t>
      </w:r>
      <w:r w:rsidR="006C680D" w:rsidRPr="00D337FA">
        <w:t xml:space="preserve"> </w:t>
      </w:r>
      <w:r w:rsidRPr="00D337FA">
        <w:t>тенденции</w:t>
      </w:r>
      <w:r w:rsidR="006C680D" w:rsidRPr="00D337FA">
        <w:t xml:space="preserve"> </w:t>
      </w:r>
      <w:r w:rsidRPr="00D337FA">
        <w:t>со</w:t>
      </w:r>
      <w:r w:rsidR="006C680D" w:rsidRPr="00D337FA">
        <w:t xml:space="preserve"> </w:t>
      </w:r>
      <w:r w:rsidRPr="00D337FA">
        <w:t>стороны</w:t>
      </w:r>
      <w:r w:rsidR="006C680D" w:rsidRPr="00D337FA">
        <w:t xml:space="preserve"> </w:t>
      </w:r>
      <w:r w:rsidRPr="00D337FA">
        <w:t>Агентства</w:t>
      </w:r>
      <w:r w:rsidR="006C680D" w:rsidRPr="00D337FA">
        <w:t xml:space="preserve"> </w:t>
      </w:r>
      <w:r w:rsidRPr="00D337FA">
        <w:t>заключается</w:t>
      </w:r>
      <w:r w:rsidR="006C680D" w:rsidRPr="00D337FA">
        <w:t xml:space="preserve"> </w:t>
      </w:r>
      <w:r w:rsidRPr="00D337FA">
        <w:t>в</w:t>
      </w:r>
      <w:r w:rsidR="006C680D" w:rsidRPr="00D337FA">
        <w:t xml:space="preserve"> </w:t>
      </w:r>
      <w:r w:rsidRPr="00D337FA">
        <w:t>корректировке</w:t>
      </w:r>
      <w:r w:rsidR="006C680D" w:rsidRPr="00D337FA">
        <w:t xml:space="preserve"> </w:t>
      </w:r>
      <w:r w:rsidRPr="00D337FA">
        <w:t>плана</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увеличении</w:t>
      </w:r>
      <w:r w:rsidR="006C680D" w:rsidRPr="00D337FA">
        <w:t xml:space="preserve"> </w:t>
      </w:r>
      <w:r w:rsidRPr="00D337FA">
        <w:t>срока</w:t>
      </w:r>
      <w:r w:rsidR="006C680D" w:rsidRPr="00D337FA">
        <w:t xml:space="preserve"> </w:t>
      </w:r>
      <w:r w:rsidRPr="00D337FA">
        <w:t>санации,</w:t>
      </w:r>
      <w:r w:rsidR="006C680D" w:rsidRPr="00D337FA">
        <w:t xml:space="preserve"> </w:t>
      </w:r>
      <w:r w:rsidRPr="00D337FA">
        <w:t>замене</w:t>
      </w:r>
      <w:r w:rsidR="006C680D" w:rsidRPr="00D337FA">
        <w:t xml:space="preserve"> </w:t>
      </w:r>
      <w:r w:rsidRPr="00D337FA">
        <w:t>первоначального</w:t>
      </w:r>
      <w:r w:rsidR="006C680D" w:rsidRPr="00D337FA">
        <w:t xml:space="preserve"> </w:t>
      </w:r>
      <w:r w:rsidRPr="00D337FA">
        <w:t>(неэффективного)</w:t>
      </w:r>
      <w:r w:rsidR="006C680D" w:rsidRPr="00D337FA">
        <w:t xml:space="preserve"> </w:t>
      </w:r>
      <w:r w:rsidRPr="00D337FA">
        <w:t>инвестора</w:t>
      </w:r>
      <w:r w:rsidR="006C680D" w:rsidRPr="00D337FA">
        <w:t xml:space="preserve"> </w:t>
      </w:r>
      <w:r w:rsidRPr="00D337FA">
        <w:t>и</w:t>
      </w:r>
      <w:r w:rsidR="006C680D" w:rsidRPr="00D337FA">
        <w:t xml:space="preserve"> </w:t>
      </w:r>
      <w:r w:rsidRPr="00D337FA">
        <w:t>передаче</w:t>
      </w:r>
      <w:r w:rsidR="006C680D" w:rsidRPr="00D337FA">
        <w:t xml:space="preserve"> </w:t>
      </w:r>
      <w:r w:rsidRPr="00D337FA">
        <w:t>банка</w:t>
      </w:r>
      <w:r w:rsidR="006C680D" w:rsidRPr="00D337FA">
        <w:t xml:space="preserve"> </w:t>
      </w:r>
      <w:r w:rsidRPr="00D337FA">
        <w:t>под</w:t>
      </w:r>
      <w:r w:rsidR="006C680D" w:rsidRPr="00D337FA">
        <w:t xml:space="preserve"> </w:t>
      </w:r>
      <w:r w:rsidRPr="00D337FA">
        <w:t>прямое</w:t>
      </w:r>
      <w:r w:rsidR="006C680D" w:rsidRPr="00D337FA">
        <w:t xml:space="preserve"> </w:t>
      </w:r>
      <w:r w:rsidRPr="00D337FA">
        <w:t>управление</w:t>
      </w:r>
      <w:r w:rsidR="006C680D" w:rsidRPr="00D337FA">
        <w:t xml:space="preserve"> </w:t>
      </w:r>
      <w:r w:rsidRPr="00D337FA">
        <w:t>Агентства</w:t>
      </w:r>
      <w:r w:rsidR="006C680D" w:rsidRPr="00D337FA">
        <w:t xml:space="preserve"> </w:t>
      </w:r>
      <w:r w:rsidRPr="00D337FA">
        <w:t>или</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Во</w:t>
      </w:r>
      <w:r w:rsidR="006C680D" w:rsidRPr="00D337FA">
        <w:t xml:space="preserve"> </w:t>
      </w:r>
      <w:r w:rsidRPr="00D337FA">
        <w:t>всех</w:t>
      </w:r>
      <w:r w:rsidR="006C680D" w:rsidRPr="00D337FA">
        <w:t xml:space="preserve"> </w:t>
      </w:r>
      <w:r w:rsidRPr="00D337FA">
        <w:t>случаях</w:t>
      </w:r>
      <w:r w:rsidR="006C680D" w:rsidRPr="00D337FA">
        <w:t xml:space="preserve"> </w:t>
      </w:r>
      <w:r w:rsidRPr="00D337FA">
        <w:t>эти</w:t>
      </w:r>
      <w:r w:rsidR="006C680D" w:rsidRPr="00D337FA">
        <w:t xml:space="preserve"> </w:t>
      </w:r>
      <w:r w:rsidRPr="00D337FA">
        <w:t>действия</w:t>
      </w:r>
      <w:r w:rsidR="006C680D" w:rsidRPr="00D337FA">
        <w:t xml:space="preserve"> </w:t>
      </w:r>
      <w:r w:rsidRPr="00D337FA">
        <w:t>сопровождаются</w:t>
      </w:r>
      <w:r w:rsidR="006C680D" w:rsidRPr="00D337FA">
        <w:t xml:space="preserve"> </w:t>
      </w:r>
      <w:r w:rsidRPr="00D337FA">
        <w:t>выделение</w:t>
      </w:r>
      <w:r w:rsidR="006C680D" w:rsidRPr="00D337FA">
        <w:t xml:space="preserve"> </w:t>
      </w:r>
      <w:r w:rsidRPr="00D337FA">
        <w:t>дополнительного</w:t>
      </w:r>
      <w:r w:rsidR="006C680D" w:rsidRPr="00D337FA">
        <w:t xml:space="preserve"> </w:t>
      </w:r>
      <w:r w:rsidRPr="00D337FA">
        <w:t>финансирования,</w:t>
      </w:r>
      <w:r w:rsidR="006C680D" w:rsidRPr="00D337FA">
        <w:t xml:space="preserve"> </w:t>
      </w:r>
      <w:r w:rsidRPr="00D337FA">
        <w:t>о</w:t>
      </w:r>
      <w:r w:rsidR="006C680D" w:rsidRPr="00D337FA">
        <w:t xml:space="preserve"> </w:t>
      </w:r>
      <w:r w:rsidRPr="00D337FA">
        <w:t>чем</w:t>
      </w:r>
      <w:r w:rsidR="006C680D" w:rsidRPr="00D337FA">
        <w:t xml:space="preserve"> </w:t>
      </w:r>
      <w:r w:rsidRPr="00D337FA">
        <w:t>свидетельствуют</w:t>
      </w:r>
      <w:r w:rsidR="006C680D" w:rsidRPr="00D337FA">
        <w:t xml:space="preserve"> </w:t>
      </w:r>
      <w:r w:rsidRPr="00D337FA">
        <w:t>данные,</w:t>
      </w:r>
      <w:r w:rsidR="006C680D" w:rsidRPr="00D337FA">
        <w:t xml:space="preserve"> </w:t>
      </w:r>
      <w:r w:rsidRPr="00D337FA">
        <w:t>представленные</w:t>
      </w:r>
      <w:r w:rsidR="006C680D" w:rsidRPr="00D337FA">
        <w:t xml:space="preserve"> </w:t>
      </w:r>
      <w:r w:rsidRPr="00D337FA">
        <w:t>в</w:t>
      </w:r>
      <w:r w:rsidR="006C680D" w:rsidRPr="00D337FA">
        <w:t xml:space="preserve"> </w:t>
      </w:r>
      <w:r w:rsidRPr="00D337FA">
        <w:t>табл</w:t>
      </w:r>
      <w:r w:rsidR="008F0FE5">
        <w:t>.</w:t>
      </w:r>
      <w:r w:rsidR="006C680D" w:rsidRPr="00D337FA">
        <w:t xml:space="preserve"> </w:t>
      </w:r>
      <w:r w:rsidRPr="00D337FA">
        <w:t>2.</w:t>
      </w:r>
    </w:p>
    <w:p w:rsidR="004A1229" w:rsidRPr="00D337FA" w:rsidRDefault="004A1229" w:rsidP="004A1229">
      <w:pPr>
        <w:ind w:firstLine="284"/>
      </w:pPr>
      <w:r w:rsidRPr="00D337FA">
        <w:t>С</w:t>
      </w:r>
      <w:r w:rsidR="006C680D" w:rsidRPr="00D337FA">
        <w:t xml:space="preserve"> </w:t>
      </w:r>
      <w:r w:rsidRPr="00D337FA">
        <w:t>1</w:t>
      </w:r>
      <w:r w:rsidR="006C680D" w:rsidRPr="00D337FA">
        <w:t xml:space="preserve"> </w:t>
      </w:r>
      <w:r w:rsidRPr="00D337FA">
        <w:t>января</w:t>
      </w:r>
      <w:r w:rsidR="006C680D" w:rsidRPr="00D337FA">
        <w:t xml:space="preserve"> </w:t>
      </w:r>
      <w:r w:rsidRPr="00D337FA">
        <w:t>2018</w:t>
      </w:r>
      <w:r w:rsidR="006C680D" w:rsidRPr="00D337FA">
        <w:t xml:space="preserve"> </w:t>
      </w:r>
      <w:r w:rsidRPr="00D337FA">
        <w:t>года,</w:t>
      </w:r>
      <w:r w:rsidR="006C680D" w:rsidRPr="00D337FA">
        <w:t xml:space="preserve"> </w:t>
      </w:r>
      <w:r w:rsidRPr="00D337FA">
        <w:t>с</w:t>
      </w:r>
      <w:r w:rsidR="006C680D" w:rsidRPr="00D337FA">
        <w:t xml:space="preserve"> </w:t>
      </w:r>
      <w:r w:rsidRPr="00D337FA">
        <w:t>момента,</w:t>
      </w:r>
      <w:r w:rsidR="006C680D" w:rsidRPr="00D337FA">
        <w:t xml:space="preserve"> </w:t>
      </w:r>
      <w:r w:rsidRPr="00D337FA">
        <w:t>когда</w:t>
      </w:r>
      <w:r w:rsidR="006C680D" w:rsidRPr="00D337FA">
        <w:t xml:space="preserve"> </w:t>
      </w:r>
      <w:r w:rsidRPr="00D337FA">
        <w:t>Агентство</w:t>
      </w:r>
      <w:r w:rsidR="006C680D" w:rsidRPr="00D337FA">
        <w:t xml:space="preserve"> </w:t>
      </w:r>
      <w:r w:rsidRPr="00D337FA">
        <w:t>перестало</w:t>
      </w:r>
      <w:r w:rsidR="006C680D" w:rsidRPr="00D337FA">
        <w:t xml:space="preserve"> </w:t>
      </w:r>
      <w:r w:rsidRPr="00D337FA">
        <w:t>выполнять</w:t>
      </w:r>
      <w:r w:rsidR="006C680D" w:rsidRPr="00D337FA">
        <w:t xml:space="preserve"> </w:t>
      </w:r>
      <w:r w:rsidRPr="00D337FA">
        <w:t>функции</w:t>
      </w:r>
      <w:r w:rsidR="006C680D" w:rsidRPr="00D337FA">
        <w:t xml:space="preserve"> </w:t>
      </w:r>
      <w:r w:rsidRPr="00D337FA">
        <w:t>по</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дополнительное</w:t>
      </w:r>
      <w:r w:rsidR="006C680D" w:rsidRPr="00D337FA">
        <w:t xml:space="preserve"> </w:t>
      </w:r>
      <w:r w:rsidRPr="00D337FA">
        <w:t>финансирование</w:t>
      </w:r>
      <w:r w:rsidR="006C680D" w:rsidRPr="00D337FA">
        <w:t xml:space="preserve"> </w:t>
      </w:r>
      <w:r w:rsidRPr="00D337FA">
        <w:t>на</w:t>
      </w:r>
      <w:r w:rsidR="006C680D" w:rsidRPr="00D337FA">
        <w:t xml:space="preserve"> </w:t>
      </w:r>
      <w:r w:rsidRPr="00D337FA">
        <w:t>завершение</w:t>
      </w:r>
      <w:r w:rsidR="006C680D" w:rsidRPr="00D337FA">
        <w:t xml:space="preserve"> </w:t>
      </w:r>
      <w:r w:rsidRPr="00D337FA">
        <w:t>начатых</w:t>
      </w:r>
      <w:r w:rsidR="006C680D" w:rsidRPr="00D337FA">
        <w:t xml:space="preserve"> </w:t>
      </w:r>
      <w:r w:rsidRPr="00D337FA">
        <w:t>процедур</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банков</w:t>
      </w:r>
      <w:r w:rsidR="006C680D" w:rsidRPr="00D337FA">
        <w:t xml:space="preserve"> </w:t>
      </w:r>
      <w:r w:rsidRPr="00D337FA">
        <w:t>составило</w:t>
      </w:r>
      <w:r w:rsidR="006C680D" w:rsidRPr="00D337FA">
        <w:t xml:space="preserve"> </w:t>
      </w:r>
      <w:r w:rsidRPr="00D337FA">
        <w:t>757,81</w:t>
      </w:r>
      <w:r w:rsidR="006C680D" w:rsidRPr="00D337FA">
        <w:t xml:space="preserve"> </w:t>
      </w:r>
      <w:r w:rsidRPr="00D337FA">
        <w:t>млрд</w:t>
      </w:r>
      <w:r w:rsidR="006C680D" w:rsidRPr="00D337FA">
        <w:t xml:space="preserve"> </w:t>
      </w:r>
      <w:r w:rsidRPr="00D337FA">
        <w:t>руб.</w:t>
      </w:r>
    </w:p>
    <w:p w:rsidR="004A1229" w:rsidRPr="00D337FA" w:rsidRDefault="004A1229" w:rsidP="004A1229">
      <w:r w:rsidRPr="00D337FA">
        <w:t>В</w:t>
      </w:r>
      <w:r w:rsidR="006C680D" w:rsidRPr="00D337FA">
        <w:t xml:space="preserve"> </w:t>
      </w:r>
      <w:r w:rsidRPr="00D337FA">
        <w:t>качестве</w:t>
      </w:r>
      <w:r w:rsidR="006C680D" w:rsidRPr="00D337FA">
        <w:t xml:space="preserve"> </w:t>
      </w:r>
      <w:r w:rsidRPr="00D337FA">
        <w:t>иллюстрации</w:t>
      </w:r>
      <w:r w:rsidR="006C680D" w:rsidRPr="00D337FA">
        <w:t xml:space="preserve"> </w:t>
      </w:r>
      <w:r w:rsidRPr="00D337FA">
        <w:t>неэффективной</w:t>
      </w:r>
      <w:r w:rsidR="006C680D" w:rsidRPr="00D337FA">
        <w:t xml:space="preserve"> </w:t>
      </w:r>
      <w:r w:rsidRPr="00D337FA">
        <w:t>практики</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АСВ</w:t>
      </w:r>
      <w:r w:rsidR="006C680D" w:rsidRPr="00D337FA">
        <w:t xml:space="preserve"> </w:t>
      </w:r>
      <w:r w:rsidRPr="00D337FA">
        <w:t>можно</w:t>
      </w:r>
      <w:r w:rsidR="006C680D" w:rsidRPr="00D337FA">
        <w:t xml:space="preserve"> </w:t>
      </w:r>
      <w:r w:rsidRPr="00D337FA">
        <w:t>привести</w:t>
      </w:r>
      <w:r w:rsidR="006C680D" w:rsidRPr="00D337FA">
        <w:t xml:space="preserve"> </w:t>
      </w:r>
      <w:r w:rsidRPr="00D337FA">
        <w:t>пример</w:t>
      </w:r>
      <w:r w:rsidR="006C680D" w:rsidRPr="00D337FA">
        <w:t xml:space="preserve"> </w:t>
      </w:r>
      <w:r w:rsidRPr="00D337FA">
        <w:t>с</w:t>
      </w:r>
      <w:r w:rsidR="006C680D" w:rsidRPr="00D337FA">
        <w:t xml:space="preserve"> </w:t>
      </w:r>
      <w:r w:rsidRPr="00D337FA">
        <w:t>банком</w:t>
      </w:r>
      <w:r w:rsidR="006C680D" w:rsidRPr="00D337FA">
        <w:t xml:space="preserve"> </w:t>
      </w:r>
      <w:r w:rsidRPr="00D337FA">
        <w:t>«Таврический».</w:t>
      </w:r>
      <w:r w:rsidR="006C680D" w:rsidRPr="00D337FA">
        <w:t xml:space="preserve"> </w:t>
      </w:r>
      <w:r w:rsidRPr="00D337FA">
        <w:t>План</w:t>
      </w:r>
      <w:r w:rsidR="006C680D" w:rsidRPr="00D337FA">
        <w:t xml:space="preserve"> </w:t>
      </w:r>
      <w:r w:rsidRPr="00D337FA">
        <w:t>санации</w:t>
      </w:r>
      <w:r w:rsidR="006C680D" w:rsidRPr="00D337FA">
        <w:t xml:space="preserve"> </w:t>
      </w:r>
      <w:r w:rsidRPr="00D337FA">
        <w:t>банка</w:t>
      </w:r>
      <w:r w:rsidR="006C680D" w:rsidRPr="00D337FA">
        <w:t xml:space="preserve"> </w:t>
      </w:r>
      <w:r w:rsidRPr="00D337FA">
        <w:t>был</w:t>
      </w:r>
      <w:r w:rsidR="006C680D" w:rsidRPr="00D337FA">
        <w:t xml:space="preserve"> </w:t>
      </w:r>
      <w:r w:rsidRPr="00D337FA">
        <w:t>утвержден</w:t>
      </w:r>
      <w:r w:rsidR="006C680D" w:rsidRPr="00D337FA">
        <w:t xml:space="preserve"> </w:t>
      </w:r>
      <w:r w:rsidRPr="00D337FA">
        <w:t>в</w:t>
      </w:r>
      <w:r w:rsidR="006C680D" w:rsidRPr="00D337FA">
        <w:t xml:space="preserve"> </w:t>
      </w:r>
      <w:r w:rsidRPr="00D337FA">
        <w:t>2015</w:t>
      </w:r>
      <w:r w:rsidR="006C680D" w:rsidRPr="00D337FA">
        <w:t xml:space="preserve"> </w:t>
      </w:r>
      <w:r w:rsidRPr="00D337FA">
        <w:t>году</w:t>
      </w:r>
      <w:r w:rsidR="006C680D" w:rsidRPr="00D337FA">
        <w:t xml:space="preserve"> </w:t>
      </w:r>
      <w:r w:rsidRPr="00D337FA">
        <w:t>предусматривал</w:t>
      </w:r>
      <w:r w:rsidR="006C680D" w:rsidRPr="00D337FA">
        <w:t xml:space="preserve"> </w:t>
      </w:r>
      <w:r w:rsidRPr="00D337FA">
        <w:t>выделение</w:t>
      </w:r>
      <w:r w:rsidR="006C680D" w:rsidRPr="00D337FA">
        <w:t xml:space="preserve"> </w:t>
      </w:r>
      <w:r w:rsidRPr="00D337FA">
        <w:t>инвестору</w:t>
      </w:r>
      <w:r w:rsidR="006C680D" w:rsidRPr="00D337FA">
        <w:t xml:space="preserve"> </w:t>
      </w:r>
      <w:r w:rsidR="00A53D60">
        <w:t>–</w:t>
      </w:r>
      <w:r w:rsidR="006C680D" w:rsidRPr="00D337FA">
        <w:t xml:space="preserve"> </w:t>
      </w:r>
      <w:r w:rsidRPr="00D337FA">
        <w:t>банку</w:t>
      </w:r>
      <w:r w:rsidR="006C680D" w:rsidRPr="00D337FA">
        <w:t xml:space="preserve"> </w:t>
      </w:r>
      <w:r w:rsidRPr="00D337FA">
        <w:t>МФК</w:t>
      </w:r>
      <w:r w:rsidR="006C680D" w:rsidRPr="00D337FA">
        <w:t xml:space="preserve"> </w:t>
      </w:r>
      <w:r w:rsidRPr="00D337FA">
        <w:t>средств</w:t>
      </w:r>
      <w:r w:rsidR="006C680D" w:rsidRPr="00D337FA">
        <w:t xml:space="preserve"> </w:t>
      </w:r>
      <w:r w:rsidRPr="00D337FA">
        <w:t>в</w:t>
      </w:r>
      <w:r w:rsidR="006C680D" w:rsidRPr="00D337FA">
        <w:t xml:space="preserve"> </w:t>
      </w:r>
      <w:r w:rsidRPr="00D337FA">
        <w:t>размере</w:t>
      </w:r>
      <w:r w:rsidR="006C680D" w:rsidRPr="00D337FA">
        <w:t xml:space="preserve"> </w:t>
      </w:r>
      <w:r w:rsidRPr="00D337FA">
        <w:t>28</w:t>
      </w:r>
      <w:r w:rsidR="006C680D" w:rsidRPr="00D337FA">
        <w:t xml:space="preserve"> </w:t>
      </w:r>
      <w:r w:rsidRPr="00D337FA">
        <w:t>млрд</w:t>
      </w:r>
      <w:r w:rsidR="006C680D" w:rsidRPr="00D337FA">
        <w:t xml:space="preserve"> </w:t>
      </w:r>
      <w:r w:rsidRPr="00D337FA">
        <w:t>руб.</w:t>
      </w:r>
      <w:r w:rsidR="006C680D" w:rsidRPr="00D337FA">
        <w:t xml:space="preserve"> </w:t>
      </w:r>
      <w:r w:rsidRPr="00D337FA">
        <w:t>и</w:t>
      </w:r>
      <w:r w:rsidR="006C680D" w:rsidRPr="00D337FA">
        <w:t xml:space="preserve"> </w:t>
      </w:r>
      <w:r w:rsidRPr="00D337FA">
        <w:t>предполагал</w:t>
      </w:r>
      <w:r w:rsidR="006C680D" w:rsidRPr="00D337FA">
        <w:t xml:space="preserve"> </w:t>
      </w:r>
      <w:r w:rsidRPr="00D337FA">
        <w:t>восстановление</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банка</w:t>
      </w:r>
      <w:r w:rsidR="006C680D" w:rsidRPr="00D337FA">
        <w:t xml:space="preserve"> </w:t>
      </w:r>
      <w:r w:rsidRPr="00D337FA">
        <w:t>к</w:t>
      </w:r>
      <w:r w:rsidR="006C680D" w:rsidRPr="00D337FA">
        <w:t xml:space="preserve"> </w:t>
      </w:r>
      <w:r w:rsidRPr="00D337FA">
        <w:t>1</w:t>
      </w:r>
      <w:r w:rsidR="006C680D" w:rsidRPr="00D337FA">
        <w:t xml:space="preserve"> </w:t>
      </w:r>
      <w:r w:rsidRPr="00D337FA">
        <w:t>июля</w:t>
      </w:r>
      <w:r w:rsidR="006C680D" w:rsidRPr="00D337FA">
        <w:t xml:space="preserve"> </w:t>
      </w:r>
      <w:r w:rsidRPr="00D337FA">
        <w:t>2035</w:t>
      </w:r>
      <w:r w:rsidR="006C680D" w:rsidRPr="00D337FA">
        <w:t xml:space="preserve"> </w:t>
      </w:r>
      <w:r w:rsidRPr="00D337FA">
        <w:t>года.</w:t>
      </w:r>
      <w:r w:rsidR="006C680D" w:rsidRPr="00D337FA">
        <w:t xml:space="preserve"> </w:t>
      </w:r>
      <w:r w:rsidRPr="00D337FA">
        <w:t>В</w:t>
      </w:r>
      <w:r w:rsidR="006C680D" w:rsidRPr="00D337FA">
        <w:t xml:space="preserve"> </w:t>
      </w:r>
      <w:r w:rsidRPr="00D337FA">
        <w:t>сентябре</w:t>
      </w:r>
      <w:r w:rsidR="006C680D" w:rsidRPr="00D337FA">
        <w:t xml:space="preserve"> </w:t>
      </w:r>
      <w:r w:rsidRPr="00D337FA">
        <w:t>2025</w:t>
      </w:r>
      <w:r w:rsidR="006C680D" w:rsidRPr="00D337FA">
        <w:t xml:space="preserve"> </w:t>
      </w:r>
      <w:r w:rsidRPr="00D337FA">
        <w:t>года</w:t>
      </w:r>
      <w:r w:rsidR="006C680D" w:rsidRPr="00D337FA">
        <w:t xml:space="preserve"> </w:t>
      </w:r>
      <w:r w:rsidRPr="00D337FA">
        <w:t>Банк</w:t>
      </w:r>
      <w:r w:rsidR="006C680D" w:rsidRPr="00D337FA">
        <w:t xml:space="preserve"> </w:t>
      </w:r>
      <w:r w:rsidRPr="00D337FA">
        <w:t>России</w:t>
      </w:r>
      <w:r w:rsidR="006C680D" w:rsidRPr="00D337FA">
        <w:t xml:space="preserve"> </w:t>
      </w:r>
      <w:r w:rsidRPr="00D337FA">
        <w:t>принял</w:t>
      </w:r>
      <w:r w:rsidR="006C680D" w:rsidRPr="00D337FA">
        <w:t xml:space="preserve"> </w:t>
      </w:r>
      <w:r w:rsidRPr="00D337FA">
        <w:t>решение</w:t>
      </w:r>
      <w:r w:rsidR="006C680D" w:rsidRPr="00D337FA">
        <w:t xml:space="preserve"> </w:t>
      </w:r>
      <w:r w:rsidRPr="00D337FA">
        <w:t>об</w:t>
      </w:r>
      <w:r w:rsidR="006C680D" w:rsidRPr="00D337FA">
        <w:t xml:space="preserve"> </w:t>
      </w:r>
      <w:r w:rsidRPr="00D337FA">
        <w:t>отзыве</w:t>
      </w:r>
      <w:r w:rsidR="006C680D" w:rsidRPr="00D337FA">
        <w:t xml:space="preserve"> </w:t>
      </w:r>
      <w:r w:rsidRPr="00D337FA">
        <w:t>у</w:t>
      </w:r>
      <w:r w:rsidR="006C680D" w:rsidRPr="00D337FA">
        <w:t xml:space="preserve"> </w:t>
      </w:r>
      <w:r w:rsidRPr="00D337FA">
        <w:t>банка</w:t>
      </w:r>
      <w:r w:rsidR="006C680D" w:rsidRPr="00D337FA">
        <w:t xml:space="preserve"> </w:t>
      </w:r>
      <w:r w:rsidRPr="00D337FA">
        <w:t>лицензии</w:t>
      </w:r>
      <w:r w:rsidR="006C680D" w:rsidRPr="00D337FA">
        <w:t xml:space="preserve"> </w:t>
      </w:r>
      <w:r w:rsidRPr="00D337FA">
        <w:t>с</w:t>
      </w:r>
      <w:r w:rsidR="006C680D" w:rsidRPr="00D337FA">
        <w:t xml:space="preserve"> </w:t>
      </w:r>
      <w:r w:rsidRPr="00D337FA">
        <w:t>формулировкой</w:t>
      </w:r>
      <w:r w:rsidR="006C680D" w:rsidRPr="00D337FA">
        <w:t xml:space="preserve"> </w:t>
      </w:r>
      <w:r w:rsidRPr="00D337FA">
        <w:t>«в</w:t>
      </w:r>
      <w:r w:rsidR="006C680D" w:rsidRPr="00D337FA">
        <w:t xml:space="preserve"> </w:t>
      </w:r>
      <w:r w:rsidRPr="00D337FA">
        <w:t>связи</w:t>
      </w:r>
      <w:r w:rsidR="006C680D" w:rsidRPr="00D337FA">
        <w:t xml:space="preserve"> </w:t>
      </w:r>
      <w:r w:rsidRPr="00D337FA">
        <w:t>с</w:t>
      </w:r>
      <w:r w:rsidR="006C680D" w:rsidRPr="00D337FA">
        <w:t xml:space="preserve"> </w:t>
      </w:r>
      <w:r w:rsidRPr="00D337FA">
        <w:t>отсутствием</w:t>
      </w:r>
      <w:r w:rsidR="006C680D" w:rsidRPr="00D337FA">
        <w:t xml:space="preserve"> </w:t>
      </w:r>
      <w:r w:rsidRPr="00D337FA">
        <w:t>перспектив</w:t>
      </w:r>
      <w:r w:rsidR="006C680D" w:rsidRPr="00D337FA">
        <w:t xml:space="preserve"> </w:t>
      </w:r>
      <w:r w:rsidRPr="00D337FA">
        <w:t>дальнейшей</w:t>
      </w:r>
      <w:r w:rsidR="006C680D" w:rsidRPr="00D337FA">
        <w:t xml:space="preserve"> </w:t>
      </w:r>
      <w:r w:rsidRPr="00D337FA">
        <w:t>реализации</w:t>
      </w:r>
      <w:r w:rsidR="006C680D" w:rsidRPr="00D337FA">
        <w:t xml:space="preserve"> </w:t>
      </w:r>
      <w:r w:rsidRPr="00D337FA">
        <w:t>модели</w:t>
      </w:r>
      <w:r w:rsidR="006C680D" w:rsidRPr="00D337FA">
        <w:t xml:space="preserve"> </w:t>
      </w:r>
      <w:r w:rsidRPr="00D337FA">
        <w:t>санации».</w:t>
      </w:r>
      <w:r w:rsidR="006C680D" w:rsidRPr="00D337FA">
        <w:t xml:space="preserve">      </w:t>
      </w:r>
    </w:p>
    <w:p w:rsidR="004A1229" w:rsidRPr="00D337FA" w:rsidRDefault="004A1229" w:rsidP="004A1229">
      <w:pPr>
        <w:ind w:firstLine="284"/>
      </w:pPr>
    </w:p>
    <w:p w:rsidR="004A1229" w:rsidRPr="00D337FA" w:rsidRDefault="006C680D" w:rsidP="004A1229">
      <w:pPr>
        <w:ind w:firstLine="284"/>
      </w:pPr>
      <w:r w:rsidRPr="00D337FA">
        <w:t xml:space="preserve">  </w:t>
      </w:r>
    </w:p>
    <w:p w:rsidR="004A1229" w:rsidRPr="00D337FA" w:rsidRDefault="004A1229" w:rsidP="00C8298C">
      <w:pPr>
        <w:tabs>
          <w:tab w:val="center" w:pos="4677"/>
        </w:tabs>
        <w:ind w:right="-1" w:firstLine="0"/>
        <w:jc w:val="right"/>
        <w:rPr>
          <w:rFonts w:ascii="Arial CYR" w:hAnsi="Arial CYR" w:cs="Arial CYR"/>
          <w:b/>
          <w:bCs/>
          <w:i/>
          <w:iCs/>
          <w:caps/>
          <w:szCs w:val="24"/>
          <w:u w:val="single"/>
          <w:lang w:eastAsia="ru-RU"/>
        </w:rPr>
        <w:sectPr w:rsidR="004A1229" w:rsidRPr="00D337FA" w:rsidSect="004A1229">
          <w:footnotePr>
            <w:numRestart w:val="eachPage"/>
          </w:footnotePr>
          <w:type w:val="continuous"/>
          <w:pgSz w:w="11907" w:h="16840" w:code="9"/>
          <w:pgMar w:top="1418" w:right="1134" w:bottom="1418" w:left="1134" w:header="1021" w:footer="1021" w:gutter="0"/>
          <w:cols w:num="2" w:space="708"/>
          <w:docGrid w:linePitch="360"/>
        </w:sectPr>
      </w:pPr>
    </w:p>
    <w:p w:rsidR="00FB2463" w:rsidRPr="00D337FA" w:rsidRDefault="00FB2463" w:rsidP="004A1229">
      <w:pPr>
        <w:tabs>
          <w:tab w:val="center" w:pos="4677"/>
        </w:tabs>
        <w:ind w:right="-1" w:firstLine="0"/>
        <w:jc w:val="right"/>
        <w:rPr>
          <w:rFonts w:ascii="Arial" w:hAnsi="Arial" w:cs="Arial"/>
          <w:b/>
          <w:bCs/>
          <w:i/>
          <w:iCs/>
          <w:caps/>
          <w:sz w:val="22"/>
          <w:szCs w:val="22"/>
          <w:u w:val="single"/>
          <w:lang w:eastAsia="ru-RU"/>
        </w:rPr>
      </w:pPr>
    </w:p>
    <w:p w:rsidR="004A1229" w:rsidRDefault="004A1229" w:rsidP="004A1229">
      <w:pPr>
        <w:ind w:firstLine="0"/>
        <w:jc w:val="right"/>
        <w:rPr>
          <w:rFonts w:ascii="Arial" w:eastAsia="Times New Roman" w:hAnsi="Arial" w:cs="Arial"/>
          <w:i/>
          <w:sz w:val="22"/>
          <w:szCs w:val="22"/>
          <w:lang w:eastAsia="ru-RU"/>
        </w:rPr>
      </w:pPr>
    </w:p>
    <w:p w:rsidR="00D337FA" w:rsidRPr="00D337FA" w:rsidRDefault="00D337FA" w:rsidP="004A1229">
      <w:pPr>
        <w:ind w:firstLine="0"/>
        <w:jc w:val="right"/>
        <w:rPr>
          <w:rFonts w:ascii="Arial" w:eastAsia="Times New Roman" w:hAnsi="Arial" w:cs="Arial"/>
          <w:i/>
          <w:sz w:val="22"/>
          <w:szCs w:val="22"/>
          <w:lang w:eastAsia="ru-RU"/>
        </w:rPr>
      </w:pPr>
    </w:p>
    <w:p w:rsidR="004A1229" w:rsidRPr="00D337FA" w:rsidRDefault="004A1229" w:rsidP="004A1229">
      <w:pPr>
        <w:ind w:firstLine="0"/>
        <w:jc w:val="right"/>
        <w:rPr>
          <w:rFonts w:ascii="Arial" w:eastAsia="Times New Roman" w:hAnsi="Arial" w:cs="Arial"/>
          <w:i/>
          <w:sz w:val="22"/>
          <w:szCs w:val="22"/>
          <w:lang w:eastAsia="ru-RU"/>
        </w:rPr>
      </w:pPr>
    </w:p>
    <w:p w:rsidR="004A1229" w:rsidRPr="00D337FA" w:rsidRDefault="004A1229" w:rsidP="004A1229">
      <w:pPr>
        <w:ind w:firstLine="0"/>
        <w:jc w:val="right"/>
        <w:rPr>
          <w:rFonts w:ascii="Arial" w:eastAsia="Times New Roman" w:hAnsi="Arial" w:cs="Arial"/>
          <w:i/>
          <w:sz w:val="22"/>
          <w:szCs w:val="22"/>
          <w:lang w:eastAsia="ru-RU"/>
        </w:rPr>
      </w:pPr>
      <w:r w:rsidRPr="00D337FA">
        <w:rPr>
          <w:rFonts w:ascii="Arial" w:eastAsia="Times New Roman" w:hAnsi="Arial" w:cs="Arial"/>
          <w:i/>
          <w:sz w:val="22"/>
          <w:szCs w:val="22"/>
          <w:lang w:eastAsia="ru-RU"/>
        </w:rPr>
        <w:lastRenderedPageBreak/>
        <w:t>Таблица</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2</w:t>
      </w:r>
    </w:p>
    <w:p w:rsidR="004A1229" w:rsidRPr="00D337FA" w:rsidRDefault="004A1229" w:rsidP="004A1229">
      <w:pPr>
        <w:ind w:firstLine="0"/>
        <w:jc w:val="center"/>
        <w:rPr>
          <w:rFonts w:ascii="Arial" w:eastAsia="Times New Roman" w:hAnsi="Arial" w:cs="Arial"/>
          <w:i/>
          <w:sz w:val="22"/>
          <w:szCs w:val="22"/>
          <w:lang w:eastAsia="ru-RU"/>
        </w:rPr>
      </w:pPr>
      <w:r w:rsidRPr="00D337FA">
        <w:rPr>
          <w:rFonts w:ascii="Arial" w:eastAsia="Times New Roman" w:hAnsi="Arial" w:cs="Arial"/>
          <w:i/>
          <w:sz w:val="22"/>
          <w:szCs w:val="22"/>
          <w:lang w:eastAsia="ru-RU"/>
        </w:rPr>
        <w:t>Динамика</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средств,</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направленных</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Агентством</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по</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страхованию</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вкладов</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на</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санацию</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банков</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за</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2008-2024</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годы,</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млрд</w:t>
      </w:r>
      <w:r w:rsidR="006C680D" w:rsidRPr="00D337FA">
        <w:rPr>
          <w:rFonts w:ascii="Arial" w:eastAsia="Times New Roman" w:hAnsi="Arial" w:cs="Arial"/>
          <w:i/>
          <w:sz w:val="22"/>
          <w:szCs w:val="22"/>
          <w:lang w:eastAsia="ru-RU"/>
        </w:rPr>
        <w:t xml:space="preserve"> </w:t>
      </w:r>
      <w:r w:rsidRPr="00D337FA">
        <w:rPr>
          <w:rFonts w:ascii="Arial" w:eastAsia="Times New Roman" w:hAnsi="Arial" w:cs="Arial"/>
          <w:i/>
          <w:sz w:val="22"/>
          <w:szCs w:val="22"/>
          <w:lang w:eastAsia="ru-RU"/>
        </w:rPr>
        <w:t>руб.</w:t>
      </w:r>
      <w:r w:rsidR="006C680D" w:rsidRPr="00D337FA">
        <w:rPr>
          <w:rFonts w:ascii="Arial" w:eastAsia="Times New Roman" w:hAnsi="Arial" w:cs="Arial"/>
          <w:i/>
          <w:sz w:val="22"/>
          <w:szCs w:val="22"/>
          <w:lang w:eastAsia="ru-RU"/>
        </w:rPr>
        <w:t xml:space="preserve"> </w:t>
      </w:r>
    </w:p>
    <w:tbl>
      <w:tblPr>
        <w:tblW w:w="9478" w:type="dxa"/>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75"/>
        <w:gridCol w:w="1417"/>
        <w:gridCol w:w="1621"/>
        <w:gridCol w:w="1622"/>
        <w:gridCol w:w="1745"/>
        <w:gridCol w:w="1498"/>
      </w:tblGrid>
      <w:tr w:rsidR="00D337FA" w:rsidRPr="00A53D60" w:rsidTr="00E70CAD">
        <w:trPr>
          <w:trHeight w:val="300"/>
          <w:tblHeader/>
        </w:trPr>
        <w:tc>
          <w:tcPr>
            <w:tcW w:w="1575" w:type="dxa"/>
            <w:vMerge w:val="restart"/>
            <w:shd w:val="clear" w:color="auto" w:fill="auto"/>
            <w:vAlign w:val="center"/>
            <w:hideMark/>
          </w:tcPr>
          <w:p w:rsidR="004A1229" w:rsidRPr="00A53D60" w:rsidRDefault="004A1229" w:rsidP="00E70CAD">
            <w:pPr>
              <w:ind w:firstLine="0"/>
              <w:jc w:val="center"/>
              <w:rPr>
                <w:sz w:val="20"/>
                <w:szCs w:val="20"/>
              </w:rPr>
            </w:pPr>
            <w:r w:rsidRPr="00A53D60">
              <w:rPr>
                <w:sz w:val="20"/>
                <w:szCs w:val="20"/>
              </w:rPr>
              <w:t>Дата</w:t>
            </w:r>
          </w:p>
        </w:tc>
        <w:tc>
          <w:tcPr>
            <w:tcW w:w="1417" w:type="dxa"/>
            <w:vMerge w:val="restart"/>
            <w:shd w:val="clear" w:color="auto" w:fill="auto"/>
            <w:vAlign w:val="center"/>
            <w:hideMark/>
          </w:tcPr>
          <w:p w:rsidR="004A1229" w:rsidRPr="00A53D60" w:rsidRDefault="004A1229" w:rsidP="00E70CAD">
            <w:pPr>
              <w:ind w:firstLine="0"/>
              <w:jc w:val="center"/>
              <w:rPr>
                <w:sz w:val="20"/>
                <w:szCs w:val="20"/>
              </w:rPr>
            </w:pPr>
            <w:r w:rsidRPr="00A53D60">
              <w:rPr>
                <w:sz w:val="20"/>
                <w:szCs w:val="20"/>
              </w:rPr>
              <w:t>Всего</w:t>
            </w:r>
          </w:p>
        </w:tc>
        <w:tc>
          <w:tcPr>
            <w:tcW w:w="6486" w:type="dxa"/>
            <w:gridSpan w:val="4"/>
            <w:shd w:val="clear" w:color="auto" w:fill="auto"/>
            <w:vAlign w:val="center"/>
            <w:hideMark/>
          </w:tcPr>
          <w:p w:rsidR="004A1229" w:rsidRPr="00A53D60" w:rsidRDefault="004A1229" w:rsidP="00E70CAD">
            <w:pPr>
              <w:ind w:firstLine="0"/>
              <w:jc w:val="center"/>
              <w:rPr>
                <w:sz w:val="20"/>
                <w:szCs w:val="20"/>
              </w:rPr>
            </w:pPr>
            <w:r w:rsidRPr="00A53D60">
              <w:rPr>
                <w:sz w:val="20"/>
                <w:szCs w:val="20"/>
              </w:rPr>
              <w:t>в</w:t>
            </w:r>
            <w:r w:rsidR="006C680D" w:rsidRPr="00A53D60">
              <w:rPr>
                <w:sz w:val="20"/>
                <w:szCs w:val="20"/>
              </w:rPr>
              <w:t xml:space="preserve"> </w:t>
            </w:r>
            <w:r w:rsidRPr="00A53D60">
              <w:rPr>
                <w:sz w:val="20"/>
                <w:szCs w:val="20"/>
              </w:rPr>
              <w:t>том</w:t>
            </w:r>
            <w:r w:rsidR="006C680D" w:rsidRPr="00A53D60">
              <w:rPr>
                <w:sz w:val="20"/>
                <w:szCs w:val="20"/>
              </w:rPr>
              <w:t xml:space="preserve"> </w:t>
            </w:r>
            <w:r w:rsidRPr="00A53D60">
              <w:rPr>
                <w:sz w:val="20"/>
                <w:szCs w:val="20"/>
              </w:rPr>
              <w:t>числе</w:t>
            </w:r>
            <w:r w:rsidR="006C680D" w:rsidRPr="00A53D60">
              <w:rPr>
                <w:sz w:val="20"/>
                <w:szCs w:val="20"/>
              </w:rPr>
              <w:t xml:space="preserve"> </w:t>
            </w:r>
            <w:r w:rsidRPr="00A53D60">
              <w:rPr>
                <w:sz w:val="20"/>
                <w:szCs w:val="20"/>
              </w:rPr>
              <w:t>за</w:t>
            </w:r>
            <w:r w:rsidR="006C680D" w:rsidRPr="00A53D60">
              <w:rPr>
                <w:sz w:val="20"/>
                <w:szCs w:val="20"/>
              </w:rPr>
              <w:t xml:space="preserve"> </w:t>
            </w:r>
            <w:r w:rsidRPr="00A53D60">
              <w:rPr>
                <w:sz w:val="20"/>
                <w:szCs w:val="20"/>
              </w:rPr>
              <w:t>счет:</w:t>
            </w:r>
          </w:p>
        </w:tc>
      </w:tr>
      <w:tr w:rsidR="00D337FA" w:rsidRPr="00A53D60" w:rsidTr="00A53D60">
        <w:trPr>
          <w:trHeight w:val="650"/>
          <w:tblHeader/>
        </w:trPr>
        <w:tc>
          <w:tcPr>
            <w:tcW w:w="1575" w:type="dxa"/>
            <w:vMerge/>
            <w:shd w:val="clear" w:color="auto" w:fill="auto"/>
            <w:vAlign w:val="center"/>
            <w:hideMark/>
          </w:tcPr>
          <w:p w:rsidR="004A1229" w:rsidRPr="00A53D60" w:rsidRDefault="004A1229" w:rsidP="00E70CAD">
            <w:pPr>
              <w:ind w:firstLine="0"/>
              <w:jc w:val="center"/>
              <w:rPr>
                <w:sz w:val="20"/>
                <w:szCs w:val="20"/>
              </w:rPr>
            </w:pPr>
          </w:p>
        </w:tc>
        <w:tc>
          <w:tcPr>
            <w:tcW w:w="1417" w:type="dxa"/>
            <w:vMerge/>
            <w:shd w:val="clear" w:color="auto" w:fill="auto"/>
            <w:vAlign w:val="center"/>
            <w:hideMark/>
          </w:tcPr>
          <w:p w:rsidR="004A1229" w:rsidRPr="00A53D60" w:rsidRDefault="004A1229" w:rsidP="00E70CAD">
            <w:pPr>
              <w:ind w:firstLine="0"/>
              <w:jc w:val="center"/>
              <w:rPr>
                <w:sz w:val="20"/>
                <w:szCs w:val="20"/>
              </w:rPr>
            </w:pPr>
          </w:p>
        </w:tc>
        <w:tc>
          <w:tcPr>
            <w:tcW w:w="1621" w:type="dxa"/>
            <w:shd w:val="clear" w:color="auto" w:fill="auto"/>
            <w:vAlign w:val="center"/>
            <w:hideMark/>
          </w:tcPr>
          <w:p w:rsidR="004A1229" w:rsidRPr="00A53D60" w:rsidRDefault="004A1229" w:rsidP="00E70CAD">
            <w:pPr>
              <w:ind w:firstLine="0"/>
              <w:jc w:val="center"/>
              <w:rPr>
                <w:sz w:val="20"/>
                <w:szCs w:val="20"/>
              </w:rPr>
            </w:pPr>
            <w:r w:rsidRPr="00A53D60">
              <w:rPr>
                <w:sz w:val="20"/>
                <w:szCs w:val="20"/>
              </w:rPr>
              <w:t>Кредитов</w:t>
            </w:r>
            <w:r w:rsidR="006C680D" w:rsidRPr="00A53D60">
              <w:rPr>
                <w:sz w:val="20"/>
                <w:szCs w:val="20"/>
              </w:rPr>
              <w:t xml:space="preserve"> </w:t>
            </w:r>
            <w:r w:rsidRPr="00A53D60">
              <w:rPr>
                <w:sz w:val="20"/>
                <w:szCs w:val="20"/>
              </w:rPr>
              <w:t>Банка</w:t>
            </w:r>
            <w:r w:rsidR="006C680D" w:rsidRPr="00A53D60">
              <w:rPr>
                <w:sz w:val="20"/>
                <w:szCs w:val="20"/>
              </w:rPr>
              <w:t xml:space="preserve"> </w:t>
            </w:r>
            <w:r w:rsidRPr="00A53D60">
              <w:rPr>
                <w:sz w:val="20"/>
                <w:szCs w:val="20"/>
              </w:rPr>
              <w:t>России</w:t>
            </w:r>
          </w:p>
        </w:tc>
        <w:tc>
          <w:tcPr>
            <w:tcW w:w="1622" w:type="dxa"/>
            <w:shd w:val="clear" w:color="auto" w:fill="auto"/>
            <w:vAlign w:val="center"/>
            <w:hideMark/>
          </w:tcPr>
          <w:p w:rsidR="004A1229" w:rsidRPr="00A53D60" w:rsidRDefault="004A1229" w:rsidP="00E70CAD">
            <w:pPr>
              <w:ind w:firstLine="0"/>
              <w:jc w:val="center"/>
              <w:rPr>
                <w:sz w:val="20"/>
                <w:szCs w:val="20"/>
              </w:rPr>
            </w:pPr>
            <w:r w:rsidRPr="00A53D60">
              <w:rPr>
                <w:sz w:val="20"/>
                <w:szCs w:val="20"/>
              </w:rPr>
              <w:t>Имущественного</w:t>
            </w:r>
            <w:r w:rsidR="006C680D" w:rsidRPr="00A53D60">
              <w:rPr>
                <w:sz w:val="20"/>
                <w:szCs w:val="20"/>
              </w:rPr>
              <w:t xml:space="preserve"> </w:t>
            </w:r>
            <w:r w:rsidRPr="00A53D60">
              <w:rPr>
                <w:sz w:val="20"/>
                <w:szCs w:val="20"/>
              </w:rPr>
              <w:t>взноса</w:t>
            </w:r>
            <w:r w:rsidR="006C680D" w:rsidRPr="00A53D60">
              <w:rPr>
                <w:sz w:val="20"/>
                <w:szCs w:val="20"/>
              </w:rPr>
              <w:t xml:space="preserve"> </w:t>
            </w:r>
            <w:r w:rsidRPr="00A53D60">
              <w:rPr>
                <w:sz w:val="20"/>
                <w:szCs w:val="20"/>
              </w:rPr>
              <w:t>РФ</w:t>
            </w:r>
          </w:p>
        </w:tc>
        <w:tc>
          <w:tcPr>
            <w:tcW w:w="1745" w:type="dxa"/>
            <w:shd w:val="clear" w:color="auto" w:fill="auto"/>
            <w:vAlign w:val="center"/>
            <w:hideMark/>
          </w:tcPr>
          <w:p w:rsidR="004A1229" w:rsidRPr="00A53D60" w:rsidRDefault="004A1229" w:rsidP="00E70CAD">
            <w:pPr>
              <w:ind w:firstLine="0"/>
              <w:jc w:val="center"/>
              <w:rPr>
                <w:sz w:val="20"/>
                <w:szCs w:val="20"/>
              </w:rPr>
            </w:pPr>
            <w:r w:rsidRPr="00A53D60">
              <w:rPr>
                <w:sz w:val="20"/>
                <w:szCs w:val="20"/>
              </w:rPr>
              <w:t>Имущественного</w:t>
            </w:r>
            <w:r w:rsidR="006C680D" w:rsidRPr="00A53D60">
              <w:rPr>
                <w:sz w:val="20"/>
                <w:szCs w:val="20"/>
              </w:rPr>
              <w:t xml:space="preserve"> </w:t>
            </w:r>
            <w:r w:rsidRPr="00A53D60">
              <w:rPr>
                <w:sz w:val="20"/>
                <w:szCs w:val="20"/>
              </w:rPr>
              <w:t>взноса</w:t>
            </w:r>
            <w:r w:rsidR="006C680D" w:rsidRPr="00A53D60">
              <w:rPr>
                <w:sz w:val="20"/>
                <w:szCs w:val="20"/>
              </w:rPr>
              <w:t xml:space="preserve"> </w:t>
            </w:r>
            <w:r w:rsidRPr="00A53D60">
              <w:rPr>
                <w:sz w:val="20"/>
                <w:szCs w:val="20"/>
              </w:rPr>
              <w:t>Банка</w:t>
            </w:r>
            <w:r w:rsidR="006C680D" w:rsidRPr="00A53D60">
              <w:rPr>
                <w:sz w:val="20"/>
                <w:szCs w:val="20"/>
              </w:rPr>
              <w:t xml:space="preserve"> </w:t>
            </w:r>
            <w:r w:rsidRPr="00A53D60">
              <w:rPr>
                <w:sz w:val="20"/>
                <w:szCs w:val="20"/>
              </w:rPr>
              <w:t>России</w:t>
            </w:r>
          </w:p>
        </w:tc>
        <w:tc>
          <w:tcPr>
            <w:tcW w:w="1498" w:type="dxa"/>
            <w:shd w:val="clear" w:color="auto" w:fill="auto"/>
            <w:vAlign w:val="center"/>
            <w:hideMark/>
          </w:tcPr>
          <w:p w:rsidR="004A1229" w:rsidRPr="00A53D60" w:rsidRDefault="004A1229" w:rsidP="00E70CAD">
            <w:pPr>
              <w:ind w:firstLine="0"/>
              <w:jc w:val="center"/>
              <w:rPr>
                <w:sz w:val="20"/>
                <w:szCs w:val="20"/>
              </w:rPr>
            </w:pPr>
            <w:r w:rsidRPr="00A53D60">
              <w:rPr>
                <w:sz w:val="20"/>
                <w:szCs w:val="20"/>
              </w:rPr>
              <w:t>Фонда</w:t>
            </w:r>
          </w:p>
          <w:p w:rsidR="004A1229" w:rsidRPr="00A53D60" w:rsidRDefault="004A1229" w:rsidP="00E70CAD">
            <w:pPr>
              <w:ind w:firstLine="0"/>
              <w:jc w:val="center"/>
              <w:rPr>
                <w:sz w:val="20"/>
                <w:szCs w:val="20"/>
              </w:rPr>
            </w:pPr>
            <w:r w:rsidRPr="00A53D60">
              <w:rPr>
                <w:sz w:val="20"/>
                <w:szCs w:val="20"/>
              </w:rPr>
              <w:t>страхования</w:t>
            </w:r>
            <w:r w:rsidR="006C680D" w:rsidRPr="00A53D60">
              <w:rPr>
                <w:sz w:val="20"/>
                <w:szCs w:val="20"/>
              </w:rPr>
              <w:t xml:space="preserve"> </w:t>
            </w:r>
            <w:r w:rsidRPr="00A53D60">
              <w:rPr>
                <w:sz w:val="20"/>
                <w:szCs w:val="20"/>
              </w:rPr>
              <w:t>вкладов</w:t>
            </w:r>
          </w:p>
        </w:tc>
      </w:tr>
      <w:tr w:rsidR="00D337FA" w:rsidRPr="00A53D60" w:rsidTr="00E70CAD">
        <w:trPr>
          <w:trHeight w:val="300"/>
        </w:trPr>
        <w:tc>
          <w:tcPr>
            <w:tcW w:w="1575" w:type="dxa"/>
            <w:shd w:val="clear" w:color="auto" w:fill="auto"/>
            <w:hideMark/>
          </w:tcPr>
          <w:p w:rsidR="004A1229" w:rsidRPr="00A53D60" w:rsidRDefault="004A1229" w:rsidP="00E70CAD">
            <w:pPr>
              <w:ind w:firstLine="0"/>
              <w:rPr>
                <w:sz w:val="20"/>
                <w:szCs w:val="20"/>
              </w:rPr>
            </w:pPr>
            <w:r w:rsidRPr="00A53D60">
              <w:rPr>
                <w:sz w:val="20"/>
                <w:szCs w:val="20"/>
              </w:rPr>
              <w:t>01.01.2009</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108,4</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83,05</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25,35</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01.01.2010</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304,6</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187,6</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117</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01.01.2011</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367,6</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169,6</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198</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01.01.2012</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494,6</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346,4</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148,2</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01.01.2013</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641,35</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485,1</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148,2</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01.01.2014</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652,71</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496,47</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149,54</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6,7</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01.01.2015</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1045,92</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782,84</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255,33</w:t>
            </w:r>
          </w:p>
        </w:tc>
        <w:tc>
          <w:tcPr>
            <w:tcW w:w="1745" w:type="dxa"/>
            <w:shd w:val="clear" w:color="auto" w:fill="auto"/>
            <w:noWrap/>
            <w:vAlign w:val="bottom"/>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01.01.2016</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1537,55</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1270,47</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259,33</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01.01.2017</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1575,24</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1308,16</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259,33</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01.01.2018</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1817,76</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1505,02</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304,99</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01.01.2019</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2117,68</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1557,19</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305,97</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246,77</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01.01.2020</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2139,18</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1575,59</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309,04</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246,77</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01.01.2021</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2142,36</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1573,53</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314,31</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246,77</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01.01.2022</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2163,12</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1594,29</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314,31</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246,77</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01.01.2023</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2165,57</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1596,74</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314,31</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246,77</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r w:rsidR="00D337FA"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01.01.2024</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н/д</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н/д</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н/д</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н/д</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н/д</w:t>
            </w:r>
          </w:p>
        </w:tc>
      </w:tr>
      <w:tr w:rsidR="004A1229" w:rsidRPr="00A53D60" w:rsidTr="00E70CAD">
        <w:trPr>
          <w:trHeight w:val="300"/>
        </w:trPr>
        <w:tc>
          <w:tcPr>
            <w:tcW w:w="1575" w:type="dxa"/>
            <w:shd w:val="clear" w:color="auto" w:fill="auto"/>
            <w:hideMark/>
          </w:tcPr>
          <w:p w:rsidR="004A1229" w:rsidRPr="00A53D60" w:rsidRDefault="004A1229" w:rsidP="00E70CAD">
            <w:pPr>
              <w:ind w:firstLine="0"/>
              <w:jc w:val="center"/>
              <w:rPr>
                <w:sz w:val="20"/>
                <w:szCs w:val="20"/>
              </w:rPr>
            </w:pPr>
            <w:r w:rsidRPr="00A53D60">
              <w:rPr>
                <w:sz w:val="20"/>
                <w:szCs w:val="20"/>
              </w:rPr>
              <w:t>01.01.2025</w:t>
            </w:r>
            <w:r w:rsidR="006C680D" w:rsidRPr="00A53D60">
              <w:rPr>
                <w:sz w:val="20"/>
                <w:szCs w:val="20"/>
              </w:rPr>
              <w:t xml:space="preserve"> </w:t>
            </w:r>
            <w:r w:rsidRPr="00A53D60">
              <w:rPr>
                <w:sz w:val="20"/>
                <w:szCs w:val="20"/>
              </w:rPr>
              <w:t>г.</w:t>
            </w:r>
          </w:p>
        </w:tc>
        <w:tc>
          <w:tcPr>
            <w:tcW w:w="1417" w:type="dxa"/>
            <w:shd w:val="clear" w:color="auto" w:fill="auto"/>
            <w:hideMark/>
          </w:tcPr>
          <w:p w:rsidR="004A1229" w:rsidRPr="00A53D60" w:rsidRDefault="004A1229" w:rsidP="00E70CAD">
            <w:pPr>
              <w:ind w:firstLine="0"/>
              <w:jc w:val="center"/>
              <w:rPr>
                <w:sz w:val="20"/>
                <w:szCs w:val="20"/>
              </w:rPr>
            </w:pPr>
            <w:r w:rsidRPr="00A53D60">
              <w:rPr>
                <w:sz w:val="20"/>
                <w:szCs w:val="20"/>
              </w:rPr>
              <w:t>2575,57</w:t>
            </w:r>
          </w:p>
        </w:tc>
        <w:tc>
          <w:tcPr>
            <w:tcW w:w="1621" w:type="dxa"/>
            <w:shd w:val="clear" w:color="auto" w:fill="auto"/>
            <w:hideMark/>
          </w:tcPr>
          <w:p w:rsidR="004A1229" w:rsidRPr="00A53D60" w:rsidRDefault="004A1229" w:rsidP="00E70CAD">
            <w:pPr>
              <w:ind w:firstLine="0"/>
              <w:jc w:val="center"/>
              <w:rPr>
                <w:sz w:val="20"/>
                <w:szCs w:val="20"/>
              </w:rPr>
            </w:pPr>
            <w:r w:rsidRPr="00A53D60">
              <w:rPr>
                <w:sz w:val="20"/>
                <w:szCs w:val="20"/>
              </w:rPr>
              <w:t>2006,74</w:t>
            </w:r>
          </w:p>
        </w:tc>
        <w:tc>
          <w:tcPr>
            <w:tcW w:w="1622" w:type="dxa"/>
            <w:shd w:val="clear" w:color="auto" w:fill="auto"/>
            <w:hideMark/>
          </w:tcPr>
          <w:p w:rsidR="004A1229" w:rsidRPr="00A53D60" w:rsidRDefault="004A1229" w:rsidP="00E70CAD">
            <w:pPr>
              <w:ind w:firstLine="0"/>
              <w:jc w:val="center"/>
              <w:rPr>
                <w:sz w:val="20"/>
                <w:szCs w:val="20"/>
              </w:rPr>
            </w:pPr>
            <w:r w:rsidRPr="00A53D60">
              <w:rPr>
                <w:sz w:val="20"/>
                <w:szCs w:val="20"/>
              </w:rPr>
              <w:t>314,31</w:t>
            </w:r>
          </w:p>
        </w:tc>
        <w:tc>
          <w:tcPr>
            <w:tcW w:w="1745" w:type="dxa"/>
            <w:shd w:val="clear" w:color="auto" w:fill="auto"/>
            <w:hideMark/>
          </w:tcPr>
          <w:p w:rsidR="004A1229" w:rsidRPr="00A53D60" w:rsidRDefault="004A1229" w:rsidP="00E70CAD">
            <w:pPr>
              <w:ind w:firstLine="0"/>
              <w:jc w:val="center"/>
              <w:rPr>
                <w:sz w:val="20"/>
                <w:szCs w:val="20"/>
              </w:rPr>
            </w:pPr>
            <w:r w:rsidRPr="00A53D60">
              <w:rPr>
                <w:sz w:val="20"/>
                <w:szCs w:val="20"/>
              </w:rPr>
              <w:t>246,77</w:t>
            </w:r>
          </w:p>
        </w:tc>
        <w:tc>
          <w:tcPr>
            <w:tcW w:w="1498" w:type="dxa"/>
            <w:shd w:val="clear" w:color="auto" w:fill="auto"/>
            <w:hideMark/>
          </w:tcPr>
          <w:p w:rsidR="004A1229" w:rsidRPr="00A53D60" w:rsidRDefault="004A1229" w:rsidP="00E70CAD">
            <w:pPr>
              <w:ind w:firstLine="0"/>
              <w:jc w:val="center"/>
              <w:rPr>
                <w:sz w:val="20"/>
                <w:szCs w:val="20"/>
              </w:rPr>
            </w:pPr>
            <w:r w:rsidRPr="00A53D60">
              <w:rPr>
                <w:sz w:val="20"/>
                <w:szCs w:val="20"/>
              </w:rPr>
              <w:t>7,75</w:t>
            </w:r>
          </w:p>
        </w:tc>
      </w:tr>
    </w:tbl>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4A1229" w:rsidRPr="00D337FA" w:rsidRDefault="004A1229" w:rsidP="00C8298C">
      <w:pPr>
        <w:tabs>
          <w:tab w:val="center" w:pos="4677"/>
        </w:tabs>
        <w:ind w:right="-1" w:firstLine="0"/>
        <w:jc w:val="right"/>
        <w:sectPr w:rsidR="004A122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FB2463" w:rsidRPr="00D337FA" w:rsidRDefault="004A1229" w:rsidP="004A1229">
      <w:pPr>
        <w:tabs>
          <w:tab w:val="center" w:pos="4677"/>
        </w:tabs>
        <w:ind w:right="-1" w:firstLine="284"/>
        <w:rPr>
          <w:rFonts w:ascii="Arial CYR" w:hAnsi="Arial CYR" w:cs="Arial CYR"/>
          <w:b/>
          <w:bCs/>
          <w:i/>
          <w:iCs/>
          <w:caps/>
          <w:szCs w:val="24"/>
          <w:u w:val="single"/>
          <w:lang w:eastAsia="ru-RU"/>
        </w:rPr>
      </w:pPr>
      <w:r w:rsidRPr="00D337FA">
        <w:lastRenderedPageBreak/>
        <w:t>Другой</w:t>
      </w:r>
      <w:r w:rsidR="006C680D" w:rsidRPr="00D337FA">
        <w:t xml:space="preserve"> </w:t>
      </w:r>
      <w:r w:rsidRPr="00D337FA">
        <w:t>пример</w:t>
      </w:r>
      <w:r w:rsidR="006C680D" w:rsidRPr="00D337FA">
        <w:t xml:space="preserve"> </w:t>
      </w:r>
      <w:r w:rsidRPr="00D337FA">
        <w:t>неэффективной</w:t>
      </w:r>
      <w:r w:rsidR="006C680D" w:rsidRPr="00D337FA">
        <w:t xml:space="preserve"> </w:t>
      </w:r>
      <w:r w:rsidRPr="00D337FA">
        <w:t>санации</w:t>
      </w:r>
      <w:r w:rsidR="006C680D" w:rsidRPr="00D337FA">
        <w:t xml:space="preserve"> </w:t>
      </w:r>
      <w:r w:rsidRPr="00D337FA">
        <w:t>связан</w:t>
      </w:r>
      <w:r w:rsidR="006C680D" w:rsidRPr="00D337FA">
        <w:t xml:space="preserve"> </w:t>
      </w:r>
      <w:r w:rsidRPr="00D337FA">
        <w:t>с</w:t>
      </w:r>
      <w:r w:rsidR="006C680D" w:rsidRPr="00D337FA">
        <w:t xml:space="preserve"> </w:t>
      </w:r>
      <w:r w:rsidRPr="00D337FA">
        <w:t>банком</w:t>
      </w:r>
      <w:r w:rsidR="006C680D" w:rsidRPr="00D337FA">
        <w:t xml:space="preserve"> </w:t>
      </w:r>
      <w:r w:rsidRPr="00D337FA">
        <w:t>«Советский»,</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которого</w:t>
      </w:r>
      <w:r w:rsidR="006C680D" w:rsidRPr="00D337FA">
        <w:t xml:space="preserve"> </w:t>
      </w:r>
      <w:r w:rsidRPr="00D337FA">
        <w:t>план</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с</w:t>
      </w:r>
      <w:r w:rsidR="006C680D" w:rsidRPr="00D337FA">
        <w:t xml:space="preserve"> </w:t>
      </w:r>
      <w:r w:rsidRPr="00D337FA">
        <w:t>привлечение</w:t>
      </w:r>
      <w:r w:rsidR="006C680D" w:rsidRPr="00D337FA">
        <w:t xml:space="preserve"> </w:t>
      </w:r>
      <w:r w:rsidRPr="00D337FA">
        <w:t>в</w:t>
      </w:r>
      <w:r w:rsidR="006C680D" w:rsidRPr="00D337FA">
        <w:t xml:space="preserve"> </w:t>
      </w:r>
      <w:r w:rsidRPr="00D337FA">
        <w:t>качестве</w:t>
      </w:r>
      <w:r w:rsidR="006C680D" w:rsidRPr="00D337FA">
        <w:t xml:space="preserve"> </w:t>
      </w:r>
      <w:r w:rsidRPr="00D337FA">
        <w:t>инвестора</w:t>
      </w:r>
      <w:r w:rsidR="006C680D" w:rsidRPr="00D337FA">
        <w:t xml:space="preserve"> </w:t>
      </w:r>
      <w:r w:rsidRPr="00D337FA">
        <w:t>Автовазбанка</w:t>
      </w:r>
      <w:r w:rsidR="006C680D" w:rsidRPr="00D337FA">
        <w:t xml:space="preserve"> </w:t>
      </w:r>
      <w:r w:rsidRPr="00D337FA">
        <w:t>реализовывался</w:t>
      </w:r>
      <w:r w:rsidR="006C680D" w:rsidRPr="00D337FA">
        <w:t xml:space="preserve"> </w:t>
      </w:r>
      <w:r w:rsidRPr="00D337FA">
        <w:t>на</w:t>
      </w:r>
      <w:r w:rsidR="006C680D" w:rsidRPr="00D337FA">
        <w:t xml:space="preserve"> </w:t>
      </w:r>
      <w:r w:rsidRPr="00D337FA">
        <w:t>протяжении</w:t>
      </w:r>
      <w:r w:rsidR="006C680D" w:rsidRPr="00D337FA">
        <w:t xml:space="preserve"> </w:t>
      </w:r>
      <w:r w:rsidRPr="00D337FA">
        <w:t>трех</w:t>
      </w:r>
      <w:r w:rsidR="006C680D" w:rsidRPr="00D337FA">
        <w:t xml:space="preserve"> </w:t>
      </w:r>
      <w:r w:rsidRPr="00D337FA">
        <w:t>лет</w:t>
      </w:r>
      <w:r w:rsidR="006C680D" w:rsidRPr="00D337FA">
        <w:t xml:space="preserve"> </w:t>
      </w:r>
      <w:r w:rsidRPr="00D337FA">
        <w:t>и</w:t>
      </w:r>
      <w:r w:rsidR="006C680D" w:rsidRPr="00D337FA">
        <w:t xml:space="preserve"> </w:t>
      </w:r>
      <w:r w:rsidRPr="00D337FA">
        <w:t>сопровождался</w:t>
      </w:r>
      <w:r w:rsidR="006C680D" w:rsidRPr="00D337FA">
        <w:t xml:space="preserve"> </w:t>
      </w:r>
      <w:r w:rsidRPr="00D337FA">
        <w:t>выделением</w:t>
      </w:r>
      <w:r w:rsidR="006C680D" w:rsidRPr="00D337FA">
        <w:t xml:space="preserve"> </w:t>
      </w:r>
      <w:r w:rsidRPr="00D337FA">
        <w:t>средств</w:t>
      </w:r>
      <w:r w:rsidR="006C680D" w:rsidRPr="00D337FA">
        <w:t xml:space="preserve"> </w:t>
      </w:r>
      <w:r w:rsidRPr="00D337FA">
        <w:t>в</w:t>
      </w:r>
      <w:r w:rsidR="006C680D" w:rsidRPr="00D337FA">
        <w:t xml:space="preserve"> </w:t>
      </w:r>
      <w:r w:rsidRPr="00D337FA">
        <w:t>сумме</w:t>
      </w:r>
      <w:r w:rsidR="006C680D" w:rsidRPr="00D337FA">
        <w:t xml:space="preserve"> </w:t>
      </w:r>
      <w:r w:rsidRPr="00D337FA">
        <w:t>34,2</w:t>
      </w:r>
      <w:r w:rsidR="006C680D" w:rsidRPr="00D337FA">
        <w:t xml:space="preserve"> </w:t>
      </w:r>
      <w:r w:rsidRPr="00D337FA">
        <w:t>млрд</w:t>
      </w:r>
      <w:r w:rsidR="006C680D" w:rsidRPr="00D337FA">
        <w:t xml:space="preserve"> </w:t>
      </w:r>
      <w:r w:rsidRPr="00D337FA">
        <w:t>рублей.</w:t>
      </w:r>
      <w:r w:rsidR="006C680D" w:rsidRPr="00D337FA">
        <w:t xml:space="preserve"> </w:t>
      </w:r>
      <w:r w:rsidRPr="00D337FA">
        <w:t>С</w:t>
      </w:r>
      <w:r w:rsidR="006C680D" w:rsidRPr="00D337FA">
        <w:t xml:space="preserve"> </w:t>
      </w:r>
      <w:r w:rsidRPr="00D337FA">
        <w:t>июля</w:t>
      </w:r>
      <w:r w:rsidR="006C680D" w:rsidRPr="00D337FA">
        <w:t xml:space="preserve"> </w:t>
      </w:r>
      <w:r w:rsidRPr="00D337FA">
        <w:t>2018</w:t>
      </w:r>
      <w:r w:rsidR="006C680D" w:rsidRPr="00D337FA">
        <w:t xml:space="preserve"> </w:t>
      </w:r>
      <w:r w:rsidRPr="00D337FA">
        <w:t>года</w:t>
      </w:r>
      <w:r w:rsidR="006C680D" w:rsidRPr="00D337FA">
        <w:t xml:space="preserve"> </w:t>
      </w:r>
      <w:r w:rsidRPr="00D337FA">
        <w:t>у</w:t>
      </w:r>
      <w:r w:rsidR="006C680D" w:rsidRPr="00D337FA">
        <w:t xml:space="preserve"> </w:t>
      </w:r>
      <w:r w:rsidRPr="00D337FA">
        <w:t>банка</w:t>
      </w:r>
      <w:r w:rsidR="006C680D" w:rsidRPr="00D337FA">
        <w:t xml:space="preserve"> </w:t>
      </w:r>
      <w:r w:rsidRPr="00D337FA">
        <w:t>была</w:t>
      </w:r>
      <w:r w:rsidR="006C680D" w:rsidRPr="00D337FA">
        <w:t xml:space="preserve"> </w:t>
      </w:r>
      <w:r w:rsidRPr="00D337FA">
        <w:t>отозвана</w:t>
      </w:r>
      <w:r w:rsidR="006C680D" w:rsidRPr="00D337FA">
        <w:t xml:space="preserve"> </w:t>
      </w:r>
      <w:r w:rsidRPr="00D337FA">
        <w:t>лицензия</w:t>
      </w:r>
      <w:r w:rsidR="006C680D" w:rsidRPr="00D337FA">
        <w:t xml:space="preserve"> </w:t>
      </w:r>
      <w:r w:rsidRPr="00D337FA">
        <w:t>на</w:t>
      </w:r>
      <w:r w:rsidR="006C680D" w:rsidRPr="00D337FA">
        <w:t xml:space="preserve"> </w:t>
      </w:r>
      <w:r w:rsidRPr="00D337FA">
        <w:t>право</w:t>
      </w:r>
      <w:r w:rsidR="006C680D" w:rsidRPr="00D337FA">
        <w:t xml:space="preserve"> </w:t>
      </w:r>
      <w:r w:rsidRPr="00D337FA">
        <w:t>осуществления</w:t>
      </w:r>
      <w:r w:rsidR="006C680D" w:rsidRPr="00D337FA">
        <w:t xml:space="preserve"> </w:t>
      </w:r>
      <w:r w:rsidRPr="00D337FA">
        <w:t>банковских</w:t>
      </w:r>
      <w:r w:rsidR="006C680D" w:rsidRPr="00D337FA">
        <w:t xml:space="preserve"> </w:t>
      </w:r>
      <w:r w:rsidRPr="00D337FA">
        <w:t>операций</w:t>
      </w:r>
      <w:r w:rsidR="006C680D" w:rsidRPr="00D337FA">
        <w:t xml:space="preserve"> </w:t>
      </w:r>
      <w:r w:rsidRPr="00D337FA">
        <w:t>в</w:t>
      </w:r>
      <w:r w:rsidR="006C680D" w:rsidRPr="00D337FA">
        <w:t xml:space="preserve"> </w:t>
      </w:r>
      <w:r w:rsidRPr="00D337FA">
        <w:t>связи</w:t>
      </w:r>
      <w:r w:rsidR="006C680D" w:rsidRPr="00D337FA">
        <w:t xml:space="preserve"> </w:t>
      </w:r>
      <w:r w:rsidRPr="00D337FA">
        <w:t>со</w:t>
      </w:r>
      <w:r w:rsidR="006C680D" w:rsidRPr="00D337FA">
        <w:t xml:space="preserve"> </w:t>
      </w:r>
      <w:r w:rsidRPr="00D337FA">
        <w:t>значением</w:t>
      </w:r>
      <w:r w:rsidR="006C680D" w:rsidRPr="00D337FA">
        <w:t xml:space="preserve"> </w:t>
      </w:r>
      <w:r w:rsidRPr="00D337FA">
        <w:t>всех</w:t>
      </w:r>
      <w:r w:rsidR="006C680D" w:rsidRPr="00D337FA">
        <w:t xml:space="preserve"> </w:t>
      </w:r>
      <w:r w:rsidRPr="00D337FA">
        <w:t>нормативов</w:t>
      </w:r>
      <w:r w:rsidR="006C680D" w:rsidRPr="00D337FA">
        <w:t xml:space="preserve"> </w:t>
      </w:r>
      <w:r w:rsidRPr="00D337FA">
        <w:t>достаточности</w:t>
      </w:r>
      <w:r w:rsidR="006C680D" w:rsidRPr="00D337FA">
        <w:t xml:space="preserve"> </w:t>
      </w:r>
      <w:r w:rsidRPr="00D337FA">
        <w:t>собственного</w:t>
      </w:r>
      <w:r w:rsidR="006C680D" w:rsidRPr="00D337FA">
        <w:t xml:space="preserve"> </w:t>
      </w:r>
      <w:r w:rsidRPr="00D337FA">
        <w:t>капитала</w:t>
      </w:r>
      <w:r w:rsidR="006C680D" w:rsidRPr="00D337FA">
        <w:t xml:space="preserve"> </w:t>
      </w:r>
      <w:r w:rsidRPr="00D337FA">
        <w:t>ниже</w:t>
      </w:r>
      <w:r w:rsidR="006C680D" w:rsidRPr="00D337FA">
        <w:t xml:space="preserve"> </w:t>
      </w:r>
      <w:r w:rsidRPr="00D337FA">
        <w:t>2%</w:t>
      </w:r>
      <w:r w:rsidR="006C680D" w:rsidRPr="00D337FA">
        <w:t xml:space="preserve"> </w:t>
      </w:r>
      <w:r w:rsidRPr="00D337FA">
        <w:t>и</w:t>
      </w:r>
      <w:r w:rsidR="006C680D" w:rsidRPr="00D337FA">
        <w:t xml:space="preserve"> </w:t>
      </w:r>
      <w:r w:rsidRPr="00D337FA">
        <w:t>снижением</w:t>
      </w:r>
      <w:r w:rsidR="006C680D" w:rsidRPr="00D337FA">
        <w:t xml:space="preserve"> </w:t>
      </w:r>
      <w:r w:rsidRPr="00D337FA">
        <w:t>размера</w:t>
      </w:r>
      <w:r w:rsidR="006C680D" w:rsidRPr="00D337FA">
        <w:t xml:space="preserve"> </w:t>
      </w:r>
      <w:r w:rsidRPr="00D337FA">
        <w:t>капитала</w:t>
      </w:r>
      <w:r w:rsidR="006C680D" w:rsidRPr="00D337FA">
        <w:t xml:space="preserve"> </w:t>
      </w:r>
      <w:r w:rsidRPr="00D337FA">
        <w:t>ниже</w:t>
      </w:r>
      <w:r w:rsidR="006C680D" w:rsidRPr="00D337FA">
        <w:t xml:space="preserve"> </w:t>
      </w:r>
      <w:r w:rsidRPr="00D337FA">
        <w:t>минимального</w:t>
      </w:r>
      <w:r w:rsidR="006C680D" w:rsidRPr="00D337FA">
        <w:t xml:space="preserve"> </w:t>
      </w:r>
      <w:r w:rsidRPr="00D337FA">
        <w:t>значения</w:t>
      </w:r>
      <w:r w:rsidR="006C680D" w:rsidRPr="00D337FA">
        <w:t xml:space="preserve"> </w:t>
      </w:r>
      <w:r w:rsidRPr="00D337FA">
        <w:t>уставного</w:t>
      </w:r>
      <w:r w:rsidR="006C680D" w:rsidRPr="00D337FA">
        <w:t xml:space="preserve"> </w:t>
      </w:r>
      <w:r w:rsidRPr="00D337FA">
        <w:t>капитала.</w:t>
      </w:r>
      <w:r w:rsidR="006C680D" w:rsidRPr="00D337FA">
        <w:t xml:space="preserve"> </w:t>
      </w:r>
      <w:r w:rsidRPr="00D337FA">
        <w:t>По</w:t>
      </w:r>
      <w:r w:rsidR="006C680D" w:rsidRPr="00D337FA">
        <w:t xml:space="preserve"> </w:t>
      </w:r>
      <w:r w:rsidRPr="00D337FA">
        <w:t>мнению</w:t>
      </w:r>
      <w:r w:rsidR="006C680D" w:rsidRPr="00D337FA">
        <w:t xml:space="preserve"> </w:t>
      </w:r>
      <w:r w:rsidRPr="00D337FA">
        <w:t>экспертов,</w:t>
      </w:r>
      <w:r w:rsidR="006C680D" w:rsidRPr="00D337FA">
        <w:t xml:space="preserve"> </w:t>
      </w:r>
      <w:r w:rsidRPr="00D337FA">
        <w:t>если</w:t>
      </w:r>
      <w:r w:rsidR="006C680D" w:rsidRPr="00D337FA">
        <w:t xml:space="preserve"> </w:t>
      </w:r>
      <w:r w:rsidRPr="00D337FA">
        <w:t>бы</w:t>
      </w:r>
      <w:r w:rsidR="006C680D" w:rsidRPr="00D337FA">
        <w:t xml:space="preserve"> </w:t>
      </w:r>
      <w:r w:rsidRPr="00D337FA">
        <w:t>у</w:t>
      </w:r>
      <w:r w:rsidR="006C680D" w:rsidRPr="00D337FA">
        <w:t xml:space="preserve"> </w:t>
      </w:r>
      <w:r w:rsidRPr="00D337FA">
        <w:t>банка</w:t>
      </w:r>
      <w:r w:rsidR="006C680D" w:rsidRPr="00D337FA">
        <w:t xml:space="preserve"> </w:t>
      </w:r>
      <w:r w:rsidRPr="00D337FA">
        <w:t>лицензия</w:t>
      </w:r>
      <w:r w:rsidR="006C680D" w:rsidRPr="00D337FA">
        <w:t xml:space="preserve"> </w:t>
      </w:r>
      <w:r w:rsidRPr="00D337FA">
        <w:t>была</w:t>
      </w:r>
      <w:r w:rsidR="006C680D" w:rsidRPr="00D337FA">
        <w:t xml:space="preserve"> </w:t>
      </w:r>
      <w:r w:rsidRPr="00D337FA">
        <w:t>бы</w:t>
      </w:r>
      <w:r w:rsidR="006C680D" w:rsidRPr="00D337FA">
        <w:t xml:space="preserve"> </w:t>
      </w:r>
      <w:r w:rsidRPr="00D337FA">
        <w:t>отозвана</w:t>
      </w:r>
      <w:r w:rsidR="006C680D" w:rsidRPr="00D337FA">
        <w:t xml:space="preserve"> </w:t>
      </w:r>
      <w:r w:rsidRPr="00D337FA">
        <w:t>еще</w:t>
      </w:r>
      <w:r w:rsidR="006C680D" w:rsidRPr="00D337FA">
        <w:t xml:space="preserve"> </w:t>
      </w:r>
      <w:r w:rsidRPr="00D337FA">
        <w:t>в</w:t>
      </w:r>
      <w:r w:rsidR="006C680D" w:rsidRPr="00D337FA">
        <w:t xml:space="preserve"> </w:t>
      </w:r>
      <w:r w:rsidRPr="00D337FA">
        <w:t>2015</w:t>
      </w:r>
      <w:r w:rsidR="006C680D" w:rsidRPr="00D337FA">
        <w:t xml:space="preserve"> </w:t>
      </w:r>
      <w:r w:rsidRPr="00D337FA">
        <w:t>году,</w:t>
      </w:r>
      <w:r w:rsidR="006C680D" w:rsidRPr="00D337FA">
        <w:t xml:space="preserve"> </w:t>
      </w:r>
      <w:r w:rsidRPr="00D337FA">
        <w:t>затраты</w:t>
      </w:r>
      <w:r w:rsidR="006C680D" w:rsidRPr="00D337FA">
        <w:t xml:space="preserve"> </w:t>
      </w:r>
      <w:r w:rsidRPr="00D337FA">
        <w:t>на</w:t>
      </w:r>
      <w:r w:rsidR="006C680D" w:rsidRPr="00D337FA">
        <w:t xml:space="preserve"> </w:t>
      </w:r>
      <w:r w:rsidRPr="00D337FA">
        <w:t>выплаты</w:t>
      </w:r>
      <w:r w:rsidR="006C680D" w:rsidRPr="00D337FA">
        <w:t xml:space="preserve"> </w:t>
      </w:r>
      <w:r w:rsidRPr="00D337FA">
        <w:t>клиентам</w:t>
      </w:r>
      <w:r w:rsidR="006C680D" w:rsidRPr="00D337FA">
        <w:t xml:space="preserve"> </w:t>
      </w:r>
      <w:r w:rsidRPr="00D337FA">
        <w:t>банка</w:t>
      </w:r>
      <w:r w:rsidR="006C680D" w:rsidRPr="00D337FA">
        <w:t xml:space="preserve"> </w:t>
      </w:r>
      <w:r w:rsidRPr="00D337FA">
        <w:t>оказались</w:t>
      </w:r>
      <w:r w:rsidR="006C680D" w:rsidRPr="00D337FA">
        <w:t xml:space="preserve"> </w:t>
      </w:r>
      <w:r w:rsidRPr="00D337FA">
        <w:t>бы</w:t>
      </w:r>
      <w:r w:rsidR="006C680D" w:rsidRPr="00D337FA">
        <w:t xml:space="preserve"> </w:t>
      </w:r>
      <w:r w:rsidRPr="00D337FA">
        <w:t>в</w:t>
      </w:r>
      <w:r w:rsidR="006C680D" w:rsidRPr="00D337FA">
        <w:t xml:space="preserve"> </w:t>
      </w:r>
      <w:r w:rsidRPr="00D337FA">
        <w:t>полтора-два</w:t>
      </w:r>
      <w:r w:rsidR="006C680D" w:rsidRPr="00D337FA">
        <w:t xml:space="preserve"> </w:t>
      </w:r>
      <w:r w:rsidRPr="00D337FA">
        <w:t>раза</w:t>
      </w:r>
      <w:r w:rsidR="006C680D" w:rsidRPr="00D337FA">
        <w:t xml:space="preserve"> </w:t>
      </w:r>
      <w:r w:rsidRPr="00D337FA">
        <w:t>ниже</w:t>
      </w:r>
      <w:r w:rsidR="006C680D" w:rsidRPr="00D337FA">
        <w:t xml:space="preserve"> </w:t>
      </w:r>
      <w:r w:rsidRPr="00D337FA">
        <w:t>затрат</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[17].</w:t>
      </w:r>
    </w:p>
    <w:p w:rsidR="004A1229" w:rsidRPr="00D337FA" w:rsidRDefault="004A1229" w:rsidP="004A1229">
      <w:r w:rsidRPr="00D337FA">
        <w:t>Низкая</w:t>
      </w:r>
      <w:r w:rsidR="006C680D" w:rsidRPr="00D337FA">
        <w:t xml:space="preserve"> </w:t>
      </w:r>
      <w:r w:rsidRPr="00D337FA">
        <w:t>эффективность</w:t>
      </w:r>
      <w:r w:rsidR="006C680D" w:rsidRPr="00D337FA">
        <w:t xml:space="preserve"> </w:t>
      </w:r>
      <w:r w:rsidRPr="00D337FA">
        <w:t>санаций</w:t>
      </w:r>
      <w:r w:rsidR="006C680D" w:rsidRPr="00D337FA">
        <w:t xml:space="preserve"> </w:t>
      </w:r>
      <w:r w:rsidRPr="00D337FA">
        <w:t>под</w:t>
      </w:r>
      <w:r w:rsidR="006C680D" w:rsidRPr="00D337FA">
        <w:t xml:space="preserve"> </w:t>
      </w:r>
      <w:r w:rsidRPr="00D337FA">
        <w:t>управлением</w:t>
      </w:r>
      <w:r w:rsidR="006C680D" w:rsidRPr="00D337FA">
        <w:t xml:space="preserve"> </w:t>
      </w:r>
      <w:r w:rsidRPr="00D337FA">
        <w:t>Агентства</w:t>
      </w:r>
      <w:r w:rsidR="006C680D" w:rsidRPr="00D337FA">
        <w:t xml:space="preserve"> </w:t>
      </w:r>
      <w:r w:rsidRPr="00D337FA">
        <w:t>стала</w:t>
      </w:r>
      <w:r w:rsidR="006C680D" w:rsidRPr="00D337FA">
        <w:t xml:space="preserve"> </w:t>
      </w:r>
      <w:r w:rsidRPr="00D337FA">
        <w:t>одной</w:t>
      </w:r>
      <w:r w:rsidR="006C680D" w:rsidRPr="00D337FA">
        <w:t xml:space="preserve"> </w:t>
      </w:r>
      <w:r w:rsidRPr="00D337FA">
        <w:t>из</w:t>
      </w:r>
      <w:r w:rsidR="006C680D" w:rsidRPr="00D337FA">
        <w:t xml:space="preserve"> </w:t>
      </w:r>
      <w:r w:rsidRPr="00D337FA">
        <w:t>причин,</w:t>
      </w:r>
      <w:r w:rsidR="006C680D" w:rsidRPr="00D337FA">
        <w:t xml:space="preserve"> </w:t>
      </w:r>
      <w:r w:rsidRPr="00D337FA">
        <w:t>обусловивших</w:t>
      </w:r>
      <w:r w:rsidR="006C680D" w:rsidRPr="00D337FA">
        <w:t xml:space="preserve"> </w:t>
      </w:r>
      <w:r w:rsidRPr="00D337FA">
        <w:t>переход</w:t>
      </w:r>
      <w:r w:rsidR="006C680D" w:rsidRPr="00D337FA">
        <w:t xml:space="preserve"> </w:t>
      </w:r>
      <w:r w:rsidRPr="00D337FA">
        <w:t>к</w:t>
      </w:r>
      <w:r w:rsidR="006C680D" w:rsidRPr="00D337FA">
        <w:t xml:space="preserve"> </w:t>
      </w:r>
      <w:r w:rsidRPr="00D337FA">
        <w:t>новой</w:t>
      </w:r>
      <w:r w:rsidR="006C680D" w:rsidRPr="00D337FA">
        <w:t xml:space="preserve"> </w:t>
      </w:r>
      <w:r w:rsidRPr="00D337FA">
        <w:t>модели</w:t>
      </w:r>
      <w:r w:rsidR="006C680D" w:rsidRPr="00D337FA">
        <w:t xml:space="preserve"> </w:t>
      </w:r>
      <w:r w:rsidRPr="00D337FA">
        <w:t>санации</w:t>
      </w:r>
      <w:r w:rsidR="006C680D" w:rsidRPr="00D337FA">
        <w:t xml:space="preserve"> </w:t>
      </w:r>
      <w:r w:rsidRPr="00D337FA">
        <w:t>через</w:t>
      </w:r>
      <w:r w:rsidR="006C680D" w:rsidRPr="00D337FA">
        <w:t xml:space="preserve"> </w:t>
      </w:r>
      <w:r w:rsidRPr="00D337FA">
        <w:t>Фонд</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r w:rsidR="006C680D" w:rsidRPr="00D337FA">
        <w:t xml:space="preserve"> </w:t>
      </w:r>
      <w:r w:rsidRPr="00D337FA">
        <w:t>Комментируя</w:t>
      </w:r>
      <w:r w:rsidR="006C680D" w:rsidRPr="00D337FA">
        <w:t xml:space="preserve"> </w:t>
      </w:r>
      <w:r w:rsidRPr="00D337FA">
        <w:t>содер</w:t>
      </w:r>
      <w:r w:rsidRPr="00D337FA">
        <w:lastRenderedPageBreak/>
        <w:t>жание</w:t>
      </w:r>
      <w:r w:rsidR="006C680D" w:rsidRPr="00D337FA">
        <w:t xml:space="preserve"> </w:t>
      </w:r>
      <w:r w:rsidRPr="00D337FA">
        <w:t>нового</w:t>
      </w:r>
      <w:r w:rsidR="006C680D" w:rsidRPr="00D337FA">
        <w:t xml:space="preserve"> </w:t>
      </w:r>
      <w:r w:rsidRPr="00D337FA">
        <w:t>механизма</w:t>
      </w:r>
      <w:r w:rsidR="006C680D" w:rsidRPr="00D337FA">
        <w:t xml:space="preserve"> </w:t>
      </w:r>
      <w:r w:rsidRPr="00D337FA">
        <w:t>санации,</w:t>
      </w:r>
      <w:r w:rsidR="006C680D" w:rsidRPr="00D337FA">
        <w:t xml:space="preserve"> </w:t>
      </w:r>
      <w:r w:rsidRPr="00D337FA">
        <w:t>эксперты</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отметили</w:t>
      </w:r>
      <w:r w:rsidR="006C680D" w:rsidRPr="00D337FA">
        <w:t xml:space="preserve"> </w:t>
      </w:r>
      <w:r w:rsidRPr="00D337FA">
        <w:t>негативные</w:t>
      </w:r>
      <w:r w:rsidR="006C680D" w:rsidRPr="00D337FA">
        <w:t xml:space="preserve"> </w:t>
      </w:r>
      <w:r w:rsidRPr="00D337FA">
        <w:t>тенденции</w:t>
      </w:r>
      <w:r w:rsidR="006C680D" w:rsidRPr="00D337FA">
        <w:t xml:space="preserve"> </w:t>
      </w:r>
      <w:r w:rsidRPr="00D337FA">
        <w:t>в</w:t>
      </w:r>
      <w:r w:rsidR="006C680D" w:rsidRPr="00D337FA">
        <w:t xml:space="preserve"> </w:t>
      </w:r>
      <w:r w:rsidRPr="00D337FA">
        <w:t>использовании</w:t>
      </w:r>
      <w:r w:rsidR="006C680D" w:rsidRPr="00D337FA">
        <w:t xml:space="preserve"> </w:t>
      </w:r>
      <w:r w:rsidRPr="00D337FA">
        <w:t>«кредитного</w:t>
      </w:r>
      <w:r w:rsidR="006C680D" w:rsidRPr="00D337FA">
        <w:t xml:space="preserve"> </w:t>
      </w:r>
      <w:r w:rsidRPr="00D337FA">
        <w:t>механизма»</w:t>
      </w:r>
      <w:r w:rsidR="006C680D" w:rsidRPr="00D337FA">
        <w:t xml:space="preserve"> </w:t>
      </w:r>
      <w:r w:rsidRPr="00D337FA">
        <w:t>предупреждения</w:t>
      </w:r>
      <w:r w:rsidR="006C680D" w:rsidRPr="00D337FA">
        <w:t xml:space="preserve"> </w:t>
      </w:r>
      <w:r w:rsidRPr="00D337FA">
        <w:t>банкротства</w:t>
      </w:r>
      <w:r w:rsidR="006C680D" w:rsidRPr="00D337FA">
        <w:t xml:space="preserve"> </w:t>
      </w:r>
      <w:r w:rsidRPr="00D337FA">
        <w:t>банков</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Агентства,</w:t>
      </w:r>
      <w:r w:rsidR="006C680D" w:rsidRPr="00D337FA">
        <w:t xml:space="preserve"> </w:t>
      </w:r>
      <w:r w:rsidRPr="00D337FA">
        <w:t>связанные</w:t>
      </w:r>
      <w:r w:rsidR="006C680D" w:rsidRPr="00D337FA">
        <w:t xml:space="preserve"> </w:t>
      </w:r>
      <w:r w:rsidRPr="00D337FA">
        <w:t>с</w:t>
      </w:r>
      <w:r w:rsidR="006C680D" w:rsidRPr="00D337FA">
        <w:t xml:space="preserve"> </w:t>
      </w:r>
      <w:r w:rsidRPr="00D337FA">
        <w:t>трудностями</w:t>
      </w:r>
      <w:r w:rsidR="006C680D" w:rsidRPr="00D337FA">
        <w:t xml:space="preserve"> </w:t>
      </w:r>
      <w:r w:rsidRPr="00D337FA">
        <w:t>ранней</w:t>
      </w:r>
      <w:r w:rsidR="006C680D" w:rsidRPr="00D337FA">
        <w:t xml:space="preserve"> </w:t>
      </w:r>
      <w:r w:rsidRPr="00D337FA">
        <w:t>диагностики</w:t>
      </w:r>
      <w:r w:rsidR="006C680D" w:rsidRPr="00D337FA">
        <w:t xml:space="preserve"> </w:t>
      </w:r>
      <w:r w:rsidRPr="00D337FA">
        <w:t>проблем,</w:t>
      </w:r>
      <w:r w:rsidR="006C680D" w:rsidRPr="00D337FA">
        <w:t xml:space="preserve"> </w:t>
      </w:r>
      <w:r w:rsidRPr="00D337FA">
        <w:t>возникающих</w:t>
      </w:r>
      <w:r w:rsidR="006C680D" w:rsidRPr="00D337FA">
        <w:t xml:space="preserve"> </w:t>
      </w:r>
      <w:r w:rsidRPr="00D337FA">
        <w:t>у</w:t>
      </w:r>
      <w:r w:rsidR="006C680D" w:rsidRPr="00D337FA">
        <w:t xml:space="preserve"> </w:t>
      </w:r>
      <w:r w:rsidRPr="00D337FA">
        <w:t>банка-санатора,</w:t>
      </w:r>
      <w:r w:rsidR="006C680D" w:rsidRPr="00D337FA">
        <w:t xml:space="preserve"> </w:t>
      </w:r>
      <w:r w:rsidRPr="00D337FA">
        <w:t>ростом</w:t>
      </w:r>
      <w:r w:rsidR="006C680D" w:rsidRPr="00D337FA">
        <w:t xml:space="preserve"> </w:t>
      </w:r>
      <w:r w:rsidRPr="00D337FA">
        <w:t>государственных</w:t>
      </w:r>
      <w:r w:rsidR="006C680D" w:rsidRPr="00D337FA">
        <w:t xml:space="preserve"> </w:t>
      </w:r>
      <w:r w:rsidRPr="00D337FA">
        <w:t>расходов</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увеличением</w:t>
      </w:r>
      <w:r w:rsidR="006C680D" w:rsidRPr="00D337FA">
        <w:t xml:space="preserve"> </w:t>
      </w:r>
      <w:r w:rsidRPr="00D337FA">
        <w:t>сроков</w:t>
      </w:r>
      <w:r w:rsidR="006C680D" w:rsidRPr="00D337FA">
        <w:t xml:space="preserve"> </w:t>
      </w:r>
      <w:r w:rsidRPr="00D337FA">
        <w:t>выполнения</w:t>
      </w:r>
      <w:r w:rsidR="006C680D" w:rsidRPr="00D337FA">
        <w:t xml:space="preserve"> </w:t>
      </w:r>
      <w:r w:rsidRPr="00D337FA">
        <w:t>уже</w:t>
      </w:r>
      <w:r w:rsidR="006C680D" w:rsidRPr="00D337FA">
        <w:t xml:space="preserve"> </w:t>
      </w:r>
      <w:r w:rsidRPr="00D337FA">
        <w:t>реализуемых</w:t>
      </w:r>
      <w:r w:rsidR="006C680D" w:rsidRPr="00D337FA">
        <w:t xml:space="preserve"> </w:t>
      </w:r>
      <w:r w:rsidRPr="00D337FA">
        <w:t>проектов</w:t>
      </w:r>
      <w:r w:rsidR="006C680D" w:rsidRPr="00D337FA">
        <w:t xml:space="preserve"> </w:t>
      </w:r>
      <w:r w:rsidRPr="00D337FA">
        <w:t>по</w:t>
      </w:r>
      <w:r w:rsidR="006C680D" w:rsidRPr="00D337FA">
        <w:t xml:space="preserve"> </w:t>
      </w:r>
      <w:r w:rsidRPr="00D337FA">
        <w:t>оздоровлению</w:t>
      </w:r>
      <w:r w:rsidR="006C680D" w:rsidRPr="00D337FA">
        <w:t xml:space="preserve"> </w:t>
      </w:r>
      <w:r w:rsidRPr="00D337FA">
        <w:t>банков</w:t>
      </w:r>
      <w:r w:rsidR="006C680D" w:rsidRPr="00D337FA">
        <w:t xml:space="preserve"> </w:t>
      </w:r>
      <w:r w:rsidRPr="00D337FA">
        <w:t>и</w:t>
      </w:r>
      <w:r w:rsidR="006C680D" w:rsidRPr="00D337FA">
        <w:t xml:space="preserve"> </w:t>
      </w:r>
      <w:r w:rsidRPr="00D337FA">
        <w:t>низкой</w:t>
      </w:r>
      <w:r w:rsidR="006C680D" w:rsidRPr="00D337FA">
        <w:t xml:space="preserve"> </w:t>
      </w:r>
      <w:r w:rsidRPr="00D337FA">
        <w:t>степенью</w:t>
      </w:r>
      <w:r w:rsidR="006C680D" w:rsidRPr="00D337FA">
        <w:t xml:space="preserve"> </w:t>
      </w:r>
      <w:r w:rsidRPr="00D337FA">
        <w:t>контроля</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за</w:t>
      </w:r>
      <w:r w:rsidR="006C680D" w:rsidRPr="00D337FA">
        <w:t xml:space="preserve"> </w:t>
      </w:r>
      <w:r w:rsidRPr="00D337FA">
        <w:t>процедурами</w:t>
      </w:r>
      <w:r w:rsidR="006C680D" w:rsidRPr="00D337FA">
        <w:t xml:space="preserve"> </w:t>
      </w:r>
      <w:r w:rsidRPr="00D337FA">
        <w:t>санации</w:t>
      </w:r>
      <w:r w:rsidR="006C680D" w:rsidRPr="00D337FA">
        <w:t xml:space="preserve"> </w:t>
      </w:r>
      <w:r w:rsidRPr="00D337FA">
        <w:t>[18].</w:t>
      </w:r>
      <w:r w:rsidR="006C680D" w:rsidRPr="00D337FA">
        <w:t xml:space="preserve"> </w:t>
      </w:r>
    </w:p>
    <w:p w:rsidR="004A1229" w:rsidRPr="00D337FA" w:rsidRDefault="004A1229" w:rsidP="004A1229">
      <w:r w:rsidRPr="00D337FA">
        <w:t>Внедрение</w:t>
      </w:r>
      <w:r w:rsidR="006C680D" w:rsidRPr="00D337FA">
        <w:t xml:space="preserve"> </w:t>
      </w:r>
      <w:r w:rsidRPr="00D337FA">
        <w:t>новой</w:t>
      </w:r>
      <w:r w:rsidR="006C680D" w:rsidRPr="00D337FA">
        <w:t xml:space="preserve"> </w:t>
      </w:r>
      <w:r w:rsidRPr="00D337FA">
        <w:t>модели</w:t>
      </w:r>
      <w:r w:rsidR="006C680D" w:rsidRPr="00D337FA">
        <w:t xml:space="preserve"> </w:t>
      </w:r>
      <w:r w:rsidRPr="00D337FA">
        <w:t>санации</w:t>
      </w:r>
      <w:r w:rsidR="006C680D" w:rsidRPr="00D337FA">
        <w:t xml:space="preserve"> </w:t>
      </w:r>
      <w:r w:rsidRPr="00D337FA">
        <w:t>сопровождалось</w:t>
      </w:r>
      <w:r w:rsidR="006C680D" w:rsidRPr="00D337FA">
        <w:t xml:space="preserve"> </w:t>
      </w:r>
      <w:r w:rsidRPr="00D337FA">
        <w:t>разработкой</w:t>
      </w:r>
      <w:r w:rsidR="006C680D" w:rsidRPr="00D337FA">
        <w:t xml:space="preserve"> </w:t>
      </w:r>
      <w:r w:rsidRPr="00D337FA">
        <w:t>пакета</w:t>
      </w:r>
      <w:r w:rsidR="006C680D" w:rsidRPr="00D337FA">
        <w:t xml:space="preserve"> </w:t>
      </w:r>
      <w:r w:rsidRPr="00D337FA">
        <w:t>нормативных</w:t>
      </w:r>
      <w:r w:rsidR="006C680D" w:rsidRPr="00D337FA">
        <w:t xml:space="preserve"> </w:t>
      </w:r>
      <w:r w:rsidRPr="00D337FA">
        <w:t>документов,</w:t>
      </w:r>
      <w:r w:rsidR="006C680D" w:rsidRPr="00D337FA">
        <w:t xml:space="preserve"> </w:t>
      </w:r>
      <w:r w:rsidRPr="00D337FA">
        <w:t>регламентирующих</w:t>
      </w:r>
      <w:r w:rsidR="006C680D" w:rsidRPr="00D337FA">
        <w:t xml:space="preserve"> </w:t>
      </w:r>
      <w:r w:rsidRPr="00D337FA">
        <w:t>требования</w:t>
      </w:r>
      <w:r w:rsidR="006C680D" w:rsidRPr="00D337FA">
        <w:t xml:space="preserve"> </w:t>
      </w:r>
      <w:r w:rsidRPr="00D337FA">
        <w:t>к</w:t>
      </w:r>
      <w:r w:rsidR="006C680D" w:rsidRPr="00D337FA">
        <w:t xml:space="preserve"> </w:t>
      </w:r>
      <w:r w:rsidRPr="00D337FA">
        <w:t>потенциальным</w:t>
      </w:r>
      <w:r w:rsidR="006C680D" w:rsidRPr="00D337FA">
        <w:t xml:space="preserve"> </w:t>
      </w:r>
      <w:r w:rsidRPr="00D337FA">
        <w:t>инвесторам,</w:t>
      </w:r>
      <w:r w:rsidR="006C680D" w:rsidRPr="00D337FA">
        <w:t xml:space="preserve"> </w:t>
      </w:r>
      <w:r w:rsidRPr="00D337FA">
        <w:t>процедуры</w:t>
      </w:r>
      <w:r w:rsidR="006C680D" w:rsidRPr="00D337FA">
        <w:t xml:space="preserve"> </w:t>
      </w:r>
      <w:r w:rsidRPr="00D337FA">
        <w:t>разработки</w:t>
      </w:r>
      <w:r w:rsidR="006C680D" w:rsidRPr="00D337FA">
        <w:t xml:space="preserve"> </w:t>
      </w:r>
      <w:r w:rsidRPr="00D337FA">
        <w:t>и</w:t>
      </w:r>
      <w:r w:rsidR="006C680D" w:rsidRPr="00D337FA">
        <w:t xml:space="preserve"> </w:t>
      </w:r>
      <w:r w:rsidRPr="00D337FA">
        <w:t>реализации</w:t>
      </w:r>
      <w:r w:rsidR="006C680D" w:rsidRPr="00D337FA">
        <w:t xml:space="preserve"> </w:t>
      </w:r>
      <w:r w:rsidRPr="00D337FA">
        <w:t>плана</w:t>
      </w:r>
      <w:r w:rsidR="006C680D" w:rsidRPr="00D337FA">
        <w:t xml:space="preserve"> </w:t>
      </w:r>
      <w:r w:rsidRPr="00D337FA">
        <w:t>санации,</w:t>
      </w:r>
      <w:r w:rsidR="006C680D" w:rsidRPr="00D337FA">
        <w:t xml:space="preserve"> </w:t>
      </w:r>
      <w:r w:rsidRPr="00D337FA">
        <w:t>выполнения</w:t>
      </w:r>
      <w:r w:rsidR="006C680D" w:rsidRPr="00D337FA">
        <w:t xml:space="preserve"> </w:t>
      </w:r>
      <w:r w:rsidRPr="00D337FA">
        <w:t>банками,</w:t>
      </w:r>
      <w:r w:rsidR="006C680D" w:rsidRPr="00D337FA">
        <w:t xml:space="preserve"> </w:t>
      </w:r>
      <w:r w:rsidRPr="00D337FA">
        <w:t>находящимися</w:t>
      </w:r>
      <w:r w:rsidR="006C680D" w:rsidRPr="00D337FA">
        <w:t xml:space="preserve"> </w:t>
      </w:r>
      <w:r w:rsidRPr="00D337FA">
        <w:t>на</w:t>
      </w:r>
      <w:r w:rsidR="006C680D" w:rsidRPr="00D337FA">
        <w:t xml:space="preserve"> </w:t>
      </w:r>
      <w:r w:rsidRPr="00D337FA">
        <w:t>финансовом</w:t>
      </w:r>
      <w:r w:rsidR="006C680D" w:rsidRPr="00D337FA">
        <w:t xml:space="preserve"> </w:t>
      </w:r>
      <w:r w:rsidRPr="00D337FA">
        <w:t>оздоровлении</w:t>
      </w:r>
      <w:r w:rsidR="006C680D" w:rsidRPr="00D337FA">
        <w:t xml:space="preserve"> </w:t>
      </w:r>
      <w:r w:rsidRPr="00D337FA">
        <w:t>пруденциальных</w:t>
      </w:r>
      <w:r w:rsidR="006C680D" w:rsidRPr="00D337FA">
        <w:t xml:space="preserve"> </w:t>
      </w:r>
      <w:r w:rsidRPr="00D337FA">
        <w:t>требований</w:t>
      </w:r>
      <w:r w:rsidR="006C680D" w:rsidRPr="00D337FA">
        <w:t xml:space="preserve"> </w:t>
      </w:r>
      <w:r w:rsidRPr="00D337FA">
        <w:t>и</w:t>
      </w:r>
      <w:r w:rsidR="006C680D" w:rsidRPr="00D337FA">
        <w:t xml:space="preserve"> </w:t>
      </w:r>
      <w:r w:rsidRPr="00D337FA">
        <w:t>другие</w:t>
      </w:r>
      <w:r w:rsidR="006C680D" w:rsidRPr="00D337FA">
        <w:t xml:space="preserve"> </w:t>
      </w:r>
      <w:r w:rsidRPr="00D337FA">
        <w:t>вопросы.</w:t>
      </w:r>
      <w:r w:rsidR="006C680D" w:rsidRPr="00D337FA">
        <w:t xml:space="preserve">   </w:t>
      </w:r>
    </w:p>
    <w:p w:rsidR="004A1229" w:rsidRPr="00D337FA" w:rsidRDefault="004A1229" w:rsidP="004A1229">
      <w:r w:rsidRPr="00D337FA">
        <w:t>Механизм</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предполагает</w:t>
      </w:r>
      <w:r w:rsidR="006C680D" w:rsidRPr="00D337FA">
        <w:t xml:space="preserve"> </w:t>
      </w:r>
      <w:r w:rsidRPr="00D337FA">
        <w:t>принятие</w:t>
      </w:r>
      <w:r w:rsidR="006C680D" w:rsidRPr="00D337FA">
        <w:t xml:space="preserve"> </w:t>
      </w:r>
      <w:r w:rsidRPr="00D337FA">
        <w:t>решения</w:t>
      </w:r>
      <w:r w:rsidR="006C680D" w:rsidRPr="00D337FA">
        <w:t xml:space="preserve"> </w:t>
      </w:r>
      <w:r w:rsidRPr="00D337FA">
        <w:t>целесообразности</w:t>
      </w:r>
      <w:r w:rsidR="006C680D" w:rsidRPr="00D337FA">
        <w:t xml:space="preserve"> </w:t>
      </w:r>
      <w:r w:rsidRPr="00D337FA">
        <w:lastRenderedPageBreak/>
        <w:t>реализации</w:t>
      </w:r>
      <w:r w:rsidR="006C680D" w:rsidRPr="00D337FA">
        <w:t xml:space="preserve"> </w:t>
      </w:r>
      <w:r w:rsidRPr="00D337FA">
        <w:t>мер</w:t>
      </w:r>
      <w:r w:rsidR="006C680D" w:rsidRPr="00D337FA">
        <w:t xml:space="preserve"> </w:t>
      </w:r>
      <w:r w:rsidRPr="00D337FA">
        <w:t>по</w:t>
      </w:r>
      <w:r w:rsidR="006C680D" w:rsidRPr="00D337FA">
        <w:t xml:space="preserve"> </w:t>
      </w:r>
      <w:r w:rsidRPr="00D337FA">
        <w:t>повышению</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банка</w:t>
      </w:r>
      <w:r w:rsidR="006C680D" w:rsidRPr="00D337FA">
        <w:t xml:space="preserve"> </w:t>
      </w:r>
      <w:r w:rsidRPr="00D337FA">
        <w:t>и</w:t>
      </w:r>
      <w:r w:rsidR="006C680D" w:rsidRPr="00D337FA">
        <w:t xml:space="preserve"> </w:t>
      </w:r>
      <w:r w:rsidRPr="00D337FA">
        <w:t>обеспечению</w:t>
      </w:r>
      <w:r w:rsidR="006C680D" w:rsidRPr="00D337FA">
        <w:t xml:space="preserve"> </w:t>
      </w:r>
      <w:r w:rsidRPr="00D337FA">
        <w:t>непрерывности</w:t>
      </w:r>
      <w:r w:rsidR="006C680D" w:rsidRPr="00D337FA">
        <w:t xml:space="preserve"> </w:t>
      </w:r>
      <w:r w:rsidRPr="00D337FA">
        <w:t>его</w:t>
      </w:r>
      <w:r w:rsidR="006C680D" w:rsidRPr="00D337FA">
        <w:t xml:space="preserve"> </w:t>
      </w:r>
      <w:r w:rsidRPr="00D337FA">
        <w:t>деятельности</w:t>
      </w:r>
      <w:r w:rsidR="006C680D" w:rsidRPr="00D337FA">
        <w:t xml:space="preserve"> </w:t>
      </w:r>
      <w:r w:rsidRPr="00D337FA">
        <w:t>на</w:t>
      </w:r>
      <w:r w:rsidR="006C680D" w:rsidRPr="00D337FA">
        <w:t xml:space="preserve"> </w:t>
      </w:r>
      <w:r w:rsidRPr="00D337FA">
        <w:t>рынке</w:t>
      </w:r>
      <w:r w:rsidR="006C680D" w:rsidRPr="00D337FA">
        <w:t xml:space="preserve"> </w:t>
      </w:r>
      <w:r w:rsidRPr="00D337FA">
        <w:t>банковских</w:t>
      </w:r>
      <w:r w:rsidR="006C680D" w:rsidRPr="00D337FA">
        <w:t xml:space="preserve"> </w:t>
      </w:r>
      <w:r w:rsidRPr="00D337FA">
        <w:t>услуг</w:t>
      </w:r>
      <w:r w:rsidR="006C680D" w:rsidRPr="00D337FA">
        <w:t xml:space="preserve"> </w:t>
      </w:r>
      <w:r w:rsidRPr="00D337FA">
        <w:t>с</w:t>
      </w:r>
      <w:r w:rsidR="006C680D" w:rsidRPr="00D337FA">
        <w:t xml:space="preserve"> </w:t>
      </w:r>
      <w:r w:rsidRPr="00D337FA">
        <w:t>использованием</w:t>
      </w:r>
      <w:r w:rsidR="006C680D" w:rsidRPr="00D337FA">
        <w:t xml:space="preserve"> </w:t>
      </w:r>
      <w:r w:rsidRPr="00D337FA">
        <w:t>денежных</w:t>
      </w:r>
      <w:r w:rsidR="006C680D" w:rsidRPr="00D337FA">
        <w:t xml:space="preserve"> </w:t>
      </w:r>
      <w:r w:rsidRPr="00D337FA">
        <w:t>средств</w:t>
      </w:r>
      <w:r w:rsidR="006C680D" w:rsidRPr="00D337FA">
        <w:t xml:space="preserve"> </w:t>
      </w:r>
      <w:r w:rsidRPr="00D337FA">
        <w:t>Фонда,</w:t>
      </w:r>
      <w:r w:rsidR="006C680D" w:rsidRPr="00D337FA">
        <w:t xml:space="preserve"> </w:t>
      </w:r>
      <w:r w:rsidRPr="00D337FA">
        <w:t>а</w:t>
      </w:r>
      <w:r w:rsidR="006C680D" w:rsidRPr="00D337FA">
        <w:t xml:space="preserve"> </w:t>
      </w:r>
      <w:r w:rsidRPr="00D337FA">
        <w:t>также</w:t>
      </w:r>
      <w:r w:rsidR="006C680D" w:rsidRPr="00D337FA">
        <w:t xml:space="preserve"> </w:t>
      </w:r>
      <w:r w:rsidRPr="00D337FA">
        <w:t>передачу</w:t>
      </w:r>
      <w:r w:rsidR="006C680D" w:rsidRPr="00D337FA">
        <w:t xml:space="preserve"> </w:t>
      </w:r>
      <w:r w:rsidRPr="00D337FA">
        <w:t>Управляющей</w:t>
      </w:r>
      <w:r w:rsidR="006C680D" w:rsidRPr="00D337FA">
        <w:t xml:space="preserve"> </w:t>
      </w:r>
      <w:r w:rsidRPr="00D337FA">
        <w:t>компании</w:t>
      </w:r>
      <w:r w:rsidR="006C680D" w:rsidRPr="00D337FA">
        <w:t xml:space="preserve"> </w:t>
      </w:r>
      <w:r w:rsidRPr="00D337FA">
        <w:t>Фонда</w:t>
      </w:r>
      <w:r w:rsidR="006C680D" w:rsidRPr="00D337FA">
        <w:t xml:space="preserve"> </w:t>
      </w:r>
      <w:r w:rsidRPr="00D337FA">
        <w:t>функций</w:t>
      </w:r>
      <w:r w:rsidR="006C680D" w:rsidRPr="00D337FA">
        <w:t xml:space="preserve"> </w:t>
      </w:r>
      <w:r w:rsidRPr="00D337FA">
        <w:t>временной</w:t>
      </w:r>
      <w:r w:rsidR="006C680D" w:rsidRPr="00D337FA">
        <w:t xml:space="preserve"> </w:t>
      </w:r>
      <w:r w:rsidRPr="00D337FA">
        <w:t>администрации.</w:t>
      </w:r>
      <w:r w:rsidR="006C680D" w:rsidRPr="00D337FA">
        <w:t xml:space="preserve"> </w:t>
      </w:r>
    </w:p>
    <w:p w:rsidR="004A1229" w:rsidRPr="00D337FA" w:rsidRDefault="004A1229" w:rsidP="004A1229">
      <w:r w:rsidRPr="00D337FA">
        <w:t>При</w:t>
      </w:r>
      <w:r w:rsidR="006C680D" w:rsidRPr="00D337FA">
        <w:t xml:space="preserve"> </w:t>
      </w:r>
      <w:r w:rsidRPr="00D337FA">
        <w:t>принятии</w:t>
      </w:r>
      <w:r w:rsidR="006C680D" w:rsidRPr="00D337FA">
        <w:t xml:space="preserve"> </w:t>
      </w:r>
      <w:r w:rsidRPr="00D337FA">
        <w:t>решения</w:t>
      </w:r>
      <w:r w:rsidR="006C680D" w:rsidRPr="00D337FA">
        <w:t xml:space="preserve"> </w:t>
      </w:r>
      <w:r w:rsidRPr="00D337FA">
        <w:t>о</w:t>
      </w:r>
      <w:r w:rsidR="006C680D" w:rsidRPr="00D337FA">
        <w:t xml:space="preserve"> </w:t>
      </w:r>
      <w:r w:rsidRPr="00D337FA">
        <w:t>целесообразности</w:t>
      </w:r>
      <w:r w:rsidR="006C680D" w:rsidRPr="00D337FA">
        <w:t xml:space="preserve"> </w:t>
      </w:r>
      <w:r w:rsidRPr="00D337FA">
        <w:t>санации</w:t>
      </w:r>
      <w:r w:rsidR="006C680D" w:rsidRPr="00D337FA">
        <w:t xml:space="preserve"> </w:t>
      </w:r>
      <w:r w:rsidRPr="00D337FA">
        <w:t>Банк</w:t>
      </w:r>
      <w:r w:rsidR="006C680D" w:rsidRPr="00D337FA">
        <w:t xml:space="preserve"> </w:t>
      </w:r>
      <w:r w:rsidRPr="00D337FA">
        <w:t>России</w:t>
      </w:r>
      <w:r w:rsidR="006C680D" w:rsidRPr="00D337FA">
        <w:t xml:space="preserve"> </w:t>
      </w:r>
      <w:r w:rsidRPr="00D337FA">
        <w:t>учитывает</w:t>
      </w:r>
      <w:r w:rsidR="006C680D" w:rsidRPr="00D337FA">
        <w:t xml:space="preserve"> </w:t>
      </w:r>
      <w:r w:rsidRPr="00D337FA">
        <w:t>системную</w:t>
      </w:r>
      <w:r w:rsidR="006C680D" w:rsidRPr="00D337FA">
        <w:t xml:space="preserve"> </w:t>
      </w:r>
      <w:r w:rsidRPr="00D337FA">
        <w:t>значимость</w:t>
      </w:r>
      <w:r w:rsidR="006C680D" w:rsidRPr="00D337FA">
        <w:t xml:space="preserve"> </w:t>
      </w:r>
      <w:r w:rsidRPr="00D337FA">
        <w:t>банка</w:t>
      </w:r>
      <w:r w:rsidR="006C680D" w:rsidRPr="00D337FA">
        <w:t xml:space="preserve"> </w:t>
      </w:r>
      <w:r w:rsidRPr="00D337FA">
        <w:t>как</w:t>
      </w:r>
      <w:r w:rsidR="006C680D" w:rsidRPr="00D337FA">
        <w:t xml:space="preserve"> </w:t>
      </w:r>
      <w:r w:rsidRPr="00D337FA">
        <w:t>на</w:t>
      </w:r>
      <w:r w:rsidR="006C680D" w:rsidRPr="00D337FA">
        <w:t xml:space="preserve"> </w:t>
      </w:r>
      <w:r w:rsidRPr="00D337FA">
        <w:t>уровне</w:t>
      </w:r>
      <w:r w:rsidR="006C680D" w:rsidRPr="00D337FA">
        <w:t xml:space="preserve"> </w:t>
      </w:r>
      <w:r w:rsidRPr="00D337FA">
        <w:t>банковской</w:t>
      </w:r>
      <w:r w:rsidR="006C680D" w:rsidRPr="00D337FA">
        <w:t xml:space="preserve"> </w:t>
      </w:r>
      <w:r w:rsidRPr="00D337FA">
        <w:t>системы</w:t>
      </w:r>
      <w:r w:rsidR="006C680D" w:rsidRPr="00D337FA">
        <w:t xml:space="preserve"> </w:t>
      </w:r>
      <w:r w:rsidRPr="00D337FA">
        <w:t>в</w:t>
      </w:r>
      <w:r w:rsidR="006C680D" w:rsidRPr="00D337FA">
        <w:t xml:space="preserve"> </w:t>
      </w:r>
      <w:r w:rsidRPr="00D337FA">
        <w:t>целом,</w:t>
      </w:r>
      <w:r w:rsidR="006C680D" w:rsidRPr="00D337FA">
        <w:t xml:space="preserve"> </w:t>
      </w:r>
      <w:r w:rsidRPr="00D337FA">
        <w:t>так</w:t>
      </w:r>
      <w:r w:rsidR="006C680D" w:rsidRPr="00D337FA">
        <w:t xml:space="preserve"> </w:t>
      </w:r>
      <w:r w:rsidRPr="00D337FA">
        <w:t>и</w:t>
      </w:r>
      <w:r w:rsidR="006C680D" w:rsidRPr="00D337FA">
        <w:t xml:space="preserve"> </w:t>
      </w:r>
      <w:r w:rsidRPr="00D337FA">
        <w:t>на</w:t>
      </w:r>
      <w:r w:rsidR="006C680D" w:rsidRPr="00D337FA">
        <w:t xml:space="preserve"> </w:t>
      </w:r>
      <w:r w:rsidRPr="00D337FA">
        <w:t>региональном</w:t>
      </w:r>
      <w:r w:rsidR="006C680D" w:rsidRPr="00D337FA">
        <w:t xml:space="preserve"> </w:t>
      </w:r>
      <w:r w:rsidRPr="00D337FA">
        <w:t>уровне,</w:t>
      </w:r>
      <w:r w:rsidR="006C680D" w:rsidRPr="00D337FA">
        <w:t xml:space="preserve"> </w:t>
      </w:r>
      <w:r w:rsidRPr="00D337FA">
        <w:t>а</w:t>
      </w:r>
      <w:r w:rsidR="006C680D" w:rsidRPr="00D337FA">
        <w:t xml:space="preserve"> </w:t>
      </w:r>
      <w:r w:rsidRPr="00D337FA">
        <w:t>также</w:t>
      </w:r>
      <w:r w:rsidR="006C680D" w:rsidRPr="00D337FA">
        <w:t xml:space="preserve"> </w:t>
      </w:r>
      <w:r w:rsidRPr="00D337FA">
        <w:t>риск</w:t>
      </w:r>
      <w:r w:rsidR="006C680D" w:rsidRPr="00D337FA">
        <w:t xml:space="preserve"> </w:t>
      </w:r>
      <w:r w:rsidRPr="00D337FA">
        <w:t>нарушения</w:t>
      </w:r>
      <w:r w:rsidR="006C680D" w:rsidRPr="00D337FA">
        <w:t xml:space="preserve"> </w:t>
      </w:r>
      <w:r w:rsidRPr="00D337FA">
        <w:t>функционирования</w:t>
      </w:r>
      <w:r w:rsidR="006C680D" w:rsidRPr="00D337FA">
        <w:t xml:space="preserve"> </w:t>
      </w:r>
      <w:r w:rsidRPr="00D337FA">
        <w:t>финансового</w:t>
      </w:r>
      <w:r w:rsidR="006C680D" w:rsidRPr="00D337FA">
        <w:t xml:space="preserve"> </w:t>
      </w:r>
      <w:r w:rsidRPr="00D337FA">
        <w:t>рынка</w:t>
      </w:r>
      <w:r w:rsidR="006C680D" w:rsidRPr="00D337FA">
        <w:t xml:space="preserve"> </w:t>
      </w:r>
      <w:r w:rsidRPr="00D337FA">
        <w:t>или</w:t>
      </w:r>
      <w:r w:rsidR="006C680D" w:rsidRPr="00D337FA">
        <w:t xml:space="preserve"> </w:t>
      </w:r>
      <w:r w:rsidRPr="00D337FA">
        <w:t>его</w:t>
      </w:r>
      <w:r w:rsidR="006C680D" w:rsidRPr="00D337FA">
        <w:t xml:space="preserve"> </w:t>
      </w:r>
      <w:r w:rsidRPr="00D337FA">
        <w:t>отдельных</w:t>
      </w:r>
      <w:r w:rsidR="006C680D" w:rsidRPr="00D337FA">
        <w:t xml:space="preserve"> </w:t>
      </w:r>
      <w:r w:rsidRPr="00D337FA">
        <w:t>сегментов</w:t>
      </w:r>
      <w:r w:rsidR="006C680D" w:rsidRPr="00D337FA">
        <w:t xml:space="preserve"> </w:t>
      </w:r>
      <w:r w:rsidRPr="00D337FA">
        <w:t>либо</w:t>
      </w:r>
      <w:r w:rsidR="006C680D" w:rsidRPr="00D337FA">
        <w:t xml:space="preserve"> </w:t>
      </w:r>
      <w:r w:rsidRPr="00D337FA">
        <w:t>ухудшения</w:t>
      </w:r>
      <w:r w:rsidR="006C680D" w:rsidRPr="00D337FA">
        <w:t xml:space="preserve"> </w:t>
      </w:r>
      <w:r w:rsidRPr="00D337FA">
        <w:t>положения</w:t>
      </w:r>
      <w:r w:rsidR="006C680D" w:rsidRPr="00D337FA">
        <w:t xml:space="preserve"> </w:t>
      </w:r>
      <w:r w:rsidRPr="00D337FA">
        <w:t>в</w:t>
      </w:r>
      <w:r w:rsidR="006C680D" w:rsidRPr="00D337FA">
        <w:t xml:space="preserve"> </w:t>
      </w:r>
      <w:r w:rsidRPr="00D337FA">
        <w:t>отраслях</w:t>
      </w:r>
      <w:r w:rsidR="006C680D" w:rsidRPr="00D337FA">
        <w:t xml:space="preserve"> </w:t>
      </w:r>
      <w:r w:rsidRPr="00D337FA">
        <w:t>экономики</w:t>
      </w:r>
      <w:r w:rsidR="006C680D" w:rsidRPr="00D337FA">
        <w:t xml:space="preserve"> </w:t>
      </w:r>
      <w:r w:rsidRPr="00D337FA">
        <w:t>РФ</w:t>
      </w:r>
      <w:r w:rsidR="006C680D" w:rsidRPr="00D337FA">
        <w:t xml:space="preserve"> </w:t>
      </w:r>
      <w:r w:rsidRPr="00D337FA">
        <w:t>или</w:t>
      </w:r>
      <w:r w:rsidR="006C680D" w:rsidRPr="00D337FA">
        <w:t xml:space="preserve"> </w:t>
      </w:r>
      <w:r w:rsidRPr="00D337FA">
        <w:t>региона</w:t>
      </w:r>
      <w:r w:rsidR="006C680D" w:rsidRPr="00D337FA">
        <w:t xml:space="preserve"> </w:t>
      </w:r>
      <w:r w:rsidRPr="00D337FA">
        <w:t>в</w:t>
      </w:r>
      <w:r w:rsidR="006C680D" w:rsidRPr="00D337FA">
        <w:t xml:space="preserve"> </w:t>
      </w:r>
      <w:r w:rsidRPr="00D337FA">
        <w:t>случае</w:t>
      </w:r>
      <w:r w:rsidR="006C680D" w:rsidRPr="00D337FA">
        <w:t xml:space="preserve"> </w:t>
      </w:r>
      <w:r w:rsidRPr="00D337FA">
        <w:t>принятия</w:t>
      </w:r>
      <w:r w:rsidR="006C680D" w:rsidRPr="00D337FA">
        <w:t xml:space="preserve"> </w:t>
      </w:r>
      <w:r w:rsidRPr="00D337FA">
        <w:t>решения</w:t>
      </w:r>
      <w:r w:rsidR="006C680D" w:rsidRPr="00D337FA">
        <w:t xml:space="preserve"> </w:t>
      </w:r>
      <w:r w:rsidRPr="00D337FA">
        <w:t>об</w:t>
      </w:r>
      <w:r w:rsidR="006C680D" w:rsidRPr="00D337FA">
        <w:t xml:space="preserve"> </w:t>
      </w:r>
      <w:r w:rsidRPr="00D337FA">
        <w:t>отзыве</w:t>
      </w:r>
      <w:r w:rsidR="006C680D" w:rsidRPr="00D337FA">
        <w:t xml:space="preserve"> </w:t>
      </w:r>
      <w:r w:rsidRPr="00D337FA">
        <w:t>лицензии</w:t>
      </w:r>
      <w:r w:rsidR="006C680D" w:rsidRPr="00D337FA">
        <w:t xml:space="preserve"> </w:t>
      </w:r>
      <w:r w:rsidRPr="00D337FA">
        <w:t>у</w:t>
      </w:r>
      <w:r w:rsidR="006C680D" w:rsidRPr="00D337FA">
        <w:t xml:space="preserve"> </w:t>
      </w:r>
      <w:r w:rsidRPr="00D337FA">
        <w:t>банка</w:t>
      </w:r>
      <w:r w:rsidR="006C680D" w:rsidRPr="00D337FA">
        <w:t xml:space="preserve"> </w:t>
      </w:r>
      <w:r w:rsidRPr="00D337FA">
        <w:t>[19].</w:t>
      </w:r>
      <w:r w:rsidR="006C680D" w:rsidRPr="00D337FA">
        <w:t xml:space="preserve"> </w:t>
      </w:r>
      <w:r w:rsidRPr="00D337FA">
        <w:lastRenderedPageBreak/>
        <w:t>На</w:t>
      </w:r>
      <w:r w:rsidR="006C680D" w:rsidRPr="00D337FA">
        <w:t xml:space="preserve"> </w:t>
      </w:r>
      <w:r w:rsidRPr="00D337FA">
        <w:t>лицо</w:t>
      </w:r>
      <w:r w:rsidR="006C680D" w:rsidRPr="00D337FA">
        <w:t xml:space="preserve"> </w:t>
      </w:r>
      <w:r w:rsidRPr="00D337FA">
        <w:t>смена</w:t>
      </w:r>
      <w:r w:rsidR="006C680D" w:rsidRPr="00D337FA">
        <w:t xml:space="preserve"> </w:t>
      </w:r>
      <w:r w:rsidRPr="00D337FA">
        <w:t>парадигмы</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банков</w:t>
      </w:r>
      <w:r w:rsidR="006C680D" w:rsidRPr="00D337FA">
        <w:t xml:space="preserve"> </w:t>
      </w:r>
      <w:r w:rsidR="00A53D60">
        <w:t>–</w:t>
      </w:r>
      <w:r w:rsidR="006C680D" w:rsidRPr="00D337FA">
        <w:t xml:space="preserve"> </w:t>
      </w:r>
      <w:r w:rsidRPr="00D337FA">
        <w:t>целесообразной</w:t>
      </w:r>
      <w:r w:rsidR="006C680D" w:rsidRPr="00D337FA">
        <w:t xml:space="preserve"> </w:t>
      </w:r>
      <w:r w:rsidRPr="00D337FA">
        <w:t>признается</w:t>
      </w:r>
      <w:r w:rsidR="006C680D" w:rsidRPr="00D337FA">
        <w:t xml:space="preserve"> </w:t>
      </w:r>
      <w:r w:rsidRPr="00D337FA">
        <w:t>санация</w:t>
      </w:r>
      <w:r w:rsidR="006C680D" w:rsidRPr="00D337FA">
        <w:t xml:space="preserve"> </w:t>
      </w:r>
      <w:r w:rsidRPr="00D337FA">
        <w:t>только</w:t>
      </w:r>
      <w:r w:rsidR="006C680D" w:rsidRPr="00D337FA">
        <w:t xml:space="preserve"> </w:t>
      </w:r>
      <w:r w:rsidRPr="00D337FA">
        <w:t>системно</w:t>
      </w:r>
      <w:r w:rsidR="006C680D" w:rsidRPr="00D337FA">
        <w:t xml:space="preserve"> </w:t>
      </w:r>
      <w:r w:rsidRPr="00D337FA">
        <w:t>значимых</w:t>
      </w:r>
      <w:r w:rsidR="006C680D" w:rsidRPr="00D337FA">
        <w:t xml:space="preserve"> </w:t>
      </w:r>
      <w:r w:rsidRPr="00D337FA">
        <w:t>кредитных</w:t>
      </w:r>
      <w:r w:rsidR="006C680D" w:rsidRPr="00D337FA">
        <w:t xml:space="preserve"> </w:t>
      </w:r>
      <w:r w:rsidRPr="00D337FA">
        <w:t>организаций.</w:t>
      </w:r>
      <w:r w:rsidR="006C680D" w:rsidRPr="00D337FA">
        <w:t xml:space="preserve"> </w:t>
      </w:r>
    </w:p>
    <w:p w:rsidR="004A1229" w:rsidRPr="00D337FA" w:rsidRDefault="004A1229" w:rsidP="004A1229">
      <w:r w:rsidRPr="00D337FA">
        <w:t>Финансирование</w:t>
      </w:r>
      <w:r w:rsidR="006C680D" w:rsidRPr="00D337FA">
        <w:t xml:space="preserve"> </w:t>
      </w:r>
      <w:r w:rsidRPr="00D337FA">
        <w:t>санационных</w:t>
      </w:r>
      <w:r w:rsidR="006C680D" w:rsidRPr="00D337FA">
        <w:t xml:space="preserve"> </w:t>
      </w:r>
      <w:r w:rsidRPr="00D337FA">
        <w:t>процедур</w:t>
      </w:r>
      <w:r w:rsidR="006C680D" w:rsidRPr="00D337FA">
        <w:t xml:space="preserve"> </w:t>
      </w:r>
      <w:r w:rsidRPr="00D337FA">
        <w:t>осуществляется</w:t>
      </w:r>
      <w:r w:rsidR="006C680D" w:rsidRPr="00D337FA">
        <w:t xml:space="preserve"> </w:t>
      </w:r>
      <w:r w:rsidRPr="00D337FA">
        <w:t>путем</w:t>
      </w:r>
      <w:r w:rsidR="006C680D" w:rsidRPr="00D337FA">
        <w:t xml:space="preserve"> </w:t>
      </w:r>
      <w:r w:rsidRPr="00D337FA">
        <w:t>выкупа</w:t>
      </w:r>
      <w:r w:rsidR="006C680D" w:rsidRPr="00D337FA">
        <w:t xml:space="preserve"> </w:t>
      </w:r>
      <w:r w:rsidRPr="00D337FA">
        <w:t>акций</w:t>
      </w:r>
      <w:r w:rsidR="006C680D" w:rsidRPr="00D337FA">
        <w:t xml:space="preserve"> </w:t>
      </w:r>
      <w:r w:rsidRPr="00D337FA">
        <w:t>проблемного</w:t>
      </w:r>
      <w:r w:rsidR="006C680D" w:rsidRPr="00D337FA">
        <w:t xml:space="preserve"> </w:t>
      </w:r>
      <w:r w:rsidRPr="00D337FA">
        <w:t>банка,</w:t>
      </w:r>
      <w:r w:rsidR="006C680D" w:rsidRPr="00D337FA">
        <w:t xml:space="preserve"> </w:t>
      </w:r>
      <w:r w:rsidRPr="00D337FA">
        <w:t>то</w:t>
      </w:r>
      <w:r w:rsidR="006C680D" w:rsidRPr="00D337FA">
        <w:t xml:space="preserve"> </w:t>
      </w:r>
      <w:r w:rsidRPr="00D337FA">
        <w:t>есть</w:t>
      </w:r>
      <w:r w:rsidR="006C680D" w:rsidRPr="00D337FA">
        <w:t xml:space="preserve"> </w:t>
      </w:r>
      <w:r w:rsidRPr="00D337FA">
        <w:t>его</w:t>
      </w:r>
      <w:r w:rsidR="006C680D" w:rsidRPr="00D337FA">
        <w:t xml:space="preserve"> </w:t>
      </w:r>
      <w:r w:rsidRPr="00D337FA">
        <w:t>рекапитализации,</w:t>
      </w:r>
      <w:r w:rsidR="006C680D" w:rsidRPr="00D337FA">
        <w:t xml:space="preserve"> </w:t>
      </w:r>
      <w:r w:rsidRPr="00D337FA">
        <w:t>и</w:t>
      </w:r>
      <w:r w:rsidR="006C680D" w:rsidRPr="00D337FA">
        <w:t xml:space="preserve"> </w:t>
      </w:r>
      <w:r w:rsidRPr="00D337FA">
        <w:t>за</w:t>
      </w:r>
      <w:r w:rsidR="006C680D" w:rsidRPr="00D337FA">
        <w:t xml:space="preserve"> </w:t>
      </w:r>
      <w:r w:rsidRPr="00D337FA">
        <w:t>счет</w:t>
      </w:r>
      <w:r w:rsidR="006C680D" w:rsidRPr="00D337FA">
        <w:t xml:space="preserve"> </w:t>
      </w:r>
      <w:r w:rsidRPr="00D337FA">
        <w:t>предоставления</w:t>
      </w:r>
      <w:r w:rsidR="006C680D" w:rsidRPr="00D337FA">
        <w:t xml:space="preserve"> </w:t>
      </w:r>
      <w:r w:rsidRPr="00D337FA">
        <w:t>банку</w:t>
      </w:r>
      <w:r w:rsidR="006C680D" w:rsidRPr="00D337FA">
        <w:t xml:space="preserve"> </w:t>
      </w:r>
      <w:r w:rsidRPr="00D337FA">
        <w:t>долгосрочных</w:t>
      </w:r>
      <w:r w:rsidR="006C680D" w:rsidRPr="00D337FA">
        <w:t xml:space="preserve"> </w:t>
      </w:r>
      <w:r w:rsidRPr="00D337FA">
        <w:t>депозитов,</w:t>
      </w:r>
      <w:r w:rsidR="006C680D" w:rsidRPr="00D337FA">
        <w:t xml:space="preserve"> </w:t>
      </w:r>
      <w:r w:rsidRPr="00D337FA">
        <w:t>используемых</w:t>
      </w:r>
      <w:r w:rsidR="006C680D" w:rsidRPr="00D337FA">
        <w:t xml:space="preserve"> </w:t>
      </w:r>
      <w:r w:rsidRPr="00D337FA">
        <w:t>для</w:t>
      </w:r>
      <w:r w:rsidR="006C680D" w:rsidRPr="00D337FA">
        <w:t xml:space="preserve"> </w:t>
      </w:r>
      <w:r w:rsidRPr="00D337FA">
        <w:t>целей</w:t>
      </w:r>
      <w:r w:rsidR="006C680D" w:rsidRPr="00D337FA">
        <w:t xml:space="preserve"> </w:t>
      </w:r>
      <w:r w:rsidRPr="00D337FA">
        <w:t>восстановления</w:t>
      </w:r>
      <w:r w:rsidR="006C680D" w:rsidRPr="00D337FA">
        <w:t xml:space="preserve"> </w:t>
      </w:r>
      <w:r w:rsidRPr="00D337FA">
        <w:t>ликвидности.</w:t>
      </w:r>
      <w:r w:rsidR="006C680D" w:rsidRPr="00D337FA">
        <w:t xml:space="preserve"> </w:t>
      </w:r>
      <w:r w:rsidRPr="00D337FA">
        <w:t>В</w:t>
      </w:r>
      <w:r w:rsidR="006C680D" w:rsidRPr="00D337FA">
        <w:t xml:space="preserve"> </w:t>
      </w:r>
      <w:r w:rsidRPr="00D337FA">
        <w:t>качестве</w:t>
      </w:r>
      <w:r w:rsidR="006C680D" w:rsidRPr="00D337FA">
        <w:t xml:space="preserve"> </w:t>
      </w:r>
      <w:r w:rsidRPr="00D337FA">
        <w:t>конечной</w:t>
      </w:r>
      <w:r w:rsidR="006C680D" w:rsidRPr="00D337FA">
        <w:t xml:space="preserve"> </w:t>
      </w:r>
      <w:r w:rsidRPr="00D337FA">
        <w:t>цели</w:t>
      </w:r>
      <w:r w:rsidR="006C680D" w:rsidRPr="00D337FA">
        <w:t xml:space="preserve"> </w:t>
      </w:r>
      <w:r w:rsidRPr="00D337FA">
        <w:t>санации</w:t>
      </w:r>
      <w:r w:rsidR="006C680D" w:rsidRPr="00D337FA">
        <w:t xml:space="preserve"> </w:t>
      </w:r>
      <w:r w:rsidRPr="00D337FA">
        <w:t>установлена</w:t>
      </w:r>
      <w:r w:rsidR="006C680D" w:rsidRPr="00D337FA">
        <w:t xml:space="preserve"> </w:t>
      </w:r>
      <w:r w:rsidRPr="00D337FA">
        <w:t>продажа</w:t>
      </w:r>
      <w:r w:rsidR="006C680D" w:rsidRPr="00D337FA">
        <w:t xml:space="preserve"> </w:t>
      </w:r>
      <w:r w:rsidRPr="00D337FA">
        <w:t>пакета</w:t>
      </w:r>
      <w:r w:rsidR="006C680D" w:rsidRPr="00D337FA">
        <w:t xml:space="preserve"> </w:t>
      </w:r>
      <w:r w:rsidRPr="00D337FA">
        <w:t>акций,</w:t>
      </w:r>
      <w:r w:rsidR="006C680D" w:rsidRPr="00D337FA">
        <w:t xml:space="preserve"> </w:t>
      </w:r>
      <w:r w:rsidRPr="00D337FA">
        <w:t>принадлежащих</w:t>
      </w:r>
      <w:r w:rsidR="006C680D" w:rsidRPr="00D337FA">
        <w:t xml:space="preserve"> </w:t>
      </w:r>
      <w:r w:rsidRPr="00D337FA">
        <w:t>Банку</w:t>
      </w:r>
      <w:r w:rsidR="006C680D" w:rsidRPr="00D337FA">
        <w:t xml:space="preserve"> </w:t>
      </w:r>
      <w:r w:rsidRPr="00D337FA">
        <w:t>России,</w:t>
      </w:r>
      <w:r w:rsidR="006C680D" w:rsidRPr="00D337FA">
        <w:t xml:space="preserve"> </w:t>
      </w:r>
      <w:r w:rsidRPr="00D337FA">
        <w:t>новому</w:t>
      </w:r>
      <w:r w:rsidR="006C680D" w:rsidRPr="00D337FA">
        <w:t xml:space="preserve"> </w:t>
      </w:r>
      <w:r w:rsidRPr="00D337FA">
        <w:t>владельцу</w:t>
      </w:r>
      <w:r w:rsidR="006C680D" w:rsidRPr="00D337FA">
        <w:t xml:space="preserve"> </w:t>
      </w:r>
      <w:r w:rsidRPr="00D337FA">
        <w:t>на</w:t>
      </w:r>
      <w:r w:rsidR="006C680D" w:rsidRPr="00D337FA">
        <w:t xml:space="preserve"> </w:t>
      </w:r>
      <w:r w:rsidRPr="00D337FA">
        <w:t>открытом</w:t>
      </w:r>
      <w:r w:rsidR="006C680D" w:rsidRPr="00D337FA">
        <w:t xml:space="preserve"> </w:t>
      </w:r>
      <w:r w:rsidRPr="00D337FA">
        <w:t>аукционе</w:t>
      </w:r>
      <w:r w:rsidR="006C680D" w:rsidRPr="00D337FA">
        <w:t xml:space="preserve"> </w:t>
      </w:r>
      <w:r w:rsidRPr="00D337FA">
        <w:t>[20].</w:t>
      </w:r>
      <w:r w:rsidR="006C680D" w:rsidRPr="00D337FA">
        <w:t xml:space="preserve"> </w:t>
      </w:r>
    </w:p>
    <w:p w:rsidR="004A1229" w:rsidRPr="00D337FA" w:rsidRDefault="004A1229" w:rsidP="004A1229">
      <w:r w:rsidRPr="00D337FA">
        <w:t>Характеристика</w:t>
      </w:r>
      <w:r w:rsidR="006C680D" w:rsidRPr="00D337FA">
        <w:t xml:space="preserve"> </w:t>
      </w:r>
      <w:r w:rsidRPr="00D337FA">
        <w:t>проектов</w:t>
      </w:r>
      <w:r w:rsidR="006C680D" w:rsidRPr="00D337FA">
        <w:t xml:space="preserve"> </w:t>
      </w:r>
      <w:r w:rsidRPr="00D337FA">
        <w:t>по</w:t>
      </w:r>
      <w:r w:rsidR="006C680D" w:rsidRPr="00D337FA">
        <w:t xml:space="preserve"> </w:t>
      </w:r>
      <w:r w:rsidRPr="00D337FA">
        <w:t>рекапитализации</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Фонда</w:t>
      </w:r>
      <w:r w:rsidR="006C680D" w:rsidRPr="00D337FA">
        <w:t xml:space="preserve"> </w:t>
      </w:r>
      <w:r w:rsidRPr="00D337FA">
        <w:t>представлена</w:t>
      </w:r>
      <w:r w:rsidR="006C680D" w:rsidRPr="00D337FA">
        <w:t xml:space="preserve"> </w:t>
      </w:r>
      <w:r w:rsidRPr="00D337FA">
        <w:t>в</w:t>
      </w:r>
      <w:r w:rsidR="006C680D" w:rsidRPr="00D337FA">
        <w:t xml:space="preserve"> </w:t>
      </w:r>
      <w:r w:rsidRPr="00D337FA">
        <w:t>табл.</w:t>
      </w:r>
      <w:r w:rsidR="006C680D" w:rsidRPr="00D337FA">
        <w:t xml:space="preserve"> </w:t>
      </w:r>
      <w:r w:rsidRPr="00D337FA">
        <w:t>3.</w:t>
      </w:r>
    </w:p>
    <w:p w:rsidR="004A1229" w:rsidRPr="00D337FA" w:rsidRDefault="004A1229" w:rsidP="00C8298C">
      <w:pPr>
        <w:tabs>
          <w:tab w:val="center" w:pos="4677"/>
        </w:tabs>
        <w:ind w:right="-1" w:firstLine="0"/>
        <w:jc w:val="right"/>
        <w:rPr>
          <w:rFonts w:ascii="Arial CYR" w:hAnsi="Arial CYR" w:cs="Arial CYR"/>
          <w:b/>
          <w:bCs/>
          <w:i/>
          <w:iCs/>
          <w:caps/>
          <w:szCs w:val="24"/>
          <w:u w:val="single"/>
          <w:lang w:eastAsia="ru-RU"/>
        </w:rPr>
        <w:sectPr w:rsidR="004A1229" w:rsidRPr="00D337FA" w:rsidSect="004A1229">
          <w:footnotePr>
            <w:numRestart w:val="eachPage"/>
          </w:footnotePr>
          <w:type w:val="continuous"/>
          <w:pgSz w:w="11907" w:h="16840" w:code="9"/>
          <w:pgMar w:top="1418" w:right="1134" w:bottom="1418" w:left="1134" w:header="1021" w:footer="1021" w:gutter="0"/>
          <w:cols w:num="2" w:space="708"/>
          <w:docGrid w:linePitch="360"/>
        </w:sectPr>
      </w:pPr>
    </w:p>
    <w:p w:rsidR="003E3A6F" w:rsidRDefault="003E3A6F" w:rsidP="003E3A6F">
      <w:pPr>
        <w:ind w:firstLine="0"/>
        <w:jc w:val="right"/>
        <w:rPr>
          <w:rFonts w:ascii="Arial" w:hAnsi="Arial" w:cs="Arial"/>
          <w:i/>
          <w:sz w:val="22"/>
          <w:szCs w:val="22"/>
        </w:rPr>
      </w:pPr>
    </w:p>
    <w:p w:rsidR="004A1229" w:rsidRPr="00D337FA" w:rsidRDefault="004A1229" w:rsidP="003E3A6F">
      <w:pPr>
        <w:ind w:firstLine="0"/>
        <w:jc w:val="right"/>
        <w:rPr>
          <w:rFonts w:ascii="Arial" w:hAnsi="Arial" w:cs="Arial"/>
          <w:i/>
          <w:sz w:val="22"/>
          <w:szCs w:val="22"/>
        </w:rPr>
      </w:pPr>
      <w:r w:rsidRPr="00D337FA">
        <w:rPr>
          <w:rFonts w:ascii="Arial" w:hAnsi="Arial" w:cs="Arial"/>
          <w:i/>
          <w:sz w:val="22"/>
          <w:szCs w:val="22"/>
        </w:rPr>
        <w:t>Таблица</w:t>
      </w:r>
      <w:r w:rsidR="006C680D" w:rsidRPr="00D337FA">
        <w:rPr>
          <w:rFonts w:ascii="Arial" w:hAnsi="Arial" w:cs="Arial"/>
          <w:i/>
          <w:sz w:val="22"/>
          <w:szCs w:val="22"/>
        </w:rPr>
        <w:t xml:space="preserve"> </w:t>
      </w:r>
      <w:r w:rsidRPr="00D337FA">
        <w:rPr>
          <w:rFonts w:ascii="Arial" w:hAnsi="Arial" w:cs="Arial"/>
          <w:i/>
          <w:sz w:val="22"/>
          <w:szCs w:val="22"/>
        </w:rPr>
        <w:t>3</w:t>
      </w:r>
    </w:p>
    <w:p w:rsidR="004A1229" w:rsidRPr="00D337FA" w:rsidRDefault="004A1229" w:rsidP="003E3A6F">
      <w:pPr>
        <w:ind w:firstLine="0"/>
        <w:jc w:val="center"/>
        <w:rPr>
          <w:rFonts w:ascii="Arial" w:hAnsi="Arial" w:cs="Arial"/>
          <w:i/>
          <w:sz w:val="22"/>
          <w:szCs w:val="22"/>
        </w:rPr>
      </w:pPr>
      <w:r w:rsidRPr="00D337FA">
        <w:rPr>
          <w:rFonts w:ascii="Arial" w:hAnsi="Arial" w:cs="Arial"/>
          <w:i/>
          <w:sz w:val="22"/>
          <w:szCs w:val="22"/>
        </w:rPr>
        <w:t>Проекты</w:t>
      </w:r>
      <w:r w:rsidR="006C680D" w:rsidRPr="00D337FA">
        <w:rPr>
          <w:rFonts w:ascii="Arial" w:hAnsi="Arial" w:cs="Arial"/>
          <w:i/>
          <w:sz w:val="22"/>
          <w:szCs w:val="22"/>
        </w:rPr>
        <w:t xml:space="preserve"> </w:t>
      </w:r>
      <w:r w:rsidRPr="00D337FA">
        <w:rPr>
          <w:rFonts w:ascii="Arial" w:hAnsi="Arial" w:cs="Arial"/>
          <w:i/>
          <w:sz w:val="22"/>
          <w:szCs w:val="22"/>
        </w:rPr>
        <w:t>по</w:t>
      </w:r>
      <w:r w:rsidR="006C680D" w:rsidRPr="00D337FA">
        <w:rPr>
          <w:rFonts w:ascii="Arial" w:hAnsi="Arial" w:cs="Arial"/>
          <w:i/>
          <w:sz w:val="22"/>
          <w:szCs w:val="22"/>
        </w:rPr>
        <w:t xml:space="preserve"> </w:t>
      </w:r>
      <w:r w:rsidRPr="00D337FA">
        <w:rPr>
          <w:rFonts w:ascii="Arial" w:hAnsi="Arial" w:cs="Arial"/>
          <w:i/>
          <w:sz w:val="22"/>
          <w:szCs w:val="22"/>
        </w:rPr>
        <w:t>санации</w:t>
      </w:r>
      <w:r w:rsidR="006C680D" w:rsidRPr="00D337FA">
        <w:rPr>
          <w:rFonts w:ascii="Arial" w:hAnsi="Arial" w:cs="Arial"/>
          <w:i/>
          <w:sz w:val="22"/>
          <w:szCs w:val="22"/>
        </w:rPr>
        <w:t xml:space="preserve"> </w:t>
      </w:r>
      <w:r w:rsidRPr="00D337FA">
        <w:rPr>
          <w:rFonts w:ascii="Arial" w:hAnsi="Arial" w:cs="Arial"/>
          <w:i/>
          <w:sz w:val="22"/>
          <w:szCs w:val="22"/>
        </w:rPr>
        <w:t>банков</w:t>
      </w:r>
      <w:r w:rsidR="006C680D" w:rsidRPr="00D337FA">
        <w:rPr>
          <w:rFonts w:ascii="Arial" w:hAnsi="Arial" w:cs="Arial"/>
          <w:i/>
          <w:sz w:val="22"/>
          <w:szCs w:val="22"/>
        </w:rPr>
        <w:t xml:space="preserve"> </w:t>
      </w:r>
      <w:r w:rsidRPr="00D337FA">
        <w:rPr>
          <w:rFonts w:ascii="Arial" w:hAnsi="Arial" w:cs="Arial"/>
          <w:i/>
          <w:sz w:val="22"/>
          <w:szCs w:val="22"/>
        </w:rPr>
        <w:t>с</w:t>
      </w:r>
      <w:r w:rsidR="006C680D" w:rsidRPr="00D337FA">
        <w:rPr>
          <w:rFonts w:ascii="Arial" w:hAnsi="Arial" w:cs="Arial"/>
          <w:i/>
          <w:sz w:val="22"/>
          <w:szCs w:val="22"/>
        </w:rPr>
        <w:t xml:space="preserve"> </w:t>
      </w:r>
      <w:r w:rsidRPr="00D337FA">
        <w:rPr>
          <w:rFonts w:ascii="Arial" w:hAnsi="Arial" w:cs="Arial"/>
          <w:i/>
          <w:sz w:val="22"/>
          <w:szCs w:val="22"/>
        </w:rPr>
        <w:t>участием</w:t>
      </w:r>
      <w:r w:rsidR="006C680D" w:rsidRPr="00D337FA">
        <w:rPr>
          <w:rFonts w:ascii="Arial" w:hAnsi="Arial" w:cs="Arial"/>
          <w:i/>
          <w:sz w:val="22"/>
          <w:szCs w:val="22"/>
        </w:rPr>
        <w:t xml:space="preserve"> </w:t>
      </w:r>
      <w:r w:rsidRPr="00D337FA">
        <w:rPr>
          <w:rFonts w:ascii="Arial" w:hAnsi="Arial" w:cs="Arial"/>
          <w:i/>
          <w:sz w:val="22"/>
          <w:szCs w:val="22"/>
        </w:rPr>
        <w:t>Фонда</w:t>
      </w:r>
      <w:r w:rsidR="006C680D" w:rsidRPr="00D337FA">
        <w:rPr>
          <w:rFonts w:ascii="Arial" w:hAnsi="Arial" w:cs="Arial"/>
          <w:i/>
          <w:sz w:val="22"/>
          <w:szCs w:val="22"/>
        </w:rPr>
        <w:t xml:space="preserve"> </w:t>
      </w:r>
      <w:r w:rsidRPr="00D337FA">
        <w:rPr>
          <w:rFonts w:ascii="Arial" w:hAnsi="Arial" w:cs="Arial"/>
          <w:i/>
          <w:sz w:val="22"/>
          <w:szCs w:val="22"/>
        </w:rPr>
        <w:t>консолидации</w:t>
      </w:r>
      <w:r w:rsidR="006C680D" w:rsidRPr="00D337FA">
        <w:rPr>
          <w:rFonts w:ascii="Arial" w:hAnsi="Arial" w:cs="Arial"/>
          <w:i/>
          <w:sz w:val="22"/>
          <w:szCs w:val="22"/>
        </w:rPr>
        <w:t xml:space="preserve"> </w:t>
      </w:r>
      <w:r w:rsidRPr="00D337FA">
        <w:rPr>
          <w:rFonts w:ascii="Arial" w:hAnsi="Arial" w:cs="Arial"/>
          <w:i/>
          <w:sz w:val="22"/>
          <w:szCs w:val="22"/>
        </w:rPr>
        <w:t>банковского</w:t>
      </w:r>
      <w:r w:rsidR="006C680D" w:rsidRPr="00D337FA">
        <w:rPr>
          <w:rFonts w:ascii="Arial" w:hAnsi="Arial" w:cs="Arial"/>
          <w:i/>
          <w:sz w:val="22"/>
          <w:szCs w:val="22"/>
        </w:rPr>
        <w:t xml:space="preserve"> </w:t>
      </w:r>
      <w:r w:rsidRPr="00D337FA">
        <w:rPr>
          <w:rFonts w:ascii="Arial" w:hAnsi="Arial" w:cs="Arial"/>
          <w:i/>
          <w:sz w:val="22"/>
          <w:szCs w:val="22"/>
        </w:rPr>
        <w:t>сектора</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66"/>
        <w:gridCol w:w="1794"/>
        <w:gridCol w:w="1276"/>
        <w:gridCol w:w="3634"/>
      </w:tblGrid>
      <w:tr w:rsidR="00D337FA" w:rsidRPr="00A53D60" w:rsidTr="004A1229">
        <w:trPr>
          <w:tblHeader/>
        </w:trPr>
        <w:tc>
          <w:tcPr>
            <w:tcW w:w="1526" w:type="dxa"/>
            <w:vMerge w:val="restart"/>
            <w:shd w:val="clear" w:color="auto" w:fill="auto"/>
            <w:tcMar>
              <w:left w:w="57" w:type="dxa"/>
              <w:right w:w="57" w:type="dxa"/>
            </w:tcMar>
            <w:vAlign w:val="center"/>
          </w:tcPr>
          <w:p w:rsidR="004A1229" w:rsidRPr="00A53D60" w:rsidRDefault="004A1229" w:rsidP="00E70CAD">
            <w:pPr>
              <w:ind w:firstLine="0"/>
              <w:jc w:val="center"/>
              <w:rPr>
                <w:sz w:val="20"/>
                <w:szCs w:val="20"/>
              </w:rPr>
            </w:pPr>
            <w:r w:rsidRPr="00A53D60">
              <w:rPr>
                <w:sz w:val="20"/>
                <w:szCs w:val="20"/>
              </w:rPr>
              <w:t>Банк</w:t>
            </w:r>
          </w:p>
        </w:tc>
        <w:tc>
          <w:tcPr>
            <w:tcW w:w="3260" w:type="dxa"/>
            <w:gridSpan w:val="2"/>
            <w:shd w:val="clear" w:color="auto" w:fill="auto"/>
            <w:tcMar>
              <w:left w:w="57" w:type="dxa"/>
              <w:right w:w="57" w:type="dxa"/>
            </w:tcMar>
            <w:vAlign w:val="center"/>
          </w:tcPr>
          <w:p w:rsidR="004A1229" w:rsidRPr="00A53D60" w:rsidRDefault="004A1229" w:rsidP="00E70CAD">
            <w:pPr>
              <w:ind w:firstLine="0"/>
              <w:jc w:val="center"/>
              <w:rPr>
                <w:sz w:val="20"/>
                <w:szCs w:val="20"/>
              </w:rPr>
            </w:pPr>
            <w:r w:rsidRPr="00A53D60">
              <w:rPr>
                <w:sz w:val="20"/>
                <w:szCs w:val="20"/>
              </w:rPr>
              <w:t>Период</w:t>
            </w:r>
            <w:r w:rsidR="006C680D" w:rsidRPr="00A53D60">
              <w:rPr>
                <w:sz w:val="20"/>
                <w:szCs w:val="20"/>
              </w:rPr>
              <w:t xml:space="preserve"> </w:t>
            </w:r>
            <w:r w:rsidRPr="00A53D60">
              <w:rPr>
                <w:sz w:val="20"/>
                <w:szCs w:val="20"/>
              </w:rPr>
              <w:t>выполнения</w:t>
            </w:r>
            <w:r w:rsidR="006C680D" w:rsidRPr="00A53D60">
              <w:rPr>
                <w:sz w:val="20"/>
                <w:szCs w:val="20"/>
              </w:rPr>
              <w:t xml:space="preserve"> </w:t>
            </w:r>
            <w:r w:rsidRPr="00A53D60">
              <w:rPr>
                <w:sz w:val="20"/>
                <w:szCs w:val="20"/>
              </w:rPr>
              <w:t>УК</w:t>
            </w:r>
            <w:r w:rsidR="006C680D" w:rsidRPr="00A53D60">
              <w:rPr>
                <w:sz w:val="20"/>
                <w:szCs w:val="20"/>
              </w:rPr>
              <w:t xml:space="preserve"> </w:t>
            </w:r>
            <w:r w:rsidRPr="00A53D60">
              <w:rPr>
                <w:sz w:val="20"/>
                <w:szCs w:val="20"/>
              </w:rPr>
              <w:t>ФКБС</w:t>
            </w:r>
            <w:r w:rsidR="006C680D" w:rsidRPr="00A53D60">
              <w:rPr>
                <w:sz w:val="20"/>
                <w:szCs w:val="20"/>
              </w:rPr>
              <w:t xml:space="preserve"> </w:t>
            </w:r>
            <w:r w:rsidRPr="00A53D60">
              <w:rPr>
                <w:sz w:val="20"/>
                <w:szCs w:val="20"/>
              </w:rPr>
              <w:t>функций</w:t>
            </w:r>
            <w:r w:rsidR="006C680D" w:rsidRPr="00A53D60">
              <w:rPr>
                <w:sz w:val="20"/>
                <w:szCs w:val="20"/>
              </w:rPr>
              <w:t xml:space="preserve"> </w:t>
            </w:r>
            <w:r w:rsidRPr="00A53D60">
              <w:rPr>
                <w:sz w:val="20"/>
                <w:szCs w:val="20"/>
              </w:rPr>
              <w:t>временной</w:t>
            </w:r>
            <w:r w:rsidR="006C680D" w:rsidRPr="00A53D60">
              <w:rPr>
                <w:sz w:val="20"/>
                <w:szCs w:val="20"/>
              </w:rPr>
              <w:t xml:space="preserve"> </w:t>
            </w:r>
            <w:r w:rsidRPr="00A53D60">
              <w:rPr>
                <w:sz w:val="20"/>
                <w:szCs w:val="20"/>
              </w:rPr>
              <w:t>администрации</w:t>
            </w:r>
          </w:p>
        </w:tc>
        <w:tc>
          <w:tcPr>
            <w:tcW w:w="1276" w:type="dxa"/>
            <w:vMerge w:val="restart"/>
            <w:shd w:val="clear" w:color="auto" w:fill="auto"/>
            <w:tcMar>
              <w:left w:w="57" w:type="dxa"/>
              <w:right w:w="57" w:type="dxa"/>
            </w:tcMar>
            <w:vAlign w:val="center"/>
          </w:tcPr>
          <w:p w:rsidR="004A1229" w:rsidRPr="00A53D60" w:rsidRDefault="004A1229" w:rsidP="00E70CAD">
            <w:pPr>
              <w:ind w:firstLine="0"/>
              <w:jc w:val="center"/>
              <w:rPr>
                <w:sz w:val="20"/>
                <w:szCs w:val="20"/>
              </w:rPr>
            </w:pPr>
            <w:r w:rsidRPr="00A53D60">
              <w:rPr>
                <w:sz w:val="20"/>
                <w:szCs w:val="20"/>
              </w:rPr>
              <w:t>Размер</w:t>
            </w:r>
          </w:p>
          <w:p w:rsidR="004A1229" w:rsidRPr="00A53D60" w:rsidRDefault="004A1229" w:rsidP="00E70CAD">
            <w:pPr>
              <w:ind w:firstLine="0"/>
              <w:jc w:val="center"/>
              <w:rPr>
                <w:sz w:val="20"/>
                <w:szCs w:val="20"/>
              </w:rPr>
            </w:pPr>
            <w:r w:rsidRPr="00A53D60">
              <w:rPr>
                <w:sz w:val="20"/>
                <w:szCs w:val="20"/>
              </w:rPr>
              <w:t>докапитализации,</w:t>
            </w:r>
            <w:r w:rsidR="006C680D" w:rsidRPr="00A53D60">
              <w:rPr>
                <w:sz w:val="20"/>
                <w:szCs w:val="20"/>
              </w:rPr>
              <w:t xml:space="preserve"> </w:t>
            </w:r>
            <w:r w:rsidRPr="00A53D60">
              <w:rPr>
                <w:sz w:val="20"/>
                <w:szCs w:val="20"/>
              </w:rPr>
              <w:t>млрд</w:t>
            </w:r>
            <w:r w:rsidR="006C680D" w:rsidRPr="00A53D60">
              <w:rPr>
                <w:sz w:val="20"/>
                <w:szCs w:val="20"/>
              </w:rPr>
              <w:t xml:space="preserve"> </w:t>
            </w:r>
            <w:r w:rsidRPr="00A53D60">
              <w:rPr>
                <w:sz w:val="20"/>
                <w:szCs w:val="20"/>
              </w:rPr>
              <w:t>руб.</w:t>
            </w:r>
          </w:p>
        </w:tc>
        <w:tc>
          <w:tcPr>
            <w:tcW w:w="3634" w:type="dxa"/>
            <w:vMerge w:val="restart"/>
            <w:shd w:val="clear" w:color="auto" w:fill="auto"/>
            <w:tcMar>
              <w:left w:w="57" w:type="dxa"/>
              <w:right w:w="57" w:type="dxa"/>
            </w:tcMar>
            <w:vAlign w:val="center"/>
          </w:tcPr>
          <w:p w:rsidR="004A1229" w:rsidRPr="00A53D60" w:rsidRDefault="004A1229" w:rsidP="00E70CAD">
            <w:pPr>
              <w:ind w:firstLine="0"/>
              <w:jc w:val="center"/>
              <w:rPr>
                <w:sz w:val="20"/>
                <w:szCs w:val="20"/>
              </w:rPr>
            </w:pPr>
            <w:r w:rsidRPr="00A53D60">
              <w:rPr>
                <w:sz w:val="20"/>
                <w:szCs w:val="20"/>
              </w:rPr>
              <w:t>Результат</w:t>
            </w:r>
          </w:p>
        </w:tc>
      </w:tr>
      <w:tr w:rsidR="00D337FA" w:rsidRPr="00A53D60" w:rsidTr="004A1229">
        <w:trPr>
          <w:tblHeader/>
        </w:trPr>
        <w:tc>
          <w:tcPr>
            <w:tcW w:w="1526" w:type="dxa"/>
            <w:vMerge/>
            <w:shd w:val="clear" w:color="auto" w:fill="auto"/>
            <w:tcMar>
              <w:left w:w="57" w:type="dxa"/>
              <w:right w:w="57" w:type="dxa"/>
            </w:tcMar>
          </w:tcPr>
          <w:p w:rsidR="004A1229" w:rsidRPr="00A53D60" w:rsidRDefault="004A1229" w:rsidP="00E70CAD">
            <w:pPr>
              <w:ind w:firstLine="0"/>
              <w:rPr>
                <w:sz w:val="20"/>
                <w:szCs w:val="20"/>
              </w:rPr>
            </w:pP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начало</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окончание</w:t>
            </w:r>
          </w:p>
        </w:tc>
        <w:tc>
          <w:tcPr>
            <w:tcW w:w="1276" w:type="dxa"/>
            <w:vMerge/>
            <w:shd w:val="clear" w:color="auto" w:fill="auto"/>
            <w:tcMar>
              <w:left w:w="57" w:type="dxa"/>
              <w:right w:w="57" w:type="dxa"/>
            </w:tcMar>
          </w:tcPr>
          <w:p w:rsidR="004A1229" w:rsidRPr="00A53D60" w:rsidRDefault="004A1229" w:rsidP="00E70CAD">
            <w:pPr>
              <w:ind w:firstLine="0"/>
              <w:rPr>
                <w:sz w:val="20"/>
                <w:szCs w:val="20"/>
              </w:rPr>
            </w:pPr>
          </w:p>
        </w:tc>
        <w:tc>
          <w:tcPr>
            <w:tcW w:w="3634" w:type="dxa"/>
            <w:vMerge/>
            <w:shd w:val="clear" w:color="auto" w:fill="auto"/>
            <w:tcMar>
              <w:left w:w="57" w:type="dxa"/>
              <w:right w:w="57" w:type="dxa"/>
            </w:tcMar>
          </w:tcPr>
          <w:p w:rsidR="004A1229" w:rsidRPr="00A53D60" w:rsidRDefault="004A1229" w:rsidP="00E70CAD">
            <w:pPr>
              <w:ind w:firstLine="0"/>
              <w:rPr>
                <w:sz w:val="20"/>
                <w:szCs w:val="20"/>
              </w:rPr>
            </w:pPr>
          </w:p>
        </w:tc>
      </w:tr>
      <w:tr w:rsidR="00D337FA" w:rsidRPr="00A53D60" w:rsidTr="004A1229">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РОСТ</w:t>
            </w:r>
            <w:r w:rsidR="006C680D" w:rsidRPr="00A53D60">
              <w:rPr>
                <w:sz w:val="20"/>
                <w:szCs w:val="20"/>
              </w:rPr>
              <w:t xml:space="preserve"> </w:t>
            </w:r>
            <w:r w:rsidRPr="00A53D60">
              <w:rPr>
                <w:sz w:val="20"/>
                <w:szCs w:val="20"/>
              </w:rPr>
              <w:t>БАНК</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15.03.2018</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13.06.2018</w:t>
            </w:r>
            <w:r w:rsidR="006C680D" w:rsidRPr="00A53D60">
              <w:rPr>
                <w:sz w:val="20"/>
                <w:szCs w:val="20"/>
              </w:rPr>
              <w:t xml:space="preserve"> </w:t>
            </w:r>
            <w:r w:rsidRPr="00A53D60">
              <w:rPr>
                <w:sz w:val="20"/>
                <w:szCs w:val="20"/>
              </w:rPr>
              <w:t>г.</w:t>
            </w:r>
          </w:p>
        </w:tc>
        <w:tc>
          <w:tcPr>
            <w:tcW w:w="1276" w:type="dxa"/>
            <w:shd w:val="clear" w:color="auto" w:fill="auto"/>
            <w:tcMar>
              <w:left w:w="57" w:type="dxa"/>
              <w:right w:w="57" w:type="dxa"/>
            </w:tcMar>
          </w:tcPr>
          <w:p w:rsidR="004A1229" w:rsidRPr="00A53D60" w:rsidRDefault="004A1229" w:rsidP="00E70CAD">
            <w:pPr>
              <w:ind w:firstLine="0"/>
              <w:jc w:val="center"/>
              <w:rPr>
                <w:sz w:val="20"/>
                <w:szCs w:val="20"/>
              </w:rPr>
            </w:pP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02.07.2019</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реорганизован</w:t>
            </w:r>
            <w:r w:rsidR="006C680D" w:rsidRPr="00A53D60">
              <w:rPr>
                <w:sz w:val="20"/>
                <w:szCs w:val="20"/>
              </w:rPr>
              <w:t xml:space="preserve"> </w:t>
            </w:r>
            <w:r w:rsidRPr="00A53D60">
              <w:rPr>
                <w:sz w:val="20"/>
                <w:szCs w:val="20"/>
              </w:rPr>
              <w:t>путем</w:t>
            </w:r>
            <w:r w:rsidR="006C680D" w:rsidRPr="00A53D60">
              <w:rPr>
                <w:sz w:val="20"/>
                <w:szCs w:val="20"/>
              </w:rPr>
              <w:t xml:space="preserve"> </w:t>
            </w:r>
            <w:r w:rsidRPr="00A53D60">
              <w:rPr>
                <w:sz w:val="20"/>
                <w:szCs w:val="20"/>
              </w:rPr>
              <w:t>присоединения</w:t>
            </w:r>
            <w:r w:rsidR="006C680D" w:rsidRPr="00A53D60">
              <w:rPr>
                <w:sz w:val="20"/>
                <w:szCs w:val="20"/>
              </w:rPr>
              <w:t xml:space="preserve"> </w:t>
            </w:r>
            <w:r w:rsidRPr="00A53D60">
              <w:rPr>
                <w:sz w:val="20"/>
                <w:szCs w:val="20"/>
              </w:rPr>
              <w:t>к</w:t>
            </w:r>
            <w:r w:rsidR="006C680D" w:rsidRPr="00A53D60">
              <w:rPr>
                <w:sz w:val="20"/>
                <w:szCs w:val="20"/>
              </w:rPr>
              <w:t xml:space="preserve"> </w:t>
            </w:r>
            <w:r w:rsidRPr="00A53D60">
              <w:rPr>
                <w:sz w:val="20"/>
                <w:szCs w:val="20"/>
              </w:rPr>
              <w:t>банку</w:t>
            </w:r>
            <w:r w:rsidR="006C680D" w:rsidRPr="00A53D60">
              <w:rPr>
                <w:sz w:val="20"/>
                <w:szCs w:val="20"/>
              </w:rPr>
              <w:t xml:space="preserve"> </w:t>
            </w:r>
            <w:r w:rsidRPr="00A53D60">
              <w:rPr>
                <w:sz w:val="20"/>
                <w:szCs w:val="20"/>
              </w:rPr>
              <w:t>«Траст»</w:t>
            </w:r>
          </w:p>
        </w:tc>
      </w:tr>
      <w:tr w:rsidR="00D337FA" w:rsidRPr="00A53D60" w:rsidTr="004A1229">
        <w:tc>
          <w:tcPr>
            <w:tcW w:w="1526" w:type="dxa"/>
            <w:shd w:val="clear" w:color="auto" w:fill="auto"/>
            <w:tcMar>
              <w:left w:w="57" w:type="dxa"/>
              <w:right w:w="57" w:type="dxa"/>
            </w:tcMar>
          </w:tcPr>
          <w:p w:rsidR="004A1229" w:rsidRPr="00A53D60" w:rsidRDefault="004A1229" w:rsidP="00E70CAD">
            <w:pPr>
              <w:keepNext/>
              <w:ind w:firstLine="0"/>
              <w:jc w:val="left"/>
              <w:rPr>
                <w:sz w:val="20"/>
                <w:szCs w:val="20"/>
              </w:rPr>
            </w:pPr>
            <w:r w:rsidRPr="00A53D60">
              <w:rPr>
                <w:sz w:val="20"/>
                <w:szCs w:val="20"/>
              </w:rPr>
              <w:t>Волго-Окский</w:t>
            </w:r>
            <w:r w:rsidR="006C680D" w:rsidRPr="00A53D60">
              <w:rPr>
                <w:sz w:val="20"/>
                <w:szCs w:val="20"/>
              </w:rPr>
              <w:t xml:space="preserve"> </w:t>
            </w:r>
            <w:r w:rsidRPr="00A53D60">
              <w:rPr>
                <w:sz w:val="20"/>
                <w:szCs w:val="20"/>
              </w:rPr>
              <w:t>коммерческий</w:t>
            </w:r>
            <w:r w:rsidR="006C680D" w:rsidRPr="00A53D60">
              <w:rPr>
                <w:sz w:val="20"/>
                <w:szCs w:val="20"/>
              </w:rPr>
              <w:t xml:space="preserve"> </w:t>
            </w:r>
            <w:r w:rsidRPr="00A53D60">
              <w:rPr>
                <w:sz w:val="20"/>
                <w:szCs w:val="20"/>
              </w:rPr>
              <w:t>банк</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17.04.2019</w:t>
            </w:r>
            <w:r w:rsidR="006C680D" w:rsidRPr="00A53D60">
              <w:rPr>
                <w:sz w:val="20"/>
                <w:szCs w:val="20"/>
              </w:rPr>
              <w:t xml:space="preserve"> </w:t>
            </w:r>
            <w:r w:rsidRPr="00A53D60">
              <w:rPr>
                <w:sz w:val="20"/>
                <w:szCs w:val="20"/>
              </w:rPr>
              <w:t>г.</w:t>
            </w:r>
            <w:r w:rsidR="006C680D" w:rsidRPr="00A53D60">
              <w:rPr>
                <w:sz w:val="20"/>
                <w:szCs w:val="20"/>
              </w:rPr>
              <w:t xml:space="preserve"> </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29.11.2019</w:t>
            </w:r>
            <w:r w:rsidR="006C680D" w:rsidRPr="00A53D60">
              <w:rPr>
                <w:sz w:val="20"/>
                <w:szCs w:val="20"/>
              </w:rPr>
              <w:t xml:space="preserve"> </w:t>
            </w:r>
            <w:r w:rsidRPr="00A53D60">
              <w:rPr>
                <w:sz w:val="20"/>
                <w:szCs w:val="20"/>
              </w:rPr>
              <w:t>г.</w:t>
            </w:r>
          </w:p>
        </w:tc>
        <w:tc>
          <w:tcPr>
            <w:tcW w:w="127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2,73</w:t>
            </w: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Реорганизация</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форме</w:t>
            </w:r>
            <w:r w:rsidR="006C680D" w:rsidRPr="00A53D60">
              <w:rPr>
                <w:sz w:val="20"/>
                <w:szCs w:val="20"/>
              </w:rPr>
              <w:t xml:space="preserve"> </w:t>
            </w:r>
            <w:r w:rsidRPr="00A53D60">
              <w:rPr>
                <w:sz w:val="20"/>
                <w:szCs w:val="20"/>
              </w:rPr>
              <w:t>присоединения</w:t>
            </w:r>
            <w:r w:rsidR="006C680D" w:rsidRPr="00A53D60">
              <w:rPr>
                <w:sz w:val="20"/>
                <w:szCs w:val="20"/>
              </w:rPr>
              <w:t xml:space="preserve"> </w:t>
            </w:r>
            <w:r w:rsidRPr="00A53D60">
              <w:rPr>
                <w:sz w:val="20"/>
                <w:szCs w:val="20"/>
              </w:rPr>
              <w:t>к</w:t>
            </w:r>
            <w:r w:rsidR="006C680D" w:rsidRPr="00A53D60">
              <w:rPr>
                <w:sz w:val="20"/>
                <w:szCs w:val="20"/>
              </w:rPr>
              <w:t xml:space="preserve"> </w:t>
            </w:r>
            <w:r w:rsidRPr="00A53D60">
              <w:rPr>
                <w:sz w:val="20"/>
                <w:szCs w:val="20"/>
              </w:rPr>
              <w:t>ПАО</w:t>
            </w:r>
            <w:r w:rsidR="006C680D" w:rsidRPr="00A53D60">
              <w:rPr>
                <w:sz w:val="20"/>
                <w:szCs w:val="20"/>
              </w:rPr>
              <w:t xml:space="preserve"> </w:t>
            </w:r>
            <w:r w:rsidRPr="00A53D60">
              <w:rPr>
                <w:sz w:val="20"/>
                <w:szCs w:val="20"/>
              </w:rPr>
              <w:t>«Московский</w:t>
            </w:r>
            <w:r w:rsidR="006C680D" w:rsidRPr="00A53D60">
              <w:rPr>
                <w:sz w:val="20"/>
                <w:szCs w:val="20"/>
              </w:rPr>
              <w:t xml:space="preserve"> </w:t>
            </w:r>
            <w:r w:rsidRPr="00A53D60">
              <w:rPr>
                <w:sz w:val="20"/>
                <w:szCs w:val="20"/>
              </w:rPr>
              <w:t>индустриальный</w:t>
            </w:r>
            <w:r w:rsidR="006C680D" w:rsidRPr="00A53D60">
              <w:rPr>
                <w:sz w:val="20"/>
                <w:szCs w:val="20"/>
              </w:rPr>
              <w:t xml:space="preserve"> </w:t>
            </w:r>
            <w:r w:rsidRPr="00A53D60">
              <w:rPr>
                <w:sz w:val="20"/>
                <w:szCs w:val="20"/>
              </w:rPr>
              <w:t>банк</w:t>
            </w:r>
          </w:p>
        </w:tc>
      </w:tr>
      <w:tr w:rsidR="00D337FA" w:rsidRPr="00A53D60" w:rsidTr="004A1229">
        <w:tc>
          <w:tcPr>
            <w:tcW w:w="1526" w:type="dxa"/>
            <w:shd w:val="clear" w:color="auto" w:fill="auto"/>
            <w:tcMar>
              <w:left w:w="57" w:type="dxa"/>
              <w:right w:w="57" w:type="dxa"/>
            </w:tcMar>
          </w:tcPr>
          <w:p w:rsidR="004A1229" w:rsidRPr="00A53D60" w:rsidRDefault="004A1229" w:rsidP="00E70CAD">
            <w:pPr>
              <w:keepNext/>
              <w:ind w:firstLine="0"/>
              <w:jc w:val="left"/>
              <w:rPr>
                <w:sz w:val="20"/>
                <w:szCs w:val="20"/>
              </w:rPr>
            </w:pPr>
            <w:r w:rsidRPr="00A53D60">
              <w:rPr>
                <w:sz w:val="20"/>
                <w:szCs w:val="20"/>
              </w:rPr>
              <w:t>Московский</w:t>
            </w:r>
            <w:r w:rsidR="006C680D" w:rsidRPr="00A53D60">
              <w:rPr>
                <w:sz w:val="20"/>
                <w:szCs w:val="20"/>
              </w:rPr>
              <w:t xml:space="preserve"> </w:t>
            </w:r>
            <w:r w:rsidRPr="00A53D60">
              <w:rPr>
                <w:sz w:val="20"/>
                <w:szCs w:val="20"/>
              </w:rPr>
              <w:t>индустриальный</w:t>
            </w:r>
            <w:r w:rsidR="006C680D" w:rsidRPr="00A53D60">
              <w:rPr>
                <w:sz w:val="20"/>
                <w:szCs w:val="20"/>
              </w:rPr>
              <w:t xml:space="preserve"> </w:t>
            </w:r>
            <w:r w:rsidRPr="00A53D60">
              <w:rPr>
                <w:sz w:val="20"/>
                <w:szCs w:val="20"/>
              </w:rPr>
              <w:t>банк</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22.01.2019</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25.10.</w:t>
            </w:r>
            <w:r w:rsidR="006C680D" w:rsidRPr="00A53D60">
              <w:rPr>
                <w:sz w:val="20"/>
                <w:szCs w:val="20"/>
              </w:rPr>
              <w:t xml:space="preserve"> </w:t>
            </w:r>
            <w:r w:rsidRPr="00A53D60">
              <w:rPr>
                <w:sz w:val="20"/>
                <w:szCs w:val="20"/>
              </w:rPr>
              <w:t>2019</w:t>
            </w:r>
            <w:r w:rsidR="006C680D" w:rsidRPr="00A53D60">
              <w:rPr>
                <w:sz w:val="20"/>
                <w:szCs w:val="20"/>
              </w:rPr>
              <w:t xml:space="preserve"> </w:t>
            </w:r>
            <w:r w:rsidRPr="00A53D60">
              <w:rPr>
                <w:sz w:val="20"/>
                <w:szCs w:val="20"/>
              </w:rPr>
              <w:t>г.</w:t>
            </w:r>
          </w:p>
        </w:tc>
        <w:tc>
          <w:tcPr>
            <w:tcW w:w="127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128,7</w:t>
            </w: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11.11.2022</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100%</w:t>
            </w:r>
            <w:r w:rsidR="006C680D" w:rsidRPr="00A53D60">
              <w:rPr>
                <w:sz w:val="20"/>
                <w:szCs w:val="20"/>
              </w:rPr>
              <w:t xml:space="preserve"> </w:t>
            </w:r>
            <w:r w:rsidRPr="00A53D60">
              <w:rPr>
                <w:sz w:val="20"/>
                <w:szCs w:val="20"/>
              </w:rPr>
              <w:t>акций</w:t>
            </w:r>
            <w:r w:rsidR="006C680D" w:rsidRPr="00A53D60">
              <w:rPr>
                <w:sz w:val="20"/>
                <w:szCs w:val="20"/>
              </w:rPr>
              <w:t xml:space="preserve"> </w:t>
            </w:r>
            <w:r w:rsidRPr="00A53D60">
              <w:rPr>
                <w:sz w:val="20"/>
                <w:szCs w:val="20"/>
              </w:rPr>
              <w:t>переданы</w:t>
            </w:r>
            <w:r w:rsidR="006C680D" w:rsidRPr="00A53D60">
              <w:rPr>
                <w:sz w:val="20"/>
                <w:szCs w:val="20"/>
              </w:rPr>
              <w:t xml:space="preserve"> </w:t>
            </w:r>
            <w:r w:rsidRPr="00A53D60">
              <w:rPr>
                <w:sz w:val="20"/>
                <w:szCs w:val="20"/>
              </w:rPr>
              <w:t>Росимуществу.</w:t>
            </w:r>
            <w:r w:rsidR="006C680D" w:rsidRPr="00A53D60">
              <w:rPr>
                <w:sz w:val="20"/>
                <w:szCs w:val="20"/>
              </w:rPr>
              <w:t xml:space="preserve">  </w:t>
            </w:r>
            <w:r w:rsidRPr="00A53D60">
              <w:rPr>
                <w:sz w:val="20"/>
                <w:szCs w:val="20"/>
              </w:rPr>
              <w:t>01.05.2023</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реорганизован</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форме</w:t>
            </w:r>
            <w:r w:rsidR="006C680D" w:rsidRPr="00A53D60">
              <w:rPr>
                <w:sz w:val="20"/>
                <w:szCs w:val="20"/>
              </w:rPr>
              <w:t xml:space="preserve"> </w:t>
            </w:r>
            <w:r w:rsidRPr="00A53D60">
              <w:rPr>
                <w:sz w:val="20"/>
                <w:szCs w:val="20"/>
              </w:rPr>
              <w:t>присоединения</w:t>
            </w:r>
            <w:r w:rsidR="006C680D" w:rsidRPr="00A53D60">
              <w:rPr>
                <w:sz w:val="20"/>
                <w:szCs w:val="20"/>
              </w:rPr>
              <w:t xml:space="preserve"> </w:t>
            </w:r>
            <w:r w:rsidRPr="00A53D60">
              <w:rPr>
                <w:sz w:val="20"/>
                <w:szCs w:val="20"/>
              </w:rPr>
              <w:t>к</w:t>
            </w:r>
            <w:r w:rsidR="006C680D" w:rsidRPr="00A53D60">
              <w:rPr>
                <w:sz w:val="20"/>
                <w:szCs w:val="20"/>
              </w:rPr>
              <w:t xml:space="preserve"> </w:t>
            </w:r>
            <w:r w:rsidRPr="00A53D60">
              <w:rPr>
                <w:sz w:val="20"/>
                <w:szCs w:val="20"/>
              </w:rPr>
              <w:t>Промсвязьбанку</w:t>
            </w:r>
            <w:r w:rsidR="006C680D" w:rsidRPr="00A53D60">
              <w:rPr>
                <w:sz w:val="20"/>
                <w:szCs w:val="20"/>
              </w:rPr>
              <w:t xml:space="preserve"> </w:t>
            </w:r>
          </w:p>
        </w:tc>
      </w:tr>
      <w:tr w:rsidR="00D337FA" w:rsidRPr="00A53D60" w:rsidTr="004A1229">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Автовазбанк</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05.04.2018</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29.06.2018</w:t>
            </w:r>
            <w:r w:rsidR="006C680D" w:rsidRPr="00A53D60">
              <w:rPr>
                <w:sz w:val="20"/>
                <w:szCs w:val="20"/>
              </w:rPr>
              <w:t xml:space="preserve"> </w:t>
            </w:r>
            <w:r w:rsidRPr="00A53D60">
              <w:rPr>
                <w:sz w:val="20"/>
                <w:szCs w:val="20"/>
              </w:rPr>
              <w:t>г.</w:t>
            </w:r>
          </w:p>
        </w:tc>
        <w:tc>
          <w:tcPr>
            <w:tcW w:w="1276" w:type="dxa"/>
            <w:vMerge w:val="restart"/>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Затраты</w:t>
            </w:r>
            <w:r w:rsidR="006C680D" w:rsidRPr="00A53D60">
              <w:rPr>
                <w:sz w:val="20"/>
                <w:szCs w:val="20"/>
              </w:rPr>
              <w:t xml:space="preserve"> </w:t>
            </w:r>
            <w:r w:rsidRPr="00A53D60">
              <w:rPr>
                <w:sz w:val="20"/>
                <w:szCs w:val="20"/>
              </w:rPr>
              <w:t>на</w:t>
            </w:r>
            <w:r w:rsidR="006C680D" w:rsidRPr="00A53D60">
              <w:rPr>
                <w:sz w:val="20"/>
                <w:szCs w:val="20"/>
              </w:rPr>
              <w:t xml:space="preserve"> </w:t>
            </w:r>
            <w:r w:rsidRPr="00A53D60">
              <w:rPr>
                <w:sz w:val="20"/>
                <w:szCs w:val="20"/>
              </w:rPr>
              <w:t>санацию</w:t>
            </w:r>
            <w:r w:rsidR="006C680D" w:rsidRPr="00A53D60">
              <w:rPr>
                <w:sz w:val="20"/>
                <w:szCs w:val="20"/>
              </w:rPr>
              <w:t xml:space="preserve"> </w:t>
            </w:r>
            <w:r w:rsidRPr="00A53D60">
              <w:rPr>
                <w:sz w:val="20"/>
                <w:szCs w:val="20"/>
              </w:rPr>
              <w:t>осуществлены</w:t>
            </w:r>
            <w:r w:rsidR="006C680D" w:rsidRPr="00A53D60">
              <w:rPr>
                <w:sz w:val="20"/>
                <w:szCs w:val="20"/>
              </w:rPr>
              <w:t xml:space="preserve"> </w:t>
            </w:r>
            <w:r w:rsidRPr="00A53D60">
              <w:rPr>
                <w:sz w:val="20"/>
                <w:szCs w:val="20"/>
              </w:rPr>
              <w:t>АСВ</w:t>
            </w: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07.03.2019</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реорганизован</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форме</w:t>
            </w:r>
            <w:r w:rsidR="006C680D" w:rsidRPr="00A53D60">
              <w:rPr>
                <w:sz w:val="20"/>
                <w:szCs w:val="20"/>
              </w:rPr>
              <w:t xml:space="preserve"> </w:t>
            </w:r>
            <w:r w:rsidRPr="00A53D60">
              <w:rPr>
                <w:sz w:val="20"/>
                <w:szCs w:val="20"/>
              </w:rPr>
              <w:t>присоединения</w:t>
            </w:r>
            <w:r w:rsidR="006C680D" w:rsidRPr="00A53D60">
              <w:rPr>
                <w:sz w:val="20"/>
                <w:szCs w:val="20"/>
              </w:rPr>
              <w:t xml:space="preserve"> </w:t>
            </w:r>
            <w:r w:rsidRPr="00A53D60">
              <w:rPr>
                <w:sz w:val="20"/>
                <w:szCs w:val="20"/>
              </w:rPr>
              <w:t>к</w:t>
            </w:r>
            <w:r w:rsidR="006C680D" w:rsidRPr="00A53D60">
              <w:rPr>
                <w:sz w:val="20"/>
                <w:szCs w:val="20"/>
              </w:rPr>
              <w:t xml:space="preserve"> </w:t>
            </w:r>
            <w:r w:rsidRPr="00A53D60">
              <w:rPr>
                <w:sz w:val="20"/>
                <w:szCs w:val="20"/>
              </w:rPr>
              <w:t>банку</w:t>
            </w:r>
            <w:r w:rsidR="006C680D" w:rsidRPr="00A53D60">
              <w:rPr>
                <w:sz w:val="20"/>
                <w:szCs w:val="20"/>
              </w:rPr>
              <w:t xml:space="preserve"> </w:t>
            </w:r>
            <w:r w:rsidRPr="00A53D60">
              <w:rPr>
                <w:sz w:val="20"/>
                <w:szCs w:val="20"/>
              </w:rPr>
              <w:t>«Траст»</w:t>
            </w:r>
          </w:p>
        </w:tc>
      </w:tr>
      <w:tr w:rsidR="00D337FA" w:rsidRPr="00A53D60" w:rsidTr="003E3A6F">
        <w:trPr>
          <w:trHeight w:val="231"/>
        </w:trPr>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Банк</w:t>
            </w:r>
            <w:r w:rsidR="006C680D" w:rsidRPr="00A53D60">
              <w:rPr>
                <w:sz w:val="20"/>
                <w:szCs w:val="20"/>
              </w:rPr>
              <w:t xml:space="preserve"> </w:t>
            </w:r>
            <w:r w:rsidRPr="00A53D60">
              <w:rPr>
                <w:sz w:val="20"/>
                <w:szCs w:val="20"/>
              </w:rPr>
              <w:t>«Советский»</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22.02.2018</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03.07.2018</w:t>
            </w:r>
            <w:r w:rsidR="006C680D" w:rsidRPr="00A53D60">
              <w:rPr>
                <w:sz w:val="20"/>
                <w:szCs w:val="20"/>
              </w:rPr>
              <w:t xml:space="preserve"> </w:t>
            </w:r>
            <w:r w:rsidRPr="00A53D60">
              <w:rPr>
                <w:sz w:val="20"/>
                <w:szCs w:val="20"/>
              </w:rPr>
              <w:t>г.</w:t>
            </w:r>
          </w:p>
        </w:tc>
        <w:tc>
          <w:tcPr>
            <w:tcW w:w="1276" w:type="dxa"/>
            <w:vMerge/>
            <w:shd w:val="clear" w:color="auto" w:fill="auto"/>
            <w:tcMar>
              <w:left w:w="57" w:type="dxa"/>
              <w:right w:w="57" w:type="dxa"/>
            </w:tcMar>
          </w:tcPr>
          <w:p w:rsidR="004A1229" w:rsidRPr="00A53D60" w:rsidRDefault="004A1229" w:rsidP="00E70CAD">
            <w:pPr>
              <w:ind w:firstLine="0"/>
              <w:jc w:val="center"/>
              <w:rPr>
                <w:sz w:val="20"/>
                <w:szCs w:val="20"/>
              </w:rPr>
            </w:pP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Отзыв</w:t>
            </w:r>
            <w:r w:rsidR="006C680D" w:rsidRPr="00A53D60">
              <w:rPr>
                <w:sz w:val="20"/>
                <w:szCs w:val="20"/>
              </w:rPr>
              <w:t xml:space="preserve"> </w:t>
            </w:r>
            <w:r w:rsidRPr="00A53D60">
              <w:rPr>
                <w:sz w:val="20"/>
                <w:szCs w:val="20"/>
              </w:rPr>
              <w:t>лицензии</w:t>
            </w:r>
          </w:p>
        </w:tc>
      </w:tr>
      <w:tr w:rsidR="00D337FA" w:rsidRPr="00A53D60" w:rsidTr="004A1229">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Банк</w:t>
            </w:r>
            <w:r w:rsidR="006C680D" w:rsidRPr="00A53D60">
              <w:rPr>
                <w:sz w:val="20"/>
                <w:szCs w:val="20"/>
              </w:rPr>
              <w:t xml:space="preserve"> </w:t>
            </w:r>
            <w:r w:rsidRPr="00A53D60">
              <w:rPr>
                <w:sz w:val="20"/>
                <w:szCs w:val="20"/>
              </w:rPr>
              <w:t>«Траст»</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15.03.2018</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13.06.2018</w:t>
            </w:r>
            <w:r w:rsidR="006C680D" w:rsidRPr="00A53D60">
              <w:rPr>
                <w:sz w:val="20"/>
                <w:szCs w:val="20"/>
              </w:rPr>
              <w:t xml:space="preserve"> </w:t>
            </w:r>
            <w:r w:rsidRPr="00A53D60">
              <w:rPr>
                <w:sz w:val="20"/>
                <w:szCs w:val="20"/>
              </w:rPr>
              <w:t>г.</w:t>
            </w:r>
          </w:p>
        </w:tc>
        <w:tc>
          <w:tcPr>
            <w:tcW w:w="1276" w:type="dxa"/>
            <w:vMerge/>
            <w:shd w:val="clear" w:color="auto" w:fill="auto"/>
            <w:tcMar>
              <w:left w:w="57" w:type="dxa"/>
              <w:right w:w="57" w:type="dxa"/>
            </w:tcMar>
          </w:tcPr>
          <w:p w:rsidR="004A1229" w:rsidRPr="00A53D60" w:rsidRDefault="004A1229" w:rsidP="00E70CAD">
            <w:pPr>
              <w:ind w:firstLine="0"/>
              <w:jc w:val="center"/>
              <w:rPr>
                <w:sz w:val="20"/>
                <w:szCs w:val="20"/>
              </w:rPr>
            </w:pP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качестве</w:t>
            </w:r>
            <w:r w:rsidR="006C680D" w:rsidRPr="00A53D60">
              <w:rPr>
                <w:sz w:val="20"/>
                <w:szCs w:val="20"/>
              </w:rPr>
              <w:t xml:space="preserve"> </w:t>
            </w:r>
            <w:r w:rsidRPr="00A53D60">
              <w:rPr>
                <w:sz w:val="20"/>
                <w:szCs w:val="20"/>
              </w:rPr>
              <w:t>банка</w:t>
            </w:r>
            <w:r w:rsidR="006C680D" w:rsidRPr="00A53D60">
              <w:rPr>
                <w:sz w:val="20"/>
                <w:szCs w:val="20"/>
              </w:rPr>
              <w:t xml:space="preserve"> </w:t>
            </w:r>
            <w:r w:rsidRPr="00A53D60">
              <w:rPr>
                <w:sz w:val="20"/>
                <w:szCs w:val="20"/>
              </w:rPr>
              <w:t>непрофильных</w:t>
            </w:r>
            <w:r w:rsidR="006C680D" w:rsidRPr="00A53D60">
              <w:rPr>
                <w:sz w:val="20"/>
                <w:szCs w:val="20"/>
              </w:rPr>
              <w:t xml:space="preserve"> </w:t>
            </w:r>
            <w:r w:rsidRPr="00A53D60">
              <w:rPr>
                <w:sz w:val="20"/>
                <w:szCs w:val="20"/>
              </w:rPr>
              <w:t>активов.</w:t>
            </w:r>
            <w:r w:rsidR="006C680D" w:rsidRPr="00A53D60">
              <w:rPr>
                <w:sz w:val="20"/>
                <w:szCs w:val="20"/>
              </w:rPr>
              <w:t xml:space="preserve"> </w:t>
            </w:r>
            <w:r w:rsidRPr="00A53D60">
              <w:rPr>
                <w:sz w:val="20"/>
                <w:szCs w:val="20"/>
              </w:rPr>
              <w:t>Срок</w:t>
            </w:r>
            <w:r w:rsidR="006C680D" w:rsidRPr="00A53D60">
              <w:rPr>
                <w:sz w:val="20"/>
                <w:szCs w:val="20"/>
              </w:rPr>
              <w:t xml:space="preserve"> </w:t>
            </w:r>
            <w:r w:rsidRPr="00A53D60">
              <w:rPr>
                <w:sz w:val="20"/>
                <w:szCs w:val="20"/>
              </w:rPr>
              <w:t>функционирования</w:t>
            </w:r>
            <w:r w:rsidR="006C680D" w:rsidRPr="00A53D60">
              <w:rPr>
                <w:sz w:val="20"/>
                <w:szCs w:val="20"/>
              </w:rPr>
              <w:t xml:space="preserve"> </w:t>
            </w:r>
            <w:r w:rsidRPr="00A53D60">
              <w:rPr>
                <w:sz w:val="20"/>
                <w:szCs w:val="20"/>
              </w:rPr>
              <w:t>банка</w:t>
            </w:r>
            <w:r w:rsidR="006C680D" w:rsidRPr="00A53D60">
              <w:rPr>
                <w:sz w:val="20"/>
                <w:szCs w:val="20"/>
              </w:rPr>
              <w:t xml:space="preserve"> </w:t>
            </w:r>
            <w:r w:rsidRPr="00A53D60">
              <w:rPr>
                <w:sz w:val="20"/>
                <w:szCs w:val="20"/>
              </w:rPr>
              <w:t>-</w:t>
            </w:r>
            <w:r w:rsidR="006C680D" w:rsidRPr="00A53D60">
              <w:rPr>
                <w:sz w:val="20"/>
                <w:szCs w:val="20"/>
              </w:rPr>
              <w:t xml:space="preserve"> </w:t>
            </w:r>
            <w:r w:rsidRPr="00A53D60">
              <w:rPr>
                <w:sz w:val="20"/>
                <w:szCs w:val="20"/>
              </w:rPr>
              <w:t>до</w:t>
            </w:r>
            <w:r w:rsidR="006C680D" w:rsidRPr="00A53D60">
              <w:rPr>
                <w:sz w:val="20"/>
                <w:szCs w:val="20"/>
              </w:rPr>
              <w:t xml:space="preserve"> </w:t>
            </w:r>
            <w:r w:rsidRPr="00A53D60">
              <w:rPr>
                <w:sz w:val="20"/>
                <w:szCs w:val="20"/>
              </w:rPr>
              <w:t>2027</w:t>
            </w:r>
            <w:r w:rsidR="006C680D" w:rsidRPr="00A53D60">
              <w:rPr>
                <w:sz w:val="20"/>
                <w:szCs w:val="20"/>
              </w:rPr>
              <w:t xml:space="preserve"> </w:t>
            </w:r>
            <w:r w:rsidRPr="00A53D60">
              <w:rPr>
                <w:sz w:val="20"/>
                <w:szCs w:val="20"/>
              </w:rPr>
              <w:t>года.</w:t>
            </w:r>
            <w:r w:rsidR="006C680D" w:rsidRPr="00A53D60">
              <w:rPr>
                <w:sz w:val="20"/>
                <w:szCs w:val="20"/>
              </w:rPr>
              <w:t xml:space="preserve"> </w:t>
            </w:r>
          </w:p>
        </w:tc>
      </w:tr>
      <w:tr w:rsidR="00D337FA" w:rsidRPr="00A53D60" w:rsidTr="004A1229">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БИНБАНК</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15.12.2017</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23.03.2018</w:t>
            </w:r>
            <w:r w:rsidR="006C680D" w:rsidRPr="00A53D60">
              <w:rPr>
                <w:sz w:val="20"/>
                <w:szCs w:val="20"/>
              </w:rPr>
              <w:t xml:space="preserve"> </w:t>
            </w:r>
            <w:r w:rsidRPr="00A53D60">
              <w:rPr>
                <w:sz w:val="20"/>
                <w:szCs w:val="20"/>
              </w:rPr>
              <w:t>г.</w:t>
            </w:r>
          </w:p>
        </w:tc>
        <w:tc>
          <w:tcPr>
            <w:tcW w:w="127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56,9</w:t>
            </w: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01.01.2019</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реорганизован</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форме</w:t>
            </w:r>
            <w:r w:rsidR="006C680D" w:rsidRPr="00A53D60">
              <w:rPr>
                <w:sz w:val="20"/>
                <w:szCs w:val="20"/>
              </w:rPr>
              <w:t xml:space="preserve"> </w:t>
            </w:r>
            <w:r w:rsidRPr="00A53D60">
              <w:rPr>
                <w:sz w:val="20"/>
                <w:szCs w:val="20"/>
              </w:rPr>
              <w:t>присоединения</w:t>
            </w:r>
            <w:r w:rsidR="006C680D" w:rsidRPr="00A53D60">
              <w:rPr>
                <w:sz w:val="20"/>
                <w:szCs w:val="20"/>
              </w:rPr>
              <w:t xml:space="preserve"> </w:t>
            </w:r>
            <w:r w:rsidRPr="00A53D60">
              <w:rPr>
                <w:sz w:val="20"/>
                <w:szCs w:val="20"/>
              </w:rPr>
              <w:t>к</w:t>
            </w:r>
            <w:r w:rsidR="006C680D" w:rsidRPr="00A53D60">
              <w:rPr>
                <w:sz w:val="20"/>
                <w:szCs w:val="20"/>
              </w:rPr>
              <w:t xml:space="preserve"> </w:t>
            </w:r>
            <w:r w:rsidRPr="00A53D60">
              <w:rPr>
                <w:sz w:val="20"/>
                <w:szCs w:val="20"/>
              </w:rPr>
              <w:t>банку</w:t>
            </w:r>
            <w:r w:rsidR="006C680D" w:rsidRPr="00A53D60">
              <w:rPr>
                <w:sz w:val="20"/>
                <w:szCs w:val="20"/>
              </w:rPr>
              <w:t xml:space="preserve"> </w:t>
            </w:r>
            <w:r w:rsidRPr="00A53D60">
              <w:rPr>
                <w:sz w:val="20"/>
                <w:szCs w:val="20"/>
              </w:rPr>
              <w:t>«ФК</w:t>
            </w:r>
            <w:r w:rsidR="006C680D" w:rsidRPr="00A53D60">
              <w:rPr>
                <w:sz w:val="20"/>
                <w:szCs w:val="20"/>
              </w:rPr>
              <w:t xml:space="preserve"> </w:t>
            </w:r>
            <w:r w:rsidRPr="00A53D60">
              <w:rPr>
                <w:sz w:val="20"/>
                <w:szCs w:val="20"/>
              </w:rPr>
              <w:t>Открытие»</w:t>
            </w:r>
          </w:p>
        </w:tc>
      </w:tr>
      <w:tr w:rsidR="00D337FA" w:rsidRPr="00A53D60" w:rsidTr="004A1229">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ФК</w:t>
            </w:r>
            <w:r w:rsidR="006C680D" w:rsidRPr="00A53D60">
              <w:rPr>
                <w:sz w:val="20"/>
                <w:szCs w:val="20"/>
              </w:rPr>
              <w:t xml:space="preserve"> </w:t>
            </w:r>
            <w:r w:rsidRPr="00A53D60">
              <w:rPr>
                <w:sz w:val="20"/>
                <w:szCs w:val="20"/>
              </w:rPr>
              <w:t>Открытие</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29.11.2017</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21.12.2017</w:t>
            </w:r>
            <w:r w:rsidR="006C680D" w:rsidRPr="00A53D60">
              <w:rPr>
                <w:sz w:val="20"/>
                <w:szCs w:val="20"/>
              </w:rPr>
              <w:t xml:space="preserve"> </w:t>
            </w:r>
            <w:r w:rsidRPr="00A53D60">
              <w:rPr>
                <w:sz w:val="20"/>
                <w:szCs w:val="20"/>
              </w:rPr>
              <w:t>г.</w:t>
            </w:r>
          </w:p>
        </w:tc>
        <w:tc>
          <w:tcPr>
            <w:tcW w:w="127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456,2</w:t>
            </w: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декабре</w:t>
            </w:r>
            <w:r w:rsidR="006C680D" w:rsidRPr="00A53D60">
              <w:rPr>
                <w:sz w:val="20"/>
                <w:szCs w:val="20"/>
              </w:rPr>
              <w:t xml:space="preserve"> </w:t>
            </w:r>
            <w:r w:rsidRPr="00A53D60">
              <w:rPr>
                <w:sz w:val="20"/>
                <w:szCs w:val="20"/>
              </w:rPr>
              <w:t>2022</w:t>
            </w:r>
            <w:r w:rsidR="006C680D" w:rsidRPr="00A53D60">
              <w:rPr>
                <w:sz w:val="20"/>
                <w:szCs w:val="20"/>
              </w:rPr>
              <w:t xml:space="preserve"> </w:t>
            </w:r>
            <w:r w:rsidRPr="00A53D60">
              <w:rPr>
                <w:sz w:val="20"/>
                <w:szCs w:val="20"/>
              </w:rPr>
              <w:t>года</w:t>
            </w:r>
            <w:r w:rsidR="006C680D" w:rsidRPr="00A53D60">
              <w:rPr>
                <w:sz w:val="20"/>
                <w:szCs w:val="20"/>
              </w:rPr>
              <w:t xml:space="preserve"> </w:t>
            </w:r>
            <w:r w:rsidRPr="00A53D60">
              <w:rPr>
                <w:sz w:val="20"/>
                <w:szCs w:val="20"/>
              </w:rPr>
              <w:t>Банк</w:t>
            </w:r>
            <w:r w:rsidR="006C680D" w:rsidRPr="00A53D60">
              <w:rPr>
                <w:sz w:val="20"/>
                <w:szCs w:val="20"/>
              </w:rPr>
              <w:t xml:space="preserve"> </w:t>
            </w:r>
            <w:r w:rsidRPr="00A53D60">
              <w:rPr>
                <w:sz w:val="20"/>
                <w:szCs w:val="20"/>
              </w:rPr>
              <w:t>России</w:t>
            </w:r>
            <w:r w:rsidR="006C680D" w:rsidRPr="00A53D60">
              <w:rPr>
                <w:sz w:val="20"/>
                <w:szCs w:val="20"/>
              </w:rPr>
              <w:t xml:space="preserve"> </w:t>
            </w:r>
            <w:r w:rsidRPr="00A53D60">
              <w:rPr>
                <w:sz w:val="20"/>
                <w:szCs w:val="20"/>
              </w:rPr>
              <w:t>продал</w:t>
            </w:r>
            <w:r w:rsidR="006C680D" w:rsidRPr="00A53D60">
              <w:rPr>
                <w:sz w:val="20"/>
                <w:szCs w:val="20"/>
              </w:rPr>
              <w:t xml:space="preserve"> </w:t>
            </w:r>
            <w:r w:rsidRPr="00A53D60">
              <w:rPr>
                <w:sz w:val="20"/>
                <w:szCs w:val="20"/>
              </w:rPr>
              <w:t>100%</w:t>
            </w:r>
            <w:r w:rsidR="006C680D" w:rsidRPr="00A53D60">
              <w:rPr>
                <w:sz w:val="20"/>
                <w:szCs w:val="20"/>
              </w:rPr>
              <w:t xml:space="preserve"> </w:t>
            </w:r>
            <w:r w:rsidRPr="00A53D60">
              <w:rPr>
                <w:sz w:val="20"/>
                <w:szCs w:val="20"/>
              </w:rPr>
              <w:t>акций</w:t>
            </w:r>
            <w:r w:rsidR="006C680D" w:rsidRPr="00A53D60">
              <w:rPr>
                <w:sz w:val="20"/>
                <w:szCs w:val="20"/>
              </w:rPr>
              <w:t xml:space="preserve"> </w:t>
            </w:r>
            <w:r w:rsidRPr="00A53D60">
              <w:rPr>
                <w:sz w:val="20"/>
                <w:szCs w:val="20"/>
              </w:rPr>
              <w:t>банка</w:t>
            </w:r>
            <w:r w:rsidR="006C680D" w:rsidRPr="00A53D60">
              <w:rPr>
                <w:sz w:val="20"/>
                <w:szCs w:val="20"/>
              </w:rPr>
              <w:t xml:space="preserve"> </w:t>
            </w:r>
            <w:r w:rsidRPr="00A53D60">
              <w:rPr>
                <w:sz w:val="20"/>
                <w:szCs w:val="20"/>
              </w:rPr>
              <w:t>Банку</w:t>
            </w:r>
            <w:r w:rsidR="006C680D" w:rsidRPr="00A53D60">
              <w:rPr>
                <w:sz w:val="20"/>
                <w:szCs w:val="20"/>
              </w:rPr>
              <w:t xml:space="preserve"> </w:t>
            </w:r>
            <w:r w:rsidRPr="00A53D60">
              <w:rPr>
                <w:sz w:val="20"/>
                <w:szCs w:val="20"/>
              </w:rPr>
              <w:t>ВТБ</w:t>
            </w:r>
            <w:r w:rsidR="006C680D" w:rsidRPr="00A53D60">
              <w:rPr>
                <w:sz w:val="20"/>
                <w:szCs w:val="20"/>
              </w:rPr>
              <w:t xml:space="preserve"> </w:t>
            </w:r>
            <w:r w:rsidRPr="00A53D60">
              <w:rPr>
                <w:sz w:val="20"/>
                <w:szCs w:val="20"/>
              </w:rPr>
              <w:t>за</w:t>
            </w:r>
            <w:r w:rsidR="006C680D" w:rsidRPr="00A53D60">
              <w:rPr>
                <w:sz w:val="20"/>
                <w:szCs w:val="20"/>
              </w:rPr>
              <w:t xml:space="preserve"> </w:t>
            </w:r>
            <w:r w:rsidRPr="00A53D60">
              <w:rPr>
                <w:sz w:val="20"/>
                <w:szCs w:val="20"/>
              </w:rPr>
              <w:t>340</w:t>
            </w:r>
            <w:r w:rsidR="006C680D" w:rsidRPr="00A53D60">
              <w:rPr>
                <w:sz w:val="20"/>
                <w:szCs w:val="20"/>
              </w:rPr>
              <w:t xml:space="preserve"> </w:t>
            </w:r>
            <w:r w:rsidRPr="00A53D60">
              <w:rPr>
                <w:sz w:val="20"/>
                <w:szCs w:val="20"/>
              </w:rPr>
              <w:t>млрд</w:t>
            </w:r>
            <w:r w:rsidR="006C680D" w:rsidRPr="00A53D60">
              <w:rPr>
                <w:sz w:val="20"/>
                <w:szCs w:val="20"/>
              </w:rPr>
              <w:t xml:space="preserve"> </w:t>
            </w:r>
            <w:r w:rsidRPr="00A53D60">
              <w:rPr>
                <w:sz w:val="20"/>
                <w:szCs w:val="20"/>
              </w:rPr>
              <w:t>руб.</w:t>
            </w:r>
            <w:r w:rsidR="006C680D" w:rsidRPr="00A53D60">
              <w:rPr>
                <w:sz w:val="20"/>
                <w:szCs w:val="20"/>
              </w:rPr>
              <w:t xml:space="preserve"> </w:t>
            </w:r>
            <w:r w:rsidRPr="00A53D60">
              <w:rPr>
                <w:sz w:val="20"/>
                <w:szCs w:val="20"/>
              </w:rPr>
              <w:t>С</w:t>
            </w:r>
            <w:r w:rsidR="006C680D" w:rsidRPr="00A53D60">
              <w:rPr>
                <w:sz w:val="20"/>
                <w:szCs w:val="20"/>
              </w:rPr>
              <w:t xml:space="preserve"> </w:t>
            </w:r>
            <w:r w:rsidRPr="00A53D60">
              <w:rPr>
                <w:sz w:val="20"/>
                <w:szCs w:val="20"/>
              </w:rPr>
              <w:t>01.01</w:t>
            </w:r>
            <w:r w:rsidR="006C680D" w:rsidRPr="00A53D60">
              <w:rPr>
                <w:sz w:val="20"/>
                <w:szCs w:val="20"/>
              </w:rPr>
              <w:t xml:space="preserve"> </w:t>
            </w:r>
            <w:r w:rsidRPr="00A53D60">
              <w:rPr>
                <w:sz w:val="20"/>
                <w:szCs w:val="20"/>
              </w:rPr>
              <w:t>2025</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прекратил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результате</w:t>
            </w:r>
            <w:r w:rsidR="006C680D" w:rsidRPr="00A53D60">
              <w:rPr>
                <w:sz w:val="20"/>
                <w:szCs w:val="20"/>
              </w:rPr>
              <w:t xml:space="preserve"> </w:t>
            </w:r>
            <w:r w:rsidRPr="00A53D60">
              <w:rPr>
                <w:sz w:val="20"/>
                <w:szCs w:val="20"/>
              </w:rPr>
              <w:t>присоединения</w:t>
            </w:r>
            <w:r w:rsidR="006C680D" w:rsidRPr="00A53D60">
              <w:rPr>
                <w:sz w:val="20"/>
                <w:szCs w:val="20"/>
              </w:rPr>
              <w:t xml:space="preserve"> </w:t>
            </w:r>
            <w:r w:rsidRPr="00A53D60">
              <w:rPr>
                <w:sz w:val="20"/>
                <w:szCs w:val="20"/>
              </w:rPr>
              <w:t>к</w:t>
            </w:r>
            <w:r w:rsidR="006C680D" w:rsidRPr="00A53D60">
              <w:rPr>
                <w:sz w:val="20"/>
                <w:szCs w:val="20"/>
              </w:rPr>
              <w:t xml:space="preserve"> </w:t>
            </w:r>
            <w:r w:rsidRPr="00A53D60">
              <w:rPr>
                <w:sz w:val="20"/>
                <w:szCs w:val="20"/>
              </w:rPr>
              <w:t>Банку</w:t>
            </w:r>
            <w:r w:rsidR="006C680D" w:rsidRPr="00A53D60">
              <w:rPr>
                <w:sz w:val="20"/>
                <w:szCs w:val="20"/>
              </w:rPr>
              <w:t xml:space="preserve"> </w:t>
            </w:r>
            <w:r w:rsidRPr="00A53D60">
              <w:rPr>
                <w:sz w:val="20"/>
                <w:szCs w:val="20"/>
              </w:rPr>
              <w:t>ВТБ.</w:t>
            </w:r>
          </w:p>
        </w:tc>
      </w:tr>
      <w:tr w:rsidR="00D337FA" w:rsidRPr="00A53D60" w:rsidTr="004A1229">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Азиатско-Тихоокеанский</w:t>
            </w:r>
            <w:r w:rsidR="006C680D" w:rsidRPr="00A53D60">
              <w:rPr>
                <w:sz w:val="20"/>
                <w:szCs w:val="20"/>
              </w:rPr>
              <w:t xml:space="preserve"> </w:t>
            </w:r>
            <w:r w:rsidRPr="00A53D60">
              <w:rPr>
                <w:sz w:val="20"/>
                <w:szCs w:val="20"/>
              </w:rPr>
              <w:t>Банк</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26.04.2018</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26.04.2019</w:t>
            </w:r>
            <w:r w:rsidR="006C680D" w:rsidRPr="00A53D60">
              <w:rPr>
                <w:sz w:val="20"/>
                <w:szCs w:val="20"/>
              </w:rPr>
              <w:t xml:space="preserve"> </w:t>
            </w:r>
            <w:r w:rsidRPr="00A53D60">
              <w:rPr>
                <w:sz w:val="20"/>
                <w:szCs w:val="20"/>
              </w:rPr>
              <w:t>г.</w:t>
            </w:r>
          </w:p>
        </w:tc>
        <w:tc>
          <w:tcPr>
            <w:tcW w:w="127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9,0</w:t>
            </w: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p>
          <w:p w:rsidR="004A1229" w:rsidRPr="00A53D60" w:rsidRDefault="004A1229" w:rsidP="00E70CAD">
            <w:pPr>
              <w:ind w:firstLine="0"/>
              <w:jc w:val="left"/>
              <w:rPr>
                <w:sz w:val="20"/>
                <w:szCs w:val="20"/>
              </w:rPr>
            </w:pPr>
            <w:r w:rsidRPr="00A53D60">
              <w:rPr>
                <w:sz w:val="20"/>
                <w:szCs w:val="20"/>
              </w:rPr>
              <w:t>05.10.2021</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100%</w:t>
            </w:r>
            <w:r w:rsidR="006C680D" w:rsidRPr="00A53D60">
              <w:rPr>
                <w:sz w:val="20"/>
                <w:szCs w:val="20"/>
              </w:rPr>
              <w:t xml:space="preserve"> </w:t>
            </w:r>
            <w:r w:rsidRPr="00A53D60">
              <w:rPr>
                <w:sz w:val="20"/>
                <w:szCs w:val="20"/>
              </w:rPr>
              <w:t>акций</w:t>
            </w:r>
            <w:r w:rsidR="006C680D" w:rsidRPr="00A53D60">
              <w:rPr>
                <w:sz w:val="20"/>
                <w:szCs w:val="20"/>
              </w:rPr>
              <w:t xml:space="preserve"> </w:t>
            </w:r>
            <w:r w:rsidRPr="00A53D60">
              <w:rPr>
                <w:sz w:val="20"/>
                <w:szCs w:val="20"/>
              </w:rPr>
              <w:t>банка</w:t>
            </w:r>
            <w:r w:rsidR="006C680D" w:rsidRPr="00A53D60">
              <w:rPr>
                <w:sz w:val="20"/>
                <w:szCs w:val="20"/>
              </w:rPr>
              <w:t xml:space="preserve"> </w:t>
            </w:r>
            <w:r w:rsidRPr="00A53D60">
              <w:rPr>
                <w:sz w:val="20"/>
                <w:szCs w:val="20"/>
              </w:rPr>
              <w:t>были</w:t>
            </w:r>
            <w:r w:rsidR="006C680D" w:rsidRPr="00A53D60">
              <w:rPr>
                <w:sz w:val="20"/>
                <w:szCs w:val="20"/>
              </w:rPr>
              <w:t xml:space="preserve"> </w:t>
            </w:r>
            <w:r w:rsidRPr="00A53D60">
              <w:rPr>
                <w:sz w:val="20"/>
                <w:szCs w:val="20"/>
              </w:rPr>
              <w:t>проданы</w:t>
            </w:r>
            <w:r w:rsidR="006C680D" w:rsidRPr="00A53D60">
              <w:rPr>
                <w:sz w:val="20"/>
                <w:szCs w:val="20"/>
              </w:rPr>
              <w:t xml:space="preserve"> </w:t>
            </w:r>
            <w:r w:rsidRPr="00A53D60">
              <w:rPr>
                <w:sz w:val="20"/>
                <w:szCs w:val="20"/>
              </w:rPr>
              <w:t>новому</w:t>
            </w:r>
            <w:r w:rsidR="006C680D" w:rsidRPr="00A53D60">
              <w:rPr>
                <w:sz w:val="20"/>
                <w:szCs w:val="20"/>
              </w:rPr>
              <w:t xml:space="preserve"> </w:t>
            </w:r>
            <w:r w:rsidRPr="00A53D60">
              <w:rPr>
                <w:sz w:val="20"/>
                <w:szCs w:val="20"/>
              </w:rPr>
              <w:t>инвестору</w:t>
            </w:r>
            <w:r w:rsidR="006C680D" w:rsidRPr="00A53D60">
              <w:rPr>
                <w:sz w:val="20"/>
                <w:szCs w:val="20"/>
              </w:rPr>
              <w:t xml:space="preserve"> </w:t>
            </w:r>
            <w:r w:rsidRPr="00A53D60">
              <w:rPr>
                <w:sz w:val="20"/>
                <w:szCs w:val="20"/>
              </w:rPr>
              <w:t>за</w:t>
            </w:r>
            <w:r w:rsidR="006C680D" w:rsidRPr="00A53D60">
              <w:rPr>
                <w:sz w:val="20"/>
                <w:szCs w:val="20"/>
              </w:rPr>
              <w:t xml:space="preserve"> </w:t>
            </w:r>
            <w:r w:rsidRPr="00A53D60">
              <w:rPr>
                <w:sz w:val="20"/>
                <w:szCs w:val="20"/>
              </w:rPr>
              <w:t>14</w:t>
            </w:r>
            <w:r w:rsidR="006C680D" w:rsidRPr="00A53D60">
              <w:rPr>
                <w:sz w:val="20"/>
                <w:szCs w:val="20"/>
              </w:rPr>
              <w:t xml:space="preserve"> </w:t>
            </w:r>
            <w:r w:rsidRPr="00A53D60">
              <w:rPr>
                <w:sz w:val="20"/>
                <w:szCs w:val="20"/>
              </w:rPr>
              <w:t>млрд</w:t>
            </w:r>
            <w:r w:rsidR="006C680D" w:rsidRPr="00A53D60">
              <w:rPr>
                <w:sz w:val="20"/>
                <w:szCs w:val="20"/>
              </w:rPr>
              <w:t xml:space="preserve"> </w:t>
            </w:r>
            <w:r w:rsidRPr="00A53D60">
              <w:rPr>
                <w:sz w:val="20"/>
                <w:szCs w:val="20"/>
              </w:rPr>
              <w:t>руб.</w:t>
            </w:r>
            <w:r w:rsidR="006C680D" w:rsidRPr="00A53D60">
              <w:rPr>
                <w:sz w:val="20"/>
                <w:szCs w:val="20"/>
              </w:rPr>
              <w:t xml:space="preserve"> </w:t>
            </w:r>
            <w:r w:rsidRPr="00A53D60">
              <w:rPr>
                <w:sz w:val="20"/>
                <w:szCs w:val="20"/>
              </w:rPr>
              <w:t>+</w:t>
            </w:r>
            <w:r w:rsidR="006C680D" w:rsidRPr="00A53D60">
              <w:rPr>
                <w:sz w:val="20"/>
                <w:szCs w:val="20"/>
              </w:rPr>
              <w:t xml:space="preserve"> </w:t>
            </w:r>
            <w:r w:rsidRPr="00A53D60">
              <w:rPr>
                <w:sz w:val="20"/>
                <w:szCs w:val="20"/>
              </w:rPr>
              <w:t>чистая</w:t>
            </w:r>
            <w:r w:rsidR="006C680D" w:rsidRPr="00A53D60">
              <w:rPr>
                <w:sz w:val="20"/>
                <w:szCs w:val="20"/>
              </w:rPr>
              <w:t xml:space="preserve"> </w:t>
            </w:r>
            <w:r w:rsidRPr="00A53D60">
              <w:rPr>
                <w:sz w:val="20"/>
                <w:szCs w:val="20"/>
              </w:rPr>
              <w:t>прибыль</w:t>
            </w:r>
            <w:r w:rsidR="006C680D" w:rsidRPr="00A53D60">
              <w:rPr>
                <w:sz w:val="20"/>
                <w:szCs w:val="20"/>
              </w:rPr>
              <w:t xml:space="preserve"> </w:t>
            </w:r>
            <w:r w:rsidRPr="00A53D60">
              <w:rPr>
                <w:sz w:val="20"/>
                <w:szCs w:val="20"/>
              </w:rPr>
              <w:t>банка</w:t>
            </w:r>
            <w:r w:rsidR="006C680D" w:rsidRPr="00A53D60">
              <w:rPr>
                <w:sz w:val="20"/>
                <w:szCs w:val="20"/>
              </w:rPr>
              <w:t xml:space="preserve"> </w:t>
            </w:r>
            <w:r w:rsidRPr="00A53D60">
              <w:rPr>
                <w:sz w:val="20"/>
                <w:szCs w:val="20"/>
              </w:rPr>
              <w:t>за</w:t>
            </w:r>
            <w:r w:rsidR="006C680D" w:rsidRPr="00A53D60">
              <w:rPr>
                <w:sz w:val="20"/>
                <w:szCs w:val="20"/>
              </w:rPr>
              <w:t xml:space="preserve"> </w:t>
            </w:r>
            <w:r w:rsidRPr="00A53D60">
              <w:rPr>
                <w:sz w:val="20"/>
                <w:szCs w:val="20"/>
              </w:rPr>
              <w:t>2021</w:t>
            </w:r>
            <w:r w:rsidR="006C680D" w:rsidRPr="00A53D60">
              <w:rPr>
                <w:sz w:val="20"/>
                <w:szCs w:val="20"/>
              </w:rPr>
              <w:t xml:space="preserve"> </w:t>
            </w:r>
            <w:r w:rsidRPr="00A53D60">
              <w:rPr>
                <w:sz w:val="20"/>
                <w:szCs w:val="20"/>
              </w:rPr>
              <w:t>год</w:t>
            </w:r>
            <w:r w:rsidR="006C680D" w:rsidRPr="00A53D60">
              <w:rPr>
                <w:sz w:val="20"/>
                <w:szCs w:val="20"/>
              </w:rPr>
              <w:t xml:space="preserve"> </w:t>
            </w:r>
          </w:p>
        </w:tc>
      </w:tr>
      <w:tr w:rsidR="004A1229" w:rsidRPr="00A53D60" w:rsidTr="004A1229">
        <w:tc>
          <w:tcPr>
            <w:tcW w:w="1526"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Промсвязьбанк</w:t>
            </w:r>
          </w:p>
        </w:tc>
        <w:tc>
          <w:tcPr>
            <w:tcW w:w="146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15.12.2017</w:t>
            </w:r>
            <w:r w:rsidR="006C680D" w:rsidRPr="00A53D60">
              <w:rPr>
                <w:sz w:val="20"/>
                <w:szCs w:val="20"/>
              </w:rPr>
              <w:t xml:space="preserve"> </w:t>
            </w:r>
            <w:r w:rsidRPr="00A53D60">
              <w:rPr>
                <w:sz w:val="20"/>
                <w:szCs w:val="20"/>
              </w:rPr>
              <w:t>г.</w:t>
            </w:r>
          </w:p>
        </w:tc>
        <w:tc>
          <w:tcPr>
            <w:tcW w:w="1794"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06.09.2018</w:t>
            </w:r>
            <w:r w:rsidR="006C680D" w:rsidRPr="00A53D60">
              <w:rPr>
                <w:sz w:val="20"/>
                <w:szCs w:val="20"/>
              </w:rPr>
              <w:t xml:space="preserve"> </w:t>
            </w:r>
            <w:r w:rsidRPr="00A53D60">
              <w:rPr>
                <w:sz w:val="20"/>
                <w:szCs w:val="20"/>
              </w:rPr>
              <w:t>г.</w:t>
            </w:r>
          </w:p>
        </w:tc>
        <w:tc>
          <w:tcPr>
            <w:tcW w:w="1276" w:type="dxa"/>
            <w:shd w:val="clear" w:color="auto" w:fill="auto"/>
            <w:tcMar>
              <w:left w:w="57" w:type="dxa"/>
              <w:right w:w="57" w:type="dxa"/>
            </w:tcMar>
          </w:tcPr>
          <w:p w:rsidR="004A1229" w:rsidRPr="00A53D60" w:rsidRDefault="004A1229" w:rsidP="00E70CAD">
            <w:pPr>
              <w:ind w:firstLine="0"/>
              <w:jc w:val="center"/>
              <w:rPr>
                <w:sz w:val="20"/>
                <w:szCs w:val="20"/>
              </w:rPr>
            </w:pPr>
            <w:r w:rsidRPr="00A53D60">
              <w:rPr>
                <w:sz w:val="20"/>
                <w:szCs w:val="20"/>
              </w:rPr>
              <w:t>113,4</w:t>
            </w:r>
          </w:p>
        </w:tc>
        <w:tc>
          <w:tcPr>
            <w:tcW w:w="3634" w:type="dxa"/>
            <w:shd w:val="clear" w:color="auto" w:fill="auto"/>
            <w:tcMar>
              <w:left w:w="57" w:type="dxa"/>
              <w:right w:w="57" w:type="dxa"/>
            </w:tcMar>
          </w:tcPr>
          <w:p w:rsidR="004A1229" w:rsidRPr="00A53D60" w:rsidRDefault="004A1229" w:rsidP="00E70CAD">
            <w:pPr>
              <w:ind w:firstLine="0"/>
              <w:jc w:val="left"/>
              <w:rPr>
                <w:sz w:val="20"/>
                <w:szCs w:val="20"/>
              </w:rPr>
            </w:pPr>
            <w:r w:rsidRPr="00A53D60">
              <w:rPr>
                <w:sz w:val="20"/>
                <w:szCs w:val="20"/>
              </w:rPr>
              <w:t>Продолжил</w:t>
            </w:r>
            <w:r w:rsidR="006C680D" w:rsidRPr="00A53D60">
              <w:rPr>
                <w:sz w:val="20"/>
                <w:szCs w:val="20"/>
              </w:rPr>
              <w:t xml:space="preserve"> </w:t>
            </w:r>
            <w:r w:rsidRPr="00A53D60">
              <w:rPr>
                <w:sz w:val="20"/>
                <w:szCs w:val="20"/>
              </w:rPr>
              <w:t>деятельность.</w:t>
            </w:r>
            <w:r w:rsidR="006C680D" w:rsidRPr="00A53D60">
              <w:rPr>
                <w:sz w:val="20"/>
                <w:szCs w:val="20"/>
              </w:rPr>
              <w:t xml:space="preserve"> </w:t>
            </w:r>
            <w:r w:rsidRPr="00A53D60">
              <w:rPr>
                <w:sz w:val="20"/>
                <w:szCs w:val="20"/>
              </w:rPr>
              <w:t>В</w:t>
            </w:r>
            <w:r w:rsidR="006C680D" w:rsidRPr="00A53D60">
              <w:rPr>
                <w:sz w:val="20"/>
                <w:szCs w:val="20"/>
              </w:rPr>
              <w:t xml:space="preserve"> </w:t>
            </w:r>
            <w:r w:rsidRPr="00A53D60">
              <w:rPr>
                <w:sz w:val="20"/>
                <w:szCs w:val="20"/>
              </w:rPr>
              <w:t>2018</w:t>
            </w:r>
            <w:r w:rsidR="006C680D" w:rsidRPr="00A53D60">
              <w:rPr>
                <w:sz w:val="20"/>
                <w:szCs w:val="20"/>
              </w:rPr>
              <w:t xml:space="preserve"> </w:t>
            </w:r>
            <w:r w:rsidRPr="00A53D60">
              <w:rPr>
                <w:sz w:val="20"/>
                <w:szCs w:val="20"/>
              </w:rPr>
              <w:t>г.</w:t>
            </w:r>
            <w:r w:rsidR="006C680D" w:rsidRPr="00A53D60">
              <w:rPr>
                <w:sz w:val="20"/>
                <w:szCs w:val="20"/>
              </w:rPr>
              <w:t xml:space="preserve"> </w:t>
            </w:r>
            <w:r w:rsidRPr="00A53D60">
              <w:rPr>
                <w:sz w:val="20"/>
                <w:szCs w:val="20"/>
              </w:rPr>
              <w:t>100%</w:t>
            </w:r>
            <w:r w:rsidR="006C680D" w:rsidRPr="00A53D60">
              <w:rPr>
                <w:sz w:val="20"/>
                <w:szCs w:val="20"/>
              </w:rPr>
              <w:t xml:space="preserve"> </w:t>
            </w:r>
            <w:r w:rsidRPr="00A53D60">
              <w:rPr>
                <w:sz w:val="20"/>
                <w:szCs w:val="20"/>
              </w:rPr>
              <w:t>акций</w:t>
            </w:r>
            <w:r w:rsidR="006C680D" w:rsidRPr="00A53D60">
              <w:rPr>
                <w:sz w:val="20"/>
                <w:szCs w:val="20"/>
              </w:rPr>
              <w:t xml:space="preserve"> </w:t>
            </w:r>
            <w:r w:rsidRPr="00A53D60">
              <w:rPr>
                <w:sz w:val="20"/>
                <w:szCs w:val="20"/>
              </w:rPr>
              <w:t>переданы</w:t>
            </w:r>
            <w:r w:rsidR="006C680D" w:rsidRPr="00A53D60">
              <w:rPr>
                <w:sz w:val="20"/>
                <w:szCs w:val="20"/>
              </w:rPr>
              <w:t xml:space="preserve"> </w:t>
            </w:r>
            <w:r w:rsidRPr="00A53D60">
              <w:rPr>
                <w:sz w:val="20"/>
                <w:szCs w:val="20"/>
              </w:rPr>
              <w:t>РФ.</w:t>
            </w:r>
            <w:r w:rsidR="006C680D" w:rsidRPr="00A53D60">
              <w:rPr>
                <w:sz w:val="20"/>
                <w:szCs w:val="20"/>
              </w:rPr>
              <w:t xml:space="preserve"> </w:t>
            </w:r>
            <w:r w:rsidRPr="00A53D60">
              <w:rPr>
                <w:sz w:val="20"/>
                <w:szCs w:val="20"/>
              </w:rPr>
              <w:t>Является</w:t>
            </w:r>
            <w:r w:rsidR="006C680D" w:rsidRPr="00A53D60">
              <w:rPr>
                <w:sz w:val="20"/>
                <w:szCs w:val="20"/>
              </w:rPr>
              <w:t xml:space="preserve"> </w:t>
            </w:r>
            <w:r w:rsidRPr="00A53D60">
              <w:rPr>
                <w:sz w:val="20"/>
                <w:szCs w:val="20"/>
              </w:rPr>
              <w:lastRenderedPageBreak/>
              <w:t>опорным</w:t>
            </w:r>
            <w:r w:rsidR="006C680D" w:rsidRPr="00A53D60">
              <w:rPr>
                <w:sz w:val="20"/>
                <w:szCs w:val="20"/>
              </w:rPr>
              <w:t xml:space="preserve"> </w:t>
            </w:r>
            <w:r w:rsidRPr="00A53D60">
              <w:rPr>
                <w:sz w:val="20"/>
                <w:szCs w:val="20"/>
              </w:rPr>
              <w:t>банком</w:t>
            </w:r>
            <w:r w:rsidR="006C680D" w:rsidRPr="00A53D60">
              <w:rPr>
                <w:sz w:val="20"/>
                <w:szCs w:val="20"/>
              </w:rPr>
              <w:t xml:space="preserve"> </w:t>
            </w:r>
            <w:r w:rsidRPr="00A53D60">
              <w:rPr>
                <w:sz w:val="20"/>
                <w:szCs w:val="20"/>
              </w:rPr>
              <w:t>для</w:t>
            </w:r>
            <w:r w:rsidR="006C680D" w:rsidRPr="00A53D60">
              <w:rPr>
                <w:sz w:val="20"/>
                <w:szCs w:val="20"/>
              </w:rPr>
              <w:t xml:space="preserve"> </w:t>
            </w:r>
            <w:r w:rsidRPr="00A53D60">
              <w:rPr>
                <w:sz w:val="20"/>
                <w:szCs w:val="20"/>
              </w:rPr>
              <w:t>осуществления</w:t>
            </w:r>
            <w:r w:rsidR="006C680D" w:rsidRPr="00A53D60">
              <w:rPr>
                <w:sz w:val="20"/>
                <w:szCs w:val="20"/>
              </w:rPr>
              <w:t xml:space="preserve"> </w:t>
            </w:r>
            <w:r w:rsidRPr="00A53D60">
              <w:rPr>
                <w:sz w:val="20"/>
                <w:szCs w:val="20"/>
              </w:rPr>
              <w:t>операций</w:t>
            </w:r>
            <w:r w:rsidR="006C680D" w:rsidRPr="00A53D60">
              <w:rPr>
                <w:sz w:val="20"/>
                <w:szCs w:val="20"/>
              </w:rPr>
              <w:t xml:space="preserve"> </w:t>
            </w:r>
            <w:r w:rsidRPr="00A53D60">
              <w:rPr>
                <w:sz w:val="20"/>
                <w:szCs w:val="20"/>
              </w:rPr>
              <w:t>по</w:t>
            </w:r>
            <w:r w:rsidR="006C680D" w:rsidRPr="00A53D60">
              <w:rPr>
                <w:sz w:val="20"/>
                <w:szCs w:val="20"/>
              </w:rPr>
              <w:t xml:space="preserve"> </w:t>
            </w:r>
            <w:r w:rsidRPr="00A53D60">
              <w:rPr>
                <w:sz w:val="20"/>
                <w:szCs w:val="20"/>
              </w:rPr>
              <w:t>государственному</w:t>
            </w:r>
            <w:r w:rsidR="006C680D" w:rsidRPr="00A53D60">
              <w:rPr>
                <w:sz w:val="20"/>
                <w:szCs w:val="20"/>
              </w:rPr>
              <w:t xml:space="preserve"> </w:t>
            </w:r>
            <w:r w:rsidRPr="00A53D60">
              <w:rPr>
                <w:sz w:val="20"/>
                <w:szCs w:val="20"/>
              </w:rPr>
              <w:t>оборонному</w:t>
            </w:r>
            <w:r w:rsidR="006C680D" w:rsidRPr="00A53D60">
              <w:rPr>
                <w:sz w:val="20"/>
                <w:szCs w:val="20"/>
              </w:rPr>
              <w:t xml:space="preserve"> </w:t>
            </w:r>
            <w:r w:rsidRPr="00A53D60">
              <w:rPr>
                <w:sz w:val="20"/>
                <w:szCs w:val="20"/>
              </w:rPr>
              <w:t>заказу</w:t>
            </w:r>
            <w:r w:rsidR="006C680D" w:rsidRPr="00A53D60">
              <w:rPr>
                <w:sz w:val="20"/>
                <w:szCs w:val="20"/>
              </w:rPr>
              <w:t xml:space="preserve"> </w:t>
            </w:r>
            <w:r w:rsidRPr="00A53D60">
              <w:rPr>
                <w:sz w:val="20"/>
                <w:szCs w:val="20"/>
              </w:rPr>
              <w:t>и</w:t>
            </w:r>
            <w:r w:rsidR="006C680D" w:rsidRPr="00A53D60">
              <w:rPr>
                <w:sz w:val="20"/>
                <w:szCs w:val="20"/>
              </w:rPr>
              <w:t xml:space="preserve"> </w:t>
            </w:r>
            <w:r w:rsidRPr="00A53D60">
              <w:rPr>
                <w:sz w:val="20"/>
                <w:szCs w:val="20"/>
              </w:rPr>
              <w:t>крупным</w:t>
            </w:r>
            <w:r w:rsidR="006C680D" w:rsidRPr="00A53D60">
              <w:rPr>
                <w:sz w:val="20"/>
                <w:szCs w:val="20"/>
              </w:rPr>
              <w:t xml:space="preserve"> </w:t>
            </w:r>
            <w:r w:rsidRPr="00A53D60">
              <w:rPr>
                <w:sz w:val="20"/>
                <w:szCs w:val="20"/>
              </w:rPr>
              <w:t>государственным</w:t>
            </w:r>
            <w:r w:rsidR="006C680D" w:rsidRPr="00A53D60">
              <w:rPr>
                <w:sz w:val="20"/>
                <w:szCs w:val="20"/>
              </w:rPr>
              <w:t xml:space="preserve"> </w:t>
            </w:r>
            <w:r w:rsidRPr="00A53D60">
              <w:rPr>
                <w:sz w:val="20"/>
                <w:szCs w:val="20"/>
              </w:rPr>
              <w:t>контрактам</w:t>
            </w:r>
          </w:p>
        </w:tc>
      </w:tr>
    </w:tbl>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4A1229" w:rsidRPr="00D337FA" w:rsidRDefault="004A1229" w:rsidP="004A1229">
      <w:pPr>
        <w:sectPr w:rsidR="004A122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4A1229" w:rsidRPr="00D337FA" w:rsidRDefault="004A1229" w:rsidP="004A1229">
      <w:pPr>
        <w:ind w:firstLine="284"/>
      </w:pPr>
      <w:r w:rsidRPr="00D337FA">
        <w:lastRenderedPageBreak/>
        <w:t>Данные</w:t>
      </w:r>
      <w:r w:rsidR="006C680D" w:rsidRPr="00D337FA">
        <w:t xml:space="preserve"> </w:t>
      </w:r>
      <w:r w:rsidRPr="00D337FA">
        <w:t>представленные</w:t>
      </w:r>
      <w:r w:rsidR="006C680D" w:rsidRPr="00D337FA">
        <w:t xml:space="preserve"> </w:t>
      </w:r>
      <w:r w:rsidRPr="00D337FA">
        <w:t>в</w:t>
      </w:r>
      <w:r w:rsidR="006C680D" w:rsidRPr="00D337FA">
        <w:t xml:space="preserve"> </w:t>
      </w:r>
      <w:r w:rsidRPr="00D337FA">
        <w:t>таблице</w:t>
      </w:r>
      <w:r w:rsidR="006C680D" w:rsidRPr="00D337FA">
        <w:t xml:space="preserve"> </w:t>
      </w:r>
      <w:r w:rsidRPr="00D337FA">
        <w:t>позволяют</w:t>
      </w:r>
      <w:r w:rsidR="006C680D" w:rsidRPr="00D337FA">
        <w:t xml:space="preserve"> </w:t>
      </w:r>
      <w:r w:rsidRPr="00D337FA">
        <w:t>сделать</w:t>
      </w:r>
      <w:r w:rsidR="006C680D" w:rsidRPr="00D337FA">
        <w:t xml:space="preserve"> </w:t>
      </w:r>
      <w:r w:rsidRPr="00D337FA">
        <w:t>несколько</w:t>
      </w:r>
      <w:r w:rsidR="006C680D" w:rsidRPr="00D337FA">
        <w:t xml:space="preserve"> </w:t>
      </w:r>
      <w:r w:rsidRPr="00D337FA">
        <w:t>предварительных</w:t>
      </w:r>
      <w:r w:rsidR="006C680D" w:rsidRPr="00D337FA">
        <w:t xml:space="preserve"> </w:t>
      </w:r>
      <w:r w:rsidRPr="00D337FA">
        <w:t>выводов:</w:t>
      </w:r>
    </w:p>
    <w:p w:rsidR="004A1229" w:rsidRPr="00D337FA" w:rsidRDefault="004A1229" w:rsidP="004A1229">
      <w:pPr>
        <w:ind w:firstLine="284"/>
      </w:pPr>
      <w:r w:rsidRPr="00D337FA">
        <w:t>1)</w:t>
      </w:r>
      <w:r w:rsidR="006C680D" w:rsidRPr="00D337FA">
        <w:t xml:space="preserve"> </w:t>
      </w:r>
      <w:r w:rsidRPr="00D337FA">
        <w:t>процедуры</w:t>
      </w:r>
      <w:r w:rsidR="006C680D" w:rsidRPr="00D337FA">
        <w:t xml:space="preserve"> </w:t>
      </w:r>
      <w:r w:rsidRPr="00D337FA">
        <w:t>восстановления</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банков</w:t>
      </w:r>
      <w:r w:rsidR="006C680D" w:rsidRPr="00D337FA">
        <w:t xml:space="preserve"> </w:t>
      </w:r>
      <w:r w:rsidRPr="00D337FA">
        <w:t>за</w:t>
      </w:r>
      <w:r w:rsidR="006C680D" w:rsidRPr="00D337FA">
        <w:t xml:space="preserve"> </w:t>
      </w:r>
      <w:r w:rsidRPr="00D337FA">
        <w:t>счет</w:t>
      </w:r>
      <w:r w:rsidR="006C680D" w:rsidRPr="00D337FA">
        <w:t xml:space="preserve"> </w:t>
      </w:r>
      <w:r w:rsidRPr="00D337FA">
        <w:t>их</w:t>
      </w:r>
      <w:r w:rsidR="006C680D" w:rsidRPr="00D337FA">
        <w:t xml:space="preserve"> </w:t>
      </w:r>
      <w:r w:rsidRPr="00D337FA">
        <w:t>докапитализации</w:t>
      </w:r>
      <w:r w:rsidR="006C680D" w:rsidRPr="00D337FA">
        <w:t xml:space="preserve"> </w:t>
      </w:r>
      <w:r w:rsidRPr="00D337FA">
        <w:t>и</w:t>
      </w:r>
      <w:r w:rsidR="006C680D" w:rsidRPr="00D337FA">
        <w:t xml:space="preserve"> </w:t>
      </w:r>
      <w:r w:rsidRPr="00D337FA">
        <w:t>предоставления</w:t>
      </w:r>
      <w:r w:rsidR="006C680D" w:rsidRPr="00D337FA">
        <w:t xml:space="preserve"> </w:t>
      </w:r>
      <w:r w:rsidRPr="00D337FA">
        <w:t>депозитной</w:t>
      </w:r>
      <w:r w:rsidR="006C680D" w:rsidRPr="00D337FA">
        <w:t xml:space="preserve"> </w:t>
      </w:r>
      <w:r w:rsidRPr="00D337FA">
        <w:t>ликвидности</w:t>
      </w:r>
      <w:r w:rsidR="006C680D" w:rsidRPr="00D337FA">
        <w:t xml:space="preserve"> </w:t>
      </w:r>
      <w:r w:rsidRPr="00D337FA">
        <w:t>реализуются</w:t>
      </w:r>
      <w:r w:rsidR="006C680D" w:rsidRPr="00D337FA">
        <w:t xml:space="preserve"> </w:t>
      </w:r>
      <w:r w:rsidRPr="00D337FA">
        <w:t>в</w:t>
      </w:r>
      <w:r w:rsidR="006C680D" w:rsidRPr="00D337FA">
        <w:t xml:space="preserve"> </w:t>
      </w:r>
      <w:r w:rsidRPr="00D337FA">
        <w:t>короткие</w:t>
      </w:r>
      <w:r w:rsidR="006C680D" w:rsidRPr="00D337FA">
        <w:t xml:space="preserve"> </w:t>
      </w:r>
      <w:r w:rsidRPr="00D337FA">
        <w:t>сроки</w:t>
      </w:r>
      <w:r w:rsidR="006C680D" w:rsidRPr="00D337FA">
        <w:t xml:space="preserve"> </w:t>
      </w:r>
      <w:r w:rsidRPr="00D337FA">
        <w:t>(до</w:t>
      </w:r>
      <w:r w:rsidR="006C680D" w:rsidRPr="00D337FA">
        <w:t xml:space="preserve"> </w:t>
      </w:r>
      <w:r w:rsidRPr="00D337FA">
        <w:t>1</w:t>
      </w:r>
      <w:r w:rsidR="006C680D" w:rsidRPr="00D337FA">
        <w:t xml:space="preserve"> </w:t>
      </w:r>
      <w:r w:rsidRPr="00D337FA">
        <w:t>года)</w:t>
      </w:r>
      <w:r w:rsidR="006C680D" w:rsidRPr="00D337FA">
        <w:t xml:space="preserve"> </w:t>
      </w:r>
      <w:r w:rsidRPr="00D337FA">
        <w:t>и</w:t>
      </w:r>
      <w:r w:rsidR="006C680D" w:rsidRPr="00D337FA">
        <w:t xml:space="preserve"> </w:t>
      </w:r>
      <w:r w:rsidRPr="00D337FA">
        <w:t>позволяют</w:t>
      </w:r>
      <w:r w:rsidR="006C680D" w:rsidRPr="00D337FA">
        <w:t xml:space="preserve"> </w:t>
      </w:r>
      <w:r w:rsidRPr="00D337FA">
        <w:t>банкам</w:t>
      </w:r>
      <w:r w:rsidR="006C680D" w:rsidRPr="00D337FA">
        <w:t xml:space="preserve"> </w:t>
      </w:r>
      <w:r w:rsidRPr="00D337FA">
        <w:t>продолжить</w:t>
      </w:r>
      <w:r w:rsidR="006C680D" w:rsidRPr="00D337FA">
        <w:t xml:space="preserve"> </w:t>
      </w:r>
      <w:r w:rsidRPr="00D337FA">
        <w:t>свою</w:t>
      </w:r>
      <w:r w:rsidR="006C680D" w:rsidRPr="00D337FA">
        <w:t xml:space="preserve"> </w:t>
      </w:r>
      <w:r w:rsidRPr="00D337FA">
        <w:t>деятельность;</w:t>
      </w:r>
      <w:r w:rsidR="006C680D" w:rsidRPr="00D337FA">
        <w:t xml:space="preserve">  </w:t>
      </w:r>
    </w:p>
    <w:p w:rsidR="004A1229" w:rsidRPr="00D337FA" w:rsidRDefault="004A1229" w:rsidP="004A1229">
      <w:pPr>
        <w:ind w:firstLine="284"/>
      </w:pPr>
      <w:r w:rsidRPr="00D337FA">
        <w:t>2)</w:t>
      </w:r>
      <w:r w:rsidR="006C680D" w:rsidRPr="00D337FA">
        <w:t xml:space="preserve"> </w:t>
      </w:r>
      <w:r w:rsidRPr="00D337FA">
        <w:t>продолжение</w:t>
      </w:r>
      <w:r w:rsidR="006C680D" w:rsidRPr="00D337FA">
        <w:t xml:space="preserve"> </w:t>
      </w:r>
      <w:r w:rsidRPr="00D337FA">
        <w:t>деятельности</w:t>
      </w:r>
      <w:r w:rsidR="006C680D" w:rsidRPr="00D337FA">
        <w:t xml:space="preserve"> </w:t>
      </w:r>
      <w:r w:rsidRPr="00D337FA">
        <w:t>банка</w:t>
      </w:r>
      <w:r w:rsidR="006C680D" w:rsidRPr="00D337FA">
        <w:t xml:space="preserve"> </w:t>
      </w:r>
      <w:r w:rsidRPr="00D337FA">
        <w:t>после</w:t>
      </w:r>
      <w:r w:rsidR="006C680D" w:rsidRPr="00D337FA">
        <w:t xml:space="preserve"> </w:t>
      </w:r>
      <w:r w:rsidRPr="00D337FA">
        <w:t>реализации</w:t>
      </w:r>
      <w:r w:rsidR="006C680D" w:rsidRPr="00D337FA">
        <w:t xml:space="preserve"> </w:t>
      </w:r>
      <w:r w:rsidRPr="00D337FA">
        <w:t>мер</w:t>
      </w:r>
      <w:r w:rsidR="006C680D" w:rsidRPr="00D337FA">
        <w:t xml:space="preserve"> </w:t>
      </w:r>
      <w:r w:rsidRPr="00D337FA">
        <w:t>по</w:t>
      </w:r>
      <w:r w:rsidR="006C680D" w:rsidRPr="00D337FA">
        <w:t xml:space="preserve"> </w:t>
      </w:r>
      <w:r w:rsidRPr="00D337FA">
        <w:t>восстановлению</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не</w:t>
      </w:r>
      <w:r w:rsidR="006C680D" w:rsidRPr="00D337FA">
        <w:t xml:space="preserve"> </w:t>
      </w:r>
      <w:r w:rsidRPr="00D337FA">
        <w:t>означает</w:t>
      </w:r>
      <w:r w:rsidR="006C680D" w:rsidRPr="00D337FA">
        <w:t xml:space="preserve"> </w:t>
      </w:r>
      <w:r w:rsidRPr="00D337FA">
        <w:t>окончания</w:t>
      </w:r>
      <w:r w:rsidR="006C680D" w:rsidRPr="00D337FA">
        <w:t xml:space="preserve"> </w:t>
      </w:r>
      <w:r w:rsidRPr="00D337FA">
        <w:t>срока</w:t>
      </w:r>
      <w:r w:rsidR="006C680D" w:rsidRPr="00D337FA">
        <w:t xml:space="preserve"> </w:t>
      </w:r>
      <w:r w:rsidRPr="00D337FA">
        <w:t>санации.</w:t>
      </w:r>
      <w:r w:rsidR="006C680D" w:rsidRPr="00D337FA">
        <w:t xml:space="preserve"> </w:t>
      </w:r>
      <w:r w:rsidRPr="00D337FA">
        <w:t>Банк</w:t>
      </w:r>
      <w:r w:rsidR="006C680D" w:rsidRPr="00D337FA">
        <w:t xml:space="preserve"> </w:t>
      </w:r>
      <w:r w:rsidRPr="00D337FA">
        <w:t>России,</w:t>
      </w:r>
      <w:r w:rsidR="006C680D" w:rsidRPr="00D337FA">
        <w:t xml:space="preserve"> </w:t>
      </w:r>
      <w:r w:rsidRPr="00D337FA">
        <w:t>будучи</w:t>
      </w:r>
      <w:r w:rsidR="006C680D" w:rsidRPr="00D337FA">
        <w:t xml:space="preserve"> </w:t>
      </w:r>
      <w:r w:rsidRPr="00D337FA">
        <w:t>единственным</w:t>
      </w:r>
      <w:r w:rsidR="006C680D" w:rsidRPr="00D337FA">
        <w:t xml:space="preserve"> </w:t>
      </w:r>
      <w:r w:rsidRPr="00D337FA">
        <w:t>акционером</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участвует</w:t>
      </w:r>
      <w:r w:rsidR="006C680D" w:rsidRPr="00D337FA">
        <w:t xml:space="preserve"> </w:t>
      </w:r>
      <w:r w:rsidRPr="00D337FA">
        <w:t>в</w:t>
      </w:r>
      <w:r w:rsidR="006C680D" w:rsidRPr="00D337FA">
        <w:t xml:space="preserve"> </w:t>
      </w:r>
      <w:r w:rsidRPr="00D337FA">
        <w:t>деятельности</w:t>
      </w:r>
      <w:r w:rsidR="006C680D" w:rsidRPr="00D337FA">
        <w:t xml:space="preserve"> </w:t>
      </w:r>
      <w:r w:rsidRPr="00D337FA">
        <w:t>их</w:t>
      </w:r>
      <w:r w:rsidR="006C680D" w:rsidRPr="00D337FA">
        <w:t xml:space="preserve"> </w:t>
      </w:r>
      <w:r w:rsidRPr="00D337FA">
        <w:t>органов</w:t>
      </w:r>
      <w:r w:rsidR="006C680D" w:rsidRPr="00D337FA">
        <w:t xml:space="preserve"> </w:t>
      </w:r>
      <w:r w:rsidRPr="00D337FA">
        <w:t>управления</w:t>
      </w:r>
      <w:r w:rsidR="006C680D" w:rsidRPr="00D337FA">
        <w:t xml:space="preserve"> </w:t>
      </w:r>
      <w:r w:rsidRPr="00D337FA">
        <w:t>и</w:t>
      </w:r>
      <w:r w:rsidR="006C680D" w:rsidRPr="00D337FA">
        <w:t xml:space="preserve"> </w:t>
      </w:r>
      <w:r w:rsidRPr="00D337FA">
        <w:t>имеет</w:t>
      </w:r>
      <w:r w:rsidR="006C680D" w:rsidRPr="00D337FA">
        <w:t xml:space="preserve"> </w:t>
      </w:r>
      <w:r w:rsidRPr="00D337FA">
        <w:t>возможность</w:t>
      </w:r>
      <w:r w:rsidR="006C680D" w:rsidRPr="00D337FA">
        <w:t xml:space="preserve"> </w:t>
      </w:r>
      <w:r w:rsidRPr="00D337FA">
        <w:t>контролировать</w:t>
      </w:r>
      <w:r w:rsidR="006C680D" w:rsidRPr="00D337FA">
        <w:t xml:space="preserve"> </w:t>
      </w:r>
      <w:r w:rsidRPr="00D337FA">
        <w:t>целевое</w:t>
      </w:r>
      <w:r w:rsidR="006C680D" w:rsidRPr="00D337FA">
        <w:t xml:space="preserve"> </w:t>
      </w:r>
      <w:r w:rsidRPr="00D337FA">
        <w:t>использование</w:t>
      </w:r>
      <w:r w:rsidR="006C680D" w:rsidRPr="00D337FA">
        <w:t xml:space="preserve"> </w:t>
      </w:r>
      <w:r w:rsidRPr="00D337FA">
        <w:t>выделенных</w:t>
      </w:r>
      <w:r w:rsidR="006C680D" w:rsidRPr="00D337FA">
        <w:t xml:space="preserve"> </w:t>
      </w:r>
      <w:r w:rsidRPr="00D337FA">
        <w:t>средств</w:t>
      </w:r>
      <w:r w:rsidR="006C680D" w:rsidRPr="00D337FA">
        <w:t xml:space="preserve"> </w:t>
      </w:r>
      <w:r w:rsidRPr="00D337FA">
        <w:t>и</w:t>
      </w:r>
      <w:r w:rsidR="006C680D" w:rsidRPr="00D337FA">
        <w:t xml:space="preserve"> </w:t>
      </w:r>
      <w:r w:rsidRPr="00D337FA">
        <w:t>динамику</w:t>
      </w:r>
      <w:r w:rsidR="006C680D" w:rsidRPr="00D337FA">
        <w:t xml:space="preserve"> </w:t>
      </w:r>
      <w:r w:rsidRPr="00D337FA">
        <w:t>развития;</w:t>
      </w:r>
    </w:p>
    <w:p w:rsidR="004A1229" w:rsidRPr="00D337FA" w:rsidRDefault="004A1229" w:rsidP="004A1229">
      <w:pPr>
        <w:ind w:firstLine="284"/>
      </w:pPr>
      <w:r w:rsidRPr="00D337FA">
        <w:t>3)</w:t>
      </w:r>
      <w:r w:rsidR="006C680D" w:rsidRPr="00D337FA">
        <w:t xml:space="preserve"> </w:t>
      </w:r>
      <w:r w:rsidRPr="00D337FA">
        <w:t>санация</w:t>
      </w:r>
      <w:r w:rsidR="006C680D" w:rsidRPr="00D337FA">
        <w:t xml:space="preserve"> </w:t>
      </w:r>
      <w:r w:rsidRPr="00D337FA">
        <w:t>банков</w:t>
      </w:r>
      <w:r w:rsidR="006C680D" w:rsidRPr="00D337FA">
        <w:t xml:space="preserve"> </w:t>
      </w:r>
      <w:r w:rsidRPr="00D337FA">
        <w:t>прекращается</w:t>
      </w:r>
      <w:r w:rsidR="006C680D" w:rsidRPr="00D337FA">
        <w:t xml:space="preserve"> </w:t>
      </w:r>
      <w:r w:rsidRPr="00D337FA">
        <w:t>с</w:t>
      </w:r>
      <w:r w:rsidR="006C680D" w:rsidRPr="00D337FA">
        <w:t xml:space="preserve"> </w:t>
      </w:r>
      <w:r w:rsidRPr="00D337FA">
        <w:t>момента</w:t>
      </w:r>
      <w:r w:rsidR="006C680D" w:rsidRPr="00D337FA">
        <w:t xml:space="preserve"> </w:t>
      </w:r>
      <w:r w:rsidRPr="00D337FA">
        <w:t>передачи</w:t>
      </w:r>
      <w:r w:rsidR="006C680D" w:rsidRPr="00D337FA">
        <w:t xml:space="preserve"> </w:t>
      </w:r>
      <w:r w:rsidRPr="00D337FA">
        <w:t>пакета</w:t>
      </w:r>
      <w:r w:rsidR="006C680D" w:rsidRPr="00D337FA">
        <w:t xml:space="preserve"> </w:t>
      </w:r>
      <w:r w:rsidRPr="00D337FA">
        <w:t>акций,</w:t>
      </w:r>
      <w:r w:rsidR="006C680D" w:rsidRPr="00D337FA">
        <w:t xml:space="preserve"> </w:t>
      </w:r>
      <w:r w:rsidRPr="00D337FA">
        <w:t>принадлежащих</w:t>
      </w:r>
      <w:r w:rsidR="006C680D" w:rsidRPr="00D337FA">
        <w:t xml:space="preserve"> </w:t>
      </w:r>
      <w:r w:rsidRPr="00D337FA">
        <w:t>Банку</w:t>
      </w:r>
      <w:r w:rsidR="006C680D" w:rsidRPr="00D337FA">
        <w:t xml:space="preserve"> </w:t>
      </w:r>
      <w:r w:rsidRPr="00D337FA">
        <w:t>России,</w:t>
      </w:r>
      <w:r w:rsidR="006C680D" w:rsidRPr="00D337FA">
        <w:t xml:space="preserve"> </w:t>
      </w:r>
      <w:r w:rsidRPr="00D337FA">
        <w:t>их</w:t>
      </w:r>
      <w:r w:rsidR="006C680D" w:rsidRPr="00D337FA">
        <w:t xml:space="preserve"> </w:t>
      </w:r>
      <w:r w:rsidRPr="00D337FA">
        <w:t>новым</w:t>
      </w:r>
      <w:r w:rsidR="006C680D" w:rsidRPr="00D337FA">
        <w:t xml:space="preserve"> </w:t>
      </w:r>
      <w:r w:rsidRPr="00D337FA">
        <w:t>владельцам.</w:t>
      </w:r>
      <w:r w:rsidR="006C680D" w:rsidRPr="00D337FA">
        <w:t xml:space="preserve"> </w:t>
      </w:r>
      <w:r w:rsidRPr="00D337FA">
        <w:t>При</w:t>
      </w:r>
      <w:r w:rsidR="006C680D" w:rsidRPr="00D337FA">
        <w:t xml:space="preserve"> </w:t>
      </w:r>
      <w:r w:rsidRPr="00D337FA">
        <w:t>этом</w:t>
      </w:r>
      <w:r w:rsidR="006C680D" w:rsidRPr="00D337FA">
        <w:t xml:space="preserve"> </w:t>
      </w:r>
      <w:r w:rsidRPr="00D337FA">
        <w:t>передача</w:t>
      </w:r>
      <w:r w:rsidR="006C680D" w:rsidRPr="00D337FA">
        <w:t xml:space="preserve"> </w:t>
      </w:r>
      <w:r w:rsidRPr="00D337FA">
        <w:t>пакета</w:t>
      </w:r>
      <w:r w:rsidR="006C680D" w:rsidRPr="00D337FA">
        <w:t xml:space="preserve"> </w:t>
      </w:r>
      <w:r w:rsidRPr="00D337FA">
        <w:t>акций</w:t>
      </w:r>
      <w:r w:rsidR="006C680D" w:rsidRPr="00D337FA">
        <w:t xml:space="preserve"> </w:t>
      </w:r>
      <w:r w:rsidRPr="00D337FA">
        <w:t>сопровождается</w:t>
      </w:r>
      <w:r w:rsidR="006C680D" w:rsidRPr="00D337FA">
        <w:t xml:space="preserve"> </w:t>
      </w:r>
      <w:r w:rsidRPr="00D337FA">
        <w:t>либо</w:t>
      </w:r>
      <w:r w:rsidR="006C680D" w:rsidRPr="00D337FA">
        <w:t xml:space="preserve"> </w:t>
      </w:r>
      <w:r w:rsidRPr="00D337FA">
        <w:t>зачетом</w:t>
      </w:r>
      <w:r w:rsidR="006C680D" w:rsidRPr="00D337FA">
        <w:t xml:space="preserve"> </w:t>
      </w:r>
      <w:r w:rsidRPr="00D337FA">
        <w:t>встречных</w:t>
      </w:r>
      <w:r w:rsidR="006C680D" w:rsidRPr="00D337FA">
        <w:t xml:space="preserve"> </w:t>
      </w:r>
      <w:r w:rsidRPr="00D337FA">
        <w:t>требований</w:t>
      </w:r>
      <w:r w:rsidR="006C680D" w:rsidRPr="00D337FA">
        <w:t xml:space="preserve"> </w:t>
      </w:r>
      <w:r w:rsidRPr="00D337FA">
        <w:t>к</w:t>
      </w:r>
      <w:r w:rsidR="006C680D" w:rsidRPr="00D337FA">
        <w:t xml:space="preserve"> </w:t>
      </w:r>
      <w:r w:rsidRPr="00D337FA">
        <w:t>Агентству</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(Промсвязьбанк</w:t>
      </w:r>
      <w:r w:rsidR="006C680D" w:rsidRPr="00D337FA">
        <w:t xml:space="preserve"> </w:t>
      </w:r>
      <w:r w:rsidRPr="00D337FA">
        <w:t>и</w:t>
      </w:r>
      <w:r w:rsidR="006C680D" w:rsidRPr="00D337FA">
        <w:t xml:space="preserve"> </w:t>
      </w:r>
      <w:r w:rsidRPr="00D337FA">
        <w:t>Московский</w:t>
      </w:r>
      <w:r w:rsidR="006C680D" w:rsidRPr="00D337FA">
        <w:t xml:space="preserve"> </w:t>
      </w:r>
      <w:r w:rsidRPr="00D337FA">
        <w:t>индустриальный</w:t>
      </w:r>
      <w:r w:rsidR="006C680D" w:rsidRPr="00D337FA">
        <w:t xml:space="preserve"> </w:t>
      </w:r>
      <w:r w:rsidRPr="00D337FA">
        <w:t>банк),</w:t>
      </w:r>
      <w:r w:rsidR="006C680D" w:rsidRPr="00D337FA">
        <w:t xml:space="preserve"> </w:t>
      </w:r>
      <w:r w:rsidRPr="00D337FA">
        <w:t>либо</w:t>
      </w:r>
      <w:r w:rsidR="006C680D" w:rsidRPr="00D337FA">
        <w:t xml:space="preserve"> </w:t>
      </w:r>
      <w:r w:rsidRPr="00D337FA">
        <w:t>получением</w:t>
      </w:r>
      <w:r w:rsidR="006C680D" w:rsidRPr="00D337FA">
        <w:t xml:space="preserve"> </w:t>
      </w:r>
      <w:r w:rsidRPr="00D337FA">
        <w:t>денежных</w:t>
      </w:r>
      <w:r w:rsidR="006C680D" w:rsidRPr="00D337FA">
        <w:t xml:space="preserve"> </w:t>
      </w:r>
      <w:r w:rsidRPr="00D337FA">
        <w:t>средств</w:t>
      </w:r>
      <w:r w:rsidR="006C680D" w:rsidRPr="00D337FA">
        <w:t xml:space="preserve"> </w:t>
      </w:r>
      <w:r w:rsidRPr="00D337FA">
        <w:t>в</w:t>
      </w:r>
      <w:r w:rsidR="006C680D" w:rsidRPr="00D337FA">
        <w:t xml:space="preserve"> </w:t>
      </w:r>
      <w:r w:rsidRPr="00D337FA">
        <w:t>результате</w:t>
      </w:r>
      <w:r w:rsidR="006C680D" w:rsidRPr="00D337FA">
        <w:t xml:space="preserve"> </w:t>
      </w:r>
      <w:r w:rsidRPr="00D337FA">
        <w:t>продажи</w:t>
      </w:r>
      <w:r w:rsidR="006C680D" w:rsidRPr="00D337FA">
        <w:t xml:space="preserve"> </w:t>
      </w:r>
      <w:r w:rsidRPr="00D337FA">
        <w:t>акций</w:t>
      </w:r>
      <w:r w:rsidR="006C680D" w:rsidRPr="00D337FA">
        <w:t xml:space="preserve"> </w:t>
      </w:r>
      <w:r w:rsidRPr="00D337FA">
        <w:t>с</w:t>
      </w:r>
      <w:r w:rsidR="006C680D" w:rsidRPr="00D337FA">
        <w:t xml:space="preserve"> </w:t>
      </w:r>
      <w:r w:rsidRPr="00D337FA">
        <w:t>прибылью</w:t>
      </w:r>
      <w:r w:rsidR="006C680D" w:rsidRPr="00D337FA">
        <w:t xml:space="preserve"> </w:t>
      </w:r>
      <w:r w:rsidRPr="00D337FA">
        <w:t>(Азиатско-Тихоокеанский</w:t>
      </w:r>
      <w:r w:rsidR="006C680D" w:rsidRPr="00D337FA">
        <w:t xml:space="preserve"> </w:t>
      </w:r>
      <w:r w:rsidRPr="00D337FA">
        <w:t>Банк),</w:t>
      </w:r>
      <w:r w:rsidR="006C680D" w:rsidRPr="00D337FA">
        <w:t xml:space="preserve"> </w:t>
      </w:r>
      <w:r w:rsidRPr="00D337FA">
        <w:t>или</w:t>
      </w:r>
      <w:r w:rsidR="006C680D" w:rsidRPr="00D337FA">
        <w:t xml:space="preserve"> </w:t>
      </w:r>
      <w:r w:rsidRPr="00D337FA">
        <w:t>убытком</w:t>
      </w:r>
      <w:r w:rsidR="006C680D" w:rsidRPr="00D337FA">
        <w:t xml:space="preserve"> </w:t>
      </w:r>
      <w:r w:rsidRPr="00D337FA">
        <w:t>(ФК</w:t>
      </w:r>
      <w:r w:rsidR="006C680D" w:rsidRPr="00D337FA">
        <w:t xml:space="preserve"> </w:t>
      </w:r>
      <w:r w:rsidRPr="00D337FA">
        <w:t>Открытие);</w:t>
      </w:r>
    </w:p>
    <w:p w:rsidR="004A1229" w:rsidRPr="00D337FA" w:rsidRDefault="004A1229" w:rsidP="004A1229">
      <w:pPr>
        <w:ind w:firstLine="284"/>
      </w:pPr>
      <w:r w:rsidRPr="00D337FA">
        <w:t>4)</w:t>
      </w:r>
      <w:r w:rsidR="006C680D" w:rsidRPr="00D337FA">
        <w:t xml:space="preserve"> </w:t>
      </w:r>
      <w:r w:rsidRPr="00D337FA">
        <w:t>наиболее</w:t>
      </w:r>
      <w:r w:rsidR="006C680D" w:rsidRPr="00D337FA">
        <w:t xml:space="preserve"> </w:t>
      </w:r>
      <w:r w:rsidRPr="00D337FA">
        <w:t>проблемным</w:t>
      </w:r>
      <w:r w:rsidR="006C680D" w:rsidRPr="00D337FA">
        <w:t xml:space="preserve"> </w:t>
      </w:r>
      <w:r w:rsidRPr="00D337FA">
        <w:t>активом</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является</w:t>
      </w:r>
      <w:r w:rsidR="006C680D" w:rsidRPr="00D337FA">
        <w:t xml:space="preserve"> </w:t>
      </w:r>
      <w:r w:rsidRPr="00D337FA">
        <w:t>банк</w:t>
      </w:r>
      <w:r w:rsidR="006C680D" w:rsidRPr="00D337FA">
        <w:t xml:space="preserve"> </w:t>
      </w:r>
      <w:r w:rsidRPr="00D337FA">
        <w:t>«Траст»,</w:t>
      </w:r>
      <w:r w:rsidR="006C680D" w:rsidRPr="00D337FA">
        <w:t xml:space="preserve"> </w:t>
      </w:r>
      <w:r w:rsidRPr="00D337FA">
        <w:t>в</w:t>
      </w:r>
      <w:r w:rsidR="006C680D" w:rsidRPr="00D337FA">
        <w:t xml:space="preserve"> </w:t>
      </w:r>
      <w:r w:rsidRPr="00D337FA">
        <w:t>котором</w:t>
      </w:r>
      <w:r w:rsidR="006C680D" w:rsidRPr="00D337FA">
        <w:t xml:space="preserve"> </w:t>
      </w:r>
      <w:r w:rsidRPr="00D337FA">
        <w:t>сконцентрированы</w:t>
      </w:r>
      <w:r w:rsidR="006C680D" w:rsidRPr="00D337FA">
        <w:t xml:space="preserve"> </w:t>
      </w:r>
      <w:r w:rsidRPr="00D337FA">
        <w:t>«токсичные»</w:t>
      </w:r>
      <w:r w:rsidR="006C680D" w:rsidRPr="00D337FA">
        <w:t xml:space="preserve"> </w:t>
      </w:r>
      <w:r w:rsidRPr="00D337FA">
        <w:t>активы</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реальными</w:t>
      </w:r>
      <w:r w:rsidR="006C680D" w:rsidRPr="00D337FA">
        <w:t xml:space="preserve"> </w:t>
      </w:r>
      <w:r w:rsidRPr="00D337FA">
        <w:t>ко</w:t>
      </w:r>
      <w:r w:rsidR="006C680D" w:rsidRPr="00D337FA">
        <w:t xml:space="preserve"> </w:t>
      </w:r>
      <w:r w:rsidRPr="00D337FA">
        <w:t>взысканию</w:t>
      </w:r>
      <w:r w:rsidR="006C680D" w:rsidRPr="00D337FA">
        <w:t xml:space="preserve"> </w:t>
      </w:r>
      <w:r w:rsidRPr="00D337FA">
        <w:t>из</w:t>
      </w:r>
      <w:r w:rsidR="006C680D" w:rsidRPr="00D337FA">
        <w:t xml:space="preserve"> </w:t>
      </w:r>
      <w:r w:rsidRPr="00D337FA">
        <w:t>которых,</w:t>
      </w:r>
      <w:r w:rsidR="006C680D" w:rsidRPr="00D337FA">
        <w:t xml:space="preserve"> </w:t>
      </w:r>
      <w:r w:rsidRPr="00D337FA">
        <w:t>по</w:t>
      </w:r>
      <w:r w:rsidR="006C680D" w:rsidRPr="00D337FA">
        <w:t xml:space="preserve"> </w:t>
      </w:r>
      <w:r w:rsidRPr="00D337FA">
        <w:t>оценкам</w:t>
      </w:r>
      <w:r w:rsidR="006C680D" w:rsidRPr="00D337FA">
        <w:t xml:space="preserve"> </w:t>
      </w:r>
      <w:r w:rsidRPr="00D337FA">
        <w:t>самого</w:t>
      </w:r>
      <w:r w:rsidR="006C680D" w:rsidRPr="00D337FA">
        <w:t xml:space="preserve"> </w:t>
      </w:r>
      <w:r w:rsidRPr="00D337FA">
        <w:t>регулятора,</w:t>
      </w:r>
      <w:r w:rsidR="006C680D" w:rsidRPr="00D337FA">
        <w:t xml:space="preserve"> </w:t>
      </w:r>
      <w:r w:rsidRPr="00D337FA">
        <w:t>являются</w:t>
      </w:r>
      <w:r w:rsidR="006C680D" w:rsidRPr="00D337FA">
        <w:t xml:space="preserve"> </w:t>
      </w:r>
      <w:r w:rsidRPr="00D337FA">
        <w:t>только</w:t>
      </w:r>
      <w:r w:rsidR="006C680D" w:rsidRPr="00D337FA">
        <w:t xml:space="preserve"> </w:t>
      </w:r>
      <w:r w:rsidRPr="00D337FA">
        <w:t>40,2%</w:t>
      </w:r>
      <w:r w:rsidR="006C680D" w:rsidRPr="00D337FA">
        <w:t xml:space="preserve"> </w:t>
      </w:r>
      <w:r w:rsidRPr="00D337FA">
        <w:t>[21].</w:t>
      </w:r>
      <w:r w:rsidR="006C680D" w:rsidRPr="00D337FA">
        <w:t xml:space="preserve">   </w:t>
      </w:r>
    </w:p>
    <w:p w:rsidR="004A1229" w:rsidRPr="00D337FA" w:rsidRDefault="004A1229" w:rsidP="004A1229">
      <w:pPr>
        <w:ind w:firstLine="284"/>
      </w:pPr>
      <w:r w:rsidRPr="00D337FA">
        <w:t>В</w:t>
      </w:r>
      <w:r w:rsidR="006C680D" w:rsidRPr="00D337FA">
        <w:t xml:space="preserve"> </w:t>
      </w:r>
      <w:r w:rsidRPr="00D337FA">
        <w:t>отличии</w:t>
      </w:r>
      <w:r w:rsidR="006C680D" w:rsidRPr="00D337FA">
        <w:t xml:space="preserve"> </w:t>
      </w:r>
      <w:r w:rsidRPr="00D337FA">
        <w:t>от</w:t>
      </w:r>
      <w:r w:rsidR="006C680D" w:rsidRPr="00D337FA">
        <w:t xml:space="preserve"> </w:t>
      </w:r>
      <w:r w:rsidRPr="00D337FA">
        <w:t>санаций</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Агентства</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эффективность</w:t>
      </w:r>
      <w:r w:rsidR="006C680D" w:rsidRPr="00D337FA">
        <w:t xml:space="preserve"> </w:t>
      </w:r>
      <w:r w:rsidRPr="00D337FA">
        <w:t>процедур</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банков</w:t>
      </w:r>
      <w:r w:rsidR="006C680D" w:rsidRPr="00D337FA">
        <w:t xml:space="preserve"> </w:t>
      </w:r>
      <w:r w:rsidRPr="00D337FA">
        <w:t>через</w:t>
      </w:r>
      <w:r w:rsidR="006C680D" w:rsidRPr="00D337FA">
        <w:t xml:space="preserve"> </w:t>
      </w:r>
      <w:r w:rsidRPr="00D337FA">
        <w:t>Фонд</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r w:rsidR="006C680D" w:rsidRPr="00D337FA">
        <w:t xml:space="preserve"> </w:t>
      </w:r>
      <w:r w:rsidRPr="00D337FA">
        <w:t>ежегодно</w:t>
      </w:r>
      <w:r w:rsidR="006C680D" w:rsidRPr="00D337FA">
        <w:t xml:space="preserve"> </w:t>
      </w:r>
      <w:r w:rsidRPr="00D337FA">
        <w:t>оценивается</w:t>
      </w:r>
      <w:r w:rsidR="006C680D" w:rsidRPr="00D337FA">
        <w:t xml:space="preserve"> </w:t>
      </w:r>
      <w:r w:rsidRPr="00D337FA">
        <w:t>главным</w:t>
      </w:r>
      <w:r w:rsidR="006C680D" w:rsidRPr="00D337FA">
        <w:t xml:space="preserve"> </w:t>
      </w:r>
      <w:r w:rsidRPr="00D337FA">
        <w:t>аудитором</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с</w:t>
      </w:r>
      <w:r w:rsidR="006C680D" w:rsidRPr="00D337FA">
        <w:t xml:space="preserve"> </w:t>
      </w:r>
      <w:r w:rsidRPr="00D337FA">
        <w:t>публи</w:t>
      </w:r>
      <w:r w:rsidRPr="00D337FA">
        <w:lastRenderedPageBreak/>
        <w:t>кацией</w:t>
      </w:r>
      <w:r w:rsidR="006C680D" w:rsidRPr="00D337FA">
        <w:t xml:space="preserve"> </w:t>
      </w:r>
      <w:r w:rsidRPr="00D337FA">
        <w:t>результатов</w:t>
      </w:r>
      <w:r w:rsidR="006C680D" w:rsidRPr="00D337FA">
        <w:t xml:space="preserve"> </w:t>
      </w:r>
      <w:r w:rsidRPr="00D337FA">
        <w:t>оценки</w:t>
      </w:r>
      <w:r w:rsidR="006C680D" w:rsidRPr="00D337FA">
        <w:t xml:space="preserve"> </w:t>
      </w:r>
      <w:r w:rsidRPr="00D337FA">
        <w:t>в</w:t>
      </w:r>
      <w:r w:rsidR="006C680D" w:rsidRPr="00D337FA">
        <w:t xml:space="preserve"> </w:t>
      </w:r>
      <w:r w:rsidRPr="00D337FA">
        <w:t>составе</w:t>
      </w:r>
      <w:r w:rsidR="006C680D" w:rsidRPr="00D337FA">
        <w:t xml:space="preserve"> </w:t>
      </w:r>
      <w:r w:rsidRPr="00D337FA">
        <w:t>годового</w:t>
      </w:r>
      <w:r w:rsidR="006C680D" w:rsidRPr="00D337FA">
        <w:t xml:space="preserve"> </w:t>
      </w:r>
      <w:r w:rsidRPr="00D337FA">
        <w:t>отчета</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за</w:t>
      </w:r>
      <w:r w:rsidR="006C680D" w:rsidRPr="00D337FA">
        <w:t xml:space="preserve"> </w:t>
      </w:r>
      <w:r w:rsidRPr="00D337FA">
        <w:t>истекший</w:t>
      </w:r>
      <w:r w:rsidR="006C680D" w:rsidRPr="00D337FA">
        <w:t xml:space="preserve"> </w:t>
      </w:r>
      <w:r w:rsidRPr="00D337FA">
        <w:t>год.</w:t>
      </w:r>
      <w:r w:rsidR="006C680D" w:rsidRPr="00D337FA">
        <w:t xml:space="preserve"> </w:t>
      </w:r>
      <w:r w:rsidRPr="00D337FA">
        <w:t>Их</w:t>
      </w:r>
      <w:r w:rsidR="006C680D" w:rsidRPr="00D337FA">
        <w:t xml:space="preserve"> </w:t>
      </w:r>
      <w:r w:rsidRPr="00D337FA">
        <w:t>систематизация</w:t>
      </w:r>
      <w:r w:rsidR="006C680D" w:rsidRPr="00D337FA">
        <w:t xml:space="preserve"> </w:t>
      </w:r>
      <w:r w:rsidRPr="00D337FA">
        <w:t>дает</w:t>
      </w:r>
      <w:r w:rsidR="006C680D" w:rsidRPr="00D337FA">
        <w:t xml:space="preserve"> </w:t>
      </w:r>
      <w:r w:rsidRPr="00D337FA">
        <w:t>представление</w:t>
      </w:r>
      <w:r w:rsidR="006C680D" w:rsidRPr="00D337FA">
        <w:t xml:space="preserve"> </w:t>
      </w:r>
      <w:r w:rsidRPr="00D337FA">
        <w:t>о</w:t>
      </w:r>
      <w:r w:rsidR="006C680D" w:rsidRPr="00D337FA">
        <w:t xml:space="preserve"> </w:t>
      </w:r>
      <w:r w:rsidRPr="00D337FA">
        <w:t>показателях</w:t>
      </w:r>
      <w:r w:rsidR="006C680D" w:rsidRPr="00D337FA">
        <w:t xml:space="preserve"> </w:t>
      </w:r>
      <w:r w:rsidRPr="00D337FA">
        <w:t>эффективности</w:t>
      </w:r>
      <w:r w:rsidR="006C680D" w:rsidRPr="00D337FA">
        <w:t xml:space="preserve"> </w:t>
      </w:r>
      <w:r w:rsidRPr="00D337FA">
        <w:t>и</w:t>
      </w:r>
      <w:r w:rsidR="006C680D" w:rsidRPr="00D337FA">
        <w:t xml:space="preserve"> </w:t>
      </w:r>
      <w:r w:rsidRPr="00D337FA">
        <w:t>методологии</w:t>
      </w:r>
      <w:r w:rsidR="006C680D" w:rsidRPr="00D337FA">
        <w:t xml:space="preserve"> </w:t>
      </w:r>
      <w:r w:rsidRPr="00D337FA">
        <w:t>и</w:t>
      </w:r>
      <w:r w:rsidR="006C680D" w:rsidRPr="00D337FA">
        <w:t xml:space="preserve"> </w:t>
      </w:r>
      <w:r w:rsidRPr="00D337FA">
        <w:t>их</w:t>
      </w:r>
      <w:r w:rsidR="006C680D" w:rsidRPr="00D337FA">
        <w:t xml:space="preserve"> </w:t>
      </w:r>
      <w:r w:rsidRPr="00D337FA">
        <w:t>расчета:</w:t>
      </w:r>
    </w:p>
    <w:p w:rsidR="004A1229" w:rsidRPr="00D337FA" w:rsidRDefault="004A1229" w:rsidP="004A1229">
      <w:pPr>
        <w:ind w:firstLine="284"/>
      </w:pPr>
      <w:r w:rsidRPr="00D337FA">
        <w:t>1.</w:t>
      </w:r>
      <w:r w:rsidR="006C680D" w:rsidRPr="00D337FA">
        <w:t xml:space="preserve"> </w:t>
      </w:r>
      <w:r w:rsidRPr="00D337FA">
        <w:t>Эффективность</w:t>
      </w:r>
      <w:r w:rsidR="006C680D" w:rsidRPr="00D337FA">
        <w:t xml:space="preserve"> </w:t>
      </w:r>
      <w:r w:rsidRPr="00D337FA">
        <w:t>выделения</w:t>
      </w:r>
      <w:r w:rsidR="006C680D" w:rsidRPr="00D337FA">
        <w:t xml:space="preserve"> </w:t>
      </w:r>
      <w:r w:rsidRPr="00D337FA">
        <w:t>средств</w:t>
      </w:r>
      <w:r w:rsidR="006C680D" w:rsidRPr="00D337FA">
        <w:t xml:space="preserve"> </w:t>
      </w:r>
      <w:r w:rsidRPr="00D337FA">
        <w:t>в</w:t>
      </w:r>
      <w:r w:rsidR="006C680D" w:rsidRPr="00D337FA">
        <w:t xml:space="preserve"> </w:t>
      </w:r>
      <w:r w:rsidRPr="00D337FA">
        <w:t>определенном</w:t>
      </w:r>
      <w:r w:rsidR="006C680D" w:rsidRPr="00D337FA">
        <w:t xml:space="preserve"> </w:t>
      </w:r>
      <w:r w:rsidRPr="00D337FA">
        <w:t>объеме</w:t>
      </w:r>
      <w:r w:rsidR="006C680D" w:rsidRPr="00D337FA">
        <w:t xml:space="preserve"> </w:t>
      </w:r>
      <w:r w:rsidRPr="00D337FA">
        <w:t>(на</w:t>
      </w:r>
      <w:r w:rsidR="006C680D" w:rsidRPr="00D337FA">
        <w:t xml:space="preserve"> </w:t>
      </w:r>
      <w:r w:rsidRPr="00D337FA">
        <w:t>дату</w:t>
      </w:r>
      <w:r w:rsidR="006C680D" w:rsidRPr="00D337FA">
        <w:t xml:space="preserve"> </w:t>
      </w:r>
      <w:r w:rsidRPr="00D337FA">
        <w:t>принятия</w:t>
      </w:r>
      <w:r w:rsidR="006C680D" w:rsidRPr="00D337FA">
        <w:t xml:space="preserve"> </w:t>
      </w:r>
      <w:r w:rsidRPr="00D337FA">
        <w:t>решения</w:t>
      </w:r>
      <w:r w:rsidR="006C680D" w:rsidRPr="00D337FA">
        <w:t xml:space="preserve"> </w:t>
      </w:r>
      <w:r w:rsidRPr="00D337FA">
        <w:t>о</w:t>
      </w:r>
      <w:r w:rsidR="006C680D" w:rsidRPr="00D337FA">
        <w:t xml:space="preserve"> </w:t>
      </w:r>
      <w:r w:rsidRPr="00D337FA">
        <w:t>санации)</w:t>
      </w:r>
      <w:r w:rsidR="006C680D" w:rsidRPr="00D337FA">
        <w:t xml:space="preserve"> </w:t>
      </w:r>
      <w:r w:rsidRPr="00D337FA">
        <w:t>по</w:t>
      </w:r>
      <w:r w:rsidR="006C680D" w:rsidRPr="00D337FA">
        <w:t xml:space="preserve"> </w:t>
      </w:r>
      <w:r w:rsidRPr="00D337FA">
        <w:t>банку</w:t>
      </w:r>
      <w:r w:rsidR="006C680D" w:rsidRPr="00D337FA">
        <w:t xml:space="preserve"> </w:t>
      </w:r>
      <w:r w:rsidRPr="00D337FA">
        <w:t>или</w:t>
      </w:r>
      <w:r w:rsidR="006C680D" w:rsidRPr="00D337FA">
        <w:t xml:space="preserve"> </w:t>
      </w:r>
      <w:r w:rsidRPr="00D337FA">
        <w:t>совокупности</w:t>
      </w:r>
      <w:r w:rsidR="006C680D" w:rsidRPr="00D337FA">
        <w:t xml:space="preserve"> </w:t>
      </w:r>
      <w:r w:rsidRPr="00D337FA">
        <w:t>банков,</w:t>
      </w:r>
      <w:r w:rsidR="006C680D" w:rsidRPr="00D337FA">
        <w:t xml:space="preserve"> </w:t>
      </w:r>
      <w:r w:rsidRPr="00D337FA">
        <w:t>попавших</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в</w:t>
      </w:r>
      <w:r w:rsidR="006C680D" w:rsidRPr="00D337FA">
        <w:t xml:space="preserve"> </w:t>
      </w:r>
      <w:r w:rsidRPr="00D337FA">
        <w:t>одном</w:t>
      </w:r>
      <w:r w:rsidR="006C680D" w:rsidRPr="00D337FA">
        <w:t xml:space="preserve"> </w:t>
      </w:r>
      <w:r w:rsidRPr="00D337FA">
        <w:t>периоде</w:t>
      </w:r>
      <w:r w:rsidR="006C680D" w:rsidRPr="00D337FA">
        <w:t xml:space="preserve"> </w:t>
      </w:r>
      <w:r w:rsidRPr="00D337FA">
        <w:t>(отчетном</w:t>
      </w:r>
      <w:r w:rsidR="006C680D" w:rsidRPr="00D337FA">
        <w:t xml:space="preserve"> </w:t>
      </w:r>
      <w:r w:rsidRPr="00D337FA">
        <w:t>году).</w:t>
      </w:r>
      <w:r w:rsidR="006C680D" w:rsidRPr="00D337FA">
        <w:t xml:space="preserve"> </w:t>
      </w:r>
      <w:r w:rsidRPr="00D337FA">
        <w:t>В</w:t>
      </w:r>
      <w:r w:rsidR="006C680D" w:rsidRPr="00D337FA">
        <w:t xml:space="preserve"> </w:t>
      </w:r>
      <w:r w:rsidRPr="00D337FA">
        <w:t>расчет</w:t>
      </w:r>
      <w:r w:rsidR="006C680D" w:rsidRPr="00D337FA">
        <w:t xml:space="preserve"> </w:t>
      </w:r>
      <w:r w:rsidRPr="00D337FA">
        <w:t>принимается</w:t>
      </w:r>
      <w:r w:rsidR="006C680D" w:rsidRPr="00D337FA">
        <w:t xml:space="preserve"> </w:t>
      </w:r>
      <w:r w:rsidRPr="00D337FA">
        <w:t>сумма</w:t>
      </w:r>
      <w:r w:rsidR="006C680D" w:rsidRPr="00D337FA">
        <w:t xml:space="preserve"> </w:t>
      </w:r>
      <w:r w:rsidRPr="00D337FA">
        <w:t>обязательств</w:t>
      </w:r>
      <w:r w:rsidR="006C680D" w:rsidRPr="00D337FA">
        <w:t xml:space="preserve"> </w:t>
      </w:r>
      <w:r w:rsidRPr="00D337FA">
        <w:t>банка</w:t>
      </w:r>
      <w:r w:rsidR="006C680D" w:rsidRPr="00D337FA">
        <w:t xml:space="preserve"> </w:t>
      </w:r>
      <w:r w:rsidRPr="00D337FA">
        <w:t>перед</w:t>
      </w:r>
      <w:r w:rsidR="006C680D" w:rsidRPr="00D337FA">
        <w:t xml:space="preserve"> </w:t>
      </w:r>
      <w:r w:rsidRPr="00D337FA">
        <w:t>крупными</w:t>
      </w:r>
      <w:r w:rsidR="006C680D" w:rsidRPr="00D337FA">
        <w:t xml:space="preserve"> </w:t>
      </w:r>
      <w:r w:rsidRPr="00D337FA">
        <w:t>кредиторами,</w:t>
      </w:r>
      <w:r w:rsidR="006C680D" w:rsidRPr="00D337FA">
        <w:t xml:space="preserve"> </w:t>
      </w:r>
      <w:r w:rsidRPr="00D337FA">
        <w:t>которые</w:t>
      </w:r>
      <w:r w:rsidR="006C680D" w:rsidRPr="00D337FA">
        <w:t xml:space="preserve"> </w:t>
      </w:r>
      <w:r w:rsidRPr="00D337FA">
        <w:t>будут</w:t>
      </w:r>
      <w:r w:rsidR="006C680D" w:rsidRPr="00D337FA">
        <w:t xml:space="preserve"> </w:t>
      </w:r>
      <w:r w:rsidRPr="00D337FA">
        <w:t>утрачены</w:t>
      </w:r>
      <w:r w:rsidR="006C680D" w:rsidRPr="00D337FA">
        <w:t xml:space="preserve"> </w:t>
      </w:r>
      <w:r w:rsidRPr="00D337FA">
        <w:t>ими</w:t>
      </w:r>
      <w:r w:rsidR="006C680D" w:rsidRPr="00D337FA">
        <w:t xml:space="preserve"> </w:t>
      </w:r>
      <w:r w:rsidRPr="00D337FA">
        <w:t>при</w:t>
      </w:r>
      <w:r w:rsidR="006C680D" w:rsidRPr="00D337FA">
        <w:t xml:space="preserve"> </w:t>
      </w:r>
      <w:r w:rsidRPr="00D337FA">
        <w:t>банкротстве</w:t>
      </w:r>
      <w:r w:rsidR="006C680D" w:rsidRPr="00D337FA">
        <w:t xml:space="preserve"> </w:t>
      </w:r>
      <w:r w:rsidRPr="00D337FA">
        <w:t>банка</w:t>
      </w:r>
      <w:r w:rsidR="006C680D" w:rsidRPr="00D337FA">
        <w:t xml:space="preserve"> </w:t>
      </w:r>
      <w:r w:rsidRPr="00D337FA">
        <w:t>(прямые</w:t>
      </w:r>
      <w:r w:rsidR="006C680D" w:rsidRPr="00D337FA">
        <w:t xml:space="preserve"> </w:t>
      </w:r>
      <w:r w:rsidRPr="00D337FA">
        <w:t>потери),</w:t>
      </w:r>
      <w:r w:rsidR="006C680D" w:rsidRPr="00D337FA">
        <w:t xml:space="preserve"> </w:t>
      </w:r>
      <w:r w:rsidRPr="00D337FA">
        <w:t>и</w:t>
      </w:r>
      <w:r w:rsidR="006C680D" w:rsidRPr="00D337FA">
        <w:t xml:space="preserve"> </w:t>
      </w:r>
      <w:r w:rsidRPr="00D337FA">
        <w:t>критичные</w:t>
      </w:r>
      <w:r w:rsidR="006C680D" w:rsidRPr="00D337FA">
        <w:t xml:space="preserve"> </w:t>
      </w:r>
      <w:r w:rsidRPr="00D337FA">
        <w:t>потери</w:t>
      </w:r>
      <w:r w:rsidR="006C680D" w:rsidRPr="00D337FA">
        <w:t xml:space="preserve"> </w:t>
      </w:r>
      <w:r w:rsidRPr="00D337FA">
        <w:t>кредитора</w:t>
      </w:r>
      <w:r w:rsidR="006C680D" w:rsidRPr="00D337FA">
        <w:t xml:space="preserve"> </w:t>
      </w:r>
      <w:r w:rsidRPr="00D337FA">
        <w:t>банка,</w:t>
      </w:r>
      <w:r w:rsidR="006C680D" w:rsidRPr="00D337FA">
        <w:t xml:space="preserve"> </w:t>
      </w:r>
      <w:r w:rsidRPr="00D337FA">
        <w:t>влекущие</w:t>
      </w:r>
      <w:r w:rsidR="006C680D" w:rsidRPr="00D337FA">
        <w:t xml:space="preserve"> </w:t>
      </w:r>
      <w:r w:rsidRPr="00D337FA">
        <w:t>за</w:t>
      </w:r>
      <w:r w:rsidR="006C680D" w:rsidRPr="00D337FA">
        <w:t xml:space="preserve"> </w:t>
      </w:r>
      <w:r w:rsidRPr="00D337FA">
        <w:t>собой</w:t>
      </w:r>
      <w:r w:rsidR="006C680D" w:rsidRPr="00D337FA">
        <w:t xml:space="preserve"> </w:t>
      </w:r>
      <w:r w:rsidRPr="00D337FA">
        <w:t>потери</w:t>
      </w:r>
      <w:r w:rsidR="006C680D" w:rsidRPr="00D337FA">
        <w:t xml:space="preserve"> </w:t>
      </w:r>
      <w:r w:rsidRPr="00D337FA">
        <w:t>кредиторов</w:t>
      </w:r>
      <w:r w:rsidR="006C680D" w:rsidRPr="00D337FA">
        <w:t xml:space="preserve"> </w:t>
      </w:r>
      <w:r w:rsidRPr="00D337FA">
        <w:t>кредитора</w:t>
      </w:r>
      <w:r w:rsidR="006C680D" w:rsidRPr="00D337FA">
        <w:t xml:space="preserve"> </w:t>
      </w:r>
      <w:r w:rsidRPr="00D337FA">
        <w:t>(косвенные</w:t>
      </w:r>
      <w:r w:rsidR="006C680D" w:rsidRPr="00D337FA">
        <w:t xml:space="preserve"> </w:t>
      </w:r>
      <w:r w:rsidRPr="00D337FA">
        <w:t>потери).</w:t>
      </w:r>
      <w:r w:rsidR="006C680D" w:rsidRPr="00D337FA">
        <w:t xml:space="preserve"> </w:t>
      </w:r>
      <w:r w:rsidRPr="00D337FA">
        <w:t>Расчет</w:t>
      </w:r>
      <w:r w:rsidR="006C680D" w:rsidRPr="00D337FA">
        <w:t xml:space="preserve"> </w:t>
      </w:r>
      <w:r w:rsidRPr="00D337FA">
        <w:t>показателя</w:t>
      </w:r>
      <w:r w:rsidR="006C680D" w:rsidRPr="00D337FA">
        <w:t xml:space="preserve"> </w:t>
      </w:r>
      <w:r w:rsidRPr="00D337FA">
        <w:t>производится</w:t>
      </w:r>
      <w:r w:rsidR="006C680D" w:rsidRPr="00D337FA">
        <w:t xml:space="preserve"> </w:t>
      </w:r>
      <w:r w:rsidRPr="00D337FA">
        <w:t>на</w:t>
      </w:r>
      <w:r w:rsidR="006C680D" w:rsidRPr="00D337FA">
        <w:t xml:space="preserve"> </w:t>
      </w:r>
      <w:r w:rsidRPr="00D337FA">
        <w:t>основании</w:t>
      </w:r>
      <w:r w:rsidR="006C680D" w:rsidRPr="00D337FA">
        <w:t xml:space="preserve"> </w:t>
      </w:r>
      <w:r w:rsidRPr="00D337FA">
        <w:t>информации,</w:t>
      </w:r>
      <w:r w:rsidR="006C680D" w:rsidRPr="00D337FA">
        <w:t xml:space="preserve"> </w:t>
      </w:r>
      <w:r w:rsidRPr="00D337FA">
        <w:t>которой</w:t>
      </w:r>
      <w:r w:rsidR="006C680D" w:rsidRPr="00D337FA">
        <w:t xml:space="preserve"> </w:t>
      </w:r>
      <w:r w:rsidRPr="00D337FA">
        <w:t>обладает</w:t>
      </w:r>
      <w:r w:rsidR="006C680D" w:rsidRPr="00D337FA">
        <w:t xml:space="preserve"> </w:t>
      </w:r>
      <w:r w:rsidRPr="00D337FA">
        <w:t>Банк</w:t>
      </w:r>
      <w:r w:rsidR="006C680D" w:rsidRPr="00D337FA">
        <w:t xml:space="preserve"> </w:t>
      </w:r>
      <w:r w:rsidRPr="00D337FA">
        <w:t>России</w:t>
      </w:r>
      <w:r w:rsidR="006C680D" w:rsidRPr="00D337FA">
        <w:t xml:space="preserve"> </w:t>
      </w:r>
      <w:r w:rsidRPr="00D337FA">
        <w:t>и</w:t>
      </w:r>
      <w:r w:rsidR="006C680D" w:rsidRPr="00D337FA">
        <w:t xml:space="preserve"> </w:t>
      </w:r>
      <w:r w:rsidRPr="00D337FA">
        <w:t>содержится</w:t>
      </w:r>
      <w:r w:rsidR="006C680D" w:rsidRPr="00D337FA">
        <w:t xml:space="preserve"> </w:t>
      </w:r>
      <w:r w:rsidRPr="00D337FA">
        <w:t>в</w:t>
      </w:r>
      <w:r w:rsidR="006C680D" w:rsidRPr="00D337FA">
        <w:t xml:space="preserve"> </w:t>
      </w:r>
      <w:r w:rsidRPr="00D337FA">
        <w:t>официальной</w:t>
      </w:r>
      <w:r w:rsidR="006C680D" w:rsidRPr="00D337FA">
        <w:t xml:space="preserve"> </w:t>
      </w:r>
      <w:r w:rsidRPr="00D337FA">
        <w:t>отчетности</w:t>
      </w:r>
      <w:r w:rsidR="006C680D" w:rsidRPr="00D337FA">
        <w:t xml:space="preserve"> </w:t>
      </w:r>
      <w:r w:rsidRPr="00D337FA">
        <w:t>банков.</w:t>
      </w:r>
      <w:r w:rsidR="006C680D" w:rsidRPr="00D337FA">
        <w:t xml:space="preserve"> </w:t>
      </w:r>
      <w:r w:rsidRPr="00D337FA">
        <w:t>Такое</w:t>
      </w:r>
      <w:r w:rsidR="006C680D" w:rsidRPr="00D337FA">
        <w:t xml:space="preserve"> </w:t>
      </w:r>
      <w:r w:rsidRPr="00D337FA">
        <w:t>ограничение</w:t>
      </w:r>
      <w:r w:rsidR="006C680D" w:rsidRPr="00D337FA">
        <w:t xml:space="preserve"> </w:t>
      </w:r>
      <w:r w:rsidRPr="00D337FA">
        <w:t>не</w:t>
      </w:r>
      <w:r w:rsidR="006C680D" w:rsidRPr="00D337FA">
        <w:t xml:space="preserve"> </w:t>
      </w:r>
      <w:r w:rsidRPr="00D337FA">
        <w:t>позволяет</w:t>
      </w:r>
      <w:r w:rsidR="006C680D" w:rsidRPr="00D337FA">
        <w:t xml:space="preserve"> </w:t>
      </w:r>
      <w:r w:rsidRPr="00D337FA">
        <w:t>в</w:t>
      </w:r>
      <w:r w:rsidR="006C680D" w:rsidRPr="00D337FA">
        <w:t xml:space="preserve"> </w:t>
      </w:r>
      <w:r w:rsidRPr="00D337FA">
        <w:t>полной</w:t>
      </w:r>
      <w:r w:rsidR="006C680D" w:rsidRPr="00D337FA">
        <w:t xml:space="preserve"> </w:t>
      </w:r>
      <w:r w:rsidRPr="00D337FA">
        <w:t>мере</w:t>
      </w:r>
      <w:r w:rsidR="006C680D" w:rsidRPr="00D337FA">
        <w:t xml:space="preserve"> </w:t>
      </w:r>
      <w:r w:rsidRPr="00D337FA">
        <w:t>оценить</w:t>
      </w:r>
      <w:r w:rsidR="006C680D" w:rsidRPr="00D337FA">
        <w:t xml:space="preserve"> </w:t>
      </w:r>
      <w:r w:rsidRPr="00D337FA">
        <w:t>степень</w:t>
      </w:r>
      <w:r w:rsidR="006C680D" w:rsidRPr="00D337FA">
        <w:t xml:space="preserve"> </w:t>
      </w:r>
      <w:r w:rsidRPr="00D337FA">
        <w:t>чувствительности</w:t>
      </w:r>
      <w:r w:rsidR="006C680D" w:rsidRPr="00D337FA">
        <w:t xml:space="preserve"> </w:t>
      </w:r>
      <w:r w:rsidRPr="00D337FA">
        <w:t>кредиторов</w:t>
      </w:r>
      <w:r w:rsidR="006C680D" w:rsidRPr="00D337FA">
        <w:t xml:space="preserve"> </w:t>
      </w:r>
      <w:r w:rsidRPr="00D337FA">
        <w:t>к</w:t>
      </w:r>
      <w:r w:rsidR="006C680D" w:rsidRPr="00D337FA">
        <w:t xml:space="preserve"> </w:t>
      </w:r>
      <w:r w:rsidRPr="00D337FA">
        <w:t>шоковой</w:t>
      </w:r>
      <w:r w:rsidR="006C680D" w:rsidRPr="00D337FA">
        <w:t xml:space="preserve"> </w:t>
      </w:r>
      <w:r w:rsidRPr="00D337FA">
        <w:t>ситуации.</w:t>
      </w:r>
    </w:p>
    <w:p w:rsidR="004A1229" w:rsidRPr="00D337FA" w:rsidRDefault="004A1229" w:rsidP="004A1229">
      <w:pPr>
        <w:ind w:firstLine="284"/>
      </w:pPr>
      <w:r w:rsidRPr="00D337FA">
        <w:t>2.</w:t>
      </w:r>
      <w:r w:rsidR="006C680D" w:rsidRPr="00D337FA">
        <w:t xml:space="preserve">  </w:t>
      </w:r>
      <w:r w:rsidRPr="00D337FA">
        <w:t>Эффективность</w:t>
      </w:r>
      <w:r w:rsidR="006C680D" w:rsidRPr="00D337FA">
        <w:t xml:space="preserve"> </w:t>
      </w:r>
      <w:r w:rsidRPr="00D337FA">
        <w:t>использования</w:t>
      </w:r>
      <w:r w:rsidR="006C680D" w:rsidRPr="00D337FA">
        <w:t xml:space="preserve"> </w:t>
      </w:r>
      <w:r w:rsidRPr="00D337FA">
        <w:t>ресурсов</w:t>
      </w:r>
      <w:r w:rsidR="006C680D" w:rsidRPr="00D337FA">
        <w:t xml:space="preserve"> </w:t>
      </w:r>
      <w:r w:rsidRPr="00D337FA">
        <w:t>на</w:t>
      </w:r>
      <w:r w:rsidR="006C680D" w:rsidRPr="00D337FA">
        <w:t xml:space="preserve"> </w:t>
      </w:r>
      <w:r w:rsidRPr="00D337FA">
        <w:t>восстановление</w:t>
      </w:r>
      <w:r w:rsidR="006C680D" w:rsidRPr="00D337FA">
        <w:t xml:space="preserve"> </w:t>
      </w:r>
      <w:r w:rsidRPr="00D337FA">
        <w:t>показателей</w:t>
      </w:r>
      <w:r w:rsidR="006C680D" w:rsidRPr="00D337FA">
        <w:t xml:space="preserve"> </w:t>
      </w:r>
      <w:r w:rsidRPr="00D337FA">
        <w:t>финансового</w:t>
      </w:r>
      <w:r w:rsidR="006C680D" w:rsidRPr="00D337FA">
        <w:t xml:space="preserve"> </w:t>
      </w:r>
      <w:r w:rsidRPr="00D337FA">
        <w:t>состояния</w:t>
      </w:r>
      <w:r w:rsidR="006C680D" w:rsidRPr="00D337FA">
        <w:t xml:space="preserve"> </w:t>
      </w:r>
      <w:r w:rsidRPr="00D337FA">
        <w:t>банка.</w:t>
      </w:r>
      <w:r w:rsidR="006C680D" w:rsidRPr="00D337FA">
        <w:t xml:space="preserve"> </w:t>
      </w:r>
      <w:r w:rsidRPr="00D337FA">
        <w:t>Оценка</w:t>
      </w:r>
      <w:r w:rsidR="006C680D" w:rsidRPr="00D337FA">
        <w:t xml:space="preserve"> </w:t>
      </w:r>
      <w:r w:rsidRPr="00D337FA">
        <w:t>производится</w:t>
      </w:r>
      <w:r w:rsidR="006C680D" w:rsidRPr="00D337FA">
        <w:t xml:space="preserve"> </w:t>
      </w:r>
      <w:r w:rsidRPr="00D337FA">
        <w:t>на</w:t>
      </w:r>
      <w:r w:rsidR="006C680D" w:rsidRPr="00D337FA">
        <w:t xml:space="preserve"> </w:t>
      </w:r>
      <w:r w:rsidRPr="00D337FA">
        <w:t>отчетную</w:t>
      </w:r>
      <w:r w:rsidR="006C680D" w:rsidRPr="00D337FA">
        <w:t xml:space="preserve"> </w:t>
      </w:r>
      <w:r w:rsidRPr="00D337FA">
        <w:t>дату</w:t>
      </w:r>
      <w:r w:rsidR="006C680D" w:rsidRPr="00D337FA">
        <w:t xml:space="preserve"> </w:t>
      </w:r>
      <w:r w:rsidRPr="00D337FA">
        <w:t>и</w:t>
      </w:r>
      <w:r w:rsidR="006C680D" w:rsidRPr="00D337FA">
        <w:t xml:space="preserve"> </w:t>
      </w:r>
      <w:r w:rsidRPr="00D337FA">
        <w:t>показывает</w:t>
      </w:r>
      <w:r w:rsidR="006C680D" w:rsidRPr="00D337FA">
        <w:t xml:space="preserve"> </w:t>
      </w:r>
      <w:r w:rsidRPr="00D337FA">
        <w:t>степень</w:t>
      </w:r>
      <w:r w:rsidR="006C680D" w:rsidRPr="00D337FA">
        <w:t xml:space="preserve"> </w:t>
      </w:r>
      <w:r w:rsidRPr="00D337FA">
        <w:t>достижения</w:t>
      </w:r>
      <w:r w:rsidR="006C680D" w:rsidRPr="00D337FA">
        <w:t xml:space="preserve"> </w:t>
      </w:r>
      <w:r w:rsidRPr="00D337FA">
        <w:t>банком</w:t>
      </w:r>
      <w:r w:rsidR="006C680D" w:rsidRPr="00D337FA">
        <w:t xml:space="preserve"> </w:t>
      </w:r>
      <w:r w:rsidRPr="00D337FA">
        <w:t>в</w:t>
      </w:r>
      <w:r w:rsidR="006C680D" w:rsidRPr="00D337FA">
        <w:t xml:space="preserve"> </w:t>
      </w:r>
      <w:r w:rsidRPr="00D337FA">
        <w:t>отчетном</w:t>
      </w:r>
      <w:r w:rsidR="006C680D" w:rsidRPr="00D337FA">
        <w:t xml:space="preserve"> </w:t>
      </w:r>
      <w:r w:rsidRPr="00D337FA">
        <w:t>периоде</w:t>
      </w:r>
      <w:r w:rsidR="006C680D" w:rsidRPr="00D337FA">
        <w:t xml:space="preserve"> </w:t>
      </w:r>
      <w:r w:rsidRPr="00D337FA">
        <w:t>результатов,</w:t>
      </w:r>
      <w:r w:rsidR="006C680D" w:rsidRPr="00D337FA">
        <w:t xml:space="preserve"> </w:t>
      </w:r>
      <w:r w:rsidRPr="00D337FA">
        <w:t>предусмотренных</w:t>
      </w:r>
      <w:r w:rsidR="006C680D" w:rsidRPr="00D337FA">
        <w:t xml:space="preserve"> </w:t>
      </w:r>
      <w:r w:rsidRPr="00D337FA">
        <w:t>планом</w:t>
      </w:r>
      <w:r w:rsidR="006C680D" w:rsidRPr="00D337FA">
        <w:t xml:space="preserve"> </w:t>
      </w:r>
      <w:r w:rsidRPr="00D337FA">
        <w:t>участия</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по</w:t>
      </w:r>
      <w:r w:rsidR="006C680D" w:rsidRPr="00D337FA">
        <w:t xml:space="preserve"> </w:t>
      </w:r>
      <w:r w:rsidRPr="00D337FA">
        <w:t>обеспечению</w:t>
      </w:r>
      <w:r w:rsidR="006C680D" w:rsidRPr="00D337FA">
        <w:t xml:space="preserve"> </w:t>
      </w:r>
      <w:r w:rsidRPr="00D337FA">
        <w:t>бесперебойного</w:t>
      </w:r>
      <w:r w:rsidR="006C680D" w:rsidRPr="00D337FA">
        <w:t xml:space="preserve"> </w:t>
      </w:r>
      <w:r w:rsidRPr="00D337FA">
        <w:t>функционирования</w:t>
      </w:r>
      <w:r w:rsidR="006C680D" w:rsidRPr="00D337FA">
        <w:t xml:space="preserve"> </w:t>
      </w:r>
      <w:r w:rsidRPr="00D337FA">
        <w:t>банка.</w:t>
      </w:r>
      <w:r w:rsidR="006C680D" w:rsidRPr="00D337FA">
        <w:t xml:space="preserve"> </w:t>
      </w:r>
      <w:r w:rsidRPr="00D337FA">
        <w:t>При</w:t>
      </w:r>
      <w:r w:rsidR="006C680D" w:rsidRPr="00D337FA">
        <w:t xml:space="preserve"> </w:t>
      </w:r>
      <w:r w:rsidRPr="00D337FA">
        <w:t>этом</w:t>
      </w:r>
      <w:r w:rsidR="006C680D" w:rsidRPr="00D337FA">
        <w:t xml:space="preserve"> </w:t>
      </w:r>
      <w:r w:rsidRPr="00D337FA">
        <w:t>на</w:t>
      </w:r>
      <w:r w:rsidR="006C680D" w:rsidRPr="00D337FA">
        <w:t xml:space="preserve"> </w:t>
      </w:r>
      <w:r w:rsidRPr="00D337FA">
        <w:t>начальном</w:t>
      </w:r>
      <w:r w:rsidR="006C680D" w:rsidRPr="00D337FA">
        <w:t xml:space="preserve"> </w:t>
      </w:r>
      <w:r w:rsidRPr="00D337FA">
        <w:t>этапе</w:t>
      </w:r>
      <w:r w:rsidR="006C680D" w:rsidRPr="00D337FA">
        <w:t xml:space="preserve"> </w:t>
      </w:r>
      <w:r w:rsidRPr="00D337FA">
        <w:t>санации</w:t>
      </w:r>
      <w:r w:rsidR="006C680D" w:rsidRPr="00D337FA">
        <w:t xml:space="preserve"> </w:t>
      </w:r>
      <w:r w:rsidRPr="00D337FA">
        <w:t>за</w:t>
      </w:r>
      <w:r w:rsidR="006C680D" w:rsidRPr="00D337FA">
        <w:t xml:space="preserve"> </w:t>
      </w:r>
      <w:r w:rsidRPr="00D337FA">
        <w:t>эталон</w:t>
      </w:r>
      <w:r w:rsidR="006C680D" w:rsidRPr="00D337FA">
        <w:t xml:space="preserve"> </w:t>
      </w:r>
      <w:r w:rsidRPr="00D337FA">
        <w:t>принимаются</w:t>
      </w:r>
      <w:r w:rsidR="006C680D" w:rsidRPr="00D337FA">
        <w:t xml:space="preserve"> </w:t>
      </w:r>
      <w:r w:rsidRPr="00D337FA">
        <w:t>пруденциальные</w:t>
      </w:r>
      <w:r w:rsidR="006C680D" w:rsidRPr="00D337FA">
        <w:t xml:space="preserve"> </w:t>
      </w:r>
      <w:r w:rsidRPr="00D337FA">
        <w:t>требования</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регулирующие</w:t>
      </w:r>
      <w:r w:rsidR="006C680D" w:rsidRPr="00D337FA">
        <w:t xml:space="preserve"> </w:t>
      </w:r>
      <w:r w:rsidRPr="00D337FA">
        <w:t>деятельность</w:t>
      </w:r>
      <w:r w:rsidR="006C680D" w:rsidRPr="00D337FA">
        <w:t xml:space="preserve"> </w:t>
      </w:r>
      <w:r w:rsidRPr="00D337FA">
        <w:t>банков,</w:t>
      </w:r>
      <w:r w:rsidR="006C680D" w:rsidRPr="00D337FA">
        <w:t xml:space="preserve"> </w:t>
      </w:r>
      <w:r w:rsidRPr="00D337FA">
        <w:t>а</w:t>
      </w:r>
      <w:r w:rsidR="006C680D" w:rsidRPr="00D337FA">
        <w:t xml:space="preserve"> </w:t>
      </w:r>
      <w:r w:rsidRPr="00D337FA">
        <w:t>в</w:t>
      </w:r>
      <w:r w:rsidR="006C680D" w:rsidRPr="00D337FA">
        <w:t xml:space="preserve"> </w:t>
      </w:r>
      <w:r w:rsidRPr="00D337FA">
        <w:t>дальнейшем</w:t>
      </w:r>
      <w:r w:rsidR="006C680D" w:rsidRPr="00D337FA">
        <w:t xml:space="preserve"> </w:t>
      </w:r>
      <w:r w:rsidRPr="00D337FA">
        <w:t>средние</w:t>
      </w:r>
      <w:r w:rsidR="006C680D" w:rsidRPr="00D337FA">
        <w:t xml:space="preserve"> </w:t>
      </w:r>
      <w:r w:rsidRPr="00D337FA">
        <w:t>значения</w:t>
      </w:r>
      <w:r w:rsidR="006C680D" w:rsidRPr="00D337FA">
        <w:t xml:space="preserve"> </w:t>
      </w:r>
      <w:r w:rsidRPr="00D337FA">
        <w:t>совокупности</w:t>
      </w:r>
      <w:r w:rsidR="006C680D" w:rsidRPr="00D337FA">
        <w:t xml:space="preserve"> </w:t>
      </w:r>
      <w:r w:rsidRPr="00D337FA">
        <w:t>результатов</w:t>
      </w:r>
      <w:r w:rsidR="006C680D" w:rsidRPr="00D337FA">
        <w:t xml:space="preserve"> </w:t>
      </w:r>
      <w:r w:rsidRPr="00D337FA">
        <w:t>деятельности</w:t>
      </w:r>
      <w:r w:rsidR="006C680D" w:rsidRPr="00D337FA">
        <w:t xml:space="preserve"> </w:t>
      </w:r>
      <w:r w:rsidRPr="00D337FA">
        <w:t>50</w:t>
      </w:r>
      <w:r w:rsidR="006C680D" w:rsidRPr="00D337FA">
        <w:t xml:space="preserve"> </w:t>
      </w:r>
      <w:r w:rsidRPr="00D337FA">
        <w:t>ближайших</w:t>
      </w:r>
      <w:r w:rsidR="006C680D" w:rsidRPr="00D337FA">
        <w:t xml:space="preserve"> </w:t>
      </w:r>
      <w:r w:rsidRPr="00D337FA">
        <w:t>по</w:t>
      </w:r>
      <w:r w:rsidR="006C680D" w:rsidRPr="00D337FA">
        <w:t xml:space="preserve"> </w:t>
      </w:r>
      <w:r w:rsidRPr="00D337FA">
        <w:t>размеру</w:t>
      </w:r>
      <w:r w:rsidR="006C680D" w:rsidRPr="00D337FA">
        <w:t xml:space="preserve"> </w:t>
      </w:r>
      <w:r w:rsidRPr="00D337FA">
        <w:t>активов</w:t>
      </w:r>
      <w:r w:rsidR="006C680D" w:rsidRPr="00D337FA">
        <w:t xml:space="preserve"> </w:t>
      </w:r>
      <w:r w:rsidRPr="00D337FA">
        <w:t>банков.</w:t>
      </w:r>
    </w:p>
    <w:p w:rsidR="004A1229" w:rsidRPr="00D337FA" w:rsidRDefault="004A1229" w:rsidP="004A1229">
      <w:pPr>
        <w:ind w:firstLine="284"/>
      </w:pPr>
      <w:r w:rsidRPr="00D337FA">
        <w:t>3.</w:t>
      </w:r>
      <w:r w:rsidR="006C680D" w:rsidRPr="00D337FA">
        <w:t xml:space="preserve"> </w:t>
      </w:r>
      <w:r w:rsidRPr="00D337FA">
        <w:t>Эффективность</w:t>
      </w:r>
      <w:r w:rsidR="006C680D" w:rsidRPr="00D337FA">
        <w:t xml:space="preserve"> </w:t>
      </w:r>
      <w:r w:rsidRPr="00D337FA">
        <w:t>использования</w:t>
      </w:r>
      <w:r w:rsidR="006C680D" w:rsidRPr="00D337FA">
        <w:t xml:space="preserve"> </w:t>
      </w:r>
      <w:r w:rsidRPr="00D337FA">
        <w:t>средств</w:t>
      </w:r>
      <w:r w:rsidR="006C680D" w:rsidRPr="00D337FA">
        <w:t xml:space="preserve"> </w:t>
      </w:r>
      <w:r w:rsidRPr="00D337FA">
        <w:t>менеджментом</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Проводится</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банка</w:t>
      </w:r>
      <w:r w:rsidR="006C680D" w:rsidRPr="00D337FA">
        <w:t xml:space="preserve"> </w:t>
      </w:r>
      <w:r w:rsidRPr="00D337FA">
        <w:t>«Траст»</w:t>
      </w:r>
      <w:r w:rsidR="006C680D" w:rsidRPr="00D337FA">
        <w:t xml:space="preserve"> </w:t>
      </w:r>
      <w:r w:rsidRPr="00D337FA">
        <w:t>-</w:t>
      </w:r>
      <w:r w:rsidR="006C680D" w:rsidRPr="00D337FA">
        <w:t xml:space="preserve"> </w:t>
      </w:r>
      <w:r w:rsidRPr="00D337FA">
        <w:t>банка</w:t>
      </w:r>
      <w:r w:rsidR="006C680D" w:rsidRPr="00D337FA">
        <w:t xml:space="preserve"> </w:t>
      </w:r>
      <w:r w:rsidRPr="00D337FA">
        <w:t>непрофильных</w:t>
      </w:r>
      <w:r w:rsidR="006C680D" w:rsidRPr="00D337FA">
        <w:t xml:space="preserve"> </w:t>
      </w:r>
      <w:r w:rsidRPr="00D337FA">
        <w:t>активов.</w:t>
      </w:r>
      <w:r w:rsidR="006C680D" w:rsidRPr="00D337FA">
        <w:t xml:space="preserve"> </w:t>
      </w:r>
      <w:r w:rsidRPr="00D337FA">
        <w:lastRenderedPageBreak/>
        <w:t>Вывод</w:t>
      </w:r>
      <w:r w:rsidR="006C680D" w:rsidRPr="00D337FA">
        <w:t xml:space="preserve"> </w:t>
      </w:r>
      <w:r w:rsidRPr="00D337FA">
        <w:t>об</w:t>
      </w:r>
      <w:r w:rsidR="006C680D" w:rsidRPr="00D337FA">
        <w:t xml:space="preserve"> </w:t>
      </w:r>
      <w:r w:rsidRPr="00D337FA">
        <w:t>эффективности</w:t>
      </w:r>
      <w:r w:rsidR="006C680D" w:rsidRPr="00D337FA">
        <w:t xml:space="preserve"> </w:t>
      </w:r>
      <w:r w:rsidRPr="00D337FA">
        <w:t>делается</w:t>
      </w:r>
      <w:r w:rsidR="006C680D" w:rsidRPr="00D337FA">
        <w:t xml:space="preserve"> </w:t>
      </w:r>
      <w:r w:rsidRPr="00D337FA">
        <w:t>на</w:t>
      </w:r>
      <w:r w:rsidR="006C680D" w:rsidRPr="00D337FA">
        <w:t xml:space="preserve"> </w:t>
      </w:r>
      <w:r w:rsidRPr="00D337FA">
        <w:t>основании</w:t>
      </w:r>
      <w:r w:rsidR="006C680D" w:rsidRPr="00D337FA">
        <w:t xml:space="preserve"> </w:t>
      </w:r>
      <w:r w:rsidRPr="00D337FA">
        <w:t>двух</w:t>
      </w:r>
      <w:r w:rsidR="006C680D" w:rsidRPr="00D337FA">
        <w:t xml:space="preserve"> </w:t>
      </w:r>
      <w:r w:rsidRPr="00D337FA">
        <w:t>основных</w:t>
      </w:r>
      <w:r w:rsidR="006C680D" w:rsidRPr="00D337FA">
        <w:t xml:space="preserve"> </w:t>
      </w:r>
      <w:r w:rsidRPr="00D337FA">
        <w:t>критериев:</w:t>
      </w:r>
      <w:r w:rsidR="006C680D" w:rsidRPr="00D337FA">
        <w:t xml:space="preserve"> </w:t>
      </w:r>
      <w:r w:rsidRPr="00D337FA">
        <w:t>максимизация</w:t>
      </w:r>
      <w:r w:rsidR="006C680D" w:rsidRPr="00D337FA">
        <w:t xml:space="preserve"> </w:t>
      </w:r>
      <w:r w:rsidRPr="00D337FA">
        <w:t>сборов</w:t>
      </w:r>
      <w:r w:rsidR="006C680D" w:rsidRPr="00D337FA">
        <w:t xml:space="preserve"> </w:t>
      </w:r>
      <w:r w:rsidRPr="00D337FA">
        <w:t>от</w:t>
      </w:r>
      <w:r w:rsidR="006C680D" w:rsidRPr="00D337FA">
        <w:t xml:space="preserve"> </w:t>
      </w:r>
      <w:r w:rsidRPr="00D337FA">
        <w:t>работы</w:t>
      </w:r>
      <w:r w:rsidR="006C680D" w:rsidRPr="00D337FA">
        <w:t xml:space="preserve"> </w:t>
      </w:r>
      <w:r w:rsidRPr="00D337FA">
        <w:t>с</w:t>
      </w:r>
      <w:r w:rsidR="006C680D" w:rsidRPr="00D337FA">
        <w:t xml:space="preserve"> </w:t>
      </w:r>
      <w:r w:rsidRPr="00D337FA">
        <w:t>проблемными</w:t>
      </w:r>
      <w:r w:rsidR="006C680D" w:rsidRPr="00D337FA">
        <w:t xml:space="preserve"> </w:t>
      </w:r>
      <w:r w:rsidRPr="00D337FA">
        <w:t>активами</w:t>
      </w:r>
      <w:r w:rsidR="006C680D" w:rsidRPr="00D337FA">
        <w:t xml:space="preserve"> </w:t>
      </w:r>
      <w:r w:rsidRPr="00D337FA">
        <w:t>и</w:t>
      </w:r>
      <w:r w:rsidR="006C680D" w:rsidRPr="00D337FA">
        <w:t xml:space="preserve"> </w:t>
      </w:r>
      <w:r w:rsidRPr="00D337FA">
        <w:t>минимизация</w:t>
      </w:r>
      <w:r w:rsidR="006C680D" w:rsidRPr="00D337FA">
        <w:t xml:space="preserve"> </w:t>
      </w:r>
      <w:r w:rsidRPr="00D337FA">
        <w:t>затрат</w:t>
      </w:r>
      <w:r w:rsidR="006C680D" w:rsidRPr="00D337FA">
        <w:t xml:space="preserve"> </w:t>
      </w:r>
      <w:r w:rsidRPr="00D337FA">
        <w:t>на</w:t>
      </w:r>
      <w:r w:rsidR="006C680D" w:rsidRPr="00D337FA">
        <w:t xml:space="preserve"> </w:t>
      </w:r>
      <w:r w:rsidRPr="00D337FA">
        <w:t>содержание</w:t>
      </w:r>
      <w:r w:rsidR="006C680D" w:rsidRPr="00D337FA">
        <w:t xml:space="preserve"> </w:t>
      </w:r>
      <w:r w:rsidRPr="00D337FA">
        <w:t>и</w:t>
      </w:r>
      <w:r w:rsidR="006C680D" w:rsidRPr="00D337FA">
        <w:t xml:space="preserve"> </w:t>
      </w:r>
      <w:r w:rsidRPr="00D337FA">
        <w:t>реализацию</w:t>
      </w:r>
      <w:r w:rsidR="006C680D" w:rsidRPr="00D337FA">
        <w:t xml:space="preserve"> </w:t>
      </w:r>
      <w:r w:rsidRPr="00D337FA">
        <w:t>активов.</w:t>
      </w:r>
      <w:r w:rsidR="006C680D" w:rsidRPr="00D337FA">
        <w:t xml:space="preserve"> </w:t>
      </w:r>
    </w:p>
    <w:p w:rsidR="004A1229" w:rsidRPr="00D337FA" w:rsidRDefault="004A1229" w:rsidP="004A1229">
      <w:pPr>
        <w:ind w:firstLine="284"/>
      </w:pPr>
      <w:r w:rsidRPr="00D337FA">
        <w:t>4.</w:t>
      </w:r>
      <w:r w:rsidR="006C680D" w:rsidRPr="00D337FA">
        <w:t xml:space="preserve"> </w:t>
      </w:r>
      <w:r w:rsidRPr="00D337FA">
        <w:t>Эффективность</w:t>
      </w:r>
      <w:r w:rsidR="006C680D" w:rsidRPr="00D337FA">
        <w:t xml:space="preserve"> </w:t>
      </w:r>
      <w:r w:rsidRPr="00D337FA">
        <w:t>реализации</w:t>
      </w:r>
      <w:r w:rsidR="006C680D" w:rsidRPr="00D337FA">
        <w:t xml:space="preserve"> </w:t>
      </w:r>
      <w:r w:rsidRPr="00D337FA">
        <w:t>Банком</w:t>
      </w:r>
      <w:r w:rsidR="006C680D" w:rsidRPr="00D337FA">
        <w:t xml:space="preserve"> </w:t>
      </w:r>
      <w:r w:rsidRPr="00D337FA">
        <w:t>России</w:t>
      </w:r>
      <w:r w:rsidR="006C680D" w:rsidRPr="00D337FA">
        <w:t xml:space="preserve"> </w:t>
      </w:r>
      <w:r w:rsidRPr="00D337FA">
        <w:t>акций</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в</w:t>
      </w:r>
      <w:r w:rsidR="006C680D" w:rsidRPr="00D337FA">
        <w:t xml:space="preserve"> </w:t>
      </w:r>
      <w:r w:rsidRPr="00D337FA">
        <w:t>условиях</w:t>
      </w:r>
      <w:r w:rsidR="006C680D" w:rsidRPr="00D337FA">
        <w:t xml:space="preserve"> </w:t>
      </w:r>
      <w:r w:rsidRPr="00D337FA">
        <w:t>существующей</w:t>
      </w:r>
      <w:r w:rsidR="006C680D" w:rsidRPr="00D337FA">
        <w:t xml:space="preserve"> </w:t>
      </w:r>
      <w:r w:rsidRPr="00D337FA">
        <w:t>конъюнктуры</w:t>
      </w:r>
      <w:r w:rsidR="006C680D" w:rsidRPr="00D337FA">
        <w:t xml:space="preserve"> </w:t>
      </w:r>
      <w:r w:rsidRPr="00D337FA">
        <w:t>рынка.</w:t>
      </w:r>
    </w:p>
    <w:p w:rsidR="004A1229" w:rsidRPr="00D337FA" w:rsidRDefault="004A1229" w:rsidP="004A1229">
      <w:pPr>
        <w:ind w:firstLine="284"/>
      </w:pPr>
      <w:r w:rsidRPr="00D337FA">
        <w:t>5.</w:t>
      </w:r>
      <w:r w:rsidR="006C680D" w:rsidRPr="00D337FA">
        <w:t xml:space="preserve"> </w:t>
      </w:r>
      <w:r w:rsidRPr="00D337FA">
        <w:t>В</w:t>
      </w:r>
      <w:r w:rsidR="006C680D" w:rsidRPr="00D337FA">
        <w:t xml:space="preserve"> </w:t>
      </w:r>
      <w:r w:rsidRPr="00D337FA">
        <w:t>период</w:t>
      </w:r>
      <w:r w:rsidR="006C680D" w:rsidRPr="00D337FA">
        <w:t xml:space="preserve"> </w:t>
      </w:r>
      <w:r w:rsidRPr="00D337FA">
        <w:t>внедрения</w:t>
      </w:r>
      <w:r w:rsidR="006C680D" w:rsidRPr="00D337FA">
        <w:t xml:space="preserve"> </w:t>
      </w:r>
      <w:r w:rsidRPr="00D337FA">
        <w:t>нового</w:t>
      </w:r>
      <w:r w:rsidR="006C680D" w:rsidRPr="00D337FA">
        <w:t xml:space="preserve"> </w:t>
      </w:r>
      <w:r w:rsidRPr="00D337FA">
        <w:t>механизма</w:t>
      </w:r>
      <w:r w:rsidR="006C680D" w:rsidRPr="00D337FA">
        <w:t xml:space="preserve"> </w:t>
      </w:r>
      <w:r w:rsidRPr="00D337FA">
        <w:t>санации,</w:t>
      </w:r>
      <w:r w:rsidR="006C680D" w:rsidRPr="00D337FA">
        <w:t xml:space="preserve"> </w:t>
      </w:r>
      <w:r w:rsidRPr="00D337FA">
        <w:t>использовался</w:t>
      </w:r>
      <w:r w:rsidR="006C680D" w:rsidRPr="00D337FA">
        <w:t xml:space="preserve"> </w:t>
      </w:r>
      <w:r w:rsidRPr="00D337FA">
        <w:t>более</w:t>
      </w:r>
      <w:r w:rsidR="006C680D" w:rsidRPr="00D337FA">
        <w:t xml:space="preserve"> </w:t>
      </w:r>
      <w:r w:rsidRPr="00D337FA">
        <w:t>частный</w:t>
      </w:r>
      <w:r w:rsidR="006C680D" w:rsidRPr="00D337FA">
        <w:t xml:space="preserve"> </w:t>
      </w:r>
      <w:r w:rsidRPr="00D337FA">
        <w:t>показатель</w:t>
      </w:r>
      <w:r w:rsidR="006C680D" w:rsidRPr="00D337FA">
        <w:t xml:space="preserve"> </w:t>
      </w:r>
      <w:r w:rsidRPr="00D337FA">
        <w:t>эффективности,</w:t>
      </w:r>
      <w:r w:rsidR="006C680D" w:rsidRPr="00D337FA">
        <w:t xml:space="preserve"> </w:t>
      </w:r>
      <w:r w:rsidRPr="00D337FA">
        <w:t>позволяющий</w:t>
      </w:r>
      <w:r w:rsidR="006C680D" w:rsidRPr="00D337FA">
        <w:t xml:space="preserve"> </w:t>
      </w:r>
      <w:r w:rsidRPr="00D337FA">
        <w:t>сравнивать</w:t>
      </w:r>
      <w:r w:rsidR="006C680D" w:rsidRPr="00D337FA">
        <w:t xml:space="preserve"> </w:t>
      </w:r>
      <w:r w:rsidRPr="00D337FA">
        <w:t>совокупные</w:t>
      </w:r>
      <w:r w:rsidR="006C680D" w:rsidRPr="00D337FA">
        <w:t xml:space="preserve"> </w:t>
      </w:r>
      <w:r w:rsidRPr="00D337FA">
        <w:t>затраты</w:t>
      </w:r>
      <w:r w:rsidR="006C680D" w:rsidRPr="00D337FA">
        <w:t xml:space="preserve"> </w:t>
      </w:r>
      <w:r w:rsidRPr="00D337FA">
        <w:t>на</w:t>
      </w:r>
      <w:r w:rsidR="006C680D" w:rsidRPr="00D337FA">
        <w:t xml:space="preserve"> </w:t>
      </w:r>
      <w:r w:rsidRPr="00D337FA">
        <w:t>достижение</w:t>
      </w:r>
      <w:r w:rsidR="006C680D" w:rsidRPr="00D337FA">
        <w:t xml:space="preserve"> </w:t>
      </w:r>
      <w:r w:rsidRPr="00D337FA">
        <w:t>экономического</w:t>
      </w:r>
      <w:r w:rsidR="006C680D" w:rsidRPr="00D337FA">
        <w:t xml:space="preserve"> </w:t>
      </w:r>
      <w:r w:rsidRPr="00D337FA">
        <w:t>эффекта</w:t>
      </w:r>
      <w:r w:rsidR="006C680D" w:rsidRPr="00D337FA">
        <w:t xml:space="preserve"> </w:t>
      </w:r>
      <w:r w:rsidRPr="00D337FA">
        <w:t>от</w:t>
      </w:r>
      <w:r w:rsidR="006C680D" w:rsidRPr="00D337FA">
        <w:t xml:space="preserve"> </w:t>
      </w:r>
      <w:r w:rsidRPr="00D337FA">
        <w:t>санации</w:t>
      </w:r>
      <w:r w:rsidR="006C680D" w:rsidRPr="00D337FA">
        <w:t xml:space="preserve"> </w:t>
      </w:r>
      <w:r w:rsidRPr="00D337FA">
        <w:t>если</w:t>
      </w:r>
      <w:r w:rsidR="006C680D" w:rsidRPr="00D337FA">
        <w:t xml:space="preserve"> </w:t>
      </w:r>
      <w:r w:rsidRPr="00D337FA">
        <w:t>бы</w:t>
      </w:r>
      <w:r w:rsidR="006C680D" w:rsidRPr="00D337FA">
        <w:t xml:space="preserve"> </w:t>
      </w:r>
      <w:r w:rsidRPr="00D337FA">
        <w:t>она</w:t>
      </w:r>
      <w:r w:rsidR="006C680D" w:rsidRPr="00D337FA">
        <w:t xml:space="preserve"> </w:t>
      </w:r>
      <w:r w:rsidRPr="00D337FA">
        <w:t>осуществлялась</w:t>
      </w:r>
      <w:r w:rsidR="006C680D" w:rsidRPr="00D337FA">
        <w:t xml:space="preserve"> </w:t>
      </w:r>
      <w:r w:rsidRPr="00D337FA">
        <w:t>за</w:t>
      </w:r>
      <w:r w:rsidR="006C680D" w:rsidRPr="00D337FA">
        <w:t xml:space="preserve"> </w:t>
      </w:r>
      <w:r w:rsidRPr="00D337FA">
        <w:t>счет</w:t>
      </w:r>
      <w:r w:rsidR="006C680D" w:rsidRPr="00D337FA">
        <w:t xml:space="preserve"> </w:t>
      </w:r>
      <w:r w:rsidRPr="00D337FA">
        <w:t>средств,</w:t>
      </w:r>
      <w:r w:rsidR="006C680D" w:rsidRPr="00D337FA">
        <w:t xml:space="preserve"> </w:t>
      </w:r>
      <w:r w:rsidRPr="00D337FA">
        <w:t>выделенных</w:t>
      </w:r>
      <w:r w:rsidR="006C680D" w:rsidRPr="00D337FA">
        <w:t xml:space="preserve"> </w:t>
      </w:r>
      <w:r w:rsidRPr="00D337FA">
        <w:t>Фондом</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r w:rsidR="006C680D" w:rsidRPr="00D337FA">
        <w:t xml:space="preserve"> </w:t>
      </w:r>
      <w:r w:rsidRPr="00D337FA">
        <w:t>на</w:t>
      </w:r>
      <w:r w:rsidR="006C680D" w:rsidRPr="00D337FA">
        <w:t xml:space="preserve"> </w:t>
      </w:r>
      <w:r w:rsidRPr="00D337FA">
        <w:t>докапитализацию</w:t>
      </w:r>
      <w:r w:rsidR="006C680D" w:rsidRPr="00D337FA">
        <w:t xml:space="preserve"> </w:t>
      </w:r>
      <w:r w:rsidRPr="00D337FA">
        <w:t>банков,</w:t>
      </w:r>
      <w:r w:rsidR="006C680D" w:rsidRPr="00D337FA">
        <w:t xml:space="preserve"> </w:t>
      </w:r>
      <w:r w:rsidRPr="00D337FA">
        <w:t>или</w:t>
      </w:r>
      <w:r w:rsidR="006C680D" w:rsidRPr="00D337FA">
        <w:t xml:space="preserve"> </w:t>
      </w:r>
      <w:r w:rsidRPr="00D337FA">
        <w:t>за</w:t>
      </w:r>
      <w:r w:rsidR="006C680D" w:rsidRPr="00D337FA">
        <w:t xml:space="preserve"> </w:t>
      </w:r>
      <w:r w:rsidRPr="00D337FA">
        <w:t>счет</w:t>
      </w:r>
      <w:r w:rsidR="006C680D" w:rsidRPr="00D337FA">
        <w:t xml:space="preserve"> </w:t>
      </w:r>
      <w:r w:rsidRPr="00D337FA">
        <w:t>средств,</w:t>
      </w:r>
      <w:r w:rsidR="006C680D" w:rsidRPr="00D337FA">
        <w:t xml:space="preserve"> </w:t>
      </w:r>
      <w:r w:rsidRPr="00D337FA">
        <w:t>выделенных</w:t>
      </w:r>
      <w:r w:rsidR="006C680D" w:rsidRPr="00D337FA">
        <w:t xml:space="preserve"> </w:t>
      </w:r>
      <w:r w:rsidRPr="00D337FA">
        <w:t>в</w:t>
      </w:r>
      <w:r w:rsidR="006C680D" w:rsidRPr="00D337FA">
        <w:t xml:space="preserve"> </w:t>
      </w:r>
      <w:r w:rsidRPr="00D337FA">
        <w:t>форме</w:t>
      </w:r>
      <w:r w:rsidR="006C680D" w:rsidRPr="00D337FA">
        <w:t xml:space="preserve"> </w:t>
      </w:r>
      <w:r w:rsidRPr="00D337FA">
        <w:t>льготных</w:t>
      </w:r>
      <w:r w:rsidR="006C680D" w:rsidRPr="00D337FA">
        <w:t xml:space="preserve"> </w:t>
      </w:r>
      <w:r w:rsidRPr="00D337FA">
        <w:t>кредитов</w:t>
      </w:r>
      <w:r w:rsidR="006C680D" w:rsidRPr="00D337FA">
        <w:t xml:space="preserve"> </w:t>
      </w:r>
      <w:r w:rsidRPr="00D337FA">
        <w:t>Агентством</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p>
    <w:p w:rsidR="004A1229" w:rsidRPr="00D337FA" w:rsidRDefault="004A1229" w:rsidP="004A1229">
      <w:pPr>
        <w:ind w:firstLine="284"/>
      </w:pPr>
    </w:p>
    <w:p w:rsidR="004A1229" w:rsidRPr="00D337FA" w:rsidRDefault="004A1229" w:rsidP="004A1229">
      <w:pPr>
        <w:ind w:firstLine="284"/>
        <w:rPr>
          <w:b/>
        </w:rPr>
      </w:pPr>
      <w:r w:rsidRPr="00D337FA">
        <w:rPr>
          <w:b/>
        </w:rPr>
        <w:t>Результаты</w:t>
      </w:r>
      <w:r w:rsidR="006C680D" w:rsidRPr="00D337FA">
        <w:rPr>
          <w:b/>
        </w:rPr>
        <w:t xml:space="preserve"> </w:t>
      </w:r>
      <w:r w:rsidRPr="00D337FA">
        <w:rPr>
          <w:b/>
        </w:rPr>
        <w:t>исследования</w:t>
      </w:r>
    </w:p>
    <w:p w:rsidR="004A1229" w:rsidRPr="00D337FA" w:rsidRDefault="004A1229" w:rsidP="004A1229">
      <w:pPr>
        <w:ind w:firstLine="284"/>
      </w:pPr>
      <w:r w:rsidRPr="00D337FA">
        <w:t>1.</w:t>
      </w:r>
      <w:r w:rsidR="006C680D" w:rsidRPr="00D337FA">
        <w:t xml:space="preserve"> </w:t>
      </w:r>
      <w:r w:rsidRPr="00D337FA">
        <w:t>В</w:t>
      </w:r>
      <w:r w:rsidR="006C680D" w:rsidRPr="00D337FA">
        <w:t xml:space="preserve"> </w:t>
      </w:r>
      <w:r w:rsidRPr="00D337FA">
        <w:t>вопросах</w:t>
      </w:r>
      <w:r w:rsidR="006C680D" w:rsidRPr="00D337FA">
        <w:t xml:space="preserve"> </w:t>
      </w:r>
      <w:r w:rsidRPr="00D337FA">
        <w:t>о</w:t>
      </w:r>
      <w:r w:rsidR="006C680D" w:rsidRPr="00D337FA">
        <w:t xml:space="preserve"> </w:t>
      </w:r>
      <w:r w:rsidRPr="00D337FA">
        <w:t>критериях</w:t>
      </w:r>
      <w:r w:rsidR="006C680D" w:rsidRPr="00D337FA">
        <w:t xml:space="preserve"> </w:t>
      </w:r>
      <w:r w:rsidRPr="00D337FA">
        <w:t>целесообразности</w:t>
      </w:r>
      <w:r w:rsidR="006C680D" w:rsidRPr="00D337FA">
        <w:t xml:space="preserve"> </w:t>
      </w:r>
      <w:r w:rsidRPr="00D337FA">
        <w:t>санации</w:t>
      </w:r>
      <w:r w:rsidR="006C680D" w:rsidRPr="00D337FA">
        <w:t xml:space="preserve"> </w:t>
      </w:r>
      <w:r w:rsidRPr="00D337FA">
        <w:t>ярко</w:t>
      </w:r>
      <w:r w:rsidR="006C680D" w:rsidRPr="00D337FA">
        <w:t xml:space="preserve"> </w:t>
      </w:r>
      <w:r w:rsidRPr="00D337FA">
        <w:t>выраженной</w:t>
      </w:r>
      <w:r w:rsidR="006C680D" w:rsidRPr="00D337FA">
        <w:t xml:space="preserve"> </w:t>
      </w:r>
      <w:r w:rsidRPr="00D337FA">
        <w:t>тенденцией</w:t>
      </w:r>
      <w:r w:rsidR="006C680D" w:rsidRPr="00D337FA">
        <w:t xml:space="preserve"> </w:t>
      </w:r>
      <w:r w:rsidRPr="00D337FA">
        <w:t>является</w:t>
      </w:r>
      <w:r w:rsidR="006C680D" w:rsidRPr="00D337FA">
        <w:t xml:space="preserve"> </w:t>
      </w:r>
      <w:r w:rsidRPr="00D337FA">
        <w:t>смещение</w:t>
      </w:r>
      <w:r w:rsidR="006C680D" w:rsidRPr="00D337FA">
        <w:t xml:space="preserve"> </w:t>
      </w:r>
      <w:r w:rsidRPr="00D337FA">
        <w:t>акцентов</w:t>
      </w:r>
      <w:r w:rsidR="006C680D" w:rsidRPr="00D337FA">
        <w:t xml:space="preserve"> </w:t>
      </w:r>
      <w:r w:rsidRPr="00D337FA">
        <w:t>в</w:t>
      </w:r>
      <w:r w:rsidR="006C680D" w:rsidRPr="00D337FA">
        <w:t xml:space="preserve"> </w:t>
      </w:r>
      <w:r w:rsidRPr="00D337FA">
        <w:t>сторону</w:t>
      </w:r>
      <w:r w:rsidR="006C680D" w:rsidRPr="00D337FA">
        <w:t xml:space="preserve"> </w:t>
      </w:r>
      <w:r w:rsidRPr="00D337FA">
        <w:t>системной</w:t>
      </w:r>
      <w:r w:rsidR="006C680D" w:rsidRPr="00D337FA">
        <w:t xml:space="preserve"> </w:t>
      </w:r>
      <w:r w:rsidRPr="00D337FA">
        <w:t>значимости</w:t>
      </w:r>
      <w:r w:rsidR="006C680D" w:rsidRPr="00D337FA">
        <w:t xml:space="preserve"> </w:t>
      </w:r>
      <w:r w:rsidRPr="00D337FA">
        <w:t>банков,</w:t>
      </w:r>
      <w:r w:rsidR="006C680D" w:rsidRPr="00D337FA">
        <w:t xml:space="preserve"> </w:t>
      </w:r>
      <w:r w:rsidRPr="00D337FA">
        <w:t>методология</w:t>
      </w:r>
      <w:r w:rsidR="006C680D" w:rsidRPr="00D337FA">
        <w:t xml:space="preserve"> </w:t>
      </w:r>
      <w:r w:rsidRPr="00D337FA">
        <w:t>определения</w:t>
      </w:r>
      <w:r w:rsidR="006C680D" w:rsidRPr="00D337FA">
        <w:t xml:space="preserve"> </w:t>
      </w:r>
      <w:r w:rsidRPr="00D337FA">
        <w:t>которой</w:t>
      </w:r>
      <w:r w:rsidR="006C680D" w:rsidRPr="00D337FA">
        <w:t xml:space="preserve"> </w:t>
      </w:r>
      <w:r w:rsidRPr="00D337FA">
        <w:t>не</w:t>
      </w:r>
      <w:r w:rsidR="006C680D" w:rsidRPr="00D337FA">
        <w:t xml:space="preserve"> </w:t>
      </w:r>
      <w:r w:rsidRPr="00D337FA">
        <w:t>разработана</w:t>
      </w:r>
      <w:r w:rsidR="006C680D" w:rsidRPr="00D337FA">
        <w:t xml:space="preserve"> </w:t>
      </w:r>
      <w:r w:rsidRPr="00D337FA">
        <w:t>применительно</w:t>
      </w:r>
      <w:r w:rsidR="006C680D" w:rsidRPr="00D337FA">
        <w:t xml:space="preserve"> </w:t>
      </w:r>
      <w:r w:rsidRPr="00D337FA">
        <w:t>к</w:t>
      </w:r>
      <w:r w:rsidR="006C680D" w:rsidRPr="00D337FA">
        <w:t xml:space="preserve"> </w:t>
      </w:r>
      <w:r w:rsidRPr="00D337FA">
        <w:t>региональным</w:t>
      </w:r>
      <w:r w:rsidR="006C680D" w:rsidRPr="00D337FA">
        <w:t xml:space="preserve"> </w:t>
      </w:r>
      <w:r w:rsidRPr="00D337FA">
        <w:t>банкам.</w:t>
      </w:r>
      <w:r w:rsidR="006C680D" w:rsidRPr="00D337FA">
        <w:t xml:space="preserve"> </w:t>
      </w:r>
      <w:r w:rsidRPr="00D337FA">
        <w:t>В</w:t>
      </w:r>
      <w:r w:rsidR="006C680D" w:rsidRPr="00D337FA">
        <w:t xml:space="preserve"> </w:t>
      </w:r>
      <w:r w:rsidRPr="00D337FA">
        <w:t>настоящее</w:t>
      </w:r>
      <w:r w:rsidR="006C680D" w:rsidRPr="00D337FA">
        <w:t xml:space="preserve"> </w:t>
      </w:r>
      <w:r w:rsidRPr="00D337FA">
        <w:t>время</w:t>
      </w:r>
      <w:r w:rsidR="006C680D" w:rsidRPr="00D337FA">
        <w:t xml:space="preserve"> </w:t>
      </w:r>
      <w:r w:rsidRPr="00D337FA">
        <w:t>не</w:t>
      </w:r>
      <w:r w:rsidR="006C680D" w:rsidRPr="00D337FA">
        <w:t xml:space="preserve"> </w:t>
      </w:r>
      <w:r w:rsidRPr="00D337FA">
        <w:t>определены</w:t>
      </w:r>
      <w:r w:rsidR="006C680D" w:rsidRPr="00D337FA">
        <w:t xml:space="preserve"> </w:t>
      </w:r>
      <w:r w:rsidRPr="00D337FA">
        <w:t>ключевые</w:t>
      </w:r>
      <w:r w:rsidR="006C680D" w:rsidRPr="00D337FA">
        <w:t xml:space="preserve"> </w:t>
      </w:r>
      <w:r w:rsidRPr="00D337FA">
        <w:t>параметры</w:t>
      </w:r>
      <w:r w:rsidR="006C680D" w:rsidRPr="00D337FA">
        <w:t xml:space="preserve"> </w:t>
      </w:r>
      <w:r w:rsidRPr="00D337FA">
        <w:t>деятельности</w:t>
      </w:r>
      <w:r w:rsidR="006C680D" w:rsidRPr="00D337FA">
        <w:t xml:space="preserve"> </w:t>
      </w:r>
      <w:r w:rsidRPr="00D337FA">
        <w:t>региональных</w:t>
      </w:r>
      <w:r w:rsidR="006C680D" w:rsidRPr="00D337FA">
        <w:t xml:space="preserve"> </w:t>
      </w:r>
      <w:r w:rsidRPr="00D337FA">
        <w:t>банков,</w:t>
      </w:r>
      <w:r w:rsidR="006C680D" w:rsidRPr="00D337FA">
        <w:t xml:space="preserve"> </w:t>
      </w:r>
      <w:r w:rsidRPr="00D337FA">
        <w:t>позволяющие</w:t>
      </w:r>
      <w:r w:rsidR="006C680D" w:rsidRPr="00D337FA">
        <w:t xml:space="preserve"> </w:t>
      </w:r>
      <w:r w:rsidRPr="00D337FA">
        <w:t>говорить</w:t>
      </w:r>
      <w:r w:rsidR="006C680D" w:rsidRPr="00D337FA">
        <w:t xml:space="preserve"> </w:t>
      </w:r>
      <w:r w:rsidRPr="00D337FA">
        <w:t>об</w:t>
      </w:r>
      <w:r w:rsidR="006C680D" w:rsidRPr="00D337FA">
        <w:t xml:space="preserve"> </w:t>
      </w:r>
      <w:r w:rsidRPr="00D337FA">
        <w:t>их</w:t>
      </w:r>
      <w:r w:rsidR="006C680D" w:rsidRPr="00D337FA">
        <w:t xml:space="preserve"> </w:t>
      </w:r>
      <w:r w:rsidRPr="00D337FA">
        <w:t>влиянии</w:t>
      </w:r>
      <w:r w:rsidR="006C680D" w:rsidRPr="00D337FA">
        <w:t xml:space="preserve"> </w:t>
      </w:r>
      <w:r w:rsidRPr="00D337FA">
        <w:t>на</w:t>
      </w:r>
      <w:r w:rsidR="006C680D" w:rsidRPr="00D337FA">
        <w:t xml:space="preserve"> </w:t>
      </w:r>
      <w:r w:rsidRPr="00D337FA">
        <w:t>региональную</w:t>
      </w:r>
      <w:r w:rsidR="006C680D" w:rsidRPr="00D337FA">
        <w:t xml:space="preserve"> </w:t>
      </w:r>
      <w:r w:rsidRPr="00D337FA">
        <w:t>экономику,</w:t>
      </w:r>
      <w:r w:rsidR="006C680D" w:rsidRPr="00D337FA">
        <w:t xml:space="preserve"> </w:t>
      </w:r>
      <w:r w:rsidRPr="00D337FA">
        <w:t>отсутствует</w:t>
      </w:r>
      <w:r w:rsidR="006C680D" w:rsidRPr="00D337FA">
        <w:t xml:space="preserve"> </w:t>
      </w:r>
      <w:r w:rsidRPr="00D337FA">
        <w:t>также</w:t>
      </w:r>
      <w:r w:rsidR="006C680D" w:rsidRPr="00D337FA">
        <w:t xml:space="preserve"> </w:t>
      </w:r>
      <w:r w:rsidRPr="00D337FA">
        <w:t>перечень</w:t>
      </w:r>
      <w:r w:rsidR="006C680D" w:rsidRPr="00D337FA">
        <w:t xml:space="preserve"> </w:t>
      </w:r>
      <w:r w:rsidRPr="00D337FA">
        <w:t>системно</w:t>
      </w:r>
      <w:r w:rsidR="006C680D" w:rsidRPr="00D337FA">
        <w:t xml:space="preserve"> </w:t>
      </w:r>
      <w:r w:rsidRPr="00D337FA">
        <w:t>значимых</w:t>
      </w:r>
      <w:r w:rsidR="006C680D" w:rsidRPr="00D337FA">
        <w:t xml:space="preserve"> </w:t>
      </w:r>
      <w:r w:rsidRPr="00D337FA">
        <w:t>для</w:t>
      </w:r>
      <w:r w:rsidR="006C680D" w:rsidRPr="00D337FA">
        <w:t xml:space="preserve"> </w:t>
      </w:r>
      <w:r w:rsidRPr="00D337FA">
        <w:t>регионов</w:t>
      </w:r>
      <w:r w:rsidR="006C680D" w:rsidRPr="00D337FA">
        <w:t xml:space="preserve"> </w:t>
      </w:r>
      <w:r w:rsidRPr="00D337FA">
        <w:t>банков.</w:t>
      </w:r>
      <w:r w:rsidR="006C680D" w:rsidRPr="00D337FA">
        <w:t xml:space="preserve"> </w:t>
      </w:r>
      <w:r w:rsidRPr="00D337FA">
        <w:t>Все</w:t>
      </w:r>
      <w:r w:rsidR="006C680D" w:rsidRPr="00D337FA">
        <w:t xml:space="preserve"> </w:t>
      </w:r>
      <w:r w:rsidRPr="00D337FA">
        <w:t>это</w:t>
      </w:r>
      <w:r w:rsidR="006C680D" w:rsidRPr="00D337FA">
        <w:t xml:space="preserve"> </w:t>
      </w:r>
      <w:r w:rsidRPr="00D337FA">
        <w:t>делает</w:t>
      </w:r>
      <w:r w:rsidR="006C680D" w:rsidRPr="00D337FA">
        <w:t xml:space="preserve"> </w:t>
      </w:r>
      <w:r w:rsidRPr="00D337FA">
        <w:t>процедуры</w:t>
      </w:r>
      <w:r w:rsidR="006C680D" w:rsidRPr="00D337FA">
        <w:t xml:space="preserve"> </w:t>
      </w:r>
      <w:r w:rsidRPr="00D337FA">
        <w:t>принятия</w:t>
      </w:r>
      <w:r w:rsidR="006C680D" w:rsidRPr="00D337FA">
        <w:t xml:space="preserve"> </w:t>
      </w:r>
      <w:r w:rsidRPr="00D337FA">
        <w:t>решения</w:t>
      </w:r>
      <w:r w:rsidR="006C680D" w:rsidRPr="00D337FA">
        <w:t xml:space="preserve"> </w:t>
      </w:r>
      <w:r w:rsidRPr="00D337FA">
        <w:t>о</w:t>
      </w:r>
      <w:r w:rsidR="006C680D" w:rsidRPr="00D337FA">
        <w:t xml:space="preserve"> </w:t>
      </w:r>
      <w:r w:rsidRPr="00D337FA">
        <w:t>целесообразности</w:t>
      </w:r>
      <w:r w:rsidR="006C680D" w:rsidRPr="00D337FA">
        <w:t xml:space="preserve"> </w:t>
      </w:r>
      <w:r w:rsidRPr="00D337FA">
        <w:t>санации</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проблемных</w:t>
      </w:r>
      <w:r w:rsidR="006C680D" w:rsidRPr="00D337FA">
        <w:t xml:space="preserve"> </w:t>
      </w:r>
      <w:r w:rsidRPr="00D337FA">
        <w:t>региональных</w:t>
      </w:r>
      <w:r w:rsidR="006C680D" w:rsidRPr="00D337FA">
        <w:t xml:space="preserve"> </w:t>
      </w:r>
      <w:r w:rsidRPr="00D337FA">
        <w:t>банков</w:t>
      </w:r>
      <w:r w:rsidR="006C680D" w:rsidRPr="00D337FA">
        <w:t xml:space="preserve"> </w:t>
      </w:r>
      <w:r w:rsidRPr="00D337FA">
        <w:t>непрозрачными</w:t>
      </w:r>
      <w:r w:rsidR="006C680D" w:rsidRPr="00D337FA">
        <w:t xml:space="preserve"> </w:t>
      </w:r>
      <w:r w:rsidRPr="00D337FA">
        <w:t>и</w:t>
      </w:r>
      <w:r w:rsidR="006C680D" w:rsidRPr="00D337FA">
        <w:t xml:space="preserve"> </w:t>
      </w:r>
      <w:r w:rsidRPr="00D337FA">
        <w:t>подверженными</w:t>
      </w:r>
      <w:r w:rsidR="006C680D" w:rsidRPr="00D337FA">
        <w:t xml:space="preserve"> </w:t>
      </w:r>
      <w:r w:rsidRPr="00D337FA">
        <w:t>воздействию</w:t>
      </w:r>
      <w:r w:rsidR="006C680D" w:rsidRPr="00D337FA">
        <w:t xml:space="preserve"> </w:t>
      </w:r>
      <w:r w:rsidRPr="00D337FA">
        <w:t>различных</w:t>
      </w:r>
      <w:r w:rsidR="006C680D" w:rsidRPr="00D337FA">
        <w:t xml:space="preserve"> </w:t>
      </w:r>
      <w:r w:rsidRPr="00D337FA">
        <w:t>групп</w:t>
      </w:r>
      <w:r w:rsidR="006C680D" w:rsidRPr="00D337FA">
        <w:t xml:space="preserve"> </w:t>
      </w:r>
      <w:r w:rsidRPr="00D337FA">
        <w:t>влияния.</w:t>
      </w:r>
      <w:r w:rsidR="006C680D" w:rsidRPr="00D337FA">
        <w:t xml:space="preserve"> </w:t>
      </w:r>
    </w:p>
    <w:p w:rsidR="004A1229" w:rsidRPr="00D337FA" w:rsidRDefault="004A1229" w:rsidP="004A1229">
      <w:pPr>
        <w:ind w:firstLine="284"/>
      </w:pPr>
      <w:r w:rsidRPr="00D337FA">
        <w:t>Примером</w:t>
      </w:r>
      <w:r w:rsidR="006C680D" w:rsidRPr="00D337FA">
        <w:t xml:space="preserve"> </w:t>
      </w:r>
      <w:r w:rsidRPr="00D337FA">
        <w:t>такой</w:t>
      </w:r>
      <w:r w:rsidR="006C680D" w:rsidRPr="00D337FA">
        <w:t xml:space="preserve"> </w:t>
      </w:r>
      <w:r w:rsidRPr="00D337FA">
        <w:t>ситуации</w:t>
      </w:r>
      <w:r w:rsidR="006C680D" w:rsidRPr="00D337FA">
        <w:t xml:space="preserve"> </w:t>
      </w:r>
      <w:r w:rsidRPr="00D337FA">
        <w:t>может</w:t>
      </w:r>
      <w:r w:rsidR="006C680D" w:rsidRPr="00D337FA">
        <w:t xml:space="preserve"> </w:t>
      </w:r>
      <w:r w:rsidRPr="00D337FA">
        <w:t>служить</w:t>
      </w:r>
      <w:r w:rsidR="006C680D" w:rsidRPr="00D337FA">
        <w:t xml:space="preserve"> </w:t>
      </w:r>
      <w:r w:rsidRPr="00D337FA">
        <w:t>решение</w:t>
      </w:r>
      <w:r w:rsidR="006C680D" w:rsidRPr="00D337FA">
        <w:t xml:space="preserve"> </w:t>
      </w:r>
      <w:r w:rsidRPr="00D337FA">
        <w:t>о</w:t>
      </w:r>
      <w:r w:rsidR="006C680D" w:rsidRPr="00D337FA">
        <w:t xml:space="preserve"> </w:t>
      </w:r>
      <w:r w:rsidRPr="00D337FA">
        <w:t>целесообразности</w:t>
      </w:r>
      <w:r w:rsidR="006C680D" w:rsidRPr="00D337FA">
        <w:t xml:space="preserve"> </w:t>
      </w:r>
      <w:r w:rsidRPr="00D337FA">
        <w:t>санации</w:t>
      </w:r>
      <w:r w:rsidR="006C680D" w:rsidRPr="00D337FA">
        <w:t xml:space="preserve"> </w:t>
      </w:r>
      <w:r w:rsidRPr="00D337FA">
        <w:t>в</w:t>
      </w:r>
      <w:r w:rsidR="006C680D" w:rsidRPr="00D337FA">
        <w:t xml:space="preserve"> </w:t>
      </w:r>
      <w:r w:rsidRPr="00D337FA">
        <w:t>двух</w:t>
      </w:r>
      <w:r w:rsidR="006C680D" w:rsidRPr="00D337FA">
        <w:t xml:space="preserve"> </w:t>
      </w:r>
      <w:r w:rsidRPr="00D337FA">
        <w:t>саратовских</w:t>
      </w:r>
      <w:r w:rsidR="006C680D" w:rsidRPr="00D337FA">
        <w:t xml:space="preserve"> </w:t>
      </w:r>
      <w:r w:rsidRPr="00D337FA">
        <w:t>банках</w:t>
      </w:r>
      <w:r w:rsidR="006C680D" w:rsidRPr="00D337FA">
        <w:t xml:space="preserve"> – </w:t>
      </w:r>
      <w:r w:rsidRPr="00D337FA">
        <w:t>Экономбанке</w:t>
      </w:r>
      <w:r w:rsidR="006C680D" w:rsidRPr="00D337FA">
        <w:t xml:space="preserve"> </w:t>
      </w:r>
      <w:r w:rsidRPr="00D337FA">
        <w:t>и</w:t>
      </w:r>
      <w:r w:rsidR="006C680D" w:rsidRPr="00D337FA">
        <w:t xml:space="preserve"> </w:t>
      </w:r>
      <w:r w:rsidRPr="00D337FA">
        <w:t>НВК-банке.</w:t>
      </w:r>
      <w:r w:rsidR="006C680D" w:rsidRPr="00D337FA">
        <w:t xml:space="preserve"> </w:t>
      </w:r>
      <w:r w:rsidRPr="00D337FA">
        <w:t>На</w:t>
      </w:r>
      <w:r w:rsidR="006C680D" w:rsidRPr="00D337FA">
        <w:t xml:space="preserve"> </w:t>
      </w:r>
      <w:r w:rsidRPr="00D337FA">
        <w:t>момент</w:t>
      </w:r>
      <w:r w:rsidR="006C680D" w:rsidRPr="00D337FA">
        <w:t xml:space="preserve"> </w:t>
      </w:r>
      <w:r w:rsidRPr="00D337FA">
        <w:t>появления</w:t>
      </w:r>
      <w:r w:rsidR="006C680D" w:rsidRPr="00D337FA">
        <w:t xml:space="preserve"> </w:t>
      </w:r>
      <w:r w:rsidRPr="00D337FA">
        <w:t>первых</w:t>
      </w:r>
      <w:r w:rsidR="006C680D" w:rsidRPr="00D337FA">
        <w:t xml:space="preserve"> </w:t>
      </w:r>
      <w:r w:rsidRPr="00D337FA">
        <w:t>признаков</w:t>
      </w:r>
      <w:r w:rsidR="006C680D" w:rsidRPr="00D337FA">
        <w:t xml:space="preserve"> </w:t>
      </w:r>
      <w:r w:rsidRPr="00D337FA">
        <w:t>проблем</w:t>
      </w:r>
      <w:r w:rsidR="006C680D" w:rsidRPr="00D337FA">
        <w:t xml:space="preserve"> </w:t>
      </w:r>
      <w:r w:rsidRPr="00D337FA">
        <w:t>оба</w:t>
      </w:r>
      <w:r w:rsidR="006C680D" w:rsidRPr="00D337FA">
        <w:t xml:space="preserve"> </w:t>
      </w:r>
      <w:r w:rsidRPr="00D337FA">
        <w:t>банка</w:t>
      </w:r>
      <w:r w:rsidR="006C680D" w:rsidRPr="00D337FA">
        <w:t xml:space="preserve"> </w:t>
      </w:r>
      <w:r w:rsidRPr="00D337FA">
        <w:t>относились</w:t>
      </w:r>
      <w:r w:rsidR="006C680D" w:rsidRPr="00D337FA">
        <w:t xml:space="preserve"> </w:t>
      </w:r>
      <w:r w:rsidRPr="00D337FA">
        <w:t>к</w:t>
      </w:r>
      <w:r w:rsidR="006C680D" w:rsidRPr="00D337FA">
        <w:t xml:space="preserve"> </w:t>
      </w:r>
      <w:r w:rsidRPr="00D337FA">
        <w:t>числу</w:t>
      </w:r>
      <w:r w:rsidR="006C680D" w:rsidRPr="00D337FA">
        <w:t xml:space="preserve"> </w:t>
      </w:r>
      <w:r w:rsidRPr="00D337FA">
        <w:t>крупнейших</w:t>
      </w:r>
      <w:r w:rsidR="006C680D" w:rsidRPr="00D337FA">
        <w:t xml:space="preserve"> </w:t>
      </w:r>
      <w:r w:rsidRPr="00D337FA">
        <w:t>кредитных</w:t>
      </w:r>
      <w:r w:rsidR="006C680D" w:rsidRPr="00D337FA">
        <w:t xml:space="preserve"> </w:t>
      </w:r>
      <w:r w:rsidRPr="00D337FA">
        <w:t>организаций</w:t>
      </w:r>
      <w:r w:rsidR="006C680D" w:rsidRPr="00D337FA">
        <w:t xml:space="preserve"> </w:t>
      </w:r>
      <w:r w:rsidRPr="00D337FA">
        <w:t>региона,</w:t>
      </w:r>
      <w:r w:rsidR="006C680D" w:rsidRPr="00D337FA">
        <w:t xml:space="preserve"> </w:t>
      </w:r>
      <w:r w:rsidRPr="00D337FA">
        <w:t>имели</w:t>
      </w:r>
      <w:r w:rsidR="006C680D" w:rsidRPr="00D337FA">
        <w:t xml:space="preserve"> </w:t>
      </w:r>
      <w:r w:rsidRPr="00D337FA">
        <w:t>узнаваемые</w:t>
      </w:r>
      <w:r w:rsidR="006C680D" w:rsidRPr="00D337FA">
        <w:t xml:space="preserve"> </w:t>
      </w:r>
      <w:r w:rsidRPr="00D337FA">
        <w:t>бренды</w:t>
      </w:r>
      <w:r w:rsidR="006C680D" w:rsidRPr="00D337FA">
        <w:t xml:space="preserve"> </w:t>
      </w:r>
      <w:r w:rsidRPr="00D337FA">
        <w:t>и</w:t>
      </w:r>
      <w:r w:rsidR="006C680D" w:rsidRPr="00D337FA">
        <w:t xml:space="preserve"> </w:t>
      </w:r>
      <w:r w:rsidRPr="00D337FA">
        <w:t>работали</w:t>
      </w:r>
      <w:r w:rsidR="006C680D" w:rsidRPr="00D337FA">
        <w:t xml:space="preserve"> </w:t>
      </w:r>
      <w:r w:rsidRPr="00D337FA">
        <w:t>на</w:t>
      </w:r>
      <w:r w:rsidR="006C680D" w:rsidRPr="00D337FA">
        <w:t xml:space="preserve"> </w:t>
      </w:r>
      <w:r w:rsidRPr="00D337FA">
        <w:t>рынке</w:t>
      </w:r>
      <w:r w:rsidR="006C680D" w:rsidRPr="00D337FA">
        <w:t xml:space="preserve"> </w:t>
      </w:r>
      <w:r w:rsidRPr="00D337FA">
        <w:t>более</w:t>
      </w:r>
      <w:r w:rsidR="006C680D" w:rsidRPr="00D337FA">
        <w:t xml:space="preserve"> </w:t>
      </w:r>
      <w:r w:rsidRPr="00D337FA">
        <w:t>25</w:t>
      </w:r>
      <w:r w:rsidR="006C680D" w:rsidRPr="00D337FA">
        <w:t xml:space="preserve"> </w:t>
      </w:r>
      <w:r w:rsidRPr="00D337FA">
        <w:t>лет.</w:t>
      </w:r>
      <w:r w:rsidR="006C680D" w:rsidRPr="00D337FA">
        <w:t xml:space="preserve"> </w:t>
      </w:r>
      <w:r w:rsidRPr="00D337FA">
        <w:t>Финансовые</w:t>
      </w:r>
      <w:r w:rsidR="006C680D" w:rsidRPr="00D337FA">
        <w:t xml:space="preserve"> </w:t>
      </w:r>
      <w:r w:rsidRPr="00D337FA">
        <w:t>показатели</w:t>
      </w:r>
      <w:r w:rsidR="006C680D" w:rsidRPr="00D337FA">
        <w:t xml:space="preserve"> </w:t>
      </w:r>
      <w:r w:rsidRPr="00D337FA">
        <w:t>банков</w:t>
      </w:r>
      <w:r w:rsidR="006C680D" w:rsidRPr="00D337FA">
        <w:t xml:space="preserve"> </w:t>
      </w:r>
      <w:r w:rsidRPr="00D337FA">
        <w:t>были</w:t>
      </w:r>
      <w:r w:rsidR="006C680D" w:rsidRPr="00D337FA">
        <w:t xml:space="preserve"> </w:t>
      </w:r>
      <w:r w:rsidRPr="00D337FA">
        <w:t>вполне</w:t>
      </w:r>
      <w:r w:rsidR="006C680D" w:rsidRPr="00D337FA">
        <w:t xml:space="preserve"> </w:t>
      </w:r>
      <w:r w:rsidRPr="00D337FA">
        <w:t>сопоставимы</w:t>
      </w:r>
      <w:r w:rsidR="006C680D" w:rsidRPr="00D337FA">
        <w:t xml:space="preserve"> </w:t>
      </w:r>
      <w:r w:rsidRPr="00D337FA">
        <w:t>и</w:t>
      </w:r>
      <w:r w:rsidR="006C680D" w:rsidRPr="00D337FA">
        <w:t xml:space="preserve"> </w:t>
      </w:r>
      <w:r w:rsidRPr="00D337FA">
        <w:t>практически</w:t>
      </w:r>
      <w:r w:rsidR="006C680D" w:rsidRPr="00D337FA">
        <w:t xml:space="preserve"> </w:t>
      </w:r>
      <w:r w:rsidRPr="00D337FA">
        <w:t>не</w:t>
      </w:r>
      <w:r w:rsidR="006C680D" w:rsidRPr="00D337FA">
        <w:t xml:space="preserve"> </w:t>
      </w:r>
      <w:r w:rsidRPr="00D337FA">
        <w:t>отличались</w:t>
      </w:r>
      <w:r w:rsidR="006C680D" w:rsidRPr="00D337FA">
        <w:t xml:space="preserve"> </w:t>
      </w:r>
      <w:r w:rsidRPr="00D337FA">
        <w:t>как</w:t>
      </w:r>
      <w:r w:rsidR="006C680D" w:rsidRPr="00D337FA">
        <w:t xml:space="preserve"> </w:t>
      </w:r>
      <w:r w:rsidRPr="00D337FA">
        <w:t>по</w:t>
      </w:r>
      <w:r w:rsidR="006C680D" w:rsidRPr="00D337FA">
        <w:t xml:space="preserve"> </w:t>
      </w:r>
      <w:r w:rsidRPr="00D337FA">
        <w:t>величине</w:t>
      </w:r>
      <w:r w:rsidR="006C680D" w:rsidRPr="00D337FA">
        <w:t xml:space="preserve"> </w:t>
      </w:r>
      <w:r w:rsidRPr="00D337FA">
        <w:t>собственного</w:t>
      </w:r>
      <w:r w:rsidR="006C680D" w:rsidRPr="00D337FA">
        <w:t xml:space="preserve"> </w:t>
      </w:r>
      <w:r w:rsidRPr="00D337FA">
        <w:t>капитала,</w:t>
      </w:r>
      <w:r w:rsidR="006C680D" w:rsidRPr="00D337FA">
        <w:t xml:space="preserve"> </w:t>
      </w:r>
      <w:r w:rsidRPr="00D337FA">
        <w:t>так</w:t>
      </w:r>
      <w:r w:rsidR="006C680D" w:rsidRPr="00D337FA">
        <w:t xml:space="preserve"> </w:t>
      </w:r>
      <w:r w:rsidRPr="00D337FA">
        <w:t>и</w:t>
      </w:r>
      <w:r w:rsidR="006C680D" w:rsidRPr="00D337FA">
        <w:t xml:space="preserve"> </w:t>
      </w:r>
      <w:r w:rsidRPr="00D337FA">
        <w:t>по</w:t>
      </w:r>
      <w:r w:rsidR="006C680D" w:rsidRPr="00D337FA">
        <w:t xml:space="preserve"> </w:t>
      </w:r>
      <w:r w:rsidRPr="00D337FA">
        <w:t>объему</w:t>
      </w:r>
      <w:r w:rsidR="006C680D" w:rsidRPr="00D337FA">
        <w:t xml:space="preserve"> </w:t>
      </w:r>
      <w:r w:rsidRPr="00D337FA">
        <w:t>кредитного</w:t>
      </w:r>
      <w:r w:rsidR="006C680D" w:rsidRPr="00D337FA">
        <w:t xml:space="preserve"> </w:t>
      </w:r>
      <w:r w:rsidRPr="00D337FA">
        <w:lastRenderedPageBreak/>
        <w:t>портфеля</w:t>
      </w:r>
      <w:r w:rsidR="006C680D" w:rsidRPr="00D337FA">
        <w:t xml:space="preserve"> </w:t>
      </w:r>
      <w:r w:rsidRPr="00D337FA">
        <w:t>и</w:t>
      </w:r>
      <w:r w:rsidR="006C680D" w:rsidRPr="00D337FA">
        <w:t xml:space="preserve"> </w:t>
      </w:r>
      <w:r w:rsidRPr="00D337FA">
        <w:t>привлеченных</w:t>
      </w:r>
      <w:r w:rsidR="006C680D" w:rsidRPr="00D337FA">
        <w:t xml:space="preserve"> </w:t>
      </w:r>
      <w:r w:rsidRPr="00D337FA">
        <w:t>вкладов</w:t>
      </w:r>
      <w:r w:rsidR="006C680D" w:rsidRPr="00D337FA">
        <w:t xml:space="preserve"> </w:t>
      </w:r>
      <w:r w:rsidRPr="00D337FA">
        <w:t>населения.</w:t>
      </w:r>
      <w:r w:rsidR="006C680D" w:rsidRPr="00D337FA">
        <w:t xml:space="preserve"> </w:t>
      </w:r>
      <w:r w:rsidRPr="00D337FA">
        <w:t>Можно</w:t>
      </w:r>
      <w:r w:rsidR="006C680D" w:rsidRPr="00D337FA">
        <w:t xml:space="preserve"> </w:t>
      </w:r>
      <w:r w:rsidRPr="00D337FA">
        <w:t>предположить,</w:t>
      </w:r>
      <w:r w:rsidR="006C680D" w:rsidRPr="00D337FA">
        <w:t xml:space="preserve"> </w:t>
      </w:r>
      <w:r w:rsidRPr="00D337FA">
        <w:t>что</w:t>
      </w:r>
      <w:r w:rsidR="006C680D" w:rsidRPr="00D337FA">
        <w:t xml:space="preserve"> </w:t>
      </w:r>
      <w:r w:rsidRPr="00D337FA">
        <w:t>и</w:t>
      </w:r>
      <w:r w:rsidR="006C680D" w:rsidRPr="00D337FA">
        <w:t xml:space="preserve"> </w:t>
      </w:r>
      <w:r w:rsidRPr="00D337FA">
        <w:t>масштаб</w:t>
      </w:r>
      <w:r w:rsidR="006C680D" w:rsidRPr="00D337FA">
        <w:t xml:space="preserve"> </w:t>
      </w:r>
      <w:r w:rsidRPr="00D337FA">
        <w:t>проблем</w:t>
      </w:r>
      <w:r w:rsidR="006C680D" w:rsidRPr="00D337FA">
        <w:t xml:space="preserve"> </w:t>
      </w:r>
      <w:r w:rsidRPr="00D337FA">
        <w:t>у</w:t>
      </w:r>
      <w:r w:rsidR="006C680D" w:rsidRPr="00D337FA">
        <w:t xml:space="preserve"> </w:t>
      </w:r>
      <w:r w:rsidRPr="00D337FA">
        <w:t>банков</w:t>
      </w:r>
      <w:r w:rsidR="006C680D" w:rsidRPr="00D337FA">
        <w:t xml:space="preserve"> </w:t>
      </w:r>
      <w:r w:rsidRPr="00D337FA">
        <w:t>был</w:t>
      </w:r>
      <w:r w:rsidR="006C680D" w:rsidRPr="00D337FA">
        <w:t xml:space="preserve"> </w:t>
      </w:r>
      <w:r w:rsidRPr="00D337FA">
        <w:t>примерно</w:t>
      </w:r>
      <w:r w:rsidR="006C680D" w:rsidRPr="00D337FA">
        <w:t xml:space="preserve"> </w:t>
      </w:r>
      <w:r w:rsidRPr="00D337FA">
        <w:t>одинаков,</w:t>
      </w:r>
      <w:r w:rsidR="006C680D" w:rsidRPr="00D337FA">
        <w:t xml:space="preserve"> </w:t>
      </w:r>
      <w:r w:rsidRPr="00D337FA">
        <w:t>но</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Экономбанка</w:t>
      </w:r>
      <w:r w:rsidR="006C680D" w:rsidRPr="00D337FA">
        <w:t xml:space="preserve"> </w:t>
      </w:r>
      <w:r w:rsidRPr="00D337FA">
        <w:t>процедуры</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были</w:t>
      </w:r>
      <w:r w:rsidR="006C680D" w:rsidRPr="00D337FA">
        <w:t xml:space="preserve"> </w:t>
      </w:r>
      <w:r w:rsidRPr="00D337FA">
        <w:t>введены</w:t>
      </w:r>
      <w:r w:rsidR="006C680D" w:rsidRPr="00D337FA">
        <w:t xml:space="preserve"> </w:t>
      </w:r>
      <w:r w:rsidRPr="00D337FA">
        <w:t>в</w:t>
      </w:r>
      <w:r w:rsidR="006C680D" w:rsidRPr="00D337FA">
        <w:t xml:space="preserve"> </w:t>
      </w:r>
      <w:r w:rsidRPr="00D337FA">
        <w:t>декабре</w:t>
      </w:r>
      <w:r w:rsidR="006C680D" w:rsidRPr="00D337FA">
        <w:t xml:space="preserve"> </w:t>
      </w:r>
      <w:r w:rsidRPr="00D337FA">
        <w:t>2015</w:t>
      </w:r>
      <w:r w:rsidR="006C680D" w:rsidRPr="00D337FA">
        <w:t xml:space="preserve"> </w:t>
      </w:r>
      <w:r w:rsidRPr="00D337FA">
        <w:t>года,</w:t>
      </w:r>
      <w:r w:rsidR="006C680D" w:rsidRPr="00D337FA">
        <w:t xml:space="preserve"> </w:t>
      </w:r>
      <w:r w:rsidRPr="00D337FA">
        <w:t>а</w:t>
      </w:r>
      <w:r w:rsidR="006C680D" w:rsidRPr="00D337FA">
        <w:t xml:space="preserve"> </w:t>
      </w:r>
      <w:r w:rsidRPr="00D337FA">
        <w:t>у</w:t>
      </w:r>
      <w:r w:rsidR="006C680D" w:rsidRPr="00D337FA">
        <w:t xml:space="preserve"> </w:t>
      </w:r>
      <w:r w:rsidRPr="00D337FA">
        <w:t>НВК-банка</w:t>
      </w:r>
      <w:r w:rsidR="006C680D" w:rsidRPr="00D337FA">
        <w:t xml:space="preserve"> </w:t>
      </w:r>
      <w:r w:rsidRPr="00D337FA">
        <w:t>была</w:t>
      </w:r>
      <w:r w:rsidR="006C680D" w:rsidRPr="00D337FA">
        <w:t xml:space="preserve"> </w:t>
      </w:r>
      <w:r w:rsidRPr="00D337FA">
        <w:t>отозвана</w:t>
      </w:r>
      <w:r w:rsidR="006C680D" w:rsidRPr="00D337FA">
        <w:t xml:space="preserve"> </w:t>
      </w:r>
      <w:r w:rsidRPr="00D337FA">
        <w:t>лицензия</w:t>
      </w:r>
      <w:r w:rsidR="006C680D" w:rsidRPr="00D337FA">
        <w:t xml:space="preserve"> </w:t>
      </w:r>
      <w:r w:rsidRPr="00D337FA">
        <w:t>в</w:t>
      </w:r>
      <w:r w:rsidR="006C680D" w:rsidRPr="00D337FA">
        <w:t xml:space="preserve"> </w:t>
      </w:r>
      <w:r w:rsidRPr="00D337FA">
        <w:t>январе</w:t>
      </w:r>
      <w:r w:rsidR="006C680D" w:rsidRPr="00D337FA">
        <w:t xml:space="preserve"> </w:t>
      </w:r>
      <w:r w:rsidRPr="00D337FA">
        <w:t>2020</w:t>
      </w:r>
      <w:r w:rsidR="006C680D" w:rsidRPr="00D337FA">
        <w:t xml:space="preserve"> </w:t>
      </w:r>
      <w:r w:rsidRPr="00D337FA">
        <w:t>года.</w:t>
      </w:r>
      <w:r w:rsidR="006C680D" w:rsidRPr="00D337FA">
        <w:t xml:space="preserve">  </w:t>
      </w:r>
    </w:p>
    <w:p w:rsidR="004A1229" w:rsidRPr="00D337FA" w:rsidRDefault="004A1229" w:rsidP="004A1229">
      <w:pPr>
        <w:ind w:firstLine="284"/>
      </w:pPr>
      <w:r w:rsidRPr="00D337FA">
        <w:t>В</w:t>
      </w:r>
      <w:r w:rsidR="006C680D" w:rsidRPr="00D337FA">
        <w:t xml:space="preserve"> </w:t>
      </w:r>
      <w:r w:rsidRPr="00D337FA">
        <w:t>качестве</w:t>
      </w:r>
      <w:r w:rsidR="006C680D" w:rsidRPr="00D337FA">
        <w:t xml:space="preserve"> </w:t>
      </w:r>
      <w:r w:rsidRPr="00D337FA">
        <w:t>варианта</w:t>
      </w:r>
      <w:r w:rsidR="006C680D" w:rsidRPr="00D337FA">
        <w:t xml:space="preserve"> </w:t>
      </w:r>
      <w:r w:rsidRPr="00D337FA">
        <w:t>решения</w:t>
      </w:r>
      <w:r w:rsidR="006C680D" w:rsidRPr="00D337FA">
        <w:t xml:space="preserve"> </w:t>
      </w:r>
      <w:r w:rsidRPr="00D337FA">
        <w:t>проблемы</w:t>
      </w:r>
      <w:r w:rsidR="006C680D" w:rsidRPr="00D337FA">
        <w:t xml:space="preserve"> </w:t>
      </w:r>
      <w:r w:rsidRPr="00D337FA">
        <w:t>определения</w:t>
      </w:r>
      <w:r w:rsidR="006C680D" w:rsidRPr="00D337FA">
        <w:t xml:space="preserve"> </w:t>
      </w:r>
      <w:r w:rsidRPr="00D337FA">
        <w:t>системной</w:t>
      </w:r>
      <w:r w:rsidR="006C680D" w:rsidRPr="00D337FA">
        <w:t xml:space="preserve"> </w:t>
      </w:r>
      <w:r w:rsidRPr="00D337FA">
        <w:t>значимости</w:t>
      </w:r>
      <w:r w:rsidR="006C680D" w:rsidRPr="00D337FA">
        <w:t xml:space="preserve"> </w:t>
      </w:r>
      <w:r w:rsidRPr="00D337FA">
        <w:t>банков</w:t>
      </w:r>
      <w:r w:rsidR="006C680D" w:rsidRPr="00D337FA">
        <w:t xml:space="preserve"> </w:t>
      </w:r>
      <w:r w:rsidRPr="00D337FA">
        <w:t>на</w:t>
      </w:r>
      <w:r w:rsidR="006C680D" w:rsidRPr="00D337FA">
        <w:t xml:space="preserve"> </w:t>
      </w:r>
      <w:r w:rsidRPr="00D337FA">
        <w:t>региональном</w:t>
      </w:r>
      <w:r w:rsidR="006C680D" w:rsidRPr="00D337FA">
        <w:t xml:space="preserve"> </w:t>
      </w:r>
      <w:r w:rsidRPr="00D337FA">
        <w:t>уровне</w:t>
      </w:r>
      <w:r w:rsidR="006C680D" w:rsidRPr="00D337FA">
        <w:t xml:space="preserve"> </w:t>
      </w:r>
      <w:r w:rsidRPr="00D337FA">
        <w:t>может</w:t>
      </w:r>
      <w:r w:rsidR="006C680D" w:rsidRPr="00D337FA">
        <w:t xml:space="preserve"> </w:t>
      </w:r>
      <w:r w:rsidRPr="00D337FA">
        <w:t>быть</w:t>
      </w:r>
      <w:r w:rsidR="006C680D" w:rsidRPr="00D337FA">
        <w:t xml:space="preserve"> </w:t>
      </w:r>
      <w:r w:rsidRPr="00D337FA">
        <w:t>использована</w:t>
      </w:r>
      <w:r w:rsidR="006C680D" w:rsidRPr="00D337FA">
        <w:t xml:space="preserve"> </w:t>
      </w:r>
      <w:r w:rsidRPr="00D337FA">
        <w:t>методика,</w:t>
      </w:r>
      <w:r w:rsidR="006C680D" w:rsidRPr="00D337FA">
        <w:t xml:space="preserve"> </w:t>
      </w:r>
      <w:r w:rsidRPr="00D337FA">
        <w:t>предложенная</w:t>
      </w:r>
      <w:r w:rsidR="006C680D" w:rsidRPr="00D337FA">
        <w:t xml:space="preserve"> </w:t>
      </w:r>
      <w:r w:rsidRPr="00D337FA">
        <w:t>О.А.</w:t>
      </w:r>
      <w:r w:rsidR="006C680D" w:rsidRPr="00D337FA">
        <w:t xml:space="preserve"> </w:t>
      </w:r>
      <w:r w:rsidRPr="00D337FA">
        <w:t>Антонюк</w:t>
      </w:r>
      <w:r w:rsidR="006C680D" w:rsidRPr="00D337FA">
        <w:t xml:space="preserve"> </w:t>
      </w:r>
      <w:r w:rsidRPr="00D337FA">
        <w:t>и</w:t>
      </w:r>
      <w:r w:rsidR="006C680D" w:rsidRPr="00D337FA">
        <w:t xml:space="preserve"> </w:t>
      </w:r>
      <w:r w:rsidRPr="00D337FA">
        <w:t>модифицированная</w:t>
      </w:r>
      <w:r w:rsidR="006C680D" w:rsidRPr="00D337FA">
        <w:t xml:space="preserve"> </w:t>
      </w:r>
      <w:r w:rsidRPr="00D337FA">
        <w:t>Г.Л.</w:t>
      </w:r>
      <w:r w:rsidR="006C680D" w:rsidRPr="00D337FA">
        <w:t xml:space="preserve"> </w:t>
      </w:r>
      <w:r w:rsidRPr="00D337FA">
        <w:t>Авагяном,</w:t>
      </w:r>
      <w:r w:rsidR="006C680D" w:rsidRPr="00D337FA">
        <w:t xml:space="preserve"> </w:t>
      </w:r>
      <w:r w:rsidRPr="00D337FA">
        <w:t>предполагающая</w:t>
      </w:r>
      <w:r w:rsidR="006C680D" w:rsidRPr="00D337FA">
        <w:t xml:space="preserve"> </w:t>
      </w:r>
      <w:r w:rsidRPr="00D337FA">
        <w:t>расчет</w:t>
      </w:r>
      <w:r w:rsidR="006C680D" w:rsidRPr="00D337FA">
        <w:t xml:space="preserve"> </w:t>
      </w:r>
      <w:r w:rsidRPr="00D337FA">
        <w:t>коэффициента</w:t>
      </w:r>
      <w:r w:rsidR="006C680D" w:rsidRPr="00D337FA">
        <w:t xml:space="preserve"> </w:t>
      </w:r>
      <w:r w:rsidRPr="00D337FA">
        <w:t>системной</w:t>
      </w:r>
      <w:r w:rsidR="006C680D" w:rsidRPr="00D337FA">
        <w:t xml:space="preserve"> </w:t>
      </w:r>
      <w:r w:rsidRPr="00D337FA">
        <w:t>значимости</w:t>
      </w:r>
      <w:r w:rsidR="006C680D" w:rsidRPr="00D337FA">
        <w:t xml:space="preserve"> </w:t>
      </w:r>
      <w:r w:rsidRPr="00D337FA">
        <w:t>региональных</w:t>
      </w:r>
      <w:r w:rsidR="006C680D" w:rsidRPr="00D337FA">
        <w:t xml:space="preserve"> </w:t>
      </w:r>
      <w:r w:rsidRPr="00D337FA">
        <w:t>банков</w:t>
      </w:r>
      <w:r w:rsidR="006C680D" w:rsidRPr="00D337FA">
        <w:t xml:space="preserve"> </w:t>
      </w:r>
      <w:r w:rsidRPr="00D337FA">
        <w:t>с</w:t>
      </w:r>
      <w:r w:rsidR="006C680D" w:rsidRPr="00D337FA">
        <w:t xml:space="preserve"> </w:t>
      </w:r>
      <w:r w:rsidRPr="00D337FA">
        <w:t>использованием</w:t>
      </w:r>
      <w:r w:rsidR="006C680D" w:rsidRPr="00D337FA">
        <w:t xml:space="preserve"> </w:t>
      </w:r>
      <w:r w:rsidRPr="00D337FA">
        <w:t>формулы</w:t>
      </w:r>
      <w:r w:rsidR="006C680D" w:rsidRPr="00D337FA">
        <w:t xml:space="preserve"> </w:t>
      </w:r>
      <w:r w:rsidRPr="00D337FA">
        <w:t>Стерджесса</w:t>
      </w:r>
      <w:r w:rsidR="006C680D" w:rsidRPr="00D337FA">
        <w:t xml:space="preserve"> </w:t>
      </w:r>
      <w:r w:rsidRPr="00D337FA">
        <w:t>[22].</w:t>
      </w:r>
    </w:p>
    <w:p w:rsidR="004A1229" w:rsidRPr="00D337FA" w:rsidRDefault="006C680D" w:rsidP="004A1229">
      <w:pPr>
        <w:ind w:firstLine="284"/>
      </w:pPr>
      <w:r w:rsidRPr="00D337FA">
        <w:t xml:space="preserve">  </w:t>
      </w:r>
      <w:r w:rsidR="004A1229" w:rsidRPr="00D337FA">
        <w:t>2.</w:t>
      </w:r>
      <w:r w:rsidRPr="00D337FA">
        <w:t xml:space="preserve"> </w:t>
      </w:r>
      <w:r w:rsidR="004A1229" w:rsidRPr="00D337FA">
        <w:t>Деятельность</w:t>
      </w:r>
      <w:r w:rsidRPr="00D337FA">
        <w:t xml:space="preserve"> </w:t>
      </w:r>
      <w:r w:rsidR="004A1229" w:rsidRPr="00D337FA">
        <w:t>Агентства</w:t>
      </w:r>
      <w:r w:rsidRPr="00D337FA">
        <w:t xml:space="preserve"> </w:t>
      </w:r>
      <w:r w:rsidR="004A1229" w:rsidRPr="00D337FA">
        <w:t>по</w:t>
      </w:r>
      <w:r w:rsidRPr="00D337FA">
        <w:t xml:space="preserve"> </w:t>
      </w:r>
      <w:r w:rsidR="004A1229" w:rsidRPr="00D337FA">
        <w:t>страхованию</w:t>
      </w:r>
      <w:r w:rsidRPr="00D337FA">
        <w:t xml:space="preserve"> </w:t>
      </w:r>
      <w:r w:rsidR="004A1229" w:rsidRPr="00D337FA">
        <w:t>вкладом</w:t>
      </w:r>
      <w:r w:rsidRPr="00D337FA">
        <w:t xml:space="preserve"> </w:t>
      </w:r>
      <w:r w:rsidR="004A1229" w:rsidRPr="00D337FA">
        <w:t>в</w:t>
      </w:r>
      <w:r w:rsidRPr="00D337FA">
        <w:t xml:space="preserve"> </w:t>
      </w:r>
      <w:r w:rsidR="004A1229" w:rsidRPr="00D337FA">
        <w:t>части</w:t>
      </w:r>
      <w:r w:rsidRPr="00D337FA">
        <w:t xml:space="preserve"> </w:t>
      </w:r>
      <w:r w:rsidR="004A1229" w:rsidRPr="00D337FA">
        <w:t>реализации</w:t>
      </w:r>
      <w:r w:rsidRPr="00D337FA">
        <w:t xml:space="preserve"> </w:t>
      </w:r>
      <w:r w:rsidR="004A1229" w:rsidRPr="00D337FA">
        <w:t>им</w:t>
      </w:r>
      <w:r w:rsidRPr="00D337FA">
        <w:t xml:space="preserve"> </w:t>
      </w:r>
      <w:r w:rsidR="004A1229" w:rsidRPr="00D337FA">
        <w:t>функций</w:t>
      </w:r>
      <w:r w:rsidRPr="00D337FA">
        <w:t xml:space="preserve"> </w:t>
      </w:r>
      <w:r w:rsidR="004A1229" w:rsidRPr="00D337FA">
        <w:t>по</w:t>
      </w:r>
      <w:r w:rsidRPr="00D337FA">
        <w:t xml:space="preserve"> </w:t>
      </w:r>
      <w:r w:rsidR="004A1229" w:rsidRPr="00D337FA">
        <w:t>санации</w:t>
      </w:r>
      <w:r w:rsidRPr="00D337FA">
        <w:t xml:space="preserve"> </w:t>
      </w:r>
      <w:r w:rsidR="004A1229" w:rsidRPr="00D337FA">
        <w:t>банков</w:t>
      </w:r>
      <w:r w:rsidRPr="00D337FA">
        <w:t xml:space="preserve"> </w:t>
      </w:r>
      <w:r w:rsidR="004A1229" w:rsidRPr="00D337FA">
        <w:t>не</w:t>
      </w:r>
      <w:r w:rsidRPr="00D337FA">
        <w:t xml:space="preserve"> </w:t>
      </w:r>
      <w:r w:rsidR="004A1229" w:rsidRPr="00D337FA">
        <w:t>подвергается</w:t>
      </w:r>
      <w:r w:rsidRPr="00D337FA">
        <w:t xml:space="preserve"> </w:t>
      </w:r>
      <w:r w:rsidR="004A1229" w:rsidRPr="00D337FA">
        <w:t>анализу</w:t>
      </w:r>
      <w:r w:rsidRPr="00D337FA">
        <w:t xml:space="preserve"> </w:t>
      </w:r>
      <w:r w:rsidR="004A1229" w:rsidRPr="00D337FA">
        <w:t>на</w:t>
      </w:r>
      <w:r w:rsidRPr="00D337FA">
        <w:t xml:space="preserve"> </w:t>
      </w:r>
      <w:r w:rsidR="004A1229" w:rsidRPr="00D337FA">
        <w:t>предмет</w:t>
      </w:r>
      <w:r w:rsidRPr="00D337FA">
        <w:t xml:space="preserve"> </w:t>
      </w:r>
      <w:r w:rsidR="004A1229" w:rsidRPr="00D337FA">
        <w:t>оценки</w:t>
      </w:r>
      <w:r w:rsidRPr="00D337FA">
        <w:t xml:space="preserve"> </w:t>
      </w:r>
      <w:r w:rsidR="004A1229" w:rsidRPr="00D337FA">
        <w:t>эффективности,</w:t>
      </w:r>
      <w:r w:rsidRPr="00D337FA">
        <w:t xml:space="preserve"> </w:t>
      </w:r>
      <w:r w:rsidR="004A1229" w:rsidRPr="00D337FA">
        <w:t>за</w:t>
      </w:r>
      <w:r w:rsidRPr="00D337FA">
        <w:t xml:space="preserve"> </w:t>
      </w:r>
      <w:r w:rsidR="004A1229" w:rsidRPr="00D337FA">
        <w:t>исключением</w:t>
      </w:r>
      <w:r w:rsidRPr="00D337FA">
        <w:t xml:space="preserve"> </w:t>
      </w:r>
      <w:r w:rsidR="004A1229" w:rsidRPr="00D337FA">
        <w:t>единственного</w:t>
      </w:r>
      <w:r w:rsidRPr="00D337FA">
        <w:t xml:space="preserve"> </w:t>
      </w:r>
      <w:r w:rsidR="004A1229" w:rsidRPr="00D337FA">
        <w:t>аспекта</w:t>
      </w:r>
      <w:r w:rsidRPr="00D337FA">
        <w:t xml:space="preserve"> – </w:t>
      </w:r>
      <w:r w:rsidR="004A1229" w:rsidRPr="00D337FA">
        <w:t>доли</w:t>
      </w:r>
      <w:r w:rsidRPr="00D337FA">
        <w:t xml:space="preserve"> </w:t>
      </w:r>
      <w:r w:rsidR="004A1229" w:rsidRPr="00D337FA">
        <w:t>реагирований</w:t>
      </w:r>
      <w:r w:rsidRPr="00D337FA">
        <w:t xml:space="preserve"> </w:t>
      </w:r>
      <w:r w:rsidR="004A1229" w:rsidRPr="00D337FA">
        <w:t>Агентства</w:t>
      </w:r>
      <w:r w:rsidRPr="00D337FA">
        <w:t xml:space="preserve"> </w:t>
      </w:r>
      <w:r w:rsidR="004A1229" w:rsidRPr="00D337FA">
        <w:t>на</w:t>
      </w:r>
      <w:r w:rsidRPr="00D337FA">
        <w:t xml:space="preserve"> </w:t>
      </w:r>
      <w:r w:rsidR="004A1229" w:rsidRPr="00D337FA">
        <w:t>выявленные</w:t>
      </w:r>
      <w:r w:rsidRPr="00D337FA">
        <w:t xml:space="preserve"> </w:t>
      </w:r>
      <w:r w:rsidR="004A1229" w:rsidRPr="00D337FA">
        <w:t>негативные</w:t>
      </w:r>
      <w:r w:rsidRPr="00D337FA">
        <w:t xml:space="preserve"> </w:t>
      </w:r>
      <w:r w:rsidR="004A1229" w:rsidRPr="00D337FA">
        <w:t>тенденции</w:t>
      </w:r>
      <w:r w:rsidRPr="00D337FA">
        <w:t xml:space="preserve"> </w:t>
      </w:r>
      <w:r w:rsidR="004A1229" w:rsidRPr="00D337FA">
        <w:t>в</w:t>
      </w:r>
      <w:r w:rsidRPr="00D337FA">
        <w:t xml:space="preserve"> </w:t>
      </w:r>
      <w:r w:rsidR="004A1229" w:rsidRPr="00D337FA">
        <w:t>деятельности</w:t>
      </w:r>
      <w:r w:rsidRPr="00D337FA">
        <w:t xml:space="preserve"> </w:t>
      </w:r>
      <w:r w:rsidR="004A1229" w:rsidRPr="00D337FA">
        <w:t>санируемого</w:t>
      </w:r>
      <w:r w:rsidRPr="00D337FA">
        <w:t xml:space="preserve"> </w:t>
      </w:r>
      <w:r w:rsidR="004A1229" w:rsidRPr="00D337FA">
        <w:t>банка,</w:t>
      </w:r>
      <w:r w:rsidRPr="00D337FA">
        <w:t xml:space="preserve"> </w:t>
      </w:r>
      <w:r w:rsidR="004A1229" w:rsidRPr="00D337FA">
        <w:t>которые</w:t>
      </w:r>
      <w:r w:rsidRPr="00D337FA">
        <w:t xml:space="preserve"> </w:t>
      </w:r>
      <w:r w:rsidR="004A1229" w:rsidRPr="00D337FA">
        <w:t>само</w:t>
      </w:r>
      <w:r w:rsidRPr="00D337FA">
        <w:t xml:space="preserve"> </w:t>
      </w:r>
      <w:r w:rsidR="004A1229" w:rsidRPr="00D337FA">
        <w:t>Агентство</w:t>
      </w:r>
      <w:r w:rsidRPr="00D337FA">
        <w:t xml:space="preserve"> </w:t>
      </w:r>
      <w:r w:rsidR="004A1229" w:rsidRPr="00D337FA">
        <w:t>и</w:t>
      </w:r>
      <w:r w:rsidRPr="00D337FA">
        <w:t xml:space="preserve"> </w:t>
      </w:r>
      <w:r w:rsidR="004A1229" w:rsidRPr="00D337FA">
        <w:t>выявляет.</w:t>
      </w:r>
    </w:p>
    <w:p w:rsidR="004A1229" w:rsidRPr="00D337FA" w:rsidRDefault="004A1229" w:rsidP="004A1229">
      <w:pPr>
        <w:ind w:firstLine="284"/>
      </w:pPr>
      <w:r w:rsidRPr="00D337FA">
        <w:t>Годовые</w:t>
      </w:r>
      <w:r w:rsidR="006C680D" w:rsidRPr="00D337FA">
        <w:t xml:space="preserve"> </w:t>
      </w:r>
      <w:r w:rsidRPr="00D337FA">
        <w:t>отчеты</w:t>
      </w:r>
      <w:r w:rsidR="006C680D" w:rsidRPr="00D337FA">
        <w:t xml:space="preserve"> </w:t>
      </w:r>
      <w:r w:rsidRPr="00D337FA">
        <w:t>Агентства</w:t>
      </w:r>
      <w:r w:rsidR="006C680D" w:rsidRPr="00D337FA">
        <w:t xml:space="preserve"> </w:t>
      </w:r>
      <w:r w:rsidRPr="00D337FA">
        <w:t>содержат</w:t>
      </w:r>
      <w:r w:rsidR="006C680D" w:rsidRPr="00D337FA">
        <w:t xml:space="preserve"> </w:t>
      </w:r>
      <w:r w:rsidRPr="00D337FA">
        <w:t>информацию</w:t>
      </w:r>
      <w:r w:rsidR="006C680D" w:rsidRPr="00D337FA">
        <w:t xml:space="preserve"> </w:t>
      </w:r>
      <w:r w:rsidRPr="00D337FA">
        <w:t>о</w:t>
      </w:r>
      <w:r w:rsidR="006C680D" w:rsidRPr="00D337FA">
        <w:t xml:space="preserve"> </w:t>
      </w:r>
      <w:r w:rsidRPr="00D337FA">
        <w:t>том,</w:t>
      </w:r>
      <w:r w:rsidR="006C680D" w:rsidRPr="00D337FA">
        <w:t xml:space="preserve"> </w:t>
      </w:r>
      <w:r w:rsidRPr="00D337FA">
        <w:t>что</w:t>
      </w:r>
      <w:r w:rsidR="006C680D" w:rsidRPr="00D337FA">
        <w:t xml:space="preserve"> </w:t>
      </w:r>
      <w:r w:rsidRPr="00D337FA">
        <w:rPr>
          <w:shd w:val="clear" w:color="auto" w:fill="FFFFFF"/>
        </w:rPr>
        <w:t>«контроль</w:t>
      </w:r>
      <w:r w:rsidR="006C680D" w:rsidRPr="00D337FA">
        <w:rPr>
          <w:shd w:val="clear" w:color="auto" w:fill="FFFFFF"/>
        </w:rPr>
        <w:t xml:space="preserve"> </w:t>
      </w:r>
      <w:r w:rsidRPr="00D337FA">
        <w:rPr>
          <w:shd w:val="clear" w:color="auto" w:fill="FFFFFF"/>
        </w:rPr>
        <w:t>за</w:t>
      </w:r>
      <w:r w:rsidR="006C680D" w:rsidRPr="00D337FA">
        <w:rPr>
          <w:shd w:val="clear" w:color="auto" w:fill="FFFFFF"/>
        </w:rPr>
        <w:t xml:space="preserve"> </w:t>
      </w:r>
      <w:r w:rsidRPr="00D337FA">
        <w:rPr>
          <w:shd w:val="clear" w:color="auto" w:fill="FFFFFF"/>
        </w:rPr>
        <w:t>расходованием</w:t>
      </w:r>
      <w:r w:rsidR="006C680D" w:rsidRPr="00D337FA">
        <w:rPr>
          <w:shd w:val="clear" w:color="auto" w:fill="FFFFFF"/>
        </w:rPr>
        <w:t xml:space="preserve"> </w:t>
      </w:r>
      <w:r w:rsidRPr="00D337FA">
        <w:rPr>
          <w:shd w:val="clear" w:color="auto" w:fill="FFFFFF"/>
        </w:rPr>
        <w:t>денежных</w:t>
      </w:r>
      <w:r w:rsidR="006C680D" w:rsidRPr="00D337FA">
        <w:rPr>
          <w:shd w:val="clear" w:color="auto" w:fill="FFFFFF"/>
        </w:rPr>
        <w:t xml:space="preserve"> </w:t>
      </w:r>
      <w:r w:rsidRPr="00D337FA">
        <w:rPr>
          <w:shd w:val="clear" w:color="auto" w:fill="FFFFFF"/>
        </w:rPr>
        <w:t>средств,</w:t>
      </w:r>
      <w:r w:rsidR="006C680D" w:rsidRPr="00D337FA">
        <w:rPr>
          <w:shd w:val="clear" w:color="auto" w:fill="FFFFFF"/>
        </w:rPr>
        <w:t xml:space="preserve"> </w:t>
      </w:r>
      <w:r w:rsidRPr="00D337FA">
        <w:rPr>
          <w:shd w:val="clear" w:color="auto" w:fill="FFFFFF"/>
        </w:rPr>
        <w:t>а</w:t>
      </w:r>
      <w:r w:rsidR="006C680D" w:rsidRPr="00D337FA">
        <w:rPr>
          <w:shd w:val="clear" w:color="auto" w:fill="FFFFFF"/>
        </w:rPr>
        <w:t xml:space="preserve"> </w:t>
      </w:r>
      <w:r w:rsidRPr="00D337FA">
        <w:rPr>
          <w:shd w:val="clear" w:color="auto" w:fill="FFFFFF"/>
        </w:rPr>
        <w:t>также</w:t>
      </w:r>
      <w:r w:rsidR="006C680D" w:rsidRPr="00D337FA">
        <w:rPr>
          <w:shd w:val="clear" w:color="auto" w:fill="FFFFFF"/>
        </w:rPr>
        <w:t xml:space="preserve"> </w:t>
      </w:r>
      <w:r w:rsidRPr="00D337FA">
        <w:rPr>
          <w:shd w:val="clear" w:color="auto" w:fill="FFFFFF"/>
        </w:rPr>
        <w:t>за</w:t>
      </w:r>
      <w:r w:rsidR="006C680D" w:rsidRPr="00D337FA">
        <w:rPr>
          <w:shd w:val="clear" w:color="auto" w:fill="FFFFFF"/>
        </w:rPr>
        <w:t xml:space="preserve"> </w:t>
      </w:r>
      <w:r w:rsidRPr="00D337FA">
        <w:rPr>
          <w:shd w:val="clear" w:color="auto" w:fill="FFFFFF"/>
        </w:rPr>
        <w:t>иными</w:t>
      </w:r>
      <w:r w:rsidR="006C680D" w:rsidRPr="00D337FA">
        <w:rPr>
          <w:shd w:val="clear" w:color="auto" w:fill="FFFFFF"/>
        </w:rPr>
        <w:t xml:space="preserve"> </w:t>
      </w:r>
      <w:r w:rsidRPr="00D337FA">
        <w:rPr>
          <w:shd w:val="clear" w:color="auto" w:fill="FFFFFF"/>
        </w:rPr>
        <w:t>действиями</w:t>
      </w:r>
      <w:r w:rsidR="006C680D" w:rsidRPr="00D337FA">
        <w:rPr>
          <w:shd w:val="clear" w:color="auto" w:fill="FFFFFF"/>
        </w:rPr>
        <w:t xml:space="preserve"> </w:t>
      </w:r>
      <w:r w:rsidRPr="00D337FA">
        <w:rPr>
          <w:shd w:val="clear" w:color="auto" w:fill="FFFFFF"/>
        </w:rPr>
        <w:t>Агентства,</w:t>
      </w:r>
      <w:r w:rsidR="006C680D" w:rsidRPr="00D337FA">
        <w:rPr>
          <w:shd w:val="clear" w:color="auto" w:fill="FFFFFF"/>
        </w:rPr>
        <w:t xml:space="preserve"> </w:t>
      </w:r>
      <w:r w:rsidRPr="00D337FA">
        <w:rPr>
          <w:shd w:val="clear" w:color="auto" w:fill="FFFFFF"/>
        </w:rPr>
        <w:t>связанными</w:t>
      </w:r>
      <w:r w:rsidR="006C680D" w:rsidRPr="00D337FA">
        <w:rPr>
          <w:shd w:val="clear" w:color="auto" w:fill="FFFFFF"/>
        </w:rPr>
        <w:t xml:space="preserve"> </w:t>
      </w:r>
      <w:r w:rsidRPr="00D337FA">
        <w:rPr>
          <w:shd w:val="clear" w:color="auto" w:fill="FFFFFF"/>
        </w:rPr>
        <w:t>с</w:t>
      </w:r>
      <w:r w:rsidR="006C680D" w:rsidRPr="00D337FA">
        <w:rPr>
          <w:shd w:val="clear" w:color="auto" w:fill="FFFFFF"/>
        </w:rPr>
        <w:t xml:space="preserve"> </w:t>
      </w:r>
      <w:r w:rsidRPr="00D337FA">
        <w:rPr>
          <w:shd w:val="clear" w:color="auto" w:fill="FFFFFF"/>
        </w:rPr>
        <w:t>предупреждением</w:t>
      </w:r>
      <w:r w:rsidR="006C680D" w:rsidRPr="00D337FA">
        <w:rPr>
          <w:shd w:val="clear" w:color="auto" w:fill="FFFFFF"/>
        </w:rPr>
        <w:t xml:space="preserve"> </w:t>
      </w:r>
      <w:r w:rsidRPr="00D337FA">
        <w:rPr>
          <w:shd w:val="clear" w:color="auto" w:fill="FFFFFF"/>
        </w:rPr>
        <w:t>банкротства</w:t>
      </w:r>
      <w:r w:rsidR="006C680D" w:rsidRPr="00D337FA">
        <w:rPr>
          <w:shd w:val="clear" w:color="auto" w:fill="FFFFFF"/>
        </w:rPr>
        <w:t xml:space="preserve"> </w:t>
      </w:r>
      <w:r w:rsidRPr="00D337FA">
        <w:rPr>
          <w:shd w:val="clear" w:color="auto" w:fill="FFFFFF"/>
        </w:rPr>
        <w:t>банков,</w:t>
      </w:r>
      <w:r w:rsidR="006C680D" w:rsidRPr="00D337FA">
        <w:rPr>
          <w:shd w:val="clear" w:color="auto" w:fill="FFFFFF"/>
        </w:rPr>
        <w:t xml:space="preserve"> </w:t>
      </w:r>
      <w:r w:rsidRPr="00D337FA">
        <w:rPr>
          <w:shd w:val="clear" w:color="auto" w:fill="FFFFFF"/>
        </w:rPr>
        <w:t>осуществляется</w:t>
      </w:r>
      <w:r w:rsidR="006C680D" w:rsidRPr="00D337FA">
        <w:rPr>
          <w:shd w:val="clear" w:color="auto" w:fill="FFFFFF"/>
        </w:rPr>
        <w:t xml:space="preserve"> </w:t>
      </w:r>
      <w:r w:rsidRPr="00D337FA">
        <w:rPr>
          <w:shd w:val="clear" w:color="auto" w:fill="FFFFFF"/>
        </w:rPr>
        <w:t>Советом</w:t>
      </w:r>
      <w:r w:rsidR="006C680D" w:rsidRPr="00D337FA">
        <w:rPr>
          <w:shd w:val="clear" w:color="auto" w:fill="FFFFFF"/>
        </w:rPr>
        <w:t xml:space="preserve"> </w:t>
      </w:r>
      <w:r w:rsidRPr="00D337FA">
        <w:rPr>
          <w:shd w:val="clear" w:color="auto" w:fill="FFFFFF"/>
        </w:rPr>
        <w:t>директоров</w:t>
      </w:r>
      <w:r w:rsidR="006C680D" w:rsidRPr="00D337FA">
        <w:rPr>
          <w:shd w:val="clear" w:color="auto" w:fill="FFFFFF"/>
        </w:rPr>
        <w:t xml:space="preserve"> </w:t>
      </w:r>
      <w:r w:rsidRPr="00D337FA">
        <w:rPr>
          <w:shd w:val="clear" w:color="auto" w:fill="FFFFFF"/>
        </w:rPr>
        <w:t>Агентства,</w:t>
      </w:r>
      <w:r w:rsidR="006C680D" w:rsidRPr="00D337FA">
        <w:rPr>
          <w:shd w:val="clear" w:color="auto" w:fill="FFFFFF"/>
        </w:rPr>
        <w:t xml:space="preserve"> </w:t>
      </w:r>
      <w:r w:rsidRPr="00D337FA">
        <w:rPr>
          <w:shd w:val="clear" w:color="auto" w:fill="FFFFFF"/>
        </w:rPr>
        <w:t>Банком</w:t>
      </w:r>
      <w:r w:rsidR="006C680D" w:rsidRPr="00D337FA">
        <w:rPr>
          <w:shd w:val="clear" w:color="auto" w:fill="FFFFFF"/>
        </w:rPr>
        <w:t xml:space="preserve"> </w:t>
      </w:r>
      <w:r w:rsidRPr="00D337FA">
        <w:rPr>
          <w:shd w:val="clear" w:color="auto" w:fill="FFFFFF"/>
        </w:rPr>
        <w:t>России</w:t>
      </w:r>
      <w:r w:rsidR="006C680D" w:rsidRPr="00D337FA">
        <w:rPr>
          <w:shd w:val="clear" w:color="auto" w:fill="FFFFFF"/>
        </w:rPr>
        <w:t xml:space="preserve"> </w:t>
      </w:r>
      <w:r w:rsidRPr="00D337FA">
        <w:rPr>
          <w:shd w:val="clear" w:color="auto" w:fill="FFFFFF"/>
        </w:rPr>
        <w:t>и</w:t>
      </w:r>
      <w:r w:rsidR="006C680D" w:rsidRPr="00D337FA">
        <w:rPr>
          <w:shd w:val="clear" w:color="auto" w:fill="FFFFFF"/>
        </w:rPr>
        <w:t xml:space="preserve"> </w:t>
      </w:r>
      <w:r w:rsidRPr="00D337FA">
        <w:rPr>
          <w:shd w:val="clear" w:color="auto" w:fill="FFFFFF"/>
        </w:rPr>
        <w:t>Счетной</w:t>
      </w:r>
      <w:r w:rsidR="006C680D" w:rsidRPr="00D337FA">
        <w:rPr>
          <w:shd w:val="clear" w:color="auto" w:fill="FFFFFF"/>
        </w:rPr>
        <w:t xml:space="preserve"> </w:t>
      </w:r>
      <w:r w:rsidRPr="00D337FA">
        <w:rPr>
          <w:shd w:val="clear" w:color="auto" w:fill="FFFFFF"/>
        </w:rPr>
        <w:t>палатой</w:t>
      </w:r>
      <w:r w:rsidR="006C680D" w:rsidRPr="00D337FA">
        <w:rPr>
          <w:shd w:val="clear" w:color="auto" w:fill="FFFFFF"/>
        </w:rPr>
        <w:t xml:space="preserve"> </w:t>
      </w:r>
      <w:r w:rsidRPr="00D337FA">
        <w:rPr>
          <w:shd w:val="clear" w:color="auto" w:fill="FFFFFF"/>
        </w:rPr>
        <w:t>Российской</w:t>
      </w:r>
      <w:r w:rsidR="006C680D" w:rsidRPr="00D337FA">
        <w:rPr>
          <w:shd w:val="clear" w:color="auto" w:fill="FFFFFF"/>
        </w:rPr>
        <w:t xml:space="preserve"> </w:t>
      </w:r>
      <w:r w:rsidRPr="00D337FA">
        <w:rPr>
          <w:shd w:val="clear" w:color="auto" w:fill="FFFFFF"/>
        </w:rPr>
        <w:t>Федерации».</w:t>
      </w:r>
      <w:r w:rsidR="006C680D" w:rsidRPr="00D337FA">
        <w:rPr>
          <w:shd w:val="clear" w:color="auto" w:fill="FFFFFF"/>
        </w:rPr>
        <w:t xml:space="preserve"> </w:t>
      </w:r>
      <w:r w:rsidRPr="00D337FA">
        <w:rPr>
          <w:shd w:val="clear" w:color="auto" w:fill="FFFFFF"/>
        </w:rPr>
        <w:t>По</w:t>
      </w:r>
      <w:r w:rsidR="006C680D" w:rsidRPr="00D337FA">
        <w:rPr>
          <w:shd w:val="clear" w:color="auto" w:fill="FFFFFF"/>
        </w:rPr>
        <w:t xml:space="preserve"> </w:t>
      </w:r>
      <w:r w:rsidRPr="00D337FA">
        <w:rPr>
          <w:shd w:val="clear" w:color="auto" w:fill="FFFFFF"/>
        </w:rPr>
        <w:t>нашему</w:t>
      </w:r>
      <w:r w:rsidR="006C680D" w:rsidRPr="00D337FA">
        <w:rPr>
          <w:shd w:val="clear" w:color="auto" w:fill="FFFFFF"/>
        </w:rPr>
        <w:t xml:space="preserve"> </w:t>
      </w:r>
      <w:r w:rsidRPr="00D337FA">
        <w:rPr>
          <w:shd w:val="clear" w:color="auto" w:fill="FFFFFF"/>
        </w:rPr>
        <w:t>мнению,</w:t>
      </w:r>
      <w:r w:rsidR="006C680D" w:rsidRPr="00D337FA">
        <w:rPr>
          <w:shd w:val="clear" w:color="auto" w:fill="FFFFFF"/>
        </w:rPr>
        <w:t xml:space="preserve"> </w:t>
      </w:r>
      <w:r w:rsidRPr="00D337FA">
        <w:rPr>
          <w:shd w:val="clear" w:color="auto" w:fill="FFFFFF"/>
        </w:rPr>
        <w:t>«контроль</w:t>
      </w:r>
      <w:r w:rsidR="006C680D" w:rsidRPr="00D337FA">
        <w:rPr>
          <w:shd w:val="clear" w:color="auto" w:fill="FFFFFF"/>
        </w:rPr>
        <w:t xml:space="preserve"> </w:t>
      </w:r>
      <w:r w:rsidRPr="00D337FA">
        <w:rPr>
          <w:shd w:val="clear" w:color="auto" w:fill="FFFFFF"/>
        </w:rPr>
        <w:t>за</w:t>
      </w:r>
      <w:r w:rsidR="006C680D" w:rsidRPr="00D337FA">
        <w:rPr>
          <w:shd w:val="clear" w:color="auto" w:fill="FFFFFF"/>
        </w:rPr>
        <w:t xml:space="preserve"> </w:t>
      </w:r>
      <w:r w:rsidRPr="00D337FA">
        <w:rPr>
          <w:shd w:val="clear" w:color="auto" w:fill="FFFFFF"/>
        </w:rPr>
        <w:t>расходованием</w:t>
      </w:r>
      <w:r w:rsidR="006C680D" w:rsidRPr="00D337FA">
        <w:rPr>
          <w:shd w:val="clear" w:color="auto" w:fill="FFFFFF"/>
        </w:rPr>
        <w:t xml:space="preserve"> </w:t>
      </w:r>
      <w:r w:rsidRPr="00D337FA">
        <w:rPr>
          <w:shd w:val="clear" w:color="auto" w:fill="FFFFFF"/>
        </w:rPr>
        <w:t>средств»</w:t>
      </w:r>
      <w:r w:rsidR="006C680D" w:rsidRPr="00D337FA">
        <w:rPr>
          <w:shd w:val="clear" w:color="auto" w:fill="FFFFFF"/>
        </w:rPr>
        <w:t xml:space="preserve"> </w:t>
      </w:r>
      <w:r w:rsidRPr="00D337FA">
        <w:rPr>
          <w:shd w:val="clear" w:color="auto" w:fill="FFFFFF"/>
        </w:rPr>
        <w:t>и</w:t>
      </w:r>
      <w:r w:rsidR="006C680D" w:rsidRPr="00D337FA">
        <w:rPr>
          <w:shd w:val="clear" w:color="auto" w:fill="FFFFFF"/>
        </w:rPr>
        <w:t xml:space="preserve"> </w:t>
      </w:r>
      <w:r w:rsidRPr="00D337FA">
        <w:rPr>
          <w:shd w:val="clear" w:color="auto" w:fill="FFFFFF"/>
        </w:rPr>
        <w:t>«оценка</w:t>
      </w:r>
      <w:r w:rsidR="006C680D" w:rsidRPr="00D337FA">
        <w:rPr>
          <w:shd w:val="clear" w:color="auto" w:fill="FFFFFF"/>
        </w:rPr>
        <w:t xml:space="preserve"> </w:t>
      </w:r>
      <w:r w:rsidRPr="00D337FA">
        <w:rPr>
          <w:shd w:val="clear" w:color="auto" w:fill="FFFFFF"/>
        </w:rPr>
        <w:t>эффективности»</w:t>
      </w:r>
      <w:r w:rsidR="006C680D" w:rsidRPr="00D337FA">
        <w:rPr>
          <w:shd w:val="clear" w:color="auto" w:fill="FFFFFF"/>
        </w:rPr>
        <w:t xml:space="preserve"> – </w:t>
      </w:r>
      <w:r w:rsidRPr="00D337FA">
        <w:rPr>
          <w:shd w:val="clear" w:color="auto" w:fill="FFFFFF"/>
        </w:rPr>
        <w:t>это</w:t>
      </w:r>
      <w:r w:rsidR="006C680D" w:rsidRPr="00D337FA">
        <w:rPr>
          <w:shd w:val="clear" w:color="auto" w:fill="FFFFFF"/>
        </w:rPr>
        <w:t xml:space="preserve"> </w:t>
      </w:r>
      <w:r w:rsidRPr="00D337FA">
        <w:rPr>
          <w:shd w:val="clear" w:color="auto" w:fill="FFFFFF"/>
        </w:rPr>
        <w:t>не</w:t>
      </w:r>
      <w:r w:rsidR="006C680D" w:rsidRPr="00D337FA">
        <w:rPr>
          <w:shd w:val="clear" w:color="auto" w:fill="FFFFFF"/>
        </w:rPr>
        <w:t xml:space="preserve"> </w:t>
      </w:r>
      <w:r w:rsidRPr="00D337FA">
        <w:rPr>
          <w:shd w:val="clear" w:color="auto" w:fill="FFFFFF"/>
        </w:rPr>
        <w:t>одно</w:t>
      </w:r>
      <w:r w:rsidR="006C680D" w:rsidRPr="00D337FA">
        <w:rPr>
          <w:shd w:val="clear" w:color="auto" w:fill="FFFFFF"/>
        </w:rPr>
        <w:t xml:space="preserve"> </w:t>
      </w:r>
      <w:r w:rsidRPr="00D337FA">
        <w:rPr>
          <w:shd w:val="clear" w:color="auto" w:fill="FFFFFF"/>
        </w:rPr>
        <w:t>и</w:t>
      </w:r>
      <w:r w:rsidR="006C680D" w:rsidRPr="00D337FA">
        <w:rPr>
          <w:shd w:val="clear" w:color="auto" w:fill="FFFFFF"/>
        </w:rPr>
        <w:t xml:space="preserve"> </w:t>
      </w:r>
      <w:r w:rsidRPr="00D337FA">
        <w:rPr>
          <w:shd w:val="clear" w:color="auto" w:fill="FFFFFF"/>
        </w:rPr>
        <w:t>тоже,</w:t>
      </w:r>
      <w:r w:rsidR="006C680D" w:rsidRPr="00D337FA">
        <w:rPr>
          <w:shd w:val="clear" w:color="auto" w:fill="FFFFFF"/>
        </w:rPr>
        <w:t xml:space="preserve"> </w:t>
      </w:r>
      <w:r w:rsidRPr="00D337FA">
        <w:rPr>
          <w:shd w:val="clear" w:color="auto" w:fill="FFFFFF"/>
        </w:rPr>
        <w:t>и</w:t>
      </w:r>
      <w:r w:rsidR="006C680D" w:rsidRPr="00D337FA">
        <w:rPr>
          <w:shd w:val="clear" w:color="auto" w:fill="FFFFFF"/>
        </w:rPr>
        <w:t xml:space="preserve"> </w:t>
      </w:r>
      <w:r w:rsidRPr="00D337FA">
        <w:rPr>
          <w:shd w:val="clear" w:color="auto" w:fill="FFFFFF"/>
        </w:rPr>
        <w:t>преследует</w:t>
      </w:r>
      <w:r w:rsidR="006C680D" w:rsidRPr="00D337FA">
        <w:rPr>
          <w:shd w:val="clear" w:color="auto" w:fill="FFFFFF"/>
        </w:rPr>
        <w:t xml:space="preserve"> </w:t>
      </w:r>
      <w:r w:rsidRPr="00D337FA">
        <w:rPr>
          <w:shd w:val="clear" w:color="auto" w:fill="FFFFFF"/>
        </w:rPr>
        <w:t>разные</w:t>
      </w:r>
      <w:r w:rsidR="006C680D" w:rsidRPr="00D337FA">
        <w:rPr>
          <w:shd w:val="clear" w:color="auto" w:fill="FFFFFF"/>
        </w:rPr>
        <w:t xml:space="preserve"> </w:t>
      </w:r>
      <w:r w:rsidRPr="00D337FA">
        <w:rPr>
          <w:shd w:val="clear" w:color="auto" w:fill="FFFFFF"/>
        </w:rPr>
        <w:t>цели.</w:t>
      </w:r>
      <w:r w:rsidR="006C680D" w:rsidRPr="00D337FA">
        <w:rPr>
          <w:shd w:val="clear" w:color="auto" w:fill="FFFFFF"/>
        </w:rPr>
        <w:t xml:space="preserve"> </w:t>
      </w:r>
    </w:p>
    <w:p w:rsidR="004A1229" w:rsidRPr="00D337FA" w:rsidRDefault="004A1229" w:rsidP="004A1229">
      <w:pPr>
        <w:ind w:firstLine="284"/>
      </w:pPr>
      <w:r w:rsidRPr="00D337FA">
        <w:t>При</w:t>
      </w:r>
      <w:r w:rsidR="006C680D" w:rsidRPr="00D337FA">
        <w:t xml:space="preserve"> </w:t>
      </w:r>
      <w:r w:rsidRPr="00D337FA">
        <w:t>этом</w:t>
      </w:r>
      <w:r w:rsidR="006C680D" w:rsidRPr="00D337FA">
        <w:t xml:space="preserve"> </w:t>
      </w:r>
      <w:r w:rsidRPr="00D337FA">
        <w:t>эффективность</w:t>
      </w:r>
      <w:r w:rsidR="006C680D" w:rsidRPr="00D337FA">
        <w:t xml:space="preserve"> </w:t>
      </w:r>
      <w:r w:rsidRPr="00D337FA">
        <w:t>деятельности</w:t>
      </w:r>
      <w:r w:rsidR="006C680D" w:rsidRPr="00D337FA">
        <w:t xml:space="preserve"> </w:t>
      </w:r>
      <w:r w:rsidRPr="00D337FA">
        <w:t>Агентства</w:t>
      </w:r>
      <w:r w:rsidR="006C680D" w:rsidRPr="00D337FA">
        <w:t xml:space="preserve"> </w:t>
      </w:r>
      <w:r w:rsidRPr="00D337FA">
        <w:t>как,</w:t>
      </w:r>
      <w:r w:rsidR="006C680D" w:rsidRPr="00D337FA">
        <w:t xml:space="preserve"> </w:t>
      </w:r>
      <w:r w:rsidRPr="00D337FA">
        <w:t>например,</w:t>
      </w:r>
      <w:r w:rsidR="006C680D" w:rsidRPr="00D337FA">
        <w:t xml:space="preserve"> </w:t>
      </w:r>
      <w:r w:rsidRPr="00D337FA">
        <w:t>конкурсного</w:t>
      </w:r>
      <w:r w:rsidR="006C680D" w:rsidRPr="00D337FA">
        <w:t xml:space="preserve"> </w:t>
      </w:r>
      <w:r w:rsidRPr="00D337FA">
        <w:t>управляющего</w:t>
      </w:r>
      <w:r w:rsidR="006C680D" w:rsidRPr="00D337FA">
        <w:t xml:space="preserve"> </w:t>
      </w:r>
      <w:r w:rsidRPr="00D337FA">
        <w:t>ликвидируемыми</w:t>
      </w:r>
      <w:r w:rsidR="006C680D" w:rsidRPr="00D337FA">
        <w:t xml:space="preserve"> </w:t>
      </w:r>
      <w:r w:rsidRPr="00D337FA">
        <w:t>финансовыми</w:t>
      </w:r>
      <w:r w:rsidR="006C680D" w:rsidRPr="00D337FA">
        <w:t xml:space="preserve"> </w:t>
      </w:r>
      <w:r w:rsidRPr="00D337FA">
        <w:t>организациями</w:t>
      </w:r>
      <w:r w:rsidR="006C680D" w:rsidRPr="00D337FA">
        <w:t xml:space="preserve"> </w:t>
      </w:r>
      <w:r w:rsidRPr="00D337FA">
        <w:t>оценивается</w:t>
      </w:r>
      <w:r w:rsidR="006C680D" w:rsidRPr="00D337FA">
        <w:t xml:space="preserve"> </w:t>
      </w:r>
      <w:r w:rsidRPr="00D337FA">
        <w:t>в</w:t>
      </w:r>
      <w:r w:rsidR="006C680D" w:rsidRPr="00D337FA">
        <w:t xml:space="preserve"> </w:t>
      </w:r>
      <w:r w:rsidRPr="00D337FA">
        <w:t>соответствии</w:t>
      </w:r>
      <w:r w:rsidR="006C680D" w:rsidRPr="00D337FA">
        <w:t xml:space="preserve"> </w:t>
      </w:r>
      <w:r w:rsidRPr="00D337FA">
        <w:t>с</w:t>
      </w:r>
      <w:r w:rsidR="006C680D" w:rsidRPr="00D337FA">
        <w:t xml:space="preserve"> </w:t>
      </w:r>
      <w:r w:rsidRPr="00D337FA">
        <w:t>Методикой</w:t>
      </w:r>
      <w:r w:rsidR="006C680D" w:rsidRPr="00D337FA">
        <w:t xml:space="preserve"> </w:t>
      </w:r>
      <w:r w:rsidRPr="00D337FA">
        <w:t>рейтингования</w:t>
      </w:r>
      <w:r w:rsidR="006C680D" w:rsidRPr="00D337FA">
        <w:t xml:space="preserve"> </w:t>
      </w:r>
      <w:r w:rsidRPr="00D337FA">
        <w:t>процедур</w:t>
      </w:r>
      <w:r w:rsidR="006C680D" w:rsidRPr="00D337FA">
        <w:t xml:space="preserve"> </w:t>
      </w:r>
      <w:r w:rsidRPr="00D337FA">
        <w:t>конкурсного</w:t>
      </w:r>
      <w:r w:rsidR="006C680D" w:rsidRPr="00D337FA">
        <w:t xml:space="preserve"> </w:t>
      </w:r>
      <w:r w:rsidRPr="00D337FA">
        <w:t>производства</w:t>
      </w:r>
      <w:r w:rsidR="006C680D" w:rsidRPr="00D337FA">
        <w:t xml:space="preserve"> </w:t>
      </w:r>
      <w:r w:rsidRPr="00D337FA">
        <w:t>и</w:t>
      </w:r>
      <w:r w:rsidR="006C680D" w:rsidRPr="00D337FA">
        <w:t xml:space="preserve"> </w:t>
      </w:r>
      <w:r w:rsidRPr="00D337FA">
        <w:t>принудительной</w:t>
      </w:r>
      <w:r w:rsidR="006C680D" w:rsidRPr="00D337FA">
        <w:t xml:space="preserve"> </w:t>
      </w:r>
      <w:r w:rsidRPr="00D337FA">
        <w:t>ликвидации</w:t>
      </w:r>
      <w:r w:rsidR="006C680D" w:rsidRPr="00D337FA">
        <w:t xml:space="preserve"> </w:t>
      </w:r>
      <w:r w:rsidRPr="00D337FA">
        <w:t>финансовых</w:t>
      </w:r>
      <w:r w:rsidR="006C680D" w:rsidRPr="00D337FA">
        <w:t xml:space="preserve"> </w:t>
      </w:r>
      <w:r w:rsidRPr="00D337FA">
        <w:t>организаций,</w:t>
      </w:r>
      <w:r w:rsidR="006C680D" w:rsidRPr="00D337FA">
        <w:t xml:space="preserve"> </w:t>
      </w:r>
      <w:r w:rsidRPr="00D337FA">
        <w:t>утвержденной</w:t>
      </w:r>
      <w:r w:rsidR="006C680D" w:rsidRPr="00D337FA">
        <w:t xml:space="preserve"> </w:t>
      </w:r>
      <w:r w:rsidRPr="00D337FA">
        <w:t>Советом</w:t>
      </w:r>
      <w:r w:rsidR="006C680D" w:rsidRPr="00D337FA">
        <w:t xml:space="preserve"> </w:t>
      </w:r>
      <w:r w:rsidRPr="00D337FA">
        <w:t>директоров</w:t>
      </w:r>
      <w:r w:rsidR="006C680D" w:rsidRPr="00D337FA">
        <w:t xml:space="preserve"> </w:t>
      </w:r>
      <w:r w:rsidRPr="00D337FA">
        <w:t>Агентства.</w:t>
      </w:r>
      <w:r w:rsidR="006C680D" w:rsidRPr="00D337FA">
        <w:t xml:space="preserve"> </w:t>
      </w:r>
      <w:r w:rsidRPr="00D337FA">
        <w:t>Представляется,</w:t>
      </w:r>
      <w:r w:rsidR="006C680D" w:rsidRPr="00D337FA">
        <w:t xml:space="preserve"> </w:t>
      </w:r>
      <w:r w:rsidRPr="00D337FA">
        <w:t>что</w:t>
      </w:r>
      <w:r w:rsidR="006C680D" w:rsidRPr="00D337FA">
        <w:t xml:space="preserve"> </w:t>
      </w:r>
      <w:r w:rsidRPr="00D337FA">
        <w:t>аналогичный</w:t>
      </w:r>
      <w:r w:rsidR="006C680D" w:rsidRPr="00D337FA">
        <w:t xml:space="preserve"> </w:t>
      </w:r>
      <w:r w:rsidRPr="00D337FA">
        <w:t>документ</w:t>
      </w:r>
      <w:r w:rsidR="006C680D" w:rsidRPr="00D337FA">
        <w:t xml:space="preserve"> </w:t>
      </w:r>
      <w:r w:rsidRPr="00D337FA">
        <w:t>должен</w:t>
      </w:r>
      <w:r w:rsidR="006C680D" w:rsidRPr="00D337FA">
        <w:t xml:space="preserve"> </w:t>
      </w:r>
      <w:r w:rsidRPr="00D337FA">
        <w:t>быть</w:t>
      </w:r>
      <w:r w:rsidR="006C680D" w:rsidRPr="00D337FA">
        <w:t xml:space="preserve"> </w:t>
      </w:r>
      <w:r w:rsidRPr="00D337FA">
        <w:t>разработан</w:t>
      </w:r>
      <w:r w:rsidR="006C680D" w:rsidRPr="00D337FA">
        <w:t xml:space="preserve"> </w:t>
      </w:r>
      <w:r w:rsidRPr="00D337FA">
        <w:t>и</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процедур,</w:t>
      </w:r>
      <w:r w:rsidR="006C680D" w:rsidRPr="00D337FA">
        <w:t xml:space="preserve"> </w:t>
      </w:r>
      <w:r w:rsidRPr="00D337FA">
        <w:t>реализуемых</w:t>
      </w:r>
      <w:r w:rsidR="006C680D" w:rsidRPr="00D337FA">
        <w:t xml:space="preserve"> </w:t>
      </w:r>
      <w:r w:rsidRPr="00D337FA">
        <w:t>Агентством</w:t>
      </w:r>
      <w:r w:rsidR="006C680D" w:rsidRPr="00D337FA">
        <w:t xml:space="preserve"> </w:t>
      </w:r>
      <w:r w:rsidRPr="00D337FA">
        <w:t>в</w:t>
      </w:r>
      <w:r w:rsidR="006C680D" w:rsidRPr="00D337FA">
        <w:t xml:space="preserve"> </w:t>
      </w:r>
      <w:r w:rsidRPr="00D337FA">
        <w:t>ходе</w:t>
      </w:r>
      <w:r w:rsidR="006C680D" w:rsidRPr="00D337FA">
        <w:t xml:space="preserve"> </w:t>
      </w:r>
      <w:r w:rsidRPr="00D337FA">
        <w:t>санации</w:t>
      </w:r>
      <w:r w:rsidR="006C680D" w:rsidRPr="00D337FA">
        <w:t xml:space="preserve"> </w:t>
      </w:r>
      <w:r w:rsidRPr="00D337FA">
        <w:t>банков.</w:t>
      </w:r>
      <w:r w:rsidR="006C680D" w:rsidRPr="00D337FA">
        <w:t xml:space="preserve"> </w:t>
      </w:r>
    </w:p>
    <w:p w:rsidR="004A1229" w:rsidRPr="00D337FA" w:rsidRDefault="004A1229" w:rsidP="004A1229">
      <w:pPr>
        <w:ind w:firstLine="284"/>
      </w:pPr>
      <w:r w:rsidRPr="00D337FA">
        <w:t>3.</w:t>
      </w:r>
      <w:r w:rsidR="006C680D" w:rsidRPr="00D337FA">
        <w:t xml:space="preserve"> </w:t>
      </w:r>
      <w:r w:rsidRPr="00D337FA">
        <w:t>Низкая</w:t>
      </w:r>
      <w:r w:rsidR="006C680D" w:rsidRPr="00D337FA">
        <w:t xml:space="preserve"> </w:t>
      </w:r>
      <w:r w:rsidRPr="00D337FA">
        <w:t>эффективность</w:t>
      </w:r>
      <w:r w:rsidR="006C680D" w:rsidRPr="00D337FA">
        <w:t xml:space="preserve"> </w:t>
      </w:r>
      <w:r w:rsidRPr="00D337FA">
        <w:t>санационных</w:t>
      </w:r>
      <w:r w:rsidR="006C680D" w:rsidRPr="00D337FA">
        <w:t xml:space="preserve"> </w:t>
      </w:r>
      <w:r w:rsidRPr="00D337FA">
        <w:t>процедур</w:t>
      </w:r>
      <w:r w:rsidR="006C680D" w:rsidRPr="00D337FA">
        <w:t xml:space="preserve"> </w:t>
      </w:r>
      <w:r w:rsidRPr="00D337FA">
        <w:t>связана</w:t>
      </w:r>
      <w:r w:rsidR="006C680D" w:rsidRPr="00D337FA">
        <w:t xml:space="preserve"> </w:t>
      </w:r>
      <w:r w:rsidRPr="00D337FA">
        <w:t>с</w:t>
      </w:r>
      <w:r w:rsidR="006C680D" w:rsidRPr="00D337FA">
        <w:t xml:space="preserve"> </w:t>
      </w:r>
      <w:r w:rsidRPr="00D337FA">
        <w:t>недостаточным</w:t>
      </w:r>
      <w:r w:rsidR="006C680D" w:rsidRPr="00D337FA">
        <w:t xml:space="preserve"> </w:t>
      </w:r>
      <w:r w:rsidRPr="00D337FA">
        <w:t>кон</w:t>
      </w:r>
      <w:r w:rsidRPr="00D337FA">
        <w:lastRenderedPageBreak/>
        <w:t>тролем</w:t>
      </w:r>
      <w:r w:rsidR="006C680D" w:rsidRPr="00D337FA">
        <w:t xml:space="preserve"> </w:t>
      </w:r>
      <w:r w:rsidRPr="00D337FA">
        <w:t>за</w:t>
      </w:r>
      <w:r w:rsidR="006C680D" w:rsidRPr="00D337FA">
        <w:t xml:space="preserve"> </w:t>
      </w:r>
      <w:r w:rsidRPr="00D337FA">
        <w:t>ходом</w:t>
      </w:r>
      <w:r w:rsidR="006C680D" w:rsidRPr="00D337FA">
        <w:t xml:space="preserve"> </w:t>
      </w:r>
      <w:r w:rsidRPr="00D337FA">
        <w:t>их</w:t>
      </w:r>
      <w:r w:rsidR="006C680D" w:rsidRPr="00D337FA">
        <w:t xml:space="preserve"> </w:t>
      </w:r>
      <w:r w:rsidRPr="00D337FA">
        <w:t>реализации</w:t>
      </w:r>
      <w:r w:rsidR="006C680D" w:rsidRPr="00D337FA">
        <w:t xml:space="preserve"> </w:t>
      </w:r>
      <w:r w:rsidRPr="00D337FA">
        <w:t>менеджментом,</w:t>
      </w:r>
      <w:r w:rsidR="006C680D" w:rsidRPr="00D337FA">
        <w:t xml:space="preserve"> </w:t>
      </w:r>
      <w:r w:rsidRPr="00D337FA">
        <w:t>санируемым</w:t>
      </w:r>
      <w:r w:rsidR="006C680D" w:rsidRPr="00D337FA">
        <w:t xml:space="preserve"> </w:t>
      </w:r>
      <w:r w:rsidRPr="00D337FA">
        <w:t>и</w:t>
      </w:r>
      <w:r w:rsidR="006C680D" w:rsidRPr="00D337FA">
        <w:t xml:space="preserve"> </w:t>
      </w:r>
      <w:r w:rsidRPr="00D337FA">
        <w:t>санирующих</w:t>
      </w:r>
      <w:r w:rsidR="006C680D" w:rsidRPr="00D337FA">
        <w:t xml:space="preserve"> </w:t>
      </w:r>
      <w:r w:rsidRPr="00D337FA">
        <w:t>банков.</w:t>
      </w:r>
      <w:r w:rsidR="006C680D" w:rsidRPr="00D337FA">
        <w:t xml:space="preserve"> </w:t>
      </w:r>
      <w:r w:rsidRPr="00D337FA">
        <w:t>Участие</w:t>
      </w:r>
      <w:r w:rsidR="006C680D" w:rsidRPr="00D337FA">
        <w:t xml:space="preserve"> </w:t>
      </w:r>
      <w:r w:rsidRPr="00D337FA">
        <w:t>представителей</w:t>
      </w:r>
      <w:r w:rsidR="006C680D" w:rsidRPr="00D337FA">
        <w:t xml:space="preserve"> </w:t>
      </w:r>
      <w:r w:rsidRPr="00D337FA">
        <w:t>Агентства</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и</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в</w:t>
      </w:r>
      <w:r w:rsidR="006C680D" w:rsidRPr="00D337FA">
        <w:t xml:space="preserve"> </w:t>
      </w:r>
      <w:r w:rsidRPr="00D337FA">
        <w:t>органах</w:t>
      </w:r>
      <w:r w:rsidR="006C680D" w:rsidRPr="00D337FA">
        <w:t xml:space="preserve"> </w:t>
      </w:r>
      <w:r w:rsidRPr="00D337FA">
        <w:t>управления</w:t>
      </w:r>
      <w:r w:rsidR="006C680D" w:rsidRPr="00D337FA">
        <w:t xml:space="preserve"> </w:t>
      </w:r>
      <w:r w:rsidRPr="00D337FA">
        <w:t>санируемым</w:t>
      </w:r>
      <w:r w:rsidR="006C680D" w:rsidRPr="00D337FA">
        <w:t xml:space="preserve"> </w:t>
      </w:r>
      <w:r w:rsidRPr="00D337FA">
        <w:t>банков</w:t>
      </w:r>
      <w:r w:rsidR="006C680D" w:rsidRPr="00D337FA">
        <w:t xml:space="preserve"> </w:t>
      </w:r>
      <w:r w:rsidRPr="00D337FA">
        <w:t>отчасти</w:t>
      </w:r>
      <w:r w:rsidR="006C680D" w:rsidRPr="00D337FA">
        <w:t xml:space="preserve"> </w:t>
      </w:r>
      <w:r w:rsidRPr="00D337FA">
        <w:t>решает</w:t>
      </w:r>
      <w:r w:rsidR="006C680D" w:rsidRPr="00D337FA">
        <w:t xml:space="preserve"> </w:t>
      </w:r>
      <w:r w:rsidRPr="00D337FA">
        <w:t>эту</w:t>
      </w:r>
      <w:r w:rsidR="006C680D" w:rsidRPr="00D337FA">
        <w:t xml:space="preserve"> </w:t>
      </w:r>
      <w:r w:rsidRPr="00D337FA">
        <w:t>проблему,</w:t>
      </w:r>
      <w:r w:rsidR="006C680D" w:rsidRPr="00D337FA">
        <w:t xml:space="preserve"> </w:t>
      </w:r>
      <w:r w:rsidRPr="00D337FA">
        <w:t>но</w:t>
      </w:r>
      <w:r w:rsidR="006C680D" w:rsidRPr="00D337FA">
        <w:t xml:space="preserve"> </w:t>
      </w:r>
      <w:r w:rsidRPr="00D337FA">
        <w:t>не</w:t>
      </w:r>
      <w:r w:rsidR="006C680D" w:rsidRPr="00D337FA">
        <w:t xml:space="preserve"> </w:t>
      </w:r>
      <w:r w:rsidRPr="00D337FA">
        <w:t>является</w:t>
      </w:r>
      <w:r w:rsidR="006C680D" w:rsidRPr="00D337FA">
        <w:t xml:space="preserve"> </w:t>
      </w:r>
      <w:r w:rsidRPr="00D337FA">
        <w:t>достаточным.</w:t>
      </w:r>
    </w:p>
    <w:p w:rsidR="004A1229" w:rsidRPr="00D337FA" w:rsidRDefault="004A1229" w:rsidP="004A1229">
      <w:pPr>
        <w:ind w:firstLine="284"/>
      </w:pPr>
      <w:r w:rsidRPr="00D337FA">
        <w:t>Действенным</w:t>
      </w:r>
      <w:r w:rsidR="006C680D" w:rsidRPr="00D337FA">
        <w:t xml:space="preserve"> </w:t>
      </w:r>
      <w:r w:rsidRPr="00D337FA">
        <w:t>механизмом</w:t>
      </w:r>
      <w:r w:rsidR="006C680D" w:rsidRPr="00D337FA">
        <w:t xml:space="preserve"> </w:t>
      </w:r>
      <w:r w:rsidRPr="00D337FA">
        <w:t>решения</w:t>
      </w:r>
      <w:r w:rsidR="006C680D" w:rsidRPr="00D337FA">
        <w:t xml:space="preserve"> </w:t>
      </w:r>
      <w:r w:rsidRPr="00D337FA">
        <w:t>этой</w:t>
      </w:r>
      <w:r w:rsidR="006C680D" w:rsidRPr="00D337FA">
        <w:t xml:space="preserve"> </w:t>
      </w:r>
      <w:r w:rsidRPr="00D337FA">
        <w:t>проблемы</w:t>
      </w:r>
      <w:r w:rsidR="006C680D" w:rsidRPr="00D337FA">
        <w:t xml:space="preserve"> </w:t>
      </w:r>
      <w:r w:rsidRPr="00D337FA">
        <w:t>может</w:t>
      </w:r>
      <w:r w:rsidR="006C680D" w:rsidRPr="00D337FA">
        <w:t xml:space="preserve"> </w:t>
      </w:r>
      <w:r w:rsidRPr="00D337FA">
        <w:t>стать</w:t>
      </w:r>
      <w:r w:rsidR="006C680D" w:rsidRPr="00D337FA">
        <w:t xml:space="preserve"> </w:t>
      </w:r>
      <w:r w:rsidRPr="00D337FA">
        <w:t>санационный</w:t>
      </w:r>
      <w:r w:rsidR="006C680D" w:rsidRPr="00D337FA">
        <w:t xml:space="preserve"> </w:t>
      </w:r>
      <w:r w:rsidRPr="00D337FA">
        <w:t>аудит,</w:t>
      </w:r>
      <w:r w:rsidR="006C680D" w:rsidRPr="00D337FA">
        <w:t xml:space="preserve"> </w:t>
      </w:r>
      <w:r w:rsidRPr="00D337FA">
        <w:t>активно</w:t>
      </w:r>
      <w:r w:rsidR="006C680D" w:rsidRPr="00D337FA">
        <w:t xml:space="preserve"> </w:t>
      </w:r>
      <w:r w:rsidRPr="00D337FA">
        <w:t>использующийся</w:t>
      </w:r>
      <w:r w:rsidR="006C680D" w:rsidRPr="00D337FA">
        <w:t xml:space="preserve"> </w:t>
      </w:r>
      <w:r w:rsidRPr="00D337FA">
        <w:t>применительно</w:t>
      </w:r>
      <w:r w:rsidR="006C680D" w:rsidRPr="00D337FA">
        <w:t xml:space="preserve"> </w:t>
      </w:r>
      <w:r w:rsidRPr="00D337FA">
        <w:t>к</w:t>
      </w:r>
      <w:r w:rsidR="006C680D" w:rsidRPr="00D337FA">
        <w:t xml:space="preserve"> </w:t>
      </w:r>
      <w:r w:rsidRPr="00D337FA">
        <w:t>предприятиям</w:t>
      </w:r>
      <w:r w:rsidR="006C680D" w:rsidRPr="00D337FA">
        <w:t xml:space="preserve"> </w:t>
      </w:r>
      <w:r w:rsidRPr="00D337FA">
        <w:t>нефинансового</w:t>
      </w:r>
      <w:r w:rsidR="006C680D" w:rsidRPr="00D337FA">
        <w:t xml:space="preserve"> </w:t>
      </w:r>
      <w:r w:rsidRPr="00D337FA">
        <w:t>сектора</w:t>
      </w:r>
      <w:r w:rsidR="006C680D" w:rsidRPr="00D337FA">
        <w:t xml:space="preserve"> </w:t>
      </w:r>
      <w:r w:rsidRPr="00D337FA">
        <w:t>экономики.</w:t>
      </w:r>
      <w:r w:rsidR="006C680D" w:rsidRPr="00D337FA">
        <w:t xml:space="preserve"> </w:t>
      </w:r>
    </w:p>
    <w:p w:rsidR="004A1229" w:rsidRPr="00D337FA" w:rsidRDefault="004A1229" w:rsidP="004A1229">
      <w:pPr>
        <w:ind w:firstLine="284"/>
      </w:pPr>
      <w:r w:rsidRPr="00D337FA">
        <w:t>Одним</w:t>
      </w:r>
      <w:r w:rsidR="006C680D" w:rsidRPr="00D337FA">
        <w:t xml:space="preserve"> </w:t>
      </w:r>
      <w:r w:rsidRPr="00D337FA">
        <w:t>из</w:t>
      </w:r>
      <w:r w:rsidR="006C680D" w:rsidRPr="00D337FA">
        <w:t xml:space="preserve"> </w:t>
      </w:r>
      <w:r w:rsidRPr="00D337FA">
        <w:t>направлений</w:t>
      </w:r>
      <w:r w:rsidR="006C680D" w:rsidRPr="00D337FA">
        <w:t xml:space="preserve"> </w:t>
      </w:r>
      <w:r w:rsidRPr="00D337FA">
        <w:t>использования</w:t>
      </w:r>
      <w:r w:rsidR="006C680D" w:rsidRPr="00D337FA">
        <w:t xml:space="preserve"> </w:t>
      </w:r>
      <w:r w:rsidRPr="00D337FA">
        <w:t>санационного</w:t>
      </w:r>
      <w:r w:rsidR="006C680D" w:rsidRPr="00D337FA">
        <w:t xml:space="preserve"> </w:t>
      </w:r>
      <w:r w:rsidRPr="00D337FA">
        <w:t>аудита</w:t>
      </w:r>
      <w:r w:rsidR="006C680D" w:rsidRPr="00D337FA">
        <w:t xml:space="preserve"> </w:t>
      </w:r>
      <w:r w:rsidRPr="00D337FA">
        <w:t>банков</w:t>
      </w:r>
      <w:r w:rsidR="006C680D" w:rsidRPr="00D337FA">
        <w:t xml:space="preserve"> </w:t>
      </w:r>
      <w:r w:rsidRPr="00D337FA">
        <w:t>может</w:t>
      </w:r>
      <w:r w:rsidR="006C680D" w:rsidRPr="00D337FA">
        <w:t xml:space="preserve"> </w:t>
      </w:r>
      <w:r w:rsidRPr="00D337FA">
        <w:t>быть</w:t>
      </w:r>
      <w:r w:rsidR="006C680D" w:rsidRPr="00D337FA">
        <w:t xml:space="preserve"> </w:t>
      </w:r>
      <w:r w:rsidRPr="00D337FA">
        <w:t>определение</w:t>
      </w:r>
      <w:r w:rsidR="006C680D" w:rsidRPr="00D337FA">
        <w:t xml:space="preserve"> </w:t>
      </w:r>
      <w:r w:rsidRPr="00D337FA">
        <w:t>санационной</w:t>
      </w:r>
      <w:r w:rsidR="006C680D" w:rsidRPr="00D337FA">
        <w:t xml:space="preserve"> </w:t>
      </w:r>
      <w:r w:rsidRPr="00D337FA">
        <w:t>состоятельности</w:t>
      </w:r>
      <w:r w:rsidR="006C680D" w:rsidRPr="00D337FA">
        <w:t xml:space="preserve"> </w:t>
      </w:r>
      <w:r w:rsidRPr="00D337FA">
        <w:t>инвестора,</w:t>
      </w:r>
      <w:r w:rsidR="006C680D" w:rsidRPr="00D337FA">
        <w:t xml:space="preserve"> </w:t>
      </w:r>
      <w:r w:rsidRPr="00D337FA">
        <w:t>претендующего</w:t>
      </w:r>
      <w:r w:rsidR="006C680D" w:rsidRPr="00D337FA">
        <w:t xml:space="preserve"> </w:t>
      </w:r>
      <w:r w:rsidRPr="00D337FA">
        <w:t>на</w:t>
      </w:r>
      <w:r w:rsidR="006C680D" w:rsidRPr="00D337FA">
        <w:t xml:space="preserve"> </w:t>
      </w:r>
      <w:r w:rsidRPr="00D337FA">
        <w:t>роль</w:t>
      </w:r>
      <w:r w:rsidR="006C680D" w:rsidRPr="00D337FA">
        <w:t xml:space="preserve"> </w:t>
      </w:r>
      <w:r w:rsidRPr="00D337FA">
        <w:t>санатора,</w:t>
      </w:r>
      <w:r w:rsidR="006C680D" w:rsidRPr="00D337FA">
        <w:t xml:space="preserve"> </w:t>
      </w:r>
      <w:r w:rsidRPr="00D337FA">
        <w:t>с</w:t>
      </w:r>
      <w:r w:rsidR="006C680D" w:rsidRPr="00D337FA">
        <w:t xml:space="preserve"> </w:t>
      </w:r>
      <w:r w:rsidRPr="00D337FA">
        <w:t>целью</w:t>
      </w:r>
      <w:r w:rsidR="006C680D" w:rsidRPr="00D337FA">
        <w:t xml:space="preserve"> </w:t>
      </w:r>
      <w:r w:rsidRPr="00D337FA">
        <w:t>оценки</w:t>
      </w:r>
      <w:r w:rsidR="006C680D" w:rsidRPr="00D337FA">
        <w:t xml:space="preserve"> </w:t>
      </w:r>
      <w:r w:rsidRPr="00D337FA">
        <w:t>достаточности</w:t>
      </w:r>
      <w:r w:rsidR="006C680D" w:rsidRPr="00D337FA">
        <w:t xml:space="preserve"> </w:t>
      </w:r>
      <w:r w:rsidRPr="00D337FA">
        <w:t>у</w:t>
      </w:r>
      <w:r w:rsidR="006C680D" w:rsidRPr="00D337FA">
        <w:t xml:space="preserve"> </w:t>
      </w:r>
      <w:r w:rsidRPr="00D337FA">
        <w:t>него</w:t>
      </w:r>
      <w:r w:rsidR="006C680D" w:rsidRPr="00D337FA">
        <w:t xml:space="preserve"> </w:t>
      </w:r>
      <w:r w:rsidRPr="00D337FA">
        <w:t>финансовых,</w:t>
      </w:r>
      <w:r w:rsidR="006C680D" w:rsidRPr="00D337FA">
        <w:t xml:space="preserve"> </w:t>
      </w:r>
      <w:r w:rsidRPr="00D337FA">
        <w:t>организационно-технических</w:t>
      </w:r>
      <w:r w:rsidR="006C680D" w:rsidRPr="00D337FA">
        <w:t xml:space="preserve"> </w:t>
      </w:r>
      <w:r w:rsidRPr="00D337FA">
        <w:t>и</w:t>
      </w:r>
      <w:r w:rsidR="006C680D" w:rsidRPr="00D337FA">
        <w:t xml:space="preserve"> </w:t>
      </w:r>
      <w:r w:rsidRPr="00D337FA">
        <w:t>правовых</w:t>
      </w:r>
      <w:r w:rsidR="006C680D" w:rsidRPr="00D337FA">
        <w:t xml:space="preserve"> </w:t>
      </w:r>
      <w:r w:rsidRPr="00D337FA">
        <w:t>возможностей,</w:t>
      </w:r>
      <w:r w:rsidR="006C680D" w:rsidRPr="00D337FA">
        <w:t xml:space="preserve"> </w:t>
      </w:r>
      <w:r w:rsidRPr="00D337FA">
        <w:t>которые</w:t>
      </w:r>
      <w:r w:rsidR="006C680D" w:rsidRPr="00D337FA">
        <w:t xml:space="preserve"> </w:t>
      </w:r>
      <w:r w:rsidRPr="00D337FA">
        <w:t>в</w:t>
      </w:r>
      <w:r w:rsidR="006C680D" w:rsidRPr="00D337FA">
        <w:t xml:space="preserve"> </w:t>
      </w:r>
      <w:r w:rsidRPr="00D337FA">
        <w:t>совокупности</w:t>
      </w:r>
      <w:r w:rsidR="006C680D" w:rsidRPr="00D337FA">
        <w:t xml:space="preserve"> </w:t>
      </w:r>
      <w:r w:rsidRPr="00D337FA">
        <w:t>определяют</w:t>
      </w:r>
      <w:r w:rsidR="006C680D" w:rsidRPr="00D337FA">
        <w:t xml:space="preserve"> </w:t>
      </w:r>
      <w:r w:rsidRPr="00D337FA">
        <w:t>его</w:t>
      </w:r>
      <w:r w:rsidR="006C680D" w:rsidRPr="00D337FA">
        <w:t xml:space="preserve"> </w:t>
      </w:r>
      <w:r w:rsidRPr="00D337FA">
        <w:t>способность</w:t>
      </w:r>
      <w:r w:rsidR="006C680D" w:rsidRPr="00D337FA">
        <w:t xml:space="preserve"> </w:t>
      </w:r>
      <w:r w:rsidRPr="00D337FA">
        <w:t>к</w:t>
      </w:r>
      <w:r w:rsidR="006C680D" w:rsidRPr="00D337FA">
        <w:t xml:space="preserve"> </w:t>
      </w:r>
      <w:r w:rsidRPr="00D337FA">
        <w:t>успешному</w:t>
      </w:r>
      <w:r w:rsidR="006C680D" w:rsidRPr="00D337FA">
        <w:t xml:space="preserve"> </w:t>
      </w:r>
      <w:r w:rsidRPr="00D337FA">
        <w:t>проведению</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[23].</w:t>
      </w:r>
      <w:r w:rsidR="006C680D" w:rsidRPr="00D337FA">
        <w:t xml:space="preserve"> </w:t>
      </w:r>
      <w:r w:rsidRPr="00D337FA">
        <w:t>При</w:t>
      </w:r>
      <w:r w:rsidR="006C680D" w:rsidRPr="00D337FA">
        <w:t xml:space="preserve"> </w:t>
      </w:r>
      <w:r w:rsidRPr="00D337FA">
        <w:t>этом</w:t>
      </w:r>
      <w:r w:rsidR="006C680D" w:rsidRPr="00D337FA">
        <w:t xml:space="preserve"> </w:t>
      </w:r>
      <w:r w:rsidRPr="00D337FA">
        <w:t>санационная</w:t>
      </w:r>
      <w:r w:rsidR="006C680D" w:rsidRPr="00D337FA">
        <w:t xml:space="preserve"> </w:t>
      </w:r>
      <w:r w:rsidRPr="00D337FA">
        <w:t>состоятельность</w:t>
      </w:r>
      <w:r w:rsidR="006C680D" w:rsidRPr="00D337FA">
        <w:t xml:space="preserve"> </w:t>
      </w:r>
      <w:r w:rsidRPr="00D337FA">
        <w:t>инвестора,</w:t>
      </w:r>
      <w:r w:rsidR="006C680D" w:rsidRPr="00D337FA">
        <w:t xml:space="preserve"> </w:t>
      </w:r>
      <w:r w:rsidRPr="00D337FA">
        <w:t>а</w:t>
      </w:r>
      <w:r w:rsidR="006C680D" w:rsidRPr="00D337FA">
        <w:t xml:space="preserve"> </w:t>
      </w:r>
      <w:r w:rsidRPr="00D337FA">
        <w:t>не</w:t>
      </w:r>
      <w:r w:rsidR="006C680D" w:rsidRPr="00D337FA">
        <w:t xml:space="preserve"> </w:t>
      </w:r>
      <w:r w:rsidRPr="00D337FA">
        <w:t>предложение</w:t>
      </w:r>
      <w:r w:rsidR="006C680D" w:rsidRPr="00D337FA">
        <w:t xml:space="preserve"> </w:t>
      </w:r>
      <w:r w:rsidRPr="00D337FA">
        <w:t>наиболее</w:t>
      </w:r>
      <w:r w:rsidR="006C680D" w:rsidRPr="00D337FA">
        <w:t xml:space="preserve"> </w:t>
      </w:r>
      <w:r w:rsidRPr="00D337FA">
        <w:t>приемлемых</w:t>
      </w:r>
      <w:r w:rsidR="006C680D" w:rsidRPr="00D337FA">
        <w:t xml:space="preserve"> </w:t>
      </w:r>
      <w:r w:rsidRPr="00D337FA">
        <w:t>условий</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может</w:t>
      </w:r>
      <w:r w:rsidR="006C680D" w:rsidRPr="00D337FA">
        <w:t xml:space="preserve"> </w:t>
      </w:r>
      <w:r w:rsidRPr="00D337FA">
        <w:t>стать</w:t>
      </w:r>
      <w:r w:rsidR="006C680D" w:rsidRPr="00D337FA">
        <w:t xml:space="preserve"> </w:t>
      </w:r>
      <w:r w:rsidRPr="00D337FA">
        <w:t>одним</w:t>
      </w:r>
      <w:r w:rsidR="006C680D" w:rsidRPr="00D337FA">
        <w:t xml:space="preserve"> </w:t>
      </w:r>
      <w:r w:rsidRPr="00D337FA">
        <w:t>из</w:t>
      </w:r>
      <w:r w:rsidR="006C680D" w:rsidRPr="00D337FA">
        <w:t xml:space="preserve"> </w:t>
      </w:r>
      <w:r w:rsidRPr="00D337FA">
        <w:t>критериев</w:t>
      </w:r>
      <w:r w:rsidR="006C680D" w:rsidRPr="00D337FA">
        <w:t xml:space="preserve"> </w:t>
      </w:r>
      <w:r w:rsidRPr="00D337FA">
        <w:t>отбора</w:t>
      </w:r>
      <w:r w:rsidR="006C680D" w:rsidRPr="00D337FA">
        <w:t xml:space="preserve"> </w:t>
      </w:r>
      <w:r w:rsidRPr="00D337FA">
        <w:t>потенциального</w:t>
      </w:r>
      <w:r w:rsidR="006C680D" w:rsidRPr="00D337FA">
        <w:t xml:space="preserve"> </w:t>
      </w:r>
      <w:r w:rsidRPr="00D337FA">
        <w:t>инвестора.</w:t>
      </w:r>
      <w:r w:rsidR="006C680D" w:rsidRPr="00D337FA">
        <w:t xml:space="preserve">   </w:t>
      </w:r>
    </w:p>
    <w:p w:rsidR="004A1229" w:rsidRPr="00D337FA" w:rsidRDefault="004A1229" w:rsidP="004A1229">
      <w:pPr>
        <w:ind w:firstLine="284"/>
      </w:pPr>
      <w:r w:rsidRPr="00D337FA">
        <w:t>Другой</w:t>
      </w:r>
      <w:r w:rsidR="006C680D" w:rsidRPr="00D337FA">
        <w:t xml:space="preserve"> </w:t>
      </w:r>
      <w:r w:rsidRPr="00D337FA">
        <w:t>целью</w:t>
      </w:r>
      <w:r w:rsidR="006C680D" w:rsidRPr="00D337FA">
        <w:t xml:space="preserve"> </w:t>
      </w:r>
      <w:r w:rsidRPr="00D337FA">
        <w:t>санационного</w:t>
      </w:r>
      <w:r w:rsidR="006C680D" w:rsidRPr="00D337FA">
        <w:t xml:space="preserve"> </w:t>
      </w:r>
      <w:r w:rsidRPr="00D337FA">
        <w:t>аудита</w:t>
      </w:r>
      <w:r w:rsidR="006C680D" w:rsidRPr="00D337FA">
        <w:t xml:space="preserve"> </w:t>
      </w:r>
      <w:r w:rsidRPr="00D337FA">
        <w:t>может</w:t>
      </w:r>
      <w:r w:rsidR="006C680D" w:rsidRPr="00D337FA">
        <w:t xml:space="preserve"> </w:t>
      </w:r>
      <w:r w:rsidRPr="00D337FA">
        <w:t>быть</w:t>
      </w:r>
      <w:r w:rsidR="006C680D" w:rsidRPr="00D337FA">
        <w:t xml:space="preserve"> </w:t>
      </w:r>
      <w:r w:rsidRPr="00D337FA">
        <w:t>экспертная</w:t>
      </w:r>
      <w:r w:rsidR="006C680D" w:rsidRPr="00D337FA">
        <w:t xml:space="preserve"> </w:t>
      </w:r>
      <w:r w:rsidRPr="00D337FA">
        <w:t>оценка</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содержащая</w:t>
      </w:r>
      <w:r w:rsidR="006C680D" w:rsidRPr="00D337FA">
        <w:t xml:space="preserve"> </w:t>
      </w:r>
      <w:r w:rsidRPr="00D337FA">
        <w:t>независимое</w:t>
      </w:r>
      <w:r w:rsidR="006C680D" w:rsidRPr="00D337FA">
        <w:t xml:space="preserve"> </w:t>
      </w:r>
      <w:r w:rsidRPr="00D337FA">
        <w:t>мнение</w:t>
      </w:r>
      <w:r w:rsidR="006C680D" w:rsidRPr="00D337FA">
        <w:t xml:space="preserve"> </w:t>
      </w:r>
      <w:r w:rsidRPr="00D337FA">
        <w:t>по</w:t>
      </w:r>
      <w:r w:rsidR="006C680D" w:rsidRPr="00D337FA">
        <w:t xml:space="preserve"> </w:t>
      </w:r>
      <w:r w:rsidRPr="00D337FA">
        <w:t>этим</w:t>
      </w:r>
      <w:r w:rsidR="006C680D" w:rsidRPr="00D337FA">
        <w:t xml:space="preserve"> </w:t>
      </w:r>
      <w:r w:rsidRPr="00D337FA">
        <w:t>вопросам</w:t>
      </w:r>
      <w:r w:rsidR="006C680D" w:rsidRPr="00D337FA">
        <w:t xml:space="preserve"> </w:t>
      </w:r>
      <w:r w:rsidRPr="00D337FA">
        <w:t>третьей</w:t>
      </w:r>
      <w:r w:rsidR="006C680D" w:rsidRPr="00D337FA">
        <w:t xml:space="preserve"> </w:t>
      </w:r>
      <w:r w:rsidRPr="00D337FA">
        <w:t>стороны.</w:t>
      </w:r>
      <w:r w:rsidR="006C680D" w:rsidRPr="00D337FA">
        <w:t xml:space="preserve"> </w:t>
      </w:r>
      <w:r w:rsidRPr="00D337FA">
        <w:t>В</w:t>
      </w:r>
      <w:r w:rsidR="006C680D" w:rsidRPr="00D337FA">
        <w:t xml:space="preserve"> </w:t>
      </w:r>
      <w:r w:rsidRPr="00D337FA">
        <w:t>таком</w:t>
      </w:r>
      <w:r w:rsidR="006C680D" w:rsidRPr="00D337FA">
        <w:t xml:space="preserve"> </w:t>
      </w:r>
      <w:r w:rsidRPr="00D337FA">
        <w:t>контексте</w:t>
      </w:r>
      <w:r w:rsidR="006C680D" w:rsidRPr="00D337FA">
        <w:t xml:space="preserve"> </w:t>
      </w:r>
      <w:r w:rsidRPr="00D337FA">
        <w:t>санационный</w:t>
      </w:r>
      <w:r w:rsidR="006C680D" w:rsidRPr="00D337FA">
        <w:t xml:space="preserve"> </w:t>
      </w:r>
      <w:r w:rsidRPr="00D337FA">
        <w:t>аудит</w:t>
      </w:r>
      <w:r w:rsidR="006C680D" w:rsidRPr="00D337FA">
        <w:t xml:space="preserve"> </w:t>
      </w:r>
      <w:r w:rsidRPr="00D337FA">
        <w:t>эффективности</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может</w:t>
      </w:r>
      <w:r w:rsidR="006C680D" w:rsidRPr="00D337FA">
        <w:t xml:space="preserve"> </w:t>
      </w:r>
      <w:r w:rsidRPr="00D337FA">
        <w:t>стать</w:t>
      </w:r>
      <w:r w:rsidR="006C680D" w:rsidRPr="00D337FA">
        <w:t xml:space="preserve"> </w:t>
      </w:r>
      <w:r w:rsidRPr="00D337FA">
        <w:t>дополнением</w:t>
      </w:r>
      <w:r w:rsidR="006C680D" w:rsidRPr="00D337FA">
        <w:t xml:space="preserve"> </w:t>
      </w:r>
      <w:r w:rsidRPr="00D337FA">
        <w:t>к</w:t>
      </w:r>
      <w:r w:rsidR="006C680D" w:rsidRPr="00D337FA">
        <w:t xml:space="preserve"> </w:t>
      </w:r>
      <w:r w:rsidRPr="00D337FA">
        <w:t>мнению</w:t>
      </w:r>
      <w:r w:rsidR="006C680D" w:rsidRPr="00D337FA">
        <w:t xml:space="preserve"> </w:t>
      </w:r>
      <w:r w:rsidRPr="00D337FA">
        <w:t>главного</w:t>
      </w:r>
      <w:r w:rsidR="006C680D" w:rsidRPr="00D337FA">
        <w:t xml:space="preserve"> </w:t>
      </w:r>
      <w:r w:rsidRPr="00D337FA">
        <w:t>аудитора</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являющимся</w:t>
      </w:r>
      <w:r w:rsidR="006C680D" w:rsidRPr="00D337FA">
        <w:t xml:space="preserve"> </w:t>
      </w:r>
      <w:r w:rsidRPr="00D337FA">
        <w:t>должностным</w:t>
      </w:r>
      <w:r w:rsidR="006C680D" w:rsidRPr="00D337FA">
        <w:t xml:space="preserve"> </w:t>
      </w:r>
      <w:r w:rsidRPr="00D337FA">
        <w:t>лицом,</w:t>
      </w:r>
      <w:r w:rsidR="006C680D" w:rsidRPr="00D337FA">
        <w:t xml:space="preserve"> </w:t>
      </w:r>
      <w:r w:rsidRPr="00D337FA">
        <w:t>осуществляющим</w:t>
      </w:r>
      <w:r w:rsidR="006C680D" w:rsidRPr="00D337FA">
        <w:t xml:space="preserve"> </w:t>
      </w:r>
      <w:r w:rsidRPr="00D337FA">
        <w:t>внутренний</w:t>
      </w:r>
      <w:r w:rsidR="006C680D" w:rsidRPr="00D337FA">
        <w:t xml:space="preserve"> </w:t>
      </w:r>
      <w:r w:rsidRPr="00D337FA">
        <w:t>аудит</w:t>
      </w:r>
      <w:r w:rsidR="006C680D" w:rsidRPr="00D337FA">
        <w:t xml:space="preserve"> </w:t>
      </w:r>
      <w:r w:rsidRPr="00D337FA">
        <w:t>в</w:t>
      </w:r>
      <w:r w:rsidR="006C680D" w:rsidRPr="00D337FA">
        <w:t xml:space="preserve"> </w:t>
      </w:r>
      <w:r w:rsidRPr="00D337FA">
        <w:t>Центральном</w:t>
      </w:r>
      <w:r w:rsidR="006C680D" w:rsidRPr="00D337FA">
        <w:t xml:space="preserve"> </w:t>
      </w:r>
      <w:r w:rsidRPr="00D337FA">
        <w:t>банке</w:t>
      </w:r>
      <w:r w:rsidR="006C680D" w:rsidRPr="00D337FA">
        <w:t xml:space="preserve"> </w:t>
      </w:r>
      <w:r w:rsidRPr="00D337FA">
        <w:t>РФ,</w:t>
      </w:r>
      <w:r w:rsidR="006C680D" w:rsidRPr="00D337FA">
        <w:t xml:space="preserve"> </w:t>
      </w:r>
      <w:r w:rsidRPr="00D337FA">
        <w:t>по</w:t>
      </w:r>
      <w:r w:rsidR="006C680D" w:rsidRPr="00D337FA">
        <w:t xml:space="preserve"> </w:t>
      </w:r>
      <w:r w:rsidRPr="00D337FA">
        <w:t>вопросам</w:t>
      </w:r>
      <w:r w:rsidR="006C680D" w:rsidRPr="00D337FA">
        <w:t xml:space="preserve"> </w:t>
      </w:r>
      <w:r w:rsidRPr="00D337FA">
        <w:t>эффективности</w:t>
      </w:r>
      <w:r w:rsidR="006C680D" w:rsidRPr="00D337FA">
        <w:t xml:space="preserve"> </w:t>
      </w:r>
      <w:r w:rsidRPr="00D337FA">
        <w:t>использования</w:t>
      </w:r>
      <w:r w:rsidR="006C680D" w:rsidRPr="00D337FA">
        <w:t xml:space="preserve"> </w:t>
      </w:r>
      <w:r w:rsidRPr="00D337FA">
        <w:t>средств</w:t>
      </w:r>
      <w:r w:rsidR="006C680D" w:rsidRPr="00D337FA">
        <w:t xml:space="preserve"> </w:t>
      </w:r>
      <w:r w:rsidRPr="00D337FA">
        <w:t>Фонда</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p>
    <w:p w:rsidR="004A1229" w:rsidRPr="00D337FA" w:rsidRDefault="004A1229" w:rsidP="004A1229">
      <w:pPr>
        <w:ind w:firstLine="284"/>
      </w:pPr>
      <w:r w:rsidRPr="00D337FA">
        <w:t>4.</w:t>
      </w:r>
      <w:r w:rsidR="006C680D" w:rsidRPr="00D337FA">
        <w:t xml:space="preserve"> </w:t>
      </w:r>
      <w:r w:rsidRPr="00D337FA">
        <w:t>Величина</w:t>
      </w:r>
      <w:r w:rsidR="006C680D" w:rsidRPr="00D337FA">
        <w:t xml:space="preserve"> </w:t>
      </w:r>
      <w:r w:rsidRPr="00D337FA">
        <w:t>государственных</w:t>
      </w:r>
      <w:r w:rsidR="006C680D" w:rsidRPr="00D337FA">
        <w:t xml:space="preserve"> </w:t>
      </w:r>
      <w:r w:rsidRPr="00D337FA">
        <w:t>затрат</w:t>
      </w:r>
      <w:r w:rsidR="006C680D" w:rsidRPr="00D337FA">
        <w:t xml:space="preserve"> </w:t>
      </w:r>
      <w:r w:rsidRPr="00D337FA">
        <w:t>на</w:t>
      </w:r>
      <w:r w:rsidR="006C680D" w:rsidRPr="00D337FA">
        <w:t xml:space="preserve"> </w:t>
      </w:r>
      <w:r w:rsidRPr="00D337FA">
        <w:t>санацию</w:t>
      </w:r>
      <w:r w:rsidR="006C680D" w:rsidRPr="00D337FA">
        <w:t xml:space="preserve"> </w:t>
      </w:r>
      <w:r w:rsidRPr="00D337FA">
        <w:t>банков</w:t>
      </w:r>
      <w:r w:rsidR="006C680D" w:rsidRPr="00D337FA">
        <w:t xml:space="preserve"> </w:t>
      </w:r>
      <w:r w:rsidRPr="00D337FA">
        <w:t>имеет</w:t>
      </w:r>
      <w:r w:rsidR="006C680D" w:rsidRPr="00D337FA">
        <w:t xml:space="preserve"> </w:t>
      </w:r>
      <w:r w:rsidRPr="00D337FA">
        <w:t>тенденцию</w:t>
      </w:r>
      <w:r w:rsidR="006C680D" w:rsidRPr="00D337FA">
        <w:t xml:space="preserve"> </w:t>
      </w:r>
      <w:r w:rsidRPr="00D337FA">
        <w:t>к</w:t>
      </w:r>
      <w:r w:rsidR="006C680D" w:rsidRPr="00D337FA">
        <w:t xml:space="preserve"> </w:t>
      </w:r>
      <w:r w:rsidRPr="00D337FA">
        <w:t>росту,</w:t>
      </w:r>
      <w:r w:rsidR="006C680D" w:rsidRPr="00D337FA">
        <w:t xml:space="preserve"> </w:t>
      </w:r>
      <w:r w:rsidRPr="00D337FA">
        <w:t>несмотря</w:t>
      </w:r>
      <w:r w:rsidR="006C680D" w:rsidRPr="00D337FA">
        <w:t xml:space="preserve"> </w:t>
      </w:r>
      <w:r w:rsidRPr="00D337FA">
        <w:t>на</w:t>
      </w:r>
      <w:r w:rsidR="006C680D" w:rsidRPr="00D337FA">
        <w:t xml:space="preserve"> </w:t>
      </w:r>
      <w:r w:rsidRPr="00D337FA">
        <w:t>то,</w:t>
      </w:r>
      <w:r w:rsidR="006C680D" w:rsidRPr="00D337FA">
        <w:t xml:space="preserve"> </w:t>
      </w:r>
      <w:r w:rsidRPr="00D337FA">
        <w:t>что</w:t>
      </w:r>
      <w:r w:rsidR="006C680D" w:rsidRPr="00D337FA">
        <w:t xml:space="preserve"> </w:t>
      </w:r>
      <w:r w:rsidRPr="00D337FA">
        <w:t>новых</w:t>
      </w:r>
      <w:r w:rsidR="006C680D" w:rsidRPr="00D337FA">
        <w:t xml:space="preserve"> </w:t>
      </w:r>
      <w:r w:rsidRPr="00D337FA">
        <w:t>случаев</w:t>
      </w:r>
      <w:r w:rsidR="006C680D" w:rsidRPr="00D337FA">
        <w:t xml:space="preserve"> </w:t>
      </w:r>
      <w:r w:rsidRPr="00D337FA">
        <w:t>участия</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и</w:t>
      </w:r>
      <w:r w:rsidR="006C680D" w:rsidRPr="00D337FA">
        <w:t xml:space="preserve"> </w:t>
      </w:r>
      <w:r w:rsidRPr="00D337FA">
        <w:t>Агентства</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в</w:t>
      </w:r>
      <w:r w:rsidR="006C680D" w:rsidRPr="00D337FA">
        <w:t xml:space="preserve"> </w:t>
      </w:r>
      <w:r w:rsidRPr="00D337FA">
        <w:t>реализации</w:t>
      </w:r>
      <w:r w:rsidR="006C680D" w:rsidRPr="00D337FA">
        <w:t xml:space="preserve"> </w:t>
      </w:r>
      <w:r w:rsidRPr="00D337FA">
        <w:t>мер</w:t>
      </w:r>
      <w:r w:rsidR="006C680D" w:rsidRPr="00D337FA">
        <w:t xml:space="preserve"> </w:t>
      </w:r>
      <w:r w:rsidRPr="00D337FA">
        <w:t>по</w:t>
      </w:r>
      <w:r w:rsidR="006C680D" w:rsidRPr="00D337FA">
        <w:t xml:space="preserve"> </w:t>
      </w:r>
      <w:r w:rsidRPr="00D337FA">
        <w:t>финансовому</w:t>
      </w:r>
      <w:r w:rsidR="006C680D" w:rsidRPr="00D337FA">
        <w:t xml:space="preserve"> </w:t>
      </w:r>
      <w:r w:rsidRPr="00D337FA">
        <w:t>оздоровлению</w:t>
      </w:r>
      <w:r w:rsidR="006C680D" w:rsidRPr="00D337FA">
        <w:t xml:space="preserve"> </w:t>
      </w:r>
      <w:r w:rsidRPr="00D337FA">
        <w:t>банков</w:t>
      </w:r>
      <w:r w:rsidR="006C680D" w:rsidRPr="00D337FA">
        <w:t xml:space="preserve"> </w:t>
      </w:r>
      <w:r w:rsidRPr="00D337FA">
        <w:t>в</w:t>
      </w:r>
      <w:r w:rsidR="006C680D" w:rsidRPr="00D337FA">
        <w:t xml:space="preserve"> </w:t>
      </w:r>
      <w:r w:rsidRPr="00D337FA">
        <w:t>период</w:t>
      </w:r>
      <w:r w:rsidR="006C680D" w:rsidRPr="00D337FA">
        <w:t xml:space="preserve"> </w:t>
      </w:r>
      <w:r w:rsidRPr="00D337FA">
        <w:t>с</w:t>
      </w:r>
      <w:r w:rsidR="006C680D" w:rsidRPr="00D337FA">
        <w:t xml:space="preserve"> </w:t>
      </w:r>
      <w:r w:rsidRPr="00D337FA">
        <w:t>2020</w:t>
      </w:r>
      <w:r w:rsidR="006C680D" w:rsidRPr="00D337FA">
        <w:t xml:space="preserve"> </w:t>
      </w:r>
      <w:r w:rsidRPr="00D337FA">
        <w:t>года</w:t>
      </w:r>
      <w:r w:rsidR="006C680D" w:rsidRPr="00D337FA">
        <w:t xml:space="preserve"> </w:t>
      </w:r>
      <w:r w:rsidRPr="00D337FA">
        <w:t>нет.</w:t>
      </w:r>
      <w:r w:rsidR="006C680D" w:rsidRPr="00D337FA">
        <w:t xml:space="preserve"> </w:t>
      </w:r>
    </w:p>
    <w:p w:rsidR="004A1229" w:rsidRPr="00D337FA" w:rsidRDefault="004A1229" w:rsidP="004A1229">
      <w:pPr>
        <w:ind w:firstLine="284"/>
      </w:pPr>
      <w:r w:rsidRPr="00D337FA">
        <w:t>С</w:t>
      </w:r>
      <w:r w:rsidR="006C680D" w:rsidRPr="00D337FA">
        <w:t xml:space="preserve"> </w:t>
      </w:r>
      <w:r w:rsidRPr="00D337FA">
        <w:t>одной</w:t>
      </w:r>
      <w:r w:rsidR="006C680D" w:rsidRPr="00D337FA">
        <w:t xml:space="preserve"> </w:t>
      </w:r>
      <w:r w:rsidRPr="00D337FA">
        <w:t>стороны,</w:t>
      </w:r>
      <w:r w:rsidR="006C680D" w:rsidRPr="00D337FA">
        <w:t xml:space="preserve"> </w:t>
      </w:r>
      <w:r w:rsidRPr="00D337FA">
        <w:t>объяснением</w:t>
      </w:r>
      <w:r w:rsidR="006C680D" w:rsidRPr="00D337FA">
        <w:t xml:space="preserve"> </w:t>
      </w:r>
      <w:r w:rsidRPr="00D337FA">
        <w:t>этому</w:t>
      </w:r>
      <w:r w:rsidR="006C680D" w:rsidRPr="00D337FA">
        <w:t xml:space="preserve"> </w:t>
      </w:r>
      <w:r w:rsidRPr="00D337FA">
        <w:t>служит</w:t>
      </w:r>
      <w:r w:rsidR="006C680D" w:rsidRPr="00D337FA">
        <w:t xml:space="preserve"> </w:t>
      </w:r>
      <w:r w:rsidRPr="00D337FA">
        <w:t>неблагоприятная</w:t>
      </w:r>
      <w:r w:rsidR="006C680D" w:rsidRPr="00D337FA">
        <w:t xml:space="preserve"> </w:t>
      </w:r>
      <w:r w:rsidRPr="00D337FA">
        <w:t>макроэкономическая</w:t>
      </w:r>
      <w:r w:rsidR="006C680D" w:rsidRPr="00D337FA">
        <w:t xml:space="preserve"> </w:t>
      </w:r>
      <w:r w:rsidRPr="00D337FA">
        <w:t>ситуация,</w:t>
      </w:r>
      <w:r w:rsidR="006C680D" w:rsidRPr="00D337FA">
        <w:t xml:space="preserve"> </w:t>
      </w:r>
      <w:r w:rsidRPr="00D337FA">
        <w:t>высокая</w:t>
      </w:r>
      <w:r w:rsidR="006C680D" w:rsidRPr="00D337FA">
        <w:t xml:space="preserve"> </w:t>
      </w:r>
      <w:r w:rsidRPr="00D337FA">
        <w:t>ключевая</w:t>
      </w:r>
      <w:r w:rsidR="006C680D" w:rsidRPr="00D337FA">
        <w:t xml:space="preserve"> </w:t>
      </w:r>
      <w:r w:rsidRPr="00D337FA">
        <w:t>ставка,</w:t>
      </w:r>
      <w:r w:rsidR="006C680D" w:rsidRPr="00D337FA">
        <w:t xml:space="preserve"> </w:t>
      </w:r>
      <w:r w:rsidRPr="00D337FA">
        <w:lastRenderedPageBreak/>
        <w:t>ужесточение</w:t>
      </w:r>
      <w:r w:rsidR="006C680D" w:rsidRPr="00D337FA">
        <w:t xml:space="preserve"> </w:t>
      </w:r>
      <w:r w:rsidRPr="00D337FA">
        <w:t>пруденциальных</w:t>
      </w:r>
      <w:r w:rsidR="006C680D" w:rsidRPr="00D337FA">
        <w:t xml:space="preserve"> </w:t>
      </w:r>
      <w:r w:rsidRPr="00D337FA">
        <w:t>требований</w:t>
      </w:r>
      <w:r w:rsidR="006C680D" w:rsidRPr="00D337FA">
        <w:t xml:space="preserve"> </w:t>
      </w:r>
      <w:r w:rsidRPr="00D337FA">
        <w:t>к</w:t>
      </w:r>
      <w:r w:rsidR="006C680D" w:rsidRPr="00D337FA">
        <w:t xml:space="preserve"> </w:t>
      </w:r>
      <w:r w:rsidRPr="00D337FA">
        <w:t>банкам</w:t>
      </w:r>
      <w:r w:rsidR="006C680D" w:rsidRPr="00D337FA">
        <w:t xml:space="preserve"> </w:t>
      </w:r>
      <w:r w:rsidRPr="00D337FA">
        <w:t>и</w:t>
      </w:r>
      <w:r w:rsidR="006C680D" w:rsidRPr="00D337FA">
        <w:t xml:space="preserve"> </w:t>
      </w:r>
      <w:r w:rsidRPr="00D337FA">
        <w:t>поэтапная</w:t>
      </w:r>
      <w:r w:rsidR="006C680D" w:rsidRPr="00D337FA">
        <w:t xml:space="preserve"> </w:t>
      </w:r>
      <w:r w:rsidRPr="00D337FA">
        <w:t>отмена</w:t>
      </w:r>
      <w:r w:rsidR="006C680D" w:rsidRPr="00D337FA">
        <w:t xml:space="preserve"> </w:t>
      </w:r>
      <w:r w:rsidRPr="00D337FA">
        <w:t>ряда</w:t>
      </w:r>
      <w:r w:rsidR="006C680D" w:rsidRPr="00D337FA">
        <w:t xml:space="preserve"> </w:t>
      </w:r>
      <w:r w:rsidRPr="00D337FA">
        <w:t>регуляторных</w:t>
      </w:r>
      <w:r w:rsidR="006C680D" w:rsidRPr="00D337FA">
        <w:t xml:space="preserve"> </w:t>
      </w:r>
      <w:r w:rsidRPr="00D337FA">
        <w:t>преференций,</w:t>
      </w:r>
      <w:r w:rsidR="006C680D" w:rsidRPr="00D337FA">
        <w:t xml:space="preserve"> </w:t>
      </w:r>
      <w:r w:rsidRPr="00D337FA">
        <w:t>предоставленных</w:t>
      </w:r>
      <w:r w:rsidR="006C680D" w:rsidRPr="00D337FA">
        <w:t xml:space="preserve"> </w:t>
      </w:r>
      <w:r w:rsidRPr="00D337FA">
        <w:t>банкам</w:t>
      </w:r>
      <w:r w:rsidR="006C680D" w:rsidRPr="00D337FA">
        <w:t xml:space="preserve"> </w:t>
      </w:r>
      <w:r w:rsidRPr="00D337FA">
        <w:t>в</w:t>
      </w:r>
      <w:r w:rsidR="006C680D" w:rsidRPr="00D337FA">
        <w:t xml:space="preserve"> </w:t>
      </w:r>
      <w:r w:rsidRPr="00D337FA">
        <w:t>2022</w:t>
      </w:r>
      <w:r w:rsidR="006C680D" w:rsidRPr="00D337FA">
        <w:t xml:space="preserve"> </w:t>
      </w:r>
      <w:r w:rsidRPr="00D337FA">
        <w:t>году</w:t>
      </w:r>
      <w:r w:rsidR="006C680D" w:rsidRPr="00D337FA">
        <w:t xml:space="preserve"> </w:t>
      </w:r>
      <w:r w:rsidRPr="00D337FA">
        <w:t>в</w:t>
      </w:r>
      <w:r w:rsidR="006C680D" w:rsidRPr="00D337FA">
        <w:t xml:space="preserve"> </w:t>
      </w:r>
      <w:r w:rsidRPr="00D337FA">
        <w:t>связи</w:t>
      </w:r>
      <w:r w:rsidR="006C680D" w:rsidRPr="00D337FA">
        <w:t xml:space="preserve"> </w:t>
      </w:r>
      <w:r w:rsidRPr="00D337FA">
        <w:t>с</w:t>
      </w:r>
      <w:r w:rsidR="006C680D" w:rsidRPr="00D337FA">
        <w:t xml:space="preserve"> </w:t>
      </w:r>
      <w:r w:rsidRPr="00D337FA">
        <w:t>западными</w:t>
      </w:r>
      <w:r w:rsidR="006C680D" w:rsidRPr="00D337FA">
        <w:t xml:space="preserve"> </w:t>
      </w:r>
      <w:r w:rsidRPr="00D337FA">
        <w:t>санкциями</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отдельных</w:t>
      </w:r>
      <w:r w:rsidR="006C680D" w:rsidRPr="00D337FA">
        <w:t xml:space="preserve"> </w:t>
      </w:r>
      <w:r w:rsidRPr="00D337FA">
        <w:t>субъектов</w:t>
      </w:r>
      <w:r w:rsidR="006C680D" w:rsidRPr="00D337FA">
        <w:t xml:space="preserve"> </w:t>
      </w:r>
      <w:r w:rsidRPr="00D337FA">
        <w:t>и</w:t>
      </w:r>
      <w:r w:rsidR="006C680D" w:rsidRPr="00D337FA">
        <w:t xml:space="preserve"> </w:t>
      </w:r>
      <w:r w:rsidRPr="00D337FA">
        <w:t>отраслей</w:t>
      </w:r>
      <w:r w:rsidR="006C680D" w:rsidRPr="00D337FA">
        <w:t xml:space="preserve"> </w:t>
      </w:r>
      <w:r w:rsidRPr="00D337FA">
        <w:t>российской</w:t>
      </w:r>
      <w:r w:rsidR="006C680D" w:rsidRPr="00D337FA">
        <w:t xml:space="preserve"> </w:t>
      </w:r>
      <w:r w:rsidRPr="00D337FA">
        <w:t>экономики.</w:t>
      </w:r>
      <w:r w:rsidR="006C680D" w:rsidRPr="00D337FA">
        <w:t xml:space="preserve"> </w:t>
      </w:r>
    </w:p>
    <w:p w:rsidR="004A1229" w:rsidRPr="00D337FA" w:rsidRDefault="004A1229" w:rsidP="004A1229">
      <w:pPr>
        <w:ind w:firstLine="284"/>
      </w:pPr>
      <w:r w:rsidRPr="00D337FA">
        <w:t>Вместе</w:t>
      </w:r>
      <w:r w:rsidR="006C680D" w:rsidRPr="00D337FA">
        <w:t xml:space="preserve"> </w:t>
      </w:r>
      <w:r w:rsidRPr="00D337FA">
        <w:t>с</w:t>
      </w:r>
      <w:r w:rsidR="006C680D" w:rsidRPr="00D337FA">
        <w:t xml:space="preserve"> </w:t>
      </w:r>
      <w:r w:rsidRPr="00D337FA">
        <w:t>тем,</w:t>
      </w:r>
      <w:r w:rsidR="006C680D" w:rsidRPr="00D337FA">
        <w:t xml:space="preserve"> </w:t>
      </w:r>
      <w:r w:rsidRPr="00D337FA">
        <w:t>затраты</w:t>
      </w:r>
      <w:r w:rsidR="006C680D" w:rsidRPr="00D337FA">
        <w:t xml:space="preserve"> </w:t>
      </w:r>
      <w:r w:rsidRPr="00D337FA">
        <w:t>на</w:t>
      </w:r>
      <w:r w:rsidR="006C680D" w:rsidRPr="00D337FA">
        <w:t xml:space="preserve"> </w:t>
      </w:r>
      <w:r w:rsidRPr="00D337FA">
        <w:t>докапитализацию</w:t>
      </w:r>
      <w:r w:rsidR="006C680D" w:rsidRPr="00D337FA">
        <w:t xml:space="preserve"> </w:t>
      </w:r>
      <w:r w:rsidRPr="00D337FA">
        <w:t>санируемых</w:t>
      </w:r>
      <w:r w:rsidR="006C680D" w:rsidRPr="00D337FA">
        <w:t xml:space="preserve"> </w:t>
      </w:r>
      <w:r w:rsidRPr="00D337FA">
        <w:t>банков</w:t>
      </w:r>
      <w:r w:rsidR="006C680D" w:rsidRPr="00D337FA">
        <w:t xml:space="preserve"> </w:t>
      </w:r>
      <w:r w:rsidRPr="00D337FA">
        <w:t>могут</w:t>
      </w:r>
      <w:r w:rsidR="006C680D" w:rsidRPr="00D337FA">
        <w:t xml:space="preserve"> </w:t>
      </w:r>
      <w:r w:rsidRPr="00D337FA">
        <w:t>быть</w:t>
      </w:r>
      <w:r w:rsidR="006C680D" w:rsidRPr="00D337FA">
        <w:t xml:space="preserve"> </w:t>
      </w:r>
      <w:r w:rsidRPr="00D337FA">
        <w:t>сокращены</w:t>
      </w:r>
      <w:r w:rsidR="006C680D" w:rsidRPr="00D337FA">
        <w:t xml:space="preserve"> </w:t>
      </w:r>
      <w:r w:rsidRPr="00D337FA">
        <w:t>за</w:t>
      </w:r>
      <w:r w:rsidR="006C680D" w:rsidRPr="00D337FA">
        <w:t xml:space="preserve"> </w:t>
      </w:r>
      <w:r w:rsidRPr="00D337FA">
        <w:t>счет</w:t>
      </w:r>
      <w:r w:rsidR="006C680D" w:rsidRPr="00D337FA">
        <w:t xml:space="preserve"> </w:t>
      </w:r>
      <w:r w:rsidRPr="00D337FA">
        <w:t>более</w:t>
      </w:r>
      <w:r w:rsidR="006C680D" w:rsidRPr="00D337FA">
        <w:t xml:space="preserve"> </w:t>
      </w:r>
      <w:r w:rsidRPr="00D337FA">
        <w:t>активного</w:t>
      </w:r>
      <w:r w:rsidR="006C680D" w:rsidRPr="00D337FA">
        <w:t xml:space="preserve"> </w:t>
      </w:r>
      <w:r w:rsidRPr="00D337FA">
        <w:t>использования</w:t>
      </w:r>
      <w:r w:rsidR="006C680D" w:rsidRPr="00D337FA">
        <w:t xml:space="preserve"> </w:t>
      </w:r>
      <w:r w:rsidRPr="00D337FA">
        <w:t>такого</w:t>
      </w:r>
      <w:r w:rsidR="006C680D" w:rsidRPr="00D337FA">
        <w:t xml:space="preserve"> </w:t>
      </w:r>
      <w:r w:rsidRPr="00D337FA">
        <w:t>механизма,</w:t>
      </w:r>
      <w:r w:rsidR="006C680D" w:rsidRPr="00D337FA">
        <w:t xml:space="preserve"> </w:t>
      </w:r>
      <w:r w:rsidRPr="00D337FA">
        <w:t>как</w:t>
      </w:r>
      <w:r w:rsidR="006C680D" w:rsidRPr="00D337FA">
        <w:t xml:space="preserve"> </w:t>
      </w:r>
      <w:r w:rsidRPr="00D337FA">
        <w:t>«bail-in»,</w:t>
      </w:r>
      <w:r w:rsidR="006C680D" w:rsidRPr="00D337FA">
        <w:t xml:space="preserve"> </w:t>
      </w:r>
      <w:r w:rsidRPr="00D337FA">
        <w:t>предполагающего</w:t>
      </w:r>
      <w:r w:rsidR="006C680D" w:rsidRPr="00D337FA">
        <w:t xml:space="preserve"> </w:t>
      </w:r>
      <w:r w:rsidRPr="00D337FA">
        <w:t>конвертацию</w:t>
      </w:r>
      <w:r w:rsidR="006C680D" w:rsidRPr="00D337FA">
        <w:t xml:space="preserve"> </w:t>
      </w:r>
      <w:r w:rsidRPr="00D337FA">
        <w:t>средств</w:t>
      </w:r>
      <w:r w:rsidR="006C680D" w:rsidRPr="00D337FA">
        <w:t xml:space="preserve"> </w:t>
      </w:r>
      <w:r w:rsidRPr="00D337FA">
        <w:t>крупных</w:t>
      </w:r>
      <w:r w:rsidR="006C680D" w:rsidRPr="00D337FA">
        <w:t xml:space="preserve"> </w:t>
      </w:r>
      <w:r w:rsidRPr="00D337FA">
        <w:t>кредиторов</w:t>
      </w:r>
      <w:r w:rsidR="006C680D" w:rsidRPr="00D337FA">
        <w:t xml:space="preserve"> </w:t>
      </w:r>
      <w:r w:rsidRPr="00D337FA">
        <w:t>в</w:t>
      </w:r>
      <w:r w:rsidR="006C680D" w:rsidRPr="00D337FA">
        <w:t xml:space="preserve"> </w:t>
      </w:r>
      <w:r w:rsidRPr="00D337FA">
        <w:t>элементы</w:t>
      </w:r>
      <w:r w:rsidR="006C680D" w:rsidRPr="00D337FA">
        <w:t xml:space="preserve"> </w:t>
      </w:r>
      <w:r w:rsidRPr="00D337FA">
        <w:t>капитала</w:t>
      </w:r>
      <w:r w:rsidR="006C680D" w:rsidRPr="00D337FA">
        <w:t xml:space="preserve"> </w:t>
      </w:r>
      <w:r w:rsidRPr="00D337FA">
        <w:t>банка</w:t>
      </w:r>
      <w:r w:rsidR="006C680D" w:rsidRPr="00D337FA">
        <w:t xml:space="preserve"> </w:t>
      </w:r>
      <w:r w:rsidRPr="00D337FA">
        <w:t>[24].</w:t>
      </w:r>
      <w:r w:rsidR="006C680D" w:rsidRPr="00D337FA">
        <w:t xml:space="preserve"> </w:t>
      </w:r>
      <w:r w:rsidRPr="00D337FA">
        <w:t>Практика</w:t>
      </w:r>
      <w:r w:rsidR="006C680D" w:rsidRPr="00D337FA">
        <w:t xml:space="preserve"> </w:t>
      </w:r>
      <w:r w:rsidRPr="00D337FA">
        <w:t>использования</w:t>
      </w:r>
      <w:r w:rsidR="006C680D" w:rsidRPr="00D337FA">
        <w:t xml:space="preserve"> </w:t>
      </w:r>
      <w:r w:rsidRPr="00D337FA">
        <w:t>этого</w:t>
      </w:r>
      <w:r w:rsidR="006C680D" w:rsidRPr="00D337FA">
        <w:t xml:space="preserve"> </w:t>
      </w:r>
      <w:r w:rsidRPr="00D337FA">
        <w:t>механизма</w:t>
      </w:r>
      <w:r w:rsidR="006C680D" w:rsidRPr="00D337FA">
        <w:t xml:space="preserve"> </w:t>
      </w:r>
      <w:r w:rsidRPr="00D337FA">
        <w:t>пока</w:t>
      </w:r>
      <w:r w:rsidR="006C680D" w:rsidRPr="00D337FA">
        <w:t xml:space="preserve"> </w:t>
      </w:r>
      <w:r w:rsidRPr="00D337FA">
        <w:t>не</w:t>
      </w:r>
      <w:r w:rsidR="006C680D" w:rsidRPr="00D337FA">
        <w:t xml:space="preserve"> </w:t>
      </w:r>
      <w:r w:rsidRPr="00D337FA">
        <w:t>велика.</w:t>
      </w:r>
      <w:r w:rsidR="006C680D" w:rsidRPr="00D337FA">
        <w:t xml:space="preserve"> </w:t>
      </w:r>
      <w:r w:rsidRPr="00D337FA">
        <w:t>Известно</w:t>
      </w:r>
      <w:r w:rsidR="006C680D" w:rsidRPr="00D337FA">
        <w:t xml:space="preserve"> </w:t>
      </w:r>
      <w:r w:rsidRPr="00D337FA">
        <w:t>о</w:t>
      </w:r>
      <w:r w:rsidR="006C680D" w:rsidRPr="00D337FA">
        <w:t xml:space="preserve"> </w:t>
      </w:r>
      <w:r w:rsidRPr="00D337FA">
        <w:t>его</w:t>
      </w:r>
      <w:r w:rsidR="006C680D" w:rsidRPr="00D337FA">
        <w:t xml:space="preserve"> </w:t>
      </w:r>
      <w:r w:rsidRPr="00D337FA">
        <w:t>применении</w:t>
      </w:r>
      <w:r w:rsidR="006C680D" w:rsidRPr="00D337FA">
        <w:t xml:space="preserve"> </w:t>
      </w:r>
      <w:r w:rsidRPr="00D337FA">
        <w:t>в</w:t>
      </w:r>
      <w:r w:rsidR="006C680D" w:rsidRPr="00D337FA">
        <w:t xml:space="preserve"> </w:t>
      </w:r>
      <w:r w:rsidRPr="00D337FA">
        <w:t>банке</w:t>
      </w:r>
      <w:r w:rsidR="006C680D" w:rsidRPr="00D337FA">
        <w:t xml:space="preserve"> </w:t>
      </w:r>
      <w:r w:rsidRPr="00D337FA">
        <w:t>«Пересвет»,</w:t>
      </w:r>
      <w:r w:rsidR="006C680D" w:rsidRPr="00D337FA">
        <w:t xml:space="preserve"> </w:t>
      </w:r>
      <w:r w:rsidRPr="00D337FA">
        <w:t>планом</w:t>
      </w:r>
      <w:r w:rsidR="006C680D" w:rsidRPr="00D337FA">
        <w:t xml:space="preserve"> </w:t>
      </w:r>
      <w:r w:rsidRPr="00D337FA">
        <w:t>санации</w:t>
      </w:r>
      <w:r w:rsidR="006C680D" w:rsidRPr="00D337FA">
        <w:t xml:space="preserve"> </w:t>
      </w:r>
      <w:r w:rsidRPr="00D337FA">
        <w:t>которого</w:t>
      </w:r>
      <w:r w:rsidR="006C680D" w:rsidRPr="00D337FA">
        <w:t xml:space="preserve"> </w:t>
      </w:r>
      <w:r w:rsidRPr="00D337FA">
        <w:t>предусмотрено</w:t>
      </w:r>
      <w:r w:rsidR="006C680D" w:rsidRPr="00D337FA">
        <w:t xml:space="preserve"> </w:t>
      </w:r>
      <w:r w:rsidRPr="00D337FA">
        <w:t>привлечение</w:t>
      </w:r>
      <w:r w:rsidR="006C680D" w:rsidRPr="00D337FA">
        <w:t xml:space="preserve"> </w:t>
      </w:r>
      <w:r w:rsidRPr="00D337FA">
        <w:t>к</w:t>
      </w:r>
      <w:r w:rsidR="006C680D" w:rsidRPr="00D337FA">
        <w:t xml:space="preserve"> </w:t>
      </w:r>
      <w:r w:rsidRPr="00D337FA">
        <w:t>финансовому</w:t>
      </w:r>
      <w:r w:rsidR="006C680D" w:rsidRPr="00D337FA">
        <w:t xml:space="preserve"> </w:t>
      </w:r>
      <w:r w:rsidRPr="00D337FA">
        <w:t>оздоровлению</w:t>
      </w:r>
      <w:r w:rsidR="006C680D" w:rsidRPr="00D337FA">
        <w:t xml:space="preserve"> </w:t>
      </w:r>
      <w:r w:rsidRPr="00D337FA">
        <w:t>банка</w:t>
      </w:r>
      <w:r w:rsidR="006C680D" w:rsidRPr="00D337FA">
        <w:t xml:space="preserve"> </w:t>
      </w:r>
      <w:r w:rsidRPr="00D337FA">
        <w:t>его</w:t>
      </w:r>
      <w:r w:rsidR="006C680D" w:rsidRPr="00D337FA">
        <w:t xml:space="preserve"> </w:t>
      </w:r>
      <w:r w:rsidRPr="00D337FA">
        <w:t>крупнейших</w:t>
      </w:r>
      <w:r w:rsidR="006C680D" w:rsidRPr="00D337FA">
        <w:t xml:space="preserve"> </w:t>
      </w:r>
      <w:r w:rsidRPr="00D337FA">
        <w:t>кредиторов</w:t>
      </w:r>
      <w:r w:rsidR="006C680D" w:rsidRPr="00D337FA">
        <w:t xml:space="preserve"> </w:t>
      </w:r>
      <w:r w:rsidRPr="00D337FA">
        <w:t>(с</w:t>
      </w:r>
      <w:r w:rsidR="006C680D" w:rsidRPr="00D337FA">
        <w:t xml:space="preserve"> </w:t>
      </w:r>
      <w:r w:rsidRPr="00D337FA">
        <w:t>их</w:t>
      </w:r>
      <w:r w:rsidR="006C680D" w:rsidRPr="00D337FA">
        <w:t xml:space="preserve"> </w:t>
      </w:r>
      <w:r w:rsidRPr="00D337FA">
        <w:t>добровольного</w:t>
      </w:r>
      <w:r w:rsidR="006C680D" w:rsidRPr="00D337FA">
        <w:t xml:space="preserve"> </w:t>
      </w:r>
      <w:r w:rsidRPr="00D337FA">
        <w:t>согласия)</w:t>
      </w:r>
      <w:r w:rsidR="006C680D" w:rsidRPr="00D337FA">
        <w:t xml:space="preserve"> </w:t>
      </w:r>
      <w:r w:rsidRPr="00D337FA">
        <w:t>путем</w:t>
      </w:r>
      <w:r w:rsidR="006C680D" w:rsidRPr="00D337FA">
        <w:t xml:space="preserve"> </w:t>
      </w:r>
      <w:r w:rsidRPr="00D337FA">
        <w:t>конвертации</w:t>
      </w:r>
      <w:r w:rsidR="006C680D" w:rsidRPr="00D337FA">
        <w:t xml:space="preserve"> </w:t>
      </w:r>
      <w:r w:rsidRPr="00D337FA">
        <w:t>части</w:t>
      </w:r>
      <w:r w:rsidR="006C680D" w:rsidRPr="00D337FA">
        <w:t xml:space="preserve"> </w:t>
      </w:r>
      <w:r w:rsidRPr="00D337FA">
        <w:t>денежных</w:t>
      </w:r>
      <w:r w:rsidR="006C680D" w:rsidRPr="00D337FA">
        <w:t xml:space="preserve"> </w:t>
      </w:r>
      <w:r w:rsidRPr="00D337FA">
        <w:t>обязательств</w:t>
      </w:r>
      <w:r w:rsidR="006C680D" w:rsidRPr="00D337FA">
        <w:t xml:space="preserve"> </w:t>
      </w:r>
      <w:r w:rsidRPr="00D337FA">
        <w:t>банка</w:t>
      </w:r>
      <w:r w:rsidR="006C680D" w:rsidRPr="00D337FA">
        <w:t xml:space="preserve"> </w:t>
      </w:r>
      <w:r w:rsidRPr="00D337FA">
        <w:t>перед</w:t>
      </w:r>
      <w:r w:rsidR="006C680D" w:rsidRPr="00D337FA">
        <w:t xml:space="preserve"> </w:t>
      </w:r>
      <w:r w:rsidRPr="00D337FA">
        <w:t>кредиторами</w:t>
      </w:r>
      <w:r w:rsidR="006C680D" w:rsidRPr="00D337FA">
        <w:t xml:space="preserve"> </w:t>
      </w:r>
      <w:r w:rsidRPr="00D337FA">
        <w:t>в</w:t>
      </w:r>
      <w:r w:rsidR="006C680D" w:rsidRPr="00D337FA">
        <w:t xml:space="preserve"> </w:t>
      </w:r>
      <w:r w:rsidRPr="00D337FA">
        <w:t>доходные</w:t>
      </w:r>
      <w:r w:rsidR="006C680D" w:rsidRPr="00D337FA">
        <w:t xml:space="preserve"> </w:t>
      </w:r>
      <w:r w:rsidRPr="00D337FA">
        <w:t>облигации,</w:t>
      </w:r>
      <w:r w:rsidR="006C680D" w:rsidRPr="00D337FA">
        <w:t xml:space="preserve"> </w:t>
      </w:r>
      <w:r w:rsidRPr="00D337FA">
        <w:t>в</w:t>
      </w:r>
      <w:r w:rsidR="006C680D" w:rsidRPr="00D337FA">
        <w:t xml:space="preserve"> </w:t>
      </w:r>
      <w:r w:rsidRPr="00D337FA">
        <w:t>последующем</w:t>
      </w:r>
      <w:r w:rsidR="006C680D" w:rsidRPr="00D337FA">
        <w:t xml:space="preserve"> </w:t>
      </w:r>
      <w:r w:rsidRPr="00D337FA">
        <w:t>признанными</w:t>
      </w:r>
      <w:r w:rsidR="006C680D" w:rsidRPr="00D337FA">
        <w:t xml:space="preserve"> </w:t>
      </w:r>
      <w:r w:rsidRPr="00D337FA">
        <w:t>субординированным</w:t>
      </w:r>
      <w:r w:rsidR="006C680D" w:rsidRPr="00D337FA">
        <w:t xml:space="preserve"> </w:t>
      </w:r>
      <w:r w:rsidRPr="00D337FA">
        <w:t>долгом.</w:t>
      </w:r>
      <w:r w:rsidR="006C680D" w:rsidRPr="00D337FA">
        <w:t xml:space="preserve">        </w:t>
      </w:r>
    </w:p>
    <w:p w:rsidR="004A1229" w:rsidRPr="00D337FA" w:rsidRDefault="004A1229" w:rsidP="004A1229">
      <w:pPr>
        <w:ind w:firstLine="284"/>
      </w:pPr>
    </w:p>
    <w:p w:rsidR="004A1229" w:rsidRPr="00D337FA" w:rsidRDefault="004A1229" w:rsidP="004A1229">
      <w:pPr>
        <w:ind w:firstLine="284"/>
        <w:rPr>
          <w:b/>
        </w:rPr>
      </w:pPr>
      <w:r w:rsidRPr="00D337FA">
        <w:rPr>
          <w:b/>
        </w:rPr>
        <w:t>Выводы</w:t>
      </w:r>
    </w:p>
    <w:p w:rsidR="004A1229" w:rsidRPr="00D337FA" w:rsidRDefault="004A1229" w:rsidP="004A1229">
      <w:pPr>
        <w:ind w:firstLine="284"/>
      </w:pPr>
      <w:r w:rsidRPr="00D337FA">
        <w:t>Теоретическая</w:t>
      </w:r>
      <w:r w:rsidR="006C680D" w:rsidRPr="00D337FA">
        <w:t xml:space="preserve"> </w:t>
      </w:r>
      <w:r w:rsidRPr="00D337FA">
        <w:t>неопределенность</w:t>
      </w:r>
      <w:r w:rsidR="006C680D" w:rsidRPr="00D337FA">
        <w:t xml:space="preserve"> </w:t>
      </w:r>
      <w:r w:rsidRPr="00D337FA">
        <w:t>в</w:t>
      </w:r>
      <w:r w:rsidR="006C680D" w:rsidRPr="00D337FA">
        <w:t xml:space="preserve"> </w:t>
      </w:r>
      <w:r w:rsidRPr="00D337FA">
        <w:t>использовании</w:t>
      </w:r>
      <w:r w:rsidR="006C680D" w:rsidRPr="00D337FA">
        <w:t xml:space="preserve"> </w:t>
      </w:r>
      <w:r w:rsidRPr="00D337FA">
        <w:t>понятий</w:t>
      </w:r>
      <w:r w:rsidR="006C680D" w:rsidRPr="00D337FA">
        <w:t xml:space="preserve"> </w:t>
      </w:r>
      <w:r w:rsidRPr="00D337FA">
        <w:t>«целесообразность»</w:t>
      </w:r>
      <w:r w:rsidR="006C680D" w:rsidRPr="00D337FA">
        <w:t xml:space="preserve"> </w:t>
      </w:r>
      <w:r w:rsidRPr="00D337FA">
        <w:t>и</w:t>
      </w:r>
      <w:r w:rsidR="006C680D" w:rsidRPr="00D337FA">
        <w:t xml:space="preserve"> </w:t>
      </w:r>
      <w:r w:rsidRPr="00D337FA">
        <w:t>«эффективность»</w:t>
      </w:r>
      <w:r w:rsidR="006C680D" w:rsidRPr="00D337FA">
        <w:t xml:space="preserve"> </w:t>
      </w:r>
      <w:r w:rsidRPr="00D337FA">
        <w:t>влечет</w:t>
      </w:r>
      <w:r w:rsidR="006C680D" w:rsidRPr="00D337FA">
        <w:t xml:space="preserve"> </w:t>
      </w:r>
      <w:r w:rsidRPr="00D337FA">
        <w:t>за</w:t>
      </w:r>
      <w:r w:rsidR="006C680D" w:rsidRPr="00D337FA">
        <w:t xml:space="preserve"> </w:t>
      </w:r>
      <w:r w:rsidRPr="00D337FA">
        <w:t>собой</w:t>
      </w:r>
      <w:r w:rsidR="006C680D" w:rsidRPr="00D337FA">
        <w:t xml:space="preserve"> </w:t>
      </w:r>
      <w:r w:rsidRPr="00D337FA">
        <w:t>проблемы</w:t>
      </w:r>
      <w:r w:rsidR="006C680D" w:rsidRPr="00D337FA">
        <w:t xml:space="preserve"> </w:t>
      </w:r>
      <w:r w:rsidRPr="00D337FA">
        <w:t>прикладного</w:t>
      </w:r>
      <w:r w:rsidR="006C680D" w:rsidRPr="00D337FA">
        <w:t xml:space="preserve"> </w:t>
      </w:r>
      <w:r w:rsidRPr="00D337FA">
        <w:t>характера,</w:t>
      </w:r>
      <w:r w:rsidR="006C680D" w:rsidRPr="00D337FA">
        <w:t xml:space="preserve"> </w:t>
      </w:r>
      <w:r w:rsidRPr="00D337FA">
        <w:t>связанные</w:t>
      </w:r>
      <w:r w:rsidR="006C680D" w:rsidRPr="00D337FA">
        <w:t xml:space="preserve"> </w:t>
      </w:r>
      <w:r w:rsidRPr="00D337FA">
        <w:t>с</w:t>
      </w:r>
      <w:r w:rsidR="006C680D" w:rsidRPr="00D337FA">
        <w:t xml:space="preserve"> </w:t>
      </w:r>
      <w:r w:rsidRPr="00D337FA">
        <w:t>обоснованием</w:t>
      </w:r>
      <w:r w:rsidR="006C680D" w:rsidRPr="00D337FA">
        <w:t xml:space="preserve"> </w:t>
      </w:r>
      <w:r w:rsidRPr="00D337FA">
        <w:t>управленческих</w:t>
      </w:r>
      <w:r w:rsidR="006C680D" w:rsidRPr="00D337FA">
        <w:t xml:space="preserve"> </w:t>
      </w:r>
      <w:r w:rsidRPr="00D337FA">
        <w:t>решений</w:t>
      </w:r>
      <w:r w:rsidR="006C680D" w:rsidRPr="00D337FA">
        <w:t xml:space="preserve"> </w:t>
      </w:r>
      <w:r w:rsidRPr="00D337FA">
        <w:t>и</w:t>
      </w:r>
      <w:r w:rsidR="006C680D" w:rsidRPr="00D337FA">
        <w:t xml:space="preserve"> </w:t>
      </w:r>
      <w:r w:rsidRPr="00D337FA">
        <w:t>оценкой</w:t>
      </w:r>
      <w:r w:rsidR="006C680D" w:rsidRPr="00D337FA">
        <w:t xml:space="preserve"> </w:t>
      </w:r>
      <w:r w:rsidRPr="00D337FA">
        <w:t>их</w:t>
      </w:r>
      <w:r w:rsidR="006C680D" w:rsidRPr="00D337FA">
        <w:t xml:space="preserve"> </w:t>
      </w:r>
      <w:r w:rsidRPr="00D337FA">
        <w:t>результатов.</w:t>
      </w:r>
      <w:r w:rsidR="006C680D" w:rsidRPr="00D337FA">
        <w:t xml:space="preserve"> </w:t>
      </w:r>
    </w:p>
    <w:p w:rsidR="004A1229" w:rsidRPr="00D337FA" w:rsidRDefault="004A1229" w:rsidP="004A1229">
      <w:pPr>
        <w:ind w:firstLine="284"/>
      </w:pPr>
      <w:r w:rsidRPr="00D337FA">
        <w:t>Рассмотрение</w:t>
      </w:r>
      <w:r w:rsidR="006C680D" w:rsidRPr="00D337FA">
        <w:t xml:space="preserve"> </w:t>
      </w:r>
      <w:r w:rsidRPr="00D337FA">
        <w:t>категорий</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во</w:t>
      </w:r>
      <w:r w:rsidR="006C680D" w:rsidRPr="00D337FA">
        <w:t xml:space="preserve"> </w:t>
      </w:r>
      <w:r w:rsidRPr="00D337FA">
        <w:t>взаимосвязи</w:t>
      </w:r>
      <w:r w:rsidR="006C680D" w:rsidRPr="00D337FA">
        <w:t xml:space="preserve"> </w:t>
      </w:r>
      <w:r w:rsidRPr="00D337FA">
        <w:t>субъективного</w:t>
      </w:r>
      <w:r w:rsidR="006C680D" w:rsidRPr="00D337FA">
        <w:t xml:space="preserve"> </w:t>
      </w:r>
      <w:r w:rsidRPr="00D337FA">
        <w:t>и</w:t>
      </w:r>
      <w:r w:rsidR="006C680D" w:rsidRPr="00D337FA">
        <w:t xml:space="preserve"> </w:t>
      </w:r>
      <w:r w:rsidRPr="00D337FA">
        <w:t>объективного</w:t>
      </w:r>
      <w:r w:rsidR="006C680D" w:rsidRPr="00D337FA">
        <w:t xml:space="preserve"> </w:t>
      </w:r>
      <w:r w:rsidRPr="00D337FA">
        <w:t>подходов</w:t>
      </w:r>
      <w:r w:rsidR="006C680D" w:rsidRPr="00D337FA">
        <w:t xml:space="preserve"> </w:t>
      </w:r>
      <w:r w:rsidRPr="00D337FA">
        <w:t>к</w:t>
      </w:r>
      <w:r w:rsidR="006C680D" w:rsidRPr="00D337FA">
        <w:t xml:space="preserve"> </w:t>
      </w:r>
      <w:r w:rsidRPr="00D337FA">
        <w:t>оценке</w:t>
      </w:r>
      <w:r w:rsidR="006C680D" w:rsidRPr="00D337FA">
        <w:t xml:space="preserve"> </w:t>
      </w:r>
      <w:r w:rsidRPr="00D337FA">
        <w:t>санационных</w:t>
      </w:r>
      <w:r w:rsidR="006C680D" w:rsidRPr="00D337FA">
        <w:t xml:space="preserve"> </w:t>
      </w:r>
      <w:r w:rsidRPr="00D337FA">
        <w:t>процедур,</w:t>
      </w:r>
      <w:r w:rsidR="006C680D" w:rsidRPr="00D337FA">
        <w:t xml:space="preserve"> </w:t>
      </w:r>
      <w:r w:rsidRPr="00D337FA">
        <w:t>реализуемых</w:t>
      </w:r>
      <w:r w:rsidR="006C680D" w:rsidRPr="00D337FA">
        <w:t xml:space="preserve"> </w:t>
      </w:r>
      <w:r w:rsidRPr="00D337FA">
        <w:t>в</w:t>
      </w:r>
      <w:r w:rsidR="006C680D" w:rsidRPr="00D337FA">
        <w:t xml:space="preserve"> </w:t>
      </w:r>
      <w:r w:rsidRPr="00D337FA">
        <w:t>отношении</w:t>
      </w:r>
      <w:r w:rsidR="006C680D" w:rsidRPr="00D337FA">
        <w:t xml:space="preserve"> </w:t>
      </w:r>
      <w:r w:rsidRPr="00D337FA">
        <w:t>банков,</w:t>
      </w:r>
      <w:r w:rsidR="006C680D" w:rsidRPr="00D337FA">
        <w:t xml:space="preserve"> </w:t>
      </w:r>
      <w:r w:rsidRPr="00D337FA">
        <w:t>подвергшихся</w:t>
      </w:r>
      <w:r w:rsidR="006C680D" w:rsidRPr="00D337FA">
        <w:t xml:space="preserve"> </w:t>
      </w:r>
      <w:r w:rsidRPr="00D337FA">
        <w:t>дефолту,</w:t>
      </w:r>
      <w:r w:rsidR="006C680D" w:rsidRPr="00D337FA">
        <w:t xml:space="preserve"> </w:t>
      </w:r>
      <w:r w:rsidRPr="00D337FA">
        <w:t>позволило</w:t>
      </w:r>
      <w:r w:rsidR="006C680D" w:rsidRPr="00D337FA">
        <w:t xml:space="preserve"> </w:t>
      </w:r>
      <w:r w:rsidRPr="00D337FA">
        <w:t>определить</w:t>
      </w:r>
      <w:r w:rsidR="006C680D" w:rsidRPr="00D337FA">
        <w:t xml:space="preserve"> </w:t>
      </w:r>
      <w:r w:rsidRPr="00D337FA">
        <w:t>целесообразность</w:t>
      </w:r>
      <w:r w:rsidR="006C680D" w:rsidRPr="00D337FA">
        <w:t xml:space="preserve"> </w:t>
      </w:r>
      <w:r w:rsidRPr="00D337FA">
        <w:t>санации</w:t>
      </w:r>
      <w:r w:rsidR="006C680D" w:rsidRPr="00D337FA">
        <w:t xml:space="preserve"> </w:t>
      </w:r>
      <w:r w:rsidRPr="00D337FA">
        <w:t>как</w:t>
      </w:r>
      <w:r w:rsidR="006C680D" w:rsidRPr="00D337FA">
        <w:t xml:space="preserve"> </w:t>
      </w:r>
      <w:r w:rsidRPr="00D337FA">
        <w:t>причину,</w:t>
      </w:r>
      <w:r w:rsidR="006C680D" w:rsidRPr="00D337FA">
        <w:t xml:space="preserve"> </w:t>
      </w:r>
      <w:r w:rsidRPr="00D337FA">
        <w:t>побудительный</w:t>
      </w:r>
      <w:r w:rsidR="006C680D" w:rsidRPr="00D337FA">
        <w:t xml:space="preserve"> </w:t>
      </w:r>
      <w:r w:rsidRPr="00D337FA">
        <w:t>мотив</w:t>
      </w:r>
      <w:r w:rsidR="006C680D" w:rsidRPr="00D337FA">
        <w:t xml:space="preserve"> </w:t>
      </w:r>
      <w:r w:rsidRPr="00D337FA">
        <w:t>Банка</w:t>
      </w:r>
      <w:r w:rsidR="006C680D" w:rsidRPr="00D337FA">
        <w:t xml:space="preserve"> </w:t>
      </w:r>
      <w:r w:rsidRPr="00D337FA">
        <w:t>России,</w:t>
      </w:r>
      <w:r w:rsidR="006C680D" w:rsidRPr="00D337FA">
        <w:t xml:space="preserve"> </w:t>
      </w:r>
      <w:r w:rsidRPr="00D337FA">
        <w:t>определяющий</w:t>
      </w:r>
      <w:r w:rsidR="006C680D" w:rsidRPr="00D337FA">
        <w:t xml:space="preserve"> </w:t>
      </w:r>
      <w:r w:rsidRPr="00D337FA">
        <w:t>характер</w:t>
      </w:r>
      <w:r w:rsidR="006C680D" w:rsidRPr="00D337FA">
        <w:t xml:space="preserve"> </w:t>
      </w:r>
      <w:r w:rsidRPr="00D337FA">
        <w:t>его</w:t>
      </w:r>
      <w:r w:rsidR="006C680D" w:rsidRPr="00D337FA">
        <w:t xml:space="preserve"> </w:t>
      </w:r>
      <w:r w:rsidRPr="00D337FA">
        <w:t>деятельности</w:t>
      </w:r>
      <w:r w:rsidR="006C680D" w:rsidRPr="00D337FA">
        <w:t xml:space="preserve"> </w:t>
      </w:r>
      <w:r w:rsidRPr="00D337FA">
        <w:t>по</w:t>
      </w:r>
      <w:r w:rsidR="006C680D" w:rsidRPr="00D337FA">
        <w:t xml:space="preserve"> </w:t>
      </w:r>
      <w:r w:rsidRPr="00D337FA">
        <w:t>восстановлению</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банка</w:t>
      </w:r>
      <w:r w:rsidR="006C680D" w:rsidRPr="00D337FA">
        <w:t xml:space="preserve"> </w:t>
      </w:r>
      <w:r w:rsidRPr="00D337FA">
        <w:t>и</w:t>
      </w:r>
      <w:r w:rsidR="006C680D" w:rsidRPr="00D337FA">
        <w:t xml:space="preserve"> </w:t>
      </w:r>
      <w:r w:rsidRPr="00D337FA">
        <w:t>предотвращению</w:t>
      </w:r>
      <w:r w:rsidR="006C680D" w:rsidRPr="00D337FA">
        <w:t xml:space="preserve"> </w:t>
      </w:r>
      <w:r w:rsidRPr="00D337FA">
        <w:t>угрозы</w:t>
      </w:r>
      <w:r w:rsidR="006C680D" w:rsidRPr="00D337FA">
        <w:t xml:space="preserve"> </w:t>
      </w:r>
      <w:r w:rsidRPr="00D337FA">
        <w:t>прекращения</w:t>
      </w:r>
      <w:r w:rsidR="006C680D" w:rsidRPr="00D337FA">
        <w:t xml:space="preserve"> </w:t>
      </w:r>
      <w:r w:rsidRPr="00D337FA">
        <w:t>его</w:t>
      </w:r>
      <w:r w:rsidR="006C680D" w:rsidRPr="00D337FA">
        <w:t xml:space="preserve"> </w:t>
      </w:r>
      <w:r w:rsidRPr="00D337FA">
        <w:t>деятельности.</w:t>
      </w:r>
      <w:r w:rsidR="006C680D" w:rsidRPr="00D337FA">
        <w:t xml:space="preserve"> </w:t>
      </w:r>
      <w:r w:rsidRPr="00D337FA">
        <w:t>В</w:t>
      </w:r>
      <w:r w:rsidR="006C680D" w:rsidRPr="00D337FA">
        <w:t xml:space="preserve"> </w:t>
      </w:r>
      <w:r w:rsidRPr="00D337FA">
        <w:t>свою</w:t>
      </w:r>
      <w:r w:rsidR="006C680D" w:rsidRPr="00D337FA">
        <w:t xml:space="preserve"> </w:t>
      </w:r>
      <w:r w:rsidRPr="00D337FA">
        <w:t>очередь</w:t>
      </w:r>
      <w:r w:rsidR="006C680D" w:rsidRPr="00D337FA">
        <w:t xml:space="preserve"> </w:t>
      </w:r>
      <w:r w:rsidRPr="00D337FA">
        <w:t>эффективность</w:t>
      </w:r>
      <w:r w:rsidR="006C680D" w:rsidRPr="00D337FA">
        <w:t xml:space="preserve"> </w:t>
      </w:r>
      <w:r w:rsidRPr="00D337FA">
        <w:t>санации</w:t>
      </w:r>
      <w:r w:rsidR="006C680D" w:rsidRPr="00D337FA">
        <w:t xml:space="preserve"> </w:t>
      </w:r>
      <w:r w:rsidRPr="00D337FA">
        <w:t>является</w:t>
      </w:r>
      <w:r w:rsidR="006C680D" w:rsidRPr="00D337FA">
        <w:t xml:space="preserve"> </w:t>
      </w:r>
      <w:r w:rsidRPr="00D337FA">
        <w:t>характеристикой,</w:t>
      </w:r>
      <w:r w:rsidR="006C680D" w:rsidRPr="00D337FA">
        <w:t xml:space="preserve"> </w:t>
      </w:r>
      <w:r w:rsidRPr="00D337FA">
        <w:t>позволяющей</w:t>
      </w:r>
      <w:r w:rsidR="006C680D" w:rsidRPr="00D337FA">
        <w:t xml:space="preserve"> </w:t>
      </w:r>
      <w:r w:rsidRPr="00D337FA">
        <w:t>дать</w:t>
      </w:r>
      <w:r w:rsidR="006C680D" w:rsidRPr="00D337FA">
        <w:t xml:space="preserve"> </w:t>
      </w:r>
      <w:r w:rsidRPr="00D337FA">
        <w:t>объективную</w:t>
      </w:r>
      <w:r w:rsidR="006C680D" w:rsidRPr="00D337FA">
        <w:t xml:space="preserve"> </w:t>
      </w:r>
      <w:r w:rsidRPr="00D337FA">
        <w:t>оценку</w:t>
      </w:r>
      <w:r w:rsidR="006C680D" w:rsidRPr="00D337FA">
        <w:t xml:space="preserve"> </w:t>
      </w:r>
      <w:r w:rsidRPr="00D337FA">
        <w:t>степени</w:t>
      </w:r>
      <w:r w:rsidR="006C680D" w:rsidRPr="00D337FA">
        <w:t xml:space="preserve"> </w:t>
      </w:r>
      <w:r w:rsidRPr="00D337FA">
        <w:t>достижения</w:t>
      </w:r>
      <w:r w:rsidR="006C680D" w:rsidRPr="00D337FA">
        <w:t xml:space="preserve"> </w:t>
      </w:r>
      <w:r w:rsidRPr="00D337FA">
        <w:t>количественных</w:t>
      </w:r>
      <w:r w:rsidR="006C680D" w:rsidRPr="00D337FA">
        <w:t xml:space="preserve"> </w:t>
      </w:r>
      <w:r w:rsidRPr="00D337FA">
        <w:t>и</w:t>
      </w:r>
      <w:r w:rsidR="006C680D" w:rsidRPr="00D337FA">
        <w:t xml:space="preserve"> </w:t>
      </w:r>
      <w:r w:rsidRPr="00D337FA">
        <w:t>качественных</w:t>
      </w:r>
      <w:r w:rsidR="006C680D" w:rsidRPr="00D337FA">
        <w:t xml:space="preserve"> </w:t>
      </w:r>
      <w:r w:rsidRPr="00D337FA">
        <w:t>целей</w:t>
      </w:r>
      <w:r w:rsidR="006C680D" w:rsidRPr="00D337FA">
        <w:t xml:space="preserve"> </w:t>
      </w:r>
      <w:r w:rsidRPr="00D337FA">
        <w:t>санации.</w:t>
      </w:r>
    </w:p>
    <w:p w:rsidR="004A1229" w:rsidRPr="00D337FA" w:rsidRDefault="004A1229" w:rsidP="004A1229">
      <w:pPr>
        <w:ind w:firstLine="284"/>
      </w:pPr>
      <w:r w:rsidRPr="00D337FA">
        <w:t>Эмпирический</w:t>
      </w:r>
      <w:r w:rsidR="006C680D" w:rsidRPr="00D337FA">
        <w:t xml:space="preserve"> </w:t>
      </w:r>
      <w:r w:rsidRPr="00D337FA">
        <w:t>анализ</w:t>
      </w:r>
      <w:r w:rsidR="006C680D" w:rsidRPr="00D337FA">
        <w:t xml:space="preserve"> </w:t>
      </w:r>
      <w:r w:rsidRPr="00D337FA">
        <w:t>практики</w:t>
      </w:r>
      <w:r w:rsidR="006C680D" w:rsidRPr="00D337FA">
        <w:t xml:space="preserve"> </w:t>
      </w:r>
      <w:r w:rsidRPr="00D337FA">
        <w:t>осуществления</w:t>
      </w:r>
      <w:r w:rsidR="006C680D" w:rsidRPr="00D337FA">
        <w:t xml:space="preserve"> </w:t>
      </w:r>
      <w:r w:rsidRPr="00D337FA">
        <w:t>санаций</w:t>
      </w:r>
      <w:r w:rsidR="006C680D" w:rsidRPr="00D337FA">
        <w:t xml:space="preserve"> </w:t>
      </w:r>
      <w:r w:rsidRPr="00D337FA">
        <w:t>банков</w:t>
      </w:r>
      <w:r w:rsidR="006C680D" w:rsidRPr="00D337FA">
        <w:t xml:space="preserve"> </w:t>
      </w:r>
      <w:r w:rsidRPr="00D337FA">
        <w:t>с</w:t>
      </w:r>
      <w:r w:rsidR="006C680D" w:rsidRPr="00D337FA">
        <w:t xml:space="preserve"> </w:t>
      </w:r>
      <w:r w:rsidRPr="00D337FA">
        <w:t>участием</w:t>
      </w:r>
      <w:r w:rsidR="006C680D" w:rsidRPr="00D337FA">
        <w:t xml:space="preserve"> </w:t>
      </w:r>
      <w:r w:rsidRPr="00D337FA">
        <w:t>Агентства</w:t>
      </w:r>
      <w:r w:rsidR="006C680D" w:rsidRPr="00D337FA">
        <w:t xml:space="preserve"> </w:t>
      </w:r>
      <w:r w:rsidRPr="00D337FA">
        <w:t>по</w:t>
      </w:r>
      <w:r w:rsidR="006C680D" w:rsidRPr="00D337FA">
        <w:t xml:space="preserve"> </w:t>
      </w:r>
      <w:r w:rsidRPr="00D337FA">
        <w:t>страхованию</w:t>
      </w:r>
      <w:r w:rsidR="006C680D" w:rsidRPr="00D337FA">
        <w:t xml:space="preserve"> </w:t>
      </w:r>
      <w:r w:rsidRPr="00D337FA">
        <w:t>вкладов</w:t>
      </w:r>
      <w:r w:rsidR="006C680D" w:rsidRPr="00D337FA">
        <w:t xml:space="preserve"> </w:t>
      </w:r>
      <w:r w:rsidRPr="00D337FA">
        <w:t>послу</w:t>
      </w:r>
      <w:r w:rsidRPr="00D337FA">
        <w:lastRenderedPageBreak/>
        <w:t>жил</w:t>
      </w:r>
      <w:r w:rsidR="006C680D" w:rsidRPr="00D337FA">
        <w:t xml:space="preserve"> </w:t>
      </w:r>
      <w:r w:rsidRPr="00D337FA">
        <w:t>основанием</w:t>
      </w:r>
      <w:r w:rsidR="006C680D" w:rsidRPr="00D337FA">
        <w:t xml:space="preserve"> </w:t>
      </w:r>
      <w:r w:rsidRPr="00D337FA">
        <w:t>для</w:t>
      </w:r>
      <w:r w:rsidR="006C680D" w:rsidRPr="00D337FA">
        <w:t xml:space="preserve"> </w:t>
      </w:r>
      <w:r w:rsidRPr="00D337FA">
        <w:t>вывода,</w:t>
      </w:r>
      <w:r w:rsidR="006C680D" w:rsidRPr="00D337FA">
        <w:t xml:space="preserve"> </w:t>
      </w:r>
      <w:r w:rsidRPr="00D337FA">
        <w:t>что</w:t>
      </w:r>
      <w:r w:rsidR="006C680D" w:rsidRPr="00D337FA">
        <w:t xml:space="preserve"> </w:t>
      </w:r>
      <w:r w:rsidRPr="00D337FA">
        <w:t>не</w:t>
      </w:r>
      <w:r w:rsidR="006C680D" w:rsidRPr="00D337FA">
        <w:t xml:space="preserve"> </w:t>
      </w:r>
      <w:r w:rsidRPr="00D337FA">
        <w:t>всегда</w:t>
      </w:r>
      <w:r w:rsidR="006C680D" w:rsidRPr="00D337FA">
        <w:t xml:space="preserve"> </w:t>
      </w:r>
      <w:r w:rsidRPr="00D337FA">
        <w:t>санация</w:t>
      </w:r>
      <w:r w:rsidR="006C680D" w:rsidRPr="00D337FA">
        <w:t xml:space="preserve"> </w:t>
      </w:r>
      <w:r w:rsidRPr="00D337FA">
        <w:t>банков,</w:t>
      </w:r>
      <w:r w:rsidR="006C680D" w:rsidRPr="00D337FA">
        <w:t xml:space="preserve"> </w:t>
      </w:r>
      <w:r w:rsidRPr="00D337FA">
        <w:t>признанная</w:t>
      </w:r>
      <w:r w:rsidR="006C680D" w:rsidRPr="00D337FA">
        <w:t xml:space="preserve"> </w:t>
      </w:r>
      <w:r w:rsidRPr="00D337FA">
        <w:t>целесообразной</w:t>
      </w:r>
      <w:r w:rsidR="006C680D" w:rsidRPr="00D337FA">
        <w:t xml:space="preserve"> </w:t>
      </w:r>
      <w:r w:rsidRPr="00D337FA">
        <w:t>на</w:t>
      </w:r>
      <w:r w:rsidR="006C680D" w:rsidRPr="00D337FA">
        <w:t xml:space="preserve"> </w:t>
      </w:r>
      <w:r w:rsidRPr="00D337FA">
        <w:t>стадии</w:t>
      </w:r>
      <w:r w:rsidR="006C680D" w:rsidRPr="00D337FA">
        <w:t xml:space="preserve"> </w:t>
      </w:r>
      <w:r w:rsidRPr="00D337FA">
        <w:t>принятия</w:t>
      </w:r>
      <w:r w:rsidR="006C680D" w:rsidRPr="00D337FA">
        <w:t xml:space="preserve"> </w:t>
      </w:r>
      <w:r w:rsidRPr="00D337FA">
        <w:t>решения</w:t>
      </w:r>
      <w:r w:rsidR="006C680D" w:rsidRPr="00D337FA">
        <w:t xml:space="preserve"> </w:t>
      </w:r>
      <w:r w:rsidRPr="00D337FA">
        <w:t>об</w:t>
      </w:r>
      <w:r w:rsidR="006C680D" w:rsidRPr="00D337FA">
        <w:t xml:space="preserve"> </w:t>
      </w:r>
      <w:r w:rsidRPr="00D337FA">
        <w:t>ее</w:t>
      </w:r>
      <w:r w:rsidR="006C680D" w:rsidRPr="00D337FA">
        <w:t xml:space="preserve"> </w:t>
      </w:r>
      <w:r w:rsidRPr="00D337FA">
        <w:t>осуществлении,</w:t>
      </w:r>
      <w:r w:rsidR="006C680D" w:rsidRPr="00D337FA">
        <w:t xml:space="preserve"> </w:t>
      </w:r>
      <w:r w:rsidRPr="00D337FA">
        <w:t>была</w:t>
      </w:r>
      <w:r w:rsidR="006C680D" w:rsidRPr="00D337FA">
        <w:t xml:space="preserve"> </w:t>
      </w:r>
      <w:r w:rsidRPr="00D337FA">
        <w:t>эффективной,</w:t>
      </w:r>
      <w:r w:rsidR="006C680D" w:rsidRPr="00D337FA">
        <w:t xml:space="preserve"> </w:t>
      </w:r>
      <w:r w:rsidRPr="00D337FA">
        <w:t>как</w:t>
      </w:r>
      <w:r w:rsidR="006C680D" w:rsidRPr="00D337FA">
        <w:t xml:space="preserve"> </w:t>
      </w:r>
      <w:r w:rsidRPr="00D337FA">
        <w:t>с</w:t>
      </w:r>
      <w:r w:rsidR="006C680D" w:rsidRPr="00D337FA">
        <w:t xml:space="preserve"> </w:t>
      </w:r>
      <w:r w:rsidRPr="00D337FA">
        <w:t>позиций</w:t>
      </w:r>
      <w:r w:rsidR="006C680D" w:rsidRPr="00D337FA">
        <w:t xml:space="preserve"> </w:t>
      </w:r>
      <w:r w:rsidRPr="00D337FA">
        <w:t>оценки</w:t>
      </w:r>
      <w:r w:rsidR="006C680D" w:rsidRPr="00D337FA">
        <w:t xml:space="preserve"> </w:t>
      </w:r>
      <w:r w:rsidRPr="00D337FA">
        <w:t>эффективности</w:t>
      </w:r>
      <w:r w:rsidR="006C680D" w:rsidRPr="00D337FA">
        <w:t xml:space="preserve"> </w:t>
      </w:r>
      <w:r w:rsidRPr="00D337FA">
        <w:t>использования</w:t>
      </w:r>
      <w:r w:rsidR="006C680D" w:rsidRPr="00D337FA">
        <w:t xml:space="preserve"> </w:t>
      </w:r>
      <w:r w:rsidRPr="00D337FA">
        <w:t>выделенных</w:t>
      </w:r>
      <w:r w:rsidR="006C680D" w:rsidRPr="00D337FA">
        <w:t xml:space="preserve"> </w:t>
      </w:r>
      <w:r w:rsidRPr="00D337FA">
        <w:t>средств</w:t>
      </w:r>
      <w:r w:rsidR="006C680D" w:rsidRPr="00D337FA">
        <w:t xml:space="preserve"> </w:t>
      </w:r>
      <w:r w:rsidRPr="00D337FA">
        <w:t>и</w:t>
      </w:r>
      <w:r w:rsidR="006C680D" w:rsidRPr="00D337FA">
        <w:t xml:space="preserve"> </w:t>
      </w:r>
      <w:r w:rsidRPr="00D337FA">
        <w:t>достижения</w:t>
      </w:r>
      <w:r w:rsidR="006C680D" w:rsidRPr="00D337FA">
        <w:t xml:space="preserve"> </w:t>
      </w:r>
      <w:r w:rsidRPr="00D337FA">
        <w:t>промежуточных</w:t>
      </w:r>
      <w:r w:rsidR="006C680D" w:rsidRPr="00D337FA">
        <w:t xml:space="preserve"> </w:t>
      </w:r>
      <w:r w:rsidRPr="00D337FA">
        <w:t>результатов</w:t>
      </w:r>
      <w:r w:rsidR="006C680D" w:rsidRPr="00D337FA">
        <w:t xml:space="preserve"> </w:t>
      </w:r>
      <w:r w:rsidRPr="00D337FA">
        <w:t>восстановления</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так</w:t>
      </w:r>
      <w:r w:rsidR="006C680D" w:rsidRPr="00D337FA">
        <w:t xml:space="preserve"> </w:t>
      </w:r>
      <w:r w:rsidRPr="00D337FA">
        <w:t>и</w:t>
      </w:r>
      <w:r w:rsidR="006C680D" w:rsidRPr="00D337FA">
        <w:t xml:space="preserve"> </w:t>
      </w:r>
      <w:r w:rsidRPr="00D337FA">
        <w:t>общей</w:t>
      </w:r>
      <w:r w:rsidR="006C680D" w:rsidRPr="00D337FA">
        <w:t xml:space="preserve"> </w:t>
      </w:r>
      <w:r w:rsidRPr="00D337FA">
        <w:t>эффективности,</w:t>
      </w:r>
      <w:r w:rsidR="006C680D" w:rsidRPr="00D337FA">
        <w:t xml:space="preserve"> </w:t>
      </w:r>
      <w:r w:rsidRPr="00D337FA">
        <w:t>характеризующейся</w:t>
      </w:r>
      <w:r w:rsidR="006C680D" w:rsidRPr="00D337FA">
        <w:t xml:space="preserve"> </w:t>
      </w:r>
      <w:r w:rsidRPr="00D337FA">
        <w:t>максимальной</w:t>
      </w:r>
      <w:r w:rsidR="006C680D" w:rsidRPr="00D337FA">
        <w:t xml:space="preserve"> </w:t>
      </w:r>
      <w:r w:rsidRPr="00D337FA">
        <w:t>отдачей</w:t>
      </w:r>
      <w:r w:rsidR="006C680D" w:rsidRPr="00D337FA">
        <w:t xml:space="preserve"> </w:t>
      </w:r>
      <w:r w:rsidRPr="00D337FA">
        <w:t>вложенных</w:t>
      </w:r>
      <w:r w:rsidR="006C680D" w:rsidRPr="00D337FA">
        <w:t xml:space="preserve"> </w:t>
      </w:r>
      <w:r w:rsidRPr="00D337FA">
        <w:t>средств</w:t>
      </w:r>
      <w:r w:rsidR="006C680D" w:rsidRPr="00D337FA">
        <w:t xml:space="preserve"> </w:t>
      </w:r>
      <w:r w:rsidRPr="00D337FA">
        <w:t>при</w:t>
      </w:r>
      <w:r w:rsidR="006C680D" w:rsidRPr="00D337FA">
        <w:t xml:space="preserve"> </w:t>
      </w:r>
      <w:r w:rsidRPr="00D337FA">
        <w:t>минимизации</w:t>
      </w:r>
      <w:r w:rsidR="006C680D" w:rsidRPr="00D337FA">
        <w:t xml:space="preserve"> </w:t>
      </w:r>
      <w:r w:rsidRPr="00D337FA">
        <w:t>ресурсозатрат.</w:t>
      </w:r>
      <w:r w:rsidR="006C680D" w:rsidRPr="00D337FA">
        <w:t xml:space="preserve">        </w:t>
      </w:r>
    </w:p>
    <w:p w:rsidR="004A1229" w:rsidRPr="00D337FA" w:rsidRDefault="004A1229" w:rsidP="004A1229">
      <w:pPr>
        <w:ind w:firstLine="284"/>
      </w:pPr>
      <w:r w:rsidRPr="00D337FA">
        <w:t>Характер</w:t>
      </w:r>
      <w:r w:rsidR="006C680D" w:rsidRPr="00D337FA">
        <w:t xml:space="preserve"> </w:t>
      </w:r>
      <w:r w:rsidRPr="00D337FA">
        <w:t>деятельности</w:t>
      </w:r>
      <w:r w:rsidR="006C680D" w:rsidRPr="00D337FA">
        <w:t xml:space="preserve"> </w:t>
      </w:r>
      <w:r w:rsidRPr="00D337FA">
        <w:t>Фонда</w:t>
      </w:r>
      <w:r w:rsidR="006C680D" w:rsidRPr="00D337FA">
        <w:t xml:space="preserve"> </w:t>
      </w:r>
      <w:r w:rsidRPr="00D337FA">
        <w:t>консолидации</w:t>
      </w:r>
      <w:r w:rsidR="006C680D" w:rsidRPr="00D337FA">
        <w:t xml:space="preserve"> </w:t>
      </w:r>
      <w:r w:rsidRPr="00D337FA">
        <w:t>банковского</w:t>
      </w:r>
      <w:r w:rsidR="006C680D" w:rsidRPr="00D337FA">
        <w:t xml:space="preserve"> </w:t>
      </w:r>
      <w:r w:rsidRPr="00D337FA">
        <w:t>сектора</w:t>
      </w:r>
      <w:r w:rsidR="006C680D" w:rsidRPr="00D337FA">
        <w:t xml:space="preserve"> </w:t>
      </w:r>
      <w:r w:rsidRPr="00D337FA">
        <w:t>по</w:t>
      </w:r>
      <w:r w:rsidR="006C680D" w:rsidRPr="00D337FA">
        <w:t xml:space="preserve"> </w:t>
      </w:r>
      <w:r w:rsidRPr="00D337FA">
        <w:t>санации</w:t>
      </w:r>
      <w:r w:rsidR="006C680D" w:rsidRPr="00D337FA">
        <w:t xml:space="preserve"> </w:t>
      </w:r>
      <w:r w:rsidRPr="00D337FA">
        <w:t>банков</w:t>
      </w:r>
      <w:r w:rsidR="006C680D" w:rsidRPr="00D337FA">
        <w:t xml:space="preserve"> </w:t>
      </w:r>
      <w:r w:rsidRPr="00D337FA">
        <w:t>отличается</w:t>
      </w:r>
      <w:r w:rsidR="006C680D" w:rsidRPr="00D337FA">
        <w:t xml:space="preserve"> </w:t>
      </w:r>
      <w:r w:rsidRPr="00D337FA">
        <w:t>большей</w:t>
      </w:r>
      <w:r w:rsidR="006C680D" w:rsidRPr="00D337FA">
        <w:t xml:space="preserve"> </w:t>
      </w:r>
      <w:r w:rsidRPr="00D337FA">
        <w:t>прозрачностью,</w:t>
      </w:r>
      <w:r w:rsidR="006C680D" w:rsidRPr="00D337FA">
        <w:t xml:space="preserve"> </w:t>
      </w:r>
      <w:r w:rsidRPr="00D337FA">
        <w:t>организационной,</w:t>
      </w:r>
      <w:r w:rsidR="006C680D" w:rsidRPr="00D337FA">
        <w:t xml:space="preserve"> </w:t>
      </w:r>
      <w:r w:rsidRPr="00D337FA">
        <w:t>методологической</w:t>
      </w:r>
      <w:r w:rsidR="006C680D" w:rsidRPr="00D337FA">
        <w:t xml:space="preserve"> </w:t>
      </w:r>
      <w:r w:rsidRPr="00D337FA">
        <w:t>и</w:t>
      </w:r>
      <w:r w:rsidR="006C680D" w:rsidRPr="00D337FA">
        <w:t xml:space="preserve"> </w:t>
      </w:r>
      <w:r w:rsidRPr="00D337FA">
        <w:t>финансовой</w:t>
      </w:r>
      <w:r w:rsidR="006C680D" w:rsidRPr="00D337FA">
        <w:t xml:space="preserve"> </w:t>
      </w:r>
      <w:r w:rsidRPr="00D337FA">
        <w:t>проработанностью,</w:t>
      </w:r>
      <w:r w:rsidR="006C680D" w:rsidRPr="00D337FA">
        <w:t xml:space="preserve"> </w:t>
      </w:r>
      <w:r w:rsidRPr="00D337FA">
        <w:t>что</w:t>
      </w:r>
      <w:r w:rsidR="006C680D" w:rsidRPr="00D337FA">
        <w:t xml:space="preserve"> </w:t>
      </w:r>
      <w:r w:rsidRPr="00D337FA">
        <w:t>предопределяет</w:t>
      </w:r>
      <w:r w:rsidR="006C680D" w:rsidRPr="00D337FA">
        <w:t xml:space="preserve"> </w:t>
      </w:r>
      <w:r w:rsidRPr="00D337FA">
        <w:t>большую</w:t>
      </w:r>
      <w:r w:rsidR="006C680D" w:rsidRPr="00D337FA">
        <w:t xml:space="preserve"> </w:t>
      </w:r>
      <w:r w:rsidRPr="00D337FA">
        <w:t>эффективность</w:t>
      </w:r>
      <w:r w:rsidR="006C680D" w:rsidRPr="00D337FA">
        <w:t xml:space="preserve"> </w:t>
      </w:r>
      <w:r w:rsidRPr="00D337FA">
        <w:t>санационных</w:t>
      </w:r>
      <w:r w:rsidR="006C680D" w:rsidRPr="00D337FA">
        <w:t xml:space="preserve"> </w:t>
      </w:r>
      <w:r w:rsidRPr="00D337FA">
        <w:t>процедур</w:t>
      </w:r>
      <w:r w:rsidR="006C680D" w:rsidRPr="00D337FA">
        <w:t xml:space="preserve"> </w:t>
      </w:r>
      <w:r w:rsidRPr="00D337FA">
        <w:t>как</w:t>
      </w:r>
      <w:r w:rsidR="006C680D" w:rsidRPr="00D337FA">
        <w:t xml:space="preserve"> </w:t>
      </w:r>
      <w:r w:rsidRPr="00D337FA">
        <w:t>с</w:t>
      </w:r>
      <w:r w:rsidR="006C680D" w:rsidRPr="00D337FA">
        <w:t xml:space="preserve"> </w:t>
      </w:r>
      <w:r w:rsidRPr="00D337FA">
        <w:t>позиций</w:t>
      </w:r>
      <w:r w:rsidR="006C680D" w:rsidRPr="00D337FA">
        <w:t xml:space="preserve"> </w:t>
      </w:r>
      <w:r w:rsidRPr="00D337FA">
        <w:t>минимизации</w:t>
      </w:r>
      <w:r w:rsidR="006C680D" w:rsidRPr="00D337FA">
        <w:t xml:space="preserve"> </w:t>
      </w:r>
      <w:r w:rsidRPr="00D337FA">
        <w:t>времени</w:t>
      </w:r>
      <w:r w:rsidR="006C680D" w:rsidRPr="00D337FA">
        <w:t xml:space="preserve"> </w:t>
      </w:r>
      <w:r w:rsidRPr="00D337FA">
        <w:t>восстановления</w:t>
      </w:r>
      <w:r w:rsidR="006C680D" w:rsidRPr="00D337FA">
        <w:t xml:space="preserve"> </w:t>
      </w:r>
      <w:r w:rsidRPr="00D337FA">
        <w:t>финансовой</w:t>
      </w:r>
      <w:r w:rsidR="006C680D" w:rsidRPr="00D337FA">
        <w:t xml:space="preserve"> </w:t>
      </w:r>
      <w:r w:rsidRPr="00D337FA">
        <w:t>устойчивости</w:t>
      </w:r>
      <w:r w:rsidR="006C680D" w:rsidRPr="00D337FA">
        <w:t xml:space="preserve"> </w:t>
      </w:r>
      <w:r w:rsidRPr="00D337FA">
        <w:t>банков,</w:t>
      </w:r>
      <w:r w:rsidR="006C680D" w:rsidRPr="00D337FA">
        <w:t xml:space="preserve"> </w:t>
      </w:r>
      <w:r w:rsidRPr="00D337FA">
        <w:t>так</w:t>
      </w:r>
      <w:r w:rsidR="006C680D" w:rsidRPr="00D337FA">
        <w:t xml:space="preserve"> </w:t>
      </w:r>
      <w:r w:rsidRPr="00D337FA">
        <w:t>и</w:t>
      </w:r>
      <w:r w:rsidR="006C680D" w:rsidRPr="00D337FA">
        <w:t xml:space="preserve"> </w:t>
      </w:r>
      <w:r w:rsidRPr="00D337FA">
        <w:t>за</w:t>
      </w:r>
      <w:r w:rsidRPr="00D337FA">
        <w:lastRenderedPageBreak/>
        <w:t>трат</w:t>
      </w:r>
      <w:r w:rsidR="006C680D" w:rsidRPr="00D337FA">
        <w:t xml:space="preserve"> </w:t>
      </w:r>
      <w:r w:rsidRPr="00D337FA">
        <w:t>на</w:t>
      </w:r>
      <w:r w:rsidR="006C680D" w:rsidRPr="00D337FA">
        <w:t xml:space="preserve"> </w:t>
      </w:r>
      <w:r w:rsidRPr="00D337FA">
        <w:t>финансирование</w:t>
      </w:r>
      <w:r w:rsidR="006C680D" w:rsidRPr="00D337FA">
        <w:t xml:space="preserve"> </w:t>
      </w:r>
      <w:r w:rsidRPr="00D337FA">
        <w:t>плана</w:t>
      </w:r>
      <w:r w:rsidR="006C680D" w:rsidRPr="00D337FA">
        <w:t xml:space="preserve"> </w:t>
      </w:r>
      <w:r w:rsidRPr="00D337FA">
        <w:t>финансового</w:t>
      </w:r>
      <w:r w:rsidR="006C680D" w:rsidRPr="00D337FA">
        <w:t xml:space="preserve"> </w:t>
      </w:r>
      <w:r w:rsidRPr="00D337FA">
        <w:t>оздоровления.</w:t>
      </w:r>
    </w:p>
    <w:p w:rsidR="004A1229" w:rsidRPr="00D337FA" w:rsidRDefault="004A1229" w:rsidP="004A1229">
      <w:pPr>
        <w:ind w:firstLine="284"/>
      </w:pPr>
      <w:r w:rsidRPr="00D337FA">
        <w:t>Принимая</w:t>
      </w:r>
      <w:r w:rsidR="006C680D" w:rsidRPr="00D337FA">
        <w:t xml:space="preserve"> </w:t>
      </w:r>
      <w:r w:rsidRPr="00D337FA">
        <w:t>во</w:t>
      </w:r>
      <w:r w:rsidR="006C680D" w:rsidRPr="00D337FA">
        <w:t xml:space="preserve"> </w:t>
      </w:r>
      <w:r w:rsidRPr="00D337FA">
        <w:t>внимание</w:t>
      </w:r>
      <w:r w:rsidR="006C680D" w:rsidRPr="00D337FA">
        <w:t xml:space="preserve"> </w:t>
      </w:r>
      <w:r w:rsidRPr="00D337FA">
        <w:t>мнения</w:t>
      </w:r>
      <w:r w:rsidR="006C680D" w:rsidRPr="00D337FA">
        <w:t xml:space="preserve"> </w:t>
      </w:r>
      <w:r w:rsidRPr="00D337FA">
        <w:t>экспертов,</w:t>
      </w:r>
      <w:r w:rsidR="006C680D" w:rsidRPr="00D337FA">
        <w:t xml:space="preserve"> </w:t>
      </w:r>
      <w:r w:rsidRPr="00D337FA">
        <w:t>что</w:t>
      </w:r>
      <w:r w:rsidR="006C680D" w:rsidRPr="00D337FA">
        <w:t xml:space="preserve"> </w:t>
      </w:r>
      <w:r w:rsidRPr="00D337FA">
        <w:t>полностью</w:t>
      </w:r>
      <w:r w:rsidR="006C680D" w:rsidRPr="00D337FA">
        <w:t xml:space="preserve"> </w:t>
      </w:r>
      <w:r w:rsidRPr="00D337FA">
        <w:t>предотвратить</w:t>
      </w:r>
      <w:r w:rsidR="006C680D" w:rsidRPr="00D337FA">
        <w:t xml:space="preserve"> </w:t>
      </w:r>
      <w:r w:rsidRPr="00D337FA">
        <w:t>вероятность</w:t>
      </w:r>
      <w:r w:rsidR="006C680D" w:rsidRPr="00D337FA">
        <w:t xml:space="preserve"> </w:t>
      </w:r>
      <w:r w:rsidRPr="00D337FA">
        <w:t>дефолтов</w:t>
      </w:r>
      <w:r w:rsidR="006C680D" w:rsidRPr="00D337FA">
        <w:t xml:space="preserve"> </w:t>
      </w:r>
      <w:r w:rsidRPr="00D337FA">
        <w:t>банков</w:t>
      </w:r>
      <w:r w:rsidR="006C680D" w:rsidRPr="00D337FA">
        <w:t xml:space="preserve"> </w:t>
      </w:r>
      <w:r w:rsidRPr="00D337FA">
        <w:t>в</w:t>
      </w:r>
      <w:r w:rsidR="006C680D" w:rsidRPr="00D337FA">
        <w:t xml:space="preserve"> </w:t>
      </w:r>
      <w:r w:rsidRPr="00D337FA">
        <w:t>будущем</w:t>
      </w:r>
      <w:r w:rsidR="006C680D" w:rsidRPr="00D337FA">
        <w:t xml:space="preserve"> </w:t>
      </w:r>
      <w:r w:rsidRPr="00D337FA">
        <w:t>вряд</w:t>
      </w:r>
      <w:r w:rsidR="006C680D" w:rsidRPr="00D337FA">
        <w:t xml:space="preserve"> </w:t>
      </w:r>
      <w:r w:rsidRPr="00D337FA">
        <w:t>ли</w:t>
      </w:r>
      <w:r w:rsidR="006C680D" w:rsidRPr="00D337FA">
        <w:t xml:space="preserve"> </w:t>
      </w:r>
      <w:r w:rsidRPr="00D337FA">
        <w:t>удастся,</w:t>
      </w:r>
      <w:r w:rsidR="006C680D" w:rsidRPr="00D337FA">
        <w:t xml:space="preserve"> </w:t>
      </w:r>
      <w:r w:rsidRPr="00D337FA">
        <w:t>походы</w:t>
      </w:r>
      <w:r w:rsidR="006C680D" w:rsidRPr="00D337FA">
        <w:t xml:space="preserve"> </w:t>
      </w:r>
      <w:r w:rsidRPr="00D337FA">
        <w:t>к</w:t>
      </w:r>
      <w:r w:rsidR="006C680D" w:rsidRPr="00D337FA">
        <w:t xml:space="preserve"> </w:t>
      </w:r>
      <w:r w:rsidRPr="00D337FA">
        <w:t>выбору</w:t>
      </w:r>
      <w:r w:rsidR="006C680D" w:rsidRPr="00D337FA">
        <w:t xml:space="preserve"> </w:t>
      </w:r>
      <w:r w:rsidRPr="00D337FA">
        <w:t>оптимальных</w:t>
      </w:r>
      <w:r w:rsidR="006C680D" w:rsidRPr="00D337FA">
        <w:t xml:space="preserve"> </w:t>
      </w:r>
      <w:r w:rsidRPr="00D337FA">
        <w:t>механизмов</w:t>
      </w:r>
      <w:r w:rsidR="006C680D" w:rsidRPr="00D337FA">
        <w:t xml:space="preserve"> </w:t>
      </w:r>
      <w:r w:rsidRPr="00D337FA">
        <w:t>финансирования,</w:t>
      </w:r>
      <w:r w:rsidR="006C680D" w:rsidRPr="00D337FA">
        <w:t xml:space="preserve"> </w:t>
      </w:r>
      <w:r w:rsidRPr="00D337FA">
        <w:t>процедур</w:t>
      </w:r>
      <w:r w:rsidR="006C680D" w:rsidRPr="00D337FA">
        <w:t xml:space="preserve"> </w:t>
      </w:r>
      <w:r w:rsidRPr="00D337FA">
        <w:t>финансового</w:t>
      </w:r>
      <w:r w:rsidR="006C680D" w:rsidRPr="00D337FA">
        <w:t xml:space="preserve"> </w:t>
      </w:r>
      <w:r w:rsidRPr="00D337FA">
        <w:t>оздоровления</w:t>
      </w:r>
      <w:r w:rsidR="006C680D" w:rsidRPr="00D337FA">
        <w:t xml:space="preserve"> </w:t>
      </w:r>
      <w:r w:rsidRPr="00D337FA">
        <w:t>банков</w:t>
      </w:r>
      <w:r w:rsidR="006C680D" w:rsidRPr="00D337FA">
        <w:t xml:space="preserve"> </w:t>
      </w:r>
      <w:r w:rsidRPr="00D337FA">
        <w:t>и</w:t>
      </w:r>
      <w:r w:rsidR="006C680D" w:rsidRPr="00D337FA">
        <w:t xml:space="preserve"> </w:t>
      </w:r>
      <w:r w:rsidRPr="00D337FA">
        <w:t>оценке</w:t>
      </w:r>
      <w:r w:rsidR="006C680D" w:rsidRPr="00D337FA">
        <w:t xml:space="preserve"> </w:t>
      </w:r>
      <w:r w:rsidRPr="00D337FA">
        <w:t>целесообразности</w:t>
      </w:r>
      <w:r w:rsidR="006C680D" w:rsidRPr="00D337FA">
        <w:t xml:space="preserve"> </w:t>
      </w:r>
      <w:r w:rsidRPr="00D337FA">
        <w:t>и</w:t>
      </w:r>
      <w:r w:rsidR="006C680D" w:rsidRPr="00D337FA">
        <w:t xml:space="preserve"> </w:t>
      </w:r>
      <w:r w:rsidRPr="00D337FA">
        <w:t>эффективности</w:t>
      </w:r>
      <w:r w:rsidR="006C680D" w:rsidRPr="00D337FA">
        <w:t xml:space="preserve"> </w:t>
      </w:r>
      <w:r w:rsidRPr="00D337FA">
        <w:t>санации</w:t>
      </w:r>
      <w:r w:rsidR="006C680D" w:rsidRPr="00D337FA">
        <w:t xml:space="preserve"> </w:t>
      </w:r>
      <w:r w:rsidRPr="00D337FA">
        <w:t>в</w:t>
      </w:r>
      <w:r w:rsidR="006C680D" w:rsidRPr="00D337FA">
        <w:t xml:space="preserve"> </w:t>
      </w:r>
      <w:r w:rsidRPr="00D337FA">
        <w:t>банковском</w:t>
      </w:r>
      <w:r w:rsidR="006C680D" w:rsidRPr="00D337FA">
        <w:t xml:space="preserve"> </w:t>
      </w:r>
      <w:r w:rsidRPr="00D337FA">
        <w:t>секторе</w:t>
      </w:r>
      <w:r w:rsidR="006C680D" w:rsidRPr="00D337FA">
        <w:t xml:space="preserve"> </w:t>
      </w:r>
      <w:r w:rsidRPr="00D337FA">
        <w:t>будут</w:t>
      </w:r>
      <w:r w:rsidR="006C680D" w:rsidRPr="00D337FA">
        <w:t xml:space="preserve"> </w:t>
      </w:r>
      <w:r w:rsidRPr="00D337FA">
        <w:t>совершенствоваться.</w:t>
      </w:r>
      <w:r w:rsidR="006C680D" w:rsidRPr="00D337FA">
        <w:t xml:space="preserve"> </w:t>
      </w:r>
      <w:r w:rsidRPr="00D337FA">
        <w:t>Одним</w:t>
      </w:r>
      <w:r w:rsidR="006C680D" w:rsidRPr="00D337FA">
        <w:t xml:space="preserve"> </w:t>
      </w:r>
      <w:r w:rsidRPr="00D337FA">
        <w:t>из</w:t>
      </w:r>
      <w:r w:rsidR="006C680D" w:rsidRPr="00D337FA">
        <w:t xml:space="preserve"> </w:t>
      </w:r>
      <w:r w:rsidRPr="00D337FA">
        <w:t>перспективных</w:t>
      </w:r>
      <w:r w:rsidR="006C680D" w:rsidRPr="00D337FA">
        <w:t xml:space="preserve"> </w:t>
      </w:r>
      <w:r w:rsidRPr="00D337FA">
        <w:t>направлений</w:t>
      </w:r>
      <w:r w:rsidR="006C680D" w:rsidRPr="00D337FA">
        <w:t xml:space="preserve"> </w:t>
      </w:r>
      <w:r w:rsidRPr="00D337FA">
        <w:t>развития</w:t>
      </w:r>
      <w:r w:rsidR="006C680D" w:rsidRPr="00D337FA">
        <w:t xml:space="preserve"> </w:t>
      </w:r>
      <w:r w:rsidRPr="00D337FA">
        <w:t>проблематики</w:t>
      </w:r>
      <w:r w:rsidR="006C680D" w:rsidRPr="00D337FA">
        <w:t xml:space="preserve"> </w:t>
      </w:r>
      <w:r w:rsidRPr="00D337FA">
        <w:t>оценки</w:t>
      </w:r>
      <w:r w:rsidR="006C680D" w:rsidRPr="00D337FA">
        <w:t xml:space="preserve"> </w:t>
      </w:r>
      <w:r w:rsidRPr="00D337FA">
        <w:t>санации</w:t>
      </w:r>
      <w:r w:rsidR="006C680D" w:rsidRPr="00D337FA">
        <w:t xml:space="preserve"> </w:t>
      </w:r>
      <w:r w:rsidRPr="00D337FA">
        <w:t>является</w:t>
      </w:r>
      <w:r w:rsidR="006C680D" w:rsidRPr="00D337FA">
        <w:t xml:space="preserve"> </w:t>
      </w:r>
      <w:r w:rsidRPr="00D337FA">
        <w:t>разработка</w:t>
      </w:r>
      <w:r w:rsidR="006C680D" w:rsidRPr="00D337FA">
        <w:t xml:space="preserve"> </w:t>
      </w:r>
      <w:r w:rsidRPr="00D337FA">
        <w:t>новых</w:t>
      </w:r>
      <w:r w:rsidR="006C680D" w:rsidRPr="00D337FA">
        <w:t xml:space="preserve"> </w:t>
      </w:r>
      <w:r w:rsidRPr="00D337FA">
        <w:t>методических</w:t>
      </w:r>
      <w:r w:rsidR="006C680D" w:rsidRPr="00D337FA">
        <w:t xml:space="preserve"> </w:t>
      </w:r>
      <w:r w:rsidRPr="00D337FA">
        <w:t>подходов</w:t>
      </w:r>
      <w:r w:rsidR="006C680D" w:rsidRPr="00D337FA">
        <w:t xml:space="preserve"> </w:t>
      </w:r>
      <w:r w:rsidRPr="00D337FA">
        <w:t>к</w:t>
      </w:r>
      <w:r w:rsidR="006C680D" w:rsidRPr="00D337FA">
        <w:t xml:space="preserve"> </w:t>
      </w:r>
      <w:r w:rsidRPr="00D337FA">
        <w:t>стресс-тестированию</w:t>
      </w:r>
      <w:r w:rsidR="006C680D" w:rsidRPr="00D337FA">
        <w:t xml:space="preserve"> </w:t>
      </w:r>
      <w:r w:rsidRPr="00D337FA">
        <w:t>банков,</w:t>
      </w:r>
      <w:r w:rsidR="006C680D" w:rsidRPr="00D337FA">
        <w:t xml:space="preserve"> </w:t>
      </w:r>
      <w:r w:rsidRPr="00D337FA">
        <w:t>ориентированных</w:t>
      </w:r>
      <w:r w:rsidR="006C680D" w:rsidRPr="00D337FA">
        <w:t xml:space="preserve"> </w:t>
      </w:r>
      <w:r w:rsidRPr="00D337FA">
        <w:t>на</w:t>
      </w:r>
      <w:r w:rsidR="006C680D" w:rsidRPr="00D337FA">
        <w:t xml:space="preserve"> </w:t>
      </w:r>
      <w:r w:rsidRPr="00D337FA">
        <w:t>определение</w:t>
      </w:r>
      <w:r w:rsidR="006C680D" w:rsidRPr="00D337FA">
        <w:t xml:space="preserve"> </w:t>
      </w:r>
      <w:r w:rsidRPr="00D337FA">
        <w:t>их</w:t>
      </w:r>
      <w:r w:rsidR="006C680D" w:rsidRPr="00D337FA">
        <w:t xml:space="preserve"> </w:t>
      </w:r>
      <w:r w:rsidRPr="00D337FA">
        <w:t>санационной</w:t>
      </w:r>
      <w:r w:rsidR="006C680D" w:rsidRPr="00D337FA">
        <w:t xml:space="preserve"> </w:t>
      </w:r>
      <w:r w:rsidRPr="00D337FA">
        <w:t>состоятельности</w:t>
      </w:r>
      <w:r w:rsidR="006C680D" w:rsidRPr="00D337FA">
        <w:t xml:space="preserve"> </w:t>
      </w:r>
      <w:r w:rsidRPr="00D337FA">
        <w:t>в</w:t>
      </w:r>
      <w:r w:rsidR="006C680D" w:rsidRPr="00D337FA">
        <w:t xml:space="preserve"> </w:t>
      </w:r>
      <w:r w:rsidRPr="00D337FA">
        <w:t>случае</w:t>
      </w:r>
      <w:r w:rsidR="006C680D" w:rsidRPr="00D337FA">
        <w:t xml:space="preserve"> </w:t>
      </w:r>
      <w:r w:rsidRPr="00D337FA">
        <w:t>реализации</w:t>
      </w:r>
      <w:r w:rsidR="006C680D" w:rsidRPr="00D337FA">
        <w:t xml:space="preserve"> </w:t>
      </w:r>
      <w:r w:rsidRPr="00D337FA">
        <w:t>негативных</w:t>
      </w:r>
      <w:r w:rsidR="006C680D" w:rsidRPr="00D337FA">
        <w:t xml:space="preserve"> </w:t>
      </w:r>
      <w:r w:rsidRPr="00D337FA">
        <w:t>сценариев</w:t>
      </w:r>
      <w:r w:rsidR="006C680D" w:rsidRPr="00D337FA">
        <w:t xml:space="preserve"> </w:t>
      </w:r>
      <w:r w:rsidRPr="00D337FA">
        <w:t>развития</w:t>
      </w:r>
      <w:r w:rsidR="006C680D" w:rsidRPr="00D337FA">
        <w:t xml:space="preserve"> </w:t>
      </w:r>
      <w:r w:rsidRPr="00D337FA">
        <w:t>событий.</w:t>
      </w:r>
      <w:r w:rsidR="006C680D" w:rsidRPr="00D337FA">
        <w:t xml:space="preserve">  </w:t>
      </w:r>
    </w:p>
    <w:p w:rsidR="00FB2463" w:rsidRPr="00D337FA" w:rsidRDefault="00FB2463" w:rsidP="004A1229">
      <w:pPr>
        <w:tabs>
          <w:tab w:val="center" w:pos="4677"/>
        </w:tabs>
        <w:ind w:right="-1" w:firstLine="284"/>
        <w:jc w:val="right"/>
        <w:rPr>
          <w:rFonts w:ascii="Arial CYR" w:hAnsi="Arial CYR" w:cs="Arial CYR"/>
          <w:b/>
          <w:bCs/>
          <w:i/>
          <w:iCs/>
          <w:caps/>
          <w:szCs w:val="24"/>
          <w:u w:val="single"/>
          <w:lang w:eastAsia="ru-RU"/>
        </w:rPr>
      </w:pPr>
    </w:p>
    <w:p w:rsidR="004A1229" w:rsidRPr="00D337FA" w:rsidRDefault="004A1229" w:rsidP="00C8298C">
      <w:pPr>
        <w:tabs>
          <w:tab w:val="center" w:pos="4677"/>
        </w:tabs>
        <w:ind w:right="-1" w:firstLine="0"/>
        <w:jc w:val="right"/>
        <w:rPr>
          <w:rFonts w:ascii="Arial CYR" w:hAnsi="Arial CYR" w:cs="Arial CYR"/>
          <w:b/>
          <w:bCs/>
          <w:i/>
          <w:iCs/>
          <w:caps/>
          <w:szCs w:val="24"/>
          <w:u w:val="single"/>
          <w:lang w:eastAsia="ru-RU"/>
        </w:rPr>
        <w:sectPr w:rsidR="004A1229" w:rsidRPr="00D337FA" w:rsidSect="004A1229">
          <w:footnotePr>
            <w:numRestart w:val="eachPage"/>
          </w:footnotePr>
          <w:type w:val="continuous"/>
          <w:pgSz w:w="11907" w:h="16840" w:code="9"/>
          <w:pgMar w:top="1418" w:right="1134" w:bottom="1418" w:left="1134" w:header="1021" w:footer="1021" w:gutter="0"/>
          <w:cols w:num="2" w:space="708"/>
          <w:docGrid w:linePitch="360"/>
        </w:sectPr>
      </w:pPr>
    </w:p>
    <w:p w:rsidR="00D337FA" w:rsidRDefault="00D337FA" w:rsidP="004A1229">
      <w:pPr>
        <w:jc w:val="center"/>
        <w:rPr>
          <w:b/>
        </w:rPr>
      </w:pPr>
    </w:p>
    <w:p w:rsidR="004A1229" w:rsidRPr="00D337FA" w:rsidRDefault="004A1229" w:rsidP="004A1229">
      <w:pPr>
        <w:jc w:val="center"/>
        <w:rPr>
          <w:b/>
        </w:rPr>
      </w:pPr>
      <w:r w:rsidRPr="00D337FA">
        <w:rPr>
          <w:b/>
        </w:rPr>
        <w:t>ЛИТЕРАТУРА</w:t>
      </w:r>
    </w:p>
    <w:p w:rsidR="004A1229" w:rsidRPr="00D337FA" w:rsidRDefault="004A1229" w:rsidP="004A1229">
      <w:pPr>
        <w:ind w:firstLine="284"/>
        <w:rPr>
          <w:i/>
        </w:rPr>
      </w:pPr>
      <w:r w:rsidRPr="00D337FA">
        <w:rPr>
          <w:i/>
        </w:rPr>
        <w:t>1.</w:t>
      </w:r>
      <w:r w:rsidR="006C680D" w:rsidRPr="00D337FA">
        <w:rPr>
          <w:i/>
        </w:rPr>
        <w:t xml:space="preserve"> </w:t>
      </w:r>
      <w:r w:rsidRPr="00D337FA">
        <w:rPr>
          <w:i/>
        </w:rPr>
        <w:t>Ильина</w:t>
      </w:r>
      <w:r w:rsidR="006C680D" w:rsidRPr="00D337FA">
        <w:rPr>
          <w:i/>
        </w:rPr>
        <w:t xml:space="preserve"> </w:t>
      </w:r>
      <w:r w:rsidRPr="00D337FA">
        <w:rPr>
          <w:i/>
        </w:rPr>
        <w:t>Л.В.,</w:t>
      </w:r>
      <w:r w:rsidR="006C680D" w:rsidRPr="00D337FA">
        <w:rPr>
          <w:i/>
        </w:rPr>
        <w:t xml:space="preserve"> </w:t>
      </w:r>
      <w:r w:rsidRPr="00D337FA">
        <w:rPr>
          <w:i/>
        </w:rPr>
        <w:t>Копченко</w:t>
      </w:r>
      <w:r w:rsidR="006C680D" w:rsidRPr="00D337FA">
        <w:rPr>
          <w:i/>
        </w:rPr>
        <w:t xml:space="preserve"> </w:t>
      </w:r>
      <w:r w:rsidRPr="00D337FA">
        <w:rPr>
          <w:i/>
        </w:rPr>
        <w:t>Ю.Е.,</w:t>
      </w:r>
      <w:r w:rsidR="006C680D" w:rsidRPr="00D337FA">
        <w:rPr>
          <w:i/>
        </w:rPr>
        <w:t xml:space="preserve"> </w:t>
      </w:r>
      <w:r w:rsidRPr="00D337FA">
        <w:rPr>
          <w:i/>
        </w:rPr>
        <w:t>Кукляева</w:t>
      </w:r>
      <w:r w:rsidR="006C680D" w:rsidRPr="00D337FA">
        <w:rPr>
          <w:i/>
        </w:rPr>
        <w:t xml:space="preserve"> </w:t>
      </w:r>
      <w:r w:rsidRPr="00D337FA">
        <w:rPr>
          <w:i/>
        </w:rPr>
        <w:t>О.А.</w:t>
      </w:r>
      <w:r w:rsidR="006C680D" w:rsidRPr="00D337FA">
        <w:rPr>
          <w:i/>
        </w:rPr>
        <w:t xml:space="preserve"> </w:t>
      </w:r>
      <w:r w:rsidRPr="00D337FA">
        <w:rPr>
          <w:i/>
        </w:rPr>
        <w:t>Дефолты</w:t>
      </w:r>
      <w:r w:rsidR="006C680D" w:rsidRPr="00D337FA">
        <w:rPr>
          <w:i/>
        </w:rPr>
        <w:t xml:space="preserve"> </w:t>
      </w:r>
      <w:r w:rsidRPr="00D337FA">
        <w:rPr>
          <w:i/>
        </w:rPr>
        <w:t>в</w:t>
      </w:r>
      <w:r w:rsidR="006C680D" w:rsidRPr="00D337FA">
        <w:rPr>
          <w:i/>
        </w:rPr>
        <w:t xml:space="preserve"> </w:t>
      </w:r>
      <w:r w:rsidRPr="00D337FA">
        <w:rPr>
          <w:i/>
        </w:rPr>
        <w:t>банковской</w:t>
      </w:r>
      <w:r w:rsidR="006C680D" w:rsidRPr="00D337FA">
        <w:rPr>
          <w:i/>
        </w:rPr>
        <w:t xml:space="preserve"> </w:t>
      </w:r>
      <w:r w:rsidRPr="00D337FA">
        <w:rPr>
          <w:i/>
        </w:rPr>
        <w:t>системе</w:t>
      </w:r>
      <w:r w:rsidR="006C680D" w:rsidRPr="00D337FA">
        <w:rPr>
          <w:i/>
        </w:rPr>
        <w:t xml:space="preserve"> </w:t>
      </w:r>
      <w:r w:rsidRPr="00D337FA">
        <w:rPr>
          <w:i/>
        </w:rPr>
        <w:t>России:</w:t>
      </w:r>
      <w:r w:rsidR="006C680D" w:rsidRPr="00D337FA">
        <w:rPr>
          <w:i/>
        </w:rPr>
        <w:t xml:space="preserve"> </w:t>
      </w:r>
      <w:r w:rsidRPr="00D337FA">
        <w:rPr>
          <w:i/>
        </w:rPr>
        <w:t>исторический</w:t>
      </w:r>
      <w:r w:rsidR="006C680D" w:rsidRPr="00D337FA">
        <w:rPr>
          <w:i/>
        </w:rPr>
        <w:t xml:space="preserve"> </w:t>
      </w:r>
      <w:r w:rsidRPr="00D337FA">
        <w:rPr>
          <w:i/>
        </w:rPr>
        <w:t>аспект</w:t>
      </w:r>
      <w:r w:rsidR="006C680D" w:rsidRPr="00D337FA">
        <w:rPr>
          <w:i/>
        </w:rPr>
        <w:t xml:space="preserve"> </w:t>
      </w:r>
      <w:r w:rsidRPr="00D337FA">
        <w:rPr>
          <w:i/>
        </w:rPr>
        <w:t>//</w:t>
      </w:r>
      <w:r w:rsidR="006C680D" w:rsidRPr="00D337FA">
        <w:rPr>
          <w:i/>
        </w:rPr>
        <w:t xml:space="preserve"> </w:t>
      </w:r>
      <w:r w:rsidRPr="00D337FA">
        <w:rPr>
          <w:i/>
        </w:rPr>
        <w:t>И</w:t>
      </w:r>
      <w:r w:rsidR="006C680D" w:rsidRPr="00D337FA">
        <w:rPr>
          <w:i/>
        </w:rPr>
        <w:t xml:space="preserve"> </w:t>
      </w:r>
      <w:r w:rsidRPr="00D337FA">
        <w:rPr>
          <w:i/>
        </w:rPr>
        <w:t>помнит</w:t>
      </w:r>
      <w:r w:rsidR="006C680D" w:rsidRPr="00D337FA">
        <w:rPr>
          <w:i/>
        </w:rPr>
        <w:t xml:space="preserve"> </w:t>
      </w:r>
      <w:r w:rsidRPr="00D337FA">
        <w:rPr>
          <w:i/>
        </w:rPr>
        <w:t>мир</w:t>
      </w:r>
      <w:r w:rsidR="006C680D" w:rsidRPr="00D337FA">
        <w:rPr>
          <w:i/>
        </w:rPr>
        <w:t xml:space="preserve"> </w:t>
      </w:r>
      <w:r w:rsidRPr="00D337FA">
        <w:rPr>
          <w:i/>
        </w:rPr>
        <w:t>спасенный</w:t>
      </w:r>
      <w:r w:rsidR="006C680D" w:rsidRPr="00D337FA">
        <w:rPr>
          <w:i/>
        </w:rPr>
        <w:t xml:space="preserve"> </w:t>
      </w:r>
      <w:r w:rsidRPr="00D337FA">
        <w:rPr>
          <w:i/>
        </w:rPr>
        <w:t>…</w:t>
      </w:r>
      <w:r w:rsidR="006C680D" w:rsidRPr="00D337FA">
        <w:rPr>
          <w:i/>
        </w:rPr>
        <w:t xml:space="preserve"> </w:t>
      </w:r>
      <w:r w:rsidRPr="00D337FA">
        <w:rPr>
          <w:i/>
        </w:rPr>
        <w:t>Осмысление</w:t>
      </w:r>
      <w:r w:rsidR="006C680D" w:rsidRPr="00D337FA">
        <w:rPr>
          <w:i/>
        </w:rPr>
        <w:t xml:space="preserve"> </w:t>
      </w:r>
      <w:r w:rsidRPr="00D337FA">
        <w:rPr>
          <w:i/>
        </w:rPr>
        <w:t>уроков</w:t>
      </w:r>
      <w:r w:rsidR="006C680D" w:rsidRPr="00D337FA">
        <w:rPr>
          <w:i/>
        </w:rPr>
        <w:t xml:space="preserve"> </w:t>
      </w:r>
      <w:r w:rsidRPr="00D337FA">
        <w:rPr>
          <w:i/>
        </w:rPr>
        <w:t>истории</w:t>
      </w:r>
      <w:r w:rsidR="006C680D" w:rsidRPr="00D337FA">
        <w:rPr>
          <w:i/>
        </w:rPr>
        <w:t xml:space="preserve"> </w:t>
      </w:r>
      <w:r w:rsidRPr="00D337FA">
        <w:rPr>
          <w:i/>
        </w:rPr>
        <w:t>и</w:t>
      </w:r>
      <w:r w:rsidR="006C680D" w:rsidRPr="00D337FA">
        <w:rPr>
          <w:i/>
        </w:rPr>
        <w:t xml:space="preserve"> </w:t>
      </w:r>
      <w:r w:rsidRPr="00D337FA">
        <w:rPr>
          <w:i/>
        </w:rPr>
        <w:t>тенденции</w:t>
      </w:r>
      <w:r w:rsidR="006C680D" w:rsidRPr="00D337FA">
        <w:rPr>
          <w:i/>
        </w:rPr>
        <w:t xml:space="preserve"> </w:t>
      </w:r>
      <w:r w:rsidRPr="00D337FA">
        <w:rPr>
          <w:i/>
        </w:rPr>
        <w:t>социально-экономического</w:t>
      </w:r>
      <w:r w:rsidR="006C680D" w:rsidRPr="00D337FA">
        <w:rPr>
          <w:i/>
        </w:rPr>
        <w:t xml:space="preserve"> </w:t>
      </w:r>
      <w:r w:rsidRPr="00D337FA">
        <w:rPr>
          <w:i/>
        </w:rPr>
        <w:t>развития</w:t>
      </w:r>
      <w:r w:rsidR="006C680D" w:rsidRPr="00D337FA">
        <w:rPr>
          <w:i/>
        </w:rPr>
        <w:t xml:space="preserve"> </w:t>
      </w:r>
      <w:r w:rsidRPr="00D337FA">
        <w:rPr>
          <w:i/>
        </w:rPr>
        <w:t>(к</w:t>
      </w:r>
      <w:r w:rsidR="006C680D" w:rsidRPr="00D337FA">
        <w:rPr>
          <w:i/>
        </w:rPr>
        <w:t xml:space="preserve"> </w:t>
      </w:r>
      <w:r w:rsidRPr="00D337FA">
        <w:rPr>
          <w:i/>
        </w:rPr>
        <w:t>80-летию</w:t>
      </w:r>
      <w:r w:rsidR="006C680D" w:rsidRPr="00D337FA">
        <w:rPr>
          <w:i/>
        </w:rPr>
        <w:t xml:space="preserve"> </w:t>
      </w:r>
      <w:r w:rsidRPr="00D337FA">
        <w:rPr>
          <w:i/>
        </w:rPr>
        <w:t>Победы</w:t>
      </w:r>
      <w:r w:rsidR="006C680D" w:rsidRPr="00D337FA">
        <w:rPr>
          <w:i/>
        </w:rPr>
        <w:t xml:space="preserve"> </w:t>
      </w:r>
      <w:r w:rsidRPr="00D337FA">
        <w:rPr>
          <w:i/>
        </w:rPr>
        <w:t>в</w:t>
      </w:r>
      <w:r w:rsidR="006C680D" w:rsidRPr="00D337FA">
        <w:rPr>
          <w:i/>
        </w:rPr>
        <w:t xml:space="preserve"> </w:t>
      </w:r>
      <w:r w:rsidRPr="00D337FA">
        <w:rPr>
          <w:i/>
        </w:rPr>
        <w:t>Великой</w:t>
      </w:r>
      <w:r w:rsidR="006C680D" w:rsidRPr="00D337FA">
        <w:rPr>
          <w:i/>
        </w:rPr>
        <w:t xml:space="preserve"> </w:t>
      </w:r>
      <w:r w:rsidRPr="00D337FA">
        <w:rPr>
          <w:i/>
        </w:rPr>
        <w:t>Отечественной</w:t>
      </w:r>
      <w:r w:rsidR="006C680D" w:rsidRPr="00D337FA">
        <w:rPr>
          <w:i/>
        </w:rPr>
        <w:t xml:space="preserve"> </w:t>
      </w:r>
      <w:r w:rsidRPr="00D337FA">
        <w:rPr>
          <w:i/>
        </w:rPr>
        <w:t>войне):</w:t>
      </w:r>
      <w:r w:rsidR="006C680D" w:rsidRPr="00D337FA">
        <w:rPr>
          <w:i/>
        </w:rPr>
        <w:t xml:space="preserve"> </w:t>
      </w:r>
      <w:r w:rsidRPr="00D337FA">
        <w:rPr>
          <w:i/>
        </w:rPr>
        <w:t>материалы</w:t>
      </w:r>
      <w:r w:rsidR="006C680D" w:rsidRPr="00D337FA">
        <w:rPr>
          <w:i/>
        </w:rPr>
        <w:t xml:space="preserve"> </w:t>
      </w:r>
      <w:r w:rsidRPr="00D337FA">
        <w:rPr>
          <w:i/>
        </w:rPr>
        <w:t>Международной</w:t>
      </w:r>
      <w:r w:rsidR="006C680D" w:rsidRPr="00D337FA">
        <w:rPr>
          <w:i/>
        </w:rPr>
        <w:t xml:space="preserve"> </w:t>
      </w:r>
      <w:r w:rsidRPr="00D337FA">
        <w:rPr>
          <w:i/>
        </w:rPr>
        <w:t>научно-практической</w:t>
      </w:r>
      <w:r w:rsidR="006C680D" w:rsidRPr="00D337FA">
        <w:rPr>
          <w:i/>
        </w:rPr>
        <w:t xml:space="preserve"> </w:t>
      </w:r>
      <w:r w:rsidRPr="00D337FA">
        <w:rPr>
          <w:i/>
        </w:rPr>
        <w:t>конференции</w:t>
      </w:r>
      <w:r w:rsidR="006C680D" w:rsidRPr="00D337FA">
        <w:rPr>
          <w:i/>
        </w:rPr>
        <w:t xml:space="preserve"> </w:t>
      </w:r>
      <w:r w:rsidRPr="00D337FA">
        <w:rPr>
          <w:i/>
        </w:rPr>
        <w:t>преподавателей,</w:t>
      </w:r>
      <w:r w:rsidR="006C680D" w:rsidRPr="00D337FA">
        <w:rPr>
          <w:i/>
        </w:rPr>
        <w:t xml:space="preserve"> </w:t>
      </w:r>
      <w:r w:rsidRPr="00D337FA">
        <w:rPr>
          <w:i/>
        </w:rPr>
        <w:t>студентов,</w:t>
      </w:r>
      <w:r w:rsidR="006C680D" w:rsidRPr="00D337FA">
        <w:rPr>
          <w:i/>
        </w:rPr>
        <w:t xml:space="preserve"> </w:t>
      </w:r>
      <w:r w:rsidRPr="00D337FA">
        <w:rPr>
          <w:i/>
        </w:rPr>
        <w:t>магистрантов</w:t>
      </w:r>
      <w:r w:rsidR="006C680D" w:rsidRPr="00D337FA">
        <w:rPr>
          <w:i/>
        </w:rPr>
        <w:t xml:space="preserve"> </w:t>
      </w:r>
      <w:r w:rsidRPr="00D337FA">
        <w:rPr>
          <w:i/>
        </w:rPr>
        <w:t>и</w:t>
      </w:r>
      <w:r w:rsidR="006C680D" w:rsidRPr="00D337FA">
        <w:rPr>
          <w:i/>
        </w:rPr>
        <w:t xml:space="preserve"> </w:t>
      </w:r>
      <w:r w:rsidRPr="00D337FA">
        <w:rPr>
          <w:i/>
        </w:rPr>
        <w:t>аспирантов,</w:t>
      </w:r>
      <w:r w:rsidR="006C680D" w:rsidRPr="00D337FA">
        <w:rPr>
          <w:i/>
        </w:rPr>
        <w:t xml:space="preserve"> </w:t>
      </w:r>
      <w:r w:rsidRPr="00D337FA">
        <w:rPr>
          <w:i/>
        </w:rPr>
        <w:t>Саратов,</w:t>
      </w:r>
      <w:r w:rsidR="006C680D" w:rsidRPr="00D337FA">
        <w:rPr>
          <w:i/>
        </w:rPr>
        <w:t xml:space="preserve"> </w:t>
      </w:r>
      <w:r w:rsidRPr="00D337FA">
        <w:rPr>
          <w:i/>
        </w:rPr>
        <w:t>24-25</w:t>
      </w:r>
      <w:r w:rsidR="006C680D" w:rsidRPr="00D337FA">
        <w:rPr>
          <w:i/>
        </w:rPr>
        <w:t xml:space="preserve"> </w:t>
      </w:r>
      <w:r w:rsidRPr="00D337FA">
        <w:rPr>
          <w:i/>
        </w:rPr>
        <w:t>апреля</w:t>
      </w:r>
      <w:r w:rsidR="006C680D" w:rsidRPr="00D337FA">
        <w:rPr>
          <w:i/>
        </w:rPr>
        <w:t xml:space="preserve"> </w:t>
      </w:r>
      <w:r w:rsidRPr="00D337FA">
        <w:rPr>
          <w:i/>
        </w:rPr>
        <w:t>2025</w:t>
      </w:r>
      <w:r w:rsidR="006C680D" w:rsidRPr="00D337FA">
        <w:rPr>
          <w:i/>
        </w:rPr>
        <w:t xml:space="preserve"> </w:t>
      </w:r>
      <w:r w:rsidRPr="00D337FA">
        <w:rPr>
          <w:i/>
        </w:rPr>
        <w:t>года.</w:t>
      </w:r>
      <w:r w:rsidR="006C680D" w:rsidRPr="00D337FA">
        <w:rPr>
          <w:i/>
        </w:rPr>
        <w:t xml:space="preserve"> </w:t>
      </w:r>
      <w:r w:rsidRPr="00D337FA">
        <w:rPr>
          <w:i/>
        </w:rPr>
        <w:t>-</w:t>
      </w:r>
      <w:r w:rsidR="006C680D" w:rsidRPr="00D337FA">
        <w:rPr>
          <w:i/>
        </w:rPr>
        <w:t xml:space="preserve"> </w:t>
      </w:r>
      <w:r w:rsidRPr="00D337FA">
        <w:rPr>
          <w:i/>
        </w:rPr>
        <w:t>Саратов:</w:t>
      </w:r>
      <w:r w:rsidR="006C680D" w:rsidRPr="00D337FA">
        <w:rPr>
          <w:i/>
        </w:rPr>
        <w:t xml:space="preserve"> </w:t>
      </w:r>
      <w:r w:rsidRPr="00D337FA">
        <w:rPr>
          <w:i/>
        </w:rPr>
        <w:t>Издательство</w:t>
      </w:r>
      <w:r w:rsidR="006C680D" w:rsidRPr="00D337FA">
        <w:rPr>
          <w:i/>
        </w:rPr>
        <w:t xml:space="preserve"> </w:t>
      </w:r>
      <w:r w:rsidRPr="00D337FA">
        <w:rPr>
          <w:i/>
        </w:rPr>
        <w:t>"Саратовский</w:t>
      </w:r>
      <w:r w:rsidR="006C680D" w:rsidRPr="00D337FA">
        <w:rPr>
          <w:i/>
        </w:rPr>
        <w:t xml:space="preserve"> </w:t>
      </w:r>
      <w:r w:rsidRPr="00D337FA">
        <w:rPr>
          <w:i/>
        </w:rPr>
        <w:t>источник",</w:t>
      </w:r>
      <w:r w:rsidR="006C680D" w:rsidRPr="00D337FA">
        <w:rPr>
          <w:i/>
        </w:rPr>
        <w:t xml:space="preserve"> </w:t>
      </w:r>
      <w:r w:rsidRPr="00D337FA">
        <w:rPr>
          <w:i/>
        </w:rPr>
        <w:t>2025.</w:t>
      </w:r>
      <w:r w:rsidR="006C680D" w:rsidRPr="00D337FA">
        <w:rPr>
          <w:i/>
        </w:rPr>
        <w:t xml:space="preserve"> </w:t>
      </w:r>
      <w:r w:rsidRPr="00D337FA">
        <w:rPr>
          <w:i/>
        </w:rPr>
        <w:t>С.</w:t>
      </w:r>
      <w:r w:rsidR="006C680D" w:rsidRPr="00D337FA">
        <w:rPr>
          <w:i/>
        </w:rPr>
        <w:t xml:space="preserve"> </w:t>
      </w:r>
      <w:r w:rsidRPr="00D337FA">
        <w:rPr>
          <w:i/>
        </w:rPr>
        <w:t>103-106.</w:t>
      </w:r>
    </w:p>
    <w:p w:rsidR="004A1229" w:rsidRPr="00D337FA" w:rsidRDefault="004A1229" w:rsidP="004A1229">
      <w:pPr>
        <w:ind w:firstLine="284"/>
        <w:rPr>
          <w:i/>
        </w:rPr>
      </w:pPr>
      <w:r w:rsidRPr="00D337FA">
        <w:rPr>
          <w:i/>
        </w:rPr>
        <w:t>2.</w:t>
      </w:r>
      <w:r w:rsidR="006C680D" w:rsidRPr="00D337FA">
        <w:rPr>
          <w:i/>
        </w:rPr>
        <w:t xml:space="preserve"> </w:t>
      </w:r>
      <w:r w:rsidRPr="00D337FA">
        <w:rPr>
          <w:i/>
        </w:rPr>
        <w:t>Экономическая</w:t>
      </w:r>
      <w:r w:rsidR="006C680D" w:rsidRPr="00D337FA">
        <w:rPr>
          <w:i/>
        </w:rPr>
        <w:t xml:space="preserve"> </w:t>
      </w:r>
      <w:r w:rsidRPr="00D337FA">
        <w:rPr>
          <w:i/>
        </w:rPr>
        <w:t>целесообразность</w:t>
      </w:r>
      <w:r w:rsidR="006C680D" w:rsidRPr="00D337FA">
        <w:rPr>
          <w:i/>
        </w:rPr>
        <w:t xml:space="preserve"> </w:t>
      </w:r>
      <w:r w:rsidRPr="00D337FA">
        <w:rPr>
          <w:i/>
        </w:rPr>
        <w:t>-</w:t>
      </w:r>
      <w:r w:rsidR="006C680D" w:rsidRPr="00D337FA">
        <w:rPr>
          <w:i/>
        </w:rPr>
        <w:t xml:space="preserve"> </w:t>
      </w:r>
      <w:r w:rsidRPr="00D337FA">
        <w:rPr>
          <w:i/>
        </w:rPr>
        <w:t>это...</w:t>
      </w:r>
      <w:r w:rsidR="006C680D" w:rsidRPr="00D337FA">
        <w:rPr>
          <w:i/>
        </w:rPr>
        <w:t xml:space="preserve"> </w:t>
      </w:r>
      <w:r w:rsidRPr="00D337FA">
        <w:rPr>
          <w:i/>
        </w:rPr>
        <w:t>Оценка</w:t>
      </w:r>
      <w:r w:rsidR="006C680D" w:rsidRPr="00D337FA">
        <w:rPr>
          <w:i/>
        </w:rPr>
        <w:t xml:space="preserve"> </w:t>
      </w:r>
      <w:r w:rsidRPr="00D337FA">
        <w:rPr>
          <w:i/>
        </w:rPr>
        <w:t>экономической</w:t>
      </w:r>
      <w:r w:rsidR="006C680D" w:rsidRPr="00D337FA">
        <w:rPr>
          <w:i/>
        </w:rPr>
        <w:t xml:space="preserve"> </w:t>
      </w:r>
      <w:r w:rsidRPr="00D337FA">
        <w:rPr>
          <w:i/>
        </w:rPr>
        <w:t>целесообразности.</w:t>
      </w:r>
      <w:r w:rsidR="006C680D" w:rsidRPr="00D337FA">
        <w:rPr>
          <w:i/>
        </w:rPr>
        <w:t xml:space="preserve"> </w:t>
      </w:r>
      <w:r w:rsidRPr="00D337FA">
        <w:rPr>
          <w:i/>
        </w:rPr>
        <w:t>BusinessMan.ru.</w:t>
      </w:r>
      <w:r w:rsidR="006C680D" w:rsidRPr="00D337FA">
        <w:rPr>
          <w:i/>
        </w:rPr>
        <w:t xml:space="preserve"> </w:t>
      </w:r>
      <w:r w:rsidRPr="00D337FA">
        <w:rPr>
          <w:i/>
        </w:rPr>
        <w:t>URL:</w:t>
      </w:r>
      <w:r w:rsidR="006C680D" w:rsidRPr="00D337FA">
        <w:rPr>
          <w:i/>
        </w:rPr>
        <w:t xml:space="preserve"> </w:t>
      </w:r>
      <w:r w:rsidRPr="00D337FA">
        <w:rPr>
          <w:i/>
        </w:rPr>
        <w:t>https://businessman.ru/</w:t>
      </w:r>
      <w:r w:rsidR="006C680D" w:rsidRPr="00D337FA">
        <w:rPr>
          <w:i/>
        </w:rPr>
        <w:t xml:space="preserve"> </w:t>
      </w:r>
      <w:r w:rsidRPr="00D337FA">
        <w:rPr>
          <w:i/>
        </w:rPr>
        <w:t>ekonomicheskaya-tselesoobraznost-eto-otsenka-ekonomicheskoy-tselesoobraznosti</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20.12.2025).</w:t>
      </w:r>
    </w:p>
    <w:p w:rsidR="004A1229" w:rsidRPr="00D337FA" w:rsidRDefault="006C680D" w:rsidP="004A1229">
      <w:pPr>
        <w:ind w:firstLine="284"/>
        <w:rPr>
          <w:i/>
        </w:rPr>
      </w:pPr>
      <w:r w:rsidRPr="00D337FA">
        <w:rPr>
          <w:i/>
        </w:rPr>
        <w:t xml:space="preserve">  </w:t>
      </w:r>
      <w:r w:rsidR="004A1229" w:rsidRPr="00D337FA">
        <w:rPr>
          <w:i/>
        </w:rPr>
        <w:t>3.</w:t>
      </w:r>
      <w:r w:rsidRPr="00D337FA">
        <w:rPr>
          <w:i/>
        </w:rPr>
        <w:t xml:space="preserve"> </w:t>
      </w:r>
      <w:r w:rsidR="004A1229" w:rsidRPr="00D337FA">
        <w:rPr>
          <w:i/>
        </w:rPr>
        <w:t>Умгаева</w:t>
      </w:r>
      <w:r w:rsidR="00F70991">
        <w:rPr>
          <w:i/>
        </w:rPr>
        <w:t xml:space="preserve"> </w:t>
      </w:r>
      <w:r w:rsidR="004A1229" w:rsidRPr="00D337FA">
        <w:rPr>
          <w:i/>
        </w:rPr>
        <w:t>О.В.</w:t>
      </w:r>
      <w:r w:rsidR="004A1229" w:rsidRPr="00D337FA">
        <w:rPr>
          <w:i/>
        </w:rPr>
        <w:tab/>
        <w:t>Стратегические</w:t>
      </w:r>
      <w:r w:rsidRPr="00D337FA">
        <w:rPr>
          <w:i/>
        </w:rPr>
        <w:t xml:space="preserve"> </w:t>
      </w:r>
      <w:r w:rsidR="004A1229" w:rsidRPr="00D337FA">
        <w:rPr>
          <w:i/>
        </w:rPr>
        <w:t>решения</w:t>
      </w:r>
      <w:r w:rsidRPr="00D337FA">
        <w:rPr>
          <w:i/>
        </w:rPr>
        <w:t xml:space="preserve"> </w:t>
      </w:r>
      <w:r w:rsidR="004A1229" w:rsidRPr="00D337FA">
        <w:rPr>
          <w:i/>
        </w:rPr>
        <w:t>в</w:t>
      </w:r>
      <w:r w:rsidRPr="00D337FA">
        <w:rPr>
          <w:i/>
        </w:rPr>
        <w:t xml:space="preserve"> </w:t>
      </w:r>
      <w:r w:rsidR="004A1229" w:rsidRPr="00D337FA">
        <w:rPr>
          <w:i/>
        </w:rPr>
        <w:t>бюджетной</w:t>
      </w:r>
      <w:r w:rsidR="004A1229" w:rsidRPr="00D337FA">
        <w:rPr>
          <w:i/>
        </w:rPr>
        <w:tab/>
      </w:r>
      <w:r w:rsidRPr="00D337FA">
        <w:rPr>
          <w:i/>
        </w:rPr>
        <w:t xml:space="preserve"> </w:t>
      </w:r>
      <w:r w:rsidR="004A1229" w:rsidRPr="00D337FA">
        <w:rPr>
          <w:i/>
        </w:rPr>
        <w:t>политике:</w:t>
      </w:r>
      <w:r w:rsidRPr="00D337FA">
        <w:rPr>
          <w:i/>
        </w:rPr>
        <w:t xml:space="preserve"> </w:t>
      </w:r>
      <w:r w:rsidR="004A1229" w:rsidRPr="00D337FA">
        <w:rPr>
          <w:i/>
        </w:rPr>
        <w:t>экономическая</w:t>
      </w:r>
      <w:r w:rsidRPr="00D337FA">
        <w:rPr>
          <w:i/>
        </w:rPr>
        <w:t xml:space="preserve"> </w:t>
      </w:r>
      <w:r w:rsidR="004A1229" w:rsidRPr="00D337FA">
        <w:rPr>
          <w:i/>
        </w:rPr>
        <w:t>эффективность</w:t>
      </w:r>
      <w:r w:rsidRPr="00D337FA">
        <w:rPr>
          <w:i/>
        </w:rPr>
        <w:t xml:space="preserve"> </w:t>
      </w:r>
      <w:r w:rsidR="004A1229" w:rsidRPr="00D337FA">
        <w:rPr>
          <w:i/>
        </w:rPr>
        <w:t>и</w:t>
      </w:r>
      <w:r w:rsidRPr="00D337FA">
        <w:rPr>
          <w:i/>
        </w:rPr>
        <w:t xml:space="preserve"> </w:t>
      </w:r>
      <w:r w:rsidR="004A1229" w:rsidRPr="00D337FA">
        <w:rPr>
          <w:i/>
        </w:rPr>
        <w:t>экономическая</w:t>
      </w:r>
      <w:r w:rsidRPr="00D337FA">
        <w:rPr>
          <w:i/>
        </w:rPr>
        <w:t xml:space="preserve"> </w:t>
      </w:r>
      <w:r w:rsidR="004A1229" w:rsidRPr="00D337FA">
        <w:rPr>
          <w:i/>
        </w:rPr>
        <w:t>целесообразность</w:t>
      </w:r>
      <w:r w:rsidRPr="00D337FA">
        <w:rPr>
          <w:i/>
        </w:rPr>
        <w:t xml:space="preserve"> </w:t>
      </w:r>
      <w:r w:rsidR="004A1229" w:rsidRPr="00D337FA">
        <w:rPr>
          <w:i/>
        </w:rPr>
        <w:t>//</w:t>
      </w:r>
      <w:r w:rsidRPr="00D337FA">
        <w:rPr>
          <w:i/>
        </w:rPr>
        <w:t xml:space="preserve"> </w:t>
      </w:r>
      <w:r w:rsidR="004A1229" w:rsidRPr="00D337FA">
        <w:rPr>
          <w:i/>
        </w:rPr>
        <w:t>Стратегические</w:t>
      </w:r>
      <w:r w:rsidRPr="00D337FA">
        <w:rPr>
          <w:i/>
        </w:rPr>
        <w:t xml:space="preserve"> </w:t>
      </w:r>
      <w:r w:rsidR="004A1229" w:rsidRPr="00D337FA">
        <w:rPr>
          <w:i/>
        </w:rPr>
        <w:t>решения</w:t>
      </w:r>
      <w:r w:rsidRPr="00D337FA">
        <w:rPr>
          <w:i/>
        </w:rPr>
        <w:t xml:space="preserve"> </w:t>
      </w:r>
      <w:r w:rsidR="004A1229" w:rsidRPr="00D337FA">
        <w:rPr>
          <w:i/>
        </w:rPr>
        <w:t>и</w:t>
      </w:r>
      <w:r w:rsidRPr="00D337FA">
        <w:rPr>
          <w:i/>
        </w:rPr>
        <w:t xml:space="preserve"> </w:t>
      </w:r>
      <w:r w:rsidR="004A1229" w:rsidRPr="00D337FA">
        <w:rPr>
          <w:i/>
        </w:rPr>
        <w:t>риск-менеджмент.</w:t>
      </w:r>
      <w:r w:rsidRPr="00D337FA">
        <w:rPr>
          <w:i/>
        </w:rPr>
        <w:t xml:space="preserve"> </w:t>
      </w:r>
      <w:r w:rsidR="004A1229" w:rsidRPr="00D337FA">
        <w:rPr>
          <w:i/>
        </w:rPr>
        <w:t>2022.</w:t>
      </w:r>
      <w:r w:rsidR="004A1229" w:rsidRPr="00D337FA">
        <w:rPr>
          <w:i/>
        </w:rPr>
        <w:tab/>
        <w:t>№</w:t>
      </w:r>
      <w:r w:rsidRPr="00D337FA">
        <w:rPr>
          <w:i/>
        </w:rPr>
        <w:t xml:space="preserve"> </w:t>
      </w:r>
      <w:r w:rsidR="004A1229" w:rsidRPr="00D337FA">
        <w:rPr>
          <w:i/>
        </w:rPr>
        <w:t>13</w:t>
      </w:r>
      <w:r w:rsidRPr="00D337FA">
        <w:rPr>
          <w:i/>
        </w:rPr>
        <w:t xml:space="preserve"> </w:t>
      </w:r>
      <w:r w:rsidR="004A1229" w:rsidRPr="00D337FA">
        <w:rPr>
          <w:i/>
        </w:rPr>
        <w:t>(4).</w:t>
      </w:r>
      <w:r w:rsidRPr="00D337FA">
        <w:rPr>
          <w:i/>
        </w:rPr>
        <w:t xml:space="preserve"> </w:t>
      </w:r>
      <w:r w:rsidR="004A1229" w:rsidRPr="00D337FA">
        <w:rPr>
          <w:i/>
        </w:rPr>
        <w:t>С.</w:t>
      </w:r>
      <w:r w:rsidRPr="00D337FA">
        <w:rPr>
          <w:i/>
        </w:rPr>
        <w:t xml:space="preserve"> </w:t>
      </w:r>
      <w:r w:rsidR="004A1229" w:rsidRPr="00D337FA">
        <w:rPr>
          <w:i/>
        </w:rPr>
        <w:t>346–350.</w:t>
      </w:r>
    </w:p>
    <w:p w:rsidR="004A1229" w:rsidRPr="00D337FA" w:rsidRDefault="006C680D" w:rsidP="004A1229">
      <w:pPr>
        <w:ind w:firstLine="284"/>
        <w:rPr>
          <w:i/>
        </w:rPr>
      </w:pPr>
      <w:r w:rsidRPr="00D337FA">
        <w:rPr>
          <w:i/>
        </w:rPr>
        <w:t xml:space="preserve">  </w:t>
      </w:r>
      <w:r w:rsidR="004A1229" w:rsidRPr="00D337FA">
        <w:rPr>
          <w:i/>
        </w:rPr>
        <w:t>4.</w:t>
      </w:r>
      <w:r w:rsidRPr="00D337FA">
        <w:rPr>
          <w:i/>
        </w:rPr>
        <w:t xml:space="preserve"> </w:t>
      </w:r>
      <w:r w:rsidR="004A1229" w:rsidRPr="00D337FA">
        <w:rPr>
          <w:i/>
        </w:rPr>
        <w:t>Архиреев</w:t>
      </w:r>
      <w:r w:rsidRPr="00D337FA">
        <w:rPr>
          <w:i/>
        </w:rPr>
        <w:t xml:space="preserve"> </w:t>
      </w:r>
      <w:r w:rsidR="004A1229" w:rsidRPr="00D337FA">
        <w:rPr>
          <w:i/>
        </w:rPr>
        <w:t>А.В.</w:t>
      </w:r>
      <w:r w:rsidRPr="00D337FA">
        <w:rPr>
          <w:i/>
        </w:rPr>
        <w:t xml:space="preserve">  </w:t>
      </w:r>
      <w:r w:rsidR="004A1229" w:rsidRPr="00D337FA">
        <w:rPr>
          <w:i/>
        </w:rPr>
        <w:t>Генезис</w:t>
      </w:r>
      <w:r w:rsidRPr="00D337FA">
        <w:rPr>
          <w:i/>
        </w:rPr>
        <w:t xml:space="preserve"> </w:t>
      </w:r>
      <w:r w:rsidR="004A1229" w:rsidRPr="00D337FA">
        <w:rPr>
          <w:i/>
        </w:rPr>
        <w:t>понятия</w:t>
      </w:r>
      <w:r w:rsidRPr="00D337FA">
        <w:rPr>
          <w:i/>
        </w:rPr>
        <w:t xml:space="preserve"> </w:t>
      </w:r>
      <w:r w:rsidR="004A1229" w:rsidRPr="00D337FA">
        <w:rPr>
          <w:i/>
        </w:rPr>
        <w:t>эффективности.</w:t>
      </w:r>
      <w:r w:rsidRPr="00D337FA">
        <w:rPr>
          <w:i/>
        </w:rPr>
        <w:t xml:space="preserve"> </w:t>
      </w:r>
      <w:r w:rsidR="004A1229" w:rsidRPr="00D337FA">
        <w:rPr>
          <w:i/>
        </w:rPr>
        <w:t>Структура,</w:t>
      </w:r>
      <w:r w:rsidRPr="00D337FA">
        <w:rPr>
          <w:i/>
        </w:rPr>
        <w:t xml:space="preserve"> </w:t>
      </w:r>
      <w:r w:rsidR="004A1229" w:rsidRPr="00D337FA">
        <w:rPr>
          <w:i/>
        </w:rPr>
        <w:t>состояние,</w:t>
      </w:r>
      <w:r w:rsidRPr="00D337FA">
        <w:rPr>
          <w:i/>
        </w:rPr>
        <w:t xml:space="preserve"> </w:t>
      </w:r>
      <w:r w:rsidR="004A1229" w:rsidRPr="00D337FA">
        <w:rPr>
          <w:i/>
        </w:rPr>
        <w:t>оценка</w:t>
      </w:r>
      <w:r w:rsidRPr="00D337FA">
        <w:rPr>
          <w:i/>
        </w:rPr>
        <w:t xml:space="preserve"> </w:t>
      </w:r>
      <w:r w:rsidR="004A1229" w:rsidRPr="00D337FA">
        <w:rPr>
          <w:i/>
        </w:rPr>
        <w:t>//</w:t>
      </w:r>
      <w:r w:rsidRPr="00D337FA">
        <w:rPr>
          <w:i/>
        </w:rPr>
        <w:t xml:space="preserve"> </w:t>
      </w:r>
      <w:r w:rsidR="004A1229" w:rsidRPr="00D337FA">
        <w:rPr>
          <w:i/>
        </w:rPr>
        <w:t>Контекст</w:t>
      </w:r>
      <w:r w:rsidRPr="00D337FA">
        <w:rPr>
          <w:i/>
        </w:rPr>
        <w:t xml:space="preserve"> </w:t>
      </w:r>
      <w:r w:rsidR="004A1229" w:rsidRPr="00D337FA">
        <w:rPr>
          <w:i/>
        </w:rPr>
        <w:t>и</w:t>
      </w:r>
      <w:r w:rsidRPr="00D337FA">
        <w:rPr>
          <w:i/>
        </w:rPr>
        <w:t xml:space="preserve"> </w:t>
      </w:r>
      <w:r w:rsidR="004A1229" w:rsidRPr="00D337FA">
        <w:rPr>
          <w:i/>
        </w:rPr>
        <w:t>рефлексия:</w:t>
      </w:r>
      <w:r w:rsidRPr="00D337FA">
        <w:rPr>
          <w:i/>
        </w:rPr>
        <w:t xml:space="preserve"> </w:t>
      </w:r>
      <w:r w:rsidR="004A1229" w:rsidRPr="00D337FA">
        <w:rPr>
          <w:i/>
        </w:rPr>
        <w:t>философия</w:t>
      </w:r>
      <w:r w:rsidRPr="00D337FA">
        <w:rPr>
          <w:i/>
        </w:rPr>
        <w:t xml:space="preserve"> </w:t>
      </w:r>
      <w:r w:rsidR="004A1229" w:rsidRPr="00D337FA">
        <w:rPr>
          <w:i/>
        </w:rPr>
        <w:t>о</w:t>
      </w:r>
      <w:r w:rsidRPr="00D337FA">
        <w:rPr>
          <w:i/>
        </w:rPr>
        <w:t xml:space="preserve"> </w:t>
      </w:r>
      <w:r w:rsidR="004A1229" w:rsidRPr="00D337FA">
        <w:rPr>
          <w:i/>
        </w:rPr>
        <w:t>мире</w:t>
      </w:r>
      <w:r w:rsidRPr="00D337FA">
        <w:rPr>
          <w:i/>
        </w:rPr>
        <w:t xml:space="preserve"> </w:t>
      </w:r>
      <w:r w:rsidR="004A1229" w:rsidRPr="00D337FA">
        <w:rPr>
          <w:i/>
        </w:rPr>
        <w:t>и</w:t>
      </w:r>
      <w:r w:rsidRPr="00D337FA">
        <w:rPr>
          <w:i/>
        </w:rPr>
        <w:t xml:space="preserve"> </w:t>
      </w:r>
      <w:r w:rsidR="004A1229" w:rsidRPr="00D337FA">
        <w:rPr>
          <w:i/>
        </w:rPr>
        <w:t>человеке.</w:t>
      </w:r>
      <w:r w:rsidRPr="00D337FA">
        <w:rPr>
          <w:i/>
        </w:rPr>
        <w:t xml:space="preserve"> </w:t>
      </w:r>
      <w:r w:rsidR="004A1229" w:rsidRPr="00D337FA">
        <w:rPr>
          <w:i/>
        </w:rPr>
        <w:t>2023.</w:t>
      </w:r>
      <w:r w:rsidRPr="00D337FA">
        <w:rPr>
          <w:i/>
        </w:rPr>
        <w:t xml:space="preserve"> </w:t>
      </w:r>
      <w:r w:rsidR="004A1229" w:rsidRPr="00D337FA">
        <w:rPr>
          <w:i/>
        </w:rPr>
        <w:t>Т</w:t>
      </w:r>
      <w:r w:rsidR="00273E3F" w:rsidRPr="00D337FA">
        <w:rPr>
          <w:i/>
        </w:rPr>
        <w:t>.</w:t>
      </w:r>
      <w:r w:rsidRPr="00D337FA">
        <w:rPr>
          <w:i/>
        </w:rPr>
        <w:t xml:space="preserve"> </w:t>
      </w:r>
      <w:r w:rsidR="004A1229" w:rsidRPr="00D337FA">
        <w:rPr>
          <w:i/>
        </w:rPr>
        <w:t>12.</w:t>
      </w:r>
      <w:r w:rsidRPr="00D337FA">
        <w:rPr>
          <w:i/>
        </w:rPr>
        <w:t xml:space="preserve"> </w:t>
      </w:r>
      <w:r w:rsidR="004A1229" w:rsidRPr="00D337FA">
        <w:rPr>
          <w:i/>
        </w:rPr>
        <w:t>№</w:t>
      </w:r>
      <w:r w:rsidRPr="00D337FA">
        <w:rPr>
          <w:i/>
        </w:rPr>
        <w:t xml:space="preserve"> </w:t>
      </w:r>
      <w:r w:rsidR="004A1229" w:rsidRPr="00D337FA">
        <w:rPr>
          <w:i/>
        </w:rPr>
        <w:t>10</w:t>
      </w:r>
      <w:r w:rsidRPr="00D337FA">
        <w:rPr>
          <w:i/>
        </w:rPr>
        <w:t xml:space="preserve"> </w:t>
      </w:r>
      <w:r w:rsidR="004A1229" w:rsidRPr="00D337FA">
        <w:rPr>
          <w:i/>
        </w:rPr>
        <w:t>А.</w:t>
      </w:r>
      <w:r w:rsidRPr="00D337FA">
        <w:rPr>
          <w:i/>
        </w:rPr>
        <w:t xml:space="preserve"> </w:t>
      </w:r>
      <w:r w:rsidR="004A1229" w:rsidRPr="00D337FA">
        <w:rPr>
          <w:i/>
        </w:rPr>
        <w:t>С.</w:t>
      </w:r>
      <w:r w:rsidRPr="00D337FA">
        <w:rPr>
          <w:i/>
        </w:rPr>
        <w:t xml:space="preserve"> </w:t>
      </w:r>
      <w:r w:rsidR="004A1229" w:rsidRPr="00D337FA">
        <w:rPr>
          <w:i/>
        </w:rPr>
        <w:t>36-49.</w:t>
      </w:r>
      <w:r w:rsidRPr="00D337FA">
        <w:rPr>
          <w:i/>
        </w:rPr>
        <w:t xml:space="preserve"> </w:t>
      </w:r>
    </w:p>
    <w:p w:rsidR="004A1229" w:rsidRPr="00D337FA" w:rsidRDefault="004A1229" w:rsidP="004A1229">
      <w:pPr>
        <w:ind w:firstLine="284"/>
        <w:rPr>
          <w:i/>
        </w:rPr>
      </w:pPr>
      <w:r w:rsidRPr="00D337FA">
        <w:rPr>
          <w:i/>
        </w:rPr>
        <w:t>5.</w:t>
      </w:r>
      <w:r w:rsidR="006C680D" w:rsidRPr="00D337FA">
        <w:rPr>
          <w:i/>
        </w:rPr>
        <w:t xml:space="preserve"> </w:t>
      </w:r>
      <w:r w:rsidRPr="00D337FA">
        <w:rPr>
          <w:i/>
        </w:rPr>
        <w:t>Философский</w:t>
      </w:r>
      <w:r w:rsidR="006C680D" w:rsidRPr="00D337FA">
        <w:rPr>
          <w:i/>
        </w:rPr>
        <w:t xml:space="preserve"> </w:t>
      </w:r>
      <w:r w:rsidRPr="00D337FA">
        <w:rPr>
          <w:i/>
        </w:rPr>
        <w:t>словарь</w:t>
      </w:r>
      <w:r w:rsidR="006C680D" w:rsidRPr="00D337FA">
        <w:rPr>
          <w:i/>
        </w:rPr>
        <w:t xml:space="preserve"> </w:t>
      </w:r>
      <w:r w:rsidRPr="00D337FA">
        <w:rPr>
          <w:i/>
        </w:rPr>
        <w:t>/</w:t>
      </w:r>
      <w:r w:rsidR="006C680D" w:rsidRPr="00D337FA">
        <w:rPr>
          <w:i/>
        </w:rPr>
        <w:t xml:space="preserve"> </w:t>
      </w:r>
      <w:r w:rsidRPr="00D337FA">
        <w:rPr>
          <w:i/>
        </w:rPr>
        <w:t>Под</w:t>
      </w:r>
      <w:r w:rsidR="006C680D" w:rsidRPr="00D337FA">
        <w:rPr>
          <w:i/>
        </w:rPr>
        <w:t xml:space="preserve"> </w:t>
      </w:r>
      <w:r w:rsidRPr="00D337FA">
        <w:rPr>
          <w:i/>
        </w:rPr>
        <w:t>ред.</w:t>
      </w:r>
      <w:r w:rsidR="006C680D" w:rsidRPr="00D337FA">
        <w:rPr>
          <w:i/>
        </w:rPr>
        <w:t xml:space="preserve"> </w:t>
      </w:r>
      <w:r w:rsidRPr="00D337FA">
        <w:rPr>
          <w:i/>
        </w:rPr>
        <w:t>М.М.</w:t>
      </w:r>
      <w:r w:rsidR="006C680D" w:rsidRPr="00D337FA">
        <w:rPr>
          <w:i/>
        </w:rPr>
        <w:t xml:space="preserve"> </w:t>
      </w:r>
      <w:r w:rsidRPr="00D337FA">
        <w:rPr>
          <w:i/>
        </w:rPr>
        <w:t>Розенталя,</w:t>
      </w:r>
      <w:r w:rsidR="006C680D" w:rsidRPr="00D337FA">
        <w:rPr>
          <w:i/>
        </w:rPr>
        <w:t xml:space="preserve"> </w:t>
      </w:r>
      <w:r w:rsidRPr="00D337FA">
        <w:rPr>
          <w:i/>
        </w:rPr>
        <w:t>П.Ф.</w:t>
      </w:r>
      <w:r w:rsidR="006C680D" w:rsidRPr="00D337FA">
        <w:rPr>
          <w:i/>
        </w:rPr>
        <w:t xml:space="preserve"> </w:t>
      </w:r>
      <w:r w:rsidRPr="00D337FA">
        <w:rPr>
          <w:i/>
        </w:rPr>
        <w:t>Юдина.</w:t>
      </w:r>
      <w:r w:rsidR="006C680D" w:rsidRPr="00D337FA">
        <w:rPr>
          <w:i/>
        </w:rPr>
        <w:t xml:space="preserve"> </w:t>
      </w:r>
      <w:r w:rsidRPr="00D337FA">
        <w:rPr>
          <w:i/>
        </w:rPr>
        <w:t>-</w:t>
      </w:r>
      <w:r w:rsidR="006C680D" w:rsidRPr="00D337FA">
        <w:rPr>
          <w:i/>
        </w:rPr>
        <w:t xml:space="preserve"> </w:t>
      </w:r>
      <w:r w:rsidRPr="00D337FA">
        <w:rPr>
          <w:i/>
        </w:rPr>
        <w:t>М.:</w:t>
      </w:r>
      <w:r w:rsidR="006C680D" w:rsidRPr="00D337FA">
        <w:rPr>
          <w:i/>
        </w:rPr>
        <w:t xml:space="preserve"> </w:t>
      </w:r>
      <w:r w:rsidRPr="00D337FA">
        <w:rPr>
          <w:i/>
        </w:rPr>
        <w:t>Политиздат,</w:t>
      </w:r>
      <w:r w:rsidR="006C680D" w:rsidRPr="00D337FA">
        <w:rPr>
          <w:i/>
        </w:rPr>
        <w:t xml:space="preserve"> </w:t>
      </w:r>
      <w:r w:rsidRPr="00D337FA">
        <w:rPr>
          <w:i/>
        </w:rPr>
        <w:t>1963.</w:t>
      </w:r>
      <w:r w:rsidR="006C680D" w:rsidRPr="00D337FA">
        <w:rPr>
          <w:i/>
        </w:rPr>
        <w:t xml:space="preserve"> </w:t>
      </w:r>
      <w:r w:rsidRPr="00D337FA">
        <w:rPr>
          <w:i/>
        </w:rPr>
        <w:t>С.</w:t>
      </w:r>
      <w:r w:rsidR="006C680D" w:rsidRPr="00D337FA">
        <w:rPr>
          <w:i/>
        </w:rPr>
        <w:t xml:space="preserve"> </w:t>
      </w:r>
      <w:r w:rsidRPr="00D337FA">
        <w:rPr>
          <w:i/>
        </w:rPr>
        <w:t>495.</w:t>
      </w:r>
    </w:p>
    <w:p w:rsidR="004A1229" w:rsidRPr="00D337FA" w:rsidRDefault="004A1229" w:rsidP="004A1229">
      <w:pPr>
        <w:ind w:firstLine="284"/>
        <w:rPr>
          <w:i/>
        </w:rPr>
      </w:pPr>
      <w:r w:rsidRPr="00D337FA">
        <w:rPr>
          <w:i/>
        </w:rPr>
        <w:t>6.</w:t>
      </w:r>
      <w:r w:rsidR="006C680D" w:rsidRPr="00D337FA">
        <w:rPr>
          <w:i/>
        </w:rPr>
        <w:t xml:space="preserve"> </w:t>
      </w:r>
      <w:r w:rsidRPr="00D337FA">
        <w:rPr>
          <w:i/>
        </w:rPr>
        <w:t>Шабашев</w:t>
      </w:r>
      <w:r w:rsidR="006C680D" w:rsidRPr="00D337FA">
        <w:rPr>
          <w:i/>
        </w:rPr>
        <w:t xml:space="preserve"> </w:t>
      </w:r>
      <w:r w:rsidRPr="00D337FA">
        <w:rPr>
          <w:i/>
        </w:rPr>
        <w:t>В.А.,</w:t>
      </w:r>
      <w:r w:rsidR="006C680D" w:rsidRPr="00D337FA">
        <w:rPr>
          <w:i/>
        </w:rPr>
        <w:t xml:space="preserve"> </w:t>
      </w:r>
      <w:r w:rsidRPr="00D337FA">
        <w:rPr>
          <w:i/>
        </w:rPr>
        <w:t>Батиевская</w:t>
      </w:r>
      <w:r w:rsidR="006C680D" w:rsidRPr="00D337FA">
        <w:rPr>
          <w:i/>
        </w:rPr>
        <w:t xml:space="preserve"> </w:t>
      </w:r>
      <w:r w:rsidRPr="00D337FA">
        <w:rPr>
          <w:i/>
        </w:rPr>
        <w:t>В.Б.</w:t>
      </w:r>
      <w:r w:rsidR="006C680D" w:rsidRPr="00D337FA">
        <w:rPr>
          <w:i/>
        </w:rPr>
        <w:t xml:space="preserve"> </w:t>
      </w:r>
      <w:r w:rsidRPr="00D337FA">
        <w:rPr>
          <w:i/>
        </w:rPr>
        <w:t>Генезис</w:t>
      </w:r>
      <w:r w:rsidR="006C680D" w:rsidRPr="00D337FA">
        <w:rPr>
          <w:i/>
        </w:rPr>
        <w:t xml:space="preserve"> </w:t>
      </w:r>
      <w:r w:rsidRPr="00D337FA">
        <w:rPr>
          <w:i/>
        </w:rPr>
        <w:t>и</w:t>
      </w:r>
      <w:r w:rsidR="006C680D" w:rsidRPr="00D337FA">
        <w:rPr>
          <w:i/>
        </w:rPr>
        <w:t xml:space="preserve"> </w:t>
      </w:r>
      <w:r w:rsidRPr="00D337FA">
        <w:rPr>
          <w:i/>
        </w:rPr>
        <w:t>классификация</w:t>
      </w:r>
      <w:r w:rsidR="006C680D" w:rsidRPr="00D337FA">
        <w:rPr>
          <w:i/>
        </w:rPr>
        <w:t xml:space="preserve"> </w:t>
      </w:r>
      <w:r w:rsidRPr="00D337FA">
        <w:rPr>
          <w:i/>
        </w:rPr>
        <w:t>понятия</w:t>
      </w:r>
      <w:r w:rsidR="006C680D" w:rsidRPr="00D337FA">
        <w:rPr>
          <w:i/>
        </w:rPr>
        <w:t xml:space="preserve"> </w:t>
      </w:r>
      <w:r w:rsidRPr="00D337FA">
        <w:rPr>
          <w:i/>
        </w:rPr>
        <w:t>«Экономическая</w:t>
      </w:r>
      <w:r w:rsidR="006C680D" w:rsidRPr="00D337FA">
        <w:rPr>
          <w:i/>
        </w:rPr>
        <w:t xml:space="preserve"> </w:t>
      </w:r>
      <w:r w:rsidRPr="00D337FA">
        <w:rPr>
          <w:i/>
        </w:rPr>
        <w:t>эффективность»</w:t>
      </w:r>
      <w:r w:rsidR="006C680D" w:rsidRPr="00D337FA">
        <w:rPr>
          <w:i/>
        </w:rPr>
        <w:t xml:space="preserve"> </w:t>
      </w:r>
      <w:r w:rsidRPr="00D337FA">
        <w:rPr>
          <w:i/>
        </w:rPr>
        <w:t>//</w:t>
      </w:r>
      <w:r w:rsidR="006C680D" w:rsidRPr="00D337FA">
        <w:rPr>
          <w:i/>
        </w:rPr>
        <w:t xml:space="preserve"> </w:t>
      </w:r>
      <w:r w:rsidRPr="00D337FA">
        <w:rPr>
          <w:i/>
        </w:rPr>
        <w:t>Сибирский</w:t>
      </w:r>
      <w:r w:rsidR="006C680D" w:rsidRPr="00D337FA">
        <w:rPr>
          <w:i/>
        </w:rPr>
        <w:t xml:space="preserve"> </w:t>
      </w:r>
      <w:r w:rsidRPr="00D337FA">
        <w:rPr>
          <w:i/>
        </w:rPr>
        <w:t>аэрокосмический</w:t>
      </w:r>
      <w:r w:rsidR="006C680D" w:rsidRPr="00D337FA">
        <w:rPr>
          <w:i/>
        </w:rPr>
        <w:t xml:space="preserve"> </w:t>
      </w:r>
      <w:r w:rsidRPr="00D337FA">
        <w:rPr>
          <w:i/>
        </w:rPr>
        <w:t>журнал.</w:t>
      </w:r>
      <w:r w:rsidR="006C680D" w:rsidRPr="00D337FA">
        <w:rPr>
          <w:i/>
        </w:rPr>
        <w:t xml:space="preserve"> </w:t>
      </w:r>
      <w:r w:rsidRPr="00D337FA">
        <w:rPr>
          <w:i/>
        </w:rPr>
        <w:t>2014.</w:t>
      </w:r>
      <w:r w:rsidR="006C680D" w:rsidRPr="00D337FA">
        <w:rPr>
          <w:i/>
        </w:rPr>
        <w:t xml:space="preserve"> </w:t>
      </w:r>
      <w:r w:rsidRPr="00D337FA">
        <w:rPr>
          <w:i/>
        </w:rPr>
        <w:t>№</w:t>
      </w:r>
      <w:r w:rsidR="006C680D" w:rsidRPr="00D337FA">
        <w:rPr>
          <w:i/>
        </w:rPr>
        <w:t xml:space="preserve"> </w:t>
      </w:r>
      <w:r w:rsidRPr="00D337FA">
        <w:rPr>
          <w:i/>
        </w:rPr>
        <w:t>2</w:t>
      </w:r>
      <w:r w:rsidR="006C680D" w:rsidRPr="00D337FA">
        <w:rPr>
          <w:i/>
        </w:rPr>
        <w:t xml:space="preserve"> </w:t>
      </w:r>
      <w:r w:rsidRPr="00D337FA">
        <w:rPr>
          <w:i/>
        </w:rPr>
        <w:t>(54).</w:t>
      </w:r>
      <w:r w:rsidR="006C680D" w:rsidRPr="00D337FA">
        <w:rPr>
          <w:i/>
        </w:rPr>
        <w:t xml:space="preserve"> </w:t>
      </w:r>
      <w:r w:rsidRPr="00D337FA">
        <w:rPr>
          <w:i/>
        </w:rPr>
        <w:t>URL:</w:t>
      </w:r>
      <w:r w:rsidR="006C680D" w:rsidRPr="00D337FA">
        <w:rPr>
          <w:i/>
        </w:rPr>
        <w:t xml:space="preserve"> </w:t>
      </w:r>
      <w:r w:rsidRPr="00D337FA">
        <w:rPr>
          <w:i/>
        </w:rPr>
        <w:t>https://cyberleninka.ru/article/n/genezis-i-klassifikatsiya-ponyatiya-ekonomicheskaya-effektivnost</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23.01.2026).</w:t>
      </w:r>
    </w:p>
    <w:p w:rsidR="004A1229" w:rsidRPr="00D337FA" w:rsidRDefault="006C680D" w:rsidP="004A1229">
      <w:pPr>
        <w:ind w:firstLine="284"/>
        <w:rPr>
          <w:i/>
        </w:rPr>
      </w:pPr>
      <w:r w:rsidRPr="00D337FA">
        <w:rPr>
          <w:i/>
        </w:rPr>
        <w:t xml:space="preserve">  </w:t>
      </w:r>
      <w:r w:rsidR="004A1229" w:rsidRPr="00D337FA">
        <w:rPr>
          <w:i/>
        </w:rPr>
        <w:t>7.</w:t>
      </w:r>
      <w:r w:rsidRPr="00D337FA">
        <w:rPr>
          <w:i/>
        </w:rPr>
        <w:t xml:space="preserve"> </w:t>
      </w:r>
      <w:r w:rsidR="004A1229" w:rsidRPr="00D337FA">
        <w:rPr>
          <w:i/>
        </w:rPr>
        <w:t>Ильина</w:t>
      </w:r>
      <w:r w:rsidRPr="00D337FA">
        <w:rPr>
          <w:i/>
        </w:rPr>
        <w:t xml:space="preserve"> </w:t>
      </w:r>
      <w:r w:rsidR="004A1229" w:rsidRPr="00D337FA">
        <w:rPr>
          <w:i/>
        </w:rPr>
        <w:t>Л.В.,</w:t>
      </w:r>
      <w:r w:rsidRPr="00D337FA">
        <w:rPr>
          <w:i/>
        </w:rPr>
        <w:t xml:space="preserve"> </w:t>
      </w:r>
      <w:r w:rsidR="004A1229" w:rsidRPr="00D337FA">
        <w:rPr>
          <w:i/>
        </w:rPr>
        <w:t>Копченко</w:t>
      </w:r>
      <w:r w:rsidRPr="00D337FA">
        <w:rPr>
          <w:i/>
        </w:rPr>
        <w:t xml:space="preserve"> </w:t>
      </w:r>
      <w:r w:rsidR="004A1229" w:rsidRPr="00D337FA">
        <w:rPr>
          <w:i/>
        </w:rPr>
        <w:t>Ю.Е.,</w:t>
      </w:r>
      <w:r w:rsidRPr="00D337FA">
        <w:rPr>
          <w:i/>
        </w:rPr>
        <w:t xml:space="preserve"> </w:t>
      </w:r>
      <w:r w:rsidR="004A1229" w:rsidRPr="00D337FA">
        <w:rPr>
          <w:i/>
        </w:rPr>
        <w:t>Кукляева</w:t>
      </w:r>
      <w:r w:rsidRPr="00D337FA">
        <w:rPr>
          <w:i/>
        </w:rPr>
        <w:t xml:space="preserve"> </w:t>
      </w:r>
      <w:r w:rsidR="004A1229" w:rsidRPr="00D337FA">
        <w:rPr>
          <w:i/>
        </w:rPr>
        <w:t>О.А.,</w:t>
      </w:r>
      <w:r w:rsidRPr="00D337FA">
        <w:rPr>
          <w:i/>
        </w:rPr>
        <w:t xml:space="preserve"> </w:t>
      </w:r>
      <w:r w:rsidR="004A1229" w:rsidRPr="00D337FA">
        <w:rPr>
          <w:i/>
        </w:rPr>
        <w:t>Сергеева</w:t>
      </w:r>
      <w:r w:rsidRPr="00D337FA">
        <w:rPr>
          <w:i/>
        </w:rPr>
        <w:t xml:space="preserve"> </w:t>
      </w:r>
      <w:r w:rsidR="004A1229" w:rsidRPr="00D337FA">
        <w:rPr>
          <w:i/>
        </w:rPr>
        <w:t>Е.В.</w:t>
      </w:r>
      <w:r w:rsidRPr="00D337FA">
        <w:rPr>
          <w:i/>
        </w:rPr>
        <w:t xml:space="preserve"> </w:t>
      </w:r>
      <w:r w:rsidR="004A1229" w:rsidRPr="00D337FA">
        <w:rPr>
          <w:i/>
        </w:rPr>
        <w:t>Управление</w:t>
      </w:r>
      <w:r w:rsidRPr="00D337FA">
        <w:rPr>
          <w:i/>
        </w:rPr>
        <w:t xml:space="preserve"> </w:t>
      </w:r>
      <w:r w:rsidR="004A1229" w:rsidRPr="00D337FA">
        <w:rPr>
          <w:i/>
        </w:rPr>
        <w:t>дефолтом</w:t>
      </w:r>
      <w:r w:rsidRPr="00D337FA">
        <w:rPr>
          <w:i/>
        </w:rPr>
        <w:t xml:space="preserve"> </w:t>
      </w:r>
      <w:r w:rsidR="004A1229" w:rsidRPr="00D337FA">
        <w:rPr>
          <w:i/>
        </w:rPr>
        <w:t>банков:</w:t>
      </w:r>
      <w:r w:rsidRPr="00D337FA">
        <w:rPr>
          <w:i/>
        </w:rPr>
        <w:t xml:space="preserve"> </w:t>
      </w:r>
      <w:r w:rsidR="004A1229" w:rsidRPr="00D337FA">
        <w:rPr>
          <w:i/>
        </w:rPr>
        <w:t>теория</w:t>
      </w:r>
      <w:r w:rsidRPr="00D337FA">
        <w:rPr>
          <w:i/>
        </w:rPr>
        <w:t xml:space="preserve"> </w:t>
      </w:r>
      <w:r w:rsidR="004A1229" w:rsidRPr="00D337FA">
        <w:rPr>
          <w:i/>
        </w:rPr>
        <w:t>и</w:t>
      </w:r>
      <w:r w:rsidRPr="00D337FA">
        <w:rPr>
          <w:i/>
        </w:rPr>
        <w:t xml:space="preserve"> </w:t>
      </w:r>
      <w:r w:rsidR="004A1229" w:rsidRPr="00D337FA">
        <w:rPr>
          <w:i/>
        </w:rPr>
        <w:t>практика</w:t>
      </w:r>
      <w:r w:rsidRPr="00D337FA">
        <w:rPr>
          <w:i/>
        </w:rPr>
        <w:t xml:space="preserve"> </w:t>
      </w:r>
      <w:r w:rsidR="004A1229" w:rsidRPr="00D337FA">
        <w:rPr>
          <w:i/>
        </w:rPr>
        <w:t>//</w:t>
      </w:r>
      <w:r w:rsidRPr="00D337FA">
        <w:rPr>
          <w:i/>
        </w:rPr>
        <w:t xml:space="preserve"> </w:t>
      </w:r>
      <w:r w:rsidR="004A1229" w:rsidRPr="00D337FA">
        <w:rPr>
          <w:i/>
        </w:rPr>
        <w:t>Инновационная</w:t>
      </w:r>
      <w:r w:rsidRPr="00D337FA">
        <w:rPr>
          <w:i/>
        </w:rPr>
        <w:t xml:space="preserve"> </w:t>
      </w:r>
      <w:r w:rsidR="004A1229" w:rsidRPr="00D337FA">
        <w:rPr>
          <w:i/>
        </w:rPr>
        <w:t>деятельность.</w:t>
      </w:r>
      <w:r w:rsidRPr="00D337FA">
        <w:rPr>
          <w:i/>
        </w:rPr>
        <w:t xml:space="preserve"> </w:t>
      </w:r>
      <w:r w:rsidR="004A1229" w:rsidRPr="00D337FA">
        <w:rPr>
          <w:i/>
        </w:rPr>
        <w:t>2025.</w:t>
      </w:r>
      <w:r w:rsidRPr="00D337FA">
        <w:rPr>
          <w:i/>
        </w:rPr>
        <w:t xml:space="preserve"> </w:t>
      </w:r>
      <w:r w:rsidR="004A1229" w:rsidRPr="00D337FA">
        <w:rPr>
          <w:i/>
        </w:rPr>
        <w:t>№</w:t>
      </w:r>
      <w:r w:rsidRPr="00D337FA">
        <w:rPr>
          <w:i/>
        </w:rPr>
        <w:t xml:space="preserve"> </w:t>
      </w:r>
      <w:r w:rsidR="004A1229" w:rsidRPr="00D337FA">
        <w:rPr>
          <w:i/>
        </w:rPr>
        <w:t>1</w:t>
      </w:r>
      <w:r w:rsidRPr="00D337FA">
        <w:rPr>
          <w:i/>
        </w:rPr>
        <w:t xml:space="preserve"> </w:t>
      </w:r>
      <w:r w:rsidR="004A1229" w:rsidRPr="00D337FA">
        <w:rPr>
          <w:i/>
        </w:rPr>
        <w:t>(72).</w:t>
      </w:r>
      <w:r w:rsidRPr="00D337FA">
        <w:rPr>
          <w:i/>
        </w:rPr>
        <w:t xml:space="preserve"> </w:t>
      </w:r>
      <w:r w:rsidR="004A1229" w:rsidRPr="00D337FA">
        <w:rPr>
          <w:i/>
        </w:rPr>
        <w:t>С.</w:t>
      </w:r>
      <w:r w:rsidRPr="00D337FA">
        <w:rPr>
          <w:i/>
        </w:rPr>
        <w:t xml:space="preserve"> </w:t>
      </w:r>
      <w:r w:rsidR="004A1229" w:rsidRPr="00D337FA">
        <w:rPr>
          <w:i/>
        </w:rPr>
        <w:t>37-54.</w:t>
      </w:r>
      <w:r w:rsidRPr="00D337FA">
        <w:rPr>
          <w:i/>
        </w:rPr>
        <w:t xml:space="preserve"> </w:t>
      </w:r>
    </w:p>
    <w:p w:rsidR="004A1229" w:rsidRPr="00D337FA" w:rsidRDefault="006C680D" w:rsidP="004A1229">
      <w:pPr>
        <w:ind w:firstLine="284"/>
        <w:rPr>
          <w:i/>
        </w:rPr>
      </w:pPr>
      <w:r w:rsidRPr="00D337FA">
        <w:rPr>
          <w:i/>
        </w:rPr>
        <w:t xml:space="preserve"> </w:t>
      </w:r>
      <w:r w:rsidR="004A1229" w:rsidRPr="00D337FA">
        <w:rPr>
          <w:i/>
        </w:rPr>
        <w:t>8.</w:t>
      </w:r>
      <w:r w:rsidRPr="00D337FA">
        <w:rPr>
          <w:i/>
        </w:rPr>
        <w:t xml:space="preserve"> </w:t>
      </w:r>
      <w:r w:rsidR="004A1229" w:rsidRPr="00D337FA">
        <w:rPr>
          <w:i/>
        </w:rPr>
        <w:t>Богомолов</w:t>
      </w:r>
      <w:r w:rsidRPr="00D337FA">
        <w:rPr>
          <w:i/>
        </w:rPr>
        <w:t xml:space="preserve"> </w:t>
      </w:r>
      <w:r w:rsidR="004A1229" w:rsidRPr="00D337FA">
        <w:rPr>
          <w:i/>
        </w:rPr>
        <w:t>С.М.,</w:t>
      </w:r>
      <w:r w:rsidRPr="00D337FA">
        <w:rPr>
          <w:i/>
        </w:rPr>
        <w:t xml:space="preserve"> </w:t>
      </w:r>
      <w:r w:rsidR="004A1229" w:rsidRPr="00D337FA">
        <w:rPr>
          <w:i/>
        </w:rPr>
        <w:t>Ильина</w:t>
      </w:r>
      <w:r w:rsidRPr="00D337FA">
        <w:rPr>
          <w:i/>
        </w:rPr>
        <w:t xml:space="preserve"> </w:t>
      </w:r>
      <w:r w:rsidR="004A1229" w:rsidRPr="00D337FA">
        <w:rPr>
          <w:i/>
        </w:rPr>
        <w:t>Л.В.,</w:t>
      </w:r>
      <w:r w:rsidRPr="00D337FA">
        <w:rPr>
          <w:i/>
        </w:rPr>
        <w:t xml:space="preserve"> </w:t>
      </w:r>
      <w:r w:rsidR="004A1229" w:rsidRPr="00D337FA">
        <w:rPr>
          <w:i/>
        </w:rPr>
        <w:t>Копченко</w:t>
      </w:r>
      <w:r w:rsidRPr="00D337FA">
        <w:rPr>
          <w:i/>
        </w:rPr>
        <w:t xml:space="preserve"> </w:t>
      </w:r>
      <w:r w:rsidR="004A1229" w:rsidRPr="00D337FA">
        <w:rPr>
          <w:i/>
        </w:rPr>
        <w:t>Ю.Е.</w:t>
      </w:r>
      <w:r w:rsidRPr="00D337FA">
        <w:rPr>
          <w:i/>
        </w:rPr>
        <w:t xml:space="preserve"> </w:t>
      </w:r>
      <w:r w:rsidR="004A1229" w:rsidRPr="00D337FA">
        <w:rPr>
          <w:i/>
        </w:rPr>
        <w:t>Региональные</w:t>
      </w:r>
      <w:r w:rsidRPr="00D337FA">
        <w:rPr>
          <w:i/>
        </w:rPr>
        <w:t xml:space="preserve"> </w:t>
      </w:r>
      <w:r w:rsidR="004A1229" w:rsidRPr="00D337FA">
        <w:rPr>
          <w:i/>
        </w:rPr>
        <w:t>банки</w:t>
      </w:r>
      <w:r w:rsidRPr="00D337FA">
        <w:rPr>
          <w:i/>
        </w:rPr>
        <w:t xml:space="preserve"> </w:t>
      </w:r>
      <w:r w:rsidR="004A1229" w:rsidRPr="00D337FA">
        <w:rPr>
          <w:i/>
        </w:rPr>
        <w:t>в</w:t>
      </w:r>
      <w:r w:rsidRPr="00D337FA">
        <w:rPr>
          <w:i/>
        </w:rPr>
        <w:t xml:space="preserve"> </w:t>
      </w:r>
      <w:r w:rsidR="004A1229" w:rsidRPr="00D337FA">
        <w:rPr>
          <w:i/>
        </w:rPr>
        <w:t>контексте</w:t>
      </w:r>
      <w:r w:rsidRPr="00D337FA">
        <w:rPr>
          <w:i/>
        </w:rPr>
        <w:t xml:space="preserve"> </w:t>
      </w:r>
      <w:r w:rsidR="004A1229" w:rsidRPr="00D337FA">
        <w:rPr>
          <w:i/>
        </w:rPr>
        <w:t>тенденций</w:t>
      </w:r>
      <w:r w:rsidRPr="00D337FA">
        <w:rPr>
          <w:i/>
        </w:rPr>
        <w:t xml:space="preserve"> </w:t>
      </w:r>
      <w:r w:rsidR="004A1229" w:rsidRPr="00D337FA">
        <w:rPr>
          <w:i/>
        </w:rPr>
        <w:t>развития</w:t>
      </w:r>
      <w:r w:rsidRPr="00D337FA">
        <w:rPr>
          <w:i/>
        </w:rPr>
        <w:t xml:space="preserve"> </w:t>
      </w:r>
      <w:r w:rsidR="004A1229" w:rsidRPr="00D337FA">
        <w:rPr>
          <w:i/>
        </w:rPr>
        <w:t>финансового</w:t>
      </w:r>
      <w:r w:rsidRPr="00D337FA">
        <w:rPr>
          <w:i/>
        </w:rPr>
        <w:t xml:space="preserve"> </w:t>
      </w:r>
      <w:r w:rsidR="004A1229" w:rsidRPr="00D337FA">
        <w:rPr>
          <w:i/>
        </w:rPr>
        <w:t>рынка</w:t>
      </w:r>
      <w:r w:rsidRPr="00D337FA">
        <w:rPr>
          <w:i/>
        </w:rPr>
        <w:t xml:space="preserve"> </w:t>
      </w:r>
      <w:r w:rsidR="004A1229" w:rsidRPr="00D337FA">
        <w:rPr>
          <w:i/>
        </w:rPr>
        <w:t>России</w:t>
      </w:r>
      <w:r w:rsidRPr="00D337FA">
        <w:rPr>
          <w:i/>
        </w:rPr>
        <w:t xml:space="preserve"> </w:t>
      </w:r>
      <w:r w:rsidR="004A1229" w:rsidRPr="00D337FA">
        <w:rPr>
          <w:i/>
        </w:rPr>
        <w:t>//</w:t>
      </w:r>
      <w:r w:rsidRPr="00D337FA">
        <w:rPr>
          <w:i/>
        </w:rPr>
        <w:t xml:space="preserve"> </w:t>
      </w:r>
      <w:r w:rsidR="004A1229" w:rsidRPr="00D337FA">
        <w:rPr>
          <w:i/>
        </w:rPr>
        <w:t>Вестник</w:t>
      </w:r>
      <w:r w:rsidRPr="00D337FA">
        <w:rPr>
          <w:i/>
        </w:rPr>
        <w:t xml:space="preserve"> </w:t>
      </w:r>
      <w:r w:rsidR="004A1229" w:rsidRPr="00D337FA">
        <w:rPr>
          <w:i/>
        </w:rPr>
        <w:t>Саратовского</w:t>
      </w:r>
      <w:r w:rsidRPr="00D337FA">
        <w:rPr>
          <w:i/>
        </w:rPr>
        <w:t xml:space="preserve"> </w:t>
      </w:r>
      <w:r w:rsidR="004A1229" w:rsidRPr="00D337FA">
        <w:rPr>
          <w:i/>
        </w:rPr>
        <w:t>государственного</w:t>
      </w:r>
      <w:r w:rsidRPr="00D337FA">
        <w:rPr>
          <w:i/>
        </w:rPr>
        <w:t xml:space="preserve"> </w:t>
      </w:r>
      <w:r w:rsidR="004A1229" w:rsidRPr="00D337FA">
        <w:rPr>
          <w:i/>
        </w:rPr>
        <w:t>социально-экономического</w:t>
      </w:r>
      <w:r w:rsidRPr="00D337FA">
        <w:rPr>
          <w:i/>
        </w:rPr>
        <w:t xml:space="preserve"> </w:t>
      </w:r>
      <w:r w:rsidR="004A1229" w:rsidRPr="00D337FA">
        <w:rPr>
          <w:i/>
        </w:rPr>
        <w:t>университета.</w:t>
      </w:r>
      <w:r w:rsidRPr="00D337FA">
        <w:rPr>
          <w:i/>
        </w:rPr>
        <w:t xml:space="preserve"> </w:t>
      </w:r>
      <w:r w:rsidR="004A1229" w:rsidRPr="00D337FA">
        <w:rPr>
          <w:i/>
        </w:rPr>
        <w:t>2016.</w:t>
      </w:r>
      <w:r w:rsidRPr="00D337FA">
        <w:rPr>
          <w:i/>
        </w:rPr>
        <w:t xml:space="preserve"> </w:t>
      </w:r>
      <w:r w:rsidR="004A1229" w:rsidRPr="00D337FA">
        <w:rPr>
          <w:i/>
        </w:rPr>
        <w:t>№</w:t>
      </w:r>
      <w:r w:rsidRPr="00D337FA">
        <w:rPr>
          <w:i/>
        </w:rPr>
        <w:t xml:space="preserve"> </w:t>
      </w:r>
      <w:r w:rsidR="004A1229" w:rsidRPr="00D337FA">
        <w:rPr>
          <w:i/>
        </w:rPr>
        <w:t>4</w:t>
      </w:r>
      <w:r w:rsidRPr="00D337FA">
        <w:rPr>
          <w:i/>
        </w:rPr>
        <w:t xml:space="preserve"> </w:t>
      </w:r>
      <w:r w:rsidR="004A1229" w:rsidRPr="00D337FA">
        <w:rPr>
          <w:i/>
        </w:rPr>
        <w:t>(63).</w:t>
      </w:r>
      <w:r w:rsidRPr="00D337FA">
        <w:rPr>
          <w:i/>
        </w:rPr>
        <w:t xml:space="preserve"> </w:t>
      </w:r>
      <w:r w:rsidR="004A1229" w:rsidRPr="00D337FA">
        <w:rPr>
          <w:i/>
        </w:rPr>
        <w:t>С.</w:t>
      </w:r>
      <w:r w:rsidRPr="00D337FA">
        <w:rPr>
          <w:i/>
        </w:rPr>
        <w:t xml:space="preserve"> </w:t>
      </w:r>
      <w:r w:rsidR="004A1229" w:rsidRPr="00D337FA">
        <w:rPr>
          <w:i/>
        </w:rPr>
        <w:t>61-67.</w:t>
      </w:r>
      <w:r w:rsidRPr="00D337FA">
        <w:rPr>
          <w:i/>
        </w:rPr>
        <w:t xml:space="preserve"> </w:t>
      </w:r>
    </w:p>
    <w:p w:rsidR="004A1229" w:rsidRPr="00D337FA" w:rsidRDefault="004A1229" w:rsidP="004A1229">
      <w:pPr>
        <w:ind w:firstLine="284"/>
        <w:rPr>
          <w:i/>
        </w:rPr>
      </w:pPr>
      <w:r w:rsidRPr="00D337FA">
        <w:rPr>
          <w:i/>
        </w:rPr>
        <w:t>9.</w:t>
      </w:r>
      <w:r w:rsidR="006C680D" w:rsidRPr="00D337FA">
        <w:rPr>
          <w:i/>
        </w:rPr>
        <w:t xml:space="preserve"> </w:t>
      </w:r>
      <w:r w:rsidRPr="00D337FA">
        <w:rPr>
          <w:i/>
        </w:rPr>
        <w:t>Ларионова</w:t>
      </w:r>
      <w:r w:rsidR="006C680D" w:rsidRPr="00D337FA">
        <w:rPr>
          <w:i/>
        </w:rPr>
        <w:t xml:space="preserve"> </w:t>
      </w:r>
      <w:r w:rsidRPr="00D337FA">
        <w:rPr>
          <w:i/>
        </w:rPr>
        <w:t>И.В.,</w:t>
      </w:r>
      <w:r w:rsidR="006C680D" w:rsidRPr="00D337FA">
        <w:rPr>
          <w:i/>
        </w:rPr>
        <w:t xml:space="preserve"> </w:t>
      </w:r>
      <w:r w:rsidRPr="00D337FA">
        <w:rPr>
          <w:i/>
        </w:rPr>
        <w:t>Панова</w:t>
      </w:r>
      <w:r w:rsidR="006C680D" w:rsidRPr="00D337FA">
        <w:rPr>
          <w:i/>
        </w:rPr>
        <w:t xml:space="preserve"> </w:t>
      </w:r>
      <w:r w:rsidRPr="00D337FA">
        <w:rPr>
          <w:i/>
        </w:rPr>
        <w:t>Г.С.</w:t>
      </w:r>
      <w:r w:rsidR="006C680D" w:rsidRPr="00D337FA">
        <w:rPr>
          <w:i/>
        </w:rPr>
        <w:t xml:space="preserve"> </w:t>
      </w:r>
      <w:r w:rsidRPr="00D337FA">
        <w:rPr>
          <w:i/>
        </w:rPr>
        <w:t>К</w:t>
      </w:r>
      <w:r w:rsidR="006C680D" w:rsidRPr="00D337FA">
        <w:rPr>
          <w:i/>
        </w:rPr>
        <w:t xml:space="preserve"> </w:t>
      </w:r>
      <w:r w:rsidRPr="00D337FA">
        <w:rPr>
          <w:i/>
        </w:rPr>
        <w:t>вопросу</w:t>
      </w:r>
      <w:r w:rsidR="006C680D" w:rsidRPr="00D337FA">
        <w:rPr>
          <w:i/>
        </w:rPr>
        <w:t xml:space="preserve"> </w:t>
      </w:r>
      <w:r w:rsidRPr="00D337FA">
        <w:rPr>
          <w:i/>
        </w:rPr>
        <w:t>о</w:t>
      </w:r>
      <w:r w:rsidR="006C680D" w:rsidRPr="00D337FA">
        <w:rPr>
          <w:i/>
        </w:rPr>
        <w:t xml:space="preserve"> </w:t>
      </w:r>
      <w:r w:rsidRPr="00D337FA">
        <w:rPr>
          <w:i/>
        </w:rPr>
        <w:t>модернизации</w:t>
      </w:r>
      <w:r w:rsidR="006C680D" w:rsidRPr="00D337FA">
        <w:rPr>
          <w:i/>
        </w:rPr>
        <w:t xml:space="preserve"> </w:t>
      </w:r>
      <w:r w:rsidRPr="00D337FA">
        <w:rPr>
          <w:i/>
        </w:rPr>
        <w:t>банковского</w:t>
      </w:r>
      <w:r w:rsidR="006C680D" w:rsidRPr="00D337FA">
        <w:rPr>
          <w:i/>
        </w:rPr>
        <w:t xml:space="preserve"> </w:t>
      </w:r>
      <w:r w:rsidRPr="00D337FA">
        <w:rPr>
          <w:i/>
        </w:rPr>
        <w:t>регулирования</w:t>
      </w:r>
      <w:r w:rsidR="006C680D" w:rsidRPr="00D337FA">
        <w:rPr>
          <w:i/>
        </w:rPr>
        <w:t xml:space="preserve"> </w:t>
      </w:r>
      <w:r w:rsidRPr="00D337FA">
        <w:rPr>
          <w:i/>
        </w:rPr>
        <w:t>и</w:t>
      </w:r>
      <w:r w:rsidR="006C680D" w:rsidRPr="00D337FA">
        <w:rPr>
          <w:i/>
        </w:rPr>
        <w:t xml:space="preserve"> </w:t>
      </w:r>
      <w:r w:rsidRPr="00D337FA">
        <w:rPr>
          <w:i/>
        </w:rPr>
        <w:t>надзора</w:t>
      </w:r>
      <w:r w:rsidR="006C680D" w:rsidRPr="00D337FA">
        <w:rPr>
          <w:i/>
        </w:rPr>
        <w:t xml:space="preserve"> </w:t>
      </w:r>
      <w:r w:rsidRPr="00D337FA">
        <w:rPr>
          <w:i/>
        </w:rPr>
        <w:t>//</w:t>
      </w:r>
      <w:r w:rsidR="006C680D" w:rsidRPr="00D337FA">
        <w:rPr>
          <w:i/>
        </w:rPr>
        <w:t xml:space="preserve"> </w:t>
      </w:r>
      <w:r w:rsidRPr="00D337FA">
        <w:rPr>
          <w:i/>
        </w:rPr>
        <w:t>Инициативы</w:t>
      </w:r>
      <w:r w:rsidR="006C680D" w:rsidRPr="00D337FA">
        <w:rPr>
          <w:i/>
        </w:rPr>
        <w:t xml:space="preserve"> </w:t>
      </w:r>
      <w:r w:rsidRPr="00D337FA">
        <w:rPr>
          <w:i/>
        </w:rPr>
        <w:t>XXI</w:t>
      </w:r>
      <w:r w:rsidR="006C680D" w:rsidRPr="00D337FA">
        <w:rPr>
          <w:i/>
        </w:rPr>
        <w:t xml:space="preserve"> </w:t>
      </w:r>
      <w:r w:rsidRPr="00D337FA">
        <w:rPr>
          <w:i/>
        </w:rPr>
        <w:t>века.</w:t>
      </w:r>
      <w:r w:rsidR="006C680D" w:rsidRPr="00D337FA">
        <w:rPr>
          <w:i/>
        </w:rPr>
        <w:t xml:space="preserve"> </w:t>
      </w:r>
      <w:r w:rsidRPr="00D337FA">
        <w:rPr>
          <w:i/>
        </w:rPr>
        <w:t>2011.</w:t>
      </w:r>
      <w:r w:rsidR="006C680D" w:rsidRPr="00D337FA">
        <w:rPr>
          <w:i/>
        </w:rPr>
        <w:t xml:space="preserve"> </w:t>
      </w:r>
      <w:r w:rsidRPr="00D337FA">
        <w:rPr>
          <w:i/>
        </w:rPr>
        <w:t>№</w:t>
      </w:r>
      <w:r w:rsidR="006C680D" w:rsidRPr="00D337FA">
        <w:rPr>
          <w:i/>
        </w:rPr>
        <w:t xml:space="preserve"> </w:t>
      </w:r>
      <w:r w:rsidRPr="00D337FA">
        <w:rPr>
          <w:i/>
        </w:rPr>
        <w:t>1-2.</w:t>
      </w:r>
      <w:r w:rsidR="006C680D" w:rsidRPr="00D337FA">
        <w:rPr>
          <w:i/>
        </w:rPr>
        <w:t xml:space="preserve"> </w:t>
      </w:r>
      <w:r w:rsidRPr="00D337FA">
        <w:rPr>
          <w:i/>
          <w:lang w:val="en-US"/>
        </w:rPr>
        <w:t>C</w:t>
      </w:r>
      <w:r w:rsidRPr="00D337FA">
        <w:rPr>
          <w:i/>
        </w:rPr>
        <w:t>.</w:t>
      </w:r>
      <w:r w:rsidR="006C680D" w:rsidRPr="00D337FA">
        <w:rPr>
          <w:i/>
        </w:rPr>
        <w:t xml:space="preserve"> </w:t>
      </w:r>
      <w:r w:rsidRPr="00D337FA">
        <w:rPr>
          <w:i/>
        </w:rPr>
        <w:t>62-66.</w:t>
      </w:r>
    </w:p>
    <w:p w:rsidR="004A1229" w:rsidRPr="00D337FA" w:rsidRDefault="004A1229" w:rsidP="004A1229">
      <w:pPr>
        <w:ind w:firstLine="284"/>
        <w:rPr>
          <w:i/>
        </w:rPr>
      </w:pPr>
      <w:r w:rsidRPr="00D337FA">
        <w:rPr>
          <w:i/>
        </w:rPr>
        <w:lastRenderedPageBreak/>
        <w:t>10.</w:t>
      </w:r>
      <w:r w:rsidR="006C680D" w:rsidRPr="00D337FA">
        <w:rPr>
          <w:i/>
        </w:rPr>
        <w:t xml:space="preserve"> </w:t>
      </w:r>
      <w:r w:rsidRPr="00D337FA">
        <w:rPr>
          <w:i/>
        </w:rPr>
        <w:t>Панова</w:t>
      </w:r>
      <w:r w:rsidR="006C680D" w:rsidRPr="00D337FA">
        <w:rPr>
          <w:i/>
        </w:rPr>
        <w:t xml:space="preserve"> </w:t>
      </w:r>
      <w:r w:rsidRPr="00D337FA">
        <w:rPr>
          <w:i/>
        </w:rPr>
        <w:t>Г.С.</w:t>
      </w:r>
      <w:r w:rsidR="006C680D" w:rsidRPr="00D337FA">
        <w:rPr>
          <w:i/>
        </w:rPr>
        <w:t xml:space="preserve"> </w:t>
      </w:r>
      <w:r w:rsidRPr="00D337FA">
        <w:rPr>
          <w:i/>
        </w:rPr>
        <w:t>Фонд</w:t>
      </w:r>
      <w:r w:rsidR="006C680D" w:rsidRPr="00D337FA">
        <w:rPr>
          <w:i/>
        </w:rPr>
        <w:t xml:space="preserve"> </w:t>
      </w:r>
      <w:r w:rsidRPr="00D337FA">
        <w:rPr>
          <w:i/>
        </w:rPr>
        <w:t>консолидации</w:t>
      </w:r>
      <w:r w:rsidR="006C680D" w:rsidRPr="00D337FA">
        <w:rPr>
          <w:i/>
        </w:rPr>
        <w:t xml:space="preserve"> </w:t>
      </w:r>
      <w:r w:rsidRPr="00D337FA">
        <w:rPr>
          <w:i/>
        </w:rPr>
        <w:t>банковского</w:t>
      </w:r>
      <w:r w:rsidR="006C680D" w:rsidRPr="00D337FA">
        <w:rPr>
          <w:i/>
        </w:rPr>
        <w:t xml:space="preserve"> </w:t>
      </w:r>
      <w:r w:rsidRPr="00D337FA">
        <w:rPr>
          <w:i/>
        </w:rPr>
        <w:t>сектора</w:t>
      </w:r>
      <w:r w:rsidR="006C680D" w:rsidRPr="00D337FA">
        <w:rPr>
          <w:i/>
        </w:rPr>
        <w:t xml:space="preserve"> </w:t>
      </w:r>
      <w:r w:rsidRPr="00D337FA">
        <w:rPr>
          <w:i/>
        </w:rPr>
        <w:t>как</w:t>
      </w:r>
      <w:r w:rsidR="006C680D" w:rsidRPr="00D337FA">
        <w:rPr>
          <w:i/>
        </w:rPr>
        <w:t xml:space="preserve"> </w:t>
      </w:r>
      <w:r w:rsidRPr="00D337FA">
        <w:rPr>
          <w:i/>
        </w:rPr>
        <w:t>инструмент</w:t>
      </w:r>
      <w:r w:rsidR="006C680D" w:rsidRPr="00D337FA">
        <w:rPr>
          <w:i/>
        </w:rPr>
        <w:t xml:space="preserve"> </w:t>
      </w:r>
      <w:r w:rsidRPr="00D337FA">
        <w:rPr>
          <w:i/>
        </w:rPr>
        <w:t>повышения</w:t>
      </w:r>
      <w:r w:rsidR="006C680D" w:rsidRPr="00D337FA">
        <w:rPr>
          <w:i/>
        </w:rPr>
        <w:t xml:space="preserve"> </w:t>
      </w:r>
      <w:r w:rsidRPr="00D337FA">
        <w:rPr>
          <w:i/>
        </w:rPr>
        <w:t>безопасности</w:t>
      </w:r>
      <w:r w:rsidR="006C680D" w:rsidRPr="00D337FA">
        <w:rPr>
          <w:i/>
        </w:rPr>
        <w:t xml:space="preserve"> </w:t>
      </w:r>
      <w:r w:rsidRPr="00D337FA">
        <w:rPr>
          <w:i/>
        </w:rPr>
        <w:t>на</w:t>
      </w:r>
      <w:r w:rsidR="006C680D" w:rsidRPr="00D337FA">
        <w:rPr>
          <w:i/>
        </w:rPr>
        <w:t xml:space="preserve"> </w:t>
      </w:r>
      <w:r w:rsidRPr="00D337FA">
        <w:rPr>
          <w:i/>
        </w:rPr>
        <w:t>рынке</w:t>
      </w:r>
      <w:r w:rsidR="006C680D" w:rsidRPr="00D337FA">
        <w:rPr>
          <w:i/>
        </w:rPr>
        <w:t xml:space="preserve"> </w:t>
      </w:r>
      <w:r w:rsidRPr="00D337FA">
        <w:rPr>
          <w:i/>
        </w:rPr>
        <w:t>финансовых</w:t>
      </w:r>
      <w:r w:rsidR="006C680D" w:rsidRPr="00D337FA">
        <w:rPr>
          <w:i/>
        </w:rPr>
        <w:t xml:space="preserve"> </w:t>
      </w:r>
      <w:r w:rsidRPr="00D337FA">
        <w:rPr>
          <w:i/>
        </w:rPr>
        <w:t>услуг</w:t>
      </w:r>
      <w:r w:rsidR="006C680D" w:rsidRPr="00D337FA">
        <w:rPr>
          <w:i/>
        </w:rPr>
        <w:t xml:space="preserve"> </w:t>
      </w:r>
      <w:r w:rsidRPr="00D337FA">
        <w:rPr>
          <w:i/>
        </w:rPr>
        <w:t>//</w:t>
      </w:r>
      <w:r w:rsidR="006C680D" w:rsidRPr="00D337FA">
        <w:rPr>
          <w:i/>
        </w:rPr>
        <w:t xml:space="preserve"> </w:t>
      </w:r>
      <w:r w:rsidRPr="00D337FA">
        <w:rPr>
          <w:i/>
        </w:rPr>
        <w:t>Экономическая</w:t>
      </w:r>
      <w:r w:rsidR="006C680D" w:rsidRPr="00D337FA">
        <w:rPr>
          <w:i/>
        </w:rPr>
        <w:t xml:space="preserve"> </w:t>
      </w:r>
      <w:r w:rsidRPr="00D337FA">
        <w:rPr>
          <w:i/>
        </w:rPr>
        <w:t>безопасность.</w:t>
      </w:r>
      <w:r w:rsidR="006C680D" w:rsidRPr="00D337FA">
        <w:rPr>
          <w:i/>
        </w:rPr>
        <w:t xml:space="preserve"> </w:t>
      </w:r>
      <w:r w:rsidRPr="00D337FA">
        <w:rPr>
          <w:i/>
        </w:rPr>
        <w:t>2020.</w:t>
      </w:r>
      <w:r w:rsidR="006C680D" w:rsidRPr="00D337FA">
        <w:rPr>
          <w:i/>
        </w:rPr>
        <w:t xml:space="preserve"> </w:t>
      </w:r>
      <w:r w:rsidRPr="00D337FA">
        <w:rPr>
          <w:i/>
        </w:rPr>
        <w:t>Том</w:t>
      </w:r>
      <w:r w:rsidR="006C680D" w:rsidRPr="00D337FA">
        <w:rPr>
          <w:i/>
        </w:rPr>
        <w:t xml:space="preserve"> </w:t>
      </w:r>
      <w:r w:rsidRPr="00D337FA">
        <w:rPr>
          <w:i/>
        </w:rPr>
        <w:t>3.</w:t>
      </w:r>
      <w:r w:rsidR="006C680D" w:rsidRPr="00D337FA">
        <w:rPr>
          <w:i/>
        </w:rPr>
        <w:t xml:space="preserve"> </w:t>
      </w:r>
      <w:r w:rsidRPr="00D337FA">
        <w:rPr>
          <w:i/>
        </w:rPr>
        <w:t>№</w:t>
      </w:r>
      <w:r w:rsidR="006C680D" w:rsidRPr="00D337FA">
        <w:rPr>
          <w:i/>
        </w:rPr>
        <w:t xml:space="preserve"> </w:t>
      </w:r>
      <w:r w:rsidRPr="00D337FA">
        <w:rPr>
          <w:i/>
        </w:rPr>
        <w:t>1.</w:t>
      </w:r>
      <w:r w:rsidR="006C680D" w:rsidRPr="00D337FA">
        <w:rPr>
          <w:i/>
        </w:rPr>
        <w:t xml:space="preserve"> </w:t>
      </w:r>
      <w:r w:rsidRPr="00D337FA">
        <w:rPr>
          <w:i/>
        </w:rPr>
        <w:t>С.</w:t>
      </w:r>
      <w:r w:rsidR="006C680D" w:rsidRPr="00D337FA">
        <w:rPr>
          <w:i/>
        </w:rPr>
        <w:t xml:space="preserve"> </w:t>
      </w:r>
      <w:r w:rsidRPr="00D337FA">
        <w:rPr>
          <w:i/>
        </w:rPr>
        <w:t>41</w:t>
      </w:r>
      <w:r w:rsidR="003E3A6F">
        <w:rPr>
          <w:i/>
        </w:rPr>
        <w:t>-</w:t>
      </w:r>
      <w:r w:rsidRPr="00D337FA">
        <w:rPr>
          <w:i/>
        </w:rPr>
        <w:t>52.</w:t>
      </w:r>
      <w:r w:rsidR="006C680D" w:rsidRPr="00D337FA">
        <w:rPr>
          <w:i/>
        </w:rPr>
        <w:t xml:space="preserve"> </w:t>
      </w:r>
    </w:p>
    <w:p w:rsidR="004A1229" w:rsidRPr="00D337FA" w:rsidRDefault="006C680D" w:rsidP="004A1229">
      <w:pPr>
        <w:ind w:firstLine="284"/>
        <w:rPr>
          <w:i/>
        </w:rPr>
      </w:pPr>
      <w:r w:rsidRPr="00D337FA">
        <w:rPr>
          <w:i/>
        </w:rPr>
        <w:t xml:space="preserve">  </w:t>
      </w:r>
      <w:r w:rsidR="004A1229" w:rsidRPr="00D337FA">
        <w:rPr>
          <w:i/>
        </w:rPr>
        <w:t>11.</w:t>
      </w:r>
      <w:r w:rsidRPr="00D337FA">
        <w:rPr>
          <w:i/>
        </w:rPr>
        <w:t xml:space="preserve"> </w:t>
      </w:r>
      <w:r w:rsidR="004A1229" w:rsidRPr="00D337FA">
        <w:rPr>
          <w:i/>
        </w:rPr>
        <w:t>Волкова</w:t>
      </w:r>
      <w:r w:rsidRPr="00D337FA">
        <w:rPr>
          <w:i/>
        </w:rPr>
        <w:t xml:space="preserve"> </w:t>
      </w:r>
      <w:r w:rsidR="004A1229" w:rsidRPr="00D337FA">
        <w:rPr>
          <w:i/>
        </w:rPr>
        <w:t>А.В.</w:t>
      </w:r>
      <w:r w:rsidRPr="00D337FA">
        <w:rPr>
          <w:i/>
        </w:rPr>
        <w:t xml:space="preserve"> </w:t>
      </w:r>
      <w:r w:rsidR="004A1229" w:rsidRPr="00D337FA">
        <w:rPr>
          <w:i/>
        </w:rPr>
        <w:t>Практика</w:t>
      </w:r>
      <w:r w:rsidRPr="00D337FA">
        <w:rPr>
          <w:i/>
        </w:rPr>
        <w:t xml:space="preserve"> </w:t>
      </w:r>
      <w:r w:rsidR="004A1229" w:rsidRPr="00D337FA">
        <w:rPr>
          <w:i/>
        </w:rPr>
        <w:t>санации</w:t>
      </w:r>
      <w:r w:rsidRPr="00D337FA">
        <w:rPr>
          <w:i/>
        </w:rPr>
        <w:t xml:space="preserve"> </w:t>
      </w:r>
      <w:r w:rsidR="004A1229" w:rsidRPr="00D337FA">
        <w:rPr>
          <w:i/>
        </w:rPr>
        <w:t>кредитных</w:t>
      </w:r>
      <w:r w:rsidRPr="00D337FA">
        <w:rPr>
          <w:i/>
        </w:rPr>
        <w:t xml:space="preserve"> </w:t>
      </w:r>
      <w:r w:rsidR="004A1229" w:rsidRPr="00D337FA">
        <w:rPr>
          <w:i/>
        </w:rPr>
        <w:t>организаций</w:t>
      </w:r>
      <w:r w:rsidRPr="00D337FA">
        <w:rPr>
          <w:i/>
        </w:rPr>
        <w:t xml:space="preserve"> </w:t>
      </w:r>
      <w:r w:rsidR="004A1229" w:rsidRPr="00D337FA">
        <w:rPr>
          <w:i/>
        </w:rPr>
        <w:t>в</w:t>
      </w:r>
      <w:r w:rsidRPr="00D337FA">
        <w:rPr>
          <w:i/>
        </w:rPr>
        <w:t xml:space="preserve"> </w:t>
      </w:r>
      <w:r w:rsidR="004A1229" w:rsidRPr="00D337FA">
        <w:rPr>
          <w:i/>
        </w:rPr>
        <w:t>РФ</w:t>
      </w:r>
      <w:r w:rsidRPr="00D337FA">
        <w:rPr>
          <w:i/>
        </w:rPr>
        <w:t xml:space="preserve"> </w:t>
      </w:r>
      <w:r w:rsidR="004A1229" w:rsidRPr="00D337FA">
        <w:rPr>
          <w:i/>
        </w:rPr>
        <w:t>и</w:t>
      </w:r>
      <w:r w:rsidRPr="00D337FA">
        <w:rPr>
          <w:i/>
        </w:rPr>
        <w:t xml:space="preserve"> </w:t>
      </w:r>
      <w:r w:rsidR="004A1229" w:rsidRPr="00D337FA">
        <w:rPr>
          <w:i/>
        </w:rPr>
        <w:t>ее</w:t>
      </w:r>
      <w:r w:rsidRPr="00D337FA">
        <w:rPr>
          <w:i/>
        </w:rPr>
        <w:t xml:space="preserve"> </w:t>
      </w:r>
      <w:r w:rsidR="004A1229" w:rsidRPr="00D337FA">
        <w:rPr>
          <w:i/>
        </w:rPr>
        <w:t>эффективность</w:t>
      </w:r>
      <w:r w:rsidRPr="00D337FA">
        <w:rPr>
          <w:i/>
        </w:rPr>
        <w:t xml:space="preserve"> </w:t>
      </w:r>
      <w:r w:rsidR="004A1229" w:rsidRPr="00D337FA">
        <w:rPr>
          <w:i/>
        </w:rPr>
        <w:t>//</w:t>
      </w:r>
      <w:r w:rsidRPr="00D337FA">
        <w:rPr>
          <w:i/>
        </w:rPr>
        <w:t xml:space="preserve"> </w:t>
      </w:r>
      <w:r w:rsidR="004A1229" w:rsidRPr="00D337FA">
        <w:rPr>
          <w:i/>
        </w:rPr>
        <w:t>Молодой</w:t>
      </w:r>
      <w:r w:rsidRPr="00D337FA">
        <w:rPr>
          <w:i/>
        </w:rPr>
        <w:t xml:space="preserve"> </w:t>
      </w:r>
      <w:r w:rsidR="004A1229" w:rsidRPr="00D337FA">
        <w:rPr>
          <w:i/>
        </w:rPr>
        <w:t>ученый.</w:t>
      </w:r>
      <w:r w:rsidRPr="00D337FA">
        <w:rPr>
          <w:i/>
        </w:rPr>
        <w:t xml:space="preserve"> </w:t>
      </w:r>
      <w:r w:rsidR="004A1229" w:rsidRPr="00D337FA">
        <w:rPr>
          <w:i/>
        </w:rPr>
        <w:t>2016.</w:t>
      </w:r>
      <w:r w:rsidRPr="00D337FA">
        <w:rPr>
          <w:i/>
        </w:rPr>
        <w:t xml:space="preserve"> </w:t>
      </w:r>
      <w:r w:rsidR="004A1229" w:rsidRPr="00D337FA">
        <w:rPr>
          <w:i/>
        </w:rPr>
        <w:t>№</w:t>
      </w:r>
      <w:r w:rsidRPr="00D337FA">
        <w:rPr>
          <w:i/>
        </w:rPr>
        <w:t xml:space="preserve"> </w:t>
      </w:r>
      <w:r w:rsidR="004A1229" w:rsidRPr="00D337FA">
        <w:rPr>
          <w:i/>
        </w:rPr>
        <w:t>9</w:t>
      </w:r>
      <w:r w:rsidRPr="00D337FA">
        <w:rPr>
          <w:i/>
        </w:rPr>
        <w:t xml:space="preserve"> </w:t>
      </w:r>
      <w:r w:rsidR="004A1229" w:rsidRPr="00D337FA">
        <w:rPr>
          <w:i/>
        </w:rPr>
        <w:t>(113).</w:t>
      </w:r>
      <w:r w:rsidRPr="00D337FA">
        <w:rPr>
          <w:i/>
        </w:rPr>
        <w:t xml:space="preserve"> </w:t>
      </w:r>
      <w:r w:rsidR="004A1229" w:rsidRPr="00D337FA">
        <w:rPr>
          <w:i/>
        </w:rPr>
        <w:t>С.</w:t>
      </w:r>
      <w:r w:rsidRPr="00D337FA">
        <w:rPr>
          <w:i/>
        </w:rPr>
        <w:t xml:space="preserve"> </w:t>
      </w:r>
      <w:r w:rsidR="004A1229" w:rsidRPr="00D337FA">
        <w:rPr>
          <w:i/>
        </w:rPr>
        <w:t>516-520.</w:t>
      </w:r>
      <w:r w:rsidRPr="00D337FA">
        <w:rPr>
          <w:i/>
        </w:rPr>
        <w:t xml:space="preserve"> </w:t>
      </w:r>
      <w:r w:rsidR="004A1229" w:rsidRPr="00D337FA">
        <w:rPr>
          <w:i/>
        </w:rPr>
        <w:t>URL:</w:t>
      </w:r>
      <w:r w:rsidRPr="00D337FA">
        <w:rPr>
          <w:i/>
        </w:rPr>
        <w:t xml:space="preserve"> </w:t>
      </w:r>
      <w:r w:rsidR="004A1229" w:rsidRPr="00D337FA">
        <w:rPr>
          <w:i/>
        </w:rPr>
        <w:t>https://moluch.ru/archive/113/29248</w:t>
      </w:r>
      <w:r w:rsidRPr="00D337FA">
        <w:rPr>
          <w:i/>
        </w:rPr>
        <w:t xml:space="preserve"> </w:t>
      </w:r>
      <w:r w:rsidR="004A1229" w:rsidRPr="00D337FA">
        <w:rPr>
          <w:i/>
        </w:rPr>
        <w:t>(дата</w:t>
      </w:r>
      <w:r w:rsidRPr="00D337FA">
        <w:rPr>
          <w:i/>
        </w:rPr>
        <w:t xml:space="preserve"> </w:t>
      </w:r>
      <w:r w:rsidR="004A1229" w:rsidRPr="00D337FA">
        <w:rPr>
          <w:i/>
        </w:rPr>
        <w:t>обращения:</w:t>
      </w:r>
      <w:r w:rsidRPr="00D337FA">
        <w:rPr>
          <w:i/>
        </w:rPr>
        <w:t xml:space="preserve"> </w:t>
      </w:r>
      <w:r w:rsidR="004A1229" w:rsidRPr="00D337FA">
        <w:rPr>
          <w:i/>
        </w:rPr>
        <w:t>12.01.2026).</w:t>
      </w:r>
    </w:p>
    <w:p w:rsidR="004A1229" w:rsidRPr="00D337FA" w:rsidRDefault="004A1229" w:rsidP="004A1229">
      <w:pPr>
        <w:ind w:firstLine="284"/>
        <w:rPr>
          <w:i/>
        </w:rPr>
      </w:pPr>
      <w:r w:rsidRPr="00D337FA">
        <w:rPr>
          <w:i/>
        </w:rPr>
        <w:t>12.</w:t>
      </w:r>
      <w:r w:rsidR="006C680D" w:rsidRPr="00D337FA">
        <w:rPr>
          <w:i/>
        </w:rPr>
        <w:t xml:space="preserve"> </w:t>
      </w:r>
      <w:r w:rsidRPr="00D337FA">
        <w:rPr>
          <w:i/>
        </w:rPr>
        <w:t>Годовой</w:t>
      </w:r>
      <w:r w:rsidR="006C680D" w:rsidRPr="00D337FA">
        <w:rPr>
          <w:i/>
        </w:rPr>
        <w:t xml:space="preserve"> </w:t>
      </w:r>
      <w:r w:rsidRPr="00D337FA">
        <w:rPr>
          <w:i/>
        </w:rPr>
        <w:t>отчет</w:t>
      </w:r>
      <w:r w:rsidR="006C680D" w:rsidRPr="00D337FA">
        <w:rPr>
          <w:i/>
        </w:rPr>
        <w:t xml:space="preserve"> </w:t>
      </w:r>
      <w:r w:rsidRPr="00D337FA">
        <w:rPr>
          <w:i/>
        </w:rPr>
        <w:t>Банка</w:t>
      </w:r>
      <w:r w:rsidR="006C680D" w:rsidRPr="00D337FA">
        <w:rPr>
          <w:i/>
        </w:rPr>
        <w:t xml:space="preserve"> </w:t>
      </w:r>
      <w:r w:rsidRPr="00D337FA">
        <w:rPr>
          <w:i/>
        </w:rPr>
        <w:t>России</w:t>
      </w:r>
      <w:r w:rsidR="006C680D" w:rsidRPr="00D337FA">
        <w:rPr>
          <w:i/>
        </w:rPr>
        <w:t xml:space="preserve"> </w:t>
      </w:r>
      <w:r w:rsidRPr="00D337FA">
        <w:rPr>
          <w:i/>
        </w:rPr>
        <w:t>за</w:t>
      </w:r>
      <w:r w:rsidR="006C680D" w:rsidRPr="00D337FA">
        <w:rPr>
          <w:i/>
        </w:rPr>
        <w:t xml:space="preserve"> </w:t>
      </w:r>
      <w:r w:rsidRPr="00D337FA">
        <w:rPr>
          <w:i/>
        </w:rPr>
        <w:t>2024</w:t>
      </w:r>
      <w:r w:rsidR="006C680D" w:rsidRPr="00D337FA">
        <w:rPr>
          <w:i/>
        </w:rPr>
        <w:t xml:space="preserve"> </w:t>
      </w:r>
      <w:r w:rsidRPr="00D337FA">
        <w:rPr>
          <w:i/>
        </w:rPr>
        <w:t>год.</w:t>
      </w:r>
      <w:r w:rsidR="006C680D" w:rsidRPr="00D337FA">
        <w:rPr>
          <w:i/>
        </w:rPr>
        <w:t xml:space="preserve"> </w:t>
      </w:r>
      <w:r w:rsidRPr="00D337FA">
        <w:rPr>
          <w:i/>
        </w:rPr>
        <w:t>Банк</w:t>
      </w:r>
      <w:r w:rsidR="006C680D" w:rsidRPr="00D337FA">
        <w:rPr>
          <w:i/>
        </w:rPr>
        <w:t xml:space="preserve"> </w:t>
      </w:r>
      <w:r w:rsidRPr="00D337FA">
        <w:rPr>
          <w:i/>
        </w:rPr>
        <w:t>России.</w:t>
      </w:r>
      <w:r w:rsidR="006C680D" w:rsidRPr="00D337FA">
        <w:rPr>
          <w:i/>
        </w:rPr>
        <w:t xml:space="preserve"> </w:t>
      </w:r>
      <w:r w:rsidRPr="00D337FA">
        <w:rPr>
          <w:i/>
        </w:rPr>
        <w:t>URL:</w:t>
      </w:r>
      <w:r w:rsidR="006C680D" w:rsidRPr="00D337FA">
        <w:rPr>
          <w:i/>
        </w:rPr>
        <w:t xml:space="preserve"> </w:t>
      </w:r>
      <w:r w:rsidRPr="00D337FA">
        <w:rPr>
          <w:i/>
        </w:rPr>
        <w:t>https://cbr.ru/Collection/Collection/File/55239/ar_2024.pdf</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27.01.2026).</w:t>
      </w:r>
    </w:p>
    <w:p w:rsidR="004A1229" w:rsidRPr="00D337FA" w:rsidRDefault="004A1229" w:rsidP="004A1229">
      <w:pPr>
        <w:ind w:firstLine="284"/>
        <w:rPr>
          <w:i/>
        </w:rPr>
      </w:pPr>
      <w:r w:rsidRPr="00D337FA">
        <w:rPr>
          <w:i/>
        </w:rPr>
        <w:t>13.</w:t>
      </w:r>
      <w:r w:rsidR="006C680D" w:rsidRPr="00D337FA">
        <w:rPr>
          <w:i/>
        </w:rPr>
        <w:t xml:space="preserve"> </w:t>
      </w:r>
      <w:r w:rsidRPr="00D337FA">
        <w:rPr>
          <w:i/>
        </w:rPr>
        <w:t>Рябов</w:t>
      </w:r>
      <w:r w:rsidR="006C680D" w:rsidRPr="00D337FA">
        <w:rPr>
          <w:i/>
        </w:rPr>
        <w:t xml:space="preserve"> </w:t>
      </w:r>
      <w:r w:rsidRPr="00D337FA">
        <w:rPr>
          <w:i/>
        </w:rPr>
        <w:t>Д.Ю.</w:t>
      </w:r>
      <w:r w:rsidR="006C680D" w:rsidRPr="00D337FA">
        <w:rPr>
          <w:i/>
        </w:rPr>
        <w:t xml:space="preserve"> </w:t>
      </w:r>
      <w:r w:rsidRPr="00D337FA">
        <w:rPr>
          <w:i/>
        </w:rPr>
        <w:t>Новый</w:t>
      </w:r>
      <w:r w:rsidR="006C680D" w:rsidRPr="00D337FA">
        <w:rPr>
          <w:i/>
        </w:rPr>
        <w:t xml:space="preserve"> </w:t>
      </w:r>
      <w:r w:rsidRPr="00D337FA">
        <w:rPr>
          <w:i/>
        </w:rPr>
        <w:t>механизм</w:t>
      </w:r>
      <w:r w:rsidR="006C680D" w:rsidRPr="00D337FA">
        <w:rPr>
          <w:i/>
        </w:rPr>
        <w:t xml:space="preserve"> </w:t>
      </w:r>
      <w:r w:rsidRPr="00D337FA">
        <w:rPr>
          <w:i/>
        </w:rPr>
        <w:t>санации</w:t>
      </w:r>
      <w:r w:rsidR="006C680D" w:rsidRPr="00D337FA">
        <w:rPr>
          <w:i/>
        </w:rPr>
        <w:t xml:space="preserve"> </w:t>
      </w:r>
      <w:r w:rsidRPr="00D337FA">
        <w:rPr>
          <w:i/>
        </w:rPr>
        <w:t>Банком</w:t>
      </w:r>
      <w:r w:rsidR="006C680D" w:rsidRPr="00D337FA">
        <w:rPr>
          <w:i/>
        </w:rPr>
        <w:t xml:space="preserve"> </w:t>
      </w:r>
      <w:r w:rsidRPr="00D337FA">
        <w:rPr>
          <w:i/>
        </w:rPr>
        <w:t>России</w:t>
      </w:r>
      <w:r w:rsidR="006C680D" w:rsidRPr="00D337FA">
        <w:rPr>
          <w:i/>
        </w:rPr>
        <w:t xml:space="preserve"> </w:t>
      </w:r>
      <w:r w:rsidRPr="00D337FA">
        <w:rPr>
          <w:i/>
        </w:rPr>
        <w:t>коммерческих</w:t>
      </w:r>
      <w:r w:rsidR="006C680D" w:rsidRPr="00D337FA">
        <w:rPr>
          <w:i/>
        </w:rPr>
        <w:t xml:space="preserve"> </w:t>
      </w:r>
      <w:r w:rsidRPr="00D337FA">
        <w:rPr>
          <w:i/>
        </w:rPr>
        <w:t>банков:</w:t>
      </w:r>
      <w:r w:rsidR="006C680D" w:rsidRPr="00D337FA">
        <w:rPr>
          <w:i/>
        </w:rPr>
        <w:t xml:space="preserve"> </w:t>
      </w:r>
      <w:r w:rsidRPr="00D337FA">
        <w:rPr>
          <w:i/>
        </w:rPr>
        <w:t>причины</w:t>
      </w:r>
      <w:r w:rsidR="006C680D" w:rsidRPr="00D337FA">
        <w:rPr>
          <w:i/>
        </w:rPr>
        <w:t xml:space="preserve"> </w:t>
      </w:r>
      <w:r w:rsidRPr="00D337FA">
        <w:rPr>
          <w:i/>
        </w:rPr>
        <w:t>и</w:t>
      </w:r>
      <w:r w:rsidR="006C680D" w:rsidRPr="00D337FA">
        <w:rPr>
          <w:i/>
        </w:rPr>
        <w:t xml:space="preserve"> </w:t>
      </w:r>
      <w:r w:rsidRPr="00D337FA">
        <w:rPr>
          <w:i/>
        </w:rPr>
        <w:t>цели</w:t>
      </w:r>
      <w:r w:rsidR="006C680D" w:rsidRPr="00D337FA">
        <w:rPr>
          <w:i/>
        </w:rPr>
        <w:t xml:space="preserve"> </w:t>
      </w:r>
      <w:r w:rsidRPr="00D337FA">
        <w:rPr>
          <w:i/>
        </w:rPr>
        <w:t>изменений</w:t>
      </w:r>
      <w:r w:rsidR="006C680D" w:rsidRPr="00D337FA">
        <w:rPr>
          <w:i/>
        </w:rPr>
        <w:t xml:space="preserve"> </w:t>
      </w:r>
      <w:r w:rsidRPr="00D337FA">
        <w:rPr>
          <w:i/>
        </w:rPr>
        <w:t>//</w:t>
      </w:r>
      <w:r w:rsidR="006C680D" w:rsidRPr="00D337FA">
        <w:rPr>
          <w:i/>
        </w:rPr>
        <w:t xml:space="preserve"> </w:t>
      </w:r>
      <w:r w:rsidRPr="00D337FA">
        <w:rPr>
          <w:i/>
        </w:rPr>
        <w:t>УЭкС.</w:t>
      </w:r>
      <w:r w:rsidR="006C680D" w:rsidRPr="00D337FA">
        <w:rPr>
          <w:i/>
        </w:rPr>
        <w:t xml:space="preserve"> </w:t>
      </w:r>
      <w:r w:rsidRPr="00D337FA">
        <w:rPr>
          <w:i/>
        </w:rPr>
        <w:t>2017.</w:t>
      </w:r>
      <w:r w:rsidR="006C680D" w:rsidRPr="00D337FA">
        <w:rPr>
          <w:i/>
        </w:rPr>
        <w:t xml:space="preserve"> </w:t>
      </w:r>
      <w:r w:rsidRPr="00D337FA">
        <w:rPr>
          <w:i/>
        </w:rPr>
        <w:t>№4</w:t>
      </w:r>
      <w:r w:rsidR="006C680D" w:rsidRPr="00D337FA">
        <w:rPr>
          <w:i/>
        </w:rPr>
        <w:t xml:space="preserve"> </w:t>
      </w:r>
      <w:r w:rsidRPr="00D337FA">
        <w:rPr>
          <w:i/>
        </w:rPr>
        <w:t>(98).</w:t>
      </w:r>
      <w:r w:rsidR="006C680D" w:rsidRPr="00D337FA">
        <w:rPr>
          <w:i/>
        </w:rPr>
        <w:t xml:space="preserve"> </w:t>
      </w:r>
      <w:r w:rsidRPr="00D337FA">
        <w:rPr>
          <w:i/>
        </w:rPr>
        <w:t>URL:</w:t>
      </w:r>
      <w:r w:rsidR="006C680D" w:rsidRPr="00D337FA">
        <w:rPr>
          <w:i/>
        </w:rPr>
        <w:t xml:space="preserve"> </w:t>
      </w:r>
      <w:r w:rsidRPr="00D337FA">
        <w:rPr>
          <w:i/>
        </w:rPr>
        <w:t>https://cyberleninka.ru/article/n/novyy-mehanizm-sanatsii-bankom-rossii-kommercheskih-bankov-prichiny-i-tseli-izmeneniy</w:t>
      </w:r>
      <w:r w:rsidR="006C680D" w:rsidRPr="00D337FA">
        <w:rPr>
          <w:i/>
        </w:rPr>
        <w:t xml:space="preserve"> </w:t>
      </w:r>
      <w:r w:rsidRPr="00D337FA">
        <w:rPr>
          <w:i/>
        </w:rPr>
        <w:t>(дата</w:t>
      </w:r>
      <w:r w:rsidR="006C680D" w:rsidRPr="00D337FA">
        <w:rPr>
          <w:i/>
        </w:rPr>
        <w:t xml:space="preserve"> </w:t>
      </w:r>
      <w:r w:rsidR="00273E3F" w:rsidRPr="00D337FA">
        <w:rPr>
          <w:i/>
        </w:rPr>
        <w:t>обращения:</w:t>
      </w:r>
      <w:r w:rsidR="006C680D" w:rsidRPr="00D337FA">
        <w:rPr>
          <w:i/>
        </w:rPr>
        <w:t xml:space="preserve"> </w:t>
      </w:r>
      <w:r w:rsidR="00273E3F" w:rsidRPr="00D337FA">
        <w:rPr>
          <w:i/>
        </w:rPr>
        <w:t>29.01.2026</w:t>
      </w:r>
      <w:r w:rsidRPr="00D337FA">
        <w:rPr>
          <w:i/>
        </w:rPr>
        <w:t>).</w:t>
      </w:r>
    </w:p>
    <w:p w:rsidR="004A1229" w:rsidRPr="00D337FA" w:rsidRDefault="006C680D" w:rsidP="004A1229">
      <w:pPr>
        <w:ind w:firstLine="284"/>
        <w:rPr>
          <w:i/>
        </w:rPr>
      </w:pPr>
      <w:r w:rsidRPr="00D337FA">
        <w:rPr>
          <w:i/>
        </w:rPr>
        <w:t xml:space="preserve">  </w:t>
      </w:r>
      <w:r w:rsidR="004A1229" w:rsidRPr="00D337FA">
        <w:rPr>
          <w:i/>
        </w:rPr>
        <w:t>14.</w:t>
      </w:r>
      <w:r w:rsidRPr="00D337FA">
        <w:rPr>
          <w:i/>
        </w:rPr>
        <w:t xml:space="preserve"> </w:t>
      </w:r>
      <w:r w:rsidR="004A1229" w:rsidRPr="00D337FA">
        <w:rPr>
          <w:i/>
        </w:rPr>
        <w:t>Ильина</w:t>
      </w:r>
      <w:r w:rsidRPr="00D337FA">
        <w:rPr>
          <w:i/>
        </w:rPr>
        <w:t xml:space="preserve"> </w:t>
      </w:r>
      <w:r w:rsidR="004A1229" w:rsidRPr="00D337FA">
        <w:rPr>
          <w:i/>
        </w:rPr>
        <w:t>Л.В.,</w:t>
      </w:r>
      <w:r w:rsidRPr="00D337FA">
        <w:rPr>
          <w:i/>
        </w:rPr>
        <w:t xml:space="preserve"> </w:t>
      </w:r>
      <w:r w:rsidR="004A1229" w:rsidRPr="00D337FA">
        <w:rPr>
          <w:i/>
        </w:rPr>
        <w:t>Копченко</w:t>
      </w:r>
      <w:r w:rsidRPr="00D337FA">
        <w:rPr>
          <w:i/>
        </w:rPr>
        <w:t xml:space="preserve"> </w:t>
      </w:r>
      <w:r w:rsidR="004A1229" w:rsidRPr="00D337FA">
        <w:rPr>
          <w:i/>
        </w:rPr>
        <w:t>Ю.Е.</w:t>
      </w:r>
      <w:r w:rsidRPr="00D337FA">
        <w:rPr>
          <w:i/>
        </w:rPr>
        <w:t xml:space="preserve"> </w:t>
      </w:r>
      <w:r w:rsidR="004A1229" w:rsidRPr="00D337FA">
        <w:rPr>
          <w:i/>
        </w:rPr>
        <w:t>Риски</w:t>
      </w:r>
      <w:r w:rsidRPr="00D337FA">
        <w:rPr>
          <w:i/>
        </w:rPr>
        <w:t xml:space="preserve"> </w:t>
      </w:r>
      <w:r w:rsidR="004A1229" w:rsidRPr="00D337FA">
        <w:rPr>
          <w:i/>
        </w:rPr>
        <w:t>санации</w:t>
      </w:r>
      <w:r w:rsidRPr="00D337FA">
        <w:rPr>
          <w:i/>
        </w:rPr>
        <w:t xml:space="preserve"> </w:t>
      </w:r>
      <w:r w:rsidR="004A1229" w:rsidRPr="00D337FA">
        <w:rPr>
          <w:i/>
        </w:rPr>
        <w:t>в</w:t>
      </w:r>
      <w:r w:rsidRPr="00D337FA">
        <w:rPr>
          <w:i/>
        </w:rPr>
        <w:t xml:space="preserve"> </w:t>
      </w:r>
      <w:r w:rsidR="004A1229" w:rsidRPr="00D337FA">
        <w:rPr>
          <w:i/>
        </w:rPr>
        <w:t>банковском</w:t>
      </w:r>
      <w:r w:rsidRPr="00D337FA">
        <w:rPr>
          <w:i/>
        </w:rPr>
        <w:t xml:space="preserve"> </w:t>
      </w:r>
      <w:r w:rsidR="004A1229" w:rsidRPr="00D337FA">
        <w:rPr>
          <w:i/>
        </w:rPr>
        <w:t>секторе:</w:t>
      </w:r>
      <w:r w:rsidRPr="00D337FA">
        <w:rPr>
          <w:i/>
        </w:rPr>
        <w:t xml:space="preserve"> </w:t>
      </w:r>
      <w:r w:rsidR="004A1229" w:rsidRPr="00D337FA">
        <w:rPr>
          <w:i/>
        </w:rPr>
        <w:t>понятие</w:t>
      </w:r>
      <w:r w:rsidRPr="00D337FA">
        <w:rPr>
          <w:i/>
        </w:rPr>
        <w:t xml:space="preserve"> </w:t>
      </w:r>
      <w:r w:rsidR="004A1229" w:rsidRPr="00D337FA">
        <w:rPr>
          <w:i/>
        </w:rPr>
        <w:t>и</w:t>
      </w:r>
      <w:r w:rsidRPr="00D337FA">
        <w:rPr>
          <w:i/>
        </w:rPr>
        <w:t xml:space="preserve"> </w:t>
      </w:r>
      <w:r w:rsidR="004A1229" w:rsidRPr="00D337FA">
        <w:rPr>
          <w:i/>
        </w:rPr>
        <w:t>оценка</w:t>
      </w:r>
      <w:r w:rsidRPr="00D337FA">
        <w:rPr>
          <w:i/>
        </w:rPr>
        <w:t xml:space="preserve"> </w:t>
      </w:r>
      <w:r w:rsidR="004A1229" w:rsidRPr="00D337FA">
        <w:rPr>
          <w:i/>
        </w:rPr>
        <w:t>//</w:t>
      </w:r>
      <w:r w:rsidRPr="00D337FA">
        <w:rPr>
          <w:i/>
        </w:rPr>
        <w:t xml:space="preserve"> </w:t>
      </w:r>
      <w:r w:rsidR="004A1229" w:rsidRPr="00D337FA">
        <w:rPr>
          <w:i/>
        </w:rPr>
        <w:t>Математическое</w:t>
      </w:r>
      <w:r w:rsidRPr="00D337FA">
        <w:rPr>
          <w:i/>
        </w:rPr>
        <w:t xml:space="preserve"> </w:t>
      </w:r>
      <w:r w:rsidR="004A1229" w:rsidRPr="00D337FA">
        <w:rPr>
          <w:i/>
        </w:rPr>
        <w:t>и</w:t>
      </w:r>
      <w:r w:rsidRPr="00D337FA">
        <w:rPr>
          <w:i/>
        </w:rPr>
        <w:t xml:space="preserve"> </w:t>
      </w:r>
      <w:r w:rsidR="004A1229" w:rsidRPr="00D337FA">
        <w:rPr>
          <w:i/>
        </w:rPr>
        <w:t>компьютерное</w:t>
      </w:r>
      <w:r w:rsidRPr="00D337FA">
        <w:rPr>
          <w:i/>
        </w:rPr>
        <w:t xml:space="preserve"> </w:t>
      </w:r>
      <w:r w:rsidR="004A1229" w:rsidRPr="00D337FA">
        <w:rPr>
          <w:i/>
        </w:rPr>
        <w:t>моделирование</w:t>
      </w:r>
      <w:r w:rsidRPr="00D337FA">
        <w:rPr>
          <w:i/>
        </w:rPr>
        <w:t xml:space="preserve"> </w:t>
      </w:r>
      <w:r w:rsidR="004A1229" w:rsidRPr="00D337FA">
        <w:rPr>
          <w:i/>
        </w:rPr>
        <w:t>в</w:t>
      </w:r>
      <w:r w:rsidRPr="00D337FA">
        <w:rPr>
          <w:i/>
        </w:rPr>
        <w:t xml:space="preserve"> </w:t>
      </w:r>
      <w:r w:rsidR="004A1229" w:rsidRPr="00D337FA">
        <w:rPr>
          <w:i/>
        </w:rPr>
        <w:t>экономике,</w:t>
      </w:r>
      <w:r w:rsidRPr="00D337FA">
        <w:rPr>
          <w:i/>
        </w:rPr>
        <w:t xml:space="preserve"> </w:t>
      </w:r>
      <w:r w:rsidR="004A1229" w:rsidRPr="00D337FA">
        <w:rPr>
          <w:i/>
        </w:rPr>
        <w:t>страховании</w:t>
      </w:r>
      <w:r w:rsidRPr="00D337FA">
        <w:rPr>
          <w:i/>
        </w:rPr>
        <w:t xml:space="preserve"> </w:t>
      </w:r>
      <w:r w:rsidR="004A1229" w:rsidRPr="00D337FA">
        <w:rPr>
          <w:i/>
        </w:rPr>
        <w:t>и</w:t>
      </w:r>
      <w:r w:rsidRPr="00D337FA">
        <w:rPr>
          <w:i/>
        </w:rPr>
        <w:t xml:space="preserve"> </w:t>
      </w:r>
      <w:r w:rsidR="004A1229" w:rsidRPr="00D337FA">
        <w:rPr>
          <w:i/>
        </w:rPr>
        <w:t>управлении</w:t>
      </w:r>
      <w:r w:rsidRPr="00D337FA">
        <w:rPr>
          <w:i/>
        </w:rPr>
        <w:t xml:space="preserve"> </w:t>
      </w:r>
      <w:r w:rsidR="004A1229" w:rsidRPr="00D337FA">
        <w:rPr>
          <w:i/>
        </w:rPr>
        <w:t>рисками.</w:t>
      </w:r>
      <w:r w:rsidRPr="00D337FA">
        <w:rPr>
          <w:i/>
        </w:rPr>
        <w:t xml:space="preserve"> </w:t>
      </w:r>
      <w:r w:rsidR="004A1229" w:rsidRPr="00D337FA">
        <w:rPr>
          <w:i/>
        </w:rPr>
        <w:t>2021.</w:t>
      </w:r>
      <w:r w:rsidRPr="00D337FA">
        <w:rPr>
          <w:i/>
        </w:rPr>
        <w:t xml:space="preserve"> </w:t>
      </w:r>
      <w:r w:rsidR="004A1229" w:rsidRPr="00D337FA">
        <w:rPr>
          <w:i/>
        </w:rPr>
        <w:t>№</w:t>
      </w:r>
      <w:r w:rsidRPr="00D337FA">
        <w:rPr>
          <w:i/>
        </w:rPr>
        <w:t xml:space="preserve"> </w:t>
      </w:r>
      <w:r w:rsidR="004A1229" w:rsidRPr="00D337FA">
        <w:rPr>
          <w:i/>
        </w:rPr>
        <w:t>6.</w:t>
      </w:r>
      <w:r w:rsidRPr="00D337FA">
        <w:rPr>
          <w:i/>
        </w:rPr>
        <w:t xml:space="preserve"> </w:t>
      </w:r>
      <w:r w:rsidR="004A1229" w:rsidRPr="00D337FA">
        <w:rPr>
          <w:i/>
        </w:rPr>
        <w:t>С.</w:t>
      </w:r>
      <w:r w:rsidRPr="00D337FA">
        <w:rPr>
          <w:i/>
        </w:rPr>
        <w:t xml:space="preserve"> </w:t>
      </w:r>
      <w:r w:rsidR="004A1229" w:rsidRPr="00D337FA">
        <w:rPr>
          <w:i/>
        </w:rPr>
        <w:t>208-212.</w:t>
      </w:r>
    </w:p>
    <w:p w:rsidR="004A1229" w:rsidRPr="00D337FA" w:rsidRDefault="004A1229" w:rsidP="004A1229">
      <w:pPr>
        <w:ind w:firstLine="284"/>
        <w:rPr>
          <w:i/>
        </w:rPr>
      </w:pPr>
      <w:r w:rsidRPr="00D337FA">
        <w:rPr>
          <w:i/>
        </w:rPr>
        <w:t>15.</w:t>
      </w:r>
      <w:r w:rsidR="006C680D" w:rsidRPr="00D337FA">
        <w:rPr>
          <w:i/>
        </w:rPr>
        <w:t xml:space="preserve"> </w:t>
      </w:r>
      <w:r w:rsidRPr="00D337FA">
        <w:rPr>
          <w:i/>
        </w:rPr>
        <w:t>Риски</w:t>
      </w:r>
      <w:r w:rsidR="006C680D" w:rsidRPr="00D337FA">
        <w:rPr>
          <w:i/>
        </w:rPr>
        <w:t xml:space="preserve"> </w:t>
      </w:r>
      <w:r w:rsidRPr="00D337FA">
        <w:rPr>
          <w:i/>
        </w:rPr>
        <w:t>банковской</w:t>
      </w:r>
      <w:r w:rsidR="006C680D" w:rsidRPr="00D337FA">
        <w:rPr>
          <w:i/>
        </w:rPr>
        <w:t xml:space="preserve"> </w:t>
      </w:r>
      <w:r w:rsidRPr="00D337FA">
        <w:rPr>
          <w:i/>
        </w:rPr>
        <w:t>системы:</w:t>
      </w:r>
      <w:r w:rsidR="006C680D" w:rsidRPr="00D337FA">
        <w:rPr>
          <w:i/>
        </w:rPr>
        <w:t xml:space="preserve"> </w:t>
      </w:r>
      <w:r w:rsidRPr="00D337FA">
        <w:rPr>
          <w:i/>
        </w:rPr>
        <w:t>лечение</w:t>
      </w:r>
      <w:r w:rsidR="006C680D" w:rsidRPr="00D337FA">
        <w:rPr>
          <w:i/>
        </w:rPr>
        <w:t xml:space="preserve"> </w:t>
      </w:r>
      <w:r w:rsidRPr="00D337FA">
        <w:rPr>
          <w:i/>
        </w:rPr>
        <w:t>санаторов.</w:t>
      </w:r>
      <w:r w:rsidR="006C680D" w:rsidRPr="00D337FA">
        <w:rPr>
          <w:i/>
        </w:rPr>
        <w:t xml:space="preserve"> </w:t>
      </w:r>
      <w:r w:rsidRPr="00D337FA">
        <w:rPr>
          <w:i/>
        </w:rPr>
        <w:t>Агентство</w:t>
      </w:r>
      <w:r w:rsidR="006C680D" w:rsidRPr="00D337FA">
        <w:rPr>
          <w:i/>
        </w:rPr>
        <w:t xml:space="preserve"> </w:t>
      </w:r>
      <w:r w:rsidRPr="00D337FA">
        <w:rPr>
          <w:i/>
        </w:rPr>
        <w:t>«Эксперт</w:t>
      </w:r>
      <w:r w:rsidR="006C680D" w:rsidRPr="00D337FA">
        <w:rPr>
          <w:i/>
        </w:rPr>
        <w:t xml:space="preserve"> </w:t>
      </w:r>
      <w:r w:rsidRPr="00D337FA">
        <w:rPr>
          <w:i/>
        </w:rPr>
        <w:t>РА».</w:t>
      </w:r>
      <w:r w:rsidR="006C680D" w:rsidRPr="00D337FA">
        <w:rPr>
          <w:i/>
        </w:rPr>
        <w:t xml:space="preserve"> </w:t>
      </w:r>
      <w:r w:rsidRPr="00D337FA">
        <w:rPr>
          <w:i/>
        </w:rPr>
        <w:t>URL:</w:t>
      </w:r>
      <w:r w:rsidR="006C680D" w:rsidRPr="00D337FA">
        <w:rPr>
          <w:i/>
        </w:rPr>
        <w:t xml:space="preserve"> </w:t>
      </w:r>
      <w:r w:rsidRPr="00D337FA">
        <w:rPr>
          <w:i/>
        </w:rPr>
        <w:t>https://raexpert.ru/researches/banks/banksystem_risk_2016/</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20.01.2026).</w:t>
      </w:r>
    </w:p>
    <w:p w:rsidR="004A1229" w:rsidRPr="00D337FA" w:rsidRDefault="004A1229" w:rsidP="004A1229">
      <w:pPr>
        <w:ind w:firstLine="284"/>
        <w:rPr>
          <w:i/>
        </w:rPr>
      </w:pPr>
      <w:r w:rsidRPr="00D337FA">
        <w:rPr>
          <w:i/>
        </w:rPr>
        <w:t>16.</w:t>
      </w:r>
      <w:r w:rsidR="006C680D" w:rsidRPr="00D337FA">
        <w:rPr>
          <w:i/>
        </w:rPr>
        <w:t xml:space="preserve"> </w:t>
      </w:r>
      <w:r w:rsidRPr="00D337FA">
        <w:rPr>
          <w:i/>
        </w:rPr>
        <w:t>Годовой</w:t>
      </w:r>
      <w:r w:rsidR="006C680D" w:rsidRPr="00D337FA">
        <w:rPr>
          <w:i/>
        </w:rPr>
        <w:t xml:space="preserve"> </w:t>
      </w:r>
      <w:r w:rsidRPr="00D337FA">
        <w:rPr>
          <w:i/>
        </w:rPr>
        <w:t>отчет</w:t>
      </w:r>
      <w:r w:rsidR="006C680D" w:rsidRPr="00D337FA">
        <w:rPr>
          <w:i/>
        </w:rPr>
        <w:t xml:space="preserve"> </w:t>
      </w:r>
      <w:r w:rsidRPr="00D337FA">
        <w:rPr>
          <w:i/>
        </w:rPr>
        <w:t>АСВ</w:t>
      </w:r>
      <w:r w:rsidR="006C680D" w:rsidRPr="00D337FA">
        <w:rPr>
          <w:i/>
        </w:rPr>
        <w:t xml:space="preserve"> </w:t>
      </w:r>
      <w:r w:rsidRPr="00D337FA">
        <w:rPr>
          <w:i/>
        </w:rPr>
        <w:t>за</w:t>
      </w:r>
      <w:r w:rsidR="006C680D" w:rsidRPr="00D337FA">
        <w:rPr>
          <w:i/>
        </w:rPr>
        <w:t xml:space="preserve"> </w:t>
      </w:r>
      <w:r w:rsidRPr="00D337FA">
        <w:rPr>
          <w:i/>
        </w:rPr>
        <w:t>2024</w:t>
      </w:r>
      <w:r w:rsidR="006C680D" w:rsidRPr="00D337FA">
        <w:rPr>
          <w:i/>
        </w:rPr>
        <w:t xml:space="preserve"> </w:t>
      </w:r>
      <w:r w:rsidRPr="00D337FA">
        <w:rPr>
          <w:i/>
        </w:rPr>
        <w:t>год.</w:t>
      </w:r>
      <w:r w:rsidR="006C680D" w:rsidRPr="00D337FA">
        <w:rPr>
          <w:i/>
        </w:rPr>
        <w:t xml:space="preserve"> </w:t>
      </w:r>
      <w:r w:rsidRPr="00D337FA">
        <w:rPr>
          <w:i/>
        </w:rPr>
        <w:t>Агентство</w:t>
      </w:r>
      <w:r w:rsidR="006C680D" w:rsidRPr="00D337FA">
        <w:rPr>
          <w:i/>
        </w:rPr>
        <w:t xml:space="preserve"> </w:t>
      </w:r>
      <w:r w:rsidRPr="00D337FA">
        <w:rPr>
          <w:i/>
        </w:rPr>
        <w:t>по</w:t>
      </w:r>
      <w:r w:rsidR="006C680D" w:rsidRPr="00D337FA">
        <w:rPr>
          <w:i/>
        </w:rPr>
        <w:t xml:space="preserve"> </w:t>
      </w:r>
      <w:r w:rsidRPr="00D337FA">
        <w:rPr>
          <w:i/>
        </w:rPr>
        <w:t>страхованию</w:t>
      </w:r>
      <w:r w:rsidR="006C680D" w:rsidRPr="00D337FA">
        <w:rPr>
          <w:i/>
        </w:rPr>
        <w:t xml:space="preserve"> </w:t>
      </w:r>
      <w:r w:rsidRPr="00D337FA">
        <w:rPr>
          <w:i/>
        </w:rPr>
        <w:t>вкладов.</w:t>
      </w:r>
      <w:r w:rsidR="006C680D" w:rsidRPr="00D337FA">
        <w:rPr>
          <w:i/>
        </w:rPr>
        <w:t xml:space="preserve"> </w:t>
      </w:r>
      <w:r w:rsidRPr="00D337FA">
        <w:rPr>
          <w:i/>
        </w:rPr>
        <w:t>URL:https://www.asv.org.ru/upload/agency/annual/2024/page-I-4-3.html</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20.01.2026).</w:t>
      </w:r>
    </w:p>
    <w:p w:rsidR="004A1229" w:rsidRPr="00D337FA" w:rsidRDefault="004A1229" w:rsidP="004A1229">
      <w:pPr>
        <w:ind w:firstLine="284"/>
        <w:rPr>
          <w:i/>
        </w:rPr>
      </w:pPr>
      <w:r w:rsidRPr="00D337FA">
        <w:rPr>
          <w:i/>
        </w:rPr>
        <w:t>17.</w:t>
      </w:r>
      <w:r w:rsidR="006C680D" w:rsidRPr="00D337FA">
        <w:rPr>
          <w:i/>
        </w:rPr>
        <w:t xml:space="preserve"> </w:t>
      </w:r>
      <w:r w:rsidRPr="00D337FA">
        <w:rPr>
          <w:i/>
        </w:rPr>
        <w:t>Санация</w:t>
      </w:r>
      <w:r w:rsidR="006C680D" w:rsidRPr="00D337FA">
        <w:rPr>
          <w:i/>
        </w:rPr>
        <w:t xml:space="preserve"> </w:t>
      </w:r>
      <w:r w:rsidRPr="00D337FA">
        <w:rPr>
          <w:i/>
        </w:rPr>
        <w:t>по-советски</w:t>
      </w:r>
      <w:r w:rsidR="006C680D" w:rsidRPr="00D337FA">
        <w:rPr>
          <w:i/>
        </w:rPr>
        <w:t xml:space="preserve"> </w:t>
      </w:r>
      <w:r w:rsidRPr="00D337FA">
        <w:rPr>
          <w:i/>
        </w:rPr>
        <w:t>//</w:t>
      </w:r>
      <w:r w:rsidR="006C680D" w:rsidRPr="00D337FA">
        <w:rPr>
          <w:i/>
        </w:rPr>
        <w:t xml:space="preserve"> </w:t>
      </w:r>
      <w:r w:rsidRPr="00D337FA">
        <w:rPr>
          <w:i/>
        </w:rPr>
        <w:t>Газета</w:t>
      </w:r>
      <w:r w:rsidR="006C680D" w:rsidRPr="00D337FA">
        <w:rPr>
          <w:i/>
        </w:rPr>
        <w:t xml:space="preserve"> </w:t>
      </w:r>
      <w:r w:rsidRPr="00D337FA">
        <w:rPr>
          <w:i/>
        </w:rPr>
        <w:t>«Коммерсантъ».</w:t>
      </w:r>
      <w:r w:rsidR="006C680D" w:rsidRPr="00D337FA">
        <w:rPr>
          <w:i/>
        </w:rPr>
        <w:t xml:space="preserve"> </w:t>
      </w:r>
      <w:r w:rsidRPr="00D337FA">
        <w:rPr>
          <w:i/>
        </w:rPr>
        <w:t>№115</w:t>
      </w:r>
      <w:r w:rsidR="006C680D" w:rsidRPr="00D337FA">
        <w:rPr>
          <w:i/>
        </w:rPr>
        <w:t xml:space="preserve"> </w:t>
      </w:r>
      <w:r w:rsidRPr="00D337FA">
        <w:rPr>
          <w:i/>
        </w:rPr>
        <w:t>от</w:t>
      </w:r>
      <w:r w:rsidR="006C680D" w:rsidRPr="00D337FA">
        <w:rPr>
          <w:i/>
        </w:rPr>
        <w:t xml:space="preserve"> </w:t>
      </w:r>
      <w:r w:rsidRPr="00D337FA">
        <w:rPr>
          <w:i/>
        </w:rPr>
        <w:t>04.07.2018.</w:t>
      </w:r>
      <w:r w:rsidR="006C680D" w:rsidRPr="00D337FA">
        <w:rPr>
          <w:i/>
        </w:rPr>
        <w:t xml:space="preserve"> </w:t>
      </w:r>
      <w:r w:rsidRPr="00D337FA">
        <w:rPr>
          <w:i/>
        </w:rPr>
        <w:t>URL:</w:t>
      </w:r>
      <w:r w:rsidR="006C680D" w:rsidRPr="00D337FA">
        <w:rPr>
          <w:i/>
        </w:rPr>
        <w:t xml:space="preserve"> </w:t>
      </w:r>
      <w:r w:rsidRPr="00D337FA">
        <w:rPr>
          <w:i/>
        </w:rPr>
        <w:t>https://www.kommersant.ru/doc/3676217</w:t>
      </w:r>
      <w:r w:rsidR="006C680D" w:rsidRPr="00D337FA">
        <w:rPr>
          <w:i/>
        </w:rPr>
        <w:t xml:space="preserve"> </w:t>
      </w:r>
      <w:r w:rsidRPr="00D337FA">
        <w:rPr>
          <w:i/>
        </w:rPr>
        <w:t>(дата</w:t>
      </w:r>
      <w:r w:rsidR="006C680D" w:rsidRPr="00D337FA">
        <w:rPr>
          <w:i/>
        </w:rPr>
        <w:t xml:space="preserve"> </w:t>
      </w:r>
      <w:r w:rsidR="00273E3F" w:rsidRPr="00D337FA">
        <w:rPr>
          <w:i/>
        </w:rPr>
        <w:t>обращения:</w:t>
      </w:r>
      <w:r w:rsidR="006C680D" w:rsidRPr="00D337FA">
        <w:rPr>
          <w:i/>
        </w:rPr>
        <w:t xml:space="preserve"> </w:t>
      </w:r>
      <w:r w:rsidR="00273E3F" w:rsidRPr="00D337FA">
        <w:rPr>
          <w:i/>
        </w:rPr>
        <w:t>28.01.2026</w:t>
      </w:r>
      <w:r w:rsidRPr="00D337FA">
        <w:rPr>
          <w:i/>
        </w:rPr>
        <w:t>)</w:t>
      </w:r>
    </w:p>
    <w:p w:rsidR="004A1229" w:rsidRPr="00D337FA" w:rsidRDefault="004A1229" w:rsidP="004A1229">
      <w:pPr>
        <w:ind w:firstLine="284"/>
        <w:rPr>
          <w:i/>
        </w:rPr>
      </w:pPr>
      <w:r w:rsidRPr="00D337FA">
        <w:rPr>
          <w:i/>
        </w:rPr>
        <w:t>18.</w:t>
      </w:r>
      <w:r w:rsidR="006C680D" w:rsidRPr="00D337FA">
        <w:rPr>
          <w:i/>
        </w:rPr>
        <w:t xml:space="preserve"> </w:t>
      </w:r>
      <w:r w:rsidRPr="00D337FA">
        <w:rPr>
          <w:i/>
        </w:rPr>
        <w:t>Поздышев</w:t>
      </w:r>
      <w:r w:rsidR="006C680D" w:rsidRPr="00D337FA">
        <w:rPr>
          <w:i/>
        </w:rPr>
        <w:t xml:space="preserve"> </w:t>
      </w:r>
      <w:r w:rsidRPr="00D337FA">
        <w:rPr>
          <w:i/>
        </w:rPr>
        <w:t>В.А.,</w:t>
      </w:r>
      <w:r w:rsidR="006C680D" w:rsidRPr="00D337FA">
        <w:rPr>
          <w:i/>
        </w:rPr>
        <w:t xml:space="preserve"> </w:t>
      </w:r>
      <w:r w:rsidRPr="00D337FA">
        <w:rPr>
          <w:i/>
        </w:rPr>
        <w:t>Говакова</w:t>
      </w:r>
      <w:r w:rsidR="006C680D" w:rsidRPr="00D337FA">
        <w:rPr>
          <w:i/>
        </w:rPr>
        <w:t xml:space="preserve"> </w:t>
      </w:r>
      <w:r w:rsidRPr="00D337FA">
        <w:rPr>
          <w:i/>
        </w:rPr>
        <w:t>А.А.,</w:t>
      </w:r>
      <w:r w:rsidR="006C680D" w:rsidRPr="00D337FA">
        <w:rPr>
          <w:i/>
        </w:rPr>
        <w:t xml:space="preserve"> </w:t>
      </w:r>
      <w:r w:rsidRPr="00D337FA">
        <w:rPr>
          <w:i/>
        </w:rPr>
        <w:t>Гавриленко</w:t>
      </w:r>
      <w:r w:rsidR="006C680D" w:rsidRPr="00D337FA">
        <w:rPr>
          <w:i/>
        </w:rPr>
        <w:t xml:space="preserve"> </w:t>
      </w:r>
      <w:r w:rsidRPr="00D337FA">
        <w:rPr>
          <w:i/>
        </w:rPr>
        <w:t>Д.В.</w:t>
      </w:r>
      <w:r w:rsidR="006C680D" w:rsidRPr="00D337FA">
        <w:rPr>
          <w:i/>
        </w:rPr>
        <w:t xml:space="preserve"> </w:t>
      </w:r>
      <w:r w:rsidRPr="00D337FA">
        <w:rPr>
          <w:i/>
        </w:rPr>
        <w:t>Реализация</w:t>
      </w:r>
      <w:r w:rsidR="006C680D" w:rsidRPr="00D337FA">
        <w:rPr>
          <w:i/>
        </w:rPr>
        <w:t xml:space="preserve"> </w:t>
      </w:r>
      <w:r w:rsidRPr="00D337FA">
        <w:rPr>
          <w:i/>
        </w:rPr>
        <w:t>приоритетных</w:t>
      </w:r>
      <w:r w:rsidR="006C680D" w:rsidRPr="00D337FA">
        <w:rPr>
          <w:i/>
        </w:rPr>
        <w:t xml:space="preserve"> </w:t>
      </w:r>
      <w:r w:rsidRPr="00D337FA">
        <w:rPr>
          <w:i/>
        </w:rPr>
        <w:t>направлений</w:t>
      </w:r>
      <w:r w:rsidR="006C680D" w:rsidRPr="00D337FA">
        <w:rPr>
          <w:i/>
        </w:rPr>
        <w:t xml:space="preserve"> </w:t>
      </w:r>
      <w:r w:rsidRPr="00D337FA">
        <w:rPr>
          <w:i/>
        </w:rPr>
        <w:t>развития</w:t>
      </w:r>
      <w:r w:rsidR="006C680D" w:rsidRPr="00D337FA">
        <w:rPr>
          <w:i/>
        </w:rPr>
        <w:t xml:space="preserve"> </w:t>
      </w:r>
      <w:r w:rsidRPr="00D337FA">
        <w:rPr>
          <w:i/>
        </w:rPr>
        <w:t>банковского</w:t>
      </w:r>
      <w:r w:rsidR="006C680D" w:rsidRPr="00D337FA">
        <w:rPr>
          <w:i/>
        </w:rPr>
        <w:t xml:space="preserve"> </w:t>
      </w:r>
      <w:r w:rsidRPr="00D337FA">
        <w:rPr>
          <w:i/>
        </w:rPr>
        <w:t>законодательства</w:t>
      </w:r>
      <w:r w:rsidR="006C680D" w:rsidRPr="00D337FA">
        <w:rPr>
          <w:i/>
        </w:rPr>
        <w:t xml:space="preserve"> </w:t>
      </w:r>
      <w:r w:rsidRPr="00D337FA">
        <w:rPr>
          <w:i/>
        </w:rPr>
        <w:t>в</w:t>
      </w:r>
      <w:r w:rsidR="006C680D" w:rsidRPr="00D337FA">
        <w:rPr>
          <w:i/>
        </w:rPr>
        <w:t xml:space="preserve"> </w:t>
      </w:r>
      <w:r w:rsidRPr="00D337FA">
        <w:rPr>
          <w:i/>
        </w:rPr>
        <w:t>апреле</w:t>
      </w:r>
      <w:r w:rsidR="006C680D" w:rsidRPr="00D337FA">
        <w:rPr>
          <w:i/>
        </w:rPr>
        <w:t xml:space="preserve"> </w:t>
      </w:r>
      <w:r w:rsidRPr="00D337FA">
        <w:rPr>
          <w:i/>
        </w:rPr>
        <w:t>2017</w:t>
      </w:r>
      <w:r w:rsidR="006C680D" w:rsidRPr="00D337FA">
        <w:rPr>
          <w:i/>
        </w:rPr>
        <w:t xml:space="preserve"> </w:t>
      </w:r>
      <w:r w:rsidRPr="00D337FA">
        <w:rPr>
          <w:i/>
        </w:rPr>
        <w:t>года</w:t>
      </w:r>
      <w:r w:rsidR="006C680D" w:rsidRPr="00D337FA">
        <w:rPr>
          <w:i/>
        </w:rPr>
        <w:t xml:space="preserve"> </w:t>
      </w:r>
      <w:r w:rsidRPr="00D337FA">
        <w:rPr>
          <w:i/>
        </w:rPr>
        <w:t>//</w:t>
      </w:r>
      <w:r w:rsidR="006C680D" w:rsidRPr="00D337FA">
        <w:rPr>
          <w:i/>
        </w:rPr>
        <w:t xml:space="preserve"> </w:t>
      </w:r>
      <w:r w:rsidRPr="00D337FA">
        <w:rPr>
          <w:i/>
        </w:rPr>
        <w:t>Деньги</w:t>
      </w:r>
      <w:r w:rsidR="006C680D" w:rsidRPr="00D337FA">
        <w:rPr>
          <w:i/>
        </w:rPr>
        <w:t xml:space="preserve"> </w:t>
      </w:r>
      <w:r w:rsidRPr="00D337FA">
        <w:rPr>
          <w:i/>
        </w:rPr>
        <w:t>и</w:t>
      </w:r>
      <w:r w:rsidR="006C680D" w:rsidRPr="00D337FA">
        <w:rPr>
          <w:i/>
        </w:rPr>
        <w:t xml:space="preserve"> </w:t>
      </w:r>
      <w:r w:rsidRPr="00D337FA">
        <w:rPr>
          <w:i/>
        </w:rPr>
        <w:t>кредит.</w:t>
      </w:r>
      <w:r w:rsidR="006C680D" w:rsidRPr="00D337FA">
        <w:rPr>
          <w:i/>
        </w:rPr>
        <w:t xml:space="preserve"> </w:t>
      </w:r>
      <w:r w:rsidRPr="00D337FA">
        <w:rPr>
          <w:i/>
        </w:rPr>
        <w:t>2017.</w:t>
      </w:r>
      <w:r w:rsidR="006C680D" w:rsidRPr="00D337FA">
        <w:rPr>
          <w:i/>
        </w:rPr>
        <w:t xml:space="preserve"> </w:t>
      </w:r>
      <w:r w:rsidRPr="00D337FA">
        <w:rPr>
          <w:i/>
        </w:rPr>
        <w:t>№</w:t>
      </w:r>
      <w:r w:rsidR="006C680D" w:rsidRPr="00D337FA">
        <w:rPr>
          <w:i/>
        </w:rPr>
        <w:t xml:space="preserve"> </w:t>
      </w:r>
      <w:r w:rsidRPr="00D337FA">
        <w:rPr>
          <w:i/>
        </w:rPr>
        <w:t>5.</w:t>
      </w:r>
      <w:r w:rsidR="006C680D" w:rsidRPr="00D337FA">
        <w:rPr>
          <w:i/>
        </w:rPr>
        <w:t xml:space="preserve"> </w:t>
      </w:r>
      <w:r w:rsidRPr="00D337FA">
        <w:rPr>
          <w:i/>
        </w:rPr>
        <w:t>С.</w:t>
      </w:r>
      <w:r w:rsidR="006C680D" w:rsidRPr="00D337FA">
        <w:rPr>
          <w:i/>
        </w:rPr>
        <w:t xml:space="preserve"> </w:t>
      </w:r>
      <w:r w:rsidRPr="00D337FA">
        <w:rPr>
          <w:i/>
        </w:rPr>
        <w:t>5-8.</w:t>
      </w:r>
      <w:r w:rsidR="006C680D" w:rsidRPr="00D337FA">
        <w:rPr>
          <w:i/>
        </w:rPr>
        <w:t xml:space="preserve"> </w:t>
      </w:r>
      <w:r w:rsidRPr="00D337FA">
        <w:rPr>
          <w:i/>
        </w:rPr>
        <w:t>URL:</w:t>
      </w:r>
      <w:r w:rsidR="006C680D" w:rsidRPr="00D337FA">
        <w:rPr>
          <w:i/>
        </w:rPr>
        <w:t xml:space="preserve"> </w:t>
      </w:r>
      <w:r w:rsidRPr="00D337FA">
        <w:rPr>
          <w:i/>
        </w:rPr>
        <w:t>https://rjmf.econs.online/upload/iblock/32f/pozdyshev_5_17.pdf</w:t>
      </w:r>
      <w:r w:rsidR="006C680D" w:rsidRPr="00D337FA">
        <w:rPr>
          <w:i/>
        </w:rPr>
        <w:t xml:space="preserve"> </w:t>
      </w:r>
      <w:r w:rsidRPr="00D337FA">
        <w:rPr>
          <w:i/>
        </w:rPr>
        <w:t>(дата</w:t>
      </w:r>
      <w:r w:rsidR="006C680D" w:rsidRPr="00D337FA">
        <w:rPr>
          <w:i/>
        </w:rPr>
        <w:t xml:space="preserve"> </w:t>
      </w:r>
      <w:r w:rsidR="00273E3F" w:rsidRPr="00D337FA">
        <w:rPr>
          <w:i/>
        </w:rPr>
        <w:t>обращения:</w:t>
      </w:r>
      <w:r w:rsidR="006C680D" w:rsidRPr="00D337FA">
        <w:rPr>
          <w:i/>
        </w:rPr>
        <w:t xml:space="preserve"> </w:t>
      </w:r>
      <w:r w:rsidR="00273E3F" w:rsidRPr="00D337FA">
        <w:rPr>
          <w:i/>
        </w:rPr>
        <w:t>28.01.2026</w:t>
      </w:r>
      <w:r w:rsidRPr="00D337FA">
        <w:rPr>
          <w:i/>
        </w:rPr>
        <w:t>).</w:t>
      </w:r>
    </w:p>
    <w:p w:rsidR="004A1229" w:rsidRPr="00D337FA" w:rsidRDefault="004A1229" w:rsidP="004A1229">
      <w:pPr>
        <w:ind w:firstLine="284"/>
        <w:rPr>
          <w:i/>
        </w:rPr>
      </w:pPr>
      <w:r w:rsidRPr="00D337FA">
        <w:rPr>
          <w:i/>
        </w:rPr>
        <w:t>19.</w:t>
      </w:r>
      <w:r w:rsidR="006C680D" w:rsidRPr="00D337FA">
        <w:rPr>
          <w:i/>
        </w:rPr>
        <w:t xml:space="preserve"> </w:t>
      </w:r>
      <w:r w:rsidRPr="00D337FA">
        <w:rPr>
          <w:i/>
        </w:rPr>
        <w:t>Годовой</w:t>
      </w:r>
      <w:r w:rsidR="006C680D" w:rsidRPr="00D337FA">
        <w:rPr>
          <w:i/>
        </w:rPr>
        <w:t xml:space="preserve"> </w:t>
      </w:r>
      <w:r w:rsidRPr="00D337FA">
        <w:rPr>
          <w:i/>
        </w:rPr>
        <w:t>отчет</w:t>
      </w:r>
      <w:r w:rsidR="006C680D" w:rsidRPr="00D337FA">
        <w:rPr>
          <w:i/>
        </w:rPr>
        <w:t xml:space="preserve"> </w:t>
      </w:r>
      <w:r w:rsidRPr="00D337FA">
        <w:rPr>
          <w:i/>
        </w:rPr>
        <w:t>Банка</w:t>
      </w:r>
      <w:r w:rsidR="006C680D" w:rsidRPr="00D337FA">
        <w:rPr>
          <w:i/>
        </w:rPr>
        <w:t xml:space="preserve"> </w:t>
      </w:r>
      <w:r w:rsidRPr="00D337FA">
        <w:rPr>
          <w:i/>
        </w:rPr>
        <w:t>России</w:t>
      </w:r>
      <w:r w:rsidR="006C680D" w:rsidRPr="00D337FA">
        <w:rPr>
          <w:i/>
        </w:rPr>
        <w:t xml:space="preserve"> </w:t>
      </w:r>
      <w:r w:rsidRPr="00D337FA">
        <w:rPr>
          <w:i/>
        </w:rPr>
        <w:t>за</w:t>
      </w:r>
      <w:r w:rsidR="006C680D" w:rsidRPr="00D337FA">
        <w:rPr>
          <w:i/>
        </w:rPr>
        <w:t xml:space="preserve"> </w:t>
      </w:r>
      <w:r w:rsidRPr="00D337FA">
        <w:rPr>
          <w:i/>
        </w:rPr>
        <w:t>2017</w:t>
      </w:r>
      <w:r w:rsidR="006C680D" w:rsidRPr="00D337FA">
        <w:rPr>
          <w:i/>
        </w:rPr>
        <w:t xml:space="preserve"> </w:t>
      </w:r>
      <w:r w:rsidRPr="00D337FA">
        <w:rPr>
          <w:i/>
        </w:rPr>
        <w:t>год.</w:t>
      </w:r>
      <w:r w:rsidR="006C680D" w:rsidRPr="00D337FA">
        <w:rPr>
          <w:i/>
        </w:rPr>
        <w:t xml:space="preserve"> </w:t>
      </w:r>
      <w:r w:rsidRPr="00D337FA">
        <w:rPr>
          <w:i/>
        </w:rPr>
        <w:t>Банк</w:t>
      </w:r>
      <w:r w:rsidR="006C680D" w:rsidRPr="00D337FA">
        <w:rPr>
          <w:i/>
        </w:rPr>
        <w:t xml:space="preserve"> </w:t>
      </w:r>
      <w:r w:rsidRPr="00D337FA">
        <w:rPr>
          <w:i/>
        </w:rPr>
        <w:t>России.</w:t>
      </w:r>
      <w:r w:rsidR="006C680D" w:rsidRPr="00D337FA">
        <w:rPr>
          <w:i/>
        </w:rPr>
        <w:t xml:space="preserve"> </w:t>
      </w:r>
      <w:r w:rsidRPr="00D337FA">
        <w:rPr>
          <w:i/>
        </w:rPr>
        <w:t>URL:</w:t>
      </w:r>
      <w:r w:rsidR="006C680D" w:rsidRPr="00D337FA">
        <w:rPr>
          <w:i/>
        </w:rPr>
        <w:t xml:space="preserve"> </w:t>
      </w:r>
      <w:r w:rsidRPr="00D337FA">
        <w:rPr>
          <w:i/>
        </w:rPr>
        <w:t>https://cbr.ru/collection/collection/file/7796/ar_2017.pdf</w:t>
      </w:r>
      <w:r w:rsidR="006C680D" w:rsidRPr="00D337FA">
        <w:rPr>
          <w:i/>
        </w:rPr>
        <w:t xml:space="preserve"> </w:t>
      </w:r>
      <w:r w:rsidRPr="00D337FA">
        <w:rPr>
          <w:i/>
        </w:rPr>
        <w:t>(дата</w:t>
      </w:r>
      <w:r w:rsidR="006C680D" w:rsidRPr="00D337FA">
        <w:rPr>
          <w:i/>
        </w:rPr>
        <w:t xml:space="preserve"> </w:t>
      </w:r>
      <w:r w:rsidR="00273E3F" w:rsidRPr="00D337FA">
        <w:rPr>
          <w:i/>
        </w:rPr>
        <w:t>обращения:</w:t>
      </w:r>
      <w:r w:rsidR="006C680D" w:rsidRPr="00D337FA">
        <w:rPr>
          <w:i/>
        </w:rPr>
        <w:t xml:space="preserve"> </w:t>
      </w:r>
      <w:r w:rsidR="00273E3F" w:rsidRPr="00D337FA">
        <w:rPr>
          <w:i/>
        </w:rPr>
        <w:t>28.01.2026</w:t>
      </w:r>
      <w:r w:rsidRPr="00D337FA">
        <w:rPr>
          <w:i/>
        </w:rPr>
        <w:t>).</w:t>
      </w:r>
    </w:p>
    <w:p w:rsidR="004A1229" w:rsidRPr="00D337FA" w:rsidRDefault="004A1229" w:rsidP="004A1229">
      <w:pPr>
        <w:ind w:firstLine="284"/>
        <w:rPr>
          <w:i/>
        </w:rPr>
      </w:pPr>
      <w:r w:rsidRPr="00D337FA">
        <w:rPr>
          <w:i/>
        </w:rPr>
        <w:t>20.</w:t>
      </w:r>
      <w:r w:rsidR="006C680D" w:rsidRPr="00D337FA">
        <w:rPr>
          <w:i/>
        </w:rPr>
        <w:t xml:space="preserve">  </w:t>
      </w:r>
      <w:r w:rsidRPr="00D337FA">
        <w:rPr>
          <w:i/>
        </w:rPr>
        <w:t>Новый</w:t>
      </w:r>
      <w:r w:rsidR="006C680D" w:rsidRPr="00D337FA">
        <w:rPr>
          <w:i/>
        </w:rPr>
        <w:t xml:space="preserve"> </w:t>
      </w:r>
      <w:r w:rsidRPr="00D337FA">
        <w:rPr>
          <w:i/>
        </w:rPr>
        <w:t>механизм</w:t>
      </w:r>
      <w:r w:rsidR="006C680D" w:rsidRPr="00D337FA">
        <w:rPr>
          <w:i/>
        </w:rPr>
        <w:t xml:space="preserve"> </w:t>
      </w:r>
      <w:r w:rsidRPr="00D337FA">
        <w:rPr>
          <w:i/>
        </w:rPr>
        <w:t>финансового</w:t>
      </w:r>
      <w:r w:rsidR="006C680D" w:rsidRPr="00D337FA">
        <w:rPr>
          <w:i/>
        </w:rPr>
        <w:t xml:space="preserve"> </w:t>
      </w:r>
      <w:r w:rsidRPr="00D337FA">
        <w:rPr>
          <w:i/>
        </w:rPr>
        <w:t>оздоровления</w:t>
      </w:r>
      <w:r w:rsidR="006C680D" w:rsidRPr="00D337FA">
        <w:rPr>
          <w:i/>
        </w:rPr>
        <w:t xml:space="preserve"> </w:t>
      </w:r>
      <w:r w:rsidRPr="00D337FA">
        <w:rPr>
          <w:i/>
        </w:rPr>
        <w:t>кредитных</w:t>
      </w:r>
      <w:r w:rsidR="006C680D" w:rsidRPr="00D337FA">
        <w:rPr>
          <w:i/>
        </w:rPr>
        <w:t xml:space="preserve"> </w:t>
      </w:r>
      <w:r w:rsidRPr="00D337FA">
        <w:rPr>
          <w:i/>
        </w:rPr>
        <w:t>организаций.</w:t>
      </w:r>
      <w:r w:rsidR="006C680D" w:rsidRPr="00D337FA">
        <w:rPr>
          <w:i/>
        </w:rPr>
        <w:t xml:space="preserve"> </w:t>
      </w:r>
      <w:r w:rsidRPr="00D337FA">
        <w:rPr>
          <w:i/>
        </w:rPr>
        <w:t>Банк</w:t>
      </w:r>
      <w:r w:rsidR="006C680D" w:rsidRPr="00D337FA">
        <w:rPr>
          <w:i/>
        </w:rPr>
        <w:t xml:space="preserve"> </w:t>
      </w:r>
      <w:r w:rsidRPr="00D337FA">
        <w:rPr>
          <w:i/>
        </w:rPr>
        <w:t>России.</w:t>
      </w:r>
      <w:r w:rsidR="006C680D" w:rsidRPr="00D337FA">
        <w:rPr>
          <w:i/>
        </w:rPr>
        <w:t xml:space="preserve"> </w:t>
      </w:r>
      <w:r w:rsidRPr="00D337FA">
        <w:rPr>
          <w:i/>
        </w:rPr>
        <w:t>URL:</w:t>
      </w:r>
      <w:r w:rsidR="006C680D" w:rsidRPr="00D337FA">
        <w:rPr>
          <w:i/>
        </w:rPr>
        <w:t xml:space="preserve"> </w:t>
      </w:r>
      <w:r w:rsidRPr="00D337FA">
        <w:rPr>
          <w:i/>
        </w:rPr>
        <w:t>https://cbr.ru/Content/Document/File/99252/2017-06-19.pdf</w:t>
      </w:r>
      <w:r w:rsidR="006C680D" w:rsidRPr="00D337FA">
        <w:rPr>
          <w:i/>
        </w:rPr>
        <w:t xml:space="preserve"> </w:t>
      </w:r>
      <w:r w:rsidRPr="00D337FA">
        <w:rPr>
          <w:i/>
        </w:rPr>
        <w:t>(дата</w:t>
      </w:r>
      <w:r w:rsidR="006C680D" w:rsidRPr="00D337FA">
        <w:rPr>
          <w:i/>
        </w:rPr>
        <w:t xml:space="preserve"> </w:t>
      </w:r>
      <w:r w:rsidR="00273E3F" w:rsidRPr="00D337FA">
        <w:rPr>
          <w:i/>
        </w:rPr>
        <w:t>обращения:</w:t>
      </w:r>
      <w:r w:rsidR="006C680D" w:rsidRPr="00D337FA">
        <w:rPr>
          <w:i/>
        </w:rPr>
        <w:t xml:space="preserve"> </w:t>
      </w:r>
      <w:r w:rsidR="00273E3F" w:rsidRPr="00D337FA">
        <w:rPr>
          <w:i/>
        </w:rPr>
        <w:t>28.01.2026</w:t>
      </w:r>
      <w:r w:rsidRPr="00D337FA">
        <w:rPr>
          <w:i/>
        </w:rPr>
        <w:t>).</w:t>
      </w:r>
    </w:p>
    <w:p w:rsidR="004A1229" w:rsidRPr="00D337FA" w:rsidRDefault="004A1229" w:rsidP="004A1229">
      <w:pPr>
        <w:ind w:firstLine="284"/>
        <w:rPr>
          <w:i/>
        </w:rPr>
      </w:pPr>
      <w:r w:rsidRPr="00D337FA">
        <w:rPr>
          <w:i/>
        </w:rPr>
        <w:t>21.</w:t>
      </w:r>
      <w:r w:rsidR="006C680D" w:rsidRPr="00D337FA">
        <w:rPr>
          <w:i/>
        </w:rPr>
        <w:t xml:space="preserve"> </w:t>
      </w:r>
      <w:r w:rsidRPr="00D337FA">
        <w:rPr>
          <w:i/>
        </w:rPr>
        <w:t>ЦБ</w:t>
      </w:r>
      <w:r w:rsidR="006C680D" w:rsidRPr="00D337FA">
        <w:rPr>
          <w:i/>
        </w:rPr>
        <w:t xml:space="preserve"> </w:t>
      </w:r>
      <w:r w:rsidRPr="00D337FA">
        <w:rPr>
          <w:i/>
        </w:rPr>
        <w:t>оценил</w:t>
      </w:r>
      <w:r w:rsidR="006C680D" w:rsidRPr="00D337FA">
        <w:rPr>
          <w:i/>
        </w:rPr>
        <w:t xml:space="preserve"> </w:t>
      </w:r>
      <w:r w:rsidRPr="00D337FA">
        <w:rPr>
          <w:i/>
        </w:rPr>
        <w:t>потери</w:t>
      </w:r>
      <w:r w:rsidR="006C680D" w:rsidRPr="00D337FA">
        <w:rPr>
          <w:i/>
        </w:rPr>
        <w:t xml:space="preserve"> </w:t>
      </w:r>
      <w:r w:rsidRPr="00D337FA">
        <w:rPr>
          <w:i/>
        </w:rPr>
        <w:t>от</w:t>
      </w:r>
      <w:r w:rsidR="006C680D" w:rsidRPr="00D337FA">
        <w:rPr>
          <w:i/>
        </w:rPr>
        <w:t xml:space="preserve"> </w:t>
      </w:r>
      <w:r w:rsidRPr="00D337FA">
        <w:rPr>
          <w:i/>
        </w:rPr>
        <w:t>санации</w:t>
      </w:r>
      <w:r w:rsidR="006C680D" w:rsidRPr="00D337FA">
        <w:rPr>
          <w:i/>
        </w:rPr>
        <w:t xml:space="preserve"> </w:t>
      </w:r>
      <w:r w:rsidRPr="00D337FA">
        <w:rPr>
          <w:i/>
        </w:rPr>
        <w:t>проблемных</w:t>
      </w:r>
      <w:r w:rsidR="006C680D" w:rsidRPr="00D337FA">
        <w:rPr>
          <w:i/>
        </w:rPr>
        <w:t xml:space="preserve"> </w:t>
      </w:r>
      <w:r w:rsidRPr="00D337FA">
        <w:rPr>
          <w:i/>
        </w:rPr>
        <w:t>банков.</w:t>
      </w:r>
      <w:r w:rsidR="006C680D" w:rsidRPr="00D337FA">
        <w:rPr>
          <w:i/>
        </w:rPr>
        <w:t xml:space="preserve"> </w:t>
      </w:r>
      <w:r w:rsidRPr="00D337FA">
        <w:rPr>
          <w:i/>
        </w:rPr>
        <w:t>РБК.</w:t>
      </w:r>
      <w:r w:rsidR="006C680D" w:rsidRPr="00D337FA">
        <w:rPr>
          <w:i/>
        </w:rPr>
        <w:t xml:space="preserve"> </w:t>
      </w:r>
      <w:r w:rsidRPr="00D337FA">
        <w:rPr>
          <w:i/>
        </w:rPr>
        <w:t>6</w:t>
      </w:r>
      <w:r w:rsidR="006C680D" w:rsidRPr="00D337FA">
        <w:rPr>
          <w:i/>
        </w:rPr>
        <w:t xml:space="preserve"> </w:t>
      </w:r>
      <w:r w:rsidRPr="00D337FA">
        <w:rPr>
          <w:i/>
        </w:rPr>
        <w:t>августа</w:t>
      </w:r>
      <w:r w:rsidR="006C680D" w:rsidRPr="00D337FA">
        <w:rPr>
          <w:i/>
        </w:rPr>
        <w:t xml:space="preserve"> </w:t>
      </w:r>
      <w:r w:rsidRPr="00D337FA">
        <w:rPr>
          <w:i/>
        </w:rPr>
        <w:t>2019</w:t>
      </w:r>
      <w:r w:rsidR="006C680D" w:rsidRPr="00D337FA">
        <w:rPr>
          <w:i/>
        </w:rPr>
        <w:t xml:space="preserve"> </w:t>
      </w:r>
      <w:r w:rsidRPr="00D337FA">
        <w:rPr>
          <w:i/>
        </w:rPr>
        <w:t>года.</w:t>
      </w:r>
      <w:r w:rsidR="006C680D" w:rsidRPr="00D337FA">
        <w:rPr>
          <w:i/>
        </w:rPr>
        <w:t xml:space="preserve"> </w:t>
      </w:r>
      <w:r w:rsidRPr="00D337FA">
        <w:rPr>
          <w:i/>
        </w:rPr>
        <w:t>URL:</w:t>
      </w:r>
      <w:r w:rsidR="006C680D" w:rsidRPr="00D337FA">
        <w:rPr>
          <w:i/>
        </w:rPr>
        <w:t xml:space="preserve"> </w:t>
      </w:r>
      <w:r w:rsidRPr="00D337FA">
        <w:rPr>
          <w:i/>
        </w:rPr>
        <w:t>https://www.rbc.ru/finances/06/08/2019/5d4911aa9a7947fa9e28c534</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10.10.2021).</w:t>
      </w:r>
    </w:p>
    <w:p w:rsidR="004A1229" w:rsidRPr="00D337FA" w:rsidRDefault="004A1229" w:rsidP="004A1229">
      <w:pPr>
        <w:ind w:firstLine="284"/>
        <w:rPr>
          <w:i/>
        </w:rPr>
      </w:pPr>
      <w:r w:rsidRPr="00D337FA">
        <w:rPr>
          <w:i/>
        </w:rPr>
        <w:t>22.</w:t>
      </w:r>
      <w:r w:rsidR="006C680D" w:rsidRPr="00D337FA">
        <w:rPr>
          <w:i/>
        </w:rPr>
        <w:t xml:space="preserve"> </w:t>
      </w:r>
      <w:r w:rsidRPr="00D337FA">
        <w:rPr>
          <w:i/>
        </w:rPr>
        <w:t>Богомолов</w:t>
      </w:r>
      <w:r w:rsidR="006C680D" w:rsidRPr="00D337FA">
        <w:rPr>
          <w:i/>
        </w:rPr>
        <w:t xml:space="preserve"> </w:t>
      </w:r>
      <w:r w:rsidRPr="00D337FA">
        <w:rPr>
          <w:i/>
        </w:rPr>
        <w:t>С.М.,</w:t>
      </w:r>
      <w:r w:rsidR="006C680D" w:rsidRPr="00D337FA">
        <w:rPr>
          <w:i/>
        </w:rPr>
        <w:t xml:space="preserve"> </w:t>
      </w:r>
      <w:r w:rsidRPr="00D337FA">
        <w:rPr>
          <w:i/>
        </w:rPr>
        <w:t>Ильина</w:t>
      </w:r>
      <w:r w:rsidR="006C680D" w:rsidRPr="00D337FA">
        <w:rPr>
          <w:i/>
        </w:rPr>
        <w:t xml:space="preserve"> </w:t>
      </w:r>
      <w:r w:rsidRPr="00D337FA">
        <w:rPr>
          <w:i/>
        </w:rPr>
        <w:t>Л.В.,</w:t>
      </w:r>
      <w:r w:rsidR="006C680D" w:rsidRPr="00D337FA">
        <w:rPr>
          <w:i/>
        </w:rPr>
        <w:t xml:space="preserve"> </w:t>
      </w:r>
      <w:r w:rsidRPr="00D337FA">
        <w:rPr>
          <w:i/>
        </w:rPr>
        <w:t>Копченко</w:t>
      </w:r>
      <w:r w:rsidR="006C680D" w:rsidRPr="00D337FA">
        <w:rPr>
          <w:i/>
        </w:rPr>
        <w:t xml:space="preserve"> </w:t>
      </w:r>
      <w:r w:rsidRPr="00D337FA">
        <w:rPr>
          <w:i/>
        </w:rPr>
        <w:t>Ю.Е.,</w:t>
      </w:r>
      <w:r w:rsidR="006C680D" w:rsidRPr="00D337FA">
        <w:rPr>
          <w:i/>
        </w:rPr>
        <w:t xml:space="preserve"> </w:t>
      </w:r>
      <w:r w:rsidRPr="00D337FA">
        <w:rPr>
          <w:i/>
        </w:rPr>
        <w:t>Коробов</w:t>
      </w:r>
      <w:r w:rsidR="006C680D" w:rsidRPr="00D337FA">
        <w:rPr>
          <w:i/>
        </w:rPr>
        <w:t xml:space="preserve"> </w:t>
      </w:r>
      <w:r w:rsidRPr="00D337FA">
        <w:rPr>
          <w:i/>
        </w:rPr>
        <w:t>Ю.И.</w:t>
      </w:r>
      <w:r w:rsidR="006C680D" w:rsidRPr="00D337FA">
        <w:rPr>
          <w:i/>
        </w:rPr>
        <w:t xml:space="preserve"> </w:t>
      </w:r>
      <w:r w:rsidRPr="00D337FA">
        <w:rPr>
          <w:i/>
        </w:rPr>
        <w:t>Оценка</w:t>
      </w:r>
      <w:r w:rsidR="006C680D" w:rsidRPr="00D337FA">
        <w:rPr>
          <w:i/>
        </w:rPr>
        <w:t xml:space="preserve"> </w:t>
      </w:r>
      <w:r w:rsidRPr="00D337FA">
        <w:rPr>
          <w:i/>
        </w:rPr>
        <w:t>системной</w:t>
      </w:r>
      <w:r w:rsidR="006C680D" w:rsidRPr="00D337FA">
        <w:rPr>
          <w:i/>
        </w:rPr>
        <w:t xml:space="preserve"> </w:t>
      </w:r>
      <w:r w:rsidRPr="00D337FA">
        <w:rPr>
          <w:i/>
        </w:rPr>
        <w:t>значимости</w:t>
      </w:r>
      <w:r w:rsidR="006C680D" w:rsidRPr="00D337FA">
        <w:rPr>
          <w:i/>
        </w:rPr>
        <w:t xml:space="preserve"> </w:t>
      </w:r>
      <w:r w:rsidRPr="00D337FA">
        <w:rPr>
          <w:i/>
        </w:rPr>
        <w:t>банков:</w:t>
      </w:r>
      <w:r w:rsidR="006C680D" w:rsidRPr="00D337FA">
        <w:rPr>
          <w:i/>
        </w:rPr>
        <w:t xml:space="preserve"> </w:t>
      </w:r>
      <w:r w:rsidRPr="00D337FA">
        <w:rPr>
          <w:i/>
        </w:rPr>
        <w:t>международные</w:t>
      </w:r>
      <w:r w:rsidR="006C680D" w:rsidRPr="00D337FA">
        <w:rPr>
          <w:i/>
        </w:rPr>
        <w:t xml:space="preserve"> </w:t>
      </w:r>
      <w:r w:rsidRPr="00D337FA">
        <w:rPr>
          <w:i/>
        </w:rPr>
        <w:t>подходы</w:t>
      </w:r>
      <w:r w:rsidR="006C680D" w:rsidRPr="00D337FA">
        <w:rPr>
          <w:i/>
        </w:rPr>
        <w:t xml:space="preserve"> </w:t>
      </w:r>
      <w:r w:rsidRPr="00D337FA">
        <w:rPr>
          <w:i/>
        </w:rPr>
        <w:t>и</w:t>
      </w:r>
      <w:r w:rsidR="006C680D" w:rsidRPr="00D337FA">
        <w:rPr>
          <w:i/>
        </w:rPr>
        <w:t xml:space="preserve"> </w:t>
      </w:r>
      <w:r w:rsidRPr="00D337FA">
        <w:rPr>
          <w:i/>
        </w:rPr>
        <w:t>Российская</w:t>
      </w:r>
      <w:r w:rsidR="006C680D" w:rsidRPr="00D337FA">
        <w:rPr>
          <w:i/>
        </w:rPr>
        <w:t xml:space="preserve"> </w:t>
      </w:r>
      <w:r w:rsidRPr="00D337FA">
        <w:rPr>
          <w:i/>
        </w:rPr>
        <w:t>практика</w:t>
      </w:r>
      <w:r w:rsidR="006C680D" w:rsidRPr="00D337FA">
        <w:rPr>
          <w:i/>
        </w:rPr>
        <w:t xml:space="preserve"> </w:t>
      </w:r>
      <w:r w:rsidRPr="00D337FA">
        <w:rPr>
          <w:i/>
        </w:rPr>
        <w:t>//</w:t>
      </w:r>
      <w:r w:rsidR="006C680D" w:rsidRPr="00D337FA">
        <w:rPr>
          <w:i/>
        </w:rPr>
        <w:t xml:space="preserve"> </w:t>
      </w:r>
      <w:r w:rsidRPr="00D337FA">
        <w:rPr>
          <w:i/>
        </w:rPr>
        <w:t>Вестник</w:t>
      </w:r>
      <w:r w:rsidR="006C680D" w:rsidRPr="00D337FA">
        <w:rPr>
          <w:i/>
        </w:rPr>
        <w:t xml:space="preserve"> </w:t>
      </w:r>
      <w:r w:rsidRPr="00D337FA">
        <w:rPr>
          <w:i/>
        </w:rPr>
        <w:t>Саратовского</w:t>
      </w:r>
      <w:r w:rsidR="006C680D" w:rsidRPr="00D337FA">
        <w:rPr>
          <w:i/>
        </w:rPr>
        <w:t xml:space="preserve"> </w:t>
      </w:r>
      <w:r w:rsidRPr="00D337FA">
        <w:rPr>
          <w:i/>
        </w:rPr>
        <w:t>государственного</w:t>
      </w:r>
      <w:r w:rsidR="006C680D" w:rsidRPr="00D337FA">
        <w:rPr>
          <w:i/>
        </w:rPr>
        <w:t xml:space="preserve"> </w:t>
      </w:r>
      <w:r w:rsidRPr="00D337FA">
        <w:rPr>
          <w:i/>
        </w:rPr>
        <w:t>социально-экономического</w:t>
      </w:r>
      <w:r w:rsidR="006C680D" w:rsidRPr="00D337FA">
        <w:rPr>
          <w:i/>
        </w:rPr>
        <w:t xml:space="preserve"> </w:t>
      </w:r>
      <w:r w:rsidRPr="00D337FA">
        <w:rPr>
          <w:i/>
        </w:rPr>
        <w:t>университета.</w:t>
      </w:r>
      <w:r w:rsidR="006C680D" w:rsidRPr="00D337FA">
        <w:rPr>
          <w:i/>
        </w:rPr>
        <w:t xml:space="preserve"> </w:t>
      </w:r>
      <w:r w:rsidRPr="00D337FA">
        <w:rPr>
          <w:i/>
        </w:rPr>
        <w:t>2020.</w:t>
      </w:r>
      <w:r w:rsidR="006C680D" w:rsidRPr="00D337FA">
        <w:rPr>
          <w:i/>
        </w:rPr>
        <w:t xml:space="preserve"> </w:t>
      </w:r>
      <w:r w:rsidRPr="00D337FA">
        <w:rPr>
          <w:i/>
        </w:rPr>
        <w:t>№</w:t>
      </w:r>
      <w:r w:rsidR="006C680D" w:rsidRPr="00D337FA">
        <w:rPr>
          <w:i/>
        </w:rPr>
        <w:t xml:space="preserve"> </w:t>
      </w:r>
      <w:r w:rsidRPr="00D337FA">
        <w:rPr>
          <w:i/>
        </w:rPr>
        <w:t>4-5(83).</w:t>
      </w:r>
      <w:r w:rsidR="006C680D" w:rsidRPr="00D337FA">
        <w:rPr>
          <w:i/>
        </w:rPr>
        <w:t xml:space="preserve"> </w:t>
      </w:r>
      <w:r w:rsidRPr="00D337FA">
        <w:rPr>
          <w:i/>
        </w:rPr>
        <w:t>С.</w:t>
      </w:r>
      <w:r w:rsidR="006C680D" w:rsidRPr="00D337FA">
        <w:rPr>
          <w:i/>
        </w:rPr>
        <w:t xml:space="preserve"> </w:t>
      </w:r>
      <w:r w:rsidRPr="00D337FA">
        <w:rPr>
          <w:i/>
        </w:rPr>
        <w:t>82-90.</w:t>
      </w:r>
      <w:r w:rsidR="006C680D" w:rsidRPr="00D337FA">
        <w:rPr>
          <w:i/>
        </w:rPr>
        <w:t xml:space="preserve"> </w:t>
      </w:r>
    </w:p>
    <w:p w:rsidR="004A1229" w:rsidRPr="00D337FA" w:rsidRDefault="004A1229" w:rsidP="004A1229">
      <w:pPr>
        <w:ind w:firstLine="284"/>
        <w:rPr>
          <w:i/>
        </w:rPr>
      </w:pPr>
      <w:r w:rsidRPr="00D337FA">
        <w:rPr>
          <w:i/>
        </w:rPr>
        <w:t>23.</w:t>
      </w:r>
      <w:r w:rsidR="006C680D" w:rsidRPr="00D337FA">
        <w:rPr>
          <w:i/>
        </w:rPr>
        <w:t xml:space="preserve"> </w:t>
      </w:r>
      <w:r w:rsidRPr="00D337FA">
        <w:rPr>
          <w:i/>
        </w:rPr>
        <w:t>Зубкова</w:t>
      </w:r>
      <w:r w:rsidR="006C680D" w:rsidRPr="00D337FA">
        <w:rPr>
          <w:i/>
        </w:rPr>
        <w:t xml:space="preserve"> </w:t>
      </w:r>
      <w:r w:rsidRPr="00D337FA">
        <w:rPr>
          <w:i/>
        </w:rPr>
        <w:t>В.И.</w:t>
      </w:r>
      <w:r w:rsidR="006C680D" w:rsidRPr="00D337FA">
        <w:rPr>
          <w:i/>
        </w:rPr>
        <w:t xml:space="preserve"> </w:t>
      </w:r>
      <w:r w:rsidRPr="00D337FA">
        <w:rPr>
          <w:i/>
        </w:rPr>
        <w:t>Санационный</w:t>
      </w:r>
      <w:r w:rsidR="006C680D" w:rsidRPr="00D337FA">
        <w:rPr>
          <w:i/>
        </w:rPr>
        <w:t xml:space="preserve"> </w:t>
      </w:r>
      <w:r w:rsidRPr="00D337FA">
        <w:rPr>
          <w:i/>
        </w:rPr>
        <w:t>аудит</w:t>
      </w:r>
      <w:r w:rsidR="006C680D" w:rsidRPr="00D337FA">
        <w:rPr>
          <w:i/>
        </w:rPr>
        <w:t xml:space="preserve"> </w:t>
      </w:r>
      <w:r w:rsidRPr="00D337FA">
        <w:rPr>
          <w:i/>
        </w:rPr>
        <w:t>и</w:t>
      </w:r>
      <w:r w:rsidR="006C680D" w:rsidRPr="00D337FA">
        <w:rPr>
          <w:i/>
        </w:rPr>
        <w:t xml:space="preserve"> </w:t>
      </w:r>
      <w:r w:rsidRPr="00D337FA">
        <w:rPr>
          <w:i/>
        </w:rPr>
        <w:t>банкротство</w:t>
      </w:r>
      <w:r w:rsidR="006C680D" w:rsidRPr="00D337FA">
        <w:rPr>
          <w:i/>
        </w:rPr>
        <w:t xml:space="preserve"> </w:t>
      </w:r>
      <w:r w:rsidRPr="00D337FA">
        <w:rPr>
          <w:i/>
        </w:rPr>
        <w:t>предприятий</w:t>
      </w:r>
      <w:r w:rsidR="006C680D" w:rsidRPr="00D337FA">
        <w:rPr>
          <w:i/>
        </w:rPr>
        <w:t xml:space="preserve"> </w:t>
      </w:r>
      <w:r w:rsidRPr="00D337FA">
        <w:rPr>
          <w:i/>
        </w:rPr>
        <w:t>//</w:t>
      </w:r>
      <w:r w:rsidR="006C680D" w:rsidRPr="00D337FA">
        <w:rPr>
          <w:i/>
        </w:rPr>
        <w:t xml:space="preserve"> </w:t>
      </w:r>
      <w:r w:rsidRPr="00D337FA">
        <w:rPr>
          <w:i/>
        </w:rPr>
        <w:t>Научный</w:t>
      </w:r>
      <w:r w:rsidR="006C680D" w:rsidRPr="00D337FA">
        <w:rPr>
          <w:i/>
        </w:rPr>
        <w:t xml:space="preserve"> </w:t>
      </w:r>
      <w:r w:rsidRPr="00D337FA">
        <w:rPr>
          <w:i/>
        </w:rPr>
        <w:t>вестник:</w:t>
      </w:r>
      <w:r w:rsidR="006C680D" w:rsidRPr="00D337FA">
        <w:rPr>
          <w:i/>
        </w:rPr>
        <w:t xml:space="preserve"> </w:t>
      </w:r>
      <w:r w:rsidRPr="00D337FA">
        <w:rPr>
          <w:i/>
        </w:rPr>
        <w:t>финансы,</w:t>
      </w:r>
      <w:r w:rsidR="006C680D" w:rsidRPr="00D337FA">
        <w:rPr>
          <w:i/>
        </w:rPr>
        <w:t xml:space="preserve"> </w:t>
      </w:r>
      <w:r w:rsidRPr="00D337FA">
        <w:rPr>
          <w:i/>
        </w:rPr>
        <w:t>банки,</w:t>
      </w:r>
      <w:r w:rsidR="006C680D" w:rsidRPr="00D337FA">
        <w:rPr>
          <w:i/>
        </w:rPr>
        <w:t xml:space="preserve"> </w:t>
      </w:r>
      <w:r w:rsidRPr="00D337FA">
        <w:rPr>
          <w:i/>
        </w:rPr>
        <w:t>инвестиции.</w:t>
      </w:r>
      <w:r w:rsidR="006C680D" w:rsidRPr="00D337FA">
        <w:rPr>
          <w:i/>
        </w:rPr>
        <w:t xml:space="preserve"> </w:t>
      </w:r>
      <w:r w:rsidRPr="00D337FA">
        <w:rPr>
          <w:i/>
        </w:rPr>
        <w:t>2016.</w:t>
      </w:r>
      <w:r w:rsidR="006C680D" w:rsidRPr="00D337FA">
        <w:rPr>
          <w:i/>
        </w:rPr>
        <w:t xml:space="preserve"> </w:t>
      </w:r>
      <w:r w:rsidRPr="00D337FA">
        <w:rPr>
          <w:i/>
        </w:rPr>
        <w:t>№1</w:t>
      </w:r>
      <w:r w:rsidR="006C680D" w:rsidRPr="00D337FA">
        <w:rPr>
          <w:i/>
        </w:rPr>
        <w:t xml:space="preserve"> </w:t>
      </w:r>
      <w:r w:rsidRPr="00D337FA">
        <w:rPr>
          <w:i/>
        </w:rPr>
        <w:t>(34).</w:t>
      </w:r>
      <w:r w:rsidR="006C680D" w:rsidRPr="00D337FA">
        <w:rPr>
          <w:i/>
        </w:rPr>
        <w:t xml:space="preserve"> </w:t>
      </w:r>
      <w:r w:rsidRPr="00D337FA">
        <w:rPr>
          <w:i/>
        </w:rPr>
        <w:t>URL:</w:t>
      </w:r>
      <w:r w:rsidR="006C680D" w:rsidRPr="00D337FA">
        <w:rPr>
          <w:i/>
        </w:rPr>
        <w:t xml:space="preserve"> </w:t>
      </w:r>
      <w:r w:rsidRPr="00D337FA">
        <w:rPr>
          <w:i/>
        </w:rPr>
        <w:t>https://cyberleninka.ru/article/n/sanatsionnyy-audit-i-bankrotstvo-predpriyatiy</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01.02.2026).</w:t>
      </w:r>
    </w:p>
    <w:p w:rsidR="004A1229" w:rsidRPr="00D337FA" w:rsidRDefault="004A1229" w:rsidP="004A1229">
      <w:pPr>
        <w:ind w:firstLine="284"/>
        <w:rPr>
          <w:i/>
        </w:rPr>
      </w:pPr>
      <w:r w:rsidRPr="00D337FA">
        <w:rPr>
          <w:i/>
        </w:rPr>
        <w:t>24.</w:t>
      </w:r>
      <w:r w:rsidR="006C680D" w:rsidRPr="00D337FA">
        <w:rPr>
          <w:i/>
        </w:rPr>
        <w:t xml:space="preserve"> </w:t>
      </w:r>
      <w:r w:rsidRPr="00D337FA">
        <w:rPr>
          <w:i/>
        </w:rPr>
        <w:t>Ковалева</w:t>
      </w:r>
      <w:r w:rsidR="006C680D" w:rsidRPr="00D337FA">
        <w:rPr>
          <w:i/>
        </w:rPr>
        <w:t xml:space="preserve"> </w:t>
      </w:r>
      <w:r w:rsidRPr="00D337FA">
        <w:rPr>
          <w:i/>
        </w:rPr>
        <w:t>Н.А.,</w:t>
      </w:r>
      <w:r w:rsidR="006C680D" w:rsidRPr="00D337FA">
        <w:rPr>
          <w:i/>
        </w:rPr>
        <w:t xml:space="preserve"> </w:t>
      </w:r>
      <w:r w:rsidRPr="00D337FA">
        <w:rPr>
          <w:i/>
        </w:rPr>
        <w:t>Тихонова</w:t>
      </w:r>
      <w:r w:rsidR="006C680D" w:rsidRPr="00D337FA">
        <w:rPr>
          <w:i/>
        </w:rPr>
        <w:t xml:space="preserve"> </w:t>
      </w:r>
      <w:r w:rsidRPr="00D337FA">
        <w:rPr>
          <w:i/>
        </w:rPr>
        <w:t>К.И.</w:t>
      </w:r>
      <w:r w:rsidR="006C680D" w:rsidRPr="00D337FA">
        <w:rPr>
          <w:i/>
        </w:rPr>
        <w:t xml:space="preserve"> </w:t>
      </w:r>
      <w:r w:rsidRPr="00D337FA">
        <w:rPr>
          <w:i/>
        </w:rPr>
        <w:t>Механизм</w:t>
      </w:r>
      <w:r w:rsidR="006C680D" w:rsidRPr="00D337FA">
        <w:rPr>
          <w:i/>
        </w:rPr>
        <w:t xml:space="preserve"> </w:t>
      </w:r>
      <w:r w:rsidRPr="00D337FA">
        <w:rPr>
          <w:i/>
        </w:rPr>
        <w:t>bail-in</w:t>
      </w:r>
      <w:r w:rsidR="006C680D" w:rsidRPr="00D337FA">
        <w:rPr>
          <w:i/>
        </w:rPr>
        <w:t xml:space="preserve"> </w:t>
      </w:r>
      <w:r w:rsidRPr="00D337FA">
        <w:rPr>
          <w:i/>
        </w:rPr>
        <w:t>как</w:t>
      </w:r>
      <w:r w:rsidR="006C680D" w:rsidRPr="00D337FA">
        <w:rPr>
          <w:i/>
        </w:rPr>
        <w:t xml:space="preserve"> </w:t>
      </w:r>
      <w:r w:rsidRPr="00D337FA">
        <w:rPr>
          <w:i/>
        </w:rPr>
        <w:t>способ</w:t>
      </w:r>
      <w:r w:rsidR="006C680D" w:rsidRPr="00D337FA">
        <w:rPr>
          <w:i/>
        </w:rPr>
        <w:t xml:space="preserve"> </w:t>
      </w:r>
      <w:r w:rsidRPr="00D337FA">
        <w:rPr>
          <w:i/>
        </w:rPr>
        <w:t>финансового</w:t>
      </w:r>
      <w:r w:rsidR="006C680D" w:rsidRPr="00D337FA">
        <w:rPr>
          <w:i/>
        </w:rPr>
        <w:t xml:space="preserve"> </w:t>
      </w:r>
      <w:r w:rsidRPr="00D337FA">
        <w:rPr>
          <w:i/>
        </w:rPr>
        <w:t>оздоровления</w:t>
      </w:r>
      <w:r w:rsidR="006C680D" w:rsidRPr="00D337FA">
        <w:rPr>
          <w:i/>
        </w:rPr>
        <w:t xml:space="preserve"> </w:t>
      </w:r>
      <w:r w:rsidRPr="00D337FA">
        <w:rPr>
          <w:i/>
        </w:rPr>
        <w:t>банка</w:t>
      </w:r>
      <w:r w:rsidR="006C680D" w:rsidRPr="00D337FA">
        <w:rPr>
          <w:i/>
        </w:rPr>
        <w:t xml:space="preserve"> </w:t>
      </w:r>
      <w:r w:rsidRPr="00D337FA">
        <w:rPr>
          <w:i/>
        </w:rPr>
        <w:t>//</w:t>
      </w:r>
      <w:r w:rsidR="006C680D" w:rsidRPr="00D337FA">
        <w:rPr>
          <w:i/>
        </w:rPr>
        <w:t xml:space="preserve"> </w:t>
      </w:r>
      <w:r w:rsidRPr="00D337FA">
        <w:rPr>
          <w:i/>
        </w:rPr>
        <w:t>Финансовые</w:t>
      </w:r>
      <w:r w:rsidR="006C680D" w:rsidRPr="00D337FA">
        <w:rPr>
          <w:i/>
        </w:rPr>
        <w:t xml:space="preserve"> </w:t>
      </w:r>
      <w:r w:rsidRPr="00D337FA">
        <w:rPr>
          <w:i/>
        </w:rPr>
        <w:t>рынки</w:t>
      </w:r>
      <w:r w:rsidR="006C680D" w:rsidRPr="00D337FA">
        <w:rPr>
          <w:i/>
        </w:rPr>
        <w:t xml:space="preserve"> </w:t>
      </w:r>
      <w:r w:rsidRPr="00D337FA">
        <w:rPr>
          <w:i/>
        </w:rPr>
        <w:t>и</w:t>
      </w:r>
      <w:r w:rsidR="006C680D" w:rsidRPr="00D337FA">
        <w:rPr>
          <w:i/>
        </w:rPr>
        <w:t xml:space="preserve"> </w:t>
      </w:r>
      <w:r w:rsidRPr="00D337FA">
        <w:rPr>
          <w:i/>
        </w:rPr>
        <w:t>банки.</w:t>
      </w:r>
      <w:r w:rsidR="006C680D" w:rsidRPr="00D337FA">
        <w:rPr>
          <w:i/>
        </w:rPr>
        <w:t xml:space="preserve"> </w:t>
      </w:r>
      <w:r w:rsidRPr="00D337FA">
        <w:rPr>
          <w:i/>
        </w:rPr>
        <w:t>2021.</w:t>
      </w:r>
      <w:r w:rsidR="006C680D" w:rsidRPr="00D337FA">
        <w:rPr>
          <w:i/>
        </w:rPr>
        <w:t xml:space="preserve"> </w:t>
      </w:r>
      <w:r w:rsidRPr="00D337FA">
        <w:rPr>
          <w:i/>
        </w:rPr>
        <w:t>№5.</w:t>
      </w:r>
      <w:r w:rsidR="006C680D" w:rsidRPr="00D337FA">
        <w:rPr>
          <w:i/>
        </w:rPr>
        <w:t xml:space="preserve"> </w:t>
      </w:r>
      <w:r w:rsidRPr="00D337FA">
        <w:rPr>
          <w:i/>
        </w:rPr>
        <w:t>URL:</w:t>
      </w:r>
      <w:r w:rsidR="006C680D" w:rsidRPr="00D337FA">
        <w:rPr>
          <w:i/>
        </w:rPr>
        <w:t xml:space="preserve"> </w:t>
      </w:r>
      <w:r w:rsidRPr="00D337FA">
        <w:rPr>
          <w:i/>
        </w:rPr>
        <w:t>https://cyberleninka.ru/article/n/mehanizm-bail-in-kak-sposob-finansovogo-ozdorovleniya-banka</w:t>
      </w:r>
      <w:r w:rsidR="006C680D" w:rsidRPr="00D337FA">
        <w:rPr>
          <w:i/>
        </w:rPr>
        <w:t xml:space="preserve"> </w:t>
      </w:r>
      <w:r w:rsidRPr="00D337FA">
        <w:rPr>
          <w:i/>
        </w:rPr>
        <w:t>(дата</w:t>
      </w:r>
      <w:r w:rsidR="006C680D" w:rsidRPr="00D337FA">
        <w:rPr>
          <w:i/>
        </w:rPr>
        <w:t xml:space="preserve"> </w:t>
      </w:r>
      <w:r w:rsidRPr="00D337FA">
        <w:rPr>
          <w:i/>
        </w:rPr>
        <w:t>обращения:</w:t>
      </w:r>
      <w:r w:rsidR="006C680D" w:rsidRPr="00D337FA">
        <w:rPr>
          <w:i/>
        </w:rPr>
        <w:t xml:space="preserve"> </w:t>
      </w:r>
      <w:r w:rsidRPr="00D337FA">
        <w:rPr>
          <w:i/>
        </w:rPr>
        <w:t>01.02.2026).</w:t>
      </w:r>
    </w:p>
    <w:p w:rsidR="004A1229" w:rsidRPr="00D337FA" w:rsidRDefault="004A1229" w:rsidP="004A1229"/>
    <w:p w:rsidR="00273E3F" w:rsidRPr="00D337FA" w:rsidRDefault="00273E3F" w:rsidP="00273E3F">
      <w:pPr>
        <w:ind w:left="284" w:firstLine="0"/>
        <w:contextualSpacing/>
        <w:jc w:val="center"/>
        <w:rPr>
          <w:rFonts w:eastAsia="Aptos"/>
          <w:b/>
          <w:iCs/>
          <w:kern w:val="2"/>
          <w:szCs w:val="24"/>
          <w:lang w:val="en-US"/>
          <w14:ligatures w14:val="standardContextual"/>
        </w:rPr>
      </w:pPr>
      <w:r w:rsidRPr="00D337FA">
        <w:rPr>
          <w:rFonts w:eastAsia="Aptos"/>
          <w:b/>
          <w:iCs/>
          <w:kern w:val="2"/>
          <w:szCs w:val="24"/>
          <w:lang w:val="en-US"/>
          <w14:ligatures w14:val="standardContextual"/>
        </w:rPr>
        <w:t>REFERENCES</w:t>
      </w:r>
    </w:p>
    <w:p w:rsidR="00273E3F" w:rsidRPr="00D337FA" w:rsidRDefault="00273E3F" w:rsidP="00273E3F">
      <w:pPr>
        <w:rPr>
          <w:i/>
          <w:lang w:val="en-US"/>
        </w:rPr>
      </w:pPr>
      <w:r w:rsidRPr="00D337FA">
        <w:rPr>
          <w:i/>
          <w:lang w:val="en-US"/>
        </w:rPr>
        <w:t>1.</w:t>
      </w:r>
      <w:r w:rsidR="006C680D" w:rsidRPr="00D337FA">
        <w:rPr>
          <w:i/>
          <w:lang w:val="en-US"/>
        </w:rPr>
        <w:t xml:space="preserve"> </w:t>
      </w:r>
      <w:r w:rsidRPr="00D337FA">
        <w:rPr>
          <w:i/>
          <w:lang w:val="en-US"/>
        </w:rPr>
        <w:t>Ilyina</w:t>
      </w:r>
      <w:r w:rsidR="006C680D" w:rsidRPr="00D337FA">
        <w:rPr>
          <w:i/>
          <w:lang w:val="en-US"/>
        </w:rPr>
        <w:t xml:space="preserve"> </w:t>
      </w:r>
      <w:r w:rsidRPr="00D337FA">
        <w:rPr>
          <w:i/>
          <w:lang w:val="en-US"/>
        </w:rPr>
        <w:t>L.V.,</w:t>
      </w:r>
      <w:r w:rsidR="006C680D" w:rsidRPr="00D337FA">
        <w:rPr>
          <w:i/>
          <w:lang w:val="en-US"/>
        </w:rPr>
        <w:t xml:space="preserve"> </w:t>
      </w:r>
      <w:r w:rsidRPr="00D337FA">
        <w:rPr>
          <w:i/>
          <w:lang w:val="en-US"/>
        </w:rPr>
        <w:t>Kopchenko</w:t>
      </w:r>
      <w:r w:rsidR="006C680D" w:rsidRPr="00D337FA">
        <w:rPr>
          <w:i/>
          <w:lang w:val="en-US"/>
        </w:rPr>
        <w:t xml:space="preserve"> </w:t>
      </w:r>
      <w:r w:rsidRPr="00D337FA">
        <w:rPr>
          <w:i/>
          <w:lang w:val="en-US"/>
        </w:rPr>
        <w:t>Yu.E.,</w:t>
      </w:r>
      <w:r w:rsidR="006C680D" w:rsidRPr="00D337FA">
        <w:rPr>
          <w:i/>
          <w:lang w:val="en-US"/>
        </w:rPr>
        <w:t xml:space="preserve"> </w:t>
      </w:r>
      <w:r w:rsidRPr="00D337FA">
        <w:rPr>
          <w:i/>
          <w:lang w:val="en-US"/>
        </w:rPr>
        <w:t>Kuklyaeva</w:t>
      </w:r>
      <w:r w:rsidR="006C680D" w:rsidRPr="00D337FA">
        <w:rPr>
          <w:i/>
          <w:lang w:val="en-US"/>
        </w:rPr>
        <w:t xml:space="preserve"> </w:t>
      </w:r>
      <w:r w:rsidRPr="00D337FA">
        <w:rPr>
          <w:i/>
          <w:lang w:val="en-US"/>
        </w:rPr>
        <w:t>O.A.</w:t>
      </w:r>
      <w:r w:rsidR="006C680D" w:rsidRPr="00D337FA">
        <w:rPr>
          <w:i/>
          <w:lang w:val="en-US"/>
        </w:rPr>
        <w:t xml:space="preserve"> </w:t>
      </w:r>
      <w:r w:rsidR="00D367B6" w:rsidRPr="00D337FA">
        <w:rPr>
          <w:i/>
          <w:lang w:val="en-US"/>
        </w:rPr>
        <w:t>Defolty</w:t>
      </w:r>
      <w:r w:rsidR="006C680D" w:rsidRPr="00D337FA">
        <w:rPr>
          <w:i/>
          <w:lang w:val="en-US"/>
        </w:rPr>
        <w:t xml:space="preserve"> </w:t>
      </w:r>
      <w:r w:rsidR="00D367B6" w:rsidRPr="00D337FA">
        <w:rPr>
          <w:i/>
          <w:lang w:val="en-US"/>
        </w:rPr>
        <w:t>v</w:t>
      </w:r>
      <w:r w:rsidR="006C680D" w:rsidRPr="00D337FA">
        <w:rPr>
          <w:i/>
          <w:lang w:val="en-US"/>
        </w:rPr>
        <w:t xml:space="preserve"> </w:t>
      </w:r>
      <w:r w:rsidR="00D367B6" w:rsidRPr="00D337FA">
        <w:rPr>
          <w:i/>
          <w:lang w:val="en-US"/>
        </w:rPr>
        <w:t>bankovskoj</w:t>
      </w:r>
      <w:r w:rsidR="006C680D" w:rsidRPr="00D337FA">
        <w:rPr>
          <w:i/>
          <w:lang w:val="en-US"/>
        </w:rPr>
        <w:t xml:space="preserve"> </w:t>
      </w:r>
      <w:r w:rsidR="00D367B6" w:rsidRPr="00D337FA">
        <w:rPr>
          <w:i/>
          <w:lang w:val="en-US"/>
        </w:rPr>
        <w:t>sisteme</w:t>
      </w:r>
      <w:r w:rsidR="006C680D" w:rsidRPr="00D337FA">
        <w:rPr>
          <w:i/>
          <w:lang w:val="en-US"/>
        </w:rPr>
        <w:t xml:space="preserve"> </w:t>
      </w:r>
      <w:r w:rsidR="00D367B6" w:rsidRPr="00D337FA">
        <w:rPr>
          <w:i/>
          <w:lang w:val="en-US"/>
        </w:rPr>
        <w:t>Rossii:</w:t>
      </w:r>
      <w:r w:rsidR="006C680D" w:rsidRPr="00D337FA">
        <w:rPr>
          <w:i/>
          <w:lang w:val="en-US"/>
        </w:rPr>
        <w:t xml:space="preserve"> </w:t>
      </w:r>
      <w:r w:rsidR="00D367B6" w:rsidRPr="00D337FA">
        <w:rPr>
          <w:i/>
          <w:lang w:val="en-US"/>
        </w:rPr>
        <w:t>istoricheskij</w:t>
      </w:r>
      <w:r w:rsidR="006C680D" w:rsidRPr="00D337FA">
        <w:rPr>
          <w:i/>
          <w:lang w:val="en-US"/>
        </w:rPr>
        <w:t xml:space="preserve"> </w:t>
      </w:r>
      <w:r w:rsidR="00D367B6" w:rsidRPr="00D337FA">
        <w:rPr>
          <w:i/>
          <w:lang w:val="en-US"/>
        </w:rPr>
        <w:t>aspekt</w:t>
      </w:r>
      <w:r w:rsidR="006C680D" w:rsidRPr="00D337FA">
        <w:rPr>
          <w:i/>
          <w:lang w:val="en-US"/>
        </w:rPr>
        <w:t xml:space="preserve"> </w:t>
      </w:r>
      <w:r w:rsidR="00D367B6" w:rsidRPr="00D337FA">
        <w:rPr>
          <w:i/>
          <w:lang w:val="en-US"/>
        </w:rPr>
        <w:t>[</w:t>
      </w:r>
      <w:r w:rsidRPr="00D337FA">
        <w:rPr>
          <w:i/>
          <w:lang w:val="en-US"/>
        </w:rPr>
        <w:t>Defaults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Russian</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system:</w:t>
      </w:r>
      <w:r w:rsidR="006C680D" w:rsidRPr="00D337FA">
        <w:rPr>
          <w:i/>
          <w:lang w:val="en-US"/>
        </w:rPr>
        <w:t xml:space="preserve"> </w:t>
      </w:r>
      <w:r w:rsidRPr="00D337FA">
        <w:rPr>
          <w:i/>
          <w:lang w:val="en-US"/>
        </w:rPr>
        <w:t>a</w:t>
      </w:r>
      <w:r w:rsidR="006C680D" w:rsidRPr="00D337FA">
        <w:rPr>
          <w:i/>
          <w:lang w:val="en-US"/>
        </w:rPr>
        <w:t xml:space="preserve"> </w:t>
      </w:r>
      <w:r w:rsidRPr="00D337FA">
        <w:rPr>
          <w:i/>
          <w:lang w:val="en-US"/>
        </w:rPr>
        <w:t>historical</w:t>
      </w:r>
      <w:r w:rsidR="006C680D" w:rsidRPr="00D337FA">
        <w:rPr>
          <w:i/>
          <w:lang w:val="en-US"/>
        </w:rPr>
        <w:t xml:space="preserve"> </w:t>
      </w:r>
      <w:r w:rsidRPr="00D337FA">
        <w:rPr>
          <w:i/>
          <w:lang w:val="en-US"/>
        </w:rPr>
        <w:t>aspect</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saved</w:t>
      </w:r>
      <w:r w:rsidR="006C680D" w:rsidRPr="00D337FA">
        <w:rPr>
          <w:i/>
          <w:lang w:val="en-US"/>
        </w:rPr>
        <w:t xml:space="preserve"> </w:t>
      </w:r>
      <w:r w:rsidRPr="00D337FA">
        <w:rPr>
          <w:i/>
          <w:lang w:val="en-US"/>
        </w:rPr>
        <w:t>world</w:t>
      </w:r>
      <w:r w:rsidR="006C680D" w:rsidRPr="00D337FA">
        <w:rPr>
          <w:i/>
          <w:lang w:val="en-US"/>
        </w:rPr>
        <w:t xml:space="preserve"> </w:t>
      </w:r>
      <w:r w:rsidRPr="00D337FA">
        <w:rPr>
          <w:i/>
          <w:lang w:val="en-US"/>
        </w:rPr>
        <w:t>remembers</w:t>
      </w:r>
      <w:r w:rsidR="006C680D" w:rsidRPr="00D337FA">
        <w:rPr>
          <w:i/>
          <w:lang w:val="en-US"/>
        </w:rPr>
        <w:t xml:space="preserve"> </w:t>
      </w:r>
      <w:r w:rsidRPr="00D337FA">
        <w:rPr>
          <w:i/>
          <w:lang w:val="en-US"/>
        </w:rPr>
        <w:t>...</w:t>
      </w:r>
      <w:r w:rsidR="006C680D" w:rsidRPr="00D337FA">
        <w:rPr>
          <w:i/>
          <w:lang w:val="en-US"/>
        </w:rPr>
        <w:t xml:space="preserve"> </w:t>
      </w:r>
      <w:r w:rsidRPr="00D337FA">
        <w:rPr>
          <w:i/>
          <w:lang w:val="en-US"/>
        </w:rPr>
        <w:t>Understanding</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lessons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history</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trends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socio-economic</w:t>
      </w:r>
      <w:r w:rsidR="006C680D" w:rsidRPr="00D337FA">
        <w:rPr>
          <w:i/>
          <w:lang w:val="en-US"/>
        </w:rPr>
        <w:t xml:space="preserve"> </w:t>
      </w:r>
      <w:r w:rsidRPr="00D337FA">
        <w:rPr>
          <w:i/>
          <w:lang w:val="en-US"/>
        </w:rPr>
        <w:t>development</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80th</w:t>
      </w:r>
      <w:r w:rsidR="006C680D" w:rsidRPr="00D337FA">
        <w:rPr>
          <w:i/>
          <w:lang w:val="en-US"/>
        </w:rPr>
        <w:t xml:space="preserve"> </w:t>
      </w:r>
      <w:r w:rsidRPr="00D337FA">
        <w:rPr>
          <w:i/>
          <w:lang w:val="en-US"/>
        </w:rPr>
        <w:t>anniversary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Victory</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Great</w:t>
      </w:r>
      <w:r w:rsidR="006C680D" w:rsidRPr="00D337FA">
        <w:rPr>
          <w:i/>
          <w:lang w:val="en-US"/>
        </w:rPr>
        <w:t xml:space="preserve"> </w:t>
      </w:r>
      <w:r w:rsidRPr="00D337FA">
        <w:rPr>
          <w:i/>
          <w:lang w:val="en-US"/>
        </w:rPr>
        <w:t>Patriotic</w:t>
      </w:r>
      <w:r w:rsidR="006C680D" w:rsidRPr="00D337FA">
        <w:rPr>
          <w:i/>
          <w:lang w:val="en-US"/>
        </w:rPr>
        <w:t xml:space="preserve"> </w:t>
      </w:r>
      <w:r w:rsidRPr="00D337FA">
        <w:rPr>
          <w:i/>
          <w:lang w:val="en-US"/>
        </w:rPr>
        <w:t>War):</w:t>
      </w:r>
      <w:r w:rsidR="006C680D" w:rsidRPr="00D337FA">
        <w:rPr>
          <w:i/>
          <w:lang w:val="en-US"/>
        </w:rPr>
        <w:t xml:space="preserve"> </w:t>
      </w:r>
      <w:r w:rsidRPr="00D337FA">
        <w:rPr>
          <w:i/>
          <w:lang w:val="en-US"/>
        </w:rPr>
        <w:t>Proceedings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International</w:t>
      </w:r>
      <w:r w:rsidR="006C680D" w:rsidRPr="00D337FA">
        <w:rPr>
          <w:i/>
          <w:lang w:val="en-US"/>
        </w:rPr>
        <w:t xml:space="preserve"> </w:t>
      </w:r>
      <w:r w:rsidRPr="00D337FA">
        <w:rPr>
          <w:i/>
          <w:lang w:val="en-US"/>
        </w:rPr>
        <w:t>Scientific</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Practical</w:t>
      </w:r>
      <w:r w:rsidR="006C680D" w:rsidRPr="00D337FA">
        <w:rPr>
          <w:i/>
          <w:lang w:val="en-US"/>
        </w:rPr>
        <w:t xml:space="preserve"> </w:t>
      </w:r>
      <w:r w:rsidRPr="00D337FA">
        <w:rPr>
          <w:i/>
          <w:lang w:val="en-US"/>
        </w:rPr>
        <w:t>Conference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Teachers,</w:t>
      </w:r>
      <w:r w:rsidR="006C680D" w:rsidRPr="00D337FA">
        <w:rPr>
          <w:i/>
          <w:lang w:val="en-US"/>
        </w:rPr>
        <w:t xml:space="preserve"> </w:t>
      </w:r>
      <w:r w:rsidRPr="00D337FA">
        <w:rPr>
          <w:i/>
          <w:lang w:val="en-US"/>
        </w:rPr>
        <w:t>Students,</w:t>
      </w:r>
      <w:r w:rsidR="006C680D" w:rsidRPr="00D337FA">
        <w:rPr>
          <w:i/>
          <w:lang w:val="en-US"/>
        </w:rPr>
        <w:t xml:space="preserve"> </w:t>
      </w:r>
      <w:r w:rsidRPr="00D337FA">
        <w:rPr>
          <w:i/>
          <w:lang w:val="en-US"/>
        </w:rPr>
        <w:t>Master's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Postgraduate</w:t>
      </w:r>
      <w:r w:rsidR="006C680D" w:rsidRPr="00D337FA">
        <w:rPr>
          <w:i/>
          <w:lang w:val="en-US"/>
        </w:rPr>
        <w:t xml:space="preserve"> </w:t>
      </w:r>
      <w:r w:rsidRPr="00D337FA">
        <w:rPr>
          <w:i/>
          <w:lang w:val="en-US"/>
        </w:rPr>
        <w:t>Stu</w:t>
      </w:r>
      <w:r w:rsidRPr="00D337FA">
        <w:rPr>
          <w:i/>
          <w:lang w:val="en-US"/>
        </w:rPr>
        <w:lastRenderedPageBreak/>
        <w:t>dents,</w:t>
      </w:r>
      <w:r w:rsidR="006C680D" w:rsidRPr="00D337FA">
        <w:rPr>
          <w:i/>
          <w:lang w:val="en-US"/>
        </w:rPr>
        <w:t xml:space="preserve"> </w:t>
      </w:r>
      <w:r w:rsidRPr="00D337FA">
        <w:rPr>
          <w:i/>
          <w:lang w:val="en-US"/>
        </w:rPr>
        <w:t>Saratov,</w:t>
      </w:r>
      <w:r w:rsidR="006C680D" w:rsidRPr="00D337FA">
        <w:rPr>
          <w:i/>
          <w:lang w:val="en-US"/>
        </w:rPr>
        <w:t xml:space="preserve"> </w:t>
      </w:r>
      <w:r w:rsidRPr="00D337FA">
        <w:rPr>
          <w:i/>
          <w:lang w:val="en-US"/>
        </w:rPr>
        <w:t>April</w:t>
      </w:r>
      <w:r w:rsidR="006C680D" w:rsidRPr="00D337FA">
        <w:rPr>
          <w:i/>
          <w:lang w:val="en-US"/>
        </w:rPr>
        <w:t xml:space="preserve"> </w:t>
      </w:r>
      <w:r w:rsidRPr="00D337FA">
        <w:rPr>
          <w:i/>
          <w:lang w:val="en-US"/>
        </w:rPr>
        <w:t>24-25,</w:t>
      </w:r>
      <w:r w:rsidR="006C680D" w:rsidRPr="00D337FA">
        <w:rPr>
          <w:i/>
          <w:lang w:val="en-US"/>
        </w:rPr>
        <w:t xml:space="preserve"> </w:t>
      </w:r>
      <w:r w:rsidRPr="00D337FA">
        <w:rPr>
          <w:i/>
          <w:lang w:val="en-US"/>
        </w:rPr>
        <w:t>2025.</w:t>
      </w:r>
      <w:r w:rsidR="006C680D" w:rsidRPr="00D337FA">
        <w:rPr>
          <w:i/>
          <w:lang w:val="en-US"/>
        </w:rPr>
        <w:t xml:space="preserve"> </w:t>
      </w:r>
      <w:r w:rsidRPr="00D337FA">
        <w:rPr>
          <w:i/>
          <w:lang w:val="en-US"/>
        </w:rPr>
        <w:t>-</w:t>
      </w:r>
      <w:r w:rsidR="006C680D" w:rsidRPr="00D337FA">
        <w:rPr>
          <w:i/>
          <w:lang w:val="en-US"/>
        </w:rPr>
        <w:t xml:space="preserve"> </w:t>
      </w:r>
      <w:r w:rsidRPr="00D337FA">
        <w:rPr>
          <w:i/>
          <w:lang w:val="en-US"/>
        </w:rPr>
        <w:t>Saratov:</w:t>
      </w:r>
      <w:r w:rsidR="006C680D" w:rsidRPr="00D337FA">
        <w:rPr>
          <w:i/>
          <w:lang w:val="en-US"/>
        </w:rPr>
        <w:t xml:space="preserve"> </w:t>
      </w:r>
      <w:r w:rsidRPr="00D337FA">
        <w:rPr>
          <w:i/>
          <w:lang w:val="en-US"/>
        </w:rPr>
        <w:t>Saratovsky</w:t>
      </w:r>
      <w:r w:rsidR="006C680D" w:rsidRPr="00D337FA">
        <w:rPr>
          <w:i/>
          <w:lang w:val="en-US"/>
        </w:rPr>
        <w:t xml:space="preserve"> </w:t>
      </w:r>
      <w:r w:rsidRPr="00D337FA">
        <w:rPr>
          <w:i/>
          <w:lang w:val="en-US"/>
        </w:rPr>
        <w:t>Istochnik</w:t>
      </w:r>
      <w:r w:rsidR="006C680D" w:rsidRPr="00D337FA">
        <w:rPr>
          <w:i/>
          <w:lang w:val="en-US"/>
        </w:rPr>
        <w:t xml:space="preserve"> </w:t>
      </w:r>
      <w:r w:rsidRPr="00D337FA">
        <w:rPr>
          <w:i/>
          <w:lang w:val="en-US"/>
        </w:rPr>
        <w:t>Publishing</w:t>
      </w:r>
      <w:r w:rsidR="006C680D" w:rsidRPr="00D337FA">
        <w:rPr>
          <w:i/>
          <w:lang w:val="en-US"/>
        </w:rPr>
        <w:t xml:space="preserve"> </w:t>
      </w:r>
      <w:r w:rsidRPr="00D337FA">
        <w:rPr>
          <w:i/>
          <w:lang w:val="en-US"/>
        </w:rPr>
        <w:t>House,</w:t>
      </w:r>
      <w:r w:rsidR="006C680D" w:rsidRPr="00D337FA">
        <w:rPr>
          <w:i/>
          <w:lang w:val="en-US"/>
        </w:rPr>
        <w:t xml:space="preserve"> </w:t>
      </w:r>
      <w:r w:rsidRPr="00D337FA">
        <w:rPr>
          <w:i/>
          <w:lang w:val="en-US"/>
        </w:rPr>
        <w:t>2025.</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103-106.</w:t>
      </w:r>
    </w:p>
    <w:p w:rsidR="00273E3F" w:rsidRPr="00D337FA" w:rsidRDefault="00273E3F" w:rsidP="00273E3F">
      <w:pPr>
        <w:rPr>
          <w:i/>
          <w:lang w:val="en-US"/>
        </w:rPr>
      </w:pPr>
      <w:r w:rsidRPr="00D337FA">
        <w:rPr>
          <w:i/>
          <w:lang w:val="en-US"/>
        </w:rPr>
        <w:t>2.</w:t>
      </w:r>
      <w:r w:rsidR="006C680D" w:rsidRPr="00D337FA">
        <w:rPr>
          <w:i/>
          <w:lang w:val="en-US"/>
        </w:rPr>
        <w:t xml:space="preserve"> </w:t>
      </w:r>
      <w:r w:rsidR="00D367B6" w:rsidRPr="00D337FA">
        <w:rPr>
          <w:i/>
          <w:lang w:val="en-US"/>
        </w:rPr>
        <w:t>Ekonomicheskaya</w:t>
      </w:r>
      <w:r w:rsidR="006C680D" w:rsidRPr="00D337FA">
        <w:rPr>
          <w:i/>
          <w:lang w:val="en-US"/>
        </w:rPr>
        <w:t xml:space="preserve"> </w:t>
      </w:r>
      <w:r w:rsidR="00D367B6" w:rsidRPr="00D337FA">
        <w:rPr>
          <w:i/>
          <w:lang w:val="en-US"/>
        </w:rPr>
        <w:t>celesoobraznost'</w:t>
      </w:r>
      <w:r w:rsidR="006C680D" w:rsidRPr="00D337FA">
        <w:rPr>
          <w:i/>
          <w:lang w:val="en-US"/>
        </w:rPr>
        <w:t xml:space="preserve"> </w:t>
      </w:r>
      <w:r w:rsidR="00D367B6" w:rsidRPr="00D337FA">
        <w:rPr>
          <w:i/>
          <w:lang w:val="en-US"/>
        </w:rPr>
        <w:t>-</w:t>
      </w:r>
      <w:r w:rsidR="006C680D" w:rsidRPr="00D337FA">
        <w:rPr>
          <w:i/>
          <w:lang w:val="en-US"/>
        </w:rPr>
        <w:t xml:space="preserve"> </w:t>
      </w:r>
      <w:r w:rsidR="00D367B6" w:rsidRPr="00D337FA">
        <w:rPr>
          <w:i/>
          <w:lang w:val="en-US"/>
        </w:rPr>
        <w:t>eto...</w:t>
      </w:r>
      <w:r w:rsidR="006C680D" w:rsidRPr="00D337FA">
        <w:rPr>
          <w:i/>
          <w:lang w:val="en-US"/>
        </w:rPr>
        <w:t xml:space="preserve"> </w:t>
      </w:r>
      <w:r w:rsidR="00D367B6" w:rsidRPr="00D337FA">
        <w:rPr>
          <w:i/>
          <w:lang w:val="en-US"/>
        </w:rPr>
        <w:t>Ocenka</w:t>
      </w:r>
      <w:r w:rsidR="006C680D" w:rsidRPr="00D337FA">
        <w:rPr>
          <w:i/>
          <w:lang w:val="en-US"/>
        </w:rPr>
        <w:t xml:space="preserve"> </w:t>
      </w:r>
      <w:r w:rsidR="00D367B6" w:rsidRPr="00D337FA">
        <w:rPr>
          <w:i/>
          <w:lang w:val="en-US"/>
        </w:rPr>
        <w:t>ekonomicheskoj</w:t>
      </w:r>
      <w:r w:rsidR="006C680D" w:rsidRPr="00D337FA">
        <w:rPr>
          <w:i/>
          <w:lang w:val="en-US"/>
        </w:rPr>
        <w:t xml:space="preserve"> </w:t>
      </w:r>
      <w:r w:rsidR="00D367B6" w:rsidRPr="00D337FA">
        <w:rPr>
          <w:i/>
          <w:lang w:val="en-US"/>
        </w:rPr>
        <w:t>celesoobraznosti</w:t>
      </w:r>
      <w:r w:rsidR="006C680D" w:rsidRPr="00D337FA">
        <w:rPr>
          <w:i/>
          <w:lang w:val="en-US"/>
        </w:rPr>
        <w:t xml:space="preserve"> </w:t>
      </w:r>
      <w:r w:rsidR="00D367B6" w:rsidRPr="00D337FA">
        <w:rPr>
          <w:i/>
          <w:lang w:val="en-US"/>
        </w:rPr>
        <w:t>[</w:t>
      </w:r>
      <w:r w:rsidRPr="00D337FA">
        <w:rPr>
          <w:i/>
          <w:lang w:val="en-US"/>
        </w:rPr>
        <w:t>Economic</w:t>
      </w:r>
      <w:r w:rsidR="006C680D" w:rsidRPr="00D337FA">
        <w:rPr>
          <w:i/>
          <w:lang w:val="en-US"/>
        </w:rPr>
        <w:t xml:space="preserve"> </w:t>
      </w:r>
      <w:r w:rsidRPr="00D337FA">
        <w:rPr>
          <w:i/>
          <w:lang w:val="en-US"/>
        </w:rPr>
        <w:t>feasibility</w:t>
      </w:r>
      <w:r w:rsidR="006C680D" w:rsidRPr="00D337FA">
        <w:rPr>
          <w:i/>
          <w:lang w:val="en-US"/>
        </w:rPr>
        <w:t xml:space="preserve"> </w:t>
      </w:r>
      <w:r w:rsidRPr="00D337FA">
        <w:rPr>
          <w:i/>
          <w:lang w:val="en-US"/>
        </w:rPr>
        <w:t>is</w:t>
      </w:r>
      <w:r w:rsidR="006C680D" w:rsidRPr="00D337FA">
        <w:rPr>
          <w:i/>
          <w:lang w:val="en-US"/>
        </w:rPr>
        <w:t xml:space="preserve"> </w:t>
      </w:r>
      <w:r w:rsidRPr="00D337FA">
        <w:rPr>
          <w:i/>
          <w:lang w:val="en-US"/>
        </w:rPr>
        <w:t>...</w:t>
      </w:r>
      <w:r w:rsidR="006C680D" w:rsidRPr="00D337FA">
        <w:rPr>
          <w:i/>
          <w:lang w:val="en-US"/>
        </w:rPr>
        <w:t xml:space="preserve"> </w:t>
      </w:r>
      <w:r w:rsidRPr="00D337FA">
        <w:rPr>
          <w:i/>
          <w:lang w:val="en-US"/>
        </w:rPr>
        <w:t>Assessment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economic</w:t>
      </w:r>
      <w:r w:rsidR="006C680D" w:rsidRPr="00D337FA">
        <w:rPr>
          <w:i/>
          <w:lang w:val="en-US"/>
        </w:rPr>
        <w:t xml:space="preserve"> </w:t>
      </w:r>
      <w:r w:rsidRPr="00D337FA">
        <w:rPr>
          <w:i/>
          <w:lang w:val="en-US"/>
        </w:rPr>
        <w:t>feasibility</w:t>
      </w:r>
      <w:r w:rsidR="00D367B6" w:rsidRPr="00D337FA">
        <w:rPr>
          <w:i/>
          <w:lang w:val="en-US"/>
        </w:rPr>
        <w:t>]</w:t>
      </w:r>
      <w:r w:rsidRPr="00D337FA">
        <w:rPr>
          <w:i/>
          <w:lang w:val="en-US"/>
        </w:rPr>
        <w:t>.</w:t>
      </w:r>
      <w:r w:rsidR="006C680D" w:rsidRPr="00D337FA">
        <w:rPr>
          <w:i/>
          <w:lang w:val="en-US"/>
        </w:rPr>
        <w:t xml:space="preserve"> </w:t>
      </w:r>
      <w:r w:rsidRPr="00D337FA">
        <w:rPr>
          <w:i/>
          <w:lang w:val="en-US"/>
        </w:rPr>
        <w:t>BusinessMan.ru.</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https://businessman.ru/ekonomicheskaya-tselesoobraznost-eto-otsenka-ekonomicheskoy-tselesoobraznosti</w:t>
      </w:r>
      <w:r w:rsidR="006C680D" w:rsidRPr="00D337FA">
        <w:rPr>
          <w:i/>
          <w:lang w:val="en-US"/>
        </w:rPr>
        <w:t xml:space="preserve"> </w:t>
      </w:r>
      <w:r w:rsidRPr="00D337FA">
        <w:rPr>
          <w:i/>
          <w:lang w:val="en-US"/>
        </w:rPr>
        <w:t>(accessed:</w:t>
      </w:r>
      <w:r w:rsidR="006C680D" w:rsidRPr="00D337FA">
        <w:rPr>
          <w:i/>
          <w:lang w:val="en-US"/>
        </w:rPr>
        <w:t xml:space="preserve"> </w:t>
      </w:r>
      <w:r w:rsidRPr="00D337FA">
        <w:rPr>
          <w:i/>
          <w:lang w:val="en-US"/>
        </w:rPr>
        <w:t>20.12.2025).</w:t>
      </w:r>
    </w:p>
    <w:p w:rsidR="00273E3F" w:rsidRPr="00D337FA" w:rsidRDefault="00273E3F" w:rsidP="00273E3F">
      <w:pPr>
        <w:rPr>
          <w:i/>
          <w:lang w:val="en-US"/>
        </w:rPr>
      </w:pPr>
      <w:r w:rsidRPr="00D337FA">
        <w:rPr>
          <w:i/>
          <w:lang w:val="en-US"/>
        </w:rPr>
        <w:t>3.</w:t>
      </w:r>
      <w:r w:rsidR="006C680D" w:rsidRPr="00D337FA">
        <w:rPr>
          <w:i/>
          <w:lang w:val="en-US"/>
        </w:rPr>
        <w:t xml:space="preserve"> </w:t>
      </w:r>
      <w:r w:rsidRPr="00D337FA">
        <w:rPr>
          <w:i/>
          <w:lang w:val="en-US"/>
        </w:rPr>
        <w:t>Umgaeva</w:t>
      </w:r>
      <w:r w:rsidR="006C680D" w:rsidRPr="00D337FA">
        <w:rPr>
          <w:i/>
          <w:lang w:val="en-US"/>
        </w:rPr>
        <w:t xml:space="preserve"> </w:t>
      </w:r>
      <w:r w:rsidRPr="00D337FA">
        <w:rPr>
          <w:i/>
          <w:lang w:val="en-US"/>
        </w:rPr>
        <w:t>O.V.</w:t>
      </w:r>
      <w:r w:rsidR="006C680D" w:rsidRPr="00D337FA">
        <w:rPr>
          <w:i/>
          <w:lang w:val="en-US"/>
        </w:rPr>
        <w:t xml:space="preserve"> </w:t>
      </w:r>
      <w:r w:rsidR="00D367B6" w:rsidRPr="00D337FA">
        <w:rPr>
          <w:i/>
          <w:lang w:val="en-US"/>
        </w:rPr>
        <w:t>Strategicheskie</w:t>
      </w:r>
      <w:r w:rsidR="006C680D" w:rsidRPr="00D337FA">
        <w:rPr>
          <w:i/>
          <w:lang w:val="en-US"/>
        </w:rPr>
        <w:t xml:space="preserve"> </w:t>
      </w:r>
      <w:r w:rsidR="00D367B6" w:rsidRPr="00D337FA">
        <w:rPr>
          <w:i/>
          <w:lang w:val="en-US"/>
        </w:rPr>
        <w:t>resheniya</w:t>
      </w:r>
      <w:r w:rsidR="006C680D" w:rsidRPr="00D337FA">
        <w:rPr>
          <w:i/>
          <w:lang w:val="en-US"/>
        </w:rPr>
        <w:t xml:space="preserve"> </w:t>
      </w:r>
      <w:r w:rsidR="00D367B6" w:rsidRPr="00D337FA">
        <w:rPr>
          <w:i/>
          <w:lang w:val="en-US"/>
        </w:rPr>
        <w:t>v</w:t>
      </w:r>
      <w:r w:rsidR="006C680D" w:rsidRPr="00D337FA">
        <w:rPr>
          <w:i/>
          <w:lang w:val="en-US"/>
        </w:rPr>
        <w:t xml:space="preserve"> </w:t>
      </w:r>
      <w:r w:rsidR="00D367B6" w:rsidRPr="00D337FA">
        <w:rPr>
          <w:i/>
          <w:lang w:val="en-US"/>
        </w:rPr>
        <w:t>byudzhetnoj</w:t>
      </w:r>
      <w:r w:rsidR="008A5AE7" w:rsidRPr="008A5AE7">
        <w:rPr>
          <w:i/>
          <w:lang w:val="en-US"/>
        </w:rPr>
        <w:t xml:space="preserve"> </w:t>
      </w:r>
      <w:r w:rsidR="00D367B6" w:rsidRPr="00D337FA">
        <w:rPr>
          <w:i/>
          <w:lang w:val="en-US"/>
        </w:rPr>
        <w:t>politike:</w:t>
      </w:r>
      <w:r w:rsidR="006C680D" w:rsidRPr="00D337FA">
        <w:rPr>
          <w:i/>
          <w:lang w:val="en-US"/>
        </w:rPr>
        <w:t xml:space="preserve"> </w:t>
      </w:r>
      <w:r w:rsidR="00D367B6" w:rsidRPr="00D337FA">
        <w:rPr>
          <w:i/>
          <w:lang w:val="en-US"/>
        </w:rPr>
        <w:t>ekonomiche-skaya</w:t>
      </w:r>
      <w:r w:rsidR="006C680D" w:rsidRPr="00D337FA">
        <w:rPr>
          <w:i/>
          <w:lang w:val="en-US"/>
        </w:rPr>
        <w:t xml:space="preserve"> </w:t>
      </w:r>
      <w:r w:rsidR="00D367B6" w:rsidRPr="00D337FA">
        <w:rPr>
          <w:i/>
          <w:lang w:val="en-US"/>
        </w:rPr>
        <w:t>effektivnost'</w:t>
      </w:r>
      <w:r w:rsidR="006C680D" w:rsidRPr="00D337FA">
        <w:rPr>
          <w:i/>
          <w:lang w:val="en-US"/>
        </w:rPr>
        <w:t xml:space="preserve"> </w:t>
      </w:r>
      <w:r w:rsidR="00D367B6" w:rsidRPr="00D337FA">
        <w:rPr>
          <w:i/>
          <w:lang w:val="en-US"/>
        </w:rPr>
        <w:t>i</w:t>
      </w:r>
      <w:r w:rsidR="006C680D" w:rsidRPr="00D337FA">
        <w:rPr>
          <w:i/>
          <w:lang w:val="en-US"/>
        </w:rPr>
        <w:t xml:space="preserve"> </w:t>
      </w:r>
      <w:r w:rsidR="00D367B6" w:rsidRPr="00D337FA">
        <w:rPr>
          <w:i/>
          <w:lang w:val="en-US"/>
        </w:rPr>
        <w:t>ekonomicheskaya</w:t>
      </w:r>
      <w:r w:rsidR="006C680D" w:rsidRPr="00D337FA">
        <w:rPr>
          <w:i/>
          <w:lang w:val="en-US"/>
        </w:rPr>
        <w:t xml:space="preserve"> </w:t>
      </w:r>
      <w:r w:rsidR="00D367B6" w:rsidRPr="00D337FA">
        <w:rPr>
          <w:i/>
          <w:lang w:val="en-US"/>
        </w:rPr>
        <w:t>celesoobraznost'</w:t>
      </w:r>
      <w:r w:rsidR="006C680D" w:rsidRPr="00D337FA">
        <w:rPr>
          <w:i/>
          <w:lang w:val="en-US"/>
        </w:rPr>
        <w:t xml:space="preserve"> </w:t>
      </w:r>
      <w:r w:rsidR="00D367B6" w:rsidRPr="00D337FA">
        <w:rPr>
          <w:i/>
          <w:lang w:val="en-US"/>
        </w:rPr>
        <w:t>[</w:t>
      </w:r>
      <w:r w:rsidRPr="00D337FA">
        <w:rPr>
          <w:i/>
          <w:lang w:val="en-US"/>
        </w:rPr>
        <w:t>Strategic</w:t>
      </w:r>
      <w:r w:rsidR="006C680D" w:rsidRPr="00D337FA">
        <w:rPr>
          <w:i/>
          <w:lang w:val="en-US"/>
        </w:rPr>
        <w:t xml:space="preserve"> </w:t>
      </w:r>
      <w:r w:rsidRPr="00D337FA">
        <w:rPr>
          <w:i/>
          <w:lang w:val="en-US"/>
        </w:rPr>
        <w:t>Decisions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Budget</w:t>
      </w:r>
      <w:r w:rsidR="006C680D" w:rsidRPr="00D337FA">
        <w:rPr>
          <w:i/>
          <w:lang w:val="en-US"/>
        </w:rPr>
        <w:t xml:space="preserve"> </w:t>
      </w:r>
      <w:r w:rsidRPr="00D337FA">
        <w:rPr>
          <w:i/>
          <w:lang w:val="en-US"/>
        </w:rPr>
        <w:t>Policy:</w:t>
      </w:r>
      <w:r w:rsidR="006C680D" w:rsidRPr="00D337FA">
        <w:rPr>
          <w:i/>
          <w:lang w:val="en-US"/>
        </w:rPr>
        <w:t xml:space="preserve"> </w:t>
      </w:r>
      <w:r w:rsidRPr="00D337FA">
        <w:rPr>
          <w:i/>
          <w:lang w:val="en-US"/>
        </w:rPr>
        <w:t>Economic</w:t>
      </w:r>
      <w:r w:rsidR="006C680D" w:rsidRPr="00D337FA">
        <w:rPr>
          <w:i/>
          <w:lang w:val="en-US"/>
        </w:rPr>
        <w:t xml:space="preserve"> </w:t>
      </w:r>
      <w:r w:rsidRPr="00D337FA">
        <w:rPr>
          <w:i/>
          <w:lang w:val="en-US"/>
        </w:rPr>
        <w:t>Efficiency</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Economic</w:t>
      </w:r>
      <w:r w:rsidR="006C680D" w:rsidRPr="00D337FA">
        <w:rPr>
          <w:i/>
          <w:lang w:val="en-US"/>
        </w:rPr>
        <w:t xml:space="preserve"> </w:t>
      </w:r>
      <w:r w:rsidRPr="00D337FA">
        <w:rPr>
          <w:i/>
          <w:lang w:val="en-US"/>
        </w:rPr>
        <w:t>Feasibility</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D367B6" w:rsidRPr="00D337FA">
        <w:rPr>
          <w:i/>
          <w:lang w:val="en-US"/>
        </w:rPr>
        <w:t>Strategicheskie</w:t>
      </w:r>
      <w:r w:rsidR="006C680D" w:rsidRPr="00D337FA">
        <w:rPr>
          <w:i/>
          <w:lang w:val="en-US"/>
        </w:rPr>
        <w:t xml:space="preserve"> </w:t>
      </w:r>
      <w:r w:rsidR="00D367B6" w:rsidRPr="00D337FA">
        <w:rPr>
          <w:i/>
          <w:lang w:val="en-US"/>
        </w:rPr>
        <w:t>resheniya</w:t>
      </w:r>
      <w:r w:rsidR="006C680D" w:rsidRPr="00D337FA">
        <w:rPr>
          <w:i/>
          <w:lang w:val="en-US"/>
        </w:rPr>
        <w:t xml:space="preserve"> </w:t>
      </w:r>
      <w:r w:rsidR="00D367B6" w:rsidRPr="00D337FA">
        <w:rPr>
          <w:i/>
          <w:lang w:val="en-US"/>
        </w:rPr>
        <w:t>i</w:t>
      </w:r>
      <w:r w:rsidR="006C680D" w:rsidRPr="00D337FA">
        <w:rPr>
          <w:i/>
          <w:lang w:val="en-US"/>
        </w:rPr>
        <w:t xml:space="preserve"> </w:t>
      </w:r>
      <w:r w:rsidR="00D367B6" w:rsidRPr="00D337FA">
        <w:rPr>
          <w:i/>
          <w:lang w:val="en-US"/>
        </w:rPr>
        <w:t>risk-menedzhment</w:t>
      </w:r>
      <w:r w:rsidR="006C680D" w:rsidRPr="00D337FA">
        <w:rPr>
          <w:i/>
          <w:lang w:val="en-US"/>
        </w:rPr>
        <w:t xml:space="preserve"> </w:t>
      </w:r>
      <w:r w:rsidR="00D367B6" w:rsidRPr="00D337FA">
        <w:rPr>
          <w:i/>
          <w:lang w:val="en-US"/>
        </w:rPr>
        <w:t>–</w:t>
      </w:r>
      <w:r w:rsidR="006C680D" w:rsidRPr="00D337FA">
        <w:rPr>
          <w:i/>
          <w:lang w:val="en-US"/>
        </w:rPr>
        <w:t xml:space="preserve"> </w:t>
      </w:r>
      <w:r w:rsidRPr="00D337FA">
        <w:rPr>
          <w:i/>
          <w:lang w:val="en-US"/>
        </w:rPr>
        <w:t>Strategic</w:t>
      </w:r>
      <w:r w:rsidR="006C680D" w:rsidRPr="00D337FA">
        <w:rPr>
          <w:i/>
          <w:lang w:val="en-US"/>
        </w:rPr>
        <w:t xml:space="preserve"> </w:t>
      </w:r>
      <w:r w:rsidRPr="00D337FA">
        <w:rPr>
          <w:i/>
          <w:lang w:val="en-US"/>
        </w:rPr>
        <w:t>Decisions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Risk</w:t>
      </w:r>
      <w:r w:rsidR="006C680D" w:rsidRPr="00D337FA">
        <w:rPr>
          <w:i/>
          <w:lang w:val="en-US"/>
        </w:rPr>
        <w:t xml:space="preserve"> </w:t>
      </w:r>
      <w:r w:rsidRPr="00D337FA">
        <w:rPr>
          <w:i/>
          <w:lang w:val="en-US"/>
        </w:rPr>
        <w:t>Management.</w:t>
      </w:r>
      <w:r w:rsidR="006C680D" w:rsidRPr="00D337FA">
        <w:rPr>
          <w:i/>
          <w:lang w:val="en-US"/>
        </w:rPr>
        <w:t xml:space="preserve"> </w:t>
      </w:r>
      <w:r w:rsidRPr="00D337FA">
        <w:rPr>
          <w:i/>
          <w:lang w:val="en-US"/>
        </w:rPr>
        <w:t>2022.</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13</w:t>
      </w:r>
      <w:r w:rsidR="006C680D" w:rsidRPr="00D337FA">
        <w:rPr>
          <w:i/>
          <w:lang w:val="en-US"/>
        </w:rPr>
        <w:t xml:space="preserve"> </w:t>
      </w:r>
      <w:r w:rsidRPr="00D337FA">
        <w:rPr>
          <w:i/>
          <w:lang w:val="en-US"/>
        </w:rPr>
        <w:t>(4).</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346</w:t>
      </w:r>
      <w:r w:rsidR="00D367B6" w:rsidRPr="00D337FA">
        <w:rPr>
          <w:i/>
          <w:lang w:val="en-US"/>
        </w:rPr>
        <w:t>-</w:t>
      </w:r>
      <w:r w:rsidRPr="00D337FA">
        <w:rPr>
          <w:i/>
          <w:lang w:val="en-US"/>
        </w:rPr>
        <w:t>350.</w:t>
      </w:r>
    </w:p>
    <w:p w:rsidR="00273E3F" w:rsidRPr="00D337FA" w:rsidRDefault="00273E3F" w:rsidP="00273E3F">
      <w:pPr>
        <w:rPr>
          <w:i/>
          <w:lang w:val="en-US"/>
        </w:rPr>
      </w:pPr>
      <w:r w:rsidRPr="00D337FA">
        <w:rPr>
          <w:i/>
          <w:lang w:val="en-US"/>
        </w:rPr>
        <w:t>4.</w:t>
      </w:r>
      <w:r w:rsidR="006C680D" w:rsidRPr="00D337FA">
        <w:rPr>
          <w:i/>
          <w:lang w:val="en-US"/>
        </w:rPr>
        <w:t xml:space="preserve"> </w:t>
      </w:r>
      <w:r w:rsidRPr="00D337FA">
        <w:rPr>
          <w:i/>
          <w:lang w:val="en-US"/>
        </w:rPr>
        <w:t>Arkhireev</w:t>
      </w:r>
      <w:r w:rsidR="006C680D" w:rsidRPr="00D337FA">
        <w:rPr>
          <w:i/>
          <w:lang w:val="en-US"/>
        </w:rPr>
        <w:t xml:space="preserve"> </w:t>
      </w:r>
      <w:r w:rsidRPr="00D337FA">
        <w:rPr>
          <w:i/>
          <w:lang w:val="en-US"/>
        </w:rPr>
        <w:t>A.V.</w:t>
      </w:r>
      <w:r w:rsidR="006C680D" w:rsidRPr="00D337FA">
        <w:rPr>
          <w:i/>
          <w:lang w:val="en-US"/>
        </w:rPr>
        <w:t xml:space="preserve"> </w:t>
      </w:r>
      <w:r w:rsidR="00D367B6" w:rsidRPr="00D337FA">
        <w:rPr>
          <w:i/>
          <w:lang w:val="en-US"/>
        </w:rPr>
        <w:t>Genezis</w:t>
      </w:r>
      <w:r w:rsidR="006C680D" w:rsidRPr="00D337FA">
        <w:rPr>
          <w:i/>
          <w:lang w:val="en-US"/>
        </w:rPr>
        <w:t xml:space="preserve"> </w:t>
      </w:r>
      <w:r w:rsidR="00D367B6" w:rsidRPr="00D337FA">
        <w:rPr>
          <w:i/>
          <w:lang w:val="en-US"/>
        </w:rPr>
        <w:t>ponyatiya</w:t>
      </w:r>
      <w:r w:rsidR="006C680D" w:rsidRPr="00D337FA">
        <w:rPr>
          <w:i/>
          <w:lang w:val="en-US"/>
        </w:rPr>
        <w:t xml:space="preserve"> </w:t>
      </w:r>
      <w:r w:rsidR="00D367B6" w:rsidRPr="00D337FA">
        <w:rPr>
          <w:i/>
          <w:lang w:val="en-US"/>
        </w:rPr>
        <w:t>effektivnosti.</w:t>
      </w:r>
      <w:r w:rsidR="006C680D" w:rsidRPr="00D337FA">
        <w:rPr>
          <w:i/>
          <w:lang w:val="en-US"/>
        </w:rPr>
        <w:t xml:space="preserve"> </w:t>
      </w:r>
      <w:r w:rsidR="00D367B6" w:rsidRPr="00D337FA">
        <w:rPr>
          <w:i/>
          <w:lang w:val="en-US"/>
        </w:rPr>
        <w:t>Struktura,</w:t>
      </w:r>
      <w:r w:rsidR="006C680D" w:rsidRPr="00D337FA">
        <w:rPr>
          <w:i/>
          <w:lang w:val="en-US"/>
        </w:rPr>
        <w:t xml:space="preserve"> </w:t>
      </w:r>
      <w:r w:rsidR="00D367B6" w:rsidRPr="00D337FA">
        <w:rPr>
          <w:i/>
          <w:lang w:val="en-US"/>
        </w:rPr>
        <w:t>sostoyanie,</w:t>
      </w:r>
      <w:r w:rsidR="006C680D" w:rsidRPr="00D337FA">
        <w:rPr>
          <w:i/>
          <w:lang w:val="en-US"/>
        </w:rPr>
        <w:t xml:space="preserve"> </w:t>
      </w:r>
      <w:r w:rsidR="00D367B6" w:rsidRPr="00D337FA">
        <w:rPr>
          <w:i/>
          <w:lang w:val="en-US"/>
        </w:rPr>
        <w:t>ocenka</w:t>
      </w:r>
      <w:r w:rsidR="006C680D" w:rsidRPr="00D337FA">
        <w:rPr>
          <w:i/>
          <w:lang w:val="en-US"/>
        </w:rPr>
        <w:t xml:space="preserve"> </w:t>
      </w:r>
      <w:r w:rsidR="00D367B6" w:rsidRPr="00D337FA">
        <w:rPr>
          <w:i/>
          <w:lang w:val="en-US"/>
        </w:rPr>
        <w:t>[</w:t>
      </w:r>
      <w:r w:rsidRPr="00D337FA">
        <w:rPr>
          <w:i/>
          <w:lang w:val="en-US"/>
        </w:rPr>
        <w:t>Genesis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Concept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Efficiency.</w:t>
      </w:r>
      <w:r w:rsidR="006C680D" w:rsidRPr="00D337FA">
        <w:rPr>
          <w:i/>
          <w:lang w:val="en-US"/>
        </w:rPr>
        <w:t xml:space="preserve"> </w:t>
      </w:r>
      <w:r w:rsidRPr="00D337FA">
        <w:rPr>
          <w:i/>
          <w:lang w:val="en-US"/>
        </w:rPr>
        <w:t>Structure,</w:t>
      </w:r>
      <w:r w:rsidR="006C680D" w:rsidRPr="00D337FA">
        <w:rPr>
          <w:i/>
          <w:lang w:val="en-US"/>
        </w:rPr>
        <w:t xml:space="preserve"> </w:t>
      </w:r>
      <w:r w:rsidRPr="00D337FA">
        <w:rPr>
          <w:i/>
          <w:lang w:val="en-US"/>
        </w:rPr>
        <w:t>State,</w:t>
      </w:r>
      <w:r w:rsidR="006C680D" w:rsidRPr="00D337FA">
        <w:rPr>
          <w:i/>
          <w:lang w:val="en-US"/>
        </w:rPr>
        <w:t xml:space="preserve"> </w:t>
      </w:r>
      <w:r w:rsidRPr="00D337FA">
        <w:rPr>
          <w:i/>
          <w:lang w:val="en-US"/>
        </w:rPr>
        <w:t>Assessment</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D367B6" w:rsidRPr="00D337FA">
        <w:rPr>
          <w:i/>
          <w:lang w:val="en-US"/>
        </w:rPr>
        <w:t>Kontekst</w:t>
      </w:r>
      <w:r w:rsidR="006C680D" w:rsidRPr="00D337FA">
        <w:rPr>
          <w:i/>
          <w:lang w:val="en-US"/>
        </w:rPr>
        <w:t xml:space="preserve"> </w:t>
      </w:r>
      <w:r w:rsidR="00D367B6" w:rsidRPr="00D337FA">
        <w:rPr>
          <w:i/>
          <w:lang w:val="en-US"/>
        </w:rPr>
        <w:t>i</w:t>
      </w:r>
      <w:r w:rsidR="006C680D" w:rsidRPr="00D337FA">
        <w:rPr>
          <w:i/>
          <w:lang w:val="en-US"/>
        </w:rPr>
        <w:t xml:space="preserve"> </w:t>
      </w:r>
      <w:r w:rsidR="00D367B6" w:rsidRPr="00D337FA">
        <w:rPr>
          <w:i/>
          <w:lang w:val="en-US"/>
        </w:rPr>
        <w:t>refleksiya:</w:t>
      </w:r>
      <w:r w:rsidR="006C680D" w:rsidRPr="00D337FA">
        <w:rPr>
          <w:i/>
          <w:lang w:val="en-US"/>
        </w:rPr>
        <w:t xml:space="preserve"> </w:t>
      </w:r>
      <w:r w:rsidR="00D367B6" w:rsidRPr="00D337FA">
        <w:rPr>
          <w:i/>
          <w:lang w:val="en-US"/>
        </w:rPr>
        <w:t>filosofiya</w:t>
      </w:r>
      <w:r w:rsidR="006C680D" w:rsidRPr="00D337FA">
        <w:rPr>
          <w:i/>
          <w:lang w:val="en-US"/>
        </w:rPr>
        <w:t xml:space="preserve"> </w:t>
      </w:r>
      <w:r w:rsidR="00D367B6" w:rsidRPr="00D337FA">
        <w:rPr>
          <w:i/>
          <w:lang w:val="en-US"/>
        </w:rPr>
        <w:t>o</w:t>
      </w:r>
      <w:r w:rsidR="006C680D" w:rsidRPr="00D337FA">
        <w:rPr>
          <w:i/>
          <w:lang w:val="en-US"/>
        </w:rPr>
        <w:t xml:space="preserve"> </w:t>
      </w:r>
      <w:r w:rsidR="00D367B6" w:rsidRPr="00D337FA">
        <w:rPr>
          <w:i/>
          <w:lang w:val="en-US"/>
        </w:rPr>
        <w:t>mire</w:t>
      </w:r>
      <w:r w:rsidR="006C680D" w:rsidRPr="00D337FA">
        <w:rPr>
          <w:i/>
          <w:lang w:val="en-US"/>
        </w:rPr>
        <w:t xml:space="preserve"> </w:t>
      </w:r>
      <w:r w:rsidR="00D367B6" w:rsidRPr="00D337FA">
        <w:rPr>
          <w:i/>
          <w:lang w:val="en-US"/>
        </w:rPr>
        <w:t>i</w:t>
      </w:r>
      <w:r w:rsidR="006C680D" w:rsidRPr="00D337FA">
        <w:rPr>
          <w:i/>
          <w:lang w:val="en-US"/>
        </w:rPr>
        <w:t xml:space="preserve"> </w:t>
      </w:r>
      <w:r w:rsidR="00D367B6" w:rsidRPr="00D337FA">
        <w:rPr>
          <w:i/>
          <w:lang w:val="en-US"/>
        </w:rPr>
        <w:t>cheloveke</w:t>
      </w:r>
      <w:r w:rsidR="006C680D" w:rsidRPr="00D337FA">
        <w:rPr>
          <w:i/>
          <w:lang w:val="en-US"/>
        </w:rPr>
        <w:t xml:space="preserve"> </w:t>
      </w:r>
      <w:r w:rsidR="00D367B6" w:rsidRPr="00D337FA">
        <w:rPr>
          <w:i/>
          <w:lang w:val="en-US"/>
        </w:rPr>
        <w:t>–</w:t>
      </w:r>
      <w:r w:rsidR="006C680D" w:rsidRPr="00D337FA">
        <w:rPr>
          <w:i/>
          <w:lang w:val="en-US"/>
        </w:rPr>
        <w:t xml:space="preserve"> </w:t>
      </w:r>
      <w:r w:rsidRPr="00D337FA">
        <w:rPr>
          <w:i/>
          <w:lang w:val="en-US"/>
        </w:rPr>
        <w:t>Context</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Reflection:</w:t>
      </w:r>
      <w:r w:rsidR="006C680D" w:rsidRPr="00D337FA">
        <w:rPr>
          <w:i/>
          <w:lang w:val="en-US"/>
        </w:rPr>
        <w:t xml:space="preserve"> </w:t>
      </w:r>
      <w:r w:rsidRPr="00D337FA">
        <w:rPr>
          <w:i/>
          <w:lang w:val="en-US"/>
        </w:rPr>
        <w:t>Philosophy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World</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Man.</w:t>
      </w:r>
      <w:r w:rsidR="006C680D" w:rsidRPr="00D337FA">
        <w:rPr>
          <w:i/>
          <w:lang w:val="en-US"/>
        </w:rPr>
        <w:t xml:space="preserve"> </w:t>
      </w:r>
      <w:r w:rsidRPr="00D337FA">
        <w:rPr>
          <w:i/>
          <w:lang w:val="en-US"/>
        </w:rPr>
        <w:t>2023.</w:t>
      </w:r>
      <w:r w:rsidR="006C680D" w:rsidRPr="00D337FA">
        <w:rPr>
          <w:i/>
          <w:lang w:val="en-US"/>
        </w:rPr>
        <w:t xml:space="preserve"> </w:t>
      </w:r>
      <w:r w:rsidRPr="00D337FA">
        <w:rPr>
          <w:i/>
          <w:lang w:val="en-US"/>
        </w:rPr>
        <w:t>Vol.</w:t>
      </w:r>
      <w:r w:rsidR="006C680D" w:rsidRPr="00D337FA">
        <w:rPr>
          <w:i/>
          <w:lang w:val="en-US"/>
        </w:rPr>
        <w:t xml:space="preserve"> </w:t>
      </w:r>
      <w:r w:rsidRPr="00D337FA">
        <w:rPr>
          <w:i/>
          <w:lang w:val="en-US"/>
        </w:rPr>
        <w:t>12.</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10</w:t>
      </w:r>
      <w:r w:rsidR="006C680D" w:rsidRPr="00D337FA">
        <w:rPr>
          <w:i/>
          <w:lang w:val="en-US"/>
        </w:rPr>
        <w:t xml:space="preserve"> </w:t>
      </w:r>
      <w:r w:rsidRPr="00D337FA">
        <w:rPr>
          <w:i/>
          <w:lang w:val="en-US"/>
        </w:rPr>
        <w:t>A.P.</w:t>
      </w:r>
      <w:r w:rsidR="006C680D" w:rsidRPr="00D337FA">
        <w:rPr>
          <w:i/>
          <w:lang w:val="en-US"/>
        </w:rPr>
        <w:t xml:space="preserve"> </w:t>
      </w:r>
      <w:r w:rsidRPr="00D337FA">
        <w:rPr>
          <w:i/>
          <w:lang w:val="en-US"/>
        </w:rPr>
        <w:t>36</w:t>
      </w:r>
      <w:r w:rsidR="00D367B6" w:rsidRPr="00D337FA">
        <w:rPr>
          <w:i/>
          <w:lang w:val="en-US"/>
        </w:rPr>
        <w:t>-</w:t>
      </w:r>
      <w:r w:rsidRPr="00D337FA">
        <w:rPr>
          <w:i/>
          <w:lang w:val="en-US"/>
        </w:rPr>
        <w:t>49.</w:t>
      </w:r>
    </w:p>
    <w:p w:rsidR="00273E3F" w:rsidRPr="00D337FA" w:rsidRDefault="00273E3F" w:rsidP="00273E3F">
      <w:pPr>
        <w:rPr>
          <w:i/>
          <w:lang w:val="en-US"/>
        </w:rPr>
      </w:pPr>
      <w:r w:rsidRPr="00D337FA">
        <w:rPr>
          <w:i/>
          <w:lang w:val="en-US"/>
        </w:rPr>
        <w:t>5.</w:t>
      </w:r>
      <w:r w:rsidR="006C680D" w:rsidRPr="00D337FA">
        <w:rPr>
          <w:i/>
          <w:lang w:val="en-US"/>
        </w:rPr>
        <w:t xml:space="preserve"> </w:t>
      </w:r>
      <w:r w:rsidR="00D367B6" w:rsidRPr="00D337FA">
        <w:rPr>
          <w:i/>
          <w:lang w:val="en-US"/>
        </w:rPr>
        <w:t>Filosofskij</w:t>
      </w:r>
      <w:r w:rsidR="006C680D" w:rsidRPr="00D337FA">
        <w:rPr>
          <w:i/>
          <w:lang w:val="en-US"/>
        </w:rPr>
        <w:t xml:space="preserve"> </w:t>
      </w:r>
      <w:r w:rsidR="00D367B6" w:rsidRPr="00D337FA">
        <w:rPr>
          <w:i/>
          <w:lang w:val="en-US"/>
        </w:rPr>
        <w:t>slovar'</w:t>
      </w:r>
      <w:r w:rsidR="006C680D" w:rsidRPr="00D337FA">
        <w:rPr>
          <w:i/>
          <w:lang w:val="en-US"/>
        </w:rPr>
        <w:t xml:space="preserve"> </w:t>
      </w:r>
      <w:r w:rsidR="00D367B6" w:rsidRPr="00D337FA">
        <w:rPr>
          <w:i/>
          <w:lang w:val="en-US"/>
        </w:rPr>
        <w:t>[</w:t>
      </w:r>
      <w:r w:rsidRPr="00D337FA">
        <w:rPr>
          <w:i/>
          <w:lang w:val="en-US"/>
        </w:rPr>
        <w:t>Philosophical</w:t>
      </w:r>
      <w:r w:rsidR="006C680D" w:rsidRPr="00D337FA">
        <w:rPr>
          <w:i/>
          <w:lang w:val="en-US"/>
        </w:rPr>
        <w:t xml:space="preserve"> </w:t>
      </w:r>
      <w:r w:rsidRPr="00D337FA">
        <w:rPr>
          <w:i/>
          <w:lang w:val="en-US"/>
        </w:rPr>
        <w:t>Dictionary</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Pr="00D337FA">
        <w:rPr>
          <w:i/>
          <w:lang w:val="en-US"/>
        </w:rPr>
        <w:t>Ed.</w:t>
      </w:r>
      <w:r w:rsidR="006C680D" w:rsidRPr="00D337FA">
        <w:rPr>
          <w:i/>
          <w:lang w:val="en-US"/>
        </w:rPr>
        <w:t xml:space="preserve"> </w:t>
      </w:r>
      <w:r w:rsidRPr="00D337FA">
        <w:rPr>
          <w:i/>
          <w:lang w:val="en-US"/>
        </w:rPr>
        <w:t>by</w:t>
      </w:r>
      <w:r w:rsidR="006C680D" w:rsidRPr="00D337FA">
        <w:rPr>
          <w:i/>
          <w:lang w:val="en-US"/>
        </w:rPr>
        <w:t xml:space="preserve"> </w:t>
      </w:r>
      <w:r w:rsidRPr="00D337FA">
        <w:rPr>
          <w:i/>
          <w:lang w:val="en-US"/>
        </w:rPr>
        <w:t>M.M.</w:t>
      </w:r>
      <w:r w:rsidR="006C680D" w:rsidRPr="00D337FA">
        <w:rPr>
          <w:i/>
          <w:lang w:val="en-US"/>
        </w:rPr>
        <w:t xml:space="preserve"> </w:t>
      </w:r>
      <w:r w:rsidRPr="00D337FA">
        <w:rPr>
          <w:i/>
          <w:lang w:val="en-US"/>
        </w:rPr>
        <w:t>Rosenthal,</w:t>
      </w:r>
      <w:r w:rsidR="006C680D" w:rsidRPr="00D337FA">
        <w:rPr>
          <w:i/>
          <w:lang w:val="en-US"/>
        </w:rPr>
        <w:t xml:space="preserve"> </w:t>
      </w:r>
      <w:r w:rsidRPr="00D337FA">
        <w:rPr>
          <w:i/>
          <w:lang w:val="en-US"/>
        </w:rPr>
        <w:t>P.F.</w:t>
      </w:r>
      <w:r w:rsidR="006C680D" w:rsidRPr="00D337FA">
        <w:rPr>
          <w:i/>
          <w:lang w:val="en-US"/>
        </w:rPr>
        <w:t xml:space="preserve"> </w:t>
      </w:r>
      <w:r w:rsidRPr="00D337FA">
        <w:rPr>
          <w:i/>
          <w:lang w:val="en-US"/>
        </w:rPr>
        <w:t>Yudin.</w:t>
      </w:r>
      <w:r w:rsidR="006C680D" w:rsidRPr="00D337FA">
        <w:rPr>
          <w:i/>
          <w:lang w:val="en-US"/>
        </w:rPr>
        <w:t xml:space="preserve"> </w:t>
      </w:r>
      <w:r w:rsidR="00D367B6" w:rsidRPr="00D337FA">
        <w:rPr>
          <w:i/>
          <w:lang w:val="en-US"/>
        </w:rPr>
        <w:t>–</w:t>
      </w:r>
      <w:r w:rsidR="006C680D" w:rsidRPr="00D337FA">
        <w:rPr>
          <w:i/>
          <w:lang w:val="en-US"/>
        </w:rPr>
        <w:t xml:space="preserve"> </w:t>
      </w:r>
      <w:r w:rsidRPr="00D337FA">
        <w:rPr>
          <w:i/>
          <w:lang w:val="en-US"/>
        </w:rPr>
        <w:t>Moscow:</w:t>
      </w:r>
      <w:r w:rsidR="006C680D" w:rsidRPr="00D337FA">
        <w:rPr>
          <w:i/>
          <w:lang w:val="en-US"/>
        </w:rPr>
        <w:t xml:space="preserve"> </w:t>
      </w:r>
      <w:r w:rsidRPr="00D337FA">
        <w:rPr>
          <w:i/>
          <w:lang w:val="en-US"/>
        </w:rPr>
        <w:t>Politizdat,</w:t>
      </w:r>
      <w:r w:rsidR="006C680D" w:rsidRPr="00D337FA">
        <w:rPr>
          <w:i/>
          <w:lang w:val="en-US"/>
        </w:rPr>
        <w:t xml:space="preserve"> </w:t>
      </w:r>
      <w:r w:rsidRPr="00D337FA">
        <w:rPr>
          <w:i/>
          <w:lang w:val="en-US"/>
        </w:rPr>
        <w:t>1963.</w:t>
      </w:r>
      <w:r w:rsidR="006C680D" w:rsidRPr="00D337FA">
        <w:rPr>
          <w:i/>
          <w:lang w:val="en-US"/>
        </w:rPr>
        <w:t xml:space="preserve"> </w:t>
      </w:r>
      <w:r w:rsidRPr="00D337FA">
        <w:rPr>
          <w:i/>
          <w:lang w:val="en-US"/>
        </w:rPr>
        <w:t>P.</w:t>
      </w:r>
      <w:r w:rsidR="006C680D" w:rsidRPr="00D337FA">
        <w:rPr>
          <w:i/>
          <w:lang w:val="en-US"/>
        </w:rPr>
        <w:t xml:space="preserve"> </w:t>
      </w:r>
      <w:r w:rsidRPr="00D337FA">
        <w:rPr>
          <w:i/>
          <w:lang w:val="en-US"/>
        </w:rPr>
        <w:t>495.</w:t>
      </w:r>
    </w:p>
    <w:p w:rsidR="00273E3F" w:rsidRPr="00D337FA" w:rsidRDefault="00273E3F" w:rsidP="00273E3F">
      <w:pPr>
        <w:rPr>
          <w:i/>
          <w:lang w:val="en-US"/>
        </w:rPr>
      </w:pPr>
      <w:r w:rsidRPr="00D337FA">
        <w:rPr>
          <w:i/>
          <w:lang w:val="en-US"/>
        </w:rPr>
        <w:t>6.</w:t>
      </w:r>
      <w:r w:rsidR="006C680D" w:rsidRPr="00D337FA">
        <w:rPr>
          <w:i/>
          <w:lang w:val="en-US"/>
        </w:rPr>
        <w:t xml:space="preserve"> </w:t>
      </w:r>
      <w:r w:rsidRPr="00D337FA">
        <w:rPr>
          <w:i/>
          <w:lang w:val="en-US"/>
        </w:rPr>
        <w:t>Shabashev</w:t>
      </w:r>
      <w:r w:rsidR="006C680D" w:rsidRPr="00D337FA">
        <w:rPr>
          <w:i/>
          <w:lang w:val="en-US"/>
        </w:rPr>
        <w:t xml:space="preserve"> </w:t>
      </w:r>
      <w:r w:rsidRPr="00D337FA">
        <w:rPr>
          <w:i/>
          <w:lang w:val="en-US"/>
        </w:rPr>
        <w:t>V.A.,</w:t>
      </w:r>
      <w:r w:rsidR="006C680D" w:rsidRPr="00D337FA">
        <w:rPr>
          <w:i/>
          <w:lang w:val="en-US"/>
        </w:rPr>
        <w:t xml:space="preserve"> </w:t>
      </w:r>
      <w:r w:rsidRPr="00D337FA">
        <w:rPr>
          <w:i/>
          <w:lang w:val="en-US"/>
        </w:rPr>
        <w:t>Batievskaya</w:t>
      </w:r>
      <w:r w:rsidR="006C680D" w:rsidRPr="00D337FA">
        <w:rPr>
          <w:i/>
          <w:lang w:val="en-US"/>
        </w:rPr>
        <w:t xml:space="preserve"> </w:t>
      </w:r>
      <w:r w:rsidRPr="00D337FA">
        <w:rPr>
          <w:i/>
          <w:lang w:val="en-US"/>
        </w:rPr>
        <w:t>V.B.</w:t>
      </w:r>
      <w:r w:rsidR="006C680D" w:rsidRPr="00D337FA">
        <w:rPr>
          <w:i/>
          <w:lang w:val="en-US"/>
        </w:rPr>
        <w:t xml:space="preserve"> </w:t>
      </w:r>
      <w:r w:rsidR="00D367B6" w:rsidRPr="00D337FA">
        <w:rPr>
          <w:i/>
          <w:lang w:val="en-US"/>
        </w:rPr>
        <w:t>Genezis</w:t>
      </w:r>
      <w:r w:rsidR="006C680D" w:rsidRPr="00D337FA">
        <w:rPr>
          <w:i/>
          <w:lang w:val="en-US"/>
        </w:rPr>
        <w:t xml:space="preserve"> </w:t>
      </w:r>
      <w:r w:rsidR="00D367B6" w:rsidRPr="00D337FA">
        <w:rPr>
          <w:i/>
          <w:lang w:val="en-US"/>
        </w:rPr>
        <w:t>i</w:t>
      </w:r>
      <w:r w:rsidR="006C680D" w:rsidRPr="00D337FA">
        <w:rPr>
          <w:i/>
          <w:lang w:val="en-US"/>
        </w:rPr>
        <w:t xml:space="preserve"> </w:t>
      </w:r>
      <w:r w:rsidR="00D367B6" w:rsidRPr="00D337FA">
        <w:rPr>
          <w:i/>
          <w:lang w:val="en-US"/>
        </w:rPr>
        <w:t>klassifikaciya</w:t>
      </w:r>
      <w:r w:rsidR="006C680D" w:rsidRPr="00D337FA">
        <w:rPr>
          <w:i/>
          <w:lang w:val="en-US"/>
        </w:rPr>
        <w:t xml:space="preserve"> </w:t>
      </w:r>
      <w:r w:rsidR="00D367B6" w:rsidRPr="00D337FA">
        <w:rPr>
          <w:i/>
          <w:lang w:val="en-US"/>
        </w:rPr>
        <w:t>ponyatiya</w:t>
      </w:r>
      <w:r w:rsidR="006C680D" w:rsidRPr="00D337FA">
        <w:rPr>
          <w:i/>
          <w:lang w:val="en-US"/>
        </w:rPr>
        <w:t xml:space="preserve"> </w:t>
      </w:r>
      <w:r w:rsidR="00D367B6" w:rsidRPr="00D337FA">
        <w:rPr>
          <w:i/>
          <w:lang w:val="en-US"/>
        </w:rPr>
        <w:t>«Ekonomicheskaya</w:t>
      </w:r>
      <w:r w:rsidR="006C680D" w:rsidRPr="00D337FA">
        <w:rPr>
          <w:i/>
          <w:lang w:val="en-US"/>
        </w:rPr>
        <w:t xml:space="preserve"> </w:t>
      </w:r>
      <w:r w:rsidR="00D367B6" w:rsidRPr="00D337FA">
        <w:rPr>
          <w:i/>
          <w:lang w:val="en-US"/>
        </w:rPr>
        <w:t>ef-fektivnost'»</w:t>
      </w:r>
      <w:r w:rsidR="006C680D" w:rsidRPr="00D337FA">
        <w:rPr>
          <w:i/>
          <w:lang w:val="en-US"/>
        </w:rPr>
        <w:t xml:space="preserve"> </w:t>
      </w:r>
      <w:r w:rsidR="00D367B6" w:rsidRPr="00D337FA">
        <w:rPr>
          <w:i/>
          <w:lang w:val="en-US"/>
        </w:rPr>
        <w:t>[</w:t>
      </w:r>
      <w:r w:rsidRPr="00D337FA">
        <w:rPr>
          <w:i/>
          <w:lang w:val="en-US"/>
        </w:rPr>
        <w:t>Genesis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Cl</w:t>
      </w:r>
      <w:r w:rsidR="006C680D" w:rsidRPr="00D337FA">
        <w:rPr>
          <w:i/>
          <w:lang w:val="en-US"/>
        </w:rPr>
        <w:t>assification of the Concept of «</w:t>
      </w:r>
      <w:r w:rsidRPr="00D337FA">
        <w:rPr>
          <w:i/>
          <w:lang w:val="en-US"/>
        </w:rPr>
        <w:t>Economic</w:t>
      </w:r>
      <w:r w:rsidR="006C680D" w:rsidRPr="00D337FA">
        <w:rPr>
          <w:i/>
          <w:lang w:val="en-US"/>
        </w:rPr>
        <w:t xml:space="preserve"> </w:t>
      </w:r>
      <w:r w:rsidRPr="00D337FA">
        <w:rPr>
          <w:i/>
          <w:lang w:val="en-US"/>
        </w:rPr>
        <w:t>Efficiency</w:t>
      </w:r>
      <w:r w:rsidR="006C680D" w:rsidRPr="00D337FA">
        <w:rPr>
          <w:i/>
          <w:lang w:val="en-US"/>
        </w:rPr>
        <w:t>»</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D367B6" w:rsidRPr="00D337FA">
        <w:rPr>
          <w:i/>
          <w:lang w:val="en-US"/>
        </w:rPr>
        <w:t>Sibirskij</w:t>
      </w:r>
      <w:r w:rsidR="006C680D" w:rsidRPr="00D337FA">
        <w:rPr>
          <w:i/>
          <w:lang w:val="en-US"/>
        </w:rPr>
        <w:t xml:space="preserve"> </w:t>
      </w:r>
      <w:r w:rsidR="00D367B6" w:rsidRPr="00D337FA">
        <w:rPr>
          <w:i/>
          <w:lang w:val="en-US"/>
        </w:rPr>
        <w:t>aerokosmicheskij</w:t>
      </w:r>
      <w:r w:rsidR="006C680D" w:rsidRPr="00D337FA">
        <w:rPr>
          <w:i/>
          <w:lang w:val="en-US"/>
        </w:rPr>
        <w:t xml:space="preserve"> </w:t>
      </w:r>
      <w:r w:rsidR="00D367B6" w:rsidRPr="00D337FA">
        <w:rPr>
          <w:i/>
          <w:lang w:val="en-US"/>
        </w:rPr>
        <w:t>zhurnal</w:t>
      </w:r>
      <w:r w:rsidR="006C680D" w:rsidRPr="00D337FA">
        <w:rPr>
          <w:i/>
          <w:lang w:val="en-US"/>
        </w:rPr>
        <w:t xml:space="preserve"> </w:t>
      </w:r>
      <w:r w:rsidR="00D367B6" w:rsidRPr="00D337FA">
        <w:rPr>
          <w:i/>
          <w:lang w:val="en-US"/>
        </w:rPr>
        <w:t>–</w:t>
      </w:r>
      <w:r w:rsidR="006C680D" w:rsidRPr="00D337FA">
        <w:rPr>
          <w:i/>
          <w:lang w:val="en-US"/>
        </w:rPr>
        <w:t xml:space="preserve"> </w:t>
      </w:r>
      <w:r w:rsidRPr="00D337FA">
        <w:rPr>
          <w:i/>
          <w:lang w:val="en-US"/>
        </w:rPr>
        <w:t>Siberian</w:t>
      </w:r>
      <w:r w:rsidR="006C680D" w:rsidRPr="00D337FA">
        <w:rPr>
          <w:i/>
          <w:lang w:val="en-US"/>
        </w:rPr>
        <w:t xml:space="preserve"> </w:t>
      </w:r>
      <w:r w:rsidRPr="00D337FA">
        <w:rPr>
          <w:i/>
          <w:lang w:val="en-US"/>
        </w:rPr>
        <w:t>Aerospace</w:t>
      </w:r>
      <w:r w:rsidR="006C680D" w:rsidRPr="00D337FA">
        <w:rPr>
          <w:i/>
          <w:lang w:val="en-US"/>
        </w:rPr>
        <w:t xml:space="preserve"> </w:t>
      </w:r>
      <w:r w:rsidRPr="00D337FA">
        <w:rPr>
          <w:i/>
          <w:lang w:val="en-US"/>
        </w:rPr>
        <w:t>Journal.</w:t>
      </w:r>
      <w:r w:rsidR="006C680D" w:rsidRPr="00D337FA">
        <w:rPr>
          <w:i/>
          <w:lang w:val="en-US"/>
        </w:rPr>
        <w:t xml:space="preserve"> </w:t>
      </w:r>
      <w:r w:rsidRPr="00D337FA">
        <w:rPr>
          <w:i/>
          <w:lang w:val="en-US"/>
        </w:rPr>
        <w:t>2014.</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2</w:t>
      </w:r>
      <w:r w:rsidR="006C680D" w:rsidRPr="00D337FA">
        <w:rPr>
          <w:i/>
          <w:lang w:val="en-US"/>
        </w:rPr>
        <w:t xml:space="preserve"> </w:t>
      </w:r>
      <w:r w:rsidRPr="00D337FA">
        <w:rPr>
          <w:i/>
          <w:lang w:val="en-US"/>
        </w:rPr>
        <w:t>(54).</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https://cyberleninka.ru/article/n/genezis-i-klassifikatsiya-ponyatiya-ekonomicheskaya-effektivnost</w:t>
      </w:r>
      <w:r w:rsidR="006C680D" w:rsidRPr="00D337FA">
        <w:rPr>
          <w:i/>
          <w:lang w:val="en-US"/>
        </w:rPr>
        <w:t xml:space="preserve"> </w:t>
      </w:r>
      <w:r w:rsidRPr="00D337FA">
        <w:rPr>
          <w:i/>
          <w:lang w:val="en-US"/>
        </w:rPr>
        <w:t>(date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access:</w:t>
      </w:r>
      <w:r w:rsidR="006C680D" w:rsidRPr="00D337FA">
        <w:rPr>
          <w:i/>
          <w:lang w:val="en-US"/>
        </w:rPr>
        <w:t xml:space="preserve"> </w:t>
      </w:r>
      <w:r w:rsidRPr="00D337FA">
        <w:rPr>
          <w:i/>
          <w:lang w:val="en-US"/>
        </w:rPr>
        <w:t>23.01.2026).</w:t>
      </w:r>
    </w:p>
    <w:p w:rsidR="00273E3F" w:rsidRPr="00D337FA" w:rsidRDefault="00273E3F" w:rsidP="00273E3F">
      <w:pPr>
        <w:rPr>
          <w:i/>
          <w:lang w:val="en-US"/>
        </w:rPr>
      </w:pPr>
      <w:r w:rsidRPr="00D337FA">
        <w:rPr>
          <w:i/>
          <w:lang w:val="en-US"/>
        </w:rPr>
        <w:t>7.</w:t>
      </w:r>
      <w:r w:rsidR="006C680D" w:rsidRPr="00D337FA">
        <w:rPr>
          <w:i/>
          <w:lang w:val="en-US"/>
        </w:rPr>
        <w:t xml:space="preserve"> </w:t>
      </w:r>
      <w:r w:rsidRPr="00D337FA">
        <w:rPr>
          <w:i/>
          <w:lang w:val="en-US"/>
        </w:rPr>
        <w:t>Ilyina</w:t>
      </w:r>
      <w:r w:rsidR="006C680D" w:rsidRPr="00D337FA">
        <w:rPr>
          <w:i/>
          <w:lang w:val="en-US"/>
        </w:rPr>
        <w:t xml:space="preserve"> </w:t>
      </w:r>
      <w:r w:rsidRPr="00D337FA">
        <w:rPr>
          <w:i/>
          <w:lang w:val="en-US"/>
        </w:rPr>
        <w:t>L.V.,</w:t>
      </w:r>
      <w:r w:rsidR="006C680D" w:rsidRPr="00D337FA">
        <w:rPr>
          <w:i/>
          <w:lang w:val="en-US"/>
        </w:rPr>
        <w:t xml:space="preserve"> </w:t>
      </w:r>
      <w:r w:rsidRPr="00D337FA">
        <w:rPr>
          <w:i/>
          <w:lang w:val="en-US"/>
        </w:rPr>
        <w:t>Kopchenko</w:t>
      </w:r>
      <w:r w:rsidR="006C680D" w:rsidRPr="00D337FA">
        <w:rPr>
          <w:i/>
          <w:lang w:val="en-US"/>
        </w:rPr>
        <w:t xml:space="preserve"> </w:t>
      </w:r>
      <w:r w:rsidRPr="00D337FA">
        <w:rPr>
          <w:i/>
          <w:lang w:val="en-US"/>
        </w:rPr>
        <w:t>Yu.E.,</w:t>
      </w:r>
      <w:r w:rsidR="006C680D" w:rsidRPr="00D337FA">
        <w:rPr>
          <w:i/>
          <w:lang w:val="en-US"/>
        </w:rPr>
        <w:t xml:space="preserve"> </w:t>
      </w:r>
      <w:r w:rsidRPr="00D337FA">
        <w:rPr>
          <w:i/>
          <w:lang w:val="en-US"/>
        </w:rPr>
        <w:t>Kuklyaeva</w:t>
      </w:r>
      <w:r w:rsidR="006C680D" w:rsidRPr="00D337FA">
        <w:rPr>
          <w:i/>
          <w:lang w:val="en-US"/>
        </w:rPr>
        <w:t xml:space="preserve"> </w:t>
      </w:r>
      <w:r w:rsidRPr="00D337FA">
        <w:rPr>
          <w:i/>
          <w:lang w:val="en-US"/>
        </w:rPr>
        <w:t>O.A.,</w:t>
      </w:r>
      <w:r w:rsidR="006C680D" w:rsidRPr="00D337FA">
        <w:rPr>
          <w:i/>
          <w:lang w:val="en-US"/>
        </w:rPr>
        <w:t xml:space="preserve"> </w:t>
      </w:r>
      <w:r w:rsidRPr="00D337FA">
        <w:rPr>
          <w:i/>
          <w:lang w:val="en-US"/>
        </w:rPr>
        <w:t>Sergeeva</w:t>
      </w:r>
      <w:r w:rsidR="006C680D" w:rsidRPr="00D337FA">
        <w:rPr>
          <w:i/>
          <w:lang w:val="en-US"/>
        </w:rPr>
        <w:t xml:space="preserve"> </w:t>
      </w:r>
      <w:r w:rsidRPr="00D337FA">
        <w:rPr>
          <w:i/>
          <w:lang w:val="en-US"/>
        </w:rPr>
        <w:t>E.V.</w:t>
      </w:r>
      <w:r w:rsidR="006C680D" w:rsidRPr="00D337FA">
        <w:rPr>
          <w:i/>
          <w:lang w:val="en-US"/>
        </w:rPr>
        <w:t xml:space="preserve"> </w:t>
      </w:r>
      <w:r w:rsidR="00D367B6" w:rsidRPr="00D337FA">
        <w:rPr>
          <w:i/>
          <w:lang w:val="en-US"/>
        </w:rPr>
        <w:t>Upravlenie</w:t>
      </w:r>
      <w:r w:rsidR="006C680D" w:rsidRPr="00D337FA">
        <w:rPr>
          <w:i/>
          <w:lang w:val="en-US"/>
        </w:rPr>
        <w:t xml:space="preserve"> </w:t>
      </w:r>
      <w:r w:rsidR="00D367B6" w:rsidRPr="00D337FA">
        <w:rPr>
          <w:i/>
          <w:lang w:val="en-US"/>
        </w:rPr>
        <w:t>defoltom</w:t>
      </w:r>
      <w:r w:rsidR="006C680D" w:rsidRPr="00D337FA">
        <w:rPr>
          <w:i/>
          <w:lang w:val="en-US"/>
        </w:rPr>
        <w:t xml:space="preserve"> </w:t>
      </w:r>
      <w:r w:rsidR="00D367B6" w:rsidRPr="00D337FA">
        <w:rPr>
          <w:i/>
          <w:lang w:val="en-US"/>
        </w:rPr>
        <w:t>ban-kov:</w:t>
      </w:r>
      <w:r w:rsidR="006C680D" w:rsidRPr="00D337FA">
        <w:rPr>
          <w:i/>
          <w:lang w:val="en-US"/>
        </w:rPr>
        <w:t xml:space="preserve"> </w:t>
      </w:r>
      <w:r w:rsidR="00D367B6" w:rsidRPr="00D337FA">
        <w:rPr>
          <w:i/>
          <w:lang w:val="en-US"/>
        </w:rPr>
        <w:t>teoriya</w:t>
      </w:r>
      <w:r w:rsidR="006C680D" w:rsidRPr="00D337FA">
        <w:rPr>
          <w:i/>
          <w:lang w:val="en-US"/>
        </w:rPr>
        <w:t xml:space="preserve"> </w:t>
      </w:r>
      <w:r w:rsidR="00D367B6" w:rsidRPr="00D337FA">
        <w:rPr>
          <w:i/>
          <w:lang w:val="en-US"/>
        </w:rPr>
        <w:t>i</w:t>
      </w:r>
      <w:r w:rsidR="006C680D" w:rsidRPr="00D337FA">
        <w:rPr>
          <w:i/>
          <w:lang w:val="en-US"/>
        </w:rPr>
        <w:t xml:space="preserve"> </w:t>
      </w:r>
      <w:r w:rsidR="00D367B6" w:rsidRPr="00D337FA">
        <w:rPr>
          <w:i/>
          <w:lang w:val="en-US"/>
        </w:rPr>
        <w:t>praktika</w:t>
      </w:r>
      <w:r w:rsidR="006C680D" w:rsidRPr="00D337FA">
        <w:rPr>
          <w:i/>
          <w:lang w:val="en-US"/>
        </w:rPr>
        <w:t xml:space="preserve"> </w:t>
      </w:r>
      <w:r w:rsidR="00D367B6" w:rsidRPr="00D337FA">
        <w:rPr>
          <w:i/>
          <w:lang w:val="en-US"/>
        </w:rPr>
        <w:t>[</w:t>
      </w:r>
      <w:r w:rsidRPr="00D337FA">
        <w:rPr>
          <w:i/>
          <w:lang w:val="en-US"/>
        </w:rPr>
        <w:t>Bank</w:t>
      </w:r>
      <w:r w:rsidR="006C680D" w:rsidRPr="00D337FA">
        <w:rPr>
          <w:i/>
          <w:lang w:val="en-US"/>
        </w:rPr>
        <w:t xml:space="preserve"> </w:t>
      </w:r>
      <w:r w:rsidRPr="00D337FA">
        <w:rPr>
          <w:i/>
          <w:lang w:val="en-US"/>
        </w:rPr>
        <w:t>default</w:t>
      </w:r>
      <w:r w:rsidR="006C680D" w:rsidRPr="00D337FA">
        <w:rPr>
          <w:i/>
          <w:lang w:val="en-US"/>
        </w:rPr>
        <w:t xml:space="preserve"> </w:t>
      </w:r>
      <w:r w:rsidRPr="00D337FA">
        <w:rPr>
          <w:i/>
          <w:lang w:val="en-US"/>
        </w:rPr>
        <w:t>management:</w:t>
      </w:r>
      <w:r w:rsidR="006C680D" w:rsidRPr="00D337FA">
        <w:rPr>
          <w:i/>
          <w:lang w:val="en-US"/>
        </w:rPr>
        <w:t xml:space="preserve"> </w:t>
      </w:r>
      <w:r w:rsidRPr="00D337FA">
        <w:rPr>
          <w:i/>
          <w:lang w:val="en-US"/>
        </w:rPr>
        <w:t>theory</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practice</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D367B6" w:rsidRPr="00D337FA">
        <w:rPr>
          <w:i/>
          <w:lang w:val="en-US"/>
        </w:rPr>
        <w:t>Innovacionnaya</w:t>
      </w:r>
      <w:r w:rsidR="006C680D" w:rsidRPr="00D337FA">
        <w:rPr>
          <w:i/>
          <w:lang w:val="en-US"/>
        </w:rPr>
        <w:t xml:space="preserve"> </w:t>
      </w:r>
      <w:r w:rsidR="00D367B6" w:rsidRPr="00D337FA">
        <w:rPr>
          <w:i/>
          <w:lang w:val="en-US"/>
        </w:rPr>
        <w:t>deyatel'nost'</w:t>
      </w:r>
      <w:r w:rsidR="006C680D" w:rsidRPr="00D337FA">
        <w:rPr>
          <w:i/>
          <w:lang w:val="en-US"/>
        </w:rPr>
        <w:t xml:space="preserve"> </w:t>
      </w:r>
      <w:r w:rsidR="00D367B6" w:rsidRPr="00D337FA">
        <w:rPr>
          <w:i/>
          <w:lang w:val="en-US"/>
        </w:rPr>
        <w:t>–</w:t>
      </w:r>
      <w:r w:rsidR="006C680D" w:rsidRPr="00D337FA">
        <w:rPr>
          <w:i/>
          <w:lang w:val="en-US"/>
        </w:rPr>
        <w:t xml:space="preserve"> </w:t>
      </w:r>
      <w:r w:rsidRPr="00D337FA">
        <w:rPr>
          <w:i/>
          <w:lang w:val="en-US"/>
        </w:rPr>
        <w:t>Innovative</w:t>
      </w:r>
      <w:r w:rsidR="006C680D" w:rsidRPr="00D337FA">
        <w:rPr>
          <w:i/>
          <w:lang w:val="en-US"/>
        </w:rPr>
        <w:t xml:space="preserve"> </w:t>
      </w:r>
      <w:r w:rsidRPr="00D337FA">
        <w:rPr>
          <w:i/>
          <w:lang w:val="en-US"/>
        </w:rPr>
        <w:t>activity.</w:t>
      </w:r>
      <w:r w:rsidR="006C680D" w:rsidRPr="00D337FA">
        <w:rPr>
          <w:i/>
          <w:lang w:val="en-US"/>
        </w:rPr>
        <w:t xml:space="preserve"> </w:t>
      </w:r>
      <w:r w:rsidRPr="00D337FA">
        <w:rPr>
          <w:i/>
          <w:lang w:val="en-US"/>
        </w:rPr>
        <w:t>2025.</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1</w:t>
      </w:r>
      <w:r w:rsidR="006C680D" w:rsidRPr="00D337FA">
        <w:rPr>
          <w:i/>
          <w:lang w:val="en-US"/>
        </w:rPr>
        <w:t xml:space="preserve"> </w:t>
      </w:r>
      <w:r w:rsidRPr="00D337FA">
        <w:rPr>
          <w:i/>
          <w:lang w:val="en-US"/>
        </w:rPr>
        <w:t>(72).</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37-54.</w:t>
      </w:r>
    </w:p>
    <w:p w:rsidR="00273E3F" w:rsidRPr="00D337FA" w:rsidRDefault="00273E3F" w:rsidP="00273E3F">
      <w:pPr>
        <w:rPr>
          <w:i/>
          <w:lang w:val="en-US"/>
        </w:rPr>
      </w:pPr>
      <w:r w:rsidRPr="00D337FA">
        <w:rPr>
          <w:i/>
          <w:lang w:val="en-US"/>
        </w:rPr>
        <w:t>8.</w:t>
      </w:r>
      <w:r w:rsidR="006C680D" w:rsidRPr="00D337FA">
        <w:rPr>
          <w:i/>
          <w:lang w:val="en-US"/>
        </w:rPr>
        <w:t xml:space="preserve"> </w:t>
      </w:r>
      <w:r w:rsidRPr="00D337FA">
        <w:rPr>
          <w:i/>
          <w:lang w:val="en-US"/>
        </w:rPr>
        <w:t>Bogomolov</w:t>
      </w:r>
      <w:r w:rsidR="006C680D" w:rsidRPr="00D337FA">
        <w:rPr>
          <w:i/>
          <w:lang w:val="en-US"/>
        </w:rPr>
        <w:t xml:space="preserve"> </w:t>
      </w:r>
      <w:r w:rsidRPr="00D337FA">
        <w:rPr>
          <w:i/>
          <w:lang w:val="en-US"/>
        </w:rPr>
        <w:t>S.M.,</w:t>
      </w:r>
      <w:r w:rsidR="006C680D" w:rsidRPr="00D337FA">
        <w:rPr>
          <w:i/>
          <w:lang w:val="en-US"/>
        </w:rPr>
        <w:t xml:space="preserve"> </w:t>
      </w:r>
      <w:r w:rsidRPr="00D337FA">
        <w:rPr>
          <w:i/>
          <w:lang w:val="en-US"/>
        </w:rPr>
        <w:t>Ilyina</w:t>
      </w:r>
      <w:r w:rsidR="006C680D" w:rsidRPr="00D337FA">
        <w:rPr>
          <w:i/>
          <w:lang w:val="en-US"/>
        </w:rPr>
        <w:t xml:space="preserve"> </w:t>
      </w:r>
      <w:r w:rsidRPr="00D337FA">
        <w:rPr>
          <w:i/>
          <w:lang w:val="en-US"/>
        </w:rPr>
        <w:t>L.V.,</w:t>
      </w:r>
      <w:r w:rsidR="006C680D" w:rsidRPr="00D337FA">
        <w:rPr>
          <w:i/>
          <w:lang w:val="en-US"/>
        </w:rPr>
        <w:t xml:space="preserve"> </w:t>
      </w:r>
      <w:r w:rsidRPr="00D337FA">
        <w:rPr>
          <w:i/>
          <w:lang w:val="en-US"/>
        </w:rPr>
        <w:t>Kopchenko</w:t>
      </w:r>
      <w:r w:rsidR="006C680D" w:rsidRPr="00D337FA">
        <w:rPr>
          <w:i/>
          <w:lang w:val="en-US"/>
        </w:rPr>
        <w:t xml:space="preserve"> </w:t>
      </w:r>
      <w:r w:rsidRPr="00D337FA">
        <w:rPr>
          <w:i/>
          <w:lang w:val="en-US"/>
        </w:rPr>
        <w:t>Yu.E.</w:t>
      </w:r>
      <w:r w:rsidR="006C680D" w:rsidRPr="00D337FA">
        <w:rPr>
          <w:i/>
          <w:lang w:val="en-US"/>
        </w:rPr>
        <w:t xml:space="preserve"> </w:t>
      </w:r>
      <w:r w:rsidR="00D367B6" w:rsidRPr="00D337FA">
        <w:rPr>
          <w:i/>
          <w:lang w:val="en-US"/>
        </w:rPr>
        <w:t>Regional'nye</w:t>
      </w:r>
      <w:r w:rsidR="006C680D" w:rsidRPr="00D337FA">
        <w:rPr>
          <w:i/>
          <w:lang w:val="en-US"/>
        </w:rPr>
        <w:t xml:space="preserve"> </w:t>
      </w:r>
      <w:r w:rsidR="00D367B6" w:rsidRPr="00D337FA">
        <w:rPr>
          <w:i/>
          <w:lang w:val="en-US"/>
        </w:rPr>
        <w:t>banki</w:t>
      </w:r>
      <w:r w:rsidR="006C680D" w:rsidRPr="00D337FA">
        <w:rPr>
          <w:i/>
          <w:lang w:val="en-US"/>
        </w:rPr>
        <w:t xml:space="preserve"> </w:t>
      </w:r>
      <w:r w:rsidR="00D367B6" w:rsidRPr="00D337FA">
        <w:rPr>
          <w:i/>
          <w:lang w:val="en-US"/>
        </w:rPr>
        <w:t>v</w:t>
      </w:r>
      <w:r w:rsidR="006C680D" w:rsidRPr="00D337FA">
        <w:rPr>
          <w:i/>
          <w:lang w:val="en-US"/>
        </w:rPr>
        <w:t xml:space="preserve"> </w:t>
      </w:r>
      <w:r w:rsidR="00D367B6" w:rsidRPr="00D337FA">
        <w:rPr>
          <w:i/>
          <w:lang w:val="en-US"/>
        </w:rPr>
        <w:t>kontekste</w:t>
      </w:r>
      <w:r w:rsidR="006C680D" w:rsidRPr="00D337FA">
        <w:rPr>
          <w:i/>
          <w:lang w:val="en-US"/>
        </w:rPr>
        <w:t xml:space="preserve"> </w:t>
      </w:r>
      <w:r w:rsidR="00D367B6" w:rsidRPr="00D337FA">
        <w:rPr>
          <w:i/>
          <w:lang w:val="en-US"/>
        </w:rPr>
        <w:t>ten-dencij</w:t>
      </w:r>
      <w:r w:rsidR="006C680D" w:rsidRPr="00D337FA">
        <w:rPr>
          <w:i/>
          <w:lang w:val="en-US"/>
        </w:rPr>
        <w:t xml:space="preserve"> </w:t>
      </w:r>
      <w:r w:rsidR="00D367B6" w:rsidRPr="00D337FA">
        <w:rPr>
          <w:i/>
          <w:lang w:val="en-US"/>
        </w:rPr>
        <w:t>razvitiya</w:t>
      </w:r>
      <w:r w:rsidR="006C680D" w:rsidRPr="00D337FA">
        <w:rPr>
          <w:i/>
          <w:lang w:val="en-US"/>
        </w:rPr>
        <w:t xml:space="preserve"> </w:t>
      </w:r>
      <w:r w:rsidR="00D367B6" w:rsidRPr="00D337FA">
        <w:rPr>
          <w:i/>
          <w:lang w:val="en-US"/>
        </w:rPr>
        <w:t>finansovogo</w:t>
      </w:r>
      <w:r w:rsidR="006C680D" w:rsidRPr="00D337FA">
        <w:rPr>
          <w:i/>
          <w:lang w:val="en-US"/>
        </w:rPr>
        <w:t xml:space="preserve"> </w:t>
      </w:r>
      <w:r w:rsidR="00D367B6" w:rsidRPr="00D337FA">
        <w:rPr>
          <w:i/>
          <w:lang w:val="en-US"/>
        </w:rPr>
        <w:t>rynka</w:t>
      </w:r>
      <w:r w:rsidR="006C680D" w:rsidRPr="00D337FA">
        <w:rPr>
          <w:i/>
          <w:lang w:val="en-US"/>
        </w:rPr>
        <w:t xml:space="preserve"> </w:t>
      </w:r>
      <w:r w:rsidR="00D367B6" w:rsidRPr="00D337FA">
        <w:rPr>
          <w:i/>
          <w:lang w:val="en-US"/>
        </w:rPr>
        <w:t>Rossii</w:t>
      </w:r>
      <w:r w:rsidR="006C680D" w:rsidRPr="00D337FA">
        <w:rPr>
          <w:i/>
          <w:lang w:val="en-US"/>
        </w:rPr>
        <w:t xml:space="preserve"> </w:t>
      </w:r>
      <w:r w:rsidR="00D367B6" w:rsidRPr="00D337FA">
        <w:rPr>
          <w:i/>
          <w:lang w:val="en-US"/>
        </w:rPr>
        <w:t>[</w:t>
      </w:r>
      <w:r w:rsidRPr="00D337FA">
        <w:rPr>
          <w:i/>
          <w:lang w:val="en-US"/>
        </w:rPr>
        <w:t>Regional</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context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trends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development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Russian</w:t>
      </w:r>
      <w:r w:rsidR="006C680D" w:rsidRPr="00D337FA">
        <w:rPr>
          <w:i/>
          <w:lang w:val="en-US"/>
        </w:rPr>
        <w:t xml:space="preserve"> </w:t>
      </w:r>
      <w:r w:rsidRPr="00D337FA">
        <w:rPr>
          <w:i/>
          <w:lang w:val="en-US"/>
        </w:rPr>
        <w:t>financial</w:t>
      </w:r>
      <w:r w:rsidR="006C680D" w:rsidRPr="00D337FA">
        <w:rPr>
          <w:i/>
          <w:lang w:val="en-US"/>
        </w:rPr>
        <w:t xml:space="preserve"> </w:t>
      </w:r>
      <w:r w:rsidRPr="00D337FA">
        <w:rPr>
          <w:i/>
          <w:lang w:val="en-US"/>
        </w:rPr>
        <w:t>market</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D367B6" w:rsidRPr="00D337FA">
        <w:rPr>
          <w:i/>
          <w:lang w:val="en-US"/>
        </w:rPr>
        <w:t>Vestnik</w:t>
      </w:r>
      <w:r w:rsidR="006C680D" w:rsidRPr="00D337FA">
        <w:rPr>
          <w:i/>
          <w:lang w:val="en-US"/>
        </w:rPr>
        <w:t xml:space="preserve"> </w:t>
      </w:r>
      <w:r w:rsidR="00D367B6" w:rsidRPr="00D337FA">
        <w:rPr>
          <w:i/>
          <w:lang w:val="en-US"/>
        </w:rPr>
        <w:t>Saratovskogo</w:t>
      </w:r>
      <w:r w:rsidR="006C680D" w:rsidRPr="00D337FA">
        <w:rPr>
          <w:i/>
          <w:lang w:val="en-US"/>
        </w:rPr>
        <w:t xml:space="preserve"> </w:t>
      </w:r>
      <w:r w:rsidR="00D367B6" w:rsidRPr="00D337FA">
        <w:rPr>
          <w:i/>
          <w:lang w:val="en-US"/>
        </w:rPr>
        <w:t>gosudarstvennogo</w:t>
      </w:r>
      <w:r w:rsidR="006C680D" w:rsidRPr="00D337FA">
        <w:rPr>
          <w:i/>
          <w:lang w:val="en-US"/>
        </w:rPr>
        <w:t xml:space="preserve"> </w:t>
      </w:r>
      <w:r w:rsidR="00D367B6" w:rsidRPr="00D337FA">
        <w:rPr>
          <w:i/>
          <w:lang w:val="en-US"/>
        </w:rPr>
        <w:t>so-cial'no-ekonomicheskogo</w:t>
      </w:r>
      <w:r w:rsidR="006C680D" w:rsidRPr="00D337FA">
        <w:rPr>
          <w:i/>
          <w:lang w:val="en-US"/>
        </w:rPr>
        <w:t xml:space="preserve"> </w:t>
      </w:r>
      <w:r w:rsidR="00D367B6" w:rsidRPr="00D337FA">
        <w:rPr>
          <w:i/>
          <w:lang w:val="en-US"/>
        </w:rPr>
        <w:t>universiteta</w:t>
      </w:r>
      <w:r w:rsidR="006C680D" w:rsidRPr="00D337FA">
        <w:rPr>
          <w:i/>
          <w:lang w:val="en-US"/>
        </w:rPr>
        <w:t xml:space="preserve"> </w:t>
      </w:r>
      <w:r w:rsidR="00D367B6" w:rsidRPr="00D337FA">
        <w:rPr>
          <w:i/>
          <w:lang w:val="en-US"/>
        </w:rPr>
        <w:t>–</w:t>
      </w:r>
      <w:r w:rsidR="006C680D" w:rsidRPr="00D337FA">
        <w:rPr>
          <w:i/>
          <w:lang w:val="en-US"/>
        </w:rPr>
        <w:t xml:space="preserve"> </w:t>
      </w:r>
      <w:r w:rsidRPr="00D337FA">
        <w:rPr>
          <w:i/>
          <w:lang w:val="en-US"/>
        </w:rPr>
        <w:t>Bulletin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Saratov</w:t>
      </w:r>
      <w:r w:rsidR="006C680D" w:rsidRPr="00D337FA">
        <w:rPr>
          <w:i/>
          <w:lang w:val="en-US"/>
        </w:rPr>
        <w:t xml:space="preserve"> </w:t>
      </w:r>
      <w:r w:rsidRPr="00D337FA">
        <w:rPr>
          <w:i/>
          <w:lang w:val="en-US"/>
        </w:rPr>
        <w:t>State</w:t>
      </w:r>
      <w:r w:rsidR="006C680D" w:rsidRPr="00D337FA">
        <w:rPr>
          <w:i/>
          <w:lang w:val="en-US"/>
        </w:rPr>
        <w:t xml:space="preserve"> </w:t>
      </w:r>
      <w:r w:rsidRPr="00D337FA">
        <w:rPr>
          <w:i/>
          <w:lang w:val="en-US"/>
        </w:rPr>
        <w:t>Socio-Economic</w:t>
      </w:r>
      <w:r w:rsidR="006C680D" w:rsidRPr="00D337FA">
        <w:rPr>
          <w:i/>
          <w:lang w:val="en-US"/>
        </w:rPr>
        <w:t xml:space="preserve"> </w:t>
      </w:r>
      <w:r w:rsidRPr="00D337FA">
        <w:rPr>
          <w:i/>
          <w:lang w:val="en-US"/>
        </w:rPr>
        <w:t>University.</w:t>
      </w:r>
      <w:r w:rsidR="006C680D" w:rsidRPr="00D337FA">
        <w:rPr>
          <w:i/>
          <w:lang w:val="en-US"/>
        </w:rPr>
        <w:t xml:space="preserve"> </w:t>
      </w:r>
      <w:r w:rsidRPr="00D337FA">
        <w:rPr>
          <w:i/>
          <w:lang w:val="en-US"/>
        </w:rPr>
        <w:t>2016.</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4</w:t>
      </w:r>
      <w:r w:rsidR="006C680D" w:rsidRPr="00D337FA">
        <w:rPr>
          <w:i/>
          <w:lang w:val="en-US"/>
        </w:rPr>
        <w:t xml:space="preserve"> </w:t>
      </w:r>
      <w:r w:rsidRPr="00D337FA">
        <w:rPr>
          <w:i/>
          <w:lang w:val="en-US"/>
        </w:rPr>
        <w:t>(63).</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61-67.</w:t>
      </w:r>
    </w:p>
    <w:p w:rsidR="00273E3F" w:rsidRPr="00D337FA" w:rsidRDefault="00273E3F" w:rsidP="00273E3F">
      <w:pPr>
        <w:rPr>
          <w:i/>
          <w:lang w:val="en-US"/>
        </w:rPr>
      </w:pPr>
      <w:r w:rsidRPr="00D337FA">
        <w:rPr>
          <w:i/>
          <w:lang w:val="en-US"/>
        </w:rPr>
        <w:t>9.</w:t>
      </w:r>
      <w:r w:rsidR="006C680D" w:rsidRPr="00D337FA">
        <w:rPr>
          <w:i/>
          <w:lang w:val="en-US"/>
        </w:rPr>
        <w:t xml:space="preserve"> </w:t>
      </w:r>
      <w:r w:rsidRPr="00D337FA">
        <w:rPr>
          <w:i/>
          <w:lang w:val="en-US"/>
        </w:rPr>
        <w:t>Larionova</w:t>
      </w:r>
      <w:r w:rsidR="006C680D" w:rsidRPr="00D337FA">
        <w:rPr>
          <w:i/>
          <w:lang w:val="en-US"/>
        </w:rPr>
        <w:t xml:space="preserve"> </w:t>
      </w:r>
      <w:r w:rsidRPr="00D337FA">
        <w:rPr>
          <w:i/>
          <w:lang w:val="en-US"/>
        </w:rPr>
        <w:t>I.V.,</w:t>
      </w:r>
      <w:r w:rsidR="006C680D" w:rsidRPr="00D337FA">
        <w:rPr>
          <w:i/>
          <w:lang w:val="en-US"/>
        </w:rPr>
        <w:t xml:space="preserve"> </w:t>
      </w:r>
      <w:r w:rsidRPr="00D337FA">
        <w:rPr>
          <w:i/>
          <w:lang w:val="en-US"/>
        </w:rPr>
        <w:t>Panova</w:t>
      </w:r>
      <w:r w:rsidR="006C680D" w:rsidRPr="00D337FA">
        <w:rPr>
          <w:i/>
          <w:lang w:val="en-US"/>
        </w:rPr>
        <w:t xml:space="preserve"> </w:t>
      </w:r>
      <w:r w:rsidRPr="00D337FA">
        <w:rPr>
          <w:i/>
          <w:lang w:val="en-US"/>
        </w:rPr>
        <w:t>G.S.</w:t>
      </w:r>
      <w:r w:rsidR="006C680D" w:rsidRPr="00D337FA">
        <w:rPr>
          <w:i/>
          <w:lang w:val="en-US"/>
        </w:rPr>
        <w:t xml:space="preserve"> </w:t>
      </w:r>
      <w:r w:rsidR="00D367B6" w:rsidRPr="00D337FA">
        <w:rPr>
          <w:i/>
          <w:lang w:val="en-US"/>
        </w:rPr>
        <w:t>K</w:t>
      </w:r>
      <w:r w:rsidR="006C680D" w:rsidRPr="00D337FA">
        <w:rPr>
          <w:i/>
          <w:lang w:val="en-US"/>
        </w:rPr>
        <w:t xml:space="preserve"> </w:t>
      </w:r>
      <w:r w:rsidR="00D367B6" w:rsidRPr="00D337FA">
        <w:rPr>
          <w:i/>
          <w:lang w:val="en-US"/>
        </w:rPr>
        <w:t>voprosu</w:t>
      </w:r>
      <w:r w:rsidR="006C680D" w:rsidRPr="00D337FA">
        <w:rPr>
          <w:i/>
          <w:lang w:val="en-US"/>
        </w:rPr>
        <w:t xml:space="preserve"> </w:t>
      </w:r>
      <w:r w:rsidR="00D367B6" w:rsidRPr="00D337FA">
        <w:rPr>
          <w:i/>
          <w:lang w:val="en-US"/>
        </w:rPr>
        <w:t>o</w:t>
      </w:r>
      <w:r w:rsidR="006C680D" w:rsidRPr="00D337FA">
        <w:rPr>
          <w:i/>
          <w:lang w:val="en-US"/>
        </w:rPr>
        <w:t xml:space="preserve"> </w:t>
      </w:r>
      <w:r w:rsidR="00D367B6" w:rsidRPr="00D337FA">
        <w:rPr>
          <w:i/>
          <w:lang w:val="en-US"/>
        </w:rPr>
        <w:t>modernizacii</w:t>
      </w:r>
      <w:r w:rsidR="006C680D" w:rsidRPr="00D337FA">
        <w:rPr>
          <w:i/>
          <w:lang w:val="en-US"/>
        </w:rPr>
        <w:t xml:space="preserve"> </w:t>
      </w:r>
      <w:r w:rsidR="00D367B6" w:rsidRPr="00D337FA">
        <w:rPr>
          <w:i/>
          <w:lang w:val="en-US"/>
        </w:rPr>
        <w:t>bankovskogo</w:t>
      </w:r>
      <w:r w:rsidR="006C680D" w:rsidRPr="00D337FA">
        <w:rPr>
          <w:i/>
          <w:lang w:val="en-US"/>
        </w:rPr>
        <w:t xml:space="preserve"> </w:t>
      </w:r>
      <w:r w:rsidR="00D367B6" w:rsidRPr="00D337FA">
        <w:rPr>
          <w:i/>
          <w:lang w:val="en-US"/>
        </w:rPr>
        <w:t>regulirovaniya</w:t>
      </w:r>
      <w:r w:rsidR="006C680D" w:rsidRPr="00D337FA">
        <w:rPr>
          <w:i/>
          <w:lang w:val="en-US"/>
        </w:rPr>
        <w:t xml:space="preserve"> </w:t>
      </w:r>
      <w:r w:rsidR="00D367B6" w:rsidRPr="00D337FA">
        <w:rPr>
          <w:i/>
          <w:lang w:val="en-US"/>
        </w:rPr>
        <w:t>i</w:t>
      </w:r>
      <w:r w:rsidR="006C680D" w:rsidRPr="00D337FA">
        <w:rPr>
          <w:i/>
          <w:lang w:val="en-US"/>
        </w:rPr>
        <w:t xml:space="preserve"> </w:t>
      </w:r>
      <w:r w:rsidR="00D367B6" w:rsidRPr="00D337FA">
        <w:rPr>
          <w:i/>
          <w:lang w:val="en-US"/>
        </w:rPr>
        <w:t>nadzora</w:t>
      </w:r>
      <w:r w:rsidR="006C680D" w:rsidRPr="00D337FA">
        <w:rPr>
          <w:i/>
          <w:lang w:val="en-US"/>
        </w:rPr>
        <w:t xml:space="preserve"> </w:t>
      </w:r>
      <w:r w:rsidR="00D367B6" w:rsidRPr="00D337FA">
        <w:rPr>
          <w:i/>
          <w:lang w:val="en-US"/>
        </w:rPr>
        <w:t>[</w:t>
      </w:r>
      <w:r w:rsidRPr="00D337FA">
        <w:rPr>
          <w:i/>
          <w:lang w:val="en-US"/>
        </w:rPr>
        <w:t>On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Modernization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Regulation</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Supervision</w:t>
      </w:r>
      <w:r w:rsidR="00D367B6"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Iniciativy</w:t>
      </w:r>
      <w:r w:rsidR="006C680D" w:rsidRPr="00D337FA">
        <w:rPr>
          <w:i/>
          <w:lang w:val="en-US"/>
        </w:rPr>
        <w:t xml:space="preserve"> </w:t>
      </w:r>
      <w:r w:rsidR="00A44E79" w:rsidRPr="00D337FA">
        <w:rPr>
          <w:i/>
          <w:lang w:val="en-US"/>
        </w:rPr>
        <w:t>XXI</w:t>
      </w:r>
      <w:r w:rsidR="006C680D" w:rsidRPr="00D337FA">
        <w:rPr>
          <w:i/>
          <w:lang w:val="en-US"/>
        </w:rPr>
        <w:t xml:space="preserve"> </w:t>
      </w:r>
      <w:r w:rsidR="00A44E79" w:rsidRPr="00D337FA">
        <w:rPr>
          <w:i/>
          <w:lang w:val="en-US"/>
        </w:rPr>
        <w:t>veka</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Initiatives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21st</w:t>
      </w:r>
      <w:r w:rsidR="006C680D" w:rsidRPr="00D337FA">
        <w:rPr>
          <w:i/>
          <w:lang w:val="en-US"/>
        </w:rPr>
        <w:t xml:space="preserve"> </w:t>
      </w:r>
      <w:r w:rsidRPr="00D337FA">
        <w:rPr>
          <w:i/>
          <w:lang w:val="en-US"/>
        </w:rPr>
        <w:t>Century.</w:t>
      </w:r>
      <w:r w:rsidR="006C680D" w:rsidRPr="00D337FA">
        <w:rPr>
          <w:i/>
          <w:lang w:val="en-US"/>
        </w:rPr>
        <w:t xml:space="preserve"> </w:t>
      </w:r>
      <w:r w:rsidRPr="00D337FA">
        <w:rPr>
          <w:i/>
          <w:lang w:val="en-US"/>
        </w:rPr>
        <w:t>2011.</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1-2.</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62-66.</w:t>
      </w:r>
    </w:p>
    <w:p w:rsidR="00273E3F" w:rsidRPr="00D337FA" w:rsidRDefault="00273E3F" w:rsidP="00273E3F">
      <w:pPr>
        <w:rPr>
          <w:i/>
          <w:lang w:val="en-US"/>
        </w:rPr>
      </w:pPr>
      <w:r w:rsidRPr="00D337FA">
        <w:rPr>
          <w:i/>
          <w:lang w:val="en-US"/>
        </w:rPr>
        <w:t>10.</w:t>
      </w:r>
      <w:r w:rsidR="006C680D" w:rsidRPr="00D337FA">
        <w:rPr>
          <w:i/>
          <w:lang w:val="en-US"/>
        </w:rPr>
        <w:t xml:space="preserve"> </w:t>
      </w:r>
      <w:r w:rsidRPr="00D337FA">
        <w:rPr>
          <w:i/>
          <w:lang w:val="en-US"/>
        </w:rPr>
        <w:t>Panova</w:t>
      </w:r>
      <w:r w:rsidR="006C680D" w:rsidRPr="00D337FA">
        <w:rPr>
          <w:i/>
          <w:lang w:val="en-US"/>
        </w:rPr>
        <w:t xml:space="preserve"> </w:t>
      </w:r>
      <w:r w:rsidRPr="00D337FA">
        <w:rPr>
          <w:i/>
          <w:lang w:val="en-US"/>
        </w:rPr>
        <w:t>G.S.</w:t>
      </w:r>
      <w:r w:rsidR="006C680D" w:rsidRPr="00D337FA">
        <w:rPr>
          <w:i/>
          <w:lang w:val="en-US"/>
        </w:rPr>
        <w:t xml:space="preserve"> </w:t>
      </w:r>
      <w:r w:rsidR="00A44E79" w:rsidRPr="00D337FA">
        <w:rPr>
          <w:i/>
          <w:lang w:val="en-US"/>
        </w:rPr>
        <w:t>Fond</w:t>
      </w:r>
      <w:r w:rsidR="006C680D" w:rsidRPr="00D337FA">
        <w:rPr>
          <w:i/>
          <w:lang w:val="en-US"/>
        </w:rPr>
        <w:t xml:space="preserve"> </w:t>
      </w:r>
      <w:r w:rsidR="00A44E79" w:rsidRPr="00D337FA">
        <w:rPr>
          <w:i/>
          <w:lang w:val="en-US"/>
        </w:rPr>
        <w:t>konsolidacii</w:t>
      </w:r>
      <w:r w:rsidR="006C680D" w:rsidRPr="00D337FA">
        <w:rPr>
          <w:i/>
          <w:lang w:val="en-US"/>
        </w:rPr>
        <w:t xml:space="preserve"> </w:t>
      </w:r>
      <w:r w:rsidR="00A44E79" w:rsidRPr="00D337FA">
        <w:rPr>
          <w:i/>
          <w:lang w:val="en-US"/>
        </w:rPr>
        <w:t>bankovskogo</w:t>
      </w:r>
      <w:r w:rsidR="006C680D" w:rsidRPr="00D337FA">
        <w:rPr>
          <w:i/>
          <w:lang w:val="en-US"/>
        </w:rPr>
        <w:t xml:space="preserve"> </w:t>
      </w:r>
      <w:r w:rsidR="00A44E79" w:rsidRPr="00D337FA">
        <w:rPr>
          <w:i/>
          <w:lang w:val="en-US"/>
        </w:rPr>
        <w:t>sektora</w:t>
      </w:r>
      <w:r w:rsidR="006C680D" w:rsidRPr="00D337FA">
        <w:rPr>
          <w:i/>
          <w:lang w:val="en-US"/>
        </w:rPr>
        <w:t xml:space="preserve"> </w:t>
      </w:r>
      <w:r w:rsidR="00A44E79" w:rsidRPr="00D337FA">
        <w:rPr>
          <w:i/>
          <w:lang w:val="en-US"/>
        </w:rPr>
        <w:t>kak</w:t>
      </w:r>
      <w:r w:rsidR="006C680D" w:rsidRPr="00D337FA">
        <w:rPr>
          <w:i/>
          <w:lang w:val="en-US"/>
        </w:rPr>
        <w:t xml:space="preserve"> </w:t>
      </w:r>
      <w:r w:rsidR="00A44E79" w:rsidRPr="00D337FA">
        <w:rPr>
          <w:i/>
          <w:lang w:val="en-US"/>
        </w:rPr>
        <w:t>instrument</w:t>
      </w:r>
      <w:r w:rsidR="006C680D" w:rsidRPr="00D337FA">
        <w:rPr>
          <w:i/>
          <w:lang w:val="en-US"/>
        </w:rPr>
        <w:t xml:space="preserve"> </w:t>
      </w:r>
      <w:r w:rsidR="00A44E79" w:rsidRPr="00D337FA">
        <w:rPr>
          <w:i/>
          <w:lang w:val="en-US"/>
        </w:rPr>
        <w:t>povysheniya</w:t>
      </w:r>
      <w:r w:rsidR="006C680D" w:rsidRPr="00D337FA">
        <w:rPr>
          <w:i/>
          <w:lang w:val="en-US"/>
        </w:rPr>
        <w:t xml:space="preserve"> </w:t>
      </w:r>
      <w:r w:rsidR="00A44E79" w:rsidRPr="00D337FA">
        <w:rPr>
          <w:i/>
          <w:lang w:val="en-US"/>
        </w:rPr>
        <w:t>bezopasnosti</w:t>
      </w:r>
      <w:r w:rsidR="006C680D" w:rsidRPr="00D337FA">
        <w:rPr>
          <w:i/>
          <w:lang w:val="en-US"/>
        </w:rPr>
        <w:t xml:space="preserve"> </w:t>
      </w:r>
      <w:r w:rsidR="00A44E79" w:rsidRPr="00D337FA">
        <w:rPr>
          <w:i/>
          <w:lang w:val="en-US"/>
        </w:rPr>
        <w:t>na</w:t>
      </w:r>
      <w:r w:rsidR="006C680D" w:rsidRPr="00D337FA">
        <w:rPr>
          <w:i/>
          <w:lang w:val="en-US"/>
        </w:rPr>
        <w:t xml:space="preserve"> </w:t>
      </w:r>
      <w:r w:rsidR="00A44E79" w:rsidRPr="00D337FA">
        <w:rPr>
          <w:i/>
          <w:lang w:val="en-US"/>
        </w:rPr>
        <w:t>rynke</w:t>
      </w:r>
      <w:r w:rsidR="006C680D" w:rsidRPr="00D337FA">
        <w:rPr>
          <w:i/>
          <w:lang w:val="en-US"/>
        </w:rPr>
        <w:t xml:space="preserve"> </w:t>
      </w:r>
      <w:r w:rsidR="00A44E79" w:rsidRPr="00D337FA">
        <w:rPr>
          <w:i/>
          <w:lang w:val="en-US"/>
        </w:rPr>
        <w:t>finansovyh</w:t>
      </w:r>
      <w:r w:rsidR="006C680D" w:rsidRPr="00D337FA">
        <w:rPr>
          <w:i/>
          <w:lang w:val="en-US"/>
        </w:rPr>
        <w:t xml:space="preserve"> </w:t>
      </w:r>
      <w:r w:rsidR="00A44E79" w:rsidRPr="00D337FA">
        <w:rPr>
          <w:i/>
          <w:lang w:val="en-US"/>
        </w:rPr>
        <w:t>uslug</w:t>
      </w:r>
      <w:r w:rsidR="006C680D" w:rsidRPr="00D337FA">
        <w:rPr>
          <w:i/>
          <w:lang w:val="en-US"/>
        </w:rPr>
        <w:t xml:space="preserve"> </w:t>
      </w:r>
      <w:r w:rsidR="00A44E79" w:rsidRPr="00D337FA">
        <w:rPr>
          <w:i/>
          <w:lang w:val="en-US"/>
        </w:rPr>
        <w:t>[</w:t>
      </w:r>
      <w:r w:rsidRPr="00D337FA">
        <w:rPr>
          <w:i/>
          <w:lang w:val="en-US"/>
        </w:rPr>
        <w:t>The</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Sector</w:t>
      </w:r>
      <w:r w:rsidR="006C680D" w:rsidRPr="00D337FA">
        <w:rPr>
          <w:i/>
          <w:lang w:val="en-US"/>
        </w:rPr>
        <w:t xml:space="preserve"> </w:t>
      </w:r>
      <w:r w:rsidRPr="00D337FA">
        <w:rPr>
          <w:i/>
          <w:lang w:val="en-US"/>
        </w:rPr>
        <w:t>Consolidation</w:t>
      </w:r>
      <w:r w:rsidR="006C680D" w:rsidRPr="00D337FA">
        <w:rPr>
          <w:i/>
          <w:lang w:val="en-US"/>
        </w:rPr>
        <w:t xml:space="preserve"> </w:t>
      </w:r>
      <w:r w:rsidRPr="00D337FA">
        <w:rPr>
          <w:i/>
          <w:lang w:val="en-US"/>
        </w:rPr>
        <w:t>Fund</w:t>
      </w:r>
      <w:r w:rsidR="006C680D" w:rsidRPr="00D337FA">
        <w:rPr>
          <w:i/>
          <w:lang w:val="en-US"/>
        </w:rPr>
        <w:t xml:space="preserve"> </w:t>
      </w:r>
      <w:r w:rsidRPr="00D337FA">
        <w:rPr>
          <w:i/>
          <w:lang w:val="en-US"/>
        </w:rPr>
        <w:t>as</w:t>
      </w:r>
      <w:r w:rsidR="006C680D" w:rsidRPr="00D337FA">
        <w:rPr>
          <w:i/>
          <w:lang w:val="en-US"/>
        </w:rPr>
        <w:t xml:space="preserve"> </w:t>
      </w:r>
      <w:r w:rsidRPr="00D337FA">
        <w:rPr>
          <w:i/>
          <w:lang w:val="en-US"/>
        </w:rPr>
        <w:t>a</w:t>
      </w:r>
      <w:r w:rsidR="006C680D" w:rsidRPr="00D337FA">
        <w:rPr>
          <w:i/>
          <w:lang w:val="en-US"/>
        </w:rPr>
        <w:t xml:space="preserve"> </w:t>
      </w:r>
      <w:r w:rsidRPr="00D337FA">
        <w:rPr>
          <w:i/>
          <w:lang w:val="en-US"/>
        </w:rPr>
        <w:t>Tool</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Improving</w:t>
      </w:r>
      <w:r w:rsidR="006C680D" w:rsidRPr="00D337FA">
        <w:rPr>
          <w:i/>
          <w:lang w:val="en-US"/>
        </w:rPr>
        <w:t xml:space="preserve"> </w:t>
      </w:r>
      <w:r w:rsidRPr="00D337FA">
        <w:rPr>
          <w:i/>
          <w:lang w:val="en-US"/>
        </w:rPr>
        <w:t>Security</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Financial</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Market</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Ekonomicheskaya</w:t>
      </w:r>
      <w:r w:rsidR="006C680D" w:rsidRPr="00D337FA">
        <w:rPr>
          <w:i/>
          <w:lang w:val="en-US"/>
        </w:rPr>
        <w:t xml:space="preserve"> </w:t>
      </w:r>
      <w:r w:rsidR="00A44E79" w:rsidRPr="00D337FA">
        <w:rPr>
          <w:i/>
          <w:lang w:val="en-US"/>
        </w:rPr>
        <w:t>bezopasnost'</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Economic</w:t>
      </w:r>
      <w:r w:rsidR="006C680D" w:rsidRPr="00D337FA">
        <w:rPr>
          <w:i/>
          <w:lang w:val="en-US"/>
        </w:rPr>
        <w:t xml:space="preserve"> </w:t>
      </w:r>
      <w:r w:rsidRPr="00D337FA">
        <w:rPr>
          <w:i/>
          <w:lang w:val="en-US"/>
        </w:rPr>
        <w:t>Security.</w:t>
      </w:r>
      <w:r w:rsidR="006C680D" w:rsidRPr="00D337FA">
        <w:rPr>
          <w:i/>
          <w:lang w:val="en-US"/>
        </w:rPr>
        <w:t xml:space="preserve"> </w:t>
      </w:r>
      <w:r w:rsidRPr="00D337FA">
        <w:rPr>
          <w:i/>
          <w:lang w:val="en-US"/>
        </w:rPr>
        <w:t>2020.</w:t>
      </w:r>
      <w:r w:rsidR="006C680D" w:rsidRPr="00D337FA">
        <w:rPr>
          <w:i/>
          <w:lang w:val="en-US"/>
        </w:rPr>
        <w:t xml:space="preserve"> </w:t>
      </w:r>
      <w:r w:rsidRPr="00D337FA">
        <w:rPr>
          <w:i/>
          <w:lang w:val="en-US"/>
        </w:rPr>
        <w:t>Vol.</w:t>
      </w:r>
      <w:r w:rsidR="006C680D" w:rsidRPr="00D337FA">
        <w:rPr>
          <w:i/>
          <w:lang w:val="en-US"/>
        </w:rPr>
        <w:t xml:space="preserve"> </w:t>
      </w:r>
      <w:r w:rsidRPr="00D337FA">
        <w:rPr>
          <w:i/>
          <w:lang w:val="en-US"/>
        </w:rPr>
        <w:t>3.</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1.</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41-52.</w:t>
      </w:r>
    </w:p>
    <w:p w:rsidR="00273E3F" w:rsidRPr="00D337FA" w:rsidRDefault="00273E3F" w:rsidP="00273E3F">
      <w:pPr>
        <w:rPr>
          <w:i/>
          <w:lang w:val="en-US"/>
        </w:rPr>
      </w:pPr>
      <w:r w:rsidRPr="00D337FA">
        <w:rPr>
          <w:i/>
          <w:lang w:val="en-US"/>
        </w:rPr>
        <w:t>11.</w:t>
      </w:r>
      <w:r w:rsidR="006C680D" w:rsidRPr="00D337FA">
        <w:rPr>
          <w:i/>
          <w:lang w:val="en-US"/>
        </w:rPr>
        <w:t xml:space="preserve"> </w:t>
      </w:r>
      <w:r w:rsidRPr="00D337FA">
        <w:rPr>
          <w:i/>
          <w:lang w:val="en-US"/>
        </w:rPr>
        <w:t>Volkova</w:t>
      </w:r>
      <w:r w:rsidR="006C680D" w:rsidRPr="00D337FA">
        <w:rPr>
          <w:i/>
          <w:lang w:val="en-US"/>
        </w:rPr>
        <w:t xml:space="preserve"> </w:t>
      </w:r>
      <w:r w:rsidRPr="00D337FA">
        <w:rPr>
          <w:i/>
          <w:lang w:val="en-US"/>
        </w:rPr>
        <w:t>A.V.</w:t>
      </w:r>
      <w:r w:rsidR="006C680D" w:rsidRPr="00D337FA">
        <w:rPr>
          <w:i/>
          <w:lang w:val="en-US"/>
        </w:rPr>
        <w:t xml:space="preserve"> </w:t>
      </w:r>
      <w:r w:rsidR="00A44E79" w:rsidRPr="00D337FA">
        <w:rPr>
          <w:i/>
          <w:lang w:val="en-US"/>
        </w:rPr>
        <w:t>Praktika</w:t>
      </w:r>
      <w:r w:rsidR="006C680D" w:rsidRPr="00D337FA">
        <w:rPr>
          <w:i/>
          <w:lang w:val="en-US"/>
        </w:rPr>
        <w:t xml:space="preserve"> </w:t>
      </w:r>
      <w:r w:rsidR="00A44E79" w:rsidRPr="00D337FA">
        <w:rPr>
          <w:i/>
          <w:lang w:val="en-US"/>
        </w:rPr>
        <w:t>sanacii</w:t>
      </w:r>
      <w:r w:rsidR="006C680D" w:rsidRPr="00D337FA">
        <w:rPr>
          <w:i/>
          <w:lang w:val="en-US"/>
        </w:rPr>
        <w:t xml:space="preserve"> </w:t>
      </w:r>
      <w:r w:rsidR="00A44E79" w:rsidRPr="00D337FA">
        <w:rPr>
          <w:i/>
          <w:lang w:val="en-US"/>
        </w:rPr>
        <w:t>kreditnyh</w:t>
      </w:r>
      <w:r w:rsidR="006C680D" w:rsidRPr="00D337FA">
        <w:rPr>
          <w:i/>
          <w:lang w:val="en-US"/>
        </w:rPr>
        <w:t xml:space="preserve"> </w:t>
      </w:r>
      <w:r w:rsidR="00A44E79" w:rsidRPr="00D337FA">
        <w:rPr>
          <w:i/>
          <w:lang w:val="en-US"/>
        </w:rPr>
        <w:t>organizacij</w:t>
      </w:r>
      <w:r w:rsidR="006C680D" w:rsidRPr="00D337FA">
        <w:rPr>
          <w:i/>
          <w:lang w:val="en-US"/>
        </w:rPr>
        <w:t xml:space="preserve"> </w:t>
      </w:r>
      <w:r w:rsidR="00A44E79" w:rsidRPr="00D337FA">
        <w:rPr>
          <w:i/>
          <w:lang w:val="en-US"/>
        </w:rPr>
        <w:t>v</w:t>
      </w:r>
      <w:r w:rsidR="006C680D" w:rsidRPr="00D337FA">
        <w:rPr>
          <w:i/>
          <w:lang w:val="en-US"/>
        </w:rPr>
        <w:t xml:space="preserve"> </w:t>
      </w:r>
      <w:r w:rsidR="00A44E79" w:rsidRPr="00D337FA">
        <w:rPr>
          <w:i/>
          <w:lang w:val="en-US"/>
        </w:rPr>
        <w:t>RF</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ee</w:t>
      </w:r>
      <w:r w:rsidR="006C680D" w:rsidRPr="00D337FA">
        <w:rPr>
          <w:i/>
          <w:lang w:val="en-US"/>
        </w:rPr>
        <w:t xml:space="preserve"> </w:t>
      </w:r>
      <w:r w:rsidR="00A44E79" w:rsidRPr="00D337FA">
        <w:rPr>
          <w:i/>
          <w:lang w:val="en-US"/>
        </w:rPr>
        <w:t>effektivnost'</w:t>
      </w:r>
      <w:r w:rsidR="006C680D" w:rsidRPr="00D337FA">
        <w:rPr>
          <w:i/>
          <w:lang w:val="en-US"/>
        </w:rPr>
        <w:t xml:space="preserve"> </w:t>
      </w:r>
      <w:r w:rsidR="00A44E79" w:rsidRPr="00D337FA">
        <w:rPr>
          <w:i/>
          <w:lang w:val="en-US"/>
        </w:rPr>
        <w:t>[</w:t>
      </w:r>
      <w:r w:rsidRPr="00D337FA">
        <w:rPr>
          <w:i/>
          <w:lang w:val="en-US"/>
        </w:rPr>
        <w:t>The</w:t>
      </w:r>
      <w:r w:rsidR="006C680D" w:rsidRPr="00D337FA">
        <w:rPr>
          <w:i/>
          <w:lang w:val="en-US"/>
        </w:rPr>
        <w:t xml:space="preserve"> </w:t>
      </w:r>
      <w:r w:rsidRPr="00D337FA">
        <w:rPr>
          <w:i/>
          <w:lang w:val="en-US"/>
        </w:rPr>
        <w:t>Practice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Rehabilitation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Credit</w:t>
      </w:r>
      <w:r w:rsidR="006C680D" w:rsidRPr="00D337FA">
        <w:rPr>
          <w:i/>
          <w:lang w:val="en-US"/>
        </w:rPr>
        <w:t xml:space="preserve"> </w:t>
      </w:r>
      <w:r w:rsidRPr="00D337FA">
        <w:rPr>
          <w:i/>
          <w:lang w:val="en-US"/>
        </w:rPr>
        <w:t>Institutions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Russian</w:t>
      </w:r>
      <w:r w:rsidR="006C680D" w:rsidRPr="00D337FA">
        <w:rPr>
          <w:i/>
          <w:lang w:val="en-US"/>
        </w:rPr>
        <w:t xml:space="preserve"> </w:t>
      </w:r>
      <w:r w:rsidRPr="00D337FA">
        <w:rPr>
          <w:i/>
          <w:lang w:val="en-US"/>
        </w:rPr>
        <w:t>Federation</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Its</w:t>
      </w:r>
      <w:r w:rsidR="006C680D" w:rsidRPr="00D337FA">
        <w:rPr>
          <w:i/>
          <w:lang w:val="en-US"/>
        </w:rPr>
        <w:t xml:space="preserve"> </w:t>
      </w:r>
      <w:r w:rsidRPr="00D337FA">
        <w:rPr>
          <w:i/>
          <w:lang w:val="en-US"/>
        </w:rPr>
        <w:t>Effectiveness</w:t>
      </w:r>
      <w:r w:rsidR="00A44E79" w:rsidRPr="00D337FA">
        <w:rPr>
          <w:i/>
          <w:lang w:val="en-US"/>
        </w:rPr>
        <w:t>]</w:t>
      </w:r>
      <w:r w:rsidR="006C680D" w:rsidRPr="00D337FA">
        <w:rPr>
          <w:i/>
          <w:lang w:val="en-US"/>
        </w:rPr>
        <w:t xml:space="preserve"> </w:t>
      </w:r>
      <w:r w:rsidRPr="00D337FA">
        <w:rPr>
          <w:i/>
          <w:lang w:val="en-US"/>
        </w:rPr>
        <w:t>//</w:t>
      </w:r>
      <w:r w:rsidR="00A44E79" w:rsidRPr="00D337FA">
        <w:rPr>
          <w:i/>
          <w:lang w:val="en-US"/>
        </w:rPr>
        <w:t>Molodoj</w:t>
      </w:r>
      <w:r w:rsidR="006C680D" w:rsidRPr="00D337FA">
        <w:rPr>
          <w:i/>
          <w:lang w:val="en-US"/>
        </w:rPr>
        <w:t xml:space="preserve"> </w:t>
      </w:r>
      <w:r w:rsidR="00A44E79" w:rsidRPr="00D337FA">
        <w:rPr>
          <w:i/>
          <w:lang w:val="en-US"/>
        </w:rPr>
        <w:t>uchenyj</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Young</w:t>
      </w:r>
      <w:r w:rsidR="006C680D" w:rsidRPr="00D337FA">
        <w:rPr>
          <w:i/>
          <w:lang w:val="en-US"/>
        </w:rPr>
        <w:t xml:space="preserve"> </w:t>
      </w:r>
      <w:r w:rsidRPr="00D337FA">
        <w:rPr>
          <w:i/>
          <w:lang w:val="en-US"/>
        </w:rPr>
        <w:t>Scientist.</w:t>
      </w:r>
      <w:r w:rsidR="006C680D" w:rsidRPr="00D337FA">
        <w:rPr>
          <w:i/>
          <w:lang w:val="en-US"/>
        </w:rPr>
        <w:t xml:space="preserve"> </w:t>
      </w:r>
      <w:r w:rsidRPr="00D337FA">
        <w:rPr>
          <w:i/>
          <w:lang w:val="en-US"/>
        </w:rPr>
        <w:t>2016.</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9</w:t>
      </w:r>
      <w:r w:rsidR="006C680D" w:rsidRPr="00D337FA">
        <w:rPr>
          <w:i/>
          <w:lang w:val="en-US"/>
        </w:rPr>
        <w:t xml:space="preserve"> </w:t>
      </w:r>
      <w:r w:rsidRPr="00D337FA">
        <w:rPr>
          <w:i/>
          <w:lang w:val="en-US"/>
        </w:rPr>
        <w:t>(113).</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516-520.</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https://moluch.ru/archive/113/29248</w:t>
      </w:r>
      <w:r w:rsidR="006C680D" w:rsidRPr="00D337FA">
        <w:rPr>
          <w:i/>
          <w:lang w:val="en-US"/>
        </w:rPr>
        <w:t xml:space="preserve"> </w:t>
      </w:r>
      <w:r w:rsidRPr="00D337FA">
        <w:rPr>
          <w:i/>
          <w:lang w:val="en-US"/>
        </w:rPr>
        <w:t>(date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access:</w:t>
      </w:r>
      <w:r w:rsidR="006C680D" w:rsidRPr="00D337FA">
        <w:rPr>
          <w:i/>
          <w:lang w:val="en-US"/>
        </w:rPr>
        <w:t xml:space="preserve"> </w:t>
      </w:r>
      <w:r w:rsidRPr="00D337FA">
        <w:rPr>
          <w:i/>
          <w:lang w:val="en-US"/>
        </w:rPr>
        <w:t>12.01.2026).</w:t>
      </w:r>
    </w:p>
    <w:p w:rsidR="00273E3F" w:rsidRPr="00D337FA" w:rsidRDefault="00273E3F" w:rsidP="00273E3F">
      <w:pPr>
        <w:rPr>
          <w:i/>
          <w:lang w:val="en-US"/>
        </w:rPr>
      </w:pPr>
      <w:r w:rsidRPr="00D337FA">
        <w:rPr>
          <w:i/>
          <w:lang w:val="en-US"/>
        </w:rPr>
        <w:t>12.</w:t>
      </w:r>
      <w:r w:rsidR="006C680D" w:rsidRPr="00D337FA">
        <w:rPr>
          <w:i/>
          <w:lang w:val="en-US"/>
        </w:rPr>
        <w:t xml:space="preserve"> </w:t>
      </w:r>
      <w:r w:rsidR="00A44E79" w:rsidRPr="00D337FA">
        <w:rPr>
          <w:i/>
          <w:lang w:val="en-US"/>
        </w:rPr>
        <w:t>Godovoj</w:t>
      </w:r>
      <w:r w:rsidR="006C680D" w:rsidRPr="00D337FA">
        <w:rPr>
          <w:i/>
          <w:lang w:val="en-US"/>
        </w:rPr>
        <w:t xml:space="preserve"> </w:t>
      </w:r>
      <w:r w:rsidR="00A44E79" w:rsidRPr="00D337FA">
        <w:rPr>
          <w:i/>
          <w:lang w:val="en-US"/>
        </w:rPr>
        <w:t>otchet</w:t>
      </w:r>
      <w:r w:rsidR="006C680D" w:rsidRPr="00D337FA">
        <w:rPr>
          <w:i/>
          <w:lang w:val="en-US"/>
        </w:rPr>
        <w:t xml:space="preserve"> </w:t>
      </w:r>
      <w:r w:rsidR="00A44E79" w:rsidRPr="00D337FA">
        <w:rPr>
          <w:i/>
          <w:lang w:val="en-US"/>
        </w:rPr>
        <w:t>Banka</w:t>
      </w:r>
      <w:r w:rsidR="006C680D" w:rsidRPr="00D337FA">
        <w:rPr>
          <w:i/>
          <w:lang w:val="en-US"/>
        </w:rPr>
        <w:t xml:space="preserve"> </w:t>
      </w:r>
      <w:r w:rsidR="00A44E79" w:rsidRPr="00D337FA">
        <w:rPr>
          <w:i/>
          <w:lang w:val="en-US"/>
        </w:rPr>
        <w:t>Rossii</w:t>
      </w:r>
      <w:r w:rsidR="006C680D" w:rsidRPr="00D337FA">
        <w:rPr>
          <w:i/>
          <w:lang w:val="en-US"/>
        </w:rPr>
        <w:t xml:space="preserve"> </w:t>
      </w:r>
      <w:r w:rsidR="00A44E79" w:rsidRPr="00D337FA">
        <w:rPr>
          <w:i/>
          <w:lang w:val="en-US"/>
        </w:rPr>
        <w:t>za</w:t>
      </w:r>
      <w:r w:rsidR="006C680D" w:rsidRPr="00D337FA">
        <w:rPr>
          <w:i/>
          <w:lang w:val="en-US"/>
        </w:rPr>
        <w:t xml:space="preserve"> </w:t>
      </w:r>
      <w:r w:rsidR="00A44E79" w:rsidRPr="00D337FA">
        <w:rPr>
          <w:i/>
          <w:lang w:val="en-US"/>
        </w:rPr>
        <w:t>2024</w:t>
      </w:r>
      <w:r w:rsidR="006C680D" w:rsidRPr="00D337FA">
        <w:rPr>
          <w:i/>
          <w:lang w:val="en-US"/>
        </w:rPr>
        <w:t xml:space="preserve"> </w:t>
      </w:r>
      <w:r w:rsidR="00A44E79" w:rsidRPr="00D337FA">
        <w:rPr>
          <w:i/>
          <w:lang w:val="en-US"/>
        </w:rPr>
        <w:t>god.</w:t>
      </w:r>
      <w:r w:rsidR="006C680D" w:rsidRPr="00D337FA">
        <w:rPr>
          <w:i/>
          <w:lang w:val="en-US"/>
        </w:rPr>
        <w:t xml:space="preserve"> </w:t>
      </w:r>
      <w:r w:rsidR="00A44E79" w:rsidRPr="00D337FA">
        <w:rPr>
          <w:i/>
          <w:lang w:val="en-US"/>
        </w:rPr>
        <w:t>Bank</w:t>
      </w:r>
      <w:r w:rsidR="006C680D" w:rsidRPr="00D337FA">
        <w:rPr>
          <w:i/>
          <w:lang w:val="en-US"/>
        </w:rPr>
        <w:t xml:space="preserve"> </w:t>
      </w:r>
      <w:r w:rsidR="00A44E79" w:rsidRPr="00D337FA">
        <w:rPr>
          <w:i/>
          <w:lang w:val="en-US"/>
        </w:rPr>
        <w:t>Rossii</w:t>
      </w:r>
      <w:r w:rsidR="006C680D" w:rsidRPr="00D337FA">
        <w:rPr>
          <w:i/>
          <w:lang w:val="en-US"/>
        </w:rPr>
        <w:t xml:space="preserve"> </w:t>
      </w:r>
      <w:r w:rsidR="00A44E79" w:rsidRPr="00D337FA">
        <w:rPr>
          <w:i/>
          <w:lang w:val="en-US"/>
        </w:rPr>
        <w:t>[</w:t>
      </w:r>
      <w:r w:rsidRPr="00D337FA">
        <w:rPr>
          <w:i/>
          <w:lang w:val="en-US"/>
        </w:rPr>
        <w:t>Annual</w:t>
      </w:r>
      <w:r w:rsidR="006C680D" w:rsidRPr="00D337FA">
        <w:rPr>
          <w:i/>
          <w:lang w:val="en-US"/>
        </w:rPr>
        <w:t xml:space="preserve"> </w:t>
      </w:r>
      <w:r w:rsidRPr="00D337FA">
        <w:rPr>
          <w:i/>
          <w:lang w:val="en-US"/>
        </w:rPr>
        <w:t>Report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Bank</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Russia</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2024.</w:t>
      </w:r>
      <w:r w:rsidR="006C680D" w:rsidRPr="00D337FA">
        <w:rPr>
          <w:i/>
          <w:lang w:val="en-US"/>
        </w:rPr>
        <w:t xml:space="preserve"> </w:t>
      </w:r>
      <w:r w:rsidRPr="00D337FA">
        <w:rPr>
          <w:i/>
          <w:lang w:val="en-US"/>
        </w:rPr>
        <w:t>Bank</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Russia</w:t>
      </w:r>
      <w:r w:rsidR="00A44E79" w:rsidRPr="00D337FA">
        <w:rPr>
          <w:i/>
          <w:lang w:val="en-US"/>
        </w:rPr>
        <w:t>]</w:t>
      </w:r>
      <w:r w:rsidRPr="00D337FA">
        <w:rPr>
          <w:i/>
          <w:lang w:val="en-US"/>
        </w:rPr>
        <w:t>.</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https://cbr.ru/Collection/Collection/File/55239/ar_2024.pdf</w:t>
      </w:r>
      <w:r w:rsidR="006C680D" w:rsidRPr="00D337FA">
        <w:rPr>
          <w:i/>
          <w:lang w:val="en-US"/>
        </w:rPr>
        <w:t xml:space="preserve"> </w:t>
      </w:r>
      <w:r w:rsidRPr="00D337FA">
        <w:rPr>
          <w:i/>
          <w:lang w:val="en-US"/>
        </w:rPr>
        <w:t>(accessed</w:t>
      </w:r>
      <w:r w:rsidR="006C680D" w:rsidRPr="00D337FA">
        <w:rPr>
          <w:i/>
          <w:lang w:val="en-US"/>
        </w:rPr>
        <w:t xml:space="preserve"> </w:t>
      </w:r>
      <w:r w:rsidRPr="00D337FA">
        <w:rPr>
          <w:i/>
          <w:lang w:val="en-US"/>
        </w:rPr>
        <w:t>on</w:t>
      </w:r>
      <w:r w:rsidR="006C680D" w:rsidRPr="00D337FA">
        <w:rPr>
          <w:i/>
          <w:lang w:val="en-US"/>
        </w:rPr>
        <w:t xml:space="preserve"> </w:t>
      </w:r>
      <w:r w:rsidRPr="00D337FA">
        <w:rPr>
          <w:i/>
          <w:lang w:val="en-US"/>
        </w:rPr>
        <w:t>27.01.2026).</w:t>
      </w:r>
    </w:p>
    <w:p w:rsidR="00273E3F" w:rsidRPr="00D337FA" w:rsidRDefault="00273E3F" w:rsidP="00273E3F">
      <w:pPr>
        <w:rPr>
          <w:i/>
          <w:lang w:val="en-US"/>
        </w:rPr>
      </w:pPr>
      <w:r w:rsidRPr="00D337FA">
        <w:rPr>
          <w:i/>
          <w:lang w:val="en-US"/>
        </w:rPr>
        <w:t>13.</w:t>
      </w:r>
      <w:r w:rsidR="006C680D" w:rsidRPr="00D337FA">
        <w:rPr>
          <w:i/>
          <w:lang w:val="en-US"/>
        </w:rPr>
        <w:t xml:space="preserve"> </w:t>
      </w:r>
      <w:r w:rsidRPr="00D337FA">
        <w:rPr>
          <w:i/>
          <w:lang w:val="en-US"/>
        </w:rPr>
        <w:t>Ryabov</w:t>
      </w:r>
      <w:r w:rsidR="006C680D" w:rsidRPr="00D337FA">
        <w:rPr>
          <w:i/>
          <w:lang w:val="en-US"/>
        </w:rPr>
        <w:t xml:space="preserve"> </w:t>
      </w:r>
      <w:r w:rsidRPr="00D337FA">
        <w:rPr>
          <w:i/>
          <w:lang w:val="en-US"/>
        </w:rPr>
        <w:t>D.</w:t>
      </w:r>
      <w:r w:rsidR="006C680D" w:rsidRPr="00D337FA">
        <w:rPr>
          <w:i/>
          <w:lang w:val="en-US"/>
        </w:rPr>
        <w:t xml:space="preserve"> </w:t>
      </w:r>
      <w:r w:rsidRPr="00D337FA">
        <w:rPr>
          <w:i/>
          <w:lang w:val="en-US"/>
        </w:rPr>
        <w:t>Yu.</w:t>
      </w:r>
      <w:r w:rsidR="006C680D" w:rsidRPr="00D337FA">
        <w:rPr>
          <w:i/>
          <w:lang w:val="en-US"/>
        </w:rPr>
        <w:t xml:space="preserve"> </w:t>
      </w:r>
      <w:r w:rsidR="00A44E79" w:rsidRPr="00D337FA">
        <w:rPr>
          <w:i/>
          <w:lang w:val="en-US"/>
        </w:rPr>
        <w:t>Novyj</w:t>
      </w:r>
      <w:r w:rsidR="006C680D" w:rsidRPr="00D337FA">
        <w:rPr>
          <w:i/>
          <w:lang w:val="en-US"/>
        </w:rPr>
        <w:t xml:space="preserve"> </w:t>
      </w:r>
      <w:r w:rsidR="00A44E79" w:rsidRPr="00D337FA">
        <w:rPr>
          <w:i/>
          <w:lang w:val="en-US"/>
        </w:rPr>
        <w:t>mekhanizm</w:t>
      </w:r>
      <w:r w:rsidR="006C680D" w:rsidRPr="00D337FA">
        <w:rPr>
          <w:i/>
          <w:lang w:val="en-US"/>
        </w:rPr>
        <w:t xml:space="preserve"> </w:t>
      </w:r>
      <w:r w:rsidR="00A44E79" w:rsidRPr="00D337FA">
        <w:rPr>
          <w:i/>
          <w:lang w:val="en-US"/>
        </w:rPr>
        <w:t>sanacii</w:t>
      </w:r>
      <w:r w:rsidR="006C680D" w:rsidRPr="00D337FA">
        <w:rPr>
          <w:i/>
          <w:lang w:val="en-US"/>
        </w:rPr>
        <w:t xml:space="preserve"> </w:t>
      </w:r>
      <w:r w:rsidR="00A44E79" w:rsidRPr="00D337FA">
        <w:rPr>
          <w:i/>
          <w:lang w:val="en-US"/>
        </w:rPr>
        <w:t>Bankom</w:t>
      </w:r>
      <w:r w:rsidR="006C680D" w:rsidRPr="00D337FA">
        <w:rPr>
          <w:i/>
          <w:lang w:val="en-US"/>
        </w:rPr>
        <w:t xml:space="preserve"> </w:t>
      </w:r>
      <w:r w:rsidR="00A44E79" w:rsidRPr="00D337FA">
        <w:rPr>
          <w:i/>
          <w:lang w:val="en-US"/>
        </w:rPr>
        <w:t>Rossii</w:t>
      </w:r>
      <w:r w:rsidR="006C680D" w:rsidRPr="00D337FA">
        <w:rPr>
          <w:i/>
          <w:lang w:val="en-US"/>
        </w:rPr>
        <w:t xml:space="preserve"> </w:t>
      </w:r>
      <w:r w:rsidR="00A44E79" w:rsidRPr="00D337FA">
        <w:rPr>
          <w:i/>
          <w:lang w:val="en-US"/>
        </w:rPr>
        <w:t>kommercheskih</w:t>
      </w:r>
      <w:r w:rsidR="006C680D" w:rsidRPr="00D337FA">
        <w:rPr>
          <w:i/>
          <w:lang w:val="en-US"/>
        </w:rPr>
        <w:t xml:space="preserve"> </w:t>
      </w:r>
      <w:r w:rsidR="00A44E79" w:rsidRPr="00D337FA">
        <w:rPr>
          <w:i/>
          <w:lang w:val="en-US"/>
        </w:rPr>
        <w:t>bankov:</w:t>
      </w:r>
      <w:r w:rsidR="006C680D" w:rsidRPr="00D337FA">
        <w:rPr>
          <w:i/>
          <w:lang w:val="en-US"/>
        </w:rPr>
        <w:t xml:space="preserve"> </w:t>
      </w:r>
      <w:r w:rsidR="00A44E79" w:rsidRPr="00D337FA">
        <w:rPr>
          <w:i/>
          <w:lang w:val="en-US"/>
        </w:rPr>
        <w:t>prichiny</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celi</w:t>
      </w:r>
      <w:r w:rsidR="006C680D" w:rsidRPr="00D337FA">
        <w:rPr>
          <w:i/>
          <w:lang w:val="en-US"/>
        </w:rPr>
        <w:t xml:space="preserve"> </w:t>
      </w:r>
      <w:r w:rsidR="00A44E79" w:rsidRPr="00D337FA">
        <w:rPr>
          <w:i/>
          <w:lang w:val="en-US"/>
        </w:rPr>
        <w:t>izmenenij</w:t>
      </w:r>
      <w:r w:rsidR="006C680D" w:rsidRPr="00D337FA">
        <w:rPr>
          <w:i/>
          <w:lang w:val="en-US"/>
        </w:rPr>
        <w:t xml:space="preserve"> </w:t>
      </w:r>
      <w:r w:rsidR="00A44E79" w:rsidRPr="00D337FA">
        <w:rPr>
          <w:i/>
          <w:lang w:val="en-US"/>
        </w:rPr>
        <w:t>[</w:t>
      </w:r>
      <w:r w:rsidRPr="00D337FA">
        <w:rPr>
          <w:i/>
          <w:lang w:val="en-US"/>
        </w:rPr>
        <w:t>New</w:t>
      </w:r>
      <w:r w:rsidR="006C680D" w:rsidRPr="00D337FA">
        <w:rPr>
          <w:i/>
          <w:lang w:val="en-US"/>
        </w:rPr>
        <w:t xml:space="preserve"> </w:t>
      </w:r>
      <w:r w:rsidRPr="00D337FA">
        <w:rPr>
          <w:i/>
          <w:lang w:val="en-US"/>
        </w:rPr>
        <w:t>mechanism</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resolution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commercial</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by</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Bank</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Russia:</w:t>
      </w:r>
      <w:r w:rsidR="006C680D" w:rsidRPr="00D337FA">
        <w:rPr>
          <w:i/>
          <w:lang w:val="en-US"/>
        </w:rPr>
        <w:t xml:space="preserve"> </w:t>
      </w:r>
      <w:r w:rsidRPr="00D337FA">
        <w:rPr>
          <w:i/>
          <w:lang w:val="en-US"/>
        </w:rPr>
        <w:t>reasons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goals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changes</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Pr="00D337FA">
        <w:rPr>
          <w:i/>
          <w:lang w:val="en-US"/>
        </w:rPr>
        <w:t>UEKS.</w:t>
      </w:r>
      <w:r w:rsidR="006C680D" w:rsidRPr="00D337FA">
        <w:rPr>
          <w:i/>
          <w:lang w:val="en-US"/>
        </w:rPr>
        <w:t xml:space="preserve"> </w:t>
      </w:r>
      <w:r w:rsidRPr="00D337FA">
        <w:rPr>
          <w:i/>
          <w:lang w:val="en-US"/>
        </w:rPr>
        <w:t>2017.</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4</w:t>
      </w:r>
      <w:r w:rsidR="006C680D" w:rsidRPr="00D337FA">
        <w:rPr>
          <w:i/>
          <w:lang w:val="en-US"/>
        </w:rPr>
        <w:t xml:space="preserve"> </w:t>
      </w:r>
      <w:r w:rsidRPr="00D337FA">
        <w:rPr>
          <w:i/>
          <w:lang w:val="en-US"/>
        </w:rPr>
        <w:t>(98).</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https://cyberleninka.ru/article/n/novyy-mehanizm-sanatsii-bankom-rossii-kommercheskih-bankov-prichiny-i-tseli-izmeneniy</w:t>
      </w:r>
      <w:r w:rsidR="006C680D" w:rsidRPr="00D337FA">
        <w:rPr>
          <w:i/>
          <w:lang w:val="en-US"/>
        </w:rPr>
        <w:t xml:space="preserve"> </w:t>
      </w:r>
      <w:r w:rsidRPr="00D337FA">
        <w:rPr>
          <w:i/>
          <w:lang w:val="en-US"/>
        </w:rPr>
        <w:t>(accessed</w:t>
      </w:r>
      <w:r w:rsidR="006C680D" w:rsidRPr="00D337FA">
        <w:rPr>
          <w:i/>
          <w:lang w:val="en-US"/>
        </w:rPr>
        <w:t xml:space="preserve"> </w:t>
      </w:r>
      <w:r w:rsidRPr="00D337FA">
        <w:rPr>
          <w:i/>
          <w:lang w:val="en-US"/>
        </w:rPr>
        <w:t>on</w:t>
      </w:r>
      <w:r w:rsidR="006C680D" w:rsidRPr="00D337FA">
        <w:rPr>
          <w:i/>
          <w:lang w:val="en-US"/>
        </w:rPr>
        <w:t xml:space="preserve"> </w:t>
      </w:r>
      <w:r w:rsidRPr="00D337FA">
        <w:rPr>
          <w:i/>
          <w:lang w:val="en-US"/>
        </w:rPr>
        <w:t>29.01.2026).</w:t>
      </w:r>
    </w:p>
    <w:p w:rsidR="00273E3F" w:rsidRPr="00D337FA" w:rsidRDefault="00273E3F" w:rsidP="00273E3F">
      <w:pPr>
        <w:rPr>
          <w:i/>
          <w:lang w:val="en-US"/>
        </w:rPr>
      </w:pPr>
      <w:r w:rsidRPr="00D337FA">
        <w:rPr>
          <w:i/>
          <w:lang w:val="en-US"/>
        </w:rPr>
        <w:t>14.</w:t>
      </w:r>
      <w:r w:rsidR="006C680D" w:rsidRPr="00D337FA">
        <w:rPr>
          <w:i/>
          <w:lang w:val="en-US"/>
        </w:rPr>
        <w:t xml:space="preserve"> </w:t>
      </w:r>
      <w:r w:rsidRPr="00D337FA">
        <w:rPr>
          <w:i/>
          <w:lang w:val="en-US"/>
        </w:rPr>
        <w:t>Ilyina</w:t>
      </w:r>
      <w:r w:rsidR="006C680D" w:rsidRPr="00D337FA">
        <w:rPr>
          <w:i/>
          <w:lang w:val="en-US"/>
        </w:rPr>
        <w:t xml:space="preserve"> </w:t>
      </w:r>
      <w:r w:rsidRPr="00D337FA">
        <w:rPr>
          <w:i/>
          <w:lang w:val="en-US"/>
        </w:rPr>
        <w:t>L.</w:t>
      </w:r>
      <w:r w:rsidR="006C680D" w:rsidRPr="00D337FA">
        <w:rPr>
          <w:i/>
          <w:lang w:val="en-US"/>
        </w:rPr>
        <w:t xml:space="preserve"> </w:t>
      </w:r>
      <w:r w:rsidRPr="00D337FA">
        <w:rPr>
          <w:i/>
          <w:lang w:val="en-US"/>
        </w:rPr>
        <w:t>V.,</w:t>
      </w:r>
      <w:r w:rsidR="006C680D" w:rsidRPr="00D337FA">
        <w:rPr>
          <w:i/>
          <w:lang w:val="en-US"/>
        </w:rPr>
        <w:t xml:space="preserve"> </w:t>
      </w:r>
      <w:r w:rsidRPr="00D337FA">
        <w:rPr>
          <w:i/>
          <w:lang w:val="en-US"/>
        </w:rPr>
        <w:t>Kopchenko</w:t>
      </w:r>
      <w:r w:rsidR="006C680D" w:rsidRPr="00D337FA">
        <w:rPr>
          <w:i/>
          <w:lang w:val="en-US"/>
        </w:rPr>
        <w:t xml:space="preserve"> </w:t>
      </w:r>
      <w:r w:rsidRPr="00D337FA">
        <w:rPr>
          <w:i/>
          <w:lang w:val="en-US"/>
        </w:rPr>
        <w:t>Yu.</w:t>
      </w:r>
      <w:r w:rsidR="006C680D" w:rsidRPr="00D337FA">
        <w:rPr>
          <w:i/>
          <w:lang w:val="en-US"/>
        </w:rPr>
        <w:t xml:space="preserve"> </w:t>
      </w:r>
      <w:r w:rsidRPr="00D337FA">
        <w:rPr>
          <w:i/>
          <w:lang w:val="en-US"/>
        </w:rPr>
        <w:t>E.</w:t>
      </w:r>
      <w:r w:rsidR="006C680D" w:rsidRPr="00D337FA">
        <w:rPr>
          <w:i/>
          <w:lang w:val="en-US"/>
        </w:rPr>
        <w:t xml:space="preserve"> </w:t>
      </w:r>
      <w:r w:rsidR="00A44E79" w:rsidRPr="00D337FA">
        <w:rPr>
          <w:i/>
          <w:lang w:val="en-US"/>
        </w:rPr>
        <w:t>Riski</w:t>
      </w:r>
      <w:r w:rsidR="006C680D" w:rsidRPr="00D337FA">
        <w:rPr>
          <w:i/>
          <w:lang w:val="en-US"/>
        </w:rPr>
        <w:t xml:space="preserve"> </w:t>
      </w:r>
      <w:r w:rsidR="00A44E79" w:rsidRPr="00D337FA">
        <w:rPr>
          <w:i/>
          <w:lang w:val="en-US"/>
        </w:rPr>
        <w:t>sanacii</w:t>
      </w:r>
      <w:r w:rsidR="006C680D" w:rsidRPr="00D337FA">
        <w:rPr>
          <w:i/>
          <w:lang w:val="en-US"/>
        </w:rPr>
        <w:t xml:space="preserve"> </w:t>
      </w:r>
      <w:r w:rsidR="00A44E79" w:rsidRPr="00D337FA">
        <w:rPr>
          <w:i/>
          <w:lang w:val="en-US"/>
        </w:rPr>
        <w:t>v</w:t>
      </w:r>
      <w:r w:rsidR="006C680D" w:rsidRPr="00D337FA">
        <w:rPr>
          <w:i/>
          <w:lang w:val="en-US"/>
        </w:rPr>
        <w:t xml:space="preserve"> </w:t>
      </w:r>
      <w:r w:rsidR="00A44E79" w:rsidRPr="00D337FA">
        <w:rPr>
          <w:i/>
          <w:lang w:val="en-US"/>
        </w:rPr>
        <w:t>bankovskom</w:t>
      </w:r>
      <w:r w:rsidR="006C680D" w:rsidRPr="00D337FA">
        <w:rPr>
          <w:i/>
          <w:lang w:val="en-US"/>
        </w:rPr>
        <w:t xml:space="preserve"> </w:t>
      </w:r>
      <w:r w:rsidR="00A44E79" w:rsidRPr="00D337FA">
        <w:rPr>
          <w:i/>
          <w:lang w:val="en-US"/>
        </w:rPr>
        <w:t>sektore:</w:t>
      </w:r>
      <w:r w:rsidR="006C680D" w:rsidRPr="00D337FA">
        <w:rPr>
          <w:i/>
          <w:lang w:val="en-US"/>
        </w:rPr>
        <w:t xml:space="preserve"> </w:t>
      </w:r>
      <w:r w:rsidR="00A44E79" w:rsidRPr="00D337FA">
        <w:rPr>
          <w:i/>
          <w:lang w:val="en-US"/>
        </w:rPr>
        <w:t>ponyatie</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ocenka</w:t>
      </w:r>
      <w:r w:rsidR="006C680D" w:rsidRPr="00D337FA">
        <w:rPr>
          <w:i/>
          <w:lang w:val="en-US"/>
        </w:rPr>
        <w:t xml:space="preserve"> </w:t>
      </w:r>
      <w:r w:rsidR="00A44E79" w:rsidRPr="00D337FA">
        <w:rPr>
          <w:i/>
          <w:lang w:val="en-US"/>
        </w:rPr>
        <w:t>[</w:t>
      </w:r>
      <w:r w:rsidRPr="00D337FA">
        <w:rPr>
          <w:i/>
          <w:lang w:val="en-US"/>
        </w:rPr>
        <w:t>Resolution</w:t>
      </w:r>
      <w:r w:rsidR="006C680D" w:rsidRPr="00D337FA">
        <w:rPr>
          <w:i/>
          <w:lang w:val="en-US"/>
        </w:rPr>
        <w:t xml:space="preserve"> </w:t>
      </w:r>
      <w:r w:rsidRPr="00D337FA">
        <w:rPr>
          <w:i/>
          <w:lang w:val="en-US"/>
        </w:rPr>
        <w:t>risks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sector:</w:t>
      </w:r>
      <w:r w:rsidR="006C680D" w:rsidRPr="00D337FA">
        <w:rPr>
          <w:i/>
          <w:lang w:val="en-US"/>
        </w:rPr>
        <w:t xml:space="preserve"> </w:t>
      </w:r>
      <w:r w:rsidRPr="00D337FA">
        <w:rPr>
          <w:i/>
          <w:lang w:val="en-US"/>
        </w:rPr>
        <w:t>concept</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assessment</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Matematicheskoe</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komp'yuternoe</w:t>
      </w:r>
      <w:r w:rsidR="006C680D" w:rsidRPr="00D337FA">
        <w:rPr>
          <w:i/>
          <w:lang w:val="en-US"/>
        </w:rPr>
        <w:t xml:space="preserve"> </w:t>
      </w:r>
      <w:r w:rsidR="00A44E79" w:rsidRPr="00D337FA">
        <w:rPr>
          <w:i/>
          <w:lang w:val="en-US"/>
        </w:rPr>
        <w:lastRenderedPageBreak/>
        <w:t>modelirovanie</w:t>
      </w:r>
      <w:r w:rsidR="006C680D" w:rsidRPr="00D337FA">
        <w:rPr>
          <w:i/>
          <w:lang w:val="en-US"/>
        </w:rPr>
        <w:t xml:space="preserve"> </w:t>
      </w:r>
      <w:r w:rsidR="00A44E79" w:rsidRPr="00D337FA">
        <w:rPr>
          <w:i/>
          <w:lang w:val="en-US"/>
        </w:rPr>
        <w:t>v</w:t>
      </w:r>
      <w:r w:rsidR="006C680D" w:rsidRPr="00D337FA">
        <w:rPr>
          <w:i/>
          <w:lang w:val="en-US"/>
        </w:rPr>
        <w:t xml:space="preserve"> </w:t>
      </w:r>
      <w:r w:rsidR="00A44E79" w:rsidRPr="00D337FA">
        <w:rPr>
          <w:i/>
          <w:lang w:val="en-US"/>
        </w:rPr>
        <w:t>ekonomike,</w:t>
      </w:r>
      <w:r w:rsidR="006C680D" w:rsidRPr="00D337FA">
        <w:rPr>
          <w:i/>
          <w:lang w:val="en-US"/>
        </w:rPr>
        <w:t xml:space="preserve"> </w:t>
      </w:r>
      <w:r w:rsidR="00A44E79" w:rsidRPr="00D337FA">
        <w:rPr>
          <w:i/>
          <w:lang w:val="en-US"/>
        </w:rPr>
        <w:t>strahovanii</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upravlenii</w:t>
      </w:r>
      <w:r w:rsidR="006C680D" w:rsidRPr="00D337FA">
        <w:rPr>
          <w:i/>
          <w:lang w:val="en-US"/>
        </w:rPr>
        <w:t xml:space="preserve"> </w:t>
      </w:r>
      <w:r w:rsidR="00A44E79" w:rsidRPr="00D337FA">
        <w:rPr>
          <w:i/>
          <w:lang w:val="en-US"/>
        </w:rPr>
        <w:t>riskami</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Mathematical</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computer</w:t>
      </w:r>
      <w:r w:rsidR="006C680D" w:rsidRPr="00D337FA">
        <w:rPr>
          <w:i/>
          <w:lang w:val="en-US"/>
        </w:rPr>
        <w:t xml:space="preserve"> </w:t>
      </w:r>
      <w:r w:rsidRPr="00D337FA">
        <w:rPr>
          <w:i/>
          <w:lang w:val="en-US"/>
        </w:rPr>
        <w:t>modeling</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economics,</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risk</w:t>
      </w:r>
      <w:r w:rsidR="006C680D" w:rsidRPr="00D337FA">
        <w:rPr>
          <w:i/>
          <w:lang w:val="en-US"/>
        </w:rPr>
        <w:t xml:space="preserve"> </w:t>
      </w:r>
      <w:r w:rsidRPr="00D337FA">
        <w:rPr>
          <w:i/>
          <w:lang w:val="en-US"/>
        </w:rPr>
        <w:t>management.</w:t>
      </w:r>
      <w:r w:rsidR="006C680D" w:rsidRPr="00D337FA">
        <w:rPr>
          <w:i/>
          <w:lang w:val="en-US"/>
        </w:rPr>
        <w:t xml:space="preserve"> </w:t>
      </w:r>
      <w:r w:rsidRPr="00D337FA">
        <w:rPr>
          <w:i/>
          <w:lang w:val="en-US"/>
        </w:rPr>
        <w:t>2021.</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6.</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208-212.</w:t>
      </w:r>
    </w:p>
    <w:p w:rsidR="00273E3F" w:rsidRPr="00D337FA" w:rsidRDefault="00273E3F" w:rsidP="00273E3F">
      <w:pPr>
        <w:rPr>
          <w:i/>
          <w:lang w:val="en-US"/>
        </w:rPr>
      </w:pPr>
      <w:r w:rsidRPr="00D337FA">
        <w:rPr>
          <w:i/>
          <w:lang w:val="en-US"/>
        </w:rPr>
        <w:t>15.</w:t>
      </w:r>
      <w:r w:rsidR="006C680D" w:rsidRPr="00D337FA">
        <w:rPr>
          <w:i/>
          <w:lang w:val="en-US"/>
        </w:rPr>
        <w:t xml:space="preserve"> </w:t>
      </w:r>
      <w:r w:rsidR="00A44E79" w:rsidRPr="00D337FA">
        <w:rPr>
          <w:i/>
          <w:lang w:val="en-US"/>
        </w:rPr>
        <w:t>Riski</w:t>
      </w:r>
      <w:r w:rsidR="006C680D" w:rsidRPr="00D337FA">
        <w:rPr>
          <w:i/>
          <w:lang w:val="en-US"/>
        </w:rPr>
        <w:t xml:space="preserve"> </w:t>
      </w:r>
      <w:r w:rsidR="00A44E79" w:rsidRPr="00D337FA">
        <w:rPr>
          <w:i/>
          <w:lang w:val="en-US"/>
        </w:rPr>
        <w:t>bankovskoj</w:t>
      </w:r>
      <w:r w:rsidR="006C680D" w:rsidRPr="00D337FA">
        <w:rPr>
          <w:i/>
          <w:lang w:val="en-US"/>
        </w:rPr>
        <w:t xml:space="preserve"> </w:t>
      </w:r>
      <w:r w:rsidR="00A44E79" w:rsidRPr="00D337FA">
        <w:rPr>
          <w:i/>
          <w:lang w:val="en-US"/>
        </w:rPr>
        <w:t>sistemy:</w:t>
      </w:r>
      <w:r w:rsidR="006C680D" w:rsidRPr="00D337FA">
        <w:rPr>
          <w:i/>
          <w:lang w:val="en-US"/>
        </w:rPr>
        <w:t xml:space="preserve"> </w:t>
      </w:r>
      <w:r w:rsidR="00A44E79" w:rsidRPr="00D337FA">
        <w:rPr>
          <w:i/>
          <w:lang w:val="en-US"/>
        </w:rPr>
        <w:t>lechenie</w:t>
      </w:r>
      <w:r w:rsidR="006C680D" w:rsidRPr="00D337FA">
        <w:rPr>
          <w:i/>
          <w:lang w:val="en-US"/>
        </w:rPr>
        <w:t xml:space="preserve"> </w:t>
      </w:r>
      <w:r w:rsidR="00A44E79" w:rsidRPr="00D337FA">
        <w:rPr>
          <w:i/>
          <w:lang w:val="en-US"/>
        </w:rPr>
        <w:t>sanatorov.</w:t>
      </w:r>
      <w:r w:rsidR="006C680D" w:rsidRPr="00D337FA">
        <w:rPr>
          <w:i/>
          <w:lang w:val="en-US"/>
        </w:rPr>
        <w:t xml:space="preserve"> </w:t>
      </w:r>
      <w:r w:rsidR="00A44E79" w:rsidRPr="00D337FA">
        <w:rPr>
          <w:i/>
          <w:lang w:val="en-US"/>
        </w:rPr>
        <w:t>Agentstvo</w:t>
      </w:r>
      <w:r w:rsidR="006C680D" w:rsidRPr="00D337FA">
        <w:rPr>
          <w:i/>
          <w:lang w:val="en-US"/>
        </w:rPr>
        <w:t xml:space="preserve"> </w:t>
      </w:r>
      <w:r w:rsidR="00A44E79" w:rsidRPr="00D337FA">
        <w:rPr>
          <w:i/>
          <w:lang w:val="en-US"/>
        </w:rPr>
        <w:t>«Ekspert</w:t>
      </w:r>
      <w:r w:rsidR="006C680D" w:rsidRPr="00D337FA">
        <w:rPr>
          <w:i/>
          <w:lang w:val="en-US"/>
        </w:rPr>
        <w:t xml:space="preserve"> </w:t>
      </w:r>
      <w:r w:rsidR="00A44E79" w:rsidRPr="00D337FA">
        <w:rPr>
          <w:i/>
          <w:lang w:val="en-US"/>
        </w:rPr>
        <w:t>RA»</w:t>
      </w:r>
      <w:r w:rsidR="006C680D" w:rsidRPr="00D337FA">
        <w:rPr>
          <w:i/>
          <w:lang w:val="en-US"/>
        </w:rPr>
        <w:t xml:space="preserve"> </w:t>
      </w:r>
      <w:r w:rsidR="00A44E79" w:rsidRPr="00D337FA">
        <w:rPr>
          <w:i/>
          <w:lang w:val="en-US"/>
        </w:rPr>
        <w:t>[</w:t>
      </w:r>
      <w:r w:rsidRPr="00D337FA">
        <w:rPr>
          <w:i/>
          <w:lang w:val="en-US"/>
        </w:rPr>
        <w:t>Risks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system:</w:t>
      </w:r>
      <w:r w:rsidR="006C680D" w:rsidRPr="00D337FA">
        <w:rPr>
          <w:i/>
          <w:lang w:val="en-US"/>
        </w:rPr>
        <w:t xml:space="preserve"> </w:t>
      </w:r>
      <w:r w:rsidRPr="00D337FA">
        <w:rPr>
          <w:i/>
          <w:lang w:val="en-US"/>
        </w:rPr>
        <w:t>treatment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sanatoriums.</w:t>
      </w:r>
      <w:r w:rsidR="006C680D" w:rsidRPr="00D337FA">
        <w:rPr>
          <w:i/>
          <w:lang w:val="en-US"/>
        </w:rPr>
        <w:t xml:space="preserve"> </w:t>
      </w:r>
      <w:r w:rsidRPr="00D337FA">
        <w:rPr>
          <w:i/>
          <w:lang w:val="en-US"/>
        </w:rPr>
        <w:t>Expert</w:t>
      </w:r>
      <w:r w:rsidR="006C680D" w:rsidRPr="00D337FA">
        <w:rPr>
          <w:i/>
          <w:lang w:val="en-US"/>
        </w:rPr>
        <w:t xml:space="preserve"> </w:t>
      </w:r>
      <w:r w:rsidRPr="00D337FA">
        <w:rPr>
          <w:i/>
          <w:lang w:val="en-US"/>
        </w:rPr>
        <w:t>RA</w:t>
      </w:r>
      <w:r w:rsidR="006C680D" w:rsidRPr="00D337FA">
        <w:rPr>
          <w:i/>
          <w:lang w:val="en-US"/>
        </w:rPr>
        <w:t xml:space="preserve"> </w:t>
      </w:r>
      <w:r w:rsidRPr="00D337FA">
        <w:rPr>
          <w:i/>
          <w:lang w:val="en-US"/>
        </w:rPr>
        <w:t>Agency</w:t>
      </w:r>
      <w:r w:rsidR="00A44E79" w:rsidRPr="00D337FA">
        <w:rPr>
          <w:i/>
          <w:lang w:val="en-US"/>
        </w:rPr>
        <w:t>]</w:t>
      </w:r>
      <w:r w:rsidRPr="00D337FA">
        <w:rPr>
          <w:i/>
          <w:lang w:val="en-US"/>
        </w:rPr>
        <w:t>.</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https://raexpert.ru/researches/banks/banksystem_risk_2016/</w:t>
      </w:r>
      <w:r w:rsidR="006C680D" w:rsidRPr="00D337FA">
        <w:rPr>
          <w:i/>
          <w:lang w:val="en-US"/>
        </w:rPr>
        <w:t xml:space="preserve"> </w:t>
      </w:r>
      <w:r w:rsidRPr="00D337FA">
        <w:rPr>
          <w:i/>
          <w:lang w:val="en-US"/>
        </w:rPr>
        <w:t>(date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access:</w:t>
      </w:r>
      <w:r w:rsidR="006C680D" w:rsidRPr="00D337FA">
        <w:rPr>
          <w:i/>
          <w:lang w:val="en-US"/>
        </w:rPr>
        <w:t xml:space="preserve"> </w:t>
      </w:r>
      <w:r w:rsidRPr="00D337FA">
        <w:rPr>
          <w:i/>
          <w:lang w:val="en-US"/>
        </w:rPr>
        <w:t>20.01.2026).</w:t>
      </w:r>
    </w:p>
    <w:p w:rsidR="00273E3F" w:rsidRPr="00D337FA" w:rsidRDefault="00273E3F" w:rsidP="00273E3F">
      <w:pPr>
        <w:rPr>
          <w:i/>
          <w:lang w:val="en-US"/>
        </w:rPr>
      </w:pPr>
      <w:r w:rsidRPr="00D337FA">
        <w:rPr>
          <w:i/>
          <w:lang w:val="en-US"/>
        </w:rPr>
        <w:t>16.</w:t>
      </w:r>
      <w:r w:rsidR="006C680D" w:rsidRPr="00D337FA">
        <w:rPr>
          <w:i/>
          <w:lang w:val="en-US"/>
        </w:rPr>
        <w:t xml:space="preserve"> </w:t>
      </w:r>
      <w:r w:rsidR="00A44E79" w:rsidRPr="00D337FA">
        <w:rPr>
          <w:i/>
          <w:lang w:val="en-US"/>
        </w:rPr>
        <w:t>Godovoj</w:t>
      </w:r>
      <w:r w:rsidR="006C680D" w:rsidRPr="00D337FA">
        <w:rPr>
          <w:i/>
          <w:lang w:val="en-US"/>
        </w:rPr>
        <w:t xml:space="preserve"> </w:t>
      </w:r>
      <w:r w:rsidR="00A44E79" w:rsidRPr="00D337FA">
        <w:rPr>
          <w:i/>
          <w:lang w:val="en-US"/>
        </w:rPr>
        <w:t>otchet</w:t>
      </w:r>
      <w:r w:rsidR="006C680D" w:rsidRPr="00D337FA">
        <w:rPr>
          <w:i/>
          <w:lang w:val="en-US"/>
        </w:rPr>
        <w:t xml:space="preserve"> </w:t>
      </w:r>
      <w:r w:rsidR="00A44E79" w:rsidRPr="00D337FA">
        <w:rPr>
          <w:i/>
          <w:lang w:val="en-US"/>
        </w:rPr>
        <w:t>ASV</w:t>
      </w:r>
      <w:r w:rsidR="006C680D" w:rsidRPr="00D337FA">
        <w:rPr>
          <w:i/>
          <w:lang w:val="en-US"/>
        </w:rPr>
        <w:t xml:space="preserve"> </w:t>
      </w:r>
      <w:r w:rsidR="00A44E79" w:rsidRPr="00D337FA">
        <w:rPr>
          <w:i/>
          <w:lang w:val="en-US"/>
        </w:rPr>
        <w:t>za</w:t>
      </w:r>
      <w:r w:rsidR="006C680D" w:rsidRPr="00D337FA">
        <w:rPr>
          <w:i/>
          <w:lang w:val="en-US"/>
        </w:rPr>
        <w:t xml:space="preserve"> </w:t>
      </w:r>
      <w:r w:rsidR="00A44E79" w:rsidRPr="00D337FA">
        <w:rPr>
          <w:i/>
          <w:lang w:val="en-US"/>
        </w:rPr>
        <w:t>2024</w:t>
      </w:r>
      <w:r w:rsidR="006C680D" w:rsidRPr="00D337FA">
        <w:rPr>
          <w:i/>
          <w:lang w:val="en-US"/>
        </w:rPr>
        <w:t xml:space="preserve"> </w:t>
      </w:r>
      <w:r w:rsidR="00A44E79" w:rsidRPr="00D337FA">
        <w:rPr>
          <w:i/>
          <w:lang w:val="en-US"/>
        </w:rPr>
        <w:t>god.</w:t>
      </w:r>
      <w:r w:rsidR="006C680D" w:rsidRPr="00D337FA">
        <w:rPr>
          <w:i/>
          <w:lang w:val="en-US"/>
        </w:rPr>
        <w:t xml:space="preserve"> </w:t>
      </w:r>
      <w:r w:rsidR="00A44E79" w:rsidRPr="00D337FA">
        <w:rPr>
          <w:i/>
          <w:lang w:val="en-US"/>
        </w:rPr>
        <w:t>Agentstvo</w:t>
      </w:r>
      <w:r w:rsidR="006C680D" w:rsidRPr="00D337FA">
        <w:rPr>
          <w:i/>
          <w:lang w:val="en-US"/>
        </w:rPr>
        <w:t xml:space="preserve"> </w:t>
      </w:r>
      <w:r w:rsidR="00A44E79" w:rsidRPr="00D337FA">
        <w:rPr>
          <w:i/>
          <w:lang w:val="en-US"/>
        </w:rPr>
        <w:t>po</w:t>
      </w:r>
      <w:r w:rsidR="006C680D" w:rsidRPr="00D337FA">
        <w:rPr>
          <w:i/>
          <w:lang w:val="en-US"/>
        </w:rPr>
        <w:t xml:space="preserve"> </w:t>
      </w:r>
      <w:r w:rsidR="00A44E79" w:rsidRPr="00D337FA">
        <w:rPr>
          <w:i/>
          <w:lang w:val="en-US"/>
        </w:rPr>
        <w:t>strahovaniyu</w:t>
      </w:r>
      <w:r w:rsidR="006C680D" w:rsidRPr="00D337FA">
        <w:rPr>
          <w:i/>
          <w:lang w:val="en-US"/>
        </w:rPr>
        <w:t xml:space="preserve"> </w:t>
      </w:r>
      <w:r w:rsidR="00A44E79" w:rsidRPr="00D337FA">
        <w:rPr>
          <w:i/>
          <w:lang w:val="en-US"/>
        </w:rPr>
        <w:t>vkladov</w:t>
      </w:r>
      <w:r w:rsidR="006C680D" w:rsidRPr="00D337FA">
        <w:rPr>
          <w:i/>
          <w:lang w:val="en-US"/>
        </w:rPr>
        <w:t xml:space="preserve"> </w:t>
      </w:r>
      <w:r w:rsidR="00A44E79" w:rsidRPr="00D337FA">
        <w:rPr>
          <w:i/>
          <w:lang w:val="en-US"/>
        </w:rPr>
        <w:t>[</w:t>
      </w:r>
      <w:r w:rsidRPr="00D337FA">
        <w:rPr>
          <w:i/>
          <w:lang w:val="en-US"/>
        </w:rPr>
        <w:t>Annual</w:t>
      </w:r>
      <w:r w:rsidR="006C680D" w:rsidRPr="00D337FA">
        <w:rPr>
          <w:i/>
          <w:lang w:val="en-US"/>
        </w:rPr>
        <w:t xml:space="preserve"> </w:t>
      </w:r>
      <w:r w:rsidRPr="00D337FA">
        <w:rPr>
          <w:i/>
          <w:lang w:val="en-US"/>
        </w:rPr>
        <w:t>report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Deposit</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Agency</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2024</w:t>
      </w:r>
      <w:r w:rsidR="00A44E79" w:rsidRPr="00D337FA">
        <w:rPr>
          <w:i/>
          <w:lang w:val="en-US"/>
        </w:rPr>
        <w:t>]</w:t>
      </w:r>
      <w:r w:rsidRPr="00D337FA">
        <w:rPr>
          <w:i/>
          <w:lang w:val="en-US"/>
        </w:rPr>
        <w:t>.</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https://www.asv.org.ru/upload/agency/annual/2024/page-I-4-3.html</w:t>
      </w:r>
      <w:r w:rsidR="006C680D" w:rsidRPr="00D337FA">
        <w:rPr>
          <w:i/>
          <w:lang w:val="en-US"/>
        </w:rPr>
        <w:t xml:space="preserve"> </w:t>
      </w:r>
      <w:r w:rsidRPr="00D337FA">
        <w:rPr>
          <w:i/>
          <w:lang w:val="en-US"/>
        </w:rPr>
        <w:t>(date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access:</w:t>
      </w:r>
      <w:r w:rsidR="006C680D" w:rsidRPr="00D337FA">
        <w:rPr>
          <w:i/>
          <w:lang w:val="en-US"/>
        </w:rPr>
        <w:t xml:space="preserve"> </w:t>
      </w:r>
      <w:r w:rsidRPr="00D337FA">
        <w:rPr>
          <w:i/>
          <w:lang w:val="en-US"/>
        </w:rPr>
        <w:t>20.01.2026).</w:t>
      </w:r>
    </w:p>
    <w:p w:rsidR="00273E3F" w:rsidRPr="00D337FA" w:rsidRDefault="00273E3F" w:rsidP="00273E3F">
      <w:pPr>
        <w:rPr>
          <w:i/>
          <w:lang w:val="en-US"/>
        </w:rPr>
      </w:pPr>
      <w:r w:rsidRPr="00D337FA">
        <w:rPr>
          <w:i/>
          <w:lang w:val="en-US"/>
        </w:rPr>
        <w:t>17.</w:t>
      </w:r>
      <w:r w:rsidR="006C680D" w:rsidRPr="00D337FA">
        <w:rPr>
          <w:i/>
          <w:lang w:val="en-US"/>
        </w:rPr>
        <w:t xml:space="preserve"> </w:t>
      </w:r>
      <w:r w:rsidR="00A44E79" w:rsidRPr="00D337FA">
        <w:rPr>
          <w:i/>
          <w:lang w:val="en-US"/>
        </w:rPr>
        <w:t>Sanaciya</w:t>
      </w:r>
      <w:r w:rsidR="006C680D" w:rsidRPr="00D337FA">
        <w:rPr>
          <w:i/>
          <w:lang w:val="en-US"/>
        </w:rPr>
        <w:t xml:space="preserve"> </w:t>
      </w:r>
      <w:r w:rsidR="00A44E79" w:rsidRPr="00D337FA">
        <w:rPr>
          <w:i/>
          <w:lang w:val="en-US"/>
        </w:rPr>
        <w:t>po-sovetski</w:t>
      </w:r>
      <w:r w:rsidR="006C680D" w:rsidRPr="00D337FA">
        <w:rPr>
          <w:i/>
          <w:lang w:val="en-US"/>
        </w:rPr>
        <w:t xml:space="preserve"> </w:t>
      </w:r>
      <w:r w:rsidR="00A44E79" w:rsidRPr="00D337FA">
        <w:rPr>
          <w:i/>
          <w:lang w:val="en-US"/>
        </w:rPr>
        <w:t>[</w:t>
      </w:r>
      <w:r w:rsidRPr="00D337FA">
        <w:rPr>
          <w:i/>
          <w:lang w:val="en-US"/>
        </w:rPr>
        <w:t>Soviet-style</w:t>
      </w:r>
      <w:r w:rsidR="006C680D" w:rsidRPr="00D337FA">
        <w:rPr>
          <w:i/>
          <w:lang w:val="en-US"/>
        </w:rPr>
        <w:t xml:space="preserve"> </w:t>
      </w:r>
      <w:r w:rsidRPr="00D337FA">
        <w:rPr>
          <w:i/>
          <w:lang w:val="en-US"/>
        </w:rPr>
        <w:t>rehabilitation</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Gazeta</w:t>
      </w:r>
      <w:r w:rsidR="006C680D" w:rsidRPr="00D337FA">
        <w:rPr>
          <w:i/>
          <w:lang w:val="en-US"/>
        </w:rPr>
        <w:t xml:space="preserve"> </w:t>
      </w:r>
      <w:r w:rsidR="00A44E79" w:rsidRPr="00D337FA">
        <w:rPr>
          <w:i/>
          <w:lang w:val="en-US"/>
        </w:rPr>
        <w:t>«Kommersant»</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Kommersant</w:t>
      </w:r>
      <w:r w:rsidR="006C680D" w:rsidRPr="00D337FA">
        <w:rPr>
          <w:i/>
          <w:lang w:val="en-US"/>
        </w:rPr>
        <w:t xml:space="preserve"> </w:t>
      </w:r>
      <w:r w:rsidRPr="00D337FA">
        <w:rPr>
          <w:i/>
          <w:lang w:val="en-US"/>
        </w:rPr>
        <w:t>newspaper.</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115</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04.07.2018.</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https://www.kommersant.ru/doc/3676217</w:t>
      </w:r>
      <w:r w:rsidR="006C680D" w:rsidRPr="00D337FA">
        <w:rPr>
          <w:i/>
          <w:lang w:val="en-US"/>
        </w:rPr>
        <w:t xml:space="preserve"> </w:t>
      </w:r>
      <w:r w:rsidRPr="00D337FA">
        <w:rPr>
          <w:i/>
          <w:lang w:val="en-US"/>
        </w:rPr>
        <w:t>(accessed</w:t>
      </w:r>
      <w:r w:rsidR="006C680D" w:rsidRPr="00D337FA">
        <w:rPr>
          <w:i/>
          <w:lang w:val="en-US"/>
        </w:rPr>
        <w:t xml:space="preserve"> </w:t>
      </w:r>
      <w:r w:rsidRPr="00D337FA">
        <w:rPr>
          <w:i/>
          <w:lang w:val="en-US"/>
        </w:rPr>
        <w:t>on</w:t>
      </w:r>
      <w:r w:rsidR="006C680D" w:rsidRPr="00D337FA">
        <w:rPr>
          <w:i/>
          <w:lang w:val="en-US"/>
        </w:rPr>
        <w:t xml:space="preserve"> </w:t>
      </w:r>
      <w:r w:rsidRPr="00D337FA">
        <w:rPr>
          <w:i/>
          <w:lang w:val="en-US"/>
        </w:rPr>
        <w:t>28.01.2026)</w:t>
      </w:r>
    </w:p>
    <w:p w:rsidR="00273E3F" w:rsidRPr="00D337FA" w:rsidRDefault="00273E3F" w:rsidP="00273E3F">
      <w:pPr>
        <w:rPr>
          <w:i/>
          <w:lang w:val="en-US"/>
        </w:rPr>
      </w:pPr>
      <w:r w:rsidRPr="00D337FA">
        <w:rPr>
          <w:i/>
          <w:lang w:val="en-US"/>
        </w:rPr>
        <w:t>18.</w:t>
      </w:r>
      <w:r w:rsidR="006C680D" w:rsidRPr="00D337FA">
        <w:rPr>
          <w:i/>
          <w:lang w:val="en-US"/>
        </w:rPr>
        <w:t xml:space="preserve"> </w:t>
      </w:r>
      <w:r w:rsidRPr="00D337FA">
        <w:rPr>
          <w:i/>
          <w:lang w:val="en-US"/>
        </w:rPr>
        <w:t>Pozdyshev</w:t>
      </w:r>
      <w:r w:rsidR="006C680D" w:rsidRPr="00D337FA">
        <w:rPr>
          <w:i/>
          <w:lang w:val="en-US"/>
        </w:rPr>
        <w:t xml:space="preserve"> </w:t>
      </w:r>
      <w:r w:rsidRPr="00D337FA">
        <w:rPr>
          <w:i/>
          <w:lang w:val="en-US"/>
        </w:rPr>
        <w:t>V.A.,</w:t>
      </w:r>
      <w:r w:rsidR="006C680D" w:rsidRPr="00D337FA">
        <w:rPr>
          <w:i/>
          <w:lang w:val="en-US"/>
        </w:rPr>
        <w:t xml:space="preserve"> </w:t>
      </w:r>
      <w:r w:rsidRPr="00D337FA">
        <w:rPr>
          <w:i/>
          <w:lang w:val="en-US"/>
        </w:rPr>
        <w:t>Govakova</w:t>
      </w:r>
      <w:r w:rsidR="006C680D" w:rsidRPr="00D337FA">
        <w:rPr>
          <w:i/>
          <w:lang w:val="en-US"/>
        </w:rPr>
        <w:t xml:space="preserve"> </w:t>
      </w:r>
      <w:r w:rsidRPr="00D337FA">
        <w:rPr>
          <w:i/>
          <w:lang w:val="en-US"/>
        </w:rPr>
        <w:t>A.A.,</w:t>
      </w:r>
      <w:r w:rsidR="006C680D" w:rsidRPr="00D337FA">
        <w:rPr>
          <w:i/>
          <w:lang w:val="en-US"/>
        </w:rPr>
        <w:t xml:space="preserve"> </w:t>
      </w:r>
      <w:r w:rsidRPr="00D337FA">
        <w:rPr>
          <w:i/>
          <w:lang w:val="en-US"/>
        </w:rPr>
        <w:t>Gavrilenko</w:t>
      </w:r>
      <w:r w:rsidR="006C680D" w:rsidRPr="00D337FA">
        <w:rPr>
          <w:i/>
          <w:lang w:val="en-US"/>
        </w:rPr>
        <w:t xml:space="preserve"> </w:t>
      </w:r>
      <w:r w:rsidRPr="00D337FA">
        <w:rPr>
          <w:i/>
          <w:lang w:val="en-US"/>
        </w:rPr>
        <w:t>D.V.</w:t>
      </w:r>
      <w:r w:rsidR="006C680D" w:rsidRPr="00D337FA">
        <w:rPr>
          <w:i/>
          <w:lang w:val="en-US"/>
        </w:rPr>
        <w:t xml:space="preserve"> </w:t>
      </w:r>
      <w:r w:rsidR="00A44E79" w:rsidRPr="00D337FA">
        <w:rPr>
          <w:i/>
          <w:lang w:val="en-US"/>
        </w:rPr>
        <w:t>Realizaciya</w:t>
      </w:r>
      <w:r w:rsidR="006C680D" w:rsidRPr="00D337FA">
        <w:rPr>
          <w:i/>
          <w:lang w:val="en-US"/>
        </w:rPr>
        <w:t xml:space="preserve"> </w:t>
      </w:r>
      <w:r w:rsidR="00A44E79" w:rsidRPr="00D337FA">
        <w:rPr>
          <w:i/>
          <w:lang w:val="en-US"/>
        </w:rPr>
        <w:t>prioritetnyh</w:t>
      </w:r>
      <w:r w:rsidR="006C680D" w:rsidRPr="00D337FA">
        <w:rPr>
          <w:i/>
          <w:lang w:val="en-US"/>
        </w:rPr>
        <w:t xml:space="preserve"> </w:t>
      </w:r>
      <w:r w:rsidR="00A44E79" w:rsidRPr="00D337FA">
        <w:rPr>
          <w:i/>
          <w:lang w:val="en-US"/>
        </w:rPr>
        <w:t>napravle-nij</w:t>
      </w:r>
      <w:r w:rsidR="006C680D" w:rsidRPr="00D337FA">
        <w:rPr>
          <w:i/>
          <w:lang w:val="en-US"/>
        </w:rPr>
        <w:t xml:space="preserve"> </w:t>
      </w:r>
      <w:r w:rsidR="00A44E79" w:rsidRPr="00D337FA">
        <w:rPr>
          <w:i/>
          <w:lang w:val="en-US"/>
        </w:rPr>
        <w:t>razvitiya</w:t>
      </w:r>
      <w:r w:rsidR="006C680D" w:rsidRPr="00D337FA">
        <w:rPr>
          <w:i/>
          <w:lang w:val="en-US"/>
        </w:rPr>
        <w:t xml:space="preserve"> </w:t>
      </w:r>
      <w:r w:rsidR="00A44E79" w:rsidRPr="00D337FA">
        <w:rPr>
          <w:i/>
          <w:lang w:val="en-US"/>
        </w:rPr>
        <w:t>bankovskogo</w:t>
      </w:r>
      <w:r w:rsidR="006C680D" w:rsidRPr="00D337FA">
        <w:rPr>
          <w:i/>
          <w:lang w:val="en-US"/>
        </w:rPr>
        <w:t xml:space="preserve"> </w:t>
      </w:r>
      <w:r w:rsidR="00A44E79" w:rsidRPr="00D337FA">
        <w:rPr>
          <w:i/>
          <w:lang w:val="en-US"/>
        </w:rPr>
        <w:t>zakonodatel'stva</w:t>
      </w:r>
      <w:r w:rsidR="006C680D" w:rsidRPr="00D337FA">
        <w:rPr>
          <w:i/>
          <w:lang w:val="en-US"/>
        </w:rPr>
        <w:t xml:space="preserve"> </w:t>
      </w:r>
      <w:r w:rsidR="00A44E79" w:rsidRPr="00D337FA">
        <w:rPr>
          <w:i/>
          <w:lang w:val="en-US"/>
        </w:rPr>
        <w:t>v</w:t>
      </w:r>
      <w:r w:rsidR="006C680D" w:rsidRPr="00D337FA">
        <w:rPr>
          <w:i/>
          <w:lang w:val="en-US"/>
        </w:rPr>
        <w:t xml:space="preserve"> </w:t>
      </w:r>
      <w:r w:rsidR="00A44E79" w:rsidRPr="00D337FA">
        <w:rPr>
          <w:i/>
          <w:lang w:val="en-US"/>
        </w:rPr>
        <w:t>aprele</w:t>
      </w:r>
      <w:r w:rsidR="006C680D" w:rsidRPr="00D337FA">
        <w:rPr>
          <w:i/>
          <w:lang w:val="en-US"/>
        </w:rPr>
        <w:t xml:space="preserve"> </w:t>
      </w:r>
      <w:r w:rsidR="00A44E79" w:rsidRPr="00D337FA">
        <w:rPr>
          <w:i/>
          <w:lang w:val="en-US"/>
        </w:rPr>
        <w:t>2017</w:t>
      </w:r>
      <w:r w:rsidR="006C680D" w:rsidRPr="00D337FA">
        <w:rPr>
          <w:i/>
          <w:lang w:val="en-US"/>
        </w:rPr>
        <w:t xml:space="preserve"> </w:t>
      </w:r>
      <w:r w:rsidR="00A44E79" w:rsidRPr="00D337FA">
        <w:rPr>
          <w:i/>
          <w:lang w:val="en-US"/>
        </w:rPr>
        <w:t>goda</w:t>
      </w:r>
      <w:r w:rsidR="006C680D" w:rsidRPr="00D337FA">
        <w:rPr>
          <w:i/>
          <w:lang w:val="en-US"/>
        </w:rPr>
        <w:t xml:space="preserve"> </w:t>
      </w:r>
      <w:r w:rsidR="00A44E79" w:rsidRPr="00D337FA">
        <w:rPr>
          <w:i/>
          <w:lang w:val="en-US"/>
        </w:rPr>
        <w:t>[</w:t>
      </w:r>
      <w:r w:rsidRPr="00D337FA">
        <w:rPr>
          <w:i/>
          <w:lang w:val="en-US"/>
        </w:rPr>
        <w:t>Implementation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priority</w:t>
      </w:r>
      <w:r w:rsidR="006C680D" w:rsidRPr="00D337FA">
        <w:rPr>
          <w:i/>
          <w:lang w:val="en-US"/>
        </w:rPr>
        <w:t xml:space="preserve"> </w:t>
      </w:r>
      <w:r w:rsidRPr="00D337FA">
        <w:rPr>
          <w:i/>
          <w:lang w:val="en-US"/>
        </w:rPr>
        <w:t>areas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development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legislation</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April</w:t>
      </w:r>
      <w:r w:rsidR="006C680D" w:rsidRPr="00D337FA">
        <w:rPr>
          <w:i/>
          <w:lang w:val="en-US"/>
        </w:rPr>
        <w:t xml:space="preserve"> </w:t>
      </w:r>
      <w:r w:rsidRPr="00D337FA">
        <w:rPr>
          <w:i/>
          <w:lang w:val="en-US"/>
        </w:rPr>
        <w:t>2017</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Den'gi</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kredit</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Money</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Credit.</w:t>
      </w:r>
      <w:r w:rsidR="006C680D" w:rsidRPr="00D337FA">
        <w:rPr>
          <w:i/>
          <w:lang w:val="en-US"/>
        </w:rPr>
        <w:t xml:space="preserve"> </w:t>
      </w:r>
      <w:r w:rsidRPr="00D337FA">
        <w:rPr>
          <w:i/>
          <w:lang w:val="en-US"/>
        </w:rPr>
        <w:t>2017.</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5.</w:t>
      </w:r>
      <w:r w:rsidR="006C680D" w:rsidRPr="00D337FA">
        <w:rPr>
          <w:i/>
          <w:lang w:val="en-US"/>
        </w:rPr>
        <w:t xml:space="preserve"> </w:t>
      </w:r>
      <w:r w:rsidRPr="00D337FA">
        <w:rPr>
          <w:i/>
          <w:lang w:val="en-US"/>
        </w:rPr>
        <w:t>pp.</w:t>
      </w:r>
      <w:r w:rsidR="006C680D" w:rsidRPr="00D337FA">
        <w:rPr>
          <w:i/>
          <w:lang w:val="en-US"/>
        </w:rPr>
        <w:t xml:space="preserve"> </w:t>
      </w:r>
      <w:r w:rsidRPr="00D337FA">
        <w:rPr>
          <w:i/>
          <w:lang w:val="en-US"/>
        </w:rPr>
        <w:t>5-8.</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https://rjmf.econs.online/upload/iblock/32f/pozdyshev_5_17.pdf</w:t>
      </w:r>
      <w:r w:rsidR="006C680D" w:rsidRPr="00D337FA">
        <w:rPr>
          <w:i/>
          <w:lang w:val="en-US"/>
        </w:rPr>
        <w:t xml:space="preserve"> </w:t>
      </w:r>
      <w:r w:rsidRPr="00D337FA">
        <w:rPr>
          <w:i/>
          <w:lang w:val="en-US"/>
        </w:rPr>
        <w:t>(accessed</w:t>
      </w:r>
      <w:r w:rsidR="006C680D" w:rsidRPr="00D337FA">
        <w:rPr>
          <w:i/>
          <w:lang w:val="en-US"/>
        </w:rPr>
        <w:t xml:space="preserve"> </w:t>
      </w:r>
      <w:r w:rsidRPr="00D337FA">
        <w:rPr>
          <w:i/>
          <w:lang w:val="en-US"/>
        </w:rPr>
        <w:t>on</w:t>
      </w:r>
      <w:r w:rsidR="006C680D" w:rsidRPr="00D337FA">
        <w:rPr>
          <w:i/>
          <w:lang w:val="en-US"/>
        </w:rPr>
        <w:t xml:space="preserve"> </w:t>
      </w:r>
      <w:r w:rsidRPr="00D337FA">
        <w:rPr>
          <w:i/>
          <w:lang w:val="en-US"/>
        </w:rPr>
        <w:t>28.01.2026).</w:t>
      </w:r>
    </w:p>
    <w:p w:rsidR="00273E3F" w:rsidRPr="00D337FA" w:rsidRDefault="00273E3F" w:rsidP="00273E3F">
      <w:pPr>
        <w:rPr>
          <w:i/>
          <w:lang w:val="en-US"/>
        </w:rPr>
      </w:pPr>
      <w:r w:rsidRPr="00D337FA">
        <w:rPr>
          <w:i/>
          <w:lang w:val="en-US"/>
        </w:rPr>
        <w:t>19.</w:t>
      </w:r>
      <w:r w:rsidR="006C680D" w:rsidRPr="00D337FA">
        <w:rPr>
          <w:i/>
          <w:lang w:val="en-US"/>
        </w:rPr>
        <w:t xml:space="preserve"> </w:t>
      </w:r>
      <w:r w:rsidR="00A44E79" w:rsidRPr="00D337FA">
        <w:rPr>
          <w:i/>
          <w:lang w:val="en-US"/>
        </w:rPr>
        <w:t>Godovoj</w:t>
      </w:r>
      <w:r w:rsidR="006C680D" w:rsidRPr="00D337FA">
        <w:rPr>
          <w:i/>
          <w:lang w:val="en-US"/>
        </w:rPr>
        <w:t xml:space="preserve"> </w:t>
      </w:r>
      <w:r w:rsidR="00A44E79" w:rsidRPr="00D337FA">
        <w:rPr>
          <w:i/>
          <w:lang w:val="en-US"/>
        </w:rPr>
        <w:t>otchet</w:t>
      </w:r>
      <w:r w:rsidR="006C680D" w:rsidRPr="00D337FA">
        <w:rPr>
          <w:i/>
          <w:lang w:val="en-US"/>
        </w:rPr>
        <w:t xml:space="preserve"> </w:t>
      </w:r>
      <w:r w:rsidR="00A44E79" w:rsidRPr="00D337FA">
        <w:rPr>
          <w:i/>
          <w:lang w:val="en-US"/>
        </w:rPr>
        <w:t>Banka</w:t>
      </w:r>
      <w:r w:rsidR="006C680D" w:rsidRPr="00D337FA">
        <w:rPr>
          <w:i/>
          <w:lang w:val="en-US"/>
        </w:rPr>
        <w:t xml:space="preserve"> </w:t>
      </w:r>
      <w:r w:rsidR="00A44E79" w:rsidRPr="00D337FA">
        <w:rPr>
          <w:i/>
          <w:lang w:val="en-US"/>
        </w:rPr>
        <w:t>Rossii</w:t>
      </w:r>
      <w:r w:rsidR="006C680D" w:rsidRPr="00D337FA">
        <w:rPr>
          <w:i/>
          <w:lang w:val="en-US"/>
        </w:rPr>
        <w:t xml:space="preserve"> </w:t>
      </w:r>
      <w:r w:rsidR="00A44E79" w:rsidRPr="00D337FA">
        <w:rPr>
          <w:i/>
          <w:lang w:val="en-US"/>
        </w:rPr>
        <w:t>za</w:t>
      </w:r>
      <w:r w:rsidR="006C680D" w:rsidRPr="00D337FA">
        <w:rPr>
          <w:i/>
          <w:lang w:val="en-US"/>
        </w:rPr>
        <w:t xml:space="preserve"> </w:t>
      </w:r>
      <w:r w:rsidR="00A44E79" w:rsidRPr="00D337FA">
        <w:rPr>
          <w:i/>
          <w:lang w:val="en-US"/>
        </w:rPr>
        <w:t>2017</w:t>
      </w:r>
      <w:r w:rsidR="006C680D" w:rsidRPr="00D337FA">
        <w:rPr>
          <w:i/>
          <w:lang w:val="en-US"/>
        </w:rPr>
        <w:t xml:space="preserve"> </w:t>
      </w:r>
      <w:r w:rsidR="00A44E79" w:rsidRPr="00D337FA">
        <w:rPr>
          <w:i/>
          <w:lang w:val="en-US"/>
        </w:rPr>
        <w:t>god.</w:t>
      </w:r>
      <w:r w:rsidR="006C680D" w:rsidRPr="00D337FA">
        <w:rPr>
          <w:i/>
          <w:lang w:val="en-US"/>
        </w:rPr>
        <w:t xml:space="preserve"> </w:t>
      </w:r>
      <w:r w:rsidR="00A44E79" w:rsidRPr="00D337FA">
        <w:rPr>
          <w:i/>
          <w:lang w:val="en-US"/>
        </w:rPr>
        <w:t>Bank</w:t>
      </w:r>
      <w:r w:rsidR="006C680D" w:rsidRPr="00D337FA">
        <w:rPr>
          <w:i/>
          <w:lang w:val="en-US"/>
        </w:rPr>
        <w:t xml:space="preserve"> </w:t>
      </w:r>
      <w:r w:rsidR="00A44E79" w:rsidRPr="00D337FA">
        <w:rPr>
          <w:i/>
          <w:lang w:val="en-US"/>
        </w:rPr>
        <w:t>Rossii</w:t>
      </w:r>
      <w:r w:rsidR="006C680D" w:rsidRPr="00D337FA">
        <w:rPr>
          <w:i/>
          <w:lang w:val="en-US"/>
        </w:rPr>
        <w:t xml:space="preserve"> </w:t>
      </w:r>
      <w:r w:rsidR="00A44E79" w:rsidRPr="00D337FA">
        <w:rPr>
          <w:i/>
          <w:lang w:val="en-US"/>
        </w:rPr>
        <w:t>[</w:t>
      </w:r>
      <w:r w:rsidRPr="00D337FA">
        <w:rPr>
          <w:i/>
          <w:lang w:val="en-US"/>
        </w:rPr>
        <w:t>Annual</w:t>
      </w:r>
      <w:r w:rsidR="006C680D" w:rsidRPr="00D337FA">
        <w:rPr>
          <w:i/>
          <w:lang w:val="en-US"/>
        </w:rPr>
        <w:t xml:space="preserve"> </w:t>
      </w:r>
      <w:r w:rsidRPr="00D337FA">
        <w:rPr>
          <w:i/>
          <w:lang w:val="en-US"/>
        </w:rPr>
        <w:t>report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Bank</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Russia</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2017.</w:t>
      </w:r>
      <w:r w:rsidR="006C680D" w:rsidRPr="00D337FA">
        <w:rPr>
          <w:i/>
          <w:lang w:val="en-US"/>
        </w:rPr>
        <w:t xml:space="preserve"> </w:t>
      </w:r>
      <w:r w:rsidRPr="00D337FA">
        <w:rPr>
          <w:i/>
          <w:lang w:val="en-US"/>
        </w:rPr>
        <w:t>Bank</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Russia</w:t>
      </w:r>
      <w:r w:rsidR="00A44E79" w:rsidRPr="00D337FA">
        <w:rPr>
          <w:i/>
          <w:lang w:val="en-US"/>
        </w:rPr>
        <w:t>]</w:t>
      </w:r>
      <w:r w:rsidRPr="00D337FA">
        <w:rPr>
          <w:i/>
          <w:lang w:val="en-US"/>
        </w:rPr>
        <w:t>.</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https://cbr.ru/collection/collection/file/7796/ar_2017.pdf</w:t>
      </w:r>
      <w:r w:rsidR="006C680D" w:rsidRPr="00D337FA">
        <w:rPr>
          <w:i/>
          <w:lang w:val="en-US"/>
        </w:rPr>
        <w:t xml:space="preserve"> </w:t>
      </w:r>
      <w:r w:rsidRPr="00D337FA">
        <w:rPr>
          <w:i/>
          <w:lang w:val="en-US"/>
        </w:rPr>
        <w:t>(accessed</w:t>
      </w:r>
      <w:r w:rsidR="006C680D" w:rsidRPr="00D337FA">
        <w:rPr>
          <w:i/>
          <w:lang w:val="en-US"/>
        </w:rPr>
        <w:t xml:space="preserve"> </w:t>
      </w:r>
      <w:r w:rsidRPr="00D337FA">
        <w:rPr>
          <w:i/>
          <w:lang w:val="en-US"/>
        </w:rPr>
        <w:t>on</w:t>
      </w:r>
      <w:r w:rsidR="006C680D" w:rsidRPr="00D337FA">
        <w:rPr>
          <w:i/>
          <w:lang w:val="en-US"/>
        </w:rPr>
        <w:t xml:space="preserve"> </w:t>
      </w:r>
      <w:r w:rsidRPr="00D337FA">
        <w:rPr>
          <w:i/>
          <w:lang w:val="en-US"/>
        </w:rPr>
        <w:t>28.01.2026).</w:t>
      </w:r>
    </w:p>
    <w:p w:rsidR="00273E3F" w:rsidRPr="00D337FA" w:rsidRDefault="00273E3F" w:rsidP="00273E3F">
      <w:pPr>
        <w:rPr>
          <w:i/>
          <w:lang w:val="en-US"/>
        </w:rPr>
      </w:pPr>
      <w:r w:rsidRPr="00D337FA">
        <w:rPr>
          <w:i/>
          <w:lang w:val="en-US"/>
        </w:rPr>
        <w:t>20.</w:t>
      </w:r>
      <w:r w:rsidR="006C680D" w:rsidRPr="00D337FA">
        <w:rPr>
          <w:i/>
          <w:lang w:val="en-US"/>
        </w:rPr>
        <w:t xml:space="preserve"> </w:t>
      </w:r>
      <w:r w:rsidR="00A44E79" w:rsidRPr="00D337FA">
        <w:rPr>
          <w:i/>
          <w:lang w:val="en-US"/>
        </w:rPr>
        <w:t>Novyj</w:t>
      </w:r>
      <w:r w:rsidR="006C680D" w:rsidRPr="00D337FA">
        <w:rPr>
          <w:i/>
          <w:lang w:val="en-US"/>
        </w:rPr>
        <w:t xml:space="preserve"> </w:t>
      </w:r>
      <w:r w:rsidR="00A44E79" w:rsidRPr="00D337FA">
        <w:rPr>
          <w:i/>
          <w:lang w:val="en-US"/>
        </w:rPr>
        <w:t>mekhanizm</w:t>
      </w:r>
      <w:r w:rsidR="006C680D" w:rsidRPr="00D337FA">
        <w:rPr>
          <w:i/>
          <w:lang w:val="en-US"/>
        </w:rPr>
        <w:t xml:space="preserve"> </w:t>
      </w:r>
      <w:r w:rsidR="00A44E79" w:rsidRPr="00D337FA">
        <w:rPr>
          <w:i/>
          <w:lang w:val="en-US"/>
        </w:rPr>
        <w:t>finansovogo</w:t>
      </w:r>
      <w:r w:rsidR="006C680D" w:rsidRPr="00D337FA">
        <w:rPr>
          <w:i/>
          <w:lang w:val="en-US"/>
        </w:rPr>
        <w:t xml:space="preserve"> </w:t>
      </w:r>
      <w:r w:rsidR="00A44E79" w:rsidRPr="00D337FA">
        <w:rPr>
          <w:i/>
          <w:lang w:val="en-US"/>
        </w:rPr>
        <w:t>ozdorovleniya</w:t>
      </w:r>
      <w:r w:rsidR="006C680D" w:rsidRPr="00D337FA">
        <w:rPr>
          <w:i/>
          <w:lang w:val="en-US"/>
        </w:rPr>
        <w:t xml:space="preserve"> </w:t>
      </w:r>
      <w:r w:rsidR="00A44E79" w:rsidRPr="00D337FA">
        <w:rPr>
          <w:i/>
          <w:lang w:val="en-US"/>
        </w:rPr>
        <w:t>kreditnyh</w:t>
      </w:r>
      <w:r w:rsidR="006C680D" w:rsidRPr="00D337FA">
        <w:rPr>
          <w:i/>
          <w:lang w:val="en-US"/>
        </w:rPr>
        <w:t xml:space="preserve"> </w:t>
      </w:r>
      <w:r w:rsidR="00A44E79" w:rsidRPr="00D337FA">
        <w:rPr>
          <w:i/>
          <w:lang w:val="en-US"/>
        </w:rPr>
        <w:t>organizacij.</w:t>
      </w:r>
      <w:r w:rsidR="006C680D" w:rsidRPr="00D337FA">
        <w:rPr>
          <w:i/>
          <w:lang w:val="en-US"/>
        </w:rPr>
        <w:t xml:space="preserve"> </w:t>
      </w:r>
      <w:r w:rsidR="00A44E79" w:rsidRPr="00D337FA">
        <w:rPr>
          <w:i/>
          <w:lang w:val="en-US"/>
        </w:rPr>
        <w:t>Bank</w:t>
      </w:r>
      <w:r w:rsidR="006C680D" w:rsidRPr="00D337FA">
        <w:rPr>
          <w:i/>
          <w:lang w:val="en-US"/>
        </w:rPr>
        <w:t xml:space="preserve"> </w:t>
      </w:r>
      <w:r w:rsidR="00A44E79" w:rsidRPr="00D337FA">
        <w:rPr>
          <w:i/>
          <w:lang w:val="en-US"/>
        </w:rPr>
        <w:t>Rossii</w:t>
      </w:r>
      <w:r w:rsidR="006C680D" w:rsidRPr="00D337FA">
        <w:rPr>
          <w:i/>
          <w:lang w:val="en-US"/>
        </w:rPr>
        <w:t xml:space="preserve"> </w:t>
      </w:r>
      <w:r w:rsidR="00A44E79" w:rsidRPr="00D337FA">
        <w:rPr>
          <w:i/>
          <w:lang w:val="en-US"/>
        </w:rPr>
        <w:t>[</w:t>
      </w:r>
      <w:r w:rsidRPr="00D337FA">
        <w:rPr>
          <w:i/>
          <w:lang w:val="en-US"/>
        </w:rPr>
        <w:t>New</w:t>
      </w:r>
      <w:r w:rsidR="006C680D" w:rsidRPr="00D337FA">
        <w:rPr>
          <w:i/>
          <w:lang w:val="en-US"/>
        </w:rPr>
        <w:t xml:space="preserve"> </w:t>
      </w:r>
      <w:r w:rsidRPr="00D337FA">
        <w:rPr>
          <w:i/>
          <w:lang w:val="en-US"/>
        </w:rPr>
        <w:t>mechanism</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financial</w:t>
      </w:r>
      <w:r w:rsidR="006C680D" w:rsidRPr="00D337FA">
        <w:rPr>
          <w:i/>
          <w:lang w:val="en-US"/>
        </w:rPr>
        <w:t xml:space="preserve"> </w:t>
      </w:r>
      <w:r w:rsidRPr="00D337FA">
        <w:rPr>
          <w:i/>
          <w:lang w:val="en-US"/>
        </w:rPr>
        <w:t>recovery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credit</w:t>
      </w:r>
      <w:r w:rsidR="006C680D" w:rsidRPr="00D337FA">
        <w:rPr>
          <w:i/>
          <w:lang w:val="en-US"/>
        </w:rPr>
        <w:t xml:space="preserve"> </w:t>
      </w:r>
      <w:r w:rsidRPr="00D337FA">
        <w:rPr>
          <w:i/>
          <w:lang w:val="en-US"/>
        </w:rPr>
        <w:t>institutions.</w:t>
      </w:r>
      <w:r w:rsidR="006C680D" w:rsidRPr="00D337FA">
        <w:rPr>
          <w:i/>
          <w:lang w:val="en-US"/>
        </w:rPr>
        <w:t xml:space="preserve"> </w:t>
      </w:r>
      <w:r w:rsidRPr="00D337FA">
        <w:rPr>
          <w:i/>
          <w:lang w:val="en-US"/>
        </w:rPr>
        <w:t>Bank</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Russia</w:t>
      </w:r>
      <w:r w:rsidR="00A44E79" w:rsidRPr="00D337FA">
        <w:rPr>
          <w:i/>
          <w:lang w:val="en-US"/>
        </w:rPr>
        <w:t>]</w:t>
      </w:r>
      <w:r w:rsidRPr="00D337FA">
        <w:rPr>
          <w:i/>
          <w:lang w:val="en-US"/>
        </w:rPr>
        <w:t>.</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https://cbr.ru/Content/Document/File/99252/2017-06-19.pdf</w:t>
      </w:r>
      <w:r w:rsidR="006C680D" w:rsidRPr="00D337FA">
        <w:rPr>
          <w:i/>
          <w:lang w:val="en-US"/>
        </w:rPr>
        <w:t xml:space="preserve"> </w:t>
      </w:r>
      <w:r w:rsidRPr="00D337FA">
        <w:rPr>
          <w:i/>
          <w:lang w:val="en-US"/>
        </w:rPr>
        <w:t>(date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access:</w:t>
      </w:r>
      <w:r w:rsidR="006C680D" w:rsidRPr="00D337FA">
        <w:rPr>
          <w:i/>
          <w:lang w:val="en-US"/>
        </w:rPr>
        <w:t xml:space="preserve"> </w:t>
      </w:r>
      <w:r w:rsidRPr="00D337FA">
        <w:rPr>
          <w:i/>
          <w:lang w:val="en-US"/>
        </w:rPr>
        <w:t>28.01.2026).</w:t>
      </w:r>
    </w:p>
    <w:p w:rsidR="00273E3F" w:rsidRPr="00D337FA" w:rsidRDefault="00273E3F" w:rsidP="00273E3F">
      <w:pPr>
        <w:rPr>
          <w:i/>
          <w:lang w:val="en-US"/>
        </w:rPr>
      </w:pPr>
      <w:r w:rsidRPr="00D337FA">
        <w:rPr>
          <w:i/>
          <w:lang w:val="en-US"/>
        </w:rPr>
        <w:t>21.</w:t>
      </w:r>
      <w:r w:rsidR="006C680D" w:rsidRPr="00D337FA">
        <w:rPr>
          <w:i/>
          <w:lang w:val="en-US"/>
        </w:rPr>
        <w:t xml:space="preserve"> </w:t>
      </w:r>
      <w:r w:rsidR="00A44E79" w:rsidRPr="00D337FA">
        <w:rPr>
          <w:i/>
          <w:lang w:val="en-US"/>
        </w:rPr>
        <w:t>CB</w:t>
      </w:r>
      <w:r w:rsidR="006C680D" w:rsidRPr="00D337FA">
        <w:rPr>
          <w:i/>
          <w:lang w:val="en-US"/>
        </w:rPr>
        <w:t xml:space="preserve"> </w:t>
      </w:r>
      <w:r w:rsidR="00A44E79" w:rsidRPr="00D337FA">
        <w:rPr>
          <w:i/>
          <w:lang w:val="en-US"/>
        </w:rPr>
        <w:t>ocenil</w:t>
      </w:r>
      <w:r w:rsidR="006C680D" w:rsidRPr="00D337FA">
        <w:rPr>
          <w:i/>
          <w:lang w:val="en-US"/>
        </w:rPr>
        <w:t xml:space="preserve"> </w:t>
      </w:r>
      <w:r w:rsidR="00A44E79" w:rsidRPr="00D337FA">
        <w:rPr>
          <w:i/>
          <w:lang w:val="en-US"/>
        </w:rPr>
        <w:t>poteri</w:t>
      </w:r>
      <w:r w:rsidR="006C680D" w:rsidRPr="00D337FA">
        <w:rPr>
          <w:i/>
          <w:lang w:val="en-US"/>
        </w:rPr>
        <w:t xml:space="preserve"> </w:t>
      </w:r>
      <w:r w:rsidR="00A44E79" w:rsidRPr="00D337FA">
        <w:rPr>
          <w:i/>
          <w:lang w:val="en-US"/>
        </w:rPr>
        <w:t>ot</w:t>
      </w:r>
      <w:r w:rsidR="006C680D" w:rsidRPr="00D337FA">
        <w:rPr>
          <w:i/>
          <w:lang w:val="en-US"/>
        </w:rPr>
        <w:t xml:space="preserve"> </w:t>
      </w:r>
      <w:r w:rsidR="00A44E79" w:rsidRPr="00D337FA">
        <w:rPr>
          <w:i/>
          <w:lang w:val="en-US"/>
        </w:rPr>
        <w:t>sanacii</w:t>
      </w:r>
      <w:r w:rsidR="006C680D" w:rsidRPr="00D337FA">
        <w:rPr>
          <w:i/>
          <w:lang w:val="en-US"/>
        </w:rPr>
        <w:t xml:space="preserve"> </w:t>
      </w:r>
      <w:r w:rsidR="00A44E79" w:rsidRPr="00D337FA">
        <w:rPr>
          <w:i/>
          <w:lang w:val="en-US"/>
        </w:rPr>
        <w:t>problemnyh</w:t>
      </w:r>
      <w:r w:rsidR="006C680D" w:rsidRPr="00D337FA">
        <w:rPr>
          <w:i/>
          <w:lang w:val="en-US"/>
        </w:rPr>
        <w:t xml:space="preserve"> </w:t>
      </w:r>
      <w:r w:rsidR="00A44E79" w:rsidRPr="00D337FA">
        <w:rPr>
          <w:i/>
          <w:lang w:val="en-US"/>
        </w:rPr>
        <w:t>bankov.</w:t>
      </w:r>
      <w:r w:rsidR="006C680D" w:rsidRPr="00D337FA">
        <w:rPr>
          <w:i/>
          <w:lang w:val="en-US"/>
        </w:rPr>
        <w:t xml:space="preserve"> </w:t>
      </w:r>
      <w:r w:rsidR="00A44E79" w:rsidRPr="00D337FA">
        <w:rPr>
          <w:i/>
          <w:lang w:val="en-US"/>
        </w:rPr>
        <w:t>RBK.</w:t>
      </w:r>
      <w:r w:rsidR="006C680D" w:rsidRPr="00D337FA">
        <w:rPr>
          <w:i/>
          <w:lang w:val="en-US"/>
        </w:rPr>
        <w:t xml:space="preserve"> </w:t>
      </w:r>
      <w:r w:rsidR="00A44E79" w:rsidRPr="00D337FA">
        <w:rPr>
          <w:i/>
          <w:lang w:val="en-US"/>
        </w:rPr>
        <w:t>6</w:t>
      </w:r>
      <w:r w:rsidR="006C680D" w:rsidRPr="00D337FA">
        <w:rPr>
          <w:i/>
          <w:lang w:val="en-US"/>
        </w:rPr>
        <w:t xml:space="preserve"> </w:t>
      </w:r>
      <w:r w:rsidR="00A44E79" w:rsidRPr="00D337FA">
        <w:rPr>
          <w:i/>
          <w:lang w:val="en-US"/>
        </w:rPr>
        <w:t>avgusta</w:t>
      </w:r>
      <w:r w:rsidR="006C680D" w:rsidRPr="00D337FA">
        <w:rPr>
          <w:i/>
          <w:lang w:val="en-US"/>
        </w:rPr>
        <w:t xml:space="preserve"> </w:t>
      </w:r>
      <w:r w:rsidR="00A44E79" w:rsidRPr="00D337FA">
        <w:rPr>
          <w:i/>
          <w:lang w:val="en-US"/>
        </w:rPr>
        <w:t>2019</w:t>
      </w:r>
      <w:r w:rsidR="006C680D" w:rsidRPr="00D337FA">
        <w:rPr>
          <w:i/>
          <w:lang w:val="en-US"/>
        </w:rPr>
        <w:t xml:space="preserve"> </w:t>
      </w:r>
      <w:r w:rsidR="00A44E79" w:rsidRPr="00D337FA">
        <w:rPr>
          <w:i/>
          <w:lang w:val="en-US"/>
        </w:rPr>
        <w:t>goda</w:t>
      </w:r>
      <w:r w:rsidR="006C680D" w:rsidRPr="00D337FA">
        <w:rPr>
          <w:i/>
          <w:lang w:val="en-US"/>
        </w:rPr>
        <w:t xml:space="preserve"> </w:t>
      </w:r>
      <w:r w:rsidR="00A44E79" w:rsidRPr="00D337FA">
        <w:rPr>
          <w:i/>
          <w:lang w:val="en-US"/>
        </w:rPr>
        <w:t>[</w:t>
      </w:r>
      <w:r w:rsidRPr="00D337FA">
        <w:rPr>
          <w:i/>
          <w:lang w:val="en-US"/>
        </w:rPr>
        <w:t>The</w:t>
      </w:r>
      <w:r w:rsidR="006C680D" w:rsidRPr="00D337FA">
        <w:rPr>
          <w:i/>
          <w:lang w:val="en-US"/>
        </w:rPr>
        <w:t xml:space="preserve"> </w:t>
      </w:r>
      <w:r w:rsidRPr="00D337FA">
        <w:rPr>
          <w:i/>
          <w:lang w:val="en-US"/>
        </w:rPr>
        <w:t>Central</w:t>
      </w:r>
      <w:r w:rsidR="006C680D" w:rsidRPr="00D337FA">
        <w:rPr>
          <w:i/>
          <w:lang w:val="en-US"/>
        </w:rPr>
        <w:t xml:space="preserve"> </w:t>
      </w:r>
      <w:r w:rsidRPr="00D337FA">
        <w:rPr>
          <w:i/>
          <w:lang w:val="en-US"/>
        </w:rPr>
        <w:t>Bank</w:t>
      </w:r>
      <w:r w:rsidR="006C680D" w:rsidRPr="00D337FA">
        <w:rPr>
          <w:i/>
          <w:lang w:val="en-US"/>
        </w:rPr>
        <w:t xml:space="preserve"> </w:t>
      </w:r>
      <w:r w:rsidRPr="00D337FA">
        <w:rPr>
          <w:i/>
          <w:lang w:val="en-US"/>
        </w:rPr>
        <w:t>assessed</w:t>
      </w:r>
      <w:r w:rsidR="006C680D" w:rsidRPr="00D337FA">
        <w:rPr>
          <w:i/>
          <w:lang w:val="en-US"/>
        </w:rPr>
        <w:t xml:space="preserve"> </w:t>
      </w:r>
      <w:r w:rsidRPr="00D337FA">
        <w:rPr>
          <w:i/>
          <w:lang w:val="en-US"/>
        </w:rPr>
        <w:t>losses</w:t>
      </w:r>
      <w:r w:rsidR="006C680D" w:rsidRPr="00D337FA">
        <w:rPr>
          <w:i/>
          <w:lang w:val="en-US"/>
        </w:rPr>
        <w:t xml:space="preserve"> </w:t>
      </w:r>
      <w:r w:rsidRPr="00D337FA">
        <w:rPr>
          <w:i/>
          <w:lang w:val="en-US"/>
        </w:rPr>
        <w:t>from</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resolution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problem</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RBC.</w:t>
      </w:r>
      <w:r w:rsidR="006C680D" w:rsidRPr="00D337FA">
        <w:rPr>
          <w:i/>
          <w:lang w:val="en-US"/>
        </w:rPr>
        <w:t xml:space="preserve"> </w:t>
      </w:r>
      <w:r w:rsidRPr="00D337FA">
        <w:rPr>
          <w:i/>
          <w:lang w:val="en-US"/>
        </w:rPr>
        <w:t>August</w:t>
      </w:r>
      <w:r w:rsidR="006C680D" w:rsidRPr="00D337FA">
        <w:rPr>
          <w:i/>
          <w:lang w:val="en-US"/>
        </w:rPr>
        <w:t xml:space="preserve"> </w:t>
      </w:r>
      <w:r w:rsidRPr="00D337FA">
        <w:rPr>
          <w:i/>
          <w:lang w:val="en-US"/>
        </w:rPr>
        <w:t>6,</w:t>
      </w:r>
      <w:r w:rsidR="006C680D" w:rsidRPr="00D337FA">
        <w:rPr>
          <w:i/>
          <w:lang w:val="en-US"/>
        </w:rPr>
        <w:t xml:space="preserve"> </w:t>
      </w:r>
      <w:r w:rsidRPr="00D337FA">
        <w:rPr>
          <w:i/>
          <w:lang w:val="en-US"/>
        </w:rPr>
        <w:t>2019</w:t>
      </w:r>
      <w:r w:rsidR="00A44E79" w:rsidRPr="00D337FA">
        <w:rPr>
          <w:i/>
          <w:lang w:val="en-US"/>
        </w:rPr>
        <w:t>]</w:t>
      </w:r>
      <w:r w:rsidRPr="00D337FA">
        <w:rPr>
          <w:i/>
          <w:lang w:val="en-US"/>
        </w:rPr>
        <w:t>.</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https://www.rbc.ru/finances/06/08/2019/5d4911aa9a7947fa9e28c534</w:t>
      </w:r>
      <w:r w:rsidR="006C680D" w:rsidRPr="00D337FA">
        <w:rPr>
          <w:i/>
          <w:lang w:val="en-US"/>
        </w:rPr>
        <w:t xml:space="preserve"> </w:t>
      </w:r>
      <w:r w:rsidRPr="00D337FA">
        <w:rPr>
          <w:i/>
          <w:lang w:val="en-US"/>
        </w:rPr>
        <w:t>(date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access:</w:t>
      </w:r>
      <w:r w:rsidR="006C680D" w:rsidRPr="00D337FA">
        <w:rPr>
          <w:i/>
          <w:lang w:val="en-US"/>
        </w:rPr>
        <w:t xml:space="preserve"> </w:t>
      </w:r>
      <w:r w:rsidRPr="00D337FA">
        <w:rPr>
          <w:i/>
          <w:lang w:val="en-US"/>
        </w:rPr>
        <w:t>10.10.2021).</w:t>
      </w:r>
    </w:p>
    <w:p w:rsidR="00273E3F" w:rsidRPr="00D337FA" w:rsidRDefault="00273E3F" w:rsidP="00273E3F">
      <w:pPr>
        <w:rPr>
          <w:i/>
          <w:lang w:val="en-US"/>
        </w:rPr>
      </w:pPr>
      <w:r w:rsidRPr="00D337FA">
        <w:rPr>
          <w:i/>
          <w:lang w:val="en-US"/>
        </w:rPr>
        <w:t>22.</w:t>
      </w:r>
      <w:r w:rsidR="006C680D" w:rsidRPr="00D337FA">
        <w:rPr>
          <w:i/>
          <w:lang w:val="en-US"/>
        </w:rPr>
        <w:t xml:space="preserve"> </w:t>
      </w:r>
      <w:r w:rsidRPr="00D337FA">
        <w:rPr>
          <w:i/>
          <w:lang w:val="en-US"/>
        </w:rPr>
        <w:t>Bogomolov</w:t>
      </w:r>
      <w:r w:rsidR="006C680D" w:rsidRPr="00D337FA">
        <w:rPr>
          <w:i/>
          <w:lang w:val="en-US"/>
        </w:rPr>
        <w:t xml:space="preserve"> </w:t>
      </w:r>
      <w:r w:rsidRPr="00D337FA">
        <w:rPr>
          <w:i/>
          <w:lang w:val="en-US"/>
        </w:rPr>
        <w:t>S.M.,</w:t>
      </w:r>
      <w:r w:rsidR="006C680D" w:rsidRPr="00D337FA">
        <w:rPr>
          <w:i/>
          <w:lang w:val="en-US"/>
        </w:rPr>
        <w:t xml:space="preserve"> </w:t>
      </w:r>
      <w:r w:rsidRPr="00D337FA">
        <w:rPr>
          <w:i/>
          <w:lang w:val="en-US"/>
        </w:rPr>
        <w:t>Ilyina</w:t>
      </w:r>
      <w:r w:rsidR="006C680D" w:rsidRPr="00D337FA">
        <w:rPr>
          <w:i/>
          <w:lang w:val="en-US"/>
        </w:rPr>
        <w:t xml:space="preserve"> </w:t>
      </w:r>
      <w:r w:rsidRPr="00D337FA">
        <w:rPr>
          <w:i/>
          <w:lang w:val="en-US"/>
        </w:rPr>
        <w:t>L.V.,</w:t>
      </w:r>
      <w:r w:rsidR="006C680D" w:rsidRPr="00D337FA">
        <w:rPr>
          <w:i/>
          <w:lang w:val="en-US"/>
        </w:rPr>
        <w:t xml:space="preserve"> </w:t>
      </w:r>
      <w:r w:rsidRPr="00D337FA">
        <w:rPr>
          <w:i/>
          <w:lang w:val="en-US"/>
        </w:rPr>
        <w:t>Kopchenko</w:t>
      </w:r>
      <w:r w:rsidR="006C680D" w:rsidRPr="00D337FA">
        <w:rPr>
          <w:i/>
          <w:lang w:val="en-US"/>
        </w:rPr>
        <w:t xml:space="preserve"> </w:t>
      </w:r>
      <w:r w:rsidRPr="00D337FA">
        <w:rPr>
          <w:i/>
          <w:lang w:val="en-US"/>
        </w:rPr>
        <w:t>Yu.E.,</w:t>
      </w:r>
      <w:r w:rsidR="006C680D" w:rsidRPr="00D337FA">
        <w:rPr>
          <w:i/>
          <w:lang w:val="en-US"/>
        </w:rPr>
        <w:t xml:space="preserve"> </w:t>
      </w:r>
      <w:r w:rsidRPr="00D337FA">
        <w:rPr>
          <w:i/>
          <w:lang w:val="en-US"/>
        </w:rPr>
        <w:t>Korobov</w:t>
      </w:r>
      <w:r w:rsidR="006C680D" w:rsidRPr="00D337FA">
        <w:rPr>
          <w:i/>
          <w:lang w:val="en-US"/>
        </w:rPr>
        <w:t xml:space="preserve"> </w:t>
      </w:r>
      <w:r w:rsidRPr="00D337FA">
        <w:rPr>
          <w:i/>
          <w:lang w:val="en-US"/>
        </w:rPr>
        <w:t>Yu.I.</w:t>
      </w:r>
      <w:r w:rsidR="006C680D" w:rsidRPr="00D337FA">
        <w:rPr>
          <w:i/>
          <w:lang w:val="en-US"/>
        </w:rPr>
        <w:t xml:space="preserve"> </w:t>
      </w:r>
      <w:r w:rsidR="00A44E79" w:rsidRPr="00D337FA">
        <w:rPr>
          <w:i/>
          <w:lang w:val="en-US"/>
        </w:rPr>
        <w:t>Ocenka</w:t>
      </w:r>
      <w:r w:rsidR="006C680D" w:rsidRPr="00D337FA">
        <w:rPr>
          <w:i/>
          <w:lang w:val="en-US"/>
        </w:rPr>
        <w:t xml:space="preserve"> </w:t>
      </w:r>
      <w:r w:rsidR="00A44E79" w:rsidRPr="00D337FA">
        <w:rPr>
          <w:i/>
          <w:lang w:val="en-US"/>
        </w:rPr>
        <w:t>sistemnoj</w:t>
      </w:r>
      <w:r w:rsidR="006C680D" w:rsidRPr="00D337FA">
        <w:rPr>
          <w:i/>
          <w:lang w:val="en-US"/>
        </w:rPr>
        <w:t xml:space="preserve"> </w:t>
      </w:r>
      <w:r w:rsidR="00A44E79" w:rsidRPr="00D337FA">
        <w:rPr>
          <w:i/>
          <w:lang w:val="en-US"/>
        </w:rPr>
        <w:t>zna-chimosti</w:t>
      </w:r>
      <w:r w:rsidR="006C680D" w:rsidRPr="00D337FA">
        <w:rPr>
          <w:i/>
          <w:lang w:val="en-US"/>
        </w:rPr>
        <w:t xml:space="preserve"> </w:t>
      </w:r>
      <w:r w:rsidR="00A44E79" w:rsidRPr="00D337FA">
        <w:rPr>
          <w:i/>
          <w:lang w:val="en-US"/>
        </w:rPr>
        <w:t>bankov:</w:t>
      </w:r>
      <w:r w:rsidR="006C680D" w:rsidRPr="00D337FA">
        <w:rPr>
          <w:i/>
          <w:lang w:val="en-US"/>
        </w:rPr>
        <w:t xml:space="preserve"> </w:t>
      </w:r>
      <w:r w:rsidR="00A44E79" w:rsidRPr="00D337FA">
        <w:rPr>
          <w:i/>
          <w:lang w:val="en-US"/>
        </w:rPr>
        <w:t>mezhdunarodnye</w:t>
      </w:r>
      <w:r w:rsidR="006C680D" w:rsidRPr="00D337FA">
        <w:rPr>
          <w:i/>
          <w:lang w:val="en-US"/>
        </w:rPr>
        <w:t xml:space="preserve"> </w:t>
      </w:r>
      <w:r w:rsidR="00A44E79" w:rsidRPr="00D337FA">
        <w:rPr>
          <w:i/>
          <w:lang w:val="en-US"/>
        </w:rPr>
        <w:t>podhody</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Rossijskaya</w:t>
      </w:r>
      <w:r w:rsidR="006C680D" w:rsidRPr="00D337FA">
        <w:rPr>
          <w:i/>
          <w:lang w:val="en-US"/>
        </w:rPr>
        <w:t xml:space="preserve"> </w:t>
      </w:r>
      <w:r w:rsidR="00A44E79" w:rsidRPr="00D337FA">
        <w:rPr>
          <w:i/>
          <w:lang w:val="en-US"/>
        </w:rPr>
        <w:t>praktika</w:t>
      </w:r>
      <w:r w:rsidR="006C680D" w:rsidRPr="00D337FA">
        <w:rPr>
          <w:i/>
          <w:lang w:val="en-US"/>
        </w:rPr>
        <w:t xml:space="preserve"> </w:t>
      </w:r>
      <w:r w:rsidR="00A44E79" w:rsidRPr="00D337FA">
        <w:rPr>
          <w:i/>
          <w:lang w:val="en-US"/>
        </w:rPr>
        <w:t>[</w:t>
      </w:r>
      <w:r w:rsidRPr="00D337FA">
        <w:rPr>
          <w:i/>
          <w:lang w:val="en-US"/>
        </w:rPr>
        <w:t>Assessing</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systemic</w:t>
      </w:r>
      <w:r w:rsidR="006C680D" w:rsidRPr="00D337FA">
        <w:rPr>
          <w:i/>
          <w:lang w:val="en-US"/>
        </w:rPr>
        <w:t xml:space="preserve"> </w:t>
      </w:r>
      <w:r w:rsidRPr="00D337FA">
        <w:rPr>
          <w:i/>
          <w:lang w:val="en-US"/>
        </w:rPr>
        <w:t>importance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international</w:t>
      </w:r>
      <w:r w:rsidR="006C680D" w:rsidRPr="00D337FA">
        <w:rPr>
          <w:i/>
          <w:lang w:val="en-US"/>
        </w:rPr>
        <w:t xml:space="preserve"> </w:t>
      </w:r>
      <w:r w:rsidRPr="00D337FA">
        <w:rPr>
          <w:i/>
          <w:lang w:val="en-US"/>
        </w:rPr>
        <w:t>approaches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Russian</w:t>
      </w:r>
      <w:r w:rsidR="006C680D" w:rsidRPr="00D337FA">
        <w:rPr>
          <w:i/>
          <w:lang w:val="en-US"/>
        </w:rPr>
        <w:t xml:space="preserve"> </w:t>
      </w:r>
      <w:r w:rsidRPr="00D337FA">
        <w:rPr>
          <w:i/>
          <w:lang w:val="en-US"/>
        </w:rPr>
        <w:t>practice</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Vestnik</w:t>
      </w:r>
      <w:r w:rsidR="006C680D" w:rsidRPr="00D337FA">
        <w:rPr>
          <w:i/>
          <w:lang w:val="en-US"/>
        </w:rPr>
        <w:t xml:space="preserve"> </w:t>
      </w:r>
      <w:r w:rsidR="00A44E79" w:rsidRPr="00D337FA">
        <w:rPr>
          <w:i/>
          <w:lang w:val="en-US"/>
        </w:rPr>
        <w:t>Saratovskogo</w:t>
      </w:r>
      <w:r w:rsidR="006C680D" w:rsidRPr="00D337FA">
        <w:rPr>
          <w:i/>
          <w:lang w:val="en-US"/>
        </w:rPr>
        <w:t xml:space="preserve"> </w:t>
      </w:r>
      <w:r w:rsidR="00A44E79" w:rsidRPr="00D337FA">
        <w:rPr>
          <w:i/>
          <w:lang w:val="en-US"/>
        </w:rPr>
        <w:t>gosudarstvennogo</w:t>
      </w:r>
      <w:r w:rsidR="006C680D" w:rsidRPr="00D337FA">
        <w:rPr>
          <w:i/>
          <w:lang w:val="en-US"/>
        </w:rPr>
        <w:t xml:space="preserve"> </w:t>
      </w:r>
      <w:r w:rsidR="00A44E79" w:rsidRPr="00D337FA">
        <w:rPr>
          <w:i/>
          <w:lang w:val="en-US"/>
        </w:rPr>
        <w:t>social'no-ekonomicheskogo</w:t>
      </w:r>
      <w:r w:rsidR="006C680D" w:rsidRPr="00D337FA">
        <w:rPr>
          <w:i/>
          <w:lang w:val="en-US"/>
        </w:rPr>
        <w:t xml:space="preserve"> </w:t>
      </w:r>
      <w:r w:rsidR="00A44E79" w:rsidRPr="00D337FA">
        <w:rPr>
          <w:i/>
          <w:lang w:val="en-US"/>
        </w:rPr>
        <w:t>universiteta</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Bulletin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Saratov</w:t>
      </w:r>
      <w:r w:rsidR="006C680D" w:rsidRPr="00D337FA">
        <w:rPr>
          <w:i/>
          <w:lang w:val="en-US"/>
        </w:rPr>
        <w:t xml:space="preserve"> </w:t>
      </w:r>
      <w:r w:rsidRPr="00D337FA">
        <w:rPr>
          <w:i/>
          <w:lang w:val="en-US"/>
        </w:rPr>
        <w:t>State</w:t>
      </w:r>
      <w:r w:rsidR="006C680D" w:rsidRPr="00D337FA">
        <w:rPr>
          <w:i/>
          <w:lang w:val="en-US"/>
        </w:rPr>
        <w:t xml:space="preserve"> </w:t>
      </w:r>
      <w:r w:rsidRPr="00D337FA">
        <w:rPr>
          <w:i/>
          <w:lang w:val="en-US"/>
        </w:rPr>
        <w:t>University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Social</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Economics.</w:t>
      </w:r>
      <w:r w:rsidR="006C680D" w:rsidRPr="00D337FA">
        <w:rPr>
          <w:i/>
          <w:lang w:val="en-US"/>
        </w:rPr>
        <w:t xml:space="preserve"> </w:t>
      </w:r>
      <w:r w:rsidRPr="00D337FA">
        <w:rPr>
          <w:i/>
          <w:lang w:val="en-US"/>
        </w:rPr>
        <w:t>2020.</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4-5(83).</w:t>
      </w:r>
      <w:r w:rsidR="006C680D" w:rsidRPr="00D337FA">
        <w:rPr>
          <w:i/>
          <w:lang w:val="en-US"/>
        </w:rPr>
        <w:t xml:space="preserve"> </w:t>
      </w:r>
      <w:r w:rsidRPr="00D337FA">
        <w:rPr>
          <w:i/>
          <w:lang w:val="en-US"/>
        </w:rPr>
        <w:t>P.</w:t>
      </w:r>
      <w:r w:rsidR="006C680D" w:rsidRPr="00D337FA">
        <w:rPr>
          <w:i/>
          <w:lang w:val="en-US"/>
        </w:rPr>
        <w:t xml:space="preserve"> </w:t>
      </w:r>
      <w:r w:rsidRPr="00D337FA">
        <w:rPr>
          <w:i/>
          <w:lang w:val="en-US"/>
        </w:rPr>
        <w:t>82-90.</w:t>
      </w:r>
    </w:p>
    <w:p w:rsidR="00273E3F" w:rsidRPr="00D337FA" w:rsidRDefault="00273E3F" w:rsidP="00273E3F">
      <w:pPr>
        <w:rPr>
          <w:i/>
          <w:lang w:val="en-US"/>
        </w:rPr>
      </w:pPr>
      <w:r w:rsidRPr="00D337FA">
        <w:rPr>
          <w:i/>
          <w:lang w:val="en-US"/>
        </w:rPr>
        <w:t>23.</w:t>
      </w:r>
      <w:r w:rsidR="006C680D" w:rsidRPr="00D337FA">
        <w:rPr>
          <w:i/>
          <w:lang w:val="en-US"/>
        </w:rPr>
        <w:t xml:space="preserve"> </w:t>
      </w:r>
      <w:r w:rsidRPr="00D337FA">
        <w:rPr>
          <w:i/>
          <w:lang w:val="en-US"/>
        </w:rPr>
        <w:t>Zubkova</w:t>
      </w:r>
      <w:r w:rsidR="006C680D" w:rsidRPr="00D337FA">
        <w:rPr>
          <w:i/>
          <w:lang w:val="en-US"/>
        </w:rPr>
        <w:t xml:space="preserve"> </w:t>
      </w:r>
      <w:r w:rsidRPr="00D337FA">
        <w:rPr>
          <w:i/>
          <w:lang w:val="en-US"/>
        </w:rPr>
        <w:t>V.I.</w:t>
      </w:r>
      <w:r w:rsidR="006C680D" w:rsidRPr="00D337FA">
        <w:rPr>
          <w:i/>
          <w:lang w:val="en-US"/>
        </w:rPr>
        <w:t xml:space="preserve"> </w:t>
      </w:r>
      <w:r w:rsidR="00A44E79" w:rsidRPr="00D337FA">
        <w:rPr>
          <w:i/>
          <w:lang w:val="en-US"/>
        </w:rPr>
        <w:t>Sanacionnyj</w:t>
      </w:r>
      <w:r w:rsidR="006C680D" w:rsidRPr="00D337FA">
        <w:rPr>
          <w:i/>
          <w:lang w:val="en-US"/>
        </w:rPr>
        <w:t xml:space="preserve"> </w:t>
      </w:r>
      <w:r w:rsidR="00A44E79" w:rsidRPr="00D337FA">
        <w:rPr>
          <w:i/>
          <w:lang w:val="en-US"/>
        </w:rPr>
        <w:t>audit</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bankrotstvo</w:t>
      </w:r>
      <w:r w:rsidR="006C680D" w:rsidRPr="00D337FA">
        <w:rPr>
          <w:i/>
          <w:lang w:val="en-US"/>
        </w:rPr>
        <w:t xml:space="preserve"> </w:t>
      </w:r>
      <w:r w:rsidR="00A44E79" w:rsidRPr="00D337FA">
        <w:rPr>
          <w:i/>
          <w:lang w:val="en-US"/>
        </w:rPr>
        <w:t>predpriyatij</w:t>
      </w:r>
      <w:r w:rsidR="006C680D" w:rsidRPr="00D337FA">
        <w:rPr>
          <w:i/>
          <w:lang w:val="en-US"/>
        </w:rPr>
        <w:t xml:space="preserve"> </w:t>
      </w:r>
      <w:r w:rsidR="00A44E79" w:rsidRPr="00D337FA">
        <w:rPr>
          <w:i/>
          <w:lang w:val="en-US"/>
        </w:rPr>
        <w:t>[</w:t>
      </w:r>
      <w:r w:rsidRPr="00D337FA">
        <w:rPr>
          <w:i/>
          <w:lang w:val="en-US"/>
        </w:rPr>
        <w:t>Sanation</w:t>
      </w:r>
      <w:r w:rsidR="006C680D" w:rsidRPr="00D337FA">
        <w:rPr>
          <w:i/>
          <w:lang w:val="en-US"/>
        </w:rPr>
        <w:t xml:space="preserve"> </w:t>
      </w:r>
      <w:r w:rsidRPr="00D337FA">
        <w:rPr>
          <w:i/>
          <w:lang w:val="en-US"/>
        </w:rPr>
        <w:t>audit</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bankruptcy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enterprises</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Nauchnyj</w:t>
      </w:r>
      <w:r w:rsidR="006C680D" w:rsidRPr="00D337FA">
        <w:rPr>
          <w:i/>
          <w:lang w:val="en-US"/>
        </w:rPr>
        <w:t xml:space="preserve"> </w:t>
      </w:r>
      <w:r w:rsidR="00A44E79" w:rsidRPr="00D337FA">
        <w:rPr>
          <w:i/>
          <w:lang w:val="en-US"/>
        </w:rPr>
        <w:t>vestnik:</w:t>
      </w:r>
      <w:r w:rsidR="006C680D" w:rsidRPr="00D337FA">
        <w:rPr>
          <w:i/>
          <w:lang w:val="en-US"/>
        </w:rPr>
        <w:t xml:space="preserve"> </w:t>
      </w:r>
      <w:r w:rsidR="00A44E79" w:rsidRPr="00D337FA">
        <w:rPr>
          <w:i/>
          <w:lang w:val="en-US"/>
        </w:rPr>
        <w:t>finansy,</w:t>
      </w:r>
      <w:r w:rsidR="006C680D" w:rsidRPr="00D337FA">
        <w:rPr>
          <w:i/>
          <w:lang w:val="en-US"/>
        </w:rPr>
        <w:t xml:space="preserve"> </w:t>
      </w:r>
      <w:r w:rsidR="00A44E79" w:rsidRPr="00D337FA">
        <w:rPr>
          <w:i/>
          <w:lang w:val="en-US"/>
        </w:rPr>
        <w:t>banki,</w:t>
      </w:r>
      <w:r w:rsidR="006C680D" w:rsidRPr="00D337FA">
        <w:rPr>
          <w:i/>
          <w:lang w:val="en-US"/>
        </w:rPr>
        <w:t xml:space="preserve"> </w:t>
      </w:r>
      <w:r w:rsidR="00A44E79" w:rsidRPr="00D337FA">
        <w:rPr>
          <w:i/>
          <w:lang w:val="en-US"/>
        </w:rPr>
        <w:t>investicii</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Scientific</w:t>
      </w:r>
      <w:r w:rsidR="006C680D" w:rsidRPr="00D337FA">
        <w:rPr>
          <w:i/>
          <w:lang w:val="en-US"/>
        </w:rPr>
        <w:t xml:space="preserve"> </w:t>
      </w:r>
      <w:r w:rsidRPr="00D337FA">
        <w:rPr>
          <w:i/>
          <w:lang w:val="en-US"/>
        </w:rPr>
        <w:t>Bulletin:</w:t>
      </w:r>
      <w:r w:rsidR="006C680D" w:rsidRPr="00D337FA">
        <w:rPr>
          <w:i/>
          <w:lang w:val="en-US"/>
        </w:rPr>
        <w:t xml:space="preserve"> </w:t>
      </w:r>
      <w:r w:rsidRPr="00D337FA">
        <w:rPr>
          <w:i/>
          <w:lang w:val="en-US"/>
        </w:rPr>
        <w:t>finance,</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investments.</w:t>
      </w:r>
      <w:r w:rsidR="006C680D" w:rsidRPr="00D337FA">
        <w:rPr>
          <w:i/>
          <w:lang w:val="en-US"/>
        </w:rPr>
        <w:t xml:space="preserve"> </w:t>
      </w:r>
      <w:r w:rsidRPr="00D337FA">
        <w:rPr>
          <w:i/>
          <w:lang w:val="en-US"/>
        </w:rPr>
        <w:t>2016.</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1</w:t>
      </w:r>
      <w:r w:rsidR="006C680D" w:rsidRPr="00D337FA">
        <w:rPr>
          <w:i/>
          <w:lang w:val="en-US"/>
        </w:rPr>
        <w:t xml:space="preserve"> </w:t>
      </w:r>
      <w:r w:rsidRPr="00D337FA">
        <w:rPr>
          <w:i/>
          <w:lang w:val="en-US"/>
        </w:rPr>
        <w:t>(34).</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https://cyberleninka.ru/article/n/sanatsionnyy-audit-i-bankrotstvo-predpriyatiy</w:t>
      </w:r>
      <w:r w:rsidR="006C680D" w:rsidRPr="00D337FA">
        <w:rPr>
          <w:i/>
          <w:lang w:val="en-US"/>
        </w:rPr>
        <w:t xml:space="preserve"> </w:t>
      </w:r>
      <w:r w:rsidRPr="00D337FA">
        <w:rPr>
          <w:i/>
          <w:lang w:val="en-US"/>
        </w:rPr>
        <w:t>(date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access:</w:t>
      </w:r>
      <w:r w:rsidR="006C680D" w:rsidRPr="00D337FA">
        <w:rPr>
          <w:i/>
          <w:lang w:val="en-US"/>
        </w:rPr>
        <w:t xml:space="preserve"> </w:t>
      </w:r>
      <w:r w:rsidRPr="00D337FA">
        <w:rPr>
          <w:i/>
          <w:lang w:val="en-US"/>
        </w:rPr>
        <w:t>01.02.2026).</w:t>
      </w:r>
    </w:p>
    <w:p w:rsidR="00273E3F" w:rsidRDefault="00273E3F" w:rsidP="00273E3F">
      <w:pPr>
        <w:rPr>
          <w:i/>
          <w:lang w:val="en-US"/>
        </w:rPr>
      </w:pPr>
      <w:r w:rsidRPr="00D337FA">
        <w:rPr>
          <w:i/>
          <w:lang w:val="en-US"/>
        </w:rPr>
        <w:t>24.</w:t>
      </w:r>
      <w:r w:rsidR="006C680D" w:rsidRPr="00D337FA">
        <w:rPr>
          <w:i/>
          <w:lang w:val="en-US"/>
        </w:rPr>
        <w:t xml:space="preserve"> </w:t>
      </w:r>
      <w:r w:rsidRPr="00D337FA">
        <w:rPr>
          <w:i/>
          <w:lang w:val="en-US"/>
        </w:rPr>
        <w:t>Kovaleva</w:t>
      </w:r>
      <w:r w:rsidR="006C680D" w:rsidRPr="00D337FA">
        <w:rPr>
          <w:i/>
          <w:lang w:val="en-US"/>
        </w:rPr>
        <w:t xml:space="preserve"> </w:t>
      </w:r>
      <w:r w:rsidRPr="00D337FA">
        <w:rPr>
          <w:i/>
          <w:lang w:val="en-US"/>
        </w:rPr>
        <w:t>N.A.,</w:t>
      </w:r>
      <w:r w:rsidR="006C680D" w:rsidRPr="00D337FA">
        <w:rPr>
          <w:i/>
          <w:lang w:val="en-US"/>
        </w:rPr>
        <w:t xml:space="preserve"> </w:t>
      </w:r>
      <w:r w:rsidRPr="00D337FA">
        <w:rPr>
          <w:i/>
          <w:lang w:val="en-US"/>
        </w:rPr>
        <w:t>Tikhonova</w:t>
      </w:r>
      <w:r w:rsidR="006C680D" w:rsidRPr="00D337FA">
        <w:rPr>
          <w:i/>
          <w:lang w:val="en-US"/>
        </w:rPr>
        <w:t xml:space="preserve"> </w:t>
      </w:r>
      <w:r w:rsidRPr="00D337FA">
        <w:rPr>
          <w:i/>
          <w:lang w:val="en-US"/>
        </w:rPr>
        <w:t>K.I.</w:t>
      </w:r>
      <w:r w:rsidR="006C680D" w:rsidRPr="00D337FA">
        <w:rPr>
          <w:i/>
          <w:lang w:val="en-US"/>
        </w:rPr>
        <w:t xml:space="preserve"> </w:t>
      </w:r>
      <w:r w:rsidR="00A44E79" w:rsidRPr="00D337FA">
        <w:rPr>
          <w:i/>
          <w:lang w:val="en-US"/>
        </w:rPr>
        <w:t>Mekhanizm</w:t>
      </w:r>
      <w:r w:rsidR="006C680D" w:rsidRPr="00D337FA">
        <w:rPr>
          <w:i/>
          <w:lang w:val="en-US"/>
        </w:rPr>
        <w:t xml:space="preserve"> </w:t>
      </w:r>
      <w:r w:rsidR="00A44E79" w:rsidRPr="00D337FA">
        <w:rPr>
          <w:i/>
          <w:lang w:val="en-US"/>
        </w:rPr>
        <w:t>bail-in</w:t>
      </w:r>
      <w:r w:rsidR="006C680D" w:rsidRPr="00D337FA">
        <w:rPr>
          <w:i/>
          <w:lang w:val="en-US"/>
        </w:rPr>
        <w:t xml:space="preserve"> </w:t>
      </w:r>
      <w:r w:rsidR="00A44E79" w:rsidRPr="00D337FA">
        <w:rPr>
          <w:i/>
          <w:lang w:val="en-US"/>
        </w:rPr>
        <w:t>kak</w:t>
      </w:r>
      <w:r w:rsidR="006C680D" w:rsidRPr="00D337FA">
        <w:rPr>
          <w:i/>
          <w:lang w:val="en-US"/>
        </w:rPr>
        <w:t xml:space="preserve"> </w:t>
      </w:r>
      <w:r w:rsidR="00A44E79" w:rsidRPr="00D337FA">
        <w:rPr>
          <w:i/>
          <w:lang w:val="en-US"/>
        </w:rPr>
        <w:t>sposob</w:t>
      </w:r>
      <w:r w:rsidR="006C680D" w:rsidRPr="00D337FA">
        <w:rPr>
          <w:i/>
          <w:lang w:val="en-US"/>
        </w:rPr>
        <w:t xml:space="preserve"> </w:t>
      </w:r>
      <w:r w:rsidR="00A44E79" w:rsidRPr="00D337FA">
        <w:rPr>
          <w:i/>
          <w:lang w:val="en-US"/>
        </w:rPr>
        <w:t>finansovogo</w:t>
      </w:r>
      <w:r w:rsidR="006C680D" w:rsidRPr="00D337FA">
        <w:rPr>
          <w:i/>
          <w:lang w:val="en-US"/>
        </w:rPr>
        <w:t xml:space="preserve"> </w:t>
      </w:r>
      <w:r w:rsidR="00A44E79" w:rsidRPr="00D337FA">
        <w:rPr>
          <w:i/>
          <w:lang w:val="en-US"/>
        </w:rPr>
        <w:t>ozdorovleniya</w:t>
      </w:r>
      <w:r w:rsidR="006C680D" w:rsidRPr="00D337FA">
        <w:rPr>
          <w:i/>
          <w:lang w:val="en-US"/>
        </w:rPr>
        <w:t xml:space="preserve"> </w:t>
      </w:r>
      <w:r w:rsidR="00A44E79" w:rsidRPr="00D337FA">
        <w:rPr>
          <w:i/>
          <w:lang w:val="en-US"/>
        </w:rPr>
        <w:t>banka</w:t>
      </w:r>
      <w:r w:rsidR="006C680D" w:rsidRPr="00D337FA">
        <w:rPr>
          <w:i/>
          <w:lang w:val="en-US"/>
        </w:rPr>
        <w:t xml:space="preserve"> </w:t>
      </w:r>
      <w:r w:rsidR="00A44E79" w:rsidRPr="00D337FA">
        <w:rPr>
          <w:i/>
          <w:lang w:val="en-US"/>
        </w:rPr>
        <w:t>[</w:t>
      </w:r>
      <w:r w:rsidRPr="00D337FA">
        <w:rPr>
          <w:i/>
          <w:lang w:val="en-US"/>
        </w:rPr>
        <w:t>Bail-in</w:t>
      </w:r>
      <w:r w:rsidR="006C680D" w:rsidRPr="00D337FA">
        <w:rPr>
          <w:i/>
          <w:lang w:val="en-US"/>
        </w:rPr>
        <w:t xml:space="preserve"> </w:t>
      </w:r>
      <w:r w:rsidRPr="00D337FA">
        <w:rPr>
          <w:i/>
          <w:lang w:val="en-US"/>
        </w:rPr>
        <w:t>mechanism</w:t>
      </w:r>
      <w:r w:rsidR="006C680D" w:rsidRPr="00D337FA">
        <w:rPr>
          <w:i/>
          <w:lang w:val="en-US"/>
        </w:rPr>
        <w:t xml:space="preserve"> </w:t>
      </w:r>
      <w:r w:rsidRPr="00D337FA">
        <w:rPr>
          <w:i/>
          <w:lang w:val="en-US"/>
        </w:rPr>
        <w:t>as</w:t>
      </w:r>
      <w:r w:rsidR="006C680D" w:rsidRPr="00D337FA">
        <w:rPr>
          <w:i/>
          <w:lang w:val="en-US"/>
        </w:rPr>
        <w:t xml:space="preserve"> </w:t>
      </w:r>
      <w:r w:rsidRPr="00D337FA">
        <w:rPr>
          <w:i/>
          <w:lang w:val="en-US"/>
        </w:rPr>
        <w:t>a</w:t>
      </w:r>
      <w:r w:rsidR="006C680D" w:rsidRPr="00D337FA">
        <w:rPr>
          <w:i/>
          <w:lang w:val="en-US"/>
        </w:rPr>
        <w:t xml:space="preserve"> </w:t>
      </w:r>
      <w:r w:rsidRPr="00D337FA">
        <w:rPr>
          <w:i/>
          <w:lang w:val="en-US"/>
        </w:rPr>
        <w:t>method</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financial</w:t>
      </w:r>
      <w:r w:rsidR="006C680D" w:rsidRPr="00D337FA">
        <w:rPr>
          <w:i/>
          <w:lang w:val="en-US"/>
        </w:rPr>
        <w:t xml:space="preserve"> </w:t>
      </w:r>
      <w:r w:rsidRPr="00D337FA">
        <w:rPr>
          <w:i/>
          <w:lang w:val="en-US"/>
        </w:rPr>
        <w:t>recovery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w:t>
      </w:r>
      <w:r w:rsidR="006C680D" w:rsidRPr="00D337FA">
        <w:rPr>
          <w:i/>
          <w:lang w:val="en-US"/>
        </w:rPr>
        <w:t xml:space="preserve"> </w:t>
      </w:r>
      <w:r w:rsidRPr="00D337FA">
        <w:rPr>
          <w:i/>
          <w:lang w:val="en-US"/>
        </w:rPr>
        <w:t>bank</w:t>
      </w:r>
      <w:r w:rsidR="00A44E79" w:rsidRPr="00D337FA">
        <w:rPr>
          <w:i/>
          <w:lang w:val="en-US"/>
        </w:rPr>
        <w:t>]</w:t>
      </w:r>
      <w:r w:rsidR="006C680D" w:rsidRPr="00D337FA">
        <w:rPr>
          <w:i/>
          <w:lang w:val="en-US"/>
        </w:rPr>
        <w:t xml:space="preserve"> </w:t>
      </w:r>
      <w:r w:rsidRPr="00D337FA">
        <w:rPr>
          <w:i/>
          <w:lang w:val="en-US"/>
        </w:rPr>
        <w:t>//</w:t>
      </w:r>
      <w:r w:rsidR="006C680D" w:rsidRPr="00D337FA">
        <w:rPr>
          <w:i/>
          <w:lang w:val="en-US"/>
        </w:rPr>
        <w:t xml:space="preserve"> </w:t>
      </w:r>
      <w:r w:rsidR="00A44E79" w:rsidRPr="00D337FA">
        <w:rPr>
          <w:i/>
          <w:lang w:val="en-US"/>
        </w:rPr>
        <w:t>Finansovye</w:t>
      </w:r>
      <w:r w:rsidR="006C680D" w:rsidRPr="00D337FA">
        <w:rPr>
          <w:i/>
          <w:lang w:val="en-US"/>
        </w:rPr>
        <w:t xml:space="preserve"> </w:t>
      </w:r>
      <w:r w:rsidR="00A44E79" w:rsidRPr="00D337FA">
        <w:rPr>
          <w:i/>
          <w:lang w:val="en-US"/>
        </w:rPr>
        <w:t>rynki</w:t>
      </w:r>
      <w:r w:rsidR="006C680D" w:rsidRPr="00D337FA">
        <w:rPr>
          <w:i/>
          <w:lang w:val="en-US"/>
        </w:rPr>
        <w:t xml:space="preserve"> </w:t>
      </w:r>
      <w:r w:rsidR="00A44E79" w:rsidRPr="00D337FA">
        <w:rPr>
          <w:i/>
          <w:lang w:val="en-US"/>
        </w:rPr>
        <w:t>i</w:t>
      </w:r>
      <w:r w:rsidR="006C680D" w:rsidRPr="00D337FA">
        <w:rPr>
          <w:i/>
          <w:lang w:val="en-US"/>
        </w:rPr>
        <w:t xml:space="preserve"> </w:t>
      </w:r>
      <w:r w:rsidR="00A44E79" w:rsidRPr="00D337FA">
        <w:rPr>
          <w:i/>
          <w:lang w:val="en-US"/>
        </w:rPr>
        <w:t>banki</w:t>
      </w:r>
      <w:r w:rsidR="006C680D" w:rsidRPr="00D337FA">
        <w:rPr>
          <w:i/>
          <w:lang w:val="en-US"/>
        </w:rPr>
        <w:t xml:space="preserve"> </w:t>
      </w:r>
      <w:r w:rsidR="00A44E79" w:rsidRPr="00D337FA">
        <w:rPr>
          <w:i/>
          <w:lang w:val="en-US"/>
        </w:rPr>
        <w:t>–</w:t>
      </w:r>
      <w:r w:rsidR="006C680D" w:rsidRPr="00D337FA">
        <w:rPr>
          <w:i/>
          <w:lang w:val="en-US"/>
        </w:rPr>
        <w:t xml:space="preserve"> </w:t>
      </w:r>
      <w:r w:rsidRPr="00D337FA">
        <w:rPr>
          <w:i/>
          <w:lang w:val="en-US"/>
        </w:rPr>
        <w:t>Financial</w:t>
      </w:r>
      <w:r w:rsidR="006C680D" w:rsidRPr="00D337FA">
        <w:rPr>
          <w:i/>
          <w:lang w:val="en-US"/>
        </w:rPr>
        <w:t xml:space="preserve"> </w:t>
      </w:r>
      <w:r w:rsidRPr="00D337FA">
        <w:rPr>
          <w:i/>
          <w:lang w:val="en-US"/>
        </w:rPr>
        <w:t>markets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2021.</w:t>
      </w:r>
      <w:r w:rsidR="006C680D" w:rsidRPr="00D337FA">
        <w:rPr>
          <w:i/>
          <w:lang w:val="en-US"/>
        </w:rPr>
        <w:t xml:space="preserve"> </w:t>
      </w:r>
      <w:r w:rsidRPr="00D337FA">
        <w:rPr>
          <w:i/>
          <w:lang w:val="en-US"/>
        </w:rPr>
        <w:t>No.</w:t>
      </w:r>
      <w:r w:rsidR="006C680D" w:rsidRPr="00D337FA">
        <w:rPr>
          <w:i/>
          <w:lang w:val="en-US"/>
        </w:rPr>
        <w:t xml:space="preserve"> </w:t>
      </w:r>
      <w:r w:rsidRPr="00D337FA">
        <w:rPr>
          <w:i/>
          <w:lang w:val="en-US"/>
        </w:rPr>
        <w:t>5.</w:t>
      </w:r>
      <w:r w:rsidR="006C680D" w:rsidRPr="00D337FA">
        <w:rPr>
          <w:i/>
          <w:lang w:val="en-US"/>
        </w:rPr>
        <w:t xml:space="preserve"> </w:t>
      </w:r>
      <w:r w:rsidRPr="00D337FA">
        <w:rPr>
          <w:i/>
          <w:lang w:val="en-US"/>
        </w:rPr>
        <w:t>URL:</w:t>
      </w:r>
      <w:r w:rsidR="006C680D" w:rsidRPr="00D337FA">
        <w:rPr>
          <w:i/>
          <w:lang w:val="en-US"/>
        </w:rPr>
        <w:t xml:space="preserve"> </w:t>
      </w:r>
      <w:r w:rsidRPr="00D337FA">
        <w:rPr>
          <w:i/>
          <w:lang w:val="en-US"/>
        </w:rPr>
        <w:t>https://cyberleninka.ru/article/n/mehanizm-bail-in-kak-sposob-finansovogo-ozdorovleniya-banka</w:t>
      </w:r>
      <w:r w:rsidR="006C680D" w:rsidRPr="00D337FA">
        <w:rPr>
          <w:i/>
          <w:lang w:val="en-US"/>
        </w:rPr>
        <w:t xml:space="preserve"> </w:t>
      </w:r>
      <w:r w:rsidRPr="00D337FA">
        <w:rPr>
          <w:i/>
          <w:lang w:val="en-US"/>
        </w:rPr>
        <w:t>(accessed:</w:t>
      </w:r>
      <w:r w:rsidR="006C680D" w:rsidRPr="00D337FA">
        <w:rPr>
          <w:i/>
          <w:lang w:val="en-US"/>
        </w:rPr>
        <w:t xml:space="preserve"> </w:t>
      </w:r>
      <w:r w:rsidRPr="00D337FA">
        <w:rPr>
          <w:i/>
          <w:lang w:val="en-US"/>
        </w:rPr>
        <w:t>01.02.2026).</w:t>
      </w:r>
    </w:p>
    <w:p w:rsidR="003E3A6F" w:rsidRDefault="003E3A6F" w:rsidP="00273E3F">
      <w:pPr>
        <w:rPr>
          <w:i/>
          <w:lang w:val="en-US"/>
        </w:rPr>
      </w:pPr>
    </w:p>
    <w:p w:rsidR="003E3A6F" w:rsidRDefault="003E3A6F" w:rsidP="00273E3F">
      <w:pPr>
        <w:rPr>
          <w:i/>
          <w:lang w:val="en-US"/>
        </w:rPr>
      </w:pPr>
    </w:p>
    <w:p w:rsidR="003E3A6F" w:rsidRPr="007C1C9B" w:rsidRDefault="003E3A6F" w:rsidP="00273E3F">
      <w:pPr>
        <w:rPr>
          <w:i/>
          <w:lang w:val="en-US"/>
        </w:rPr>
        <w:sectPr w:rsidR="003E3A6F" w:rsidRPr="007C1C9B" w:rsidSect="002E26D0">
          <w:footnotePr>
            <w:numRestart w:val="eachPage"/>
          </w:footnotePr>
          <w:type w:val="continuous"/>
          <w:pgSz w:w="11907" w:h="16840" w:code="9"/>
          <w:pgMar w:top="1418" w:right="1134" w:bottom="1418" w:left="1134" w:header="1021" w:footer="1021" w:gutter="0"/>
          <w:cols w:space="708"/>
          <w:docGrid w:linePitch="360"/>
        </w:sectPr>
      </w:pPr>
    </w:p>
    <w:p w:rsidR="003E3A6F" w:rsidRDefault="003E3A6F" w:rsidP="003E3A6F">
      <w:pPr>
        <w:ind w:firstLine="284"/>
        <w:rPr>
          <w:i/>
          <w:lang w:val="en-US"/>
        </w:rPr>
      </w:pPr>
      <w:r w:rsidRPr="003E3A6F">
        <w:rPr>
          <w:b/>
          <w:i/>
        </w:rPr>
        <w:lastRenderedPageBreak/>
        <w:t>Ильина Лариса Владимировна</w:t>
      </w:r>
      <w:r w:rsidRPr="003E3A6F">
        <w:rPr>
          <w:i/>
        </w:rPr>
        <w:t xml:space="preserve"> – доктор экономических наук, профессор кафедры «Финансы и банковское дело», Саратовский государственный технический университет имени Гагарина Ю.А., Россия, 410054, г. Саратов, ул. </w:t>
      </w:r>
      <w:r w:rsidRPr="003E3A6F">
        <w:rPr>
          <w:i/>
          <w:lang w:val="en-US"/>
        </w:rPr>
        <w:t>Политехническая, 77; E-mail: iliyna2011@yandex.ru, https://orcid.org/ 0000- 0002-8447-3694</w:t>
      </w:r>
    </w:p>
    <w:p w:rsidR="003E3A6F" w:rsidRPr="003E3A6F" w:rsidRDefault="003E3A6F" w:rsidP="003E3A6F">
      <w:pPr>
        <w:ind w:firstLine="284"/>
        <w:rPr>
          <w:i/>
          <w:lang w:val="en-US"/>
        </w:rPr>
      </w:pPr>
      <w:r w:rsidRPr="003E3A6F">
        <w:rPr>
          <w:b/>
          <w:i/>
          <w:lang w:val="en-US"/>
        </w:rPr>
        <w:lastRenderedPageBreak/>
        <w:t>Larisa V. Ilina</w:t>
      </w:r>
      <w:r w:rsidRPr="003E3A6F">
        <w:rPr>
          <w:i/>
          <w:lang w:val="en-US"/>
        </w:rPr>
        <w:t xml:space="preserve"> – Dr. Sc. (Economics), Professor of the Department of Finance and Banking; Yuri Gagarin State Technical University of Saratov, 77 Politechnicheskaya st., Saratov 410054, Russia; E-mail: iliyna2011@yandex.ru, https://orcid.org/ 0000-0002-8447-3694</w:t>
      </w:r>
    </w:p>
    <w:p w:rsidR="003E3A6F" w:rsidRDefault="003E3A6F" w:rsidP="00273E3F">
      <w:pPr>
        <w:rPr>
          <w:i/>
          <w:lang w:val="en-US"/>
        </w:rPr>
      </w:pPr>
    </w:p>
    <w:p w:rsidR="003E3A6F" w:rsidRDefault="003E3A6F" w:rsidP="00273E3F">
      <w:pPr>
        <w:rPr>
          <w:i/>
          <w:lang w:val="en-US"/>
        </w:rPr>
        <w:sectPr w:rsidR="003E3A6F" w:rsidSect="003E3A6F">
          <w:footnotePr>
            <w:numRestart w:val="eachPage"/>
          </w:footnotePr>
          <w:type w:val="continuous"/>
          <w:pgSz w:w="11907" w:h="16840" w:code="9"/>
          <w:pgMar w:top="1418" w:right="1134" w:bottom="1418" w:left="1134" w:header="1021" w:footer="1021" w:gutter="0"/>
          <w:cols w:num="2" w:space="708"/>
          <w:docGrid w:linePitch="360"/>
        </w:sectPr>
      </w:pPr>
    </w:p>
    <w:p w:rsidR="004A1229" w:rsidRPr="00D337FA" w:rsidRDefault="004A1229" w:rsidP="004A1229">
      <w:pPr>
        <w:rPr>
          <w:lang w:val="en-US"/>
        </w:rPr>
      </w:pPr>
    </w:p>
    <w:p w:rsidR="00A44E79" w:rsidRPr="00D337FA" w:rsidRDefault="00A44E79" w:rsidP="00A44E79">
      <w:pPr>
        <w:rPr>
          <w:b/>
          <w:bCs/>
          <w:i/>
          <w:iCs/>
          <w:lang w:val="en-US"/>
        </w:rPr>
        <w:sectPr w:rsidR="00A44E7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A44E79" w:rsidRPr="00D337FA" w:rsidRDefault="00A44E79" w:rsidP="004454FD">
      <w:pPr>
        <w:ind w:firstLine="284"/>
        <w:rPr>
          <w:i/>
          <w:iCs/>
        </w:rPr>
      </w:pPr>
      <w:r w:rsidRPr="00D337FA">
        <w:rPr>
          <w:b/>
          <w:bCs/>
          <w:i/>
          <w:iCs/>
        </w:rPr>
        <w:lastRenderedPageBreak/>
        <w:t>Копченко</w:t>
      </w:r>
      <w:r w:rsidR="006C680D" w:rsidRPr="00D337FA">
        <w:rPr>
          <w:b/>
          <w:bCs/>
          <w:i/>
          <w:iCs/>
        </w:rPr>
        <w:t xml:space="preserve"> </w:t>
      </w:r>
      <w:r w:rsidRPr="00D337FA">
        <w:rPr>
          <w:b/>
          <w:bCs/>
          <w:i/>
          <w:iCs/>
        </w:rPr>
        <w:t>Юлия</w:t>
      </w:r>
      <w:r w:rsidR="006C680D" w:rsidRPr="00D337FA">
        <w:rPr>
          <w:b/>
          <w:bCs/>
          <w:i/>
          <w:iCs/>
        </w:rPr>
        <w:t xml:space="preserve"> </w:t>
      </w:r>
      <w:r w:rsidRPr="00D337FA">
        <w:rPr>
          <w:b/>
          <w:bCs/>
          <w:i/>
          <w:iCs/>
        </w:rPr>
        <w:t>Евгеньевна</w:t>
      </w:r>
      <w:r w:rsidR="006C680D" w:rsidRPr="00D337FA">
        <w:rPr>
          <w:i/>
          <w:iCs/>
        </w:rPr>
        <w:t xml:space="preserve"> </w:t>
      </w:r>
      <w:r w:rsidRPr="00D337FA">
        <w:rPr>
          <w:b/>
          <w:bCs/>
        </w:rPr>
        <w:t>–</w:t>
      </w:r>
      <w:r w:rsidR="006C680D" w:rsidRPr="00D337FA">
        <w:rPr>
          <w:i/>
          <w:iCs/>
        </w:rPr>
        <w:t xml:space="preserve"> </w:t>
      </w:r>
      <w:r w:rsidRPr="00D337FA">
        <w:rPr>
          <w:i/>
          <w:iCs/>
        </w:rPr>
        <w:t>доктор</w:t>
      </w:r>
      <w:r w:rsidR="006C680D" w:rsidRPr="00D337FA">
        <w:rPr>
          <w:i/>
          <w:iCs/>
        </w:rPr>
        <w:t xml:space="preserve"> </w:t>
      </w:r>
      <w:r w:rsidRPr="00D337FA">
        <w:rPr>
          <w:i/>
          <w:iCs/>
        </w:rPr>
        <w:t>экономических</w:t>
      </w:r>
      <w:r w:rsidR="006C680D" w:rsidRPr="00D337FA">
        <w:rPr>
          <w:i/>
          <w:iCs/>
        </w:rPr>
        <w:t xml:space="preserve"> </w:t>
      </w:r>
      <w:r w:rsidRPr="00D337FA">
        <w:rPr>
          <w:i/>
          <w:iCs/>
        </w:rPr>
        <w:t>наук,</w:t>
      </w:r>
      <w:r w:rsidR="006C680D" w:rsidRPr="00D337FA">
        <w:rPr>
          <w:i/>
          <w:iCs/>
        </w:rPr>
        <w:t xml:space="preserve"> </w:t>
      </w:r>
      <w:r w:rsidRPr="00D337FA">
        <w:rPr>
          <w:i/>
          <w:iCs/>
        </w:rPr>
        <w:t>профессор</w:t>
      </w:r>
      <w:r w:rsidR="006C680D" w:rsidRPr="00D337FA">
        <w:rPr>
          <w:i/>
          <w:iCs/>
        </w:rPr>
        <w:t xml:space="preserve"> </w:t>
      </w:r>
      <w:r w:rsidRPr="00D337FA">
        <w:rPr>
          <w:i/>
          <w:iCs/>
        </w:rPr>
        <w:t>кафедры</w:t>
      </w:r>
      <w:r w:rsidR="006C680D" w:rsidRPr="00D337FA">
        <w:rPr>
          <w:i/>
          <w:iCs/>
        </w:rPr>
        <w:t xml:space="preserve"> </w:t>
      </w:r>
      <w:r w:rsidRPr="00D337FA">
        <w:rPr>
          <w:i/>
          <w:iCs/>
        </w:rPr>
        <w:t>«Финансы</w:t>
      </w:r>
      <w:r w:rsidR="006C680D" w:rsidRPr="00D337FA">
        <w:rPr>
          <w:i/>
          <w:iCs/>
        </w:rPr>
        <w:t xml:space="preserve"> </w:t>
      </w:r>
      <w:r w:rsidRPr="00D337FA">
        <w:rPr>
          <w:i/>
          <w:iCs/>
        </w:rPr>
        <w:t>и</w:t>
      </w:r>
      <w:r w:rsidR="006C680D" w:rsidRPr="00D337FA">
        <w:rPr>
          <w:i/>
          <w:iCs/>
        </w:rPr>
        <w:t xml:space="preserve"> </w:t>
      </w:r>
      <w:r w:rsidRPr="00D337FA">
        <w:rPr>
          <w:i/>
          <w:iCs/>
        </w:rPr>
        <w:t>банковское</w:t>
      </w:r>
      <w:r w:rsidR="006C680D" w:rsidRPr="00D337FA">
        <w:rPr>
          <w:i/>
          <w:iCs/>
        </w:rPr>
        <w:t xml:space="preserve"> </w:t>
      </w:r>
      <w:r w:rsidRPr="00D337FA">
        <w:rPr>
          <w:i/>
          <w:iCs/>
        </w:rPr>
        <w:t>дело»,</w:t>
      </w:r>
      <w:r w:rsidR="006C680D" w:rsidRPr="00D337FA">
        <w:rPr>
          <w:i/>
          <w:iCs/>
        </w:rPr>
        <w:t xml:space="preserve"> </w:t>
      </w:r>
      <w:r w:rsidRPr="00D337FA">
        <w:rPr>
          <w:i/>
          <w:iCs/>
        </w:rPr>
        <w:t>Саратовский</w:t>
      </w:r>
      <w:r w:rsidR="006C680D" w:rsidRPr="00D337FA">
        <w:rPr>
          <w:i/>
          <w:iCs/>
        </w:rPr>
        <w:t xml:space="preserve"> </w:t>
      </w:r>
      <w:r w:rsidRPr="00D337FA">
        <w:rPr>
          <w:i/>
          <w:iCs/>
        </w:rPr>
        <w:t>государственный</w:t>
      </w:r>
      <w:r w:rsidR="006C680D" w:rsidRPr="00D337FA">
        <w:rPr>
          <w:i/>
          <w:iCs/>
        </w:rPr>
        <w:t xml:space="preserve"> </w:t>
      </w:r>
      <w:r w:rsidRPr="00D337FA">
        <w:rPr>
          <w:i/>
          <w:iCs/>
        </w:rPr>
        <w:t>технический</w:t>
      </w:r>
      <w:r w:rsidR="006C680D" w:rsidRPr="00D337FA">
        <w:rPr>
          <w:i/>
          <w:iCs/>
        </w:rPr>
        <w:t xml:space="preserve"> </w:t>
      </w:r>
      <w:r w:rsidRPr="00D337FA">
        <w:rPr>
          <w:i/>
          <w:iCs/>
        </w:rPr>
        <w:t>университет</w:t>
      </w:r>
      <w:r w:rsidR="006C680D" w:rsidRPr="00D337FA">
        <w:rPr>
          <w:i/>
          <w:iCs/>
        </w:rPr>
        <w:t xml:space="preserve"> </w:t>
      </w:r>
      <w:r w:rsidRPr="00D337FA">
        <w:rPr>
          <w:i/>
          <w:iCs/>
        </w:rPr>
        <w:t>имени</w:t>
      </w:r>
      <w:r w:rsidR="006C680D" w:rsidRPr="00D337FA">
        <w:rPr>
          <w:i/>
          <w:iCs/>
        </w:rPr>
        <w:t xml:space="preserve"> </w:t>
      </w:r>
      <w:r w:rsidRPr="00D337FA">
        <w:rPr>
          <w:i/>
          <w:iCs/>
        </w:rPr>
        <w:t>Гагарина</w:t>
      </w:r>
      <w:r w:rsidR="006C680D" w:rsidRPr="00D337FA">
        <w:rPr>
          <w:i/>
          <w:iCs/>
        </w:rPr>
        <w:t xml:space="preserve"> </w:t>
      </w:r>
      <w:r w:rsidRPr="00D337FA">
        <w:rPr>
          <w:i/>
          <w:iCs/>
        </w:rPr>
        <w:t>Ю.А.,</w:t>
      </w:r>
      <w:r w:rsidR="006C680D" w:rsidRPr="00D337FA">
        <w:rPr>
          <w:i/>
          <w:iCs/>
        </w:rPr>
        <w:t xml:space="preserve"> </w:t>
      </w:r>
      <w:r w:rsidRPr="00D337FA">
        <w:rPr>
          <w:i/>
          <w:iCs/>
        </w:rPr>
        <w:t>Россия,</w:t>
      </w:r>
      <w:r w:rsidR="006C680D" w:rsidRPr="00D337FA">
        <w:rPr>
          <w:i/>
          <w:iCs/>
        </w:rPr>
        <w:t xml:space="preserve"> </w:t>
      </w:r>
      <w:r w:rsidRPr="00D337FA">
        <w:rPr>
          <w:i/>
          <w:iCs/>
        </w:rPr>
        <w:t>410054,</w:t>
      </w:r>
      <w:r w:rsidR="006C680D" w:rsidRPr="00D337FA">
        <w:rPr>
          <w:i/>
          <w:iCs/>
        </w:rPr>
        <w:t xml:space="preserve"> </w:t>
      </w:r>
      <w:r w:rsidRPr="00D337FA">
        <w:rPr>
          <w:i/>
          <w:iCs/>
        </w:rPr>
        <w:t>г.</w:t>
      </w:r>
      <w:r w:rsidR="006C680D" w:rsidRPr="00D337FA">
        <w:rPr>
          <w:i/>
          <w:iCs/>
        </w:rPr>
        <w:t xml:space="preserve"> </w:t>
      </w:r>
      <w:r w:rsidRPr="00D337FA">
        <w:rPr>
          <w:i/>
          <w:iCs/>
        </w:rPr>
        <w:t>Саратов,</w:t>
      </w:r>
      <w:r w:rsidR="006C680D" w:rsidRPr="00D337FA">
        <w:rPr>
          <w:i/>
          <w:iCs/>
        </w:rPr>
        <w:t xml:space="preserve"> </w:t>
      </w:r>
      <w:r w:rsidRPr="00D337FA">
        <w:rPr>
          <w:i/>
          <w:iCs/>
        </w:rPr>
        <w:t>ул.</w:t>
      </w:r>
      <w:r w:rsidR="006C680D" w:rsidRPr="00D337FA">
        <w:rPr>
          <w:i/>
          <w:iCs/>
        </w:rPr>
        <w:t xml:space="preserve"> </w:t>
      </w:r>
      <w:r w:rsidRPr="00D337FA">
        <w:rPr>
          <w:i/>
          <w:iCs/>
        </w:rPr>
        <w:t>Политехническая,</w:t>
      </w:r>
      <w:r w:rsidR="006C680D" w:rsidRPr="00D337FA">
        <w:rPr>
          <w:i/>
          <w:iCs/>
        </w:rPr>
        <w:t xml:space="preserve"> </w:t>
      </w:r>
      <w:r w:rsidRPr="00D337FA">
        <w:rPr>
          <w:i/>
          <w:iCs/>
        </w:rPr>
        <w:t>77;</w:t>
      </w:r>
      <w:r w:rsidR="006C680D" w:rsidRPr="00D337FA">
        <w:rPr>
          <w:i/>
          <w:iCs/>
        </w:rPr>
        <w:t xml:space="preserve"> </w:t>
      </w:r>
      <w:r w:rsidRPr="00D337FA">
        <w:rPr>
          <w:i/>
          <w:iCs/>
        </w:rPr>
        <w:t>E-mail:</w:t>
      </w:r>
      <w:r w:rsidR="006C680D" w:rsidRPr="00D337FA">
        <w:rPr>
          <w:i/>
          <w:iCs/>
        </w:rPr>
        <w:t xml:space="preserve"> </w:t>
      </w:r>
      <w:r w:rsidRPr="00D337FA">
        <w:rPr>
          <w:i/>
          <w:iCs/>
        </w:rPr>
        <w:t>jksar@yandex.ru,</w:t>
      </w:r>
      <w:r w:rsidR="006C680D" w:rsidRPr="00D337FA">
        <w:rPr>
          <w:i/>
          <w:iCs/>
        </w:rPr>
        <w:t xml:space="preserve"> </w:t>
      </w:r>
      <w:r w:rsidRPr="00D337FA">
        <w:rPr>
          <w:i/>
          <w:iCs/>
        </w:rPr>
        <w:t>https://orcid.org/</w:t>
      </w:r>
      <w:r w:rsidR="006C680D" w:rsidRPr="00D337FA">
        <w:rPr>
          <w:i/>
          <w:iCs/>
        </w:rPr>
        <w:t xml:space="preserve"> </w:t>
      </w:r>
      <w:r w:rsidRPr="00D337FA">
        <w:rPr>
          <w:i/>
          <w:iCs/>
        </w:rPr>
        <w:t>0000-0001-6428-</w:t>
      </w:r>
      <w:r w:rsidR="006C680D" w:rsidRPr="00D337FA">
        <w:rPr>
          <w:i/>
          <w:iCs/>
        </w:rPr>
        <w:t xml:space="preserve"> </w:t>
      </w:r>
      <w:r w:rsidRPr="00D337FA">
        <w:rPr>
          <w:i/>
          <w:iCs/>
        </w:rPr>
        <w:t>4469</w:t>
      </w:r>
      <w:r w:rsidR="006C680D" w:rsidRPr="00D337FA">
        <w:rPr>
          <w:i/>
          <w:iCs/>
        </w:rPr>
        <w:t xml:space="preserve"> </w:t>
      </w:r>
    </w:p>
    <w:p w:rsidR="00A44E79" w:rsidRPr="00D337FA" w:rsidRDefault="00A44E79" w:rsidP="004454FD">
      <w:pPr>
        <w:ind w:firstLine="284"/>
        <w:rPr>
          <w:i/>
          <w:iCs/>
        </w:rPr>
      </w:pPr>
      <w:r w:rsidRPr="00D337FA">
        <w:rPr>
          <w:b/>
          <w:bCs/>
          <w:i/>
          <w:iCs/>
        </w:rPr>
        <w:t>Кукляева</w:t>
      </w:r>
      <w:r w:rsidR="006C680D" w:rsidRPr="00D337FA">
        <w:rPr>
          <w:b/>
          <w:bCs/>
          <w:i/>
          <w:iCs/>
        </w:rPr>
        <w:t xml:space="preserve"> </w:t>
      </w:r>
      <w:r w:rsidRPr="00D337FA">
        <w:rPr>
          <w:b/>
          <w:bCs/>
          <w:i/>
          <w:iCs/>
        </w:rPr>
        <w:t>Ольга</w:t>
      </w:r>
      <w:r w:rsidR="006C680D" w:rsidRPr="00D337FA">
        <w:rPr>
          <w:b/>
          <w:bCs/>
          <w:i/>
          <w:iCs/>
        </w:rPr>
        <w:t xml:space="preserve"> </w:t>
      </w:r>
      <w:r w:rsidRPr="00D337FA">
        <w:rPr>
          <w:b/>
          <w:bCs/>
          <w:i/>
          <w:iCs/>
        </w:rPr>
        <w:t>Андреевна</w:t>
      </w:r>
      <w:r w:rsidR="006C680D" w:rsidRPr="00D337FA">
        <w:rPr>
          <w:i/>
          <w:iCs/>
        </w:rPr>
        <w:t xml:space="preserve"> </w:t>
      </w:r>
      <w:r w:rsidRPr="00D337FA">
        <w:rPr>
          <w:b/>
          <w:bCs/>
        </w:rPr>
        <w:t>–</w:t>
      </w:r>
      <w:r w:rsidR="006C680D" w:rsidRPr="00D337FA">
        <w:rPr>
          <w:i/>
          <w:iCs/>
        </w:rPr>
        <w:t xml:space="preserve"> </w:t>
      </w:r>
      <w:r w:rsidRPr="00D337FA">
        <w:rPr>
          <w:i/>
          <w:iCs/>
        </w:rPr>
        <w:t>аспирант</w:t>
      </w:r>
      <w:r w:rsidR="006C680D" w:rsidRPr="00D337FA">
        <w:rPr>
          <w:i/>
          <w:iCs/>
        </w:rPr>
        <w:t xml:space="preserve"> </w:t>
      </w:r>
      <w:r w:rsidRPr="00D337FA">
        <w:rPr>
          <w:i/>
          <w:iCs/>
        </w:rPr>
        <w:t>кафедры</w:t>
      </w:r>
      <w:r w:rsidR="006C680D" w:rsidRPr="00D337FA">
        <w:rPr>
          <w:i/>
          <w:iCs/>
        </w:rPr>
        <w:t xml:space="preserve"> </w:t>
      </w:r>
      <w:r w:rsidRPr="00D337FA">
        <w:rPr>
          <w:i/>
          <w:iCs/>
        </w:rPr>
        <w:t>«Финансы</w:t>
      </w:r>
      <w:r w:rsidR="006C680D" w:rsidRPr="00D337FA">
        <w:rPr>
          <w:i/>
          <w:iCs/>
        </w:rPr>
        <w:t xml:space="preserve"> </w:t>
      </w:r>
      <w:r w:rsidRPr="00D337FA">
        <w:rPr>
          <w:i/>
          <w:iCs/>
        </w:rPr>
        <w:t>и</w:t>
      </w:r>
      <w:r w:rsidR="006C680D" w:rsidRPr="00D337FA">
        <w:rPr>
          <w:i/>
          <w:iCs/>
        </w:rPr>
        <w:t xml:space="preserve"> </w:t>
      </w:r>
      <w:r w:rsidRPr="00D337FA">
        <w:rPr>
          <w:i/>
          <w:iCs/>
        </w:rPr>
        <w:t>банковское</w:t>
      </w:r>
      <w:r w:rsidR="006C680D" w:rsidRPr="00D337FA">
        <w:rPr>
          <w:i/>
          <w:iCs/>
        </w:rPr>
        <w:t xml:space="preserve"> </w:t>
      </w:r>
      <w:r w:rsidRPr="00D337FA">
        <w:rPr>
          <w:i/>
          <w:iCs/>
        </w:rPr>
        <w:t>дело»,</w:t>
      </w:r>
      <w:r w:rsidR="006C680D" w:rsidRPr="00D337FA">
        <w:rPr>
          <w:i/>
          <w:iCs/>
        </w:rPr>
        <w:t xml:space="preserve"> </w:t>
      </w:r>
      <w:r w:rsidRPr="00D337FA">
        <w:rPr>
          <w:i/>
          <w:iCs/>
        </w:rPr>
        <w:t>Саратовский</w:t>
      </w:r>
      <w:r w:rsidR="006C680D" w:rsidRPr="00D337FA">
        <w:rPr>
          <w:i/>
          <w:iCs/>
        </w:rPr>
        <w:t xml:space="preserve"> </w:t>
      </w:r>
      <w:r w:rsidRPr="00D337FA">
        <w:rPr>
          <w:i/>
          <w:iCs/>
        </w:rPr>
        <w:t>государственный</w:t>
      </w:r>
      <w:r w:rsidR="006C680D" w:rsidRPr="00D337FA">
        <w:rPr>
          <w:i/>
          <w:iCs/>
        </w:rPr>
        <w:t xml:space="preserve"> </w:t>
      </w:r>
      <w:r w:rsidRPr="00D337FA">
        <w:rPr>
          <w:i/>
          <w:iCs/>
        </w:rPr>
        <w:t>технический</w:t>
      </w:r>
      <w:r w:rsidR="006C680D" w:rsidRPr="00D337FA">
        <w:rPr>
          <w:i/>
          <w:iCs/>
        </w:rPr>
        <w:t xml:space="preserve"> </w:t>
      </w:r>
      <w:r w:rsidRPr="00D337FA">
        <w:rPr>
          <w:i/>
          <w:iCs/>
        </w:rPr>
        <w:t>университет</w:t>
      </w:r>
      <w:r w:rsidR="006C680D" w:rsidRPr="00D337FA">
        <w:rPr>
          <w:i/>
          <w:iCs/>
        </w:rPr>
        <w:t xml:space="preserve"> </w:t>
      </w:r>
      <w:r w:rsidRPr="00D337FA">
        <w:rPr>
          <w:i/>
          <w:iCs/>
        </w:rPr>
        <w:t>имени</w:t>
      </w:r>
      <w:r w:rsidR="006C680D" w:rsidRPr="00D337FA">
        <w:rPr>
          <w:i/>
          <w:iCs/>
        </w:rPr>
        <w:t xml:space="preserve"> </w:t>
      </w:r>
      <w:r w:rsidRPr="00D337FA">
        <w:rPr>
          <w:i/>
          <w:iCs/>
        </w:rPr>
        <w:t>Гагарина</w:t>
      </w:r>
      <w:r w:rsidR="006C680D" w:rsidRPr="00D337FA">
        <w:rPr>
          <w:i/>
          <w:iCs/>
        </w:rPr>
        <w:t xml:space="preserve"> </w:t>
      </w:r>
      <w:r w:rsidRPr="00D337FA">
        <w:rPr>
          <w:i/>
          <w:iCs/>
        </w:rPr>
        <w:t>Ю.А.,</w:t>
      </w:r>
      <w:r w:rsidR="006C680D" w:rsidRPr="00D337FA">
        <w:rPr>
          <w:i/>
          <w:iCs/>
        </w:rPr>
        <w:t xml:space="preserve"> </w:t>
      </w:r>
      <w:r w:rsidRPr="00D337FA">
        <w:rPr>
          <w:i/>
          <w:iCs/>
        </w:rPr>
        <w:t>Россия,</w:t>
      </w:r>
      <w:r w:rsidR="006C680D" w:rsidRPr="00D337FA">
        <w:rPr>
          <w:i/>
          <w:iCs/>
        </w:rPr>
        <w:t xml:space="preserve"> </w:t>
      </w:r>
      <w:r w:rsidRPr="00D337FA">
        <w:rPr>
          <w:i/>
          <w:iCs/>
        </w:rPr>
        <w:t>410054,</w:t>
      </w:r>
      <w:r w:rsidR="006C680D" w:rsidRPr="00D337FA">
        <w:rPr>
          <w:i/>
          <w:iCs/>
        </w:rPr>
        <w:t xml:space="preserve"> </w:t>
      </w:r>
      <w:r w:rsidRPr="00D337FA">
        <w:rPr>
          <w:i/>
          <w:iCs/>
        </w:rPr>
        <w:t>г.</w:t>
      </w:r>
      <w:r w:rsidR="006C680D" w:rsidRPr="00D337FA">
        <w:rPr>
          <w:i/>
          <w:iCs/>
        </w:rPr>
        <w:t xml:space="preserve"> </w:t>
      </w:r>
      <w:r w:rsidRPr="00D337FA">
        <w:rPr>
          <w:i/>
          <w:iCs/>
        </w:rPr>
        <w:t>Саратов,</w:t>
      </w:r>
      <w:r w:rsidR="006C680D" w:rsidRPr="00D337FA">
        <w:rPr>
          <w:i/>
          <w:iCs/>
        </w:rPr>
        <w:t xml:space="preserve"> </w:t>
      </w:r>
      <w:r w:rsidRPr="00D337FA">
        <w:rPr>
          <w:i/>
          <w:iCs/>
        </w:rPr>
        <w:t>ул.</w:t>
      </w:r>
      <w:r w:rsidR="006C680D" w:rsidRPr="00D337FA">
        <w:rPr>
          <w:i/>
          <w:iCs/>
        </w:rPr>
        <w:t xml:space="preserve"> </w:t>
      </w:r>
      <w:r w:rsidRPr="00D337FA">
        <w:rPr>
          <w:i/>
          <w:iCs/>
        </w:rPr>
        <w:t>Политехническая,</w:t>
      </w:r>
      <w:r w:rsidR="006C680D" w:rsidRPr="00D337FA">
        <w:rPr>
          <w:i/>
          <w:iCs/>
        </w:rPr>
        <w:t xml:space="preserve"> </w:t>
      </w:r>
      <w:r w:rsidRPr="00D337FA">
        <w:rPr>
          <w:i/>
          <w:iCs/>
        </w:rPr>
        <w:t>77;</w:t>
      </w:r>
      <w:r w:rsidR="006C680D" w:rsidRPr="00D337FA">
        <w:rPr>
          <w:i/>
          <w:iCs/>
        </w:rPr>
        <w:t xml:space="preserve"> </w:t>
      </w:r>
      <w:r w:rsidRPr="00D337FA">
        <w:rPr>
          <w:i/>
          <w:iCs/>
        </w:rPr>
        <w:t>E-mail:</w:t>
      </w:r>
      <w:r w:rsidR="006C680D" w:rsidRPr="00D337FA">
        <w:rPr>
          <w:i/>
          <w:iCs/>
        </w:rPr>
        <w:t xml:space="preserve"> </w:t>
      </w:r>
      <w:r w:rsidRPr="00D337FA">
        <w:rPr>
          <w:i/>
          <w:iCs/>
        </w:rPr>
        <w:t>kuclyaeva.olga@yandex.ru</w:t>
      </w:r>
    </w:p>
    <w:p w:rsidR="00A44E79" w:rsidRPr="00D337FA" w:rsidRDefault="00A44E79" w:rsidP="004454FD">
      <w:pPr>
        <w:ind w:firstLine="284"/>
        <w:rPr>
          <w:i/>
          <w:iCs/>
          <w:lang w:val="en-US"/>
        </w:rPr>
      </w:pPr>
      <w:r w:rsidRPr="00D337FA">
        <w:rPr>
          <w:b/>
          <w:bCs/>
          <w:i/>
          <w:iCs/>
          <w:lang w:val="en-US"/>
        </w:rPr>
        <w:lastRenderedPageBreak/>
        <w:t>Yuliya</w:t>
      </w:r>
      <w:r w:rsidR="006C680D" w:rsidRPr="002C7AB0">
        <w:rPr>
          <w:b/>
          <w:bCs/>
          <w:i/>
          <w:iCs/>
          <w:lang w:val="en-US"/>
        </w:rPr>
        <w:t xml:space="preserve"> </w:t>
      </w:r>
      <w:r w:rsidRPr="00D337FA">
        <w:rPr>
          <w:b/>
          <w:bCs/>
          <w:i/>
          <w:iCs/>
          <w:lang w:val="en-US"/>
        </w:rPr>
        <w:t>E</w:t>
      </w:r>
      <w:r w:rsidRPr="002C7AB0">
        <w:rPr>
          <w:b/>
          <w:bCs/>
          <w:i/>
          <w:iCs/>
          <w:lang w:val="en-US"/>
        </w:rPr>
        <w:t>.</w:t>
      </w:r>
      <w:r w:rsidR="006C680D" w:rsidRPr="002C7AB0">
        <w:rPr>
          <w:b/>
          <w:bCs/>
          <w:i/>
          <w:iCs/>
          <w:lang w:val="en-US"/>
        </w:rPr>
        <w:t xml:space="preserve"> </w:t>
      </w:r>
      <w:r w:rsidRPr="00D337FA">
        <w:rPr>
          <w:b/>
          <w:bCs/>
          <w:i/>
          <w:iCs/>
          <w:lang w:val="en-US"/>
        </w:rPr>
        <w:t>Kopchenko</w:t>
      </w:r>
      <w:r w:rsidR="006C680D" w:rsidRPr="002C7AB0">
        <w:rPr>
          <w:i/>
          <w:iCs/>
          <w:lang w:val="en-US"/>
        </w:rPr>
        <w:t xml:space="preserve"> </w:t>
      </w:r>
      <w:r w:rsidRPr="002C7AB0">
        <w:rPr>
          <w:b/>
          <w:bCs/>
          <w:lang w:val="en-US"/>
        </w:rPr>
        <w:t>–</w:t>
      </w:r>
      <w:r w:rsidR="006C680D" w:rsidRPr="002C7AB0">
        <w:rPr>
          <w:i/>
          <w:iCs/>
          <w:lang w:val="en-US"/>
        </w:rPr>
        <w:t xml:space="preserve"> </w:t>
      </w:r>
      <w:r w:rsidRPr="00D337FA">
        <w:rPr>
          <w:i/>
          <w:iCs/>
          <w:lang w:val="en-US"/>
        </w:rPr>
        <w:t>Dr</w:t>
      </w:r>
      <w:r w:rsidRPr="002C7AB0">
        <w:rPr>
          <w:i/>
          <w:iCs/>
          <w:lang w:val="en-US"/>
        </w:rPr>
        <w:t>.</w:t>
      </w:r>
      <w:r w:rsidR="006C680D" w:rsidRPr="002C7AB0">
        <w:rPr>
          <w:i/>
          <w:iCs/>
          <w:lang w:val="en-US"/>
        </w:rPr>
        <w:t xml:space="preserve"> </w:t>
      </w:r>
      <w:r w:rsidRPr="00D337FA">
        <w:rPr>
          <w:i/>
          <w:iCs/>
          <w:lang w:val="en-US"/>
        </w:rPr>
        <w:t>Sc</w:t>
      </w:r>
      <w:r w:rsidRPr="002C7AB0">
        <w:rPr>
          <w:i/>
          <w:iCs/>
          <w:lang w:val="en-US"/>
        </w:rPr>
        <w:t>.</w:t>
      </w:r>
      <w:r w:rsidR="006C680D" w:rsidRPr="002C7AB0">
        <w:rPr>
          <w:i/>
          <w:iCs/>
          <w:lang w:val="en-US"/>
        </w:rPr>
        <w:t xml:space="preserve"> </w:t>
      </w:r>
      <w:r w:rsidRPr="00D337FA">
        <w:rPr>
          <w:i/>
          <w:iCs/>
          <w:lang w:val="en-US"/>
        </w:rPr>
        <w:t>(Economics),</w:t>
      </w:r>
      <w:r w:rsidR="006C680D" w:rsidRPr="00D337FA">
        <w:rPr>
          <w:i/>
          <w:iCs/>
          <w:lang w:val="en-US"/>
        </w:rPr>
        <w:t xml:space="preserve"> </w:t>
      </w:r>
      <w:r w:rsidRPr="00D337FA">
        <w:rPr>
          <w:i/>
          <w:iCs/>
          <w:lang w:val="en-US"/>
        </w:rPr>
        <w:t>Professor</w:t>
      </w:r>
      <w:r w:rsidR="006C680D" w:rsidRPr="00D337FA">
        <w:rPr>
          <w:i/>
          <w:iCs/>
          <w:lang w:val="en-US"/>
        </w:rPr>
        <w:t xml:space="preserve"> </w:t>
      </w:r>
      <w:r w:rsidRPr="00D337FA">
        <w:rPr>
          <w:i/>
          <w:iCs/>
          <w:lang w:val="en-US"/>
        </w:rPr>
        <w:t>of</w:t>
      </w:r>
      <w:r w:rsidR="006C680D" w:rsidRPr="00D337FA">
        <w:rPr>
          <w:i/>
          <w:iCs/>
          <w:lang w:val="en-US"/>
        </w:rPr>
        <w:t xml:space="preserve"> </w:t>
      </w:r>
      <w:r w:rsidRPr="00D337FA">
        <w:rPr>
          <w:i/>
          <w:iCs/>
          <w:lang w:val="en-US"/>
        </w:rPr>
        <w:t>the</w:t>
      </w:r>
      <w:r w:rsidR="006C680D" w:rsidRPr="00D337FA">
        <w:rPr>
          <w:i/>
          <w:iCs/>
          <w:lang w:val="en-US"/>
        </w:rPr>
        <w:t xml:space="preserve"> </w:t>
      </w:r>
      <w:r w:rsidRPr="00D337FA">
        <w:rPr>
          <w:i/>
          <w:iCs/>
          <w:lang w:val="en-US"/>
        </w:rPr>
        <w:t>Department</w:t>
      </w:r>
      <w:r w:rsidR="006C680D" w:rsidRPr="00D337FA">
        <w:rPr>
          <w:i/>
          <w:iCs/>
          <w:lang w:val="en-US"/>
        </w:rPr>
        <w:t xml:space="preserve"> </w:t>
      </w:r>
      <w:r w:rsidRPr="00D337FA">
        <w:rPr>
          <w:i/>
          <w:iCs/>
          <w:lang w:val="en-US"/>
        </w:rPr>
        <w:t>of</w:t>
      </w:r>
      <w:r w:rsidR="006C680D" w:rsidRPr="00D337FA">
        <w:rPr>
          <w:i/>
          <w:iCs/>
          <w:lang w:val="en-US"/>
        </w:rPr>
        <w:t xml:space="preserve"> </w:t>
      </w:r>
      <w:r w:rsidRPr="00D337FA">
        <w:rPr>
          <w:i/>
          <w:iCs/>
          <w:lang w:val="en-US"/>
        </w:rPr>
        <w:t>Finance</w:t>
      </w:r>
      <w:r w:rsidR="006C680D" w:rsidRPr="00D337FA">
        <w:rPr>
          <w:i/>
          <w:iCs/>
          <w:lang w:val="en-US"/>
        </w:rPr>
        <w:t xml:space="preserve"> </w:t>
      </w:r>
      <w:r w:rsidRPr="00D337FA">
        <w:rPr>
          <w:i/>
          <w:iCs/>
          <w:lang w:val="en-US"/>
        </w:rPr>
        <w:t>and</w:t>
      </w:r>
      <w:r w:rsidR="006C680D" w:rsidRPr="00D337FA">
        <w:rPr>
          <w:i/>
          <w:iCs/>
          <w:lang w:val="en-US"/>
        </w:rPr>
        <w:t xml:space="preserve"> </w:t>
      </w:r>
      <w:r w:rsidRPr="00D337FA">
        <w:rPr>
          <w:i/>
          <w:iCs/>
          <w:lang w:val="en-US"/>
        </w:rPr>
        <w:t>Banking;</w:t>
      </w:r>
      <w:r w:rsidR="006C680D" w:rsidRPr="00D337FA">
        <w:rPr>
          <w:i/>
          <w:iCs/>
          <w:lang w:val="en-US"/>
        </w:rPr>
        <w:t xml:space="preserve"> </w:t>
      </w:r>
      <w:r w:rsidRPr="00D337FA">
        <w:rPr>
          <w:i/>
          <w:iCs/>
          <w:lang w:val="en-US"/>
        </w:rPr>
        <w:t>Yuri</w:t>
      </w:r>
      <w:r w:rsidR="006C680D" w:rsidRPr="00D337FA">
        <w:rPr>
          <w:i/>
          <w:iCs/>
          <w:lang w:val="en-US"/>
        </w:rPr>
        <w:t xml:space="preserve"> </w:t>
      </w:r>
      <w:r w:rsidRPr="00D337FA">
        <w:rPr>
          <w:i/>
          <w:iCs/>
          <w:lang w:val="en-US"/>
        </w:rPr>
        <w:t>Gagarin</w:t>
      </w:r>
      <w:r w:rsidR="006C680D" w:rsidRPr="00D337FA">
        <w:rPr>
          <w:i/>
          <w:iCs/>
          <w:lang w:val="en-US"/>
        </w:rPr>
        <w:t xml:space="preserve"> </w:t>
      </w:r>
      <w:r w:rsidRPr="00D337FA">
        <w:rPr>
          <w:i/>
          <w:iCs/>
          <w:lang w:val="en-US"/>
        </w:rPr>
        <w:t>State</w:t>
      </w:r>
      <w:r w:rsidR="006C680D" w:rsidRPr="00D337FA">
        <w:rPr>
          <w:i/>
          <w:iCs/>
          <w:lang w:val="en-US"/>
        </w:rPr>
        <w:t xml:space="preserve"> </w:t>
      </w:r>
      <w:r w:rsidRPr="00D337FA">
        <w:rPr>
          <w:i/>
          <w:iCs/>
          <w:lang w:val="en-US"/>
        </w:rPr>
        <w:t>Technical</w:t>
      </w:r>
      <w:r w:rsidR="006C680D" w:rsidRPr="00D337FA">
        <w:rPr>
          <w:i/>
          <w:iCs/>
          <w:lang w:val="en-US"/>
        </w:rPr>
        <w:t xml:space="preserve"> </w:t>
      </w:r>
      <w:r w:rsidRPr="00D337FA">
        <w:rPr>
          <w:i/>
          <w:iCs/>
          <w:lang w:val="en-US"/>
        </w:rPr>
        <w:t>University</w:t>
      </w:r>
      <w:r w:rsidR="006C680D" w:rsidRPr="00D337FA">
        <w:rPr>
          <w:i/>
          <w:iCs/>
          <w:lang w:val="en-US"/>
        </w:rPr>
        <w:t xml:space="preserve"> </w:t>
      </w:r>
      <w:r w:rsidRPr="00D337FA">
        <w:rPr>
          <w:i/>
          <w:iCs/>
          <w:lang w:val="en-US"/>
        </w:rPr>
        <w:t>of</w:t>
      </w:r>
      <w:r w:rsidR="006C680D" w:rsidRPr="00D337FA">
        <w:rPr>
          <w:i/>
          <w:iCs/>
          <w:lang w:val="en-US"/>
        </w:rPr>
        <w:t xml:space="preserve"> </w:t>
      </w:r>
      <w:r w:rsidRPr="00D337FA">
        <w:rPr>
          <w:i/>
          <w:iCs/>
          <w:lang w:val="en-US"/>
        </w:rPr>
        <w:t>Saratov,</w:t>
      </w:r>
      <w:r w:rsidR="006C680D" w:rsidRPr="00D337FA">
        <w:rPr>
          <w:i/>
          <w:iCs/>
          <w:lang w:val="en-US"/>
        </w:rPr>
        <w:t xml:space="preserve"> </w:t>
      </w:r>
      <w:r w:rsidRPr="00D337FA">
        <w:rPr>
          <w:i/>
          <w:iCs/>
          <w:lang w:val="en-US"/>
        </w:rPr>
        <w:t>77</w:t>
      </w:r>
      <w:r w:rsidR="006C680D" w:rsidRPr="00D337FA">
        <w:rPr>
          <w:i/>
          <w:iCs/>
          <w:lang w:val="en-US"/>
        </w:rPr>
        <w:t xml:space="preserve"> </w:t>
      </w:r>
      <w:r w:rsidRPr="00D337FA">
        <w:rPr>
          <w:i/>
          <w:iCs/>
          <w:lang w:val="en-US"/>
        </w:rPr>
        <w:t>Politechnicheskaya</w:t>
      </w:r>
      <w:r w:rsidR="006C680D" w:rsidRPr="00D337FA">
        <w:rPr>
          <w:i/>
          <w:iCs/>
          <w:lang w:val="en-US"/>
        </w:rPr>
        <w:t xml:space="preserve"> </w:t>
      </w:r>
      <w:r w:rsidRPr="00D337FA">
        <w:rPr>
          <w:i/>
          <w:iCs/>
          <w:lang w:val="en-US"/>
        </w:rPr>
        <w:t>st.,</w:t>
      </w:r>
      <w:r w:rsidR="006C680D" w:rsidRPr="00D337FA">
        <w:rPr>
          <w:i/>
          <w:iCs/>
          <w:lang w:val="en-US"/>
        </w:rPr>
        <w:t xml:space="preserve"> </w:t>
      </w:r>
      <w:r w:rsidRPr="00D337FA">
        <w:rPr>
          <w:i/>
          <w:iCs/>
          <w:lang w:val="en-US"/>
        </w:rPr>
        <w:t>Saratov</w:t>
      </w:r>
      <w:r w:rsidR="006C680D" w:rsidRPr="00D337FA">
        <w:rPr>
          <w:i/>
          <w:iCs/>
          <w:lang w:val="en-US"/>
        </w:rPr>
        <w:t xml:space="preserve"> </w:t>
      </w:r>
      <w:r w:rsidRPr="00D337FA">
        <w:rPr>
          <w:i/>
          <w:iCs/>
          <w:lang w:val="en-US"/>
        </w:rPr>
        <w:t>410054,</w:t>
      </w:r>
      <w:r w:rsidR="006C680D" w:rsidRPr="00D337FA">
        <w:rPr>
          <w:i/>
          <w:iCs/>
          <w:lang w:val="en-US"/>
        </w:rPr>
        <w:t xml:space="preserve"> </w:t>
      </w:r>
      <w:r w:rsidRPr="00D337FA">
        <w:rPr>
          <w:i/>
          <w:iCs/>
          <w:lang w:val="en-US"/>
        </w:rPr>
        <w:t>Russia;</w:t>
      </w:r>
      <w:r w:rsidR="006C680D" w:rsidRPr="00D337FA">
        <w:rPr>
          <w:i/>
          <w:iCs/>
          <w:lang w:val="en-US"/>
        </w:rPr>
        <w:t xml:space="preserve"> </w:t>
      </w:r>
      <w:r w:rsidRPr="00D337FA">
        <w:rPr>
          <w:i/>
          <w:iCs/>
          <w:lang w:val="en-US"/>
        </w:rPr>
        <w:t>E-mail:</w:t>
      </w:r>
      <w:r w:rsidR="006C680D" w:rsidRPr="00D337FA">
        <w:rPr>
          <w:i/>
          <w:iCs/>
          <w:lang w:val="en-US"/>
        </w:rPr>
        <w:t xml:space="preserve"> </w:t>
      </w:r>
      <w:r w:rsidRPr="00D337FA">
        <w:rPr>
          <w:i/>
          <w:iCs/>
          <w:lang w:val="en-US"/>
        </w:rPr>
        <w:t>jk-sar@yandex.ru,</w:t>
      </w:r>
      <w:r w:rsidR="006C680D" w:rsidRPr="00D337FA">
        <w:rPr>
          <w:i/>
          <w:iCs/>
          <w:lang w:val="en-US"/>
        </w:rPr>
        <w:t xml:space="preserve"> </w:t>
      </w:r>
      <w:r w:rsidRPr="00D337FA">
        <w:rPr>
          <w:i/>
          <w:iCs/>
          <w:lang w:val="en-US"/>
        </w:rPr>
        <w:t>https:/</w:t>
      </w:r>
      <w:r w:rsidR="006C680D" w:rsidRPr="00D337FA">
        <w:rPr>
          <w:i/>
          <w:iCs/>
          <w:lang w:val="en-US"/>
        </w:rPr>
        <w:t xml:space="preserve"> </w:t>
      </w:r>
      <w:r w:rsidRPr="00D337FA">
        <w:rPr>
          <w:i/>
          <w:iCs/>
          <w:lang w:val="en-US"/>
        </w:rPr>
        <w:t>/orcid.org/</w:t>
      </w:r>
      <w:r w:rsidR="006C680D" w:rsidRPr="00D337FA">
        <w:rPr>
          <w:i/>
          <w:iCs/>
          <w:lang w:val="en-US"/>
        </w:rPr>
        <w:t xml:space="preserve"> </w:t>
      </w:r>
      <w:r w:rsidRPr="00D337FA">
        <w:rPr>
          <w:i/>
          <w:iCs/>
          <w:lang w:val="en-US"/>
        </w:rPr>
        <w:t>0000-0001-6428-4469</w:t>
      </w:r>
    </w:p>
    <w:p w:rsidR="00A44E79" w:rsidRPr="00D337FA" w:rsidRDefault="00A44E79" w:rsidP="004454FD">
      <w:pPr>
        <w:ind w:firstLine="284"/>
        <w:rPr>
          <w:i/>
          <w:iCs/>
          <w:lang w:val="en-US"/>
        </w:rPr>
      </w:pPr>
    </w:p>
    <w:p w:rsidR="00A44E79" w:rsidRDefault="00A44E79" w:rsidP="004454FD">
      <w:pPr>
        <w:ind w:firstLine="284"/>
        <w:rPr>
          <w:i/>
          <w:iCs/>
          <w:lang w:val="en-US"/>
        </w:rPr>
      </w:pPr>
      <w:r w:rsidRPr="00D337FA">
        <w:rPr>
          <w:b/>
          <w:bCs/>
          <w:i/>
          <w:iCs/>
          <w:lang w:val="en-US"/>
        </w:rPr>
        <w:t>Olga</w:t>
      </w:r>
      <w:r w:rsidR="006C680D" w:rsidRPr="00D337FA">
        <w:rPr>
          <w:b/>
          <w:bCs/>
          <w:i/>
          <w:iCs/>
          <w:lang w:val="en-US"/>
        </w:rPr>
        <w:t xml:space="preserve"> </w:t>
      </w:r>
      <w:r w:rsidRPr="00D337FA">
        <w:rPr>
          <w:b/>
          <w:bCs/>
          <w:i/>
          <w:iCs/>
          <w:lang w:val="en-US"/>
        </w:rPr>
        <w:t>A.</w:t>
      </w:r>
      <w:r w:rsidR="006C680D" w:rsidRPr="00D337FA">
        <w:rPr>
          <w:b/>
          <w:bCs/>
          <w:i/>
          <w:iCs/>
          <w:lang w:val="en-US"/>
        </w:rPr>
        <w:t xml:space="preserve"> </w:t>
      </w:r>
      <w:r w:rsidRPr="00D337FA">
        <w:rPr>
          <w:b/>
          <w:bCs/>
          <w:i/>
          <w:iCs/>
          <w:lang w:val="en-US"/>
        </w:rPr>
        <w:t>Kuklyaeva</w:t>
      </w:r>
      <w:r w:rsidR="006C680D" w:rsidRPr="00D337FA">
        <w:rPr>
          <w:b/>
          <w:bCs/>
          <w:i/>
          <w:iCs/>
          <w:lang w:val="en-US"/>
        </w:rPr>
        <w:t xml:space="preserve"> </w:t>
      </w:r>
      <w:r w:rsidRPr="00D337FA">
        <w:rPr>
          <w:b/>
          <w:bCs/>
          <w:lang w:val="en-US"/>
        </w:rPr>
        <w:t>–</w:t>
      </w:r>
      <w:r w:rsidR="006C680D" w:rsidRPr="00D337FA">
        <w:rPr>
          <w:i/>
          <w:iCs/>
          <w:lang w:val="en-US"/>
        </w:rPr>
        <w:t xml:space="preserve"> </w:t>
      </w:r>
      <w:r w:rsidRPr="00D337FA">
        <w:rPr>
          <w:i/>
          <w:iCs/>
          <w:lang w:val="en-US"/>
        </w:rPr>
        <w:t>Postgraduate</w:t>
      </w:r>
      <w:r w:rsidR="006C680D" w:rsidRPr="00D337FA">
        <w:rPr>
          <w:i/>
          <w:iCs/>
          <w:lang w:val="en-US"/>
        </w:rPr>
        <w:t xml:space="preserve"> </w:t>
      </w:r>
      <w:r w:rsidRPr="00D337FA">
        <w:rPr>
          <w:i/>
          <w:iCs/>
          <w:lang w:val="en-US"/>
        </w:rPr>
        <w:t>student</w:t>
      </w:r>
      <w:r w:rsidR="006C680D" w:rsidRPr="00D337FA">
        <w:rPr>
          <w:i/>
          <w:iCs/>
          <w:lang w:val="en-US"/>
        </w:rPr>
        <w:t xml:space="preserve"> </w:t>
      </w:r>
      <w:r w:rsidRPr="00D337FA">
        <w:rPr>
          <w:i/>
          <w:iCs/>
          <w:lang w:val="en-US"/>
        </w:rPr>
        <w:t>of</w:t>
      </w:r>
      <w:r w:rsidR="006C680D" w:rsidRPr="00D337FA">
        <w:rPr>
          <w:i/>
          <w:iCs/>
          <w:lang w:val="en-US"/>
        </w:rPr>
        <w:t xml:space="preserve"> </w:t>
      </w:r>
      <w:r w:rsidRPr="00D337FA">
        <w:rPr>
          <w:i/>
          <w:iCs/>
          <w:lang w:val="en-US"/>
        </w:rPr>
        <w:t>the</w:t>
      </w:r>
      <w:r w:rsidR="006C680D" w:rsidRPr="00D337FA">
        <w:rPr>
          <w:i/>
          <w:iCs/>
          <w:lang w:val="en-US"/>
        </w:rPr>
        <w:t xml:space="preserve"> </w:t>
      </w:r>
      <w:r w:rsidRPr="00D337FA">
        <w:rPr>
          <w:i/>
          <w:iCs/>
          <w:lang w:val="en-US"/>
        </w:rPr>
        <w:t>Department</w:t>
      </w:r>
      <w:r w:rsidR="006C680D" w:rsidRPr="00D337FA">
        <w:rPr>
          <w:i/>
          <w:iCs/>
          <w:lang w:val="en-US"/>
        </w:rPr>
        <w:t xml:space="preserve"> </w:t>
      </w:r>
      <w:r w:rsidRPr="00D337FA">
        <w:rPr>
          <w:i/>
          <w:iCs/>
          <w:lang w:val="en-US"/>
        </w:rPr>
        <w:t>of</w:t>
      </w:r>
      <w:r w:rsidR="006C680D" w:rsidRPr="00D337FA">
        <w:rPr>
          <w:i/>
          <w:iCs/>
          <w:lang w:val="en-US"/>
        </w:rPr>
        <w:t xml:space="preserve"> </w:t>
      </w:r>
      <w:r w:rsidRPr="00D337FA">
        <w:rPr>
          <w:i/>
          <w:iCs/>
          <w:lang w:val="en-US"/>
        </w:rPr>
        <w:t>Finance</w:t>
      </w:r>
      <w:r w:rsidR="006C680D" w:rsidRPr="00D337FA">
        <w:rPr>
          <w:i/>
          <w:iCs/>
          <w:lang w:val="en-US"/>
        </w:rPr>
        <w:t xml:space="preserve"> </w:t>
      </w:r>
      <w:r w:rsidRPr="00D337FA">
        <w:rPr>
          <w:i/>
          <w:iCs/>
          <w:lang w:val="en-US"/>
        </w:rPr>
        <w:t>and</w:t>
      </w:r>
      <w:r w:rsidR="006C680D" w:rsidRPr="00D337FA">
        <w:rPr>
          <w:i/>
          <w:iCs/>
          <w:lang w:val="en-US"/>
        </w:rPr>
        <w:t xml:space="preserve"> </w:t>
      </w:r>
      <w:r w:rsidRPr="00D337FA">
        <w:rPr>
          <w:i/>
          <w:iCs/>
          <w:lang w:val="en-US"/>
        </w:rPr>
        <w:t>Banking;</w:t>
      </w:r>
      <w:r w:rsidR="006C680D" w:rsidRPr="00D337FA">
        <w:rPr>
          <w:i/>
          <w:iCs/>
          <w:lang w:val="en-US"/>
        </w:rPr>
        <w:t xml:space="preserve"> </w:t>
      </w:r>
      <w:r w:rsidRPr="00D337FA">
        <w:rPr>
          <w:i/>
          <w:iCs/>
          <w:lang w:val="en-US"/>
        </w:rPr>
        <w:t>Yuri</w:t>
      </w:r>
      <w:r w:rsidR="006C680D" w:rsidRPr="00D337FA">
        <w:rPr>
          <w:i/>
          <w:iCs/>
          <w:lang w:val="en-US"/>
        </w:rPr>
        <w:t xml:space="preserve"> </w:t>
      </w:r>
      <w:r w:rsidRPr="00D337FA">
        <w:rPr>
          <w:i/>
          <w:iCs/>
          <w:lang w:val="en-US"/>
        </w:rPr>
        <w:t>Gagarin</w:t>
      </w:r>
      <w:r w:rsidR="006C680D" w:rsidRPr="00D337FA">
        <w:rPr>
          <w:i/>
          <w:iCs/>
          <w:lang w:val="en-US"/>
        </w:rPr>
        <w:t xml:space="preserve"> </w:t>
      </w:r>
      <w:r w:rsidRPr="00D337FA">
        <w:rPr>
          <w:i/>
          <w:iCs/>
          <w:lang w:val="en-US"/>
        </w:rPr>
        <w:t>State</w:t>
      </w:r>
      <w:r w:rsidR="006C680D" w:rsidRPr="00D337FA">
        <w:rPr>
          <w:i/>
          <w:iCs/>
          <w:lang w:val="en-US"/>
        </w:rPr>
        <w:t xml:space="preserve"> </w:t>
      </w:r>
      <w:r w:rsidRPr="00D337FA">
        <w:rPr>
          <w:i/>
          <w:iCs/>
          <w:lang w:val="en-US"/>
        </w:rPr>
        <w:t>Technical</w:t>
      </w:r>
      <w:r w:rsidR="006C680D" w:rsidRPr="00D337FA">
        <w:rPr>
          <w:i/>
          <w:iCs/>
          <w:lang w:val="en-US"/>
        </w:rPr>
        <w:t xml:space="preserve"> </w:t>
      </w:r>
      <w:r w:rsidRPr="00D337FA">
        <w:rPr>
          <w:i/>
          <w:iCs/>
          <w:lang w:val="en-US"/>
        </w:rPr>
        <w:t>University</w:t>
      </w:r>
      <w:r w:rsidR="006C680D" w:rsidRPr="00D337FA">
        <w:rPr>
          <w:i/>
          <w:iCs/>
          <w:lang w:val="en-US"/>
        </w:rPr>
        <w:t xml:space="preserve"> </w:t>
      </w:r>
      <w:r w:rsidRPr="00D337FA">
        <w:rPr>
          <w:i/>
          <w:iCs/>
          <w:lang w:val="en-US"/>
        </w:rPr>
        <w:t>of</w:t>
      </w:r>
      <w:r w:rsidR="006C680D" w:rsidRPr="00D337FA">
        <w:rPr>
          <w:i/>
          <w:iCs/>
          <w:lang w:val="en-US"/>
        </w:rPr>
        <w:t xml:space="preserve"> </w:t>
      </w:r>
      <w:r w:rsidRPr="00D337FA">
        <w:rPr>
          <w:i/>
          <w:iCs/>
          <w:lang w:val="en-US"/>
        </w:rPr>
        <w:t>Saratov,</w:t>
      </w:r>
      <w:r w:rsidR="006C680D" w:rsidRPr="00D337FA">
        <w:rPr>
          <w:i/>
          <w:iCs/>
          <w:lang w:val="en-US"/>
        </w:rPr>
        <w:t xml:space="preserve"> </w:t>
      </w:r>
      <w:r w:rsidRPr="00D337FA">
        <w:rPr>
          <w:i/>
          <w:iCs/>
          <w:lang w:val="en-US"/>
        </w:rPr>
        <w:t>77</w:t>
      </w:r>
      <w:r w:rsidR="006C680D" w:rsidRPr="00D337FA">
        <w:rPr>
          <w:i/>
          <w:iCs/>
          <w:lang w:val="en-US"/>
        </w:rPr>
        <w:t xml:space="preserve"> </w:t>
      </w:r>
      <w:r w:rsidRPr="00D337FA">
        <w:rPr>
          <w:i/>
          <w:iCs/>
          <w:lang w:val="en-US"/>
        </w:rPr>
        <w:t>Politechnicheskaya</w:t>
      </w:r>
      <w:r w:rsidR="006C680D" w:rsidRPr="00D337FA">
        <w:rPr>
          <w:i/>
          <w:iCs/>
          <w:lang w:val="en-US"/>
        </w:rPr>
        <w:t xml:space="preserve"> </w:t>
      </w:r>
      <w:r w:rsidRPr="00D337FA">
        <w:rPr>
          <w:i/>
          <w:iCs/>
          <w:lang w:val="en-US"/>
        </w:rPr>
        <w:t>st.,</w:t>
      </w:r>
      <w:r w:rsidR="006C680D" w:rsidRPr="00D337FA">
        <w:rPr>
          <w:i/>
          <w:iCs/>
          <w:lang w:val="en-US"/>
        </w:rPr>
        <w:t xml:space="preserve"> </w:t>
      </w:r>
      <w:r w:rsidRPr="00D337FA">
        <w:rPr>
          <w:i/>
          <w:iCs/>
          <w:lang w:val="en-US"/>
        </w:rPr>
        <w:t>Saratov</w:t>
      </w:r>
      <w:r w:rsidR="006C680D" w:rsidRPr="00D337FA">
        <w:rPr>
          <w:i/>
          <w:iCs/>
          <w:lang w:val="en-US"/>
        </w:rPr>
        <w:t xml:space="preserve"> </w:t>
      </w:r>
      <w:r w:rsidRPr="00D337FA">
        <w:rPr>
          <w:i/>
          <w:iCs/>
          <w:lang w:val="en-US"/>
        </w:rPr>
        <w:t>410054,</w:t>
      </w:r>
      <w:r w:rsidR="006C680D" w:rsidRPr="00D337FA">
        <w:rPr>
          <w:i/>
          <w:iCs/>
          <w:lang w:val="en-US"/>
        </w:rPr>
        <w:t xml:space="preserve"> </w:t>
      </w:r>
      <w:r w:rsidRPr="00D337FA">
        <w:rPr>
          <w:i/>
          <w:iCs/>
          <w:lang w:val="en-US"/>
        </w:rPr>
        <w:t>Russia;</w:t>
      </w:r>
      <w:r w:rsidR="006C680D" w:rsidRPr="00D337FA">
        <w:rPr>
          <w:i/>
          <w:iCs/>
          <w:lang w:val="en-US"/>
        </w:rPr>
        <w:t xml:space="preserve"> </w:t>
      </w:r>
      <w:r w:rsidRPr="00D337FA">
        <w:rPr>
          <w:i/>
          <w:iCs/>
          <w:lang w:val="en-US"/>
        </w:rPr>
        <w:t>E-mail:</w:t>
      </w:r>
      <w:r w:rsidR="006C680D" w:rsidRPr="00D337FA">
        <w:rPr>
          <w:i/>
          <w:iCs/>
          <w:lang w:val="en-US"/>
        </w:rPr>
        <w:t xml:space="preserve"> </w:t>
      </w:r>
      <w:r w:rsidRPr="00D337FA">
        <w:rPr>
          <w:i/>
          <w:iCs/>
          <w:lang w:val="en-US"/>
        </w:rPr>
        <w:t>kuclyaeva.olga@yandex.ru,</w:t>
      </w:r>
      <w:r w:rsidR="006C680D" w:rsidRPr="00D337FA">
        <w:rPr>
          <w:i/>
          <w:iCs/>
          <w:lang w:val="en-US"/>
        </w:rPr>
        <w:t xml:space="preserve"> </w:t>
      </w:r>
      <w:r w:rsidRPr="00D337FA">
        <w:rPr>
          <w:i/>
          <w:iCs/>
          <w:lang w:val="en-US"/>
        </w:rPr>
        <w:t>https://orcid.org/</w:t>
      </w:r>
      <w:r w:rsidR="006C680D" w:rsidRPr="00D337FA">
        <w:rPr>
          <w:i/>
          <w:iCs/>
          <w:lang w:val="en-US"/>
        </w:rPr>
        <w:t xml:space="preserve"> </w:t>
      </w:r>
      <w:r w:rsidRPr="00D337FA">
        <w:rPr>
          <w:i/>
          <w:iCs/>
          <w:lang w:val="en-US"/>
        </w:rPr>
        <w:t>0009-0005-0727-0585</w:t>
      </w:r>
    </w:p>
    <w:p w:rsidR="004A1229" w:rsidRPr="00D337FA" w:rsidRDefault="004A1229" w:rsidP="004A1229">
      <w:pPr>
        <w:rPr>
          <w:lang w:val="en-US"/>
        </w:rPr>
      </w:pPr>
    </w:p>
    <w:p w:rsidR="00A44E79" w:rsidRPr="00D337FA" w:rsidRDefault="00A44E79" w:rsidP="004A1229">
      <w:pPr>
        <w:rPr>
          <w:lang w:val="en-US"/>
        </w:rPr>
        <w:sectPr w:rsidR="00A44E79" w:rsidRPr="00D337FA" w:rsidSect="00A44E79">
          <w:footnotePr>
            <w:numRestart w:val="eachPage"/>
          </w:footnotePr>
          <w:type w:val="continuous"/>
          <w:pgSz w:w="11907" w:h="16840" w:code="9"/>
          <w:pgMar w:top="1418" w:right="1134" w:bottom="1418" w:left="1134" w:header="1021" w:footer="1021" w:gutter="0"/>
          <w:cols w:num="2" w:space="708"/>
          <w:docGrid w:linePitch="360"/>
        </w:sectPr>
      </w:pPr>
    </w:p>
    <w:p w:rsidR="004454FD" w:rsidRPr="003E3A6F" w:rsidRDefault="004454FD" w:rsidP="004454FD">
      <w:pPr>
        <w:jc w:val="right"/>
        <w:rPr>
          <w:i/>
          <w:sz w:val="22"/>
          <w:szCs w:val="22"/>
        </w:rPr>
      </w:pPr>
      <w:r w:rsidRPr="003E3A6F">
        <w:rPr>
          <w:i/>
          <w:sz w:val="22"/>
          <w:szCs w:val="22"/>
        </w:rPr>
        <w:lastRenderedPageBreak/>
        <w:t>Статья</w:t>
      </w:r>
      <w:r w:rsidR="006C680D" w:rsidRPr="003E3A6F">
        <w:rPr>
          <w:i/>
          <w:sz w:val="22"/>
          <w:szCs w:val="22"/>
        </w:rPr>
        <w:t xml:space="preserve"> </w:t>
      </w:r>
      <w:r w:rsidRPr="003E3A6F">
        <w:rPr>
          <w:i/>
          <w:sz w:val="22"/>
          <w:szCs w:val="22"/>
        </w:rPr>
        <w:t>поступила</w:t>
      </w:r>
      <w:r w:rsidR="006C680D" w:rsidRPr="003E3A6F">
        <w:rPr>
          <w:i/>
          <w:sz w:val="22"/>
          <w:szCs w:val="22"/>
        </w:rPr>
        <w:t xml:space="preserve"> </w:t>
      </w:r>
      <w:r w:rsidRPr="003E3A6F">
        <w:rPr>
          <w:i/>
          <w:sz w:val="22"/>
          <w:szCs w:val="22"/>
        </w:rPr>
        <w:t>в</w:t>
      </w:r>
      <w:r w:rsidR="006C680D" w:rsidRPr="003E3A6F">
        <w:rPr>
          <w:i/>
          <w:sz w:val="22"/>
          <w:szCs w:val="22"/>
        </w:rPr>
        <w:t xml:space="preserve"> </w:t>
      </w:r>
      <w:r w:rsidRPr="003E3A6F">
        <w:rPr>
          <w:i/>
          <w:sz w:val="22"/>
          <w:szCs w:val="22"/>
        </w:rPr>
        <w:t>редакцию</w:t>
      </w:r>
      <w:r w:rsidR="006C680D" w:rsidRPr="003E3A6F">
        <w:rPr>
          <w:i/>
          <w:sz w:val="22"/>
          <w:szCs w:val="22"/>
        </w:rPr>
        <w:t xml:space="preserve"> </w:t>
      </w:r>
      <w:r w:rsidRPr="003E3A6F">
        <w:rPr>
          <w:i/>
          <w:sz w:val="22"/>
          <w:szCs w:val="22"/>
        </w:rPr>
        <w:t>03.02.26,</w:t>
      </w:r>
      <w:r w:rsidR="006C680D" w:rsidRPr="003E3A6F">
        <w:rPr>
          <w:i/>
          <w:sz w:val="22"/>
          <w:szCs w:val="22"/>
        </w:rPr>
        <w:t xml:space="preserve"> </w:t>
      </w:r>
      <w:r w:rsidRPr="003E3A6F">
        <w:rPr>
          <w:i/>
          <w:sz w:val="22"/>
          <w:szCs w:val="22"/>
        </w:rPr>
        <w:t>принята</w:t>
      </w:r>
      <w:r w:rsidR="006C680D" w:rsidRPr="003E3A6F">
        <w:rPr>
          <w:i/>
          <w:sz w:val="22"/>
          <w:szCs w:val="22"/>
        </w:rPr>
        <w:t xml:space="preserve"> </w:t>
      </w:r>
      <w:r w:rsidRPr="003E3A6F">
        <w:rPr>
          <w:i/>
          <w:sz w:val="22"/>
          <w:szCs w:val="22"/>
        </w:rPr>
        <w:t>к</w:t>
      </w:r>
      <w:r w:rsidR="006C680D" w:rsidRPr="003E3A6F">
        <w:rPr>
          <w:i/>
          <w:sz w:val="22"/>
          <w:szCs w:val="22"/>
        </w:rPr>
        <w:t xml:space="preserve"> </w:t>
      </w:r>
      <w:r w:rsidRPr="003E3A6F">
        <w:rPr>
          <w:i/>
          <w:sz w:val="22"/>
          <w:szCs w:val="22"/>
        </w:rPr>
        <w:t>опубликованию</w:t>
      </w:r>
      <w:r w:rsidR="006C680D" w:rsidRPr="003E3A6F">
        <w:rPr>
          <w:i/>
          <w:sz w:val="22"/>
          <w:szCs w:val="22"/>
        </w:rPr>
        <w:t xml:space="preserve"> </w:t>
      </w:r>
      <w:r w:rsidRPr="003E3A6F">
        <w:rPr>
          <w:i/>
          <w:sz w:val="22"/>
          <w:szCs w:val="22"/>
        </w:rPr>
        <w:t>15.03.26</w:t>
      </w:r>
    </w:p>
    <w:p w:rsidR="004454FD" w:rsidRPr="00D337FA" w:rsidRDefault="004454FD" w:rsidP="004454FD">
      <w:pPr>
        <w:rPr>
          <w:i/>
          <w:sz w:val="20"/>
          <w:szCs w:val="20"/>
        </w:rPr>
        <w:sectPr w:rsidR="004454FD"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4454FD" w:rsidRPr="00D337FA" w:rsidRDefault="004454FD" w:rsidP="004454FD">
      <w:pPr>
        <w:rPr>
          <w:i/>
          <w:sz w:val="20"/>
          <w:szCs w:val="20"/>
        </w:rPr>
      </w:pPr>
    </w:p>
    <w:p w:rsidR="004A1229" w:rsidRPr="00D337FA" w:rsidRDefault="004A1229" w:rsidP="004A1229"/>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Default="00FB2463" w:rsidP="00C8298C">
      <w:pPr>
        <w:tabs>
          <w:tab w:val="center" w:pos="4677"/>
        </w:tabs>
        <w:ind w:right="-1" w:firstLine="0"/>
        <w:jc w:val="right"/>
        <w:rPr>
          <w:rFonts w:ascii="Arial CYR" w:hAnsi="Arial CYR" w:cs="Arial CYR"/>
          <w:b/>
          <w:bCs/>
          <w:i/>
          <w:iCs/>
          <w:caps/>
          <w:szCs w:val="24"/>
          <w:u w:val="single"/>
          <w:lang w:eastAsia="ru-RU"/>
        </w:rPr>
      </w:pPr>
    </w:p>
    <w:p w:rsidR="00A53D60" w:rsidRDefault="00A53D60" w:rsidP="00C8298C">
      <w:pPr>
        <w:tabs>
          <w:tab w:val="center" w:pos="4677"/>
        </w:tabs>
        <w:ind w:right="-1" w:firstLine="0"/>
        <w:jc w:val="right"/>
        <w:rPr>
          <w:rFonts w:ascii="Arial CYR" w:hAnsi="Arial CYR" w:cs="Arial CYR"/>
          <w:b/>
          <w:bCs/>
          <w:i/>
          <w:iCs/>
          <w:caps/>
          <w:szCs w:val="24"/>
          <w:u w:val="single"/>
          <w:lang w:eastAsia="ru-RU"/>
        </w:rPr>
      </w:pPr>
    </w:p>
    <w:p w:rsidR="00A53D60" w:rsidRDefault="00A53D60" w:rsidP="00C8298C">
      <w:pPr>
        <w:tabs>
          <w:tab w:val="center" w:pos="4677"/>
        </w:tabs>
        <w:ind w:right="-1" w:firstLine="0"/>
        <w:jc w:val="right"/>
        <w:rPr>
          <w:rFonts w:ascii="Arial CYR" w:hAnsi="Arial CYR" w:cs="Arial CYR"/>
          <w:b/>
          <w:bCs/>
          <w:i/>
          <w:iCs/>
          <w:caps/>
          <w:szCs w:val="24"/>
          <w:u w:val="single"/>
          <w:lang w:eastAsia="ru-RU"/>
        </w:rPr>
      </w:pPr>
    </w:p>
    <w:p w:rsidR="00A53D60" w:rsidRDefault="00A53D60" w:rsidP="00C8298C">
      <w:pPr>
        <w:tabs>
          <w:tab w:val="center" w:pos="4677"/>
        </w:tabs>
        <w:ind w:right="-1" w:firstLine="0"/>
        <w:jc w:val="right"/>
        <w:rPr>
          <w:rFonts w:ascii="Arial CYR" w:hAnsi="Arial CYR" w:cs="Arial CYR"/>
          <w:b/>
          <w:bCs/>
          <w:i/>
          <w:iCs/>
          <w:caps/>
          <w:szCs w:val="24"/>
          <w:u w:val="single"/>
          <w:lang w:eastAsia="ru-RU"/>
        </w:rPr>
      </w:pPr>
    </w:p>
    <w:p w:rsidR="00A53D60" w:rsidRDefault="00A53D60" w:rsidP="00C8298C">
      <w:pPr>
        <w:tabs>
          <w:tab w:val="center" w:pos="4677"/>
        </w:tabs>
        <w:ind w:right="-1" w:firstLine="0"/>
        <w:jc w:val="right"/>
        <w:rPr>
          <w:rFonts w:ascii="Arial CYR" w:hAnsi="Arial CYR" w:cs="Arial CYR"/>
          <w:b/>
          <w:bCs/>
          <w:i/>
          <w:iCs/>
          <w:caps/>
          <w:szCs w:val="24"/>
          <w:u w:val="single"/>
          <w:lang w:eastAsia="ru-RU"/>
        </w:rPr>
      </w:pPr>
    </w:p>
    <w:p w:rsidR="00A53D60" w:rsidRDefault="00A53D60" w:rsidP="00C8298C">
      <w:pPr>
        <w:tabs>
          <w:tab w:val="center" w:pos="4677"/>
        </w:tabs>
        <w:ind w:right="-1" w:firstLine="0"/>
        <w:jc w:val="right"/>
        <w:rPr>
          <w:rFonts w:ascii="Arial CYR" w:hAnsi="Arial CYR" w:cs="Arial CYR"/>
          <w:b/>
          <w:bCs/>
          <w:i/>
          <w:iCs/>
          <w:caps/>
          <w:szCs w:val="24"/>
          <w:u w:val="single"/>
          <w:lang w:eastAsia="ru-RU"/>
        </w:rPr>
      </w:pPr>
    </w:p>
    <w:p w:rsidR="00A53D60" w:rsidRDefault="00A53D60" w:rsidP="00C8298C">
      <w:pPr>
        <w:tabs>
          <w:tab w:val="center" w:pos="4677"/>
        </w:tabs>
        <w:ind w:right="-1" w:firstLine="0"/>
        <w:jc w:val="right"/>
        <w:rPr>
          <w:rFonts w:ascii="Arial CYR" w:hAnsi="Arial CYR" w:cs="Arial CYR"/>
          <w:b/>
          <w:bCs/>
          <w:i/>
          <w:iCs/>
          <w:caps/>
          <w:szCs w:val="24"/>
          <w:u w:val="single"/>
          <w:lang w:eastAsia="ru-RU"/>
        </w:rPr>
      </w:pPr>
    </w:p>
    <w:p w:rsidR="00A53D60" w:rsidRDefault="00A53D60" w:rsidP="00C8298C">
      <w:pPr>
        <w:tabs>
          <w:tab w:val="center" w:pos="4677"/>
        </w:tabs>
        <w:ind w:right="-1" w:firstLine="0"/>
        <w:jc w:val="right"/>
        <w:rPr>
          <w:rFonts w:ascii="Arial CYR" w:hAnsi="Arial CYR" w:cs="Arial CYR"/>
          <w:b/>
          <w:bCs/>
          <w:i/>
          <w:iCs/>
          <w:caps/>
          <w:szCs w:val="24"/>
          <w:u w:val="single"/>
          <w:lang w:eastAsia="ru-RU"/>
        </w:rPr>
      </w:pPr>
    </w:p>
    <w:p w:rsidR="00A53D60" w:rsidRPr="00D337FA" w:rsidRDefault="00A53D60"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FB2463" w:rsidRPr="00D337FA" w:rsidRDefault="00FB2463" w:rsidP="00C8298C">
      <w:pPr>
        <w:tabs>
          <w:tab w:val="center" w:pos="4677"/>
        </w:tabs>
        <w:ind w:right="-1" w:firstLine="0"/>
        <w:jc w:val="right"/>
        <w:rPr>
          <w:rFonts w:ascii="Arial CYR" w:hAnsi="Arial CYR" w:cs="Arial CYR"/>
          <w:b/>
          <w:bCs/>
          <w:i/>
          <w:iCs/>
          <w:caps/>
          <w:szCs w:val="24"/>
          <w:u w:val="single"/>
          <w:lang w:eastAsia="ru-RU"/>
        </w:rPr>
      </w:pPr>
    </w:p>
    <w:p w:rsidR="00B706E9" w:rsidRPr="00D337FA" w:rsidRDefault="00B706E9" w:rsidP="00B706E9">
      <w:pPr>
        <w:ind w:firstLine="142"/>
        <w:rPr>
          <w:rFonts w:ascii="Arial" w:hAnsi="Arial" w:cs="Arial"/>
          <w:i/>
          <w:szCs w:val="24"/>
        </w:rPr>
      </w:pPr>
      <w:r w:rsidRPr="00D337FA">
        <w:rPr>
          <w:rFonts w:ascii="Arial" w:hAnsi="Arial" w:cs="Arial"/>
          <w:i/>
          <w:szCs w:val="24"/>
        </w:rPr>
        <w:lastRenderedPageBreak/>
        <w:t>УДК</w:t>
      </w:r>
      <w:r w:rsidR="006C680D" w:rsidRPr="00D337FA">
        <w:rPr>
          <w:rFonts w:ascii="Arial" w:hAnsi="Arial" w:cs="Arial"/>
          <w:i/>
          <w:szCs w:val="24"/>
        </w:rPr>
        <w:t xml:space="preserve"> </w:t>
      </w:r>
      <w:r w:rsidRPr="00D337FA">
        <w:rPr>
          <w:rFonts w:ascii="Arial" w:hAnsi="Arial" w:cs="Arial"/>
          <w:i/>
          <w:szCs w:val="24"/>
        </w:rPr>
        <w:t>336</w:t>
      </w:r>
      <w:r w:rsidR="006C680D" w:rsidRPr="00D337FA">
        <w:rPr>
          <w:rFonts w:ascii="Arial" w:hAnsi="Arial" w:cs="Arial"/>
          <w:i/>
          <w:szCs w:val="24"/>
        </w:rPr>
        <w:t xml:space="preserve"> </w:t>
      </w:r>
    </w:p>
    <w:p w:rsidR="00B706E9" w:rsidRPr="00D337FA" w:rsidRDefault="00B706E9" w:rsidP="00B706E9">
      <w:pPr>
        <w:ind w:firstLine="142"/>
        <w:rPr>
          <w:rFonts w:ascii="Arial" w:hAnsi="Arial" w:cs="Arial"/>
          <w:b/>
          <w:i/>
          <w:szCs w:val="24"/>
        </w:rPr>
      </w:pPr>
      <w:r w:rsidRPr="00D337FA">
        <w:rPr>
          <w:rFonts w:ascii="Arial" w:hAnsi="Arial" w:cs="Arial"/>
          <w:b/>
          <w:i/>
          <w:szCs w:val="24"/>
        </w:rPr>
        <w:t>А.С.</w:t>
      </w:r>
      <w:r w:rsidR="006C680D" w:rsidRPr="00D337FA">
        <w:rPr>
          <w:rFonts w:ascii="Arial" w:hAnsi="Arial" w:cs="Arial"/>
          <w:b/>
          <w:i/>
          <w:szCs w:val="24"/>
        </w:rPr>
        <w:t xml:space="preserve"> </w:t>
      </w:r>
      <w:r w:rsidRPr="00D337FA">
        <w:rPr>
          <w:rFonts w:ascii="Arial" w:hAnsi="Arial" w:cs="Arial"/>
          <w:b/>
          <w:i/>
          <w:szCs w:val="24"/>
        </w:rPr>
        <w:t>Усманова,</w:t>
      </w:r>
      <w:r w:rsidR="006C680D" w:rsidRPr="00D337FA">
        <w:rPr>
          <w:rFonts w:ascii="Arial" w:hAnsi="Arial" w:cs="Arial"/>
          <w:b/>
          <w:i/>
          <w:szCs w:val="24"/>
        </w:rPr>
        <w:t xml:space="preserve"> </w:t>
      </w:r>
      <w:r w:rsidRPr="00D337FA">
        <w:rPr>
          <w:rFonts w:ascii="Arial" w:hAnsi="Arial" w:cs="Arial"/>
          <w:b/>
          <w:i/>
          <w:szCs w:val="24"/>
        </w:rPr>
        <w:t>М.Г.</w:t>
      </w:r>
      <w:r w:rsidR="006C680D" w:rsidRPr="00D337FA">
        <w:rPr>
          <w:rFonts w:ascii="Arial" w:hAnsi="Arial" w:cs="Arial"/>
          <w:b/>
          <w:i/>
          <w:szCs w:val="24"/>
        </w:rPr>
        <w:t xml:space="preserve"> </w:t>
      </w:r>
      <w:r w:rsidRPr="00D337FA">
        <w:rPr>
          <w:rFonts w:ascii="Arial" w:hAnsi="Arial" w:cs="Arial"/>
          <w:b/>
          <w:i/>
          <w:szCs w:val="24"/>
        </w:rPr>
        <w:t>Миронов,</w:t>
      </w:r>
      <w:r w:rsidR="006C680D" w:rsidRPr="00D337FA">
        <w:rPr>
          <w:rFonts w:ascii="Arial" w:hAnsi="Arial" w:cs="Arial"/>
          <w:b/>
          <w:i/>
          <w:szCs w:val="24"/>
        </w:rPr>
        <w:t xml:space="preserve"> </w:t>
      </w:r>
      <w:r w:rsidRPr="00D337FA">
        <w:rPr>
          <w:rFonts w:ascii="Arial" w:hAnsi="Arial" w:cs="Arial"/>
          <w:b/>
          <w:i/>
          <w:szCs w:val="24"/>
        </w:rPr>
        <w:t>И.Е.</w:t>
      </w:r>
      <w:r w:rsidR="006C680D" w:rsidRPr="00D337FA">
        <w:rPr>
          <w:rFonts w:ascii="Arial" w:hAnsi="Arial" w:cs="Arial"/>
          <w:b/>
          <w:i/>
          <w:szCs w:val="24"/>
        </w:rPr>
        <w:t xml:space="preserve"> </w:t>
      </w:r>
      <w:r w:rsidRPr="00D337FA">
        <w:rPr>
          <w:rFonts w:ascii="Arial" w:hAnsi="Arial" w:cs="Arial"/>
          <w:b/>
          <w:i/>
          <w:szCs w:val="24"/>
        </w:rPr>
        <w:t>Швейкин,</w:t>
      </w:r>
      <w:r w:rsidR="006C680D" w:rsidRPr="00D337FA">
        <w:rPr>
          <w:rFonts w:ascii="Arial" w:hAnsi="Arial" w:cs="Arial"/>
          <w:b/>
          <w:i/>
          <w:szCs w:val="24"/>
        </w:rPr>
        <w:t xml:space="preserve"> </w:t>
      </w:r>
      <w:r w:rsidRPr="00D337FA">
        <w:rPr>
          <w:rFonts w:ascii="Arial" w:hAnsi="Arial" w:cs="Arial"/>
          <w:b/>
          <w:i/>
          <w:szCs w:val="24"/>
        </w:rPr>
        <w:t>А.П.</w:t>
      </w:r>
      <w:r w:rsidR="006C680D" w:rsidRPr="00D337FA">
        <w:rPr>
          <w:rFonts w:ascii="Arial" w:hAnsi="Arial" w:cs="Arial"/>
          <w:b/>
          <w:i/>
          <w:szCs w:val="24"/>
        </w:rPr>
        <w:t xml:space="preserve"> </w:t>
      </w:r>
      <w:r w:rsidRPr="00D337FA">
        <w:rPr>
          <w:rFonts w:ascii="Arial" w:hAnsi="Arial" w:cs="Arial"/>
          <w:b/>
          <w:i/>
          <w:szCs w:val="24"/>
        </w:rPr>
        <w:t>Шиндряева</w:t>
      </w:r>
    </w:p>
    <w:p w:rsidR="00B706E9" w:rsidRPr="009554DB" w:rsidRDefault="00B706E9" w:rsidP="00B706E9">
      <w:pPr>
        <w:ind w:firstLine="142"/>
        <w:rPr>
          <w:rFonts w:ascii="Arial" w:hAnsi="Arial" w:cs="Arial"/>
          <w:b/>
          <w:i/>
          <w:szCs w:val="24"/>
          <w:lang w:val="en-US"/>
        </w:rPr>
      </w:pPr>
      <w:r w:rsidRPr="009554DB">
        <w:rPr>
          <w:rFonts w:ascii="Arial" w:hAnsi="Arial" w:cs="Arial"/>
          <w:b/>
          <w:i/>
          <w:szCs w:val="24"/>
          <w:lang w:val="en-US"/>
        </w:rPr>
        <w:t>A.S.</w:t>
      </w:r>
      <w:r w:rsidR="006C680D" w:rsidRPr="009554DB">
        <w:rPr>
          <w:rFonts w:ascii="Arial" w:hAnsi="Arial" w:cs="Arial"/>
          <w:b/>
          <w:i/>
          <w:szCs w:val="24"/>
          <w:lang w:val="en-US"/>
        </w:rPr>
        <w:t xml:space="preserve"> </w:t>
      </w:r>
      <w:r w:rsidRPr="009554DB">
        <w:rPr>
          <w:rFonts w:ascii="Arial" w:hAnsi="Arial" w:cs="Arial"/>
          <w:b/>
          <w:i/>
          <w:szCs w:val="24"/>
          <w:lang w:val="en-US"/>
        </w:rPr>
        <w:t>Usmanova,</w:t>
      </w:r>
      <w:r w:rsidR="006C680D" w:rsidRPr="009554DB">
        <w:rPr>
          <w:rFonts w:ascii="Arial" w:hAnsi="Arial" w:cs="Arial"/>
          <w:b/>
          <w:i/>
          <w:szCs w:val="24"/>
          <w:lang w:val="en-US"/>
        </w:rPr>
        <w:t xml:space="preserve"> </w:t>
      </w:r>
      <w:r w:rsidRPr="009554DB">
        <w:rPr>
          <w:rFonts w:ascii="Arial" w:hAnsi="Arial" w:cs="Arial"/>
          <w:b/>
          <w:i/>
          <w:szCs w:val="24"/>
          <w:lang w:val="en-US"/>
        </w:rPr>
        <w:t>M.G.</w:t>
      </w:r>
      <w:r w:rsidR="006C680D" w:rsidRPr="009554DB">
        <w:rPr>
          <w:rFonts w:ascii="Arial" w:hAnsi="Arial" w:cs="Arial"/>
          <w:b/>
          <w:i/>
          <w:szCs w:val="24"/>
          <w:lang w:val="en-US"/>
        </w:rPr>
        <w:t xml:space="preserve"> </w:t>
      </w:r>
      <w:r w:rsidRPr="009554DB">
        <w:rPr>
          <w:rFonts w:ascii="Arial" w:hAnsi="Arial" w:cs="Arial"/>
          <w:b/>
          <w:i/>
          <w:szCs w:val="24"/>
          <w:lang w:val="en-US"/>
        </w:rPr>
        <w:t>Mironov,</w:t>
      </w:r>
      <w:r w:rsidR="006C680D" w:rsidRPr="009554DB">
        <w:rPr>
          <w:rFonts w:ascii="Arial" w:hAnsi="Arial" w:cs="Arial"/>
          <w:b/>
          <w:i/>
          <w:szCs w:val="24"/>
          <w:lang w:val="en-US"/>
        </w:rPr>
        <w:t xml:space="preserve"> </w:t>
      </w:r>
      <w:r w:rsidRPr="009554DB">
        <w:rPr>
          <w:rFonts w:ascii="Arial" w:hAnsi="Arial" w:cs="Arial"/>
          <w:b/>
          <w:i/>
          <w:szCs w:val="24"/>
          <w:lang w:val="en-US"/>
        </w:rPr>
        <w:t>I.E.</w:t>
      </w:r>
      <w:r w:rsidR="006C680D" w:rsidRPr="009554DB">
        <w:rPr>
          <w:rFonts w:ascii="Arial" w:hAnsi="Arial" w:cs="Arial"/>
          <w:b/>
          <w:i/>
          <w:szCs w:val="24"/>
          <w:lang w:val="en-US"/>
        </w:rPr>
        <w:t xml:space="preserve"> </w:t>
      </w:r>
      <w:r w:rsidRPr="009554DB">
        <w:rPr>
          <w:rFonts w:ascii="Arial" w:hAnsi="Arial" w:cs="Arial"/>
          <w:b/>
          <w:i/>
          <w:szCs w:val="24"/>
          <w:lang w:val="en-US"/>
        </w:rPr>
        <w:t>Shveikin,</w:t>
      </w:r>
      <w:r w:rsidR="006C680D" w:rsidRPr="009554DB">
        <w:rPr>
          <w:rFonts w:ascii="Arial" w:hAnsi="Arial" w:cs="Arial"/>
          <w:b/>
          <w:i/>
          <w:szCs w:val="24"/>
          <w:lang w:val="en-US"/>
        </w:rPr>
        <w:t xml:space="preserve"> </w:t>
      </w:r>
      <w:r w:rsidRPr="009554DB">
        <w:rPr>
          <w:rFonts w:ascii="Arial" w:hAnsi="Arial" w:cs="Arial"/>
          <w:b/>
          <w:i/>
          <w:szCs w:val="24"/>
          <w:lang w:val="en-US"/>
        </w:rPr>
        <w:t>A.P.</w:t>
      </w:r>
      <w:r w:rsidR="006C680D" w:rsidRPr="009554DB">
        <w:rPr>
          <w:rFonts w:ascii="Arial" w:hAnsi="Arial" w:cs="Arial"/>
          <w:b/>
          <w:i/>
          <w:szCs w:val="24"/>
          <w:lang w:val="en-US"/>
        </w:rPr>
        <w:t xml:space="preserve"> </w:t>
      </w:r>
      <w:r w:rsidRPr="009554DB">
        <w:rPr>
          <w:rFonts w:ascii="Arial" w:hAnsi="Arial" w:cs="Arial"/>
          <w:b/>
          <w:i/>
          <w:szCs w:val="24"/>
          <w:lang w:val="en-US"/>
        </w:rPr>
        <w:t>Shindryaeva</w:t>
      </w:r>
      <w:r w:rsidR="006C680D" w:rsidRPr="009554DB">
        <w:rPr>
          <w:rFonts w:ascii="Arial" w:hAnsi="Arial" w:cs="Arial"/>
          <w:b/>
          <w:i/>
          <w:szCs w:val="24"/>
          <w:lang w:val="en-US"/>
        </w:rPr>
        <w:t xml:space="preserve"> </w:t>
      </w:r>
    </w:p>
    <w:p w:rsidR="00B706E9" w:rsidRPr="009554DB" w:rsidRDefault="00B706E9" w:rsidP="00B706E9">
      <w:pPr>
        <w:ind w:firstLine="142"/>
        <w:rPr>
          <w:rFonts w:ascii="Arial" w:hAnsi="Arial" w:cs="Arial"/>
          <w:b/>
          <w:i/>
          <w:szCs w:val="24"/>
          <w:lang w:val="en-US"/>
        </w:rPr>
      </w:pPr>
    </w:p>
    <w:p w:rsidR="00B706E9" w:rsidRPr="00D337FA" w:rsidRDefault="00B706E9" w:rsidP="00B706E9">
      <w:pPr>
        <w:ind w:firstLine="142"/>
        <w:jc w:val="center"/>
        <w:rPr>
          <w:rFonts w:ascii="Arial" w:hAnsi="Arial" w:cs="Arial"/>
          <w:b/>
          <w:szCs w:val="24"/>
        </w:rPr>
      </w:pPr>
      <w:r w:rsidRPr="00D337FA">
        <w:rPr>
          <w:rFonts w:ascii="Arial" w:hAnsi="Arial" w:cs="Arial"/>
          <w:b/>
          <w:szCs w:val="24"/>
        </w:rPr>
        <w:t>ЭВОЛЮЦИЯ</w:t>
      </w:r>
      <w:r w:rsidR="006C680D" w:rsidRPr="00D337FA">
        <w:rPr>
          <w:rFonts w:ascii="Arial" w:hAnsi="Arial" w:cs="Arial"/>
          <w:b/>
          <w:szCs w:val="24"/>
        </w:rPr>
        <w:t xml:space="preserve"> </w:t>
      </w:r>
      <w:r w:rsidRPr="00D337FA">
        <w:rPr>
          <w:rFonts w:ascii="Arial" w:hAnsi="Arial" w:cs="Arial"/>
          <w:b/>
          <w:szCs w:val="24"/>
        </w:rPr>
        <w:t>ФОРМ</w:t>
      </w:r>
      <w:r w:rsidR="006C680D" w:rsidRPr="00D337FA">
        <w:rPr>
          <w:rFonts w:ascii="Arial" w:hAnsi="Arial" w:cs="Arial"/>
          <w:b/>
          <w:szCs w:val="24"/>
        </w:rPr>
        <w:t xml:space="preserve"> </w:t>
      </w:r>
      <w:r w:rsidRPr="00D337FA">
        <w:rPr>
          <w:rFonts w:ascii="Arial" w:hAnsi="Arial" w:cs="Arial"/>
          <w:b/>
          <w:szCs w:val="24"/>
        </w:rPr>
        <w:t>БАНКОВСКОГО</w:t>
      </w:r>
      <w:r w:rsidR="006C680D" w:rsidRPr="00D337FA">
        <w:rPr>
          <w:rFonts w:ascii="Arial" w:hAnsi="Arial" w:cs="Arial"/>
          <w:b/>
          <w:szCs w:val="24"/>
        </w:rPr>
        <w:t xml:space="preserve"> </w:t>
      </w:r>
      <w:r w:rsidRPr="00D337FA">
        <w:rPr>
          <w:rFonts w:ascii="Arial" w:hAnsi="Arial" w:cs="Arial"/>
          <w:b/>
          <w:szCs w:val="24"/>
        </w:rPr>
        <w:t>ОБСЛУЖИВАНИЯ</w:t>
      </w:r>
      <w:r w:rsidR="006C680D" w:rsidRPr="00D337FA">
        <w:rPr>
          <w:rFonts w:ascii="Arial" w:hAnsi="Arial" w:cs="Arial"/>
          <w:b/>
          <w:szCs w:val="24"/>
        </w:rPr>
        <w:t xml:space="preserve"> </w:t>
      </w:r>
      <w:r w:rsidRPr="00D337FA">
        <w:rPr>
          <w:rFonts w:ascii="Arial" w:hAnsi="Arial" w:cs="Arial"/>
          <w:b/>
          <w:szCs w:val="24"/>
        </w:rPr>
        <w:t>ПРЕДПРИЯТИЙ</w:t>
      </w:r>
      <w:r w:rsidR="006C680D" w:rsidRPr="00D337FA">
        <w:rPr>
          <w:rFonts w:ascii="Arial" w:hAnsi="Arial" w:cs="Arial"/>
          <w:b/>
          <w:szCs w:val="24"/>
        </w:rPr>
        <w:t xml:space="preserve"> </w:t>
      </w:r>
      <w:r w:rsidRPr="00D337FA">
        <w:rPr>
          <w:rFonts w:ascii="Arial" w:hAnsi="Arial" w:cs="Arial"/>
          <w:b/>
          <w:szCs w:val="24"/>
        </w:rPr>
        <w:t>МАЛОГО</w:t>
      </w:r>
      <w:r w:rsidR="006C680D" w:rsidRPr="00D337FA">
        <w:rPr>
          <w:rFonts w:ascii="Arial" w:hAnsi="Arial" w:cs="Arial"/>
          <w:b/>
          <w:szCs w:val="24"/>
        </w:rPr>
        <w:t xml:space="preserve"> </w:t>
      </w:r>
      <w:r w:rsidRPr="00D337FA">
        <w:rPr>
          <w:rFonts w:ascii="Arial" w:hAnsi="Arial" w:cs="Arial"/>
          <w:b/>
          <w:szCs w:val="24"/>
        </w:rPr>
        <w:t>БИЗНЕСА</w:t>
      </w:r>
      <w:r w:rsidR="006C680D" w:rsidRPr="00D337FA">
        <w:rPr>
          <w:rFonts w:ascii="Arial" w:hAnsi="Arial" w:cs="Arial"/>
          <w:b/>
          <w:szCs w:val="24"/>
        </w:rPr>
        <w:t xml:space="preserve"> </w:t>
      </w:r>
      <w:r w:rsidRPr="00D337FA">
        <w:rPr>
          <w:rFonts w:ascii="Arial" w:hAnsi="Arial" w:cs="Arial"/>
          <w:b/>
          <w:szCs w:val="24"/>
        </w:rPr>
        <w:t>В</w:t>
      </w:r>
      <w:r w:rsidR="006C680D" w:rsidRPr="00D337FA">
        <w:rPr>
          <w:rFonts w:ascii="Arial" w:hAnsi="Arial" w:cs="Arial"/>
          <w:b/>
          <w:szCs w:val="24"/>
        </w:rPr>
        <w:t xml:space="preserve"> </w:t>
      </w:r>
      <w:r w:rsidRPr="00D337FA">
        <w:rPr>
          <w:rFonts w:ascii="Arial" w:hAnsi="Arial" w:cs="Arial"/>
          <w:b/>
          <w:szCs w:val="24"/>
        </w:rPr>
        <w:t>УСЛОВИЯХ</w:t>
      </w:r>
      <w:r w:rsidR="006C680D" w:rsidRPr="00D337FA">
        <w:rPr>
          <w:rFonts w:ascii="Arial" w:hAnsi="Arial" w:cs="Arial"/>
          <w:b/>
          <w:szCs w:val="24"/>
        </w:rPr>
        <w:t xml:space="preserve"> </w:t>
      </w:r>
      <w:r w:rsidRPr="00D337FA">
        <w:rPr>
          <w:rFonts w:ascii="Arial" w:hAnsi="Arial" w:cs="Arial"/>
          <w:b/>
          <w:szCs w:val="24"/>
        </w:rPr>
        <w:t>ЦИФРОВОЙ</w:t>
      </w:r>
      <w:r w:rsidR="006C680D" w:rsidRPr="00D337FA">
        <w:rPr>
          <w:rFonts w:ascii="Arial" w:hAnsi="Arial" w:cs="Arial"/>
          <w:b/>
          <w:szCs w:val="24"/>
        </w:rPr>
        <w:t xml:space="preserve"> </w:t>
      </w:r>
      <w:r w:rsidRPr="00D337FA">
        <w:rPr>
          <w:rFonts w:ascii="Arial" w:hAnsi="Arial" w:cs="Arial"/>
          <w:b/>
          <w:szCs w:val="24"/>
        </w:rPr>
        <w:t>ТРАНСФОРМАЦИИ</w:t>
      </w:r>
    </w:p>
    <w:p w:rsidR="00B706E9" w:rsidRPr="00D337FA" w:rsidRDefault="00B706E9" w:rsidP="00B706E9">
      <w:pPr>
        <w:ind w:firstLine="142"/>
        <w:jc w:val="center"/>
        <w:rPr>
          <w:rFonts w:ascii="Arial" w:hAnsi="Arial" w:cs="Arial"/>
          <w:b/>
          <w:szCs w:val="24"/>
        </w:rPr>
      </w:pPr>
    </w:p>
    <w:p w:rsidR="00B706E9" w:rsidRPr="00D337FA" w:rsidRDefault="00B706E9" w:rsidP="00B706E9">
      <w:pPr>
        <w:ind w:firstLine="142"/>
        <w:jc w:val="center"/>
        <w:rPr>
          <w:rFonts w:ascii="Arial" w:hAnsi="Arial" w:cs="Arial"/>
          <w:b/>
          <w:szCs w:val="24"/>
          <w:lang w:val="en-US"/>
        </w:rPr>
      </w:pPr>
      <w:r w:rsidRPr="00D337FA">
        <w:rPr>
          <w:rFonts w:ascii="Arial" w:hAnsi="Arial" w:cs="Arial"/>
          <w:b/>
          <w:szCs w:val="24"/>
          <w:lang w:val="en-US"/>
        </w:rPr>
        <w:t>EVOLUTION</w:t>
      </w:r>
      <w:r w:rsidR="006C680D" w:rsidRPr="00D337FA">
        <w:rPr>
          <w:rFonts w:ascii="Arial" w:hAnsi="Arial" w:cs="Arial"/>
          <w:b/>
          <w:szCs w:val="24"/>
          <w:lang w:val="en-US"/>
        </w:rPr>
        <w:t xml:space="preserve"> </w:t>
      </w:r>
      <w:r w:rsidRPr="00D337FA">
        <w:rPr>
          <w:rFonts w:ascii="Arial" w:hAnsi="Arial" w:cs="Arial"/>
          <w:b/>
          <w:szCs w:val="24"/>
          <w:lang w:val="en-US"/>
        </w:rPr>
        <w:t>OF</w:t>
      </w:r>
      <w:r w:rsidR="006C680D" w:rsidRPr="00D337FA">
        <w:rPr>
          <w:rFonts w:ascii="Arial" w:hAnsi="Arial" w:cs="Arial"/>
          <w:b/>
          <w:szCs w:val="24"/>
          <w:lang w:val="en-US"/>
        </w:rPr>
        <w:t xml:space="preserve"> </w:t>
      </w:r>
      <w:r w:rsidRPr="00D337FA">
        <w:rPr>
          <w:rFonts w:ascii="Arial" w:hAnsi="Arial" w:cs="Arial"/>
          <w:b/>
          <w:szCs w:val="24"/>
          <w:lang w:val="en-US"/>
        </w:rPr>
        <w:t>FORMS</w:t>
      </w:r>
      <w:r w:rsidR="006C680D" w:rsidRPr="00D337FA">
        <w:rPr>
          <w:rFonts w:ascii="Arial" w:hAnsi="Arial" w:cs="Arial"/>
          <w:b/>
          <w:szCs w:val="24"/>
          <w:lang w:val="en-US"/>
        </w:rPr>
        <w:t xml:space="preserve"> </w:t>
      </w:r>
      <w:r w:rsidRPr="00D337FA">
        <w:rPr>
          <w:rFonts w:ascii="Arial" w:hAnsi="Arial" w:cs="Arial"/>
          <w:b/>
          <w:szCs w:val="24"/>
          <w:lang w:val="en-US"/>
        </w:rPr>
        <w:t>OF</w:t>
      </w:r>
      <w:r w:rsidR="006C680D" w:rsidRPr="00D337FA">
        <w:rPr>
          <w:rFonts w:ascii="Arial" w:hAnsi="Arial" w:cs="Arial"/>
          <w:b/>
          <w:szCs w:val="24"/>
          <w:lang w:val="en-US"/>
        </w:rPr>
        <w:t xml:space="preserve"> </w:t>
      </w:r>
      <w:r w:rsidRPr="00D337FA">
        <w:rPr>
          <w:rFonts w:ascii="Arial" w:hAnsi="Arial" w:cs="Arial"/>
          <w:b/>
          <w:szCs w:val="24"/>
          <w:lang w:val="en-US"/>
        </w:rPr>
        <w:t>BANKING</w:t>
      </w:r>
      <w:r w:rsidR="006C680D" w:rsidRPr="00D337FA">
        <w:rPr>
          <w:rFonts w:ascii="Arial" w:hAnsi="Arial" w:cs="Arial"/>
          <w:b/>
          <w:szCs w:val="24"/>
          <w:lang w:val="en-US"/>
        </w:rPr>
        <w:t xml:space="preserve"> </w:t>
      </w:r>
      <w:r w:rsidRPr="00D337FA">
        <w:rPr>
          <w:rFonts w:ascii="Arial" w:hAnsi="Arial" w:cs="Arial"/>
          <w:b/>
          <w:szCs w:val="24"/>
          <w:lang w:val="en-US"/>
        </w:rPr>
        <w:t>SERVICES</w:t>
      </w:r>
      <w:r w:rsidR="006C680D" w:rsidRPr="00D337FA">
        <w:rPr>
          <w:rFonts w:ascii="Arial" w:hAnsi="Arial" w:cs="Arial"/>
          <w:b/>
          <w:szCs w:val="24"/>
          <w:lang w:val="en-US"/>
        </w:rPr>
        <w:t xml:space="preserve"> </w:t>
      </w:r>
      <w:r w:rsidRPr="00D337FA">
        <w:rPr>
          <w:rFonts w:ascii="Arial" w:hAnsi="Arial" w:cs="Arial"/>
          <w:b/>
          <w:szCs w:val="24"/>
          <w:lang w:val="en-US"/>
        </w:rPr>
        <w:t>FOR</w:t>
      </w:r>
      <w:r w:rsidR="006C680D" w:rsidRPr="00D337FA">
        <w:rPr>
          <w:rFonts w:ascii="Arial" w:hAnsi="Arial" w:cs="Arial"/>
          <w:b/>
          <w:szCs w:val="24"/>
          <w:lang w:val="en-US"/>
        </w:rPr>
        <w:t xml:space="preserve"> </w:t>
      </w:r>
      <w:r w:rsidRPr="00D337FA">
        <w:rPr>
          <w:rFonts w:ascii="Arial" w:hAnsi="Arial" w:cs="Arial"/>
          <w:b/>
          <w:szCs w:val="24"/>
          <w:lang w:val="en-US"/>
        </w:rPr>
        <w:t>SMALL</w:t>
      </w:r>
      <w:r w:rsidR="006C680D" w:rsidRPr="00D337FA">
        <w:rPr>
          <w:rFonts w:ascii="Arial" w:hAnsi="Arial" w:cs="Arial"/>
          <w:b/>
          <w:szCs w:val="24"/>
          <w:lang w:val="en-US"/>
        </w:rPr>
        <w:t xml:space="preserve"> </w:t>
      </w:r>
      <w:r w:rsidRPr="00D337FA">
        <w:rPr>
          <w:rFonts w:ascii="Arial" w:hAnsi="Arial" w:cs="Arial"/>
          <w:b/>
          <w:szCs w:val="24"/>
          <w:lang w:val="en-US"/>
        </w:rPr>
        <w:t>BUSINESSES</w:t>
      </w:r>
      <w:r w:rsidR="006C680D" w:rsidRPr="00D337FA">
        <w:rPr>
          <w:rFonts w:ascii="Arial" w:hAnsi="Arial" w:cs="Arial"/>
          <w:b/>
          <w:szCs w:val="24"/>
          <w:lang w:val="en-US"/>
        </w:rPr>
        <w:t xml:space="preserve"> </w:t>
      </w:r>
      <w:r w:rsidRPr="00D337FA">
        <w:rPr>
          <w:rFonts w:ascii="Arial" w:hAnsi="Arial" w:cs="Arial"/>
          <w:b/>
          <w:szCs w:val="24"/>
          <w:lang w:val="en-US"/>
        </w:rPr>
        <w:t>IN</w:t>
      </w:r>
      <w:r w:rsidR="006C680D" w:rsidRPr="00D337FA">
        <w:rPr>
          <w:rFonts w:ascii="Arial" w:hAnsi="Arial" w:cs="Arial"/>
          <w:b/>
          <w:szCs w:val="24"/>
          <w:lang w:val="en-US"/>
        </w:rPr>
        <w:t xml:space="preserve"> </w:t>
      </w:r>
      <w:r w:rsidRPr="00D337FA">
        <w:rPr>
          <w:rFonts w:ascii="Arial" w:hAnsi="Arial" w:cs="Arial"/>
          <w:b/>
          <w:szCs w:val="24"/>
          <w:lang w:val="en-US"/>
        </w:rPr>
        <w:t>THE</w:t>
      </w:r>
      <w:r w:rsidR="006C680D" w:rsidRPr="00D337FA">
        <w:rPr>
          <w:rFonts w:ascii="Arial" w:hAnsi="Arial" w:cs="Arial"/>
          <w:b/>
          <w:szCs w:val="24"/>
          <w:lang w:val="en-US"/>
        </w:rPr>
        <w:t xml:space="preserve"> </w:t>
      </w:r>
      <w:r w:rsidRPr="00D337FA">
        <w:rPr>
          <w:rFonts w:ascii="Arial" w:hAnsi="Arial" w:cs="Arial"/>
          <w:b/>
          <w:szCs w:val="24"/>
          <w:lang w:val="en-US"/>
        </w:rPr>
        <w:t>CONTEXT</w:t>
      </w:r>
      <w:r w:rsidR="006C680D" w:rsidRPr="00D337FA">
        <w:rPr>
          <w:rFonts w:ascii="Arial" w:hAnsi="Arial" w:cs="Arial"/>
          <w:b/>
          <w:szCs w:val="24"/>
          <w:lang w:val="en-US"/>
        </w:rPr>
        <w:t xml:space="preserve"> </w:t>
      </w:r>
      <w:r w:rsidRPr="00D337FA">
        <w:rPr>
          <w:rFonts w:ascii="Arial" w:hAnsi="Arial" w:cs="Arial"/>
          <w:b/>
          <w:szCs w:val="24"/>
          <w:lang w:val="en-US"/>
        </w:rPr>
        <w:t>OF</w:t>
      </w:r>
      <w:r w:rsidR="006C680D" w:rsidRPr="00D337FA">
        <w:rPr>
          <w:rFonts w:ascii="Arial" w:hAnsi="Arial" w:cs="Arial"/>
          <w:b/>
          <w:szCs w:val="24"/>
          <w:lang w:val="en-US"/>
        </w:rPr>
        <w:t xml:space="preserve"> </w:t>
      </w:r>
      <w:r w:rsidRPr="00D337FA">
        <w:rPr>
          <w:rFonts w:ascii="Arial" w:hAnsi="Arial" w:cs="Arial"/>
          <w:b/>
          <w:szCs w:val="24"/>
          <w:lang w:val="en-US"/>
        </w:rPr>
        <w:t>DIGITAL</w:t>
      </w:r>
      <w:r w:rsidR="006C680D" w:rsidRPr="00D337FA">
        <w:rPr>
          <w:rFonts w:ascii="Arial" w:hAnsi="Arial" w:cs="Arial"/>
          <w:b/>
          <w:szCs w:val="24"/>
          <w:lang w:val="en-US"/>
        </w:rPr>
        <w:t xml:space="preserve"> </w:t>
      </w:r>
      <w:r w:rsidRPr="00D337FA">
        <w:rPr>
          <w:rFonts w:ascii="Arial" w:hAnsi="Arial" w:cs="Arial"/>
          <w:b/>
          <w:szCs w:val="24"/>
          <w:lang w:val="en-US"/>
        </w:rPr>
        <w:t>TRANSFORMATION</w:t>
      </w:r>
    </w:p>
    <w:p w:rsidR="00B706E9" w:rsidRPr="00D337FA" w:rsidRDefault="00B706E9" w:rsidP="00B706E9">
      <w:pPr>
        <w:ind w:firstLine="142"/>
        <w:rPr>
          <w:i/>
          <w:szCs w:val="24"/>
          <w:lang w:val="en-US"/>
        </w:rPr>
      </w:pPr>
    </w:p>
    <w:p w:rsidR="00B706E9" w:rsidRPr="00D337FA" w:rsidRDefault="00B706E9" w:rsidP="00B706E9">
      <w:pPr>
        <w:rPr>
          <w:b/>
          <w:sz w:val="28"/>
          <w:szCs w:val="28"/>
          <w:lang w:val="en-US"/>
        </w:rPr>
        <w:sectPr w:rsidR="00B706E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B706E9" w:rsidRPr="00D337FA" w:rsidRDefault="00B706E9" w:rsidP="00B706E9">
      <w:pPr>
        <w:ind w:firstLine="0"/>
        <w:rPr>
          <w:i/>
          <w:szCs w:val="24"/>
        </w:rPr>
      </w:pPr>
      <w:r w:rsidRPr="00D337FA">
        <w:rPr>
          <w:b/>
          <w:i/>
          <w:szCs w:val="24"/>
        </w:rPr>
        <w:lastRenderedPageBreak/>
        <w:t>Аннотация.</w:t>
      </w:r>
      <w:r w:rsidR="006C680D" w:rsidRPr="00D337FA">
        <w:rPr>
          <w:b/>
          <w:i/>
          <w:szCs w:val="24"/>
        </w:rPr>
        <w:t xml:space="preserve"> </w:t>
      </w:r>
      <w:r w:rsidRPr="00D337FA">
        <w:rPr>
          <w:i/>
          <w:szCs w:val="24"/>
        </w:rPr>
        <w:t>В</w:t>
      </w:r>
      <w:r w:rsidR="006C680D" w:rsidRPr="00D337FA">
        <w:rPr>
          <w:i/>
          <w:szCs w:val="24"/>
        </w:rPr>
        <w:t xml:space="preserve"> </w:t>
      </w:r>
      <w:r w:rsidRPr="00D337FA">
        <w:rPr>
          <w:i/>
          <w:szCs w:val="24"/>
        </w:rPr>
        <w:t>статье</w:t>
      </w:r>
      <w:r w:rsidR="006C680D" w:rsidRPr="00D337FA">
        <w:rPr>
          <w:i/>
          <w:szCs w:val="24"/>
        </w:rPr>
        <w:t xml:space="preserve"> </w:t>
      </w:r>
      <w:r w:rsidRPr="00D337FA">
        <w:rPr>
          <w:i/>
          <w:szCs w:val="24"/>
        </w:rPr>
        <w:t>проведена</w:t>
      </w:r>
      <w:r w:rsidR="006C680D" w:rsidRPr="00D337FA">
        <w:rPr>
          <w:i/>
          <w:szCs w:val="24"/>
        </w:rPr>
        <w:t xml:space="preserve"> </w:t>
      </w:r>
      <w:r w:rsidRPr="00D337FA">
        <w:rPr>
          <w:i/>
          <w:szCs w:val="24"/>
        </w:rPr>
        <w:t>оценка</w:t>
      </w:r>
      <w:r w:rsidR="006C680D" w:rsidRPr="00D337FA">
        <w:rPr>
          <w:i/>
          <w:szCs w:val="24"/>
        </w:rPr>
        <w:t xml:space="preserve"> </w:t>
      </w:r>
      <w:r w:rsidRPr="00D337FA">
        <w:rPr>
          <w:i/>
          <w:szCs w:val="24"/>
        </w:rPr>
        <w:t>отраслевой</w:t>
      </w:r>
      <w:r w:rsidR="006C680D" w:rsidRPr="00D337FA">
        <w:rPr>
          <w:i/>
          <w:szCs w:val="24"/>
        </w:rPr>
        <w:t xml:space="preserve"> </w:t>
      </w:r>
      <w:r w:rsidRPr="00D337FA">
        <w:rPr>
          <w:i/>
          <w:szCs w:val="24"/>
        </w:rPr>
        <w:t>структуры</w:t>
      </w:r>
      <w:r w:rsidR="006C680D" w:rsidRPr="00D337FA">
        <w:rPr>
          <w:i/>
          <w:szCs w:val="24"/>
        </w:rPr>
        <w:t xml:space="preserve"> </w:t>
      </w:r>
      <w:r w:rsidRPr="00D337FA">
        <w:rPr>
          <w:i/>
          <w:szCs w:val="24"/>
        </w:rPr>
        <w:t>российских</w:t>
      </w:r>
      <w:r w:rsidR="006C680D" w:rsidRPr="00D337FA">
        <w:rPr>
          <w:i/>
          <w:szCs w:val="24"/>
        </w:rPr>
        <w:t xml:space="preserve"> </w:t>
      </w:r>
      <w:r w:rsidRPr="00D337FA">
        <w:rPr>
          <w:i/>
          <w:szCs w:val="24"/>
        </w:rPr>
        <w:t>предприятий</w:t>
      </w:r>
      <w:r w:rsidR="006C680D" w:rsidRPr="00D337FA">
        <w:rPr>
          <w:i/>
          <w:szCs w:val="24"/>
        </w:rPr>
        <w:t xml:space="preserve"> </w:t>
      </w:r>
      <w:r w:rsidRPr="00D337FA">
        <w:rPr>
          <w:i/>
          <w:szCs w:val="24"/>
        </w:rPr>
        <w:t>малого</w:t>
      </w:r>
      <w:r w:rsidR="006C680D" w:rsidRPr="00D337FA">
        <w:rPr>
          <w:i/>
          <w:szCs w:val="24"/>
        </w:rPr>
        <w:t xml:space="preserve"> </w:t>
      </w:r>
      <w:r w:rsidRPr="00D337FA">
        <w:rPr>
          <w:i/>
          <w:szCs w:val="24"/>
        </w:rPr>
        <w:t>бизнеса,</w:t>
      </w:r>
      <w:r w:rsidR="006C680D" w:rsidRPr="00D337FA">
        <w:rPr>
          <w:i/>
          <w:szCs w:val="24"/>
        </w:rPr>
        <w:t xml:space="preserve"> </w:t>
      </w:r>
      <w:r w:rsidRPr="00D337FA">
        <w:rPr>
          <w:i/>
          <w:szCs w:val="24"/>
        </w:rPr>
        <w:t>показана</w:t>
      </w:r>
      <w:r w:rsidR="006C680D" w:rsidRPr="00D337FA">
        <w:rPr>
          <w:i/>
          <w:szCs w:val="24"/>
        </w:rPr>
        <w:t xml:space="preserve"> </w:t>
      </w:r>
      <w:r w:rsidRPr="00D337FA">
        <w:rPr>
          <w:i/>
          <w:szCs w:val="24"/>
        </w:rPr>
        <w:t>специфика</w:t>
      </w:r>
      <w:r w:rsidR="006C680D" w:rsidRPr="00D337FA">
        <w:rPr>
          <w:i/>
          <w:szCs w:val="24"/>
        </w:rPr>
        <w:t xml:space="preserve"> </w:t>
      </w:r>
      <w:r w:rsidRPr="00D337FA">
        <w:rPr>
          <w:i/>
          <w:szCs w:val="24"/>
        </w:rPr>
        <w:t>их</w:t>
      </w:r>
      <w:r w:rsidR="006C680D" w:rsidRPr="00D337FA">
        <w:rPr>
          <w:i/>
          <w:szCs w:val="24"/>
        </w:rPr>
        <w:t xml:space="preserve"> </w:t>
      </w:r>
      <w:r w:rsidRPr="00D337FA">
        <w:rPr>
          <w:i/>
          <w:szCs w:val="24"/>
        </w:rPr>
        <w:t>потребностей</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банковских</w:t>
      </w:r>
      <w:r w:rsidR="006C680D" w:rsidRPr="00D337FA">
        <w:rPr>
          <w:i/>
          <w:szCs w:val="24"/>
        </w:rPr>
        <w:t xml:space="preserve"> </w:t>
      </w:r>
      <w:r w:rsidRPr="00D337FA">
        <w:rPr>
          <w:i/>
          <w:szCs w:val="24"/>
        </w:rPr>
        <w:t>услугах.</w:t>
      </w:r>
      <w:r w:rsidR="006C680D" w:rsidRPr="00D337FA">
        <w:rPr>
          <w:i/>
          <w:szCs w:val="24"/>
        </w:rPr>
        <w:t xml:space="preserve"> </w:t>
      </w:r>
      <w:r w:rsidRPr="00D337FA">
        <w:rPr>
          <w:i/>
          <w:szCs w:val="24"/>
        </w:rPr>
        <w:t>Проведенный</w:t>
      </w:r>
      <w:r w:rsidR="006C680D" w:rsidRPr="00D337FA">
        <w:rPr>
          <w:i/>
          <w:szCs w:val="24"/>
        </w:rPr>
        <w:t xml:space="preserve"> </w:t>
      </w:r>
      <w:r w:rsidRPr="00D337FA">
        <w:rPr>
          <w:i/>
          <w:szCs w:val="24"/>
        </w:rPr>
        <w:t>анализ</w:t>
      </w:r>
      <w:r w:rsidR="006C680D" w:rsidRPr="00D337FA">
        <w:rPr>
          <w:i/>
          <w:szCs w:val="24"/>
        </w:rPr>
        <w:t xml:space="preserve"> </w:t>
      </w:r>
      <w:r w:rsidRPr="00D337FA">
        <w:rPr>
          <w:i/>
          <w:szCs w:val="24"/>
        </w:rPr>
        <w:t>обслуживания</w:t>
      </w:r>
      <w:r w:rsidR="006C680D" w:rsidRPr="00D337FA">
        <w:rPr>
          <w:i/>
          <w:szCs w:val="24"/>
        </w:rPr>
        <w:t xml:space="preserve"> </w:t>
      </w:r>
      <w:r w:rsidRPr="00D337FA">
        <w:rPr>
          <w:i/>
          <w:szCs w:val="24"/>
        </w:rPr>
        <w:t>малого</w:t>
      </w:r>
      <w:r w:rsidR="006C680D" w:rsidRPr="00D337FA">
        <w:rPr>
          <w:i/>
          <w:szCs w:val="24"/>
        </w:rPr>
        <w:t xml:space="preserve"> </w:t>
      </w:r>
      <w:r w:rsidRPr="00D337FA">
        <w:rPr>
          <w:i/>
          <w:szCs w:val="24"/>
        </w:rPr>
        <w:t>бизнеса</w:t>
      </w:r>
      <w:r w:rsidR="006C680D" w:rsidRPr="00D337FA">
        <w:rPr>
          <w:i/>
          <w:szCs w:val="24"/>
        </w:rPr>
        <w:t xml:space="preserve"> </w:t>
      </w:r>
      <w:r w:rsidRPr="00D337FA">
        <w:rPr>
          <w:i/>
          <w:szCs w:val="24"/>
        </w:rPr>
        <w:t>системно</w:t>
      </w:r>
      <w:r w:rsidR="006C680D" w:rsidRPr="00D337FA">
        <w:rPr>
          <w:i/>
          <w:szCs w:val="24"/>
        </w:rPr>
        <w:t xml:space="preserve"> </w:t>
      </w:r>
      <w:r w:rsidRPr="00D337FA">
        <w:rPr>
          <w:i/>
          <w:szCs w:val="24"/>
        </w:rPr>
        <w:t>значимыми</w:t>
      </w:r>
      <w:r w:rsidR="006C680D" w:rsidRPr="00D337FA">
        <w:rPr>
          <w:i/>
          <w:szCs w:val="24"/>
        </w:rPr>
        <w:t xml:space="preserve"> </w:t>
      </w:r>
      <w:r w:rsidRPr="00D337FA">
        <w:rPr>
          <w:i/>
          <w:szCs w:val="24"/>
        </w:rPr>
        <w:t>банками</w:t>
      </w:r>
      <w:r w:rsidR="006C680D" w:rsidRPr="00D337FA">
        <w:rPr>
          <w:i/>
          <w:szCs w:val="24"/>
        </w:rPr>
        <w:t xml:space="preserve"> </w:t>
      </w:r>
      <w:r w:rsidRPr="00D337FA">
        <w:rPr>
          <w:i/>
          <w:szCs w:val="24"/>
        </w:rPr>
        <w:t>России</w:t>
      </w:r>
      <w:r w:rsidR="006C680D" w:rsidRPr="00D337FA">
        <w:rPr>
          <w:i/>
          <w:szCs w:val="24"/>
        </w:rPr>
        <w:t xml:space="preserve"> </w:t>
      </w:r>
      <w:r w:rsidRPr="00D337FA">
        <w:rPr>
          <w:i/>
          <w:szCs w:val="24"/>
        </w:rPr>
        <w:t>позволил</w:t>
      </w:r>
      <w:r w:rsidR="006C680D" w:rsidRPr="00D337FA">
        <w:rPr>
          <w:i/>
          <w:szCs w:val="24"/>
        </w:rPr>
        <w:t xml:space="preserve"> </w:t>
      </w:r>
      <w:r w:rsidRPr="00D337FA">
        <w:rPr>
          <w:i/>
          <w:szCs w:val="24"/>
        </w:rPr>
        <w:t>выявить</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охарактеризовать</w:t>
      </w:r>
      <w:r w:rsidR="006C680D" w:rsidRPr="00D337FA">
        <w:rPr>
          <w:i/>
          <w:szCs w:val="24"/>
        </w:rPr>
        <w:t xml:space="preserve"> </w:t>
      </w:r>
      <w:r w:rsidRPr="00D337FA">
        <w:rPr>
          <w:i/>
          <w:szCs w:val="24"/>
        </w:rPr>
        <w:t>шесть</w:t>
      </w:r>
      <w:r w:rsidR="006C680D" w:rsidRPr="00D337FA">
        <w:rPr>
          <w:i/>
          <w:szCs w:val="24"/>
        </w:rPr>
        <w:t xml:space="preserve"> </w:t>
      </w:r>
      <w:r w:rsidRPr="00D337FA">
        <w:rPr>
          <w:i/>
          <w:szCs w:val="24"/>
        </w:rPr>
        <w:t>тенденций:</w:t>
      </w:r>
      <w:r w:rsidR="006C680D" w:rsidRPr="00D337FA">
        <w:rPr>
          <w:i/>
          <w:szCs w:val="24"/>
        </w:rPr>
        <w:t xml:space="preserve"> </w:t>
      </w:r>
      <w:r w:rsidRPr="00D337FA">
        <w:rPr>
          <w:i/>
          <w:szCs w:val="24"/>
        </w:rPr>
        <w:t>использование</w:t>
      </w:r>
      <w:r w:rsidR="006C680D" w:rsidRPr="00D337FA">
        <w:rPr>
          <w:i/>
          <w:szCs w:val="24"/>
        </w:rPr>
        <w:t xml:space="preserve"> </w:t>
      </w:r>
      <w:r w:rsidRPr="00D337FA">
        <w:rPr>
          <w:i/>
          <w:szCs w:val="24"/>
        </w:rPr>
        <w:t>банками</w:t>
      </w:r>
      <w:r w:rsidR="006C680D" w:rsidRPr="00D337FA">
        <w:rPr>
          <w:i/>
          <w:szCs w:val="24"/>
        </w:rPr>
        <w:t xml:space="preserve"> </w:t>
      </w:r>
      <w:r w:rsidRPr="00D337FA">
        <w:rPr>
          <w:i/>
          <w:szCs w:val="24"/>
        </w:rPr>
        <w:t>различных</w:t>
      </w:r>
      <w:r w:rsidR="006C680D" w:rsidRPr="00D337FA">
        <w:rPr>
          <w:i/>
          <w:szCs w:val="24"/>
        </w:rPr>
        <w:t xml:space="preserve"> </w:t>
      </w:r>
      <w:r w:rsidRPr="00D337FA">
        <w:rPr>
          <w:i/>
          <w:szCs w:val="24"/>
        </w:rPr>
        <w:t>моделей</w:t>
      </w:r>
      <w:r w:rsidR="006C680D" w:rsidRPr="00D337FA">
        <w:rPr>
          <w:i/>
          <w:szCs w:val="24"/>
        </w:rPr>
        <w:t xml:space="preserve"> </w:t>
      </w:r>
      <w:r w:rsidRPr="00D337FA">
        <w:rPr>
          <w:i/>
          <w:szCs w:val="24"/>
        </w:rPr>
        <w:t>обслуживания,</w:t>
      </w:r>
      <w:r w:rsidR="006C680D" w:rsidRPr="00D337FA">
        <w:rPr>
          <w:i/>
          <w:szCs w:val="24"/>
        </w:rPr>
        <w:t xml:space="preserve"> </w:t>
      </w:r>
      <w:r w:rsidRPr="00D337FA">
        <w:rPr>
          <w:i/>
          <w:szCs w:val="24"/>
        </w:rPr>
        <w:t>цифровизацию</w:t>
      </w:r>
      <w:r w:rsidR="006C680D" w:rsidRPr="00D337FA">
        <w:rPr>
          <w:i/>
          <w:szCs w:val="24"/>
        </w:rPr>
        <w:t xml:space="preserve"> </w:t>
      </w:r>
      <w:r w:rsidRPr="00D337FA">
        <w:rPr>
          <w:i/>
          <w:szCs w:val="24"/>
        </w:rPr>
        <w:t>банковских</w:t>
      </w:r>
      <w:r w:rsidR="006C680D" w:rsidRPr="00D337FA">
        <w:rPr>
          <w:i/>
          <w:szCs w:val="24"/>
        </w:rPr>
        <w:t xml:space="preserve"> </w:t>
      </w:r>
      <w:r w:rsidRPr="00D337FA">
        <w:rPr>
          <w:i/>
          <w:szCs w:val="24"/>
        </w:rPr>
        <w:t>услуг,</w:t>
      </w:r>
      <w:r w:rsidR="006C680D" w:rsidRPr="00D337FA">
        <w:rPr>
          <w:i/>
          <w:szCs w:val="24"/>
        </w:rPr>
        <w:t xml:space="preserve"> </w:t>
      </w:r>
      <w:r w:rsidRPr="00D337FA">
        <w:rPr>
          <w:i/>
          <w:szCs w:val="24"/>
        </w:rPr>
        <w:t>отраслевую</w:t>
      </w:r>
      <w:r w:rsidR="006C680D" w:rsidRPr="00D337FA">
        <w:rPr>
          <w:i/>
          <w:szCs w:val="24"/>
        </w:rPr>
        <w:t xml:space="preserve"> </w:t>
      </w:r>
      <w:r w:rsidRPr="00D337FA">
        <w:rPr>
          <w:i/>
          <w:szCs w:val="24"/>
        </w:rPr>
        <w:t>специализацию,</w:t>
      </w:r>
      <w:r w:rsidR="006C680D" w:rsidRPr="00D337FA">
        <w:rPr>
          <w:i/>
          <w:szCs w:val="24"/>
        </w:rPr>
        <w:t xml:space="preserve"> </w:t>
      </w:r>
      <w:r w:rsidRPr="00D337FA">
        <w:rPr>
          <w:i/>
          <w:szCs w:val="24"/>
        </w:rPr>
        <w:t>расширение</w:t>
      </w:r>
      <w:r w:rsidR="006C680D" w:rsidRPr="00D337FA">
        <w:rPr>
          <w:i/>
          <w:szCs w:val="24"/>
        </w:rPr>
        <w:t xml:space="preserve"> </w:t>
      </w:r>
      <w:r w:rsidRPr="00D337FA">
        <w:rPr>
          <w:i/>
          <w:szCs w:val="24"/>
        </w:rPr>
        <w:t>видов</w:t>
      </w:r>
      <w:r w:rsidR="006C680D" w:rsidRPr="00D337FA">
        <w:rPr>
          <w:i/>
          <w:szCs w:val="24"/>
        </w:rPr>
        <w:t xml:space="preserve"> </w:t>
      </w:r>
      <w:r w:rsidRPr="00D337FA">
        <w:rPr>
          <w:i/>
          <w:szCs w:val="24"/>
        </w:rPr>
        <w:t>кредитной</w:t>
      </w:r>
      <w:r w:rsidR="006C680D" w:rsidRPr="00D337FA">
        <w:rPr>
          <w:i/>
          <w:szCs w:val="24"/>
        </w:rPr>
        <w:t xml:space="preserve"> </w:t>
      </w:r>
      <w:r w:rsidRPr="00D337FA">
        <w:rPr>
          <w:i/>
          <w:szCs w:val="24"/>
        </w:rPr>
        <w:t>поддержки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альтернативных</w:t>
      </w:r>
      <w:r w:rsidR="006C680D" w:rsidRPr="00D337FA">
        <w:rPr>
          <w:i/>
          <w:szCs w:val="24"/>
        </w:rPr>
        <w:t xml:space="preserve"> </w:t>
      </w:r>
      <w:r w:rsidRPr="00D337FA">
        <w:rPr>
          <w:i/>
          <w:szCs w:val="24"/>
        </w:rPr>
        <w:t>форм</w:t>
      </w:r>
      <w:r w:rsidR="006C680D" w:rsidRPr="00D337FA">
        <w:rPr>
          <w:i/>
          <w:szCs w:val="24"/>
        </w:rPr>
        <w:t xml:space="preserve"> </w:t>
      </w:r>
      <w:r w:rsidRPr="00D337FA">
        <w:rPr>
          <w:i/>
          <w:szCs w:val="24"/>
        </w:rPr>
        <w:t>финансирования</w:t>
      </w:r>
      <w:r w:rsidR="006C680D" w:rsidRPr="00D337FA">
        <w:rPr>
          <w:i/>
          <w:szCs w:val="24"/>
        </w:rPr>
        <w:t xml:space="preserve"> </w:t>
      </w:r>
      <w:r w:rsidRPr="00D337FA">
        <w:rPr>
          <w:i/>
          <w:szCs w:val="24"/>
        </w:rPr>
        <w:t>малого</w:t>
      </w:r>
      <w:r w:rsidR="006C680D" w:rsidRPr="00D337FA">
        <w:rPr>
          <w:i/>
          <w:szCs w:val="24"/>
        </w:rPr>
        <w:t xml:space="preserve"> </w:t>
      </w:r>
      <w:r w:rsidRPr="00D337FA">
        <w:rPr>
          <w:i/>
          <w:szCs w:val="24"/>
        </w:rPr>
        <w:t>бизнеса,</w:t>
      </w:r>
      <w:r w:rsidR="006C680D" w:rsidRPr="00D337FA">
        <w:rPr>
          <w:i/>
          <w:szCs w:val="24"/>
        </w:rPr>
        <w:t xml:space="preserve"> </w:t>
      </w:r>
      <w:r w:rsidRPr="00D337FA">
        <w:rPr>
          <w:i/>
          <w:szCs w:val="24"/>
        </w:rPr>
        <w:t>ограниченное</w:t>
      </w:r>
      <w:r w:rsidR="006C680D" w:rsidRPr="00D337FA">
        <w:rPr>
          <w:i/>
          <w:szCs w:val="24"/>
        </w:rPr>
        <w:t xml:space="preserve"> </w:t>
      </w:r>
      <w:r w:rsidRPr="00D337FA">
        <w:rPr>
          <w:i/>
          <w:szCs w:val="24"/>
        </w:rPr>
        <w:t>предложение</w:t>
      </w:r>
      <w:r w:rsidR="006C680D" w:rsidRPr="00D337FA">
        <w:rPr>
          <w:i/>
          <w:szCs w:val="24"/>
        </w:rPr>
        <w:t xml:space="preserve"> </w:t>
      </w:r>
      <w:r w:rsidRPr="00D337FA">
        <w:rPr>
          <w:i/>
          <w:szCs w:val="24"/>
        </w:rPr>
        <w:t>ряда</w:t>
      </w:r>
      <w:r w:rsidR="006C680D" w:rsidRPr="00D337FA">
        <w:rPr>
          <w:i/>
          <w:szCs w:val="24"/>
        </w:rPr>
        <w:t xml:space="preserve"> </w:t>
      </w:r>
      <w:r w:rsidRPr="00D337FA">
        <w:rPr>
          <w:i/>
          <w:szCs w:val="24"/>
        </w:rPr>
        <w:t>специфических</w:t>
      </w:r>
      <w:r w:rsidR="006C680D" w:rsidRPr="00D337FA">
        <w:rPr>
          <w:i/>
          <w:szCs w:val="24"/>
        </w:rPr>
        <w:t xml:space="preserve"> </w:t>
      </w:r>
      <w:r w:rsidRPr="00D337FA">
        <w:rPr>
          <w:i/>
          <w:szCs w:val="24"/>
        </w:rPr>
        <w:t>услуг,</w:t>
      </w:r>
      <w:r w:rsidR="006C680D" w:rsidRPr="00D337FA">
        <w:rPr>
          <w:i/>
          <w:szCs w:val="24"/>
        </w:rPr>
        <w:t xml:space="preserve"> </w:t>
      </w:r>
      <w:r w:rsidRPr="00D337FA">
        <w:rPr>
          <w:i/>
          <w:szCs w:val="24"/>
        </w:rPr>
        <w:t>расширение</w:t>
      </w:r>
      <w:r w:rsidR="006C680D" w:rsidRPr="00D337FA">
        <w:rPr>
          <w:i/>
          <w:szCs w:val="24"/>
        </w:rPr>
        <w:t xml:space="preserve"> </w:t>
      </w:r>
      <w:r w:rsidRPr="00D337FA">
        <w:rPr>
          <w:i/>
          <w:szCs w:val="24"/>
        </w:rPr>
        <w:t>нефинансового</w:t>
      </w:r>
      <w:r w:rsidR="006C680D" w:rsidRPr="00D337FA">
        <w:rPr>
          <w:i/>
          <w:szCs w:val="24"/>
        </w:rPr>
        <w:t xml:space="preserve"> </w:t>
      </w:r>
      <w:r w:rsidRPr="00D337FA">
        <w:rPr>
          <w:i/>
          <w:szCs w:val="24"/>
        </w:rPr>
        <w:t>сопровождения</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углубление</w:t>
      </w:r>
      <w:r w:rsidR="006C680D" w:rsidRPr="00D337FA">
        <w:rPr>
          <w:i/>
          <w:szCs w:val="24"/>
        </w:rPr>
        <w:t xml:space="preserve"> </w:t>
      </w:r>
      <w:r w:rsidRPr="00D337FA">
        <w:rPr>
          <w:i/>
          <w:szCs w:val="24"/>
        </w:rPr>
        <w:t>кастомизации</w:t>
      </w:r>
      <w:r w:rsidR="006C680D" w:rsidRPr="00D337FA">
        <w:rPr>
          <w:i/>
          <w:szCs w:val="24"/>
        </w:rPr>
        <w:t xml:space="preserve"> </w:t>
      </w:r>
      <w:r w:rsidRPr="00D337FA">
        <w:rPr>
          <w:i/>
          <w:szCs w:val="24"/>
        </w:rPr>
        <w:t>клиентских</w:t>
      </w:r>
      <w:r w:rsidR="006C680D" w:rsidRPr="00D337FA">
        <w:rPr>
          <w:i/>
          <w:szCs w:val="24"/>
        </w:rPr>
        <w:t xml:space="preserve"> </w:t>
      </w:r>
      <w:r w:rsidRPr="00D337FA">
        <w:rPr>
          <w:i/>
          <w:szCs w:val="24"/>
        </w:rPr>
        <w:t>решений.</w:t>
      </w:r>
      <w:r w:rsidR="006C680D" w:rsidRPr="00D337FA">
        <w:rPr>
          <w:i/>
          <w:szCs w:val="24"/>
        </w:rPr>
        <w:t xml:space="preserve"> </w:t>
      </w:r>
      <w:r w:rsidRPr="00D337FA">
        <w:rPr>
          <w:i/>
          <w:szCs w:val="24"/>
        </w:rPr>
        <w:t>Сделан</w:t>
      </w:r>
      <w:r w:rsidR="006C680D" w:rsidRPr="00D337FA">
        <w:rPr>
          <w:i/>
          <w:szCs w:val="24"/>
        </w:rPr>
        <w:t xml:space="preserve"> </w:t>
      </w:r>
      <w:r w:rsidRPr="00D337FA">
        <w:rPr>
          <w:i/>
          <w:szCs w:val="24"/>
        </w:rPr>
        <w:t>вывод</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том,</w:t>
      </w:r>
      <w:r w:rsidR="006C680D" w:rsidRPr="00D337FA">
        <w:rPr>
          <w:i/>
          <w:szCs w:val="24"/>
        </w:rPr>
        <w:t xml:space="preserve"> </w:t>
      </w:r>
      <w:r w:rsidRPr="00D337FA">
        <w:rPr>
          <w:i/>
          <w:szCs w:val="24"/>
        </w:rPr>
        <w:t>что</w:t>
      </w:r>
      <w:r w:rsidR="006C680D" w:rsidRPr="00D337FA">
        <w:rPr>
          <w:i/>
          <w:szCs w:val="24"/>
        </w:rPr>
        <w:t xml:space="preserve"> </w:t>
      </w:r>
      <w:r w:rsidRPr="00D337FA">
        <w:rPr>
          <w:i/>
          <w:szCs w:val="24"/>
        </w:rPr>
        <w:t>развитие</w:t>
      </w:r>
      <w:r w:rsidR="006C680D" w:rsidRPr="00D337FA">
        <w:rPr>
          <w:i/>
          <w:szCs w:val="24"/>
        </w:rPr>
        <w:t xml:space="preserve"> </w:t>
      </w:r>
      <w:r w:rsidRPr="00D337FA">
        <w:rPr>
          <w:i/>
          <w:szCs w:val="24"/>
        </w:rPr>
        <w:t>банковского</w:t>
      </w:r>
      <w:r w:rsidR="006C680D" w:rsidRPr="00D337FA">
        <w:rPr>
          <w:i/>
          <w:szCs w:val="24"/>
        </w:rPr>
        <w:t xml:space="preserve"> </w:t>
      </w:r>
      <w:r w:rsidRPr="00D337FA">
        <w:rPr>
          <w:i/>
          <w:szCs w:val="24"/>
        </w:rPr>
        <w:t>обслуживания</w:t>
      </w:r>
      <w:r w:rsidR="006C680D" w:rsidRPr="00D337FA">
        <w:rPr>
          <w:i/>
          <w:szCs w:val="24"/>
        </w:rPr>
        <w:t xml:space="preserve"> </w:t>
      </w:r>
      <w:r w:rsidRPr="00D337FA">
        <w:rPr>
          <w:i/>
          <w:szCs w:val="24"/>
        </w:rPr>
        <w:t>малого</w:t>
      </w:r>
      <w:r w:rsidR="006C680D" w:rsidRPr="00D337FA">
        <w:rPr>
          <w:i/>
          <w:szCs w:val="24"/>
        </w:rPr>
        <w:t xml:space="preserve"> </w:t>
      </w:r>
      <w:r w:rsidRPr="00D337FA">
        <w:rPr>
          <w:i/>
          <w:szCs w:val="24"/>
        </w:rPr>
        <w:t>бизнеса</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России</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последние</w:t>
      </w:r>
      <w:r w:rsidR="006C680D" w:rsidRPr="00D337FA">
        <w:rPr>
          <w:i/>
          <w:szCs w:val="24"/>
        </w:rPr>
        <w:t xml:space="preserve"> </w:t>
      </w:r>
      <w:r w:rsidRPr="00D337FA">
        <w:rPr>
          <w:i/>
          <w:szCs w:val="24"/>
        </w:rPr>
        <w:t>годы</w:t>
      </w:r>
      <w:r w:rsidR="006C680D" w:rsidRPr="00D337FA">
        <w:rPr>
          <w:i/>
          <w:szCs w:val="24"/>
        </w:rPr>
        <w:t xml:space="preserve"> </w:t>
      </w:r>
      <w:r w:rsidRPr="00D337FA">
        <w:rPr>
          <w:i/>
          <w:szCs w:val="24"/>
        </w:rPr>
        <w:t>демонстрирует</w:t>
      </w:r>
      <w:r w:rsidR="006C680D" w:rsidRPr="00D337FA">
        <w:rPr>
          <w:i/>
          <w:szCs w:val="24"/>
        </w:rPr>
        <w:t xml:space="preserve"> </w:t>
      </w:r>
      <w:r w:rsidRPr="00D337FA">
        <w:rPr>
          <w:i/>
          <w:szCs w:val="24"/>
        </w:rPr>
        <w:t>положительную</w:t>
      </w:r>
      <w:r w:rsidR="006C680D" w:rsidRPr="00D337FA">
        <w:rPr>
          <w:i/>
          <w:szCs w:val="24"/>
        </w:rPr>
        <w:t xml:space="preserve"> </w:t>
      </w:r>
      <w:r w:rsidRPr="00D337FA">
        <w:rPr>
          <w:i/>
          <w:szCs w:val="24"/>
        </w:rPr>
        <w:t>динамику.</w:t>
      </w:r>
      <w:r w:rsidR="006C680D" w:rsidRPr="00D337FA">
        <w:rPr>
          <w:i/>
          <w:szCs w:val="24"/>
        </w:rPr>
        <w:t xml:space="preserve"> </w:t>
      </w:r>
      <w:r w:rsidRPr="00D337FA">
        <w:rPr>
          <w:i/>
          <w:szCs w:val="24"/>
        </w:rPr>
        <w:t>Однако</w:t>
      </w:r>
      <w:r w:rsidR="006C680D" w:rsidRPr="00D337FA">
        <w:rPr>
          <w:i/>
          <w:szCs w:val="24"/>
        </w:rPr>
        <w:t xml:space="preserve"> </w:t>
      </w:r>
      <w:r w:rsidRPr="00D337FA">
        <w:rPr>
          <w:i/>
          <w:szCs w:val="24"/>
        </w:rPr>
        <w:t>расширение</w:t>
      </w:r>
      <w:r w:rsidR="006C680D" w:rsidRPr="00D337FA">
        <w:rPr>
          <w:i/>
          <w:szCs w:val="24"/>
        </w:rPr>
        <w:t xml:space="preserve"> </w:t>
      </w:r>
      <w:r w:rsidRPr="00D337FA">
        <w:rPr>
          <w:i/>
          <w:szCs w:val="24"/>
        </w:rPr>
        <w:t>спектра</w:t>
      </w:r>
      <w:r w:rsidR="006C680D" w:rsidRPr="00D337FA">
        <w:rPr>
          <w:i/>
          <w:szCs w:val="24"/>
        </w:rPr>
        <w:t xml:space="preserve"> </w:t>
      </w:r>
      <w:r w:rsidRPr="00D337FA">
        <w:rPr>
          <w:i/>
          <w:szCs w:val="24"/>
        </w:rPr>
        <w:t>доступных</w:t>
      </w:r>
      <w:r w:rsidR="006C680D" w:rsidRPr="00D337FA">
        <w:rPr>
          <w:i/>
          <w:szCs w:val="24"/>
        </w:rPr>
        <w:t xml:space="preserve"> </w:t>
      </w:r>
      <w:r w:rsidRPr="00D337FA">
        <w:rPr>
          <w:i/>
          <w:szCs w:val="24"/>
        </w:rPr>
        <w:t>услуг</w:t>
      </w:r>
      <w:r w:rsidR="006C680D" w:rsidRPr="00D337FA">
        <w:rPr>
          <w:i/>
          <w:szCs w:val="24"/>
        </w:rPr>
        <w:t xml:space="preserve"> </w:t>
      </w:r>
      <w:r w:rsidRPr="00D337FA">
        <w:rPr>
          <w:i/>
          <w:szCs w:val="24"/>
        </w:rPr>
        <w:t>осуществляется</w:t>
      </w:r>
      <w:r w:rsidR="006C680D" w:rsidRPr="00D337FA">
        <w:rPr>
          <w:i/>
          <w:szCs w:val="24"/>
        </w:rPr>
        <w:t xml:space="preserve"> </w:t>
      </w:r>
      <w:r w:rsidRPr="00D337FA">
        <w:rPr>
          <w:i/>
          <w:szCs w:val="24"/>
        </w:rPr>
        <w:t>неравномерно,</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ряде</w:t>
      </w:r>
      <w:r w:rsidR="006C680D" w:rsidRPr="00D337FA">
        <w:rPr>
          <w:i/>
          <w:szCs w:val="24"/>
        </w:rPr>
        <w:t xml:space="preserve"> </w:t>
      </w:r>
      <w:r w:rsidRPr="00D337FA">
        <w:rPr>
          <w:i/>
          <w:szCs w:val="24"/>
        </w:rPr>
        <w:t>направлений</w:t>
      </w:r>
      <w:r w:rsidR="006C680D" w:rsidRPr="00D337FA">
        <w:rPr>
          <w:i/>
          <w:szCs w:val="24"/>
        </w:rPr>
        <w:t xml:space="preserve"> </w:t>
      </w:r>
      <w:r w:rsidRPr="00D337FA">
        <w:rPr>
          <w:i/>
          <w:szCs w:val="24"/>
        </w:rPr>
        <w:t>они</w:t>
      </w:r>
      <w:r w:rsidR="006C680D" w:rsidRPr="00D337FA">
        <w:rPr>
          <w:i/>
          <w:szCs w:val="24"/>
        </w:rPr>
        <w:t xml:space="preserve"> </w:t>
      </w:r>
      <w:r w:rsidRPr="00D337FA">
        <w:rPr>
          <w:i/>
          <w:szCs w:val="24"/>
        </w:rPr>
        <w:t>вообще</w:t>
      </w:r>
      <w:r w:rsidR="006C680D" w:rsidRPr="00D337FA">
        <w:rPr>
          <w:i/>
          <w:szCs w:val="24"/>
        </w:rPr>
        <w:t xml:space="preserve"> </w:t>
      </w:r>
      <w:r w:rsidRPr="00D337FA">
        <w:rPr>
          <w:i/>
          <w:szCs w:val="24"/>
        </w:rPr>
        <w:t>мало</w:t>
      </w:r>
      <w:r w:rsidR="006C680D" w:rsidRPr="00D337FA">
        <w:rPr>
          <w:i/>
          <w:szCs w:val="24"/>
        </w:rPr>
        <w:t xml:space="preserve"> </w:t>
      </w:r>
      <w:r w:rsidRPr="00D337FA">
        <w:rPr>
          <w:i/>
          <w:szCs w:val="24"/>
        </w:rPr>
        <w:t>развиты.</w:t>
      </w:r>
      <w:r w:rsidR="006C680D" w:rsidRPr="00D337FA">
        <w:rPr>
          <w:i/>
          <w:szCs w:val="24"/>
        </w:rPr>
        <w:t xml:space="preserve"> </w:t>
      </w:r>
      <w:r w:rsidRPr="00D337FA">
        <w:rPr>
          <w:i/>
          <w:szCs w:val="24"/>
        </w:rPr>
        <w:t>Обоснованы</w:t>
      </w:r>
      <w:r w:rsidR="006C680D" w:rsidRPr="00D337FA">
        <w:rPr>
          <w:i/>
          <w:szCs w:val="24"/>
        </w:rPr>
        <w:t xml:space="preserve"> </w:t>
      </w:r>
      <w:r w:rsidRPr="00D337FA">
        <w:rPr>
          <w:i/>
          <w:szCs w:val="24"/>
        </w:rPr>
        <w:t>перспективные</w:t>
      </w:r>
      <w:r w:rsidR="006C680D" w:rsidRPr="00D337FA">
        <w:rPr>
          <w:i/>
          <w:szCs w:val="24"/>
        </w:rPr>
        <w:t xml:space="preserve"> </w:t>
      </w:r>
      <w:r w:rsidRPr="00D337FA">
        <w:rPr>
          <w:i/>
          <w:szCs w:val="24"/>
        </w:rPr>
        <w:t>направления</w:t>
      </w:r>
      <w:r w:rsidR="006C680D" w:rsidRPr="00D337FA">
        <w:rPr>
          <w:i/>
          <w:szCs w:val="24"/>
        </w:rPr>
        <w:t xml:space="preserve"> </w:t>
      </w:r>
      <w:r w:rsidRPr="00D337FA">
        <w:rPr>
          <w:i/>
          <w:szCs w:val="24"/>
        </w:rPr>
        <w:t>развития</w:t>
      </w:r>
      <w:r w:rsidR="006C680D" w:rsidRPr="00D337FA">
        <w:rPr>
          <w:i/>
          <w:szCs w:val="24"/>
        </w:rPr>
        <w:t xml:space="preserve"> </w:t>
      </w:r>
      <w:r w:rsidRPr="00D337FA">
        <w:rPr>
          <w:i/>
          <w:szCs w:val="24"/>
        </w:rPr>
        <w:t>банковского</w:t>
      </w:r>
      <w:r w:rsidR="006C680D" w:rsidRPr="00D337FA">
        <w:rPr>
          <w:i/>
          <w:szCs w:val="24"/>
        </w:rPr>
        <w:t xml:space="preserve"> </w:t>
      </w:r>
      <w:r w:rsidRPr="00D337FA">
        <w:rPr>
          <w:i/>
          <w:szCs w:val="24"/>
        </w:rPr>
        <w:t>обслуживания</w:t>
      </w:r>
      <w:r w:rsidR="006C680D" w:rsidRPr="00D337FA">
        <w:rPr>
          <w:i/>
          <w:szCs w:val="24"/>
        </w:rPr>
        <w:t xml:space="preserve"> </w:t>
      </w:r>
      <w:r w:rsidRPr="00D337FA">
        <w:rPr>
          <w:i/>
          <w:szCs w:val="24"/>
        </w:rPr>
        <w:t>малого</w:t>
      </w:r>
      <w:r w:rsidR="006C680D" w:rsidRPr="00D337FA">
        <w:rPr>
          <w:i/>
          <w:szCs w:val="24"/>
        </w:rPr>
        <w:t xml:space="preserve"> </w:t>
      </w:r>
      <w:r w:rsidRPr="00D337FA">
        <w:rPr>
          <w:i/>
          <w:szCs w:val="24"/>
        </w:rPr>
        <w:t>бизнеса:</w:t>
      </w:r>
      <w:r w:rsidR="006C680D" w:rsidRPr="00D337FA">
        <w:rPr>
          <w:i/>
          <w:szCs w:val="24"/>
        </w:rPr>
        <w:t xml:space="preserve"> </w:t>
      </w:r>
      <w:r w:rsidRPr="00D337FA">
        <w:rPr>
          <w:i/>
          <w:szCs w:val="24"/>
        </w:rPr>
        <w:t>расширение</w:t>
      </w:r>
      <w:r w:rsidR="006C680D" w:rsidRPr="00D337FA">
        <w:rPr>
          <w:i/>
          <w:szCs w:val="24"/>
        </w:rPr>
        <w:t xml:space="preserve"> </w:t>
      </w:r>
      <w:r w:rsidRPr="00D337FA">
        <w:rPr>
          <w:i/>
          <w:szCs w:val="24"/>
        </w:rPr>
        <w:t>интеграции</w:t>
      </w:r>
      <w:r w:rsidR="006C680D" w:rsidRPr="00D337FA">
        <w:rPr>
          <w:i/>
          <w:szCs w:val="24"/>
        </w:rPr>
        <w:t xml:space="preserve"> </w:t>
      </w:r>
      <w:r w:rsidRPr="00D337FA">
        <w:rPr>
          <w:i/>
          <w:szCs w:val="24"/>
        </w:rPr>
        <w:t>банковских</w:t>
      </w:r>
      <w:r w:rsidR="006C680D" w:rsidRPr="00D337FA">
        <w:rPr>
          <w:i/>
          <w:szCs w:val="24"/>
        </w:rPr>
        <w:t xml:space="preserve"> </w:t>
      </w:r>
      <w:r w:rsidRPr="00D337FA">
        <w:rPr>
          <w:i/>
          <w:szCs w:val="24"/>
        </w:rPr>
        <w:t>платформ</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внешними</w:t>
      </w:r>
      <w:r w:rsidR="006C680D" w:rsidRPr="00D337FA">
        <w:rPr>
          <w:i/>
          <w:szCs w:val="24"/>
        </w:rPr>
        <w:t xml:space="preserve"> </w:t>
      </w:r>
      <w:r w:rsidRPr="00D337FA">
        <w:rPr>
          <w:i/>
          <w:szCs w:val="24"/>
        </w:rPr>
        <w:t>сервисами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бизнес-инфраструктурой</w:t>
      </w:r>
      <w:r w:rsidR="006C680D" w:rsidRPr="00D337FA">
        <w:rPr>
          <w:i/>
          <w:szCs w:val="24"/>
        </w:rPr>
        <w:t xml:space="preserve"> </w:t>
      </w:r>
      <w:r w:rsidRPr="00D337FA">
        <w:rPr>
          <w:i/>
          <w:szCs w:val="24"/>
        </w:rPr>
        <w:t>клиентов,</w:t>
      </w:r>
      <w:r w:rsidR="006C680D" w:rsidRPr="00D337FA">
        <w:rPr>
          <w:i/>
          <w:szCs w:val="24"/>
        </w:rPr>
        <w:t xml:space="preserve"> </w:t>
      </w:r>
      <w:r w:rsidRPr="00D337FA">
        <w:rPr>
          <w:i/>
          <w:szCs w:val="24"/>
        </w:rPr>
        <w:t>внедрение</w:t>
      </w:r>
      <w:r w:rsidR="006C680D" w:rsidRPr="00D337FA">
        <w:rPr>
          <w:i/>
          <w:szCs w:val="24"/>
        </w:rPr>
        <w:t xml:space="preserve"> </w:t>
      </w:r>
      <w:r w:rsidRPr="00D337FA">
        <w:rPr>
          <w:i/>
          <w:szCs w:val="24"/>
        </w:rPr>
        <w:t>встроенных</w:t>
      </w:r>
      <w:r w:rsidR="006C680D" w:rsidRPr="00D337FA">
        <w:rPr>
          <w:i/>
          <w:szCs w:val="24"/>
        </w:rPr>
        <w:t xml:space="preserve"> </w:t>
      </w:r>
      <w:r w:rsidRPr="00D337FA">
        <w:rPr>
          <w:i/>
          <w:szCs w:val="24"/>
        </w:rPr>
        <w:t>финансов,</w:t>
      </w:r>
      <w:r w:rsidR="006C680D" w:rsidRPr="00D337FA">
        <w:rPr>
          <w:i/>
          <w:szCs w:val="24"/>
        </w:rPr>
        <w:t xml:space="preserve"> </w:t>
      </w:r>
      <w:r w:rsidRPr="00D337FA">
        <w:rPr>
          <w:i/>
          <w:szCs w:val="24"/>
        </w:rPr>
        <w:t>развитие</w:t>
      </w:r>
      <w:r w:rsidR="006C680D" w:rsidRPr="00D337FA">
        <w:rPr>
          <w:i/>
          <w:szCs w:val="24"/>
        </w:rPr>
        <w:t xml:space="preserve"> </w:t>
      </w:r>
      <w:r w:rsidRPr="00D337FA">
        <w:rPr>
          <w:i/>
          <w:szCs w:val="24"/>
        </w:rPr>
        <w:t>лизинга,</w:t>
      </w:r>
      <w:r w:rsidR="006C680D" w:rsidRPr="00D337FA">
        <w:rPr>
          <w:i/>
          <w:szCs w:val="24"/>
        </w:rPr>
        <w:t xml:space="preserve"> </w:t>
      </w:r>
      <w:r w:rsidRPr="00D337FA">
        <w:rPr>
          <w:i/>
          <w:szCs w:val="24"/>
        </w:rPr>
        <w:t>факторинга,</w:t>
      </w:r>
      <w:r w:rsidR="006C680D" w:rsidRPr="00D337FA">
        <w:rPr>
          <w:i/>
          <w:szCs w:val="24"/>
        </w:rPr>
        <w:t xml:space="preserve"> </w:t>
      </w:r>
      <w:r w:rsidRPr="00D337FA">
        <w:rPr>
          <w:i/>
          <w:szCs w:val="24"/>
        </w:rPr>
        <w:t>краудлендинга,</w:t>
      </w:r>
      <w:r w:rsidR="006C680D" w:rsidRPr="00D337FA">
        <w:rPr>
          <w:i/>
          <w:szCs w:val="24"/>
        </w:rPr>
        <w:t xml:space="preserve"> </w:t>
      </w:r>
      <w:r w:rsidRPr="00D337FA">
        <w:rPr>
          <w:i/>
          <w:szCs w:val="24"/>
        </w:rPr>
        <w:t>цифрового</w:t>
      </w:r>
      <w:r w:rsidR="006C680D" w:rsidRPr="00D337FA">
        <w:rPr>
          <w:i/>
          <w:szCs w:val="24"/>
        </w:rPr>
        <w:t xml:space="preserve"> </w:t>
      </w:r>
      <w:r w:rsidRPr="00D337FA">
        <w:rPr>
          <w:i/>
          <w:szCs w:val="24"/>
        </w:rPr>
        <w:t>кредитования</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нефинансовых</w:t>
      </w:r>
      <w:r w:rsidR="006C680D" w:rsidRPr="00D337FA">
        <w:rPr>
          <w:i/>
          <w:szCs w:val="24"/>
        </w:rPr>
        <w:t xml:space="preserve"> </w:t>
      </w:r>
      <w:r w:rsidRPr="00D337FA">
        <w:rPr>
          <w:i/>
          <w:szCs w:val="24"/>
        </w:rPr>
        <w:t>сервисов,</w:t>
      </w:r>
      <w:r w:rsidR="006C680D" w:rsidRPr="00D337FA">
        <w:rPr>
          <w:i/>
          <w:szCs w:val="24"/>
        </w:rPr>
        <w:t xml:space="preserve"> </w:t>
      </w:r>
      <w:r w:rsidRPr="00D337FA">
        <w:rPr>
          <w:i/>
          <w:szCs w:val="24"/>
        </w:rPr>
        <w:t>использование</w:t>
      </w:r>
      <w:r w:rsidR="006C680D" w:rsidRPr="00D337FA">
        <w:rPr>
          <w:i/>
          <w:szCs w:val="24"/>
        </w:rPr>
        <w:t xml:space="preserve"> </w:t>
      </w:r>
      <w:r w:rsidRPr="00D337FA">
        <w:rPr>
          <w:i/>
          <w:szCs w:val="24"/>
        </w:rPr>
        <w:t>возможностей</w:t>
      </w:r>
      <w:r w:rsidR="006C680D" w:rsidRPr="00D337FA">
        <w:rPr>
          <w:i/>
          <w:szCs w:val="24"/>
        </w:rPr>
        <w:t xml:space="preserve"> </w:t>
      </w:r>
      <w:r w:rsidRPr="00D337FA">
        <w:rPr>
          <w:i/>
          <w:szCs w:val="24"/>
        </w:rPr>
        <w:t>искусственного</w:t>
      </w:r>
      <w:r w:rsidR="006C680D" w:rsidRPr="00D337FA">
        <w:rPr>
          <w:i/>
          <w:szCs w:val="24"/>
        </w:rPr>
        <w:t xml:space="preserve"> </w:t>
      </w:r>
      <w:r w:rsidRPr="00D337FA">
        <w:rPr>
          <w:i/>
          <w:szCs w:val="24"/>
        </w:rPr>
        <w:t>интеллекта.</w:t>
      </w:r>
      <w:r w:rsidR="006C680D" w:rsidRPr="00D337FA">
        <w:rPr>
          <w:i/>
          <w:szCs w:val="24"/>
        </w:rPr>
        <w:t xml:space="preserve"> </w:t>
      </w:r>
    </w:p>
    <w:p w:rsidR="00B706E9" w:rsidRPr="00D337FA" w:rsidRDefault="00B706E9" w:rsidP="00B706E9">
      <w:pPr>
        <w:ind w:firstLine="0"/>
        <w:rPr>
          <w:szCs w:val="24"/>
        </w:rPr>
      </w:pPr>
    </w:p>
    <w:p w:rsidR="00B706E9" w:rsidRPr="00D337FA" w:rsidRDefault="00B706E9" w:rsidP="00B706E9">
      <w:pPr>
        <w:pStyle w:val="aff5"/>
        <w:shd w:val="clear" w:color="auto" w:fill="FFFFFF"/>
        <w:tabs>
          <w:tab w:val="left" w:pos="3066"/>
        </w:tabs>
        <w:spacing w:before="0" w:beforeAutospacing="0" w:after="0" w:afterAutospacing="0"/>
        <w:jc w:val="both"/>
        <w:rPr>
          <w:rFonts w:eastAsia="Calibri"/>
          <w:iCs/>
        </w:rPr>
      </w:pPr>
      <w:r w:rsidRPr="00D337FA">
        <w:rPr>
          <w:rFonts w:eastAsia="Calibri"/>
          <w:iCs/>
        </w:rPr>
        <w:t>Малый</w:t>
      </w:r>
      <w:r w:rsidR="006C680D" w:rsidRPr="00D337FA">
        <w:rPr>
          <w:rFonts w:eastAsia="Calibri"/>
          <w:iCs/>
        </w:rPr>
        <w:t xml:space="preserve"> </w:t>
      </w:r>
      <w:r w:rsidRPr="00D337FA">
        <w:rPr>
          <w:rFonts w:eastAsia="Calibri"/>
          <w:iCs/>
        </w:rPr>
        <w:t>бизнес,</w:t>
      </w:r>
      <w:r w:rsidR="006C680D" w:rsidRPr="00D337FA">
        <w:rPr>
          <w:rFonts w:eastAsia="Calibri"/>
          <w:iCs/>
        </w:rPr>
        <w:t xml:space="preserve"> </w:t>
      </w:r>
      <w:r w:rsidRPr="00D337FA">
        <w:rPr>
          <w:rFonts w:eastAsia="Calibri"/>
          <w:iCs/>
        </w:rPr>
        <w:t>банковские</w:t>
      </w:r>
      <w:r w:rsidR="006C680D" w:rsidRPr="00D337FA">
        <w:rPr>
          <w:rFonts w:eastAsia="Calibri"/>
          <w:iCs/>
        </w:rPr>
        <w:t xml:space="preserve"> </w:t>
      </w:r>
      <w:r w:rsidRPr="00D337FA">
        <w:rPr>
          <w:rFonts w:eastAsia="Calibri"/>
          <w:iCs/>
        </w:rPr>
        <w:t>услуги,</w:t>
      </w:r>
      <w:r w:rsidR="006C680D" w:rsidRPr="00D337FA">
        <w:rPr>
          <w:rFonts w:eastAsia="Calibri"/>
          <w:iCs/>
        </w:rPr>
        <w:t xml:space="preserve"> </w:t>
      </w:r>
      <w:r w:rsidRPr="00D337FA">
        <w:rPr>
          <w:rFonts w:eastAsia="Calibri"/>
          <w:iCs/>
        </w:rPr>
        <w:t>тенденции,</w:t>
      </w:r>
      <w:r w:rsidR="006C680D" w:rsidRPr="00D337FA">
        <w:rPr>
          <w:rFonts w:eastAsia="Calibri"/>
          <w:iCs/>
        </w:rPr>
        <w:t xml:space="preserve"> </w:t>
      </w:r>
      <w:r w:rsidRPr="00D337FA">
        <w:rPr>
          <w:rFonts w:eastAsia="Calibri"/>
          <w:iCs/>
        </w:rPr>
        <w:t>проблемы,</w:t>
      </w:r>
      <w:r w:rsidR="006C680D" w:rsidRPr="00D337FA">
        <w:rPr>
          <w:rFonts w:eastAsia="Calibri"/>
          <w:iCs/>
        </w:rPr>
        <w:t xml:space="preserve"> </w:t>
      </w:r>
      <w:r w:rsidRPr="00D337FA">
        <w:rPr>
          <w:rFonts w:eastAsia="Calibri"/>
          <w:iCs/>
        </w:rPr>
        <w:t>перспективы</w:t>
      </w:r>
      <w:r w:rsidR="006C680D" w:rsidRPr="00D337FA">
        <w:rPr>
          <w:rFonts w:eastAsia="Calibri"/>
          <w:iCs/>
        </w:rPr>
        <w:t xml:space="preserve"> </w:t>
      </w:r>
      <w:r w:rsidRPr="00D337FA">
        <w:rPr>
          <w:rFonts w:eastAsia="Calibri"/>
          <w:iCs/>
        </w:rPr>
        <w:t>развития</w:t>
      </w:r>
      <w:r w:rsidR="006C680D" w:rsidRPr="00D337FA">
        <w:rPr>
          <w:rFonts w:eastAsia="Calibri"/>
          <w:iCs/>
        </w:rPr>
        <w:t xml:space="preserve"> </w:t>
      </w:r>
    </w:p>
    <w:p w:rsidR="00B706E9" w:rsidRPr="00D337FA" w:rsidRDefault="00B706E9" w:rsidP="00B706E9">
      <w:pPr>
        <w:pStyle w:val="aff5"/>
        <w:shd w:val="clear" w:color="auto" w:fill="FFFFFF"/>
        <w:tabs>
          <w:tab w:val="left" w:pos="3066"/>
        </w:tabs>
        <w:spacing w:before="0" w:beforeAutospacing="0" w:after="0" w:afterAutospacing="0"/>
        <w:jc w:val="both"/>
        <w:rPr>
          <w:rFonts w:eastAsia="Calibri"/>
          <w:iCs/>
        </w:rPr>
      </w:pPr>
    </w:p>
    <w:p w:rsidR="00B706E9" w:rsidRPr="00D337FA" w:rsidRDefault="00B706E9" w:rsidP="00B706E9">
      <w:pPr>
        <w:pStyle w:val="aff5"/>
        <w:shd w:val="clear" w:color="auto" w:fill="FFFFFF"/>
        <w:tabs>
          <w:tab w:val="left" w:pos="3066"/>
        </w:tabs>
        <w:spacing w:before="0" w:beforeAutospacing="0" w:after="0" w:afterAutospacing="0"/>
        <w:jc w:val="both"/>
        <w:rPr>
          <w:i/>
          <w:lang w:val="en-US"/>
        </w:rPr>
      </w:pPr>
      <w:r w:rsidRPr="00D337FA">
        <w:rPr>
          <w:b/>
          <w:i/>
          <w:lang w:val="en-US"/>
        </w:rPr>
        <w:lastRenderedPageBreak/>
        <w:t>Abstract.</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article</w:t>
      </w:r>
      <w:r w:rsidR="006C680D" w:rsidRPr="00D337FA">
        <w:rPr>
          <w:i/>
          <w:lang w:val="en-US"/>
        </w:rPr>
        <w:t xml:space="preserve"> </w:t>
      </w:r>
      <w:r w:rsidRPr="00D337FA">
        <w:rPr>
          <w:i/>
          <w:lang w:val="en-US"/>
        </w:rPr>
        <w:t>assesses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sectoral</w:t>
      </w:r>
      <w:r w:rsidR="006C680D" w:rsidRPr="00D337FA">
        <w:rPr>
          <w:i/>
          <w:lang w:val="en-US"/>
        </w:rPr>
        <w:t xml:space="preserve"> </w:t>
      </w:r>
      <w:r w:rsidRPr="00D337FA">
        <w:rPr>
          <w:i/>
          <w:lang w:val="en-US"/>
        </w:rPr>
        <w:t>structure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Russian</w:t>
      </w:r>
      <w:r w:rsidR="006C680D" w:rsidRPr="00D337FA">
        <w:rPr>
          <w:i/>
          <w:lang w:val="en-US"/>
        </w:rPr>
        <w:t xml:space="preserve"> </w:t>
      </w:r>
      <w:r w:rsidRPr="00D337FA">
        <w:rPr>
          <w:i/>
          <w:lang w:val="en-US"/>
        </w:rPr>
        <w:t>small</w:t>
      </w:r>
      <w:r w:rsidR="006C680D" w:rsidRPr="00D337FA">
        <w:rPr>
          <w:i/>
          <w:lang w:val="en-US"/>
        </w:rPr>
        <w:t xml:space="preserve"> </w:t>
      </w:r>
      <w:r w:rsidRPr="00D337FA">
        <w:rPr>
          <w:i/>
          <w:lang w:val="en-US"/>
        </w:rPr>
        <w:t>business</w:t>
      </w:r>
      <w:r w:rsidR="006C680D" w:rsidRPr="00D337FA">
        <w:rPr>
          <w:i/>
          <w:lang w:val="en-US"/>
        </w:rPr>
        <w:t xml:space="preserve"> </w:t>
      </w:r>
      <w:r w:rsidRPr="00D337FA">
        <w:rPr>
          <w:i/>
          <w:lang w:val="en-US"/>
        </w:rPr>
        <w:t>enterprises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shows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specifics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their</w:t>
      </w:r>
      <w:r w:rsidR="006C680D" w:rsidRPr="00D337FA">
        <w:rPr>
          <w:i/>
          <w:lang w:val="en-US"/>
        </w:rPr>
        <w:t xml:space="preserve"> </w:t>
      </w:r>
      <w:r w:rsidRPr="00D337FA">
        <w:rPr>
          <w:i/>
          <w:lang w:val="en-US"/>
        </w:rPr>
        <w:t>needs</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analysis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small</w:t>
      </w:r>
      <w:r w:rsidR="006C680D" w:rsidRPr="00D337FA">
        <w:rPr>
          <w:i/>
          <w:lang w:val="en-US"/>
        </w:rPr>
        <w:t xml:space="preserve"> </w:t>
      </w:r>
      <w:r w:rsidRPr="00D337FA">
        <w:rPr>
          <w:i/>
          <w:lang w:val="en-US"/>
        </w:rPr>
        <w:t>business</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provided</w:t>
      </w:r>
      <w:r w:rsidR="006C680D" w:rsidRPr="00D337FA">
        <w:rPr>
          <w:i/>
          <w:lang w:val="en-US"/>
        </w:rPr>
        <w:t xml:space="preserve"> </w:t>
      </w:r>
      <w:r w:rsidRPr="00D337FA">
        <w:rPr>
          <w:i/>
          <w:lang w:val="en-US"/>
        </w:rPr>
        <w:t>by</w:t>
      </w:r>
      <w:r w:rsidR="006C680D" w:rsidRPr="00D337FA">
        <w:rPr>
          <w:i/>
          <w:lang w:val="en-US"/>
        </w:rPr>
        <w:t xml:space="preserve"> </w:t>
      </w:r>
      <w:r w:rsidRPr="00D337FA">
        <w:rPr>
          <w:i/>
          <w:lang w:val="en-US"/>
        </w:rPr>
        <w:t>systemically</w:t>
      </w:r>
      <w:r w:rsidR="006C680D" w:rsidRPr="00D337FA">
        <w:rPr>
          <w:i/>
          <w:lang w:val="en-US"/>
        </w:rPr>
        <w:t xml:space="preserve"> </w:t>
      </w:r>
      <w:r w:rsidRPr="00D337FA">
        <w:rPr>
          <w:i/>
          <w:lang w:val="en-US"/>
        </w:rPr>
        <w:t>important</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Russia</w:t>
      </w:r>
      <w:r w:rsidR="006C680D" w:rsidRPr="00D337FA">
        <w:rPr>
          <w:i/>
          <w:lang w:val="en-US"/>
        </w:rPr>
        <w:t xml:space="preserve"> </w:t>
      </w:r>
      <w:r w:rsidRPr="00D337FA">
        <w:rPr>
          <w:i/>
          <w:lang w:val="en-US"/>
        </w:rPr>
        <w:t>revealed</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characterized</w:t>
      </w:r>
      <w:r w:rsidR="006C680D" w:rsidRPr="00D337FA">
        <w:rPr>
          <w:i/>
          <w:lang w:val="en-US"/>
        </w:rPr>
        <w:t xml:space="preserve"> </w:t>
      </w:r>
      <w:r w:rsidRPr="00D337FA">
        <w:rPr>
          <w:i/>
          <w:lang w:val="en-US"/>
        </w:rPr>
        <w:t>six</w:t>
      </w:r>
      <w:r w:rsidR="006C680D" w:rsidRPr="00D337FA">
        <w:rPr>
          <w:i/>
          <w:lang w:val="en-US"/>
        </w:rPr>
        <w:t xml:space="preserve"> </w:t>
      </w:r>
      <w:r w:rsidRPr="00D337FA">
        <w:rPr>
          <w:i/>
          <w:lang w:val="en-US"/>
        </w:rPr>
        <w:t>trends: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use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various</w:t>
      </w:r>
      <w:r w:rsidR="006C680D" w:rsidRPr="00D337FA">
        <w:rPr>
          <w:i/>
          <w:lang w:val="en-US"/>
        </w:rPr>
        <w:t xml:space="preserve"> </w:t>
      </w:r>
      <w:r w:rsidRPr="00D337FA">
        <w:rPr>
          <w:i/>
          <w:lang w:val="en-US"/>
        </w:rPr>
        <w:t>service</w:t>
      </w:r>
      <w:r w:rsidR="006C680D" w:rsidRPr="00D337FA">
        <w:rPr>
          <w:i/>
          <w:lang w:val="en-US"/>
        </w:rPr>
        <w:t xml:space="preserve"> </w:t>
      </w:r>
      <w:r w:rsidRPr="00D337FA">
        <w:rPr>
          <w:i/>
          <w:lang w:val="en-US"/>
        </w:rPr>
        <w:t>models</w:t>
      </w:r>
      <w:r w:rsidR="006C680D" w:rsidRPr="00D337FA">
        <w:rPr>
          <w:i/>
          <w:lang w:val="en-US"/>
        </w:rPr>
        <w:t xml:space="preserve"> </w:t>
      </w:r>
      <w:r w:rsidRPr="00D337FA">
        <w:rPr>
          <w:i/>
          <w:lang w:val="en-US"/>
        </w:rPr>
        <w:t>by</w:t>
      </w:r>
      <w:r w:rsidR="006C680D" w:rsidRPr="00D337FA">
        <w:rPr>
          <w:i/>
          <w:lang w:val="en-US"/>
        </w:rPr>
        <w:t xml:space="preserve"> </w:t>
      </w:r>
      <w:r w:rsidRPr="00D337FA">
        <w:rPr>
          <w:i/>
          <w:lang w:val="en-US"/>
        </w:rPr>
        <w:t>banks,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digitalization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sectoral</w:t>
      </w:r>
      <w:r w:rsidR="006C680D" w:rsidRPr="00D337FA">
        <w:rPr>
          <w:i/>
          <w:lang w:val="en-US"/>
        </w:rPr>
        <w:t xml:space="preserve"> </w:t>
      </w:r>
      <w:r w:rsidRPr="00D337FA">
        <w:rPr>
          <w:i/>
          <w:lang w:val="en-US"/>
        </w:rPr>
        <w:t>specialization,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expansion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types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credit</w:t>
      </w:r>
      <w:r w:rsidR="006C680D" w:rsidRPr="00D337FA">
        <w:rPr>
          <w:i/>
          <w:lang w:val="en-US"/>
        </w:rPr>
        <w:t xml:space="preserve"> </w:t>
      </w:r>
      <w:r w:rsidRPr="00D337FA">
        <w:rPr>
          <w:i/>
          <w:lang w:val="en-US"/>
        </w:rPr>
        <w:t>support</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alternative</w:t>
      </w:r>
      <w:r w:rsidR="006C680D" w:rsidRPr="00D337FA">
        <w:rPr>
          <w:i/>
          <w:lang w:val="en-US"/>
        </w:rPr>
        <w:t xml:space="preserve"> </w:t>
      </w:r>
      <w:r w:rsidRPr="00D337FA">
        <w:rPr>
          <w:i/>
          <w:lang w:val="en-US"/>
        </w:rPr>
        <w:t>forms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financing</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small</w:t>
      </w:r>
      <w:r w:rsidR="006C680D" w:rsidRPr="00D337FA">
        <w:rPr>
          <w:i/>
          <w:lang w:val="en-US"/>
        </w:rPr>
        <w:t xml:space="preserve"> </w:t>
      </w:r>
      <w:r w:rsidRPr="00D337FA">
        <w:rPr>
          <w:i/>
          <w:lang w:val="en-US"/>
        </w:rPr>
        <w:t>businesses,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limited</w:t>
      </w:r>
      <w:r w:rsidR="006C680D" w:rsidRPr="00D337FA">
        <w:rPr>
          <w:i/>
          <w:lang w:val="en-US"/>
        </w:rPr>
        <w:t xml:space="preserve"> </w:t>
      </w:r>
      <w:r w:rsidRPr="00D337FA">
        <w:rPr>
          <w:i/>
          <w:lang w:val="en-US"/>
        </w:rPr>
        <w:t>availability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certain</w:t>
      </w:r>
      <w:r w:rsidR="006C680D" w:rsidRPr="00D337FA">
        <w:rPr>
          <w:i/>
          <w:lang w:val="en-US"/>
        </w:rPr>
        <w:t xml:space="preserve"> </w:t>
      </w:r>
      <w:r w:rsidRPr="00D337FA">
        <w:rPr>
          <w:i/>
          <w:lang w:val="en-US"/>
        </w:rPr>
        <w:t>specific</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expansion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non-financial</w:t>
      </w:r>
      <w:r w:rsidR="006C680D" w:rsidRPr="00D337FA">
        <w:rPr>
          <w:i/>
          <w:lang w:val="en-US"/>
        </w:rPr>
        <w:t xml:space="preserve"> </w:t>
      </w:r>
      <w:r w:rsidRPr="00D337FA">
        <w:rPr>
          <w:i/>
          <w:lang w:val="en-US"/>
        </w:rPr>
        <w:t>support,</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deepening</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customization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customer</w:t>
      </w:r>
      <w:r w:rsidR="006C680D" w:rsidRPr="00D337FA">
        <w:rPr>
          <w:i/>
          <w:lang w:val="en-US"/>
        </w:rPr>
        <w:t xml:space="preserve"> </w:t>
      </w:r>
      <w:r w:rsidRPr="00D337FA">
        <w:rPr>
          <w:i/>
          <w:lang w:val="en-US"/>
        </w:rPr>
        <w:t>solutions.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article</w:t>
      </w:r>
      <w:r w:rsidR="006C680D" w:rsidRPr="00D337FA">
        <w:rPr>
          <w:i/>
          <w:lang w:val="en-US"/>
        </w:rPr>
        <w:t xml:space="preserve"> </w:t>
      </w:r>
      <w:r w:rsidRPr="00D337FA">
        <w:rPr>
          <w:i/>
          <w:lang w:val="en-US"/>
        </w:rPr>
        <w:t>concludes</w:t>
      </w:r>
      <w:r w:rsidR="006C680D" w:rsidRPr="00D337FA">
        <w:rPr>
          <w:i/>
          <w:lang w:val="en-US"/>
        </w:rPr>
        <w:t xml:space="preserve"> </w:t>
      </w:r>
      <w:r w:rsidRPr="00D337FA">
        <w:rPr>
          <w:i/>
          <w:lang w:val="en-US"/>
        </w:rPr>
        <w:t>that</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development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small</w:t>
      </w:r>
      <w:r w:rsidR="006C680D" w:rsidRPr="00D337FA">
        <w:rPr>
          <w:i/>
          <w:lang w:val="en-US"/>
        </w:rPr>
        <w:t xml:space="preserve"> </w:t>
      </w:r>
      <w:r w:rsidRPr="00D337FA">
        <w:rPr>
          <w:i/>
          <w:lang w:val="en-US"/>
        </w:rPr>
        <w:t>businesses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Russia</w:t>
      </w:r>
      <w:r w:rsidR="006C680D" w:rsidRPr="00D337FA">
        <w:rPr>
          <w:i/>
          <w:lang w:val="en-US"/>
        </w:rPr>
        <w:t xml:space="preserve"> </w:t>
      </w:r>
      <w:r w:rsidRPr="00D337FA">
        <w:rPr>
          <w:i/>
          <w:lang w:val="en-US"/>
        </w:rPr>
        <w:t>has</w:t>
      </w:r>
      <w:r w:rsidR="006C680D" w:rsidRPr="00D337FA">
        <w:rPr>
          <w:i/>
          <w:lang w:val="en-US"/>
        </w:rPr>
        <w:t xml:space="preserve"> </w:t>
      </w:r>
      <w:r w:rsidRPr="00D337FA">
        <w:rPr>
          <w:i/>
          <w:lang w:val="en-US"/>
        </w:rPr>
        <w:t>shown</w:t>
      </w:r>
      <w:r w:rsidR="006C680D" w:rsidRPr="00D337FA">
        <w:rPr>
          <w:i/>
          <w:lang w:val="en-US"/>
        </w:rPr>
        <w:t xml:space="preserve"> </w:t>
      </w:r>
      <w:r w:rsidRPr="00D337FA">
        <w:rPr>
          <w:i/>
          <w:lang w:val="en-US"/>
        </w:rPr>
        <w:t>positive</w:t>
      </w:r>
      <w:r w:rsidR="006C680D" w:rsidRPr="00D337FA">
        <w:rPr>
          <w:i/>
          <w:lang w:val="en-US"/>
        </w:rPr>
        <w:t xml:space="preserve"> </w:t>
      </w:r>
      <w:r w:rsidRPr="00D337FA">
        <w:rPr>
          <w:i/>
          <w:lang w:val="en-US"/>
        </w:rPr>
        <w:t>trends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recent</w:t>
      </w:r>
      <w:r w:rsidR="006C680D" w:rsidRPr="00D337FA">
        <w:rPr>
          <w:i/>
          <w:lang w:val="en-US"/>
        </w:rPr>
        <w:t xml:space="preserve"> </w:t>
      </w:r>
      <w:r w:rsidRPr="00D337FA">
        <w:rPr>
          <w:i/>
          <w:lang w:val="en-US"/>
        </w:rPr>
        <w:t>years.</w:t>
      </w:r>
      <w:r w:rsidR="006C680D" w:rsidRPr="00D337FA">
        <w:rPr>
          <w:i/>
          <w:lang w:val="en-US"/>
        </w:rPr>
        <w:t xml:space="preserve"> </w:t>
      </w:r>
      <w:r w:rsidRPr="00D337FA">
        <w:rPr>
          <w:i/>
          <w:lang w:val="en-US"/>
        </w:rPr>
        <w:t>However,</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expansion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range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available</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is</w:t>
      </w:r>
      <w:r w:rsidR="006C680D" w:rsidRPr="00D337FA">
        <w:rPr>
          <w:i/>
          <w:lang w:val="en-US"/>
        </w:rPr>
        <w:t xml:space="preserve"> </w:t>
      </w:r>
      <w:r w:rsidRPr="00D337FA">
        <w:rPr>
          <w:i/>
          <w:lang w:val="en-US"/>
        </w:rPr>
        <w:t>uneven,</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some</w:t>
      </w:r>
      <w:r w:rsidR="006C680D" w:rsidRPr="00D337FA">
        <w:rPr>
          <w:i/>
          <w:lang w:val="en-US"/>
        </w:rPr>
        <w:t xml:space="preserve"> </w:t>
      </w:r>
      <w:r w:rsidRPr="00D337FA">
        <w:rPr>
          <w:i/>
          <w:lang w:val="en-US"/>
        </w:rPr>
        <w:t>areas</w:t>
      </w:r>
      <w:r w:rsidR="006C680D" w:rsidRPr="00D337FA">
        <w:rPr>
          <w:i/>
          <w:lang w:val="en-US"/>
        </w:rPr>
        <w:t xml:space="preserve"> </w:t>
      </w:r>
      <w:r w:rsidRPr="00D337FA">
        <w:rPr>
          <w:i/>
          <w:lang w:val="en-US"/>
        </w:rPr>
        <w:t>they</w:t>
      </w:r>
      <w:r w:rsidR="006C680D" w:rsidRPr="00D337FA">
        <w:rPr>
          <w:i/>
          <w:lang w:val="en-US"/>
        </w:rPr>
        <w:t xml:space="preserve"> </w:t>
      </w:r>
      <w:r w:rsidRPr="00D337FA">
        <w:rPr>
          <w:i/>
          <w:lang w:val="en-US"/>
        </w:rPr>
        <w:t>are</w:t>
      </w:r>
      <w:r w:rsidR="006C680D" w:rsidRPr="00D337FA">
        <w:rPr>
          <w:i/>
          <w:lang w:val="en-US"/>
        </w:rPr>
        <w:t xml:space="preserve"> </w:t>
      </w:r>
      <w:r w:rsidRPr="00D337FA">
        <w:rPr>
          <w:i/>
          <w:lang w:val="en-US"/>
        </w:rPr>
        <w:t>poorly</w:t>
      </w:r>
      <w:r w:rsidR="006C680D" w:rsidRPr="00D337FA">
        <w:rPr>
          <w:i/>
          <w:lang w:val="en-US"/>
        </w:rPr>
        <w:t xml:space="preserve"> </w:t>
      </w:r>
      <w:r w:rsidRPr="00D337FA">
        <w:rPr>
          <w:i/>
          <w:lang w:val="en-US"/>
        </w:rPr>
        <w:t>developed.</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article</w:t>
      </w:r>
      <w:r w:rsidR="006C680D" w:rsidRPr="00D337FA">
        <w:rPr>
          <w:i/>
          <w:lang w:val="en-US"/>
        </w:rPr>
        <w:t xml:space="preserve"> </w:t>
      </w:r>
      <w:r w:rsidRPr="00D337FA">
        <w:rPr>
          <w:i/>
          <w:lang w:val="en-US"/>
        </w:rPr>
        <w:t>substantiates</w:t>
      </w:r>
      <w:r w:rsidR="006C680D" w:rsidRPr="00D337FA">
        <w:rPr>
          <w:i/>
          <w:lang w:val="en-US"/>
        </w:rPr>
        <w:t xml:space="preserve"> </w:t>
      </w:r>
      <w:r w:rsidRPr="00D337FA">
        <w:rPr>
          <w:i/>
          <w:lang w:val="en-US"/>
        </w:rPr>
        <w:t>promising</w:t>
      </w:r>
      <w:r w:rsidR="006C680D" w:rsidRPr="00D337FA">
        <w:rPr>
          <w:i/>
          <w:lang w:val="en-US"/>
        </w:rPr>
        <w:t xml:space="preserve"> </w:t>
      </w:r>
      <w:r w:rsidRPr="00D337FA">
        <w:rPr>
          <w:i/>
          <w:lang w:val="en-US"/>
        </w:rPr>
        <w:t>areas</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development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small</w:t>
      </w:r>
      <w:r w:rsidR="006C680D" w:rsidRPr="00D337FA">
        <w:rPr>
          <w:i/>
          <w:lang w:val="en-US"/>
        </w:rPr>
        <w:t xml:space="preserve"> </w:t>
      </w:r>
      <w:r w:rsidRPr="00D337FA">
        <w:rPr>
          <w:i/>
          <w:lang w:val="en-US"/>
        </w:rPr>
        <w:t>business</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including</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expansion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integration</w:t>
      </w:r>
      <w:r w:rsidR="006C680D" w:rsidRPr="00D337FA">
        <w:rPr>
          <w:i/>
          <w:lang w:val="en-US"/>
        </w:rPr>
        <w:t xml:space="preserve"> </w:t>
      </w:r>
      <w:r w:rsidRPr="00D337FA">
        <w:rPr>
          <w:i/>
          <w:lang w:val="en-US"/>
        </w:rPr>
        <w:t>between</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platforms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non-banking</w:t>
      </w:r>
      <w:r w:rsidR="006C680D" w:rsidRPr="00D337FA">
        <w:rPr>
          <w:i/>
          <w:lang w:val="en-US"/>
        </w:rPr>
        <w:t xml:space="preserve"> </w:t>
      </w:r>
      <w:r w:rsidRPr="00D337FA">
        <w:rPr>
          <w:i/>
          <w:lang w:val="en-US"/>
        </w:rPr>
        <w:t>financial</w:t>
      </w:r>
      <w:r w:rsidR="006C680D" w:rsidRPr="00D337FA">
        <w:rPr>
          <w:i/>
          <w:lang w:val="en-US"/>
        </w:rPr>
        <w:t xml:space="preserve"> </w:t>
      </w:r>
      <w:r w:rsidRPr="00D337FA">
        <w:rPr>
          <w:i/>
          <w:lang w:val="en-US"/>
        </w:rPr>
        <w:t>institutions.</w:t>
      </w:r>
      <w:r w:rsidR="006C680D" w:rsidRPr="00D337FA">
        <w:rPr>
          <w:i/>
          <w:lang w:val="en-US"/>
        </w:rPr>
        <w:t xml:space="preserve"> </w:t>
      </w:r>
    </w:p>
    <w:p w:rsidR="00B706E9" w:rsidRPr="00D337FA" w:rsidRDefault="00B706E9" w:rsidP="00B706E9">
      <w:pPr>
        <w:pStyle w:val="aff5"/>
        <w:shd w:val="clear" w:color="auto" w:fill="FFFFFF"/>
        <w:spacing w:before="0" w:beforeAutospacing="0" w:after="0" w:afterAutospacing="0"/>
        <w:jc w:val="both"/>
        <w:rPr>
          <w:lang w:val="en-US"/>
        </w:rPr>
      </w:pPr>
    </w:p>
    <w:p w:rsidR="00B706E9" w:rsidRPr="00D337FA" w:rsidRDefault="00B706E9" w:rsidP="00B706E9">
      <w:pPr>
        <w:pStyle w:val="aff5"/>
        <w:shd w:val="clear" w:color="auto" w:fill="FFFFFF"/>
        <w:spacing w:before="0" w:beforeAutospacing="0" w:after="0" w:afterAutospacing="0"/>
        <w:jc w:val="both"/>
        <w:rPr>
          <w:lang w:val="en-US"/>
        </w:rPr>
      </w:pPr>
    </w:p>
    <w:p w:rsidR="00B706E9" w:rsidRPr="00D337FA" w:rsidRDefault="00B706E9" w:rsidP="00B706E9">
      <w:pPr>
        <w:pStyle w:val="aff5"/>
        <w:shd w:val="clear" w:color="auto" w:fill="FFFFFF"/>
        <w:spacing w:before="0" w:beforeAutospacing="0" w:after="0" w:afterAutospacing="0"/>
        <w:jc w:val="both"/>
        <w:rPr>
          <w:lang w:val="en-US"/>
        </w:rPr>
      </w:pPr>
    </w:p>
    <w:p w:rsidR="00B706E9" w:rsidRPr="00D337FA" w:rsidRDefault="00B706E9" w:rsidP="00B706E9">
      <w:pPr>
        <w:pStyle w:val="aff5"/>
        <w:shd w:val="clear" w:color="auto" w:fill="FFFFFF"/>
        <w:spacing w:before="0" w:beforeAutospacing="0" w:after="0" w:afterAutospacing="0"/>
        <w:jc w:val="both"/>
        <w:rPr>
          <w:lang w:val="en-US"/>
        </w:rPr>
      </w:pPr>
    </w:p>
    <w:p w:rsidR="00B706E9" w:rsidRPr="00D337FA" w:rsidRDefault="00B706E9" w:rsidP="00B706E9">
      <w:pPr>
        <w:pStyle w:val="aff5"/>
        <w:shd w:val="clear" w:color="auto" w:fill="FFFFFF"/>
        <w:tabs>
          <w:tab w:val="left" w:pos="3066"/>
        </w:tabs>
        <w:spacing w:before="0" w:beforeAutospacing="0" w:after="0" w:afterAutospacing="0"/>
        <w:jc w:val="both"/>
        <w:rPr>
          <w:lang w:val="en-US"/>
        </w:rPr>
      </w:pPr>
    </w:p>
    <w:p w:rsidR="00B706E9" w:rsidRPr="00D337FA" w:rsidRDefault="00B706E9" w:rsidP="00B706E9">
      <w:pPr>
        <w:pStyle w:val="aff5"/>
        <w:shd w:val="clear" w:color="auto" w:fill="FFFFFF"/>
        <w:tabs>
          <w:tab w:val="left" w:pos="3066"/>
        </w:tabs>
        <w:spacing w:before="0" w:beforeAutospacing="0" w:after="0" w:afterAutospacing="0"/>
        <w:jc w:val="both"/>
        <w:rPr>
          <w:lang w:val="en-US"/>
        </w:rPr>
      </w:pPr>
    </w:p>
    <w:p w:rsidR="00B706E9" w:rsidRPr="00D337FA" w:rsidRDefault="00B706E9" w:rsidP="00B706E9">
      <w:pPr>
        <w:pStyle w:val="aff5"/>
        <w:shd w:val="clear" w:color="auto" w:fill="FFFFFF"/>
        <w:tabs>
          <w:tab w:val="left" w:pos="3066"/>
        </w:tabs>
        <w:spacing w:before="0" w:beforeAutospacing="0" w:after="0" w:afterAutospacing="0"/>
        <w:jc w:val="both"/>
        <w:rPr>
          <w:lang w:val="en-US"/>
        </w:rPr>
      </w:pPr>
    </w:p>
    <w:p w:rsidR="00B706E9" w:rsidRPr="00D337FA" w:rsidRDefault="00B706E9" w:rsidP="00B706E9">
      <w:pPr>
        <w:pStyle w:val="aff5"/>
        <w:shd w:val="clear" w:color="auto" w:fill="FFFFFF"/>
        <w:tabs>
          <w:tab w:val="left" w:pos="3066"/>
        </w:tabs>
        <w:spacing w:before="0" w:beforeAutospacing="0" w:after="0" w:afterAutospacing="0"/>
        <w:jc w:val="both"/>
        <w:rPr>
          <w:lang w:val="en-US"/>
        </w:rPr>
      </w:pPr>
    </w:p>
    <w:p w:rsidR="00B706E9" w:rsidRPr="00D337FA" w:rsidRDefault="00B706E9" w:rsidP="00B706E9">
      <w:pPr>
        <w:pStyle w:val="aff5"/>
        <w:shd w:val="clear" w:color="auto" w:fill="FFFFFF"/>
        <w:tabs>
          <w:tab w:val="left" w:pos="3066"/>
        </w:tabs>
        <w:spacing w:before="0" w:beforeAutospacing="0" w:after="0" w:afterAutospacing="0"/>
        <w:jc w:val="both"/>
        <w:rPr>
          <w:lang w:val="en-US"/>
        </w:rPr>
      </w:pPr>
    </w:p>
    <w:p w:rsidR="00B706E9" w:rsidRPr="00D337FA" w:rsidRDefault="00B706E9" w:rsidP="00B706E9">
      <w:pPr>
        <w:pStyle w:val="aff5"/>
        <w:shd w:val="clear" w:color="auto" w:fill="FFFFFF"/>
        <w:tabs>
          <w:tab w:val="left" w:pos="3066"/>
        </w:tabs>
        <w:spacing w:before="0" w:beforeAutospacing="0" w:after="0" w:afterAutospacing="0"/>
        <w:jc w:val="both"/>
        <w:rPr>
          <w:lang w:val="en-US"/>
        </w:rPr>
      </w:pPr>
    </w:p>
    <w:p w:rsidR="00B706E9" w:rsidRPr="00D337FA" w:rsidRDefault="00B706E9" w:rsidP="00B706E9">
      <w:pPr>
        <w:pStyle w:val="aff5"/>
        <w:shd w:val="clear" w:color="auto" w:fill="FFFFFF"/>
        <w:tabs>
          <w:tab w:val="left" w:pos="3066"/>
        </w:tabs>
        <w:spacing w:before="0" w:beforeAutospacing="0" w:after="0" w:afterAutospacing="0"/>
        <w:jc w:val="both"/>
        <w:rPr>
          <w:i/>
          <w:lang w:val="en-US"/>
        </w:rPr>
        <w:sectPr w:rsidR="00B706E9" w:rsidRPr="00D337FA" w:rsidSect="006E52B9">
          <w:footnotePr>
            <w:numRestart w:val="eachPage"/>
          </w:footnotePr>
          <w:type w:val="continuous"/>
          <w:pgSz w:w="11907" w:h="16840" w:code="9"/>
          <w:pgMar w:top="1418" w:right="1134" w:bottom="1418" w:left="1134" w:header="1021" w:footer="1021" w:gutter="0"/>
          <w:cols w:num="2" w:space="708"/>
          <w:docGrid w:linePitch="360"/>
        </w:sectPr>
      </w:pPr>
      <w:r w:rsidRPr="00D337FA">
        <w:rPr>
          <w:lang w:val="en-US"/>
        </w:rPr>
        <w:t>Small</w:t>
      </w:r>
      <w:r w:rsidR="006C680D" w:rsidRPr="00D337FA">
        <w:rPr>
          <w:lang w:val="en-US"/>
        </w:rPr>
        <w:t xml:space="preserve"> </w:t>
      </w:r>
      <w:r w:rsidRPr="00D337FA">
        <w:rPr>
          <w:lang w:val="en-US"/>
        </w:rPr>
        <w:t>business,</w:t>
      </w:r>
      <w:r w:rsidR="006C680D" w:rsidRPr="00D337FA">
        <w:rPr>
          <w:lang w:val="en-US"/>
        </w:rPr>
        <w:t xml:space="preserve"> </w:t>
      </w:r>
      <w:r w:rsidRPr="00D337FA">
        <w:rPr>
          <w:lang w:val="en-US"/>
        </w:rPr>
        <w:t>banking</w:t>
      </w:r>
      <w:r w:rsidR="006C680D" w:rsidRPr="00D337FA">
        <w:rPr>
          <w:lang w:val="en-US"/>
        </w:rPr>
        <w:t xml:space="preserve"> </w:t>
      </w:r>
      <w:r w:rsidRPr="00D337FA">
        <w:rPr>
          <w:lang w:val="en-US"/>
        </w:rPr>
        <w:t>services,</w:t>
      </w:r>
      <w:r w:rsidR="006C680D" w:rsidRPr="00D337FA">
        <w:rPr>
          <w:lang w:val="en-US"/>
        </w:rPr>
        <w:t xml:space="preserve"> </w:t>
      </w:r>
      <w:r w:rsidRPr="00D337FA">
        <w:rPr>
          <w:lang w:val="en-US"/>
        </w:rPr>
        <w:t>trends,</w:t>
      </w:r>
      <w:r w:rsidR="006C680D" w:rsidRPr="00D337FA">
        <w:rPr>
          <w:lang w:val="en-US"/>
        </w:rPr>
        <w:t xml:space="preserve"> </w:t>
      </w:r>
      <w:r w:rsidRPr="00D337FA">
        <w:rPr>
          <w:lang w:val="en-US"/>
        </w:rPr>
        <w:t>problems,</w:t>
      </w:r>
      <w:r w:rsidR="006C680D" w:rsidRPr="00D337FA">
        <w:rPr>
          <w:lang w:val="en-US"/>
        </w:rPr>
        <w:t xml:space="preserve"> </w:t>
      </w:r>
      <w:r w:rsidRPr="00D337FA">
        <w:rPr>
          <w:lang w:val="en-US"/>
        </w:rPr>
        <w:t>and</w:t>
      </w:r>
      <w:r w:rsidR="006C680D" w:rsidRPr="00D337FA">
        <w:rPr>
          <w:lang w:val="en-US"/>
        </w:rPr>
        <w:t xml:space="preserve"> </w:t>
      </w:r>
      <w:r w:rsidRPr="00D337FA">
        <w:rPr>
          <w:lang w:val="en-US"/>
        </w:rPr>
        <w:t>development</w:t>
      </w:r>
      <w:r w:rsidR="006C680D" w:rsidRPr="00D337FA">
        <w:rPr>
          <w:lang w:val="en-US"/>
        </w:rPr>
        <w:t xml:space="preserve"> </w:t>
      </w:r>
      <w:r w:rsidRPr="00D337FA">
        <w:rPr>
          <w:lang w:val="en-US"/>
        </w:rPr>
        <w:t>prospects</w:t>
      </w:r>
    </w:p>
    <w:p w:rsidR="00B706E9" w:rsidRPr="00D337FA" w:rsidRDefault="00B706E9" w:rsidP="00B706E9">
      <w:pPr>
        <w:ind w:firstLine="142"/>
        <w:rPr>
          <w:i/>
          <w:szCs w:val="24"/>
          <w:lang w:val="en-US"/>
        </w:rPr>
      </w:pPr>
    </w:p>
    <w:p w:rsidR="00B706E9" w:rsidRPr="00D337FA" w:rsidRDefault="00B706E9" w:rsidP="00B706E9">
      <w:pPr>
        <w:ind w:firstLine="0"/>
        <w:rPr>
          <w:i/>
          <w:szCs w:val="24"/>
          <w:lang w:val="en-US"/>
        </w:rPr>
        <w:sectPr w:rsidR="00B706E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B706E9" w:rsidRPr="00D337FA" w:rsidRDefault="00B706E9" w:rsidP="00B706E9">
      <w:pPr>
        <w:ind w:firstLine="0"/>
        <w:jc w:val="left"/>
        <w:rPr>
          <w:b/>
          <w:szCs w:val="24"/>
        </w:rPr>
      </w:pPr>
      <w:r w:rsidRPr="00D337FA">
        <w:rPr>
          <w:rFonts w:ascii="Times New Roman CYR" w:hAnsi="Times New Roman CYR" w:cs="Times New Roman CYR"/>
          <w:sz w:val="20"/>
          <w:szCs w:val="20"/>
        </w:rPr>
        <w:lastRenderedPageBreak/>
        <w:t>©</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Усманова</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А.С.,</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Миронов</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М.Г.,</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Швейкин</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И.Е.,</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Шиндряева</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А.П.,</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2026</w:t>
      </w:r>
    </w:p>
    <w:p w:rsidR="00256E85" w:rsidRPr="00D337FA" w:rsidRDefault="00256E85" w:rsidP="00256E85">
      <w:pPr>
        <w:ind w:firstLine="709"/>
        <w:rPr>
          <w:b/>
          <w:sz w:val="28"/>
          <w:szCs w:val="28"/>
        </w:rPr>
        <w:sectPr w:rsidR="00256E85"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256E85" w:rsidRPr="00D337FA" w:rsidRDefault="00256E85" w:rsidP="00256E85">
      <w:pPr>
        <w:ind w:firstLine="284"/>
        <w:rPr>
          <w:b/>
          <w:szCs w:val="24"/>
        </w:rPr>
      </w:pPr>
      <w:r w:rsidRPr="00D337FA">
        <w:rPr>
          <w:b/>
          <w:szCs w:val="24"/>
        </w:rPr>
        <w:lastRenderedPageBreak/>
        <w:t>В</w:t>
      </w:r>
      <w:r w:rsidR="00AD701E" w:rsidRPr="00D337FA">
        <w:rPr>
          <w:b/>
          <w:szCs w:val="24"/>
        </w:rPr>
        <w:t>ведение</w:t>
      </w:r>
    </w:p>
    <w:p w:rsidR="00256E85" w:rsidRPr="00D337FA" w:rsidRDefault="00256E85" w:rsidP="00256E85">
      <w:pPr>
        <w:tabs>
          <w:tab w:val="left" w:pos="567"/>
        </w:tabs>
        <w:ind w:firstLine="284"/>
        <w:rPr>
          <w:rFonts w:eastAsia="Times New Roman"/>
          <w:szCs w:val="24"/>
          <w:lang w:eastAsia="ru-RU"/>
        </w:rPr>
      </w:pPr>
      <w:r w:rsidRPr="00D337FA">
        <w:rPr>
          <w:rFonts w:eastAsia="Times New Roman"/>
          <w:szCs w:val="24"/>
          <w:lang w:eastAsia="ru-RU"/>
        </w:rPr>
        <w:t>Динамичное</w:t>
      </w:r>
      <w:r w:rsidR="006C680D" w:rsidRPr="00D337FA">
        <w:rPr>
          <w:rFonts w:eastAsia="Times New Roman"/>
          <w:szCs w:val="24"/>
          <w:lang w:eastAsia="ru-RU"/>
        </w:rPr>
        <w:t xml:space="preserve"> </w:t>
      </w:r>
      <w:r w:rsidRPr="00D337FA">
        <w:rPr>
          <w:rFonts w:eastAsia="Times New Roman"/>
          <w:szCs w:val="24"/>
          <w:lang w:eastAsia="ru-RU"/>
        </w:rPr>
        <w:t>развитие</w:t>
      </w:r>
      <w:r w:rsidR="006C680D" w:rsidRPr="00D337FA">
        <w:rPr>
          <w:rFonts w:eastAsia="Times New Roman"/>
          <w:szCs w:val="24"/>
          <w:lang w:eastAsia="ru-RU"/>
        </w:rPr>
        <w:t xml:space="preserve"> </w:t>
      </w:r>
      <w:r w:rsidRPr="00D337FA">
        <w:rPr>
          <w:rFonts w:eastAsia="Times New Roman"/>
          <w:szCs w:val="24"/>
          <w:lang w:eastAsia="ru-RU"/>
        </w:rPr>
        <w:t>малого</w:t>
      </w:r>
      <w:r w:rsidR="006C680D" w:rsidRPr="00D337FA">
        <w:rPr>
          <w:rFonts w:eastAsia="Times New Roman"/>
          <w:szCs w:val="24"/>
          <w:lang w:eastAsia="ru-RU"/>
        </w:rPr>
        <w:t xml:space="preserve"> </w:t>
      </w:r>
      <w:r w:rsidRPr="00D337FA">
        <w:rPr>
          <w:rFonts w:eastAsia="Times New Roman"/>
          <w:szCs w:val="24"/>
          <w:lang w:eastAsia="ru-RU"/>
        </w:rPr>
        <w:t>предпринимательства</w:t>
      </w:r>
      <w:r w:rsidR="006C680D" w:rsidRPr="00D337FA">
        <w:rPr>
          <w:rFonts w:eastAsia="Times New Roman"/>
          <w:szCs w:val="24"/>
          <w:lang w:eastAsia="ru-RU"/>
        </w:rPr>
        <w:t xml:space="preserve"> </w:t>
      </w:r>
      <w:r w:rsidRPr="00D337FA">
        <w:rPr>
          <w:rFonts w:eastAsia="Times New Roman"/>
          <w:szCs w:val="24"/>
          <w:lang w:eastAsia="ru-RU"/>
        </w:rPr>
        <w:t>выступает</w:t>
      </w:r>
      <w:r w:rsidR="006C680D" w:rsidRPr="00D337FA">
        <w:rPr>
          <w:rFonts w:eastAsia="Times New Roman"/>
          <w:szCs w:val="24"/>
          <w:lang w:eastAsia="ru-RU"/>
        </w:rPr>
        <w:t xml:space="preserve"> </w:t>
      </w:r>
      <w:r w:rsidRPr="00D337FA">
        <w:rPr>
          <w:rFonts w:eastAsia="Times New Roman"/>
          <w:szCs w:val="24"/>
          <w:lang w:eastAsia="ru-RU"/>
        </w:rPr>
        <w:t>ключевым</w:t>
      </w:r>
      <w:r w:rsidR="006C680D" w:rsidRPr="00D337FA">
        <w:rPr>
          <w:rFonts w:eastAsia="Times New Roman"/>
          <w:szCs w:val="24"/>
          <w:lang w:eastAsia="ru-RU"/>
        </w:rPr>
        <w:t xml:space="preserve"> </w:t>
      </w:r>
      <w:r w:rsidRPr="00D337FA">
        <w:rPr>
          <w:rFonts w:eastAsia="Times New Roman"/>
          <w:szCs w:val="24"/>
          <w:lang w:eastAsia="ru-RU"/>
        </w:rPr>
        <w:t>фактором</w:t>
      </w:r>
      <w:r w:rsidR="006C680D" w:rsidRPr="00D337FA">
        <w:rPr>
          <w:rFonts w:eastAsia="Times New Roman"/>
          <w:szCs w:val="24"/>
          <w:lang w:eastAsia="ru-RU"/>
        </w:rPr>
        <w:t xml:space="preserve"> </w:t>
      </w:r>
      <w:r w:rsidRPr="00D337FA">
        <w:rPr>
          <w:rFonts w:eastAsia="Times New Roman"/>
          <w:szCs w:val="24"/>
          <w:lang w:eastAsia="ru-RU"/>
        </w:rPr>
        <w:t>устойчивости</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инновационности</w:t>
      </w:r>
      <w:r w:rsidR="006C680D" w:rsidRPr="00D337FA">
        <w:rPr>
          <w:rFonts w:eastAsia="Times New Roman"/>
          <w:szCs w:val="24"/>
          <w:lang w:eastAsia="ru-RU"/>
        </w:rPr>
        <w:t xml:space="preserve"> </w:t>
      </w:r>
      <w:r w:rsidRPr="00D337FA">
        <w:rPr>
          <w:rFonts w:eastAsia="Times New Roman"/>
          <w:szCs w:val="24"/>
          <w:lang w:eastAsia="ru-RU"/>
        </w:rPr>
        <w:t>современной</w:t>
      </w:r>
      <w:r w:rsidR="006C680D" w:rsidRPr="00D337FA">
        <w:rPr>
          <w:rFonts w:eastAsia="Times New Roman"/>
          <w:szCs w:val="24"/>
          <w:lang w:eastAsia="ru-RU"/>
        </w:rPr>
        <w:t xml:space="preserve"> </w:t>
      </w:r>
      <w:r w:rsidRPr="00D337FA">
        <w:rPr>
          <w:rFonts w:eastAsia="Times New Roman"/>
          <w:szCs w:val="24"/>
          <w:lang w:eastAsia="ru-RU"/>
        </w:rPr>
        <w:t>экономики</w:t>
      </w:r>
      <w:r w:rsidR="006C680D" w:rsidRPr="00D337FA">
        <w:rPr>
          <w:szCs w:val="24"/>
        </w:rPr>
        <w:t xml:space="preserve"> </w:t>
      </w:r>
      <w:r w:rsidRPr="00D337FA">
        <w:rPr>
          <w:szCs w:val="24"/>
        </w:rPr>
        <w:t>[16,</w:t>
      </w:r>
      <w:r w:rsidR="006C680D" w:rsidRPr="00D337FA">
        <w:rPr>
          <w:szCs w:val="24"/>
        </w:rPr>
        <w:t xml:space="preserve"> </w:t>
      </w:r>
      <w:r w:rsidRPr="00D337FA">
        <w:rPr>
          <w:szCs w:val="24"/>
        </w:rPr>
        <w:t>с.</w:t>
      </w:r>
      <w:r w:rsidR="006C680D" w:rsidRPr="00D337FA">
        <w:rPr>
          <w:szCs w:val="24"/>
        </w:rPr>
        <w:t xml:space="preserve"> </w:t>
      </w:r>
      <w:r w:rsidRPr="00D337FA">
        <w:rPr>
          <w:szCs w:val="24"/>
        </w:rPr>
        <w:t>49]</w:t>
      </w:r>
      <w:r w:rsidRPr="00D337FA">
        <w:rPr>
          <w:rFonts w:eastAsia="Times New Roman"/>
          <w:szCs w:val="24"/>
          <w:lang w:eastAsia="ru-RU"/>
        </w:rPr>
        <w:t>.</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условиях</w:t>
      </w:r>
      <w:r w:rsidR="006C680D" w:rsidRPr="00D337FA">
        <w:rPr>
          <w:rFonts w:eastAsia="Times New Roman"/>
          <w:szCs w:val="24"/>
          <w:lang w:eastAsia="ru-RU"/>
        </w:rPr>
        <w:t xml:space="preserve"> </w:t>
      </w:r>
      <w:r w:rsidRPr="00D337FA">
        <w:rPr>
          <w:rFonts w:eastAsia="Times New Roman"/>
          <w:szCs w:val="24"/>
          <w:lang w:eastAsia="ru-RU"/>
        </w:rPr>
        <w:t>цифровой</w:t>
      </w:r>
      <w:r w:rsidR="006C680D" w:rsidRPr="00D337FA">
        <w:rPr>
          <w:rFonts w:eastAsia="Times New Roman"/>
          <w:szCs w:val="24"/>
          <w:lang w:eastAsia="ru-RU"/>
        </w:rPr>
        <w:t xml:space="preserve"> </w:t>
      </w:r>
      <w:r w:rsidRPr="00D337FA">
        <w:rPr>
          <w:rFonts w:eastAsia="Times New Roman"/>
          <w:szCs w:val="24"/>
          <w:lang w:eastAsia="ru-RU"/>
        </w:rPr>
        <w:t>трансформации</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повышенной</w:t>
      </w:r>
      <w:r w:rsidR="006C680D" w:rsidRPr="00D337FA">
        <w:rPr>
          <w:rFonts w:eastAsia="Times New Roman"/>
          <w:szCs w:val="24"/>
          <w:lang w:eastAsia="ru-RU"/>
        </w:rPr>
        <w:t xml:space="preserve"> </w:t>
      </w:r>
      <w:r w:rsidRPr="00D337FA">
        <w:rPr>
          <w:rFonts w:eastAsia="Times New Roman"/>
          <w:szCs w:val="24"/>
          <w:lang w:eastAsia="ru-RU"/>
        </w:rPr>
        <w:t>волатильности</w:t>
      </w:r>
      <w:r w:rsidR="006C680D" w:rsidRPr="00D337FA">
        <w:rPr>
          <w:rFonts w:eastAsia="Times New Roman"/>
          <w:szCs w:val="24"/>
          <w:lang w:eastAsia="ru-RU"/>
        </w:rPr>
        <w:t xml:space="preserve"> </w:t>
      </w:r>
      <w:r w:rsidRPr="00D337FA">
        <w:rPr>
          <w:rFonts w:eastAsia="Times New Roman"/>
          <w:szCs w:val="24"/>
          <w:lang w:eastAsia="ru-RU"/>
        </w:rPr>
        <w:t>рынков</w:t>
      </w:r>
      <w:r w:rsidR="006C680D" w:rsidRPr="00D337FA">
        <w:rPr>
          <w:rFonts w:eastAsia="Times New Roman"/>
          <w:szCs w:val="24"/>
          <w:lang w:eastAsia="ru-RU"/>
        </w:rPr>
        <w:t xml:space="preserve"> </w:t>
      </w:r>
      <w:r w:rsidRPr="00D337FA">
        <w:rPr>
          <w:rFonts w:eastAsia="Times New Roman"/>
          <w:szCs w:val="24"/>
          <w:lang w:eastAsia="ru-RU"/>
        </w:rPr>
        <w:t>доступ</w:t>
      </w:r>
      <w:r w:rsidR="006C680D" w:rsidRPr="00D337FA">
        <w:rPr>
          <w:rFonts w:eastAsia="Times New Roman"/>
          <w:szCs w:val="24"/>
          <w:lang w:eastAsia="ru-RU"/>
        </w:rPr>
        <w:t xml:space="preserve"> </w:t>
      </w:r>
      <w:r w:rsidRPr="00D337FA">
        <w:rPr>
          <w:rFonts w:eastAsia="Times New Roman"/>
          <w:szCs w:val="24"/>
          <w:lang w:eastAsia="ru-RU"/>
        </w:rPr>
        <w:t>малого</w:t>
      </w:r>
      <w:r w:rsidR="006C680D" w:rsidRPr="00D337FA">
        <w:rPr>
          <w:rFonts w:eastAsia="Times New Roman"/>
          <w:szCs w:val="24"/>
          <w:lang w:eastAsia="ru-RU"/>
        </w:rPr>
        <w:t xml:space="preserve"> </w:t>
      </w:r>
      <w:r w:rsidRPr="00D337FA">
        <w:rPr>
          <w:rFonts w:eastAsia="Times New Roman"/>
          <w:szCs w:val="24"/>
          <w:lang w:eastAsia="ru-RU"/>
        </w:rPr>
        <w:t>бизнеса</w:t>
      </w:r>
      <w:r w:rsidR="006C680D" w:rsidRPr="00D337FA">
        <w:rPr>
          <w:rFonts w:eastAsia="Times New Roman"/>
          <w:szCs w:val="24"/>
          <w:lang w:eastAsia="ru-RU"/>
        </w:rPr>
        <w:t xml:space="preserve"> </w:t>
      </w:r>
      <w:r w:rsidRPr="00D337FA">
        <w:rPr>
          <w:rFonts w:eastAsia="Times New Roman"/>
          <w:szCs w:val="24"/>
          <w:lang w:eastAsia="ru-RU"/>
        </w:rPr>
        <w:t>к</w:t>
      </w:r>
      <w:r w:rsidR="006C680D" w:rsidRPr="00D337FA">
        <w:rPr>
          <w:rFonts w:eastAsia="Times New Roman"/>
          <w:szCs w:val="24"/>
          <w:lang w:eastAsia="ru-RU"/>
        </w:rPr>
        <w:t xml:space="preserve"> </w:t>
      </w:r>
      <w:r w:rsidRPr="00D337FA">
        <w:rPr>
          <w:rFonts w:eastAsia="Times New Roman"/>
          <w:szCs w:val="24"/>
          <w:lang w:eastAsia="ru-RU"/>
        </w:rPr>
        <w:t>адаптированным</w:t>
      </w:r>
      <w:r w:rsidR="006C680D" w:rsidRPr="00D337FA">
        <w:rPr>
          <w:rFonts w:eastAsia="Times New Roman"/>
          <w:szCs w:val="24"/>
          <w:lang w:eastAsia="ru-RU"/>
        </w:rPr>
        <w:t xml:space="preserve"> </w:t>
      </w:r>
      <w:r w:rsidRPr="00D337FA">
        <w:rPr>
          <w:rFonts w:eastAsia="Times New Roman"/>
          <w:szCs w:val="24"/>
          <w:lang w:eastAsia="ru-RU"/>
        </w:rPr>
        <w:t>финансовым</w:t>
      </w:r>
      <w:r w:rsidR="006C680D" w:rsidRPr="00D337FA">
        <w:rPr>
          <w:rFonts w:eastAsia="Times New Roman"/>
          <w:szCs w:val="24"/>
          <w:lang w:eastAsia="ru-RU"/>
        </w:rPr>
        <w:t xml:space="preserve"> </w:t>
      </w:r>
      <w:r w:rsidRPr="00D337FA">
        <w:rPr>
          <w:rFonts w:eastAsia="Times New Roman"/>
          <w:szCs w:val="24"/>
          <w:lang w:eastAsia="ru-RU"/>
        </w:rPr>
        <w:t>ресурсам</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сервисам</w:t>
      </w:r>
      <w:r w:rsidR="006C680D" w:rsidRPr="00D337FA">
        <w:rPr>
          <w:rFonts w:eastAsia="Times New Roman"/>
          <w:szCs w:val="24"/>
          <w:lang w:eastAsia="ru-RU"/>
        </w:rPr>
        <w:t xml:space="preserve"> </w:t>
      </w:r>
      <w:r w:rsidRPr="00D337FA">
        <w:rPr>
          <w:rFonts w:eastAsia="Times New Roman"/>
          <w:szCs w:val="24"/>
          <w:lang w:eastAsia="ru-RU"/>
        </w:rPr>
        <w:t>становится</w:t>
      </w:r>
      <w:r w:rsidR="006C680D" w:rsidRPr="00D337FA">
        <w:rPr>
          <w:rFonts w:eastAsia="Times New Roman"/>
          <w:szCs w:val="24"/>
          <w:lang w:eastAsia="ru-RU"/>
        </w:rPr>
        <w:t xml:space="preserve"> </w:t>
      </w:r>
      <w:r w:rsidRPr="00D337FA">
        <w:rPr>
          <w:rFonts w:eastAsia="Times New Roman"/>
          <w:szCs w:val="24"/>
          <w:lang w:eastAsia="ru-RU"/>
        </w:rPr>
        <w:t>критически</w:t>
      </w:r>
      <w:r w:rsidR="006C680D" w:rsidRPr="00D337FA">
        <w:rPr>
          <w:rFonts w:eastAsia="Times New Roman"/>
          <w:szCs w:val="24"/>
          <w:lang w:eastAsia="ru-RU"/>
        </w:rPr>
        <w:t xml:space="preserve"> </w:t>
      </w:r>
      <w:r w:rsidRPr="00D337FA">
        <w:rPr>
          <w:rFonts w:eastAsia="Times New Roman"/>
          <w:szCs w:val="24"/>
          <w:lang w:eastAsia="ru-RU"/>
        </w:rPr>
        <w:t>важным.</w:t>
      </w:r>
      <w:r w:rsidR="006C680D" w:rsidRPr="00D337FA">
        <w:rPr>
          <w:rFonts w:eastAsia="Times New Roman"/>
          <w:szCs w:val="24"/>
          <w:lang w:eastAsia="ru-RU"/>
        </w:rPr>
        <w:t xml:space="preserve"> </w:t>
      </w:r>
      <w:r w:rsidRPr="00D337FA">
        <w:rPr>
          <w:rFonts w:eastAsia="Times New Roman"/>
          <w:szCs w:val="24"/>
          <w:lang w:eastAsia="ru-RU"/>
        </w:rPr>
        <w:t>Особое</w:t>
      </w:r>
      <w:r w:rsidR="006C680D" w:rsidRPr="00D337FA">
        <w:rPr>
          <w:rFonts w:eastAsia="Times New Roman"/>
          <w:szCs w:val="24"/>
          <w:lang w:eastAsia="ru-RU"/>
        </w:rPr>
        <w:t xml:space="preserve"> </w:t>
      </w:r>
      <w:r w:rsidRPr="00D337FA">
        <w:rPr>
          <w:rFonts w:eastAsia="Times New Roman"/>
          <w:szCs w:val="24"/>
          <w:lang w:eastAsia="ru-RU"/>
        </w:rPr>
        <w:t>место</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цифровой</w:t>
      </w:r>
      <w:r w:rsidR="006C680D" w:rsidRPr="00D337FA">
        <w:rPr>
          <w:rFonts w:eastAsia="Times New Roman"/>
          <w:szCs w:val="24"/>
          <w:lang w:eastAsia="ru-RU"/>
        </w:rPr>
        <w:t xml:space="preserve"> </w:t>
      </w:r>
      <w:r w:rsidRPr="00D337FA">
        <w:rPr>
          <w:rFonts w:eastAsia="Times New Roman"/>
          <w:szCs w:val="24"/>
          <w:lang w:eastAsia="ru-RU"/>
        </w:rPr>
        <w:t>трансформации</w:t>
      </w:r>
      <w:r w:rsidR="006C680D" w:rsidRPr="00D337FA">
        <w:rPr>
          <w:rFonts w:eastAsia="Times New Roman"/>
          <w:szCs w:val="24"/>
          <w:lang w:eastAsia="ru-RU"/>
        </w:rPr>
        <w:t xml:space="preserve"> </w:t>
      </w:r>
      <w:r w:rsidRPr="00D337FA">
        <w:rPr>
          <w:rFonts w:eastAsia="Times New Roman"/>
          <w:szCs w:val="24"/>
          <w:lang w:eastAsia="ru-RU"/>
        </w:rPr>
        <w:t>занимают</w:t>
      </w:r>
      <w:r w:rsidR="006C680D" w:rsidRPr="00D337FA">
        <w:rPr>
          <w:rFonts w:eastAsia="Times New Roman"/>
          <w:szCs w:val="24"/>
          <w:lang w:eastAsia="ru-RU"/>
        </w:rPr>
        <w:t xml:space="preserve"> </w:t>
      </w:r>
      <w:r w:rsidRPr="00D337FA">
        <w:rPr>
          <w:rFonts w:eastAsia="Times New Roman"/>
          <w:szCs w:val="24"/>
          <w:lang w:eastAsia="ru-RU"/>
        </w:rPr>
        <w:t>коммерческие</w:t>
      </w:r>
      <w:r w:rsidR="006C680D" w:rsidRPr="00D337FA">
        <w:rPr>
          <w:rFonts w:eastAsia="Times New Roman"/>
          <w:szCs w:val="24"/>
          <w:lang w:eastAsia="ru-RU"/>
        </w:rPr>
        <w:t xml:space="preserve"> </w:t>
      </w:r>
      <w:r w:rsidRPr="00D337FA">
        <w:rPr>
          <w:rFonts w:eastAsia="Times New Roman"/>
          <w:szCs w:val="24"/>
          <w:lang w:eastAsia="ru-RU"/>
        </w:rPr>
        <w:t>банки,</w:t>
      </w:r>
      <w:r w:rsidR="006C680D" w:rsidRPr="00D337FA">
        <w:rPr>
          <w:rFonts w:eastAsia="Times New Roman"/>
          <w:szCs w:val="24"/>
          <w:lang w:eastAsia="ru-RU"/>
        </w:rPr>
        <w:t xml:space="preserve"> </w:t>
      </w:r>
      <w:r w:rsidRPr="00D337FA">
        <w:rPr>
          <w:rFonts w:eastAsia="Times New Roman"/>
          <w:szCs w:val="24"/>
          <w:lang w:eastAsia="ru-RU"/>
        </w:rPr>
        <w:t>выступающие</w:t>
      </w:r>
      <w:r w:rsidR="006C680D" w:rsidRPr="00D337FA">
        <w:rPr>
          <w:rFonts w:eastAsia="Times New Roman"/>
          <w:szCs w:val="24"/>
          <w:lang w:eastAsia="ru-RU"/>
        </w:rPr>
        <w:t xml:space="preserve"> </w:t>
      </w:r>
      <w:r w:rsidRPr="00D337FA">
        <w:rPr>
          <w:rFonts w:eastAsia="Times New Roman"/>
          <w:szCs w:val="24"/>
          <w:lang w:eastAsia="ru-RU"/>
        </w:rPr>
        <w:t>помимо</w:t>
      </w:r>
      <w:r w:rsidR="006C680D" w:rsidRPr="00D337FA">
        <w:rPr>
          <w:rFonts w:eastAsia="Times New Roman"/>
          <w:szCs w:val="24"/>
          <w:lang w:eastAsia="ru-RU"/>
        </w:rPr>
        <w:t xml:space="preserve"> </w:t>
      </w:r>
      <w:r w:rsidRPr="00D337FA">
        <w:rPr>
          <w:rFonts w:eastAsia="Times New Roman"/>
          <w:szCs w:val="24"/>
          <w:lang w:eastAsia="ru-RU"/>
        </w:rPr>
        <w:t>кредитных</w:t>
      </w:r>
      <w:r w:rsidR="006C680D" w:rsidRPr="00D337FA">
        <w:rPr>
          <w:rFonts w:eastAsia="Times New Roman"/>
          <w:szCs w:val="24"/>
          <w:lang w:eastAsia="ru-RU"/>
        </w:rPr>
        <w:t xml:space="preserve"> </w:t>
      </w:r>
      <w:r w:rsidRPr="00D337FA">
        <w:rPr>
          <w:rFonts w:eastAsia="Times New Roman"/>
          <w:szCs w:val="24"/>
          <w:lang w:eastAsia="ru-RU"/>
        </w:rPr>
        <w:t>учреждений,</w:t>
      </w:r>
      <w:r w:rsidR="006C680D" w:rsidRPr="00D337FA">
        <w:rPr>
          <w:rFonts w:eastAsia="Times New Roman"/>
          <w:szCs w:val="24"/>
          <w:lang w:eastAsia="ru-RU"/>
        </w:rPr>
        <w:t xml:space="preserve"> </w:t>
      </w:r>
      <w:r w:rsidRPr="00D337FA">
        <w:rPr>
          <w:rFonts w:eastAsia="Times New Roman"/>
          <w:szCs w:val="24"/>
          <w:lang w:eastAsia="ru-RU"/>
        </w:rPr>
        <w:t>еще</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комплексными</w:t>
      </w:r>
      <w:r w:rsidR="006C680D" w:rsidRPr="00D337FA">
        <w:rPr>
          <w:rFonts w:eastAsia="Times New Roman"/>
          <w:szCs w:val="24"/>
          <w:lang w:eastAsia="ru-RU"/>
        </w:rPr>
        <w:t xml:space="preserve"> </w:t>
      </w:r>
      <w:r w:rsidRPr="00D337FA">
        <w:rPr>
          <w:rFonts w:eastAsia="Times New Roman"/>
          <w:szCs w:val="24"/>
          <w:lang w:eastAsia="ru-RU"/>
        </w:rPr>
        <w:t>поставщиками</w:t>
      </w:r>
      <w:r w:rsidR="006C680D" w:rsidRPr="00D337FA">
        <w:rPr>
          <w:rFonts w:eastAsia="Times New Roman"/>
          <w:szCs w:val="24"/>
          <w:lang w:eastAsia="ru-RU"/>
        </w:rPr>
        <w:t xml:space="preserve"> </w:t>
      </w:r>
      <w:r w:rsidRPr="00D337FA">
        <w:rPr>
          <w:rFonts w:eastAsia="Times New Roman"/>
          <w:szCs w:val="24"/>
          <w:lang w:eastAsia="ru-RU"/>
        </w:rPr>
        <w:t>финансовых</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нефинансовых</w:t>
      </w:r>
      <w:r w:rsidR="006C680D" w:rsidRPr="00D337FA">
        <w:rPr>
          <w:rFonts w:eastAsia="Times New Roman"/>
          <w:szCs w:val="24"/>
          <w:lang w:eastAsia="ru-RU"/>
        </w:rPr>
        <w:t xml:space="preserve"> </w:t>
      </w:r>
      <w:r w:rsidRPr="00D337FA">
        <w:rPr>
          <w:rFonts w:eastAsia="Times New Roman"/>
          <w:szCs w:val="24"/>
          <w:lang w:eastAsia="ru-RU"/>
        </w:rPr>
        <w:t>услуг.</w:t>
      </w:r>
      <w:r w:rsidR="006C680D" w:rsidRPr="00D337FA">
        <w:rPr>
          <w:rFonts w:eastAsia="Times New Roman"/>
          <w:szCs w:val="24"/>
          <w:lang w:eastAsia="ru-RU"/>
        </w:rPr>
        <w:t xml:space="preserve"> </w:t>
      </w:r>
      <w:r w:rsidRPr="00D337FA">
        <w:rPr>
          <w:rFonts w:eastAsia="Times New Roman"/>
          <w:szCs w:val="24"/>
          <w:lang w:eastAsia="ru-RU"/>
        </w:rPr>
        <w:t>Малый</w:t>
      </w:r>
      <w:r w:rsidR="006C680D" w:rsidRPr="00D337FA">
        <w:rPr>
          <w:rFonts w:eastAsia="Times New Roman"/>
          <w:szCs w:val="24"/>
          <w:lang w:eastAsia="ru-RU"/>
        </w:rPr>
        <w:t xml:space="preserve"> </w:t>
      </w:r>
      <w:r w:rsidRPr="00D337FA">
        <w:rPr>
          <w:rFonts w:eastAsia="Times New Roman"/>
          <w:szCs w:val="24"/>
          <w:lang w:eastAsia="ru-RU"/>
        </w:rPr>
        <w:t>бизнес,</w:t>
      </w:r>
      <w:r w:rsidR="006C680D" w:rsidRPr="00D337FA">
        <w:rPr>
          <w:rFonts w:eastAsia="Times New Roman"/>
          <w:szCs w:val="24"/>
          <w:lang w:eastAsia="ru-RU"/>
        </w:rPr>
        <w:t xml:space="preserve"> </w:t>
      </w:r>
      <w:r w:rsidRPr="00D337FA">
        <w:rPr>
          <w:rFonts w:eastAsia="Times New Roman"/>
          <w:szCs w:val="24"/>
          <w:lang w:eastAsia="ru-RU"/>
        </w:rPr>
        <w:t>обладая</w:t>
      </w:r>
      <w:r w:rsidR="006C680D" w:rsidRPr="00D337FA">
        <w:rPr>
          <w:rFonts w:eastAsia="Times New Roman"/>
          <w:szCs w:val="24"/>
          <w:lang w:eastAsia="ru-RU"/>
        </w:rPr>
        <w:t xml:space="preserve"> </w:t>
      </w:r>
      <w:r w:rsidRPr="00D337FA">
        <w:rPr>
          <w:rFonts w:eastAsia="Times New Roman"/>
          <w:szCs w:val="24"/>
          <w:lang w:eastAsia="ru-RU"/>
        </w:rPr>
        <w:t>высокой</w:t>
      </w:r>
      <w:r w:rsidR="006C680D" w:rsidRPr="00D337FA">
        <w:rPr>
          <w:rFonts w:eastAsia="Times New Roman"/>
          <w:szCs w:val="24"/>
          <w:lang w:eastAsia="ru-RU"/>
        </w:rPr>
        <w:t xml:space="preserve"> </w:t>
      </w:r>
      <w:r w:rsidRPr="00D337FA">
        <w:rPr>
          <w:rFonts w:eastAsia="Times New Roman"/>
          <w:szCs w:val="24"/>
          <w:lang w:eastAsia="ru-RU"/>
        </w:rPr>
        <w:t>гибкостью</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способностью</w:t>
      </w:r>
      <w:r w:rsidR="006C680D" w:rsidRPr="00D337FA">
        <w:rPr>
          <w:rFonts w:eastAsia="Times New Roman"/>
          <w:szCs w:val="24"/>
          <w:lang w:eastAsia="ru-RU"/>
        </w:rPr>
        <w:t xml:space="preserve"> </w:t>
      </w:r>
      <w:r w:rsidRPr="00D337FA">
        <w:rPr>
          <w:rFonts w:eastAsia="Times New Roman"/>
          <w:szCs w:val="24"/>
          <w:lang w:eastAsia="ru-RU"/>
        </w:rPr>
        <w:t>к</w:t>
      </w:r>
      <w:r w:rsidR="006C680D" w:rsidRPr="00D337FA">
        <w:rPr>
          <w:rFonts w:eastAsia="Times New Roman"/>
          <w:szCs w:val="24"/>
          <w:lang w:eastAsia="ru-RU"/>
        </w:rPr>
        <w:t xml:space="preserve"> </w:t>
      </w:r>
      <w:r w:rsidRPr="00D337FA">
        <w:rPr>
          <w:rFonts w:eastAsia="Times New Roman"/>
          <w:szCs w:val="24"/>
          <w:lang w:eastAsia="ru-RU"/>
        </w:rPr>
        <w:t>инновациям,</w:t>
      </w:r>
      <w:r w:rsidR="006C680D" w:rsidRPr="00D337FA">
        <w:rPr>
          <w:rFonts w:eastAsia="Times New Roman"/>
          <w:szCs w:val="24"/>
          <w:lang w:eastAsia="ru-RU"/>
        </w:rPr>
        <w:t xml:space="preserve"> </w:t>
      </w:r>
      <w:r w:rsidRPr="00D337FA">
        <w:rPr>
          <w:rFonts w:eastAsia="Times New Roman"/>
          <w:szCs w:val="24"/>
          <w:lang w:eastAsia="ru-RU"/>
        </w:rPr>
        <w:t>нуждается</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особом</w:t>
      </w:r>
      <w:r w:rsidR="006C680D" w:rsidRPr="00D337FA">
        <w:rPr>
          <w:rFonts w:eastAsia="Times New Roman"/>
          <w:szCs w:val="24"/>
          <w:lang w:eastAsia="ru-RU"/>
        </w:rPr>
        <w:t xml:space="preserve"> </w:t>
      </w:r>
      <w:r w:rsidRPr="00D337FA">
        <w:rPr>
          <w:rFonts w:eastAsia="Times New Roman"/>
          <w:szCs w:val="24"/>
          <w:lang w:eastAsia="ru-RU"/>
        </w:rPr>
        <w:t>подходе</w:t>
      </w:r>
      <w:r w:rsidR="006C680D" w:rsidRPr="00D337FA">
        <w:rPr>
          <w:rFonts w:eastAsia="Times New Roman"/>
          <w:szCs w:val="24"/>
          <w:lang w:eastAsia="ru-RU"/>
        </w:rPr>
        <w:t xml:space="preserve"> </w:t>
      </w:r>
      <w:r w:rsidRPr="00D337FA">
        <w:rPr>
          <w:rFonts w:eastAsia="Times New Roman"/>
          <w:szCs w:val="24"/>
          <w:lang w:eastAsia="ru-RU"/>
        </w:rPr>
        <w:t>со</w:t>
      </w:r>
      <w:r w:rsidR="006C680D" w:rsidRPr="00D337FA">
        <w:rPr>
          <w:rFonts w:eastAsia="Times New Roman"/>
          <w:szCs w:val="24"/>
          <w:lang w:eastAsia="ru-RU"/>
        </w:rPr>
        <w:t xml:space="preserve"> </w:t>
      </w:r>
      <w:r w:rsidRPr="00D337FA">
        <w:rPr>
          <w:rFonts w:eastAsia="Times New Roman"/>
          <w:szCs w:val="24"/>
          <w:lang w:eastAsia="ru-RU"/>
        </w:rPr>
        <w:t>стороны</w:t>
      </w:r>
      <w:r w:rsidR="006C680D" w:rsidRPr="00D337FA">
        <w:rPr>
          <w:rFonts w:eastAsia="Times New Roman"/>
          <w:szCs w:val="24"/>
          <w:lang w:eastAsia="ru-RU"/>
        </w:rPr>
        <w:t xml:space="preserve"> </w:t>
      </w:r>
      <w:r w:rsidRPr="00D337FA">
        <w:rPr>
          <w:rFonts w:eastAsia="Times New Roman"/>
          <w:szCs w:val="24"/>
          <w:lang w:eastAsia="ru-RU"/>
        </w:rPr>
        <w:t>банковского</w:t>
      </w:r>
      <w:r w:rsidR="006C680D" w:rsidRPr="00D337FA">
        <w:rPr>
          <w:rFonts w:eastAsia="Times New Roman"/>
          <w:szCs w:val="24"/>
          <w:lang w:eastAsia="ru-RU"/>
        </w:rPr>
        <w:t xml:space="preserve"> </w:t>
      </w:r>
      <w:r w:rsidRPr="00D337FA">
        <w:rPr>
          <w:rFonts w:eastAsia="Times New Roman"/>
          <w:szCs w:val="24"/>
          <w:lang w:eastAsia="ru-RU"/>
        </w:rPr>
        <w:t>сектора</w:t>
      </w:r>
      <w:r w:rsidR="006C680D" w:rsidRPr="00D337FA">
        <w:rPr>
          <w:rFonts w:eastAsia="Times New Roman"/>
          <w:szCs w:val="24"/>
          <w:lang w:eastAsia="ru-RU"/>
        </w:rPr>
        <w:t xml:space="preserve"> </w:t>
      </w:r>
      <w:r w:rsidRPr="00D337FA">
        <w:rPr>
          <w:rFonts w:eastAsia="Times New Roman"/>
          <w:szCs w:val="24"/>
          <w:lang w:eastAsia="ru-RU"/>
        </w:rPr>
        <w:t>[17,</w:t>
      </w:r>
      <w:r w:rsidR="006C680D" w:rsidRPr="00D337FA">
        <w:rPr>
          <w:rFonts w:eastAsia="Times New Roman"/>
          <w:szCs w:val="24"/>
          <w:lang w:eastAsia="ru-RU"/>
        </w:rPr>
        <w:t xml:space="preserve"> </w:t>
      </w:r>
      <w:r w:rsidRPr="00D337FA">
        <w:rPr>
          <w:rFonts w:eastAsia="Times New Roman"/>
          <w:szCs w:val="24"/>
          <w:lang w:eastAsia="ru-RU"/>
        </w:rPr>
        <w:t>с.</w:t>
      </w:r>
      <w:r w:rsidR="006C680D" w:rsidRPr="00D337FA">
        <w:rPr>
          <w:rFonts w:eastAsia="Times New Roman"/>
          <w:szCs w:val="24"/>
          <w:lang w:eastAsia="ru-RU"/>
        </w:rPr>
        <w:t xml:space="preserve"> </w:t>
      </w:r>
      <w:r w:rsidRPr="00D337FA">
        <w:rPr>
          <w:rFonts w:eastAsia="Times New Roman"/>
          <w:szCs w:val="24"/>
          <w:lang w:eastAsia="ru-RU"/>
        </w:rPr>
        <w:t>88].</w:t>
      </w:r>
      <w:r w:rsidR="006C680D" w:rsidRPr="00D337FA">
        <w:rPr>
          <w:rFonts w:eastAsia="Times New Roman"/>
          <w:szCs w:val="24"/>
          <w:lang w:eastAsia="ru-RU"/>
        </w:rPr>
        <w:t xml:space="preserve"> </w:t>
      </w:r>
      <w:r w:rsidRPr="00D337FA">
        <w:rPr>
          <w:rFonts w:eastAsia="Times New Roman"/>
          <w:szCs w:val="24"/>
          <w:lang w:eastAsia="ru-RU"/>
        </w:rPr>
        <w:t>Коммерческие</w:t>
      </w:r>
      <w:r w:rsidR="006C680D" w:rsidRPr="00D337FA">
        <w:rPr>
          <w:rFonts w:eastAsia="Times New Roman"/>
          <w:szCs w:val="24"/>
          <w:lang w:eastAsia="ru-RU"/>
        </w:rPr>
        <w:t xml:space="preserve"> </w:t>
      </w:r>
      <w:r w:rsidRPr="00D337FA">
        <w:rPr>
          <w:rFonts w:eastAsia="Times New Roman"/>
          <w:szCs w:val="24"/>
          <w:lang w:eastAsia="ru-RU"/>
        </w:rPr>
        <w:t>банки,</w:t>
      </w:r>
      <w:r w:rsidR="006C680D" w:rsidRPr="00D337FA">
        <w:rPr>
          <w:rFonts w:eastAsia="Times New Roman"/>
          <w:szCs w:val="24"/>
          <w:lang w:eastAsia="ru-RU"/>
        </w:rPr>
        <w:t xml:space="preserve"> </w:t>
      </w:r>
      <w:r w:rsidRPr="00D337FA">
        <w:rPr>
          <w:rFonts w:eastAsia="Times New Roman"/>
          <w:szCs w:val="24"/>
          <w:lang w:eastAsia="ru-RU"/>
        </w:rPr>
        <w:t>традиционно</w:t>
      </w:r>
      <w:r w:rsidR="006C680D" w:rsidRPr="00D337FA">
        <w:rPr>
          <w:rFonts w:eastAsia="Times New Roman"/>
          <w:szCs w:val="24"/>
          <w:lang w:eastAsia="ru-RU"/>
        </w:rPr>
        <w:t xml:space="preserve"> </w:t>
      </w:r>
      <w:r w:rsidRPr="00D337FA">
        <w:rPr>
          <w:rFonts w:eastAsia="Times New Roman"/>
          <w:szCs w:val="24"/>
          <w:lang w:eastAsia="ru-RU"/>
        </w:rPr>
        <w:t>являющиеся</w:t>
      </w:r>
      <w:r w:rsidR="006C680D" w:rsidRPr="00D337FA">
        <w:rPr>
          <w:rFonts w:eastAsia="Times New Roman"/>
          <w:szCs w:val="24"/>
          <w:lang w:eastAsia="ru-RU"/>
        </w:rPr>
        <w:t xml:space="preserve"> </w:t>
      </w:r>
      <w:r w:rsidRPr="00D337FA">
        <w:rPr>
          <w:rFonts w:eastAsia="Times New Roman"/>
          <w:szCs w:val="24"/>
          <w:lang w:eastAsia="ru-RU"/>
        </w:rPr>
        <w:t>стержнем</w:t>
      </w:r>
      <w:r w:rsidR="006C680D" w:rsidRPr="00D337FA">
        <w:rPr>
          <w:rFonts w:eastAsia="Times New Roman"/>
          <w:szCs w:val="24"/>
          <w:lang w:eastAsia="ru-RU"/>
        </w:rPr>
        <w:t xml:space="preserve"> </w:t>
      </w:r>
      <w:r w:rsidRPr="00D337FA">
        <w:rPr>
          <w:rFonts w:eastAsia="Times New Roman"/>
          <w:szCs w:val="24"/>
          <w:lang w:eastAsia="ru-RU"/>
        </w:rPr>
        <w:t>финансовой</w:t>
      </w:r>
      <w:r w:rsidR="006C680D" w:rsidRPr="00D337FA">
        <w:rPr>
          <w:rFonts w:eastAsia="Times New Roman"/>
          <w:szCs w:val="24"/>
          <w:lang w:eastAsia="ru-RU"/>
        </w:rPr>
        <w:t xml:space="preserve"> </w:t>
      </w:r>
      <w:r w:rsidRPr="00D337FA">
        <w:rPr>
          <w:rFonts w:eastAsia="Times New Roman"/>
          <w:szCs w:val="24"/>
          <w:lang w:eastAsia="ru-RU"/>
        </w:rPr>
        <w:t>инфраструктуры,</w:t>
      </w:r>
      <w:r w:rsidR="006C680D" w:rsidRPr="00D337FA">
        <w:rPr>
          <w:rFonts w:eastAsia="Times New Roman"/>
          <w:szCs w:val="24"/>
          <w:lang w:eastAsia="ru-RU"/>
        </w:rPr>
        <w:t xml:space="preserve"> </w:t>
      </w:r>
      <w:r w:rsidRPr="00D337FA">
        <w:rPr>
          <w:rFonts w:eastAsia="Times New Roman"/>
          <w:szCs w:val="24"/>
          <w:lang w:eastAsia="ru-RU"/>
        </w:rPr>
        <w:t>сегодня</w:t>
      </w:r>
      <w:r w:rsidR="006C680D" w:rsidRPr="00D337FA">
        <w:rPr>
          <w:rFonts w:eastAsia="Times New Roman"/>
          <w:szCs w:val="24"/>
          <w:lang w:eastAsia="ru-RU"/>
        </w:rPr>
        <w:t xml:space="preserve"> </w:t>
      </w:r>
      <w:r w:rsidRPr="00D337FA">
        <w:rPr>
          <w:rFonts w:eastAsia="Times New Roman"/>
          <w:szCs w:val="24"/>
          <w:lang w:eastAsia="ru-RU"/>
        </w:rPr>
        <w:t>сталкиваются</w:t>
      </w:r>
      <w:r w:rsidR="006C680D" w:rsidRPr="00D337FA">
        <w:rPr>
          <w:rFonts w:eastAsia="Times New Roman"/>
          <w:szCs w:val="24"/>
          <w:lang w:eastAsia="ru-RU"/>
        </w:rPr>
        <w:t xml:space="preserve"> </w:t>
      </w:r>
      <w:r w:rsidRPr="00D337FA">
        <w:rPr>
          <w:rFonts w:eastAsia="Times New Roman"/>
          <w:szCs w:val="24"/>
          <w:lang w:eastAsia="ru-RU"/>
        </w:rPr>
        <w:t>с</w:t>
      </w:r>
      <w:r w:rsidR="006C680D" w:rsidRPr="00D337FA">
        <w:rPr>
          <w:rFonts w:eastAsia="Times New Roman"/>
          <w:szCs w:val="24"/>
          <w:lang w:eastAsia="ru-RU"/>
        </w:rPr>
        <w:t xml:space="preserve"> </w:t>
      </w:r>
      <w:r w:rsidRPr="00D337FA">
        <w:rPr>
          <w:rFonts w:eastAsia="Times New Roman"/>
          <w:szCs w:val="24"/>
          <w:lang w:eastAsia="ru-RU"/>
        </w:rPr>
        <w:t>необходимостью</w:t>
      </w:r>
      <w:r w:rsidR="006C680D" w:rsidRPr="00D337FA">
        <w:rPr>
          <w:rFonts w:eastAsia="Times New Roman"/>
          <w:szCs w:val="24"/>
          <w:lang w:eastAsia="ru-RU"/>
        </w:rPr>
        <w:t xml:space="preserve"> </w:t>
      </w:r>
      <w:r w:rsidRPr="00D337FA">
        <w:rPr>
          <w:rFonts w:eastAsia="Times New Roman"/>
          <w:szCs w:val="24"/>
          <w:lang w:eastAsia="ru-RU"/>
        </w:rPr>
        <w:t>фундаментального</w:t>
      </w:r>
      <w:r w:rsidR="006C680D" w:rsidRPr="00D337FA">
        <w:rPr>
          <w:rFonts w:eastAsia="Times New Roman"/>
          <w:szCs w:val="24"/>
          <w:lang w:eastAsia="ru-RU"/>
        </w:rPr>
        <w:t xml:space="preserve"> </w:t>
      </w:r>
      <w:r w:rsidRPr="00D337FA">
        <w:rPr>
          <w:rFonts w:eastAsia="Times New Roman"/>
          <w:szCs w:val="24"/>
          <w:lang w:eastAsia="ru-RU"/>
        </w:rPr>
        <w:t>пересмотра</w:t>
      </w:r>
      <w:r w:rsidR="006C680D" w:rsidRPr="00D337FA">
        <w:rPr>
          <w:rFonts w:eastAsia="Times New Roman"/>
          <w:szCs w:val="24"/>
          <w:lang w:eastAsia="ru-RU"/>
        </w:rPr>
        <w:t xml:space="preserve"> </w:t>
      </w:r>
      <w:r w:rsidRPr="00D337FA">
        <w:rPr>
          <w:rFonts w:eastAsia="Times New Roman"/>
          <w:szCs w:val="24"/>
          <w:lang w:eastAsia="ru-RU"/>
        </w:rPr>
        <w:t>своих</w:t>
      </w:r>
      <w:r w:rsidR="006C680D" w:rsidRPr="00D337FA">
        <w:rPr>
          <w:rFonts w:eastAsia="Times New Roman"/>
          <w:szCs w:val="24"/>
          <w:lang w:eastAsia="ru-RU"/>
        </w:rPr>
        <w:t xml:space="preserve"> </w:t>
      </w:r>
      <w:r w:rsidRPr="00D337FA">
        <w:rPr>
          <w:rFonts w:eastAsia="Times New Roman"/>
          <w:szCs w:val="24"/>
          <w:lang w:eastAsia="ru-RU"/>
        </w:rPr>
        <w:t>моделей</w:t>
      </w:r>
      <w:r w:rsidR="006C680D" w:rsidRPr="00D337FA">
        <w:rPr>
          <w:rFonts w:eastAsia="Times New Roman"/>
          <w:szCs w:val="24"/>
          <w:lang w:eastAsia="ru-RU"/>
        </w:rPr>
        <w:t xml:space="preserve"> </w:t>
      </w:r>
      <w:r w:rsidRPr="00D337FA">
        <w:rPr>
          <w:rFonts w:eastAsia="Times New Roman"/>
          <w:szCs w:val="24"/>
          <w:lang w:eastAsia="ru-RU"/>
        </w:rPr>
        <w:t>взаимодействия</w:t>
      </w:r>
      <w:r w:rsidR="006C680D" w:rsidRPr="00D337FA">
        <w:rPr>
          <w:rFonts w:eastAsia="Times New Roman"/>
          <w:szCs w:val="24"/>
          <w:lang w:eastAsia="ru-RU"/>
        </w:rPr>
        <w:t xml:space="preserve"> </w:t>
      </w:r>
      <w:r w:rsidRPr="00D337FA">
        <w:rPr>
          <w:rFonts w:eastAsia="Times New Roman"/>
          <w:szCs w:val="24"/>
          <w:lang w:eastAsia="ru-RU"/>
        </w:rPr>
        <w:t>с</w:t>
      </w:r>
      <w:r w:rsidR="006C680D" w:rsidRPr="00D337FA">
        <w:rPr>
          <w:rFonts w:eastAsia="Times New Roman"/>
          <w:szCs w:val="24"/>
          <w:lang w:eastAsia="ru-RU"/>
        </w:rPr>
        <w:t xml:space="preserve"> </w:t>
      </w:r>
      <w:r w:rsidRPr="00D337FA">
        <w:rPr>
          <w:rFonts w:eastAsia="Times New Roman"/>
          <w:szCs w:val="24"/>
          <w:lang w:eastAsia="ru-RU"/>
        </w:rPr>
        <w:t>этим</w:t>
      </w:r>
      <w:r w:rsidR="006C680D" w:rsidRPr="00D337FA">
        <w:rPr>
          <w:rFonts w:eastAsia="Times New Roman"/>
          <w:szCs w:val="24"/>
          <w:lang w:eastAsia="ru-RU"/>
        </w:rPr>
        <w:t xml:space="preserve"> </w:t>
      </w:r>
      <w:r w:rsidRPr="00D337FA">
        <w:rPr>
          <w:rFonts w:eastAsia="Times New Roman"/>
          <w:szCs w:val="24"/>
          <w:lang w:eastAsia="ru-RU"/>
        </w:rPr>
        <w:t>сегментом.</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последние</w:t>
      </w:r>
      <w:r w:rsidR="006C680D" w:rsidRPr="00D337FA">
        <w:rPr>
          <w:rFonts w:eastAsia="Times New Roman"/>
          <w:szCs w:val="24"/>
          <w:lang w:eastAsia="ru-RU"/>
        </w:rPr>
        <w:t xml:space="preserve"> </w:t>
      </w:r>
      <w:r w:rsidRPr="00D337FA">
        <w:rPr>
          <w:rFonts w:eastAsia="Times New Roman"/>
          <w:szCs w:val="24"/>
          <w:lang w:eastAsia="ru-RU"/>
        </w:rPr>
        <w:t>годы</w:t>
      </w:r>
      <w:r w:rsidR="006C680D" w:rsidRPr="00D337FA">
        <w:rPr>
          <w:rFonts w:eastAsia="Times New Roman"/>
          <w:szCs w:val="24"/>
          <w:lang w:eastAsia="ru-RU"/>
        </w:rPr>
        <w:t xml:space="preserve"> </w:t>
      </w:r>
      <w:r w:rsidRPr="00D337FA">
        <w:rPr>
          <w:rFonts w:eastAsia="Times New Roman"/>
          <w:szCs w:val="24"/>
          <w:lang w:eastAsia="ru-RU"/>
        </w:rPr>
        <w:t>на</w:t>
      </w:r>
      <w:r w:rsidR="006C680D" w:rsidRPr="00D337FA">
        <w:rPr>
          <w:rFonts w:eastAsia="Times New Roman"/>
          <w:szCs w:val="24"/>
          <w:lang w:eastAsia="ru-RU"/>
        </w:rPr>
        <w:t xml:space="preserve"> </w:t>
      </w:r>
      <w:r w:rsidRPr="00D337FA">
        <w:rPr>
          <w:rFonts w:eastAsia="Times New Roman"/>
          <w:szCs w:val="24"/>
          <w:lang w:eastAsia="ru-RU"/>
        </w:rPr>
        <w:t>фоне</w:t>
      </w:r>
      <w:r w:rsidR="006C680D" w:rsidRPr="00D337FA">
        <w:rPr>
          <w:rFonts w:eastAsia="Times New Roman"/>
          <w:szCs w:val="24"/>
          <w:lang w:eastAsia="ru-RU"/>
        </w:rPr>
        <w:t xml:space="preserve"> </w:t>
      </w:r>
      <w:r w:rsidRPr="00D337FA">
        <w:rPr>
          <w:rFonts w:eastAsia="Times New Roman"/>
          <w:szCs w:val="24"/>
          <w:lang w:eastAsia="ru-RU"/>
        </w:rPr>
        <w:t>ужесточения</w:t>
      </w:r>
      <w:r w:rsidR="006C680D" w:rsidRPr="00D337FA">
        <w:rPr>
          <w:rFonts w:eastAsia="Times New Roman"/>
          <w:szCs w:val="24"/>
          <w:lang w:eastAsia="ru-RU"/>
        </w:rPr>
        <w:t xml:space="preserve"> </w:t>
      </w:r>
      <w:r w:rsidRPr="00D337FA">
        <w:rPr>
          <w:rFonts w:eastAsia="Times New Roman"/>
          <w:szCs w:val="24"/>
          <w:lang w:eastAsia="ru-RU"/>
        </w:rPr>
        <w:t>условий</w:t>
      </w:r>
      <w:r w:rsidR="006C680D" w:rsidRPr="00D337FA">
        <w:rPr>
          <w:rFonts w:eastAsia="Times New Roman"/>
          <w:szCs w:val="24"/>
          <w:lang w:eastAsia="ru-RU"/>
        </w:rPr>
        <w:t xml:space="preserve"> </w:t>
      </w:r>
      <w:r w:rsidRPr="00D337FA">
        <w:rPr>
          <w:rFonts w:eastAsia="Times New Roman"/>
          <w:szCs w:val="24"/>
          <w:lang w:eastAsia="ru-RU"/>
        </w:rPr>
        <w:t>традиционного</w:t>
      </w:r>
      <w:r w:rsidR="006C680D" w:rsidRPr="00D337FA">
        <w:rPr>
          <w:rFonts w:eastAsia="Times New Roman"/>
          <w:szCs w:val="24"/>
          <w:lang w:eastAsia="ru-RU"/>
        </w:rPr>
        <w:t xml:space="preserve"> </w:t>
      </w:r>
      <w:r w:rsidRPr="00D337FA">
        <w:rPr>
          <w:rFonts w:eastAsia="Times New Roman"/>
          <w:szCs w:val="24"/>
          <w:lang w:eastAsia="ru-RU"/>
        </w:rPr>
        <w:t>банковского</w:t>
      </w:r>
      <w:r w:rsidR="006C680D" w:rsidRPr="00D337FA">
        <w:rPr>
          <w:rFonts w:eastAsia="Times New Roman"/>
          <w:szCs w:val="24"/>
          <w:lang w:eastAsia="ru-RU"/>
        </w:rPr>
        <w:t xml:space="preserve"> </w:t>
      </w:r>
      <w:r w:rsidRPr="00D337FA">
        <w:rPr>
          <w:rFonts w:eastAsia="Times New Roman"/>
          <w:szCs w:val="24"/>
          <w:lang w:eastAsia="ru-RU"/>
        </w:rPr>
        <w:t>кредитования</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сокращения</w:t>
      </w:r>
      <w:r w:rsidR="006C680D" w:rsidRPr="00D337FA">
        <w:rPr>
          <w:rFonts w:eastAsia="Times New Roman"/>
          <w:szCs w:val="24"/>
          <w:lang w:eastAsia="ru-RU"/>
        </w:rPr>
        <w:t xml:space="preserve"> </w:t>
      </w:r>
      <w:r w:rsidRPr="00D337FA">
        <w:rPr>
          <w:rFonts w:eastAsia="Times New Roman"/>
          <w:szCs w:val="24"/>
          <w:lang w:eastAsia="ru-RU"/>
        </w:rPr>
        <w:t>объёмов</w:t>
      </w:r>
      <w:r w:rsidR="006C680D" w:rsidRPr="00D337FA">
        <w:rPr>
          <w:rFonts w:eastAsia="Times New Roman"/>
          <w:szCs w:val="24"/>
          <w:lang w:eastAsia="ru-RU"/>
        </w:rPr>
        <w:t xml:space="preserve"> </w:t>
      </w:r>
      <w:r w:rsidRPr="00D337FA">
        <w:rPr>
          <w:rFonts w:eastAsia="Times New Roman"/>
          <w:szCs w:val="24"/>
          <w:lang w:eastAsia="ru-RU"/>
        </w:rPr>
        <w:t>государственной</w:t>
      </w:r>
      <w:r w:rsidR="006C680D" w:rsidRPr="00D337FA">
        <w:rPr>
          <w:rFonts w:eastAsia="Times New Roman"/>
          <w:szCs w:val="24"/>
          <w:lang w:eastAsia="ru-RU"/>
        </w:rPr>
        <w:t xml:space="preserve"> </w:t>
      </w:r>
      <w:r w:rsidRPr="00D337FA">
        <w:rPr>
          <w:rFonts w:eastAsia="Times New Roman"/>
          <w:szCs w:val="24"/>
          <w:lang w:eastAsia="ru-RU"/>
        </w:rPr>
        <w:t>поддержки</w:t>
      </w:r>
      <w:r w:rsidR="006C680D" w:rsidRPr="00D337FA">
        <w:rPr>
          <w:rFonts w:eastAsia="Times New Roman"/>
          <w:szCs w:val="24"/>
          <w:lang w:eastAsia="ru-RU"/>
        </w:rPr>
        <w:t xml:space="preserve"> </w:t>
      </w:r>
      <w:r w:rsidRPr="00D337FA">
        <w:rPr>
          <w:rFonts w:eastAsia="Times New Roman"/>
          <w:szCs w:val="24"/>
          <w:lang w:eastAsia="ru-RU"/>
        </w:rPr>
        <w:t>возрастает</w:t>
      </w:r>
      <w:r w:rsidR="006C680D" w:rsidRPr="00D337FA">
        <w:rPr>
          <w:rFonts w:eastAsia="Times New Roman"/>
          <w:szCs w:val="24"/>
          <w:lang w:eastAsia="ru-RU"/>
        </w:rPr>
        <w:t xml:space="preserve"> </w:t>
      </w:r>
      <w:r w:rsidRPr="00D337FA">
        <w:rPr>
          <w:rFonts w:eastAsia="Times New Roman"/>
          <w:szCs w:val="24"/>
          <w:lang w:eastAsia="ru-RU"/>
        </w:rPr>
        <w:t>значимость</w:t>
      </w:r>
      <w:r w:rsidR="006C680D" w:rsidRPr="00D337FA">
        <w:rPr>
          <w:rFonts w:eastAsia="Times New Roman"/>
          <w:szCs w:val="24"/>
          <w:lang w:eastAsia="ru-RU"/>
        </w:rPr>
        <w:t xml:space="preserve"> </w:t>
      </w:r>
      <w:r w:rsidRPr="00D337FA">
        <w:rPr>
          <w:rFonts w:eastAsia="Times New Roman"/>
          <w:szCs w:val="24"/>
          <w:lang w:eastAsia="ru-RU"/>
        </w:rPr>
        <w:t>разработки</w:t>
      </w:r>
      <w:r w:rsidR="006C680D" w:rsidRPr="00D337FA">
        <w:rPr>
          <w:rFonts w:eastAsia="Times New Roman"/>
          <w:szCs w:val="24"/>
          <w:lang w:eastAsia="ru-RU"/>
        </w:rPr>
        <w:t xml:space="preserve"> </w:t>
      </w:r>
      <w:r w:rsidRPr="00D337FA">
        <w:rPr>
          <w:rFonts w:eastAsia="Times New Roman"/>
          <w:szCs w:val="24"/>
          <w:lang w:eastAsia="ru-RU"/>
        </w:rPr>
        <w:t>новых</w:t>
      </w:r>
      <w:r w:rsidR="006C680D" w:rsidRPr="00D337FA">
        <w:rPr>
          <w:rFonts w:eastAsia="Times New Roman"/>
          <w:szCs w:val="24"/>
          <w:lang w:eastAsia="ru-RU"/>
        </w:rPr>
        <w:t xml:space="preserve"> </w:t>
      </w:r>
      <w:r w:rsidRPr="00D337FA">
        <w:rPr>
          <w:rFonts w:eastAsia="Times New Roman"/>
          <w:szCs w:val="24"/>
          <w:lang w:eastAsia="ru-RU"/>
        </w:rPr>
        <w:t>подходов</w:t>
      </w:r>
      <w:r w:rsidR="006C680D" w:rsidRPr="00D337FA">
        <w:rPr>
          <w:rFonts w:eastAsia="Times New Roman"/>
          <w:szCs w:val="24"/>
          <w:lang w:eastAsia="ru-RU"/>
        </w:rPr>
        <w:t xml:space="preserve"> </w:t>
      </w:r>
      <w:r w:rsidRPr="00D337FA">
        <w:rPr>
          <w:rFonts w:eastAsia="Times New Roman"/>
          <w:szCs w:val="24"/>
          <w:lang w:eastAsia="ru-RU"/>
        </w:rPr>
        <w:t>к</w:t>
      </w:r>
      <w:r w:rsidR="006C680D" w:rsidRPr="00D337FA">
        <w:rPr>
          <w:rFonts w:eastAsia="Times New Roman"/>
          <w:szCs w:val="24"/>
          <w:lang w:eastAsia="ru-RU"/>
        </w:rPr>
        <w:t xml:space="preserve"> </w:t>
      </w:r>
      <w:r w:rsidRPr="00D337FA">
        <w:rPr>
          <w:rFonts w:eastAsia="Times New Roman"/>
          <w:szCs w:val="24"/>
          <w:lang w:eastAsia="ru-RU"/>
        </w:rPr>
        <w:t>банковскому</w:t>
      </w:r>
      <w:r w:rsidR="006C680D" w:rsidRPr="00D337FA">
        <w:rPr>
          <w:rFonts w:eastAsia="Times New Roman"/>
          <w:szCs w:val="24"/>
          <w:lang w:eastAsia="ru-RU"/>
        </w:rPr>
        <w:t xml:space="preserve"> </w:t>
      </w:r>
      <w:r w:rsidRPr="00D337FA">
        <w:rPr>
          <w:rFonts w:eastAsia="Times New Roman"/>
          <w:szCs w:val="24"/>
          <w:lang w:eastAsia="ru-RU"/>
        </w:rPr>
        <w:t>обслуживанию</w:t>
      </w:r>
      <w:r w:rsidR="006C680D" w:rsidRPr="00D337FA">
        <w:rPr>
          <w:rFonts w:eastAsia="Times New Roman"/>
          <w:szCs w:val="24"/>
          <w:lang w:eastAsia="ru-RU"/>
        </w:rPr>
        <w:t xml:space="preserve"> </w:t>
      </w:r>
      <w:r w:rsidRPr="00D337FA">
        <w:rPr>
          <w:rFonts w:eastAsia="Times New Roman"/>
          <w:szCs w:val="24"/>
          <w:lang w:eastAsia="ru-RU"/>
        </w:rPr>
        <w:t>малого</w:t>
      </w:r>
      <w:r w:rsidR="006C680D" w:rsidRPr="00D337FA">
        <w:rPr>
          <w:rFonts w:eastAsia="Times New Roman"/>
          <w:szCs w:val="24"/>
          <w:lang w:eastAsia="ru-RU"/>
        </w:rPr>
        <w:t xml:space="preserve"> </w:t>
      </w:r>
      <w:r w:rsidRPr="00D337FA">
        <w:rPr>
          <w:rFonts w:eastAsia="Times New Roman"/>
          <w:szCs w:val="24"/>
          <w:lang w:eastAsia="ru-RU"/>
        </w:rPr>
        <w:t>бизнеса.</w:t>
      </w:r>
      <w:r w:rsidR="006C680D" w:rsidRPr="00D337FA">
        <w:rPr>
          <w:rFonts w:eastAsia="Times New Roman"/>
          <w:szCs w:val="24"/>
          <w:lang w:eastAsia="ru-RU"/>
        </w:rPr>
        <w:t xml:space="preserve"> </w:t>
      </w:r>
      <w:r w:rsidRPr="00D337FA">
        <w:rPr>
          <w:rFonts w:eastAsia="Times New Roman"/>
          <w:szCs w:val="24"/>
          <w:lang w:eastAsia="ru-RU"/>
        </w:rPr>
        <w:t>Это</w:t>
      </w:r>
      <w:r w:rsidR="006C680D" w:rsidRPr="00D337FA">
        <w:rPr>
          <w:rFonts w:eastAsia="Times New Roman"/>
          <w:szCs w:val="24"/>
          <w:lang w:eastAsia="ru-RU"/>
        </w:rPr>
        <w:t xml:space="preserve"> </w:t>
      </w:r>
      <w:r w:rsidRPr="00D337FA">
        <w:rPr>
          <w:rFonts w:eastAsia="Times New Roman"/>
          <w:szCs w:val="24"/>
          <w:lang w:eastAsia="ru-RU"/>
        </w:rPr>
        <w:t>обусловлено</w:t>
      </w:r>
      <w:r w:rsidR="006C680D" w:rsidRPr="00D337FA">
        <w:rPr>
          <w:rFonts w:eastAsia="Times New Roman"/>
          <w:szCs w:val="24"/>
          <w:lang w:eastAsia="ru-RU"/>
        </w:rPr>
        <w:t xml:space="preserve"> </w:t>
      </w:r>
      <w:r w:rsidRPr="00D337FA">
        <w:rPr>
          <w:rFonts w:eastAsia="Times New Roman"/>
          <w:szCs w:val="24"/>
          <w:lang w:eastAsia="ru-RU"/>
        </w:rPr>
        <w:t>как</w:t>
      </w:r>
      <w:r w:rsidR="006C680D" w:rsidRPr="00D337FA">
        <w:rPr>
          <w:rFonts w:eastAsia="Times New Roman"/>
          <w:szCs w:val="24"/>
          <w:lang w:eastAsia="ru-RU"/>
        </w:rPr>
        <w:t xml:space="preserve"> </w:t>
      </w:r>
      <w:r w:rsidRPr="00D337FA">
        <w:rPr>
          <w:rFonts w:eastAsia="Times New Roman"/>
          <w:szCs w:val="24"/>
          <w:lang w:eastAsia="ru-RU"/>
        </w:rPr>
        <w:t>растущей</w:t>
      </w:r>
      <w:r w:rsidR="006C680D" w:rsidRPr="00D337FA">
        <w:rPr>
          <w:rFonts w:eastAsia="Times New Roman"/>
          <w:szCs w:val="24"/>
          <w:lang w:eastAsia="ru-RU"/>
        </w:rPr>
        <w:t xml:space="preserve"> </w:t>
      </w:r>
      <w:r w:rsidRPr="00D337FA">
        <w:rPr>
          <w:rFonts w:eastAsia="Times New Roman"/>
          <w:szCs w:val="24"/>
          <w:lang w:eastAsia="ru-RU"/>
        </w:rPr>
        <w:t>конкуренцией</w:t>
      </w:r>
      <w:r w:rsidR="006C680D" w:rsidRPr="00D337FA">
        <w:rPr>
          <w:rFonts w:eastAsia="Times New Roman"/>
          <w:szCs w:val="24"/>
          <w:lang w:eastAsia="ru-RU"/>
        </w:rPr>
        <w:t xml:space="preserve"> </w:t>
      </w:r>
      <w:r w:rsidRPr="00D337FA">
        <w:rPr>
          <w:rFonts w:eastAsia="Times New Roman"/>
          <w:szCs w:val="24"/>
          <w:lang w:eastAsia="ru-RU"/>
        </w:rPr>
        <w:t>со</w:t>
      </w:r>
      <w:r w:rsidR="006C680D" w:rsidRPr="00D337FA">
        <w:rPr>
          <w:rFonts w:eastAsia="Times New Roman"/>
          <w:szCs w:val="24"/>
          <w:lang w:eastAsia="ru-RU"/>
        </w:rPr>
        <w:t xml:space="preserve"> </w:t>
      </w:r>
      <w:r w:rsidRPr="00D337FA">
        <w:rPr>
          <w:rFonts w:eastAsia="Times New Roman"/>
          <w:szCs w:val="24"/>
          <w:lang w:eastAsia="ru-RU"/>
        </w:rPr>
        <w:t>стороны</w:t>
      </w:r>
      <w:r w:rsidR="006C680D" w:rsidRPr="00D337FA">
        <w:rPr>
          <w:rFonts w:eastAsia="Times New Roman"/>
          <w:szCs w:val="24"/>
          <w:lang w:eastAsia="ru-RU"/>
        </w:rPr>
        <w:t xml:space="preserve"> </w:t>
      </w:r>
      <w:r w:rsidRPr="00D337FA">
        <w:rPr>
          <w:rFonts w:eastAsia="Times New Roman"/>
          <w:szCs w:val="24"/>
          <w:lang w:eastAsia="ru-RU"/>
        </w:rPr>
        <w:t>финтех-компаний,</w:t>
      </w:r>
      <w:r w:rsidR="006C680D" w:rsidRPr="00D337FA">
        <w:rPr>
          <w:rFonts w:eastAsia="Times New Roman"/>
          <w:szCs w:val="24"/>
          <w:lang w:eastAsia="ru-RU"/>
        </w:rPr>
        <w:t xml:space="preserve"> </w:t>
      </w:r>
      <w:r w:rsidRPr="00D337FA">
        <w:rPr>
          <w:rFonts w:eastAsia="Times New Roman"/>
          <w:szCs w:val="24"/>
          <w:lang w:eastAsia="ru-RU"/>
        </w:rPr>
        <w:t>предлагающих</w:t>
      </w:r>
      <w:r w:rsidR="006C680D" w:rsidRPr="00D337FA">
        <w:rPr>
          <w:rFonts w:eastAsia="Times New Roman"/>
          <w:szCs w:val="24"/>
          <w:lang w:eastAsia="ru-RU"/>
        </w:rPr>
        <w:t xml:space="preserve"> </w:t>
      </w:r>
      <w:r w:rsidRPr="00D337FA">
        <w:rPr>
          <w:rFonts w:eastAsia="Times New Roman"/>
          <w:szCs w:val="24"/>
          <w:lang w:eastAsia="ru-RU"/>
        </w:rPr>
        <w:t>клиентоцентричные</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технологичные</w:t>
      </w:r>
      <w:r w:rsidR="006C680D" w:rsidRPr="00D337FA">
        <w:rPr>
          <w:rFonts w:eastAsia="Times New Roman"/>
          <w:szCs w:val="24"/>
          <w:lang w:eastAsia="ru-RU"/>
        </w:rPr>
        <w:t xml:space="preserve"> </w:t>
      </w:r>
      <w:r w:rsidRPr="00D337FA">
        <w:rPr>
          <w:rFonts w:eastAsia="Times New Roman"/>
          <w:szCs w:val="24"/>
          <w:lang w:eastAsia="ru-RU"/>
        </w:rPr>
        <w:t>решения,</w:t>
      </w:r>
      <w:r w:rsidR="006C680D" w:rsidRPr="00D337FA">
        <w:rPr>
          <w:rFonts w:eastAsia="Times New Roman"/>
          <w:szCs w:val="24"/>
          <w:lang w:eastAsia="ru-RU"/>
        </w:rPr>
        <w:t xml:space="preserve"> </w:t>
      </w:r>
      <w:r w:rsidRPr="00D337FA">
        <w:rPr>
          <w:rFonts w:eastAsia="Times New Roman"/>
          <w:szCs w:val="24"/>
          <w:lang w:eastAsia="ru-RU"/>
        </w:rPr>
        <w:t>так</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меняющейся</w:t>
      </w:r>
      <w:r w:rsidR="006C680D" w:rsidRPr="00D337FA">
        <w:rPr>
          <w:rFonts w:eastAsia="Times New Roman"/>
          <w:szCs w:val="24"/>
          <w:lang w:eastAsia="ru-RU"/>
        </w:rPr>
        <w:t xml:space="preserve"> </w:t>
      </w:r>
      <w:r w:rsidRPr="00D337FA">
        <w:rPr>
          <w:rFonts w:eastAsia="Times New Roman"/>
          <w:szCs w:val="24"/>
          <w:lang w:eastAsia="ru-RU"/>
        </w:rPr>
        <w:t>структурой</w:t>
      </w:r>
      <w:r w:rsidR="006C680D" w:rsidRPr="00D337FA">
        <w:rPr>
          <w:rFonts w:eastAsia="Times New Roman"/>
          <w:szCs w:val="24"/>
          <w:lang w:eastAsia="ru-RU"/>
        </w:rPr>
        <w:t xml:space="preserve"> </w:t>
      </w:r>
      <w:r w:rsidRPr="00D337FA">
        <w:rPr>
          <w:rFonts w:eastAsia="Times New Roman"/>
          <w:szCs w:val="24"/>
          <w:lang w:eastAsia="ru-RU"/>
        </w:rPr>
        <w:t>потребностей</w:t>
      </w:r>
      <w:r w:rsidR="006C680D" w:rsidRPr="00D337FA">
        <w:rPr>
          <w:rFonts w:eastAsia="Times New Roman"/>
          <w:szCs w:val="24"/>
          <w:lang w:eastAsia="ru-RU"/>
        </w:rPr>
        <w:t xml:space="preserve"> </w:t>
      </w:r>
      <w:r w:rsidRPr="00D337FA">
        <w:rPr>
          <w:rFonts w:eastAsia="Times New Roman"/>
          <w:szCs w:val="24"/>
          <w:lang w:eastAsia="ru-RU"/>
        </w:rPr>
        <w:t>самих</w:t>
      </w:r>
      <w:r w:rsidR="006C680D" w:rsidRPr="00D337FA">
        <w:rPr>
          <w:rFonts w:eastAsia="Times New Roman"/>
          <w:szCs w:val="24"/>
          <w:lang w:eastAsia="ru-RU"/>
        </w:rPr>
        <w:t xml:space="preserve"> </w:t>
      </w:r>
      <w:r w:rsidRPr="00D337FA">
        <w:rPr>
          <w:rFonts w:eastAsia="Times New Roman"/>
          <w:szCs w:val="24"/>
          <w:lang w:eastAsia="ru-RU"/>
        </w:rPr>
        <w:t>предпринимателей,</w:t>
      </w:r>
      <w:r w:rsidR="006C680D" w:rsidRPr="00D337FA">
        <w:rPr>
          <w:rFonts w:eastAsia="Times New Roman"/>
          <w:szCs w:val="24"/>
          <w:lang w:eastAsia="ru-RU"/>
        </w:rPr>
        <w:t xml:space="preserve"> </w:t>
      </w:r>
      <w:r w:rsidRPr="00D337FA">
        <w:rPr>
          <w:rFonts w:eastAsia="Times New Roman"/>
          <w:szCs w:val="24"/>
          <w:lang w:eastAsia="ru-RU"/>
        </w:rPr>
        <w:t>которые</w:t>
      </w:r>
      <w:r w:rsidR="006C680D" w:rsidRPr="00D337FA">
        <w:rPr>
          <w:rFonts w:eastAsia="Times New Roman"/>
          <w:szCs w:val="24"/>
          <w:lang w:eastAsia="ru-RU"/>
        </w:rPr>
        <w:t xml:space="preserve"> </w:t>
      </w:r>
      <w:r w:rsidRPr="00D337FA">
        <w:rPr>
          <w:rFonts w:eastAsia="Times New Roman"/>
          <w:szCs w:val="24"/>
          <w:lang w:eastAsia="ru-RU"/>
        </w:rPr>
        <w:t>выходят</w:t>
      </w:r>
      <w:r w:rsidR="006C680D" w:rsidRPr="00D337FA">
        <w:rPr>
          <w:rFonts w:eastAsia="Times New Roman"/>
          <w:szCs w:val="24"/>
          <w:lang w:eastAsia="ru-RU"/>
        </w:rPr>
        <w:t xml:space="preserve"> </w:t>
      </w:r>
      <w:r w:rsidRPr="00D337FA">
        <w:rPr>
          <w:rFonts w:eastAsia="Times New Roman"/>
          <w:szCs w:val="24"/>
          <w:lang w:eastAsia="ru-RU"/>
        </w:rPr>
        <w:t>за</w:t>
      </w:r>
      <w:r w:rsidR="006C680D" w:rsidRPr="00D337FA">
        <w:rPr>
          <w:rFonts w:eastAsia="Times New Roman"/>
          <w:szCs w:val="24"/>
          <w:lang w:eastAsia="ru-RU"/>
        </w:rPr>
        <w:t xml:space="preserve"> </w:t>
      </w:r>
      <w:r w:rsidRPr="00D337FA">
        <w:rPr>
          <w:rFonts w:eastAsia="Times New Roman"/>
          <w:szCs w:val="24"/>
          <w:lang w:eastAsia="ru-RU"/>
        </w:rPr>
        <w:t>рамки</w:t>
      </w:r>
      <w:r w:rsidR="006C680D" w:rsidRPr="00D337FA">
        <w:rPr>
          <w:rFonts w:eastAsia="Times New Roman"/>
          <w:szCs w:val="24"/>
          <w:lang w:eastAsia="ru-RU"/>
        </w:rPr>
        <w:t xml:space="preserve"> </w:t>
      </w:r>
      <w:r w:rsidRPr="00D337FA">
        <w:rPr>
          <w:rFonts w:eastAsia="Times New Roman"/>
          <w:szCs w:val="24"/>
          <w:lang w:eastAsia="ru-RU"/>
        </w:rPr>
        <w:t>стандартного</w:t>
      </w:r>
      <w:r w:rsidR="006C680D" w:rsidRPr="00D337FA">
        <w:rPr>
          <w:rFonts w:eastAsia="Times New Roman"/>
          <w:szCs w:val="24"/>
          <w:lang w:eastAsia="ru-RU"/>
        </w:rPr>
        <w:t xml:space="preserve"> </w:t>
      </w:r>
      <w:r w:rsidRPr="00D337FA">
        <w:rPr>
          <w:rFonts w:eastAsia="Times New Roman"/>
          <w:szCs w:val="24"/>
          <w:lang w:eastAsia="ru-RU"/>
        </w:rPr>
        <w:t>расчётно-кассового</w:t>
      </w:r>
      <w:r w:rsidR="006C680D" w:rsidRPr="00D337FA">
        <w:rPr>
          <w:rFonts w:eastAsia="Times New Roman"/>
          <w:szCs w:val="24"/>
          <w:lang w:eastAsia="ru-RU"/>
        </w:rPr>
        <w:t xml:space="preserve"> </w:t>
      </w:r>
      <w:r w:rsidRPr="00D337FA">
        <w:rPr>
          <w:rFonts w:eastAsia="Times New Roman"/>
          <w:szCs w:val="24"/>
          <w:lang w:eastAsia="ru-RU"/>
        </w:rPr>
        <w:t>обслуживания</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кредитования.</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этой</w:t>
      </w:r>
      <w:r w:rsidR="006C680D" w:rsidRPr="00D337FA">
        <w:rPr>
          <w:rFonts w:eastAsia="Times New Roman"/>
          <w:szCs w:val="24"/>
          <w:lang w:eastAsia="ru-RU"/>
        </w:rPr>
        <w:t xml:space="preserve"> </w:t>
      </w:r>
      <w:r w:rsidRPr="00D337FA">
        <w:rPr>
          <w:rFonts w:eastAsia="Times New Roman"/>
          <w:szCs w:val="24"/>
          <w:lang w:eastAsia="ru-RU"/>
        </w:rPr>
        <w:t>связи</w:t>
      </w:r>
      <w:r w:rsidR="006C680D" w:rsidRPr="00D337FA">
        <w:rPr>
          <w:rFonts w:eastAsia="Times New Roman"/>
          <w:szCs w:val="24"/>
          <w:lang w:eastAsia="ru-RU"/>
        </w:rPr>
        <w:t xml:space="preserve"> </w:t>
      </w:r>
      <w:r w:rsidRPr="00D337FA">
        <w:rPr>
          <w:rFonts w:eastAsia="Times New Roman"/>
          <w:szCs w:val="24"/>
          <w:lang w:eastAsia="ru-RU"/>
        </w:rPr>
        <w:t>возникает</w:t>
      </w:r>
      <w:r w:rsidR="006C680D" w:rsidRPr="00D337FA">
        <w:rPr>
          <w:rFonts w:eastAsia="Times New Roman"/>
          <w:szCs w:val="24"/>
          <w:lang w:eastAsia="ru-RU"/>
        </w:rPr>
        <w:t xml:space="preserve"> </w:t>
      </w:r>
      <w:r w:rsidRPr="00D337FA">
        <w:rPr>
          <w:rFonts w:eastAsia="Times New Roman"/>
          <w:szCs w:val="24"/>
          <w:lang w:eastAsia="ru-RU"/>
        </w:rPr>
        <w:t>необходимость</w:t>
      </w:r>
      <w:r w:rsidR="006C680D" w:rsidRPr="00D337FA">
        <w:rPr>
          <w:rFonts w:eastAsia="Times New Roman"/>
          <w:szCs w:val="24"/>
          <w:lang w:eastAsia="ru-RU"/>
        </w:rPr>
        <w:t xml:space="preserve"> </w:t>
      </w:r>
      <w:r w:rsidRPr="00D337FA">
        <w:rPr>
          <w:rFonts w:eastAsia="Times New Roman"/>
          <w:szCs w:val="24"/>
          <w:lang w:eastAsia="ru-RU"/>
        </w:rPr>
        <w:t>пересмотра</w:t>
      </w:r>
      <w:r w:rsidR="006C680D" w:rsidRPr="00D337FA">
        <w:rPr>
          <w:rFonts w:eastAsia="Times New Roman"/>
          <w:szCs w:val="24"/>
          <w:lang w:eastAsia="ru-RU"/>
        </w:rPr>
        <w:t xml:space="preserve"> </w:t>
      </w:r>
      <w:r w:rsidRPr="00D337FA">
        <w:rPr>
          <w:rFonts w:eastAsia="Times New Roman"/>
          <w:szCs w:val="24"/>
          <w:lang w:eastAsia="ru-RU"/>
        </w:rPr>
        <w:t>классических</w:t>
      </w:r>
      <w:r w:rsidR="006C680D" w:rsidRPr="00D337FA">
        <w:rPr>
          <w:rFonts w:eastAsia="Times New Roman"/>
          <w:szCs w:val="24"/>
          <w:lang w:eastAsia="ru-RU"/>
        </w:rPr>
        <w:t xml:space="preserve"> </w:t>
      </w:r>
      <w:r w:rsidRPr="00D337FA">
        <w:rPr>
          <w:rFonts w:eastAsia="Times New Roman"/>
          <w:szCs w:val="24"/>
          <w:lang w:eastAsia="ru-RU"/>
        </w:rPr>
        <w:t>моделей</w:t>
      </w:r>
      <w:r w:rsidR="006C680D" w:rsidRPr="00D337FA">
        <w:rPr>
          <w:rFonts w:eastAsia="Times New Roman"/>
          <w:szCs w:val="24"/>
          <w:lang w:eastAsia="ru-RU"/>
        </w:rPr>
        <w:t xml:space="preserve"> </w:t>
      </w:r>
      <w:r w:rsidRPr="00D337FA">
        <w:rPr>
          <w:rFonts w:eastAsia="Times New Roman"/>
          <w:szCs w:val="24"/>
          <w:lang w:eastAsia="ru-RU"/>
        </w:rPr>
        <w:t>банковской</w:t>
      </w:r>
      <w:r w:rsidR="006C680D" w:rsidRPr="00D337FA">
        <w:rPr>
          <w:rFonts w:eastAsia="Times New Roman"/>
          <w:szCs w:val="24"/>
          <w:lang w:eastAsia="ru-RU"/>
        </w:rPr>
        <w:t xml:space="preserve"> </w:t>
      </w:r>
      <w:r w:rsidRPr="00D337FA">
        <w:rPr>
          <w:rFonts w:eastAsia="Times New Roman"/>
          <w:szCs w:val="24"/>
          <w:lang w:eastAsia="ru-RU"/>
        </w:rPr>
        <w:t>деятельности</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сторону</w:t>
      </w:r>
      <w:r w:rsidR="006C680D" w:rsidRPr="00D337FA">
        <w:rPr>
          <w:rFonts w:eastAsia="Times New Roman"/>
          <w:szCs w:val="24"/>
          <w:lang w:eastAsia="ru-RU"/>
        </w:rPr>
        <w:t xml:space="preserve"> </w:t>
      </w:r>
      <w:r w:rsidRPr="00D337FA">
        <w:rPr>
          <w:rFonts w:eastAsia="Times New Roman"/>
          <w:szCs w:val="24"/>
          <w:lang w:eastAsia="ru-RU"/>
        </w:rPr>
        <w:t>цифровизации,</w:t>
      </w:r>
      <w:r w:rsidR="006C680D" w:rsidRPr="00D337FA">
        <w:rPr>
          <w:rFonts w:eastAsia="Times New Roman"/>
          <w:szCs w:val="24"/>
          <w:lang w:eastAsia="ru-RU"/>
        </w:rPr>
        <w:t xml:space="preserve"> </w:t>
      </w:r>
      <w:r w:rsidRPr="00D337FA">
        <w:rPr>
          <w:rFonts w:eastAsia="Times New Roman"/>
          <w:szCs w:val="24"/>
          <w:lang w:eastAsia="ru-RU"/>
        </w:rPr>
        <w:t>индивидуализации</w:t>
      </w:r>
      <w:r w:rsidR="006C680D" w:rsidRPr="00D337FA">
        <w:rPr>
          <w:rFonts w:eastAsia="Times New Roman"/>
          <w:szCs w:val="24"/>
          <w:lang w:eastAsia="ru-RU"/>
        </w:rPr>
        <w:t xml:space="preserve"> </w:t>
      </w:r>
      <w:r w:rsidRPr="00D337FA">
        <w:rPr>
          <w:rFonts w:eastAsia="Times New Roman"/>
          <w:szCs w:val="24"/>
          <w:lang w:eastAsia="ru-RU"/>
        </w:rPr>
        <w:t>продуктов</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внедрения</w:t>
      </w:r>
      <w:r w:rsidR="006C680D" w:rsidRPr="00D337FA">
        <w:rPr>
          <w:rFonts w:eastAsia="Times New Roman"/>
          <w:szCs w:val="24"/>
          <w:lang w:eastAsia="ru-RU"/>
        </w:rPr>
        <w:t xml:space="preserve"> </w:t>
      </w:r>
      <w:r w:rsidRPr="00D337FA">
        <w:rPr>
          <w:rFonts w:eastAsia="Times New Roman"/>
          <w:szCs w:val="24"/>
          <w:lang w:eastAsia="ru-RU"/>
        </w:rPr>
        <w:t>современных</w:t>
      </w:r>
      <w:r w:rsidR="006C680D" w:rsidRPr="00D337FA">
        <w:rPr>
          <w:rFonts w:eastAsia="Times New Roman"/>
          <w:szCs w:val="24"/>
          <w:lang w:eastAsia="ru-RU"/>
        </w:rPr>
        <w:t xml:space="preserve"> </w:t>
      </w:r>
      <w:r w:rsidRPr="00D337FA">
        <w:rPr>
          <w:rFonts w:eastAsia="Times New Roman"/>
          <w:szCs w:val="24"/>
          <w:lang w:eastAsia="ru-RU"/>
        </w:rPr>
        <w:t>платформенных</w:t>
      </w:r>
      <w:r w:rsidR="006C680D" w:rsidRPr="00D337FA">
        <w:rPr>
          <w:rFonts w:eastAsia="Times New Roman"/>
          <w:szCs w:val="24"/>
          <w:lang w:eastAsia="ru-RU"/>
        </w:rPr>
        <w:t xml:space="preserve"> </w:t>
      </w:r>
      <w:r w:rsidRPr="00D337FA">
        <w:rPr>
          <w:rFonts w:eastAsia="Times New Roman"/>
          <w:szCs w:val="24"/>
          <w:lang w:eastAsia="ru-RU"/>
        </w:rPr>
        <w:t>решений.</w:t>
      </w:r>
      <w:r w:rsidR="006C680D" w:rsidRPr="00D337FA">
        <w:rPr>
          <w:rFonts w:eastAsia="Times New Roman"/>
          <w:szCs w:val="24"/>
          <w:lang w:eastAsia="ru-RU"/>
        </w:rPr>
        <w:t xml:space="preserve"> </w:t>
      </w:r>
      <w:r w:rsidRPr="00D337FA">
        <w:rPr>
          <w:rFonts w:eastAsia="Times New Roman"/>
          <w:szCs w:val="24"/>
          <w:lang w:eastAsia="ru-RU"/>
        </w:rPr>
        <w:t>Несмотря</w:t>
      </w:r>
      <w:r w:rsidR="006C680D" w:rsidRPr="00D337FA">
        <w:rPr>
          <w:rFonts w:eastAsia="Times New Roman"/>
          <w:szCs w:val="24"/>
          <w:lang w:eastAsia="ru-RU"/>
        </w:rPr>
        <w:t xml:space="preserve"> </w:t>
      </w:r>
      <w:r w:rsidRPr="00D337FA">
        <w:rPr>
          <w:rFonts w:eastAsia="Times New Roman"/>
          <w:szCs w:val="24"/>
          <w:lang w:eastAsia="ru-RU"/>
        </w:rPr>
        <w:t>на</w:t>
      </w:r>
      <w:r w:rsidR="006C680D" w:rsidRPr="00D337FA">
        <w:rPr>
          <w:rFonts w:eastAsia="Times New Roman"/>
          <w:szCs w:val="24"/>
          <w:lang w:eastAsia="ru-RU"/>
        </w:rPr>
        <w:t xml:space="preserve"> </w:t>
      </w:r>
      <w:r w:rsidRPr="00D337FA">
        <w:rPr>
          <w:rFonts w:eastAsia="Times New Roman"/>
          <w:szCs w:val="24"/>
          <w:lang w:eastAsia="ru-RU"/>
        </w:rPr>
        <w:t>заметную</w:t>
      </w:r>
      <w:r w:rsidR="006C680D" w:rsidRPr="00D337FA">
        <w:rPr>
          <w:rFonts w:eastAsia="Times New Roman"/>
          <w:szCs w:val="24"/>
          <w:lang w:eastAsia="ru-RU"/>
        </w:rPr>
        <w:t xml:space="preserve"> </w:t>
      </w:r>
      <w:r w:rsidRPr="00D337FA">
        <w:rPr>
          <w:rFonts w:eastAsia="Times New Roman"/>
          <w:szCs w:val="24"/>
          <w:lang w:eastAsia="ru-RU"/>
        </w:rPr>
        <w:t>активизацию</w:t>
      </w:r>
      <w:r w:rsidR="006C680D" w:rsidRPr="00D337FA">
        <w:rPr>
          <w:rFonts w:eastAsia="Times New Roman"/>
          <w:szCs w:val="24"/>
          <w:lang w:eastAsia="ru-RU"/>
        </w:rPr>
        <w:t xml:space="preserve"> </w:t>
      </w:r>
      <w:r w:rsidRPr="00D337FA">
        <w:rPr>
          <w:rFonts w:eastAsia="Times New Roman"/>
          <w:szCs w:val="24"/>
          <w:lang w:eastAsia="ru-RU"/>
        </w:rPr>
        <w:t>банков</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данном</w:t>
      </w:r>
      <w:r w:rsidR="006C680D" w:rsidRPr="00D337FA">
        <w:rPr>
          <w:rFonts w:eastAsia="Times New Roman"/>
          <w:szCs w:val="24"/>
          <w:lang w:eastAsia="ru-RU"/>
        </w:rPr>
        <w:t xml:space="preserve"> </w:t>
      </w:r>
      <w:r w:rsidRPr="00D337FA">
        <w:rPr>
          <w:rFonts w:eastAsia="Times New Roman"/>
          <w:szCs w:val="24"/>
          <w:lang w:eastAsia="ru-RU"/>
        </w:rPr>
        <w:t>направлении,</w:t>
      </w:r>
      <w:r w:rsidR="006C680D" w:rsidRPr="00D337FA">
        <w:rPr>
          <w:rFonts w:eastAsia="Times New Roman"/>
          <w:szCs w:val="24"/>
          <w:lang w:eastAsia="ru-RU"/>
        </w:rPr>
        <w:t xml:space="preserve"> </w:t>
      </w:r>
      <w:r w:rsidRPr="00D337FA">
        <w:rPr>
          <w:rFonts w:eastAsia="Times New Roman"/>
          <w:szCs w:val="24"/>
          <w:lang w:eastAsia="ru-RU"/>
        </w:rPr>
        <w:t>научное</w:t>
      </w:r>
      <w:r w:rsidR="006C680D" w:rsidRPr="00D337FA">
        <w:rPr>
          <w:rFonts w:eastAsia="Times New Roman"/>
          <w:szCs w:val="24"/>
          <w:lang w:eastAsia="ru-RU"/>
        </w:rPr>
        <w:t xml:space="preserve"> </w:t>
      </w:r>
      <w:r w:rsidRPr="00D337FA">
        <w:rPr>
          <w:rFonts w:eastAsia="Times New Roman"/>
          <w:szCs w:val="24"/>
          <w:lang w:eastAsia="ru-RU"/>
        </w:rPr>
        <w:t>сообщество</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профессиональная</w:t>
      </w:r>
      <w:r w:rsidR="006C680D" w:rsidRPr="00D337FA">
        <w:rPr>
          <w:rFonts w:eastAsia="Times New Roman"/>
          <w:szCs w:val="24"/>
          <w:lang w:eastAsia="ru-RU"/>
        </w:rPr>
        <w:t xml:space="preserve"> </w:t>
      </w:r>
      <w:r w:rsidRPr="00D337FA">
        <w:rPr>
          <w:rFonts w:eastAsia="Times New Roman"/>
          <w:szCs w:val="24"/>
          <w:lang w:eastAsia="ru-RU"/>
        </w:rPr>
        <w:t>сфера</w:t>
      </w:r>
      <w:r w:rsidR="006C680D" w:rsidRPr="00D337FA">
        <w:rPr>
          <w:rFonts w:eastAsia="Times New Roman"/>
          <w:szCs w:val="24"/>
          <w:lang w:eastAsia="ru-RU"/>
        </w:rPr>
        <w:t xml:space="preserve"> </w:t>
      </w:r>
      <w:r w:rsidRPr="00D337FA">
        <w:rPr>
          <w:rFonts w:eastAsia="Times New Roman"/>
          <w:szCs w:val="24"/>
          <w:lang w:eastAsia="ru-RU"/>
        </w:rPr>
        <w:t>фиксируют</w:t>
      </w:r>
      <w:r w:rsidR="006C680D" w:rsidRPr="00D337FA">
        <w:rPr>
          <w:rFonts w:eastAsia="Times New Roman"/>
          <w:szCs w:val="24"/>
          <w:lang w:eastAsia="ru-RU"/>
        </w:rPr>
        <w:t xml:space="preserve"> </w:t>
      </w:r>
      <w:r w:rsidRPr="00D337FA">
        <w:rPr>
          <w:rFonts w:eastAsia="Times New Roman"/>
          <w:szCs w:val="24"/>
          <w:lang w:eastAsia="ru-RU"/>
        </w:rPr>
        <w:t>сохраняющийся</w:t>
      </w:r>
      <w:r w:rsidR="006C680D" w:rsidRPr="00D337FA">
        <w:rPr>
          <w:rFonts w:eastAsia="Times New Roman"/>
          <w:szCs w:val="24"/>
          <w:lang w:eastAsia="ru-RU"/>
        </w:rPr>
        <w:t xml:space="preserve"> </w:t>
      </w:r>
      <w:r w:rsidRPr="00D337FA">
        <w:rPr>
          <w:rFonts w:eastAsia="Times New Roman"/>
          <w:szCs w:val="24"/>
          <w:lang w:eastAsia="ru-RU"/>
        </w:rPr>
        <w:t>разрыв</w:t>
      </w:r>
      <w:r w:rsidR="006C680D" w:rsidRPr="00D337FA">
        <w:rPr>
          <w:rFonts w:eastAsia="Times New Roman"/>
          <w:szCs w:val="24"/>
          <w:lang w:eastAsia="ru-RU"/>
        </w:rPr>
        <w:t xml:space="preserve"> </w:t>
      </w:r>
      <w:r w:rsidRPr="00D337FA">
        <w:rPr>
          <w:rFonts w:eastAsia="Times New Roman"/>
          <w:szCs w:val="24"/>
          <w:lang w:eastAsia="ru-RU"/>
        </w:rPr>
        <w:t>между</w:t>
      </w:r>
      <w:r w:rsidR="006C680D" w:rsidRPr="00D337FA">
        <w:rPr>
          <w:rFonts w:eastAsia="Times New Roman"/>
          <w:szCs w:val="24"/>
          <w:lang w:eastAsia="ru-RU"/>
        </w:rPr>
        <w:t xml:space="preserve"> </w:t>
      </w:r>
      <w:r w:rsidRPr="00D337FA">
        <w:rPr>
          <w:rFonts w:eastAsia="Times New Roman"/>
          <w:szCs w:val="24"/>
          <w:lang w:eastAsia="ru-RU"/>
        </w:rPr>
        <w:t>потенциальными</w:t>
      </w:r>
      <w:r w:rsidR="006C680D" w:rsidRPr="00D337FA">
        <w:rPr>
          <w:rFonts w:eastAsia="Times New Roman"/>
          <w:szCs w:val="24"/>
          <w:lang w:eastAsia="ru-RU"/>
        </w:rPr>
        <w:t xml:space="preserve"> </w:t>
      </w:r>
      <w:r w:rsidRPr="00D337FA">
        <w:rPr>
          <w:rFonts w:eastAsia="Times New Roman"/>
          <w:szCs w:val="24"/>
          <w:lang w:eastAsia="ru-RU"/>
        </w:rPr>
        <w:t>возможностями</w:t>
      </w:r>
      <w:r w:rsidR="006C680D" w:rsidRPr="00D337FA">
        <w:rPr>
          <w:rFonts w:eastAsia="Times New Roman"/>
          <w:szCs w:val="24"/>
          <w:lang w:eastAsia="ru-RU"/>
        </w:rPr>
        <w:t xml:space="preserve"> </w:t>
      </w:r>
      <w:r w:rsidRPr="00D337FA">
        <w:rPr>
          <w:rFonts w:eastAsia="Times New Roman"/>
          <w:szCs w:val="24"/>
          <w:lang w:eastAsia="ru-RU"/>
        </w:rPr>
        <w:t>банковского</w:t>
      </w:r>
      <w:r w:rsidR="006C680D" w:rsidRPr="00D337FA">
        <w:rPr>
          <w:rFonts w:eastAsia="Times New Roman"/>
          <w:szCs w:val="24"/>
          <w:lang w:eastAsia="ru-RU"/>
        </w:rPr>
        <w:t xml:space="preserve"> </w:t>
      </w:r>
      <w:r w:rsidRPr="00D337FA">
        <w:rPr>
          <w:rFonts w:eastAsia="Times New Roman"/>
          <w:szCs w:val="24"/>
          <w:lang w:eastAsia="ru-RU"/>
        </w:rPr>
        <w:t>сектора</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реальными</w:t>
      </w:r>
      <w:r w:rsidR="006C680D" w:rsidRPr="00D337FA">
        <w:rPr>
          <w:rFonts w:eastAsia="Times New Roman"/>
          <w:szCs w:val="24"/>
          <w:lang w:eastAsia="ru-RU"/>
        </w:rPr>
        <w:t xml:space="preserve"> </w:t>
      </w:r>
      <w:r w:rsidRPr="00D337FA">
        <w:rPr>
          <w:rFonts w:eastAsia="Times New Roman"/>
          <w:szCs w:val="24"/>
          <w:lang w:eastAsia="ru-RU"/>
        </w:rPr>
        <w:t>потребностями</w:t>
      </w:r>
      <w:r w:rsidR="006C680D" w:rsidRPr="00D337FA">
        <w:rPr>
          <w:rFonts w:eastAsia="Times New Roman"/>
          <w:szCs w:val="24"/>
          <w:lang w:eastAsia="ru-RU"/>
        </w:rPr>
        <w:t xml:space="preserve"> </w:t>
      </w:r>
      <w:r w:rsidRPr="00D337FA">
        <w:rPr>
          <w:rFonts w:eastAsia="Times New Roman"/>
          <w:szCs w:val="24"/>
          <w:lang w:eastAsia="ru-RU"/>
        </w:rPr>
        <w:t>малых</w:t>
      </w:r>
      <w:r w:rsidR="006C680D" w:rsidRPr="00D337FA">
        <w:rPr>
          <w:rFonts w:eastAsia="Times New Roman"/>
          <w:szCs w:val="24"/>
          <w:lang w:eastAsia="ru-RU"/>
        </w:rPr>
        <w:t xml:space="preserve"> </w:t>
      </w:r>
      <w:r w:rsidRPr="00D337FA">
        <w:rPr>
          <w:rFonts w:eastAsia="Times New Roman"/>
          <w:szCs w:val="24"/>
          <w:lang w:eastAsia="ru-RU"/>
        </w:rPr>
        <w:t>предприятий,</w:t>
      </w:r>
      <w:r w:rsidR="006C680D" w:rsidRPr="00D337FA">
        <w:rPr>
          <w:rFonts w:eastAsia="Times New Roman"/>
          <w:szCs w:val="24"/>
          <w:lang w:eastAsia="ru-RU"/>
        </w:rPr>
        <w:t xml:space="preserve"> </w:t>
      </w:r>
      <w:r w:rsidRPr="00D337FA">
        <w:rPr>
          <w:rFonts w:eastAsia="Times New Roman"/>
          <w:szCs w:val="24"/>
          <w:lang w:eastAsia="ru-RU"/>
        </w:rPr>
        <w:t>что</w:t>
      </w:r>
      <w:r w:rsidR="006C680D" w:rsidRPr="00D337FA">
        <w:rPr>
          <w:rFonts w:eastAsia="Times New Roman"/>
          <w:szCs w:val="24"/>
          <w:lang w:eastAsia="ru-RU"/>
        </w:rPr>
        <w:t xml:space="preserve"> </w:t>
      </w:r>
      <w:r w:rsidRPr="00D337FA">
        <w:rPr>
          <w:rFonts w:eastAsia="Times New Roman"/>
          <w:szCs w:val="24"/>
          <w:lang w:eastAsia="ru-RU"/>
        </w:rPr>
        <w:t>актуализирует</w:t>
      </w:r>
      <w:r w:rsidR="006C680D" w:rsidRPr="00D337FA">
        <w:rPr>
          <w:rFonts w:eastAsia="Times New Roman"/>
          <w:szCs w:val="24"/>
          <w:lang w:eastAsia="ru-RU"/>
        </w:rPr>
        <w:t xml:space="preserve"> </w:t>
      </w:r>
      <w:r w:rsidRPr="00D337FA">
        <w:rPr>
          <w:rFonts w:eastAsia="Times New Roman"/>
          <w:szCs w:val="24"/>
          <w:lang w:eastAsia="ru-RU"/>
        </w:rPr>
        <w:t>необходимость</w:t>
      </w:r>
      <w:r w:rsidR="006C680D" w:rsidRPr="00D337FA">
        <w:rPr>
          <w:rFonts w:eastAsia="Times New Roman"/>
          <w:szCs w:val="24"/>
          <w:lang w:eastAsia="ru-RU"/>
        </w:rPr>
        <w:t xml:space="preserve"> </w:t>
      </w:r>
      <w:r w:rsidRPr="00D337FA">
        <w:rPr>
          <w:rFonts w:eastAsia="Times New Roman"/>
          <w:szCs w:val="24"/>
          <w:lang w:eastAsia="ru-RU"/>
        </w:rPr>
        <w:t>системного</w:t>
      </w:r>
      <w:r w:rsidR="006C680D" w:rsidRPr="00D337FA">
        <w:rPr>
          <w:rFonts w:eastAsia="Times New Roman"/>
          <w:szCs w:val="24"/>
          <w:lang w:eastAsia="ru-RU"/>
        </w:rPr>
        <w:t xml:space="preserve"> </w:t>
      </w:r>
      <w:r w:rsidRPr="00D337FA">
        <w:rPr>
          <w:rFonts w:eastAsia="Times New Roman"/>
          <w:szCs w:val="24"/>
          <w:lang w:eastAsia="ru-RU"/>
        </w:rPr>
        <w:t>анализа</w:t>
      </w:r>
      <w:r w:rsidR="006C680D" w:rsidRPr="00D337FA">
        <w:rPr>
          <w:rFonts w:eastAsia="Times New Roman"/>
          <w:szCs w:val="24"/>
          <w:lang w:eastAsia="ru-RU"/>
        </w:rPr>
        <w:t xml:space="preserve"> </w:t>
      </w:r>
      <w:r w:rsidRPr="00D337FA">
        <w:rPr>
          <w:rFonts w:eastAsia="Times New Roman"/>
          <w:szCs w:val="24"/>
          <w:lang w:eastAsia="ru-RU"/>
        </w:rPr>
        <w:t>совре</w:t>
      </w:r>
      <w:r w:rsidRPr="00D337FA">
        <w:rPr>
          <w:rFonts w:eastAsia="Times New Roman"/>
          <w:szCs w:val="24"/>
          <w:lang w:eastAsia="ru-RU"/>
        </w:rPr>
        <w:lastRenderedPageBreak/>
        <w:t>менных</w:t>
      </w:r>
      <w:r w:rsidR="006C680D" w:rsidRPr="00D337FA">
        <w:rPr>
          <w:rFonts w:eastAsia="Times New Roman"/>
          <w:szCs w:val="24"/>
          <w:lang w:eastAsia="ru-RU"/>
        </w:rPr>
        <w:t xml:space="preserve"> </w:t>
      </w:r>
      <w:r w:rsidRPr="00D337FA">
        <w:rPr>
          <w:rFonts w:eastAsia="Times New Roman"/>
          <w:szCs w:val="24"/>
          <w:lang w:eastAsia="ru-RU"/>
        </w:rPr>
        <w:t>форм</w:t>
      </w:r>
      <w:r w:rsidR="006C680D" w:rsidRPr="00D337FA">
        <w:rPr>
          <w:rFonts w:eastAsia="Times New Roman"/>
          <w:szCs w:val="24"/>
          <w:lang w:eastAsia="ru-RU"/>
        </w:rPr>
        <w:t xml:space="preserve"> </w:t>
      </w:r>
      <w:r w:rsidRPr="00D337FA">
        <w:rPr>
          <w:rFonts w:eastAsia="Times New Roman"/>
          <w:szCs w:val="24"/>
          <w:lang w:eastAsia="ru-RU"/>
        </w:rPr>
        <w:t>обслуживания</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выявления</w:t>
      </w:r>
      <w:r w:rsidR="006C680D" w:rsidRPr="00D337FA">
        <w:rPr>
          <w:rFonts w:eastAsia="Times New Roman"/>
          <w:szCs w:val="24"/>
          <w:lang w:eastAsia="ru-RU"/>
        </w:rPr>
        <w:t xml:space="preserve"> </w:t>
      </w:r>
      <w:r w:rsidRPr="00D337FA">
        <w:rPr>
          <w:rFonts w:eastAsia="Times New Roman"/>
          <w:szCs w:val="24"/>
          <w:lang w:eastAsia="ru-RU"/>
        </w:rPr>
        <w:t>перспективных</w:t>
      </w:r>
      <w:r w:rsidR="006C680D" w:rsidRPr="00D337FA">
        <w:rPr>
          <w:rFonts w:eastAsia="Times New Roman"/>
          <w:szCs w:val="24"/>
          <w:lang w:eastAsia="ru-RU"/>
        </w:rPr>
        <w:t xml:space="preserve"> </w:t>
      </w:r>
      <w:r w:rsidRPr="00D337FA">
        <w:rPr>
          <w:rFonts w:eastAsia="Times New Roman"/>
          <w:szCs w:val="24"/>
          <w:lang w:eastAsia="ru-RU"/>
        </w:rPr>
        <w:t>векторов</w:t>
      </w:r>
      <w:r w:rsidR="006C680D" w:rsidRPr="00D337FA">
        <w:rPr>
          <w:rFonts w:eastAsia="Times New Roman"/>
          <w:szCs w:val="24"/>
          <w:lang w:eastAsia="ru-RU"/>
        </w:rPr>
        <w:t xml:space="preserve"> </w:t>
      </w:r>
      <w:r w:rsidRPr="00D337FA">
        <w:rPr>
          <w:rFonts w:eastAsia="Times New Roman"/>
          <w:szCs w:val="24"/>
          <w:lang w:eastAsia="ru-RU"/>
        </w:rPr>
        <w:t>их</w:t>
      </w:r>
      <w:r w:rsidR="006C680D" w:rsidRPr="00D337FA">
        <w:rPr>
          <w:rFonts w:eastAsia="Times New Roman"/>
          <w:szCs w:val="24"/>
          <w:lang w:eastAsia="ru-RU"/>
        </w:rPr>
        <w:t xml:space="preserve"> </w:t>
      </w:r>
      <w:r w:rsidRPr="00D337FA">
        <w:rPr>
          <w:rFonts w:eastAsia="Times New Roman"/>
          <w:szCs w:val="24"/>
          <w:lang w:eastAsia="ru-RU"/>
        </w:rPr>
        <w:t>развития.</w:t>
      </w:r>
    </w:p>
    <w:p w:rsidR="00256E85" w:rsidRPr="00D337FA" w:rsidRDefault="00256E85" w:rsidP="00256E85">
      <w:pPr>
        <w:tabs>
          <w:tab w:val="left" w:pos="567"/>
        </w:tabs>
        <w:ind w:firstLine="284"/>
        <w:rPr>
          <w:rFonts w:eastAsia="Times New Roman"/>
          <w:bCs/>
          <w:szCs w:val="24"/>
          <w:lang w:eastAsia="ru-RU"/>
        </w:rPr>
      </w:pPr>
      <w:r w:rsidRPr="00D337FA">
        <w:rPr>
          <w:rFonts w:eastAsia="Times New Roman"/>
          <w:bCs/>
          <w:szCs w:val="24"/>
          <w:lang w:eastAsia="ru-RU"/>
        </w:rPr>
        <w:t>Анализ</w:t>
      </w:r>
      <w:r w:rsidR="006C680D" w:rsidRPr="00D337FA">
        <w:rPr>
          <w:rFonts w:eastAsia="Times New Roman"/>
          <w:bCs/>
          <w:szCs w:val="24"/>
          <w:lang w:eastAsia="ru-RU"/>
        </w:rPr>
        <w:t xml:space="preserve"> </w:t>
      </w:r>
      <w:r w:rsidRPr="00D337FA">
        <w:rPr>
          <w:rFonts w:eastAsia="Times New Roman"/>
          <w:bCs/>
          <w:szCs w:val="24"/>
          <w:lang w:eastAsia="ru-RU"/>
        </w:rPr>
        <w:t>современных</w:t>
      </w:r>
      <w:r w:rsidR="006C680D" w:rsidRPr="00D337FA">
        <w:rPr>
          <w:rFonts w:eastAsia="Times New Roman"/>
          <w:bCs/>
          <w:szCs w:val="24"/>
          <w:lang w:eastAsia="ru-RU"/>
        </w:rPr>
        <w:t xml:space="preserve"> </w:t>
      </w:r>
      <w:r w:rsidRPr="00D337FA">
        <w:rPr>
          <w:rFonts w:eastAsia="Times New Roman"/>
          <w:bCs/>
          <w:szCs w:val="24"/>
          <w:lang w:eastAsia="ru-RU"/>
        </w:rPr>
        <w:t>отечественных</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зарубежных</w:t>
      </w:r>
      <w:r w:rsidR="006C680D" w:rsidRPr="00D337FA">
        <w:rPr>
          <w:rFonts w:eastAsia="Times New Roman"/>
          <w:bCs/>
          <w:szCs w:val="24"/>
          <w:lang w:eastAsia="ru-RU"/>
        </w:rPr>
        <w:t xml:space="preserve"> </w:t>
      </w:r>
      <w:r w:rsidRPr="00D337FA">
        <w:rPr>
          <w:rFonts w:eastAsia="Times New Roman"/>
          <w:bCs/>
          <w:szCs w:val="24"/>
          <w:lang w:eastAsia="ru-RU"/>
        </w:rPr>
        <w:t>исследований</w:t>
      </w:r>
      <w:r w:rsidR="006C680D" w:rsidRPr="00D337FA">
        <w:rPr>
          <w:rFonts w:eastAsia="Times New Roman"/>
          <w:bCs/>
          <w:szCs w:val="24"/>
          <w:lang w:eastAsia="ru-RU"/>
        </w:rPr>
        <w:t xml:space="preserve"> </w:t>
      </w:r>
      <w:r w:rsidRPr="00D337FA">
        <w:rPr>
          <w:rFonts w:eastAsia="Times New Roman"/>
          <w:bCs/>
          <w:szCs w:val="24"/>
          <w:lang w:eastAsia="ru-RU"/>
        </w:rPr>
        <w:t>[4,</w:t>
      </w:r>
      <w:r w:rsidR="006C680D" w:rsidRPr="00D337FA">
        <w:rPr>
          <w:rFonts w:eastAsia="Times New Roman"/>
          <w:bCs/>
          <w:szCs w:val="24"/>
          <w:lang w:eastAsia="ru-RU"/>
        </w:rPr>
        <w:t xml:space="preserve"> </w:t>
      </w:r>
      <w:r w:rsidRPr="00D337FA">
        <w:rPr>
          <w:rFonts w:eastAsia="Times New Roman"/>
          <w:bCs/>
          <w:szCs w:val="24"/>
          <w:lang w:eastAsia="ru-RU"/>
        </w:rPr>
        <w:t>13,</w:t>
      </w:r>
      <w:r w:rsidR="006C680D" w:rsidRPr="00D337FA">
        <w:rPr>
          <w:rFonts w:eastAsia="Times New Roman"/>
          <w:bCs/>
          <w:szCs w:val="24"/>
          <w:lang w:eastAsia="ru-RU"/>
        </w:rPr>
        <w:t xml:space="preserve"> </w:t>
      </w:r>
      <w:r w:rsidRPr="00D337FA">
        <w:rPr>
          <w:rFonts w:eastAsia="Times New Roman"/>
          <w:bCs/>
          <w:szCs w:val="24"/>
          <w:lang w:eastAsia="ru-RU"/>
        </w:rPr>
        <w:t>20,</w:t>
      </w:r>
      <w:r w:rsidR="006C680D" w:rsidRPr="00D337FA">
        <w:rPr>
          <w:rFonts w:eastAsia="Times New Roman"/>
          <w:bCs/>
          <w:szCs w:val="24"/>
          <w:lang w:eastAsia="ru-RU"/>
        </w:rPr>
        <w:t xml:space="preserve"> </w:t>
      </w:r>
      <w:r w:rsidRPr="00D337FA">
        <w:rPr>
          <w:rFonts w:eastAsia="Times New Roman"/>
          <w:bCs/>
          <w:szCs w:val="24"/>
          <w:lang w:eastAsia="ru-RU"/>
        </w:rPr>
        <w:t>21,</w:t>
      </w:r>
      <w:r w:rsidR="006C680D" w:rsidRPr="00D337FA">
        <w:rPr>
          <w:rFonts w:eastAsia="Times New Roman"/>
          <w:bCs/>
          <w:szCs w:val="24"/>
          <w:lang w:eastAsia="ru-RU"/>
        </w:rPr>
        <w:t xml:space="preserve"> </w:t>
      </w:r>
      <w:r w:rsidRPr="00D337FA">
        <w:rPr>
          <w:rFonts w:eastAsia="Times New Roman"/>
          <w:bCs/>
          <w:szCs w:val="24"/>
          <w:lang w:eastAsia="ru-RU"/>
        </w:rPr>
        <w:t>24]</w:t>
      </w:r>
      <w:r w:rsidR="006C680D" w:rsidRPr="00D337FA">
        <w:rPr>
          <w:rFonts w:eastAsia="Times New Roman"/>
          <w:bCs/>
          <w:szCs w:val="24"/>
          <w:lang w:eastAsia="ru-RU"/>
        </w:rPr>
        <w:t xml:space="preserve"> </w:t>
      </w:r>
      <w:r w:rsidRPr="00D337FA">
        <w:rPr>
          <w:rFonts w:eastAsia="Times New Roman"/>
          <w:bCs/>
          <w:szCs w:val="24"/>
          <w:lang w:eastAsia="ru-RU"/>
        </w:rPr>
        <w:t>показывает,</w:t>
      </w:r>
      <w:r w:rsidR="006C680D" w:rsidRPr="00D337FA">
        <w:rPr>
          <w:rFonts w:eastAsia="Times New Roman"/>
          <w:bCs/>
          <w:szCs w:val="24"/>
          <w:lang w:eastAsia="ru-RU"/>
        </w:rPr>
        <w:t xml:space="preserve"> </w:t>
      </w:r>
      <w:r w:rsidRPr="00D337FA">
        <w:rPr>
          <w:rFonts w:eastAsia="Times New Roman"/>
          <w:bCs/>
          <w:szCs w:val="24"/>
          <w:lang w:eastAsia="ru-RU"/>
        </w:rPr>
        <w:t>что,</w:t>
      </w:r>
      <w:r w:rsidR="006C680D" w:rsidRPr="00D337FA">
        <w:rPr>
          <w:rFonts w:eastAsia="Times New Roman"/>
          <w:bCs/>
          <w:szCs w:val="24"/>
          <w:lang w:eastAsia="ru-RU"/>
        </w:rPr>
        <w:t xml:space="preserve"> </w:t>
      </w:r>
      <w:r w:rsidRPr="00D337FA">
        <w:rPr>
          <w:rFonts w:eastAsia="Times New Roman"/>
          <w:bCs/>
          <w:szCs w:val="24"/>
          <w:lang w:eastAsia="ru-RU"/>
        </w:rPr>
        <w:t>хотя</w:t>
      </w:r>
      <w:r w:rsidR="006C680D" w:rsidRPr="00D337FA">
        <w:rPr>
          <w:rFonts w:eastAsia="Times New Roman"/>
          <w:bCs/>
          <w:szCs w:val="24"/>
          <w:lang w:eastAsia="ru-RU"/>
        </w:rPr>
        <w:t xml:space="preserve"> </w:t>
      </w:r>
      <w:r w:rsidRPr="00D337FA">
        <w:rPr>
          <w:rFonts w:eastAsia="Times New Roman"/>
          <w:bCs/>
          <w:szCs w:val="24"/>
          <w:lang w:eastAsia="ru-RU"/>
        </w:rPr>
        <w:t>проблемы</w:t>
      </w:r>
      <w:r w:rsidR="006C680D" w:rsidRPr="00D337FA">
        <w:rPr>
          <w:rFonts w:eastAsia="Times New Roman"/>
          <w:bCs/>
          <w:szCs w:val="24"/>
          <w:lang w:eastAsia="ru-RU"/>
        </w:rPr>
        <w:t xml:space="preserve"> </w:t>
      </w:r>
      <w:r w:rsidRPr="00D337FA">
        <w:rPr>
          <w:rFonts w:eastAsia="Times New Roman"/>
          <w:bCs/>
          <w:szCs w:val="24"/>
          <w:lang w:eastAsia="ru-RU"/>
        </w:rPr>
        <w:t>информационной</w:t>
      </w:r>
      <w:r w:rsidR="006C680D" w:rsidRPr="00D337FA">
        <w:rPr>
          <w:rFonts w:eastAsia="Times New Roman"/>
          <w:bCs/>
          <w:szCs w:val="24"/>
          <w:lang w:eastAsia="ru-RU"/>
        </w:rPr>
        <w:t xml:space="preserve"> </w:t>
      </w:r>
      <w:r w:rsidRPr="00D337FA">
        <w:rPr>
          <w:rFonts w:eastAsia="Times New Roman"/>
          <w:bCs/>
          <w:szCs w:val="24"/>
          <w:lang w:eastAsia="ru-RU"/>
        </w:rPr>
        <w:t>асимметрии,</w:t>
      </w:r>
      <w:r w:rsidR="006C680D" w:rsidRPr="00D337FA">
        <w:rPr>
          <w:rFonts w:eastAsia="Times New Roman"/>
          <w:bCs/>
          <w:szCs w:val="24"/>
          <w:lang w:eastAsia="ru-RU"/>
        </w:rPr>
        <w:t xml:space="preserve"> </w:t>
      </w:r>
      <w:r w:rsidRPr="00D337FA">
        <w:rPr>
          <w:rFonts w:eastAsia="Times New Roman"/>
          <w:bCs/>
          <w:szCs w:val="24"/>
          <w:lang w:eastAsia="ru-RU"/>
        </w:rPr>
        <w:t>цифровизации</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экосистемности</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банковском</w:t>
      </w:r>
      <w:r w:rsidR="006C680D" w:rsidRPr="00D337FA">
        <w:rPr>
          <w:rFonts w:eastAsia="Times New Roman"/>
          <w:bCs/>
          <w:szCs w:val="24"/>
          <w:lang w:eastAsia="ru-RU"/>
        </w:rPr>
        <w:t xml:space="preserve"> </w:t>
      </w:r>
      <w:r w:rsidRPr="00D337FA">
        <w:rPr>
          <w:rFonts w:eastAsia="Times New Roman"/>
          <w:bCs/>
          <w:szCs w:val="24"/>
          <w:lang w:eastAsia="ru-RU"/>
        </w:rPr>
        <w:t>обслуживании</w:t>
      </w:r>
      <w:r w:rsidR="006C680D" w:rsidRPr="00D337FA">
        <w:rPr>
          <w:rFonts w:eastAsia="Times New Roman"/>
          <w:bCs/>
          <w:szCs w:val="24"/>
          <w:lang w:eastAsia="ru-RU"/>
        </w:rPr>
        <w:t xml:space="preserve"> </w:t>
      </w:r>
      <w:r w:rsidRPr="00D337FA">
        <w:rPr>
          <w:rFonts w:eastAsia="Times New Roman"/>
          <w:bCs/>
          <w:szCs w:val="24"/>
          <w:lang w:eastAsia="ru-RU"/>
        </w:rPr>
        <w:t>малого</w:t>
      </w:r>
      <w:r w:rsidR="006C680D" w:rsidRPr="00D337FA">
        <w:rPr>
          <w:rFonts w:eastAsia="Times New Roman"/>
          <w:bCs/>
          <w:szCs w:val="24"/>
          <w:lang w:eastAsia="ru-RU"/>
        </w:rPr>
        <w:t xml:space="preserve"> </w:t>
      </w:r>
      <w:r w:rsidRPr="00D337FA">
        <w:rPr>
          <w:rFonts w:eastAsia="Times New Roman"/>
          <w:bCs/>
          <w:szCs w:val="24"/>
          <w:lang w:eastAsia="ru-RU"/>
        </w:rPr>
        <w:t>бизнеса</w:t>
      </w:r>
      <w:r w:rsidR="006C680D" w:rsidRPr="00D337FA">
        <w:rPr>
          <w:rFonts w:eastAsia="Times New Roman"/>
          <w:bCs/>
          <w:szCs w:val="24"/>
          <w:lang w:eastAsia="ru-RU"/>
        </w:rPr>
        <w:t xml:space="preserve"> </w:t>
      </w:r>
      <w:r w:rsidRPr="00D337FA">
        <w:rPr>
          <w:rFonts w:eastAsia="Times New Roman"/>
          <w:bCs/>
          <w:szCs w:val="24"/>
          <w:lang w:eastAsia="ru-RU"/>
        </w:rPr>
        <w:t>широко</w:t>
      </w:r>
      <w:r w:rsidR="006C680D" w:rsidRPr="00D337FA">
        <w:rPr>
          <w:rFonts w:eastAsia="Times New Roman"/>
          <w:bCs/>
          <w:szCs w:val="24"/>
          <w:lang w:eastAsia="ru-RU"/>
        </w:rPr>
        <w:t xml:space="preserve"> </w:t>
      </w:r>
      <w:r w:rsidRPr="00D337FA">
        <w:rPr>
          <w:rFonts w:eastAsia="Times New Roman"/>
          <w:bCs/>
          <w:szCs w:val="24"/>
          <w:lang w:eastAsia="ru-RU"/>
        </w:rPr>
        <w:t>освещены,</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научной</w:t>
      </w:r>
      <w:r w:rsidR="006C680D" w:rsidRPr="00D337FA">
        <w:rPr>
          <w:rFonts w:eastAsia="Times New Roman"/>
          <w:bCs/>
          <w:szCs w:val="24"/>
          <w:lang w:eastAsia="ru-RU"/>
        </w:rPr>
        <w:t xml:space="preserve"> </w:t>
      </w:r>
      <w:r w:rsidRPr="00D337FA">
        <w:rPr>
          <w:rFonts w:eastAsia="Times New Roman"/>
          <w:bCs/>
          <w:szCs w:val="24"/>
          <w:lang w:eastAsia="ru-RU"/>
        </w:rPr>
        <w:t>литературе</w:t>
      </w:r>
      <w:r w:rsidR="006C680D" w:rsidRPr="00D337FA">
        <w:rPr>
          <w:rFonts w:eastAsia="Times New Roman"/>
          <w:bCs/>
          <w:szCs w:val="24"/>
          <w:lang w:eastAsia="ru-RU"/>
        </w:rPr>
        <w:t xml:space="preserve"> </w:t>
      </w:r>
      <w:r w:rsidRPr="00D337FA">
        <w:rPr>
          <w:rFonts w:eastAsia="Times New Roman"/>
          <w:bCs/>
          <w:szCs w:val="24"/>
          <w:lang w:eastAsia="ru-RU"/>
        </w:rPr>
        <w:t>сохраняются</w:t>
      </w:r>
      <w:r w:rsidR="006C680D" w:rsidRPr="00D337FA">
        <w:rPr>
          <w:rFonts w:eastAsia="Times New Roman"/>
          <w:bCs/>
          <w:szCs w:val="24"/>
          <w:lang w:eastAsia="ru-RU"/>
        </w:rPr>
        <w:t xml:space="preserve"> </w:t>
      </w:r>
      <w:r w:rsidRPr="00D337FA">
        <w:rPr>
          <w:rFonts w:eastAsia="Times New Roman"/>
          <w:bCs/>
          <w:szCs w:val="24"/>
          <w:lang w:eastAsia="ru-RU"/>
        </w:rPr>
        <w:t>существенные</w:t>
      </w:r>
      <w:r w:rsidR="006C680D" w:rsidRPr="00D337FA">
        <w:rPr>
          <w:rFonts w:eastAsia="Times New Roman"/>
          <w:bCs/>
          <w:szCs w:val="24"/>
          <w:lang w:eastAsia="ru-RU"/>
        </w:rPr>
        <w:t xml:space="preserve"> </w:t>
      </w:r>
      <w:r w:rsidRPr="00D337FA">
        <w:rPr>
          <w:rFonts w:eastAsia="Times New Roman"/>
          <w:bCs/>
          <w:szCs w:val="24"/>
          <w:lang w:eastAsia="ru-RU"/>
        </w:rPr>
        <w:t>пробелы.</w:t>
      </w:r>
      <w:r w:rsidR="006C680D" w:rsidRPr="00D337FA">
        <w:rPr>
          <w:rFonts w:eastAsia="Times New Roman"/>
          <w:bCs/>
          <w:szCs w:val="24"/>
          <w:lang w:eastAsia="ru-RU"/>
        </w:rPr>
        <w:t xml:space="preserve"> </w:t>
      </w:r>
      <w:r w:rsidRPr="00D337FA">
        <w:rPr>
          <w:rFonts w:eastAsia="Times New Roman"/>
          <w:bCs/>
          <w:szCs w:val="24"/>
          <w:lang w:eastAsia="ru-RU"/>
        </w:rPr>
        <w:t>Во-первых,</w:t>
      </w:r>
      <w:r w:rsidR="006C680D" w:rsidRPr="00D337FA">
        <w:rPr>
          <w:rFonts w:eastAsia="Times New Roman"/>
          <w:bCs/>
          <w:szCs w:val="24"/>
          <w:lang w:eastAsia="ru-RU"/>
        </w:rPr>
        <w:t xml:space="preserve"> </w:t>
      </w:r>
      <w:r w:rsidRPr="00D337FA">
        <w:rPr>
          <w:rFonts w:eastAsia="Times New Roman"/>
          <w:bCs/>
          <w:szCs w:val="24"/>
          <w:lang w:eastAsia="ru-RU"/>
        </w:rPr>
        <w:t>недостаточно</w:t>
      </w:r>
      <w:r w:rsidR="006C680D" w:rsidRPr="00D337FA">
        <w:rPr>
          <w:rFonts w:eastAsia="Times New Roman"/>
          <w:bCs/>
          <w:szCs w:val="24"/>
          <w:lang w:eastAsia="ru-RU"/>
        </w:rPr>
        <w:t xml:space="preserve"> </w:t>
      </w:r>
      <w:r w:rsidRPr="00D337FA">
        <w:rPr>
          <w:rFonts w:eastAsia="Times New Roman"/>
          <w:bCs/>
          <w:szCs w:val="24"/>
          <w:lang w:eastAsia="ru-RU"/>
        </w:rPr>
        <w:t>изучена</w:t>
      </w:r>
      <w:r w:rsidR="006C680D" w:rsidRPr="00D337FA">
        <w:rPr>
          <w:rFonts w:eastAsia="Times New Roman"/>
          <w:bCs/>
          <w:szCs w:val="24"/>
          <w:lang w:eastAsia="ru-RU"/>
        </w:rPr>
        <w:t xml:space="preserve"> </w:t>
      </w:r>
      <w:r w:rsidRPr="00D337FA">
        <w:rPr>
          <w:rFonts w:eastAsia="Times New Roman"/>
          <w:bCs/>
          <w:szCs w:val="24"/>
          <w:lang w:eastAsia="ru-RU"/>
        </w:rPr>
        <w:t>комплексная</w:t>
      </w:r>
      <w:r w:rsidR="006C680D" w:rsidRPr="00D337FA">
        <w:rPr>
          <w:rFonts w:eastAsia="Times New Roman"/>
          <w:bCs/>
          <w:szCs w:val="24"/>
          <w:lang w:eastAsia="ru-RU"/>
        </w:rPr>
        <w:t xml:space="preserve"> </w:t>
      </w:r>
      <w:r w:rsidRPr="00D337FA">
        <w:rPr>
          <w:rFonts w:eastAsia="Times New Roman"/>
          <w:bCs/>
          <w:szCs w:val="24"/>
          <w:lang w:eastAsia="ru-RU"/>
        </w:rPr>
        <w:t>взаимосвязь</w:t>
      </w:r>
      <w:r w:rsidR="006C680D" w:rsidRPr="00D337FA">
        <w:rPr>
          <w:rFonts w:eastAsia="Times New Roman"/>
          <w:bCs/>
          <w:szCs w:val="24"/>
          <w:lang w:eastAsia="ru-RU"/>
        </w:rPr>
        <w:t xml:space="preserve"> </w:t>
      </w:r>
      <w:r w:rsidRPr="00D337FA">
        <w:rPr>
          <w:rFonts w:eastAsia="Times New Roman"/>
          <w:bCs/>
          <w:szCs w:val="24"/>
          <w:lang w:eastAsia="ru-RU"/>
        </w:rPr>
        <w:t>между</w:t>
      </w:r>
      <w:r w:rsidR="006C680D" w:rsidRPr="00D337FA">
        <w:rPr>
          <w:rFonts w:eastAsia="Times New Roman"/>
          <w:bCs/>
          <w:szCs w:val="24"/>
          <w:lang w:eastAsia="ru-RU"/>
        </w:rPr>
        <w:t xml:space="preserve"> </w:t>
      </w:r>
      <w:r w:rsidRPr="00D337FA">
        <w:rPr>
          <w:rFonts w:eastAsia="Times New Roman"/>
          <w:bCs/>
          <w:szCs w:val="24"/>
          <w:lang w:eastAsia="ru-RU"/>
        </w:rPr>
        <w:t>различными</w:t>
      </w:r>
      <w:r w:rsidR="006C680D" w:rsidRPr="00D337FA">
        <w:rPr>
          <w:rFonts w:eastAsia="Times New Roman"/>
          <w:bCs/>
          <w:szCs w:val="24"/>
          <w:lang w:eastAsia="ru-RU"/>
        </w:rPr>
        <w:t xml:space="preserve"> </w:t>
      </w:r>
      <w:r w:rsidRPr="00D337FA">
        <w:rPr>
          <w:rFonts w:eastAsia="Times New Roman"/>
          <w:bCs/>
          <w:szCs w:val="24"/>
          <w:lang w:eastAsia="ru-RU"/>
        </w:rPr>
        <w:t>современными</w:t>
      </w:r>
      <w:r w:rsidR="006C680D" w:rsidRPr="00D337FA">
        <w:rPr>
          <w:rFonts w:eastAsia="Times New Roman"/>
          <w:bCs/>
          <w:szCs w:val="24"/>
          <w:lang w:eastAsia="ru-RU"/>
        </w:rPr>
        <w:t xml:space="preserve"> </w:t>
      </w:r>
      <w:r w:rsidRPr="00D337FA">
        <w:rPr>
          <w:rFonts w:eastAsia="Times New Roman"/>
          <w:bCs/>
          <w:szCs w:val="24"/>
          <w:lang w:eastAsia="ru-RU"/>
        </w:rPr>
        <w:t>тенденциями</w:t>
      </w:r>
      <w:r w:rsidR="006C680D" w:rsidRPr="00D337FA">
        <w:rPr>
          <w:rFonts w:eastAsia="Times New Roman"/>
          <w:bCs/>
          <w:szCs w:val="24"/>
          <w:lang w:eastAsia="ru-RU"/>
        </w:rPr>
        <w:t xml:space="preserve"> </w:t>
      </w:r>
      <w:r w:rsidRPr="00D337FA">
        <w:rPr>
          <w:rFonts w:eastAsia="Times New Roman"/>
          <w:bCs/>
          <w:szCs w:val="24"/>
          <w:lang w:eastAsia="ru-RU"/>
        </w:rPr>
        <w:t>(цифровизация,</w:t>
      </w:r>
      <w:r w:rsidR="006C680D" w:rsidRPr="00D337FA">
        <w:rPr>
          <w:rFonts w:eastAsia="Times New Roman"/>
          <w:bCs/>
          <w:szCs w:val="24"/>
          <w:lang w:eastAsia="ru-RU"/>
        </w:rPr>
        <w:t xml:space="preserve"> </w:t>
      </w:r>
      <w:r w:rsidRPr="00D337FA">
        <w:rPr>
          <w:rFonts w:eastAsia="Times New Roman"/>
          <w:bCs/>
          <w:szCs w:val="24"/>
          <w:lang w:eastAsia="ru-RU"/>
        </w:rPr>
        <w:t>отраслевая</w:t>
      </w:r>
      <w:r w:rsidR="006C680D" w:rsidRPr="00D337FA">
        <w:rPr>
          <w:rFonts w:eastAsia="Times New Roman"/>
          <w:bCs/>
          <w:szCs w:val="24"/>
          <w:lang w:eastAsia="ru-RU"/>
        </w:rPr>
        <w:t xml:space="preserve"> </w:t>
      </w:r>
      <w:r w:rsidRPr="00D337FA">
        <w:rPr>
          <w:rFonts w:eastAsia="Times New Roman"/>
          <w:bCs/>
          <w:szCs w:val="24"/>
          <w:lang w:eastAsia="ru-RU"/>
        </w:rPr>
        <w:t>специализация,</w:t>
      </w:r>
      <w:r w:rsidR="006C680D" w:rsidRPr="00D337FA">
        <w:rPr>
          <w:rFonts w:eastAsia="Times New Roman"/>
          <w:bCs/>
          <w:szCs w:val="24"/>
          <w:lang w:eastAsia="ru-RU"/>
        </w:rPr>
        <w:t xml:space="preserve"> </w:t>
      </w:r>
      <w:r w:rsidRPr="00D337FA">
        <w:rPr>
          <w:rFonts w:eastAsia="Times New Roman"/>
          <w:bCs/>
          <w:szCs w:val="24"/>
          <w:lang w:eastAsia="ru-RU"/>
        </w:rPr>
        <w:t>нефинансовое</w:t>
      </w:r>
      <w:r w:rsidR="006C680D" w:rsidRPr="00D337FA">
        <w:rPr>
          <w:rFonts w:eastAsia="Times New Roman"/>
          <w:bCs/>
          <w:szCs w:val="24"/>
          <w:lang w:eastAsia="ru-RU"/>
        </w:rPr>
        <w:t xml:space="preserve"> </w:t>
      </w:r>
      <w:r w:rsidRPr="00D337FA">
        <w:rPr>
          <w:rFonts w:eastAsia="Times New Roman"/>
          <w:bCs/>
          <w:szCs w:val="24"/>
          <w:lang w:eastAsia="ru-RU"/>
        </w:rPr>
        <w:t>сопровождение),</w:t>
      </w:r>
      <w:r w:rsidR="006C680D" w:rsidRPr="00D337FA">
        <w:rPr>
          <w:rFonts w:eastAsia="Times New Roman"/>
          <w:bCs/>
          <w:szCs w:val="24"/>
          <w:lang w:eastAsia="ru-RU"/>
        </w:rPr>
        <w:t xml:space="preserve"> </w:t>
      </w:r>
      <w:r w:rsidRPr="00D337FA">
        <w:rPr>
          <w:rFonts w:eastAsia="Times New Roman"/>
          <w:bCs/>
          <w:szCs w:val="24"/>
          <w:lang w:eastAsia="ru-RU"/>
        </w:rPr>
        <w:t>которые</w:t>
      </w:r>
      <w:r w:rsidR="006C680D" w:rsidRPr="00D337FA">
        <w:rPr>
          <w:rFonts w:eastAsia="Times New Roman"/>
          <w:bCs/>
          <w:szCs w:val="24"/>
          <w:lang w:eastAsia="ru-RU"/>
        </w:rPr>
        <w:t xml:space="preserve"> </w:t>
      </w:r>
      <w:r w:rsidRPr="00D337FA">
        <w:rPr>
          <w:rFonts w:eastAsia="Times New Roman"/>
          <w:bCs/>
          <w:szCs w:val="24"/>
          <w:lang w:eastAsia="ru-RU"/>
        </w:rPr>
        <w:t>часто</w:t>
      </w:r>
      <w:r w:rsidR="006C680D" w:rsidRPr="00D337FA">
        <w:rPr>
          <w:rFonts w:eastAsia="Times New Roman"/>
          <w:bCs/>
          <w:szCs w:val="24"/>
          <w:lang w:eastAsia="ru-RU"/>
        </w:rPr>
        <w:t xml:space="preserve"> </w:t>
      </w:r>
      <w:r w:rsidRPr="00D337FA">
        <w:rPr>
          <w:rFonts w:eastAsia="Times New Roman"/>
          <w:bCs/>
          <w:szCs w:val="24"/>
          <w:lang w:eastAsia="ru-RU"/>
        </w:rPr>
        <w:t>рассматриваются</w:t>
      </w:r>
      <w:r w:rsidR="006C680D" w:rsidRPr="00D337FA">
        <w:rPr>
          <w:rFonts w:eastAsia="Times New Roman"/>
          <w:bCs/>
          <w:szCs w:val="24"/>
          <w:lang w:eastAsia="ru-RU"/>
        </w:rPr>
        <w:t xml:space="preserve"> </w:t>
      </w:r>
      <w:r w:rsidRPr="00D337FA">
        <w:rPr>
          <w:rFonts w:eastAsia="Times New Roman"/>
          <w:bCs/>
          <w:szCs w:val="24"/>
          <w:lang w:eastAsia="ru-RU"/>
        </w:rPr>
        <w:t>изолированно.</w:t>
      </w:r>
      <w:r w:rsidR="006C680D" w:rsidRPr="00D337FA">
        <w:rPr>
          <w:rFonts w:eastAsia="Times New Roman"/>
          <w:bCs/>
          <w:szCs w:val="24"/>
          <w:lang w:eastAsia="ru-RU"/>
        </w:rPr>
        <w:t xml:space="preserve"> </w:t>
      </w:r>
      <w:r w:rsidRPr="00D337FA">
        <w:rPr>
          <w:rFonts w:eastAsia="Times New Roman"/>
          <w:bCs/>
          <w:szCs w:val="24"/>
          <w:lang w:eastAsia="ru-RU"/>
        </w:rPr>
        <w:t>Во-вторых,</w:t>
      </w:r>
      <w:r w:rsidR="006C680D" w:rsidRPr="00D337FA">
        <w:rPr>
          <w:rFonts w:eastAsia="Times New Roman"/>
          <w:bCs/>
          <w:szCs w:val="24"/>
          <w:lang w:eastAsia="ru-RU"/>
        </w:rPr>
        <w:t xml:space="preserve"> </w:t>
      </w:r>
      <w:r w:rsidRPr="00D337FA">
        <w:rPr>
          <w:rFonts w:eastAsia="Times New Roman"/>
          <w:bCs/>
          <w:szCs w:val="24"/>
          <w:lang w:eastAsia="ru-RU"/>
        </w:rPr>
        <w:t>не</w:t>
      </w:r>
      <w:r w:rsidR="006C680D" w:rsidRPr="00D337FA">
        <w:rPr>
          <w:rFonts w:eastAsia="Times New Roman"/>
          <w:bCs/>
          <w:szCs w:val="24"/>
          <w:lang w:eastAsia="ru-RU"/>
        </w:rPr>
        <w:t xml:space="preserve"> </w:t>
      </w:r>
      <w:r w:rsidRPr="00D337FA">
        <w:rPr>
          <w:rFonts w:eastAsia="Times New Roman"/>
          <w:bCs/>
          <w:szCs w:val="24"/>
          <w:lang w:eastAsia="ru-RU"/>
        </w:rPr>
        <w:t>хватает</w:t>
      </w:r>
      <w:r w:rsidR="006C680D" w:rsidRPr="00D337FA">
        <w:rPr>
          <w:rFonts w:eastAsia="Times New Roman"/>
          <w:bCs/>
          <w:szCs w:val="24"/>
          <w:lang w:eastAsia="ru-RU"/>
        </w:rPr>
        <w:t xml:space="preserve"> </w:t>
      </w:r>
      <w:r w:rsidRPr="00D337FA">
        <w:rPr>
          <w:rFonts w:eastAsia="Times New Roman"/>
          <w:bCs/>
          <w:szCs w:val="24"/>
          <w:lang w:eastAsia="ru-RU"/>
        </w:rPr>
        <w:t>структурированных</w:t>
      </w:r>
      <w:r w:rsidR="006C680D" w:rsidRPr="00D337FA">
        <w:rPr>
          <w:rFonts w:eastAsia="Times New Roman"/>
          <w:bCs/>
          <w:szCs w:val="24"/>
          <w:lang w:eastAsia="ru-RU"/>
        </w:rPr>
        <w:t xml:space="preserve"> </w:t>
      </w:r>
      <w:r w:rsidRPr="00D337FA">
        <w:rPr>
          <w:rFonts w:eastAsia="Times New Roman"/>
          <w:bCs/>
          <w:szCs w:val="24"/>
          <w:lang w:eastAsia="ru-RU"/>
        </w:rPr>
        <w:t>эмпирических</w:t>
      </w:r>
      <w:r w:rsidR="006C680D" w:rsidRPr="00D337FA">
        <w:rPr>
          <w:rFonts w:eastAsia="Times New Roman"/>
          <w:bCs/>
          <w:szCs w:val="24"/>
          <w:lang w:eastAsia="ru-RU"/>
        </w:rPr>
        <w:t xml:space="preserve"> </w:t>
      </w:r>
      <w:r w:rsidRPr="00D337FA">
        <w:rPr>
          <w:rFonts w:eastAsia="Times New Roman"/>
          <w:bCs/>
          <w:szCs w:val="24"/>
          <w:lang w:eastAsia="ru-RU"/>
        </w:rPr>
        <w:t>данных</w:t>
      </w:r>
      <w:r w:rsidR="006C680D" w:rsidRPr="00D337FA">
        <w:rPr>
          <w:rFonts w:eastAsia="Times New Roman"/>
          <w:bCs/>
          <w:szCs w:val="24"/>
          <w:lang w:eastAsia="ru-RU"/>
        </w:rPr>
        <w:t xml:space="preserve"> </w:t>
      </w:r>
      <w:r w:rsidRPr="00D337FA">
        <w:rPr>
          <w:rFonts w:eastAsia="Times New Roman"/>
          <w:bCs/>
          <w:szCs w:val="24"/>
          <w:lang w:eastAsia="ru-RU"/>
        </w:rPr>
        <w:t>о</w:t>
      </w:r>
      <w:r w:rsidR="006C680D" w:rsidRPr="00D337FA">
        <w:rPr>
          <w:rFonts w:eastAsia="Times New Roman"/>
          <w:bCs/>
          <w:szCs w:val="24"/>
          <w:lang w:eastAsia="ru-RU"/>
        </w:rPr>
        <w:t xml:space="preserve"> </w:t>
      </w:r>
      <w:r w:rsidRPr="00D337FA">
        <w:rPr>
          <w:rFonts w:eastAsia="Times New Roman"/>
          <w:bCs/>
          <w:szCs w:val="24"/>
          <w:lang w:eastAsia="ru-RU"/>
        </w:rPr>
        <w:t>реальной</w:t>
      </w:r>
      <w:r w:rsidR="006C680D" w:rsidRPr="00D337FA">
        <w:rPr>
          <w:rFonts w:eastAsia="Times New Roman"/>
          <w:bCs/>
          <w:szCs w:val="24"/>
          <w:lang w:eastAsia="ru-RU"/>
        </w:rPr>
        <w:t xml:space="preserve"> </w:t>
      </w:r>
      <w:r w:rsidRPr="00D337FA">
        <w:rPr>
          <w:rFonts w:eastAsia="Times New Roman"/>
          <w:bCs/>
          <w:szCs w:val="24"/>
          <w:lang w:eastAsia="ru-RU"/>
        </w:rPr>
        <w:t>практике</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глубине</w:t>
      </w:r>
      <w:r w:rsidR="006C680D" w:rsidRPr="00D337FA">
        <w:rPr>
          <w:rFonts w:eastAsia="Times New Roman"/>
          <w:bCs/>
          <w:szCs w:val="24"/>
          <w:lang w:eastAsia="ru-RU"/>
        </w:rPr>
        <w:t xml:space="preserve"> </w:t>
      </w:r>
      <w:r w:rsidRPr="00D337FA">
        <w:rPr>
          <w:rFonts w:eastAsia="Times New Roman"/>
          <w:bCs/>
          <w:szCs w:val="24"/>
          <w:lang w:eastAsia="ru-RU"/>
        </w:rPr>
        <w:t>внедрения</w:t>
      </w:r>
      <w:r w:rsidR="006C680D" w:rsidRPr="00D337FA">
        <w:rPr>
          <w:rFonts w:eastAsia="Times New Roman"/>
          <w:bCs/>
          <w:szCs w:val="24"/>
          <w:lang w:eastAsia="ru-RU"/>
        </w:rPr>
        <w:t xml:space="preserve"> </w:t>
      </w:r>
      <w:r w:rsidRPr="00D337FA">
        <w:rPr>
          <w:rFonts w:eastAsia="Times New Roman"/>
          <w:bCs/>
          <w:szCs w:val="24"/>
          <w:lang w:eastAsia="ru-RU"/>
        </w:rPr>
        <w:t>этих</w:t>
      </w:r>
      <w:r w:rsidR="006C680D" w:rsidRPr="00D337FA">
        <w:rPr>
          <w:rFonts w:eastAsia="Times New Roman"/>
          <w:bCs/>
          <w:szCs w:val="24"/>
          <w:lang w:eastAsia="ru-RU"/>
        </w:rPr>
        <w:t xml:space="preserve"> </w:t>
      </w:r>
      <w:r w:rsidRPr="00D337FA">
        <w:rPr>
          <w:rFonts w:eastAsia="Times New Roman"/>
          <w:bCs/>
          <w:szCs w:val="24"/>
          <w:lang w:eastAsia="ru-RU"/>
        </w:rPr>
        <w:t>тенденций</w:t>
      </w:r>
      <w:r w:rsidR="006C680D" w:rsidRPr="00D337FA">
        <w:rPr>
          <w:rFonts w:eastAsia="Times New Roman"/>
          <w:bCs/>
          <w:szCs w:val="24"/>
          <w:lang w:eastAsia="ru-RU"/>
        </w:rPr>
        <w:t xml:space="preserve"> </w:t>
      </w:r>
      <w:r w:rsidRPr="00D337FA">
        <w:rPr>
          <w:rFonts w:eastAsia="Times New Roman"/>
          <w:bCs/>
          <w:szCs w:val="24"/>
          <w:lang w:eastAsia="ru-RU"/>
        </w:rPr>
        <w:t>среди</w:t>
      </w:r>
      <w:r w:rsidR="006C680D" w:rsidRPr="00D337FA">
        <w:rPr>
          <w:rFonts w:eastAsia="Times New Roman"/>
          <w:bCs/>
          <w:szCs w:val="24"/>
          <w:lang w:eastAsia="ru-RU"/>
        </w:rPr>
        <w:t xml:space="preserve"> </w:t>
      </w:r>
      <w:r w:rsidRPr="00D337FA">
        <w:rPr>
          <w:rFonts w:eastAsia="Times New Roman"/>
          <w:bCs/>
          <w:szCs w:val="24"/>
          <w:lang w:eastAsia="ru-RU"/>
        </w:rPr>
        <w:t>ключевых</w:t>
      </w:r>
      <w:r w:rsidR="006C680D" w:rsidRPr="00D337FA">
        <w:rPr>
          <w:rFonts w:eastAsia="Times New Roman"/>
          <w:bCs/>
          <w:szCs w:val="24"/>
          <w:lang w:eastAsia="ru-RU"/>
        </w:rPr>
        <w:t xml:space="preserve"> </w:t>
      </w:r>
      <w:r w:rsidRPr="00D337FA">
        <w:rPr>
          <w:rFonts w:eastAsia="Times New Roman"/>
          <w:bCs/>
          <w:szCs w:val="24"/>
          <w:lang w:eastAsia="ru-RU"/>
        </w:rPr>
        <w:t>игроков</w:t>
      </w:r>
      <w:r w:rsidR="006C680D" w:rsidRPr="00D337FA">
        <w:rPr>
          <w:rFonts w:eastAsia="Times New Roman"/>
          <w:bCs/>
          <w:szCs w:val="24"/>
          <w:lang w:eastAsia="ru-RU"/>
        </w:rPr>
        <w:t xml:space="preserve"> </w:t>
      </w:r>
      <w:r w:rsidRPr="00D337FA">
        <w:rPr>
          <w:rFonts w:eastAsia="Times New Roman"/>
          <w:bCs/>
          <w:szCs w:val="24"/>
          <w:lang w:eastAsia="ru-RU"/>
        </w:rPr>
        <w:t>российского</w:t>
      </w:r>
      <w:r w:rsidR="006C680D" w:rsidRPr="00D337FA">
        <w:rPr>
          <w:rFonts w:eastAsia="Times New Roman"/>
          <w:bCs/>
          <w:szCs w:val="24"/>
          <w:lang w:eastAsia="ru-RU"/>
        </w:rPr>
        <w:t xml:space="preserve"> </w:t>
      </w:r>
      <w:r w:rsidRPr="00D337FA">
        <w:rPr>
          <w:rFonts w:eastAsia="Times New Roman"/>
          <w:bCs/>
          <w:szCs w:val="24"/>
          <w:lang w:eastAsia="ru-RU"/>
        </w:rPr>
        <w:t>банковского</w:t>
      </w:r>
      <w:r w:rsidR="006C680D" w:rsidRPr="00D337FA">
        <w:rPr>
          <w:rFonts w:eastAsia="Times New Roman"/>
          <w:bCs/>
          <w:szCs w:val="24"/>
          <w:lang w:eastAsia="ru-RU"/>
        </w:rPr>
        <w:t xml:space="preserve"> </w:t>
      </w:r>
      <w:r w:rsidRPr="00D337FA">
        <w:rPr>
          <w:rFonts w:eastAsia="Times New Roman"/>
          <w:bCs/>
          <w:szCs w:val="24"/>
          <w:lang w:eastAsia="ru-RU"/>
        </w:rPr>
        <w:t>рынка.</w:t>
      </w:r>
      <w:r w:rsidR="006C680D" w:rsidRPr="00D337FA">
        <w:rPr>
          <w:rFonts w:eastAsia="Times New Roman"/>
          <w:bCs/>
          <w:szCs w:val="24"/>
          <w:lang w:eastAsia="ru-RU"/>
        </w:rPr>
        <w:t xml:space="preserve"> </w:t>
      </w:r>
      <w:r w:rsidRPr="00D337FA">
        <w:rPr>
          <w:rFonts w:eastAsia="Times New Roman"/>
          <w:bCs/>
          <w:szCs w:val="24"/>
          <w:lang w:eastAsia="ru-RU"/>
        </w:rPr>
        <w:t>В-третьих,</w:t>
      </w:r>
      <w:r w:rsidR="006C680D" w:rsidRPr="00D337FA">
        <w:rPr>
          <w:rFonts w:eastAsia="Times New Roman"/>
          <w:bCs/>
          <w:szCs w:val="24"/>
          <w:lang w:eastAsia="ru-RU"/>
        </w:rPr>
        <w:t xml:space="preserve"> </w:t>
      </w:r>
      <w:r w:rsidRPr="00D337FA">
        <w:rPr>
          <w:rFonts w:eastAsia="Times New Roman"/>
          <w:bCs/>
          <w:szCs w:val="24"/>
          <w:lang w:eastAsia="ru-RU"/>
        </w:rPr>
        <w:t>слабо</w:t>
      </w:r>
      <w:r w:rsidR="006C680D" w:rsidRPr="00D337FA">
        <w:rPr>
          <w:rFonts w:eastAsia="Times New Roman"/>
          <w:bCs/>
          <w:szCs w:val="24"/>
          <w:lang w:eastAsia="ru-RU"/>
        </w:rPr>
        <w:t xml:space="preserve"> </w:t>
      </w:r>
      <w:r w:rsidRPr="00D337FA">
        <w:rPr>
          <w:rFonts w:eastAsia="Times New Roman"/>
          <w:bCs/>
          <w:szCs w:val="24"/>
          <w:lang w:eastAsia="ru-RU"/>
        </w:rPr>
        <w:t>разработаны</w:t>
      </w:r>
      <w:r w:rsidR="006C680D" w:rsidRPr="00D337FA">
        <w:rPr>
          <w:rFonts w:eastAsia="Times New Roman"/>
          <w:bCs/>
          <w:szCs w:val="24"/>
          <w:lang w:eastAsia="ru-RU"/>
        </w:rPr>
        <w:t xml:space="preserve"> </w:t>
      </w:r>
      <w:r w:rsidRPr="00D337FA">
        <w:rPr>
          <w:rFonts w:eastAsia="Times New Roman"/>
          <w:bCs/>
          <w:szCs w:val="24"/>
          <w:lang w:eastAsia="ru-RU"/>
        </w:rPr>
        <w:t>практические</w:t>
      </w:r>
      <w:r w:rsidR="006C680D" w:rsidRPr="00D337FA">
        <w:rPr>
          <w:rFonts w:eastAsia="Times New Roman"/>
          <w:bCs/>
          <w:szCs w:val="24"/>
          <w:lang w:eastAsia="ru-RU"/>
        </w:rPr>
        <w:t xml:space="preserve"> </w:t>
      </w:r>
      <w:r w:rsidRPr="00D337FA">
        <w:rPr>
          <w:rFonts w:eastAsia="Times New Roman"/>
          <w:bCs/>
          <w:szCs w:val="24"/>
          <w:lang w:eastAsia="ru-RU"/>
        </w:rPr>
        <w:t>модели,</w:t>
      </w:r>
      <w:r w:rsidR="006C680D" w:rsidRPr="00D337FA">
        <w:rPr>
          <w:rFonts w:eastAsia="Times New Roman"/>
          <w:bCs/>
          <w:szCs w:val="24"/>
          <w:lang w:eastAsia="ru-RU"/>
        </w:rPr>
        <w:t xml:space="preserve"> </w:t>
      </w:r>
      <w:r w:rsidRPr="00D337FA">
        <w:rPr>
          <w:rFonts w:eastAsia="Times New Roman"/>
          <w:bCs/>
          <w:szCs w:val="24"/>
          <w:lang w:eastAsia="ru-RU"/>
        </w:rPr>
        <w:t>интегрирующие</w:t>
      </w:r>
      <w:r w:rsidR="006C680D" w:rsidRPr="00D337FA">
        <w:rPr>
          <w:rFonts w:eastAsia="Times New Roman"/>
          <w:bCs/>
          <w:szCs w:val="24"/>
          <w:lang w:eastAsia="ru-RU"/>
        </w:rPr>
        <w:t xml:space="preserve"> </w:t>
      </w:r>
      <w:r w:rsidRPr="00D337FA">
        <w:rPr>
          <w:rFonts w:eastAsia="Times New Roman"/>
          <w:bCs/>
          <w:szCs w:val="24"/>
          <w:lang w:eastAsia="ru-RU"/>
        </w:rPr>
        <w:t>перспективные</w:t>
      </w:r>
      <w:r w:rsidR="006C680D" w:rsidRPr="00D337FA">
        <w:rPr>
          <w:rFonts w:eastAsia="Times New Roman"/>
          <w:bCs/>
          <w:szCs w:val="24"/>
          <w:lang w:eastAsia="ru-RU"/>
        </w:rPr>
        <w:t xml:space="preserve"> </w:t>
      </w:r>
      <w:r w:rsidRPr="00D337FA">
        <w:rPr>
          <w:rFonts w:eastAsia="Times New Roman"/>
          <w:bCs/>
          <w:szCs w:val="24"/>
          <w:lang w:eastAsia="ru-RU"/>
        </w:rPr>
        <w:t>концепции</w:t>
      </w:r>
      <w:r w:rsidR="006C680D" w:rsidRPr="00D337FA">
        <w:rPr>
          <w:rFonts w:eastAsia="Times New Roman"/>
          <w:bCs/>
          <w:szCs w:val="24"/>
          <w:lang w:eastAsia="ru-RU"/>
        </w:rPr>
        <w:t xml:space="preserve"> </w:t>
      </w:r>
      <w:r w:rsidRPr="00D337FA">
        <w:rPr>
          <w:rFonts w:eastAsia="Times New Roman"/>
          <w:bCs/>
          <w:szCs w:val="24"/>
          <w:lang w:eastAsia="ru-RU"/>
        </w:rPr>
        <w:t>(встроенные</w:t>
      </w:r>
      <w:r w:rsidR="006C680D" w:rsidRPr="00D337FA">
        <w:rPr>
          <w:rFonts w:eastAsia="Times New Roman"/>
          <w:bCs/>
          <w:szCs w:val="24"/>
          <w:lang w:eastAsia="ru-RU"/>
        </w:rPr>
        <w:t xml:space="preserve"> </w:t>
      </w:r>
      <w:r w:rsidRPr="00D337FA">
        <w:rPr>
          <w:rFonts w:eastAsia="Times New Roman"/>
          <w:bCs/>
          <w:szCs w:val="24"/>
          <w:lang w:eastAsia="ru-RU"/>
        </w:rPr>
        <w:t>финансы,</w:t>
      </w:r>
      <w:r w:rsidR="006C680D" w:rsidRPr="00D337FA">
        <w:rPr>
          <w:rFonts w:eastAsia="Times New Roman"/>
          <w:bCs/>
          <w:szCs w:val="24"/>
          <w:lang w:eastAsia="ru-RU"/>
        </w:rPr>
        <w:t xml:space="preserve"> </w:t>
      </w:r>
      <w:r w:rsidRPr="00D337FA">
        <w:rPr>
          <w:rFonts w:eastAsia="Times New Roman"/>
          <w:bCs/>
          <w:szCs w:val="24"/>
          <w:lang w:eastAsia="ru-RU"/>
        </w:rPr>
        <w:t>AI-кастомизация)</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конкретные</w:t>
      </w:r>
      <w:r w:rsidR="006C680D" w:rsidRPr="00D337FA">
        <w:rPr>
          <w:rFonts w:eastAsia="Times New Roman"/>
          <w:bCs/>
          <w:szCs w:val="24"/>
          <w:lang w:eastAsia="ru-RU"/>
        </w:rPr>
        <w:t xml:space="preserve"> </w:t>
      </w:r>
      <w:r w:rsidRPr="00D337FA">
        <w:rPr>
          <w:rFonts w:eastAsia="Times New Roman"/>
          <w:bCs/>
          <w:szCs w:val="24"/>
          <w:lang w:eastAsia="ru-RU"/>
        </w:rPr>
        <w:t>направления</w:t>
      </w:r>
      <w:r w:rsidR="006C680D" w:rsidRPr="00D337FA">
        <w:rPr>
          <w:rFonts w:eastAsia="Times New Roman"/>
          <w:bCs/>
          <w:szCs w:val="24"/>
          <w:lang w:eastAsia="ru-RU"/>
        </w:rPr>
        <w:t xml:space="preserve"> </w:t>
      </w:r>
      <w:r w:rsidRPr="00D337FA">
        <w:rPr>
          <w:rFonts w:eastAsia="Times New Roman"/>
          <w:bCs/>
          <w:szCs w:val="24"/>
          <w:lang w:eastAsia="ru-RU"/>
        </w:rPr>
        <w:t>развития</w:t>
      </w:r>
      <w:r w:rsidR="006C680D" w:rsidRPr="00D337FA">
        <w:rPr>
          <w:rFonts w:eastAsia="Times New Roman"/>
          <w:bCs/>
          <w:szCs w:val="24"/>
          <w:lang w:eastAsia="ru-RU"/>
        </w:rPr>
        <w:t xml:space="preserve"> </w:t>
      </w:r>
      <w:r w:rsidRPr="00D337FA">
        <w:rPr>
          <w:rFonts w:eastAsia="Times New Roman"/>
          <w:bCs/>
          <w:szCs w:val="24"/>
          <w:lang w:eastAsia="ru-RU"/>
        </w:rPr>
        <w:t>банковских</w:t>
      </w:r>
      <w:r w:rsidR="006C680D" w:rsidRPr="00D337FA">
        <w:rPr>
          <w:rFonts w:eastAsia="Times New Roman"/>
          <w:bCs/>
          <w:szCs w:val="24"/>
          <w:lang w:eastAsia="ru-RU"/>
        </w:rPr>
        <w:t xml:space="preserve"> </w:t>
      </w:r>
      <w:r w:rsidRPr="00D337FA">
        <w:rPr>
          <w:rFonts w:eastAsia="Times New Roman"/>
          <w:bCs/>
          <w:szCs w:val="24"/>
          <w:lang w:eastAsia="ru-RU"/>
        </w:rPr>
        <w:t>услуг.</w:t>
      </w:r>
    </w:p>
    <w:p w:rsidR="00256E85" w:rsidRPr="00D337FA" w:rsidRDefault="00256E85" w:rsidP="00256E85">
      <w:pPr>
        <w:tabs>
          <w:tab w:val="left" w:pos="567"/>
        </w:tabs>
        <w:ind w:firstLine="284"/>
        <w:rPr>
          <w:rFonts w:eastAsia="Times New Roman"/>
          <w:bCs/>
          <w:szCs w:val="24"/>
          <w:lang w:eastAsia="ru-RU"/>
        </w:rPr>
      </w:pPr>
      <w:r w:rsidRPr="00D337FA">
        <w:rPr>
          <w:rFonts w:eastAsia="Times New Roman"/>
          <w:bCs/>
          <w:szCs w:val="24"/>
          <w:lang w:eastAsia="ru-RU"/>
        </w:rPr>
        <w:t>Целью</w:t>
      </w:r>
      <w:r w:rsidR="006C680D" w:rsidRPr="00D337FA">
        <w:rPr>
          <w:rFonts w:eastAsia="Times New Roman"/>
          <w:bCs/>
          <w:szCs w:val="24"/>
          <w:lang w:eastAsia="ru-RU"/>
        </w:rPr>
        <w:t xml:space="preserve"> </w:t>
      </w:r>
      <w:r w:rsidRPr="00D337FA">
        <w:rPr>
          <w:rFonts w:eastAsia="Times New Roman"/>
          <w:bCs/>
          <w:szCs w:val="24"/>
          <w:lang w:eastAsia="ru-RU"/>
        </w:rPr>
        <w:t>данного</w:t>
      </w:r>
      <w:r w:rsidR="006C680D" w:rsidRPr="00D337FA">
        <w:rPr>
          <w:rFonts w:eastAsia="Times New Roman"/>
          <w:bCs/>
          <w:szCs w:val="24"/>
          <w:lang w:eastAsia="ru-RU"/>
        </w:rPr>
        <w:t xml:space="preserve"> </w:t>
      </w:r>
      <w:r w:rsidRPr="00D337FA">
        <w:rPr>
          <w:rFonts w:eastAsia="Times New Roman"/>
          <w:bCs/>
          <w:szCs w:val="24"/>
          <w:lang w:eastAsia="ru-RU"/>
        </w:rPr>
        <w:t>исследования</w:t>
      </w:r>
      <w:r w:rsidR="006C680D" w:rsidRPr="00D337FA">
        <w:rPr>
          <w:rFonts w:eastAsia="Times New Roman"/>
          <w:bCs/>
          <w:szCs w:val="24"/>
          <w:lang w:eastAsia="ru-RU"/>
        </w:rPr>
        <w:t xml:space="preserve"> </w:t>
      </w:r>
      <w:r w:rsidRPr="00D337FA">
        <w:rPr>
          <w:rFonts w:eastAsia="Times New Roman"/>
          <w:bCs/>
          <w:szCs w:val="24"/>
          <w:lang w:eastAsia="ru-RU"/>
        </w:rPr>
        <w:t>является</w:t>
      </w:r>
      <w:r w:rsidR="006C680D" w:rsidRPr="00D337FA">
        <w:rPr>
          <w:rFonts w:eastAsia="Times New Roman"/>
          <w:bCs/>
          <w:szCs w:val="24"/>
          <w:lang w:eastAsia="ru-RU"/>
        </w:rPr>
        <w:t xml:space="preserve"> </w:t>
      </w:r>
      <w:r w:rsidRPr="00D337FA">
        <w:rPr>
          <w:rFonts w:eastAsia="Times New Roman"/>
          <w:bCs/>
          <w:szCs w:val="24"/>
          <w:lang w:eastAsia="ru-RU"/>
        </w:rPr>
        <w:t>выявление</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системный</w:t>
      </w:r>
      <w:r w:rsidR="006C680D" w:rsidRPr="00D337FA">
        <w:rPr>
          <w:rFonts w:eastAsia="Times New Roman"/>
          <w:bCs/>
          <w:szCs w:val="24"/>
          <w:lang w:eastAsia="ru-RU"/>
        </w:rPr>
        <w:t xml:space="preserve"> </w:t>
      </w:r>
      <w:r w:rsidRPr="00D337FA">
        <w:rPr>
          <w:rFonts w:eastAsia="Times New Roman"/>
          <w:bCs/>
          <w:szCs w:val="24"/>
          <w:lang w:eastAsia="ru-RU"/>
        </w:rPr>
        <w:t>анализ</w:t>
      </w:r>
      <w:r w:rsidR="006C680D" w:rsidRPr="00D337FA">
        <w:rPr>
          <w:rFonts w:eastAsia="Times New Roman"/>
          <w:bCs/>
          <w:szCs w:val="24"/>
          <w:lang w:eastAsia="ru-RU"/>
        </w:rPr>
        <w:t xml:space="preserve"> </w:t>
      </w:r>
      <w:r w:rsidRPr="00D337FA">
        <w:rPr>
          <w:rFonts w:eastAsia="Times New Roman"/>
          <w:bCs/>
          <w:szCs w:val="24"/>
          <w:lang w:eastAsia="ru-RU"/>
        </w:rPr>
        <w:t>актуальных</w:t>
      </w:r>
      <w:r w:rsidR="006C680D" w:rsidRPr="00D337FA">
        <w:rPr>
          <w:rFonts w:eastAsia="Times New Roman"/>
          <w:bCs/>
          <w:szCs w:val="24"/>
          <w:lang w:eastAsia="ru-RU"/>
        </w:rPr>
        <w:t xml:space="preserve"> </w:t>
      </w:r>
      <w:r w:rsidRPr="00D337FA">
        <w:rPr>
          <w:rFonts w:eastAsia="Times New Roman"/>
          <w:bCs/>
          <w:szCs w:val="24"/>
          <w:lang w:eastAsia="ru-RU"/>
        </w:rPr>
        <w:t>тенденций,</w:t>
      </w:r>
      <w:r w:rsidR="006C680D" w:rsidRPr="00D337FA">
        <w:rPr>
          <w:rFonts w:eastAsia="Times New Roman"/>
          <w:bCs/>
          <w:szCs w:val="24"/>
          <w:lang w:eastAsia="ru-RU"/>
        </w:rPr>
        <w:t xml:space="preserve"> </w:t>
      </w:r>
      <w:r w:rsidRPr="00D337FA">
        <w:rPr>
          <w:rFonts w:eastAsia="Times New Roman"/>
          <w:bCs/>
          <w:szCs w:val="24"/>
          <w:lang w:eastAsia="ru-RU"/>
        </w:rPr>
        <w:t>проблем</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перспективных</w:t>
      </w:r>
      <w:r w:rsidR="006C680D" w:rsidRPr="00D337FA">
        <w:rPr>
          <w:rFonts w:eastAsia="Times New Roman"/>
          <w:bCs/>
          <w:szCs w:val="24"/>
          <w:lang w:eastAsia="ru-RU"/>
        </w:rPr>
        <w:t xml:space="preserve"> </w:t>
      </w:r>
      <w:r w:rsidRPr="00D337FA">
        <w:rPr>
          <w:rFonts w:eastAsia="Times New Roman"/>
          <w:bCs/>
          <w:szCs w:val="24"/>
          <w:lang w:eastAsia="ru-RU"/>
        </w:rPr>
        <w:t>направлений</w:t>
      </w:r>
      <w:r w:rsidR="006C680D" w:rsidRPr="00D337FA">
        <w:rPr>
          <w:rFonts w:eastAsia="Times New Roman"/>
          <w:bCs/>
          <w:szCs w:val="24"/>
          <w:lang w:eastAsia="ru-RU"/>
        </w:rPr>
        <w:t xml:space="preserve"> </w:t>
      </w:r>
      <w:r w:rsidRPr="00D337FA">
        <w:rPr>
          <w:rFonts w:eastAsia="Times New Roman"/>
          <w:bCs/>
          <w:szCs w:val="24"/>
          <w:lang w:eastAsia="ru-RU"/>
        </w:rPr>
        <w:t>развития</w:t>
      </w:r>
      <w:r w:rsidR="006C680D" w:rsidRPr="00D337FA">
        <w:rPr>
          <w:rFonts w:eastAsia="Times New Roman"/>
          <w:bCs/>
          <w:szCs w:val="24"/>
          <w:lang w:eastAsia="ru-RU"/>
        </w:rPr>
        <w:t xml:space="preserve"> </w:t>
      </w:r>
      <w:r w:rsidRPr="00D337FA">
        <w:rPr>
          <w:rFonts w:eastAsia="Times New Roman"/>
          <w:bCs/>
          <w:szCs w:val="24"/>
          <w:lang w:eastAsia="ru-RU"/>
        </w:rPr>
        <w:t>банковских</w:t>
      </w:r>
      <w:r w:rsidR="006C680D" w:rsidRPr="00D337FA">
        <w:rPr>
          <w:rFonts w:eastAsia="Times New Roman"/>
          <w:bCs/>
          <w:szCs w:val="24"/>
          <w:lang w:eastAsia="ru-RU"/>
        </w:rPr>
        <w:t xml:space="preserve"> </w:t>
      </w:r>
      <w:r w:rsidRPr="00D337FA">
        <w:rPr>
          <w:rFonts w:eastAsia="Times New Roman"/>
          <w:bCs/>
          <w:szCs w:val="24"/>
          <w:lang w:eastAsia="ru-RU"/>
        </w:rPr>
        <w:t>форм</w:t>
      </w:r>
      <w:r w:rsidR="006C680D" w:rsidRPr="00D337FA">
        <w:rPr>
          <w:rFonts w:eastAsia="Times New Roman"/>
          <w:bCs/>
          <w:szCs w:val="24"/>
          <w:lang w:eastAsia="ru-RU"/>
        </w:rPr>
        <w:t xml:space="preserve"> </w:t>
      </w:r>
      <w:r w:rsidRPr="00D337FA">
        <w:rPr>
          <w:rFonts w:eastAsia="Times New Roman"/>
          <w:bCs/>
          <w:szCs w:val="24"/>
          <w:lang w:eastAsia="ru-RU"/>
        </w:rPr>
        <w:t>обслуживания</w:t>
      </w:r>
      <w:r w:rsidR="006C680D" w:rsidRPr="00D337FA">
        <w:rPr>
          <w:rFonts w:eastAsia="Times New Roman"/>
          <w:bCs/>
          <w:szCs w:val="24"/>
          <w:lang w:eastAsia="ru-RU"/>
        </w:rPr>
        <w:t xml:space="preserve"> </w:t>
      </w:r>
      <w:r w:rsidRPr="00D337FA">
        <w:rPr>
          <w:rFonts w:eastAsia="Times New Roman"/>
          <w:bCs/>
          <w:szCs w:val="24"/>
          <w:lang w:eastAsia="ru-RU"/>
        </w:rPr>
        <w:t>малого</w:t>
      </w:r>
      <w:r w:rsidR="006C680D" w:rsidRPr="00D337FA">
        <w:rPr>
          <w:rFonts w:eastAsia="Times New Roman"/>
          <w:bCs/>
          <w:szCs w:val="24"/>
          <w:lang w:eastAsia="ru-RU"/>
        </w:rPr>
        <w:t xml:space="preserve"> </w:t>
      </w:r>
      <w:r w:rsidRPr="00D337FA">
        <w:rPr>
          <w:rFonts w:eastAsia="Times New Roman"/>
          <w:bCs/>
          <w:szCs w:val="24"/>
          <w:lang w:eastAsia="ru-RU"/>
        </w:rPr>
        <w:t>бизнеса</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России</w:t>
      </w:r>
      <w:r w:rsidR="006C680D" w:rsidRPr="00D337FA">
        <w:rPr>
          <w:rFonts w:eastAsia="Times New Roman"/>
          <w:bCs/>
          <w:szCs w:val="24"/>
          <w:lang w:eastAsia="ru-RU"/>
        </w:rPr>
        <w:t xml:space="preserve"> </w:t>
      </w:r>
      <w:r w:rsidRPr="00D337FA">
        <w:rPr>
          <w:rFonts w:eastAsia="Times New Roman"/>
          <w:bCs/>
          <w:szCs w:val="24"/>
          <w:lang w:eastAsia="ru-RU"/>
        </w:rPr>
        <w:t>на</w:t>
      </w:r>
      <w:r w:rsidR="006C680D" w:rsidRPr="00D337FA">
        <w:rPr>
          <w:rFonts w:eastAsia="Times New Roman"/>
          <w:bCs/>
          <w:szCs w:val="24"/>
          <w:lang w:eastAsia="ru-RU"/>
        </w:rPr>
        <w:t xml:space="preserve"> </w:t>
      </w:r>
      <w:r w:rsidRPr="00D337FA">
        <w:rPr>
          <w:rFonts w:eastAsia="Times New Roman"/>
          <w:bCs/>
          <w:szCs w:val="24"/>
          <w:lang w:eastAsia="ru-RU"/>
        </w:rPr>
        <w:t>основе</w:t>
      </w:r>
      <w:r w:rsidR="006C680D" w:rsidRPr="00D337FA">
        <w:rPr>
          <w:rFonts w:eastAsia="Times New Roman"/>
          <w:bCs/>
          <w:szCs w:val="24"/>
          <w:lang w:eastAsia="ru-RU"/>
        </w:rPr>
        <w:t xml:space="preserve"> </w:t>
      </w:r>
      <w:r w:rsidRPr="00D337FA">
        <w:rPr>
          <w:rFonts w:eastAsia="Times New Roman"/>
          <w:bCs/>
          <w:szCs w:val="24"/>
          <w:lang w:eastAsia="ru-RU"/>
        </w:rPr>
        <w:t>изучения</w:t>
      </w:r>
      <w:r w:rsidR="006C680D" w:rsidRPr="00D337FA">
        <w:rPr>
          <w:rFonts w:eastAsia="Times New Roman"/>
          <w:bCs/>
          <w:szCs w:val="24"/>
          <w:lang w:eastAsia="ru-RU"/>
        </w:rPr>
        <w:t xml:space="preserve"> </w:t>
      </w:r>
      <w:r w:rsidRPr="00D337FA">
        <w:rPr>
          <w:rFonts w:eastAsia="Times New Roman"/>
          <w:bCs/>
          <w:szCs w:val="24"/>
          <w:lang w:eastAsia="ru-RU"/>
        </w:rPr>
        <w:t>практик</w:t>
      </w:r>
      <w:r w:rsidR="006C680D" w:rsidRPr="00D337FA">
        <w:rPr>
          <w:rFonts w:eastAsia="Times New Roman"/>
          <w:bCs/>
          <w:szCs w:val="24"/>
          <w:lang w:eastAsia="ru-RU"/>
        </w:rPr>
        <w:t xml:space="preserve"> </w:t>
      </w:r>
      <w:r w:rsidRPr="00D337FA">
        <w:rPr>
          <w:rFonts w:eastAsia="Times New Roman"/>
          <w:bCs/>
          <w:szCs w:val="24"/>
          <w:lang w:eastAsia="ru-RU"/>
        </w:rPr>
        <w:t>системно</w:t>
      </w:r>
      <w:r w:rsidR="006C680D" w:rsidRPr="00D337FA">
        <w:rPr>
          <w:rFonts w:eastAsia="Times New Roman"/>
          <w:bCs/>
          <w:szCs w:val="24"/>
          <w:lang w:eastAsia="ru-RU"/>
        </w:rPr>
        <w:t xml:space="preserve"> </w:t>
      </w:r>
      <w:r w:rsidRPr="00D337FA">
        <w:rPr>
          <w:rFonts w:eastAsia="Times New Roman"/>
          <w:bCs/>
          <w:szCs w:val="24"/>
          <w:lang w:eastAsia="ru-RU"/>
        </w:rPr>
        <w:t>значимых</w:t>
      </w:r>
      <w:r w:rsidR="006C680D" w:rsidRPr="00D337FA">
        <w:rPr>
          <w:rFonts w:eastAsia="Times New Roman"/>
          <w:bCs/>
          <w:szCs w:val="24"/>
          <w:lang w:eastAsia="ru-RU"/>
        </w:rPr>
        <w:t xml:space="preserve"> </w:t>
      </w:r>
      <w:r w:rsidRPr="00D337FA">
        <w:rPr>
          <w:rFonts w:eastAsia="Times New Roman"/>
          <w:bCs/>
          <w:szCs w:val="24"/>
          <w:lang w:eastAsia="ru-RU"/>
        </w:rPr>
        <w:t>кредитных</w:t>
      </w:r>
      <w:r w:rsidR="006C680D" w:rsidRPr="00D337FA">
        <w:rPr>
          <w:rFonts w:eastAsia="Times New Roman"/>
          <w:bCs/>
          <w:szCs w:val="24"/>
          <w:lang w:eastAsia="ru-RU"/>
        </w:rPr>
        <w:t xml:space="preserve"> </w:t>
      </w:r>
      <w:r w:rsidRPr="00D337FA">
        <w:rPr>
          <w:rFonts w:eastAsia="Times New Roman"/>
          <w:bCs/>
          <w:szCs w:val="24"/>
          <w:lang w:eastAsia="ru-RU"/>
        </w:rPr>
        <w:t>организаций.</w:t>
      </w:r>
    </w:p>
    <w:p w:rsidR="00256E85" w:rsidRPr="00D337FA" w:rsidRDefault="00256E85" w:rsidP="00256E85">
      <w:pPr>
        <w:tabs>
          <w:tab w:val="left" w:pos="567"/>
        </w:tabs>
        <w:ind w:firstLine="284"/>
        <w:rPr>
          <w:rFonts w:eastAsia="Times New Roman"/>
          <w:bCs/>
          <w:szCs w:val="24"/>
          <w:lang w:eastAsia="ru-RU"/>
        </w:rPr>
      </w:pPr>
      <w:r w:rsidRPr="00D337FA">
        <w:rPr>
          <w:rFonts w:eastAsia="Times New Roman"/>
          <w:bCs/>
          <w:szCs w:val="24"/>
          <w:lang w:eastAsia="ru-RU"/>
        </w:rPr>
        <w:t>Для</w:t>
      </w:r>
      <w:r w:rsidR="006C680D" w:rsidRPr="00D337FA">
        <w:rPr>
          <w:rFonts w:eastAsia="Times New Roman"/>
          <w:bCs/>
          <w:szCs w:val="24"/>
          <w:lang w:eastAsia="ru-RU"/>
        </w:rPr>
        <w:t xml:space="preserve"> </w:t>
      </w:r>
      <w:r w:rsidRPr="00D337FA">
        <w:rPr>
          <w:rFonts w:eastAsia="Times New Roman"/>
          <w:bCs/>
          <w:szCs w:val="24"/>
          <w:lang w:eastAsia="ru-RU"/>
        </w:rPr>
        <w:t>достижения</w:t>
      </w:r>
      <w:r w:rsidR="006C680D" w:rsidRPr="00D337FA">
        <w:rPr>
          <w:rFonts w:eastAsia="Times New Roman"/>
          <w:bCs/>
          <w:szCs w:val="24"/>
          <w:lang w:eastAsia="ru-RU"/>
        </w:rPr>
        <w:t xml:space="preserve"> </w:t>
      </w:r>
      <w:r w:rsidRPr="00D337FA">
        <w:rPr>
          <w:rFonts w:eastAsia="Times New Roman"/>
          <w:bCs/>
          <w:szCs w:val="24"/>
          <w:lang w:eastAsia="ru-RU"/>
        </w:rPr>
        <w:t>цели</w:t>
      </w:r>
      <w:r w:rsidR="006C680D" w:rsidRPr="00D337FA">
        <w:rPr>
          <w:rFonts w:eastAsia="Times New Roman"/>
          <w:bCs/>
          <w:szCs w:val="24"/>
          <w:lang w:eastAsia="ru-RU"/>
        </w:rPr>
        <w:t xml:space="preserve"> </w:t>
      </w:r>
      <w:r w:rsidRPr="00D337FA">
        <w:rPr>
          <w:rFonts w:eastAsia="Times New Roman"/>
          <w:bCs/>
          <w:szCs w:val="24"/>
          <w:lang w:eastAsia="ru-RU"/>
        </w:rPr>
        <w:t>поставлены</w:t>
      </w:r>
      <w:r w:rsidR="006C680D" w:rsidRPr="00D337FA">
        <w:rPr>
          <w:rFonts w:eastAsia="Times New Roman"/>
          <w:bCs/>
          <w:szCs w:val="24"/>
          <w:lang w:eastAsia="ru-RU"/>
        </w:rPr>
        <w:t xml:space="preserve"> </w:t>
      </w:r>
      <w:r w:rsidRPr="00D337FA">
        <w:rPr>
          <w:rFonts w:eastAsia="Times New Roman"/>
          <w:bCs/>
          <w:szCs w:val="24"/>
          <w:lang w:eastAsia="ru-RU"/>
        </w:rPr>
        <w:t>следующие</w:t>
      </w:r>
      <w:r w:rsidR="006C680D" w:rsidRPr="00D337FA">
        <w:rPr>
          <w:rFonts w:eastAsia="Times New Roman"/>
          <w:bCs/>
          <w:szCs w:val="24"/>
          <w:lang w:eastAsia="ru-RU"/>
        </w:rPr>
        <w:t xml:space="preserve"> </w:t>
      </w:r>
      <w:r w:rsidRPr="00D337FA">
        <w:rPr>
          <w:rFonts w:eastAsia="Times New Roman"/>
          <w:bCs/>
          <w:szCs w:val="24"/>
          <w:lang w:eastAsia="ru-RU"/>
        </w:rPr>
        <w:t>задачи:</w:t>
      </w:r>
    </w:p>
    <w:p w:rsidR="00256E85" w:rsidRPr="00D337FA" w:rsidRDefault="00256E85" w:rsidP="005A0605">
      <w:pPr>
        <w:numPr>
          <w:ilvl w:val="0"/>
          <w:numId w:val="7"/>
        </w:numPr>
        <w:tabs>
          <w:tab w:val="left" w:pos="567"/>
        </w:tabs>
        <w:ind w:left="0" w:firstLine="284"/>
        <w:rPr>
          <w:rFonts w:eastAsia="Times New Roman"/>
          <w:bCs/>
          <w:szCs w:val="24"/>
          <w:lang w:eastAsia="ru-RU"/>
        </w:rPr>
      </w:pPr>
      <w:r w:rsidRPr="00D337FA">
        <w:rPr>
          <w:rFonts w:eastAsia="Times New Roman"/>
          <w:bCs/>
          <w:szCs w:val="24"/>
          <w:lang w:eastAsia="ru-RU"/>
        </w:rPr>
        <w:t>На</w:t>
      </w:r>
      <w:r w:rsidR="006C680D" w:rsidRPr="00D337FA">
        <w:rPr>
          <w:rFonts w:eastAsia="Times New Roman"/>
          <w:bCs/>
          <w:szCs w:val="24"/>
          <w:lang w:eastAsia="ru-RU"/>
        </w:rPr>
        <w:t xml:space="preserve"> </w:t>
      </w:r>
      <w:r w:rsidRPr="00D337FA">
        <w:rPr>
          <w:rFonts w:eastAsia="Times New Roman"/>
          <w:bCs/>
          <w:szCs w:val="24"/>
          <w:lang w:eastAsia="ru-RU"/>
        </w:rPr>
        <w:t>основе</w:t>
      </w:r>
      <w:r w:rsidR="006C680D" w:rsidRPr="00D337FA">
        <w:rPr>
          <w:rFonts w:eastAsia="Times New Roman"/>
          <w:bCs/>
          <w:szCs w:val="24"/>
          <w:lang w:eastAsia="ru-RU"/>
        </w:rPr>
        <w:t xml:space="preserve"> </w:t>
      </w:r>
      <w:r w:rsidRPr="00D337FA">
        <w:rPr>
          <w:rFonts w:eastAsia="Times New Roman"/>
          <w:bCs/>
          <w:szCs w:val="24"/>
          <w:lang w:eastAsia="ru-RU"/>
        </w:rPr>
        <w:t>теоретического</w:t>
      </w:r>
      <w:r w:rsidR="006C680D" w:rsidRPr="00D337FA">
        <w:rPr>
          <w:rFonts w:eastAsia="Times New Roman"/>
          <w:bCs/>
          <w:szCs w:val="24"/>
          <w:lang w:eastAsia="ru-RU"/>
        </w:rPr>
        <w:t xml:space="preserve"> </w:t>
      </w:r>
      <w:r w:rsidRPr="00D337FA">
        <w:rPr>
          <w:rFonts w:eastAsia="Times New Roman"/>
          <w:bCs/>
          <w:szCs w:val="24"/>
          <w:lang w:eastAsia="ru-RU"/>
        </w:rPr>
        <w:t>анализа</w:t>
      </w:r>
      <w:r w:rsidR="006C680D" w:rsidRPr="00D337FA">
        <w:rPr>
          <w:rFonts w:eastAsia="Times New Roman"/>
          <w:bCs/>
          <w:szCs w:val="24"/>
          <w:lang w:eastAsia="ru-RU"/>
        </w:rPr>
        <w:t xml:space="preserve"> </w:t>
      </w:r>
      <w:r w:rsidRPr="00D337FA">
        <w:rPr>
          <w:rFonts w:eastAsia="Times New Roman"/>
          <w:bCs/>
          <w:szCs w:val="24"/>
          <w:lang w:eastAsia="ru-RU"/>
        </w:rPr>
        <w:t>определить</w:t>
      </w:r>
      <w:r w:rsidR="006C680D" w:rsidRPr="00D337FA">
        <w:rPr>
          <w:rFonts w:eastAsia="Times New Roman"/>
          <w:bCs/>
          <w:szCs w:val="24"/>
          <w:lang w:eastAsia="ru-RU"/>
        </w:rPr>
        <w:t xml:space="preserve"> </w:t>
      </w:r>
      <w:r w:rsidRPr="00D337FA">
        <w:rPr>
          <w:rFonts w:eastAsia="Times New Roman"/>
          <w:bCs/>
          <w:szCs w:val="24"/>
          <w:lang w:eastAsia="ru-RU"/>
        </w:rPr>
        <w:t>специфические</w:t>
      </w:r>
      <w:r w:rsidR="006C680D" w:rsidRPr="00D337FA">
        <w:rPr>
          <w:rFonts w:eastAsia="Times New Roman"/>
          <w:bCs/>
          <w:szCs w:val="24"/>
          <w:lang w:eastAsia="ru-RU"/>
        </w:rPr>
        <w:t xml:space="preserve"> </w:t>
      </w:r>
      <w:r w:rsidRPr="00D337FA">
        <w:rPr>
          <w:rFonts w:eastAsia="Times New Roman"/>
          <w:bCs/>
          <w:szCs w:val="24"/>
          <w:lang w:eastAsia="ru-RU"/>
        </w:rPr>
        <w:t>характеристики</w:t>
      </w:r>
      <w:r w:rsidR="006C680D" w:rsidRPr="00D337FA">
        <w:rPr>
          <w:rFonts w:eastAsia="Times New Roman"/>
          <w:bCs/>
          <w:szCs w:val="24"/>
          <w:lang w:eastAsia="ru-RU"/>
        </w:rPr>
        <w:t xml:space="preserve"> </w:t>
      </w:r>
      <w:r w:rsidRPr="00D337FA">
        <w:rPr>
          <w:rFonts w:eastAsia="Times New Roman"/>
          <w:bCs/>
          <w:szCs w:val="24"/>
          <w:lang w:eastAsia="ru-RU"/>
        </w:rPr>
        <w:t>малого</w:t>
      </w:r>
      <w:r w:rsidR="006C680D" w:rsidRPr="00D337FA">
        <w:rPr>
          <w:rFonts w:eastAsia="Times New Roman"/>
          <w:bCs/>
          <w:szCs w:val="24"/>
          <w:lang w:eastAsia="ru-RU"/>
        </w:rPr>
        <w:t xml:space="preserve"> </w:t>
      </w:r>
      <w:r w:rsidRPr="00D337FA">
        <w:rPr>
          <w:rFonts w:eastAsia="Times New Roman"/>
          <w:bCs/>
          <w:szCs w:val="24"/>
          <w:lang w:eastAsia="ru-RU"/>
        </w:rPr>
        <w:t>бизнеса</w:t>
      </w:r>
      <w:r w:rsidR="006C680D" w:rsidRPr="00D337FA">
        <w:rPr>
          <w:rFonts w:eastAsia="Times New Roman"/>
          <w:bCs/>
          <w:szCs w:val="24"/>
          <w:lang w:eastAsia="ru-RU"/>
        </w:rPr>
        <w:t xml:space="preserve"> </w:t>
      </w:r>
      <w:r w:rsidRPr="00D337FA">
        <w:rPr>
          <w:rFonts w:eastAsia="Times New Roman"/>
          <w:bCs/>
          <w:szCs w:val="24"/>
          <w:lang w:eastAsia="ru-RU"/>
        </w:rPr>
        <w:t>как</w:t>
      </w:r>
      <w:r w:rsidR="006C680D" w:rsidRPr="00D337FA">
        <w:rPr>
          <w:rFonts w:eastAsia="Times New Roman"/>
          <w:bCs/>
          <w:szCs w:val="24"/>
          <w:lang w:eastAsia="ru-RU"/>
        </w:rPr>
        <w:t xml:space="preserve"> </w:t>
      </w:r>
      <w:r w:rsidRPr="00D337FA">
        <w:rPr>
          <w:rFonts w:eastAsia="Times New Roman"/>
          <w:bCs/>
          <w:szCs w:val="24"/>
          <w:lang w:eastAsia="ru-RU"/>
        </w:rPr>
        <w:t>объекта</w:t>
      </w:r>
      <w:r w:rsidR="006C680D" w:rsidRPr="00D337FA">
        <w:rPr>
          <w:rFonts w:eastAsia="Times New Roman"/>
          <w:bCs/>
          <w:szCs w:val="24"/>
          <w:lang w:eastAsia="ru-RU"/>
        </w:rPr>
        <w:t xml:space="preserve"> </w:t>
      </w:r>
      <w:r w:rsidRPr="00D337FA">
        <w:rPr>
          <w:rFonts w:eastAsia="Times New Roman"/>
          <w:bCs/>
          <w:szCs w:val="24"/>
          <w:lang w:eastAsia="ru-RU"/>
        </w:rPr>
        <w:t>рынка</w:t>
      </w:r>
      <w:r w:rsidR="006C680D" w:rsidRPr="00D337FA">
        <w:rPr>
          <w:rFonts w:eastAsia="Times New Roman"/>
          <w:bCs/>
          <w:szCs w:val="24"/>
          <w:lang w:eastAsia="ru-RU"/>
        </w:rPr>
        <w:t xml:space="preserve"> </w:t>
      </w:r>
      <w:r w:rsidRPr="00D337FA">
        <w:rPr>
          <w:rFonts w:eastAsia="Times New Roman"/>
          <w:bCs/>
          <w:szCs w:val="24"/>
          <w:lang w:eastAsia="ru-RU"/>
        </w:rPr>
        <w:t>банковских</w:t>
      </w:r>
      <w:r w:rsidR="006C680D" w:rsidRPr="00D337FA">
        <w:rPr>
          <w:rFonts w:eastAsia="Times New Roman"/>
          <w:bCs/>
          <w:szCs w:val="24"/>
          <w:lang w:eastAsia="ru-RU"/>
        </w:rPr>
        <w:t xml:space="preserve"> </w:t>
      </w:r>
      <w:r w:rsidRPr="00D337FA">
        <w:rPr>
          <w:rFonts w:eastAsia="Times New Roman"/>
          <w:bCs/>
          <w:szCs w:val="24"/>
          <w:lang w:eastAsia="ru-RU"/>
        </w:rPr>
        <w:t>услуг</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выявить</w:t>
      </w:r>
      <w:r w:rsidR="006C680D" w:rsidRPr="00D337FA">
        <w:rPr>
          <w:rFonts w:eastAsia="Times New Roman"/>
          <w:bCs/>
          <w:szCs w:val="24"/>
          <w:lang w:eastAsia="ru-RU"/>
        </w:rPr>
        <w:t xml:space="preserve"> </w:t>
      </w:r>
      <w:r w:rsidRPr="00D337FA">
        <w:rPr>
          <w:rFonts w:eastAsia="Times New Roman"/>
          <w:bCs/>
          <w:szCs w:val="24"/>
          <w:lang w:eastAsia="ru-RU"/>
        </w:rPr>
        <w:t>существующие</w:t>
      </w:r>
      <w:r w:rsidR="006C680D" w:rsidRPr="00D337FA">
        <w:rPr>
          <w:rFonts w:eastAsia="Times New Roman"/>
          <w:bCs/>
          <w:szCs w:val="24"/>
          <w:lang w:eastAsia="ru-RU"/>
        </w:rPr>
        <w:t xml:space="preserve"> </w:t>
      </w:r>
      <w:r w:rsidRPr="00D337FA">
        <w:rPr>
          <w:rFonts w:eastAsia="Times New Roman"/>
          <w:bCs/>
          <w:szCs w:val="24"/>
          <w:lang w:eastAsia="ru-RU"/>
        </w:rPr>
        <w:t>пробелы</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исследованиях.</w:t>
      </w:r>
    </w:p>
    <w:p w:rsidR="00256E85" w:rsidRPr="00D337FA" w:rsidRDefault="00256E85" w:rsidP="005A0605">
      <w:pPr>
        <w:numPr>
          <w:ilvl w:val="0"/>
          <w:numId w:val="7"/>
        </w:numPr>
        <w:tabs>
          <w:tab w:val="left" w:pos="567"/>
        </w:tabs>
        <w:ind w:left="0" w:firstLine="284"/>
        <w:rPr>
          <w:rFonts w:eastAsia="Times New Roman"/>
          <w:bCs/>
          <w:szCs w:val="24"/>
          <w:lang w:eastAsia="ru-RU"/>
        </w:rPr>
      </w:pPr>
      <w:r w:rsidRPr="00D337FA">
        <w:rPr>
          <w:rFonts w:eastAsia="Times New Roman"/>
          <w:bCs/>
          <w:szCs w:val="24"/>
          <w:lang w:eastAsia="ru-RU"/>
        </w:rPr>
        <w:t>Провести</w:t>
      </w:r>
      <w:r w:rsidR="006C680D" w:rsidRPr="00D337FA">
        <w:rPr>
          <w:rFonts w:eastAsia="Times New Roman"/>
          <w:bCs/>
          <w:szCs w:val="24"/>
          <w:lang w:eastAsia="ru-RU"/>
        </w:rPr>
        <w:t xml:space="preserve"> </w:t>
      </w:r>
      <w:r w:rsidRPr="00D337FA">
        <w:rPr>
          <w:rFonts w:eastAsia="Times New Roman"/>
          <w:bCs/>
          <w:szCs w:val="24"/>
          <w:lang w:eastAsia="ru-RU"/>
        </w:rPr>
        <w:t>эмпирический</w:t>
      </w:r>
      <w:r w:rsidR="006C680D" w:rsidRPr="00D337FA">
        <w:rPr>
          <w:rFonts w:eastAsia="Times New Roman"/>
          <w:bCs/>
          <w:szCs w:val="24"/>
          <w:lang w:eastAsia="ru-RU"/>
        </w:rPr>
        <w:t xml:space="preserve"> </w:t>
      </w:r>
      <w:r w:rsidRPr="00D337FA">
        <w:rPr>
          <w:rFonts w:eastAsia="Times New Roman"/>
          <w:bCs/>
          <w:szCs w:val="24"/>
          <w:lang w:eastAsia="ru-RU"/>
        </w:rPr>
        <w:t>анализ</w:t>
      </w:r>
      <w:r w:rsidR="006C680D" w:rsidRPr="00D337FA">
        <w:rPr>
          <w:rFonts w:eastAsia="Times New Roman"/>
          <w:bCs/>
          <w:szCs w:val="24"/>
          <w:lang w:eastAsia="ru-RU"/>
        </w:rPr>
        <w:t xml:space="preserve"> </w:t>
      </w:r>
      <w:r w:rsidRPr="00D337FA">
        <w:rPr>
          <w:rFonts w:eastAsia="Times New Roman"/>
          <w:bCs/>
          <w:szCs w:val="24"/>
          <w:lang w:eastAsia="ru-RU"/>
        </w:rPr>
        <w:t>продуктовых</w:t>
      </w:r>
      <w:r w:rsidR="006C680D" w:rsidRPr="00D337FA">
        <w:rPr>
          <w:rFonts w:eastAsia="Times New Roman"/>
          <w:bCs/>
          <w:szCs w:val="24"/>
          <w:lang w:eastAsia="ru-RU"/>
        </w:rPr>
        <w:t xml:space="preserve"> </w:t>
      </w:r>
      <w:r w:rsidRPr="00D337FA">
        <w:rPr>
          <w:rFonts w:eastAsia="Times New Roman"/>
          <w:bCs/>
          <w:szCs w:val="24"/>
          <w:lang w:eastAsia="ru-RU"/>
        </w:rPr>
        <w:t>предложений</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моделей</w:t>
      </w:r>
      <w:r w:rsidR="006C680D" w:rsidRPr="00D337FA">
        <w:rPr>
          <w:rFonts w:eastAsia="Times New Roman"/>
          <w:bCs/>
          <w:szCs w:val="24"/>
          <w:lang w:eastAsia="ru-RU"/>
        </w:rPr>
        <w:t xml:space="preserve"> </w:t>
      </w:r>
      <w:r w:rsidRPr="00D337FA">
        <w:rPr>
          <w:rFonts w:eastAsia="Times New Roman"/>
          <w:bCs/>
          <w:szCs w:val="24"/>
          <w:lang w:eastAsia="ru-RU"/>
        </w:rPr>
        <w:t>обслуживания</w:t>
      </w:r>
      <w:r w:rsidR="006C680D" w:rsidRPr="00D337FA">
        <w:rPr>
          <w:rFonts w:eastAsia="Times New Roman"/>
          <w:bCs/>
          <w:szCs w:val="24"/>
          <w:lang w:eastAsia="ru-RU"/>
        </w:rPr>
        <w:t xml:space="preserve"> </w:t>
      </w:r>
      <w:r w:rsidRPr="00D337FA">
        <w:rPr>
          <w:rFonts w:eastAsia="Times New Roman"/>
          <w:bCs/>
          <w:szCs w:val="24"/>
          <w:lang w:eastAsia="ru-RU"/>
        </w:rPr>
        <w:t>малого</w:t>
      </w:r>
      <w:r w:rsidR="006C680D" w:rsidRPr="00D337FA">
        <w:rPr>
          <w:rFonts w:eastAsia="Times New Roman"/>
          <w:bCs/>
          <w:szCs w:val="24"/>
          <w:lang w:eastAsia="ru-RU"/>
        </w:rPr>
        <w:t xml:space="preserve"> </w:t>
      </w:r>
      <w:r w:rsidRPr="00D337FA">
        <w:rPr>
          <w:rFonts w:eastAsia="Times New Roman"/>
          <w:bCs/>
          <w:szCs w:val="24"/>
          <w:lang w:eastAsia="ru-RU"/>
        </w:rPr>
        <w:t>бизнеса,</w:t>
      </w:r>
      <w:r w:rsidR="006C680D" w:rsidRPr="00D337FA">
        <w:rPr>
          <w:rFonts w:eastAsia="Times New Roman"/>
          <w:bCs/>
          <w:szCs w:val="24"/>
          <w:lang w:eastAsia="ru-RU"/>
        </w:rPr>
        <w:t xml:space="preserve"> </w:t>
      </w:r>
      <w:r w:rsidRPr="00D337FA">
        <w:rPr>
          <w:rFonts w:eastAsia="Times New Roman"/>
          <w:bCs/>
          <w:szCs w:val="24"/>
          <w:lang w:eastAsia="ru-RU"/>
        </w:rPr>
        <w:t>реализуемых</w:t>
      </w:r>
      <w:r w:rsidR="006C680D" w:rsidRPr="00D337FA">
        <w:rPr>
          <w:rFonts w:eastAsia="Times New Roman"/>
          <w:bCs/>
          <w:szCs w:val="24"/>
          <w:lang w:eastAsia="ru-RU"/>
        </w:rPr>
        <w:t xml:space="preserve"> </w:t>
      </w:r>
      <w:r w:rsidRPr="00D337FA">
        <w:rPr>
          <w:rFonts w:eastAsia="Times New Roman"/>
          <w:bCs/>
          <w:szCs w:val="24"/>
          <w:lang w:eastAsia="ru-RU"/>
        </w:rPr>
        <w:t>системно</w:t>
      </w:r>
      <w:r w:rsidR="006C680D" w:rsidRPr="00D337FA">
        <w:rPr>
          <w:rFonts w:eastAsia="Times New Roman"/>
          <w:bCs/>
          <w:szCs w:val="24"/>
          <w:lang w:eastAsia="ru-RU"/>
        </w:rPr>
        <w:t xml:space="preserve"> </w:t>
      </w:r>
      <w:r w:rsidRPr="00D337FA">
        <w:rPr>
          <w:rFonts w:eastAsia="Times New Roman"/>
          <w:bCs/>
          <w:szCs w:val="24"/>
          <w:lang w:eastAsia="ru-RU"/>
        </w:rPr>
        <w:t>значимыми</w:t>
      </w:r>
      <w:r w:rsidR="006C680D" w:rsidRPr="00D337FA">
        <w:rPr>
          <w:rFonts w:eastAsia="Times New Roman"/>
          <w:bCs/>
          <w:szCs w:val="24"/>
          <w:lang w:eastAsia="ru-RU"/>
        </w:rPr>
        <w:t xml:space="preserve"> </w:t>
      </w:r>
      <w:r w:rsidRPr="00D337FA">
        <w:rPr>
          <w:rFonts w:eastAsia="Times New Roman"/>
          <w:bCs/>
          <w:szCs w:val="24"/>
          <w:lang w:eastAsia="ru-RU"/>
        </w:rPr>
        <w:t>банками</w:t>
      </w:r>
      <w:r w:rsidR="006C680D" w:rsidRPr="00D337FA">
        <w:rPr>
          <w:rFonts w:eastAsia="Times New Roman"/>
          <w:bCs/>
          <w:szCs w:val="24"/>
          <w:lang w:eastAsia="ru-RU"/>
        </w:rPr>
        <w:t xml:space="preserve"> </w:t>
      </w:r>
      <w:r w:rsidRPr="00D337FA">
        <w:rPr>
          <w:rFonts w:eastAsia="Times New Roman"/>
          <w:bCs/>
          <w:szCs w:val="24"/>
          <w:lang w:eastAsia="ru-RU"/>
        </w:rPr>
        <w:t>России.</w:t>
      </w:r>
    </w:p>
    <w:p w:rsidR="00256E85" w:rsidRPr="00D337FA" w:rsidRDefault="00256E85" w:rsidP="005A0605">
      <w:pPr>
        <w:numPr>
          <w:ilvl w:val="0"/>
          <w:numId w:val="7"/>
        </w:numPr>
        <w:tabs>
          <w:tab w:val="left" w:pos="567"/>
        </w:tabs>
        <w:ind w:left="0" w:firstLine="284"/>
        <w:rPr>
          <w:rFonts w:eastAsia="Times New Roman"/>
          <w:bCs/>
          <w:szCs w:val="24"/>
          <w:lang w:eastAsia="ru-RU"/>
        </w:rPr>
      </w:pPr>
      <w:r w:rsidRPr="00D337FA">
        <w:rPr>
          <w:rFonts w:eastAsia="Times New Roman"/>
          <w:bCs/>
          <w:szCs w:val="24"/>
          <w:lang w:eastAsia="ru-RU"/>
        </w:rPr>
        <w:t>Систематизировать</w:t>
      </w:r>
      <w:r w:rsidR="006C680D" w:rsidRPr="00D337FA">
        <w:rPr>
          <w:rFonts w:eastAsia="Times New Roman"/>
          <w:bCs/>
          <w:szCs w:val="24"/>
          <w:lang w:eastAsia="ru-RU"/>
        </w:rPr>
        <w:t xml:space="preserve"> </w:t>
      </w:r>
      <w:r w:rsidRPr="00D337FA">
        <w:rPr>
          <w:rFonts w:eastAsia="Times New Roman"/>
          <w:bCs/>
          <w:szCs w:val="24"/>
          <w:lang w:eastAsia="ru-RU"/>
        </w:rPr>
        <w:t>выявленные</w:t>
      </w:r>
      <w:r w:rsidR="006C680D" w:rsidRPr="00D337FA">
        <w:rPr>
          <w:rFonts w:eastAsia="Times New Roman"/>
          <w:bCs/>
          <w:szCs w:val="24"/>
          <w:lang w:eastAsia="ru-RU"/>
        </w:rPr>
        <w:t xml:space="preserve"> </w:t>
      </w:r>
      <w:r w:rsidRPr="00D337FA">
        <w:rPr>
          <w:rFonts w:eastAsia="Times New Roman"/>
          <w:bCs/>
          <w:szCs w:val="24"/>
          <w:lang w:eastAsia="ru-RU"/>
        </w:rPr>
        <w:t>тенденции</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диагностировать</w:t>
      </w:r>
      <w:r w:rsidR="006C680D" w:rsidRPr="00D337FA">
        <w:rPr>
          <w:rFonts w:eastAsia="Times New Roman"/>
          <w:bCs/>
          <w:szCs w:val="24"/>
          <w:lang w:eastAsia="ru-RU"/>
        </w:rPr>
        <w:t xml:space="preserve"> </w:t>
      </w:r>
      <w:r w:rsidRPr="00D337FA">
        <w:rPr>
          <w:rFonts w:eastAsia="Times New Roman"/>
          <w:bCs/>
          <w:szCs w:val="24"/>
          <w:lang w:eastAsia="ru-RU"/>
        </w:rPr>
        <w:t>ключевые</w:t>
      </w:r>
      <w:r w:rsidR="006C680D" w:rsidRPr="00D337FA">
        <w:rPr>
          <w:rFonts w:eastAsia="Times New Roman"/>
          <w:bCs/>
          <w:szCs w:val="24"/>
          <w:lang w:eastAsia="ru-RU"/>
        </w:rPr>
        <w:t xml:space="preserve"> </w:t>
      </w:r>
      <w:r w:rsidRPr="00D337FA">
        <w:rPr>
          <w:rFonts w:eastAsia="Times New Roman"/>
          <w:bCs/>
          <w:szCs w:val="24"/>
          <w:lang w:eastAsia="ru-RU"/>
        </w:rPr>
        <w:t>проблемы,</w:t>
      </w:r>
      <w:r w:rsidR="006C680D" w:rsidRPr="00D337FA">
        <w:rPr>
          <w:rFonts w:eastAsia="Times New Roman"/>
          <w:bCs/>
          <w:szCs w:val="24"/>
          <w:lang w:eastAsia="ru-RU"/>
        </w:rPr>
        <w:t xml:space="preserve"> </w:t>
      </w:r>
      <w:r w:rsidRPr="00D337FA">
        <w:rPr>
          <w:rFonts w:eastAsia="Times New Roman"/>
          <w:bCs/>
          <w:szCs w:val="24"/>
          <w:lang w:eastAsia="ru-RU"/>
        </w:rPr>
        <w:t>сдерживающие</w:t>
      </w:r>
      <w:r w:rsidR="006C680D" w:rsidRPr="00D337FA">
        <w:rPr>
          <w:rFonts w:eastAsia="Times New Roman"/>
          <w:bCs/>
          <w:szCs w:val="24"/>
          <w:lang w:eastAsia="ru-RU"/>
        </w:rPr>
        <w:t xml:space="preserve"> </w:t>
      </w:r>
      <w:r w:rsidRPr="00D337FA">
        <w:rPr>
          <w:rFonts w:eastAsia="Times New Roman"/>
          <w:bCs/>
          <w:szCs w:val="24"/>
          <w:lang w:eastAsia="ru-RU"/>
        </w:rPr>
        <w:t>развитие</w:t>
      </w:r>
      <w:r w:rsidR="006C680D" w:rsidRPr="00D337FA">
        <w:rPr>
          <w:rFonts w:eastAsia="Times New Roman"/>
          <w:bCs/>
          <w:szCs w:val="24"/>
          <w:lang w:eastAsia="ru-RU"/>
        </w:rPr>
        <w:t xml:space="preserve"> </w:t>
      </w:r>
      <w:r w:rsidRPr="00D337FA">
        <w:rPr>
          <w:rFonts w:eastAsia="Times New Roman"/>
          <w:bCs/>
          <w:szCs w:val="24"/>
          <w:lang w:eastAsia="ru-RU"/>
        </w:rPr>
        <w:t>полноценного</w:t>
      </w:r>
      <w:r w:rsidR="006C680D" w:rsidRPr="00D337FA">
        <w:rPr>
          <w:rFonts w:eastAsia="Times New Roman"/>
          <w:bCs/>
          <w:szCs w:val="24"/>
          <w:lang w:eastAsia="ru-RU"/>
        </w:rPr>
        <w:t xml:space="preserve"> </w:t>
      </w:r>
      <w:r w:rsidRPr="00D337FA">
        <w:rPr>
          <w:rFonts w:eastAsia="Times New Roman"/>
          <w:bCs/>
          <w:szCs w:val="24"/>
          <w:lang w:eastAsia="ru-RU"/>
        </w:rPr>
        <w:t>банковского</w:t>
      </w:r>
      <w:r w:rsidR="006C680D" w:rsidRPr="00D337FA">
        <w:rPr>
          <w:rFonts w:eastAsia="Times New Roman"/>
          <w:bCs/>
          <w:szCs w:val="24"/>
          <w:lang w:eastAsia="ru-RU"/>
        </w:rPr>
        <w:t xml:space="preserve"> </w:t>
      </w:r>
      <w:r w:rsidRPr="00D337FA">
        <w:rPr>
          <w:rFonts w:eastAsia="Times New Roman"/>
          <w:bCs/>
          <w:szCs w:val="24"/>
          <w:lang w:eastAsia="ru-RU"/>
        </w:rPr>
        <w:t>обслуживания.</w:t>
      </w:r>
    </w:p>
    <w:p w:rsidR="00256E85" w:rsidRPr="00D337FA" w:rsidRDefault="00256E85" w:rsidP="005A0605">
      <w:pPr>
        <w:numPr>
          <w:ilvl w:val="0"/>
          <w:numId w:val="7"/>
        </w:numPr>
        <w:tabs>
          <w:tab w:val="left" w:pos="567"/>
        </w:tabs>
        <w:ind w:left="0" w:firstLine="284"/>
        <w:rPr>
          <w:rFonts w:eastAsia="Times New Roman"/>
          <w:bCs/>
          <w:szCs w:val="24"/>
          <w:lang w:eastAsia="ru-RU"/>
        </w:rPr>
      </w:pPr>
      <w:r w:rsidRPr="00D337FA">
        <w:rPr>
          <w:rFonts w:eastAsia="Times New Roman"/>
          <w:bCs/>
          <w:szCs w:val="24"/>
          <w:lang w:eastAsia="ru-RU"/>
        </w:rPr>
        <w:t>Сформулировать</w:t>
      </w:r>
      <w:r w:rsidR="006C680D" w:rsidRPr="00D337FA">
        <w:rPr>
          <w:rFonts w:eastAsia="Times New Roman"/>
          <w:bCs/>
          <w:szCs w:val="24"/>
          <w:lang w:eastAsia="ru-RU"/>
        </w:rPr>
        <w:t xml:space="preserve"> </w:t>
      </w:r>
      <w:r w:rsidRPr="00D337FA">
        <w:rPr>
          <w:rFonts w:eastAsia="Times New Roman"/>
          <w:bCs/>
          <w:szCs w:val="24"/>
          <w:lang w:eastAsia="ru-RU"/>
        </w:rPr>
        <w:t>предложения</w:t>
      </w:r>
      <w:r w:rsidR="006C680D" w:rsidRPr="00D337FA">
        <w:rPr>
          <w:rFonts w:eastAsia="Times New Roman"/>
          <w:bCs/>
          <w:szCs w:val="24"/>
          <w:lang w:eastAsia="ru-RU"/>
        </w:rPr>
        <w:t xml:space="preserve"> </w:t>
      </w:r>
      <w:r w:rsidRPr="00D337FA">
        <w:rPr>
          <w:rFonts w:eastAsia="Times New Roman"/>
          <w:bCs/>
          <w:szCs w:val="24"/>
          <w:lang w:eastAsia="ru-RU"/>
        </w:rPr>
        <w:t>по</w:t>
      </w:r>
      <w:r w:rsidR="006C680D" w:rsidRPr="00D337FA">
        <w:rPr>
          <w:rFonts w:eastAsia="Times New Roman"/>
          <w:bCs/>
          <w:szCs w:val="24"/>
          <w:lang w:eastAsia="ru-RU"/>
        </w:rPr>
        <w:t xml:space="preserve"> </w:t>
      </w:r>
      <w:r w:rsidRPr="00D337FA">
        <w:rPr>
          <w:rFonts w:eastAsia="Times New Roman"/>
          <w:bCs/>
          <w:szCs w:val="24"/>
          <w:lang w:eastAsia="ru-RU"/>
        </w:rPr>
        <w:t>перспективным</w:t>
      </w:r>
      <w:r w:rsidR="006C680D" w:rsidRPr="00D337FA">
        <w:rPr>
          <w:rFonts w:eastAsia="Times New Roman"/>
          <w:bCs/>
          <w:szCs w:val="24"/>
          <w:lang w:eastAsia="ru-RU"/>
        </w:rPr>
        <w:t xml:space="preserve"> </w:t>
      </w:r>
      <w:r w:rsidRPr="00D337FA">
        <w:rPr>
          <w:rFonts w:eastAsia="Times New Roman"/>
          <w:bCs/>
          <w:szCs w:val="24"/>
          <w:lang w:eastAsia="ru-RU"/>
        </w:rPr>
        <w:t>направлениям</w:t>
      </w:r>
      <w:r w:rsidR="006C680D" w:rsidRPr="00D337FA">
        <w:rPr>
          <w:rFonts w:eastAsia="Times New Roman"/>
          <w:bCs/>
          <w:szCs w:val="24"/>
          <w:lang w:eastAsia="ru-RU"/>
        </w:rPr>
        <w:t xml:space="preserve"> </w:t>
      </w:r>
      <w:r w:rsidRPr="00D337FA">
        <w:rPr>
          <w:rFonts w:eastAsia="Times New Roman"/>
          <w:bCs/>
          <w:szCs w:val="24"/>
          <w:lang w:eastAsia="ru-RU"/>
        </w:rPr>
        <w:t>развития,</w:t>
      </w:r>
      <w:r w:rsidR="006C680D" w:rsidRPr="00D337FA">
        <w:rPr>
          <w:rFonts w:eastAsia="Times New Roman"/>
          <w:bCs/>
          <w:szCs w:val="24"/>
          <w:lang w:eastAsia="ru-RU"/>
        </w:rPr>
        <w:t xml:space="preserve"> </w:t>
      </w:r>
      <w:r w:rsidRPr="00D337FA">
        <w:rPr>
          <w:rFonts w:eastAsia="Times New Roman"/>
          <w:bCs/>
          <w:szCs w:val="24"/>
          <w:lang w:eastAsia="ru-RU"/>
        </w:rPr>
        <w:lastRenderedPageBreak/>
        <w:t>направленные</w:t>
      </w:r>
      <w:r w:rsidR="006C680D" w:rsidRPr="00D337FA">
        <w:rPr>
          <w:rFonts w:eastAsia="Times New Roman"/>
          <w:bCs/>
          <w:szCs w:val="24"/>
          <w:lang w:eastAsia="ru-RU"/>
        </w:rPr>
        <w:t xml:space="preserve"> </w:t>
      </w:r>
      <w:r w:rsidRPr="00D337FA">
        <w:rPr>
          <w:rFonts w:eastAsia="Times New Roman"/>
          <w:bCs/>
          <w:szCs w:val="24"/>
          <w:lang w:eastAsia="ru-RU"/>
        </w:rPr>
        <w:t>на</w:t>
      </w:r>
      <w:r w:rsidR="006C680D" w:rsidRPr="00D337FA">
        <w:rPr>
          <w:rFonts w:eastAsia="Times New Roman"/>
          <w:bCs/>
          <w:szCs w:val="24"/>
          <w:lang w:eastAsia="ru-RU"/>
        </w:rPr>
        <w:t xml:space="preserve"> </w:t>
      </w:r>
      <w:r w:rsidRPr="00D337FA">
        <w:rPr>
          <w:rFonts w:eastAsia="Times New Roman"/>
          <w:bCs/>
          <w:szCs w:val="24"/>
          <w:lang w:eastAsia="ru-RU"/>
        </w:rPr>
        <w:t>устранение</w:t>
      </w:r>
      <w:r w:rsidR="006C680D" w:rsidRPr="00D337FA">
        <w:rPr>
          <w:rFonts w:eastAsia="Times New Roman"/>
          <w:bCs/>
          <w:szCs w:val="24"/>
          <w:lang w:eastAsia="ru-RU"/>
        </w:rPr>
        <w:t xml:space="preserve"> </w:t>
      </w:r>
      <w:r w:rsidRPr="00D337FA">
        <w:rPr>
          <w:rFonts w:eastAsia="Times New Roman"/>
          <w:bCs/>
          <w:szCs w:val="24"/>
          <w:lang w:eastAsia="ru-RU"/>
        </w:rPr>
        <w:t>выявленных</w:t>
      </w:r>
      <w:r w:rsidR="006C680D" w:rsidRPr="00D337FA">
        <w:rPr>
          <w:rFonts w:eastAsia="Times New Roman"/>
          <w:bCs/>
          <w:szCs w:val="24"/>
          <w:lang w:eastAsia="ru-RU"/>
        </w:rPr>
        <w:t xml:space="preserve"> </w:t>
      </w:r>
      <w:r w:rsidRPr="00D337FA">
        <w:rPr>
          <w:rFonts w:eastAsia="Times New Roman"/>
          <w:bCs/>
          <w:szCs w:val="24"/>
          <w:lang w:eastAsia="ru-RU"/>
        </w:rPr>
        <w:t>пробелов</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ограничений.</w:t>
      </w:r>
    </w:p>
    <w:p w:rsidR="00256E85" w:rsidRPr="00D337FA" w:rsidRDefault="00256E85" w:rsidP="00256E85">
      <w:pPr>
        <w:tabs>
          <w:tab w:val="left" w:pos="567"/>
        </w:tabs>
        <w:ind w:firstLine="284"/>
        <w:rPr>
          <w:rFonts w:eastAsia="Times New Roman"/>
          <w:bCs/>
          <w:szCs w:val="24"/>
          <w:lang w:eastAsia="ru-RU"/>
        </w:rPr>
      </w:pPr>
      <w:r w:rsidRPr="00D337FA">
        <w:rPr>
          <w:rFonts w:eastAsia="Times New Roman"/>
          <w:bCs/>
          <w:szCs w:val="24"/>
          <w:lang w:eastAsia="ru-RU"/>
        </w:rPr>
        <w:t>Научная</w:t>
      </w:r>
      <w:r w:rsidR="006C680D" w:rsidRPr="00D337FA">
        <w:rPr>
          <w:rFonts w:eastAsia="Times New Roman"/>
          <w:bCs/>
          <w:szCs w:val="24"/>
          <w:lang w:eastAsia="ru-RU"/>
        </w:rPr>
        <w:t xml:space="preserve"> </w:t>
      </w:r>
      <w:r w:rsidRPr="00D337FA">
        <w:rPr>
          <w:rFonts w:eastAsia="Times New Roman"/>
          <w:bCs/>
          <w:szCs w:val="24"/>
          <w:lang w:eastAsia="ru-RU"/>
        </w:rPr>
        <w:t>новизна</w:t>
      </w:r>
      <w:r w:rsidR="006C680D" w:rsidRPr="00D337FA">
        <w:rPr>
          <w:rFonts w:eastAsia="Times New Roman"/>
          <w:bCs/>
          <w:szCs w:val="24"/>
          <w:lang w:eastAsia="ru-RU"/>
        </w:rPr>
        <w:t xml:space="preserve"> </w:t>
      </w:r>
      <w:r w:rsidRPr="00D337FA">
        <w:rPr>
          <w:rFonts w:eastAsia="Times New Roman"/>
          <w:bCs/>
          <w:szCs w:val="24"/>
          <w:lang w:eastAsia="ru-RU"/>
        </w:rPr>
        <w:t>исследования</w:t>
      </w:r>
      <w:r w:rsidR="006C680D" w:rsidRPr="00D337FA">
        <w:rPr>
          <w:rFonts w:eastAsia="Times New Roman"/>
          <w:bCs/>
          <w:szCs w:val="24"/>
          <w:lang w:eastAsia="ru-RU"/>
        </w:rPr>
        <w:t xml:space="preserve"> </w:t>
      </w:r>
      <w:r w:rsidRPr="00D337FA">
        <w:rPr>
          <w:rFonts w:eastAsia="Times New Roman"/>
          <w:bCs/>
          <w:szCs w:val="24"/>
          <w:lang w:eastAsia="ru-RU"/>
        </w:rPr>
        <w:t>заключается</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следующем:</w:t>
      </w:r>
    </w:p>
    <w:p w:rsidR="00256E85" w:rsidRPr="00D337FA" w:rsidRDefault="00256E85" w:rsidP="005A0605">
      <w:pPr>
        <w:numPr>
          <w:ilvl w:val="0"/>
          <w:numId w:val="8"/>
        </w:numPr>
        <w:tabs>
          <w:tab w:val="left" w:pos="567"/>
        </w:tabs>
        <w:ind w:left="0" w:firstLine="284"/>
        <w:rPr>
          <w:rFonts w:eastAsia="Times New Roman"/>
          <w:bCs/>
          <w:szCs w:val="24"/>
          <w:lang w:eastAsia="ru-RU"/>
        </w:rPr>
      </w:pPr>
      <w:r w:rsidRPr="00D337FA">
        <w:rPr>
          <w:rFonts w:eastAsia="Times New Roman"/>
          <w:bCs/>
          <w:szCs w:val="24"/>
          <w:lang w:eastAsia="ru-RU"/>
        </w:rPr>
        <w:t>Разработана</w:t>
      </w:r>
      <w:r w:rsidR="006C680D" w:rsidRPr="00D337FA">
        <w:rPr>
          <w:rFonts w:eastAsia="Times New Roman"/>
          <w:bCs/>
          <w:szCs w:val="24"/>
          <w:lang w:eastAsia="ru-RU"/>
        </w:rPr>
        <w:t xml:space="preserve"> </w:t>
      </w:r>
      <w:r w:rsidRPr="00D337FA">
        <w:rPr>
          <w:rFonts w:eastAsia="Times New Roman"/>
          <w:bCs/>
          <w:szCs w:val="24"/>
          <w:lang w:eastAsia="ru-RU"/>
        </w:rPr>
        <w:t>целостная</w:t>
      </w:r>
      <w:r w:rsidR="006C680D" w:rsidRPr="00D337FA">
        <w:rPr>
          <w:rFonts w:eastAsia="Times New Roman"/>
          <w:bCs/>
          <w:szCs w:val="24"/>
          <w:lang w:eastAsia="ru-RU"/>
        </w:rPr>
        <w:t xml:space="preserve"> </w:t>
      </w:r>
      <w:r w:rsidRPr="00D337FA">
        <w:rPr>
          <w:rFonts w:eastAsia="Times New Roman"/>
          <w:bCs/>
          <w:szCs w:val="24"/>
          <w:lang w:eastAsia="ru-RU"/>
        </w:rPr>
        <w:t>многоаспектная</w:t>
      </w:r>
      <w:r w:rsidR="006C680D" w:rsidRPr="00D337FA">
        <w:rPr>
          <w:rFonts w:eastAsia="Times New Roman"/>
          <w:bCs/>
          <w:szCs w:val="24"/>
          <w:lang w:eastAsia="ru-RU"/>
        </w:rPr>
        <w:t xml:space="preserve"> </w:t>
      </w:r>
      <w:r w:rsidRPr="00D337FA">
        <w:rPr>
          <w:rFonts w:eastAsia="Times New Roman"/>
          <w:bCs/>
          <w:szCs w:val="24"/>
          <w:lang w:eastAsia="ru-RU"/>
        </w:rPr>
        <w:t>аналитическая</w:t>
      </w:r>
      <w:r w:rsidR="006C680D" w:rsidRPr="00D337FA">
        <w:rPr>
          <w:rFonts w:eastAsia="Times New Roman"/>
          <w:bCs/>
          <w:szCs w:val="24"/>
          <w:lang w:eastAsia="ru-RU"/>
        </w:rPr>
        <w:t xml:space="preserve"> </w:t>
      </w:r>
      <w:r w:rsidRPr="00D337FA">
        <w:rPr>
          <w:rFonts w:eastAsia="Times New Roman"/>
          <w:bCs/>
          <w:szCs w:val="24"/>
          <w:lang w:eastAsia="ru-RU"/>
        </w:rPr>
        <w:t>модель,</w:t>
      </w:r>
      <w:r w:rsidR="006C680D" w:rsidRPr="00D337FA">
        <w:rPr>
          <w:rFonts w:eastAsia="Times New Roman"/>
          <w:bCs/>
          <w:szCs w:val="24"/>
          <w:lang w:eastAsia="ru-RU"/>
        </w:rPr>
        <w:t xml:space="preserve"> </w:t>
      </w:r>
      <w:r w:rsidRPr="00D337FA">
        <w:rPr>
          <w:rFonts w:eastAsia="Times New Roman"/>
          <w:bCs/>
          <w:szCs w:val="24"/>
          <w:lang w:eastAsia="ru-RU"/>
        </w:rPr>
        <w:t>синтезирующая</w:t>
      </w:r>
      <w:r w:rsidR="006C680D" w:rsidRPr="00D337FA">
        <w:rPr>
          <w:rFonts w:eastAsia="Times New Roman"/>
          <w:bCs/>
          <w:szCs w:val="24"/>
          <w:lang w:eastAsia="ru-RU"/>
        </w:rPr>
        <w:t xml:space="preserve"> </w:t>
      </w:r>
      <w:r w:rsidRPr="00D337FA">
        <w:rPr>
          <w:rFonts w:eastAsia="Times New Roman"/>
          <w:bCs/>
          <w:szCs w:val="24"/>
          <w:lang w:eastAsia="ru-RU"/>
        </w:rPr>
        <w:t>шесть</w:t>
      </w:r>
      <w:r w:rsidR="006C680D" w:rsidRPr="00D337FA">
        <w:rPr>
          <w:rFonts w:eastAsia="Times New Roman"/>
          <w:bCs/>
          <w:szCs w:val="24"/>
          <w:lang w:eastAsia="ru-RU"/>
        </w:rPr>
        <w:t xml:space="preserve"> </w:t>
      </w:r>
      <w:r w:rsidRPr="00D337FA">
        <w:rPr>
          <w:rFonts w:eastAsia="Times New Roman"/>
          <w:bCs/>
          <w:szCs w:val="24"/>
          <w:lang w:eastAsia="ru-RU"/>
        </w:rPr>
        <w:t>ключевых</w:t>
      </w:r>
      <w:r w:rsidR="006C680D" w:rsidRPr="00D337FA">
        <w:rPr>
          <w:rFonts w:eastAsia="Times New Roman"/>
          <w:bCs/>
          <w:szCs w:val="24"/>
          <w:lang w:eastAsia="ru-RU"/>
        </w:rPr>
        <w:t xml:space="preserve"> </w:t>
      </w:r>
      <w:r w:rsidRPr="00D337FA">
        <w:rPr>
          <w:rFonts w:eastAsia="Times New Roman"/>
          <w:bCs/>
          <w:szCs w:val="24"/>
          <w:lang w:eastAsia="ru-RU"/>
        </w:rPr>
        <w:t>взаимосвязанных</w:t>
      </w:r>
      <w:r w:rsidR="006C680D" w:rsidRPr="00D337FA">
        <w:rPr>
          <w:rFonts w:eastAsia="Times New Roman"/>
          <w:bCs/>
          <w:szCs w:val="24"/>
          <w:lang w:eastAsia="ru-RU"/>
        </w:rPr>
        <w:t xml:space="preserve"> </w:t>
      </w:r>
      <w:r w:rsidRPr="00D337FA">
        <w:rPr>
          <w:rFonts w:eastAsia="Times New Roman"/>
          <w:bCs/>
          <w:szCs w:val="24"/>
          <w:lang w:eastAsia="ru-RU"/>
        </w:rPr>
        <w:t>тенденций</w:t>
      </w:r>
      <w:r w:rsidR="006C680D" w:rsidRPr="00D337FA">
        <w:rPr>
          <w:rFonts w:eastAsia="Times New Roman"/>
          <w:bCs/>
          <w:szCs w:val="24"/>
          <w:lang w:eastAsia="ru-RU"/>
        </w:rPr>
        <w:t xml:space="preserve"> </w:t>
      </w:r>
      <w:r w:rsidRPr="00D337FA">
        <w:rPr>
          <w:rFonts w:eastAsia="Times New Roman"/>
          <w:bCs/>
          <w:szCs w:val="24"/>
          <w:lang w:eastAsia="ru-RU"/>
        </w:rPr>
        <w:t>развития</w:t>
      </w:r>
      <w:r w:rsidR="006C680D" w:rsidRPr="00D337FA">
        <w:rPr>
          <w:rFonts w:eastAsia="Times New Roman"/>
          <w:bCs/>
          <w:szCs w:val="24"/>
          <w:lang w:eastAsia="ru-RU"/>
        </w:rPr>
        <w:t xml:space="preserve"> </w:t>
      </w:r>
      <w:r w:rsidRPr="00D337FA">
        <w:rPr>
          <w:rFonts w:eastAsia="Times New Roman"/>
          <w:bCs/>
          <w:szCs w:val="24"/>
          <w:lang w:eastAsia="ru-RU"/>
        </w:rPr>
        <w:t>банковского</w:t>
      </w:r>
      <w:r w:rsidR="006C680D" w:rsidRPr="00D337FA">
        <w:rPr>
          <w:rFonts w:eastAsia="Times New Roman"/>
          <w:bCs/>
          <w:szCs w:val="24"/>
          <w:lang w:eastAsia="ru-RU"/>
        </w:rPr>
        <w:t xml:space="preserve"> </w:t>
      </w:r>
      <w:r w:rsidRPr="00D337FA">
        <w:rPr>
          <w:rFonts w:eastAsia="Times New Roman"/>
          <w:bCs/>
          <w:szCs w:val="24"/>
          <w:lang w:eastAsia="ru-RU"/>
        </w:rPr>
        <w:t>обслуживания</w:t>
      </w:r>
      <w:r w:rsidR="006C680D" w:rsidRPr="00D337FA">
        <w:rPr>
          <w:rFonts w:eastAsia="Times New Roman"/>
          <w:bCs/>
          <w:szCs w:val="24"/>
          <w:lang w:eastAsia="ru-RU"/>
        </w:rPr>
        <w:t xml:space="preserve"> </w:t>
      </w:r>
      <w:r w:rsidRPr="00D337FA">
        <w:rPr>
          <w:rFonts w:eastAsia="Times New Roman"/>
          <w:bCs/>
          <w:szCs w:val="24"/>
          <w:lang w:eastAsia="ru-RU"/>
        </w:rPr>
        <w:t>малого</w:t>
      </w:r>
      <w:r w:rsidR="006C680D" w:rsidRPr="00D337FA">
        <w:rPr>
          <w:rFonts w:eastAsia="Times New Roman"/>
          <w:bCs/>
          <w:szCs w:val="24"/>
          <w:lang w:eastAsia="ru-RU"/>
        </w:rPr>
        <w:t xml:space="preserve"> </w:t>
      </w:r>
      <w:r w:rsidRPr="00D337FA">
        <w:rPr>
          <w:rFonts w:eastAsia="Times New Roman"/>
          <w:bCs/>
          <w:szCs w:val="24"/>
          <w:lang w:eastAsia="ru-RU"/>
        </w:rPr>
        <w:t>бизнеса</w:t>
      </w:r>
      <w:r w:rsidR="006C680D" w:rsidRPr="00D337FA">
        <w:rPr>
          <w:rFonts w:eastAsia="Times New Roman"/>
          <w:bCs/>
          <w:szCs w:val="24"/>
          <w:lang w:eastAsia="ru-RU"/>
        </w:rPr>
        <w:t xml:space="preserve"> </w:t>
      </w:r>
      <w:r w:rsidRPr="00D337FA">
        <w:rPr>
          <w:rFonts w:eastAsia="Times New Roman"/>
          <w:bCs/>
          <w:szCs w:val="24"/>
          <w:lang w:eastAsia="ru-RU"/>
        </w:rPr>
        <w:t>(эволюция</w:t>
      </w:r>
      <w:r w:rsidR="006C680D" w:rsidRPr="00D337FA">
        <w:rPr>
          <w:rFonts w:eastAsia="Times New Roman"/>
          <w:bCs/>
          <w:szCs w:val="24"/>
          <w:lang w:eastAsia="ru-RU"/>
        </w:rPr>
        <w:t xml:space="preserve"> </w:t>
      </w:r>
      <w:r w:rsidRPr="00D337FA">
        <w:rPr>
          <w:rFonts w:eastAsia="Times New Roman"/>
          <w:bCs/>
          <w:szCs w:val="24"/>
          <w:lang w:eastAsia="ru-RU"/>
        </w:rPr>
        <w:t>моделей,</w:t>
      </w:r>
      <w:r w:rsidR="006C680D" w:rsidRPr="00D337FA">
        <w:rPr>
          <w:rFonts w:eastAsia="Times New Roman"/>
          <w:bCs/>
          <w:szCs w:val="24"/>
          <w:lang w:eastAsia="ru-RU"/>
        </w:rPr>
        <w:t xml:space="preserve"> </w:t>
      </w:r>
      <w:r w:rsidRPr="00D337FA">
        <w:rPr>
          <w:rFonts w:eastAsia="Times New Roman"/>
          <w:bCs/>
          <w:szCs w:val="24"/>
          <w:lang w:eastAsia="ru-RU"/>
        </w:rPr>
        <w:t>цифровизация,</w:t>
      </w:r>
      <w:r w:rsidR="006C680D" w:rsidRPr="00D337FA">
        <w:rPr>
          <w:rFonts w:eastAsia="Times New Roman"/>
          <w:bCs/>
          <w:szCs w:val="24"/>
          <w:lang w:eastAsia="ru-RU"/>
        </w:rPr>
        <w:t xml:space="preserve"> </w:t>
      </w:r>
      <w:r w:rsidRPr="00D337FA">
        <w:rPr>
          <w:rFonts w:eastAsia="Times New Roman"/>
          <w:bCs/>
          <w:szCs w:val="24"/>
          <w:lang w:eastAsia="ru-RU"/>
        </w:rPr>
        <w:t>отраслевая</w:t>
      </w:r>
      <w:r w:rsidR="006C680D" w:rsidRPr="00D337FA">
        <w:rPr>
          <w:rFonts w:eastAsia="Times New Roman"/>
          <w:bCs/>
          <w:szCs w:val="24"/>
          <w:lang w:eastAsia="ru-RU"/>
        </w:rPr>
        <w:t xml:space="preserve"> </w:t>
      </w:r>
      <w:r w:rsidRPr="00D337FA">
        <w:rPr>
          <w:rFonts w:eastAsia="Times New Roman"/>
          <w:bCs/>
          <w:szCs w:val="24"/>
          <w:lang w:eastAsia="ru-RU"/>
        </w:rPr>
        <w:t>специализация,</w:t>
      </w:r>
      <w:r w:rsidR="006C680D" w:rsidRPr="00D337FA">
        <w:rPr>
          <w:rFonts w:eastAsia="Times New Roman"/>
          <w:bCs/>
          <w:szCs w:val="24"/>
          <w:lang w:eastAsia="ru-RU"/>
        </w:rPr>
        <w:t xml:space="preserve"> </w:t>
      </w:r>
      <w:r w:rsidRPr="00D337FA">
        <w:rPr>
          <w:rFonts w:eastAsia="Times New Roman"/>
          <w:bCs/>
          <w:szCs w:val="24"/>
          <w:lang w:eastAsia="ru-RU"/>
        </w:rPr>
        <w:t>диверсификация</w:t>
      </w:r>
      <w:r w:rsidR="006C680D" w:rsidRPr="00D337FA">
        <w:rPr>
          <w:rFonts w:eastAsia="Times New Roman"/>
          <w:bCs/>
          <w:szCs w:val="24"/>
          <w:lang w:eastAsia="ru-RU"/>
        </w:rPr>
        <w:t xml:space="preserve"> </w:t>
      </w:r>
      <w:r w:rsidRPr="00D337FA">
        <w:rPr>
          <w:rFonts w:eastAsia="Times New Roman"/>
          <w:bCs/>
          <w:szCs w:val="24"/>
          <w:lang w:eastAsia="ru-RU"/>
        </w:rPr>
        <w:t>финансирования,</w:t>
      </w:r>
      <w:r w:rsidR="006C680D" w:rsidRPr="00D337FA">
        <w:rPr>
          <w:rFonts w:eastAsia="Times New Roman"/>
          <w:bCs/>
          <w:szCs w:val="24"/>
          <w:lang w:eastAsia="ru-RU"/>
        </w:rPr>
        <w:t xml:space="preserve"> </w:t>
      </w:r>
      <w:r w:rsidRPr="00D337FA">
        <w:rPr>
          <w:rFonts w:eastAsia="Times New Roman"/>
          <w:bCs/>
          <w:szCs w:val="24"/>
          <w:lang w:eastAsia="ru-RU"/>
        </w:rPr>
        <w:t>ограниченность</w:t>
      </w:r>
      <w:r w:rsidR="006C680D" w:rsidRPr="00D337FA">
        <w:rPr>
          <w:rFonts w:eastAsia="Times New Roman"/>
          <w:bCs/>
          <w:szCs w:val="24"/>
          <w:lang w:eastAsia="ru-RU"/>
        </w:rPr>
        <w:t xml:space="preserve"> </w:t>
      </w:r>
      <w:r w:rsidRPr="00D337FA">
        <w:rPr>
          <w:rFonts w:eastAsia="Times New Roman"/>
          <w:bCs/>
          <w:szCs w:val="24"/>
          <w:lang w:eastAsia="ru-RU"/>
        </w:rPr>
        <w:t>специфических</w:t>
      </w:r>
      <w:r w:rsidR="006C680D" w:rsidRPr="00D337FA">
        <w:rPr>
          <w:rFonts w:eastAsia="Times New Roman"/>
          <w:bCs/>
          <w:szCs w:val="24"/>
          <w:lang w:eastAsia="ru-RU"/>
        </w:rPr>
        <w:t xml:space="preserve"> </w:t>
      </w:r>
      <w:r w:rsidRPr="00D337FA">
        <w:rPr>
          <w:rFonts w:eastAsia="Times New Roman"/>
          <w:bCs/>
          <w:szCs w:val="24"/>
          <w:lang w:eastAsia="ru-RU"/>
        </w:rPr>
        <w:t>услуг,</w:t>
      </w:r>
      <w:r w:rsidR="006C680D" w:rsidRPr="00D337FA">
        <w:rPr>
          <w:rFonts w:eastAsia="Times New Roman"/>
          <w:bCs/>
          <w:szCs w:val="24"/>
          <w:lang w:eastAsia="ru-RU"/>
        </w:rPr>
        <w:t xml:space="preserve"> </w:t>
      </w:r>
      <w:r w:rsidRPr="00D337FA">
        <w:rPr>
          <w:rFonts w:eastAsia="Times New Roman"/>
          <w:bCs/>
          <w:szCs w:val="24"/>
          <w:lang w:eastAsia="ru-RU"/>
        </w:rPr>
        <w:t>развитие</w:t>
      </w:r>
      <w:r w:rsidR="006C680D" w:rsidRPr="00D337FA">
        <w:rPr>
          <w:rFonts w:eastAsia="Times New Roman"/>
          <w:bCs/>
          <w:szCs w:val="24"/>
          <w:lang w:eastAsia="ru-RU"/>
        </w:rPr>
        <w:t xml:space="preserve"> </w:t>
      </w:r>
      <w:r w:rsidRPr="00D337FA">
        <w:rPr>
          <w:rFonts w:eastAsia="Times New Roman"/>
          <w:bCs/>
          <w:szCs w:val="24"/>
          <w:lang w:eastAsia="ru-RU"/>
        </w:rPr>
        <w:t>нефинансового</w:t>
      </w:r>
      <w:r w:rsidR="006C680D" w:rsidRPr="00D337FA">
        <w:rPr>
          <w:rFonts w:eastAsia="Times New Roman"/>
          <w:bCs/>
          <w:szCs w:val="24"/>
          <w:lang w:eastAsia="ru-RU"/>
        </w:rPr>
        <w:t xml:space="preserve"> </w:t>
      </w:r>
      <w:r w:rsidRPr="00D337FA">
        <w:rPr>
          <w:rFonts w:eastAsia="Times New Roman"/>
          <w:bCs/>
          <w:szCs w:val="24"/>
          <w:lang w:eastAsia="ru-RU"/>
        </w:rPr>
        <w:t>сопровождения),</w:t>
      </w:r>
      <w:r w:rsidR="006C680D" w:rsidRPr="00D337FA">
        <w:rPr>
          <w:rFonts w:eastAsia="Times New Roman"/>
          <w:bCs/>
          <w:szCs w:val="24"/>
          <w:lang w:eastAsia="ru-RU"/>
        </w:rPr>
        <w:t xml:space="preserve"> </w:t>
      </w:r>
      <w:r w:rsidRPr="00D337FA">
        <w:rPr>
          <w:rFonts w:eastAsia="Times New Roman"/>
          <w:bCs/>
          <w:szCs w:val="24"/>
          <w:lang w:eastAsia="ru-RU"/>
        </w:rPr>
        <w:t>что</w:t>
      </w:r>
      <w:r w:rsidR="006C680D" w:rsidRPr="00D337FA">
        <w:rPr>
          <w:rFonts w:eastAsia="Times New Roman"/>
          <w:bCs/>
          <w:szCs w:val="24"/>
          <w:lang w:eastAsia="ru-RU"/>
        </w:rPr>
        <w:t xml:space="preserve"> </w:t>
      </w:r>
      <w:r w:rsidRPr="00D337FA">
        <w:rPr>
          <w:rFonts w:eastAsia="Times New Roman"/>
          <w:bCs/>
          <w:szCs w:val="24"/>
          <w:lang w:eastAsia="ru-RU"/>
        </w:rPr>
        <w:t>позволяет</w:t>
      </w:r>
      <w:r w:rsidR="006C680D" w:rsidRPr="00D337FA">
        <w:rPr>
          <w:rFonts w:eastAsia="Times New Roman"/>
          <w:bCs/>
          <w:szCs w:val="24"/>
          <w:lang w:eastAsia="ru-RU"/>
        </w:rPr>
        <w:t xml:space="preserve"> </w:t>
      </w:r>
      <w:r w:rsidRPr="00D337FA">
        <w:rPr>
          <w:rFonts w:eastAsia="Times New Roman"/>
          <w:bCs/>
          <w:szCs w:val="24"/>
          <w:lang w:eastAsia="ru-RU"/>
        </w:rPr>
        <w:t>преодолеть</w:t>
      </w:r>
      <w:r w:rsidR="006C680D" w:rsidRPr="00D337FA">
        <w:rPr>
          <w:rFonts w:eastAsia="Times New Roman"/>
          <w:bCs/>
          <w:szCs w:val="24"/>
          <w:lang w:eastAsia="ru-RU"/>
        </w:rPr>
        <w:t xml:space="preserve"> </w:t>
      </w:r>
      <w:r w:rsidRPr="00D337FA">
        <w:rPr>
          <w:rFonts w:eastAsia="Times New Roman"/>
          <w:bCs/>
          <w:szCs w:val="24"/>
          <w:lang w:eastAsia="ru-RU"/>
        </w:rPr>
        <w:t>фрагментарность</w:t>
      </w:r>
      <w:r w:rsidR="006C680D" w:rsidRPr="00D337FA">
        <w:rPr>
          <w:rFonts w:eastAsia="Times New Roman"/>
          <w:bCs/>
          <w:szCs w:val="24"/>
          <w:lang w:eastAsia="ru-RU"/>
        </w:rPr>
        <w:t xml:space="preserve"> </w:t>
      </w:r>
      <w:r w:rsidRPr="00D337FA">
        <w:rPr>
          <w:rFonts w:eastAsia="Times New Roman"/>
          <w:bCs/>
          <w:szCs w:val="24"/>
          <w:lang w:eastAsia="ru-RU"/>
        </w:rPr>
        <w:t>существующих</w:t>
      </w:r>
      <w:r w:rsidR="006C680D" w:rsidRPr="00D337FA">
        <w:rPr>
          <w:rFonts w:eastAsia="Times New Roman"/>
          <w:bCs/>
          <w:szCs w:val="24"/>
          <w:lang w:eastAsia="ru-RU"/>
        </w:rPr>
        <w:t xml:space="preserve"> </w:t>
      </w:r>
      <w:r w:rsidRPr="00D337FA">
        <w:rPr>
          <w:rFonts w:eastAsia="Times New Roman"/>
          <w:bCs/>
          <w:szCs w:val="24"/>
          <w:lang w:eastAsia="ru-RU"/>
        </w:rPr>
        <w:t>исследований.</w:t>
      </w:r>
    </w:p>
    <w:p w:rsidR="00256E85" w:rsidRPr="00D337FA" w:rsidRDefault="00256E85" w:rsidP="005A0605">
      <w:pPr>
        <w:numPr>
          <w:ilvl w:val="0"/>
          <w:numId w:val="8"/>
        </w:numPr>
        <w:tabs>
          <w:tab w:val="left" w:pos="567"/>
        </w:tabs>
        <w:ind w:left="0" w:firstLine="284"/>
        <w:rPr>
          <w:rFonts w:eastAsia="Times New Roman"/>
          <w:bCs/>
          <w:szCs w:val="24"/>
          <w:lang w:eastAsia="ru-RU"/>
        </w:rPr>
      </w:pPr>
      <w:r w:rsidRPr="00D337FA">
        <w:rPr>
          <w:rFonts w:eastAsia="Times New Roman"/>
          <w:bCs/>
          <w:szCs w:val="24"/>
          <w:lang w:eastAsia="ru-RU"/>
        </w:rPr>
        <w:t>На</w:t>
      </w:r>
      <w:r w:rsidR="006C680D" w:rsidRPr="00D337FA">
        <w:rPr>
          <w:rFonts w:eastAsia="Times New Roman"/>
          <w:bCs/>
          <w:szCs w:val="24"/>
          <w:lang w:eastAsia="ru-RU"/>
        </w:rPr>
        <w:t xml:space="preserve"> </w:t>
      </w:r>
      <w:r w:rsidRPr="00D337FA">
        <w:rPr>
          <w:rFonts w:eastAsia="Times New Roman"/>
          <w:bCs/>
          <w:szCs w:val="24"/>
          <w:lang w:eastAsia="ru-RU"/>
        </w:rPr>
        <w:t>основе</w:t>
      </w:r>
      <w:r w:rsidR="006C680D" w:rsidRPr="00D337FA">
        <w:rPr>
          <w:rFonts w:eastAsia="Times New Roman"/>
          <w:bCs/>
          <w:szCs w:val="24"/>
          <w:lang w:eastAsia="ru-RU"/>
        </w:rPr>
        <w:t xml:space="preserve"> </w:t>
      </w:r>
      <w:r w:rsidRPr="00D337FA">
        <w:rPr>
          <w:rFonts w:eastAsia="Times New Roman"/>
          <w:bCs/>
          <w:szCs w:val="24"/>
          <w:lang w:eastAsia="ru-RU"/>
        </w:rPr>
        <w:t>эмпирического</w:t>
      </w:r>
      <w:r w:rsidR="006C680D" w:rsidRPr="00D337FA">
        <w:rPr>
          <w:rFonts w:eastAsia="Times New Roman"/>
          <w:bCs/>
          <w:szCs w:val="24"/>
          <w:lang w:eastAsia="ru-RU"/>
        </w:rPr>
        <w:t xml:space="preserve"> </w:t>
      </w:r>
      <w:r w:rsidRPr="00D337FA">
        <w:rPr>
          <w:rFonts w:eastAsia="Times New Roman"/>
          <w:bCs/>
          <w:szCs w:val="24"/>
          <w:lang w:eastAsia="ru-RU"/>
        </w:rPr>
        <w:t>контент-анализа</w:t>
      </w:r>
      <w:r w:rsidR="006C680D" w:rsidRPr="00D337FA">
        <w:rPr>
          <w:rFonts w:eastAsia="Times New Roman"/>
          <w:bCs/>
          <w:szCs w:val="24"/>
          <w:lang w:eastAsia="ru-RU"/>
        </w:rPr>
        <w:t xml:space="preserve"> </w:t>
      </w:r>
      <w:r w:rsidRPr="00D337FA">
        <w:rPr>
          <w:rFonts w:eastAsia="Times New Roman"/>
          <w:bCs/>
          <w:szCs w:val="24"/>
          <w:lang w:eastAsia="ru-RU"/>
        </w:rPr>
        <w:t>выявлена</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доказана</w:t>
      </w:r>
      <w:r w:rsidR="006C680D" w:rsidRPr="00D337FA">
        <w:rPr>
          <w:rFonts w:eastAsia="Times New Roman"/>
          <w:bCs/>
          <w:szCs w:val="24"/>
          <w:lang w:eastAsia="ru-RU"/>
        </w:rPr>
        <w:t xml:space="preserve"> </w:t>
      </w:r>
      <w:r w:rsidRPr="00D337FA">
        <w:rPr>
          <w:rFonts w:eastAsia="Times New Roman"/>
          <w:bCs/>
          <w:szCs w:val="24"/>
          <w:lang w:eastAsia="ru-RU"/>
        </w:rPr>
        <w:t>неравномерность</w:t>
      </w:r>
      <w:r w:rsidR="006C680D" w:rsidRPr="00D337FA">
        <w:rPr>
          <w:rFonts w:eastAsia="Times New Roman"/>
          <w:bCs/>
          <w:szCs w:val="24"/>
          <w:lang w:eastAsia="ru-RU"/>
        </w:rPr>
        <w:t xml:space="preserve"> </w:t>
      </w:r>
      <w:r w:rsidRPr="00D337FA">
        <w:rPr>
          <w:rFonts w:eastAsia="Times New Roman"/>
          <w:bCs/>
          <w:szCs w:val="24"/>
          <w:lang w:eastAsia="ru-RU"/>
        </w:rPr>
        <w:t>развития</w:t>
      </w:r>
      <w:r w:rsidR="006C680D" w:rsidRPr="00D337FA">
        <w:rPr>
          <w:rFonts w:eastAsia="Times New Roman"/>
          <w:bCs/>
          <w:szCs w:val="24"/>
          <w:lang w:eastAsia="ru-RU"/>
        </w:rPr>
        <w:t xml:space="preserve"> </w:t>
      </w:r>
      <w:r w:rsidRPr="00D337FA">
        <w:rPr>
          <w:rFonts w:eastAsia="Times New Roman"/>
          <w:bCs/>
          <w:szCs w:val="24"/>
          <w:lang w:eastAsia="ru-RU"/>
        </w:rPr>
        <w:t>банковских</w:t>
      </w:r>
      <w:r w:rsidR="006C680D" w:rsidRPr="00D337FA">
        <w:rPr>
          <w:rFonts w:eastAsia="Times New Roman"/>
          <w:bCs/>
          <w:szCs w:val="24"/>
          <w:lang w:eastAsia="ru-RU"/>
        </w:rPr>
        <w:t xml:space="preserve"> </w:t>
      </w:r>
      <w:r w:rsidRPr="00D337FA">
        <w:rPr>
          <w:rFonts w:eastAsia="Times New Roman"/>
          <w:bCs/>
          <w:szCs w:val="24"/>
          <w:lang w:eastAsia="ru-RU"/>
        </w:rPr>
        <w:t>услуг</w:t>
      </w:r>
      <w:r w:rsidR="006C680D" w:rsidRPr="00D337FA">
        <w:rPr>
          <w:rFonts w:eastAsia="Times New Roman"/>
          <w:bCs/>
          <w:szCs w:val="24"/>
          <w:lang w:eastAsia="ru-RU"/>
        </w:rPr>
        <w:t xml:space="preserve"> </w:t>
      </w:r>
      <w:r w:rsidRPr="00D337FA">
        <w:rPr>
          <w:rFonts w:eastAsia="Times New Roman"/>
          <w:bCs/>
          <w:szCs w:val="24"/>
          <w:lang w:eastAsia="ru-RU"/>
        </w:rPr>
        <w:t>для</w:t>
      </w:r>
      <w:r w:rsidR="006C680D" w:rsidRPr="00D337FA">
        <w:rPr>
          <w:rFonts w:eastAsia="Times New Roman"/>
          <w:bCs/>
          <w:szCs w:val="24"/>
          <w:lang w:eastAsia="ru-RU"/>
        </w:rPr>
        <w:t xml:space="preserve"> </w:t>
      </w:r>
      <w:r w:rsidRPr="00D337FA">
        <w:rPr>
          <w:rFonts w:eastAsia="Times New Roman"/>
          <w:bCs/>
          <w:szCs w:val="24"/>
          <w:lang w:eastAsia="ru-RU"/>
        </w:rPr>
        <w:t>малого</w:t>
      </w:r>
      <w:r w:rsidR="006C680D" w:rsidRPr="00D337FA">
        <w:rPr>
          <w:rFonts w:eastAsia="Times New Roman"/>
          <w:bCs/>
          <w:szCs w:val="24"/>
          <w:lang w:eastAsia="ru-RU"/>
        </w:rPr>
        <w:t xml:space="preserve"> </w:t>
      </w:r>
      <w:r w:rsidRPr="00D337FA">
        <w:rPr>
          <w:rFonts w:eastAsia="Times New Roman"/>
          <w:bCs/>
          <w:szCs w:val="24"/>
          <w:lang w:eastAsia="ru-RU"/>
        </w:rPr>
        <w:t>бизнеса,</w:t>
      </w:r>
      <w:r w:rsidR="006C680D" w:rsidRPr="00D337FA">
        <w:rPr>
          <w:rFonts w:eastAsia="Times New Roman"/>
          <w:bCs/>
          <w:szCs w:val="24"/>
          <w:lang w:eastAsia="ru-RU"/>
        </w:rPr>
        <w:t xml:space="preserve"> </w:t>
      </w:r>
      <w:r w:rsidRPr="00D337FA">
        <w:rPr>
          <w:rFonts w:eastAsia="Times New Roman"/>
          <w:bCs/>
          <w:szCs w:val="24"/>
          <w:lang w:eastAsia="ru-RU"/>
        </w:rPr>
        <w:t>проявляющаяся</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концентрации</w:t>
      </w:r>
      <w:r w:rsidR="006C680D" w:rsidRPr="00D337FA">
        <w:rPr>
          <w:rFonts w:eastAsia="Times New Roman"/>
          <w:bCs/>
          <w:szCs w:val="24"/>
          <w:lang w:eastAsia="ru-RU"/>
        </w:rPr>
        <w:t xml:space="preserve"> </w:t>
      </w:r>
      <w:r w:rsidRPr="00D337FA">
        <w:rPr>
          <w:rFonts w:eastAsia="Times New Roman"/>
          <w:bCs/>
          <w:szCs w:val="24"/>
          <w:lang w:eastAsia="ru-RU"/>
        </w:rPr>
        <w:t>сложных</w:t>
      </w:r>
      <w:r w:rsidR="006C680D" w:rsidRPr="00D337FA">
        <w:rPr>
          <w:rFonts w:eastAsia="Times New Roman"/>
          <w:bCs/>
          <w:szCs w:val="24"/>
          <w:lang w:eastAsia="ru-RU"/>
        </w:rPr>
        <w:t xml:space="preserve"> </w:t>
      </w:r>
      <w:r w:rsidRPr="00D337FA">
        <w:rPr>
          <w:rFonts w:eastAsia="Times New Roman"/>
          <w:bCs/>
          <w:szCs w:val="24"/>
          <w:lang w:eastAsia="ru-RU"/>
        </w:rPr>
        <w:t>решений</w:t>
      </w:r>
      <w:r w:rsidR="006C680D" w:rsidRPr="00D337FA">
        <w:rPr>
          <w:rFonts w:eastAsia="Times New Roman"/>
          <w:bCs/>
          <w:szCs w:val="24"/>
          <w:lang w:eastAsia="ru-RU"/>
        </w:rPr>
        <w:t xml:space="preserve"> </w:t>
      </w:r>
      <w:r w:rsidRPr="00D337FA">
        <w:rPr>
          <w:rFonts w:eastAsia="Times New Roman"/>
          <w:bCs/>
          <w:szCs w:val="24"/>
          <w:lang w:eastAsia="ru-RU"/>
        </w:rPr>
        <w:t>у</w:t>
      </w:r>
      <w:r w:rsidR="006C680D" w:rsidRPr="00D337FA">
        <w:rPr>
          <w:rFonts w:eastAsia="Times New Roman"/>
          <w:bCs/>
          <w:szCs w:val="24"/>
          <w:lang w:eastAsia="ru-RU"/>
        </w:rPr>
        <w:t xml:space="preserve"> </w:t>
      </w:r>
      <w:r w:rsidRPr="00D337FA">
        <w:rPr>
          <w:rFonts w:eastAsia="Times New Roman"/>
          <w:bCs/>
          <w:szCs w:val="24"/>
          <w:lang w:eastAsia="ru-RU"/>
        </w:rPr>
        <w:t>ограниченного</w:t>
      </w:r>
      <w:r w:rsidR="006C680D" w:rsidRPr="00D337FA">
        <w:rPr>
          <w:rFonts w:eastAsia="Times New Roman"/>
          <w:bCs/>
          <w:szCs w:val="24"/>
          <w:lang w:eastAsia="ru-RU"/>
        </w:rPr>
        <w:t xml:space="preserve"> </w:t>
      </w:r>
      <w:r w:rsidRPr="00D337FA">
        <w:rPr>
          <w:rFonts w:eastAsia="Times New Roman"/>
          <w:bCs/>
          <w:szCs w:val="24"/>
          <w:lang w:eastAsia="ru-RU"/>
        </w:rPr>
        <w:t>числа</w:t>
      </w:r>
      <w:r w:rsidR="006C680D" w:rsidRPr="00D337FA">
        <w:rPr>
          <w:rFonts w:eastAsia="Times New Roman"/>
          <w:bCs/>
          <w:szCs w:val="24"/>
          <w:lang w:eastAsia="ru-RU"/>
        </w:rPr>
        <w:t xml:space="preserve"> </w:t>
      </w:r>
      <w:r w:rsidRPr="00D337FA">
        <w:rPr>
          <w:rFonts w:eastAsia="Times New Roman"/>
          <w:bCs/>
          <w:szCs w:val="24"/>
          <w:lang w:eastAsia="ru-RU"/>
        </w:rPr>
        <w:t>банков-лидеров</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отставании</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предоставлении</w:t>
      </w:r>
      <w:r w:rsidR="006C680D" w:rsidRPr="00D337FA">
        <w:rPr>
          <w:rFonts w:eastAsia="Times New Roman"/>
          <w:bCs/>
          <w:szCs w:val="24"/>
          <w:lang w:eastAsia="ru-RU"/>
        </w:rPr>
        <w:t xml:space="preserve"> </w:t>
      </w:r>
      <w:r w:rsidRPr="00D337FA">
        <w:rPr>
          <w:rFonts w:eastAsia="Times New Roman"/>
          <w:bCs/>
          <w:szCs w:val="24"/>
          <w:lang w:eastAsia="ru-RU"/>
        </w:rPr>
        <w:t>стратегических</w:t>
      </w:r>
      <w:r w:rsidR="006C680D" w:rsidRPr="00D337FA">
        <w:rPr>
          <w:rFonts w:eastAsia="Times New Roman"/>
          <w:bCs/>
          <w:szCs w:val="24"/>
          <w:lang w:eastAsia="ru-RU"/>
        </w:rPr>
        <w:t xml:space="preserve"> </w:t>
      </w:r>
      <w:r w:rsidRPr="00D337FA">
        <w:rPr>
          <w:rFonts w:eastAsia="Times New Roman"/>
          <w:bCs/>
          <w:szCs w:val="24"/>
          <w:lang w:eastAsia="ru-RU"/>
        </w:rPr>
        <w:t>услуг</w:t>
      </w:r>
      <w:r w:rsidR="006C680D" w:rsidRPr="00D337FA">
        <w:rPr>
          <w:rFonts w:eastAsia="Times New Roman"/>
          <w:bCs/>
          <w:szCs w:val="24"/>
          <w:lang w:eastAsia="ru-RU"/>
        </w:rPr>
        <w:t xml:space="preserve"> </w:t>
      </w:r>
      <w:r w:rsidRPr="00D337FA">
        <w:rPr>
          <w:rFonts w:eastAsia="Times New Roman"/>
          <w:bCs/>
          <w:szCs w:val="24"/>
          <w:lang w:eastAsia="ru-RU"/>
        </w:rPr>
        <w:t>(международные</w:t>
      </w:r>
      <w:r w:rsidR="006C680D" w:rsidRPr="00D337FA">
        <w:rPr>
          <w:rFonts w:eastAsia="Times New Roman"/>
          <w:bCs/>
          <w:szCs w:val="24"/>
          <w:lang w:eastAsia="ru-RU"/>
        </w:rPr>
        <w:t xml:space="preserve"> </w:t>
      </w:r>
      <w:r w:rsidRPr="00D337FA">
        <w:rPr>
          <w:rFonts w:eastAsia="Times New Roman"/>
          <w:bCs/>
          <w:szCs w:val="24"/>
          <w:lang w:eastAsia="ru-RU"/>
        </w:rPr>
        <w:t>расчеты,</w:t>
      </w:r>
      <w:r w:rsidR="006C680D" w:rsidRPr="00D337FA">
        <w:rPr>
          <w:rFonts w:eastAsia="Times New Roman"/>
          <w:bCs/>
          <w:szCs w:val="24"/>
          <w:lang w:eastAsia="ru-RU"/>
        </w:rPr>
        <w:t xml:space="preserve"> </w:t>
      </w:r>
      <w:r w:rsidRPr="00D337FA">
        <w:rPr>
          <w:rFonts w:eastAsia="Times New Roman"/>
          <w:bCs/>
          <w:szCs w:val="24"/>
          <w:lang w:eastAsia="ru-RU"/>
        </w:rPr>
        <w:t>страхование,</w:t>
      </w:r>
      <w:r w:rsidR="006C680D" w:rsidRPr="00D337FA">
        <w:rPr>
          <w:rFonts w:eastAsia="Times New Roman"/>
          <w:bCs/>
          <w:szCs w:val="24"/>
          <w:lang w:eastAsia="ru-RU"/>
        </w:rPr>
        <w:t xml:space="preserve"> </w:t>
      </w:r>
      <w:r w:rsidRPr="00D337FA">
        <w:rPr>
          <w:rFonts w:eastAsia="Times New Roman"/>
          <w:bCs/>
          <w:szCs w:val="24"/>
          <w:lang w:eastAsia="ru-RU"/>
        </w:rPr>
        <w:t>e-commerce</w:t>
      </w:r>
      <w:r w:rsidR="006C680D" w:rsidRPr="00D337FA">
        <w:rPr>
          <w:rFonts w:eastAsia="Times New Roman"/>
          <w:bCs/>
          <w:szCs w:val="24"/>
          <w:lang w:eastAsia="ru-RU"/>
        </w:rPr>
        <w:t xml:space="preserve"> </w:t>
      </w:r>
      <w:r w:rsidRPr="00D337FA">
        <w:rPr>
          <w:rFonts w:eastAsia="Times New Roman"/>
          <w:bCs/>
          <w:szCs w:val="24"/>
          <w:lang w:eastAsia="ru-RU"/>
        </w:rPr>
        <w:t>интеграция).</w:t>
      </w:r>
    </w:p>
    <w:p w:rsidR="00256E85" w:rsidRPr="00D337FA" w:rsidRDefault="00256E85" w:rsidP="005A0605">
      <w:pPr>
        <w:numPr>
          <w:ilvl w:val="0"/>
          <w:numId w:val="8"/>
        </w:numPr>
        <w:tabs>
          <w:tab w:val="left" w:pos="567"/>
        </w:tabs>
        <w:ind w:left="0" w:firstLine="284"/>
        <w:rPr>
          <w:rFonts w:eastAsia="Times New Roman"/>
          <w:bCs/>
          <w:szCs w:val="24"/>
          <w:lang w:eastAsia="ru-RU"/>
        </w:rPr>
      </w:pPr>
      <w:r w:rsidRPr="00D337FA">
        <w:rPr>
          <w:rFonts w:eastAsia="Times New Roman"/>
          <w:bCs/>
          <w:szCs w:val="24"/>
          <w:lang w:eastAsia="ru-RU"/>
        </w:rPr>
        <w:t>Сформулирован</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обоснован</w:t>
      </w:r>
      <w:r w:rsidR="006C680D" w:rsidRPr="00D337FA">
        <w:rPr>
          <w:rFonts w:eastAsia="Times New Roman"/>
          <w:bCs/>
          <w:szCs w:val="24"/>
          <w:lang w:eastAsia="ru-RU"/>
        </w:rPr>
        <w:t xml:space="preserve"> </w:t>
      </w:r>
      <w:r w:rsidRPr="00D337FA">
        <w:rPr>
          <w:rFonts w:eastAsia="Times New Roman"/>
          <w:bCs/>
          <w:szCs w:val="24"/>
          <w:lang w:eastAsia="ru-RU"/>
        </w:rPr>
        <w:t>авторский</w:t>
      </w:r>
      <w:r w:rsidR="006C680D" w:rsidRPr="00D337FA">
        <w:rPr>
          <w:rFonts w:eastAsia="Times New Roman"/>
          <w:bCs/>
          <w:szCs w:val="24"/>
          <w:lang w:eastAsia="ru-RU"/>
        </w:rPr>
        <w:t xml:space="preserve"> </w:t>
      </w:r>
      <w:r w:rsidRPr="00D337FA">
        <w:rPr>
          <w:rFonts w:eastAsia="Times New Roman"/>
          <w:bCs/>
          <w:szCs w:val="24"/>
          <w:lang w:eastAsia="ru-RU"/>
        </w:rPr>
        <w:t>комплекс</w:t>
      </w:r>
      <w:r w:rsidR="006C680D" w:rsidRPr="00D337FA">
        <w:rPr>
          <w:rFonts w:eastAsia="Times New Roman"/>
          <w:bCs/>
          <w:szCs w:val="24"/>
          <w:lang w:eastAsia="ru-RU"/>
        </w:rPr>
        <w:t xml:space="preserve"> </w:t>
      </w:r>
      <w:r w:rsidRPr="00D337FA">
        <w:rPr>
          <w:rFonts w:eastAsia="Times New Roman"/>
          <w:bCs/>
          <w:szCs w:val="24"/>
          <w:lang w:eastAsia="ru-RU"/>
        </w:rPr>
        <w:t>перспективных</w:t>
      </w:r>
      <w:r w:rsidR="006C680D" w:rsidRPr="00D337FA">
        <w:rPr>
          <w:rFonts w:eastAsia="Times New Roman"/>
          <w:bCs/>
          <w:szCs w:val="24"/>
          <w:lang w:eastAsia="ru-RU"/>
        </w:rPr>
        <w:t xml:space="preserve"> </w:t>
      </w:r>
      <w:r w:rsidRPr="00D337FA">
        <w:rPr>
          <w:rFonts w:eastAsia="Times New Roman"/>
          <w:bCs/>
          <w:szCs w:val="24"/>
          <w:lang w:eastAsia="ru-RU"/>
        </w:rPr>
        <w:t>направлений,</w:t>
      </w:r>
      <w:r w:rsidR="006C680D" w:rsidRPr="00D337FA">
        <w:rPr>
          <w:rFonts w:eastAsia="Times New Roman"/>
          <w:bCs/>
          <w:szCs w:val="24"/>
          <w:lang w:eastAsia="ru-RU"/>
        </w:rPr>
        <w:t xml:space="preserve"> </w:t>
      </w:r>
      <w:r w:rsidRPr="00D337FA">
        <w:rPr>
          <w:rFonts w:eastAsia="Times New Roman"/>
          <w:bCs/>
          <w:szCs w:val="24"/>
          <w:lang w:eastAsia="ru-RU"/>
        </w:rPr>
        <w:t>интегрирующих</w:t>
      </w:r>
      <w:r w:rsidR="006C680D" w:rsidRPr="00D337FA">
        <w:rPr>
          <w:rFonts w:eastAsia="Times New Roman"/>
          <w:bCs/>
          <w:szCs w:val="24"/>
          <w:lang w:eastAsia="ru-RU"/>
        </w:rPr>
        <w:t xml:space="preserve"> </w:t>
      </w:r>
      <w:r w:rsidRPr="00D337FA">
        <w:rPr>
          <w:rFonts w:eastAsia="Times New Roman"/>
          <w:bCs/>
          <w:szCs w:val="24"/>
          <w:lang w:eastAsia="ru-RU"/>
        </w:rPr>
        <w:t>концепции</w:t>
      </w:r>
      <w:r w:rsidR="006C680D" w:rsidRPr="00D337FA">
        <w:rPr>
          <w:rFonts w:eastAsia="Times New Roman"/>
          <w:bCs/>
          <w:szCs w:val="24"/>
          <w:lang w:eastAsia="ru-RU"/>
        </w:rPr>
        <w:t xml:space="preserve"> </w:t>
      </w:r>
      <w:r w:rsidRPr="00D337FA">
        <w:rPr>
          <w:rFonts w:eastAsia="Times New Roman"/>
          <w:bCs/>
          <w:szCs w:val="24"/>
          <w:lang w:eastAsia="ru-RU"/>
        </w:rPr>
        <w:t>встроенных</w:t>
      </w:r>
      <w:r w:rsidR="006C680D" w:rsidRPr="00D337FA">
        <w:rPr>
          <w:rFonts w:eastAsia="Times New Roman"/>
          <w:bCs/>
          <w:szCs w:val="24"/>
          <w:lang w:eastAsia="ru-RU"/>
        </w:rPr>
        <w:t xml:space="preserve"> </w:t>
      </w:r>
      <w:r w:rsidRPr="00D337FA">
        <w:rPr>
          <w:rFonts w:eastAsia="Times New Roman"/>
          <w:bCs/>
          <w:szCs w:val="24"/>
          <w:lang w:eastAsia="ru-RU"/>
        </w:rPr>
        <w:t>финансов,</w:t>
      </w:r>
      <w:r w:rsidR="006C680D" w:rsidRPr="00D337FA">
        <w:rPr>
          <w:rFonts w:eastAsia="Times New Roman"/>
          <w:bCs/>
          <w:szCs w:val="24"/>
          <w:lang w:eastAsia="ru-RU"/>
        </w:rPr>
        <w:t xml:space="preserve"> </w:t>
      </w:r>
      <w:r w:rsidRPr="00D337FA">
        <w:rPr>
          <w:rFonts w:eastAsia="Times New Roman"/>
          <w:bCs/>
          <w:szCs w:val="24"/>
          <w:lang w:eastAsia="ru-RU"/>
        </w:rPr>
        <w:t>экосистемности</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углубленной</w:t>
      </w:r>
      <w:r w:rsidR="006C680D" w:rsidRPr="00D337FA">
        <w:rPr>
          <w:rFonts w:eastAsia="Times New Roman"/>
          <w:bCs/>
          <w:szCs w:val="24"/>
          <w:lang w:eastAsia="ru-RU"/>
        </w:rPr>
        <w:t xml:space="preserve"> </w:t>
      </w:r>
      <w:r w:rsidRPr="00D337FA">
        <w:rPr>
          <w:rFonts w:eastAsia="Times New Roman"/>
          <w:bCs/>
          <w:szCs w:val="24"/>
          <w:lang w:eastAsia="ru-RU"/>
        </w:rPr>
        <w:t>кастомизации</w:t>
      </w:r>
      <w:r w:rsidR="006C680D" w:rsidRPr="00D337FA">
        <w:rPr>
          <w:rFonts w:eastAsia="Times New Roman"/>
          <w:bCs/>
          <w:szCs w:val="24"/>
          <w:lang w:eastAsia="ru-RU"/>
        </w:rPr>
        <w:t xml:space="preserve"> </w:t>
      </w:r>
      <w:r w:rsidRPr="00D337FA">
        <w:rPr>
          <w:rFonts w:eastAsia="Times New Roman"/>
          <w:bCs/>
          <w:szCs w:val="24"/>
          <w:lang w:eastAsia="ru-RU"/>
        </w:rPr>
        <w:t>на</w:t>
      </w:r>
      <w:r w:rsidR="006C680D" w:rsidRPr="00D337FA">
        <w:rPr>
          <w:rFonts w:eastAsia="Times New Roman"/>
          <w:bCs/>
          <w:szCs w:val="24"/>
          <w:lang w:eastAsia="ru-RU"/>
        </w:rPr>
        <w:t xml:space="preserve"> </w:t>
      </w:r>
      <w:r w:rsidRPr="00D337FA">
        <w:rPr>
          <w:rFonts w:eastAsia="Times New Roman"/>
          <w:bCs/>
          <w:szCs w:val="24"/>
          <w:lang w:eastAsia="ru-RU"/>
        </w:rPr>
        <w:t>основе</w:t>
      </w:r>
      <w:r w:rsidR="006C680D" w:rsidRPr="00D337FA">
        <w:rPr>
          <w:rFonts w:eastAsia="Times New Roman"/>
          <w:bCs/>
          <w:szCs w:val="24"/>
          <w:lang w:eastAsia="ru-RU"/>
        </w:rPr>
        <w:t xml:space="preserve"> </w:t>
      </w:r>
      <w:r w:rsidRPr="00D337FA">
        <w:rPr>
          <w:rFonts w:eastAsia="Times New Roman"/>
          <w:bCs/>
          <w:szCs w:val="24"/>
          <w:lang w:eastAsia="ru-RU"/>
        </w:rPr>
        <w:t>искусственного</w:t>
      </w:r>
      <w:r w:rsidR="006C680D" w:rsidRPr="00D337FA">
        <w:rPr>
          <w:rFonts w:eastAsia="Times New Roman"/>
          <w:bCs/>
          <w:szCs w:val="24"/>
          <w:lang w:eastAsia="ru-RU"/>
        </w:rPr>
        <w:t xml:space="preserve"> </w:t>
      </w:r>
      <w:r w:rsidRPr="00D337FA">
        <w:rPr>
          <w:rFonts w:eastAsia="Times New Roman"/>
          <w:bCs/>
          <w:szCs w:val="24"/>
          <w:lang w:eastAsia="ru-RU"/>
        </w:rPr>
        <w:t>интеллекта,</w:t>
      </w:r>
      <w:r w:rsidR="006C680D" w:rsidRPr="00D337FA">
        <w:rPr>
          <w:rFonts w:eastAsia="Times New Roman"/>
          <w:bCs/>
          <w:szCs w:val="24"/>
          <w:lang w:eastAsia="ru-RU"/>
        </w:rPr>
        <w:t xml:space="preserve"> </w:t>
      </w:r>
      <w:r w:rsidRPr="00D337FA">
        <w:rPr>
          <w:rFonts w:eastAsia="Times New Roman"/>
          <w:bCs/>
          <w:szCs w:val="24"/>
          <w:lang w:eastAsia="ru-RU"/>
        </w:rPr>
        <w:t>направленных</w:t>
      </w:r>
      <w:r w:rsidR="006C680D" w:rsidRPr="00D337FA">
        <w:rPr>
          <w:rFonts w:eastAsia="Times New Roman"/>
          <w:bCs/>
          <w:szCs w:val="24"/>
          <w:lang w:eastAsia="ru-RU"/>
        </w:rPr>
        <w:t xml:space="preserve"> </w:t>
      </w:r>
      <w:r w:rsidRPr="00D337FA">
        <w:rPr>
          <w:rFonts w:eastAsia="Times New Roman"/>
          <w:bCs/>
          <w:szCs w:val="24"/>
          <w:lang w:eastAsia="ru-RU"/>
        </w:rPr>
        <w:t>на</w:t>
      </w:r>
      <w:r w:rsidR="006C680D" w:rsidRPr="00D337FA">
        <w:rPr>
          <w:rFonts w:eastAsia="Times New Roman"/>
          <w:bCs/>
          <w:szCs w:val="24"/>
          <w:lang w:eastAsia="ru-RU"/>
        </w:rPr>
        <w:t xml:space="preserve"> </w:t>
      </w:r>
      <w:r w:rsidRPr="00D337FA">
        <w:rPr>
          <w:rFonts w:eastAsia="Times New Roman"/>
          <w:bCs/>
          <w:szCs w:val="24"/>
          <w:lang w:eastAsia="ru-RU"/>
        </w:rPr>
        <w:t>преодоление</w:t>
      </w:r>
      <w:r w:rsidR="006C680D" w:rsidRPr="00D337FA">
        <w:rPr>
          <w:rFonts w:eastAsia="Times New Roman"/>
          <w:bCs/>
          <w:szCs w:val="24"/>
          <w:lang w:eastAsia="ru-RU"/>
        </w:rPr>
        <w:t xml:space="preserve"> </w:t>
      </w:r>
      <w:r w:rsidRPr="00D337FA">
        <w:rPr>
          <w:rFonts w:eastAsia="Times New Roman"/>
          <w:bCs/>
          <w:szCs w:val="24"/>
          <w:lang w:eastAsia="ru-RU"/>
        </w:rPr>
        <w:t>выявленных</w:t>
      </w:r>
      <w:r w:rsidR="006C680D" w:rsidRPr="00D337FA">
        <w:rPr>
          <w:rFonts w:eastAsia="Times New Roman"/>
          <w:bCs/>
          <w:szCs w:val="24"/>
          <w:lang w:eastAsia="ru-RU"/>
        </w:rPr>
        <w:t xml:space="preserve"> </w:t>
      </w:r>
      <w:r w:rsidRPr="00D337FA">
        <w:rPr>
          <w:rFonts w:eastAsia="Times New Roman"/>
          <w:bCs/>
          <w:szCs w:val="24"/>
          <w:lang w:eastAsia="ru-RU"/>
        </w:rPr>
        <w:t>дисбалансов</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формирование</w:t>
      </w:r>
      <w:r w:rsidR="006C680D" w:rsidRPr="00D337FA">
        <w:rPr>
          <w:rFonts w:eastAsia="Times New Roman"/>
          <w:bCs/>
          <w:szCs w:val="24"/>
          <w:lang w:eastAsia="ru-RU"/>
        </w:rPr>
        <w:t xml:space="preserve"> </w:t>
      </w:r>
      <w:r w:rsidRPr="00D337FA">
        <w:rPr>
          <w:rFonts w:eastAsia="Times New Roman"/>
          <w:bCs/>
          <w:szCs w:val="24"/>
          <w:lang w:eastAsia="ru-RU"/>
        </w:rPr>
        <w:t>системного</w:t>
      </w:r>
      <w:r w:rsidR="006C680D" w:rsidRPr="00D337FA">
        <w:rPr>
          <w:rFonts w:eastAsia="Times New Roman"/>
          <w:bCs/>
          <w:szCs w:val="24"/>
          <w:lang w:eastAsia="ru-RU"/>
        </w:rPr>
        <w:t xml:space="preserve"> </w:t>
      </w:r>
      <w:r w:rsidRPr="00D337FA">
        <w:rPr>
          <w:rFonts w:eastAsia="Times New Roman"/>
          <w:bCs/>
          <w:szCs w:val="24"/>
          <w:lang w:eastAsia="ru-RU"/>
        </w:rPr>
        <w:t>подхода</w:t>
      </w:r>
      <w:r w:rsidR="006C680D" w:rsidRPr="00D337FA">
        <w:rPr>
          <w:rFonts w:eastAsia="Times New Roman"/>
          <w:bCs/>
          <w:szCs w:val="24"/>
          <w:lang w:eastAsia="ru-RU"/>
        </w:rPr>
        <w:t xml:space="preserve"> </w:t>
      </w:r>
      <w:r w:rsidRPr="00D337FA">
        <w:rPr>
          <w:rFonts w:eastAsia="Times New Roman"/>
          <w:bCs/>
          <w:szCs w:val="24"/>
          <w:lang w:eastAsia="ru-RU"/>
        </w:rPr>
        <w:t>к</w:t>
      </w:r>
      <w:r w:rsidR="006C680D" w:rsidRPr="00D337FA">
        <w:rPr>
          <w:rFonts w:eastAsia="Times New Roman"/>
          <w:bCs/>
          <w:szCs w:val="24"/>
          <w:lang w:eastAsia="ru-RU"/>
        </w:rPr>
        <w:t xml:space="preserve"> </w:t>
      </w:r>
      <w:r w:rsidRPr="00D337FA">
        <w:rPr>
          <w:rFonts w:eastAsia="Times New Roman"/>
          <w:bCs/>
          <w:szCs w:val="24"/>
          <w:lang w:eastAsia="ru-RU"/>
        </w:rPr>
        <w:t>банковскому</w:t>
      </w:r>
      <w:r w:rsidR="006C680D" w:rsidRPr="00D337FA">
        <w:rPr>
          <w:rFonts w:eastAsia="Times New Roman"/>
          <w:bCs/>
          <w:szCs w:val="24"/>
          <w:lang w:eastAsia="ru-RU"/>
        </w:rPr>
        <w:t xml:space="preserve"> </w:t>
      </w:r>
      <w:r w:rsidRPr="00D337FA">
        <w:rPr>
          <w:rFonts w:eastAsia="Times New Roman"/>
          <w:bCs/>
          <w:szCs w:val="24"/>
          <w:lang w:eastAsia="ru-RU"/>
        </w:rPr>
        <w:t>партнёрству</w:t>
      </w:r>
      <w:r w:rsidR="006C680D" w:rsidRPr="00D337FA">
        <w:rPr>
          <w:rFonts w:eastAsia="Times New Roman"/>
          <w:bCs/>
          <w:szCs w:val="24"/>
          <w:lang w:eastAsia="ru-RU"/>
        </w:rPr>
        <w:t xml:space="preserve"> </w:t>
      </w:r>
      <w:r w:rsidRPr="00D337FA">
        <w:rPr>
          <w:rFonts w:eastAsia="Times New Roman"/>
          <w:bCs/>
          <w:szCs w:val="24"/>
          <w:lang w:eastAsia="ru-RU"/>
        </w:rPr>
        <w:t>с</w:t>
      </w:r>
      <w:r w:rsidR="006C680D" w:rsidRPr="00D337FA">
        <w:rPr>
          <w:rFonts w:eastAsia="Times New Roman"/>
          <w:bCs/>
          <w:szCs w:val="24"/>
          <w:lang w:eastAsia="ru-RU"/>
        </w:rPr>
        <w:t xml:space="preserve"> </w:t>
      </w:r>
      <w:r w:rsidRPr="00D337FA">
        <w:rPr>
          <w:rFonts w:eastAsia="Times New Roman"/>
          <w:bCs/>
          <w:szCs w:val="24"/>
          <w:lang w:eastAsia="ru-RU"/>
        </w:rPr>
        <w:t>малым</w:t>
      </w:r>
      <w:r w:rsidR="006C680D" w:rsidRPr="00D337FA">
        <w:rPr>
          <w:rFonts w:eastAsia="Times New Roman"/>
          <w:bCs/>
          <w:szCs w:val="24"/>
          <w:lang w:eastAsia="ru-RU"/>
        </w:rPr>
        <w:t xml:space="preserve"> </w:t>
      </w:r>
      <w:r w:rsidRPr="00D337FA">
        <w:rPr>
          <w:rFonts w:eastAsia="Times New Roman"/>
          <w:bCs/>
          <w:szCs w:val="24"/>
          <w:lang w:eastAsia="ru-RU"/>
        </w:rPr>
        <w:t>бизнесом.</w:t>
      </w:r>
    </w:p>
    <w:p w:rsidR="00256E85" w:rsidRPr="00D337FA" w:rsidRDefault="00256E85" w:rsidP="00256E85">
      <w:pPr>
        <w:tabs>
          <w:tab w:val="left" w:pos="567"/>
        </w:tabs>
        <w:ind w:firstLine="284"/>
        <w:rPr>
          <w:rFonts w:eastAsia="Times New Roman"/>
          <w:bCs/>
          <w:szCs w:val="24"/>
          <w:lang w:eastAsia="ru-RU"/>
        </w:rPr>
      </w:pPr>
      <w:r w:rsidRPr="00D337FA">
        <w:rPr>
          <w:rFonts w:eastAsia="Times New Roman"/>
          <w:bCs/>
          <w:szCs w:val="24"/>
          <w:lang w:eastAsia="ru-RU"/>
        </w:rPr>
        <w:t>Практическая</w:t>
      </w:r>
      <w:r w:rsidR="006C680D" w:rsidRPr="00D337FA">
        <w:rPr>
          <w:rFonts w:eastAsia="Times New Roman"/>
          <w:bCs/>
          <w:szCs w:val="24"/>
          <w:lang w:eastAsia="ru-RU"/>
        </w:rPr>
        <w:t xml:space="preserve"> </w:t>
      </w:r>
      <w:r w:rsidRPr="00D337FA">
        <w:rPr>
          <w:rFonts w:eastAsia="Times New Roman"/>
          <w:bCs/>
          <w:szCs w:val="24"/>
          <w:lang w:eastAsia="ru-RU"/>
        </w:rPr>
        <w:t>значимость</w:t>
      </w:r>
      <w:r w:rsidR="006C680D" w:rsidRPr="00D337FA">
        <w:rPr>
          <w:rFonts w:eastAsia="Times New Roman"/>
          <w:bCs/>
          <w:szCs w:val="24"/>
          <w:lang w:eastAsia="ru-RU"/>
        </w:rPr>
        <w:t xml:space="preserve"> </w:t>
      </w:r>
      <w:r w:rsidRPr="00D337FA">
        <w:rPr>
          <w:rFonts w:eastAsia="Times New Roman"/>
          <w:bCs/>
          <w:szCs w:val="24"/>
          <w:lang w:eastAsia="ru-RU"/>
        </w:rPr>
        <w:t>работы</w:t>
      </w:r>
      <w:r w:rsidR="006C680D" w:rsidRPr="00D337FA">
        <w:rPr>
          <w:rFonts w:eastAsia="Times New Roman"/>
          <w:bCs/>
          <w:szCs w:val="24"/>
          <w:lang w:eastAsia="ru-RU"/>
        </w:rPr>
        <w:t xml:space="preserve"> </w:t>
      </w:r>
      <w:r w:rsidRPr="00D337FA">
        <w:rPr>
          <w:rFonts w:eastAsia="Times New Roman"/>
          <w:bCs/>
          <w:szCs w:val="24"/>
          <w:lang w:eastAsia="ru-RU"/>
        </w:rPr>
        <w:t>состоит</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формировании</w:t>
      </w:r>
      <w:r w:rsidR="006C680D" w:rsidRPr="00D337FA">
        <w:rPr>
          <w:rFonts w:eastAsia="Times New Roman"/>
          <w:bCs/>
          <w:szCs w:val="24"/>
          <w:lang w:eastAsia="ru-RU"/>
        </w:rPr>
        <w:t xml:space="preserve"> </w:t>
      </w:r>
      <w:r w:rsidRPr="00D337FA">
        <w:rPr>
          <w:rFonts w:eastAsia="Times New Roman"/>
          <w:bCs/>
          <w:szCs w:val="24"/>
          <w:lang w:eastAsia="ru-RU"/>
        </w:rPr>
        <w:t>структурированного</w:t>
      </w:r>
      <w:r w:rsidR="006C680D" w:rsidRPr="00D337FA">
        <w:rPr>
          <w:rFonts w:eastAsia="Times New Roman"/>
          <w:bCs/>
          <w:szCs w:val="24"/>
          <w:lang w:eastAsia="ru-RU"/>
        </w:rPr>
        <w:t xml:space="preserve"> </w:t>
      </w:r>
      <w:r w:rsidRPr="00D337FA">
        <w:rPr>
          <w:rFonts w:eastAsia="Times New Roman"/>
          <w:bCs/>
          <w:szCs w:val="24"/>
          <w:lang w:eastAsia="ru-RU"/>
        </w:rPr>
        <w:t>инструментария</w:t>
      </w:r>
      <w:r w:rsidR="006C680D" w:rsidRPr="00D337FA">
        <w:rPr>
          <w:rFonts w:eastAsia="Times New Roman"/>
          <w:bCs/>
          <w:szCs w:val="24"/>
          <w:lang w:eastAsia="ru-RU"/>
        </w:rPr>
        <w:t xml:space="preserve"> </w:t>
      </w:r>
      <w:r w:rsidRPr="00D337FA">
        <w:rPr>
          <w:rFonts w:eastAsia="Times New Roman"/>
          <w:bCs/>
          <w:szCs w:val="24"/>
          <w:lang w:eastAsia="ru-RU"/>
        </w:rPr>
        <w:t>для</w:t>
      </w:r>
      <w:r w:rsidR="006C680D" w:rsidRPr="00D337FA">
        <w:rPr>
          <w:rFonts w:eastAsia="Times New Roman"/>
          <w:bCs/>
          <w:szCs w:val="24"/>
          <w:lang w:eastAsia="ru-RU"/>
        </w:rPr>
        <w:t xml:space="preserve"> </w:t>
      </w:r>
      <w:r w:rsidRPr="00D337FA">
        <w:rPr>
          <w:rFonts w:eastAsia="Times New Roman"/>
          <w:bCs/>
          <w:szCs w:val="24"/>
          <w:lang w:eastAsia="ru-RU"/>
        </w:rPr>
        <w:t>оценки</w:t>
      </w:r>
      <w:r w:rsidR="006C680D" w:rsidRPr="00D337FA">
        <w:rPr>
          <w:rFonts w:eastAsia="Times New Roman"/>
          <w:bCs/>
          <w:szCs w:val="24"/>
          <w:lang w:eastAsia="ru-RU"/>
        </w:rPr>
        <w:t xml:space="preserve"> </w:t>
      </w:r>
      <w:r w:rsidRPr="00D337FA">
        <w:rPr>
          <w:rFonts w:eastAsia="Times New Roman"/>
          <w:bCs/>
          <w:szCs w:val="24"/>
          <w:lang w:eastAsia="ru-RU"/>
        </w:rPr>
        <w:t>текущего</w:t>
      </w:r>
      <w:r w:rsidR="006C680D" w:rsidRPr="00D337FA">
        <w:rPr>
          <w:rFonts w:eastAsia="Times New Roman"/>
          <w:bCs/>
          <w:szCs w:val="24"/>
          <w:lang w:eastAsia="ru-RU"/>
        </w:rPr>
        <w:t xml:space="preserve"> </w:t>
      </w:r>
      <w:r w:rsidRPr="00D337FA">
        <w:rPr>
          <w:rFonts w:eastAsia="Times New Roman"/>
          <w:bCs/>
          <w:szCs w:val="24"/>
          <w:lang w:eastAsia="ru-RU"/>
        </w:rPr>
        <w:t>состояния</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планирования</w:t>
      </w:r>
      <w:r w:rsidR="006C680D" w:rsidRPr="00D337FA">
        <w:rPr>
          <w:rFonts w:eastAsia="Times New Roman"/>
          <w:bCs/>
          <w:szCs w:val="24"/>
          <w:lang w:eastAsia="ru-RU"/>
        </w:rPr>
        <w:t xml:space="preserve"> </w:t>
      </w:r>
      <w:r w:rsidRPr="00D337FA">
        <w:rPr>
          <w:rFonts w:eastAsia="Times New Roman"/>
          <w:bCs/>
          <w:szCs w:val="24"/>
          <w:lang w:eastAsia="ru-RU"/>
        </w:rPr>
        <w:t>банковского</w:t>
      </w:r>
      <w:r w:rsidR="006C680D" w:rsidRPr="00D337FA">
        <w:rPr>
          <w:rFonts w:eastAsia="Times New Roman"/>
          <w:bCs/>
          <w:szCs w:val="24"/>
          <w:lang w:eastAsia="ru-RU"/>
        </w:rPr>
        <w:t xml:space="preserve"> </w:t>
      </w:r>
      <w:r w:rsidRPr="00D337FA">
        <w:rPr>
          <w:rFonts w:eastAsia="Times New Roman"/>
          <w:bCs/>
          <w:szCs w:val="24"/>
          <w:lang w:eastAsia="ru-RU"/>
        </w:rPr>
        <w:t>обслуживания</w:t>
      </w:r>
      <w:r w:rsidR="006C680D" w:rsidRPr="00D337FA">
        <w:rPr>
          <w:rFonts w:eastAsia="Times New Roman"/>
          <w:bCs/>
          <w:szCs w:val="24"/>
          <w:lang w:eastAsia="ru-RU"/>
        </w:rPr>
        <w:t xml:space="preserve"> </w:t>
      </w:r>
      <w:r w:rsidRPr="00D337FA">
        <w:rPr>
          <w:rFonts w:eastAsia="Times New Roman"/>
          <w:bCs/>
          <w:szCs w:val="24"/>
          <w:lang w:eastAsia="ru-RU"/>
        </w:rPr>
        <w:t>для</w:t>
      </w:r>
      <w:r w:rsidR="006C680D" w:rsidRPr="00D337FA">
        <w:rPr>
          <w:rFonts w:eastAsia="Times New Roman"/>
          <w:bCs/>
          <w:szCs w:val="24"/>
          <w:lang w:eastAsia="ru-RU"/>
        </w:rPr>
        <w:t xml:space="preserve"> </w:t>
      </w:r>
      <w:r w:rsidRPr="00D337FA">
        <w:rPr>
          <w:rFonts w:eastAsia="Times New Roman"/>
          <w:bCs/>
          <w:szCs w:val="24"/>
          <w:lang w:eastAsia="ru-RU"/>
        </w:rPr>
        <w:t>сегмента</w:t>
      </w:r>
      <w:r w:rsidR="006C680D" w:rsidRPr="00D337FA">
        <w:rPr>
          <w:rFonts w:eastAsia="Times New Roman"/>
          <w:bCs/>
          <w:szCs w:val="24"/>
          <w:lang w:eastAsia="ru-RU"/>
        </w:rPr>
        <w:t xml:space="preserve"> </w:t>
      </w:r>
      <w:r w:rsidRPr="00D337FA">
        <w:rPr>
          <w:rFonts w:eastAsia="Times New Roman"/>
          <w:bCs/>
          <w:szCs w:val="24"/>
          <w:lang w:eastAsia="ru-RU"/>
        </w:rPr>
        <w:t>малого</w:t>
      </w:r>
      <w:r w:rsidR="006C680D" w:rsidRPr="00D337FA">
        <w:rPr>
          <w:rFonts w:eastAsia="Times New Roman"/>
          <w:bCs/>
          <w:szCs w:val="24"/>
          <w:lang w:eastAsia="ru-RU"/>
        </w:rPr>
        <w:t xml:space="preserve"> </w:t>
      </w:r>
      <w:r w:rsidRPr="00D337FA">
        <w:rPr>
          <w:rFonts w:eastAsia="Times New Roman"/>
          <w:bCs/>
          <w:szCs w:val="24"/>
          <w:lang w:eastAsia="ru-RU"/>
        </w:rPr>
        <w:t>бизнеса,</w:t>
      </w:r>
      <w:r w:rsidR="006C680D" w:rsidRPr="00D337FA">
        <w:rPr>
          <w:rFonts w:eastAsia="Times New Roman"/>
          <w:bCs/>
          <w:szCs w:val="24"/>
          <w:lang w:eastAsia="ru-RU"/>
        </w:rPr>
        <w:t xml:space="preserve"> </w:t>
      </w:r>
      <w:r w:rsidRPr="00D337FA">
        <w:rPr>
          <w:rFonts w:eastAsia="Times New Roman"/>
          <w:bCs/>
          <w:szCs w:val="24"/>
          <w:lang w:eastAsia="ru-RU"/>
        </w:rPr>
        <w:t>а</w:t>
      </w:r>
      <w:r w:rsidR="006C680D" w:rsidRPr="00D337FA">
        <w:rPr>
          <w:rFonts w:eastAsia="Times New Roman"/>
          <w:bCs/>
          <w:szCs w:val="24"/>
          <w:lang w:eastAsia="ru-RU"/>
        </w:rPr>
        <w:t xml:space="preserve"> </w:t>
      </w:r>
      <w:r w:rsidRPr="00D337FA">
        <w:rPr>
          <w:rFonts w:eastAsia="Times New Roman"/>
          <w:bCs/>
          <w:szCs w:val="24"/>
          <w:lang w:eastAsia="ru-RU"/>
        </w:rPr>
        <w:t>также</w:t>
      </w:r>
      <w:r w:rsidR="006C680D" w:rsidRPr="00D337FA">
        <w:rPr>
          <w:rFonts w:eastAsia="Times New Roman"/>
          <w:bCs/>
          <w:szCs w:val="24"/>
          <w:lang w:eastAsia="ru-RU"/>
        </w:rPr>
        <w:t xml:space="preserve"> </w:t>
      </w:r>
      <w:r w:rsidRPr="00D337FA">
        <w:rPr>
          <w:rFonts w:eastAsia="Times New Roman"/>
          <w:bCs/>
          <w:szCs w:val="24"/>
          <w:lang w:eastAsia="ru-RU"/>
        </w:rPr>
        <w:t>в</w:t>
      </w:r>
      <w:r w:rsidR="006C680D" w:rsidRPr="00D337FA">
        <w:rPr>
          <w:rFonts w:eastAsia="Times New Roman"/>
          <w:bCs/>
          <w:szCs w:val="24"/>
          <w:lang w:eastAsia="ru-RU"/>
        </w:rPr>
        <w:t xml:space="preserve"> </w:t>
      </w:r>
      <w:r w:rsidRPr="00D337FA">
        <w:rPr>
          <w:rFonts w:eastAsia="Times New Roman"/>
          <w:bCs/>
          <w:szCs w:val="24"/>
          <w:lang w:eastAsia="ru-RU"/>
        </w:rPr>
        <w:t>предложении</w:t>
      </w:r>
      <w:r w:rsidR="006C680D" w:rsidRPr="00D337FA">
        <w:rPr>
          <w:rFonts w:eastAsia="Times New Roman"/>
          <w:bCs/>
          <w:szCs w:val="24"/>
          <w:lang w:eastAsia="ru-RU"/>
        </w:rPr>
        <w:t xml:space="preserve"> </w:t>
      </w:r>
      <w:r w:rsidRPr="00D337FA">
        <w:rPr>
          <w:rFonts w:eastAsia="Times New Roman"/>
          <w:bCs/>
          <w:szCs w:val="24"/>
          <w:lang w:eastAsia="ru-RU"/>
        </w:rPr>
        <w:t>конкретных</w:t>
      </w:r>
      <w:r w:rsidR="006C680D" w:rsidRPr="00D337FA">
        <w:rPr>
          <w:rFonts w:eastAsia="Times New Roman"/>
          <w:bCs/>
          <w:szCs w:val="24"/>
          <w:lang w:eastAsia="ru-RU"/>
        </w:rPr>
        <w:t xml:space="preserve"> </w:t>
      </w:r>
      <w:r w:rsidRPr="00D337FA">
        <w:rPr>
          <w:rFonts w:eastAsia="Times New Roman"/>
          <w:bCs/>
          <w:szCs w:val="24"/>
          <w:lang w:eastAsia="ru-RU"/>
        </w:rPr>
        <w:t>векторов</w:t>
      </w:r>
      <w:r w:rsidR="006C680D" w:rsidRPr="00D337FA">
        <w:rPr>
          <w:rFonts w:eastAsia="Times New Roman"/>
          <w:bCs/>
          <w:szCs w:val="24"/>
          <w:lang w:eastAsia="ru-RU"/>
        </w:rPr>
        <w:t xml:space="preserve"> </w:t>
      </w:r>
      <w:r w:rsidRPr="00D337FA">
        <w:rPr>
          <w:rFonts w:eastAsia="Times New Roman"/>
          <w:bCs/>
          <w:szCs w:val="24"/>
          <w:lang w:eastAsia="ru-RU"/>
        </w:rPr>
        <w:t>для</w:t>
      </w:r>
      <w:r w:rsidR="006C680D" w:rsidRPr="00D337FA">
        <w:rPr>
          <w:rFonts w:eastAsia="Times New Roman"/>
          <w:bCs/>
          <w:szCs w:val="24"/>
          <w:lang w:eastAsia="ru-RU"/>
        </w:rPr>
        <w:t xml:space="preserve"> </w:t>
      </w:r>
      <w:r w:rsidRPr="00D337FA">
        <w:rPr>
          <w:rFonts w:eastAsia="Times New Roman"/>
          <w:bCs/>
          <w:szCs w:val="24"/>
          <w:lang w:eastAsia="ru-RU"/>
        </w:rPr>
        <w:t>создания</w:t>
      </w:r>
      <w:r w:rsidR="006C680D" w:rsidRPr="00D337FA">
        <w:rPr>
          <w:rFonts w:eastAsia="Times New Roman"/>
          <w:bCs/>
          <w:szCs w:val="24"/>
          <w:lang w:eastAsia="ru-RU"/>
        </w:rPr>
        <w:t xml:space="preserve"> </w:t>
      </w:r>
      <w:r w:rsidRPr="00D337FA">
        <w:rPr>
          <w:rFonts w:eastAsia="Times New Roman"/>
          <w:bCs/>
          <w:szCs w:val="24"/>
          <w:lang w:eastAsia="ru-RU"/>
        </w:rPr>
        <w:t>комплексных</w:t>
      </w:r>
      <w:r w:rsidR="006C680D" w:rsidRPr="00D337FA">
        <w:rPr>
          <w:rFonts w:eastAsia="Times New Roman"/>
          <w:bCs/>
          <w:szCs w:val="24"/>
          <w:lang w:eastAsia="ru-RU"/>
        </w:rPr>
        <w:t xml:space="preserve"> </w:t>
      </w:r>
      <w:r w:rsidRPr="00D337FA">
        <w:rPr>
          <w:rFonts w:eastAsia="Times New Roman"/>
          <w:bCs/>
          <w:szCs w:val="24"/>
          <w:lang w:eastAsia="ru-RU"/>
        </w:rPr>
        <w:t>клиентоцентричных</w:t>
      </w:r>
      <w:r w:rsidR="006C680D" w:rsidRPr="00D337FA">
        <w:rPr>
          <w:rFonts w:eastAsia="Times New Roman"/>
          <w:bCs/>
          <w:szCs w:val="24"/>
          <w:lang w:eastAsia="ru-RU"/>
        </w:rPr>
        <w:t xml:space="preserve"> </w:t>
      </w:r>
      <w:r w:rsidRPr="00D337FA">
        <w:rPr>
          <w:rFonts w:eastAsia="Times New Roman"/>
          <w:bCs/>
          <w:szCs w:val="24"/>
          <w:lang w:eastAsia="ru-RU"/>
        </w:rPr>
        <w:t>решений.</w:t>
      </w:r>
    </w:p>
    <w:p w:rsidR="00256E85" w:rsidRPr="00D337FA" w:rsidRDefault="00256E85" w:rsidP="00256E85">
      <w:pPr>
        <w:tabs>
          <w:tab w:val="left" w:pos="567"/>
        </w:tabs>
        <w:ind w:firstLine="284"/>
        <w:rPr>
          <w:rFonts w:eastAsia="Times New Roman"/>
          <w:szCs w:val="24"/>
          <w:lang w:eastAsia="ru-RU"/>
        </w:rPr>
      </w:pPr>
      <w:r w:rsidRPr="00D337FA">
        <w:rPr>
          <w:rFonts w:eastAsia="Times New Roman"/>
          <w:bCs/>
          <w:szCs w:val="24"/>
          <w:lang w:eastAsia="ru-RU"/>
        </w:rPr>
        <w:t>Алгоритм</w:t>
      </w:r>
      <w:r w:rsidR="006C680D" w:rsidRPr="00D337FA">
        <w:rPr>
          <w:rFonts w:eastAsia="Times New Roman"/>
          <w:bCs/>
          <w:szCs w:val="24"/>
          <w:lang w:eastAsia="ru-RU"/>
        </w:rPr>
        <w:t xml:space="preserve"> </w:t>
      </w:r>
      <w:r w:rsidRPr="00D337FA">
        <w:rPr>
          <w:rFonts w:eastAsia="Times New Roman"/>
          <w:bCs/>
          <w:szCs w:val="24"/>
          <w:lang w:eastAsia="ru-RU"/>
        </w:rPr>
        <w:t>исследования</w:t>
      </w:r>
      <w:r w:rsidR="006C680D" w:rsidRPr="00D337FA">
        <w:rPr>
          <w:rFonts w:eastAsia="Times New Roman"/>
          <w:szCs w:val="24"/>
          <w:lang w:eastAsia="ru-RU"/>
        </w:rPr>
        <w:t xml:space="preserve"> </w:t>
      </w:r>
      <w:r w:rsidRPr="00D337FA">
        <w:rPr>
          <w:rFonts w:eastAsia="Times New Roman"/>
          <w:szCs w:val="24"/>
          <w:lang w:eastAsia="ru-RU"/>
        </w:rPr>
        <w:t>заключается</w:t>
      </w:r>
      <w:r w:rsidR="006C680D" w:rsidRPr="00D337FA">
        <w:rPr>
          <w:rFonts w:eastAsia="Times New Roman"/>
          <w:szCs w:val="24"/>
          <w:lang w:eastAsia="ru-RU"/>
        </w:rPr>
        <w:t xml:space="preserve"> </w:t>
      </w:r>
      <w:r w:rsidRPr="00D337FA">
        <w:rPr>
          <w:rFonts w:eastAsia="Times New Roman"/>
          <w:szCs w:val="24"/>
          <w:lang w:eastAsia="ru-RU"/>
        </w:rPr>
        <w:t>в</w:t>
      </w:r>
      <w:r w:rsidR="006C680D" w:rsidRPr="00D337FA">
        <w:rPr>
          <w:rFonts w:eastAsia="Times New Roman"/>
          <w:szCs w:val="24"/>
          <w:lang w:eastAsia="ru-RU"/>
        </w:rPr>
        <w:t xml:space="preserve"> </w:t>
      </w:r>
      <w:r w:rsidRPr="00D337FA">
        <w:rPr>
          <w:rFonts w:eastAsia="Times New Roman"/>
          <w:szCs w:val="24"/>
          <w:lang w:eastAsia="ru-RU"/>
        </w:rPr>
        <w:t>реализации</w:t>
      </w:r>
      <w:r w:rsidR="006C680D" w:rsidRPr="00D337FA">
        <w:rPr>
          <w:rFonts w:eastAsia="Times New Roman"/>
          <w:szCs w:val="24"/>
          <w:lang w:eastAsia="ru-RU"/>
        </w:rPr>
        <w:t xml:space="preserve"> </w:t>
      </w:r>
      <w:r w:rsidRPr="00D337FA">
        <w:rPr>
          <w:rFonts w:eastAsia="Times New Roman"/>
          <w:szCs w:val="24"/>
          <w:lang w:eastAsia="ru-RU"/>
        </w:rPr>
        <w:t>последовательных</w:t>
      </w:r>
      <w:r w:rsidR="006C680D" w:rsidRPr="00D337FA">
        <w:rPr>
          <w:rFonts w:eastAsia="Times New Roman"/>
          <w:szCs w:val="24"/>
          <w:lang w:eastAsia="ru-RU"/>
        </w:rPr>
        <w:t xml:space="preserve"> </w:t>
      </w:r>
      <w:r w:rsidRPr="00D337FA">
        <w:rPr>
          <w:rFonts w:eastAsia="Times New Roman"/>
          <w:szCs w:val="24"/>
          <w:lang w:eastAsia="ru-RU"/>
        </w:rPr>
        <w:t>взаимосвязанных</w:t>
      </w:r>
      <w:r w:rsidR="006C680D" w:rsidRPr="00D337FA">
        <w:rPr>
          <w:rFonts w:eastAsia="Times New Roman"/>
          <w:szCs w:val="24"/>
          <w:lang w:eastAsia="ru-RU"/>
        </w:rPr>
        <w:t xml:space="preserve"> </w:t>
      </w:r>
      <w:r w:rsidRPr="00D337FA">
        <w:rPr>
          <w:rFonts w:eastAsia="Times New Roman"/>
          <w:szCs w:val="24"/>
          <w:lang w:eastAsia="ru-RU"/>
        </w:rPr>
        <w:t>этапов:</w:t>
      </w:r>
    </w:p>
    <w:p w:rsidR="00256E85" w:rsidRPr="00D337FA" w:rsidRDefault="00256E85" w:rsidP="005A0605">
      <w:pPr>
        <w:numPr>
          <w:ilvl w:val="0"/>
          <w:numId w:val="6"/>
        </w:numPr>
        <w:tabs>
          <w:tab w:val="left" w:pos="567"/>
        </w:tabs>
        <w:ind w:left="0" w:firstLine="284"/>
        <w:rPr>
          <w:rFonts w:eastAsia="Times New Roman"/>
          <w:szCs w:val="24"/>
          <w:lang w:eastAsia="ru-RU"/>
        </w:rPr>
      </w:pPr>
      <w:r w:rsidRPr="00D337FA">
        <w:rPr>
          <w:rFonts w:eastAsia="Times New Roman"/>
          <w:bCs/>
          <w:szCs w:val="24"/>
          <w:lang w:eastAsia="ru-RU"/>
        </w:rPr>
        <w:t>Теоретико-методологический</w:t>
      </w:r>
      <w:r w:rsidR="006C680D" w:rsidRPr="00D337FA">
        <w:rPr>
          <w:rFonts w:eastAsia="Times New Roman"/>
          <w:bCs/>
          <w:szCs w:val="24"/>
          <w:lang w:eastAsia="ru-RU"/>
        </w:rPr>
        <w:t xml:space="preserve"> </w:t>
      </w:r>
      <w:r w:rsidRPr="00D337FA">
        <w:rPr>
          <w:rFonts w:eastAsia="Times New Roman"/>
          <w:bCs/>
          <w:szCs w:val="24"/>
          <w:lang w:eastAsia="ru-RU"/>
        </w:rPr>
        <w:t>этап.</w:t>
      </w:r>
      <w:r w:rsidR="006C680D" w:rsidRPr="00D337FA">
        <w:rPr>
          <w:rFonts w:eastAsia="Times New Roman"/>
          <w:szCs w:val="24"/>
          <w:lang w:eastAsia="ru-RU"/>
        </w:rPr>
        <w:t xml:space="preserve"> </w:t>
      </w:r>
      <w:r w:rsidRPr="00D337FA">
        <w:rPr>
          <w:rFonts w:eastAsia="Times New Roman"/>
          <w:szCs w:val="24"/>
          <w:lang w:eastAsia="ru-RU"/>
        </w:rPr>
        <w:t>Определение</w:t>
      </w:r>
      <w:r w:rsidR="006C680D" w:rsidRPr="00D337FA">
        <w:rPr>
          <w:rFonts w:eastAsia="Times New Roman"/>
          <w:szCs w:val="24"/>
          <w:lang w:eastAsia="ru-RU"/>
        </w:rPr>
        <w:t xml:space="preserve"> </w:t>
      </w:r>
      <w:r w:rsidRPr="00D337FA">
        <w:rPr>
          <w:rFonts w:eastAsia="Times New Roman"/>
          <w:szCs w:val="24"/>
          <w:lang w:eastAsia="ru-RU"/>
        </w:rPr>
        <w:t>критериев</w:t>
      </w:r>
      <w:r w:rsidR="006C680D" w:rsidRPr="00D337FA">
        <w:rPr>
          <w:rFonts w:eastAsia="Times New Roman"/>
          <w:szCs w:val="24"/>
          <w:lang w:eastAsia="ru-RU"/>
        </w:rPr>
        <w:t xml:space="preserve"> </w:t>
      </w:r>
      <w:r w:rsidRPr="00D337FA">
        <w:rPr>
          <w:rFonts w:eastAsia="Times New Roman"/>
          <w:szCs w:val="24"/>
          <w:lang w:eastAsia="ru-RU"/>
        </w:rPr>
        <w:t>малого</w:t>
      </w:r>
      <w:r w:rsidR="006C680D" w:rsidRPr="00D337FA">
        <w:rPr>
          <w:rFonts w:eastAsia="Times New Roman"/>
          <w:szCs w:val="24"/>
          <w:lang w:eastAsia="ru-RU"/>
        </w:rPr>
        <w:t xml:space="preserve"> </w:t>
      </w:r>
      <w:r w:rsidRPr="00D337FA">
        <w:rPr>
          <w:rFonts w:eastAsia="Times New Roman"/>
          <w:szCs w:val="24"/>
          <w:lang w:eastAsia="ru-RU"/>
        </w:rPr>
        <w:t>бизнеса</w:t>
      </w:r>
      <w:r w:rsidR="006C680D" w:rsidRPr="00D337FA">
        <w:rPr>
          <w:rFonts w:eastAsia="Times New Roman"/>
          <w:szCs w:val="24"/>
          <w:lang w:eastAsia="ru-RU"/>
        </w:rPr>
        <w:t xml:space="preserve"> </w:t>
      </w:r>
      <w:r w:rsidRPr="00D337FA">
        <w:rPr>
          <w:rFonts w:eastAsia="Times New Roman"/>
          <w:szCs w:val="24"/>
          <w:lang w:eastAsia="ru-RU"/>
        </w:rPr>
        <w:t>на</w:t>
      </w:r>
      <w:r w:rsidR="006C680D" w:rsidRPr="00D337FA">
        <w:rPr>
          <w:rFonts w:eastAsia="Times New Roman"/>
          <w:szCs w:val="24"/>
          <w:lang w:eastAsia="ru-RU"/>
        </w:rPr>
        <w:t xml:space="preserve"> </w:t>
      </w:r>
      <w:r w:rsidRPr="00D337FA">
        <w:rPr>
          <w:rFonts w:eastAsia="Times New Roman"/>
          <w:szCs w:val="24"/>
          <w:lang w:eastAsia="ru-RU"/>
        </w:rPr>
        <w:t>основе</w:t>
      </w:r>
      <w:r w:rsidR="006C680D" w:rsidRPr="00D337FA">
        <w:rPr>
          <w:rFonts w:eastAsia="Times New Roman"/>
          <w:szCs w:val="24"/>
          <w:lang w:eastAsia="ru-RU"/>
        </w:rPr>
        <w:t xml:space="preserve"> </w:t>
      </w:r>
      <w:r w:rsidRPr="00D337FA">
        <w:rPr>
          <w:rFonts w:eastAsia="Times New Roman"/>
          <w:szCs w:val="24"/>
          <w:lang w:eastAsia="ru-RU"/>
        </w:rPr>
        <w:t>действующего</w:t>
      </w:r>
      <w:r w:rsidR="006C680D" w:rsidRPr="00D337FA">
        <w:rPr>
          <w:rFonts w:eastAsia="Times New Roman"/>
          <w:szCs w:val="24"/>
          <w:lang w:eastAsia="ru-RU"/>
        </w:rPr>
        <w:t xml:space="preserve"> </w:t>
      </w:r>
      <w:r w:rsidRPr="00D337FA">
        <w:rPr>
          <w:rFonts w:eastAsia="Times New Roman"/>
          <w:szCs w:val="24"/>
          <w:lang w:eastAsia="ru-RU"/>
        </w:rPr>
        <w:t>законодательства</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выявление</w:t>
      </w:r>
      <w:r w:rsidR="006C680D" w:rsidRPr="00D337FA">
        <w:rPr>
          <w:rFonts w:eastAsia="Times New Roman"/>
          <w:szCs w:val="24"/>
          <w:lang w:eastAsia="ru-RU"/>
        </w:rPr>
        <w:t xml:space="preserve"> </w:t>
      </w:r>
      <w:r w:rsidRPr="00D337FA">
        <w:rPr>
          <w:rFonts w:eastAsia="Times New Roman"/>
          <w:szCs w:val="24"/>
          <w:lang w:eastAsia="ru-RU"/>
        </w:rPr>
        <w:t>его</w:t>
      </w:r>
      <w:r w:rsidR="006C680D" w:rsidRPr="00D337FA">
        <w:rPr>
          <w:rFonts w:eastAsia="Times New Roman"/>
          <w:szCs w:val="24"/>
          <w:lang w:eastAsia="ru-RU"/>
        </w:rPr>
        <w:t xml:space="preserve"> </w:t>
      </w:r>
      <w:r w:rsidRPr="00D337FA">
        <w:rPr>
          <w:rFonts w:eastAsia="Times New Roman"/>
          <w:szCs w:val="24"/>
          <w:lang w:eastAsia="ru-RU"/>
        </w:rPr>
        <w:t>специфических</w:t>
      </w:r>
      <w:r w:rsidR="006C680D" w:rsidRPr="00D337FA">
        <w:rPr>
          <w:rFonts w:eastAsia="Times New Roman"/>
          <w:szCs w:val="24"/>
          <w:lang w:eastAsia="ru-RU"/>
        </w:rPr>
        <w:t xml:space="preserve"> </w:t>
      </w:r>
      <w:r w:rsidRPr="00D337FA">
        <w:rPr>
          <w:rFonts w:eastAsia="Times New Roman"/>
          <w:szCs w:val="24"/>
          <w:lang w:eastAsia="ru-RU"/>
        </w:rPr>
        <w:t>характеристик,</w:t>
      </w:r>
      <w:r w:rsidR="006C680D" w:rsidRPr="00D337FA">
        <w:rPr>
          <w:rFonts w:eastAsia="Times New Roman"/>
          <w:szCs w:val="24"/>
          <w:lang w:eastAsia="ru-RU"/>
        </w:rPr>
        <w:t xml:space="preserve"> </w:t>
      </w:r>
      <w:r w:rsidRPr="00D337FA">
        <w:rPr>
          <w:rFonts w:eastAsia="Times New Roman"/>
          <w:szCs w:val="24"/>
          <w:lang w:eastAsia="ru-RU"/>
        </w:rPr>
        <w:t>формирующих</w:t>
      </w:r>
      <w:r w:rsidR="006C680D" w:rsidRPr="00D337FA">
        <w:rPr>
          <w:rFonts w:eastAsia="Times New Roman"/>
          <w:szCs w:val="24"/>
          <w:lang w:eastAsia="ru-RU"/>
        </w:rPr>
        <w:t xml:space="preserve"> </w:t>
      </w:r>
      <w:r w:rsidRPr="00D337FA">
        <w:rPr>
          <w:rFonts w:eastAsia="Times New Roman"/>
          <w:szCs w:val="24"/>
          <w:lang w:eastAsia="ru-RU"/>
        </w:rPr>
        <w:t>уникальные</w:t>
      </w:r>
      <w:r w:rsidR="006C680D" w:rsidRPr="00D337FA">
        <w:rPr>
          <w:rFonts w:eastAsia="Times New Roman"/>
          <w:szCs w:val="24"/>
          <w:lang w:eastAsia="ru-RU"/>
        </w:rPr>
        <w:t xml:space="preserve"> </w:t>
      </w:r>
      <w:r w:rsidRPr="00D337FA">
        <w:rPr>
          <w:rFonts w:eastAsia="Times New Roman"/>
          <w:szCs w:val="24"/>
          <w:lang w:eastAsia="ru-RU"/>
        </w:rPr>
        <w:t>требования</w:t>
      </w:r>
      <w:r w:rsidR="006C680D" w:rsidRPr="00D337FA">
        <w:rPr>
          <w:rFonts w:eastAsia="Times New Roman"/>
          <w:szCs w:val="24"/>
          <w:lang w:eastAsia="ru-RU"/>
        </w:rPr>
        <w:t xml:space="preserve"> </w:t>
      </w:r>
      <w:r w:rsidRPr="00D337FA">
        <w:rPr>
          <w:rFonts w:eastAsia="Times New Roman"/>
          <w:szCs w:val="24"/>
          <w:lang w:eastAsia="ru-RU"/>
        </w:rPr>
        <w:t>к</w:t>
      </w:r>
      <w:r w:rsidR="006C680D" w:rsidRPr="00D337FA">
        <w:rPr>
          <w:rFonts w:eastAsia="Times New Roman"/>
          <w:szCs w:val="24"/>
          <w:lang w:eastAsia="ru-RU"/>
        </w:rPr>
        <w:t xml:space="preserve"> </w:t>
      </w:r>
      <w:r w:rsidRPr="00D337FA">
        <w:rPr>
          <w:rFonts w:eastAsia="Times New Roman"/>
          <w:szCs w:val="24"/>
          <w:lang w:eastAsia="ru-RU"/>
        </w:rPr>
        <w:t>банковскому</w:t>
      </w:r>
      <w:r w:rsidR="006C680D" w:rsidRPr="00D337FA">
        <w:rPr>
          <w:rFonts w:eastAsia="Times New Roman"/>
          <w:szCs w:val="24"/>
          <w:lang w:eastAsia="ru-RU"/>
        </w:rPr>
        <w:t xml:space="preserve"> </w:t>
      </w:r>
      <w:r w:rsidRPr="00D337FA">
        <w:rPr>
          <w:rFonts w:eastAsia="Times New Roman"/>
          <w:szCs w:val="24"/>
          <w:lang w:eastAsia="ru-RU"/>
        </w:rPr>
        <w:t>обслуживанию,</w:t>
      </w:r>
      <w:r w:rsidR="006C680D" w:rsidRPr="00D337FA">
        <w:rPr>
          <w:rFonts w:eastAsia="Times New Roman"/>
          <w:szCs w:val="24"/>
          <w:lang w:eastAsia="ru-RU"/>
        </w:rPr>
        <w:t xml:space="preserve"> </w:t>
      </w:r>
      <w:r w:rsidRPr="00D337FA">
        <w:rPr>
          <w:rFonts w:eastAsia="Times New Roman"/>
          <w:szCs w:val="24"/>
          <w:lang w:eastAsia="ru-RU"/>
        </w:rPr>
        <w:t>через</w:t>
      </w:r>
      <w:r w:rsidR="006C680D" w:rsidRPr="00D337FA">
        <w:rPr>
          <w:rFonts w:eastAsia="Times New Roman"/>
          <w:szCs w:val="24"/>
          <w:lang w:eastAsia="ru-RU"/>
        </w:rPr>
        <w:t xml:space="preserve"> </w:t>
      </w:r>
      <w:r w:rsidRPr="00D337FA">
        <w:rPr>
          <w:rFonts w:eastAsia="Times New Roman"/>
          <w:szCs w:val="24"/>
          <w:lang w:eastAsia="ru-RU"/>
        </w:rPr>
        <w:lastRenderedPageBreak/>
        <w:t>сравнительный</w:t>
      </w:r>
      <w:r w:rsidR="006C680D" w:rsidRPr="00D337FA">
        <w:rPr>
          <w:rFonts w:eastAsia="Times New Roman"/>
          <w:szCs w:val="24"/>
          <w:lang w:eastAsia="ru-RU"/>
        </w:rPr>
        <w:t xml:space="preserve"> </w:t>
      </w:r>
      <w:r w:rsidRPr="00D337FA">
        <w:rPr>
          <w:rFonts w:eastAsia="Times New Roman"/>
          <w:szCs w:val="24"/>
          <w:lang w:eastAsia="ru-RU"/>
        </w:rPr>
        <w:t>анализ</w:t>
      </w:r>
      <w:r w:rsidR="006C680D" w:rsidRPr="00D337FA">
        <w:rPr>
          <w:rFonts w:eastAsia="Times New Roman"/>
          <w:szCs w:val="24"/>
          <w:lang w:eastAsia="ru-RU"/>
        </w:rPr>
        <w:t xml:space="preserve"> </w:t>
      </w:r>
      <w:r w:rsidRPr="00D337FA">
        <w:rPr>
          <w:rFonts w:eastAsia="Times New Roman"/>
          <w:szCs w:val="24"/>
          <w:lang w:eastAsia="ru-RU"/>
        </w:rPr>
        <w:t>с</w:t>
      </w:r>
      <w:r w:rsidR="006C680D" w:rsidRPr="00D337FA">
        <w:rPr>
          <w:rFonts w:eastAsia="Times New Roman"/>
          <w:szCs w:val="24"/>
          <w:lang w:eastAsia="ru-RU"/>
        </w:rPr>
        <w:t xml:space="preserve"> </w:t>
      </w:r>
      <w:r w:rsidRPr="00D337FA">
        <w:rPr>
          <w:rFonts w:eastAsia="Times New Roman"/>
          <w:szCs w:val="24"/>
          <w:lang w:eastAsia="ru-RU"/>
        </w:rPr>
        <w:t>крупным</w:t>
      </w:r>
      <w:r w:rsidR="006C680D" w:rsidRPr="00D337FA">
        <w:rPr>
          <w:rFonts w:eastAsia="Times New Roman"/>
          <w:szCs w:val="24"/>
          <w:lang w:eastAsia="ru-RU"/>
        </w:rPr>
        <w:t xml:space="preserve"> </w:t>
      </w:r>
      <w:r w:rsidRPr="00D337FA">
        <w:rPr>
          <w:rFonts w:eastAsia="Times New Roman"/>
          <w:szCs w:val="24"/>
          <w:lang w:eastAsia="ru-RU"/>
        </w:rPr>
        <w:t>бизнесом.</w:t>
      </w:r>
    </w:p>
    <w:p w:rsidR="00256E85" w:rsidRPr="00D337FA" w:rsidRDefault="00256E85" w:rsidP="005A0605">
      <w:pPr>
        <w:numPr>
          <w:ilvl w:val="0"/>
          <w:numId w:val="6"/>
        </w:numPr>
        <w:tabs>
          <w:tab w:val="left" w:pos="567"/>
        </w:tabs>
        <w:ind w:left="0" w:firstLine="284"/>
        <w:rPr>
          <w:rFonts w:eastAsia="Times New Roman"/>
          <w:szCs w:val="24"/>
          <w:lang w:eastAsia="ru-RU"/>
        </w:rPr>
      </w:pPr>
      <w:r w:rsidRPr="00D337FA">
        <w:rPr>
          <w:rFonts w:eastAsia="Times New Roman"/>
          <w:bCs/>
          <w:szCs w:val="24"/>
          <w:lang w:eastAsia="ru-RU"/>
        </w:rPr>
        <w:t>Аналитический</w:t>
      </w:r>
      <w:r w:rsidR="006C680D" w:rsidRPr="00D337FA">
        <w:rPr>
          <w:rFonts w:eastAsia="Times New Roman"/>
          <w:bCs/>
          <w:szCs w:val="24"/>
          <w:lang w:eastAsia="ru-RU"/>
        </w:rPr>
        <w:t xml:space="preserve"> </w:t>
      </w:r>
      <w:r w:rsidRPr="00D337FA">
        <w:rPr>
          <w:rFonts w:eastAsia="Times New Roman"/>
          <w:bCs/>
          <w:szCs w:val="24"/>
          <w:lang w:eastAsia="ru-RU"/>
        </w:rPr>
        <w:t>этап.</w:t>
      </w:r>
      <w:r w:rsidR="006C680D" w:rsidRPr="00D337FA">
        <w:rPr>
          <w:rFonts w:eastAsia="Times New Roman"/>
          <w:bCs/>
          <w:szCs w:val="24"/>
          <w:lang w:eastAsia="ru-RU"/>
        </w:rPr>
        <w:t xml:space="preserve"> </w:t>
      </w:r>
      <w:r w:rsidRPr="00D337FA">
        <w:rPr>
          <w:rFonts w:eastAsia="Times New Roman"/>
          <w:szCs w:val="24"/>
          <w:lang w:eastAsia="ru-RU"/>
        </w:rPr>
        <w:t>Проведение</w:t>
      </w:r>
      <w:r w:rsidR="006C680D" w:rsidRPr="00D337FA">
        <w:rPr>
          <w:rFonts w:eastAsia="Times New Roman"/>
          <w:szCs w:val="24"/>
          <w:lang w:eastAsia="ru-RU"/>
        </w:rPr>
        <w:t xml:space="preserve"> </w:t>
      </w:r>
      <w:r w:rsidRPr="00D337FA">
        <w:rPr>
          <w:rFonts w:eastAsia="Times New Roman"/>
          <w:szCs w:val="24"/>
          <w:lang w:eastAsia="ru-RU"/>
        </w:rPr>
        <w:t>анализа</w:t>
      </w:r>
      <w:r w:rsidR="006C680D" w:rsidRPr="00D337FA">
        <w:rPr>
          <w:rFonts w:eastAsia="Times New Roman"/>
          <w:szCs w:val="24"/>
          <w:lang w:eastAsia="ru-RU"/>
        </w:rPr>
        <w:t xml:space="preserve"> </w:t>
      </w:r>
      <w:r w:rsidRPr="00D337FA">
        <w:rPr>
          <w:rFonts w:eastAsia="Times New Roman"/>
          <w:szCs w:val="24"/>
          <w:lang w:eastAsia="ru-RU"/>
        </w:rPr>
        <w:t>отраслевой</w:t>
      </w:r>
      <w:r w:rsidR="006C680D" w:rsidRPr="00D337FA">
        <w:rPr>
          <w:rFonts w:eastAsia="Times New Roman"/>
          <w:szCs w:val="24"/>
          <w:lang w:eastAsia="ru-RU"/>
        </w:rPr>
        <w:t xml:space="preserve"> </w:t>
      </w:r>
      <w:r w:rsidRPr="00D337FA">
        <w:rPr>
          <w:rFonts w:eastAsia="Times New Roman"/>
          <w:szCs w:val="24"/>
          <w:lang w:eastAsia="ru-RU"/>
        </w:rPr>
        <w:t>структуры</w:t>
      </w:r>
      <w:r w:rsidR="006C680D" w:rsidRPr="00D337FA">
        <w:rPr>
          <w:rFonts w:eastAsia="Times New Roman"/>
          <w:szCs w:val="24"/>
          <w:lang w:eastAsia="ru-RU"/>
        </w:rPr>
        <w:t xml:space="preserve"> </w:t>
      </w:r>
      <w:r w:rsidRPr="00D337FA">
        <w:rPr>
          <w:rFonts w:eastAsia="Times New Roman"/>
          <w:szCs w:val="24"/>
          <w:lang w:eastAsia="ru-RU"/>
        </w:rPr>
        <w:t>российского</w:t>
      </w:r>
      <w:r w:rsidR="006C680D" w:rsidRPr="00D337FA">
        <w:rPr>
          <w:rFonts w:eastAsia="Times New Roman"/>
          <w:szCs w:val="24"/>
          <w:lang w:eastAsia="ru-RU"/>
        </w:rPr>
        <w:t xml:space="preserve"> </w:t>
      </w:r>
      <w:r w:rsidRPr="00D337FA">
        <w:rPr>
          <w:rFonts w:eastAsia="Times New Roman"/>
          <w:szCs w:val="24"/>
          <w:lang w:eastAsia="ru-RU"/>
        </w:rPr>
        <w:t>малого</w:t>
      </w:r>
      <w:r w:rsidR="006C680D" w:rsidRPr="00D337FA">
        <w:rPr>
          <w:rFonts w:eastAsia="Times New Roman"/>
          <w:szCs w:val="24"/>
          <w:lang w:eastAsia="ru-RU"/>
        </w:rPr>
        <w:t xml:space="preserve"> </w:t>
      </w:r>
      <w:r w:rsidRPr="00D337FA">
        <w:rPr>
          <w:rFonts w:eastAsia="Times New Roman"/>
          <w:szCs w:val="24"/>
          <w:lang w:eastAsia="ru-RU"/>
        </w:rPr>
        <w:t>бизнеса</w:t>
      </w:r>
      <w:r w:rsidR="006C680D" w:rsidRPr="00D337FA">
        <w:rPr>
          <w:rFonts w:eastAsia="Times New Roman"/>
          <w:szCs w:val="24"/>
          <w:lang w:eastAsia="ru-RU"/>
        </w:rPr>
        <w:t xml:space="preserve"> </w:t>
      </w:r>
      <w:r w:rsidRPr="00D337FA">
        <w:rPr>
          <w:rFonts w:eastAsia="Times New Roman"/>
          <w:szCs w:val="24"/>
          <w:lang w:eastAsia="ru-RU"/>
        </w:rPr>
        <w:t>для</w:t>
      </w:r>
      <w:r w:rsidR="006C680D" w:rsidRPr="00D337FA">
        <w:rPr>
          <w:rFonts w:eastAsia="Times New Roman"/>
          <w:szCs w:val="24"/>
          <w:lang w:eastAsia="ru-RU"/>
        </w:rPr>
        <w:t xml:space="preserve"> </w:t>
      </w:r>
      <w:r w:rsidRPr="00D337FA">
        <w:rPr>
          <w:rFonts w:eastAsia="Times New Roman"/>
          <w:szCs w:val="24"/>
          <w:lang w:eastAsia="ru-RU"/>
        </w:rPr>
        <w:t>идентификации</w:t>
      </w:r>
      <w:r w:rsidR="006C680D" w:rsidRPr="00D337FA">
        <w:rPr>
          <w:rFonts w:eastAsia="Times New Roman"/>
          <w:szCs w:val="24"/>
          <w:lang w:eastAsia="ru-RU"/>
        </w:rPr>
        <w:t xml:space="preserve"> </w:t>
      </w:r>
      <w:r w:rsidRPr="00D337FA">
        <w:rPr>
          <w:rFonts w:eastAsia="Times New Roman"/>
          <w:szCs w:val="24"/>
          <w:lang w:eastAsia="ru-RU"/>
        </w:rPr>
        <w:t>приоритетных</w:t>
      </w:r>
      <w:r w:rsidR="006C680D" w:rsidRPr="00D337FA">
        <w:rPr>
          <w:rFonts w:eastAsia="Times New Roman"/>
          <w:szCs w:val="24"/>
          <w:lang w:eastAsia="ru-RU"/>
        </w:rPr>
        <w:t xml:space="preserve"> </w:t>
      </w:r>
      <w:r w:rsidRPr="00D337FA">
        <w:rPr>
          <w:rFonts w:eastAsia="Times New Roman"/>
          <w:szCs w:val="24"/>
          <w:lang w:eastAsia="ru-RU"/>
        </w:rPr>
        <w:t>сегментов,</w:t>
      </w:r>
      <w:r w:rsidR="006C680D" w:rsidRPr="00D337FA">
        <w:rPr>
          <w:rFonts w:eastAsia="Times New Roman"/>
          <w:szCs w:val="24"/>
          <w:lang w:eastAsia="ru-RU"/>
        </w:rPr>
        <w:t xml:space="preserve"> </w:t>
      </w:r>
      <w:r w:rsidRPr="00D337FA">
        <w:rPr>
          <w:rFonts w:eastAsia="Times New Roman"/>
          <w:szCs w:val="24"/>
          <w:lang w:eastAsia="ru-RU"/>
        </w:rPr>
        <w:t>обладающих</w:t>
      </w:r>
      <w:r w:rsidR="006C680D" w:rsidRPr="00D337FA">
        <w:rPr>
          <w:rFonts w:eastAsia="Times New Roman"/>
          <w:szCs w:val="24"/>
          <w:lang w:eastAsia="ru-RU"/>
        </w:rPr>
        <w:t xml:space="preserve"> </w:t>
      </w:r>
      <w:r w:rsidRPr="00D337FA">
        <w:rPr>
          <w:rFonts w:eastAsia="Times New Roman"/>
          <w:szCs w:val="24"/>
          <w:lang w:eastAsia="ru-RU"/>
        </w:rPr>
        <w:t>наибольшим</w:t>
      </w:r>
      <w:r w:rsidR="006C680D" w:rsidRPr="00D337FA">
        <w:rPr>
          <w:rFonts w:eastAsia="Times New Roman"/>
          <w:szCs w:val="24"/>
          <w:lang w:eastAsia="ru-RU"/>
        </w:rPr>
        <w:t xml:space="preserve"> </w:t>
      </w:r>
      <w:r w:rsidRPr="00D337FA">
        <w:rPr>
          <w:rFonts w:eastAsia="Times New Roman"/>
          <w:szCs w:val="24"/>
          <w:lang w:eastAsia="ru-RU"/>
        </w:rPr>
        <w:t>потенциалом</w:t>
      </w:r>
      <w:r w:rsidR="006C680D" w:rsidRPr="00D337FA">
        <w:rPr>
          <w:rFonts w:eastAsia="Times New Roman"/>
          <w:szCs w:val="24"/>
          <w:lang w:eastAsia="ru-RU"/>
        </w:rPr>
        <w:t xml:space="preserve"> </w:t>
      </w:r>
      <w:r w:rsidRPr="00D337FA">
        <w:rPr>
          <w:rFonts w:eastAsia="Times New Roman"/>
          <w:szCs w:val="24"/>
          <w:lang w:eastAsia="ru-RU"/>
        </w:rPr>
        <w:t>для</w:t>
      </w:r>
      <w:r w:rsidR="006C680D" w:rsidRPr="00D337FA">
        <w:rPr>
          <w:rFonts w:eastAsia="Times New Roman"/>
          <w:szCs w:val="24"/>
          <w:lang w:eastAsia="ru-RU"/>
        </w:rPr>
        <w:t xml:space="preserve"> </w:t>
      </w:r>
      <w:r w:rsidRPr="00D337FA">
        <w:rPr>
          <w:rFonts w:eastAsia="Times New Roman"/>
          <w:szCs w:val="24"/>
          <w:lang w:eastAsia="ru-RU"/>
        </w:rPr>
        <w:t>разработки</w:t>
      </w:r>
      <w:r w:rsidR="006C680D" w:rsidRPr="00D337FA">
        <w:rPr>
          <w:rFonts w:eastAsia="Times New Roman"/>
          <w:szCs w:val="24"/>
          <w:lang w:eastAsia="ru-RU"/>
        </w:rPr>
        <w:t xml:space="preserve"> </w:t>
      </w:r>
      <w:r w:rsidRPr="00D337FA">
        <w:rPr>
          <w:rFonts w:eastAsia="Times New Roman"/>
          <w:szCs w:val="24"/>
          <w:lang w:eastAsia="ru-RU"/>
        </w:rPr>
        <w:t>специализированных</w:t>
      </w:r>
      <w:r w:rsidR="006C680D" w:rsidRPr="00D337FA">
        <w:rPr>
          <w:rFonts w:eastAsia="Times New Roman"/>
          <w:szCs w:val="24"/>
          <w:lang w:eastAsia="ru-RU"/>
        </w:rPr>
        <w:t xml:space="preserve"> </w:t>
      </w:r>
      <w:r w:rsidRPr="00D337FA">
        <w:rPr>
          <w:rFonts w:eastAsia="Times New Roman"/>
          <w:szCs w:val="24"/>
          <w:lang w:eastAsia="ru-RU"/>
        </w:rPr>
        <w:t>банковских</w:t>
      </w:r>
      <w:r w:rsidR="006C680D" w:rsidRPr="00D337FA">
        <w:rPr>
          <w:rFonts w:eastAsia="Times New Roman"/>
          <w:szCs w:val="24"/>
          <w:lang w:eastAsia="ru-RU"/>
        </w:rPr>
        <w:t xml:space="preserve"> </w:t>
      </w:r>
      <w:r w:rsidRPr="00D337FA">
        <w:rPr>
          <w:rFonts w:eastAsia="Times New Roman"/>
          <w:szCs w:val="24"/>
          <w:lang w:eastAsia="ru-RU"/>
        </w:rPr>
        <w:t>решений.</w:t>
      </w:r>
    </w:p>
    <w:p w:rsidR="00256E85" w:rsidRPr="00D337FA" w:rsidRDefault="00256E85" w:rsidP="005A0605">
      <w:pPr>
        <w:numPr>
          <w:ilvl w:val="0"/>
          <w:numId w:val="6"/>
        </w:numPr>
        <w:tabs>
          <w:tab w:val="left" w:pos="567"/>
        </w:tabs>
        <w:ind w:left="0" w:firstLine="284"/>
        <w:rPr>
          <w:rFonts w:eastAsia="Times New Roman"/>
          <w:szCs w:val="24"/>
          <w:lang w:eastAsia="ru-RU"/>
        </w:rPr>
      </w:pPr>
      <w:r w:rsidRPr="00D337FA">
        <w:rPr>
          <w:rFonts w:eastAsia="Times New Roman"/>
          <w:bCs/>
          <w:szCs w:val="24"/>
          <w:lang w:eastAsia="ru-RU"/>
        </w:rPr>
        <w:t>Эмпирический</w:t>
      </w:r>
      <w:r w:rsidR="006C680D" w:rsidRPr="00D337FA">
        <w:rPr>
          <w:rFonts w:eastAsia="Times New Roman"/>
          <w:bCs/>
          <w:szCs w:val="24"/>
          <w:lang w:eastAsia="ru-RU"/>
        </w:rPr>
        <w:t xml:space="preserve"> </w:t>
      </w:r>
      <w:r w:rsidRPr="00D337FA">
        <w:rPr>
          <w:rFonts w:eastAsia="Times New Roman"/>
          <w:bCs/>
          <w:szCs w:val="24"/>
          <w:lang w:eastAsia="ru-RU"/>
        </w:rPr>
        <w:t>этап.</w:t>
      </w:r>
      <w:r w:rsidR="006C680D" w:rsidRPr="00D337FA">
        <w:rPr>
          <w:rFonts w:eastAsia="Times New Roman"/>
          <w:szCs w:val="24"/>
          <w:lang w:eastAsia="ru-RU"/>
        </w:rPr>
        <w:t xml:space="preserve"> </w:t>
      </w:r>
      <w:r w:rsidRPr="00D337FA">
        <w:rPr>
          <w:rFonts w:eastAsia="Times New Roman"/>
          <w:szCs w:val="24"/>
          <w:lang w:eastAsia="ru-RU"/>
        </w:rPr>
        <w:t>Исследование</w:t>
      </w:r>
      <w:r w:rsidR="006C680D" w:rsidRPr="00D337FA">
        <w:rPr>
          <w:rFonts w:eastAsia="Times New Roman"/>
          <w:szCs w:val="24"/>
          <w:lang w:eastAsia="ru-RU"/>
        </w:rPr>
        <w:t xml:space="preserve"> </w:t>
      </w:r>
      <w:r w:rsidRPr="00D337FA">
        <w:rPr>
          <w:rFonts w:eastAsia="Times New Roman"/>
          <w:szCs w:val="24"/>
          <w:lang w:eastAsia="ru-RU"/>
        </w:rPr>
        <w:t>продуктовых</w:t>
      </w:r>
      <w:r w:rsidR="006C680D" w:rsidRPr="00D337FA">
        <w:rPr>
          <w:rFonts w:eastAsia="Times New Roman"/>
          <w:szCs w:val="24"/>
          <w:lang w:eastAsia="ru-RU"/>
        </w:rPr>
        <w:t xml:space="preserve"> </w:t>
      </w:r>
      <w:r w:rsidRPr="00D337FA">
        <w:rPr>
          <w:rFonts w:eastAsia="Times New Roman"/>
          <w:szCs w:val="24"/>
          <w:lang w:eastAsia="ru-RU"/>
        </w:rPr>
        <w:t>предложений</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моделей</w:t>
      </w:r>
      <w:r w:rsidR="006C680D" w:rsidRPr="00D337FA">
        <w:rPr>
          <w:rFonts w:eastAsia="Times New Roman"/>
          <w:szCs w:val="24"/>
          <w:lang w:eastAsia="ru-RU"/>
        </w:rPr>
        <w:t xml:space="preserve"> </w:t>
      </w:r>
      <w:r w:rsidRPr="00D337FA">
        <w:rPr>
          <w:rFonts w:eastAsia="Times New Roman"/>
          <w:szCs w:val="24"/>
          <w:lang w:eastAsia="ru-RU"/>
        </w:rPr>
        <w:t>обслуживания,</w:t>
      </w:r>
      <w:r w:rsidR="006C680D" w:rsidRPr="00D337FA">
        <w:rPr>
          <w:rFonts w:eastAsia="Times New Roman"/>
          <w:szCs w:val="24"/>
          <w:lang w:eastAsia="ru-RU"/>
        </w:rPr>
        <w:t xml:space="preserve"> </w:t>
      </w:r>
      <w:r w:rsidRPr="00D337FA">
        <w:rPr>
          <w:rFonts w:eastAsia="Times New Roman"/>
          <w:szCs w:val="24"/>
          <w:lang w:eastAsia="ru-RU"/>
        </w:rPr>
        <w:t>реализуемых</w:t>
      </w:r>
      <w:r w:rsidR="006C680D" w:rsidRPr="00D337FA">
        <w:rPr>
          <w:rFonts w:eastAsia="Times New Roman"/>
          <w:szCs w:val="24"/>
          <w:lang w:eastAsia="ru-RU"/>
        </w:rPr>
        <w:t xml:space="preserve"> </w:t>
      </w:r>
      <w:r w:rsidRPr="00D337FA">
        <w:rPr>
          <w:rFonts w:eastAsia="Times New Roman"/>
          <w:szCs w:val="24"/>
          <w:lang w:eastAsia="ru-RU"/>
        </w:rPr>
        <w:t>для</w:t>
      </w:r>
      <w:r w:rsidR="006C680D" w:rsidRPr="00D337FA">
        <w:rPr>
          <w:rFonts w:eastAsia="Times New Roman"/>
          <w:szCs w:val="24"/>
          <w:lang w:eastAsia="ru-RU"/>
        </w:rPr>
        <w:t xml:space="preserve"> </w:t>
      </w:r>
      <w:r w:rsidRPr="00D337FA">
        <w:rPr>
          <w:rFonts w:eastAsia="Times New Roman"/>
          <w:szCs w:val="24"/>
          <w:lang w:eastAsia="ru-RU"/>
        </w:rPr>
        <w:t>малого</w:t>
      </w:r>
      <w:r w:rsidR="006C680D" w:rsidRPr="00D337FA">
        <w:rPr>
          <w:rFonts w:eastAsia="Times New Roman"/>
          <w:szCs w:val="24"/>
          <w:lang w:eastAsia="ru-RU"/>
        </w:rPr>
        <w:t xml:space="preserve"> </w:t>
      </w:r>
      <w:r w:rsidRPr="00D337FA">
        <w:rPr>
          <w:rFonts w:eastAsia="Times New Roman"/>
          <w:szCs w:val="24"/>
          <w:lang w:eastAsia="ru-RU"/>
        </w:rPr>
        <w:t>бизнеса</w:t>
      </w:r>
      <w:r w:rsidR="006C680D" w:rsidRPr="00D337FA">
        <w:rPr>
          <w:rFonts w:eastAsia="Times New Roman"/>
          <w:szCs w:val="24"/>
          <w:lang w:eastAsia="ru-RU"/>
        </w:rPr>
        <w:t xml:space="preserve"> </w:t>
      </w:r>
      <w:r w:rsidRPr="00D337FA">
        <w:rPr>
          <w:rFonts w:eastAsia="Times New Roman"/>
          <w:szCs w:val="24"/>
          <w:lang w:eastAsia="ru-RU"/>
        </w:rPr>
        <w:t>системно</w:t>
      </w:r>
      <w:r w:rsidR="006C680D" w:rsidRPr="00D337FA">
        <w:rPr>
          <w:rFonts w:eastAsia="Times New Roman"/>
          <w:szCs w:val="24"/>
          <w:lang w:eastAsia="ru-RU"/>
        </w:rPr>
        <w:t xml:space="preserve"> </w:t>
      </w:r>
      <w:r w:rsidRPr="00D337FA">
        <w:rPr>
          <w:rFonts w:eastAsia="Times New Roman"/>
          <w:szCs w:val="24"/>
          <w:lang w:eastAsia="ru-RU"/>
        </w:rPr>
        <w:t>значимыми</w:t>
      </w:r>
      <w:r w:rsidR="006C680D" w:rsidRPr="00D337FA">
        <w:rPr>
          <w:rFonts w:eastAsia="Times New Roman"/>
          <w:szCs w:val="24"/>
          <w:lang w:eastAsia="ru-RU"/>
        </w:rPr>
        <w:t xml:space="preserve"> </w:t>
      </w:r>
      <w:r w:rsidRPr="00D337FA">
        <w:rPr>
          <w:rFonts w:eastAsia="Times New Roman"/>
          <w:szCs w:val="24"/>
          <w:lang w:eastAsia="ru-RU"/>
        </w:rPr>
        <w:t>банками</w:t>
      </w:r>
      <w:r w:rsidR="006C680D" w:rsidRPr="00D337FA">
        <w:rPr>
          <w:rFonts w:eastAsia="Times New Roman"/>
          <w:szCs w:val="24"/>
          <w:lang w:eastAsia="ru-RU"/>
        </w:rPr>
        <w:t xml:space="preserve"> </w:t>
      </w:r>
      <w:r w:rsidRPr="00D337FA">
        <w:rPr>
          <w:rFonts w:eastAsia="Times New Roman"/>
          <w:szCs w:val="24"/>
          <w:lang w:eastAsia="ru-RU"/>
        </w:rPr>
        <w:t>России</w:t>
      </w:r>
      <w:r w:rsidR="006C680D" w:rsidRPr="00D337FA">
        <w:rPr>
          <w:rFonts w:eastAsia="Times New Roman"/>
          <w:szCs w:val="24"/>
          <w:lang w:eastAsia="ru-RU"/>
        </w:rPr>
        <w:t xml:space="preserve"> </w:t>
      </w:r>
      <w:r w:rsidRPr="00D337FA">
        <w:rPr>
          <w:rFonts w:eastAsia="Times New Roman"/>
          <w:szCs w:val="24"/>
          <w:lang w:eastAsia="ru-RU"/>
        </w:rPr>
        <w:t>(по</w:t>
      </w:r>
      <w:r w:rsidR="006C680D" w:rsidRPr="00D337FA">
        <w:rPr>
          <w:rFonts w:eastAsia="Times New Roman"/>
          <w:szCs w:val="24"/>
          <w:lang w:eastAsia="ru-RU"/>
        </w:rPr>
        <w:t xml:space="preserve"> </w:t>
      </w:r>
      <w:r w:rsidRPr="00D337FA">
        <w:rPr>
          <w:rFonts w:eastAsia="Times New Roman"/>
          <w:szCs w:val="24"/>
          <w:lang w:eastAsia="ru-RU"/>
        </w:rPr>
        <w:t>списку</w:t>
      </w:r>
      <w:r w:rsidR="006C680D" w:rsidRPr="00D337FA">
        <w:rPr>
          <w:rFonts w:eastAsia="Times New Roman"/>
          <w:szCs w:val="24"/>
          <w:lang w:eastAsia="ru-RU"/>
        </w:rPr>
        <w:t xml:space="preserve"> </w:t>
      </w:r>
      <w:r w:rsidRPr="00D337FA">
        <w:rPr>
          <w:rFonts w:eastAsia="Times New Roman"/>
          <w:szCs w:val="24"/>
          <w:lang w:eastAsia="ru-RU"/>
        </w:rPr>
        <w:t>Банка</w:t>
      </w:r>
      <w:r w:rsidR="006C680D" w:rsidRPr="00D337FA">
        <w:rPr>
          <w:rFonts w:eastAsia="Times New Roman"/>
          <w:szCs w:val="24"/>
          <w:lang w:eastAsia="ru-RU"/>
        </w:rPr>
        <w:t xml:space="preserve"> </w:t>
      </w:r>
      <w:r w:rsidRPr="00D337FA">
        <w:rPr>
          <w:rFonts w:eastAsia="Times New Roman"/>
          <w:szCs w:val="24"/>
          <w:lang w:eastAsia="ru-RU"/>
        </w:rPr>
        <w:t>России),</w:t>
      </w:r>
      <w:r w:rsidR="006C680D" w:rsidRPr="00D337FA">
        <w:rPr>
          <w:rFonts w:eastAsia="Times New Roman"/>
          <w:szCs w:val="24"/>
          <w:lang w:eastAsia="ru-RU"/>
        </w:rPr>
        <w:t xml:space="preserve"> </w:t>
      </w:r>
      <w:r w:rsidRPr="00D337FA">
        <w:rPr>
          <w:rFonts w:eastAsia="Times New Roman"/>
          <w:szCs w:val="24"/>
          <w:lang w:eastAsia="ru-RU"/>
        </w:rPr>
        <w:t>методами</w:t>
      </w:r>
      <w:r w:rsidR="006C680D" w:rsidRPr="00D337FA">
        <w:rPr>
          <w:rFonts w:eastAsia="Times New Roman"/>
          <w:szCs w:val="24"/>
          <w:lang w:eastAsia="ru-RU"/>
        </w:rPr>
        <w:t xml:space="preserve"> </w:t>
      </w:r>
      <w:r w:rsidRPr="00D337FA">
        <w:rPr>
          <w:rFonts w:eastAsia="Times New Roman"/>
          <w:szCs w:val="24"/>
          <w:lang w:eastAsia="ru-RU"/>
        </w:rPr>
        <w:t>контент-анализа</w:t>
      </w:r>
      <w:r w:rsidR="006C680D" w:rsidRPr="00D337FA">
        <w:rPr>
          <w:rFonts w:eastAsia="Times New Roman"/>
          <w:szCs w:val="24"/>
          <w:lang w:eastAsia="ru-RU"/>
        </w:rPr>
        <w:t xml:space="preserve"> </w:t>
      </w:r>
      <w:r w:rsidRPr="00D337FA">
        <w:rPr>
          <w:rFonts w:eastAsia="Times New Roman"/>
          <w:szCs w:val="24"/>
          <w:lang w:eastAsia="ru-RU"/>
        </w:rPr>
        <w:t>официальных</w:t>
      </w:r>
      <w:r w:rsidR="006C680D" w:rsidRPr="00D337FA">
        <w:rPr>
          <w:rFonts w:eastAsia="Times New Roman"/>
          <w:szCs w:val="24"/>
          <w:lang w:eastAsia="ru-RU"/>
        </w:rPr>
        <w:t xml:space="preserve"> </w:t>
      </w:r>
      <w:r w:rsidRPr="00D337FA">
        <w:rPr>
          <w:rFonts w:eastAsia="Times New Roman"/>
          <w:szCs w:val="24"/>
          <w:lang w:eastAsia="ru-RU"/>
        </w:rPr>
        <w:t>сайтов</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публичных</w:t>
      </w:r>
      <w:r w:rsidR="006C680D" w:rsidRPr="00D337FA">
        <w:rPr>
          <w:rFonts w:eastAsia="Times New Roman"/>
          <w:szCs w:val="24"/>
          <w:lang w:eastAsia="ru-RU"/>
        </w:rPr>
        <w:t xml:space="preserve"> </w:t>
      </w:r>
      <w:r w:rsidRPr="00D337FA">
        <w:rPr>
          <w:rFonts w:eastAsia="Times New Roman"/>
          <w:szCs w:val="24"/>
          <w:lang w:eastAsia="ru-RU"/>
        </w:rPr>
        <w:t>материалов</w:t>
      </w:r>
      <w:r w:rsidR="006C680D" w:rsidRPr="00D337FA">
        <w:rPr>
          <w:rFonts w:eastAsia="Times New Roman"/>
          <w:szCs w:val="24"/>
          <w:lang w:eastAsia="ru-RU"/>
        </w:rPr>
        <w:t xml:space="preserve"> </w:t>
      </w:r>
      <w:r w:rsidRPr="00D337FA">
        <w:rPr>
          <w:rFonts w:eastAsia="Times New Roman"/>
          <w:szCs w:val="24"/>
          <w:lang w:eastAsia="ru-RU"/>
        </w:rPr>
        <w:t>кредитных</w:t>
      </w:r>
      <w:r w:rsidR="006C680D" w:rsidRPr="00D337FA">
        <w:rPr>
          <w:rFonts w:eastAsia="Times New Roman"/>
          <w:szCs w:val="24"/>
          <w:lang w:eastAsia="ru-RU"/>
        </w:rPr>
        <w:t xml:space="preserve"> </w:t>
      </w:r>
      <w:r w:rsidRPr="00D337FA">
        <w:rPr>
          <w:rFonts w:eastAsia="Times New Roman"/>
          <w:szCs w:val="24"/>
          <w:lang w:eastAsia="ru-RU"/>
        </w:rPr>
        <w:t>организаций.</w:t>
      </w:r>
    </w:p>
    <w:p w:rsidR="00256E85" w:rsidRPr="00D337FA" w:rsidRDefault="00256E85" w:rsidP="005A0605">
      <w:pPr>
        <w:numPr>
          <w:ilvl w:val="0"/>
          <w:numId w:val="6"/>
        </w:numPr>
        <w:tabs>
          <w:tab w:val="left" w:pos="567"/>
        </w:tabs>
        <w:ind w:left="0" w:firstLine="284"/>
        <w:rPr>
          <w:rFonts w:eastAsia="Times New Roman"/>
          <w:szCs w:val="24"/>
          <w:lang w:eastAsia="ru-RU"/>
        </w:rPr>
      </w:pPr>
      <w:r w:rsidRPr="00D337FA">
        <w:rPr>
          <w:rFonts w:eastAsia="Times New Roman"/>
          <w:bCs/>
          <w:szCs w:val="24"/>
          <w:lang w:eastAsia="ru-RU"/>
        </w:rPr>
        <w:t>Этап</w:t>
      </w:r>
      <w:r w:rsidR="006C680D" w:rsidRPr="00D337FA">
        <w:rPr>
          <w:rFonts w:eastAsia="Times New Roman"/>
          <w:bCs/>
          <w:szCs w:val="24"/>
          <w:lang w:eastAsia="ru-RU"/>
        </w:rPr>
        <w:t xml:space="preserve"> </w:t>
      </w:r>
      <w:r w:rsidRPr="00D337FA">
        <w:rPr>
          <w:rFonts w:eastAsia="Times New Roman"/>
          <w:bCs/>
          <w:szCs w:val="24"/>
          <w:lang w:eastAsia="ru-RU"/>
        </w:rPr>
        <w:t>синтеза</w:t>
      </w:r>
      <w:r w:rsidR="006C680D" w:rsidRPr="00D337FA">
        <w:rPr>
          <w:rFonts w:eastAsia="Times New Roman"/>
          <w:bCs/>
          <w:szCs w:val="24"/>
          <w:lang w:eastAsia="ru-RU"/>
        </w:rPr>
        <w:t xml:space="preserve"> </w:t>
      </w:r>
      <w:r w:rsidRPr="00D337FA">
        <w:rPr>
          <w:rFonts w:eastAsia="Times New Roman"/>
          <w:bCs/>
          <w:szCs w:val="24"/>
          <w:lang w:eastAsia="ru-RU"/>
        </w:rPr>
        <w:t>и</w:t>
      </w:r>
      <w:r w:rsidR="006C680D" w:rsidRPr="00D337FA">
        <w:rPr>
          <w:rFonts w:eastAsia="Times New Roman"/>
          <w:bCs/>
          <w:szCs w:val="24"/>
          <w:lang w:eastAsia="ru-RU"/>
        </w:rPr>
        <w:t xml:space="preserve"> </w:t>
      </w:r>
      <w:r w:rsidRPr="00D337FA">
        <w:rPr>
          <w:rFonts w:eastAsia="Times New Roman"/>
          <w:bCs/>
          <w:szCs w:val="24"/>
          <w:lang w:eastAsia="ru-RU"/>
        </w:rPr>
        <w:t>систематизации.</w:t>
      </w:r>
      <w:r w:rsidR="006C680D" w:rsidRPr="00D337FA">
        <w:rPr>
          <w:rFonts w:eastAsia="Times New Roman"/>
          <w:szCs w:val="24"/>
          <w:lang w:eastAsia="ru-RU"/>
        </w:rPr>
        <w:t xml:space="preserve"> </w:t>
      </w:r>
      <w:r w:rsidRPr="00D337FA">
        <w:rPr>
          <w:rFonts w:eastAsia="Times New Roman"/>
          <w:szCs w:val="24"/>
          <w:lang w:eastAsia="ru-RU"/>
        </w:rPr>
        <w:t>Классификация</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детальная</w:t>
      </w:r>
      <w:r w:rsidR="006C680D" w:rsidRPr="00D337FA">
        <w:rPr>
          <w:rFonts w:eastAsia="Times New Roman"/>
          <w:szCs w:val="24"/>
          <w:lang w:eastAsia="ru-RU"/>
        </w:rPr>
        <w:t xml:space="preserve"> </w:t>
      </w:r>
      <w:r w:rsidRPr="00D337FA">
        <w:rPr>
          <w:rFonts w:eastAsia="Times New Roman"/>
          <w:szCs w:val="24"/>
          <w:lang w:eastAsia="ru-RU"/>
        </w:rPr>
        <w:t>характеристика</w:t>
      </w:r>
      <w:r w:rsidR="006C680D" w:rsidRPr="00D337FA">
        <w:rPr>
          <w:rFonts w:eastAsia="Times New Roman"/>
          <w:szCs w:val="24"/>
          <w:lang w:eastAsia="ru-RU"/>
        </w:rPr>
        <w:t xml:space="preserve"> </w:t>
      </w:r>
      <w:r w:rsidRPr="00D337FA">
        <w:rPr>
          <w:rFonts w:eastAsia="Times New Roman"/>
          <w:szCs w:val="24"/>
          <w:lang w:eastAsia="ru-RU"/>
        </w:rPr>
        <w:t>шести</w:t>
      </w:r>
      <w:r w:rsidR="006C680D" w:rsidRPr="00D337FA">
        <w:rPr>
          <w:rFonts w:eastAsia="Times New Roman"/>
          <w:szCs w:val="24"/>
          <w:lang w:eastAsia="ru-RU"/>
        </w:rPr>
        <w:t xml:space="preserve"> </w:t>
      </w:r>
      <w:r w:rsidRPr="00D337FA">
        <w:rPr>
          <w:rFonts w:eastAsia="Times New Roman"/>
          <w:szCs w:val="24"/>
          <w:lang w:eastAsia="ru-RU"/>
        </w:rPr>
        <w:t>выявленных</w:t>
      </w:r>
      <w:r w:rsidR="006C680D" w:rsidRPr="00D337FA">
        <w:rPr>
          <w:rFonts w:eastAsia="Times New Roman"/>
          <w:szCs w:val="24"/>
          <w:lang w:eastAsia="ru-RU"/>
        </w:rPr>
        <w:t xml:space="preserve"> </w:t>
      </w:r>
      <w:r w:rsidRPr="00D337FA">
        <w:rPr>
          <w:rFonts w:eastAsia="Times New Roman"/>
          <w:szCs w:val="24"/>
          <w:lang w:eastAsia="ru-RU"/>
        </w:rPr>
        <w:t>тенденций</w:t>
      </w:r>
      <w:r w:rsidR="006C680D" w:rsidRPr="00D337FA">
        <w:rPr>
          <w:rFonts w:eastAsia="Times New Roman"/>
          <w:szCs w:val="24"/>
          <w:lang w:eastAsia="ru-RU"/>
        </w:rPr>
        <w:t xml:space="preserve"> </w:t>
      </w:r>
      <w:r w:rsidRPr="00D337FA">
        <w:rPr>
          <w:rFonts w:eastAsia="Times New Roman"/>
          <w:szCs w:val="24"/>
          <w:lang w:eastAsia="ru-RU"/>
        </w:rPr>
        <w:t>развития</w:t>
      </w:r>
      <w:r w:rsidR="006C680D" w:rsidRPr="00D337FA">
        <w:rPr>
          <w:rFonts w:eastAsia="Times New Roman"/>
          <w:szCs w:val="24"/>
          <w:lang w:eastAsia="ru-RU"/>
        </w:rPr>
        <w:t xml:space="preserve"> </w:t>
      </w:r>
      <w:r w:rsidRPr="00D337FA">
        <w:rPr>
          <w:rFonts w:eastAsia="Times New Roman"/>
          <w:szCs w:val="24"/>
          <w:lang w:eastAsia="ru-RU"/>
        </w:rPr>
        <w:t>банковских</w:t>
      </w:r>
      <w:r w:rsidR="006C680D" w:rsidRPr="00D337FA">
        <w:rPr>
          <w:rFonts w:eastAsia="Times New Roman"/>
          <w:szCs w:val="24"/>
          <w:lang w:eastAsia="ru-RU"/>
        </w:rPr>
        <w:t xml:space="preserve"> </w:t>
      </w:r>
      <w:r w:rsidRPr="00D337FA">
        <w:rPr>
          <w:rFonts w:eastAsia="Times New Roman"/>
          <w:szCs w:val="24"/>
          <w:lang w:eastAsia="ru-RU"/>
        </w:rPr>
        <w:t>услуг</w:t>
      </w:r>
      <w:r w:rsidR="006C680D" w:rsidRPr="00D337FA">
        <w:rPr>
          <w:rFonts w:eastAsia="Times New Roman"/>
          <w:szCs w:val="24"/>
          <w:lang w:eastAsia="ru-RU"/>
        </w:rPr>
        <w:t xml:space="preserve"> </w:t>
      </w:r>
      <w:r w:rsidRPr="00D337FA">
        <w:rPr>
          <w:rFonts w:eastAsia="Times New Roman"/>
          <w:szCs w:val="24"/>
          <w:lang w:eastAsia="ru-RU"/>
        </w:rPr>
        <w:t>на</w:t>
      </w:r>
      <w:r w:rsidR="006C680D" w:rsidRPr="00D337FA">
        <w:rPr>
          <w:rFonts w:eastAsia="Times New Roman"/>
          <w:szCs w:val="24"/>
          <w:lang w:eastAsia="ru-RU"/>
        </w:rPr>
        <w:t xml:space="preserve"> </w:t>
      </w:r>
      <w:r w:rsidRPr="00D337FA">
        <w:rPr>
          <w:rFonts w:eastAsia="Times New Roman"/>
          <w:szCs w:val="24"/>
          <w:lang w:eastAsia="ru-RU"/>
        </w:rPr>
        <w:t>основе</w:t>
      </w:r>
      <w:r w:rsidR="006C680D" w:rsidRPr="00D337FA">
        <w:rPr>
          <w:rFonts w:eastAsia="Times New Roman"/>
          <w:szCs w:val="24"/>
          <w:lang w:eastAsia="ru-RU"/>
        </w:rPr>
        <w:t xml:space="preserve"> </w:t>
      </w:r>
      <w:r w:rsidRPr="00D337FA">
        <w:rPr>
          <w:rFonts w:eastAsia="Times New Roman"/>
          <w:szCs w:val="24"/>
          <w:lang w:eastAsia="ru-RU"/>
        </w:rPr>
        <w:t>данных</w:t>
      </w:r>
      <w:r w:rsidR="006C680D" w:rsidRPr="00D337FA">
        <w:rPr>
          <w:rFonts w:eastAsia="Times New Roman"/>
          <w:szCs w:val="24"/>
          <w:lang w:eastAsia="ru-RU"/>
        </w:rPr>
        <w:t xml:space="preserve"> </w:t>
      </w:r>
      <w:r w:rsidRPr="00D337FA">
        <w:rPr>
          <w:rFonts w:eastAsia="Times New Roman"/>
          <w:szCs w:val="24"/>
          <w:lang w:eastAsia="ru-RU"/>
        </w:rPr>
        <w:t>эмпирического</w:t>
      </w:r>
      <w:r w:rsidR="006C680D" w:rsidRPr="00D337FA">
        <w:rPr>
          <w:rFonts w:eastAsia="Times New Roman"/>
          <w:szCs w:val="24"/>
          <w:lang w:eastAsia="ru-RU"/>
        </w:rPr>
        <w:t xml:space="preserve"> </w:t>
      </w:r>
      <w:r w:rsidRPr="00D337FA">
        <w:rPr>
          <w:rFonts w:eastAsia="Times New Roman"/>
          <w:szCs w:val="24"/>
          <w:lang w:eastAsia="ru-RU"/>
        </w:rPr>
        <w:t>этапа.</w:t>
      </w:r>
    </w:p>
    <w:p w:rsidR="00256E85" w:rsidRPr="00D337FA" w:rsidRDefault="00256E85" w:rsidP="005A0605">
      <w:pPr>
        <w:numPr>
          <w:ilvl w:val="0"/>
          <w:numId w:val="6"/>
        </w:numPr>
        <w:tabs>
          <w:tab w:val="left" w:pos="567"/>
        </w:tabs>
        <w:ind w:left="0" w:firstLine="284"/>
        <w:rPr>
          <w:rFonts w:eastAsia="Times New Roman"/>
          <w:szCs w:val="24"/>
          <w:lang w:eastAsia="ru-RU"/>
        </w:rPr>
      </w:pPr>
      <w:r w:rsidRPr="00D337FA">
        <w:rPr>
          <w:rFonts w:eastAsia="Times New Roman"/>
          <w:bCs/>
          <w:szCs w:val="24"/>
          <w:lang w:eastAsia="ru-RU"/>
        </w:rPr>
        <w:t>Диагностический</w:t>
      </w:r>
      <w:r w:rsidR="006C680D" w:rsidRPr="00D337FA">
        <w:rPr>
          <w:rFonts w:eastAsia="Times New Roman"/>
          <w:bCs/>
          <w:szCs w:val="24"/>
          <w:lang w:eastAsia="ru-RU"/>
        </w:rPr>
        <w:t xml:space="preserve"> </w:t>
      </w:r>
      <w:r w:rsidRPr="00D337FA">
        <w:rPr>
          <w:rFonts w:eastAsia="Times New Roman"/>
          <w:bCs/>
          <w:szCs w:val="24"/>
          <w:lang w:eastAsia="ru-RU"/>
        </w:rPr>
        <w:t>этап.</w:t>
      </w:r>
      <w:r w:rsidR="006C680D" w:rsidRPr="00D337FA">
        <w:rPr>
          <w:rFonts w:eastAsia="Times New Roman"/>
          <w:szCs w:val="24"/>
          <w:lang w:eastAsia="ru-RU"/>
        </w:rPr>
        <w:t xml:space="preserve"> </w:t>
      </w:r>
      <w:r w:rsidRPr="00D337FA">
        <w:rPr>
          <w:rFonts w:eastAsia="Times New Roman"/>
          <w:szCs w:val="24"/>
          <w:lang w:eastAsia="ru-RU"/>
        </w:rPr>
        <w:t>Выявление</w:t>
      </w:r>
      <w:r w:rsidR="006C680D" w:rsidRPr="00D337FA">
        <w:rPr>
          <w:rFonts w:eastAsia="Times New Roman"/>
          <w:szCs w:val="24"/>
          <w:lang w:eastAsia="ru-RU"/>
        </w:rPr>
        <w:t xml:space="preserve"> </w:t>
      </w:r>
      <w:r w:rsidRPr="00D337FA">
        <w:rPr>
          <w:rFonts w:eastAsia="Times New Roman"/>
          <w:szCs w:val="24"/>
          <w:lang w:eastAsia="ru-RU"/>
        </w:rPr>
        <w:t>ключевых</w:t>
      </w:r>
      <w:r w:rsidR="006C680D" w:rsidRPr="00D337FA">
        <w:rPr>
          <w:rFonts w:eastAsia="Times New Roman"/>
          <w:szCs w:val="24"/>
          <w:lang w:eastAsia="ru-RU"/>
        </w:rPr>
        <w:t xml:space="preserve"> </w:t>
      </w:r>
      <w:r w:rsidRPr="00D337FA">
        <w:rPr>
          <w:rFonts w:eastAsia="Times New Roman"/>
          <w:szCs w:val="24"/>
          <w:lang w:eastAsia="ru-RU"/>
        </w:rPr>
        <w:t>проблем</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ограничений,</w:t>
      </w:r>
      <w:r w:rsidR="006C680D" w:rsidRPr="00D337FA">
        <w:rPr>
          <w:rFonts w:eastAsia="Times New Roman"/>
          <w:szCs w:val="24"/>
          <w:lang w:eastAsia="ru-RU"/>
        </w:rPr>
        <w:t xml:space="preserve"> </w:t>
      </w:r>
      <w:r w:rsidRPr="00D337FA">
        <w:rPr>
          <w:rFonts w:eastAsia="Times New Roman"/>
          <w:szCs w:val="24"/>
          <w:lang w:eastAsia="ru-RU"/>
        </w:rPr>
        <w:t>сдерживающих</w:t>
      </w:r>
      <w:r w:rsidR="006C680D" w:rsidRPr="00D337FA">
        <w:rPr>
          <w:rFonts w:eastAsia="Times New Roman"/>
          <w:szCs w:val="24"/>
          <w:lang w:eastAsia="ru-RU"/>
        </w:rPr>
        <w:t xml:space="preserve"> </w:t>
      </w:r>
      <w:r w:rsidRPr="00D337FA">
        <w:rPr>
          <w:rFonts w:eastAsia="Times New Roman"/>
          <w:szCs w:val="24"/>
          <w:lang w:eastAsia="ru-RU"/>
        </w:rPr>
        <w:t>развитие</w:t>
      </w:r>
      <w:r w:rsidR="006C680D" w:rsidRPr="00D337FA">
        <w:rPr>
          <w:rFonts w:eastAsia="Times New Roman"/>
          <w:szCs w:val="24"/>
          <w:lang w:eastAsia="ru-RU"/>
        </w:rPr>
        <w:t xml:space="preserve"> </w:t>
      </w:r>
      <w:r w:rsidRPr="00D337FA">
        <w:rPr>
          <w:rFonts w:eastAsia="Times New Roman"/>
          <w:szCs w:val="24"/>
          <w:lang w:eastAsia="ru-RU"/>
        </w:rPr>
        <w:t>полноценного</w:t>
      </w:r>
      <w:r w:rsidR="006C680D" w:rsidRPr="00D337FA">
        <w:rPr>
          <w:rFonts w:eastAsia="Times New Roman"/>
          <w:szCs w:val="24"/>
          <w:lang w:eastAsia="ru-RU"/>
        </w:rPr>
        <w:t xml:space="preserve"> </w:t>
      </w:r>
      <w:r w:rsidRPr="00D337FA">
        <w:rPr>
          <w:rFonts w:eastAsia="Times New Roman"/>
          <w:szCs w:val="24"/>
          <w:lang w:eastAsia="ru-RU"/>
        </w:rPr>
        <w:t>банковского</w:t>
      </w:r>
      <w:r w:rsidR="006C680D" w:rsidRPr="00D337FA">
        <w:rPr>
          <w:rFonts w:eastAsia="Times New Roman"/>
          <w:szCs w:val="24"/>
          <w:lang w:eastAsia="ru-RU"/>
        </w:rPr>
        <w:t xml:space="preserve"> </w:t>
      </w:r>
      <w:r w:rsidRPr="00D337FA">
        <w:rPr>
          <w:rFonts w:eastAsia="Times New Roman"/>
          <w:szCs w:val="24"/>
          <w:lang w:eastAsia="ru-RU"/>
        </w:rPr>
        <w:t>обслуживания,</w:t>
      </w:r>
      <w:r w:rsidR="006C680D" w:rsidRPr="00D337FA">
        <w:rPr>
          <w:rFonts w:eastAsia="Times New Roman"/>
          <w:szCs w:val="24"/>
          <w:lang w:eastAsia="ru-RU"/>
        </w:rPr>
        <w:t xml:space="preserve"> </w:t>
      </w:r>
      <w:r w:rsidRPr="00D337FA">
        <w:rPr>
          <w:rFonts w:eastAsia="Times New Roman"/>
          <w:szCs w:val="24"/>
          <w:lang w:eastAsia="ru-RU"/>
        </w:rPr>
        <w:t>включая</w:t>
      </w:r>
      <w:r w:rsidR="006C680D" w:rsidRPr="00D337FA">
        <w:rPr>
          <w:rFonts w:eastAsia="Times New Roman"/>
          <w:szCs w:val="24"/>
          <w:lang w:eastAsia="ru-RU"/>
        </w:rPr>
        <w:t xml:space="preserve"> </w:t>
      </w:r>
      <w:r w:rsidRPr="00D337FA">
        <w:rPr>
          <w:rFonts w:eastAsia="Times New Roman"/>
          <w:szCs w:val="24"/>
          <w:lang w:eastAsia="ru-RU"/>
        </w:rPr>
        <w:t>анализ</w:t>
      </w:r>
      <w:r w:rsidR="006C680D" w:rsidRPr="00D337FA">
        <w:rPr>
          <w:rFonts w:eastAsia="Times New Roman"/>
          <w:szCs w:val="24"/>
          <w:lang w:eastAsia="ru-RU"/>
        </w:rPr>
        <w:t xml:space="preserve"> </w:t>
      </w:r>
      <w:r w:rsidRPr="00D337FA">
        <w:rPr>
          <w:rFonts w:eastAsia="Times New Roman"/>
          <w:szCs w:val="24"/>
          <w:lang w:eastAsia="ru-RU"/>
        </w:rPr>
        <w:t>макроэкономических,</w:t>
      </w:r>
      <w:r w:rsidR="006C680D" w:rsidRPr="00D337FA">
        <w:rPr>
          <w:rFonts w:eastAsia="Times New Roman"/>
          <w:szCs w:val="24"/>
          <w:lang w:eastAsia="ru-RU"/>
        </w:rPr>
        <w:t xml:space="preserve"> </w:t>
      </w:r>
      <w:r w:rsidRPr="00D337FA">
        <w:rPr>
          <w:rFonts w:eastAsia="Times New Roman"/>
          <w:szCs w:val="24"/>
          <w:lang w:eastAsia="ru-RU"/>
        </w:rPr>
        <w:t>регуляторных</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внутренних</w:t>
      </w:r>
      <w:r w:rsidR="006C680D" w:rsidRPr="00D337FA">
        <w:rPr>
          <w:rFonts w:eastAsia="Times New Roman"/>
          <w:szCs w:val="24"/>
          <w:lang w:eastAsia="ru-RU"/>
        </w:rPr>
        <w:t xml:space="preserve"> </w:t>
      </w:r>
      <w:r w:rsidRPr="00D337FA">
        <w:rPr>
          <w:rFonts w:eastAsia="Times New Roman"/>
          <w:szCs w:val="24"/>
          <w:lang w:eastAsia="ru-RU"/>
        </w:rPr>
        <w:t>банковских</w:t>
      </w:r>
      <w:r w:rsidR="006C680D" w:rsidRPr="00D337FA">
        <w:rPr>
          <w:rFonts w:eastAsia="Times New Roman"/>
          <w:szCs w:val="24"/>
          <w:lang w:eastAsia="ru-RU"/>
        </w:rPr>
        <w:t xml:space="preserve"> </w:t>
      </w:r>
      <w:r w:rsidRPr="00D337FA">
        <w:rPr>
          <w:rFonts w:eastAsia="Times New Roman"/>
          <w:szCs w:val="24"/>
          <w:lang w:eastAsia="ru-RU"/>
        </w:rPr>
        <w:t>факторов.</w:t>
      </w:r>
    </w:p>
    <w:p w:rsidR="00256E85" w:rsidRPr="00D337FA" w:rsidRDefault="00256E85" w:rsidP="005A0605">
      <w:pPr>
        <w:numPr>
          <w:ilvl w:val="0"/>
          <w:numId w:val="6"/>
        </w:numPr>
        <w:tabs>
          <w:tab w:val="left" w:pos="567"/>
        </w:tabs>
        <w:ind w:left="0" w:firstLine="284"/>
        <w:rPr>
          <w:rFonts w:eastAsia="Times New Roman"/>
          <w:szCs w:val="24"/>
          <w:lang w:eastAsia="ru-RU"/>
        </w:rPr>
      </w:pPr>
      <w:r w:rsidRPr="00D337FA">
        <w:rPr>
          <w:rFonts w:eastAsia="Times New Roman"/>
          <w:bCs/>
          <w:szCs w:val="24"/>
          <w:lang w:eastAsia="ru-RU"/>
        </w:rPr>
        <w:t>Прогностический</w:t>
      </w:r>
      <w:r w:rsidR="006C680D" w:rsidRPr="00D337FA">
        <w:rPr>
          <w:rFonts w:eastAsia="Times New Roman"/>
          <w:bCs/>
          <w:szCs w:val="24"/>
          <w:lang w:eastAsia="ru-RU"/>
        </w:rPr>
        <w:t xml:space="preserve"> </w:t>
      </w:r>
      <w:r w:rsidRPr="00D337FA">
        <w:rPr>
          <w:rFonts w:eastAsia="Times New Roman"/>
          <w:bCs/>
          <w:szCs w:val="24"/>
          <w:lang w:eastAsia="ru-RU"/>
        </w:rPr>
        <w:t>этап.</w:t>
      </w:r>
      <w:r w:rsidR="006C680D" w:rsidRPr="00D337FA">
        <w:rPr>
          <w:rFonts w:eastAsia="Times New Roman"/>
          <w:szCs w:val="24"/>
          <w:lang w:eastAsia="ru-RU"/>
        </w:rPr>
        <w:t xml:space="preserve"> </w:t>
      </w:r>
      <w:r w:rsidRPr="00D337FA">
        <w:rPr>
          <w:rFonts w:eastAsia="Times New Roman"/>
          <w:szCs w:val="24"/>
          <w:lang w:eastAsia="ru-RU"/>
        </w:rPr>
        <w:t>Формулирование</w:t>
      </w:r>
      <w:r w:rsidR="006C680D" w:rsidRPr="00D337FA">
        <w:rPr>
          <w:rFonts w:eastAsia="Times New Roman"/>
          <w:szCs w:val="24"/>
          <w:lang w:eastAsia="ru-RU"/>
        </w:rPr>
        <w:t xml:space="preserve"> </w:t>
      </w:r>
      <w:r w:rsidRPr="00D337FA">
        <w:rPr>
          <w:rFonts w:eastAsia="Times New Roman"/>
          <w:szCs w:val="24"/>
          <w:lang w:eastAsia="ru-RU"/>
        </w:rPr>
        <w:t>перспективных</w:t>
      </w:r>
      <w:r w:rsidR="006C680D" w:rsidRPr="00D337FA">
        <w:rPr>
          <w:rFonts w:eastAsia="Times New Roman"/>
          <w:szCs w:val="24"/>
          <w:lang w:eastAsia="ru-RU"/>
        </w:rPr>
        <w:t xml:space="preserve"> </w:t>
      </w:r>
      <w:r w:rsidRPr="00D337FA">
        <w:rPr>
          <w:rFonts w:eastAsia="Times New Roman"/>
          <w:szCs w:val="24"/>
          <w:lang w:eastAsia="ru-RU"/>
        </w:rPr>
        <w:t>направлений</w:t>
      </w:r>
      <w:r w:rsidR="006C680D" w:rsidRPr="00D337FA">
        <w:rPr>
          <w:rFonts w:eastAsia="Times New Roman"/>
          <w:szCs w:val="24"/>
          <w:lang w:eastAsia="ru-RU"/>
        </w:rPr>
        <w:t xml:space="preserve"> </w:t>
      </w:r>
      <w:r w:rsidRPr="00D337FA">
        <w:rPr>
          <w:rFonts w:eastAsia="Times New Roman"/>
          <w:szCs w:val="24"/>
          <w:lang w:eastAsia="ru-RU"/>
        </w:rPr>
        <w:t>развития</w:t>
      </w:r>
      <w:r w:rsidR="006C680D" w:rsidRPr="00D337FA">
        <w:rPr>
          <w:rFonts w:eastAsia="Times New Roman"/>
          <w:szCs w:val="24"/>
          <w:lang w:eastAsia="ru-RU"/>
        </w:rPr>
        <w:t xml:space="preserve"> </w:t>
      </w:r>
      <w:r w:rsidRPr="00D337FA">
        <w:rPr>
          <w:rFonts w:eastAsia="Times New Roman"/>
          <w:szCs w:val="24"/>
          <w:lang w:eastAsia="ru-RU"/>
        </w:rPr>
        <w:t>банковских</w:t>
      </w:r>
      <w:r w:rsidR="006C680D" w:rsidRPr="00D337FA">
        <w:rPr>
          <w:rFonts w:eastAsia="Times New Roman"/>
          <w:szCs w:val="24"/>
          <w:lang w:eastAsia="ru-RU"/>
        </w:rPr>
        <w:t xml:space="preserve"> </w:t>
      </w:r>
      <w:r w:rsidRPr="00D337FA">
        <w:rPr>
          <w:rFonts w:eastAsia="Times New Roman"/>
          <w:szCs w:val="24"/>
          <w:lang w:eastAsia="ru-RU"/>
        </w:rPr>
        <w:t>форм</w:t>
      </w:r>
      <w:r w:rsidR="006C680D" w:rsidRPr="00D337FA">
        <w:rPr>
          <w:rFonts w:eastAsia="Times New Roman"/>
          <w:szCs w:val="24"/>
          <w:lang w:eastAsia="ru-RU"/>
        </w:rPr>
        <w:t xml:space="preserve"> </w:t>
      </w:r>
      <w:r w:rsidRPr="00D337FA">
        <w:rPr>
          <w:rFonts w:eastAsia="Times New Roman"/>
          <w:szCs w:val="24"/>
          <w:lang w:eastAsia="ru-RU"/>
        </w:rPr>
        <w:t>обслуживания,</w:t>
      </w:r>
      <w:r w:rsidR="006C680D" w:rsidRPr="00D337FA">
        <w:rPr>
          <w:rFonts w:eastAsia="Times New Roman"/>
          <w:szCs w:val="24"/>
          <w:lang w:eastAsia="ru-RU"/>
        </w:rPr>
        <w:t xml:space="preserve"> </w:t>
      </w:r>
      <w:r w:rsidRPr="00D337FA">
        <w:rPr>
          <w:rFonts w:eastAsia="Times New Roman"/>
          <w:szCs w:val="24"/>
          <w:lang w:eastAsia="ru-RU"/>
        </w:rPr>
        <w:t>основанных</w:t>
      </w:r>
      <w:r w:rsidR="006C680D" w:rsidRPr="00D337FA">
        <w:rPr>
          <w:rFonts w:eastAsia="Times New Roman"/>
          <w:szCs w:val="24"/>
          <w:lang w:eastAsia="ru-RU"/>
        </w:rPr>
        <w:t xml:space="preserve"> </w:t>
      </w:r>
      <w:r w:rsidRPr="00D337FA">
        <w:rPr>
          <w:rFonts w:eastAsia="Times New Roman"/>
          <w:szCs w:val="24"/>
          <w:lang w:eastAsia="ru-RU"/>
        </w:rPr>
        <w:t>на</w:t>
      </w:r>
      <w:r w:rsidR="006C680D" w:rsidRPr="00D337FA">
        <w:rPr>
          <w:rFonts w:eastAsia="Times New Roman"/>
          <w:szCs w:val="24"/>
          <w:lang w:eastAsia="ru-RU"/>
        </w:rPr>
        <w:t xml:space="preserve"> </w:t>
      </w:r>
      <w:r w:rsidRPr="00D337FA">
        <w:rPr>
          <w:rFonts w:eastAsia="Times New Roman"/>
          <w:szCs w:val="24"/>
          <w:lang w:eastAsia="ru-RU"/>
        </w:rPr>
        <w:t>интеграции</w:t>
      </w:r>
      <w:r w:rsidR="006C680D" w:rsidRPr="00D337FA">
        <w:rPr>
          <w:rFonts w:eastAsia="Times New Roman"/>
          <w:szCs w:val="24"/>
          <w:lang w:eastAsia="ru-RU"/>
        </w:rPr>
        <w:t xml:space="preserve"> </w:t>
      </w:r>
      <w:r w:rsidRPr="00D337FA">
        <w:rPr>
          <w:rFonts w:eastAsia="Times New Roman"/>
          <w:szCs w:val="24"/>
          <w:lang w:eastAsia="ru-RU"/>
        </w:rPr>
        <w:t>цифровых</w:t>
      </w:r>
      <w:r w:rsidR="006C680D" w:rsidRPr="00D337FA">
        <w:rPr>
          <w:rFonts w:eastAsia="Times New Roman"/>
          <w:szCs w:val="24"/>
          <w:lang w:eastAsia="ru-RU"/>
        </w:rPr>
        <w:t xml:space="preserve"> </w:t>
      </w:r>
      <w:r w:rsidRPr="00D337FA">
        <w:rPr>
          <w:rFonts w:eastAsia="Times New Roman"/>
          <w:szCs w:val="24"/>
          <w:lang w:eastAsia="ru-RU"/>
        </w:rPr>
        <w:t>платформ,</w:t>
      </w:r>
      <w:r w:rsidR="006C680D" w:rsidRPr="00D337FA">
        <w:rPr>
          <w:rFonts w:eastAsia="Times New Roman"/>
          <w:szCs w:val="24"/>
          <w:lang w:eastAsia="ru-RU"/>
        </w:rPr>
        <w:t xml:space="preserve"> </w:t>
      </w:r>
      <w:r w:rsidRPr="00D337FA">
        <w:rPr>
          <w:rFonts w:eastAsia="Times New Roman"/>
          <w:szCs w:val="24"/>
          <w:lang w:eastAsia="ru-RU"/>
        </w:rPr>
        <w:t>развитии</w:t>
      </w:r>
      <w:r w:rsidR="006C680D" w:rsidRPr="00D337FA">
        <w:rPr>
          <w:rFonts w:eastAsia="Times New Roman"/>
          <w:szCs w:val="24"/>
          <w:lang w:eastAsia="ru-RU"/>
        </w:rPr>
        <w:t xml:space="preserve"> </w:t>
      </w:r>
      <w:r w:rsidRPr="00D337FA">
        <w:rPr>
          <w:rFonts w:eastAsia="Times New Roman"/>
          <w:szCs w:val="24"/>
          <w:lang w:eastAsia="ru-RU"/>
        </w:rPr>
        <w:t>альтернативного</w:t>
      </w:r>
      <w:r w:rsidR="006C680D" w:rsidRPr="00D337FA">
        <w:rPr>
          <w:rFonts w:eastAsia="Times New Roman"/>
          <w:szCs w:val="24"/>
          <w:lang w:eastAsia="ru-RU"/>
        </w:rPr>
        <w:t xml:space="preserve"> </w:t>
      </w:r>
      <w:r w:rsidRPr="00D337FA">
        <w:rPr>
          <w:rFonts w:eastAsia="Times New Roman"/>
          <w:szCs w:val="24"/>
          <w:lang w:eastAsia="ru-RU"/>
        </w:rPr>
        <w:t>финансирования,</w:t>
      </w:r>
      <w:r w:rsidR="006C680D" w:rsidRPr="00D337FA">
        <w:rPr>
          <w:rFonts w:eastAsia="Times New Roman"/>
          <w:szCs w:val="24"/>
          <w:lang w:eastAsia="ru-RU"/>
        </w:rPr>
        <w:t xml:space="preserve"> </w:t>
      </w:r>
      <w:r w:rsidRPr="00D337FA">
        <w:rPr>
          <w:rFonts w:eastAsia="Times New Roman"/>
          <w:szCs w:val="24"/>
          <w:lang w:eastAsia="ru-RU"/>
        </w:rPr>
        <w:t>углублении</w:t>
      </w:r>
      <w:r w:rsidR="006C680D" w:rsidRPr="00D337FA">
        <w:rPr>
          <w:rFonts w:eastAsia="Times New Roman"/>
          <w:szCs w:val="24"/>
          <w:lang w:eastAsia="ru-RU"/>
        </w:rPr>
        <w:t xml:space="preserve"> </w:t>
      </w:r>
      <w:r w:rsidRPr="00D337FA">
        <w:rPr>
          <w:rFonts w:eastAsia="Times New Roman"/>
          <w:szCs w:val="24"/>
          <w:lang w:eastAsia="ru-RU"/>
        </w:rPr>
        <w:t>нефинансовой</w:t>
      </w:r>
      <w:r w:rsidR="006C680D" w:rsidRPr="00D337FA">
        <w:rPr>
          <w:rFonts w:eastAsia="Times New Roman"/>
          <w:szCs w:val="24"/>
          <w:lang w:eastAsia="ru-RU"/>
        </w:rPr>
        <w:t xml:space="preserve"> </w:t>
      </w:r>
      <w:r w:rsidRPr="00D337FA">
        <w:rPr>
          <w:rFonts w:eastAsia="Times New Roman"/>
          <w:szCs w:val="24"/>
          <w:lang w:eastAsia="ru-RU"/>
        </w:rPr>
        <w:t>поддержки</w:t>
      </w:r>
      <w:r w:rsidR="006C680D" w:rsidRPr="00D337FA">
        <w:rPr>
          <w:rFonts w:eastAsia="Times New Roman"/>
          <w:szCs w:val="24"/>
          <w:lang w:eastAsia="ru-RU"/>
        </w:rPr>
        <w:t xml:space="preserve"> </w:t>
      </w:r>
      <w:r w:rsidRPr="00D337FA">
        <w:rPr>
          <w:rFonts w:eastAsia="Times New Roman"/>
          <w:szCs w:val="24"/>
          <w:lang w:eastAsia="ru-RU"/>
        </w:rPr>
        <w:t>и</w:t>
      </w:r>
      <w:r w:rsidR="006C680D" w:rsidRPr="00D337FA">
        <w:rPr>
          <w:rFonts w:eastAsia="Times New Roman"/>
          <w:szCs w:val="24"/>
          <w:lang w:eastAsia="ru-RU"/>
        </w:rPr>
        <w:t xml:space="preserve"> </w:t>
      </w:r>
      <w:r w:rsidRPr="00D337FA">
        <w:rPr>
          <w:rFonts w:eastAsia="Times New Roman"/>
          <w:szCs w:val="24"/>
          <w:lang w:eastAsia="ru-RU"/>
        </w:rPr>
        <w:t>внедрении</w:t>
      </w:r>
      <w:r w:rsidR="006C680D" w:rsidRPr="00D337FA">
        <w:rPr>
          <w:rFonts w:eastAsia="Times New Roman"/>
          <w:szCs w:val="24"/>
          <w:lang w:eastAsia="ru-RU"/>
        </w:rPr>
        <w:t xml:space="preserve"> </w:t>
      </w:r>
      <w:r w:rsidRPr="00D337FA">
        <w:rPr>
          <w:rFonts w:eastAsia="Times New Roman"/>
          <w:szCs w:val="24"/>
          <w:lang w:eastAsia="ru-RU"/>
        </w:rPr>
        <w:t>технологий</w:t>
      </w:r>
      <w:r w:rsidR="006C680D" w:rsidRPr="00D337FA">
        <w:rPr>
          <w:rFonts w:eastAsia="Times New Roman"/>
          <w:szCs w:val="24"/>
          <w:lang w:eastAsia="ru-RU"/>
        </w:rPr>
        <w:t xml:space="preserve"> </w:t>
      </w:r>
      <w:r w:rsidRPr="00D337FA">
        <w:rPr>
          <w:rFonts w:eastAsia="Times New Roman"/>
          <w:szCs w:val="24"/>
          <w:lang w:eastAsia="ru-RU"/>
        </w:rPr>
        <w:t>искусственного</w:t>
      </w:r>
      <w:r w:rsidR="006C680D" w:rsidRPr="00D337FA">
        <w:rPr>
          <w:rFonts w:eastAsia="Times New Roman"/>
          <w:szCs w:val="24"/>
          <w:lang w:eastAsia="ru-RU"/>
        </w:rPr>
        <w:t xml:space="preserve"> </w:t>
      </w:r>
      <w:r w:rsidRPr="00D337FA">
        <w:rPr>
          <w:rFonts w:eastAsia="Times New Roman"/>
          <w:szCs w:val="24"/>
          <w:lang w:eastAsia="ru-RU"/>
        </w:rPr>
        <w:t>интеллекта</w:t>
      </w:r>
      <w:r w:rsidR="006C680D" w:rsidRPr="00D337FA">
        <w:rPr>
          <w:rFonts w:eastAsia="Times New Roman"/>
          <w:szCs w:val="24"/>
          <w:lang w:eastAsia="ru-RU"/>
        </w:rPr>
        <w:t xml:space="preserve"> </w:t>
      </w:r>
      <w:r w:rsidRPr="00D337FA">
        <w:rPr>
          <w:rFonts w:eastAsia="Times New Roman"/>
          <w:szCs w:val="24"/>
          <w:lang w:eastAsia="ru-RU"/>
        </w:rPr>
        <w:t>для</w:t>
      </w:r>
      <w:r w:rsidR="006C680D" w:rsidRPr="00D337FA">
        <w:rPr>
          <w:rFonts w:eastAsia="Times New Roman"/>
          <w:szCs w:val="24"/>
          <w:lang w:eastAsia="ru-RU"/>
        </w:rPr>
        <w:t xml:space="preserve"> </w:t>
      </w:r>
      <w:r w:rsidRPr="00D337FA">
        <w:rPr>
          <w:rFonts w:eastAsia="Times New Roman"/>
          <w:szCs w:val="24"/>
          <w:lang w:eastAsia="ru-RU"/>
        </w:rPr>
        <w:t>создания</w:t>
      </w:r>
      <w:r w:rsidR="006C680D" w:rsidRPr="00D337FA">
        <w:rPr>
          <w:rFonts w:eastAsia="Times New Roman"/>
          <w:szCs w:val="24"/>
          <w:lang w:eastAsia="ru-RU"/>
        </w:rPr>
        <w:t xml:space="preserve"> </w:t>
      </w:r>
      <w:r w:rsidRPr="00D337FA">
        <w:rPr>
          <w:rFonts w:eastAsia="Times New Roman"/>
          <w:szCs w:val="24"/>
          <w:lang w:eastAsia="ru-RU"/>
        </w:rPr>
        <w:t>комплексных</w:t>
      </w:r>
      <w:r w:rsidR="006C680D" w:rsidRPr="00D337FA">
        <w:rPr>
          <w:rFonts w:eastAsia="Times New Roman"/>
          <w:szCs w:val="24"/>
          <w:lang w:eastAsia="ru-RU"/>
        </w:rPr>
        <w:t xml:space="preserve"> </w:t>
      </w:r>
      <w:r w:rsidRPr="00D337FA">
        <w:rPr>
          <w:rFonts w:eastAsia="Times New Roman"/>
          <w:szCs w:val="24"/>
          <w:lang w:eastAsia="ru-RU"/>
        </w:rPr>
        <w:t>экосистемных</w:t>
      </w:r>
      <w:r w:rsidR="006C680D" w:rsidRPr="00D337FA">
        <w:rPr>
          <w:rFonts w:eastAsia="Times New Roman"/>
          <w:szCs w:val="24"/>
          <w:lang w:eastAsia="ru-RU"/>
        </w:rPr>
        <w:t xml:space="preserve"> </w:t>
      </w:r>
      <w:r w:rsidRPr="00D337FA">
        <w:rPr>
          <w:rFonts w:eastAsia="Times New Roman"/>
          <w:szCs w:val="24"/>
          <w:lang w:eastAsia="ru-RU"/>
        </w:rPr>
        <w:t>решений.</w:t>
      </w:r>
    </w:p>
    <w:p w:rsidR="00256E85" w:rsidRPr="00D337FA" w:rsidRDefault="00256E85" w:rsidP="00256E85">
      <w:pPr>
        <w:tabs>
          <w:tab w:val="left" w:pos="567"/>
        </w:tabs>
        <w:ind w:firstLine="284"/>
        <w:rPr>
          <w:rFonts w:eastAsia="Times New Roman"/>
          <w:strike/>
          <w:szCs w:val="24"/>
          <w:lang w:eastAsia="ru-RU"/>
        </w:rPr>
      </w:pPr>
    </w:p>
    <w:p w:rsidR="00256E85" w:rsidRPr="00D337FA" w:rsidRDefault="00256E85" w:rsidP="00256E85">
      <w:pPr>
        <w:pStyle w:val="affb"/>
        <w:tabs>
          <w:tab w:val="left" w:pos="567"/>
        </w:tabs>
        <w:spacing w:after="0" w:line="240" w:lineRule="auto"/>
        <w:ind w:left="0" w:firstLine="284"/>
        <w:jc w:val="both"/>
        <w:rPr>
          <w:rFonts w:ascii="Times New Roman" w:hAnsi="Times New Roman" w:cs="Times New Roman"/>
          <w:b/>
          <w:sz w:val="24"/>
          <w:szCs w:val="24"/>
        </w:rPr>
      </w:pPr>
      <w:r w:rsidRPr="00D337FA">
        <w:rPr>
          <w:rFonts w:ascii="Times New Roman" w:hAnsi="Times New Roman" w:cs="Times New Roman"/>
          <w:b/>
          <w:sz w:val="24"/>
          <w:szCs w:val="24"/>
        </w:rPr>
        <w:t>Теоретический</w:t>
      </w:r>
      <w:r w:rsidR="006C680D" w:rsidRPr="00D337FA">
        <w:rPr>
          <w:rFonts w:ascii="Times New Roman" w:hAnsi="Times New Roman" w:cs="Times New Roman"/>
          <w:b/>
          <w:sz w:val="24"/>
          <w:szCs w:val="24"/>
        </w:rPr>
        <w:t xml:space="preserve"> </w:t>
      </w:r>
      <w:r w:rsidRPr="00D337FA">
        <w:rPr>
          <w:rFonts w:ascii="Times New Roman" w:hAnsi="Times New Roman" w:cs="Times New Roman"/>
          <w:b/>
          <w:sz w:val="24"/>
          <w:szCs w:val="24"/>
        </w:rPr>
        <w:t>анализ</w:t>
      </w:r>
    </w:p>
    <w:p w:rsidR="00256E85" w:rsidRPr="00D337FA" w:rsidRDefault="00256E85" w:rsidP="00256E85">
      <w:pPr>
        <w:pStyle w:val="affb"/>
        <w:tabs>
          <w:tab w:val="left" w:pos="567"/>
        </w:tabs>
        <w:spacing w:after="0" w:line="240" w:lineRule="auto"/>
        <w:ind w:left="0" w:firstLine="284"/>
        <w:jc w:val="both"/>
        <w:rPr>
          <w:rFonts w:ascii="Times New Roman" w:hAnsi="Times New Roman" w:cs="Times New Roman"/>
          <w:sz w:val="24"/>
          <w:szCs w:val="24"/>
        </w:rPr>
      </w:pPr>
      <w:r w:rsidRPr="00D337FA">
        <w:rPr>
          <w:rFonts w:ascii="Times New Roman" w:hAnsi="Times New Roman" w:cs="Times New Roman"/>
          <w:sz w:val="24"/>
          <w:szCs w:val="24"/>
        </w:rPr>
        <w:t>Формирование</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эффективной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системы</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банковского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обслуживания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малого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бизнеса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представляет</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собой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сложную</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научно-практическую</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задачу,</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находящуюся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на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стыке</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финансового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менеджмента,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теории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финансовых</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посредников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экономики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предпринимательства.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Теоретический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анализ</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данной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проблематики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требует</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рассмотрения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фундаментальных</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особенностей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малого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бизнеса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как</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объекта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банковских</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услуг,</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эволюции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роли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банков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его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финансировании,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также</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современных</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lastRenderedPageBreak/>
        <w:t>концепций,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определяющих</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направления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развития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банковско-клиентских</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отношений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цифровую</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эпоху.</w:t>
      </w:r>
    </w:p>
    <w:p w:rsidR="00B706E9" w:rsidRPr="00D337FA" w:rsidRDefault="00256E85" w:rsidP="00256E85">
      <w:pPr>
        <w:pStyle w:val="affb"/>
        <w:tabs>
          <w:tab w:val="left" w:pos="567"/>
        </w:tabs>
        <w:spacing w:after="0" w:line="240" w:lineRule="auto"/>
        <w:ind w:left="0" w:firstLine="284"/>
        <w:jc w:val="both"/>
        <w:rPr>
          <w:rFonts w:ascii="Arial CYR" w:hAnsi="Arial CYR" w:cs="Arial CYR"/>
          <w:b/>
          <w:bCs/>
          <w:i/>
          <w:iCs/>
          <w:caps/>
          <w:sz w:val="24"/>
          <w:szCs w:val="24"/>
          <w:u w:val="single"/>
          <w:lang w:eastAsia="ru-RU"/>
        </w:rPr>
      </w:pPr>
      <w:r w:rsidRPr="00D337FA">
        <w:rPr>
          <w:rFonts w:ascii="Times New Roman" w:hAnsi="Times New Roman" w:cs="Times New Roman"/>
          <w:sz w:val="24"/>
          <w:szCs w:val="24"/>
        </w:rPr>
        <w:t>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России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правовое</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определение</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малого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бизнеса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закреплено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Федеральном</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законе</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от</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24.07.2007</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209-ФЗ</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развитии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малого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среднего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предпринимательства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Российской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Федерации»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[1].</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Субъектами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малого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среднего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предпринимательства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lastRenderedPageBreak/>
        <w:t>признаются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хозяйствующие</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субъекты,</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сведения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которых</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включены</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единый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реестр</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субъектов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малого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среднего</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предпринимательства.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Критерии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отнесения</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к</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той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или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иной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категории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зависят</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от</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численности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работников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объёмов</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выручки</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за</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календарный</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год</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(табл.</w:t>
      </w:r>
      <w:r w:rsidR="006C680D" w:rsidRPr="00D337FA">
        <w:rPr>
          <w:rFonts w:ascii="Times New Roman" w:hAnsi="Times New Roman" w:cs="Times New Roman"/>
          <w:sz w:val="24"/>
          <w:szCs w:val="24"/>
        </w:rPr>
        <w:t xml:space="preserve"> </w:t>
      </w:r>
      <w:r w:rsidRPr="00D337FA">
        <w:rPr>
          <w:rFonts w:ascii="Times New Roman" w:hAnsi="Times New Roman" w:cs="Times New Roman"/>
          <w:sz w:val="24"/>
          <w:szCs w:val="24"/>
        </w:rPr>
        <w:t>1).</w:t>
      </w:r>
    </w:p>
    <w:p w:rsidR="00B706E9" w:rsidRPr="00D337FA" w:rsidRDefault="00B706E9" w:rsidP="00256E85">
      <w:pPr>
        <w:tabs>
          <w:tab w:val="center" w:pos="4677"/>
        </w:tabs>
        <w:ind w:firstLine="284"/>
        <w:jc w:val="right"/>
        <w:rPr>
          <w:rFonts w:ascii="Arial CYR" w:hAnsi="Arial CYR" w:cs="Arial CYR"/>
          <w:b/>
          <w:bCs/>
          <w:i/>
          <w:iCs/>
          <w:caps/>
          <w:szCs w:val="24"/>
          <w:u w:val="single"/>
          <w:lang w:eastAsia="ru-RU"/>
        </w:rPr>
      </w:pPr>
    </w:p>
    <w:p w:rsidR="00256E85" w:rsidRPr="00D337FA" w:rsidRDefault="00256E85" w:rsidP="00FB2463">
      <w:pPr>
        <w:tabs>
          <w:tab w:val="center" w:pos="4677"/>
        </w:tabs>
        <w:ind w:firstLine="0"/>
        <w:jc w:val="right"/>
        <w:rPr>
          <w:rFonts w:ascii="Arial CYR" w:hAnsi="Arial CYR" w:cs="Arial CYR"/>
          <w:b/>
          <w:bCs/>
          <w:i/>
          <w:iCs/>
          <w:caps/>
          <w:szCs w:val="24"/>
          <w:u w:val="single"/>
          <w:lang w:eastAsia="ru-RU"/>
        </w:rPr>
        <w:sectPr w:rsidR="00256E85" w:rsidRPr="00D337FA" w:rsidSect="00256E85">
          <w:footnotePr>
            <w:numRestart w:val="eachPage"/>
          </w:footnotePr>
          <w:type w:val="continuous"/>
          <w:pgSz w:w="11907" w:h="16840" w:code="9"/>
          <w:pgMar w:top="1418" w:right="1134" w:bottom="1418" w:left="1134" w:header="1021" w:footer="1021" w:gutter="0"/>
          <w:cols w:num="2" w:space="708"/>
          <w:docGrid w:linePitch="360"/>
        </w:sectPr>
      </w:pPr>
    </w:p>
    <w:p w:rsidR="00256E85" w:rsidRPr="00D337FA" w:rsidRDefault="00256E85" w:rsidP="00256E85">
      <w:pPr>
        <w:jc w:val="right"/>
        <w:rPr>
          <w:rFonts w:ascii="Arial" w:hAnsi="Arial" w:cs="Arial"/>
          <w:i/>
          <w:sz w:val="22"/>
          <w:szCs w:val="22"/>
        </w:rPr>
      </w:pPr>
      <w:r w:rsidRPr="00D337FA">
        <w:rPr>
          <w:rFonts w:ascii="Arial" w:hAnsi="Arial" w:cs="Arial"/>
          <w:i/>
          <w:sz w:val="22"/>
          <w:szCs w:val="22"/>
        </w:rPr>
        <w:lastRenderedPageBreak/>
        <w:t>Таблица</w:t>
      </w:r>
      <w:r w:rsidR="006C680D" w:rsidRPr="00D337FA">
        <w:rPr>
          <w:rFonts w:ascii="Arial" w:hAnsi="Arial" w:cs="Arial"/>
          <w:i/>
          <w:sz w:val="22"/>
          <w:szCs w:val="22"/>
        </w:rPr>
        <w:t xml:space="preserve"> </w:t>
      </w:r>
      <w:r w:rsidRPr="00D337FA">
        <w:rPr>
          <w:rFonts w:ascii="Arial" w:hAnsi="Arial" w:cs="Arial"/>
          <w:i/>
          <w:sz w:val="22"/>
          <w:szCs w:val="22"/>
        </w:rPr>
        <w:t>1</w:t>
      </w:r>
    </w:p>
    <w:p w:rsidR="00256E85" w:rsidRPr="00D337FA" w:rsidRDefault="00256E85" w:rsidP="00256E85">
      <w:pPr>
        <w:jc w:val="center"/>
        <w:rPr>
          <w:rFonts w:ascii="Arial" w:hAnsi="Arial" w:cs="Arial"/>
          <w:i/>
          <w:sz w:val="22"/>
          <w:szCs w:val="22"/>
        </w:rPr>
      </w:pPr>
      <w:r w:rsidRPr="00D337FA">
        <w:rPr>
          <w:rFonts w:ascii="Arial" w:hAnsi="Arial" w:cs="Arial"/>
          <w:i/>
          <w:sz w:val="22"/>
          <w:szCs w:val="22"/>
        </w:rPr>
        <w:t>Критерии</w:t>
      </w:r>
      <w:r w:rsidR="006C680D" w:rsidRPr="00D337FA">
        <w:rPr>
          <w:rFonts w:ascii="Arial" w:hAnsi="Arial" w:cs="Arial"/>
          <w:i/>
          <w:sz w:val="22"/>
          <w:szCs w:val="22"/>
        </w:rPr>
        <w:t xml:space="preserve"> </w:t>
      </w:r>
      <w:r w:rsidRPr="00D337FA">
        <w:rPr>
          <w:rFonts w:ascii="Arial" w:hAnsi="Arial" w:cs="Arial"/>
          <w:i/>
          <w:sz w:val="22"/>
          <w:szCs w:val="22"/>
        </w:rPr>
        <w:t>отнесения</w:t>
      </w:r>
      <w:r w:rsidR="006C680D" w:rsidRPr="00D337FA">
        <w:rPr>
          <w:rFonts w:ascii="Arial" w:hAnsi="Arial" w:cs="Arial"/>
          <w:i/>
          <w:sz w:val="22"/>
          <w:szCs w:val="22"/>
        </w:rPr>
        <w:t xml:space="preserve"> </w:t>
      </w:r>
      <w:r w:rsidRPr="00D337FA">
        <w:rPr>
          <w:rFonts w:ascii="Arial" w:hAnsi="Arial" w:cs="Arial"/>
          <w:i/>
          <w:sz w:val="22"/>
          <w:szCs w:val="22"/>
        </w:rPr>
        <w:t>предприятий</w:t>
      </w:r>
      <w:r w:rsidR="006C680D" w:rsidRPr="00D337FA">
        <w:rPr>
          <w:rFonts w:ascii="Arial" w:hAnsi="Arial" w:cs="Arial"/>
          <w:i/>
          <w:sz w:val="22"/>
          <w:szCs w:val="22"/>
        </w:rPr>
        <w:t xml:space="preserve"> </w:t>
      </w:r>
      <w:r w:rsidRPr="00D337FA">
        <w:rPr>
          <w:rFonts w:ascii="Arial" w:hAnsi="Arial" w:cs="Arial"/>
          <w:i/>
          <w:sz w:val="22"/>
          <w:szCs w:val="22"/>
        </w:rPr>
        <w:t>к</w:t>
      </w:r>
      <w:r w:rsidR="006C680D" w:rsidRPr="00D337FA">
        <w:rPr>
          <w:rFonts w:ascii="Arial" w:hAnsi="Arial" w:cs="Arial"/>
          <w:i/>
          <w:sz w:val="22"/>
          <w:szCs w:val="22"/>
        </w:rPr>
        <w:t xml:space="preserve"> </w:t>
      </w:r>
      <w:r w:rsidRPr="00D337FA">
        <w:rPr>
          <w:rFonts w:ascii="Arial" w:hAnsi="Arial" w:cs="Arial"/>
          <w:i/>
          <w:sz w:val="22"/>
          <w:szCs w:val="22"/>
        </w:rPr>
        <w:t>субъектам</w:t>
      </w:r>
      <w:r w:rsidR="006C680D" w:rsidRPr="00D337FA">
        <w:rPr>
          <w:rFonts w:ascii="Arial" w:hAnsi="Arial" w:cs="Arial"/>
          <w:i/>
          <w:sz w:val="22"/>
          <w:szCs w:val="22"/>
        </w:rPr>
        <w:t xml:space="preserve"> </w:t>
      </w:r>
      <w:r w:rsidRPr="00D337FA">
        <w:rPr>
          <w:rFonts w:ascii="Arial" w:hAnsi="Arial" w:cs="Arial"/>
          <w:i/>
          <w:sz w:val="22"/>
          <w:szCs w:val="22"/>
        </w:rPr>
        <w:t>малого</w:t>
      </w:r>
      <w:r w:rsidR="006C680D" w:rsidRPr="00D337FA">
        <w:rPr>
          <w:rFonts w:ascii="Arial" w:hAnsi="Arial" w:cs="Arial"/>
          <w:i/>
          <w:sz w:val="22"/>
          <w:szCs w:val="22"/>
        </w:rPr>
        <w:t xml:space="preserve"> </w:t>
      </w:r>
      <w:r w:rsidRPr="00D337FA">
        <w:rPr>
          <w:rFonts w:ascii="Arial" w:hAnsi="Arial" w:cs="Arial"/>
          <w:i/>
          <w:sz w:val="22"/>
          <w:szCs w:val="22"/>
        </w:rPr>
        <w:t>и</w:t>
      </w:r>
      <w:r w:rsidR="006C680D" w:rsidRPr="00D337FA">
        <w:rPr>
          <w:rFonts w:ascii="Arial" w:hAnsi="Arial" w:cs="Arial"/>
          <w:i/>
          <w:sz w:val="22"/>
          <w:szCs w:val="22"/>
        </w:rPr>
        <w:t xml:space="preserve"> </w:t>
      </w:r>
      <w:r w:rsidRPr="00D337FA">
        <w:rPr>
          <w:rFonts w:ascii="Arial" w:hAnsi="Arial" w:cs="Arial"/>
          <w:i/>
          <w:sz w:val="22"/>
          <w:szCs w:val="22"/>
        </w:rPr>
        <w:t>среднего</w:t>
      </w:r>
      <w:r w:rsidR="006C680D" w:rsidRPr="00D337FA">
        <w:rPr>
          <w:rFonts w:ascii="Arial" w:hAnsi="Arial" w:cs="Arial"/>
          <w:i/>
          <w:sz w:val="22"/>
          <w:szCs w:val="22"/>
        </w:rPr>
        <w:t xml:space="preserve"> </w:t>
      </w:r>
      <w:r w:rsidRPr="00D337FA">
        <w:rPr>
          <w:rFonts w:ascii="Arial" w:hAnsi="Arial" w:cs="Arial"/>
          <w:i/>
          <w:sz w:val="22"/>
          <w:szCs w:val="22"/>
        </w:rPr>
        <w:t>предпринимательства</w:t>
      </w:r>
      <w:r w:rsidR="006C680D" w:rsidRPr="00D337FA">
        <w:rPr>
          <w:rFonts w:ascii="Arial" w:hAnsi="Arial" w:cs="Arial"/>
          <w:i/>
          <w:sz w:val="22"/>
          <w:szCs w:val="22"/>
        </w:rPr>
        <w:t xml:space="preserve"> </w:t>
      </w:r>
      <w:r w:rsidRPr="00D337FA">
        <w:rPr>
          <w:rFonts w:ascii="Arial" w:hAnsi="Arial" w:cs="Arial"/>
          <w:i/>
          <w:sz w:val="22"/>
          <w:szCs w:val="22"/>
        </w:rPr>
        <w:t>согласно</w:t>
      </w:r>
      <w:r w:rsidR="006C680D" w:rsidRPr="00D337FA">
        <w:rPr>
          <w:rFonts w:ascii="Arial" w:hAnsi="Arial" w:cs="Arial"/>
          <w:i/>
          <w:sz w:val="22"/>
          <w:szCs w:val="22"/>
        </w:rPr>
        <w:t xml:space="preserve"> </w:t>
      </w:r>
      <w:r w:rsidRPr="00D337FA">
        <w:rPr>
          <w:rFonts w:ascii="Arial" w:hAnsi="Arial" w:cs="Arial"/>
          <w:i/>
          <w:sz w:val="22"/>
          <w:szCs w:val="22"/>
        </w:rPr>
        <w:t>ст.</w:t>
      </w:r>
      <w:r w:rsidR="006C680D" w:rsidRPr="00D337FA">
        <w:rPr>
          <w:rFonts w:ascii="Arial" w:hAnsi="Arial" w:cs="Arial"/>
          <w:i/>
          <w:sz w:val="22"/>
          <w:szCs w:val="22"/>
        </w:rPr>
        <w:t xml:space="preserve"> </w:t>
      </w:r>
      <w:r w:rsidRPr="00D337FA">
        <w:rPr>
          <w:rFonts w:ascii="Arial" w:hAnsi="Arial" w:cs="Arial"/>
          <w:i/>
          <w:sz w:val="22"/>
          <w:szCs w:val="22"/>
        </w:rPr>
        <w:t>4</w:t>
      </w:r>
      <w:r w:rsidR="006C680D" w:rsidRPr="00D337FA">
        <w:rPr>
          <w:rFonts w:ascii="Arial" w:hAnsi="Arial" w:cs="Arial"/>
          <w:i/>
          <w:sz w:val="22"/>
          <w:szCs w:val="22"/>
        </w:rPr>
        <w:t xml:space="preserve"> </w:t>
      </w:r>
      <w:r w:rsidRPr="00D337FA">
        <w:rPr>
          <w:rFonts w:ascii="Arial" w:hAnsi="Arial" w:cs="Arial"/>
          <w:i/>
          <w:sz w:val="22"/>
          <w:szCs w:val="22"/>
        </w:rPr>
        <w:t>ФЗ</w:t>
      </w:r>
      <w:r w:rsidR="006C680D" w:rsidRPr="00D337FA">
        <w:rPr>
          <w:rFonts w:ascii="Arial" w:hAnsi="Arial" w:cs="Arial"/>
          <w:i/>
          <w:sz w:val="22"/>
          <w:szCs w:val="22"/>
        </w:rPr>
        <w:t xml:space="preserve"> </w:t>
      </w:r>
      <w:r w:rsidRPr="00D337FA">
        <w:rPr>
          <w:rFonts w:ascii="Arial" w:hAnsi="Arial" w:cs="Arial"/>
          <w:i/>
          <w:sz w:val="22"/>
          <w:szCs w:val="22"/>
        </w:rPr>
        <w:t>№</w:t>
      </w:r>
      <w:r w:rsidR="006C680D" w:rsidRPr="00D337FA">
        <w:rPr>
          <w:rFonts w:ascii="Arial" w:hAnsi="Arial" w:cs="Arial"/>
          <w:i/>
          <w:sz w:val="22"/>
          <w:szCs w:val="22"/>
        </w:rPr>
        <w:t xml:space="preserve"> </w:t>
      </w:r>
      <w:r w:rsidRPr="00D337FA">
        <w:rPr>
          <w:rFonts w:ascii="Arial" w:hAnsi="Arial" w:cs="Arial"/>
          <w:i/>
          <w:sz w:val="22"/>
          <w:szCs w:val="22"/>
        </w:rPr>
        <w:t>209-ФЗ</w:t>
      </w:r>
    </w:p>
    <w:tbl>
      <w:tblPr>
        <w:tblStyle w:val="afa"/>
        <w:tblW w:w="0" w:type="auto"/>
        <w:tblLook w:val="04A0" w:firstRow="1" w:lastRow="0" w:firstColumn="1" w:lastColumn="0" w:noHBand="0" w:noVBand="1"/>
      </w:tblPr>
      <w:tblGrid>
        <w:gridCol w:w="2236"/>
        <w:gridCol w:w="5527"/>
        <w:gridCol w:w="1978"/>
      </w:tblGrid>
      <w:tr w:rsidR="00D337FA" w:rsidRPr="00A53D60" w:rsidTr="00A53D60">
        <w:tc>
          <w:tcPr>
            <w:tcW w:w="0" w:type="auto"/>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Категория</w:t>
            </w:r>
            <w:r w:rsidR="006C680D" w:rsidRPr="00A53D60">
              <w:rPr>
                <w:rFonts w:eastAsia="Times New Roman"/>
                <w:sz w:val="20"/>
                <w:szCs w:val="20"/>
                <w:lang w:eastAsia="ru-RU"/>
              </w:rPr>
              <w:t xml:space="preserve"> </w:t>
            </w:r>
            <w:r w:rsidRPr="00A53D60">
              <w:rPr>
                <w:rFonts w:eastAsia="Times New Roman"/>
                <w:sz w:val="20"/>
                <w:szCs w:val="20"/>
                <w:lang w:eastAsia="ru-RU"/>
              </w:rPr>
              <w:t>предприятия</w:t>
            </w:r>
          </w:p>
        </w:tc>
        <w:tc>
          <w:tcPr>
            <w:tcW w:w="5527"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Среднесписочная</w:t>
            </w:r>
            <w:r w:rsidR="006C680D" w:rsidRPr="00A53D60">
              <w:rPr>
                <w:rFonts w:eastAsia="Times New Roman"/>
                <w:sz w:val="20"/>
                <w:szCs w:val="20"/>
                <w:lang w:eastAsia="ru-RU"/>
              </w:rPr>
              <w:t xml:space="preserve"> </w:t>
            </w:r>
            <w:r w:rsidRPr="00A53D60">
              <w:rPr>
                <w:rFonts w:eastAsia="Times New Roman"/>
                <w:sz w:val="20"/>
                <w:szCs w:val="20"/>
                <w:lang w:eastAsia="ru-RU"/>
              </w:rPr>
              <w:t>численность</w:t>
            </w:r>
            <w:r w:rsidR="006C680D" w:rsidRPr="00A53D60">
              <w:rPr>
                <w:rFonts w:eastAsia="Times New Roman"/>
                <w:sz w:val="20"/>
                <w:szCs w:val="20"/>
                <w:lang w:eastAsia="ru-RU"/>
              </w:rPr>
              <w:t xml:space="preserve"> </w:t>
            </w:r>
            <w:r w:rsidRPr="00A53D60">
              <w:rPr>
                <w:rFonts w:eastAsia="Times New Roman"/>
                <w:sz w:val="20"/>
                <w:szCs w:val="20"/>
                <w:lang w:eastAsia="ru-RU"/>
              </w:rPr>
              <w:t>работников,</w:t>
            </w:r>
            <w:r w:rsidR="006C680D" w:rsidRPr="00A53D60">
              <w:rPr>
                <w:rFonts w:eastAsia="Times New Roman"/>
                <w:sz w:val="20"/>
                <w:szCs w:val="20"/>
                <w:lang w:eastAsia="ru-RU"/>
              </w:rPr>
              <w:t xml:space="preserve"> </w:t>
            </w:r>
            <w:r w:rsidRPr="00A53D60">
              <w:rPr>
                <w:rFonts w:eastAsia="Times New Roman"/>
                <w:sz w:val="20"/>
                <w:szCs w:val="20"/>
                <w:lang w:eastAsia="ru-RU"/>
              </w:rPr>
              <w:t>человек</w:t>
            </w:r>
          </w:p>
        </w:tc>
        <w:tc>
          <w:tcPr>
            <w:tcW w:w="1978"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Годовой</w:t>
            </w:r>
            <w:r w:rsidR="006C680D" w:rsidRPr="00A53D60">
              <w:rPr>
                <w:rFonts w:eastAsia="Times New Roman"/>
                <w:sz w:val="20"/>
                <w:szCs w:val="20"/>
                <w:lang w:eastAsia="ru-RU"/>
              </w:rPr>
              <w:t xml:space="preserve"> </w:t>
            </w:r>
            <w:r w:rsidRPr="00A53D60">
              <w:rPr>
                <w:rFonts w:eastAsia="Times New Roman"/>
                <w:sz w:val="20"/>
                <w:szCs w:val="20"/>
                <w:lang w:eastAsia="ru-RU"/>
              </w:rPr>
              <w:t>доход,</w:t>
            </w:r>
            <w:r w:rsidR="006C680D" w:rsidRPr="00A53D60">
              <w:rPr>
                <w:rFonts w:eastAsia="Times New Roman"/>
                <w:sz w:val="20"/>
                <w:szCs w:val="20"/>
                <w:lang w:eastAsia="ru-RU"/>
              </w:rPr>
              <w:t xml:space="preserve"> </w:t>
            </w:r>
          </w:p>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млн</w:t>
            </w:r>
            <w:r w:rsidR="006C680D" w:rsidRPr="00A53D60">
              <w:rPr>
                <w:rFonts w:eastAsia="Times New Roman"/>
                <w:sz w:val="20"/>
                <w:szCs w:val="20"/>
                <w:lang w:eastAsia="ru-RU"/>
              </w:rPr>
              <w:t xml:space="preserve"> </w:t>
            </w:r>
            <w:r w:rsidRPr="00A53D60">
              <w:rPr>
                <w:rFonts w:eastAsia="Times New Roman"/>
                <w:sz w:val="20"/>
                <w:szCs w:val="20"/>
                <w:lang w:eastAsia="ru-RU"/>
              </w:rPr>
              <w:t>руб.</w:t>
            </w:r>
          </w:p>
        </w:tc>
      </w:tr>
      <w:tr w:rsidR="00D337FA" w:rsidRPr="00A53D60" w:rsidTr="00A53D60">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Микропредприятия</w:t>
            </w:r>
          </w:p>
        </w:tc>
        <w:tc>
          <w:tcPr>
            <w:tcW w:w="5527"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до</w:t>
            </w:r>
            <w:r w:rsidR="006C680D" w:rsidRPr="00A53D60">
              <w:rPr>
                <w:rFonts w:eastAsia="Times New Roman"/>
                <w:sz w:val="20"/>
                <w:szCs w:val="20"/>
                <w:lang w:eastAsia="ru-RU"/>
              </w:rPr>
              <w:t xml:space="preserve"> </w:t>
            </w:r>
            <w:r w:rsidRPr="00A53D60">
              <w:rPr>
                <w:rFonts w:eastAsia="Times New Roman"/>
                <w:sz w:val="20"/>
                <w:szCs w:val="20"/>
                <w:lang w:eastAsia="ru-RU"/>
              </w:rPr>
              <w:t>15</w:t>
            </w:r>
          </w:p>
        </w:tc>
        <w:tc>
          <w:tcPr>
            <w:tcW w:w="1978"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до</w:t>
            </w:r>
            <w:r w:rsidR="006C680D" w:rsidRPr="00A53D60">
              <w:rPr>
                <w:rFonts w:eastAsia="Times New Roman"/>
                <w:sz w:val="20"/>
                <w:szCs w:val="20"/>
                <w:lang w:eastAsia="ru-RU"/>
              </w:rPr>
              <w:t xml:space="preserve"> </w:t>
            </w:r>
            <w:r w:rsidRPr="00A53D60">
              <w:rPr>
                <w:rFonts w:eastAsia="Times New Roman"/>
                <w:sz w:val="20"/>
                <w:szCs w:val="20"/>
                <w:lang w:eastAsia="ru-RU"/>
              </w:rPr>
              <w:t>120</w:t>
            </w:r>
          </w:p>
        </w:tc>
      </w:tr>
      <w:tr w:rsidR="00D337FA" w:rsidRPr="00A53D60" w:rsidTr="00A53D60">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Малые</w:t>
            </w:r>
            <w:r w:rsidR="006C680D" w:rsidRPr="00A53D60">
              <w:rPr>
                <w:rFonts w:eastAsia="Times New Roman"/>
                <w:sz w:val="20"/>
                <w:szCs w:val="20"/>
                <w:lang w:eastAsia="ru-RU"/>
              </w:rPr>
              <w:t xml:space="preserve"> </w:t>
            </w:r>
            <w:r w:rsidRPr="00A53D60">
              <w:rPr>
                <w:rFonts w:eastAsia="Times New Roman"/>
                <w:sz w:val="20"/>
                <w:szCs w:val="20"/>
                <w:lang w:eastAsia="ru-RU"/>
              </w:rPr>
              <w:t>предприятия</w:t>
            </w:r>
          </w:p>
        </w:tc>
        <w:tc>
          <w:tcPr>
            <w:tcW w:w="5527"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до</w:t>
            </w:r>
            <w:r w:rsidR="006C680D" w:rsidRPr="00A53D60">
              <w:rPr>
                <w:rFonts w:eastAsia="Times New Roman"/>
                <w:sz w:val="20"/>
                <w:szCs w:val="20"/>
                <w:lang w:eastAsia="ru-RU"/>
              </w:rPr>
              <w:t xml:space="preserve"> </w:t>
            </w:r>
            <w:r w:rsidRPr="00A53D60">
              <w:rPr>
                <w:rFonts w:eastAsia="Times New Roman"/>
                <w:sz w:val="20"/>
                <w:szCs w:val="20"/>
                <w:lang w:eastAsia="ru-RU"/>
              </w:rPr>
              <w:t>100</w:t>
            </w:r>
          </w:p>
        </w:tc>
        <w:tc>
          <w:tcPr>
            <w:tcW w:w="1978"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до</w:t>
            </w:r>
            <w:r w:rsidR="006C680D" w:rsidRPr="00A53D60">
              <w:rPr>
                <w:rFonts w:eastAsia="Times New Roman"/>
                <w:sz w:val="20"/>
                <w:szCs w:val="20"/>
                <w:lang w:eastAsia="ru-RU"/>
              </w:rPr>
              <w:t xml:space="preserve"> </w:t>
            </w:r>
            <w:r w:rsidRPr="00A53D60">
              <w:rPr>
                <w:rFonts w:eastAsia="Times New Roman"/>
                <w:sz w:val="20"/>
                <w:szCs w:val="20"/>
                <w:lang w:eastAsia="ru-RU"/>
              </w:rPr>
              <w:t>800</w:t>
            </w:r>
          </w:p>
        </w:tc>
      </w:tr>
      <w:tr w:rsidR="00256E85" w:rsidRPr="00A53D60" w:rsidTr="00A53D60">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Средние</w:t>
            </w:r>
            <w:r w:rsidR="006C680D" w:rsidRPr="00A53D60">
              <w:rPr>
                <w:rFonts w:eastAsia="Times New Roman"/>
                <w:sz w:val="20"/>
                <w:szCs w:val="20"/>
                <w:lang w:eastAsia="ru-RU"/>
              </w:rPr>
              <w:t xml:space="preserve"> </w:t>
            </w:r>
            <w:r w:rsidRPr="00A53D60">
              <w:rPr>
                <w:rFonts w:eastAsia="Times New Roman"/>
                <w:sz w:val="20"/>
                <w:szCs w:val="20"/>
                <w:lang w:eastAsia="ru-RU"/>
              </w:rPr>
              <w:t>предприятия</w:t>
            </w:r>
          </w:p>
        </w:tc>
        <w:tc>
          <w:tcPr>
            <w:tcW w:w="5527"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до</w:t>
            </w:r>
            <w:r w:rsidR="006C680D" w:rsidRPr="00A53D60">
              <w:rPr>
                <w:rFonts w:eastAsia="Times New Roman"/>
                <w:sz w:val="20"/>
                <w:szCs w:val="20"/>
                <w:lang w:eastAsia="ru-RU"/>
              </w:rPr>
              <w:t xml:space="preserve"> </w:t>
            </w:r>
            <w:r w:rsidRPr="00A53D60">
              <w:rPr>
                <w:rFonts w:eastAsia="Times New Roman"/>
                <w:sz w:val="20"/>
                <w:szCs w:val="20"/>
                <w:lang w:eastAsia="ru-RU"/>
              </w:rPr>
              <w:t>250</w:t>
            </w:r>
            <w:r w:rsidR="006C680D" w:rsidRPr="00A53D60">
              <w:rPr>
                <w:rFonts w:eastAsia="Times New Roman"/>
                <w:sz w:val="20"/>
                <w:szCs w:val="20"/>
                <w:lang w:eastAsia="ru-RU"/>
              </w:rPr>
              <w:t xml:space="preserve"> </w:t>
            </w:r>
            <w:r w:rsidRPr="00A53D60">
              <w:rPr>
                <w:rFonts w:eastAsia="Times New Roman"/>
                <w:sz w:val="20"/>
                <w:szCs w:val="20"/>
                <w:lang w:eastAsia="ru-RU"/>
              </w:rPr>
              <w:t>(или</w:t>
            </w:r>
            <w:r w:rsidR="006C680D" w:rsidRPr="00A53D60">
              <w:rPr>
                <w:rFonts w:eastAsia="Times New Roman"/>
                <w:sz w:val="20"/>
                <w:szCs w:val="20"/>
                <w:lang w:eastAsia="ru-RU"/>
              </w:rPr>
              <w:t xml:space="preserve"> </w:t>
            </w:r>
            <w:r w:rsidRPr="00A53D60">
              <w:rPr>
                <w:rFonts w:eastAsia="Times New Roman"/>
                <w:sz w:val="20"/>
                <w:szCs w:val="20"/>
                <w:lang w:eastAsia="ru-RU"/>
              </w:rPr>
              <w:t>1500</w:t>
            </w:r>
            <w:r w:rsidR="006C680D" w:rsidRPr="00A53D60">
              <w:rPr>
                <w:rFonts w:eastAsia="Times New Roman"/>
                <w:sz w:val="20"/>
                <w:szCs w:val="20"/>
                <w:lang w:eastAsia="ru-RU"/>
              </w:rPr>
              <w:t xml:space="preserve"> </w:t>
            </w:r>
            <w:r w:rsidRPr="00A53D60">
              <w:rPr>
                <w:rFonts w:eastAsia="Times New Roman"/>
                <w:sz w:val="20"/>
                <w:szCs w:val="20"/>
                <w:lang w:eastAsia="ru-RU"/>
              </w:rPr>
              <w:t>для</w:t>
            </w:r>
            <w:r w:rsidR="006C680D" w:rsidRPr="00A53D60">
              <w:rPr>
                <w:rFonts w:eastAsia="Times New Roman"/>
                <w:sz w:val="20"/>
                <w:szCs w:val="20"/>
                <w:lang w:eastAsia="ru-RU"/>
              </w:rPr>
              <w:t xml:space="preserve"> </w:t>
            </w:r>
            <w:r w:rsidRPr="00A53D60">
              <w:rPr>
                <w:rFonts w:eastAsia="Times New Roman"/>
                <w:sz w:val="20"/>
                <w:szCs w:val="20"/>
                <w:lang w:eastAsia="ru-RU"/>
              </w:rPr>
              <w:t>общепита)</w:t>
            </w:r>
          </w:p>
        </w:tc>
        <w:tc>
          <w:tcPr>
            <w:tcW w:w="1978" w:type="dxa"/>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до</w:t>
            </w:r>
            <w:r w:rsidR="006C680D" w:rsidRPr="00A53D60">
              <w:rPr>
                <w:rFonts w:eastAsia="Times New Roman"/>
                <w:sz w:val="20"/>
                <w:szCs w:val="20"/>
                <w:lang w:eastAsia="ru-RU"/>
              </w:rPr>
              <w:t xml:space="preserve"> </w:t>
            </w:r>
            <w:r w:rsidRPr="00A53D60">
              <w:rPr>
                <w:rFonts w:eastAsia="Times New Roman"/>
                <w:sz w:val="20"/>
                <w:szCs w:val="20"/>
                <w:lang w:eastAsia="ru-RU"/>
              </w:rPr>
              <w:t>2000</w:t>
            </w:r>
          </w:p>
        </w:tc>
      </w:tr>
    </w:tbl>
    <w:p w:rsidR="00B706E9" w:rsidRPr="00D337FA" w:rsidRDefault="00B706E9" w:rsidP="00FB2463">
      <w:pPr>
        <w:tabs>
          <w:tab w:val="center" w:pos="4677"/>
        </w:tabs>
        <w:ind w:firstLine="0"/>
        <w:jc w:val="right"/>
        <w:rPr>
          <w:rFonts w:ascii="Arial CYR" w:hAnsi="Arial CYR" w:cs="Arial CYR"/>
          <w:b/>
          <w:bCs/>
          <w:i/>
          <w:iCs/>
          <w:caps/>
          <w:szCs w:val="24"/>
          <w:u w:val="single"/>
          <w:lang w:eastAsia="ru-RU"/>
        </w:rPr>
      </w:pPr>
    </w:p>
    <w:p w:rsidR="00256E85" w:rsidRPr="00D337FA" w:rsidRDefault="00256E85" w:rsidP="00256E85">
      <w:pPr>
        <w:ind w:firstLine="709"/>
        <w:rPr>
          <w:sz w:val="28"/>
          <w:szCs w:val="28"/>
        </w:rPr>
        <w:sectPr w:rsidR="00256E85"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256E85" w:rsidRPr="00D337FA" w:rsidRDefault="00256E85" w:rsidP="00256E85">
      <w:pPr>
        <w:ind w:firstLine="284"/>
        <w:rPr>
          <w:szCs w:val="24"/>
        </w:rPr>
      </w:pPr>
      <w:r w:rsidRPr="00D337FA">
        <w:rPr>
          <w:szCs w:val="24"/>
        </w:rPr>
        <w:lastRenderedPageBreak/>
        <w:t>В</w:t>
      </w:r>
      <w:r w:rsidR="006C680D" w:rsidRPr="00D337FA">
        <w:rPr>
          <w:szCs w:val="24"/>
        </w:rPr>
        <w:t xml:space="preserve"> </w:t>
      </w:r>
      <w:r w:rsidRPr="00D337FA">
        <w:rPr>
          <w:szCs w:val="24"/>
        </w:rPr>
        <w:t>отличие</w:t>
      </w:r>
      <w:r w:rsidR="006C680D" w:rsidRPr="00D337FA">
        <w:rPr>
          <w:szCs w:val="24"/>
        </w:rPr>
        <w:t xml:space="preserve"> </w:t>
      </w:r>
      <w:r w:rsidRPr="00D337FA">
        <w:rPr>
          <w:szCs w:val="24"/>
        </w:rPr>
        <w:t>от</w:t>
      </w:r>
      <w:r w:rsidR="006C680D" w:rsidRPr="00D337FA">
        <w:rPr>
          <w:szCs w:val="24"/>
        </w:rPr>
        <w:t xml:space="preserve"> </w:t>
      </w:r>
      <w:r w:rsidRPr="00D337FA">
        <w:rPr>
          <w:szCs w:val="24"/>
        </w:rPr>
        <w:t>крупных</w:t>
      </w:r>
      <w:r w:rsidR="006C680D" w:rsidRPr="00D337FA">
        <w:rPr>
          <w:szCs w:val="24"/>
        </w:rPr>
        <w:t xml:space="preserve"> </w:t>
      </w:r>
      <w:r w:rsidRPr="00D337FA">
        <w:rPr>
          <w:szCs w:val="24"/>
        </w:rPr>
        <w:t>организаций,</w:t>
      </w:r>
      <w:r w:rsidR="006C680D" w:rsidRPr="00D337FA">
        <w:rPr>
          <w:szCs w:val="24"/>
        </w:rPr>
        <w:t xml:space="preserve"> </w:t>
      </w:r>
      <w:r w:rsidRPr="00D337FA">
        <w:rPr>
          <w:szCs w:val="24"/>
        </w:rPr>
        <w:t>малые</w:t>
      </w:r>
      <w:r w:rsidR="006C680D" w:rsidRPr="00D337FA">
        <w:rPr>
          <w:szCs w:val="24"/>
        </w:rPr>
        <w:t xml:space="preserve"> </w:t>
      </w:r>
      <w:r w:rsidRPr="00D337FA">
        <w:rPr>
          <w:szCs w:val="24"/>
        </w:rPr>
        <w:t>предприятия</w:t>
      </w:r>
      <w:r w:rsidR="006C680D" w:rsidRPr="00D337FA">
        <w:rPr>
          <w:szCs w:val="24"/>
        </w:rPr>
        <w:t xml:space="preserve"> </w:t>
      </w:r>
      <w:r w:rsidRPr="00D337FA">
        <w:rPr>
          <w:szCs w:val="24"/>
        </w:rPr>
        <w:t>обладают</w:t>
      </w:r>
      <w:r w:rsidR="006C680D" w:rsidRPr="00D337FA">
        <w:rPr>
          <w:szCs w:val="24"/>
        </w:rPr>
        <w:t xml:space="preserve"> </w:t>
      </w:r>
      <w:r w:rsidRPr="00D337FA">
        <w:rPr>
          <w:szCs w:val="24"/>
        </w:rPr>
        <w:t>меньшими</w:t>
      </w:r>
      <w:r w:rsidR="006C680D" w:rsidRPr="00D337FA">
        <w:rPr>
          <w:szCs w:val="24"/>
        </w:rPr>
        <w:t xml:space="preserve"> </w:t>
      </w:r>
      <w:r w:rsidRPr="00D337FA">
        <w:rPr>
          <w:szCs w:val="24"/>
        </w:rPr>
        <w:t>ресурсами,</w:t>
      </w:r>
      <w:r w:rsidR="006C680D" w:rsidRPr="00D337FA">
        <w:rPr>
          <w:szCs w:val="24"/>
        </w:rPr>
        <w:t xml:space="preserve"> </w:t>
      </w:r>
      <w:r w:rsidRPr="00D337FA">
        <w:rPr>
          <w:szCs w:val="24"/>
        </w:rPr>
        <w:t>но</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обладают</w:t>
      </w:r>
      <w:r w:rsidR="006C680D" w:rsidRPr="00D337FA">
        <w:rPr>
          <w:szCs w:val="24"/>
        </w:rPr>
        <w:t xml:space="preserve"> </w:t>
      </w:r>
      <w:r w:rsidRPr="00D337FA">
        <w:rPr>
          <w:szCs w:val="24"/>
        </w:rPr>
        <w:t>высокой</w:t>
      </w:r>
      <w:r w:rsidR="006C680D" w:rsidRPr="00D337FA">
        <w:rPr>
          <w:szCs w:val="24"/>
        </w:rPr>
        <w:t xml:space="preserve"> </w:t>
      </w:r>
      <w:r w:rsidRPr="00D337FA">
        <w:rPr>
          <w:szCs w:val="24"/>
        </w:rPr>
        <w:t>адаптивностью,</w:t>
      </w:r>
      <w:r w:rsidR="006C680D" w:rsidRPr="00D337FA">
        <w:rPr>
          <w:szCs w:val="24"/>
        </w:rPr>
        <w:t xml:space="preserve"> </w:t>
      </w:r>
      <w:r w:rsidRPr="00D337FA">
        <w:rPr>
          <w:szCs w:val="24"/>
        </w:rPr>
        <w:t>способностью</w:t>
      </w:r>
      <w:r w:rsidR="006C680D" w:rsidRPr="00D337FA">
        <w:rPr>
          <w:szCs w:val="24"/>
        </w:rPr>
        <w:t xml:space="preserve"> </w:t>
      </w:r>
      <w:r w:rsidRPr="00D337FA">
        <w:rPr>
          <w:szCs w:val="24"/>
        </w:rPr>
        <w:t>к</w:t>
      </w:r>
      <w:r w:rsidR="006C680D" w:rsidRPr="00D337FA">
        <w:rPr>
          <w:szCs w:val="24"/>
        </w:rPr>
        <w:t xml:space="preserve"> </w:t>
      </w:r>
      <w:r w:rsidRPr="00D337FA">
        <w:rPr>
          <w:szCs w:val="24"/>
        </w:rPr>
        <w:t>быстрому</w:t>
      </w:r>
      <w:r w:rsidR="006C680D" w:rsidRPr="00D337FA">
        <w:rPr>
          <w:szCs w:val="24"/>
        </w:rPr>
        <w:t xml:space="preserve"> </w:t>
      </w:r>
      <w:r w:rsidRPr="00D337FA">
        <w:rPr>
          <w:szCs w:val="24"/>
        </w:rPr>
        <w:t>принятию</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гибкости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рыночной</w:t>
      </w:r>
      <w:r w:rsidR="006C680D" w:rsidRPr="00D337FA">
        <w:rPr>
          <w:szCs w:val="24"/>
        </w:rPr>
        <w:t xml:space="preserve"> </w:t>
      </w:r>
      <w:r w:rsidRPr="00D337FA">
        <w:rPr>
          <w:szCs w:val="24"/>
        </w:rPr>
        <w:t>нестабильности.</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эти</w:t>
      </w:r>
      <w:r w:rsidR="006C680D" w:rsidRPr="00D337FA">
        <w:rPr>
          <w:szCs w:val="24"/>
        </w:rPr>
        <w:t xml:space="preserve"> </w:t>
      </w:r>
      <w:r w:rsidRPr="00D337FA">
        <w:rPr>
          <w:szCs w:val="24"/>
        </w:rPr>
        <w:t>качества</w:t>
      </w:r>
      <w:r w:rsidR="006C680D" w:rsidRPr="00D337FA">
        <w:rPr>
          <w:szCs w:val="24"/>
        </w:rPr>
        <w:t xml:space="preserve"> </w:t>
      </w:r>
      <w:r w:rsidRPr="00D337FA">
        <w:rPr>
          <w:szCs w:val="24"/>
        </w:rPr>
        <w:t>обу</w:t>
      </w:r>
      <w:r w:rsidRPr="00D337FA">
        <w:rPr>
          <w:szCs w:val="24"/>
        </w:rPr>
        <w:lastRenderedPageBreak/>
        <w:t>словили</w:t>
      </w:r>
      <w:r w:rsidR="006C680D" w:rsidRPr="00D337FA">
        <w:rPr>
          <w:szCs w:val="24"/>
        </w:rPr>
        <w:t xml:space="preserve"> </w:t>
      </w:r>
      <w:r w:rsidRPr="00D337FA">
        <w:rPr>
          <w:szCs w:val="24"/>
        </w:rPr>
        <w:t>повсеместное</w:t>
      </w:r>
      <w:r w:rsidR="006C680D" w:rsidRPr="00D337FA">
        <w:rPr>
          <w:szCs w:val="24"/>
        </w:rPr>
        <w:t xml:space="preserve"> </w:t>
      </w:r>
      <w:r w:rsidRPr="00D337FA">
        <w:rPr>
          <w:szCs w:val="24"/>
        </w:rPr>
        <w:t>распространение</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как</w:t>
      </w:r>
      <w:r w:rsidR="006C680D" w:rsidRPr="00D337FA">
        <w:rPr>
          <w:szCs w:val="24"/>
        </w:rPr>
        <w:t xml:space="preserve"> </w:t>
      </w:r>
      <w:r w:rsidRPr="00D337FA">
        <w:rPr>
          <w:szCs w:val="24"/>
        </w:rPr>
        <w:t>важного</w:t>
      </w:r>
      <w:r w:rsidR="006C680D" w:rsidRPr="00D337FA">
        <w:rPr>
          <w:szCs w:val="24"/>
        </w:rPr>
        <w:t xml:space="preserve"> </w:t>
      </w:r>
      <w:r w:rsidRPr="00D337FA">
        <w:rPr>
          <w:szCs w:val="24"/>
        </w:rPr>
        <w:t>элемента</w:t>
      </w:r>
      <w:r w:rsidR="006C680D" w:rsidRPr="00D337FA">
        <w:rPr>
          <w:szCs w:val="24"/>
        </w:rPr>
        <w:t xml:space="preserve"> </w:t>
      </w:r>
      <w:r w:rsidRPr="00D337FA">
        <w:rPr>
          <w:szCs w:val="24"/>
        </w:rPr>
        <w:t>рыночной</w:t>
      </w:r>
      <w:r w:rsidR="006C680D" w:rsidRPr="00D337FA">
        <w:rPr>
          <w:szCs w:val="24"/>
        </w:rPr>
        <w:t xml:space="preserve"> </w:t>
      </w:r>
      <w:r w:rsidRPr="00D337FA">
        <w:rPr>
          <w:szCs w:val="24"/>
        </w:rPr>
        <w:t>экономики.</w:t>
      </w:r>
    </w:p>
    <w:p w:rsidR="00256E85" w:rsidRPr="00D337FA" w:rsidRDefault="00256E85" w:rsidP="00256E85">
      <w:pPr>
        <w:ind w:firstLine="284"/>
        <w:rPr>
          <w:szCs w:val="24"/>
        </w:rPr>
      </w:pPr>
      <w:r w:rsidRPr="00D337FA">
        <w:rPr>
          <w:szCs w:val="24"/>
        </w:rPr>
        <w:t>Ключевые</w:t>
      </w:r>
      <w:r w:rsidR="006C680D" w:rsidRPr="00D337FA">
        <w:rPr>
          <w:szCs w:val="24"/>
        </w:rPr>
        <w:t xml:space="preserve"> </w:t>
      </w:r>
      <w:r w:rsidRPr="00D337FA">
        <w:rPr>
          <w:szCs w:val="24"/>
        </w:rPr>
        <w:t>отличия</w:t>
      </w:r>
      <w:r w:rsidR="006C680D" w:rsidRPr="00D337FA">
        <w:rPr>
          <w:szCs w:val="24"/>
        </w:rPr>
        <w:t xml:space="preserve"> </w:t>
      </w:r>
      <w:r w:rsidRPr="00D337FA">
        <w:rPr>
          <w:szCs w:val="24"/>
        </w:rPr>
        <w:t>привлечения</w:t>
      </w:r>
      <w:r w:rsidR="006C680D" w:rsidRPr="00D337FA">
        <w:rPr>
          <w:szCs w:val="24"/>
        </w:rPr>
        <w:t xml:space="preserve"> </w:t>
      </w:r>
      <w:r w:rsidRPr="00D337FA">
        <w:rPr>
          <w:szCs w:val="24"/>
        </w:rPr>
        <w:t>финансирования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и</w:t>
      </w:r>
      <w:r w:rsidR="006C680D" w:rsidRPr="00D337FA">
        <w:rPr>
          <w:szCs w:val="24"/>
        </w:rPr>
        <w:t xml:space="preserve"> </w:t>
      </w:r>
      <w:r w:rsidRPr="00D337FA">
        <w:rPr>
          <w:szCs w:val="24"/>
        </w:rPr>
        <w:t>крупных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отражены</w:t>
      </w:r>
      <w:r w:rsidR="006C680D" w:rsidRPr="00D337FA">
        <w:rPr>
          <w:szCs w:val="24"/>
        </w:rPr>
        <w:t xml:space="preserve"> </w:t>
      </w:r>
      <w:r w:rsidRPr="00D337FA">
        <w:rPr>
          <w:szCs w:val="24"/>
        </w:rPr>
        <w:t>в</w:t>
      </w:r>
      <w:r w:rsidR="006C680D" w:rsidRPr="00D337FA">
        <w:rPr>
          <w:szCs w:val="24"/>
        </w:rPr>
        <w:t xml:space="preserve"> </w:t>
      </w:r>
      <w:r w:rsidRPr="00D337FA">
        <w:rPr>
          <w:szCs w:val="24"/>
        </w:rPr>
        <w:t>табл.</w:t>
      </w:r>
      <w:r w:rsidR="006C680D" w:rsidRPr="00D337FA">
        <w:rPr>
          <w:szCs w:val="24"/>
        </w:rPr>
        <w:t xml:space="preserve"> </w:t>
      </w:r>
      <w:r w:rsidRPr="00D337FA">
        <w:rPr>
          <w:szCs w:val="24"/>
        </w:rPr>
        <w:t>2.</w:t>
      </w:r>
    </w:p>
    <w:p w:rsidR="00256E85" w:rsidRPr="00D337FA" w:rsidRDefault="00256E85" w:rsidP="00FB2463">
      <w:pPr>
        <w:tabs>
          <w:tab w:val="center" w:pos="4677"/>
        </w:tabs>
        <w:ind w:firstLine="0"/>
        <w:jc w:val="right"/>
        <w:rPr>
          <w:rFonts w:ascii="Arial CYR" w:hAnsi="Arial CYR" w:cs="Arial CYR"/>
          <w:b/>
          <w:bCs/>
          <w:i/>
          <w:iCs/>
          <w:caps/>
          <w:szCs w:val="24"/>
          <w:u w:val="single"/>
          <w:lang w:eastAsia="ru-RU"/>
        </w:rPr>
        <w:sectPr w:rsidR="00256E85" w:rsidRPr="00D337FA" w:rsidSect="00256E85">
          <w:footnotePr>
            <w:numRestart w:val="eachPage"/>
          </w:footnotePr>
          <w:type w:val="continuous"/>
          <w:pgSz w:w="11907" w:h="16840" w:code="9"/>
          <w:pgMar w:top="1418" w:right="1134" w:bottom="1418" w:left="1134" w:header="1021" w:footer="1021" w:gutter="0"/>
          <w:cols w:num="2" w:space="708"/>
          <w:docGrid w:linePitch="360"/>
        </w:sectPr>
      </w:pPr>
    </w:p>
    <w:p w:rsidR="00B706E9" w:rsidRPr="00D337FA" w:rsidRDefault="00B706E9" w:rsidP="00FB2463">
      <w:pPr>
        <w:tabs>
          <w:tab w:val="center" w:pos="4677"/>
        </w:tabs>
        <w:ind w:firstLine="0"/>
        <w:jc w:val="right"/>
        <w:rPr>
          <w:rFonts w:ascii="Arial CYR" w:hAnsi="Arial CYR" w:cs="Arial CYR"/>
          <w:b/>
          <w:bCs/>
          <w:i/>
          <w:iCs/>
          <w:caps/>
          <w:szCs w:val="24"/>
          <w:u w:val="single"/>
          <w:lang w:eastAsia="ru-RU"/>
        </w:rPr>
      </w:pPr>
    </w:p>
    <w:p w:rsidR="00256E85" w:rsidRPr="00D337FA" w:rsidRDefault="00256E85" w:rsidP="00256E85">
      <w:pPr>
        <w:jc w:val="right"/>
        <w:rPr>
          <w:rFonts w:ascii="Arial" w:hAnsi="Arial" w:cs="Arial"/>
          <w:i/>
          <w:sz w:val="22"/>
          <w:szCs w:val="22"/>
        </w:rPr>
      </w:pPr>
      <w:r w:rsidRPr="00D337FA">
        <w:rPr>
          <w:rFonts w:ascii="Arial" w:hAnsi="Arial" w:cs="Arial"/>
          <w:i/>
          <w:sz w:val="22"/>
          <w:szCs w:val="22"/>
        </w:rPr>
        <w:t>Таблица</w:t>
      </w:r>
      <w:r w:rsidR="006C680D" w:rsidRPr="00D337FA">
        <w:rPr>
          <w:rFonts w:ascii="Arial" w:hAnsi="Arial" w:cs="Arial"/>
          <w:i/>
          <w:sz w:val="22"/>
          <w:szCs w:val="22"/>
        </w:rPr>
        <w:t xml:space="preserve"> </w:t>
      </w:r>
      <w:r w:rsidRPr="00D337FA">
        <w:rPr>
          <w:rFonts w:ascii="Arial" w:hAnsi="Arial" w:cs="Arial"/>
          <w:i/>
          <w:sz w:val="22"/>
          <w:szCs w:val="22"/>
        </w:rPr>
        <w:t>2</w:t>
      </w:r>
    </w:p>
    <w:p w:rsidR="00256E85" w:rsidRPr="00D337FA" w:rsidRDefault="00256E85" w:rsidP="00256E85">
      <w:pPr>
        <w:jc w:val="center"/>
        <w:rPr>
          <w:rFonts w:ascii="Arial" w:hAnsi="Arial" w:cs="Arial"/>
          <w:i/>
          <w:sz w:val="22"/>
          <w:szCs w:val="22"/>
        </w:rPr>
      </w:pPr>
      <w:r w:rsidRPr="00D337FA">
        <w:rPr>
          <w:rFonts w:ascii="Arial" w:hAnsi="Arial" w:cs="Arial"/>
          <w:i/>
          <w:sz w:val="22"/>
          <w:szCs w:val="22"/>
        </w:rPr>
        <w:t>Отличия</w:t>
      </w:r>
      <w:r w:rsidR="006C680D" w:rsidRPr="00D337FA">
        <w:rPr>
          <w:rFonts w:ascii="Arial" w:hAnsi="Arial" w:cs="Arial"/>
          <w:i/>
          <w:sz w:val="22"/>
          <w:szCs w:val="22"/>
        </w:rPr>
        <w:t xml:space="preserve"> </w:t>
      </w:r>
      <w:r w:rsidRPr="00D337FA">
        <w:rPr>
          <w:rFonts w:ascii="Arial" w:hAnsi="Arial" w:cs="Arial"/>
          <w:i/>
          <w:sz w:val="22"/>
          <w:szCs w:val="22"/>
        </w:rPr>
        <w:t>малых</w:t>
      </w:r>
      <w:r w:rsidR="006C680D" w:rsidRPr="00D337FA">
        <w:rPr>
          <w:rFonts w:ascii="Arial" w:hAnsi="Arial" w:cs="Arial"/>
          <w:i/>
          <w:sz w:val="22"/>
          <w:szCs w:val="22"/>
        </w:rPr>
        <w:t xml:space="preserve"> </w:t>
      </w:r>
      <w:r w:rsidRPr="00D337FA">
        <w:rPr>
          <w:rFonts w:ascii="Arial" w:hAnsi="Arial" w:cs="Arial"/>
          <w:i/>
          <w:sz w:val="22"/>
          <w:szCs w:val="22"/>
        </w:rPr>
        <w:t>и</w:t>
      </w:r>
      <w:r w:rsidR="006C680D" w:rsidRPr="00D337FA">
        <w:rPr>
          <w:rFonts w:ascii="Arial" w:hAnsi="Arial" w:cs="Arial"/>
          <w:i/>
          <w:sz w:val="22"/>
          <w:szCs w:val="22"/>
        </w:rPr>
        <w:t xml:space="preserve"> </w:t>
      </w:r>
      <w:r w:rsidRPr="00D337FA">
        <w:rPr>
          <w:rFonts w:ascii="Arial" w:hAnsi="Arial" w:cs="Arial"/>
          <w:i/>
          <w:sz w:val="22"/>
          <w:szCs w:val="22"/>
        </w:rPr>
        <w:t>крупных</w:t>
      </w:r>
      <w:r w:rsidR="006C680D" w:rsidRPr="00D337FA">
        <w:rPr>
          <w:rFonts w:ascii="Arial" w:hAnsi="Arial" w:cs="Arial"/>
          <w:i/>
          <w:sz w:val="22"/>
          <w:szCs w:val="22"/>
        </w:rPr>
        <w:t xml:space="preserve"> </w:t>
      </w:r>
      <w:r w:rsidRPr="00D337FA">
        <w:rPr>
          <w:rFonts w:ascii="Arial" w:hAnsi="Arial" w:cs="Arial"/>
          <w:i/>
          <w:sz w:val="22"/>
          <w:szCs w:val="22"/>
        </w:rPr>
        <w:t>предприятий</w:t>
      </w:r>
      <w:r w:rsidR="006C680D" w:rsidRPr="00D337FA">
        <w:rPr>
          <w:rFonts w:ascii="Arial" w:hAnsi="Arial" w:cs="Arial"/>
          <w:i/>
          <w:sz w:val="22"/>
          <w:szCs w:val="22"/>
        </w:rPr>
        <w:t xml:space="preserve"> </w:t>
      </w:r>
      <w:r w:rsidRPr="00D337FA">
        <w:rPr>
          <w:rFonts w:ascii="Arial" w:hAnsi="Arial" w:cs="Arial"/>
          <w:i/>
          <w:sz w:val="22"/>
          <w:szCs w:val="22"/>
        </w:rPr>
        <w:t>с</w:t>
      </w:r>
      <w:r w:rsidR="006C680D" w:rsidRPr="00D337FA">
        <w:rPr>
          <w:rFonts w:ascii="Arial" w:hAnsi="Arial" w:cs="Arial"/>
          <w:i/>
          <w:sz w:val="22"/>
          <w:szCs w:val="22"/>
        </w:rPr>
        <w:t xml:space="preserve"> </w:t>
      </w:r>
      <w:r w:rsidRPr="00D337FA">
        <w:rPr>
          <w:rFonts w:ascii="Arial" w:hAnsi="Arial" w:cs="Arial"/>
          <w:i/>
          <w:sz w:val="22"/>
          <w:szCs w:val="22"/>
        </w:rPr>
        <w:t>позиции</w:t>
      </w:r>
      <w:r w:rsidR="006C680D" w:rsidRPr="00D337FA">
        <w:rPr>
          <w:rFonts w:ascii="Arial" w:hAnsi="Arial" w:cs="Arial"/>
          <w:i/>
          <w:sz w:val="22"/>
          <w:szCs w:val="22"/>
        </w:rPr>
        <w:t xml:space="preserve"> </w:t>
      </w:r>
      <w:r w:rsidRPr="00D337FA">
        <w:rPr>
          <w:rFonts w:ascii="Arial" w:hAnsi="Arial" w:cs="Arial"/>
          <w:i/>
          <w:sz w:val="22"/>
          <w:szCs w:val="22"/>
        </w:rPr>
        <w:t>привлечения</w:t>
      </w:r>
      <w:r w:rsidR="006C680D" w:rsidRPr="00D337FA">
        <w:rPr>
          <w:rFonts w:ascii="Arial" w:hAnsi="Arial" w:cs="Arial"/>
          <w:i/>
          <w:sz w:val="22"/>
          <w:szCs w:val="22"/>
        </w:rPr>
        <w:t xml:space="preserve"> </w:t>
      </w:r>
      <w:r w:rsidRPr="00D337FA">
        <w:rPr>
          <w:rFonts w:ascii="Arial" w:hAnsi="Arial" w:cs="Arial"/>
          <w:i/>
          <w:sz w:val="22"/>
          <w:szCs w:val="22"/>
        </w:rPr>
        <w:t>финансирования</w:t>
      </w:r>
    </w:p>
    <w:tbl>
      <w:tblPr>
        <w:tblStyle w:val="afa"/>
        <w:tblW w:w="0" w:type="auto"/>
        <w:tblLook w:val="04A0" w:firstRow="1" w:lastRow="0" w:firstColumn="1" w:lastColumn="0" w:noHBand="0" w:noVBand="1"/>
      </w:tblPr>
      <w:tblGrid>
        <w:gridCol w:w="2461"/>
        <w:gridCol w:w="3379"/>
        <w:gridCol w:w="4015"/>
      </w:tblGrid>
      <w:tr w:rsidR="00D337FA" w:rsidRPr="00A53D60" w:rsidTr="00E70CAD">
        <w:tc>
          <w:tcPr>
            <w:tcW w:w="0" w:type="auto"/>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Критерий</w:t>
            </w:r>
          </w:p>
        </w:tc>
        <w:tc>
          <w:tcPr>
            <w:tcW w:w="0" w:type="auto"/>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Малый</w:t>
            </w:r>
            <w:r w:rsidR="006C680D" w:rsidRPr="00A53D60">
              <w:rPr>
                <w:rFonts w:eastAsia="Times New Roman"/>
                <w:sz w:val="20"/>
                <w:szCs w:val="20"/>
                <w:lang w:eastAsia="ru-RU"/>
              </w:rPr>
              <w:t xml:space="preserve"> </w:t>
            </w:r>
            <w:r w:rsidRPr="00A53D60">
              <w:rPr>
                <w:rFonts w:eastAsia="Times New Roman"/>
                <w:sz w:val="20"/>
                <w:szCs w:val="20"/>
                <w:lang w:eastAsia="ru-RU"/>
              </w:rPr>
              <w:t>бизнес</w:t>
            </w:r>
          </w:p>
        </w:tc>
        <w:tc>
          <w:tcPr>
            <w:tcW w:w="0" w:type="auto"/>
            <w:vAlign w:val="center"/>
            <w:hideMark/>
          </w:tcPr>
          <w:p w:rsidR="00256E85" w:rsidRPr="00A53D60" w:rsidRDefault="00256E85" w:rsidP="00256E85">
            <w:pPr>
              <w:ind w:firstLine="0"/>
              <w:jc w:val="center"/>
              <w:rPr>
                <w:rFonts w:eastAsia="Times New Roman"/>
                <w:sz w:val="20"/>
                <w:szCs w:val="20"/>
                <w:lang w:eastAsia="ru-RU"/>
              </w:rPr>
            </w:pPr>
            <w:r w:rsidRPr="00A53D60">
              <w:rPr>
                <w:rFonts w:eastAsia="Times New Roman"/>
                <w:sz w:val="20"/>
                <w:szCs w:val="20"/>
                <w:lang w:eastAsia="ru-RU"/>
              </w:rPr>
              <w:t>Крупный</w:t>
            </w:r>
            <w:r w:rsidR="006C680D" w:rsidRPr="00A53D60">
              <w:rPr>
                <w:rFonts w:eastAsia="Times New Roman"/>
                <w:sz w:val="20"/>
                <w:szCs w:val="20"/>
                <w:lang w:eastAsia="ru-RU"/>
              </w:rPr>
              <w:t xml:space="preserve"> </w:t>
            </w:r>
            <w:r w:rsidRPr="00A53D60">
              <w:rPr>
                <w:rFonts w:eastAsia="Times New Roman"/>
                <w:sz w:val="20"/>
                <w:szCs w:val="20"/>
                <w:lang w:eastAsia="ru-RU"/>
              </w:rPr>
              <w:t>бизнес</w:t>
            </w:r>
          </w:p>
        </w:tc>
      </w:tr>
      <w:tr w:rsidR="00D337FA"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Источники</w:t>
            </w:r>
            <w:r w:rsidR="006C680D" w:rsidRPr="00A53D60">
              <w:rPr>
                <w:rFonts w:eastAsia="Times New Roman"/>
                <w:sz w:val="20"/>
                <w:szCs w:val="20"/>
                <w:lang w:eastAsia="ru-RU"/>
              </w:rPr>
              <w:t xml:space="preserve"> </w:t>
            </w:r>
            <w:r w:rsidRPr="00A53D60">
              <w:rPr>
                <w:rFonts w:eastAsia="Times New Roman"/>
                <w:sz w:val="20"/>
                <w:szCs w:val="20"/>
                <w:lang w:eastAsia="ru-RU"/>
              </w:rPr>
              <w:t>финансирования</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Банковские</w:t>
            </w:r>
            <w:r w:rsidR="006C680D" w:rsidRPr="00A53D60">
              <w:rPr>
                <w:rFonts w:eastAsia="Times New Roman"/>
                <w:sz w:val="20"/>
                <w:szCs w:val="20"/>
                <w:lang w:eastAsia="ru-RU"/>
              </w:rPr>
              <w:t xml:space="preserve"> </w:t>
            </w:r>
            <w:r w:rsidRPr="00A53D60">
              <w:rPr>
                <w:rFonts w:eastAsia="Times New Roman"/>
                <w:sz w:val="20"/>
                <w:szCs w:val="20"/>
                <w:lang w:eastAsia="ru-RU"/>
              </w:rPr>
              <w:t>кредиты,</w:t>
            </w:r>
            <w:r w:rsidR="006C680D" w:rsidRPr="00A53D60">
              <w:rPr>
                <w:rFonts w:eastAsia="Times New Roman"/>
                <w:sz w:val="20"/>
                <w:szCs w:val="20"/>
                <w:lang w:eastAsia="ru-RU"/>
              </w:rPr>
              <w:t xml:space="preserve"> </w:t>
            </w:r>
            <w:r w:rsidRPr="00A53D60">
              <w:rPr>
                <w:rFonts w:eastAsia="Times New Roman"/>
                <w:sz w:val="20"/>
                <w:szCs w:val="20"/>
                <w:lang w:eastAsia="ru-RU"/>
              </w:rPr>
              <w:t>личные</w:t>
            </w:r>
            <w:r w:rsidR="006C680D" w:rsidRPr="00A53D60">
              <w:rPr>
                <w:rFonts w:eastAsia="Times New Roman"/>
                <w:sz w:val="20"/>
                <w:szCs w:val="20"/>
                <w:lang w:eastAsia="ru-RU"/>
              </w:rPr>
              <w:t xml:space="preserve"> </w:t>
            </w:r>
            <w:r w:rsidRPr="00A53D60">
              <w:rPr>
                <w:rFonts w:eastAsia="Times New Roman"/>
                <w:sz w:val="20"/>
                <w:szCs w:val="20"/>
                <w:lang w:eastAsia="ru-RU"/>
              </w:rPr>
              <w:t>сбережения</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Облигации,</w:t>
            </w:r>
            <w:r w:rsidR="006C680D" w:rsidRPr="00A53D60">
              <w:rPr>
                <w:rFonts w:eastAsia="Times New Roman"/>
                <w:sz w:val="20"/>
                <w:szCs w:val="20"/>
                <w:lang w:eastAsia="ru-RU"/>
              </w:rPr>
              <w:t xml:space="preserve"> </w:t>
            </w:r>
            <w:r w:rsidRPr="00A53D60">
              <w:rPr>
                <w:rFonts w:eastAsia="Times New Roman"/>
                <w:sz w:val="20"/>
                <w:szCs w:val="20"/>
                <w:lang w:eastAsia="ru-RU"/>
              </w:rPr>
              <w:t>IPO,</w:t>
            </w:r>
            <w:r w:rsidR="006C680D" w:rsidRPr="00A53D60">
              <w:rPr>
                <w:rFonts w:eastAsia="Times New Roman"/>
                <w:sz w:val="20"/>
                <w:szCs w:val="20"/>
                <w:lang w:eastAsia="ru-RU"/>
              </w:rPr>
              <w:t xml:space="preserve"> </w:t>
            </w:r>
            <w:r w:rsidRPr="00A53D60">
              <w:rPr>
                <w:rFonts w:eastAsia="Times New Roman"/>
                <w:sz w:val="20"/>
                <w:szCs w:val="20"/>
                <w:lang w:eastAsia="ru-RU"/>
              </w:rPr>
              <w:t>кредиты,</w:t>
            </w:r>
            <w:r w:rsidR="006C680D" w:rsidRPr="00A53D60">
              <w:rPr>
                <w:rFonts w:eastAsia="Times New Roman"/>
                <w:sz w:val="20"/>
                <w:szCs w:val="20"/>
                <w:lang w:eastAsia="ru-RU"/>
              </w:rPr>
              <w:t xml:space="preserve"> </w:t>
            </w:r>
            <w:r w:rsidRPr="00A53D60">
              <w:rPr>
                <w:rFonts w:eastAsia="Times New Roman"/>
                <w:sz w:val="20"/>
                <w:szCs w:val="20"/>
                <w:lang w:eastAsia="ru-RU"/>
              </w:rPr>
              <w:t>международные</w:t>
            </w:r>
            <w:r w:rsidR="006C680D" w:rsidRPr="00A53D60">
              <w:rPr>
                <w:rFonts w:eastAsia="Times New Roman"/>
                <w:sz w:val="20"/>
                <w:szCs w:val="20"/>
                <w:lang w:eastAsia="ru-RU"/>
              </w:rPr>
              <w:t xml:space="preserve"> </w:t>
            </w:r>
            <w:r w:rsidRPr="00A53D60">
              <w:rPr>
                <w:rFonts w:eastAsia="Times New Roman"/>
                <w:sz w:val="20"/>
                <w:szCs w:val="20"/>
                <w:lang w:eastAsia="ru-RU"/>
              </w:rPr>
              <w:t>займы</w:t>
            </w:r>
          </w:p>
        </w:tc>
      </w:tr>
      <w:tr w:rsidR="00D337FA"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Залоговое</w:t>
            </w:r>
            <w:r w:rsidR="006C680D" w:rsidRPr="00A53D60">
              <w:rPr>
                <w:rFonts w:eastAsia="Times New Roman"/>
                <w:sz w:val="20"/>
                <w:szCs w:val="20"/>
                <w:lang w:eastAsia="ru-RU"/>
              </w:rPr>
              <w:t xml:space="preserve"> </w:t>
            </w:r>
            <w:r w:rsidRPr="00A53D60">
              <w:rPr>
                <w:rFonts w:eastAsia="Times New Roman"/>
                <w:sz w:val="20"/>
                <w:szCs w:val="20"/>
                <w:lang w:eastAsia="ru-RU"/>
              </w:rPr>
              <w:t>обеспечение</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Ограниченное,</w:t>
            </w:r>
            <w:r w:rsidR="006C680D" w:rsidRPr="00A53D60">
              <w:rPr>
                <w:rFonts w:eastAsia="Times New Roman"/>
                <w:sz w:val="20"/>
                <w:szCs w:val="20"/>
                <w:lang w:eastAsia="ru-RU"/>
              </w:rPr>
              <w:t xml:space="preserve"> </w:t>
            </w:r>
            <w:r w:rsidRPr="00A53D60">
              <w:rPr>
                <w:rFonts w:eastAsia="Times New Roman"/>
                <w:sz w:val="20"/>
                <w:szCs w:val="20"/>
                <w:lang w:eastAsia="ru-RU"/>
              </w:rPr>
              <w:t>часто</w:t>
            </w:r>
            <w:r w:rsidR="006C680D" w:rsidRPr="00A53D60">
              <w:rPr>
                <w:rFonts w:eastAsia="Times New Roman"/>
                <w:sz w:val="20"/>
                <w:szCs w:val="20"/>
                <w:lang w:eastAsia="ru-RU"/>
              </w:rPr>
              <w:t xml:space="preserve"> </w:t>
            </w:r>
            <w:r w:rsidRPr="00A53D60">
              <w:rPr>
                <w:rFonts w:eastAsia="Times New Roman"/>
                <w:sz w:val="20"/>
                <w:szCs w:val="20"/>
                <w:lang w:eastAsia="ru-RU"/>
              </w:rPr>
              <w:t>отсутствует</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Высоколиквидные</w:t>
            </w:r>
            <w:r w:rsidR="006C680D" w:rsidRPr="00A53D60">
              <w:rPr>
                <w:rFonts w:eastAsia="Times New Roman"/>
                <w:sz w:val="20"/>
                <w:szCs w:val="20"/>
                <w:lang w:eastAsia="ru-RU"/>
              </w:rPr>
              <w:t xml:space="preserve"> </w:t>
            </w:r>
            <w:r w:rsidRPr="00A53D60">
              <w:rPr>
                <w:rFonts w:eastAsia="Times New Roman"/>
                <w:sz w:val="20"/>
                <w:szCs w:val="20"/>
                <w:lang w:eastAsia="ru-RU"/>
              </w:rPr>
              <w:t>активы,</w:t>
            </w:r>
            <w:r w:rsidR="006C680D" w:rsidRPr="00A53D60">
              <w:rPr>
                <w:rFonts w:eastAsia="Times New Roman"/>
                <w:sz w:val="20"/>
                <w:szCs w:val="20"/>
                <w:lang w:eastAsia="ru-RU"/>
              </w:rPr>
              <w:t xml:space="preserve"> </w:t>
            </w:r>
            <w:r w:rsidRPr="00A53D60">
              <w:rPr>
                <w:rFonts w:eastAsia="Times New Roman"/>
                <w:sz w:val="20"/>
                <w:szCs w:val="20"/>
                <w:lang w:eastAsia="ru-RU"/>
              </w:rPr>
              <w:t>имущество</w:t>
            </w:r>
          </w:p>
        </w:tc>
      </w:tr>
      <w:tr w:rsidR="00D337FA"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Уровень</w:t>
            </w:r>
            <w:r w:rsidR="006C680D" w:rsidRPr="00A53D60">
              <w:rPr>
                <w:rFonts w:eastAsia="Times New Roman"/>
                <w:sz w:val="20"/>
                <w:szCs w:val="20"/>
                <w:lang w:eastAsia="ru-RU"/>
              </w:rPr>
              <w:t xml:space="preserve"> </w:t>
            </w:r>
            <w:r w:rsidRPr="00A53D60">
              <w:rPr>
                <w:rFonts w:eastAsia="Times New Roman"/>
                <w:sz w:val="20"/>
                <w:szCs w:val="20"/>
                <w:lang w:eastAsia="ru-RU"/>
              </w:rPr>
              <w:t>%</w:t>
            </w:r>
            <w:r w:rsidR="006C680D" w:rsidRPr="00A53D60">
              <w:rPr>
                <w:rFonts w:eastAsia="Times New Roman"/>
                <w:sz w:val="20"/>
                <w:szCs w:val="20"/>
                <w:lang w:eastAsia="ru-RU"/>
              </w:rPr>
              <w:t xml:space="preserve"> </w:t>
            </w:r>
            <w:r w:rsidRPr="00A53D60">
              <w:rPr>
                <w:rFonts w:eastAsia="Times New Roman"/>
                <w:sz w:val="20"/>
                <w:szCs w:val="20"/>
                <w:lang w:eastAsia="ru-RU"/>
              </w:rPr>
              <w:t>ставки</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Повышенный</w:t>
            </w:r>
            <w:r w:rsidR="006C680D" w:rsidRPr="00A53D60">
              <w:rPr>
                <w:rFonts w:eastAsia="Times New Roman"/>
                <w:sz w:val="20"/>
                <w:szCs w:val="20"/>
                <w:lang w:eastAsia="ru-RU"/>
              </w:rPr>
              <w:t xml:space="preserve"> </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Снижен</w:t>
            </w:r>
            <w:r w:rsidR="006C680D" w:rsidRPr="00A53D60">
              <w:rPr>
                <w:rFonts w:eastAsia="Times New Roman"/>
                <w:sz w:val="20"/>
                <w:szCs w:val="20"/>
                <w:lang w:eastAsia="ru-RU"/>
              </w:rPr>
              <w:t xml:space="preserve"> </w:t>
            </w:r>
          </w:p>
        </w:tc>
      </w:tr>
      <w:tr w:rsidR="00D337FA"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Вид</w:t>
            </w:r>
            <w:r w:rsidR="006C680D" w:rsidRPr="00A53D60">
              <w:rPr>
                <w:rFonts w:eastAsia="Times New Roman"/>
                <w:sz w:val="20"/>
                <w:szCs w:val="20"/>
                <w:lang w:eastAsia="ru-RU"/>
              </w:rPr>
              <w:t xml:space="preserve"> </w:t>
            </w:r>
            <w:r w:rsidRPr="00A53D60">
              <w:rPr>
                <w:rFonts w:eastAsia="Times New Roman"/>
                <w:sz w:val="20"/>
                <w:szCs w:val="20"/>
                <w:lang w:eastAsia="ru-RU"/>
              </w:rPr>
              <w:t>кредитования</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Краткосрочные</w:t>
            </w:r>
            <w:r w:rsidR="006C680D" w:rsidRPr="00A53D60">
              <w:rPr>
                <w:rFonts w:eastAsia="Times New Roman"/>
                <w:sz w:val="20"/>
                <w:szCs w:val="20"/>
                <w:lang w:eastAsia="ru-RU"/>
              </w:rPr>
              <w:t xml:space="preserve"> </w:t>
            </w:r>
            <w:r w:rsidRPr="00A53D60">
              <w:rPr>
                <w:rFonts w:eastAsia="Times New Roman"/>
                <w:sz w:val="20"/>
                <w:szCs w:val="20"/>
                <w:lang w:eastAsia="ru-RU"/>
              </w:rPr>
              <w:t>займы,</w:t>
            </w:r>
            <w:r w:rsidR="006C680D" w:rsidRPr="00A53D60">
              <w:rPr>
                <w:rFonts w:eastAsia="Times New Roman"/>
                <w:sz w:val="20"/>
                <w:szCs w:val="20"/>
                <w:lang w:eastAsia="ru-RU"/>
              </w:rPr>
              <w:t xml:space="preserve"> </w:t>
            </w:r>
            <w:r w:rsidRPr="00A53D60">
              <w:rPr>
                <w:rFonts w:eastAsia="Times New Roman"/>
                <w:sz w:val="20"/>
                <w:szCs w:val="20"/>
                <w:lang w:eastAsia="ru-RU"/>
              </w:rPr>
              <w:t>экспресс-кредиты</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Инвестиционное,</w:t>
            </w:r>
            <w:r w:rsidR="006C680D" w:rsidRPr="00A53D60">
              <w:rPr>
                <w:rFonts w:eastAsia="Times New Roman"/>
                <w:sz w:val="20"/>
                <w:szCs w:val="20"/>
                <w:lang w:eastAsia="ru-RU"/>
              </w:rPr>
              <w:t xml:space="preserve"> </w:t>
            </w:r>
            <w:r w:rsidRPr="00A53D60">
              <w:rPr>
                <w:rFonts w:eastAsia="Times New Roman"/>
                <w:sz w:val="20"/>
                <w:szCs w:val="20"/>
                <w:lang w:eastAsia="ru-RU"/>
              </w:rPr>
              <w:t>проектное,</w:t>
            </w:r>
            <w:r w:rsidR="006C680D" w:rsidRPr="00A53D60">
              <w:rPr>
                <w:rFonts w:eastAsia="Times New Roman"/>
                <w:sz w:val="20"/>
                <w:szCs w:val="20"/>
                <w:lang w:eastAsia="ru-RU"/>
              </w:rPr>
              <w:t xml:space="preserve"> </w:t>
            </w:r>
            <w:r w:rsidRPr="00A53D60">
              <w:rPr>
                <w:rFonts w:eastAsia="Times New Roman"/>
                <w:sz w:val="20"/>
                <w:szCs w:val="20"/>
                <w:lang w:eastAsia="ru-RU"/>
              </w:rPr>
              <w:t>долгосрочное</w:t>
            </w:r>
          </w:p>
        </w:tc>
      </w:tr>
      <w:tr w:rsidR="00D337FA"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Основные</w:t>
            </w:r>
            <w:r w:rsidR="006C680D" w:rsidRPr="00A53D60">
              <w:rPr>
                <w:rFonts w:eastAsia="Times New Roman"/>
                <w:sz w:val="20"/>
                <w:szCs w:val="20"/>
                <w:lang w:eastAsia="ru-RU"/>
              </w:rPr>
              <w:t xml:space="preserve"> </w:t>
            </w:r>
            <w:r w:rsidRPr="00A53D60">
              <w:rPr>
                <w:rFonts w:eastAsia="Times New Roman"/>
                <w:sz w:val="20"/>
                <w:szCs w:val="20"/>
                <w:lang w:eastAsia="ru-RU"/>
              </w:rPr>
              <w:t>услуги</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РКО,</w:t>
            </w:r>
            <w:r w:rsidR="006C680D" w:rsidRPr="00A53D60">
              <w:rPr>
                <w:rFonts w:eastAsia="Times New Roman"/>
                <w:sz w:val="20"/>
                <w:szCs w:val="20"/>
                <w:lang w:eastAsia="ru-RU"/>
              </w:rPr>
              <w:t xml:space="preserve"> </w:t>
            </w:r>
            <w:r w:rsidRPr="00A53D60">
              <w:rPr>
                <w:rFonts w:eastAsia="Times New Roman"/>
                <w:sz w:val="20"/>
                <w:szCs w:val="20"/>
                <w:lang w:eastAsia="ru-RU"/>
              </w:rPr>
              <w:t>эквайринг,</w:t>
            </w:r>
            <w:r w:rsidR="006C680D" w:rsidRPr="00A53D60">
              <w:rPr>
                <w:rFonts w:eastAsia="Times New Roman"/>
                <w:sz w:val="20"/>
                <w:szCs w:val="20"/>
                <w:lang w:eastAsia="ru-RU"/>
              </w:rPr>
              <w:t xml:space="preserve"> </w:t>
            </w:r>
            <w:r w:rsidRPr="00A53D60">
              <w:rPr>
                <w:rFonts w:eastAsia="Times New Roman"/>
                <w:sz w:val="20"/>
                <w:szCs w:val="20"/>
                <w:lang w:eastAsia="ru-RU"/>
              </w:rPr>
              <w:t>онлайн-банкинг</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Хеджирование,</w:t>
            </w:r>
            <w:r w:rsidR="006C680D" w:rsidRPr="00A53D60">
              <w:rPr>
                <w:rFonts w:eastAsia="Times New Roman"/>
                <w:sz w:val="20"/>
                <w:szCs w:val="20"/>
                <w:lang w:eastAsia="ru-RU"/>
              </w:rPr>
              <w:t xml:space="preserve"> </w:t>
            </w:r>
            <w:r w:rsidRPr="00A53D60">
              <w:rPr>
                <w:rFonts w:eastAsia="Times New Roman"/>
                <w:sz w:val="20"/>
                <w:szCs w:val="20"/>
                <w:lang w:eastAsia="ru-RU"/>
              </w:rPr>
              <w:t>валютные</w:t>
            </w:r>
            <w:r w:rsidR="006C680D" w:rsidRPr="00A53D60">
              <w:rPr>
                <w:rFonts w:eastAsia="Times New Roman"/>
                <w:sz w:val="20"/>
                <w:szCs w:val="20"/>
                <w:lang w:eastAsia="ru-RU"/>
              </w:rPr>
              <w:t xml:space="preserve"> </w:t>
            </w:r>
            <w:r w:rsidRPr="00A53D60">
              <w:rPr>
                <w:rFonts w:eastAsia="Times New Roman"/>
                <w:sz w:val="20"/>
                <w:szCs w:val="20"/>
                <w:lang w:eastAsia="ru-RU"/>
              </w:rPr>
              <w:t>операции,</w:t>
            </w:r>
            <w:r w:rsidR="006C680D" w:rsidRPr="00A53D60">
              <w:rPr>
                <w:rFonts w:eastAsia="Times New Roman"/>
                <w:sz w:val="20"/>
                <w:szCs w:val="20"/>
                <w:lang w:eastAsia="ru-RU"/>
              </w:rPr>
              <w:t xml:space="preserve"> </w:t>
            </w:r>
            <w:r w:rsidRPr="00A53D60">
              <w:rPr>
                <w:rFonts w:eastAsia="Times New Roman"/>
                <w:sz w:val="20"/>
                <w:szCs w:val="20"/>
                <w:lang w:eastAsia="ru-RU"/>
              </w:rPr>
              <w:t>ВЭД</w:t>
            </w:r>
          </w:p>
        </w:tc>
      </w:tr>
      <w:tr w:rsidR="00D337FA"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Финансовая</w:t>
            </w:r>
            <w:r w:rsidR="006C680D" w:rsidRPr="00A53D60">
              <w:rPr>
                <w:rFonts w:eastAsia="Times New Roman"/>
                <w:sz w:val="20"/>
                <w:szCs w:val="20"/>
                <w:lang w:eastAsia="ru-RU"/>
              </w:rPr>
              <w:t xml:space="preserve"> </w:t>
            </w:r>
            <w:r w:rsidRPr="00A53D60">
              <w:rPr>
                <w:rFonts w:eastAsia="Times New Roman"/>
                <w:sz w:val="20"/>
                <w:szCs w:val="20"/>
                <w:lang w:eastAsia="ru-RU"/>
              </w:rPr>
              <w:t>отчётность</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Упрощённая,</w:t>
            </w:r>
            <w:r w:rsidR="006C680D" w:rsidRPr="00A53D60">
              <w:rPr>
                <w:rFonts w:eastAsia="Times New Roman"/>
                <w:sz w:val="20"/>
                <w:szCs w:val="20"/>
                <w:lang w:eastAsia="ru-RU"/>
              </w:rPr>
              <w:t xml:space="preserve"> </w:t>
            </w:r>
            <w:r w:rsidRPr="00A53D60">
              <w:rPr>
                <w:rFonts w:eastAsia="Times New Roman"/>
                <w:sz w:val="20"/>
                <w:szCs w:val="20"/>
                <w:lang w:eastAsia="ru-RU"/>
              </w:rPr>
              <w:t>налоговая</w:t>
            </w:r>
            <w:r w:rsidR="006C680D" w:rsidRPr="00A53D60">
              <w:rPr>
                <w:rFonts w:eastAsia="Times New Roman"/>
                <w:sz w:val="20"/>
                <w:szCs w:val="20"/>
                <w:lang w:eastAsia="ru-RU"/>
              </w:rPr>
              <w:t xml:space="preserve"> </w:t>
            </w:r>
            <w:r w:rsidRPr="00A53D60">
              <w:rPr>
                <w:rFonts w:eastAsia="Times New Roman"/>
                <w:sz w:val="20"/>
                <w:szCs w:val="20"/>
                <w:lang w:eastAsia="ru-RU"/>
              </w:rPr>
              <w:t>отчетность</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Международные</w:t>
            </w:r>
            <w:r w:rsidR="006C680D" w:rsidRPr="00A53D60">
              <w:rPr>
                <w:rFonts w:eastAsia="Times New Roman"/>
                <w:sz w:val="20"/>
                <w:szCs w:val="20"/>
                <w:lang w:eastAsia="ru-RU"/>
              </w:rPr>
              <w:t xml:space="preserve"> </w:t>
            </w:r>
            <w:r w:rsidRPr="00A53D60">
              <w:rPr>
                <w:rFonts w:eastAsia="Times New Roman"/>
                <w:sz w:val="20"/>
                <w:szCs w:val="20"/>
                <w:lang w:eastAsia="ru-RU"/>
              </w:rPr>
              <w:t>стандарты</w:t>
            </w:r>
            <w:r w:rsidR="006C680D" w:rsidRPr="00A53D60">
              <w:rPr>
                <w:rFonts w:eastAsia="Times New Roman"/>
                <w:sz w:val="20"/>
                <w:szCs w:val="20"/>
                <w:lang w:eastAsia="ru-RU"/>
              </w:rPr>
              <w:t xml:space="preserve"> </w:t>
            </w:r>
            <w:r w:rsidRPr="00A53D60">
              <w:rPr>
                <w:rFonts w:eastAsia="Times New Roman"/>
                <w:sz w:val="20"/>
                <w:szCs w:val="20"/>
                <w:lang w:eastAsia="ru-RU"/>
              </w:rPr>
              <w:t>(IFRS,</w:t>
            </w:r>
            <w:r w:rsidR="006C680D" w:rsidRPr="00A53D60">
              <w:rPr>
                <w:rFonts w:eastAsia="Times New Roman"/>
                <w:sz w:val="20"/>
                <w:szCs w:val="20"/>
                <w:lang w:eastAsia="ru-RU"/>
              </w:rPr>
              <w:t xml:space="preserve"> </w:t>
            </w:r>
            <w:r w:rsidRPr="00A53D60">
              <w:rPr>
                <w:rFonts w:eastAsia="Times New Roman"/>
                <w:sz w:val="20"/>
                <w:szCs w:val="20"/>
                <w:lang w:eastAsia="ru-RU"/>
              </w:rPr>
              <w:t>GAAP)</w:t>
            </w:r>
          </w:p>
        </w:tc>
      </w:tr>
      <w:tr w:rsidR="00D337FA"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Кредитная</w:t>
            </w:r>
            <w:r w:rsidR="006C680D" w:rsidRPr="00A53D60">
              <w:rPr>
                <w:rFonts w:eastAsia="Times New Roman"/>
                <w:sz w:val="20"/>
                <w:szCs w:val="20"/>
                <w:lang w:eastAsia="ru-RU"/>
              </w:rPr>
              <w:t xml:space="preserve"> </w:t>
            </w:r>
            <w:r w:rsidRPr="00A53D60">
              <w:rPr>
                <w:rFonts w:eastAsia="Times New Roman"/>
                <w:sz w:val="20"/>
                <w:szCs w:val="20"/>
                <w:lang w:eastAsia="ru-RU"/>
              </w:rPr>
              <w:t>история</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Ограниченная</w:t>
            </w:r>
            <w:r w:rsidR="006C680D" w:rsidRPr="00A53D60">
              <w:rPr>
                <w:rFonts w:eastAsia="Times New Roman"/>
                <w:sz w:val="20"/>
                <w:szCs w:val="20"/>
                <w:lang w:eastAsia="ru-RU"/>
              </w:rPr>
              <w:t xml:space="preserve"> </w:t>
            </w:r>
            <w:r w:rsidRPr="00A53D60">
              <w:rPr>
                <w:rFonts w:eastAsia="Times New Roman"/>
                <w:sz w:val="20"/>
                <w:szCs w:val="20"/>
                <w:lang w:eastAsia="ru-RU"/>
              </w:rPr>
              <w:t>или</w:t>
            </w:r>
            <w:r w:rsidR="006C680D" w:rsidRPr="00A53D60">
              <w:rPr>
                <w:rFonts w:eastAsia="Times New Roman"/>
                <w:sz w:val="20"/>
                <w:szCs w:val="20"/>
                <w:lang w:eastAsia="ru-RU"/>
              </w:rPr>
              <w:t xml:space="preserve"> </w:t>
            </w:r>
            <w:r w:rsidRPr="00A53D60">
              <w:rPr>
                <w:rFonts w:eastAsia="Times New Roman"/>
                <w:sz w:val="20"/>
                <w:szCs w:val="20"/>
                <w:lang w:eastAsia="ru-RU"/>
              </w:rPr>
              <w:t>отсутствует</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Устойчивая</w:t>
            </w:r>
            <w:r w:rsidR="006C680D" w:rsidRPr="00A53D60">
              <w:rPr>
                <w:rFonts w:eastAsia="Times New Roman"/>
                <w:sz w:val="20"/>
                <w:szCs w:val="20"/>
                <w:lang w:eastAsia="ru-RU"/>
              </w:rPr>
              <w:t xml:space="preserve"> </w:t>
            </w:r>
            <w:r w:rsidRPr="00A53D60">
              <w:rPr>
                <w:rFonts w:eastAsia="Times New Roman"/>
                <w:sz w:val="20"/>
                <w:szCs w:val="20"/>
                <w:lang w:eastAsia="ru-RU"/>
              </w:rPr>
              <w:t>и</w:t>
            </w:r>
            <w:r w:rsidR="006C680D" w:rsidRPr="00A53D60">
              <w:rPr>
                <w:rFonts w:eastAsia="Times New Roman"/>
                <w:sz w:val="20"/>
                <w:szCs w:val="20"/>
                <w:lang w:eastAsia="ru-RU"/>
              </w:rPr>
              <w:t xml:space="preserve"> </w:t>
            </w:r>
            <w:r w:rsidRPr="00A53D60">
              <w:rPr>
                <w:rFonts w:eastAsia="Times New Roman"/>
                <w:sz w:val="20"/>
                <w:szCs w:val="20"/>
                <w:lang w:eastAsia="ru-RU"/>
              </w:rPr>
              <w:t>положительная</w:t>
            </w:r>
          </w:p>
        </w:tc>
      </w:tr>
      <w:tr w:rsidR="00256E85" w:rsidRPr="00A53D60" w:rsidTr="00E70CAD">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Принятие</w:t>
            </w:r>
            <w:r w:rsidR="006C680D" w:rsidRPr="00A53D60">
              <w:rPr>
                <w:rFonts w:eastAsia="Times New Roman"/>
                <w:sz w:val="20"/>
                <w:szCs w:val="20"/>
                <w:lang w:eastAsia="ru-RU"/>
              </w:rPr>
              <w:t xml:space="preserve"> </w:t>
            </w:r>
            <w:r w:rsidRPr="00A53D60">
              <w:rPr>
                <w:rFonts w:eastAsia="Times New Roman"/>
                <w:sz w:val="20"/>
                <w:szCs w:val="20"/>
                <w:lang w:eastAsia="ru-RU"/>
              </w:rPr>
              <w:t>решений</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Быстрое,</w:t>
            </w:r>
            <w:r w:rsidR="006C680D" w:rsidRPr="00A53D60">
              <w:rPr>
                <w:rFonts w:eastAsia="Times New Roman"/>
                <w:sz w:val="20"/>
                <w:szCs w:val="20"/>
                <w:lang w:eastAsia="ru-RU"/>
              </w:rPr>
              <w:t xml:space="preserve"> </w:t>
            </w:r>
            <w:r w:rsidRPr="00A53D60">
              <w:rPr>
                <w:rFonts w:eastAsia="Times New Roman"/>
                <w:sz w:val="20"/>
                <w:szCs w:val="20"/>
                <w:lang w:eastAsia="ru-RU"/>
              </w:rPr>
              <w:t>интуитивное</w:t>
            </w:r>
          </w:p>
        </w:tc>
        <w:tc>
          <w:tcPr>
            <w:tcW w:w="0" w:type="auto"/>
            <w:vAlign w:val="center"/>
            <w:hideMark/>
          </w:tcPr>
          <w:p w:rsidR="00256E85" w:rsidRPr="00A53D60" w:rsidRDefault="00256E85" w:rsidP="00256E85">
            <w:pPr>
              <w:ind w:firstLine="0"/>
              <w:rPr>
                <w:rFonts w:eastAsia="Times New Roman"/>
                <w:sz w:val="20"/>
                <w:szCs w:val="20"/>
                <w:lang w:eastAsia="ru-RU"/>
              </w:rPr>
            </w:pPr>
            <w:r w:rsidRPr="00A53D60">
              <w:rPr>
                <w:rFonts w:eastAsia="Times New Roman"/>
                <w:sz w:val="20"/>
                <w:szCs w:val="20"/>
                <w:lang w:eastAsia="ru-RU"/>
              </w:rPr>
              <w:t>Коллегиальное,</w:t>
            </w:r>
            <w:r w:rsidR="006C680D" w:rsidRPr="00A53D60">
              <w:rPr>
                <w:rFonts w:eastAsia="Times New Roman"/>
                <w:sz w:val="20"/>
                <w:szCs w:val="20"/>
                <w:lang w:eastAsia="ru-RU"/>
              </w:rPr>
              <w:t xml:space="preserve"> </w:t>
            </w:r>
            <w:r w:rsidRPr="00A53D60">
              <w:rPr>
                <w:rFonts w:eastAsia="Times New Roman"/>
                <w:sz w:val="20"/>
                <w:szCs w:val="20"/>
                <w:lang w:eastAsia="ru-RU"/>
              </w:rPr>
              <w:t>стратегическое</w:t>
            </w:r>
          </w:p>
        </w:tc>
      </w:tr>
    </w:tbl>
    <w:p w:rsidR="00256E85" w:rsidRPr="00D337FA" w:rsidRDefault="00256E85" w:rsidP="00256E85">
      <w:pPr>
        <w:jc w:val="center"/>
        <w:rPr>
          <w:rFonts w:ascii="Arial" w:hAnsi="Arial" w:cs="Arial"/>
          <w:i/>
          <w:sz w:val="22"/>
          <w:szCs w:val="22"/>
        </w:rPr>
      </w:pPr>
    </w:p>
    <w:p w:rsidR="00256E85" w:rsidRPr="00D337FA" w:rsidRDefault="00256E85" w:rsidP="00256E85">
      <w:pPr>
        <w:ind w:firstLine="709"/>
        <w:rPr>
          <w:szCs w:val="24"/>
        </w:rPr>
        <w:sectPr w:rsidR="00256E85"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256E85" w:rsidRPr="00D337FA" w:rsidRDefault="00256E85" w:rsidP="00256E85">
      <w:pPr>
        <w:ind w:firstLine="284"/>
        <w:rPr>
          <w:szCs w:val="24"/>
        </w:rPr>
      </w:pPr>
      <w:r w:rsidRPr="00D337FA">
        <w:rPr>
          <w:szCs w:val="24"/>
        </w:rPr>
        <w:lastRenderedPageBreak/>
        <w:t>Ключевой</w:t>
      </w:r>
      <w:r w:rsidR="006C680D" w:rsidRPr="00D337FA">
        <w:rPr>
          <w:szCs w:val="24"/>
        </w:rPr>
        <w:t xml:space="preserve"> </w:t>
      </w:r>
      <w:r w:rsidRPr="00D337FA">
        <w:rPr>
          <w:szCs w:val="24"/>
        </w:rPr>
        <w:t>особенностью</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определяющей</w:t>
      </w:r>
      <w:r w:rsidR="006C680D" w:rsidRPr="00D337FA">
        <w:rPr>
          <w:szCs w:val="24"/>
        </w:rPr>
        <w:t xml:space="preserve"> </w:t>
      </w:r>
      <w:r w:rsidRPr="00D337FA">
        <w:rPr>
          <w:szCs w:val="24"/>
        </w:rPr>
        <w:t>всю</w:t>
      </w:r>
      <w:r w:rsidR="006C680D" w:rsidRPr="00D337FA">
        <w:rPr>
          <w:szCs w:val="24"/>
        </w:rPr>
        <w:t xml:space="preserve"> </w:t>
      </w:r>
      <w:r w:rsidRPr="00D337FA">
        <w:rPr>
          <w:szCs w:val="24"/>
        </w:rPr>
        <w:t>архитектуру</w:t>
      </w:r>
      <w:r w:rsidR="006C680D" w:rsidRPr="00D337FA">
        <w:rPr>
          <w:szCs w:val="24"/>
        </w:rPr>
        <w:t xml:space="preserve"> </w:t>
      </w:r>
      <w:r w:rsidRPr="00D337FA">
        <w:rPr>
          <w:szCs w:val="24"/>
        </w:rPr>
        <w:t>его</w:t>
      </w:r>
      <w:r w:rsidR="006C680D" w:rsidRPr="00D337FA">
        <w:rPr>
          <w:szCs w:val="24"/>
        </w:rPr>
        <w:t xml:space="preserve"> </w:t>
      </w:r>
      <w:r w:rsidRPr="00D337FA">
        <w:rPr>
          <w:szCs w:val="24"/>
        </w:rPr>
        <w:t>взаимоотношений</w:t>
      </w:r>
      <w:r w:rsidR="006C680D" w:rsidRPr="00D337FA">
        <w:rPr>
          <w:szCs w:val="24"/>
        </w:rPr>
        <w:t xml:space="preserve"> </w:t>
      </w:r>
      <w:r w:rsidRPr="00D337FA">
        <w:rPr>
          <w:szCs w:val="24"/>
        </w:rPr>
        <w:t>с</w:t>
      </w:r>
      <w:r w:rsidR="006C680D" w:rsidRPr="00D337FA">
        <w:rPr>
          <w:szCs w:val="24"/>
        </w:rPr>
        <w:t xml:space="preserve"> </w:t>
      </w:r>
      <w:r w:rsidRPr="00D337FA">
        <w:rPr>
          <w:szCs w:val="24"/>
        </w:rPr>
        <w:t>кредитными</w:t>
      </w:r>
      <w:r w:rsidR="006C680D" w:rsidRPr="00D337FA">
        <w:rPr>
          <w:szCs w:val="24"/>
        </w:rPr>
        <w:t xml:space="preserve"> </w:t>
      </w:r>
      <w:r w:rsidRPr="00D337FA">
        <w:rPr>
          <w:szCs w:val="24"/>
        </w:rPr>
        <w:t>организациями,</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повышенный</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риска,</w:t>
      </w:r>
      <w:r w:rsidR="006C680D" w:rsidRPr="00D337FA">
        <w:rPr>
          <w:szCs w:val="24"/>
        </w:rPr>
        <w:t xml:space="preserve"> </w:t>
      </w:r>
      <w:r w:rsidRPr="00D337FA">
        <w:rPr>
          <w:szCs w:val="24"/>
        </w:rPr>
        <w:t>обусловленный</w:t>
      </w:r>
      <w:r w:rsidR="006C680D" w:rsidRPr="00D337FA">
        <w:rPr>
          <w:szCs w:val="24"/>
        </w:rPr>
        <w:t xml:space="preserve"> </w:t>
      </w:r>
      <w:r w:rsidRPr="00D337FA">
        <w:rPr>
          <w:szCs w:val="24"/>
        </w:rPr>
        <w:t>целым</w:t>
      </w:r>
      <w:r w:rsidR="006C680D" w:rsidRPr="00D337FA">
        <w:rPr>
          <w:szCs w:val="24"/>
        </w:rPr>
        <w:t xml:space="preserve"> </w:t>
      </w:r>
      <w:r w:rsidRPr="00D337FA">
        <w:rPr>
          <w:szCs w:val="24"/>
        </w:rPr>
        <w:t>рядом</w:t>
      </w:r>
      <w:r w:rsidR="006C680D" w:rsidRPr="00D337FA">
        <w:rPr>
          <w:szCs w:val="24"/>
        </w:rPr>
        <w:t xml:space="preserve"> </w:t>
      </w:r>
      <w:r w:rsidRPr="00D337FA">
        <w:rPr>
          <w:szCs w:val="24"/>
        </w:rPr>
        <w:t>факторов.</w:t>
      </w:r>
      <w:r w:rsidR="006C680D" w:rsidRPr="00D337FA">
        <w:rPr>
          <w:szCs w:val="24"/>
        </w:rPr>
        <w:t xml:space="preserve"> </w:t>
      </w:r>
      <w:r w:rsidRPr="00D337FA">
        <w:rPr>
          <w:szCs w:val="24"/>
        </w:rPr>
        <w:t>В</w:t>
      </w:r>
      <w:r w:rsidR="006C680D" w:rsidRPr="00D337FA">
        <w:rPr>
          <w:szCs w:val="24"/>
        </w:rPr>
        <w:t xml:space="preserve"> </w:t>
      </w:r>
      <w:r w:rsidRPr="00D337FA">
        <w:rPr>
          <w:szCs w:val="24"/>
        </w:rPr>
        <w:t>экономической</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данная</w:t>
      </w:r>
      <w:r w:rsidR="006C680D" w:rsidRPr="00D337FA">
        <w:rPr>
          <w:szCs w:val="24"/>
        </w:rPr>
        <w:t xml:space="preserve"> </w:t>
      </w:r>
      <w:r w:rsidRPr="00D337FA">
        <w:rPr>
          <w:szCs w:val="24"/>
        </w:rPr>
        <w:t>проблема</w:t>
      </w:r>
      <w:r w:rsidR="006C680D" w:rsidRPr="00D337FA">
        <w:rPr>
          <w:szCs w:val="24"/>
        </w:rPr>
        <w:t xml:space="preserve"> </w:t>
      </w:r>
      <w:r w:rsidRPr="00D337FA">
        <w:rPr>
          <w:szCs w:val="24"/>
        </w:rPr>
        <w:t>традиционно</w:t>
      </w:r>
      <w:r w:rsidR="006C680D" w:rsidRPr="00D337FA">
        <w:rPr>
          <w:szCs w:val="24"/>
        </w:rPr>
        <w:t xml:space="preserve"> </w:t>
      </w:r>
      <w:r w:rsidRPr="00D337FA">
        <w:rPr>
          <w:szCs w:val="24"/>
        </w:rPr>
        <w:t>рассматривается</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призму</w:t>
      </w:r>
      <w:r w:rsidR="006C680D" w:rsidRPr="00D337FA">
        <w:rPr>
          <w:szCs w:val="24"/>
        </w:rPr>
        <w:t xml:space="preserve"> </w:t>
      </w:r>
      <w:r w:rsidRPr="00D337FA">
        <w:rPr>
          <w:szCs w:val="24"/>
        </w:rPr>
        <w:t>информационной</w:t>
      </w:r>
      <w:r w:rsidR="006C680D" w:rsidRPr="00D337FA">
        <w:rPr>
          <w:szCs w:val="24"/>
        </w:rPr>
        <w:t xml:space="preserve"> </w:t>
      </w:r>
      <w:r w:rsidRPr="00D337FA">
        <w:rPr>
          <w:szCs w:val="24"/>
        </w:rPr>
        <w:t>асимметрии</w:t>
      </w:r>
      <w:r w:rsidR="006C680D" w:rsidRPr="00D337FA">
        <w:rPr>
          <w:szCs w:val="24"/>
        </w:rPr>
        <w:t xml:space="preserve"> </w:t>
      </w:r>
      <w:r w:rsidRPr="00D337FA">
        <w:rPr>
          <w:szCs w:val="24"/>
        </w:rPr>
        <w:t>[20]</w:t>
      </w:r>
      <w:r w:rsidR="006C680D" w:rsidRPr="00D337FA">
        <w:rPr>
          <w:szCs w:val="24"/>
        </w:rPr>
        <w:t xml:space="preserve"> </w:t>
      </w:r>
      <w:r w:rsidRPr="00D337FA">
        <w:rPr>
          <w:szCs w:val="24"/>
        </w:rPr>
        <w:t>и</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неблагоприятного</w:t>
      </w:r>
      <w:r w:rsidR="006C680D" w:rsidRPr="00D337FA">
        <w:rPr>
          <w:szCs w:val="24"/>
        </w:rPr>
        <w:t xml:space="preserve"> </w:t>
      </w:r>
      <w:r w:rsidRPr="00D337FA">
        <w:rPr>
          <w:szCs w:val="24"/>
        </w:rPr>
        <w:t>отбора</w:t>
      </w:r>
      <w:r w:rsidR="006C680D" w:rsidRPr="00D337FA">
        <w:rPr>
          <w:szCs w:val="24"/>
        </w:rPr>
        <w:t xml:space="preserve"> </w:t>
      </w:r>
      <w:r w:rsidRPr="00D337FA">
        <w:rPr>
          <w:szCs w:val="24"/>
        </w:rPr>
        <w:t>[4].</w:t>
      </w:r>
      <w:r w:rsidR="006C680D" w:rsidRPr="00D337FA">
        <w:rPr>
          <w:szCs w:val="24"/>
        </w:rPr>
        <w:t xml:space="preserve"> </w:t>
      </w:r>
      <w:r w:rsidRPr="00D337FA">
        <w:rPr>
          <w:szCs w:val="24"/>
        </w:rPr>
        <w:t>В</w:t>
      </w:r>
      <w:r w:rsidR="006C680D" w:rsidRPr="00D337FA">
        <w:rPr>
          <w:szCs w:val="24"/>
        </w:rPr>
        <w:t xml:space="preserve"> </w:t>
      </w:r>
      <w:r w:rsidRPr="00D337FA">
        <w:rPr>
          <w:szCs w:val="24"/>
        </w:rPr>
        <w:t>отличие</w:t>
      </w:r>
      <w:r w:rsidR="006C680D" w:rsidRPr="00D337FA">
        <w:rPr>
          <w:szCs w:val="24"/>
        </w:rPr>
        <w:t xml:space="preserve"> </w:t>
      </w:r>
      <w:r w:rsidRPr="00D337FA">
        <w:rPr>
          <w:szCs w:val="24"/>
        </w:rPr>
        <w:t>от</w:t>
      </w:r>
      <w:r w:rsidR="006C680D" w:rsidRPr="00D337FA">
        <w:rPr>
          <w:szCs w:val="24"/>
        </w:rPr>
        <w:t xml:space="preserve"> </w:t>
      </w:r>
      <w:r w:rsidRPr="00D337FA">
        <w:rPr>
          <w:szCs w:val="24"/>
        </w:rPr>
        <w:t>крупных</w:t>
      </w:r>
      <w:r w:rsidR="006C680D" w:rsidRPr="00D337FA">
        <w:rPr>
          <w:szCs w:val="24"/>
        </w:rPr>
        <w:t xml:space="preserve"> </w:t>
      </w:r>
      <w:r w:rsidRPr="00D337FA">
        <w:rPr>
          <w:szCs w:val="24"/>
        </w:rPr>
        <w:t>корпораций,</w:t>
      </w:r>
      <w:r w:rsidR="006C680D" w:rsidRPr="00D337FA">
        <w:rPr>
          <w:szCs w:val="24"/>
        </w:rPr>
        <w:t xml:space="preserve"> </w:t>
      </w:r>
      <w:r w:rsidRPr="00D337FA">
        <w:rPr>
          <w:szCs w:val="24"/>
        </w:rPr>
        <w:t>малые</w:t>
      </w:r>
      <w:r w:rsidR="006C680D" w:rsidRPr="00D337FA">
        <w:rPr>
          <w:szCs w:val="24"/>
        </w:rPr>
        <w:t xml:space="preserve"> </w:t>
      </w:r>
      <w:r w:rsidRPr="00D337FA">
        <w:rPr>
          <w:szCs w:val="24"/>
        </w:rPr>
        <w:t>предприятия</w:t>
      </w:r>
      <w:r w:rsidR="006C680D" w:rsidRPr="00D337FA">
        <w:rPr>
          <w:szCs w:val="24"/>
        </w:rPr>
        <w:t xml:space="preserve"> </w:t>
      </w:r>
      <w:r w:rsidRPr="00D337FA">
        <w:rPr>
          <w:szCs w:val="24"/>
        </w:rPr>
        <w:t>часто</w:t>
      </w:r>
      <w:r w:rsidR="006C680D" w:rsidRPr="00D337FA">
        <w:rPr>
          <w:szCs w:val="24"/>
        </w:rPr>
        <w:t xml:space="preserve"> </w:t>
      </w:r>
      <w:r w:rsidRPr="00D337FA">
        <w:rPr>
          <w:szCs w:val="24"/>
        </w:rPr>
        <w:t>характеризуются</w:t>
      </w:r>
      <w:r w:rsidR="006C680D" w:rsidRPr="00D337FA">
        <w:rPr>
          <w:szCs w:val="24"/>
        </w:rPr>
        <w:t xml:space="preserve"> </w:t>
      </w:r>
      <w:r w:rsidRPr="00D337FA">
        <w:rPr>
          <w:szCs w:val="24"/>
        </w:rPr>
        <w:t>непрозрачной</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отчетностью,</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не</w:t>
      </w:r>
      <w:r w:rsidR="006C680D" w:rsidRPr="00D337FA">
        <w:rPr>
          <w:szCs w:val="24"/>
        </w:rPr>
        <w:t xml:space="preserve"> </w:t>
      </w:r>
      <w:r w:rsidRPr="00D337FA">
        <w:rPr>
          <w:szCs w:val="24"/>
        </w:rPr>
        <w:t>соответствовать</w:t>
      </w:r>
      <w:r w:rsidR="006C680D" w:rsidRPr="00D337FA">
        <w:rPr>
          <w:szCs w:val="24"/>
        </w:rPr>
        <w:t xml:space="preserve"> </w:t>
      </w:r>
      <w:r w:rsidRPr="00D337FA">
        <w:rPr>
          <w:szCs w:val="24"/>
        </w:rPr>
        <w:t>между</w:t>
      </w:r>
      <w:r w:rsidRPr="00D337FA">
        <w:rPr>
          <w:szCs w:val="24"/>
        </w:rPr>
        <w:lastRenderedPageBreak/>
        <w:t>народным</w:t>
      </w:r>
      <w:r w:rsidR="006C680D" w:rsidRPr="00D337FA">
        <w:rPr>
          <w:szCs w:val="24"/>
        </w:rPr>
        <w:t xml:space="preserve"> </w:t>
      </w:r>
      <w:r w:rsidRPr="00D337FA">
        <w:rPr>
          <w:szCs w:val="24"/>
        </w:rPr>
        <w:t>стандартам</w:t>
      </w:r>
      <w:r w:rsidR="006C680D" w:rsidRPr="00D337FA">
        <w:rPr>
          <w:szCs w:val="24"/>
        </w:rPr>
        <w:t xml:space="preserve"> </w:t>
      </w:r>
      <w:r w:rsidRPr="00D337FA">
        <w:rPr>
          <w:szCs w:val="24"/>
        </w:rPr>
        <w:t>и</w:t>
      </w:r>
      <w:r w:rsidR="006C680D" w:rsidRPr="00D337FA">
        <w:rPr>
          <w:szCs w:val="24"/>
        </w:rPr>
        <w:t xml:space="preserve"> </w:t>
      </w:r>
      <w:r w:rsidRPr="00D337FA">
        <w:rPr>
          <w:szCs w:val="24"/>
        </w:rPr>
        <w:t>основываться</w:t>
      </w:r>
      <w:r w:rsidR="006C680D" w:rsidRPr="00D337FA">
        <w:rPr>
          <w:szCs w:val="24"/>
        </w:rPr>
        <w:t xml:space="preserve"> </w:t>
      </w:r>
      <w:r w:rsidRPr="00D337FA">
        <w:rPr>
          <w:szCs w:val="24"/>
        </w:rPr>
        <w:t>на</w:t>
      </w:r>
      <w:r w:rsidR="006C680D" w:rsidRPr="00D337FA">
        <w:rPr>
          <w:szCs w:val="24"/>
        </w:rPr>
        <w:t xml:space="preserve"> </w:t>
      </w:r>
      <w:r w:rsidRPr="00D337FA">
        <w:rPr>
          <w:szCs w:val="24"/>
        </w:rPr>
        <w:t>упрощенных</w:t>
      </w:r>
      <w:r w:rsidR="006C680D" w:rsidRPr="00D337FA">
        <w:rPr>
          <w:szCs w:val="24"/>
        </w:rPr>
        <w:t xml:space="preserve"> </w:t>
      </w:r>
      <w:r w:rsidRPr="00D337FA">
        <w:rPr>
          <w:szCs w:val="24"/>
        </w:rPr>
        <w:t>системах</w:t>
      </w:r>
      <w:r w:rsidR="006C680D" w:rsidRPr="00D337FA">
        <w:rPr>
          <w:szCs w:val="24"/>
        </w:rPr>
        <w:t xml:space="preserve"> </w:t>
      </w:r>
      <w:r w:rsidRPr="00D337FA">
        <w:rPr>
          <w:szCs w:val="24"/>
        </w:rPr>
        <w:t>налогообложения</w:t>
      </w:r>
      <w:r w:rsidR="006C680D" w:rsidRPr="00D337FA">
        <w:rPr>
          <w:szCs w:val="24"/>
        </w:rPr>
        <w:t xml:space="preserve"> </w:t>
      </w:r>
      <w:r w:rsidRPr="00D337FA">
        <w:rPr>
          <w:szCs w:val="24"/>
        </w:rPr>
        <w:t>[17,</w:t>
      </w:r>
      <w:r w:rsidR="006C680D" w:rsidRPr="00D337FA">
        <w:rPr>
          <w:szCs w:val="24"/>
        </w:rPr>
        <w:t xml:space="preserve"> </w:t>
      </w:r>
      <w:r w:rsidRPr="00D337FA">
        <w:rPr>
          <w:szCs w:val="24"/>
        </w:rPr>
        <w:t>с.</w:t>
      </w:r>
      <w:r w:rsidR="006C680D" w:rsidRPr="00D337FA">
        <w:rPr>
          <w:szCs w:val="24"/>
        </w:rPr>
        <w:t xml:space="preserve"> </w:t>
      </w:r>
      <w:r w:rsidRPr="00D337FA">
        <w:rPr>
          <w:szCs w:val="24"/>
        </w:rPr>
        <w:t>89].</w:t>
      </w:r>
      <w:r w:rsidR="006C680D" w:rsidRPr="00D337FA">
        <w:rPr>
          <w:szCs w:val="24"/>
        </w:rPr>
        <w:t xml:space="preserve"> </w:t>
      </w:r>
      <w:r w:rsidRPr="00D337FA">
        <w:rPr>
          <w:szCs w:val="24"/>
        </w:rPr>
        <w:t>Это</w:t>
      </w:r>
      <w:r w:rsidR="006C680D" w:rsidRPr="00D337FA">
        <w:rPr>
          <w:szCs w:val="24"/>
        </w:rPr>
        <w:t xml:space="preserve"> </w:t>
      </w:r>
      <w:r w:rsidRPr="00D337FA">
        <w:rPr>
          <w:szCs w:val="24"/>
        </w:rPr>
        <w:t>создает</w:t>
      </w:r>
      <w:r w:rsidR="006C680D" w:rsidRPr="00D337FA">
        <w:rPr>
          <w:szCs w:val="24"/>
        </w:rPr>
        <w:t xml:space="preserve"> </w:t>
      </w:r>
      <w:r w:rsidRPr="00D337FA">
        <w:rPr>
          <w:szCs w:val="24"/>
        </w:rPr>
        <w:t>существенные</w:t>
      </w:r>
      <w:r w:rsidR="006C680D" w:rsidRPr="00D337FA">
        <w:rPr>
          <w:szCs w:val="24"/>
        </w:rPr>
        <w:t xml:space="preserve"> </w:t>
      </w:r>
      <w:r w:rsidRPr="00D337FA">
        <w:rPr>
          <w:szCs w:val="24"/>
        </w:rPr>
        <w:t>препятствия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в</w:t>
      </w:r>
      <w:r w:rsidR="006C680D" w:rsidRPr="00D337FA">
        <w:rPr>
          <w:szCs w:val="24"/>
        </w:rPr>
        <w:t xml:space="preserve"> </w:t>
      </w:r>
      <w:r w:rsidRPr="00D337FA">
        <w:rPr>
          <w:szCs w:val="24"/>
        </w:rPr>
        <w:t>адекватной</w:t>
      </w:r>
      <w:r w:rsidR="006C680D" w:rsidRPr="00D337FA">
        <w:rPr>
          <w:szCs w:val="24"/>
        </w:rPr>
        <w:t xml:space="preserve"> </w:t>
      </w:r>
      <w:r w:rsidRPr="00D337FA">
        <w:rPr>
          <w:szCs w:val="24"/>
        </w:rPr>
        <w:t>оценке</w:t>
      </w:r>
      <w:r w:rsidR="006C680D" w:rsidRPr="00D337FA">
        <w:rPr>
          <w:szCs w:val="24"/>
        </w:rPr>
        <w:t xml:space="preserve"> </w:t>
      </w:r>
      <w:r w:rsidRPr="00D337FA">
        <w:rPr>
          <w:szCs w:val="24"/>
        </w:rPr>
        <w:t>кредитоспособности,</w:t>
      </w:r>
      <w:r w:rsidR="006C680D" w:rsidRPr="00D337FA">
        <w:rPr>
          <w:szCs w:val="24"/>
        </w:rPr>
        <w:t xml:space="preserve"> </w:t>
      </w:r>
      <w:r w:rsidRPr="00D337FA">
        <w:rPr>
          <w:szCs w:val="24"/>
        </w:rPr>
        <w:t>порождая</w:t>
      </w:r>
      <w:r w:rsidR="006C680D" w:rsidRPr="00D337FA">
        <w:rPr>
          <w:szCs w:val="24"/>
        </w:rPr>
        <w:t xml:space="preserve"> </w:t>
      </w:r>
      <w:r w:rsidRPr="00D337FA">
        <w:rPr>
          <w:szCs w:val="24"/>
        </w:rPr>
        <w:t>феномен</w:t>
      </w:r>
      <w:r w:rsidR="006C680D" w:rsidRPr="00D337FA">
        <w:rPr>
          <w:szCs w:val="24"/>
        </w:rPr>
        <w:t xml:space="preserve"> </w:t>
      </w:r>
      <w:r w:rsidRPr="00D337FA">
        <w:rPr>
          <w:szCs w:val="24"/>
        </w:rPr>
        <w:t>«недоступности</w:t>
      </w:r>
      <w:r w:rsidR="006C680D" w:rsidRPr="00D337FA">
        <w:rPr>
          <w:szCs w:val="24"/>
        </w:rPr>
        <w:t xml:space="preserve"> </w:t>
      </w:r>
      <w:r w:rsidRPr="00D337FA">
        <w:rPr>
          <w:szCs w:val="24"/>
        </w:rPr>
        <w:t>кредита»</w:t>
      </w:r>
      <w:r w:rsidR="006C680D" w:rsidRPr="00D337FA">
        <w:rPr>
          <w:szCs w:val="24"/>
        </w:rPr>
        <w:t xml:space="preserve"> </w:t>
      </w:r>
      <w:r w:rsidRPr="00D337FA">
        <w:rPr>
          <w:szCs w:val="24"/>
        </w:rPr>
        <w:t>даже</w:t>
      </w:r>
      <w:r w:rsidR="006C680D" w:rsidRPr="00D337FA">
        <w:rPr>
          <w:szCs w:val="24"/>
        </w:rPr>
        <w:t xml:space="preserve"> </w:t>
      </w:r>
      <w:r w:rsidRPr="00D337FA">
        <w:rPr>
          <w:szCs w:val="24"/>
        </w:rPr>
        <w:t>для</w:t>
      </w:r>
      <w:r w:rsidR="006C680D" w:rsidRPr="00D337FA">
        <w:rPr>
          <w:szCs w:val="24"/>
        </w:rPr>
        <w:t xml:space="preserve"> </w:t>
      </w:r>
      <w:r w:rsidRPr="00D337FA">
        <w:rPr>
          <w:szCs w:val="24"/>
        </w:rPr>
        <w:t>платежеспособных</w:t>
      </w:r>
      <w:r w:rsidR="006C680D" w:rsidRPr="00D337FA">
        <w:rPr>
          <w:szCs w:val="24"/>
        </w:rPr>
        <w:t xml:space="preserve"> </w:t>
      </w:r>
      <w:r w:rsidRPr="00D337FA">
        <w:rPr>
          <w:szCs w:val="24"/>
        </w:rPr>
        <w:t>заемщиков.</w:t>
      </w:r>
      <w:r w:rsidR="006C680D" w:rsidRPr="00D337FA">
        <w:rPr>
          <w:szCs w:val="24"/>
        </w:rPr>
        <w:t xml:space="preserve"> </w:t>
      </w:r>
      <w:r w:rsidRPr="00D337FA">
        <w:rPr>
          <w:iCs/>
          <w:szCs w:val="24"/>
        </w:rPr>
        <w:t>Следует</w:t>
      </w:r>
      <w:r w:rsidR="006C680D" w:rsidRPr="00D337FA">
        <w:rPr>
          <w:iCs/>
          <w:szCs w:val="24"/>
        </w:rPr>
        <w:t xml:space="preserve"> </w:t>
      </w:r>
      <w:r w:rsidRPr="00D337FA">
        <w:rPr>
          <w:iCs/>
          <w:szCs w:val="24"/>
        </w:rPr>
        <w:t>отметить,</w:t>
      </w:r>
      <w:r w:rsidR="006C680D" w:rsidRPr="00D337FA">
        <w:rPr>
          <w:iCs/>
          <w:szCs w:val="24"/>
        </w:rPr>
        <w:t xml:space="preserve"> </w:t>
      </w:r>
      <w:r w:rsidRPr="00D337FA">
        <w:rPr>
          <w:iCs/>
          <w:szCs w:val="24"/>
        </w:rPr>
        <w:t>что</w:t>
      </w:r>
      <w:r w:rsidR="006C680D" w:rsidRPr="00D337FA">
        <w:rPr>
          <w:iCs/>
          <w:szCs w:val="24"/>
        </w:rPr>
        <w:t xml:space="preserve"> </w:t>
      </w:r>
      <w:r w:rsidRPr="00D337FA">
        <w:rPr>
          <w:iCs/>
          <w:szCs w:val="24"/>
        </w:rPr>
        <w:t>в</w:t>
      </w:r>
      <w:r w:rsidR="006C680D" w:rsidRPr="00D337FA">
        <w:rPr>
          <w:iCs/>
          <w:szCs w:val="24"/>
        </w:rPr>
        <w:t xml:space="preserve"> </w:t>
      </w:r>
      <w:r w:rsidRPr="00D337FA">
        <w:rPr>
          <w:iCs/>
          <w:szCs w:val="24"/>
        </w:rPr>
        <w:t>экономической</w:t>
      </w:r>
      <w:r w:rsidR="006C680D" w:rsidRPr="00D337FA">
        <w:rPr>
          <w:iCs/>
          <w:szCs w:val="24"/>
        </w:rPr>
        <w:t xml:space="preserve"> </w:t>
      </w:r>
      <w:r w:rsidRPr="00D337FA">
        <w:rPr>
          <w:iCs/>
          <w:szCs w:val="24"/>
        </w:rPr>
        <w:t>литературе</w:t>
      </w:r>
      <w:r w:rsidR="006C680D" w:rsidRPr="00D337FA">
        <w:rPr>
          <w:iCs/>
          <w:szCs w:val="24"/>
        </w:rPr>
        <w:t xml:space="preserve"> </w:t>
      </w:r>
      <w:r w:rsidRPr="00D337FA">
        <w:rPr>
          <w:iCs/>
          <w:szCs w:val="24"/>
        </w:rPr>
        <w:t>глубоко</w:t>
      </w:r>
      <w:r w:rsidR="006C680D" w:rsidRPr="00D337FA">
        <w:rPr>
          <w:iCs/>
          <w:szCs w:val="24"/>
        </w:rPr>
        <w:t xml:space="preserve"> </w:t>
      </w:r>
      <w:r w:rsidRPr="00D337FA">
        <w:rPr>
          <w:iCs/>
          <w:szCs w:val="24"/>
        </w:rPr>
        <w:t>изучены</w:t>
      </w:r>
      <w:r w:rsidR="006C680D" w:rsidRPr="00D337FA">
        <w:rPr>
          <w:iCs/>
          <w:szCs w:val="24"/>
        </w:rPr>
        <w:t xml:space="preserve"> </w:t>
      </w:r>
      <w:r w:rsidRPr="00D337FA">
        <w:rPr>
          <w:iCs/>
          <w:szCs w:val="24"/>
        </w:rPr>
        <w:t>причины</w:t>
      </w:r>
      <w:r w:rsidR="006C680D" w:rsidRPr="00D337FA">
        <w:rPr>
          <w:iCs/>
          <w:szCs w:val="24"/>
        </w:rPr>
        <w:t xml:space="preserve"> </w:t>
      </w:r>
      <w:r w:rsidRPr="00D337FA">
        <w:rPr>
          <w:iCs/>
          <w:szCs w:val="24"/>
        </w:rPr>
        <w:t>и</w:t>
      </w:r>
      <w:r w:rsidR="006C680D" w:rsidRPr="00D337FA">
        <w:rPr>
          <w:iCs/>
          <w:szCs w:val="24"/>
        </w:rPr>
        <w:t xml:space="preserve"> </w:t>
      </w:r>
      <w:r w:rsidRPr="00D337FA">
        <w:rPr>
          <w:iCs/>
          <w:szCs w:val="24"/>
        </w:rPr>
        <w:t>последствия</w:t>
      </w:r>
      <w:r w:rsidR="006C680D" w:rsidRPr="00D337FA">
        <w:rPr>
          <w:iCs/>
          <w:szCs w:val="24"/>
        </w:rPr>
        <w:t xml:space="preserve"> </w:t>
      </w:r>
      <w:r w:rsidRPr="00D337FA">
        <w:rPr>
          <w:iCs/>
          <w:szCs w:val="24"/>
        </w:rPr>
        <w:t>информационной</w:t>
      </w:r>
      <w:r w:rsidR="006C680D" w:rsidRPr="00D337FA">
        <w:rPr>
          <w:iCs/>
          <w:szCs w:val="24"/>
        </w:rPr>
        <w:t xml:space="preserve"> </w:t>
      </w:r>
      <w:r w:rsidRPr="00D337FA">
        <w:rPr>
          <w:iCs/>
          <w:szCs w:val="24"/>
        </w:rPr>
        <w:t>асимметрии</w:t>
      </w:r>
      <w:r w:rsidR="006C680D" w:rsidRPr="00D337FA">
        <w:rPr>
          <w:iCs/>
          <w:szCs w:val="24"/>
        </w:rPr>
        <w:t xml:space="preserve"> </w:t>
      </w:r>
      <w:r w:rsidRPr="00D337FA">
        <w:rPr>
          <w:iCs/>
          <w:szCs w:val="24"/>
        </w:rPr>
        <w:t>[13,</w:t>
      </w:r>
      <w:r w:rsidR="006C680D" w:rsidRPr="00D337FA">
        <w:rPr>
          <w:iCs/>
          <w:szCs w:val="24"/>
        </w:rPr>
        <w:t xml:space="preserve"> </w:t>
      </w:r>
      <w:r w:rsidRPr="00D337FA">
        <w:rPr>
          <w:iCs/>
          <w:szCs w:val="24"/>
        </w:rPr>
        <w:t>20],</w:t>
      </w:r>
      <w:r w:rsidR="006C680D" w:rsidRPr="00D337FA">
        <w:rPr>
          <w:iCs/>
          <w:szCs w:val="24"/>
        </w:rPr>
        <w:t xml:space="preserve"> </w:t>
      </w:r>
      <w:r w:rsidRPr="00D337FA">
        <w:rPr>
          <w:iCs/>
          <w:szCs w:val="24"/>
        </w:rPr>
        <w:t>однако</w:t>
      </w:r>
      <w:r w:rsidR="006C680D" w:rsidRPr="00D337FA">
        <w:rPr>
          <w:iCs/>
          <w:szCs w:val="24"/>
        </w:rPr>
        <w:t xml:space="preserve"> </w:t>
      </w:r>
      <w:r w:rsidRPr="00D337FA">
        <w:rPr>
          <w:bCs/>
          <w:iCs/>
          <w:szCs w:val="24"/>
        </w:rPr>
        <w:t>выявлен</w:t>
      </w:r>
      <w:r w:rsidR="006C680D" w:rsidRPr="00D337FA">
        <w:rPr>
          <w:bCs/>
          <w:iCs/>
          <w:szCs w:val="24"/>
        </w:rPr>
        <w:t xml:space="preserve"> </w:t>
      </w:r>
      <w:r w:rsidRPr="00D337FA">
        <w:rPr>
          <w:bCs/>
          <w:iCs/>
          <w:szCs w:val="24"/>
        </w:rPr>
        <w:t>пробел</w:t>
      </w:r>
      <w:r w:rsidR="006C680D" w:rsidRPr="00D337FA">
        <w:rPr>
          <w:bCs/>
          <w:iCs/>
          <w:szCs w:val="24"/>
        </w:rPr>
        <w:t xml:space="preserve"> </w:t>
      </w:r>
      <w:r w:rsidRPr="00D337FA">
        <w:rPr>
          <w:bCs/>
          <w:iCs/>
          <w:szCs w:val="24"/>
        </w:rPr>
        <w:t>в</w:t>
      </w:r>
      <w:r w:rsidR="006C680D" w:rsidRPr="00D337FA">
        <w:rPr>
          <w:bCs/>
          <w:iCs/>
          <w:szCs w:val="24"/>
        </w:rPr>
        <w:t xml:space="preserve"> </w:t>
      </w:r>
      <w:r w:rsidRPr="00D337FA">
        <w:rPr>
          <w:bCs/>
          <w:iCs/>
          <w:szCs w:val="24"/>
        </w:rPr>
        <w:t>исследованиях,</w:t>
      </w:r>
      <w:r w:rsidR="006C680D" w:rsidRPr="00D337FA">
        <w:rPr>
          <w:bCs/>
          <w:iCs/>
          <w:szCs w:val="24"/>
        </w:rPr>
        <w:t xml:space="preserve"> </w:t>
      </w:r>
      <w:r w:rsidRPr="00D337FA">
        <w:rPr>
          <w:bCs/>
          <w:iCs/>
          <w:szCs w:val="24"/>
        </w:rPr>
        <w:t>посвященных</w:t>
      </w:r>
      <w:r w:rsidR="006C680D" w:rsidRPr="00D337FA">
        <w:rPr>
          <w:bCs/>
          <w:iCs/>
          <w:szCs w:val="24"/>
        </w:rPr>
        <w:t xml:space="preserve"> </w:t>
      </w:r>
      <w:r w:rsidRPr="00D337FA">
        <w:rPr>
          <w:bCs/>
          <w:iCs/>
          <w:szCs w:val="24"/>
        </w:rPr>
        <w:t>практическим</w:t>
      </w:r>
      <w:r w:rsidR="006C680D" w:rsidRPr="00D337FA">
        <w:rPr>
          <w:bCs/>
          <w:iCs/>
          <w:szCs w:val="24"/>
        </w:rPr>
        <w:t xml:space="preserve"> </w:t>
      </w:r>
      <w:r w:rsidRPr="00D337FA">
        <w:rPr>
          <w:bCs/>
          <w:iCs/>
          <w:szCs w:val="24"/>
        </w:rPr>
        <w:t>механизмам</w:t>
      </w:r>
      <w:r w:rsidR="006C680D" w:rsidRPr="00D337FA">
        <w:rPr>
          <w:bCs/>
          <w:iCs/>
          <w:szCs w:val="24"/>
        </w:rPr>
        <w:t xml:space="preserve"> </w:t>
      </w:r>
      <w:r w:rsidRPr="00D337FA">
        <w:rPr>
          <w:bCs/>
          <w:iCs/>
          <w:szCs w:val="24"/>
        </w:rPr>
        <w:t>ее</w:t>
      </w:r>
      <w:r w:rsidR="006C680D" w:rsidRPr="00D337FA">
        <w:rPr>
          <w:bCs/>
          <w:iCs/>
          <w:szCs w:val="24"/>
        </w:rPr>
        <w:t xml:space="preserve"> </w:t>
      </w:r>
      <w:r w:rsidRPr="00D337FA">
        <w:rPr>
          <w:bCs/>
          <w:iCs/>
          <w:szCs w:val="24"/>
        </w:rPr>
        <w:t>преодоления</w:t>
      </w:r>
      <w:r w:rsidR="006C680D" w:rsidRPr="00D337FA">
        <w:rPr>
          <w:bCs/>
          <w:iCs/>
          <w:szCs w:val="24"/>
        </w:rPr>
        <w:t xml:space="preserve"> </w:t>
      </w:r>
      <w:r w:rsidRPr="00D337FA">
        <w:rPr>
          <w:bCs/>
          <w:iCs/>
          <w:szCs w:val="24"/>
        </w:rPr>
        <w:t>в</w:t>
      </w:r>
      <w:r w:rsidR="006C680D" w:rsidRPr="00D337FA">
        <w:rPr>
          <w:bCs/>
          <w:iCs/>
          <w:szCs w:val="24"/>
        </w:rPr>
        <w:t xml:space="preserve"> </w:t>
      </w:r>
      <w:r w:rsidRPr="00D337FA">
        <w:rPr>
          <w:bCs/>
          <w:iCs/>
          <w:szCs w:val="24"/>
        </w:rPr>
        <w:t>условиях</w:t>
      </w:r>
      <w:r w:rsidR="006C680D" w:rsidRPr="00D337FA">
        <w:rPr>
          <w:bCs/>
          <w:iCs/>
          <w:szCs w:val="24"/>
        </w:rPr>
        <w:t xml:space="preserve"> </w:t>
      </w:r>
      <w:r w:rsidRPr="00D337FA">
        <w:rPr>
          <w:bCs/>
          <w:iCs/>
          <w:szCs w:val="24"/>
        </w:rPr>
        <w:t>цифровой</w:t>
      </w:r>
      <w:r w:rsidR="006C680D" w:rsidRPr="00D337FA">
        <w:rPr>
          <w:bCs/>
          <w:iCs/>
          <w:szCs w:val="24"/>
        </w:rPr>
        <w:t xml:space="preserve"> </w:t>
      </w:r>
      <w:r w:rsidRPr="00D337FA">
        <w:rPr>
          <w:bCs/>
          <w:iCs/>
          <w:szCs w:val="24"/>
        </w:rPr>
        <w:t>эконо</w:t>
      </w:r>
      <w:r w:rsidRPr="00D337FA">
        <w:rPr>
          <w:bCs/>
          <w:iCs/>
          <w:szCs w:val="24"/>
        </w:rPr>
        <w:lastRenderedPageBreak/>
        <w:t>мики,</w:t>
      </w:r>
      <w:r w:rsidR="006C680D" w:rsidRPr="00D337FA">
        <w:rPr>
          <w:bCs/>
          <w:iCs/>
          <w:szCs w:val="24"/>
        </w:rPr>
        <w:t xml:space="preserve"> </w:t>
      </w:r>
      <w:r w:rsidRPr="00D337FA">
        <w:rPr>
          <w:bCs/>
          <w:iCs/>
          <w:szCs w:val="24"/>
        </w:rPr>
        <w:t>особенно</w:t>
      </w:r>
      <w:r w:rsidR="006C680D" w:rsidRPr="00D337FA">
        <w:rPr>
          <w:bCs/>
          <w:iCs/>
          <w:szCs w:val="24"/>
        </w:rPr>
        <w:t xml:space="preserve"> </w:t>
      </w:r>
      <w:r w:rsidRPr="00D337FA">
        <w:rPr>
          <w:bCs/>
          <w:iCs/>
          <w:szCs w:val="24"/>
        </w:rPr>
        <w:t>с</w:t>
      </w:r>
      <w:r w:rsidR="006C680D" w:rsidRPr="00D337FA">
        <w:rPr>
          <w:bCs/>
          <w:iCs/>
          <w:szCs w:val="24"/>
        </w:rPr>
        <w:t xml:space="preserve"> </w:t>
      </w:r>
      <w:r w:rsidRPr="00D337FA">
        <w:rPr>
          <w:bCs/>
          <w:iCs/>
          <w:szCs w:val="24"/>
        </w:rPr>
        <w:t>использованием</w:t>
      </w:r>
      <w:r w:rsidR="006C680D" w:rsidRPr="00D337FA">
        <w:rPr>
          <w:bCs/>
          <w:iCs/>
          <w:szCs w:val="24"/>
        </w:rPr>
        <w:t xml:space="preserve"> </w:t>
      </w:r>
      <w:r w:rsidRPr="00D337FA">
        <w:rPr>
          <w:bCs/>
          <w:iCs/>
          <w:szCs w:val="24"/>
        </w:rPr>
        <w:t>альтернативных</w:t>
      </w:r>
      <w:r w:rsidR="006C680D" w:rsidRPr="00D337FA">
        <w:rPr>
          <w:bCs/>
          <w:iCs/>
          <w:szCs w:val="24"/>
        </w:rPr>
        <w:t xml:space="preserve"> </w:t>
      </w:r>
      <w:r w:rsidRPr="00D337FA">
        <w:rPr>
          <w:bCs/>
          <w:iCs/>
          <w:szCs w:val="24"/>
        </w:rPr>
        <w:t>данных</w:t>
      </w:r>
      <w:r w:rsidR="006C680D" w:rsidRPr="00D337FA">
        <w:rPr>
          <w:bCs/>
          <w:iCs/>
          <w:szCs w:val="24"/>
        </w:rPr>
        <w:t xml:space="preserve"> </w:t>
      </w:r>
      <w:r w:rsidRPr="00D337FA">
        <w:rPr>
          <w:bCs/>
          <w:iCs/>
          <w:szCs w:val="24"/>
        </w:rPr>
        <w:t>российских</w:t>
      </w:r>
      <w:r w:rsidR="006C680D" w:rsidRPr="00D337FA">
        <w:rPr>
          <w:bCs/>
          <w:iCs/>
          <w:szCs w:val="24"/>
        </w:rPr>
        <w:t xml:space="preserve"> </w:t>
      </w:r>
      <w:r w:rsidRPr="00D337FA">
        <w:rPr>
          <w:bCs/>
          <w:iCs/>
          <w:szCs w:val="24"/>
        </w:rPr>
        <w:t>предприятий.</w:t>
      </w:r>
    </w:p>
    <w:p w:rsidR="00256E85" w:rsidRPr="00D337FA" w:rsidRDefault="00256E85" w:rsidP="00256E85">
      <w:pPr>
        <w:ind w:firstLine="284"/>
        <w:rPr>
          <w:rFonts w:ascii="Segoe UI" w:hAnsi="Segoe UI" w:cs="Segoe UI"/>
          <w:szCs w:val="24"/>
          <w:shd w:val="clear" w:color="auto" w:fill="FFFFFF"/>
        </w:rPr>
      </w:pPr>
      <w:r w:rsidRPr="00D337FA">
        <w:rPr>
          <w:szCs w:val="24"/>
        </w:rPr>
        <w:t>Ограниченность</w:t>
      </w:r>
      <w:r w:rsidR="006C680D" w:rsidRPr="00D337FA">
        <w:rPr>
          <w:szCs w:val="24"/>
        </w:rPr>
        <w:t xml:space="preserve"> </w:t>
      </w:r>
      <w:r w:rsidRPr="00D337FA">
        <w:rPr>
          <w:szCs w:val="24"/>
        </w:rPr>
        <w:t>залогового</w:t>
      </w:r>
      <w:r w:rsidR="006C680D" w:rsidRPr="00D337FA">
        <w:rPr>
          <w:szCs w:val="24"/>
        </w:rPr>
        <w:t xml:space="preserve"> </w:t>
      </w:r>
      <w:r w:rsidRPr="00D337FA">
        <w:rPr>
          <w:szCs w:val="24"/>
        </w:rPr>
        <w:t>обеспечения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короткая,</w:t>
      </w:r>
      <w:r w:rsidR="006C680D" w:rsidRPr="00D337FA">
        <w:rPr>
          <w:szCs w:val="24"/>
        </w:rPr>
        <w:t xml:space="preserve"> </w:t>
      </w:r>
      <w:r w:rsidRPr="00D337FA">
        <w:rPr>
          <w:szCs w:val="24"/>
        </w:rPr>
        <w:t>либо</w:t>
      </w:r>
      <w:r w:rsidR="006C680D" w:rsidRPr="00D337FA">
        <w:rPr>
          <w:szCs w:val="24"/>
        </w:rPr>
        <w:t xml:space="preserve"> </w:t>
      </w:r>
      <w:r w:rsidRPr="00D337FA">
        <w:rPr>
          <w:szCs w:val="24"/>
        </w:rPr>
        <w:t>отсутствующая,</w:t>
      </w:r>
      <w:r w:rsidR="006C680D" w:rsidRPr="00D337FA">
        <w:rPr>
          <w:szCs w:val="24"/>
        </w:rPr>
        <w:t xml:space="preserve"> </w:t>
      </w:r>
      <w:r w:rsidRPr="00D337FA">
        <w:rPr>
          <w:szCs w:val="24"/>
        </w:rPr>
        <w:t>кредитная</w:t>
      </w:r>
      <w:r w:rsidR="006C680D" w:rsidRPr="00D337FA">
        <w:rPr>
          <w:szCs w:val="24"/>
        </w:rPr>
        <w:t xml:space="preserve"> </w:t>
      </w:r>
      <w:r w:rsidRPr="00D337FA">
        <w:rPr>
          <w:szCs w:val="24"/>
        </w:rPr>
        <w:t>история</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усугубляют</w:t>
      </w:r>
      <w:r w:rsidR="006C680D" w:rsidRPr="00D337FA">
        <w:rPr>
          <w:szCs w:val="24"/>
        </w:rPr>
        <w:t xml:space="preserve"> </w:t>
      </w:r>
      <w:r w:rsidRPr="00D337FA">
        <w:rPr>
          <w:szCs w:val="24"/>
        </w:rPr>
        <w:t>проблему,</w:t>
      </w:r>
      <w:r w:rsidR="006C680D" w:rsidRPr="00D337FA">
        <w:rPr>
          <w:szCs w:val="24"/>
        </w:rPr>
        <w:t xml:space="preserve"> </w:t>
      </w:r>
      <w:r w:rsidRPr="00D337FA">
        <w:rPr>
          <w:szCs w:val="24"/>
        </w:rPr>
        <w:t>вынуждая</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либо</w:t>
      </w:r>
      <w:r w:rsidR="006C680D" w:rsidRPr="00D337FA">
        <w:rPr>
          <w:szCs w:val="24"/>
        </w:rPr>
        <w:t xml:space="preserve"> </w:t>
      </w:r>
      <w:r w:rsidRPr="00D337FA">
        <w:rPr>
          <w:szCs w:val="24"/>
        </w:rPr>
        <w:t>завышать</w:t>
      </w:r>
      <w:r w:rsidR="006C680D" w:rsidRPr="00D337FA">
        <w:rPr>
          <w:szCs w:val="24"/>
        </w:rPr>
        <w:t xml:space="preserve"> </w:t>
      </w:r>
      <w:r w:rsidRPr="00D337FA">
        <w:rPr>
          <w:szCs w:val="24"/>
        </w:rPr>
        <w:t>процентные</w:t>
      </w:r>
      <w:r w:rsidR="006C680D" w:rsidRPr="00D337FA">
        <w:rPr>
          <w:szCs w:val="24"/>
        </w:rPr>
        <w:t xml:space="preserve"> </w:t>
      </w:r>
      <w:r w:rsidRPr="00D337FA">
        <w:rPr>
          <w:szCs w:val="24"/>
        </w:rPr>
        <w:t>ставки</w:t>
      </w:r>
      <w:r w:rsidR="006C680D" w:rsidRPr="00D337FA">
        <w:rPr>
          <w:szCs w:val="24"/>
        </w:rPr>
        <w:t xml:space="preserve"> </w:t>
      </w:r>
      <w:r w:rsidRPr="00D337FA">
        <w:rPr>
          <w:szCs w:val="24"/>
        </w:rPr>
        <w:t>для</w:t>
      </w:r>
      <w:r w:rsidR="006C680D" w:rsidRPr="00D337FA">
        <w:rPr>
          <w:szCs w:val="24"/>
        </w:rPr>
        <w:t xml:space="preserve"> </w:t>
      </w:r>
      <w:r w:rsidRPr="00D337FA">
        <w:rPr>
          <w:szCs w:val="24"/>
        </w:rPr>
        <w:t>компенсации</w:t>
      </w:r>
      <w:r w:rsidR="006C680D" w:rsidRPr="00D337FA">
        <w:rPr>
          <w:szCs w:val="24"/>
        </w:rPr>
        <w:t xml:space="preserve"> </w:t>
      </w:r>
      <w:r w:rsidRPr="00D337FA">
        <w:rPr>
          <w:szCs w:val="24"/>
        </w:rPr>
        <w:t>рисков,</w:t>
      </w:r>
      <w:r w:rsidR="006C680D" w:rsidRPr="00D337FA">
        <w:rPr>
          <w:szCs w:val="24"/>
        </w:rPr>
        <w:t xml:space="preserve"> </w:t>
      </w:r>
      <w:r w:rsidRPr="00D337FA">
        <w:rPr>
          <w:szCs w:val="24"/>
        </w:rPr>
        <w:t>либо</w:t>
      </w:r>
      <w:r w:rsidR="006C680D" w:rsidRPr="00D337FA">
        <w:rPr>
          <w:szCs w:val="24"/>
        </w:rPr>
        <w:t xml:space="preserve"> </w:t>
      </w:r>
      <w:r w:rsidRPr="00D337FA">
        <w:rPr>
          <w:szCs w:val="24"/>
        </w:rPr>
        <w:t>отказывать</w:t>
      </w:r>
      <w:r w:rsidR="006C680D" w:rsidRPr="00D337FA">
        <w:rPr>
          <w:szCs w:val="24"/>
        </w:rPr>
        <w:t xml:space="preserve"> </w:t>
      </w:r>
      <w:r w:rsidRPr="00D337FA">
        <w:rPr>
          <w:szCs w:val="24"/>
        </w:rPr>
        <w:t>в</w:t>
      </w:r>
      <w:r w:rsidR="006C680D" w:rsidRPr="00D337FA">
        <w:rPr>
          <w:szCs w:val="24"/>
        </w:rPr>
        <w:t xml:space="preserve"> </w:t>
      </w:r>
      <w:r w:rsidRPr="00D337FA">
        <w:rPr>
          <w:szCs w:val="24"/>
        </w:rPr>
        <w:t>финансировании.</w:t>
      </w:r>
      <w:r w:rsidR="006C680D" w:rsidRPr="00D337FA">
        <w:rPr>
          <w:szCs w:val="24"/>
        </w:rPr>
        <w:t xml:space="preserve"> </w:t>
      </w:r>
      <w:r w:rsidRPr="00D337FA">
        <w:rPr>
          <w:szCs w:val="24"/>
        </w:rPr>
        <w:t>Эта</w:t>
      </w:r>
      <w:r w:rsidR="006C680D" w:rsidRPr="00D337FA">
        <w:rPr>
          <w:szCs w:val="24"/>
        </w:rPr>
        <w:t xml:space="preserve"> </w:t>
      </w:r>
      <w:r w:rsidRPr="00D337FA">
        <w:rPr>
          <w:szCs w:val="24"/>
        </w:rPr>
        <w:t>ситуация</w:t>
      </w:r>
      <w:r w:rsidR="006C680D" w:rsidRPr="00D337FA">
        <w:rPr>
          <w:szCs w:val="24"/>
        </w:rPr>
        <w:t xml:space="preserve"> </w:t>
      </w:r>
      <w:r w:rsidRPr="00D337FA">
        <w:rPr>
          <w:szCs w:val="24"/>
        </w:rPr>
        <w:t>описывается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«преодоления</w:t>
      </w:r>
      <w:r w:rsidR="006C680D" w:rsidRPr="00D337FA">
        <w:rPr>
          <w:szCs w:val="24"/>
        </w:rPr>
        <w:t xml:space="preserve"> </w:t>
      </w:r>
      <w:r w:rsidRPr="00D337FA">
        <w:rPr>
          <w:szCs w:val="24"/>
        </w:rPr>
        <w:t>разрыва»,</w:t>
      </w:r>
      <w:r w:rsidR="006C680D" w:rsidRPr="00D337FA">
        <w:rPr>
          <w:szCs w:val="24"/>
        </w:rPr>
        <w:t xml:space="preserve"> </w:t>
      </w:r>
      <w:r w:rsidRPr="00D337FA">
        <w:rPr>
          <w:szCs w:val="24"/>
        </w:rPr>
        <w:t>согласно</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посредники</w:t>
      </w:r>
      <w:r w:rsidR="006C680D" w:rsidRPr="00D337FA">
        <w:rPr>
          <w:szCs w:val="24"/>
        </w:rPr>
        <w:t xml:space="preserve"> </w:t>
      </w:r>
      <w:r w:rsidRPr="00D337FA">
        <w:rPr>
          <w:szCs w:val="24"/>
        </w:rPr>
        <w:t>вынуждены</w:t>
      </w:r>
      <w:r w:rsidR="006C680D" w:rsidRPr="00D337FA">
        <w:rPr>
          <w:szCs w:val="24"/>
        </w:rPr>
        <w:t xml:space="preserve"> </w:t>
      </w:r>
      <w:r w:rsidRPr="00D337FA">
        <w:rPr>
          <w:szCs w:val="24"/>
        </w:rPr>
        <w:t>разрабатывать</w:t>
      </w:r>
      <w:r w:rsidR="006C680D" w:rsidRPr="00D337FA">
        <w:rPr>
          <w:szCs w:val="24"/>
        </w:rPr>
        <w:t xml:space="preserve"> </w:t>
      </w:r>
      <w:r w:rsidRPr="00D337FA">
        <w:rPr>
          <w:szCs w:val="24"/>
        </w:rPr>
        <w:t>специальные</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работы</w:t>
      </w:r>
      <w:r w:rsidR="006C680D" w:rsidRPr="00D337FA">
        <w:rPr>
          <w:szCs w:val="24"/>
        </w:rPr>
        <w:t xml:space="preserve"> </w:t>
      </w:r>
      <w:r w:rsidRPr="00D337FA">
        <w:rPr>
          <w:szCs w:val="24"/>
        </w:rPr>
        <w:t>с</w:t>
      </w:r>
      <w:r w:rsidR="006C680D" w:rsidRPr="00D337FA">
        <w:rPr>
          <w:szCs w:val="24"/>
        </w:rPr>
        <w:t xml:space="preserve"> </w:t>
      </w:r>
      <w:r w:rsidRPr="00D337FA">
        <w:rPr>
          <w:szCs w:val="24"/>
        </w:rPr>
        <w:t>«непрозрачными»</w:t>
      </w:r>
      <w:r w:rsidR="006C680D" w:rsidRPr="00D337FA">
        <w:rPr>
          <w:szCs w:val="24"/>
        </w:rPr>
        <w:t xml:space="preserve"> </w:t>
      </w:r>
      <w:r w:rsidRPr="00D337FA">
        <w:rPr>
          <w:szCs w:val="24"/>
        </w:rPr>
        <w:t>заемщиками</w:t>
      </w:r>
      <w:r w:rsidR="006C680D" w:rsidRPr="00D337FA">
        <w:rPr>
          <w:szCs w:val="24"/>
        </w:rPr>
        <w:t xml:space="preserve"> </w:t>
      </w:r>
      <w:r w:rsidRPr="00D337FA">
        <w:rPr>
          <w:szCs w:val="24"/>
        </w:rPr>
        <w:t>[22].</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bCs/>
          <w:szCs w:val="24"/>
        </w:rPr>
        <w:t>анализ</w:t>
      </w:r>
      <w:r w:rsidR="006C680D" w:rsidRPr="00D337FA">
        <w:rPr>
          <w:bCs/>
          <w:szCs w:val="24"/>
        </w:rPr>
        <w:t xml:space="preserve"> </w:t>
      </w:r>
      <w:r w:rsidRPr="00D337FA">
        <w:rPr>
          <w:bCs/>
          <w:szCs w:val="24"/>
        </w:rPr>
        <w:t>литературы</w:t>
      </w:r>
      <w:r w:rsidR="006C680D" w:rsidRPr="00D337FA">
        <w:rPr>
          <w:bCs/>
          <w:szCs w:val="24"/>
        </w:rPr>
        <w:t xml:space="preserve"> </w:t>
      </w:r>
      <w:r w:rsidRPr="00D337FA">
        <w:rPr>
          <w:bCs/>
          <w:szCs w:val="24"/>
        </w:rPr>
        <w:t>показывает,</w:t>
      </w:r>
      <w:r w:rsidR="006C680D" w:rsidRPr="00D337FA">
        <w:rPr>
          <w:bCs/>
          <w:szCs w:val="24"/>
        </w:rPr>
        <w:t xml:space="preserve"> </w:t>
      </w:r>
      <w:r w:rsidRPr="00D337FA">
        <w:rPr>
          <w:bCs/>
          <w:szCs w:val="24"/>
        </w:rPr>
        <w:t>что</w:t>
      </w:r>
      <w:r w:rsidR="006C680D" w:rsidRPr="00D337FA">
        <w:rPr>
          <w:bCs/>
          <w:szCs w:val="24"/>
        </w:rPr>
        <w:t xml:space="preserve"> </w:t>
      </w:r>
      <w:r w:rsidRPr="00D337FA">
        <w:rPr>
          <w:bCs/>
          <w:szCs w:val="24"/>
        </w:rPr>
        <w:t>существующие</w:t>
      </w:r>
      <w:r w:rsidR="006C680D" w:rsidRPr="00D337FA">
        <w:rPr>
          <w:bCs/>
          <w:szCs w:val="24"/>
        </w:rPr>
        <w:t xml:space="preserve"> </w:t>
      </w:r>
      <w:r w:rsidRPr="00D337FA">
        <w:rPr>
          <w:bCs/>
          <w:szCs w:val="24"/>
        </w:rPr>
        <w:t>исследования</w:t>
      </w:r>
      <w:r w:rsidR="006C680D" w:rsidRPr="00D337FA">
        <w:rPr>
          <w:bCs/>
          <w:szCs w:val="24"/>
        </w:rPr>
        <w:t xml:space="preserve"> </w:t>
      </w:r>
      <w:r w:rsidRPr="00D337FA">
        <w:rPr>
          <w:bCs/>
          <w:szCs w:val="24"/>
        </w:rPr>
        <w:t>часто</w:t>
      </w:r>
      <w:r w:rsidR="006C680D" w:rsidRPr="00D337FA">
        <w:rPr>
          <w:bCs/>
          <w:szCs w:val="24"/>
        </w:rPr>
        <w:t xml:space="preserve"> </w:t>
      </w:r>
      <w:r w:rsidRPr="00D337FA">
        <w:rPr>
          <w:bCs/>
          <w:szCs w:val="24"/>
        </w:rPr>
        <w:t>фокусируются</w:t>
      </w:r>
      <w:r w:rsidR="006C680D" w:rsidRPr="00D337FA">
        <w:rPr>
          <w:bCs/>
          <w:szCs w:val="24"/>
        </w:rPr>
        <w:t xml:space="preserve"> </w:t>
      </w:r>
      <w:r w:rsidRPr="00D337FA">
        <w:rPr>
          <w:bCs/>
          <w:szCs w:val="24"/>
        </w:rPr>
        <w:t>либо</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классических</w:t>
      </w:r>
      <w:r w:rsidR="006C680D" w:rsidRPr="00D337FA">
        <w:rPr>
          <w:bCs/>
          <w:szCs w:val="24"/>
        </w:rPr>
        <w:t xml:space="preserve"> </w:t>
      </w:r>
      <w:r w:rsidRPr="00D337FA">
        <w:rPr>
          <w:bCs/>
          <w:szCs w:val="24"/>
        </w:rPr>
        <w:t>банковских</w:t>
      </w:r>
      <w:r w:rsidR="006C680D" w:rsidRPr="00D337FA">
        <w:rPr>
          <w:bCs/>
          <w:szCs w:val="24"/>
        </w:rPr>
        <w:t xml:space="preserve"> </w:t>
      </w:r>
      <w:r w:rsidRPr="00D337FA">
        <w:rPr>
          <w:bCs/>
          <w:szCs w:val="24"/>
        </w:rPr>
        <w:t>инструментах,</w:t>
      </w:r>
      <w:r w:rsidR="006C680D" w:rsidRPr="00D337FA">
        <w:rPr>
          <w:bCs/>
          <w:szCs w:val="24"/>
        </w:rPr>
        <w:t xml:space="preserve"> </w:t>
      </w:r>
      <w:r w:rsidRPr="00D337FA">
        <w:rPr>
          <w:bCs/>
          <w:szCs w:val="24"/>
        </w:rPr>
        <w:t>либо</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финтех-решениях,</w:t>
      </w:r>
      <w:r w:rsidR="006C680D" w:rsidRPr="00D337FA">
        <w:rPr>
          <w:bCs/>
          <w:szCs w:val="24"/>
        </w:rPr>
        <w:t xml:space="preserve"> </w:t>
      </w:r>
      <w:r w:rsidRPr="00D337FA">
        <w:rPr>
          <w:bCs/>
          <w:szCs w:val="24"/>
        </w:rPr>
        <w:t>не</w:t>
      </w:r>
      <w:r w:rsidR="006C680D" w:rsidRPr="00D337FA">
        <w:rPr>
          <w:bCs/>
          <w:szCs w:val="24"/>
        </w:rPr>
        <w:t xml:space="preserve"> </w:t>
      </w:r>
      <w:r w:rsidRPr="00D337FA">
        <w:rPr>
          <w:bCs/>
          <w:szCs w:val="24"/>
        </w:rPr>
        <w:t>предлагая</w:t>
      </w:r>
      <w:r w:rsidR="006C680D" w:rsidRPr="00D337FA">
        <w:rPr>
          <w:bCs/>
          <w:szCs w:val="24"/>
        </w:rPr>
        <w:t xml:space="preserve"> </w:t>
      </w:r>
      <w:r w:rsidRPr="00D337FA">
        <w:rPr>
          <w:bCs/>
          <w:szCs w:val="24"/>
        </w:rPr>
        <w:t>интегративной</w:t>
      </w:r>
      <w:r w:rsidR="006C680D" w:rsidRPr="00D337FA">
        <w:rPr>
          <w:bCs/>
          <w:szCs w:val="24"/>
        </w:rPr>
        <w:t xml:space="preserve"> </w:t>
      </w:r>
      <w:r w:rsidRPr="00D337FA">
        <w:rPr>
          <w:bCs/>
          <w:szCs w:val="24"/>
        </w:rPr>
        <w:t>модели</w:t>
      </w:r>
      <w:r w:rsidR="006C680D" w:rsidRPr="00D337FA">
        <w:rPr>
          <w:bCs/>
          <w:szCs w:val="24"/>
        </w:rPr>
        <w:t xml:space="preserve"> </w:t>
      </w:r>
      <w:r w:rsidRPr="00D337FA">
        <w:rPr>
          <w:bCs/>
          <w:szCs w:val="24"/>
        </w:rPr>
        <w:t>их</w:t>
      </w:r>
      <w:r w:rsidR="006C680D" w:rsidRPr="00D337FA">
        <w:rPr>
          <w:bCs/>
          <w:szCs w:val="24"/>
        </w:rPr>
        <w:t xml:space="preserve"> </w:t>
      </w:r>
      <w:r w:rsidRPr="00D337FA">
        <w:rPr>
          <w:bCs/>
          <w:szCs w:val="24"/>
        </w:rPr>
        <w:t>совместного</w:t>
      </w:r>
      <w:r w:rsidR="006C680D" w:rsidRPr="00D337FA">
        <w:rPr>
          <w:bCs/>
          <w:szCs w:val="24"/>
        </w:rPr>
        <w:t xml:space="preserve"> </w:t>
      </w:r>
      <w:r w:rsidRPr="00D337FA">
        <w:rPr>
          <w:bCs/>
          <w:szCs w:val="24"/>
        </w:rPr>
        <w:t>применения</w:t>
      </w:r>
      <w:r w:rsidR="006C680D" w:rsidRPr="00D337FA">
        <w:rPr>
          <w:bCs/>
          <w:szCs w:val="24"/>
        </w:rPr>
        <w:t xml:space="preserve"> </w:t>
      </w:r>
      <w:r w:rsidRPr="00D337FA">
        <w:rPr>
          <w:bCs/>
          <w:szCs w:val="24"/>
        </w:rPr>
        <w:t>в</w:t>
      </w:r>
      <w:r w:rsidR="006C680D" w:rsidRPr="00D337FA">
        <w:rPr>
          <w:bCs/>
          <w:szCs w:val="24"/>
        </w:rPr>
        <w:t xml:space="preserve"> </w:t>
      </w:r>
      <w:r w:rsidRPr="00D337FA">
        <w:rPr>
          <w:bCs/>
          <w:szCs w:val="24"/>
        </w:rPr>
        <w:t>российской</w:t>
      </w:r>
      <w:r w:rsidR="006C680D" w:rsidRPr="00D337FA">
        <w:rPr>
          <w:bCs/>
          <w:szCs w:val="24"/>
        </w:rPr>
        <w:t xml:space="preserve"> </w:t>
      </w:r>
      <w:r w:rsidRPr="00D337FA">
        <w:rPr>
          <w:bCs/>
          <w:szCs w:val="24"/>
        </w:rPr>
        <w:t>практике.</w:t>
      </w:r>
      <w:r w:rsidR="006C680D" w:rsidRPr="00D337FA">
        <w:rPr>
          <w:b/>
          <w:bCs/>
          <w:szCs w:val="24"/>
        </w:rPr>
        <w:t xml:space="preserve"> </w:t>
      </w:r>
      <w:r w:rsidRPr="00D337FA">
        <w:rPr>
          <w:szCs w:val="24"/>
        </w:rPr>
        <w:t>Следовательно,</w:t>
      </w:r>
      <w:r w:rsidR="006C680D" w:rsidRPr="00D337FA">
        <w:rPr>
          <w:szCs w:val="24"/>
        </w:rPr>
        <w:t xml:space="preserve"> </w:t>
      </w:r>
      <w:r w:rsidRPr="00D337FA">
        <w:rPr>
          <w:szCs w:val="24"/>
        </w:rPr>
        <w:t>классическая</w:t>
      </w:r>
      <w:r w:rsidR="006C680D" w:rsidRPr="00D337FA">
        <w:rPr>
          <w:szCs w:val="24"/>
        </w:rPr>
        <w:t xml:space="preserve"> </w:t>
      </w:r>
      <w:r w:rsidRPr="00D337FA">
        <w:rPr>
          <w:szCs w:val="24"/>
        </w:rPr>
        <w:t>модель</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кредитования,</w:t>
      </w:r>
      <w:r w:rsidR="006C680D" w:rsidRPr="00D337FA">
        <w:rPr>
          <w:szCs w:val="24"/>
        </w:rPr>
        <w:t xml:space="preserve"> </w:t>
      </w:r>
      <w:r w:rsidRPr="00D337FA">
        <w:rPr>
          <w:szCs w:val="24"/>
        </w:rPr>
        <w:t>основанная</w:t>
      </w:r>
      <w:r w:rsidR="006C680D" w:rsidRPr="00D337FA">
        <w:rPr>
          <w:szCs w:val="24"/>
        </w:rPr>
        <w:t xml:space="preserve"> </w:t>
      </w:r>
      <w:r w:rsidRPr="00D337FA">
        <w:rPr>
          <w:szCs w:val="24"/>
        </w:rPr>
        <w:t>на</w:t>
      </w:r>
      <w:r w:rsidR="006C680D" w:rsidRPr="00D337FA">
        <w:rPr>
          <w:szCs w:val="24"/>
        </w:rPr>
        <w:t xml:space="preserve"> </w:t>
      </w:r>
      <w:r w:rsidRPr="00D337FA">
        <w:rPr>
          <w:szCs w:val="24"/>
        </w:rPr>
        <w:t>анализе</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отчетности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стоимости</w:t>
      </w:r>
      <w:r w:rsidR="006C680D" w:rsidRPr="00D337FA">
        <w:rPr>
          <w:szCs w:val="24"/>
        </w:rPr>
        <w:t xml:space="preserve"> </w:t>
      </w:r>
      <w:r w:rsidRPr="00D337FA">
        <w:rPr>
          <w:szCs w:val="24"/>
        </w:rPr>
        <w:t>активов,</w:t>
      </w:r>
      <w:r w:rsidR="006C680D" w:rsidRPr="00D337FA">
        <w:rPr>
          <w:szCs w:val="24"/>
        </w:rPr>
        <w:t xml:space="preserve"> </w:t>
      </w:r>
      <w:r w:rsidRPr="00D337FA">
        <w:rPr>
          <w:szCs w:val="24"/>
        </w:rPr>
        <w:t>оказывается</w:t>
      </w:r>
      <w:r w:rsidR="006C680D" w:rsidRPr="00D337FA">
        <w:rPr>
          <w:szCs w:val="24"/>
        </w:rPr>
        <w:t xml:space="preserve"> </w:t>
      </w:r>
      <w:r w:rsidRPr="00D337FA">
        <w:rPr>
          <w:szCs w:val="24"/>
        </w:rPr>
        <w:t>малоэффективной</w:t>
      </w:r>
      <w:r w:rsidR="006C680D" w:rsidRPr="00D337FA">
        <w:rPr>
          <w:szCs w:val="24"/>
        </w:rPr>
        <w:t xml:space="preserve"> </w:t>
      </w:r>
      <w:r w:rsidRPr="00D337FA">
        <w:rPr>
          <w:szCs w:val="24"/>
        </w:rPr>
        <w:t>для</w:t>
      </w:r>
      <w:r w:rsidR="006C680D" w:rsidRPr="00D337FA">
        <w:rPr>
          <w:szCs w:val="24"/>
        </w:rPr>
        <w:t xml:space="preserve"> </w:t>
      </w:r>
      <w:r w:rsidRPr="00D337FA">
        <w:rPr>
          <w:szCs w:val="24"/>
        </w:rPr>
        <w:t>сегмента</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что</w:t>
      </w:r>
      <w:r w:rsidR="006C680D" w:rsidRPr="00D337FA">
        <w:rPr>
          <w:szCs w:val="24"/>
        </w:rPr>
        <w:t xml:space="preserve"> </w:t>
      </w:r>
      <w:r w:rsidRPr="00D337FA">
        <w:rPr>
          <w:szCs w:val="24"/>
        </w:rPr>
        <w:t>требует</w:t>
      </w:r>
      <w:r w:rsidR="006C680D" w:rsidRPr="00D337FA">
        <w:rPr>
          <w:szCs w:val="24"/>
        </w:rPr>
        <w:t xml:space="preserve"> </w:t>
      </w:r>
      <w:r w:rsidRPr="00D337FA">
        <w:rPr>
          <w:szCs w:val="24"/>
        </w:rPr>
        <w:t>разработки</w:t>
      </w:r>
      <w:r w:rsidR="006C680D" w:rsidRPr="00D337FA">
        <w:rPr>
          <w:szCs w:val="24"/>
        </w:rPr>
        <w:t xml:space="preserve"> </w:t>
      </w:r>
      <w:r w:rsidRPr="00D337FA">
        <w:rPr>
          <w:szCs w:val="24"/>
        </w:rPr>
        <w:t>альтернативных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к</w:t>
      </w:r>
      <w:r w:rsidR="006C680D" w:rsidRPr="00D337FA">
        <w:rPr>
          <w:szCs w:val="24"/>
        </w:rPr>
        <w:t xml:space="preserve"> </w:t>
      </w:r>
      <w:r w:rsidRPr="00D337FA">
        <w:rPr>
          <w:szCs w:val="24"/>
        </w:rPr>
        <w:t>оценке</w:t>
      </w:r>
      <w:r w:rsidR="006C680D" w:rsidRPr="00D337FA">
        <w:rPr>
          <w:szCs w:val="24"/>
        </w:rPr>
        <w:t xml:space="preserve"> </w:t>
      </w:r>
      <w:r w:rsidRPr="00D337FA">
        <w:rPr>
          <w:szCs w:val="24"/>
        </w:rPr>
        <w:t>рисков.</w:t>
      </w:r>
      <w:r w:rsidR="006C680D" w:rsidRPr="00D337FA">
        <w:rPr>
          <w:rFonts w:ascii="Segoe UI" w:hAnsi="Segoe UI" w:cs="Segoe UI"/>
          <w:szCs w:val="24"/>
          <w:shd w:val="clear" w:color="auto" w:fill="FFFFFF"/>
        </w:rPr>
        <w:t xml:space="preserve"> </w:t>
      </w:r>
    </w:p>
    <w:p w:rsidR="00256E85" w:rsidRPr="00D337FA" w:rsidRDefault="00256E85" w:rsidP="00256E85">
      <w:pPr>
        <w:ind w:firstLine="284"/>
        <w:rPr>
          <w:szCs w:val="24"/>
        </w:rPr>
      </w:pPr>
      <w:r w:rsidRPr="00D337FA">
        <w:rPr>
          <w:szCs w:val="24"/>
        </w:rPr>
        <w:t>Вопросы</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рассмотрены</w:t>
      </w:r>
      <w:r w:rsidR="006C680D" w:rsidRPr="00D337FA">
        <w:rPr>
          <w:szCs w:val="24"/>
        </w:rPr>
        <w:t xml:space="preserve"> </w:t>
      </w:r>
      <w:r w:rsidRPr="00D337FA">
        <w:rPr>
          <w:szCs w:val="24"/>
        </w:rPr>
        <w:t>в</w:t>
      </w:r>
      <w:r w:rsidR="006C680D" w:rsidRPr="00D337FA">
        <w:rPr>
          <w:szCs w:val="24"/>
        </w:rPr>
        <w:t xml:space="preserve"> </w:t>
      </w:r>
      <w:r w:rsidRPr="00D337FA">
        <w:rPr>
          <w:szCs w:val="24"/>
        </w:rPr>
        <w:t>работах</w:t>
      </w:r>
      <w:r w:rsidR="006C680D" w:rsidRPr="00D337FA">
        <w:rPr>
          <w:szCs w:val="24"/>
        </w:rPr>
        <w:t xml:space="preserve"> </w:t>
      </w:r>
      <w:r w:rsidRPr="00D337FA">
        <w:rPr>
          <w:szCs w:val="24"/>
        </w:rPr>
        <w:t>ряда</w:t>
      </w:r>
      <w:r w:rsidR="006C680D" w:rsidRPr="00D337FA">
        <w:rPr>
          <w:szCs w:val="24"/>
        </w:rPr>
        <w:t xml:space="preserve"> </w:t>
      </w:r>
      <w:r w:rsidRPr="00D337FA">
        <w:rPr>
          <w:szCs w:val="24"/>
        </w:rPr>
        <w:t>российских</w:t>
      </w:r>
      <w:r w:rsidR="006C680D" w:rsidRPr="00D337FA">
        <w:rPr>
          <w:szCs w:val="24"/>
        </w:rPr>
        <w:t xml:space="preserve"> </w:t>
      </w:r>
      <w:r w:rsidRPr="00D337FA">
        <w:rPr>
          <w:szCs w:val="24"/>
        </w:rPr>
        <w:t>исследователей:</w:t>
      </w:r>
      <w:r w:rsidR="006C680D" w:rsidRPr="00D337FA">
        <w:rPr>
          <w:szCs w:val="24"/>
        </w:rPr>
        <w:t xml:space="preserve"> </w:t>
      </w:r>
      <w:r w:rsidRPr="00D337FA">
        <w:rPr>
          <w:szCs w:val="24"/>
        </w:rPr>
        <w:t>Д.А.</w:t>
      </w:r>
      <w:r w:rsidR="006C680D" w:rsidRPr="00D337FA">
        <w:rPr>
          <w:szCs w:val="24"/>
        </w:rPr>
        <w:t xml:space="preserve"> </w:t>
      </w:r>
      <w:r w:rsidRPr="00D337FA">
        <w:rPr>
          <w:szCs w:val="24"/>
        </w:rPr>
        <w:t>Шевченко</w:t>
      </w:r>
      <w:r w:rsidR="006C680D" w:rsidRPr="00D337FA">
        <w:rPr>
          <w:szCs w:val="24"/>
        </w:rPr>
        <w:t xml:space="preserve"> </w:t>
      </w:r>
      <w:r w:rsidRPr="00D337FA">
        <w:rPr>
          <w:szCs w:val="24"/>
        </w:rPr>
        <w:t>[18],</w:t>
      </w:r>
      <w:r w:rsidR="006C680D" w:rsidRPr="00D337FA">
        <w:rPr>
          <w:szCs w:val="24"/>
        </w:rPr>
        <w:t xml:space="preserve"> </w:t>
      </w:r>
      <w:r w:rsidRPr="00D337FA">
        <w:rPr>
          <w:szCs w:val="24"/>
        </w:rPr>
        <w:t>Т.Р.</w:t>
      </w:r>
      <w:r w:rsidR="006C680D" w:rsidRPr="00D337FA">
        <w:rPr>
          <w:szCs w:val="24"/>
        </w:rPr>
        <w:t xml:space="preserve"> </w:t>
      </w:r>
      <w:r w:rsidRPr="00D337FA">
        <w:rPr>
          <w:szCs w:val="24"/>
        </w:rPr>
        <w:t>Урумова</w:t>
      </w:r>
      <w:r w:rsidR="006C680D" w:rsidRPr="00D337FA">
        <w:rPr>
          <w:szCs w:val="24"/>
        </w:rPr>
        <w:t xml:space="preserve"> </w:t>
      </w:r>
      <w:r w:rsidRPr="00D337FA">
        <w:rPr>
          <w:szCs w:val="24"/>
        </w:rPr>
        <w:t>[15],</w:t>
      </w:r>
      <w:r w:rsidR="006C680D" w:rsidRPr="00D337FA">
        <w:rPr>
          <w:szCs w:val="24"/>
        </w:rPr>
        <w:t xml:space="preserve"> </w:t>
      </w:r>
      <w:r w:rsidRPr="00D337FA">
        <w:rPr>
          <w:szCs w:val="24"/>
        </w:rPr>
        <w:t>А.Ю.</w:t>
      </w:r>
      <w:r w:rsidR="006C680D" w:rsidRPr="00D337FA">
        <w:rPr>
          <w:szCs w:val="24"/>
        </w:rPr>
        <w:t xml:space="preserve"> </w:t>
      </w:r>
      <w:r w:rsidRPr="00D337FA">
        <w:rPr>
          <w:szCs w:val="24"/>
        </w:rPr>
        <w:t>Аджиевой</w:t>
      </w:r>
      <w:r w:rsidR="006C680D" w:rsidRPr="00D337FA">
        <w:rPr>
          <w:szCs w:val="24"/>
        </w:rPr>
        <w:t xml:space="preserve"> </w:t>
      </w:r>
      <w:r w:rsidRPr="00D337FA">
        <w:rPr>
          <w:szCs w:val="24"/>
        </w:rPr>
        <w:t>[2],</w:t>
      </w:r>
      <w:r w:rsidR="006C680D" w:rsidRPr="00D337FA">
        <w:rPr>
          <w:szCs w:val="24"/>
        </w:rPr>
        <w:t xml:space="preserve"> </w:t>
      </w:r>
      <w:r w:rsidRPr="00D337FA">
        <w:rPr>
          <w:szCs w:val="24"/>
        </w:rPr>
        <w:t>Б.Е.</w:t>
      </w:r>
      <w:r w:rsidR="006C680D" w:rsidRPr="00D337FA">
        <w:rPr>
          <w:szCs w:val="24"/>
        </w:rPr>
        <w:t xml:space="preserve"> </w:t>
      </w:r>
      <w:r w:rsidRPr="00D337FA">
        <w:rPr>
          <w:szCs w:val="24"/>
        </w:rPr>
        <w:t>Зарицкого</w:t>
      </w:r>
      <w:r w:rsidR="006C680D" w:rsidRPr="00D337FA">
        <w:rPr>
          <w:szCs w:val="24"/>
        </w:rPr>
        <w:t xml:space="preserve"> </w:t>
      </w:r>
      <w:r w:rsidRPr="00D337FA">
        <w:rPr>
          <w:szCs w:val="24"/>
        </w:rPr>
        <w:t>[5],</w:t>
      </w:r>
      <w:r w:rsidR="006C680D" w:rsidRPr="00D337FA">
        <w:rPr>
          <w:szCs w:val="24"/>
        </w:rPr>
        <w:t xml:space="preserve"> </w:t>
      </w:r>
      <w:r w:rsidRPr="00D337FA">
        <w:rPr>
          <w:szCs w:val="24"/>
        </w:rPr>
        <w:t>И.Ю.</w:t>
      </w:r>
      <w:r w:rsidR="006C680D" w:rsidRPr="00D337FA">
        <w:rPr>
          <w:szCs w:val="24"/>
        </w:rPr>
        <w:t xml:space="preserve"> </w:t>
      </w:r>
      <w:r w:rsidRPr="00D337FA">
        <w:rPr>
          <w:szCs w:val="24"/>
        </w:rPr>
        <w:t>Смирновой</w:t>
      </w:r>
      <w:r w:rsidR="006C680D" w:rsidRPr="00D337FA">
        <w:rPr>
          <w:szCs w:val="24"/>
        </w:rPr>
        <w:t xml:space="preserve"> </w:t>
      </w:r>
      <w:r w:rsidRPr="00D337FA">
        <w:rPr>
          <w:szCs w:val="24"/>
        </w:rPr>
        <w:t>[12].</w:t>
      </w:r>
      <w:r w:rsidR="006C680D" w:rsidRPr="00D337FA">
        <w:rPr>
          <w:szCs w:val="24"/>
        </w:rPr>
        <w:t xml:space="preserve"> </w:t>
      </w:r>
      <w:r w:rsidRPr="00D337FA">
        <w:rPr>
          <w:szCs w:val="24"/>
        </w:rPr>
        <w:t>В</w:t>
      </w:r>
      <w:r w:rsidR="006C680D" w:rsidRPr="00D337FA">
        <w:rPr>
          <w:szCs w:val="24"/>
        </w:rPr>
        <w:t xml:space="preserve"> </w:t>
      </w:r>
      <w:r w:rsidRPr="00D337FA">
        <w:rPr>
          <w:szCs w:val="24"/>
        </w:rPr>
        <w:t>них</w:t>
      </w:r>
      <w:r w:rsidR="006C680D" w:rsidRPr="00D337FA">
        <w:rPr>
          <w:szCs w:val="24"/>
        </w:rPr>
        <w:t xml:space="preserve"> </w:t>
      </w:r>
      <w:r w:rsidRPr="00D337FA">
        <w:rPr>
          <w:szCs w:val="24"/>
        </w:rPr>
        <w:t>рассматриваются</w:t>
      </w:r>
      <w:r w:rsidR="006C680D" w:rsidRPr="00D337FA">
        <w:rPr>
          <w:szCs w:val="24"/>
        </w:rPr>
        <w:t xml:space="preserve"> </w:t>
      </w:r>
      <w:r w:rsidRPr="00D337FA">
        <w:rPr>
          <w:szCs w:val="24"/>
        </w:rPr>
        <w:t>теоретические</w:t>
      </w:r>
      <w:r w:rsidR="006C680D" w:rsidRPr="00D337FA">
        <w:rPr>
          <w:szCs w:val="24"/>
        </w:rPr>
        <w:t xml:space="preserve"> </w:t>
      </w:r>
      <w:r w:rsidRPr="00D337FA">
        <w:rPr>
          <w:szCs w:val="24"/>
        </w:rPr>
        <w:t>подходы</w:t>
      </w:r>
      <w:r w:rsidR="006C680D" w:rsidRPr="00D337FA">
        <w:rPr>
          <w:szCs w:val="24"/>
        </w:rPr>
        <w:t xml:space="preserve"> </w:t>
      </w:r>
      <w:r w:rsidRPr="00D337FA">
        <w:rPr>
          <w:szCs w:val="24"/>
        </w:rPr>
        <w:t>к</w:t>
      </w:r>
      <w:r w:rsidR="006C680D" w:rsidRPr="00D337FA">
        <w:rPr>
          <w:szCs w:val="24"/>
        </w:rPr>
        <w:t xml:space="preserve"> </w:t>
      </w:r>
      <w:r w:rsidRPr="00D337FA">
        <w:rPr>
          <w:szCs w:val="24"/>
        </w:rPr>
        <w:t>трактовке</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и</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предпринимательства,</w:t>
      </w:r>
      <w:r w:rsidR="006C680D" w:rsidRPr="00D337FA">
        <w:rPr>
          <w:szCs w:val="24"/>
        </w:rPr>
        <w:t xml:space="preserve"> </w:t>
      </w:r>
      <w:r w:rsidRPr="00D337FA">
        <w:rPr>
          <w:szCs w:val="24"/>
        </w:rPr>
        <w:t>вопросы</w:t>
      </w:r>
      <w:r w:rsidR="006C680D" w:rsidRPr="00D337FA">
        <w:rPr>
          <w:szCs w:val="24"/>
        </w:rPr>
        <w:t xml:space="preserve"> </w:t>
      </w:r>
      <w:r w:rsidRPr="00D337FA">
        <w:rPr>
          <w:szCs w:val="24"/>
        </w:rPr>
        <w:t>роли</w:t>
      </w:r>
      <w:r w:rsidR="006C680D" w:rsidRPr="00D337FA">
        <w:rPr>
          <w:szCs w:val="24"/>
        </w:rPr>
        <w:t xml:space="preserve"> </w:t>
      </w:r>
      <w:r w:rsidRPr="00D337FA">
        <w:rPr>
          <w:szCs w:val="24"/>
        </w:rPr>
        <w:t>кредитования</w:t>
      </w:r>
      <w:r w:rsidR="006C680D" w:rsidRPr="00D337FA">
        <w:rPr>
          <w:szCs w:val="24"/>
        </w:rPr>
        <w:t xml:space="preserve"> </w:t>
      </w:r>
      <w:r w:rsidRPr="00D337FA">
        <w:rPr>
          <w:szCs w:val="24"/>
        </w:rPr>
        <w:t>в</w:t>
      </w:r>
      <w:r w:rsidR="006C680D" w:rsidRPr="00D337FA">
        <w:rPr>
          <w:szCs w:val="24"/>
        </w:rPr>
        <w:t xml:space="preserve"> </w:t>
      </w:r>
      <w:r w:rsidRPr="00D337FA">
        <w:rPr>
          <w:szCs w:val="24"/>
        </w:rPr>
        <w:t>их</w:t>
      </w:r>
      <w:r w:rsidR="006C680D" w:rsidRPr="00D337FA">
        <w:rPr>
          <w:szCs w:val="24"/>
        </w:rPr>
        <w:t xml:space="preserve"> </w:t>
      </w:r>
      <w:r w:rsidRPr="00D337FA">
        <w:rPr>
          <w:szCs w:val="24"/>
        </w:rPr>
        <w:t>развитии,</w:t>
      </w:r>
      <w:r w:rsidR="006C680D" w:rsidRPr="00D337FA">
        <w:rPr>
          <w:szCs w:val="24"/>
        </w:rPr>
        <w:t xml:space="preserve"> </w:t>
      </w:r>
      <w:r w:rsidRPr="00D337FA">
        <w:rPr>
          <w:szCs w:val="24"/>
        </w:rPr>
        <w:t>доступности</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барьеров</w:t>
      </w:r>
      <w:r w:rsidR="006C680D" w:rsidRPr="00D337FA">
        <w:rPr>
          <w:szCs w:val="24"/>
        </w:rPr>
        <w:t xml:space="preserve"> </w:t>
      </w:r>
      <w:r w:rsidRPr="00D337FA">
        <w:rPr>
          <w:szCs w:val="24"/>
        </w:rPr>
        <w:t>кредитования,</w:t>
      </w:r>
      <w:r w:rsidR="006C680D" w:rsidRPr="00D337FA">
        <w:rPr>
          <w:szCs w:val="24"/>
        </w:rPr>
        <w:t xml:space="preserve"> </w:t>
      </w:r>
      <w:r w:rsidRPr="00D337FA">
        <w:rPr>
          <w:szCs w:val="24"/>
        </w:rPr>
        <w:t>зарубежного</w:t>
      </w:r>
      <w:r w:rsidR="006C680D" w:rsidRPr="00D337FA">
        <w:rPr>
          <w:szCs w:val="24"/>
        </w:rPr>
        <w:t xml:space="preserve"> </w:t>
      </w:r>
      <w:r w:rsidRPr="00D337FA">
        <w:rPr>
          <w:szCs w:val="24"/>
        </w:rPr>
        <w:t>опыта</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в</w:t>
      </w:r>
      <w:r w:rsidR="006C680D" w:rsidRPr="00D337FA">
        <w:rPr>
          <w:szCs w:val="24"/>
        </w:rPr>
        <w:t xml:space="preserve"> </w:t>
      </w:r>
      <w:r w:rsidRPr="00D337FA">
        <w:rPr>
          <w:szCs w:val="24"/>
        </w:rPr>
        <w:t>исследованиях</w:t>
      </w:r>
      <w:r w:rsidR="006C680D" w:rsidRPr="00D337FA">
        <w:rPr>
          <w:szCs w:val="24"/>
        </w:rPr>
        <w:t xml:space="preserve"> </w:t>
      </w:r>
      <w:r w:rsidRPr="00D337FA">
        <w:rPr>
          <w:szCs w:val="24"/>
        </w:rPr>
        <w:t>не</w:t>
      </w:r>
      <w:r w:rsidR="006C680D" w:rsidRPr="00D337FA">
        <w:rPr>
          <w:szCs w:val="24"/>
        </w:rPr>
        <w:t xml:space="preserve"> </w:t>
      </w:r>
      <w:r w:rsidRPr="00D337FA">
        <w:rPr>
          <w:szCs w:val="24"/>
        </w:rPr>
        <w:t>проводится</w:t>
      </w:r>
      <w:r w:rsidR="006C680D" w:rsidRPr="00D337FA">
        <w:rPr>
          <w:szCs w:val="24"/>
        </w:rPr>
        <w:t xml:space="preserve"> </w:t>
      </w:r>
      <w:r w:rsidRPr="00D337FA">
        <w:rPr>
          <w:szCs w:val="24"/>
        </w:rPr>
        <w:t>комплексный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форм</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российских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не</w:t>
      </w:r>
      <w:r w:rsidR="006C680D" w:rsidRPr="00D337FA">
        <w:rPr>
          <w:szCs w:val="24"/>
        </w:rPr>
        <w:t xml:space="preserve"> </w:t>
      </w:r>
      <w:r w:rsidRPr="00D337FA">
        <w:rPr>
          <w:szCs w:val="24"/>
        </w:rPr>
        <w:t>выявляются</w:t>
      </w:r>
      <w:r w:rsidR="006C680D" w:rsidRPr="00D337FA">
        <w:rPr>
          <w:szCs w:val="24"/>
        </w:rPr>
        <w:t xml:space="preserve"> </w:t>
      </w:r>
      <w:r w:rsidRPr="00D337FA">
        <w:rPr>
          <w:szCs w:val="24"/>
        </w:rPr>
        <w:t>тенденции</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и</w:t>
      </w:r>
      <w:r w:rsidR="006C680D" w:rsidRPr="00D337FA">
        <w:rPr>
          <w:szCs w:val="24"/>
        </w:rPr>
        <w:t xml:space="preserve"> </w:t>
      </w:r>
      <w:r w:rsidRPr="00D337FA">
        <w:rPr>
          <w:szCs w:val="24"/>
        </w:rPr>
        <w:t>проблемы,</w:t>
      </w:r>
      <w:r w:rsidR="006C680D" w:rsidRPr="00D337FA">
        <w:rPr>
          <w:szCs w:val="24"/>
        </w:rPr>
        <w:t xml:space="preserve"> </w:t>
      </w:r>
      <w:r w:rsidRPr="00D337FA">
        <w:rPr>
          <w:szCs w:val="24"/>
        </w:rPr>
        <w:t>ограничивающие</w:t>
      </w:r>
      <w:r w:rsidR="006C680D" w:rsidRPr="00D337FA">
        <w:rPr>
          <w:szCs w:val="24"/>
        </w:rPr>
        <w:t xml:space="preserve"> </w:t>
      </w:r>
      <w:r w:rsidRPr="00D337FA">
        <w:rPr>
          <w:szCs w:val="24"/>
        </w:rPr>
        <w:t>эффективное</w:t>
      </w:r>
      <w:r w:rsidR="006C680D" w:rsidRPr="00D337FA">
        <w:rPr>
          <w:szCs w:val="24"/>
        </w:rPr>
        <w:t xml:space="preserve"> </w:t>
      </w:r>
      <w:r w:rsidRPr="00D337FA">
        <w:rPr>
          <w:szCs w:val="24"/>
        </w:rPr>
        <w:t>взаимодействие</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и</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не</w:t>
      </w:r>
      <w:r w:rsidR="006C680D" w:rsidRPr="00D337FA">
        <w:rPr>
          <w:szCs w:val="24"/>
        </w:rPr>
        <w:t xml:space="preserve"> </w:t>
      </w:r>
      <w:r w:rsidRPr="00D337FA">
        <w:rPr>
          <w:szCs w:val="24"/>
        </w:rPr>
        <w:t>обосновываются</w:t>
      </w:r>
      <w:r w:rsidR="006C680D" w:rsidRPr="00D337FA">
        <w:rPr>
          <w:szCs w:val="24"/>
        </w:rPr>
        <w:t xml:space="preserve"> </w:t>
      </w:r>
      <w:r w:rsidRPr="00D337FA">
        <w:rPr>
          <w:szCs w:val="24"/>
        </w:rPr>
        <w:t>перспективные</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lastRenderedPageBreak/>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экономики</w:t>
      </w:r>
      <w:r w:rsidR="006C680D" w:rsidRPr="00D337FA">
        <w:rPr>
          <w:szCs w:val="24"/>
        </w:rPr>
        <w:t xml:space="preserve"> </w:t>
      </w:r>
      <w:r w:rsidRPr="00D337FA">
        <w:rPr>
          <w:szCs w:val="24"/>
        </w:rPr>
        <w:t>России.</w:t>
      </w:r>
      <w:r w:rsidR="006C680D" w:rsidRPr="00D337FA">
        <w:rPr>
          <w:szCs w:val="24"/>
        </w:rPr>
        <w:t xml:space="preserve">   </w:t>
      </w:r>
    </w:p>
    <w:p w:rsidR="00256E85" w:rsidRPr="00D337FA" w:rsidRDefault="00256E85" w:rsidP="00256E85">
      <w:pPr>
        <w:ind w:firstLine="284"/>
        <w:rPr>
          <w:szCs w:val="24"/>
        </w:rPr>
      </w:pPr>
      <w:r w:rsidRPr="00D337FA">
        <w:rPr>
          <w:szCs w:val="24"/>
        </w:rPr>
        <w:t>Исторически</w:t>
      </w:r>
      <w:r w:rsidR="006C680D" w:rsidRPr="00D337FA">
        <w:rPr>
          <w:szCs w:val="24"/>
        </w:rPr>
        <w:t xml:space="preserve"> </w:t>
      </w:r>
      <w:r w:rsidRPr="00D337FA">
        <w:rPr>
          <w:szCs w:val="24"/>
        </w:rPr>
        <w:t>роль</w:t>
      </w:r>
      <w:r w:rsidR="006C680D" w:rsidRPr="00D337FA">
        <w:rPr>
          <w:szCs w:val="24"/>
        </w:rPr>
        <w:t xml:space="preserve"> </w:t>
      </w:r>
      <w:r w:rsidRPr="00D337FA">
        <w:rPr>
          <w:szCs w:val="24"/>
        </w:rPr>
        <w:t>коммерческих</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в</w:t>
      </w:r>
      <w:r w:rsidR="006C680D" w:rsidRPr="00D337FA">
        <w:rPr>
          <w:szCs w:val="24"/>
        </w:rPr>
        <w:t xml:space="preserve"> </w:t>
      </w:r>
      <w:r w:rsidRPr="00D337FA">
        <w:rPr>
          <w:szCs w:val="24"/>
        </w:rPr>
        <w:t>отношении</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сводилась</w:t>
      </w:r>
      <w:r w:rsidR="006C680D" w:rsidRPr="00D337FA">
        <w:rPr>
          <w:szCs w:val="24"/>
        </w:rPr>
        <w:t xml:space="preserve"> </w:t>
      </w:r>
      <w:r w:rsidRPr="00D337FA">
        <w:rPr>
          <w:szCs w:val="24"/>
        </w:rPr>
        <w:t>преимущественно</w:t>
      </w:r>
      <w:r w:rsidR="006C680D" w:rsidRPr="00D337FA">
        <w:rPr>
          <w:szCs w:val="24"/>
        </w:rPr>
        <w:t xml:space="preserve"> </w:t>
      </w:r>
      <w:r w:rsidRPr="00D337FA">
        <w:rPr>
          <w:szCs w:val="24"/>
        </w:rPr>
        <w:t>к</w:t>
      </w:r>
      <w:r w:rsidR="006C680D" w:rsidRPr="00D337FA">
        <w:rPr>
          <w:szCs w:val="24"/>
        </w:rPr>
        <w:t xml:space="preserve"> </w:t>
      </w:r>
      <w:r w:rsidRPr="00D337FA">
        <w:rPr>
          <w:szCs w:val="24"/>
        </w:rPr>
        <w:t>предоставлению</w:t>
      </w:r>
      <w:r w:rsidR="006C680D" w:rsidRPr="00D337FA">
        <w:rPr>
          <w:szCs w:val="24"/>
        </w:rPr>
        <w:t xml:space="preserve"> </w:t>
      </w:r>
      <w:r w:rsidRPr="00D337FA">
        <w:rPr>
          <w:szCs w:val="24"/>
        </w:rPr>
        <w:t>краткосрочных</w:t>
      </w:r>
      <w:r w:rsidR="006C680D" w:rsidRPr="00D337FA">
        <w:rPr>
          <w:szCs w:val="24"/>
        </w:rPr>
        <w:t xml:space="preserve"> </w:t>
      </w:r>
      <w:r w:rsidRPr="00D337FA">
        <w:rPr>
          <w:szCs w:val="24"/>
        </w:rPr>
        <w:t>кредитов</w:t>
      </w:r>
      <w:r w:rsidR="006C680D" w:rsidRPr="00D337FA">
        <w:rPr>
          <w:szCs w:val="24"/>
        </w:rPr>
        <w:t xml:space="preserve"> </w:t>
      </w:r>
      <w:r w:rsidRPr="00D337FA">
        <w:rPr>
          <w:szCs w:val="24"/>
        </w:rPr>
        <w:t>на</w:t>
      </w:r>
      <w:r w:rsidR="006C680D" w:rsidRPr="00D337FA">
        <w:rPr>
          <w:szCs w:val="24"/>
        </w:rPr>
        <w:t xml:space="preserve"> </w:t>
      </w:r>
      <w:r w:rsidRPr="00D337FA">
        <w:rPr>
          <w:szCs w:val="24"/>
        </w:rPr>
        <w:t>пополнение</w:t>
      </w:r>
      <w:r w:rsidR="006C680D" w:rsidRPr="00D337FA">
        <w:rPr>
          <w:szCs w:val="24"/>
        </w:rPr>
        <w:t xml:space="preserve"> </w:t>
      </w:r>
      <w:r w:rsidRPr="00D337FA">
        <w:rPr>
          <w:szCs w:val="24"/>
        </w:rPr>
        <w:t>оборотных</w:t>
      </w:r>
      <w:r w:rsidR="006C680D" w:rsidRPr="00D337FA">
        <w:rPr>
          <w:szCs w:val="24"/>
        </w:rPr>
        <w:t xml:space="preserve"> </w:t>
      </w:r>
      <w:r w:rsidRPr="00D337FA">
        <w:rPr>
          <w:szCs w:val="24"/>
        </w:rPr>
        <w:t>средств</w:t>
      </w:r>
      <w:r w:rsidR="006C680D" w:rsidRPr="00D337FA">
        <w:rPr>
          <w:szCs w:val="24"/>
        </w:rPr>
        <w:t xml:space="preserve"> </w:t>
      </w:r>
      <w:r w:rsidRPr="00D337FA">
        <w:rPr>
          <w:szCs w:val="24"/>
        </w:rPr>
        <w:t>и</w:t>
      </w:r>
      <w:r w:rsidR="006C680D" w:rsidRPr="00D337FA">
        <w:rPr>
          <w:szCs w:val="24"/>
        </w:rPr>
        <w:t xml:space="preserve"> </w:t>
      </w:r>
      <w:r w:rsidRPr="00D337FA">
        <w:rPr>
          <w:szCs w:val="24"/>
        </w:rPr>
        <w:t>обслуживанию</w:t>
      </w:r>
      <w:r w:rsidR="006C680D" w:rsidRPr="00D337FA">
        <w:rPr>
          <w:szCs w:val="24"/>
        </w:rPr>
        <w:t xml:space="preserve"> </w:t>
      </w:r>
      <w:r w:rsidRPr="00D337FA">
        <w:rPr>
          <w:szCs w:val="24"/>
        </w:rPr>
        <w:t>расчетных</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в</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десятилетия</w:t>
      </w:r>
      <w:r w:rsidR="006C680D" w:rsidRPr="00D337FA">
        <w:rPr>
          <w:szCs w:val="24"/>
        </w:rPr>
        <w:t xml:space="preserve"> </w:t>
      </w:r>
      <w:r w:rsidRPr="00D337FA">
        <w:rPr>
          <w:szCs w:val="24"/>
        </w:rPr>
        <w:t>теоретическая</w:t>
      </w:r>
      <w:r w:rsidR="006C680D" w:rsidRPr="00D337FA">
        <w:rPr>
          <w:szCs w:val="24"/>
        </w:rPr>
        <w:t xml:space="preserve"> </w:t>
      </w:r>
      <w:r w:rsidRPr="00D337FA">
        <w:rPr>
          <w:szCs w:val="24"/>
        </w:rPr>
        <w:t>парадигма</w:t>
      </w:r>
      <w:r w:rsidR="006C680D" w:rsidRPr="00D337FA">
        <w:rPr>
          <w:szCs w:val="24"/>
        </w:rPr>
        <w:t xml:space="preserve"> </w:t>
      </w:r>
      <w:r w:rsidRPr="00D337FA">
        <w:rPr>
          <w:szCs w:val="24"/>
        </w:rPr>
        <w:t>подверглась</w:t>
      </w:r>
      <w:r w:rsidR="006C680D" w:rsidRPr="00D337FA">
        <w:rPr>
          <w:szCs w:val="24"/>
        </w:rPr>
        <w:t xml:space="preserve"> </w:t>
      </w:r>
      <w:r w:rsidRPr="00D337FA">
        <w:rPr>
          <w:szCs w:val="24"/>
        </w:rPr>
        <w:t>существенной</w:t>
      </w:r>
      <w:r w:rsidR="006C680D" w:rsidRPr="00D337FA">
        <w:rPr>
          <w:szCs w:val="24"/>
        </w:rPr>
        <w:t xml:space="preserve"> </w:t>
      </w:r>
      <w:r w:rsidRPr="00D337FA">
        <w:rPr>
          <w:szCs w:val="24"/>
        </w:rPr>
        <w:t>корректировке.</w:t>
      </w:r>
      <w:r w:rsidR="006C680D" w:rsidRPr="00D337FA">
        <w:rPr>
          <w:szCs w:val="24"/>
        </w:rPr>
        <w:t xml:space="preserve"> </w:t>
      </w:r>
      <w:r w:rsidRPr="00D337FA">
        <w:rPr>
          <w:szCs w:val="24"/>
        </w:rPr>
        <w:t>Концепция</w:t>
      </w:r>
      <w:r w:rsidR="006C680D" w:rsidRPr="00D337FA">
        <w:rPr>
          <w:szCs w:val="24"/>
        </w:rPr>
        <w:t xml:space="preserve"> </w:t>
      </w:r>
      <w:r w:rsidRPr="00D337FA">
        <w:rPr>
          <w:szCs w:val="24"/>
        </w:rPr>
        <w:t>«отношенческого</w:t>
      </w:r>
      <w:r w:rsidR="006C680D" w:rsidRPr="00D337FA">
        <w:rPr>
          <w:szCs w:val="24"/>
        </w:rPr>
        <w:t xml:space="preserve"> </w:t>
      </w:r>
      <w:r w:rsidRPr="00D337FA">
        <w:rPr>
          <w:szCs w:val="24"/>
        </w:rPr>
        <w:t>банкинга»</w:t>
      </w:r>
      <w:r w:rsidR="006C680D" w:rsidRPr="00D337FA">
        <w:rPr>
          <w:szCs w:val="24"/>
        </w:rPr>
        <w:t xml:space="preserve"> </w:t>
      </w:r>
      <w:r w:rsidRPr="00D337FA">
        <w:rPr>
          <w:szCs w:val="24"/>
        </w:rPr>
        <w:t>(relationshipbanking)</w:t>
      </w:r>
      <w:r w:rsidR="006C680D" w:rsidRPr="00D337FA">
        <w:rPr>
          <w:szCs w:val="24"/>
        </w:rPr>
        <w:t xml:space="preserve"> </w:t>
      </w:r>
      <w:r w:rsidRPr="00D337FA">
        <w:rPr>
          <w:szCs w:val="24"/>
        </w:rPr>
        <w:t>подчеркивает</w:t>
      </w:r>
      <w:r w:rsidR="006C680D" w:rsidRPr="00D337FA">
        <w:rPr>
          <w:szCs w:val="24"/>
        </w:rPr>
        <w:t xml:space="preserve"> </w:t>
      </w:r>
      <w:r w:rsidRPr="00D337FA">
        <w:rPr>
          <w:szCs w:val="24"/>
        </w:rPr>
        <w:t>ценность</w:t>
      </w:r>
      <w:r w:rsidR="006C680D" w:rsidRPr="00D337FA">
        <w:rPr>
          <w:szCs w:val="24"/>
        </w:rPr>
        <w:t xml:space="preserve"> </w:t>
      </w:r>
      <w:r w:rsidRPr="00D337FA">
        <w:rPr>
          <w:szCs w:val="24"/>
        </w:rPr>
        <w:t>долгосрочных,</w:t>
      </w:r>
      <w:r w:rsidR="006C680D" w:rsidRPr="00D337FA">
        <w:rPr>
          <w:szCs w:val="24"/>
        </w:rPr>
        <w:t xml:space="preserve"> </w:t>
      </w:r>
      <w:r w:rsidRPr="00D337FA">
        <w:rPr>
          <w:szCs w:val="24"/>
        </w:rPr>
        <w:t>«мягких»</w:t>
      </w:r>
      <w:r w:rsidR="006C680D" w:rsidRPr="00D337FA">
        <w:rPr>
          <w:szCs w:val="24"/>
        </w:rPr>
        <w:t xml:space="preserve"> </w:t>
      </w:r>
      <w:r w:rsidRPr="00D337FA">
        <w:rPr>
          <w:szCs w:val="24"/>
        </w:rPr>
        <w:t>отношений</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банком</w:t>
      </w:r>
      <w:r w:rsidR="006C680D" w:rsidRPr="00D337FA">
        <w:rPr>
          <w:szCs w:val="24"/>
        </w:rPr>
        <w:t xml:space="preserve"> </w:t>
      </w:r>
      <w:r w:rsidRPr="00D337FA">
        <w:rPr>
          <w:szCs w:val="24"/>
        </w:rPr>
        <w:t>и</w:t>
      </w:r>
      <w:r w:rsidR="006C680D" w:rsidRPr="00D337FA">
        <w:rPr>
          <w:szCs w:val="24"/>
        </w:rPr>
        <w:t xml:space="preserve"> </w:t>
      </w:r>
      <w:r w:rsidRPr="00D337FA">
        <w:rPr>
          <w:szCs w:val="24"/>
        </w:rPr>
        <w:t>клиентом,</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которых</w:t>
      </w:r>
      <w:r w:rsidR="006C680D" w:rsidRPr="00D337FA">
        <w:rPr>
          <w:szCs w:val="24"/>
        </w:rPr>
        <w:t xml:space="preserve"> </w:t>
      </w:r>
      <w:r w:rsidRPr="00D337FA">
        <w:rPr>
          <w:szCs w:val="24"/>
        </w:rPr>
        <w:t>банк</w:t>
      </w:r>
      <w:r w:rsidR="006C680D" w:rsidRPr="00D337FA">
        <w:rPr>
          <w:szCs w:val="24"/>
        </w:rPr>
        <w:t xml:space="preserve"> </w:t>
      </w:r>
      <w:r w:rsidRPr="00D337FA">
        <w:rPr>
          <w:szCs w:val="24"/>
        </w:rPr>
        <w:t>накапливает</w:t>
      </w:r>
      <w:r w:rsidR="006C680D" w:rsidRPr="00D337FA">
        <w:rPr>
          <w:szCs w:val="24"/>
        </w:rPr>
        <w:t xml:space="preserve"> </w:t>
      </w:r>
      <w:r w:rsidRPr="00D337FA">
        <w:rPr>
          <w:szCs w:val="24"/>
        </w:rPr>
        <w:t>приватную</w:t>
      </w:r>
      <w:r w:rsidR="006C680D" w:rsidRPr="00D337FA">
        <w:rPr>
          <w:szCs w:val="24"/>
        </w:rPr>
        <w:t xml:space="preserve"> </w:t>
      </w:r>
      <w:r w:rsidRPr="00D337FA">
        <w:rPr>
          <w:szCs w:val="24"/>
        </w:rPr>
        <w:t>информацию</w:t>
      </w:r>
      <w:r w:rsidR="006C680D" w:rsidRPr="00D337FA">
        <w:rPr>
          <w:szCs w:val="24"/>
        </w:rPr>
        <w:t xml:space="preserve"> </w:t>
      </w:r>
      <w:r w:rsidRPr="00D337FA">
        <w:rPr>
          <w:szCs w:val="24"/>
        </w:rPr>
        <w:t>о</w:t>
      </w:r>
      <w:r w:rsidR="006C680D" w:rsidRPr="00D337FA">
        <w:rPr>
          <w:szCs w:val="24"/>
        </w:rPr>
        <w:t xml:space="preserve"> </w:t>
      </w:r>
      <w:r w:rsidRPr="00D337FA">
        <w:rPr>
          <w:szCs w:val="24"/>
        </w:rPr>
        <w:t>бизнесе</w:t>
      </w:r>
      <w:r w:rsidR="006C680D" w:rsidRPr="00D337FA">
        <w:rPr>
          <w:szCs w:val="24"/>
        </w:rPr>
        <w:t xml:space="preserve"> </w:t>
      </w:r>
      <w:r w:rsidRPr="00D337FA">
        <w:rPr>
          <w:szCs w:val="24"/>
        </w:rPr>
        <w:t>заемщика,</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снизить</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мониторинга</w:t>
      </w:r>
      <w:r w:rsidR="006C680D" w:rsidRPr="00D337FA">
        <w:rPr>
          <w:szCs w:val="24"/>
        </w:rPr>
        <w:t xml:space="preserve"> </w:t>
      </w:r>
      <w:r w:rsidRPr="00D337FA">
        <w:rPr>
          <w:szCs w:val="24"/>
        </w:rPr>
        <w:t>и</w:t>
      </w:r>
      <w:r w:rsidR="006C680D" w:rsidRPr="00D337FA">
        <w:rPr>
          <w:szCs w:val="24"/>
        </w:rPr>
        <w:t xml:space="preserve"> </w:t>
      </w:r>
      <w:r w:rsidRPr="00D337FA">
        <w:rPr>
          <w:szCs w:val="24"/>
        </w:rPr>
        <w:t>смягчить</w:t>
      </w:r>
      <w:r w:rsidR="006C680D" w:rsidRPr="00D337FA">
        <w:rPr>
          <w:szCs w:val="24"/>
        </w:rPr>
        <w:t xml:space="preserve"> </w:t>
      </w:r>
      <w:r w:rsidRPr="00D337FA">
        <w:rPr>
          <w:szCs w:val="24"/>
        </w:rPr>
        <w:t>проблему</w:t>
      </w:r>
      <w:r w:rsidR="006C680D" w:rsidRPr="00D337FA">
        <w:rPr>
          <w:szCs w:val="24"/>
        </w:rPr>
        <w:t xml:space="preserve"> </w:t>
      </w:r>
      <w:r w:rsidRPr="00D337FA">
        <w:rPr>
          <w:szCs w:val="24"/>
        </w:rPr>
        <w:t>асимметрии</w:t>
      </w:r>
      <w:r w:rsidR="006C680D" w:rsidRPr="00D337FA">
        <w:rPr>
          <w:szCs w:val="24"/>
        </w:rPr>
        <w:t xml:space="preserve"> </w:t>
      </w:r>
      <w:r w:rsidRPr="00D337FA">
        <w:rPr>
          <w:szCs w:val="24"/>
        </w:rPr>
        <w:t>информации</w:t>
      </w:r>
      <w:r w:rsidR="006C680D" w:rsidRPr="00D337FA">
        <w:rPr>
          <w:szCs w:val="24"/>
        </w:rPr>
        <w:t xml:space="preserve"> </w:t>
      </w:r>
      <w:r w:rsidRPr="00D337FA">
        <w:rPr>
          <w:szCs w:val="24"/>
        </w:rPr>
        <w:t>[23].</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подхода</w:t>
      </w:r>
      <w:r w:rsidR="006C680D" w:rsidRPr="00D337FA">
        <w:rPr>
          <w:szCs w:val="24"/>
        </w:rPr>
        <w:t xml:space="preserve"> </w:t>
      </w:r>
      <w:r w:rsidRPr="00D337FA">
        <w:rPr>
          <w:szCs w:val="24"/>
        </w:rPr>
        <w:t>банк</w:t>
      </w:r>
      <w:r w:rsidR="006C680D" w:rsidRPr="00D337FA">
        <w:rPr>
          <w:szCs w:val="24"/>
        </w:rPr>
        <w:t xml:space="preserve"> </w:t>
      </w:r>
      <w:r w:rsidRPr="00D337FA">
        <w:rPr>
          <w:szCs w:val="24"/>
        </w:rPr>
        <w:t>трансформируется</w:t>
      </w:r>
      <w:r w:rsidR="006C680D" w:rsidRPr="00D337FA">
        <w:rPr>
          <w:szCs w:val="24"/>
        </w:rPr>
        <w:t xml:space="preserve"> </w:t>
      </w:r>
      <w:r w:rsidRPr="00D337FA">
        <w:rPr>
          <w:szCs w:val="24"/>
        </w:rPr>
        <w:t>из</w:t>
      </w:r>
      <w:r w:rsidR="006C680D" w:rsidRPr="00D337FA">
        <w:rPr>
          <w:szCs w:val="24"/>
        </w:rPr>
        <w:t xml:space="preserve"> </w:t>
      </w:r>
      <w:r w:rsidRPr="00D337FA">
        <w:rPr>
          <w:szCs w:val="24"/>
        </w:rPr>
        <w:t>простого</w:t>
      </w:r>
      <w:r w:rsidR="006C680D" w:rsidRPr="00D337FA">
        <w:rPr>
          <w:szCs w:val="24"/>
        </w:rPr>
        <w:t xml:space="preserve"> </w:t>
      </w:r>
      <w:r w:rsidRPr="00D337FA">
        <w:rPr>
          <w:szCs w:val="24"/>
        </w:rPr>
        <w:t>поставщика</w:t>
      </w:r>
      <w:r w:rsidR="006C680D" w:rsidRPr="00D337FA">
        <w:rPr>
          <w:szCs w:val="24"/>
        </w:rPr>
        <w:t xml:space="preserve"> </w:t>
      </w:r>
      <w:r w:rsidRPr="00D337FA">
        <w:rPr>
          <w:szCs w:val="24"/>
        </w:rPr>
        <w:t>денежных</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в</w:t>
      </w:r>
      <w:r w:rsidR="006C680D" w:rsidRPr="00D337FA">
        <w:rPr>
          <w:szCs w:val="24"/>
        </w:rPr>
        <w:t xml:space="preserve"> </w:t>
      </w:r>
      <w:r w:rsidRPr="00D337FA">
        <w:rPr>
          <w:szCs w:val="24"/>
        </w:rPr>
        <w:t>финансового</w:t>
      </w:r>
      <w:r w:rsidR="006C680D" w:rsidRPr="00D337FA">
        <w:rPr>
          <w:szCs w:val="24"/>
        </w:rPr>
        <w:t xml:space="preserve"> </w:t>
      </w:r>
      <w:r w:rsidRPr="00D337FA">
        <w:rPr>
          <w:szCs w:val="24"/>
        </w:rPr>
        <w:t>партнера,</w:t>
      </w:r>
      <w:r w:rsidR="006C680D" w:rsidRPr="00D337FA">
        <w:rPr>
          <w:szCs w:val="24"/>
        </w:rPr>
        <w:t xml:space="preserve"> </w:t>
      </w:r>
      <w:r w:rsidRPr="00D337FA">
        <w:rPr>
          <w:szCs w:val="24"/>
        </w:rPr>
        <w:t>заинтересованного</w:t>
      </w:r>
      <w:r w:rsidR="006C680D" w:rsidRPr="00D337FA">
        <w:rPr>
          <w:szCs w:val="24"/>
        </w:rPr>
        <w:t xml:space="preserve"> </w:t>
      </w:r>
      <w:r w:rsidRPr="00D337FA">
        <w:rPr>
          <w:szCs w:val="24"/>
        </w:rPr>
        <w:t>в</w:t>
      </w:r>
      <w:r w:rsidR="006C680D" w:rsidRPr="00D337FA">
        <w:rPr>
          <w:szCs w:val="24"/>
        </w:rPr>
        <w:t xml:space="preserve"> </w:t>
      </w:r>
      <w:r w:rsidRPr="00D337FA">
        <w:rPr>
          <w:szCs w:val="24"/>
        </w:rPr>
        <w:t>устойчивом</w:t>
      </w:r>
      <w:r w:rsidR="006C680D" w:rsidRPr="00D337FA">
        <w:rPr>
          <w:szCs w:val="24"/>
        </w:rPr>
        <w:t xml:space="preserve"> </w:t>
      </w:r>
      <w:r w:rsidRPr="00D337FA">
        <w:rPr>
          <w:szCs w:val="24"/>
        </w:rPr>
        <w:t>развитии</w:t>
      </w:r>
      <w:r w:rsidR="006C680D" w:rsidRPr="00D337FA">
        <w:rPr>
          <w:szCs w:val="24"/>
        </w:rPr>
        <w:t xml:space="preserve"> </w:t>
      </w:r>
      <w:r w:rsidRPr="00D337FA">
        <w:rPr>
          <w:szCs w:val="24"/>
        </w:rPr>
        <w:t>клиента.</w:t>
      </w:r>
    </w:p>
    <w:p w:rsidR="00256E85" w:rsidRPr="00D337FA" w:rsidRDefault="00256E85" w:rsidP="00256E85">
      <w:pPr>
        <w:ind w:firstLine="284"/>
        <w:rPr>
          <w:szCs w:val="24"/>
        </w:rPr>
      </w:pPr>
      <w:r w:rsidRPr="00D337FA">
        <w:rPr>
          <w:szCs w:val="24"/>
        </w:rPr>
        <w:t>Дальнейшее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этой</w:t>
      </w:r>
      <w:r w:rsidR="006C680D" w:rsidRPr="00D337FA">
        <w:rPr>
          <w:szCs w:val="24"/>
        </w:rPr>
        <w:t xml:space="preserve"> </w:t>
      </w:r>
      <w:r w:rsidRPr="00D337FA">
        <w:rPr>
          <w:szCs w:val="24"/>
        </w:rPr>
        <w:t>концепции</w:t>
      </w:r>
      <w:r w:rsidR="006C680D" w:rsidRPr="00D337FA">
        <w:rPr>
          <w:szCs w:val="24"/>
        </w:rPr>
        <w:t xml:space="preserve"> </w:t>
      </w:r>
      <w:r w:rsidRPr="00D337FA">
        <w:rPr>
          <w:szCs w:val="24"/>
        </w:rPr>
        <w:t>в</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цифровизации</w:t>
      </w:r>
      <w:r w:rsidR="006C680D" w:rsidRPr="00D337FA">
        <w:rPr>
          <w:szCs w:val="24"/>
        </w:rPr>
        <w:t xml:space="preserve"> </w:t>
      </w:r>
      <w:r w:rsidRPr="00D337FA">
        <w:rPr>
          <w:szCs w:val="24"/>
        </w:rPr>
        <w:t>привело</w:t>
      </w:r>
      <w:r w:rsidR="006C680D" w:rsidRPr="00D337FA">
        <w:rPr>
          <w:szCs w:val="24"/>
        </w:rPr>
        <w:t xml:space="preserve"> </w:t>
      </w:r>
      <w:r w:rsidRPr="00D337FA">
        <w:rPr>
          <w:szCs w:val="24"/>
        </w:rPr>
        <w:t>к</w:t>
      </w:r>
      <w:r w:rsidR="006C680D" w:rsidRPr="00D337FA">
        <w:rPr>
          <w:szCs w:val="24"/>
        </w:rPr>
        <w:t xml:space="preserve"> </w:t>
      </w:r>
      <w:r w:rsidRPr="00D337FA">
        <w:rPr>
          <w:szCs w:val="24"/>
        </w:rPr>
        <w:t>формированию</w:t>
      </w:r>
      <w:r w:rsidR="006C680D" w:rsidRPr="00D337FA">
        <w:rPr>
          <w:szCs w:val="24"/>
        </w:rPr>
        <w:t xml:space="preserve"> </w:t>
      </w:r>
      <w:r w:rsidRPr="00D337FA">
        <w:rPr>
          <w:szCs w:val="24"/>
        </w:rPr>
        <w:t>«банковской</w:t>
      </w:r>
      <w:r w:rsidR="006C680D" w:rsidRPr="00D337FA">
        <w:rPr>
          <w:szCs w:val="24"/>
        </w:rPr>
        <w:t xml:space="preserve"> </w:t>
      </w:r>
      <w:r w:rsidRPr="00D337FA">
        <w:rPr>
          <w:szCs w:val="24"/>
        </w:rPr>
        <w:t>экосистемы».</w:t>
      </w:r>
      <w:r w:rsidR="006C680D" w:rsidRPr="00D337FA">
        <w:rPr>
          <w:szCs w:val="24"/>
        </w:rPr>
        <w:t xml:space="preserve"> </w:t>
      </w:r>
      <w:r w:rsidRPr="00D337FA">
        <w:rPr>
          <w:szCs w:val="24"/>
        </w:rPr>
        <w:t>Современные</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фиксируют</w:t>
      </w:r>
      <w:r w:rsidR="006C680D" w:rsidRPr="00D337FA">
        <w:rPr>
          <w:szCs w:val="24"/>
        </w:rPr>
        <w:t xml:space="preserve"> </w:t>
      </w:r>
      <w:r w:rsidRPr="00D337FA">
        <w:rPr>
          <w:szCs w:val="24"/>
        </w:rPr>
        <w:t>переход</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к</w:t>
      </w:r>
      <w:r w:rsidR="006C680D" w:rsidRPr="00D337FA">
        <w:rPr>
          <w:szCs w:val="24"/>
        </w:rPr>
        <w:t xml:space="preserve"> </w:t>
      </w:r>
      <w:r w:rsidRPr="00D337FA">
        <w:rPr>
          <w:szCs w:val="24"/>
        </w:rPr>
        <w:t>построению</w:t>
      </w:r>
      <w:r w:rsidR="006C680D" w:rsidRPr="00D337FA">
        <w:rPr>
          <w:szCs w:val="24"/>
        </w:rPr>
        <w:t xml:space="preserve"> </w:t>
      </w:r>
      <w:r w:rsidRPr="00D337FA">
        <w:rPr>
          <w:szCs w:val="24"/>
        </w:rPr>
        <w:t>многосторонних</w:t>
      </w:r>
      <w:r w:rsidR="006C680D" w:rsidRPr="00D337FA">
        <w:rPr>
          <w:szCs w:val="24"/>
        </w:rPr>
        <w:t xml:space="preserve"> </w:t>
      </w:r>
      <w:r w:rsidRPr="00D337FA">
        <w:rPr>
          <w:szCs w:val="24"/>
        </w:rPr>
        <w:t>платформ,</w:t>
      </w:r>
      <w:r w:rsidR="006C680D" w:rsidRPr="00D337FA">
        <w:rPr>
          <w:szCs w:val="24"/>
        </w:rPr>
        <w:t xml:space="preserve"> </w:t>
      </w:r>
      <w:r w:rsidRPr="00D337FA">
        <w:rPr>
          <w:szCs w:val="24"/>
        </w:rPr>
        <w:t>объединяющих</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традиционные</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продукты</w:t>
      </w:r>
      <w:r w:rsidR="006C680D" w:rsidRPr="00D337FA">
        <w:rPr>
          <w:szCs w:val="24"/>
        </w:rPr>
        <w:t xml:space="preserve"> </w:t>
      </w:r>
      <w:r w:rsidRPr="00D337FA">
        <w:rPr>
          <w:szCs w:val="24"/>
        </w:rPr>
        <w:t>(РКО,</w:t>
      </w:r>
      <w:r w:rsidR="006C680D" w:rsidRPr="00D337FA">
        <w:rPr>
          <w:szCs w:val="24"/>
        </w:rPr>
        <w:t xml:space="preserve"> </w:t>
      </w:r>
      <w:r w:rsidRPr="00D337FA">
        <w:rPr>
          <w:szCs w:val="24"/>
        </w:rPr>
        <w:t>кредиты,</w:t>
      </w:r>
      <w:r w:rsidR="006C680D" w:rsidRPr="00D337FA">
        <w:rPr>
          <w:szCs w:val="24"/>
        </w:rPr>
        <w:t xml:space="preserve"> </w:t>
      </w:r>
      <w:r w:rsidRPr="00D337FA">
        <w:rPr>
          <w:szCs w:val="24"/>
        </w:rPr>
        <w:t>гарантии),</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нефинансовые</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юридическое</w:t>
      </w:r>
      <w:r w:rsidR="006C680D" w:rsidRPr="00D337FA">
        <w:rPr>
          <w:szCs w:val="24"/>
        </w:rPr>
        <w:t xml:space="preserve"> </w:t>
      </w:r>
      <w:r w:rsidRPr="00D337FA">
        <w:rPr>
          <w:szCs w:val="24"/>
        </w:rPr>
        <w:t>и</w:t>
      </w:r>
      <w:r w:rsidR="006C680D" w:rsidRPr="00D337FA">
        <w:rPr>
          <w:szCs w:val="24"/>
        </w:rPr>
        <w:t xml:space="preserve"> </w:t>
      </w:r>
      <w:r w:rsidRPr="00D337FA">
        <w:rPr>
          <w:szCs w:val="24"/>
        </w:rPr>
        <w:t>бухгалтерское</w:t>
      </w:r>
      <w:r w:rsidR="006C680D" w:rsidRPr="00D337FA">
        <w:rPr>
          <w:szCs w:val="24"/>
        </w:rPr>
        <w:t xml:space="preserve"> </w:t>
      </w:r>
      <w:r w:rsidRPr="00D337FA">
        <w:rPr>
          <w:szCs w:val="24"/>
        </w:rPr>
        <w:t>сопровождение,</w:t>
      </w:r>
      <w:r w:rsidR="006C680D" w:rsidRPr="00D337FA">
        <w:rPr>
          <w:szCs w:val="24"/>
        </w:rPr>
        <w:t xml:space="preserve"> </w:t>
      </w:r>
      <w:r w:rsidRPr="00D337FA">
        <w:rPr>
          <w:szCs w:val="24"/>
        </w:rPr>
        <w:t>цифровые</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для</w:t>
      </w:r>
      <w:r w:rsidR="006C680D" w:rsidRPr="00D337FA">
        <w:rPr>
          <w:szCs w:val="24"/>
        </w:rPr>
        <w:t xml:space="preserve"> </w:t>
      </w:r>
      <w:r w:rsidRPr="00D337FA">
        <w:rPr>
          <w:szCs w:val="24"/>
        </w:rPr>
        <w:t>онлайн-торговли,</w:t>
      </w:r>
      <w:r w:rsidR="006C680D" w:rsidRPr="00D337FA">
        <w:rPr>
          <w:szCs w:val="24"/>
        </w:rPr>
        <w:t xml:space="preserve"> </w:t>
      </w:r>
      <w:r w:rsidRPr="00D337FA">
        <w:rPr>
          <w:szCs w:val="24"/>
        </w:rPr>
        <w:t>аналитику,</w:t>
      </w:r>
      <w:r w:rsidR="006C680D" w:rsidRPr="00D337FA">
        <w:rPr>
          <w:szCs w:val="24"/>
        </w:rPr>
        <w:t xml:space="preserve"> </w:t>
      </w:r>
      <w:r w:rsidRPr="00D337FA">
        <w:rPr>
          <w:szCs w:val="24"/>
        </w:rPr>
        <w:t>образовательные</w:t>
      </w:r>
      <w:r w:rsidR="006C680D" w:rsidRPr="00D337FA">
        <w:rPr>
          <w:szCs w:val="24"/>
        </w:rPr>
        <w:t xml:space="preserve"> </w:t>
      </w:r>
      <w:r w:rsidRPr="00D337FA">
        <w:rPr>
          <w:szCs w:val="24"/>
        </w:rPr>
        <w:t>модули</w:t>
      </w:r>
      <w:r w:rsidR="006C680D" w:rsidRPr="00D337FA">
        <w:rPr>
          <w:szCs w:val="24"/>
        </w:rPr>
        <w:t xml:space="preserve"> </w:t>
      </w:r>
      <w:r w:rsidRPr="00D337FA">
        <w:rPr>
          <w:szCs w:val="24"/>
        </w:rPr>
        <w:t>[3,</w:t>
      </w:r>
      <w:r w:rsidR="006C680D" w:rsidRPr="00D337FA">
        <w:rPr>
          <w:szCs w:val="24"/>
        </w:rPr>
        <w:t xml:space="preserve"> </w:t>
      </w:r>
      <w:r w:rsidRPr="00D337FA">
        <w:rPr>
          <w:szCs w:val="24"/>
        </w:rPr>
        <w:t>c.</w:t>
      </w:r>
      <w:r w:rsidR="006C680D" w:rsidRPr="00D337FA">
        <w:rPr>
          <w:szCs w:val="24"/>
        </w:rPr>
        <w:t xml:space="preserve"> </w:t>
      </w:r>
      <w:r w:rsidRPr="00D337FA">
        <w:rPr>
          <w:szCs w:val="24"/>
        </w:rPr>
        <w:t>1915].</w:t>
      </w:r>
      <w:r w:rsidR="006C680D" w:rsidRPr="00D337FA">
        <w:rPr>
          <w:szCs w:val="24"/>
        </w:rPr>
        <w:t xml:space="preserve"> </w:t>
      </w:r>
      <w:r w:rsidRPr="00D337FA">
        <w:rPr>
          <w:szCs w:val="24"/>
        </w:rPr>
        <w:t>Это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банкам</w:t>
      </w:r>
      <w:r w:rsidR="006C680D" w:rsidRPr="00D337FA">
        <w:rPr>
          <w:szCs w:val="24"/>
        </w:rPr>
        <w:t xml:space="preserve"> </w:t>
      </w:r>
      <w:r w:rsidRPr="00D337FA">
        <w:rPr>
          <w:szCs w:val="24"/>
        </w:rPr>
        <w:t>увеличивать</w:t>
      </w:r>
      <w:r w:rsidR="006C680D" w:rsidRPr="00D337FA">
        <w:rPr>
          <w:szCs w:val="24"/>
        </w:rPr>
        <w:t xml:space="preserve"> </w:t>
      </w:r>
      <w:r w:rsidRPr="00D337FA">
        <w:rPr>
          <w:szCs w:val="24"/>
        </w:rPr>
        <w:t>«глубину»</w:t>
      </w:r>
      <w:r w:rsidR="006C680D" w:rsidRPr="00D337FA">
        <w:rPr>
          <w:szCs w:val="24"/>
        </w:rPr>
        <w:t xml:space="preserve"> </w:t>
      </w:r>
      <w:r w:rsidRPr="00D337FA">
        <w:rPr>
          <w:szCs w:val="24"/>
        </w:rPr>
        <w:t>клиентских</w:t>
      </w:r>
      <w:r w:rsidR="006C680D" w:rsidRPr="00D337FA">
        <w:rPr>
          <w:szCs w:val="24"/>
        </w:rPr>
        <w:t xml:space="preserve"> </w:t>
      </w:r>
      <w:r w:rsidRPr="00D337FA">
        <w:rPr>
          <w:szCs w:val="24"/>
        </w:rPr>
        <w:t>отношений,</w:t>
      </w:r>
      <w:r w:rsidR="006C680D" w:rsidRPr="00D337FA">
        <w:rPr>
          <w:szCs w:val="24"/>
        </w:rPr>
        <w:t xml:space="preserve"> </w:t>
      </w:r>
      <w:r w:rsidRPr="00D337FA">
        <w:rPr>
          <w:szCs w:val="24"/>
        </w:rPr>
        <w:t>повышая</w:t>
      </w:r>
      <w:r w:rsidR="006C680D" w:rsidRPr="00D337FA">
        <w:rPr>
          <w:szCs w:val="24"/>
        </w:rPr>
        <w:t xml:space="preserve"> </w:t>
      </w:r>
      <w:r w:rsidRPr="00D337FA">
        <w:rPr>
          <w:szCs w:val="24"/>
        </w:rPr>
        <w:t>лояльность</w:t>
      </w:r>
      <w:r w:rsidR="006C680D" w:rsidRPr="00D337FA">
        <w:rPr>
          <w:szCs w:val="24"/>
        </w:rPr>
        <w:t xml:space="preserve"> </w:t>
      </w:r>
      <w:r w:rsidRPr="00D337FA">
        <w:rPr>
          <w:szCs w:val="24"/>
        </w:rPr>
        <w:t>и</w:t>
      </w:r>
      <w:r w:rsidR="006C680D" w:rsidRPr="00D337FA">
        <w:rPr>
          <w:szCs w:val="24"/>
        </w:rPr>
        <w:t xml:space="preserve"> </w:t>
      </w:r>
      <w:r w:rsidRPr="00D337FA">
        <w:rPr>
          <w:szCs w:val="24"/>
        </w:rPr>
        <w:t>перекрестную</w:t>
      </w:r>
      <w:r w:rsidR="006C680D" w:rsidRPr="00D337FA">
        <w:rPr>
          <w:szCs w:val="24"/>
        </w:rPr>
        <w:t xml:space="preserve"> </w:t>
      </w:r>
      <w:r w:rsidRPr="00D337FA">
        <w:rPr>
          <w:szCs w:val="24"/>
        </w:rPr>
        <w:t>продажу</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а</w:t>
      </w:r>
      <w:r w:rsidR="006C680D" w:rsidRPr="00D337FA">
        <w:rPr>
          <w:szCs w:val="24"/>
        </w:rPr>
        <w:t xml:space="preserve"> </w:t>
      </w:r>
      <w:r w:rsidRPr="00D337FA">
        <w:rPr>
          <w:szCs w:val="24"/>
        </w:rPr>
        <w:t>малым</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w:t>
      </w:r>
      <w:r w:rsidR="006C680D" w:rsidRPr="00D337FA">
        <w:rPr>
          <w:szCs w:val="24"/>
        </w:rPr>
        <w:t xml:space="preserve"> </w:t>
      </w:r>
      <w:r w:rsidRPr="00D337FA">
        <w:rPr>
          <w:szCs w:val="24"/>
        </w:rPr>
        <w:t>получать</w:t>
      </w:r>
      <w:r w:rsidR="006C680D" w:rsidRPr="00D337FA">
        <w:rPr>
          <w:szCs w:val="24"/>
        </w:rPr>
        <w:t xml:space="preserve"> </w:t>
      </w:r>
      <w:r w:rsidRPr="00D337FA">
        <w:rPr>
          <w:szCs w:val="24"/>
        </w:rPr>
        <w:t>комплексное</w:t>
      </w:r>
      <w:r w:rsidR="006C680D" w:rsidRPr="00D337FA">
        <w:rPr>
          <w:szCs w:val="24"/>
        </w:rPr>
        <w:t xml:space="preserve"> </w:t>
      </w:r>
      <w:r w:rsidRPr="00D337FA">
        <w:rPr>
          <w:szCs w:val="24"/>
        </w:rPr>
        <w:t>решение</w:t>
      </w:r>
      <w:r w:rsidR="006C680D" w:rsidRPr="00D337FA">
        <w:rPr>
          <w:szCs w:val="24"/>
        </w:rPr>
        <w:t xml:space="preserve"> </w:t>
      </w:r>
      <w:r w:rsidRPr="00D337FA">
        <w:rPr>
          <w:szCs w:val="24"/>
        </w:rPr>
        <w:t>для</w:t>
      </w:r>
      <w:r w:rsidR="006C680D" w:rsidRPr="00D337FA">
        <w:rPr>
          <w:szCs w:val="24"/>
        </w:rPr>
        <w:t xml:space="preserve"> </w:t>
      </w:r>
      <w:r w:rsidRPr="00D337FA">
        <w:rPr>
          <w:szCs w:val="24"/>
        </w:rPr>
        <w:t>ведения</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«под</w:t>
      </w:r>
      <w:r w:rsidR="006C680D" w:rsidRPr="00D337FA">
        <w:rPr>
          <w:szCs w:val="24"/>
        </w:rPr>
        <w:t xml:space="preserve"> </w:t>
      </w:r>
      <w:r w:rsidRPr="00D337FA">
        <w:rPr>
          <w:szCs w:val="24"/>
        </w:rPr>
        <w:t>ключ»</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единого</w:t>
      </w:r>
      <w:r w:rsidR="006C680D" w:rsidRPr="00D337FA">
        <w:rPr>
          <w:szCs w:val="24"/>
        </w:rPr>
        <w:t xml:space="preserve"> </w:t>
      </w:r>
      <w:r w:rsidRPr="00D337FA">
        <w:rPr>
          <w:szCs w:val="24"/>
        </w:rPr>
        <w:t>интерфейса.</w:t>
      </w:r>
      <w:r w:rsidR="006C680D" w:rsidRPr="00D337FA">
        <w:rPr>
          <w:szCs w:val="24"/>
        </w:rPr>
        <w:t xml:space="preserve"> </w:t>
      </w: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конкурентное</w:t>
      </w:r>
      <w:r w:rsidR="006C680D" w:rsidRPr="00D337FA">
        <w:rPr>
          <w:szCs w:val="24"/>
        </w:rPr>
        <w:t xml:space="preserve"> </w:t>
      </w:r>
      <w:r w:rsidRPr="00D337FA">
        <w:rPr>
          <w:szCs w:val="24"/>
        </w:rPr>
        <w:t>преимущество</w:t>
      </w:r>
      <w:r w:rsidR="006C680D" w:rsidRPr="00D337FA">
        <w:rPr>
          <w:szCs w:val="24"/>
        </w:rPr>
        <w:t xml:space="preserve"> </w:t>
      </w:r>
      <w:r w:rsidRPr="00D337FA">
        <w:rPr>
          <w:szCs w:val="24"/>
        </w:rPr>
        <w:t>банка</w:t>
      </w:r>
      <w:r w:rsidR="006C680D" w:rsidRPr="00D337FA">
        <w:rPr>
          <w:szCs w:val="24"/>
        </w:rPr>
        <w:t xml:space="preserve"> </w:t>
      </w:r>
      <w:r w:rsidRPr="00D337FA">
        <w:rPr>
          <w:szCs w:val="24"/>
        </w:rPr>
        <w:t>все</w:t>
      </w:r>
      <w:r w:rsidR="006C680D" w:rsidRPr="00D337FA">
        <w:rPr>
          <w:szCs w:val="24"/>
        </w:rPr>
        <w:t xml:space="preserve"> </w:t>
      </w:r>
      <w:r w:rsidRPr="00D337FA">
        <w:rPr>
          <w:szCs w:val="24"/>
        </w:rPr>
        <w:t>меньше</w:t>
      </w:r>
      <w:r w:rsidR="006C680D" w:rsidRPr="00D337FA">
        <w:rPr>
          <w:szCs w:val="24"/>
        </w:rPr>
        <w:t xml:space="preserve"> </w:t>
      </w:r>
      <w:r w:rsidRPr="00D337FA">
        <w:rPr>
          <w:szCs w:val="24"/>
        </w:rPr>
        <w:t>определяется</w:t>
      </w:r>
      <w:r w:rsidR="006C680D" w:rsidRPr="00D337FA">
        <w:rPr>
          <w:szCs w:val="24"/>
        </w:rPr>
        <w:t xml:space="preserve"> </w:t>
      </w:r>
      <w:r w:rsidRPr="00D337FA">
        <w:rPr>
          <w:szCs w:val="24"/>
        </w:rPr>
        <w:t>процентными</w:t>
      </w:r>
      <w:r w:rsidR="006C680D" w:rsidRPr="00D337FA">
        <w:rPr>
          <w:szCs w:val="24"/>
        </w:rPr>
        <w:t xml:space="preserve"> </w:t>
      </w:r>
      <w:r w:rsidRPr="00D337FA">
        <w:rPr>
          <w:szCs w:val="24"/>
        </w:rPr>
        <w:t>ставками</w:t>
      </w:r>
      <w:r w:rsidR="006C680D" w:rsidRPr="00D337FA">
        <w:rPr>
          <w:szCs w:val="24"/>
        </w:rPr>
        <w:t xml:space="preserve"> </w:t>
      </w:r>
      <w:r w:rsidRPr="00D337FA">
        <w:rPr>
          <w:szCs w:val="24"/>
        </w:rPr>
        <w:t>и</w:t>
      </w:r>
      <w:r w:rsidR="006C680D" w:rsidRPr="00D337FA">
        <w:rPr>
          <w:szCs w:val="24"/>
        </w:rPr>
        <w:t xml:space="preserve"> </w:t>
      </w:r>
      <w:r w:rsidRPr="00D337FA">
        <w:rPr>
          <w:szCs w:val="24"/>
        </w:rPr>
        <w:t>все</w:t>
      </w:r>
      <w:r w:rsidR="006C680D" w:rsidRPr="00D337FA">
        <w:rPr>
          <w:szCs w:val="24"/>
        </w:rPr>
        <w:t xml:space="preserve"> </w:t>
      </w:r>
      <w:r w:rsidRPr="00D337FA">
        <w:rPr>
          <w:szCs w:val="24"/>
        </w:rPr>
        <w:t>больше</w:t>
      </w:r>
      <w:r w:rsidR="006C680D" w:rsidRPr="00D337FA">
        <w:rPr>
          <w:szCs w:val="24"/>
        </w:rPr>
        <w:t xml:space="preserve"> </w:t>
      </w:r>
      <w:r w:rsidRPr="00D337FA">
        <w:rPr>
          <w:szCs w:val="24"/>
        </w:rPr>
        <w:t>–</w:t>
      </w:r>
      <w:r w:rsidR="006C680D" w:rsidRPr="00D337FA">
        <w:rPr>
          <w:szCs w:val="24"/>
        </w:rPr>
        <w:t xml:space="preserve"> </w:t>
      </w:r>
      <w:r w:rsidRPr="00D337FA">
        <w:rPr>
          <w:szCs w:val="24"/>
        </w:rPr>
        <w:t>широтой,</w:t>
      </w:r>
      <w:r w:rsidR="006C680D" w:rsidRPr="00D337FA">
        <w:rPr>
          <w:szCs w:val="24"/>
        </w:rPr>
        <w:t xml:space="preserve"> </w:t>
      </w:r>
      <w:r w:rsidRPr="00D337FA">
        <w:rPr>
          <w:szCs w:val="24"/>
        </w:rPr>
        <w:t>удобством</w:t>
      </w:r>
      <w:r w:rsidR="006C680D" w:rsidRPr="00D337FA">
        <w:rPr>
          <w:szCs w:val="24"/>
        </w:rPr>
        <w:t xml:space="preserve"> </w:t>
      </w:r>
      <w:r w:rsidRPr="00D337FA">
        <w:rPr>
          <w:szCs w:val="24"/>
        </w:rPr>
        <w:t>и</w:t>
      </w:r>
      <w:r w:rsidR="006C680D" w:rsidRPr="00D337FA">
        <w:rPr>
          <w:szCs w:val="24"/>
        </w:rPr>
        <w:t xml:space="preserve"> </w:t>
      </w:r>
      <w:r w:rsidRPr="00D337FA">
        <w:rPr>
          <w:szCs w:val="24"/>
        </w:rPr>
        <w:t>степенью</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предлагаемой</w:t>
      </w:r>
      <w:r w:rsidR="006C680D" w:rsidRPr="00D337FA">
        <w:rPr>
          <w:szCs w:val="24"/>
        </w:rPr>
        <w:t xml:space="preserve"> </w:t>
      </w:r>
      <w:r w:rsidRPr="00D337FA">
        <w:rPr>
          <w:szCs w:val="24"/>
        </w:rPr>
        <w:t>сервисной</w:t>
      </w:r>
      <w:r w:rsidR="006C680D" w:rsidRPr="00D337FA">
        <w:rPr>
          <w:szCs w:val="24"/>
        </w:rPr>
        <w:t xml:space="preserve"> </w:t>
      </w:r>
      <w:r w:rsidRPr="00D337FA">
        <w:rPr>
          <w:szCs w:val="24"/>
        </w:rPr>
        <w:t>экосистемы.</w:t>
      </w:r>
      <w:r w:rsidR="006C680D" w:rsidRPr="00D337FA">
        <w:rPr>
          <w:rFonts w:ascii="Segoe UI" w:hAnsi="Segoe UI" w:cs="Segoe UI"/>
          <w:i/>
          <w:iCs/>
          <w:szCs w:val="24"/>
          <w:shd w:val="clear" w:color="auto" w:fill="FFFFFF"/>
        </w:rPr>
        <w:t xml:space="preserve"> </w:t>
      </w:r>
      <w:r w:rsidRPr="00D337FA">
        <w:rPr>
          <w:iCs/>
          <w:szCs w:val="24"/>
        </w:rPr>
        <w:t>Однако,</w:t>
      </w:r>
      <w:r w:rsidR="006C680D" w:rsidRPr="00D337FA">
        <w:rPr>
          <w:iCs/>
          <w:szCs w:val="24"/>
        </w:rPr>
        <w:t xml:space="preserve"> </w:t>
      </w:r>
      <w:r w:rsidRPr="00D337FA">
        <w:rPr>
          <w:iCs/>
          <w:szCs w:val="24"/>
        </w:rPr>
        <w:t>несмотря</w:t>
      </w:r>
      <w:r w:rsidR="006C680D" w:rsidRPr="00D337FA">
        <w:rPr>
          <w:iCs/>
          <w:szCs w:val="24"/>
        </w:rPr>
        <w:t xml:space="preserve"> </w:t>
      </w:r>
      <w:r w:rsidRPr="00D337FA">
        <w:rPr>
          <w:iCs/>
          <w:szCs w:val="24"/>
        </w:rPr>
        <w:t>на</w:t>
      </w:r>
      <w:r w:rsidR="006C680D" w:rsidRPr="00D337FA">
        <w:rPr>
          <w:iCs/>
          <w:szCs w:val="24"/>
        </w:rPr>
        <w:t xml:space="preserve"> </w:t>
      </w:r>
      <w:r w:rsidRPr="00D337FA">
        <w:rPr>
          <w:iCs/>
          <w:szCs w:val="24"/>
        </w:rPr>
        <w:t>широкое</w:t>
      </w:r>
      <w:r w:rsidR="006C680D" w:rsidRPr="00D337FA">
        <w:rPr>
          <w:iCs/>
          <w:szCs w:val="24"/>
        </w:rPr>
        <w:t xml:space="preserve"> </w:t>
      </w:r>
      <w:r w:rsidRPr="00D337FA">
        <w:rPr>
          <w:iCs/>
          <w:szCs w:val="24"/>
        </w:rPr>
        <w:t>обсуждение</w:t>
      </w:r>
      <w:r w:rsidR="006C680D" w:rsidRPr="00D337FA">
        <w:rPr>
          <w:iCs/>
          <w:szCs w:val="24"/>
        </w:rPr>
        <w:t xml:space="preserve"> </w:t>
      </w:r>
      <w:r w:rsidRPr="00D337FA">
        <w:rPr>
          <w:iCs/>
          <w:szCs w:val="24"/>
        </w:rPr>
        <w:t>темы</w:t>
      </w:r>
      <w:r w:rsidR="006C680D" w:rsidRPr="00D337FA">
        <w:rPr>
          <w:iCs/>
          <w:szCs w:val="24"/>
        </w:rPr>
        <w:t xml:space="preserve"> </w:t>
      </w:r>
      <w:r w:rsidRPr="00D337FA">
        <w:rPr>
          <w:iCs/>
          <w:szCs w:val="24"/>
        </w:rPr>
        <w:t>экосистем</w:t>
      </w:r>
      <w:r w:rsidR="006C680D" w:rsidRPr="00D337FA">
        <w:rPr>
          <w:iCs/>
          <w:szCs w:val="24"/>
        </w:rPr>
        <w:t xml:space="preserve"> </w:t>
      </w:r>
      <w:r w:rsidRPr="00D337FA">
        <w:rPr>
          <w:iCs/>
          <w:szCs w:val="24"/>
        </w:rPr>
        <w:t>в</w:t>
      </w:r>
      <w:r w:rsidR="006C680D" w:rsidRPr="00D337FA">
        <w:rPr>
          <w:iCs/>
          <w:szCs w:val="24"/>
        </w:rPr>
        <w:t xml:space="preserve"> </w:t>
      </w:r>
      <w:r w:rsidRPr="00D337FA">
        <w:rPr>
          <w:iCs/>
          <w:szCs w:val="24"/>
        </w:rPr>
        <w:t>трудах</w:t>
      </w:r>
      <w:r w:rsidR="006C680D" w:rsidRPr="00D337FA">
        <w:rPr>
          <w:iCs/>
          <w:szCs w:val="24"/>
        </w:rPr>
        <w:t xml:space="preserve"> </w:t>
      </w:r>
      <w:r w:rsidRPr="00D337FA">
        <w:rPr>
          <w:iCs/>
          <w:szCs w:val="24"/>
        </w:rPr>
        <w:t>зарубежных</w:t>
      </w:r>
      <w:r w:rsidR="006C680D" w:rsidRPr="00D337FA">
        <w:rPr>
          <w:iCs/>
          <w:szCs w:val="24"/>
        </w:rPr>
        <w:t xml:space="preserve"> </w:t>
      </w:r>
      <w:r w:rsidRPr="00D337FA">
        <w:rPr>
          <w:iCs/>
          <w:szCs w:val="24"/>
        </w:rPr>
        <w:t>и</w:t>
      </w:r>
      <w:r w:rsidR="006C680D" w:rsidRPr="00D337FA">
        <w:rPr>
          <w:iCs/>
          <w:szCs w:val="24"/>
        </w:rPr>
        <w:t xml:space="preserve"> </w:t>
      </w:r>
      <w:r w:rsidRPr="00D337FA">
        <w:rPr>
          <w:iCs/>
          <w:szCs w:val="24"/>
        </w:rPr>
        <w:t>отечественных</w:t>
      </w:r>
      <w:r w:rsidR="006C680D" w:rsidRPr="00D337FA">
        <w:rPr>
          <w:iCs/>
          <w:szCs w:val="24"/>
        </w:rPr>
        <w:t xml:space="preserve"> </w:t>
      </w:r>
      <w:r w:rsidRPr="00D337FA">
        <w:rPr>
          <w:iCs/>
          <w:szCs w:val="24"/>
        </w:rPr>
        <w:t>авторов,</w:t>
      </w:r>
      <w:r w:rsidR="006C680D" w:rsidRPr="00D337FA">
        <w:rPr>
          <w:iCs/>
          <w:szCs w:val="24"/>
        </w:rPr>
        <w:t xml:space="preserve"> </w:t>
      </w:r>
      <w:r w:rsidRPr="00D337FA">
        <w:rPr>
          <w:bCs/>
          <w:iCs/>
          <w:szCs w:val="24"/>
        </w:rPr>
        <w:t>остается</w:t>
      </w:r>
      <w:r w:rsidR="006C680D" w:rsidRPr="00D337FA">
        <w:rPr>
          <w:bCs/>
          <w:iCs/>
          <w:szCs w:val="24"/>
        </w:rPr>
        <w:t xml:space="preserve"> </w:t>
      </w:r>
      <w:r w:rsidRPr="00D337FA">
        <w:rPr>
          <w:bCs/>
          <w:iCs/>
          <w:szCs w:val="24"/>
        </w:rPr>
        <w:t>не</w:t>
      </w:r>
      <w:r w:rsidR="006C680D" w:rsidRPr="00D337FA">
        <w:rPr>
          <w:bCs/>
          <w:iCs/>
          <w:szCs w:val="24"/>
        </w:rPr>
        <w:t xml:space="preserve"> </w:t>
      </w:r>
      <w:r w:rsidRPr="00D337FA">
        <w:rPr>
          <w:bCs/>
          <w:iCs/>
          <w:szCs w:val="24"/>
        </w:rPr>
        <w:t>до</w:t>
      </w:r>
      <w:r w:rsidR="006C680D" w:rsidRPr="00D337FA">
        <w:rPr>
          <w:bCs/>
          <w:iCs/>
          <w:szCs w:val="24"/>
        </w:rPr>
        <w:t xml:space="preserve"> </w:t>
      </w:r>
      <w:r w:rsidRPr="00D337FA">
        <w:rPr>
          <w:bCs/>
          <w:iCs/>
          <w:szCs w:val="24"/>
        </w:rPr>
        <w:t>конца</w:t>
      </w:r>
      <w:r w:rsidR="006C680D" w:rsidRPr="00D337FA">
        <w:rPr>
          <w:bCs/>
          <w:iCs/>
          <w:szCs w:val="24"/>
        </w:rPr>
        <w:t xml:space="preserve"> </w:t>
      </w:r>
      <w:r w:rsidRPr="00D337FA">
        <w:rPr>
          <w:bCs/>
          <w:iCs/>
          <w:szCs w:val="24"/>
        </w:rPr>
        <w:t>изученным</w:t>
      </w:r>
      <w:r w:rsidR="006C680D" w:rsidRPr="00D337FA">
        <w:rPr>
          <w:bCs/>
          <w:iCs/>
          <w:szCs w:val="24"/>
        </w:rPr>
        <w:t xml:space="preserve"> </w:t>
      </w:r>
      <w:r w:rsidRPr="00D337FA">
        <w:rPr>
          <w:bCs/>
          <w:iCs/>
          <w:szCs w:val="24"/>
        </w:rPr>
        <w:t>вопрос</w:t>
      </w:r>
      <w:r w:rsidR="006C680D" w:rsidRPr="00D337FA">
        <w:rPr>
          <w:bCs/>
          <w:iCs/>
          <w:szCs w:val="24"/>
        </w:rPr>
        <w:t xml:space="preserve"> </w:t>
      </w:r>
      <w:r w:rsidRPr="00D337FA">
        <w:rPr>
          <w:bCs/>
          <w:iCs/>
          <w:szCs w:val="24"/>
        </w:rPr>
        <w:t>о</w:t>
      </w:r>
      <w:r w:rsidR="006C680D" w:rsidRPr="00D337FA">
        <w:rPr>
          <w:bCs/>
          <w:iCs/>
          <w:szCs w:val="24"/>
        </w:rPr>
        <w:t xml:space="preserve"> </w:t>
      </w:r>
      <w:r w:rsidRPr="00D337FA">
        <w:rPr>
          <w:bCs/>
          <w:iCs/>
          <w:szCs w:val="24"/>
        </w:rPr>
        <w:t>степени</w:t>
      </w:r>
      <w:r w:rsidR="006C680D" w:rsidRPr="00D337FA">
        <w:rPr>
          <w:bCs/>
          <w:iCs/>
          <w:szCs w:val="24"/>
        </w:rPr>
        <w:t xml:space="preserve"> </w:t>
      </w:r>
      <w:r w:rsidRPr="00D337FA">
        <w:rPr>
          <w:bCs/>
          <w:iCs/>
          <w:szCs w:val="24"/>
        </w:rPr>
        <w:t>реальной</w:t>
      </w:r>
      <w:r w:rsidR="006C680D" w:rsidRPr="00D337FA">
        <w:rPr>
          <w:bCs/>
          <w:iCs/>
          <w:szCs w:val="24"/>
        </w:rPr>
        <w:t xml:space="preserve"> </w:t>
      </w:r>
      <w:r w:rsidRPr="00D337FA">
        <w:rPr>
          <w:bCs/>
          <w:iCs/>
          <w:szCs w:val="24"/>
        </w:rPr>
        <w:t>ин</w:t>
      </w:r>
      <w:r w:rsidRPr="00D337FA">
        <w:rPr>
          <w:bCs/>
          <w:iCs/>
          <w:szCs w:val="24"/>
        </w:rPr>
        <w:lastRenderedPageBreak/>
        <w:t>теграции</w:t>
      </w:r>
      <w:r w:rsidR="006C680D" w:rsidRPr="00D337FA">
        <w:rPr>
          <w:bCs/>
          <w:iCs/>
          <w:szCs w:val="24"/>
        </w:rPr>
        <w:t xml:space="preserve"> </w:t>
      </w:r>
      <w:r w:rsidRPr="00D337FA">
        <w:rPr>
          <w:bCs/>
          <w:iCs/>
          <w:szCs w:val="24"/>
        </w:rPr>
        <w:t>нефинансовых</w:t>
      </w:r>
      <w:r w:rsidR="006C680D" w:rsidRPr="00D337FA">
        <w:rPr>
          <w:bCs/>
          <w:iCs/>
          <w:szCs w:val="24"/>
        </w:rPr>
        <w:t xml:space="preserve"> </w:t>
      </w:r>
      <w:r w:rsidRPr="00D337FA">
        <w:rPr>
          <w:bCs/>
          <w:iCs/>
          <w:szCs w:val="24"/>
        </w:rPr>
        <w:t>сервисов</w:t>
      </w:r>
      <w:r w:rsidR="006C680D" w:rsidRPr="00D337FA">
        <w:rPr>
          <w:bCs/>
          <w:iCs/>
          <w:szCs w:val="24"/>
        </w:rPr>
        <w:t xml:space="preserve"> </w:t>
      </w:r>
      <w:r w:rsidRPr="00D337FA">
        <w:rPr>
          <w:bCs/>
          <w:iCs/>
          <w:szCs w:val="24"/>
        </w:rPr>
        <w:t>в</w:t>
      </w:r>
      <w:r w:rsidR="006C680D" w:rsidRPr="00D337FA">
        <w:rPr>
          <w:bCs/>
          <w:iCs/>
          <w:szCs w:val="24"/>
        </w:rPr>
        <w:t xml:space="preserve"> </w:t>
      </w:r>
      <w:r w:rsidRPr="00D337FA">
        <w:rPr>
          <w:bCs/>
          <w:iCs/>
          <w:szCs w:val="24"/>
        </w:rPr>
        <w:t>предложения</w:t>
      </w:r>
      <w:r w:rsidR="006C680D" w:rsidRPr="00D337FA">
        <w:rPr>
          <w:bCs/>
          <w:iCs/>
          <w:szCs w:val="24"/>
        </w:rPr>
        <w:t xml:space="preserve"> </w:t>
      </w:r>
      <w:r w:rsidRPr="00D337FA">
        <w:rPr>
          <w:bCs/>
          <w:iCs/>
          <w:szCs w:val="24"/>
        </w:rPr>
        <w:t>российских</w:t>
      </w:r>
      <w:r w:rsidR="006C680D" w:rsidRPr="00D337FA">
        <w:rPr>
          <w:bCs/>
          <w:iCs/>
          <w:szCs w:val="24"/>
        </w:rPr>
        <w:t xml:space="preserve"> </w:t>
      </w:r>
      <w:r w:rsidRPr="00D337FA">
        <w:rPr>
          <w:bCs/>
          <w:iCs/>
          <w:szCs w:val="24"/>
        </w:rPr>
        <w:t>банков</w:t>
      </w:r>
      <w:r w:rsidR="006C680D" w:rsidRPr="00D337FA">
        <w:rPr>
          <w:bCs/>
          <w:iCs/>
          <w:szCs w:val="24"/>
        </w:rPr>
        <w:t xml:space="preserve"> </w:t>
      </w:r>
      <w:r w:rsidRPr="00D337FA">
        <w:rPr>
          <w:bCs/>
          <w:iCs/>
          <w:szCs w:val="24"/>
        </w:rPr>
        <w:t>для</w:t>
      </w:r>
      <w:r w:rsidR="006C680D" w:rsidRPr="00D337FA">
        <w:rPr>
          <w:bCs/>
          <w:iCs/>
          <w:szCs w:val="24"/>
        </w:rPr>
        <w:t xml:space="preserve"> </w:t>
      </w:r>
      <w:r w:rsidRPr="00D337FA">
        <w:rPr>
          <w:bCs/>
          <w:iCs/>
          <w:szCs w:val="24"/>
        </w:rPr>
        <w:t>малого</w:t>
      </w:r>
      <w:r w:rsidR="006C680D" w:rsidRPr="00D337FA">
        <w:rPr>
          <w:bCs/>
          <w:iCs/>
          <w:szCs w:val="24"/>
        </w:rPr>
        <w:t xml:space="preserve"> </w:t>
      </w:r>
      <w:r w:rsidRPr="00D337FA">
        <w:rPr>
          <w:bCs/>
          <w:iCs/>
          <w:szCs w:val="24"/>
        </w:rPr>
        <w:t>бизнеса</w:t>
      </w:r>
      <w:r w:rsidR="006C680D" w:rsidRPr="00D337FA">
        <w:rPr>
          <w:bCs/>
          <w:iCs/>
          <w:szCs w:val="24"/>
        </w:rPr>
        <w:t xml:space="preserve"> </w:t>
      </w:r>
      <w:r w:rsidRPr="00D337FA">
        <w:rPr>
          <w:bCs/>
          <w:iCs/>
          <w:szCs w:val="24"/>
        </w:rPr>
        <w:t>и</w:t>
      </w:r>
      <w:r w:rsidR="006C680D" w:rsidRPr="00D337FA">
        <w:rPr>
          <w:bCs/>
          <w:iCs/>
          <w:szCs w:val="24"/>
        </w:rPr>
        <w:t xml:space="preserve"> </w:t>
      </w:r>
      <w:r w:rsidRPr="00D337FA">
        <w:rPr>
          <w:bCs/>
          <w:iCs/>
          <w:szCs w:val="24"/>
        </w:rPr>
        <w:t>их</w:t>
      </w:r>
      <w:r w:rsidR="006C680D" w:rsidRPr="00D337FA">
        <w:rPr>
          <w:bCs/>
          <w:iCs/>
          <w:szCs w:val="24"/>
        </w:rPr>
        <w:t xml:space="preserve"> </w:t>
      </w:r>
      <w:r w:rsidRPr="00D337FA">
        <w:rPr>
          <w:bCs/>
          <w:iCs/>
          <w:szCs w:val="24"/>
        </w:rPr>
        <w:t>востребованности</w:t>
      </w:r>
      <w:r w:rsidR="006C680D" w:rsidRPr="00D337FA">
        <w:rPr>
          <w:bCs/>
          <w:iCs/>
          <w:szCs w:val="24"/>
        </w:rPr>
        <w:t xml:space="preserve"> </w:t>
      </w:r>
      <w:r w:rsidRPr="00D337FA">
        <w:rPr>
          <w:bCs/>
          <w:iCs/>
          <w:szCs w:val="24"/>
        </w:rPr>
        <w:t>со</w:t>
      </w:r>
      <w:r w:rsidR="006C680D" w:rsidRPr="00D337FA">
        <w:rPr>
          <w:bCs/>
          <w:iCs/>
          <w:szCs w:val="24"/>
        </w:rPr>
        <w:t xml:space="preserve"> </w:t>
      </w:r>
      <w:r w:rsidRPr="00D337FA">
        <w:rPr>
          <w:bCs/>
          <w:iCs/>
          <w:szCs w:val="24"/>
        </w:rPr>
        <w:t>стороны</w:t>
      </w:r>
      <w:r w:rsidR="006C680D" w:rsidRPr="00D337FA">
        <w:rPr>
          <w:bCs/>
          <w:iCs/>
          <w:szCs w:val="24"/>
        </w:rPr>
        <w:t xml:space="preserve"> </w:t>
      </w:r>
      <w:r w:rsidRPr="00D337FA">
        <w:rPr>
          <w:bCs/>
          <w:iCs/>
          <w:szCs w:val="24"/>
        </w:rPr>
        <w:t>предпринимателей.</w:t>
      </w:r>
      <w:r w:rsidR="006C680D" w:rsidRPr="00D337FA">
        <w:rPr>
          <w:b/>
          <w:bCs/>
          <w:i/>
          <w:iCs/>
          <w:szCs w:val="24"/>
        </w:rPr>
        <w:t xml:space="preserve"> </w:t>
      </w:r>
    </w:p>
    <w:p w:rsidR="00256E85" w:rsidRPr="00D337FA" w:rsidRDefault="00256E85" w:rsidP="00256E85">
      <w:pPr>
        <w:ind w:firstLine="284"/>
        <w:rPr>
          <w:szCs w:val="24"/>
        </w:rPr>
      </w:pPr>
      <w:r w:rsidRPr="00D337FA">
        <w:rPr>
          <w:szCs w:val="24"/>
        </w:rPr>
        <w:t>Цифровая</w:t>
      </w:r>
      <w:r w:rsidR="006C680D" w:rsidRPr="00D337FA">
        <w:rPr>
          <w:szCs w:val="24"/>
        </w:rPr>
        <w:t xml:space="preserve"> </w:t>
      </w:r>
      <w:r w:rsidRPr="00D337FA">
        <w:rPr>
          <w:szCs w:val="24"/>
        </w:rPr>
        <w:t>трансформация</w:t>
      </w:r>
      <w:r w:rsidR="006C680D" w:rsidRPr="00D337FA">
        <w:rPr>
          <w:szCs w:val="24"/>
        </w:rPr>
        <w:t xml:space="preserve"> </w:t>
      </w:r>
      <w:r w:rsidRPr="00D337FA">
        <w:rPr>
          <w:szCs w:val="24"/>
        </w:rPr>
        <w:t>банковской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оказала</w:t>
      </w:r>
      <w:r w:rsidR="006C680D" w:rsidRPr="00D337FA">
        <w:rPr>
          <w:szCs w:val="24"/>
        </w:rPr>
        <w:t xml:space="preserve"> </w:t>
      </w:r>
      <w:r w:rsidRPr="00D337FA">
        <w:rPr>
          <w:szCs w:val="24"/>
        </w:rPr>
        <w:t>революционное</w:t>
      </w:r>
      <w:r w:rsidR="006C680D" w:rsidRPr="00D337FA">
        <w:rPr>
          <w:szCs w:val="24"/>
        </w:rPr>
        <w:t xml:space="preserve"> </w:t>
      </w:r>
      <w:r w:rsidRPr="00D337FA">
        <w:rPr>
          <w:szCs w:val="24"/>
        </w:rPr>
        <w:t>воздействие</w:t>
      </w:r>
      <w:r w:rsidR="006C680D" w:rsidRPr="00D337FA">
        <w:rPr>
          <w:szCs w:val="24"/>
        </w:rPr>
        <w:t xml:space="preserve"> </w:t>
      </w:r>
      <w:r w:rsidRPr="00D337FA">
        <w:rPr>
          <w:szCs w:val="24"/>
        </w:rPr>
        <w:t>на</w:t>
      </w:r>
      <w:r w:rsidR="006C680D" w:rsidRPr="00D337FA">
        <w:rPr>
          <w:szCs w:val="24"/>
        </w:rPr>
        <w:t xml:space="preserve"> </w:t>
      </w:r>
      <w:r w:rsidRPr="00D337FA">
        <w:rPr>
          <w:szCs w:val="24"/>
        </w:rPr>
        <w:t>обслуживание</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Теоретически</w:t>
      </w:r>
      <w:r w:rsidR="006C680D" w:rsidRPr="00D337FA">
        <w:rPr>
          <w:szCs w:val="24"/>
        </w:rPr>
        <w:t xml:space="preserve"> </w:t>
      </w:r>
      <w:r w:rsidRPr="00D337FA">
        <w:rPr>
          <w:szCs w:val="24"/>
        </w:rPr>
        <w:t>ее</w:t>
      </w:r>
      <w:r w:rsidR="006C680D" w:rsidRPr="00D337FA">
        <w:rPr>
          <w:szCs w:val="24"/>
        </w:rPr>
        <w:t xml:space="preserve"> </w:t>
      </w:r>
      <w:r w:rsidRPr="00D337FA">
        <w:rPr>
          <w:szCs w:val="24"/>
        </w:rPr>
        <w:t>влияние</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рассмотреть</w:t>
      </w:r>
      <w:r w:rsidR="006C680D" w:rsidRPr="00D337FA">
        <w:rPr>
          <w:szCs w:val="24"/>
        </w:rPr>
        <w:t xml:space="preserve"> </w:t>
      </w:r>
      <w:r w:rsidRPr="00D337FA">
        <w:rPr>
          <w:szCs w:val="24"/>
        </w:rPr>
        <w:t>в</w:t>
      </w:r>
      <w:r w:rsidR="006C680D" w:rsidRPr="00D337FA">
        <w:rPr>
          <w:szCs w:val="24"/>
        </w:rPr>
        <w:t xml:space="preserve"> </w:t>
      </w:r>
      <w:r w:rsidRPr="00D337FA">
        <w:rPr>
          <w:szCs w:val="24"/>
        </w:rPr>
        <w:t>двух</w:t>
      </w:r>
      <w:r w:rsidR="006C680D" w:rsidRPr="00D337FA">
        <w:rPr>
          <w:szCs w:val="24"/>
        </w:rPr>
        <w:t xml:space="preserve"> </w:t>
      </w:r>
      <w:r w:rsidRPr="00D337FA">
        <w:rPr>
          <w:szCs w:val="24"/>
        </w:rPr>
        <w:t>плоскостях:</w:t>
      </w:r>
      <w:r w:rsidR="006C680D" w:rsidRPr="00D337FA">
        <w:rPr>
          <w:szCs w:val="24"/>
        </w:rPr>
        <w:t xml:space="preserve"> </w:t>
      </w:r>
      <w:r w:rsidRPr="00D337FA">
        <w:rPr>
          <w:szCs w:val="24"/>
        </w:rPr>
        <w:t>операционной</w:t>
      </w:r>
      <w:r w:rsidR="006C680D" w:rsidRPr="00D337FA">
        <w:rPr>
          <w:szCs w:val="24"/>
        </w:rPr>
        <w:t xml:space="preserve"> </w:t>
      </w:r>
      <w:r w:rsidRPr="00D337FA">
        <w:rPr>
          <w:szCs w:val="24"/>
        </w:rPr>
        <w:t>эффективности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риск-менеджмента.</w:t>
      </w:r>
      <w:r w:rsidR="006C680D" w:rsidRPr="00D337FA">
        <w:rPr>
          <w:szCs w:val="24"/>
        </w:rPr>
        <w:t xml:space="preserve"> </w:t>
      </w:r>
      <w:r w:rsidRPr="00D337FA">
        <w:rPr>
          <w:szCs w:val="24"/>
        </w:rPr>
        <w:t>Во-первых,</w:t>
      </w:r>
      <w:r w:rsidR="006C680D" w:rsidRPr="00D337FA">
        <w:rPr>
          <w:szCs w:val="24"/>
        </w:rPr>
        <w:t xml:space="preserve"> </w:t>
      </w:r>
      <w:r w:rsidRPr="00D337FA">
        <w:rPr>
          <w:szCs w:val="24"/>
        </w:rPr>
        <w:t>цифровые</w:t>
      </w:r>
      <w:r w:rsidR="006C680D" w:rsidRPr="00D337FA">
        <w:rPr>
          <w:szCs w:val="24"/>
        </w:rPr>
        <w:t xml:space="preserve"> </w:t>
      </w:r>
      <w:r w:rsidRPr="00D337FA">
        <w:rPr>
          <w:szCs w:val="24"/>
        </w:rPr>
        <w:t>каналы</w:t>
      </w:r>
      <w:r w:rsidR="006C680D" w:rsidRPr="00D337FA">
        <w:rPr>
          <w:szCs w:val="24"/>
        </w:rPr>
        <w:t xml:space="preserve"> </w:t>
      </w:r>
      <w:r w:rsidRPr="00D337FA">
        <w:rPr>
          <w:szCs w:val="24"/>
        </w:rPr>
        <w:t>(онлайн-банкинг,</w:t>
      </w:r>
      <w:r w:rsidR="006C680D" w:rsidRPr="00D337FA">
        <w:rPr>
          <w:szCs w:val="24"/>
        </w:rPr>
        <w:t xml:space="preserve"> </w:t>
      </w:r>
      <w:r w:rsidRPr="00D337FA">
        <w:rPr>
          <w:szCs w:val="24"/>
        </w:rPr>
        <w:t>мобильные</w:t>
      </w:r>
      <w:r w:rsidR="006C680D" w:rsidRPr="00D337FA">
        <w:rPr>
          <w:szCs w:val="24"/>
        </w:rPr>
        <w:t xml:space="preserve"> </w:t>
      </w:r>
      <w:r w:rsidRPr="00D337FA">
        <w:rPr>
          <w:szCs w:val="24"/>
        </w:rPr>
        <w:t>приложения,</w:t>
      </w:r>
      <w:r w:rsidR="006C680D" w:rsidRPr="00D337FA">
        <w:rPr>
          <w:szCs w:val="24"/>
        </w:rPr>
        <w:t xml:space="preserve"> </w:t>
      </w:r>
      <w:r w:rsidRPr="00D337FA">
        <w:rPr>
          <w:szCs w:val="24"/>
        </w:rPr>
        <w:t>API)</w:t>
      </w:r>
      <w:r w:rsidR="006C680D" w:rsidRPr="00D337FA">
        <w:rPr>
          <w:szCs w:val="24"/>
        </w:rPr>
        <w:t xml:space="preserve"> </w:t>
      </w:r>
      <w:r w:rsidRPr="00D337FA">
        <w:rPr>
          <w:szCs w:val="24"/>
        </w:rPr>
        <w:t>радикально</w:t>
      </w:r>
      <w:r w:rsidR="006C680D" w:rsidRPr="00D337FA">
        <w:rPr>
          <w:szCs w:val="24"/>
        </w:rPr>
        <w:t xml:space="preserve"> </w:t>
      </w:r>
      <w:r w:rsidRPr="00D337FA">
        <w:rPr>
          <w:szCs w:val="24"/>
        </w:rPr>
        <w:t>снизили</w:t>
      </w:r>
      <w:r w:rsidR="006C680D" w:rsidRPr="00D337FA">
        <w:rPr>
          <w:szCs w:val="24"/>
        </w:rPr>
        <w:t xml:space="preserve"> </w:t>
      </w:r>
      <w:r w:rsidRPr="00D337FA">
        <w:rPr>
          <w:szCs w:val="24"/>
        </w:rPr>
        <w:t>транзакционные</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как</w:t>
      </w:r>
      <w:r w:rsidR="006C680D" w:rsidRPr="00D337FA">
        <w:rPr>
          <w:szCs w:val="24"/>
        </w:rPr>
        <w:t xml:space="preserve"> </w:t>
      </w:r>
      <w:r w:rsidRPr="00D337FA">
        <w:rPr>
          <w:szCs w:val="24"/>
        </w:rPr>
        <w:t>для</w:t>
      </w:r>
      <w:r w:rsidR="006C680D" w:rsidRPr="00D337FA">
        <w:rPr>
          <w:szCs w:val="24"/>
        </w:rPr>
        <w:t xml:space="preserve"> </w:t>
      </w:r>
      <w:r w:rsidRPr="00D337FA">
        <w:rPr>
          <w:szCs w:val="24"/>
        </w:rPr>
        <w:t>банка,</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для</w:t>
      </w:r>
      <w:r w:rsidR="006C680D" w:rsidRPr="00D337FA">
        <w:rPr>
          <w:szCs w:val="24"/>
        </w:rPr>
        <w:t xml:space="preserve"> </w:t>
      </w:r>
      <w:r w:rsidRPr="00D337FA">
        <w:rPr>
          <w:szCs w:val="24"/>
        </w:rPr>
        <w:t>клиента,</w:t>
      </w:r>
      <w:r w:rsidR="006C680D" w:rsidRPr="00D337FA">
        <w:rPr>
          <w:szCs w:val="24"/>
        </w:rPr>
        <w:t xml:space="preserve"> </w:t>
      </w:r>
      <w:r w:rsidRPr="00D337FA">
        <w:rPr>
          <w:szCs w:val="24"/>
        </w:rPr>
        <w:t>сделав</w:t>
      </w:r>
      <w:r w:rsidR="006C680D" w:rsidRPr="00D337FA">
        <w:rPr>
          <w:szCs w:val="24"/>
        </w:rPr>
        <w:t xml:space="preserve"> </w:t>
      </w:r>
      <w:r w:rsidRPr="00D337FA">
        <w:rPr>
          <w:szCs w:val="24"/>
        </w:rPr>
        <w:t>экономически</w:t>
      </w:r>
      <w:r w:rsidR="006C680D" w:rsidRPr="00D337FA">
        <w:rPr>
          <w:szCs w:val="24"/>
        </w:rPr>
        <w:t xml:space="preserve"> </w:t>
      </w:r>
      <w:r w:rsidRPr="00D337FA">
        <w:rPr>
          <w:szCs w:val="24"/>
        </w:rPr>
        <w:t>целесообразным</w:t>
      </w:r>
      <w:r w:rsidR="006C680D" w:rsidRPr="00D337FA">
        <w:rPr>
          <w:szCs w:val="24"/>
        </w:rPr>
        <w:t xml:space="preserve"> </w:t>
      </w:r>
      <w:r w:rsidRPr="00D337FA">
        <w:rPr>
          <w:szCs w:val="24"/>
        </w:rPr>
        <w:t>обслуживание</w:t>
      </w:r>
      <w:r w:rsidR="006C680D" w:rsidRPr="00D337FA">
        <w:rPr>
          <w:szCs w:val="24"/>
        </w:rPr>
        <w:t xml:space="preserve"> </w:t>
      </w:r>
      <w:r w:rsidRPr="00D337FA">
        <w:rPr>
          <w:szCs w:val="24"/>
        </w:rPr>
        <w:t>даже</w:t>
      </w:r>
      <w:r w:rsidR="006C680D" w:rsidRPr="00D337FA">
        <w:rPr>
          <w:szCs w:val="24"/>
        </w:rPr>
        <w:t xml:space="preserve"> </w:t>
      </w:r>
      <w:r w:rsidRPr="00D337FA">
        <w:rPr>
          <w:szCs w:val="24"/>
        </w:rPr>
        <w:t>микропредприятий</w:t>
      </w:r>
      <w:r w:rsidR="006C680D" w:rsidRPr="00D337FA">
        <w:rPr>
          <w:szCs w:val="24"/>
        </w:rPr>
        <w:t xml:space="preserve"> </w:t>
      </w:r>
      <w:r w:rsidRPr="00D337FA">
        <w:rPr>
          <w:szCs w:val="24"/>
        </w:rPr>
        <w:t>с</w:t>
      </w:r>
      <w:r w:rsidR="006C680D" w:rsidRPr="00D337FA">
        <w:rPr>
          <w:szCs w:val="24"/>
        </w:rPr>
        <w:t xml:space="preserve"> </w:t>
      </w:r>
      <w:r w:rsidRPr="00D337FA">
        <w:rPr>
          <w:szCs w:val="24"/>
        </w:rPr>
        <w:t>небольшим</w:t>
      </w:r>
      <w:r w:rsidR="006C680D" w:rsidRPr="00D337FA">
        <w:rPr>
          <w:szCs w:val="24"/>
        </w:rPr>
        <w:t xml:space="preserve"> </w:t>
      </w:r>
      <w:r w:rsidRPr="00D337FA">
        <w:rPr>
          <w:szCs w:val="24"/>
        </w:rPr>
        <w:t>оборотом</w:t>
      </w:r>
      <w:r w:rsidR="006C680D" w:rsidRPr="00D337FA">
        <w:rPr>
          <w:szCs w:val="24"/>
        </w:rPr>
        <w:t xml:space="preserve"> </w:t>
      </w:r>
      <w:r w:rsidRPr="00D337FA">
        <w:rPr>
          <w:szCs w:val="24"/>
        </w:rPr>
        <w:t>[13].</w:t>
      </w:r>
      <w:r w:rsidR="006C680D" w:rsidRPr="00D337FA">
        <w:rPr>
          <w:szCs w:val="24"/>
        </w:rPr>
        <w:t xml:space="preserve"> </w:t>
      </w:r>
      <w:r w:rsidRPr="00D337FA">
        <w:rPr>
          <w:szCs w:val="24"/>
        </w:rPr>
        <w:t>Это</w:t>
      </w:r>
      <w:r w:rsidR="006C680D" w:rsidRPr="00D337FA">
        <w:rPr>
          <w:szCs w:val="24"/>
        </w:rPr>
        <w:t xml:space="preserve"> </w:t>
      </w:r>
      <w:r w:rsidRPr="00D337FA">
        <w:rPr>
          <w:szCs w:val="24"/>
        </w:rPr>
        <w:t>опровергает</w:t>
      </w:r>
      <w:r w:rsidR="006C680D" w:rsidRPr="00D337FA">
        <w:rPr>
          <w:szCs w:val="24"/>
        </w:rPr>
        <w:t xml:space="preserve"> </w:t>
      </w:r>
      <w:r w:rsidRPr="00D337FA">
        <w:rPr>
          <w:szCs w:val="24"/>
        </w:rPr>
        <w:t>ранее</w:t>
      </w:r>
      <w:r w:rsidR="006C680D" w:rsidRPr="00D337FA">
        <w:rPr>
          <w:szCs w:val="24"/>
        </w:rPr>
        <w:t xml:space="preserve"> </w:t>
      </w:r>
      <w:r w:rsidRPr="00D337FA">
        <w:rPr>
          <w:szCs w:val="24"/>
        </w:rPr>
        <w:t>существовавшую</w:t>
      </w:r>
      <w:r w:rsidR="006C680D" w:rsidRPr="00D337FA">
        <w:rPr>
          <w:szCs w:val="24"/>
        </w:rPr>
        <w:t xml:space="preserve"> </w:t>
      </w:r>
      <w:r w:rsidRPr="00D337FA">
        <w:rPr>
          <w:szCs w:val="24"/>
        </w:rPr>
        <w:t>гипотезу</w:t>
      </w:r>
      <w:r w:rsidR="006C680D" w:rsidRPr="00D337FA">
        <w:rPr>
          <w:szCs w:val="24"/>
        </w:rPr>
        <w:t xml:space="preserve"> </w:t>
      </w:r>
      <w:r w:rsidRPr="00D337FA">
        <w:rPr>
          <w:szCs w:val="24"/>
        </w:rPr>
        <w:t>о</w:t>
      </w:r>
      <w:r w:rsidR="006C680D" w:rsidRPr="00D337FA">
        <w:rPr>
          <w:szCs w:val="24"/>
        </w:rPr>
        <w:t xml:space="preserve"> </w:t>
      </w:r>
      <w:r w:rsidRPr="00D337FA">
        <w:rPr>
          <w:szCs w:val="24"/>
        </w:rPr>
        <w:t>нерентабельности</w:t>
      </w:r>
      <w:r w:rsidR="006C680D" w:rsidRPr="00D337FA">
        <w:rPr>
          <w:szCs w:val="24"/>
        </w:rPr>
        <w:t xml:space="preserve"> </w:t>
      </w:r>
      <w:r w:rsidRPr="00D337FA">
        <w:rPr>
          <w:szCs w:val="24"/>
        </w:rPr>
        <w:t>работы</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с</w:t>
      </w:r>
      <w:r w:rsidR="006C680D" w:rsidRPr="00D337FA">
        <w:rPr>
          <w:szCs w:val="24"/>
        </w:rPr>
        <w:t xml:space="preserve"> </w:t>
      </w:r>
      <w:r w:rsidRPr="00D337FA">
        <w:rPr>
          <w:szCs w:val="24"/>
        </w:rPr>
        <w:t>данным</w:t>
      </w:r>
      <w:r w:rsidR="006C680D" w:rsidRPr="00D337FA">
        <w:rPr>
          <w:szCs w:val="24"/>
        </w:rPr>
        <w:t xml:space="preserve"> </w:t>
      </w:r>
      <w:r w:rsidRPr="00D337FA">
        <w:rPr>
          <w:szCs w:val="24"/>
        </w:rPr>
        <w:t>сегментом.</w:t>
      </w:r>
    </w:p>
    <w:p w:rsidR="00256E85" w:rsidRPr="00D337FA" w:rsidRDefault="00256E85" w:rsidP="00256E85">
      <w:pPr>
        <w:ind w:firstLine="284"/>
        <w:rPr>
          <w:szCs w:val="24"/>
        </w:rPr>
      </w:pPr>
      <w:r w:rsidRPr="00D337FA">
        <w:rPr>
          <w:szCs w:val="24"/>
        </w:rPr>
        <w:t>Во-вторых,</w:t>
      </w:r>
      <w:r w:rsidR="006C680D" w:rsidRPr="00D337FA">
        <w:rPr>
          <w:szCs w:val="24"/>
        </w:rPr>
        <w:t xml:space="preserve"> </w:t>
      </w:r>
      <w:r w:rsidRPr="00D337FA">
        <w:rPr>
          <w:szCs w:val="24"/>
        </w:rPr>
        <w:t>и</w:t>
      </w:r>
      <w:r w:rsidR="006C680D" w:rsidRPr="00D337FA">
        <w:rPr>
          <w:szCs w:val="24"/>
        </w:rPr>
        <w:t xml:space="preserve"> </w:t>
      </w:r>
      <w:r w:rsidRPr="00D337FA">
        <w:rPr>
          <w:szCs w:val="24"/>
        </w:rPr>
        <w:t>это</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существенно,</w:t>
      </w:r>
      <w:r w:rsidR="006C680D" w:rsidRPr="00D337FA">
        <w:rPr>
          <w:szCs w:val="24"/>
        </w:rPr>
        <w:t xml:space="preserve"> </w:t>
      </w:r>
      <w:r w:rsidRPr="00D337FA">
        <w:rPr>
          <w:szCs w:val="24"/>
        </w:rPr>
        <w:t>цифровизация</w:t>
      </w:r>
      <w:r w:rsidR="006C680D" w:rsidRPr="00D337FA">
        <w:rPr>
          <w:szCs w:val="24"/>
        </w:rPr>
        <w:t xml:space="preserve"> </w:t>
      </w:r>
      <w:r w:rsidRPr="00D337FA">
        <w:rPr>
          <w:szCs w:val="24"/>
        </w:rPr>
        <w:t>предоставила</w:t>
      </w:r>
      <w:r w:rsidR="006C680D" w:rsidRPr="00D337FA">
        <w:rPr>
          <w:szCs w:val="24"/>
        </w:rPr>
        <w:t xml:space="preserve"> </w:t>
      </w:r>
      <w:r w:rsidRPr="00D337FA">
        <w:rPr>
          <w:szCs w:val="24"/>
        </w:rPr>
        <w:t>банкам</w:t>
      </w:r>
      <w:r w:rsidR="006C680D" w:rsidRPr="00D337FA">
        <w:rPr>
          <w:szCs w:val="24"/>
        </w:rPr>
        <w:t xml:space="preserve"> </w:t>
      </w:r>
      <w:r w:rsidRPr="00D337FA">
        <w:rPr>
          <w:szCs w:val="24"/>
        </w:rPr>
        <w:t>доступ</w:t>
      </w:r>
      <w:r w:rsidR="006C680D" w:rsidRPr="00D337FA">
        <w:rPr>
          <w:szCs w:val="24"/>
        </w:rPr>
        <w:t xml:space="preserve"> </w:t>
      </w:r>
      <w:r w:rsidRPr="00D337FA">
        <w:rPr>
          <w:szCs w:val="24"/>
        </w:rPr>
        <w:t>к</w:t>
      </w:r>
      <w:r w:rsidR="006C680D" w:rsidRPr="00D337FA">
        <w:rPr>
          <w:szCs w:val="24"/>
        </w:rPr>
        <w:t xml:space="preserve"> </w:t>
      </w:r>
      <w:r w:rsidRPr="00D337FA">
        <w:rPr>
          <w:szCs w:val="24"/>
        </w:rPr>
        <w:t>альтернативным</w:t>
      </w:r>
      <w:r w:rsidR="006C680D" w:rsidRPr="00D337FA">
        <w:rPr>
          <w:szCs w:val="24"/>
        </w:rPr>
        <w:t xml:space="preserve"> </w:t>
      </w:r>
      <w:r w:rsidRPr="00D337FA">
        <w:rPr>
          <w:szCs w:val="24"/>
        </w:rPr>
        <w:t>данным</w:t>
      </w:r>
      <w:r w:rsidR="006C680D" w:rsidRPr="00D337FA">
        <w:rPr>
          <w:szCs w:val="24"/>
        </w:rPr>
        <w:t xml:space="preserve"> </w:t>
      </w:r>
      <w:r w:rsidRPr="00D337FA">
        <w:rPr>
          <w:szCs w:val="24"/>
        </w:rPr>
        <w:t>для</w:t>
      </w:r>
      <w:r w:rsidR="006C680D" w:rsidRPr="00D337FA">
        <w:rPr>
          <w:szCs w:val="24"/>
        </w:rPr>
        <w:t xml:space="preserve"> </w:t>
      </w:r>
      <w:r w:rsidRPr="00D337FA">
        <w:rPr>
          <w:szCs w:val="24"/>
        </w:rPr>
        <w:t>оценки</w:t>
      </w:r>
      <w:r w:rsidR="006C680D" w:rsidRPr="00D337FA">
        <w:rPr>
          <w:szCs w:val="24"/>
        </w:rPr>
        <w:t xml:space="preserve"> </w:t>
      </w:r>
      <w:r w:rsidRPr="00D337FA">
        <w:rPr>
          <w:szCs w:val="24"/>
        </w:rPr>
        <w:t>кредитоспособности.</w:t>
      </w:r>
      <w:r w:rsidR="006C680D" w:rsidRPr="00D337FA">
        <w:rPr>
          <w:szCs w:val="24"/>
        </w:rPr>
        <w:t xml:space="preserve"> </w:t>
      </w:r>
      <w:r w:rsidRPr="00D337FA">
        <w:rPr>
          <w:szCs w:val="24"/>
        </w:rPr>
        <w:t>Теория,</w:t>
      </w:r>
      <w:r w:rsidR="006C680D" w:rsidRPr="00D337FA">
        <w:rPr>
          <w:szCs w:val="24"/>
        </w:rPr>
        <w:t xml:space="preserve"> </w:t>
      </w:r>
      <w:r w:rsidRPr="00D337FA">
        <w:rPr>
          <w:szCs w:val="24"/>
        </w:rPr>
        <w:t>развиваемая</w:t>
      </w:r>
      <w:r w:rsidR="006C680D" w:rsidRPr="00D337FA">
        <w:rPr>
          <w:szCs w:val="24"/>
        </w:rPr>
        <w:t xml:space="preserve"> </w:t>
      </w:r>
      <w:r w:rsidRPr="00D337FA">
        <w:rPr>
          <w:szCs w:val="24"/>
        </w:rPr>
        <w:t>в</w:t>
      </w:r>
      <w:r w:rsidR="006C680D" w:rsidRPr="00D337FA">
        <w:rPr>
          <w:szCs w:val="24"/>
        </w:rPr>
        <w:t xml:space="preserve"> </w:t>
      </w:r>
      <w:r w:rsidRPr="00D337FA">
        <w:rPr>
          <w:szCs w:val="24"/>
        </w:rPr>
        <w:t>работах</w:t>
      </w:r>
      <w:r w:rsidR="006C680D" w:rsidRPr="00D337FA">
        <w:rPr>
          <w:szCs w:val="24"/>
        </w:rPr>
        <w:t xml:space="preserve"> </w:t>
      </w:r>
      <w:r w:rsidRPr="00D337FA">
        <w:rPr>
          <w:szCs w:val="24"/>
        </w:rPr>
        <w:t>современных</w:t>
      </w:r>
      <w:r w:rsidR="006C680D" w:rsidRPr="00D337FA">
        <w:rPr>
          <w:szCs w:val="24"/>
        </w:rPr>
        <w:t xml:space="preserve"> </w:t>
      </w:r>
      <w:r w:rsidRPr="00D337FA">
        <w:rPr>
          <w:szCs w:val="24"/>
        </w:rPr>
        <w:t>финтех-исследователей,</w:t>
      </w:r>
      <w:r w:rsidR="006C680D" w:rsidRPr="00D337FA">
        <w:rPr>
          <w:szCs w:val="24"/>
        </w:rPr>
        <w:t xml:space="preserve"> </w:t>
      </w:r>
      <w:r w:rsidRPr="00D337FA">
        <w:rPr>
          <w:szCs w:val="24"/>
        </w:rPr>
        <w:t>указывает</w:t>
      </w:r>
      <w:r w:rsidR="006C680D" w:rsidRPr="00D337FA">
        <w:rPr>
          <w:szCs w:val="24"/>
        </w:rPr>
        <w:t xml:space="preserve"> </w:t>
      </w:r>
      <w:r w:rsidRPr="00D337FA">
        <w:rPr>
          <w:szCs w:val="24"/>
        </w:rPr>
        <w:t>на</w:t>
      </w:r>
      <w:r w:rsidR="006C680D" w:rsidRPr="00D337FA">
        <w:rPr>
          <w:szCs w:val="24"/>
        </w:rPr>
        <w:t xml:space="preserve"> </w:t>
      </w:r>
      <w:r w:rsidRPr="00D337FA">
        <w:rPr>
          <w:szCs w:val="24"/>
        </w:rPr>
        <w:t>возможность</w:t>
      </w:r>
      <w:r w:rsidR="006C680D" w:rsidRPr="00D337FA">
        <w:rPr>
          <w:szCs w:val="24"/>
        </w:rPr>
        <w:t xml:space="preserve"> </w:t>
      </w:r>
      <w:r w:rsidRPr="00D337FA">
        <w:rPr>
          <w:szCs w:val="24"/>
        </w:rPr>
        <w:t>использования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скоринга</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отчетности,</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следа:</w:t>
      </w:r>
      <w:r w:rsidR="006C680D" w:rsidRPr="00D337FA">
        <w:rPr>
          <w:szCs w:val="24"/>
        </w:rPr>
        <w:t xml:space="preserve"> </w:t>
      </w:r>
      <w:r w:rsidRPr="00D337FA">
        <w:rPr>
          <w:szCs w:val="24"/>
        </w:rPr>
        <w:t>истории</w:t>
      </w:r>
      <w:r w:rsidR="006C680D" w:rsidRPr="00D337FA">
        <w:rPr>
          <w:szCs w:val="24"/>
        </w:rPr>
        <w:t xml:space="preserve"> </w:t>
      </w:r>
      <w:r w:rsidRPr="00D337FA">
        <w:rPr>
          <w:szCs w:val="24"/>
        </w:rPr>
        <w:t>операций</w:t>
      </w:r>
      <w:r w:rsidR="006C680D" w:rsidRPr="00D337FA">
        <w:rPr>
          <w:szCs w:val="24"/>
        </w:rPr>
        <w:t xml:space="preserve"> </w:t>
      </w:r>
      <w:r w:rsidRPr="00D337FA">
        <w:rPr>
          <w:szCs w:val="24"/>
        </w:rPr>
        <w:t>по</w:t>
      </w:r>
      <w:r w:rsidR="006C680D" w:rsidRPr="00D337FA">
        <w:rPr>
          <w:szCs w:val="24"/>
        </w:rPr>
        <w:t xml:space="preserve"> </w:t>
      </w:r>
      <w:r w:rsidRPr="00D337FA">
        <w:rPr>
          <w:szCs w:val="24"/>
        </w:rPr>
        <w:t>расчетному</w:t>
      </w:r>
      <w:r w:rsidR="006C680D" w:rsidRPr="00D337FA">
        <w:rPr>
          <w:szCs w:val="24"/>
        </w:rPr>
        <w:t xml:space="preserve"> </w:t>
      </w:r>
      <w:r w:rsidRPr="00D337FA">
        <w:rPr>
          <w:szCs w:val="24"/>
        </w:rPr>
        <w:t>счету,</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об</w:t>
      </w:r>
      <w:r w:rsidR="006C680D" w:rsidRPr="00D337FA">
        <w:rPr>
          <w:szCs w:val="24"/>
        </w:rPr>
        <w:t xml:space="preserve"> </w:t>
      </w:r>
      <w:r w:rsidRPr="00D337FA">
        <w:rPr>
          <w:szCs w:val="24"/>
        </w:rPr>
        <w:t>онлайн-продажах</w:t>
      </w:r>
      <w:r w:rsidR="006C680D" w:rsidRPr="00D337FA">
        <w:rPr>
          <w:szCs w:val="24"/>
        </w:rPr>
        <w:t xml:space="preserve"> </w:t>
      </w:r>
      <w:r w:rsidRPr="00D337FA">
        <w:rPr>
          <w:szCs w:val="24"/>
        </w:rPr>
        <w:t>на</w:t>
      </w:r>
      <w:r w:rsidR="006C680D" w:rsidRPr="00D337FA">
        <w:rPr>
          <w:szCs w:val="24"/>
        </w:rPr>
        <w:t xml:space="preserve"> </w:t>
      </w:r>
      <w:r w:rsidRPr="00D337FA">
        <w:rPr>
          <w:szCs w:val="24"/>
        </w:rPr>
        <w:t>маркетплейсах,</w:t>
      </w:r>
      <w:r w:rsidR="006C680D" w:rsidRPr="00D337FA">
        <w:rPr>
          <w:szCs w:val="24"/>
        </w:rPr>
        <w:t xml:space="preserve"> </w:t>
      </w:r>
      <w:r w:rsidRPr="00D337FA">
        <w:rPr>
          <w:szCs w:val="24"/>
        </w:rPr>
        <w:t>информации</w:t>
      </w:r>
      <w:r w:rsidR="006C680D" w:rsidRPr="00D337FA">
        <w:rPr>
          <w:szCs w:val="24"/>
        </w:rPr>
        <w:t xml:space="preserve"> </w:t>
      </w:r>
      <w:r w:rsidRPr="00D337FA">
        <w:rPr>
          <w:szCs w:val="24"/>
        </w:rPr>
        <w:t>из</w:t>
      </w:r>
      <w:r w:rsidR="006C680D" w:rsidRPr="00D337FA">
        <w:rPr>
          <w:szCs w:val="24"/>
        </w:rPr>
        <w:t xml:space="preserve"> </w:t>
      </w:r>
      <w:r w:rsidRPr="00D337FA">
        <w:rPr>
          <w:szCs w:val="24"/>
        </w:rPr>
        <w:t>социальных</w:t>
      </w:r>
      <w:r w:rsidR="006C680D" w:rsidRPr="00D337FA">
        <w:rPr>
          <w:szCs w:val="24"/>
        </w:rPr>
        <w:t xml:space="preserve"> </w:t>
      </w:r>
      <w:r w:rsidRPr="00D337FA">
        <w:rPr>
          <w:szCs w:val="24"/>
        </w:rPr>
        <w:t>сетей,</w:t>
      </w:r>
      <w:r w:rsidR="006C680D" w:rsidRPr="00D337FA">
        <w:rPr>
          <w:szCs w:val="24"/>
        </w:rPr>
        <w:t xml:space="preserve"> </w:t>
      </w:r>
      <w:r w:rsidRPr="00D337FA">
        <w:rPr>
          <w:szCs w:val="24"/>
        </w:rPr>
        <w:t>платежной</w:t>
      </w:r>
      <w:r w:rsidR="006C680D" w:rsidRPr="00D337FA">
        <w:rPr>
          <w:szCs w:val="24"/>
        </w:rPr>
        <w:t xml:space="preserve"> </w:t>
      </w:r>
      <w:r w:rsidRPr="00D337FA">
        <w:rPr>
          <w:szCs w:val="24"/>
        </w:rPr>
        <w:t>дисциплины</w:t>
      </w:r>
      <w:r w:rsidR="006C680D" w:rsidRPr="00D337FA">
        <w:rPr>
          <w:szCs w:val="24"/>
        </w:rPr>
        <w:t xml:space="preserve"> </w:t>
      </w:r>
      <w:r w:rsidRPr="00D337FA">
        <w:rPr>
          <w:szCs w:val="24"/>
        </w:rPr>
        <w:t>перед</w:t>
      </w:r>
      <w:r w:rsidR="006C680D" w:rsidRPr="00D337FA">
        <w:rPr>
          <w:szCs w:val="24"/>
        </w:rPr>
        <w:t xml:space="preserve"> </w:t>
      </w:r>
      <w:r w:rsidRPr="00D337FA">
        <w:rPr>
          <w:szCs w:val="24"/>
        </w:rPr>
        <w:t>поставщиками</w:t>
      </w:r>
      <w:r w:rsidR="006C680D" w:rsidRPr="00D337FA">
        <w:rPr>
          <w:szCs w:val="24"/>
        </w:rPr>
        <w:t xml:space="preserve"> </w:t>
      </w:r>
      <w:r w:rsidRPr="00D337FA">
        <w:rPr>
          <w:szCs w:val="24"/>
        </w:rPr>
        <w:t>[21].</w:t>
      </w:r>
      <w:r w:rsidR="006C680D" w:rsidRPr="00D337FA">
        <w:rPr>
          <w:szCs w:val="24"/>
        </w:rPr>
        <w:t xml:space="preserve"> </w:t>
      </w:r>
      <w:r w:rsidRPr="00D337FA">
        <w:rPr>
          <w:szCs w:val="24"/>
        </w:rPr>
        <w:t>Применение</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больших</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(BigData)</w:t>
      </w:r>
      <w:r w:rsidR="006C680D" w:rsidRPr="00D337FA">
        <w:rPr>
          <w:szCs w:val="24"/>
        </w:rPr>
        <w:t xml:space="preserve"> </w:t>
      </w:r>
      <w:r w:rsidRPr="00D337FA">
        <w:rPr>
          <w:szCs w:val="24"/>
        </w:rPr>
        <w:t>и</w:t>
      </w:r>
      <w:r w:rsidR="006C680D" w:rsidRPr="00D337FA">
        <w:rPr>
          <w:szCs w:val="24"/>
        </w:rPr>
        <w:t xml:space="preserve"> </w:t>
      </w:r>
      <w:r w:rsidRPr="00D337FA">
        <w:rPr>
          <w:szCs w:val="24"/>
        </w:rPr>
        <w:t>машинного</w:t>
      </w:r>
      <w:r w:rsidR="006C680D" w:rsidRPr="00D337FA">
        <w:rPr>
          <w:szCs w:val="24"/>
        </w:rPr>
        <w:t xml:space="preserve"> </w:t>
      </w:r>
      <w:r w:rsidRPr="00D337FA">
        <w:rPr>
          <w:szCs w:val="24"/>
        </w:rPr>
        <w:t>обучения</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строить</w:t>
      </w:r>
      <w:r w:rsidR="006C680D" w:rsidRPr="00D337FA">
        <w:rPr>
          <w:szCs w:val="24"/>
        </w:rPr>
        <w:t xml:space="preserve"> </w:t>
      </w:r>
      <w:r w:rsidRPr="00D337FA">
        <w:rPr>
          <w:szCs w:val="24"/>
        </w:rPr>
        <w:t>прогнозные</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выявляя</w:t>
      </w:r>
      <w:r w:rsidR="006C680D" w:rsidRPr="00D337FA">
        <w:rPr>
          <w:szCs w:val="24"/>
        </w:rPr>
        <w:t xml:space="preserve"> </w:t>
      </w:r>
      <w:r w:rsidRPr="00D337FA">
        <w:rPr>
          <w:szCs w:val="24"/>
        </w:rPr>
        <w:t>скрытые</w:t>
      </w:r>
      <w:r w:rsidR="006C680D" w:rsidRPr="00D337FA">
        <w:rPr>
          <w:szCs w:val="24"/>
        </w:rPr>
        <w:t xml:space="preserve"> </w:t>
      </w:r>
      <w:r w:rsidRPr="00D337FA">
        <w:rPr>
          <w:szCs w:val="24"/>
        </w:rPr>
        <w:t>паттерны</w:t>
      </w:r>
      <w:r w:rsidR="006C680D" w:rsidRPr="00D337FA">
        <w:rPr>
          <w:szCs w:val="24"/>
        </w:rPr>
        <w:t xml:space="preserve"> </w:t>
      </w:r>
      <w:r w:rsidRPr="00D337FA">
        <w:rPr>
          <w:szCs w:val="24"/>
        </w:rPr>
        <w:t>и</w:t>
      </w:r>
      <w:r w:rsidR="006C680D" w:rsidRPr="00D337FA">
        <w:rPr>
          <w:szCs w:val="24"/>
        </w:rPr>
        <w:t xml:space="preserve"> </w:t>
      </w:r>
      <w:r w:rsidRPr="00D337FA">
        <w:rPr>
          <w:szCs w:val="24"/>
        </w:rPr>
        <w:t>корреляции,</w:t>
      </w:r>
      <w:r w:rsidR="006C680D" w:rsidRPr="00D337FA">
        <w:rPr>
          <w:szCs w:val="24"/>
        </w:rPr>
        <w:t xml:space="preserve"> </w:t>
      </w:r>
      <w:r w:rsidRPr="00D337FA">
        <w:rPr>
          <w:szCs w:val="24"/>
        </w:rPr>
        <w:t>неочевидные</w:t>
      </w:r>
      <w:r w:rsidR="006C680D" w:rsidRPr="00D337FA">
        <w:rPr>
          <w:szCs w:val="24"/>
        </w:rPr>
        <w:t xml:space="preserve"> </w:t>
      </w:r>
      <w:r w:rsidRPr="00D337FA">
        <w:rPr>
          <w:szCs w:val="24"/>
        </w:rPr>
        <w:t>при</w:t>
      </w:r>
      <w:r w:rsidR="006C680D" w:rsidRPr="00D337FA">
        <w:rPr>
          <w:szCs w:val="24"/>
        </w:rPr>
        <w:t xml:space="preserve"> </w:t>
      </w:r>
      <w:r w:rsidRPr="00D337FA">
        <w:rPr>
          <w:szCs w:val="24"/>
        </w:rPr>
        <w:t>традиционном</w:t>
      </w:r>
      <w:r w:rsidR="006C680D" w:rsidRPr="00D337FA">
        <w:rPr>
          <w:szCs w:val="24"/>
        </w:rPr>
        <w:t xml:space="preserve"> </w:t>
      </w:r>
      <w:r w:rsidRPr="00D337FA">
        <w:rPr>
          <w:szCs w:val="24"/>
        </w:rPr>
        <w:t>анализе.</w:t>
      </w:r>
      <w:r w:rsidR="006C680D" w:rsidRPr="00D337FA">
        <w:rPr>
          <w:szCs w:val="24"/>
        </w:rPr>
        <w:t xml:space="preserve"> </w:t>
      </w:r>
      <w:r w:rsidRPr="00D337FA">
        <w:rPr>
          <w:szCs w:val="24"/>
        </w:rPr>
        <w:t>Это</w:t>
      </w:r>
      <w:r w:rsidR="006C680D" w:rsidRPr="00D337FA">
        <w:rPr>
          <w:szCs w:val="24"/>
        </w:rPr>
        <w:t xml:space="preserve"> </w:t>
      </w:r>
      <w:r w:rsidRPr="00D337FA">
        <w:rPr>
          <w:szCs w:val="24"/>
        </w:rPr>
        <w:t>открывает</w:t>
      </w:r>
      <w:r w:rsidR="006C680D" w:rsidRPr="00D337FA">
        <w:rPr>
          <w:szCs w:val="24"/>
        </w:rPr>
        <w:t xml:space="preserve"> </w:t>
      </w:r>
      <w:r w:rsidRPr="00D337FA">
        <w:rPr>
          <w:szCs w:val="24"/>
        </w:rPr>
        <w:t>путь</w:t>
      </w:r>
      <w:r w:rsidR="006C680D" w:rsidRPr="00D337FA">
        <w:rPr>
          <w:szCs w:val="24"/>
        </w:rPr>
        <w:t xml:space="preserve"> </w:t>
      </w:r>
      <w:r w:rsidRPr="00D337FA">
        <w:rPr>
          <w:szCs w:val="24"/>
        </w:rPr>
        <w:t>к</w:t>
      </w:r>
      <w:r w:rsidR="006C680D" w:rsidRPr="00D337FA">
        <w:rPr>
          <w:szCs w:val="24"/>
        </w:rPr>
        <w:t xml:space="preserve"> </w:t>
      </w:r>
      <w:r w:rsidRPr="00D337FA">
        <w:rPr>
          <w:szCs w:val="24"/>
        </w:rPr>
        <w:t>автоматизированному,</w:t>
      </w:r>
      <w:r w:rsidR="006C680D" w:rsidRPr="00D337FA">
        <w:rPr>
          <w:szCs w:val="24"/>
        </w:rPr>
        <w:t xml:space="preserve"> </w:t>
      </w:r>
      <w:r w:rsidRPr="00D337FA">
        <w:rPr>
          <w:szCs w:val="24"/>
        </w:rPr>
        <w:t>«цифровому»</w:t>
      </w:r>
      <w:r w:rsidR="006C680D" w:rsidRPr="00D337FA">
        <w:rPr>
          <w:szCs w:val="24"/>
        </w:rPr>
        <w:t xml:space="preserve"> </w:t>
      </w:r>
      <w:r w:rsidRPr="00D337FA">
        <w:rPr>
          <w:szCs w:val="24"/>
        </w:rPr>
        <w:t>андеррайтингу,</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существенно</w:t>
      </w:r>
      <w:r w:rsidR="006C680D" w:rsidRPr="00D337FA">
        <w:rPr>
          <w:szCs w:val="24"/>
        </w:rPr>
        <w:t xml:space="preserve"> </w:t>
      </w:r>
      <w:r w:rsidRPr="00D337FA">
        <w:rPr>
          <w:szCs w:val="24"/>
        </w:rPr>
        <w:t>ускорить</w:t>
      </w:r>
      <w:r w:rsidR="006C680D" w:rsidRPr="00D337FA">
        <w:rPr>
          <w:szCs w:val="24"/>
        </w:rPr>
        <w:t xml:space="preserve"> </w:t>
      </w:r>
      <w:r w:rsidRPr="00D337FA">
        <w:rPr>
          <w:szCs w:val="24"/>
        </w:rPr>
        <w:t>процесс</w:t>
      </w:r>
      <w:r w:rsidR="006C680D" w:rsidRPr="00D337FA">
        <w:rPr>
          <w:szCs w:val="24"/>
        </w:rPr>
        <w:t xml:space="preserve"> </w:t>
      </w:r>
      <w:r w:rsidRPr="00D337FA">
        <w:rPr>
          <w:szCs w:val="24"/>
        </w:rPr>
        <w:t>принятия</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расширить</w:t>
      </w:r>
      <w:r w:rsidR="006C680D" w:rsidRPr="00D337FA">
        <w:rPr>
          <w:szCs w:val="24"/>
        </w:rPr>
        <w:t xml:space="preserve"> </w:t>
      </w:r>
      <w:r w:rsidRPr="00D337FA">
        <w:rPr>
          <w:szCs w:val="24"/>
        </w:rPr>
        <w:t>охват</w:t>
      </w:r>
      <w:r w:rsidR="006C680D" w:rsidRPr="00D337FA">
        <w:rPr>
          <w:szCs w:val="24"/>
        </w:rPr>
        <w:t xml:space="preserve"> </w:t>
      </w:r>
      <w:r w:rsidRPr="00D337FA">
        <w:rPr>
          <w:szCs w:val="24"/>
        </w:rPr>
        <w:t>кредитования.</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как</w:t>
      </w:r>
      <w:r w:rsidR="006C680D" w:rsidRPr="00D337FA">
        <w:rPr>
          <w:szCs w:val="24"/>
        </w:rPr>
        <w:t xml:space="preserve"> </w:t>
      </w:r>
      <w:r w:rsidRPr="00D337FA">
        <w:rPr>
          <w:szCs w:val="24"/>
        </w:rPr>
        <w:t>справедливо</w:t>
      </w:r>
      <w:r w:rsidR="006C680D" w:rsidRPr="00D337FA">
        <w:rPr>
          <w:szCs w:val="24"/>
        </w:rPr>
        <w:t xml:space="preserve"> </w:t>
      </w:r>
      <w:r w:rsidRPr="00D337FA">
        <w:rPr>
          <w:szCs w:val="24"/>
        </w:rPr>
        <w:t>отмечается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литературе,</w:t>
      </w:r>
      <w:r w:rsidR="006C680D" w:rsidRPr="00D337FA">
        <w:rPr>
          <w:szCs w:val="24"/>
        </w:rPr>
        <w:t xml:space="preserve"> </w:t>
      </w:r>
      <w:r w:rsidRPr="00D337FA">
        <w:rPr>
          <w:szCs w:val="24"/>
        </w:rPr>
        <w:t>широкое</w:t>
      </w:r>
      <w:r w:rsidR="006C680D" w:rsidRPr="00D337FA">
        <w:rPr>
          <w:szCs w:val="24"/>
        </w:rPr>
        <w:t xml:space="preserve"> </w:t>
      </w:r>
      <w:r w:rsidRPr="00D337FA">
        <w:rPr>
          <w:szCs w:val="24"/>
        </w:rPr>
        <w:t>внедрение</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моделей</w:t>
      </w:r>
      <w:r w:rsidR="006C680D" w:rsidRPr="00D337FA">
        <w:rPr>
          <w:szCs w:val="24"/>
        </w:rPr>
        <w:t xml:space="preserve"> </w:t>
      </w:r>
      <w:r w:rsidRPr="00D337FA">
        <w:rPr>
          <w:szCs w:val="24"/>
        </w:rPr>
        <w:t>порождает</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этические</w:t>
      </w:r>
      <w:r w:rsidR="006C680D" w:rsidRPr="00D337FA">
        <w:rPr>
          <w:szCs w:val="24"/>
        </w:rPr>
        <w:t xml:space="preserve"> </w:t>
      </w:r>
      <w:r w:rsidRPr="00D337FA">
        <w:rPr>
          <w:szCs w:val="24"/>
        </w:rPr>
        <w:t>и</w:t>
      </w:r>
      <w:r w:rsidR="006C680D" w:rsidRPr="00D337FA">
        <w:rPr>
          <w:szCs w:val="24"/>
        </w:rPr>
        <w:t xml:space="preserve"> </w:t>
      </w:r>
      <w:r w:rsidRPr="00D337FA">
        <w:rPr>
          <w:szCs w:val="24"/>
        </w:rPr>
        <w:t>регуляторные</w:t>
      </w:r>
      <w:r w:rsidR="006C680D" w:rsidRPr="00D337FA">
        <w:rPr>
          <w:szCs w:val="24"/>
        </w:rPr>
        <w:t xml:space="preserve"> </w:t>
      </w:r>
      <w:r w:rsidRPr="00D337FA">
        <w:rPr>
          <w:szCs w:val="24"/>
        </w:rPr>
        <w:t>вызовы.</w:t>
      </w:r>
      <w:r w:rsidR="006C680D" w:rsidRPr="00D337FA">
        <w:rPr>
          <w:szCs w:val="24"/>
        </w:rPr>
        <w:t xml:space="preserve"> </w:t>
      </w:r>
      <w:r w:rsidRPr="00D337FA">
        <w:rPr>
          <w:bCs/>
          <w:iCs/>
          <w:szCs w:val="24"/>
        </w:rPr>
        <w:t>Пробелом</w:t>
      </w:r>
      <w:r w:rsidR="006C680D" w:rsidRPr="00D337FA">
        <w:rPr>
          <w:bCs/>
          <w:iCs/>
          <w:szCs w:val="24"/>
        </w:rPr>
        <w:t xml:space="preserve"> </w:t>
      </w:r>
      <w:r w:rsidRPr="00D337FA">
        <w:rPr>
          <w:bCs/>
          <w:iCs/>
          <w:szCs w:val="24"/>
        </w:rPr>
        <w:t>в</w:t>
      </w:r>
      <w:r w:rsidR="006C680D" w:rsidRPr="00D337FA">
        <w:rPr>
          <w:bCs/>
          <w:iCs/>
          <w:szCs w:val="24"/>
        </w:rPr>
        <w:t xml:space="preserve"> </w:t>
      </w:r>
      <w:r w:rsidRPr="00D337FA">
        <w:rPr>
          <w:bCs/>
          <w:iCs/>
          <w:szCs w:val="24"/>
        </w:rPr>
        <w:t>современных</w:t>
      </w:r>
      <w:r w:rsidR="006C680D" w:rsidRPr="00D337FA">
        <w:rPr>
          <w:bCs/>
          <w:iCs/>
          <w:szCs w:val="24"/>
        </w:rPr>
        <w:t xml:space="preserve"> </w:t>
      </w:r>
      <w:r w:rsidRPr="00D337FA">
        <w:rPr>
          <w:bCs/>
          <w:iCs/>
          <w:szCs w:val="24"/>
        </w:rPr>
        <w:t>исследованиях</w:t>
      </w:r>
      <w:r w:rsidR="006C680D" w:rsidRPr="00D337FA">
        <w:rPr>
          <w:bCs/>
          <w:iCs/>
          <w:szCs w:val="24"/>
        </w:rPr>
        <w:t xml:space="preserve"> </w:t>
      </w:r>
      <w:r w:rsidRPr="00D337FA">
        <w:rPr>
          <w:bCs/>
          <w:iCs/>
          <w:szCs w:val="24"/>
        </w:rPr>
        <w:t>является</w:t>
      </w:r>
      <w:r w:rsidR="006C680D" w:rsidRPr="00D337FA">
        <w:rPr>
          <w:bCs/>
          <w:iCs/>
          <w:szCs w:val="24"/>
        </w:rPr>
        <w:t xml:space="preserve"> </w:t>
      </w:r>
      <w:r w:rsidRPr="00D337FA">
        <w:rPr>
          <w:bCs/>
          <w:iCs/>
          <w:szCs w:val="24"/>
        </w:rPr>
        <w:t>недостаток</w:t>
      </w:r>
      <w:r w:rsidR="006C680D" w:rsidRPr="00D337FA">
        <w:rPr>
          <w:bCs/>
          <w:iCs/>
          <w:szCs w:val="24"/>
        </w:rPr>
        <w:t xml:space="preserve"> </w:t>
      </w:r>
      <w:r w:rsidRPr="00D337FA">
        <w:rPr>
          <w:bCs/>
          <w:iCs/>
          <w:szCs w:val="24"/>
        </w:rPr>
        <w:t>эмпирических</w:t>
      </w:r>
      <w:r w:rsidR="006C680D" w:rsidRPr="00D337FA">
        <w:rPr>
          <w:bCs/>
          <w:iCs/>
          <w:szCs w:val="24"/>
        </w:rPr>
        <w:t xml:space="preserve"> </w:t>
      </w:r>
      <w:r w:rsidRPr="00D337FA">
        <w:rPr>
          <w:bCs/>
          <w:iCs/>
          <w:szCs w:val="24"/>
        </w:rPr>
        <w:t>данных</w:t>
      </w:r>
      <w:r w:rsidR="006C680D" w:rsidRPr="00D337FA">
        <w:rPr>
          <w:bCs/>
          <w:iCs/>
          <w:szCs w:val="24"/>
        </w:rPr>
        <w:t xml:space="preserve"> </w:t>
      </w:r>
      <w:r w:rsidRPr="00D337FA">
        <w:rPr>
          <w:bCs/>
          <w:iCs/>
          <w:szCs w:val="24"/>
        </w:rPr>
        <w:t>о</w:t>
      </w:r>
      <w:r w:rsidR="006C680D" w:rsidRPr="00D337FA">
        <w:rPr>
          <w:bCs/>
          <w:iCs/>
          <w:szCs w:val="24"/>
        </w:rPr>
        <w:t xml:space="preserve"> </w:t>
      </w:r>
      <w:r w:rsidRPr="00D337FA">
        <w:rPr>
          <w:bCs/>
          <w:iCs/>
          <w:szCs w:val="24"/>
        </w:rPr>
        <w:t>том,</w:t>
      </w:r>
      <w:r w:rsidR="006C680D" w:rsidRPr="00D337FA">
        <w:rPr>
          <w:bCs/>
          <w:iCs/>
          <w:szCs w:val="24"/>
        </w:rPr>
        <w:t xml:space="preserve"> </w:t>
      </w:r>
      <w:r w:rsidRPr="00D337FA">
        <w:rPr>
          <w:bCs/>
          <w:iCs/>
          <w:szCs w:val="24"/>
        </w:rPr>
        <w:t>какие</w:t>
      </w:r>
      <w:r w:rsidR="006C680D" w:rsidRPr="00D337FA">
        <w:rPr>
          <w:bCs/>
          <w:iCs/>
          <w:szCs w:val="24"/>
        </w:rPr>
        <w:t xml:space="preserve"> </w:t>
      </w:r>
      <w:r w:rsidRPr="00D337FA">
        <w:rPr>
          <w:bCs/>
          <w:iCs/>
          <w:szCs w:val="24"/>
        </w:rPr>
        <w:t>именно</w:t>
      </w:r>
      <w:r w:rsidR="006C680D" w:rsidRPr="00D337FA">
        <w:rPr>
          <w:bCs/>
          <w:iCs/>
          <w:szCs w:val="24"/>
        </w:rPr>
        <w:t xml:space="preserve"> </w:t>
      </w:r>
      <w:r w:rsidRPr="00D337FA">
        <w:rPr>
          <w:bCs/>
          <w:iCs/>
          <w:szCs w:val="24"/>
        </w:rPr>
        <w:t>альтернативные</w:t>
      </w:r>
      <w:r w:rsidR="006C680D" w:rsidRPr="00D337FA">
        <w:rPr>
          <w:bCs/>
          <w:iCs/>
          <w:szCs w:val="24"/>
        </w:rPr>
        <w:t xml:space="preserve"> </w:t>
      </w:r>
      <w:r w:rsidRPr="00D337FA">
        <w:rPr>
          <w:bCs/>
          <w:iCs/>
          <w:szCs w:val="24"/>
        </w:rPr>
        <w:t>данные</w:t>
      </w:r>
      <w:r w:rsidR="006C680D" w:rsidRPr="00D337FA">
        <w:rPr>
          <w:bCs/>
          <w:iCs/>
          <w:szCs w:val="24"/>
        </w:rPr>
        <w:t xml:space="preserve"> </w:t>
      </w:r>
      <w:r w:rsidRPr="00D337FA">
        <w:rPr>
          <w:bCs/>
          <w:iCs/>
          <w:szCs w:val="24"/>
        </w:rPr>
        <w:t>и</w:t>
      </w:r>
      <w:r w:rsidR="006C680D" w:rsidRPr="00D337FA">
        <w:rPr>
          <w:bCs/>
          <w:iCs/>
          <w:szCs w:val="24"/>
        </w:rPr>
        <w:t xml:space="preserve"> </w:t>
      </w:r>
      <w:r w:rsidRPr="00D337FA">
        <w:rPr>
          <w:bCs/>
          <w:iCs/>
          <w:szCs w:val="24"/>
        </w:rPr>
        <w:t>алгоритмы</w:t>
      </w:r>
      <w:r w:rsidR="006C680D" w:rsidRPr="00D337FA">
        <w:rPr>
          <w:bCs/>
          <w:iCs/>
          <w:szCs w:val="24"/>
        </w:rPr>
        <w:t xml:space="preserve"> </w:t>
      </w:r>
      <w:r w:rsidRPr="00D337FA">
        <w:rPr>
          <w:bCs/>
          <w:iCs/>
          <w:szCs w:val="24"/>
        </w:rPr>
        <w:t>уже</w:t>
      </w:r>
      <w:r w:rsidR="006C680D" w:rsidRPr="00D337FA">
        <w:rPr>
          <w:bCs/>
          <w:iCs/>
          <w:szCs w:val="24"/>
        </w:rPr>
        <w:t xml:space="preserve"> </w:t>
      </w:r>
      <w:r w:rsidRPr="00D337FA">
        <w:rPr>
          <w:bCs/>
          <w:iCs/>
          <w:szCs w:val="24"/>
        </w:rPr>
        <w:t>используются</w:t>
      </w:r>
      <w:r w:rsidR="006C680D" w:rsidRPr="00D337FA">
        <w:rPr>
          <w:bCs/>
          <w:iCs/>
          <w:szCs w:val="24"/>
        </w:rPr>
        <w:t xml:space="preserve"> </w:t>
      </w:r>
      <w:r w:rsidRPr="00D337FA">
        <w:rPr>
          <w:bCs/>
          <w:iCs/>
          <w:szCs w:val="24"/>
        </w:rPr>
        <w:t>российскими</w:t>
      </w:r>
      <w:r w:rsidR="006C680D" w:rsidRPr="00D337FA">
        <w:rPr>
          <w:bCs/>
          <w:iCs/>
          <w:szCs w:val="24"/>
        </w:rPr>
        <w:t xml:space="preserve"> </w:t>
      </w:r>
      <w:r w:rsidRPr="00D337FA">
        <w:rPr>
          <w:bCs/>
          <w:iCs/>
          <w:szCs w:val="24"/>
        </w:rPr>
        <w:lastRenderedPageBreak/>
        <w:t>банками</w:t>
      </w:r>
      <w:r w:rsidR="006C680D" w:rsidRPr="00D337FA">
        <w:rPr>
          <w:bCs/>
          <w:iCs/>
          <w:szCs w:val="24"/>
        </w:rPr>
        <w:t xml:space="preserve"> </w:t>
      </w:r>
      <w:r w:rsidRPr="00D337FA">
        <w:rPr>
          <w:bCs/>
          <w:iCs/>
          <w:szCs w:val="24"/>
        </w:rPr>
        <w:t>для</w:t>
      </w:r>
      <w:r w:rsidR="006C680D" w:rsidRPr="00D337FA">
        <w:rPr>
          <w:bCs/>
          <w:iCs/>
          <w:szCs w:val="24"/>
        </w:rPr>
        <w:t xml:space="preserve"> </w:t>
      </w:r>
      <w:r w:rsidRPr="00D337FA">
        <w:rPr>
          <w:bCs/>
          <w:iCs/>
          <w:szCs w:val="24"/>
        </w:rPr>
        <w:t>скоринга</w:t>
      </w:r>
      <w:r w:rsidR="006C680D" w:rsidRPr="00D337FA">
        <w:rPr>
          <w:bCs/>
          <w:iCs/>
          <w:szCs w:val="24"/>
        </w:rPr>
        <w:t xml:space="preserve"> </w:t>
      </w:r>
      <w:r w:rsidRPr="00D337FA">
        <w:rPr>
          <w:bCs/>
          <w:iCs/>
          <w:szCs w:val="24"/>
        </w:rPr>
        <w:t>малого</w:t>
      </w:r>
      <w:r w:rsidR="006C680D" w:rsidRPr="00D337FA">
        <w:rPr>
          <w:bCs/>
          <w:iCs/>
          <w:szCs w:val="24"/>
        </w:rPr>
        <w:t xml:space="preserve"> </w:t>
      </w:r>
      <w:r w:rsidRPr="00D337FA">
        <w:rPr>
          <w:bCs/>
          <w:iCs/>
          <w:szCs w:val="24"/>
        </w:rPr>
        <w:t>бизнеса</w:t>
      </w:r>
      <w:r w:rsidR="006C680D" w:rsidRPr="00D337FA">
        <w:rPr>
          <w:bCs/>
          <w:iCs/>
          <w:szCs w:val="24"/>
        </w:rPr>
        <w:t xml:space="preserve"> </w:t>
      </w:r>
      <w:r w:rsidRPr="00D337FA">
        <w:rPr>
          <w:bCs/>
          <w:iCs/>
          <w:szCs w:val="24"/>
        </w:rPr>
        <w:t>и</w:t>
      </w:r>
      <w:r w:rsidR="006C680D" w:rsidRPr="00D337FA">
        <w:rPr>
          <w:bCs/>
          <w:iCs/>
          <w:szCs w:val="24"/>
        </w:rPr>
        <w:t xml:space="preserve"> </w:t>
      </w:r>
      <w:r w:rsidRPr="00D337FA">
        <w:rPr>
          <w:bCs/>
          <w:iCs/>
          <w:szCs w:val="24"/>
        </w:rPr>
        <w:t>насколько</w:t>
      </w:r>
      <w:r w:rsidR="006C680D" w:rsidRPr="00D337FA">
        <w:rPr>
          <w:bCs/>
          <w:iCs/>
          <w:szCs w:val="24"/>
        </w:rPr>
        <w:t xml:space="preserve"> </w:t>
      </w:r>
      <w:r w:rsidRPr="00D337FA">
        <w:rPr>
          <w:bCs/>
          <w:iCs/>
          <w:szCs w:val="24"/>
        </w:rPr>
        <w:t>они</w:t>
      </w:r>
      <w:r w:rsidR="006C680D" w:rsidRPr="00D337FA">
        <w:rPr>
          <w:bCs/>
          <w:iCs/>
          <w:szCs w:val="24"/>
        </w:rPr>
        <w:t xml:space="preserve"> </w:t>
      </w:r>
      <w:r w:rsidRPr="00D337FA">
        <w:rPr>
          <w:bCs/>
          <w:iCs/>
          <w:szCs w:val="24"/>
        </w:rPr>
        <w:t>эффективны.</w:t>
      </w:r>
    </w:p>
    <w:p w:rsidR="00256E85" w:rsidRPr="00D337FA" w:rsidRDefault="00256E85" w:rsidP="00256E85">
      <w:pPr>
        <w:ind w:firstLine="284"/>
        <w:rPr>
          <w:bCs/>
          <w:szCs w:val="24"/>
        </w:rPr>
      </w:pPr>
      <w:r w:rsidRPr="00D337FA">
        <w:rPr>
          <w:bCs/>
          <w:szCs w:val="24"/>
        </w:rPr>
        <w:t>Таким</w:t>
      </w:r>
      <w:r w:rsidR="006C680D" w:rsidRPr="00D337FA">
        <w:rPr>
          <w:bCs/>
          <w:szCs w:val="24"/>
        </w:rPr>
        <w:t xml:space="preserve"> </w:t>
      </w:r>
      <w:r w:rsidRPr="00D337FA">
        <w:rPr>
          <w:bCs/>
          <w:szCs w:val="24"/>
        </w:rPr>
        <w:t>образом,</w:t>
      </w:r>
      <w:r w:rsidR="006C680D" w:rsidRPr="00D337FA">
        <w:rPr>
          <w:bCs/>
          <w:szCs w:val="24"/>
        </w:rPr>
        <w:t xml:space="preserve"> </w:t>
      </w:r>
      <w:r w:rsidRPr="00D337FA">
        <w:rPr>
          <w:szCs w:val="24"/>
        </w:rPr>
        <w:t>развитие</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форм</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динамичным,</w:t>
      </w:r>
      <w:r w:rsidR="006C680D" w:rsidRPr="00D337FA">
        <w:rPr>
          <w:szCs w:val="24"/>
        </w:rPr>
        <w:t xml:space="preserve"> </w:t>
      </w:r>
      <w:r w:rsidRPr="00D337FA">
        <w:rPr>
          <w:szCs w:val="24"/>
        </w:rPr>
        <w:t>многомерным</w:t>
      </w:r>
      <w:r w:rsidR="006C680D" w:rsidRPr="00D337FA">
        <w:rPr>
          <w:szCs w:val="24"/>
        </w:rPr>
        <w:t xml:space="preserve"> </w:t>
      </w:r>
      <w:r w:rsidRPr="00D337FA">
        <w:rPr>
          <w:szCs w:val="24"/>
        </w:rPr>
        <w:t>процессом,</w:t>
      </w:r>
      <w:r w:rsidR="006C680D" w:rsidRPr="00D337FA">
        <w:rPr>
          <w:szCs w:val="24"/>
        </w:rPr>
        <w:t xml:space="preserve"> </w:t>
      </w:r>
      <w:r w:rsidRPr="00D337FA">
        <w:rPr>
          <w:szCs w:val="24"/>
        </w:rPr>
        <w:t>движимым</w:t>
      </w:r>
      <w:r w:rsidR="006C680D" w:rsidRPr="00D337FA">
        <w:rPr>
          <w:szCs w:val="24"/>
        </w:rPr>
        <w:t xml:space="preserve"> </w:t>
      </w:r>
      <w:r w:rsidRPr="00D337FA">
        <w:rPr>
          <w:szCs w:val="24"/>
        </w:rPr>
        <w:t>необходимостью</w:t>
      </w:r>
      <w:r w:rsidR="006C680D" w:rsidRPr="00D337FA">
        <w:rPr>
          <w:szCs w:val="24"/>
        </w:rPr>
        <w:t xml:space="preserve"> </w:t>
      </w:r>
      <w:r w:rsidRPr="00D337FA">
        <w:rPr>
          <w:szCs w:val="24"/>
        </w:rPr>
        <w:t>преодоления</w:t>
      </w:r>
      <w:r w:rsidR="006C680D" w:rsidRPr="00D337FA">
        <w:rPr>
          <w:szCs w:val="24"/>
        </w:rPr>
        <w:t xml:space="preserve"> </w:t>
      </w:r>
      <w:r w:rsidRPr="00D337FA">
        <w:rPr>
          <w:szCs w:val="24"/>
        </w:rPr>
        <w:t>фундаментальных</w:t>
      </w:r>
      <w:r w:rsidR="006C680D" w:rsidRPr="00D337FA">
        <w:rPr>
          <w:szCs w:val="24"/>
        </w:rPr>
        <w:t xml:space="preserve"> </w:t>
      </w:r>
      <w:r w:rsidRPr="00D337FA">
        <w:rPr>
          <w:szCs w:val="24"/>
        </w:rPr>
        <w:t>проблем</w:t>
      </w:r>
      <w:r w:rsidR="006C680D" w:rsidRPr="00D337FA">
        <w:rPr>
          <w:szCs w:val="24"/>
        </w:rPr>
        <w:t xml:space="preserve"> </w:t>
      </w:r>
      <w:r w:rsidRPr="00D337FA">
        <w:rPr>
          <w:szCs w:val="24"/>
        </w:rPr>
        <w:t>информационной</w:t>
      </w:r>
      <w:r w:rsidR="006C680D" w:rsidRPr="00D337FA">
        <w:rPr>
          <w:szCs w:val="24"/>
        </w:rPr>
        <w:t xml:space="preserve"> </w:t>
      </w:r>
      <w:r w:rsidRPr="00D337FA">
        <w:rPr>
          <w:szCs w:val="24"/>
        </w:rPr>
        <w:t>асимметрии</w:t>
      </w:r>
      <w:r w:rsidR="006C680D" w:rsidRPr="00D337FA">
        <w:rPr>
          <w:szCs w:val="24"/>
        </w:rPr>
        <w:t xml:space="preserve"> </w:t>
      </w:r>
      <w:r w:rsidRPr="00D337FA">
        <w:rPr>
          <w:szCs w:val="24"/>
        </w:rPr>
        <w:t>и</w:t>
      </w:r>
      <w:r w:rsidR="006C680D" w:rsidRPr="00D337FA">
        <w:rPr>
          <w:szCs w:val="24"/>
        </w:rPr>
        <w:t xml:space="preserve"> </w:t>
      </w:r>
      <w:r w:rsidRPr="00D337FA">
        <w:rPr>
          <w:szCs w:val="24"/>
        </w:rPr>
        <w:t>высоких</w:t>
      </w:r>
      <w:r w:rsidR="006C680D" w:rsidRPr="00D337FA">
        <w:rPr>
          <w:szCs w:val="24"/>
        </w:rPr>
        <w:t xml:space="preserve"> </w:t>
      </w:r>
      <w:r w:rsidRPr="00D337FA">
        <w:rPr>
          <w:szCs w:val="24"/>
        </w:rPr>
        <w:t>транзакционных</w:t>
      </w:r>
      <w:r w:rsidR="006C680D" w:rsidRPr="00D337FA">
        <w:rPr>
          <w:szCs w:val="24"/>
        </w:rPr>
        <w:t xml:space="preserve"> </w:t>
      </w:r>
      <w:r w:rsidRPr="00D337FA">
        <w:rPr>
          <w:szCs w:val="24"/>
        </w:rPr>
        <w:t>издержек.</w:t>
      </w:r>
      <w:r w:rsidR="006C680D" w:rsidRPr="00D337FA">
        <w:rPr>
          <w:szCs w:val="24"/>
        </w:rPr>
        <w:t xml:space="preserve"> </w:t>
      </w:r>
      <w:r w:rsidRPr="00D337FA">
        <w:rPr>
          <w:bCs/>
          <w:szCs w:val="24"/>
        </w:rPr>
        <w:t>Проведенный</w:t>
      </w:r>
      <w:r w:rsidR="006C680D" w:rsidRPr="00D337FA">
        <w:rPr>
          <w:bCs/>
          <w:szCs w:val="24"/>
        </w:rPr>
        <w:t xml:space="preserve"> </w:t>
      </w:r>
      <w:r w:rsidRPr="00D337FA">
        <w:rPr>
          <w:bCs/>
          <w:szCs w:val="24"/>
        </w:rPr>
        <w:t>теоретический</w:t>
      </w:r>
      <w:r w:rsidR="006C680D" w:rsidRPr="00D337FA">
        <w:rPr>
          <w:bCs/>
          <w:szCs w:val="24"/>
        </w:rPr>
        <w:t xml:space="preserve"> </w:t>
      </w:r>
      <w:r w:rsidRPr="00D337FA">
        <w:rPr>
          <w:bCs/>
          <w:szCs w:val="24"/>
        </w:rPr>
        <w:t>обзор</w:t>
      </w:r>
      <w:r w:rsidR="006C680D" w:rsidRPr="00D337FA">
        <w:rPr>
          <w:bCs/>
          <w:szCs w:val="24"/>
        </w:rPr>
        <w:t xml:space="preserve"> </w:t>
      </w:r>
      <w:r w:rsidRPr="00D337FA">
        <w:rPr>
          <w:bCs/>
          <w:szCs w:val="24"/>
        </w:rPr>
        <w:t>позволяет</w:t>
      </w:r>
      <w:r w:rsidR="006C680D" w:rsidRPr="00D337FA">
        <w:rPr>
          <w:bCs/>
          <w:szCs w:val="24"/>
        </w:rPr>
        <w:t xml:space="preserve"> </w:t>
      </w:r>
      <w:r w:rsidRPr="00D337FA">
        <w:rPr>
          <w:bCs/>
          <w:szCs w:val="24"/>
        </w:rPr>
        <w:t>не</w:t>
      </w:r>
      <w:r w:rsidR="006C680D" w:rsidRPr="00D337FA">
        <w:rPr>
          <w:bCs/>
          <w:szCs w:val="24"/>
        </w:rPr>
        <w:t xml:space="preserve"> </w:t>
      </w:r>
      <w:r w:rsidRPr="00D337FA">
        <w:rPr>
          <w:bCs/>
          <w:szCs w:val="24"/>
        </w:rPr>
        <w:t>только</w:t>
      </w:r>
      <w:r w:rsidR="006C680D" w:rsidRPr="00D337FA">
        <w:rPr>
          <w:bCs/>
          <w:szCs w:val="24"/>
        </w:rPr>
        <w:t xml:space="preserve"> </w:t>
      </w:r>
      <w:r w:rsidRPr="00D337FA">
        <w:rPr>
          <w:bCs/>
          <w:szCs w:val="24"/>
        </w:rPr>
        <w:t>констатировать</w:t>
      </w:r>
      <w:r w:rsidR="006C680D" w:rsidRPr="00D337FA">
        <w:rPr>
          <w:bCs/>
          <w:szCs w:val="24"/>
        </w:rPr>
        <w:t xml:space="preserve"> </w:t>
      </w:r>
      <w:r w:rsidRPr="00D337FA">
        <w:rPr>
          <w:bCs/>
          <w:szCs w:val="24"/>
        </w:rPr>
        <w:t>эволюцию</w:t>
      </w:r>
      <w:r w:rsidR="006C680D" w:rsidRPr="00D337FA">
        <w:rPr>
          <w:bCs/>
          <w:szCs w:val="24"/>
        </w:rPr>
        <w:t xml:space="preserve"> </w:t>
      </w:r>
      <w:r w:rsidRPr="00D337FA">
        <w:rPr>
          <w:bCs/>
          <w:szCs w:val="24"/>
        </w:rPr>
        <w:t>подходов</w:t>
      </w:r>
      <w:r w:rsidR="006C680D" w:rsidRPr="00D337FA">
        <w:rPr>
          <w:bCs/>
          <w:szCs w:val="24"/>
        </w:rPr>
        <w:t xml:space="preserve"> </w:t>
      </w:r>
      <w:r w:rsidRPr="00D337FA">
        <w:rPr>
          <w:bCs/>
          <w:szCs w:val="24"/>
        </w:rPr>
        <w:t>от</w:t>
      </w:r>
      <w:r w:rsidR="006C680D" w:rsidRPr="00D337FA">
        <w:rPr>
          <w:bCs/>
          <w:szCs w:val="24"/>
        </w:rPr>
        <w:t xml:space="preserve"> </w:t>
      </w:r>
      <w:r w:rsidRPr="00D337FA">
        <w:rPr>
          <w:bCs/>
          <w:szCs w:val="24"/>
        </w:rPr>
        <w:t>простого</w:t>
      </w:r>
      <w:r w:rsidR="006C680D" w:rsidRPr="00D337FA">
        <w:rPr>
          <w:bCs/>
          <w:szCs w:val="24"/>
        </w:rPr>
        <w:t xml:space="preserve"> </w:t>
      </w:r>
      <w:r w:rsidRPr="00D337FA">
        <w:rPr>
          <w:bCs/>
          <w:szCs w:val="24"/>
        </w:rPr>
        <w:t>кредитования</w:t>
      </w:r>
      <w:r w:rsidR="006C680D" w:rsidRPr="00D337FA">
        <w:rPr>
          <w:bCs/>
          <w:szCs w:val="24"/>
        </w:rPr>
        <w:t xml:space="preserve"> </w:t>
      </w:r>
      <w:r w:rsidRPr="00D337FA">
        <w:rPr>
          <w:bCs/>
          <w:szCs w:val="24"/>
        </w:rPr>
        <w:t>предприятий</w:t>
      </w:r>
      <w:r w:rsidR="006C680D" w:rsidRPr="00D337FA">
        <w:rPr>
          <w:bCs/>
          <w:szCs w:val="24"/>
        </w:rPr>
        <w:t xml:space="preserve"> </w:t>
      </w:r>
      <w:r w:rsidRPr="00D337FA">
        <w:rPr>
          <w:bCs/>
          <w:szCs w:val="24"/>
        </w:rPr>
        <w:t>малого</w:t>
      </w:r>
      <w:r w:rsidR="006C680D" w:rsidRPr="00D337FA">
        <w:rPr>
          <w:bCs/>
          <w:szCs w:val="24"/>
        </w:rPr>
        <w:t xml:space="preserve"> </w:t>
      </w:r>
      <w:r w:rsidRPr="00D337FA">
        <w:rPr>
          <w:bCs/>
          <w:szCs w:val="24"/>
        </w:rPr>
        <w:t>бизнеса</w:t>
      </w:r>
      <w:r w:rsidR="006C680D" w:rsidRPr="00D337FA">
        <w:rPr>
          <w:bCs/>
          <w:szCs w:val="24"/>
        </w:rPr>
        <w:t xml:space="preserve"> </w:t>
      </w:r>
      <w:r w:rsidRPr="00D337FA">
        <w:rPr>
          <w:bCs/>
          <w:szCs w:val="24"/>
        </w:rPr>
        <w:t>к</w:t>
      </w:r>
      <w:r w:rsidR="006C680D" w:rsidRPr="00D337FA">
        <w:rPr>
          <w:bCs/>
          <w:szCs w:val="24"/>
        </w:rPr>
        <w:t xml:space="preserve"> </w:t>
      </w:r>
      <w:r w:rsidRPr="00D337FA">
        <w:rPr>
          <w:bCs/>
          <w:szCs w:val="24"/>
        </w:rPr>
        <w:t>построению</w:t>
      </w:r>
      <w:r w:rsidR="006C680D" w:rsidRPr="00D337FA">
        <w:rPr>
          <w:bCs/>
          <w:szCs w:val="24"/>
        </w:rPr>
        <w:t xml:space="preserve"> </w:t>
      </w:r>
      <w:r w:rsidRPr="00D337FA">
        <w:rPr>
          <w:bCs/>
          <w:szCs w:val="24"/>
        </w:rPr>
        <w:t>экосистем,</w:t>
      </w:r>
      <w:r w:rsidR="006C680D" w:rsidRPr="00D337FA">
        <w:rPr>
          <w:bCs/>
          <w:szCs w:val="24"/>
        </w:rPr>
        <w:t xml:space="preserve"> </w:t>
      </w:r>
      <w:r w:rsidRPr="00D337FA">
        <w:rPr>
          <w:bCs/>
          <w:szCs w:val="24"/>
        </w:rPr>
        <w:t>но</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четко</w:t>
      </w:r>
      <w:r w:rsidR="006C680D" w:rsidRPr="00D337FA">
        <w:rPr>
          <w:bCs/>
          <w:szCs w:val="24"/>
        </w:rPr>
        <w:t xml:space="preserve"> </w:t>
      </w:r>
      <w:r w:rsidRPr="00D337FA">
        <w:rPr>
          <w:bCs/>
          <w:szCs w:val="24"/>
        </w:rPr>
        <w:t>идентифицировать</w:t>
      </w:r>
      <w:r w:rsidR="006C680D" w:rsidRPr="00D337FA">
        <w:rPr>
          <w:bCs/>
          <w:szCs w:val="24"/>
        </w:rPr>
        <w:t xml:space="preserve"> </w:t>
      </w:r>
      <w:r w:rsidRPr="00D337FA">
        <w:rPr>
          <w:bCs/>
          <w:szCs w:val="24"/>
        </w:rPr>
        <w:t>существующие</w:t>
      </w:r>
      <w:r w:rsidR="006C680D" w:rsidRPr="00D337FA">
        <w:rPr>
          <w:bCs/>
          <w:szCs w:val="24"/>
        </w:rPr>
        <w:t xml:space="preserve"> </w:t>
      </w:r>
      <w:r w:rsidRPr="00D337FA">
        <w:rPr>
          <w:bCs/>
          <w:szCs w:val="24"/>
        </w:rPr>
        <w:t>пробелы</w:t>
      </w:r>
      <w:r w:rsidR="006C680D" w:rsidRPr="00D337FA">
        <w:rPr>
          <w:bCs/>
          <w:szCs w:val="24"/>
        </w:rPr>
        <w:t xml:space="preserve"> </w:t>
      </w:r>
      <w:r w:rsidRPr="00D337FA">
        <w:rPr>
          <w:bCs/>
          <w:szCs w:val="24"/>
        </w:rPr>
        <w:t>в</w:t>
      </w:r>
      <w:r w:rsidR="006C680D" w:rsidRPr="00D337FA">
        <w:rPr>
          <w:bCs/>
          <w:szCs w:val="24"/>
        </w:rPr>
        <w:t xml:space="preserve"> </w:t>
      </w:r>
      <w:r w:rsidRPr="00D337FA">
        <w:rPr>
          <w:bCs/>
          <w:szCs w:val="24"/>
        </w:rPr>
        <w:t>научном</w:t>
      </w:r>
      <w:r w:rsidR="006C680D" w:rsidRPr="00D337FA">
        <w:rPr>
          <w:bCs/>
          <w:szCs w:val="24"/>
        </w:rPr>
        <w:t xml:space="preserve"> </w:t>
      </w:r>
      <w:r w:rsidRPr="00D337FA">
        <w:rPr>
          <w:bCs/>
          <w:szCs w:val="24"/>
        </w:rPr>
        <w:t>знании:</w:t>
      </w:r>
      <w:r w:rsidR="006C680D" w:rsidRPr="00D337FA">
        <w:rPr>
          <w:bCs/>
          <w:szCs w:val="24"/>
        </w:rPr>
        <w:t xml:space="preserve"> </w:t>
      </w:r>
    </w:p>
    <w:p w:rsidR="00256E85" w:rsidRPr="00D337FA" w:rsidRDefault="00256E85" w:rsidP="005A0605">
      <w:pPr>
        <w:pStyle w:val="affb"/>
        <w:numPr>
          <w:ilvl w:val="0"/>
          <w:numId w:val="9"/>
        </w:numPr>
        <w:spacing w:after="0" w:line="240" w:lineRule="auto"/>
        <w:ind w:left="0" w:firstLine="284"/>
        <w:jc w:val="both"/>
        <w:rPr>
          <w:rFonts w:ascii="Times New Roman" w:hAnsi="Times New Roman" w:cs="Times New Roman"/>
          <w:sz w:val="24"/>
          <w:szCs w:val="24"/>
        </w:rPr>
      </w:pPr>
      <w:r w:rsidRPr="00D337FA">
        <w:rPr>
          <w:rFonts w:ascii="Times New Roman" w:hAnsi="Times New Roman" w:cs="Times New Roman"/>
          <w:bCs/>
          <w:sz w:val="24"/>
          <w:szCs w:val="24"/>
        </w:rPr>
        <w:t>фрагментарность</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в</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изучении</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взаимосвязи</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современных</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тенденций;</w:t>
      </w:r>
      <w:r w:rsidR="006C680D" w:rsidRPr="00D337FA">
        <w:rPr>
          <w:rFonts w:ascii="Times New Roman" w:hAnsi="Times New Roman" w:cs="Times New Roman"/>
          <w:bCs/>
          <w:sz w:val="24"/>
          <w:szCs w:val="24"/>
        </w:rPr>
        <w:t xml:space="preserve"> </w:t>
      </w:r>
    </w:p>
    <w:p w:rsidR="00256E85" w:rsidRPr="00D337FA" w:rsidRDefault="00256E85" w:rsidP="005A0605">
      <w:pPr>
        <w:pStyle w:val="affb"/>
        <w:numPr>
          <w:ilvl w:val="0"/>
          <w:numId w:val="9"/>
        </w:numPr>
        <w:spacing w:after="0" w:line="240" w:lineRule="auto"/>
        <w:ind w:left="0" w:firstLine="284"/>
        <w:jc w:val="both"/>
        <w:rPr>
          <w:rFonts w:ascii="Times New Roman" w:hAnsi="Times New Roman" w:cs="Times New Roman"/>
          <w:sz w:val="24"/>
          <w:szCs w:val="24"/>
        </w:rPr>
      </w:pPr>
      <w:r w:rsidRPr="00D337FA">
        <w:rPr>
          <w:rFonts w:ascii="Times New Roman" w:hAnsi="Times New Roman" w:cs="Times New Roman"/>
          <w:bCs/>
          <w:sz w:val="24"/>
          <w:szCs w:val="24"/>
        </w:rPr>
        <w:t>недостаток</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структурированных</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эмпирических</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данных</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по</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практике</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российских</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банков;</w:t>
      </w:r>
      <w:r w:rsidR="006C680D" w:rsidRPr="00D337FA">
        <w:rPr>
          <w:rFonts w:ascii="Times New Roman" w:hAnsi="Times New Roman" w:cs="Times New Roman"/>
          <w:bCs/>
          <w:sz w:val="24"/>
          <w:szCs w:val="24"/>
        </w:rPr>
        <w:t xml:space="preserve"> </w:t>
      </w:r>
    </w:p>
    <w:p w:rsidR="00256E85" w:rsidRPr="00D337FA" w:rsidRDefault="00256E85" w:rsidP="005A0605">
      <w:pPr>
        <w:pStyle w:val="affb"/>
        <w:numPr>
          <w:ilvl w:val="0"/>
          <w:numId w:val="9"/>
        </w:numPr>
        <w:spacing w:after="0" w:line="240" w:lineRule="auto"/>
        <w:ind w:left="0" w:firstLine="284"/>
        <w:jc w:val="both"/>
        <w:rPr>
          <w:rFonts w:ascii="Times New Roman" w:hAnsi="Times New Roman" w:cs="Times New Roman"/>
          <w:sz w:val="24"/>
          <w:szCs w:val="24"/>
        </w:rPr>
      </w:pPr>
      <w:r w:rsidRPr="00D337FA">
        <w:rPr>
          <w:rFonts w:ascii="Times New Roman" w:hAnsi="Times New Roman" w:cs="Times New Roman"/>
          <w:bCs/>
          <w:sz w:val="24"/>
          <w:szCs w:val="24"/>
        </w:rPr>
        <w:t>слабую</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разработанность</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интегративных</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моделей,</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сочетающих</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цифровизацию,</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альтернативное</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финансирование</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и</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нефинансовую</w:t>
      </w:r>
      <w:r w:rsidR="006C680D" w:rsidRPr="00D337FA">
        <w:rPr>
          <w:rFonts w:ascii="Times New Roman" w:hAnsi="Times New Roman" w:cs="Times New Roman"/>
          <w:bCs/>
          <w:sz w:val="24"/>
          <w:szCs w:val="24"/>
        </w:rPr>
        <w:t xml:space="preserve"> </w:t>
      </w:r>
      <w:r w:rsidRPr="00D337FA">
        <w:rPr>
          <w:rFonts w:ascii="Times New Roman" w:hAnsi="Times New Roman" w:cs="Times New Roman"/>
          <w:bCs/>
          <w:sz w:val="24"/>
          <w:szCs w:val="24"/>
        </w:rPr>
        <w:t>поддержку.</w:t>
      </w:r>
      <w:r w:rsidR="006C680D" w:rsidRPr="00D337FA">
        <w:rPr>
          <w:rFonts w:ascii="Times New Roman" w:hAnsi="Times New Roman" w:cs="Times New Roman"/>
          <w:sz w:val="24"/>
          <w:szCs w:val="24"/>
        </w:rPr>
        <w:t xml:space="preserve"> </w:t>
      </w:r>
    </w:p>
    <w:p w:rsidR="00256E85" w:rsidRPr="00D337FA" w:rsidRDefault="00256E85" w:rsidP="00256E85">
      <w:pPr>
        <w:ind w:firstLine="284"/>
        <w:rPr>
          <w:szCs w:val="24"/>
        </w:rPr>
      </w:pPr>
      <w:r w:rsidRPr="00D337FA">
        <w:rPr>
          <w:szCs w:val="24"/>
        </w:rPr>
        <w:t>Настоящее</w:t>
      </w:r>
      <w:r w:rsidR="006C680D" w:rsidRPr="00D337FA">
        <w:rPr>
          <w:szCs w:val="24"/>
        </w:rPr>
        <w:t xml:space="preserve"> </w:t>
      </w:r>
      <w:r w:rsidRPr="00D337FA">
        <w:rPr>
          <w:szCs w:val="24"/>
        </w:rPr>
        <w:t>исследование</w:t>
      </w:r>
      <w:r w:rsidR="006C680D" w:rsidRPr="00D337FA">
        <w:rPr>
          <w:szCs w:val="24"/>
        </w:rPr>
        <w:t xml:space="preserve"> </w:t>
      </w:r>
      <w:r w:rsidRPr="00D337FA">
        <w:rPr>
          <w:szCs w:val="24"/>
        </w:rPr>
        <w:t>направлено</w:t>
      </w:r>
      <w:r w:rsidR="006C680D" w:rsidRPr="00D337FA">
        <w:rPr>
          <w:szCs w:val="24"/>
        </w:rPr>
        <w:t xml:space="preserve"> </w:t>
      </w:r>
      <w:r w:rsidRPr="00D337FA">
        <w:rPr>
          <w:szCs w:val="24"/>
        </w:rPr>
        <w:t>на</w:t>
      </w:r>
      <w:r w:rsidR="006C680D" w:rsidRPr="00D337FA">
        <w:rPr>
          <w:szCs w:val="24"/>
        </w:rPr>
        <w:t xml:space="preserve"> </w:t>
      </w:r>
      <w:r w:rsidRPr="00D337FA">
        <w:rPr>
          <w:szCs w:val="24"/>
        </w:rPr>
        <w:t>устранение</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пробелов</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проведение</w:t>
      </w:r>
      <w:r w:rsidR="006C680D" w:rsidRPr="00D337FA">
        <w:rPr>
          <w:szCs w:val="24"/>
        </w:rPr>
        <w:t xml:space="preserve"> </w:t>
      </w:r>
      <w:r w:rsidRPr="00D337FA">
        <w:rPr>
          <w:szCs w:val="24"/>
        </w:rPr>
        <w:t>комплексного</w:t>
      </w:r>
      <w:r w:rsidR="006C680D" w:rsidRPr="00D337FA">
        <w:rPr>
          <w:szCs w:val="24"/>
        </w:rPr>
        <w:t xml:space="preserve"> </w:t>
      </w:r>
      <w:r w:rsidRPr="00D337FA">
        <w:rPr>
          <w:szCs w:val="24"/>
        </w:rPr>
        <w:t>эмпирического</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и</w:t>
      </w:r>
      <w:r w:rsidR="006C680D" w:rsidRPr="00D337FA">
        <w:rPr>
          <w:szCs w:val="24"/>
        </w:rPr>
        <w:t xml:space="preserve"> </w:t>
      </w:r>
      <w:r w:rsidRPr="00D337FA">
        <w:rPr>
          <w:szCs w:val="24"/>
        </w:rPr>
        <w:t>синтеза</w:t>
      </w:r>
      <w:r w:rsidR="006C680D" w:rsidRPr="00D337FA">
        <w:rPr>
          <w:szCs w:val="24"/>
        </w:rPr>
        <w:t xml:space="preserve"> </w:t>
      </w:r>
      <w:r w:rsidRPr="00D337FA">
        <w:rPr>
          <w:szCs w:val="24"/>
        </w:rPr>
        <w:t>полученных</w:t>
      </w:r>
      <w:r w:rsidR="006C680D" w:rsidRPr="00D337FA">
        <w:rPr>
          <w:szCs w:val="24"/>
        </w:rPr>
        <w:t xml:space="preserve"> </w:t>
      </w:r>
      <w:r w:rsidRPr="00D337FA">
        <w:rPr>
          <w:szCs w:val="24"/>
        </w:rPr>
        <w:t>результатов</w:t>
      </w:r>
      <w:r w:rsidR="006C680D" w:rsidRPr="00D337FA">
        <w:rPr>
          <w:szCs w:val="24"/>
        </w:rPr>
        <w:t xml:space="preserve"> </w:t>
      </w:r>
      <w:r w:rsidRPr="00D337FA">
        <w:rPr>
          <w:szCs w:val="24"/>
        </w:rPr>
        <w:t>в</w:t>
      </w:r>
      <w:r w:rsidR="006C680D" w:rsidRPr="00D337FA">
        <w:rPr>
          <w:szCs w:val="24"/>
        </w:rPr>
        <w:t xml:space="preserve"> </w:t>
      </w:r>
      <w:r w:rsidRPr="00D337FA">
        <w:rPr>
          <w:szCs w:val="24"/>
        </w:rPr>
        <w:t>целостную</w:t>
      </w:r>
      <w:r w:rsidR="006C680D" w:rsidRPr="00D337FA">
        <w:rPr>
          <w:szCs w:val="24"/>
        </w:rPr>
        <w:t xml:space="preserve"> </w:t>
      </w:r>
      <w:r w:rsidRPr="00D337FA">
        <w:rPr>
          <w:szCs w:val="24"/>
        </w:rPr>
        <w:t>модель</w:t>
      </w:r>
      <w:r w:rsidR="006C680D" w:rsidRPr="00D337FA">
        <w:rPr>
          <w:szCs w:val="24"/>
        </w:rPr>
        <w:t xml:space="preserve"> </w:t>
      </w:r>
      <w:r w:rsidRPr="00D337FA">
        <w:rPr>
          <w:szCs w:val="24"/>
        </w:rPr>
        <w:t>с</w:t>
      </w:r>
      <w:r w:rsidR="006C680D" w:rsidRPr="00D337FA">
        <w:rPr>
          <w:szCs w:val="24"/>
        </w:rPr>
        <w:t xml:space="preserve"> </w:t>
      </w:r>
      <w:r w:rsidRPr="00D337FA">
        <w:rPr>
          <w:szCs w:val="24"/>
        </w:rPr>
        <w:t>авторскими</w:t>
      </w:r>
      <w:r w:rsidR="006C680D" w:rsidRPr="00D337FA">
        <w:rPr>
          <w:szCs w:val="24"/>
        </w:rPr>
        <w:t xml:space="preserve"> </w:t>
      </w:r>
      <w:r w:rsidRPr="00D337FA">
        <w:rPr>
          <w:szCs w:val="24"/>
        </w:rPr>
        <w:t>предложениями</w:t>
      </w:r>
      <w:r w:rsidR="006C680D" w:rsidRPr="00D337FA">
        <w:rPr>
          <w:szCs w:val="24"/>
        </w:rPr>
        <w:t xml:space="preserve"> </w:t>
      </w:r>
      <w:r w:rsidRPr="00D337FA">
        <w:rPr>
          <w:szCs w:val="24"/>
        </w:rPr>
        <w:t>по</w:t>
      </w:r>
      <w:r w:rsidR="006C680D" w:rsidRPr="00D337FA">
        <w:rPr>
          <w:szCs w:val="24"/>
        </w:rPr>
        <w:t xml:space="preserve"> </w:t>
      </w:r>
      <w:r w:rsidRPr="00D337FA">
        <w:rPr>
          <w:szCs w:val="24"/>
        </w:rPr>
        <w:t>развитию</w:t>
      </w:r>
    </w:p>
    <w:p w:rsidR="00256E85" w:rsidRPr="00D337FA" w:rsidRDefault="00256E85" w:rsidP="00256E85">
      <w:pPr>
        <w:ind w:firstLine="284"/>
        <w:rPr>
          <w:szCs w:val="24"/>
        </w:rPr>
      </w:pPr>
    </w:p>
    <w:p w:rsidR="00256E85" w:rsidRPr="00D337FA" w:rsidRDefault="00256E85" w:rsidP="00256E85">
      <w:pPr>
        <w:ind w:firstLine="284"/>
        <w:rPr>
          <w:b/>
          <w:szCs w:val="24"/>
        </w:rPr>
      </w:pPr>
      <w:r w:rsidRPr="00D337FA">
        <w:rPr>
          <w:b/>
          <w:szCs w:val="24"/>
        </w:rPr>
        <w:t>Эмпирический</w:t>
      </w:r>
      <w:r w:rsidR="006C680D" w:rsidRPr="00D337FA">
        <w:rPr>
          <w:b/>
          <w:szCs w:val="24"/>
        </w:rPr>
        <w:t xml:space="preserve"> </w:t>
      </w:r>
      <w:r w:rsidRPr="00D337FA">
        <w:rPr>
          <w:b/>
          <w:szCs w:val="24"/>
        </w:rPr>
        <w:t>анализ</w:t>
      </w:r>
    </w:p>
    <w:p w:rsidR="00256E85" w:rsidRPr="00D337FA" w:rsidRDefault="00256E85" w:rsidP="00256E85">
      <w:pPr>
        <w:ind w:firstLine="284"/>
        <w:rPr>
          <w:szCs w:val="24"/>
        </w:rPr>
      </w:pPr>
      <w:r w:rsidRPr="00D337FA">
        <w:rPr>
          <w:szCs w:val="24"/>
        </w:rPr>
        <w:t>Анализ</w:t>
      </w:r>
      <w:r w:rsidR="006C680D" w:rsidRPr="00D337FA">
        <w:rPr>
          <w:szCs w:val="24"/>
        </w:rPr>
        <w:t xml:space="preserve"> </w:t>
      </w:r>
      <w:r w:rsidRPr="00D337FA">
        <w:rPr>
          <w:szCs w:val="24"/>
        </w:rPr>
        <w:t>отраслевой</w:t>
      </w:r>
      <w:r w:rsidR="006C680D" w:rsidRPr="00D337FA">
        <w:rPr>
          <w:szCs w:val="24"/>
        </w:rPr>
        <w:t xml:space="preserve"> </w:t>
      </w:r>
      <w:r w:rsidRPr="00D337FA">
        <w:rPr>
          <w:szCs w:val="24"/>
        </w:rPr>
        <w:t>структуры</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России</w:t>
      </w:r>
      <w:r w:rsidR="006C680D" w:rsidRPr="00D337FA">
        <w:rPr>
          <w:szCs w:val="24"/>
        </w:rPr>
        <w:t xml:space="preserve"> </w:t>
      </w:r>
      <w:r w:rsidRPr="00D337FA">
        <w:rPr>
          <w:szCs w:val="24"/>
        </w:rPr>
        <w:t>демонстрирует</w:t>
      </w:r>
      <w:r w:rsidR="006C680D" w:rsidRPr="00D337FA">
        <w:rPr>
          <w:szCs w:val="24"/>
        </w:rPr>
        <w:t xml:space="preserve"> </w:t>
      </w:r>
      <w:r w:rsidRPr="00D337FA">
        <w:rPr>
          <w:szCs w:val="24"/>
        </w:rPr>
        <w:t>его</w:t>
      </w:r>
      <w:r w:rsidR="006C680D" w:rsidRPr="00D337FA">
        <w:rPr>
          <w:szCs w:val="24"/>
        </w:rPr>
        <w:t xml:space="preserve"> </w:t>
      </w:r>
      <w:r w:rsidRPr="00D337FA">
        <w:rPr>
          <w:szCs w:val="24"/>
        </w:rPr>
        <w:t>значительную</w:t>
      </w:r>
      <w:r w:rsidR="006C680D" w:rsidRPr="00D337FA">
        <w:rPr>
          <w:szCs w:val="24"/>
        </w:rPr>
        <w:t xml:space="preserve"> </w:t>
      </w:r>
      <w:r w:rsidRPr="00D337FA">
        <w:rPr>
          <w:szCs w:val="24"/>
        </w:rPr>
        <w:t>концентрацию</w:t>
      </w:r>
      <w:r w:rsidR="006C680D" w:rsidRPr="00D337FA">
        <w:rPr>
          <w:szCs w:val="24"/>
        </w:rPr>
        <w:t xml:space="preserve"> </w:t>
      </w:r>
      <w:r w:rsidRPr="00D337FA">
        <w:rPr>
          <w:szCs w:val="24"/>
        </w:rPr>
        <w:t>в</w:t>
      </w:r>
      <w:r w:rsidR="006C680D" w:rsidRPr="00D337FA">
        <w:rPr>
          <w:szCs w:val="24"/>
        </w:rPr>
        <w:t xml:space="preserve"> </w:t>
      </w:r>
      <w:r w:rsidRPr="00D337FA">
        <w:rPr>
          <w:szCs w:val="24"/>
        </w:rPr>
        <w:t>сфере</w:t>
      </w:r>
      <w:r w:rsidR="006C680D" w:rsidRPr="00D337FA">
        <w:rPr>
          <w:szCs w:val="24"/>
        </w:rPr>
        <w:t xml:space="preserve"> </w:t>
      </w:r>
      <w:r w:rsidRPr="00D337FA">
        <w:rPr>
          <w:szCs w:val="24"/>
        </w:rPr>
        <w:t>торговли</w:t>
      </w:r>
      <w:r w:rsidR="006C680D" w:rsidRPr="00D337FA">
        <w:rPr>
          <w:szCs w:val="24"/>
        </w:rPr>
        <w:t xml:space="preserve"> </w:t>
      </w:r>
      <w:r w:rsidRPr="00D337FA">
        <w:rPr>
          <w:szCs w:val="24"/>
        </w:rPr>
        <w:t>и</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По</w:t>
      </w:r>
      <w:r w:rsidR="006C680D" w:rsidRPr="00D337FA">
        <w:rPr>
          <w:szCs w:val="24"/>
        </w:rPr>
        <w:t xml:space="preserve"> </w:t>
      </w:r>
      <w:r w:rsidRPr="00D337FA">
        <w:rPr>
          <w:szCs w:val="24"/>
        </w:rPr>
        <w:t>данным</w:t>
      </w:r>
      <w:r w:rsidR="006C680D" w:rsidRPr="00D337FA">
        <w:rPr>
          <w:szCs w:val="24"/>
        </w:rPr>
        <w:t xml:space="preserve"> </w:t>
      </w:r>
      <w:r w:rsidRPr="00D337FA">
        <w:rPr>
          <w:szCs w:val="24"/>
        </w:rPr>
        <w:t>аналитического</w:t>
      </w:r>
      <w:r w:rsidR="006C680D" w:rsidRPr="00D337FA">
        <w:rPr>
          <w:szCs w:val="24"/>
        </w:rPr>
        <w:t xml:space="preserve"> </w:t>
      </w:r>
      <w:r w:rsidRPr="00D337FA">
        <w:rPr>
          <w:szCs w:val="24"/>
        </w:rPr>
        <w:t>доклада</w:t>
      </w:r>
      <w:r w:rsidR="006C680D" w:rsidRPr="00D337FA">
        <w:rPr>
          <w:szCs w:val="24"/>
        </w:rPr>
        <w:t xml:space="preserve"> </w:t>
      </w:r>
      <w:r w:rsidRPr="00D337FA">
        <w:rPr>
          <w:szCs w:val="24"/>
        </w:rPr>
        <w:t>Института</w:t>
      </w:r>
      <w:r w:rsidR="006C680D" w:rsidRPr="00D337FA">
        <w:rPr>
          <w:szCs w:val="24"/>
        </w:rPr>
        <w:t xml:space="preserve"> </w:t>
      </w:r>
      <w:r w:rsidRPr="00D337FA">
        <w:rPr>
          <w:szCs w:val="24"/>
        </w:rPr>
        <w:t>комплексных</w:t>
      </w:r>
      <w:r w:rsidR="006C680D" w:rsidRPr="00D337FA">
        <w:rPr>
          <w:szCs w:val="24"/>
        </w:rPr>
        <w:t xml:space="preserve"> </w:t>
      </w:r>
      <w:r w:rsidRPr="00D337FA">
        <w:rPr>
          <w:szCs w:val="24"/>
        </w:rPr>
        <w:t>стратегических</w:t>
      </w:r>
      <w:r w:rsidR="006C680D" w:rsidRPr="00D337FA">
        <w:rPr>
          <w:szCs w:val="24"/>
        </w:rPr>
        <w:t xml:space="preserve"> </w:t>
      </w:r>
      <w:r w:rsidRPr="00D337FA">
        <w:rPr>
          <w:szCs w:val="24"/>
        </w:rPr>
        <w:t>исследований</w:t>
      </w:r>
      <w:r w:rsidR="006C680D" w:rsidRPr="00D337FA">
        <w:rPr>
          <w:szCs w:val="24"/>
        </w:rPr>
        <w:t xml:space="preserve"> </w:t>
      </w:r>
      <w:r w:rsidRPr="00D337FA">
        <w:rPr>
          <w:szCs w:val="24"/>
        </w:rPr>
        <w:t>[7],</w:t>
      </w:r>
      <w:r w:rsidR="006C680D" w:rsidRPr="00D337FA">
        <w:rPr>
          <w:szCs w:val="24"/>
        </w:rPr>
        <w:t xml:space="preserve"> </w:t>
      </w:r>
      <w:r w:rsidRPr="00D337FA">
        <w:rPr>
          <w:szCs w:val="24"/>
        </w:rPr>
        <w:t>в</w:t>
      </w:r>
      <w:r w:rsidR="006C680D" w:rsidRPr="00D337FA">
        <w:rPr>
          <w:szCs w:val="24"/>
        </w:rPr>
        <w:t xml:space="preserve"> </w:t>
      </w:r>
      <w:r w:rsidRPr="00D337FA">
        <w:rPr>
          <w:szCs w:val="24"/>
        </w:rPr>
        <w:t>2024</w:t>
      </w:r>
      <w:r w:rsidR="006C680D" w:rsidRPr="00D337FA">
        <w:rPr>
          <w:szCs w:val="24"/>
        </w:rPr>
        <w:t xml:space="preserve"> </w:t>
      </w:r>
      <w:r w:rsidRPr="00D337FA">
        <w:rPr>
          <w:szCs w:val="24"/>
        </w:rPr>
        <w:t>г.</w:t>
      </w:r>
      <w:r w:rsidR="006C680D" w:rsidRPr="00D337FA">
        <w:rPr>
          <w:szCs w:val="24"/>
        </w:rPr>
        <w:t xml:space="preserve"> </w:t>
      </w:r>
      <w:r w:rsidRPr="00D337FA">
        <w:rPr>
          <w:szCs w:val="24"/>
        </w:rPr>
        <w:t>наибольшая</w:t>
      </w:r>
      <w:r w:rsidR="006C680D" w:rsidRPr="00D337FA">
        <w:rPr>
          <w:szCs w:val="24"/>
        </w:rPr>
        <w:t xml:space="preserve"> </w:t>
      </w:r>
      <w:r w:rsidRPr="00D337FA">
        <w:rPr>
          <w:szCs w:val="24"/>
        </w:rPr>
        <w:t>доля</w:t>
      </w:r>
      <w:r w:rsidR="006C680D" w:rsidRPr="00D337FA">
        <w:rPr>
          <w:szCs w:val="24"/>
        </w:rPr>
        <w:t xml:space="preserve"> </w:t>
      </w:r>
      <w:r w:rsidRPr="00D337FA">
        <w:rPr>
          <w:szCs w:val="24"/>
        </w:rPr>
        <w:t>субъектов</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приходилась</w:t>
      </w:r>
      <w:r w:rsidR="006C680D" w:rsidRPr="00D337FA">
        <w:rPr>
          <w:szCs w:val="24"/>
        </w:rPr>
        <w:t xml:space="preserve"> </w:t>
      </w:r>
      <w:r w:rsidRPr="00D337FA">
        <w:rPr>
          <w:szCs w:val="24"/>
        </w:rPr>
        <w:t>на</w:t>
      </w:r>
      <w:r w:rsidR="006C680D" w:rsidRPr="00D337FA">
        <w:rPr>
          <w:szCs w:val="24"/>
        </w:rPr>
        <w:t xml:space="preserve"> </w:t>
      </w:r>
      <w:r w:rsidRPr="00D337FA">
        <w:rPr>
          <w:szCs w:val="24"/>
        </w:rPr>
        <w:t>оптовую</w:t>
      </w:r>
      <w:r w:rsidR="006C680D" w:rsidRPr="00D337FA">
        <w:rPr>
          <w:szCs w:val="24"/>
        </w:rPr>
        <w:t xml:space="preserve"> </w:t>
      </w:r>
      <w:r w:rsidRPr="00D337FA">
        <w:rPr>
          <w:szCs w:val="24"/>
        </w:rPr>
        <w:t>и</w:t>
      </w:r>
      <w:r w:rsidR="006C680D" w:rsidRPr="00D337FA">
        <w:rPr>
          <w:szCs w:val="24"/>
        </w:rPr>
        <w:t xml:space="preserve"> </w:t>
      </w:r>
      <w:r w:rsidRPr="00D337FA">
        <w:rPr>
          <w:szCs w:val="24"/>
        </w:rPr>
        <w:t>розничную</w:t>
      </w:r>
      <w:r w:rsidR="006C680D" w:rsidRPr="00D337FA">
        <w:rPr>
          <w:szCs w:val="24"/>
        </w:rPr>
        <w:t xml:space="preserve"> </w:t>
      </w:r>
      <w:r w:rsidRPr="00D337FA">
        <w:rPr>
          <w:szCs w:val="24"/>
        </w:rPr>
        <w:t>торговлю,</w:t>
      </w:r>
      <w:r w:rsidR="006C680D" w:rsidRPr="00D337FA">
        <w:rPr>
          <w:szCs w:val="24"/>
        </w:rPr>
        <w:t xml:space="preserve"> </w:t>
      </w:r>
      <w:r w:rsidRPr="00D337FA">
        <w:rPr>
          <w:szCs w:val="24"/>
        </w:rPr>
        <w:t>обрабатывающие</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транспортировку</w:t>
      </w:r>
      <w:r w:rsidR="006C680D" w:rsidRPr="00D337FA">
        <w:rPr>
          <w:szCs w:val="24"/>
        </w:rPr>
        <w:t xml:space="preserve"> </w:t>
      </w:r>
      <w:r w:rsidRPr="00D337FA">
        <w:rPr>
          <w:szCs w:val="24"/>
        </w:rPr>
        <w:t>и</w:t>
      </w:r>
      <w:r w:rsidR="006C680D" w:rsidRPr="00D337FA">
        <w:rPr>
          <w:szCs w:val="24"/>
        </w:rPr>
        <w:t xml:space="preserve"> </w:t>
      </w:r>
      <w:r w:rsidRPr="00D337FA">
        <w:rPr>
          <w:szCs w:val="24"/>
        </w:rPr>
        <w:t>хранение,</w:t>
      </w:r>
      <w:r w:rsidR="006C680D" w:rsidRPr="00D337FA">
        <w:rPr>
          <w:szCs w:val="24"/>
        </w:rPr>
        <w:t xml:space="preserve"> </w:t>
      </w:r>
      <w:r w:rsidRPr="00D337FA">
        <w:rPr>
          <w:szCs w:val="24"/>
        </w:rPr>
        <w:t>строительство</w:t>
      </w:r>
      <w:r w:rsidR="006C680D" w:rsidRPr="00D337FA">
        <w:rPr>
          <w:szCs w:val="24"/>
        </w:rPr>
        <w:t xml:space="preserve"> </w:t>
      </w:r>
      <w:r w:rsidRPr="00D337FA">
        <w:rPr>
          <w:szCs w:val="24"/>
        </w:rPr>
        <w:t>и</w:t>
      </w:r>
      <w:r w:rsidR="006C680D" w:rsidRPr="00D337FA">
        <w:rPr>
          <w:szCs w:val="24"/>
        </w:rPr>
        <w:t xml:space="preserve"> </w:t>
      </w:r>
      <w:r w:rsidRPr="00D337FA">
        <w:rPr>
          <w:szCs w:val="24"/>
        </w:rPr>
        <w:t>операции</w:t>
      </w:r>
      <w:r w:rsidR="006C680D" w:rsidRPr="00D337FA">
        <w:rPr>
          <w:szCs w:val="24"/>
        </w:rPr>
        <w:t xml:space="preserve"> </w:t>
      </w:r>
      <w:r w:rsidRPr="00D337FA">
        <w:rPr>
          <w:szCs w:val="24"/>
        </w:rPr>
        <w:t>с</w:t>
      </w:r>
      <w:r w:rsidR="006C680D" w:rsidRPr="00D337FA">
        <w:rPr>
          <w:szCs w:val="24"/>
        </w:rPr>
        <w:t xml:space="preserve"> </w:t>
      </w:r>
      <w:r w:rsidRPr="00D337FA">
        <w:rPr>
          <w:szCs w:val="24"/>
        </w:rPr>
        <w:t>недвижимым</w:t>
      </w:r>
      <w:r w:rsidR="006C680D" w:rsidRPr="00D337FA">
        <w:rPr>
          <w:szCs w:val="24"/>
        </w:rPr>
        <w:t xml:space="preserve"> </w:t>
      </w:r>
      <w:r w:rsidRPr="00D337FA">
        <w:rPr>
          <w:szCs w:val="24"/>
        </w:rPr>
        <w:t>имуществом</w:t>
      </w:r>
      <w:r w:rsidR="006C680D" w:rsidRPr="00D337FA">
        <w:rPr>
          <w:szCs w:val="24"/>
        </w:rPr>
        <w:t xml:space="preserve"> </w:t>
      </w:r>
      <w:r w:rsidRPr="00D337FA">
        <w:rPr>
          <w:szCs w:val="24"/>
        </w:rPr>
        <w:t>(рисунок</w:t>
      </w:r>
      <w:r w:rsidR="006C680D" w:rsidRPr="00D337FA">
        <w:rPr>
          <w:szCs w:val="24"/>
        </w:rPr>
        <w:t xml:space="preserve"> </w:t>
      </w:r>
      <w:r w:rsidRPr="00D337FA">
        <w:rPr>
          <w:szCs w:val="24"/>
        </w:rPr>
        <w:t>1).</w:t>
      </w:r>
      <w:r w:rsidR="006C680D" w:rsidRPr="00D337FA">
        <w:rPr>
          <w:szCs w:val="24"/>
        </w:rPr>
        <w:t xml:space="preserve"> </w:t>
      </w:r>
      <w:r w:rsidRPr="00D337FA">
        <w:rPr>
          <w:szCs w:val="24"/>
        </w:rPr>
        <w:t>Остальные</w:t>
      </w:r>
      <w:r w:rsidR="006C680D" w:rsidRPr="00D337FA">
        <w:rPr>
          <w:szCs w:val="24"/>
        </w:rPr>
        <w:t xml:space="preserve"> </w:t>
      </w:r>
      <w:r w:rsidRPr="00D337FA">
        <w:rPr>
          <w:szCs w:val="24"/>
        </w:rPr>
        <w:t>виды</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сельское</w:t>
      </w:r>
      <w:r w:rsidR="006C680D" w:rsidRPr="00D337FA">
        <w:rPr>
          <w:szCs w:val="24"/>
        </w:rPr>
        <w:t xml:space="preserve"> </w:t>
      </w:r>
      <w:r w:rsidRPr="00D337FA">
        <w:rPr>
          <w:szCs w:val="24"/>
        </w:rPr>
        <w:t>хозяйство,</w:t>
      </w:r>
      <w:r w:rsidR="006C680D" w:rsidRPr="00D337FA">
        <w:rPr>
          <w:szCs w:val="24"/>
        </w:rPr>
        <w:t xml:space="preserve"> </w:t>
      </w:r>
      <w:r w:rsidRPr="00D337FA">
        <w:rPr>
          <w:szCs w:val="24"/>
        </w:rPr>
        <w:t>здравоохранение,</w:t>
      </w:r>
      <w:r w:rsidR="006C680D" w:rsidRPr="00D337FA">
        <w:rPr>
          <w:szCs w:val="24"/>
        </w:rPr>
        <w:t xml:space="preserve"> </w:t>
      </w:r>
      <w:r w:rsidRPr="00D337FA">
        <w:rPr>
          <w:szCs w:val="24"/>
        </w:rPr>
        <w:t>образование</w:t>
      </w:r>
      <w:r w:rsidR="006C680D" w:rsidRPr="00D337FA">
        <w:rPr>
          <w:szCs w:val="24"/>
        </w:rPr>
        <w:t xml:space="preserve"> </w:t>
      </w:r>
      <w:r w:rsidRPr="00D337FA">
        <w:rPr>
          <w:szCs w:val="24"/>
        </w:rPr>
        <w:t>и</w:t>
      </w:r>
      <w:r w:rsidR="006C680D" w:rsidRPr="00D337FA">
        <w:rPr>
          <w:szCs w:val="24"/>
        </w:rPr>
        <w:t xml:space="preserve"> </w:t>
      </w:r>
      <w:r w:rsidRPr="00D337FA">
        <w:rPr>
          <w:szCs w:val="24"/>
        </w:rPr>
        <w:t>науку,</w:t>
      </w:r>
      <w:r w:rsidR="006C680D" w:rsidRPr="00D337FA">
        <w:rPr>
          <w:szCs w:val="24"/>
        </w:rPr>
        <w:t xml:space="preserve"> </w:t>
      </w:r>
      <w:r w:rsidRPr="00D337FA">
        <w:rPr>
          <w:szCs w:val="24"/>
        </w:rPr>
        <w:t>демонстрируют</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низкие</w:t>
      </w:r>
      <w:r w:rsidR="006C680D" w:rsidRPr="00D337FA">
        <w:rPr>
          <w:szCs w:val="24"/>
        </w:rPr>
        <w:t xml:space="preserve"> </w:t>
      </w:r>
      <w:r w:rsidRPr="00D337FA">
        <w:rPr>
          <w:szCs w:val="24"/>
        </w:rPr>
        <w:t>показатели</w:t>
      </w:r>
      <w:r w:rsidR="006C680D" w:rsidRPr="00D337FA">
        <w:rPr>
          <w:szCs w:val="24"/>
        </w:rPr>
        <w:t xml:space="preserve"> </w:t>
      </w:r>
      <w:r w:rsidRPr="00D337FA">
        <w:rPr>
          <w:szCs w:val="24"/>
        </w:rPr>
        <w:t>вовлечённости</w:t>
      </w:r>
      <w:r w:rsidR="006C680D" w:rsidRPr="00D337FA">
        <w:rPr>
          <w:szCs w:val="24"/>
        </w:rPr>
        <w:t xml:space="preserve"> </w:t>
      </w:r>
      <w:r w:rsidRPr="00D337FA">
        <w:rPr>
          <w:szCs w:val="24"/>
        </w:rPr>
        <w:t>субъектов</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p>
    <w:p w:rsidR="00256E85" w:rsidRPr="00D337FA" w:rsidRDefault="00256E85" w:rsidP="00256E85">
      <w:pPr>
        <w:ind w:firstLine="709"/>
        <w:rPr>
          <w:sz w:val="28"/>
          <w:szCs w:val="28"/>
        </w:rPr>
        <w:sectPr w:rsidR="00256E85" w:rsidRPr="00D337FA" w:rsidSect="00256E85">
          <w:footnotePr>
            <w:numRestart w:val="eachPage"/>
          </w:footnotePr>
          <w:type w:val="continuous"/>
          <w:pgSz w:w="11907" w:h="16840" w:code="9"/>
          <w:pgMar w:top="1418" w:right="1134" w:bottom="1418" w:left="1134" w:header="1021" w:footer="1021" w:gutter="0"/>
          <w:cols w:num="2" w:space="708"/>
          <w:docGrid w:linePitch="360"/>
        </w:sectPr>
      </w:pPr>
    </w:p>
    <w:p w:rsidR="00B706E9" w:rsidRPr="00D337FA" w:rsidRDefault="00256E85" w:rsidP="00256E85">
      <w:pPr>
        <w:tabs>
          <w:tab w:val="center" w:pos="4677"/>
        </w:tabs>
        <w:ind w:firstLine="0"/>
        <w:jc w:val="center"/>
        <w:rPr>
          <w:rFonts w:ascii="Arial CYR" w:hAnsi="Arial CYR" w:cs="Arial CYR"/>
          <w:b/>
          <w:bCs/>
          <w:i/>
          <w:iCs/>
          <w:caps/>
          <w:szCs w:val="24"/>
          <w:u w:val="single"/>
          <w:lang w:eastAsia="ru-RU"/>
        </w:rPr>
      </w:pPr>
      <w:r w:rsidRPr="00D337FA">
        <w:rPr>
          <w:noProof/>
          <w:sz w:val="28"/>
          <w:szCs w:val="28"/>
          <w:lang w:eastAsia="ru-RU"/>
        </w:rPr>
        <w:lastRenderedPageBreak/>
        <w:drawing>
          <wp:inline distT="0" distB="0" distL="0" distR="0" wp14:anchorId="45590F88" wp14:editId="04B5BA63">
            <wp:extent cx="5191925" cy="2560320"/>
            <wp:effectExtent l="0" t="0" r="889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6E85" w:rsidRPr="00D337FA" w:rsidRDefault="00256E85" w:rsidP="00256E85">
      <w:pPr>
        <w:spacing w:line="360" w:lineRule="auto"/>
        <w:ind w:firstLine="0"/>
        <w:jc w:val="center"/>
        <w:rPr>
          <w:rFonts w:ascii="Arial" w:hAnsi="Arial" w:cs="Arial"/>
          <w:b/>
          <w:i/>
          <w:sz w:val="22"/>
          <w:szCs w:val="22"/>
        </w:rPr>
      </w:pPr>
      <w:r w:rsidRPr="00D337FA">
        <w:rPr>
          <w:rFonts w:ascii="Arial" w:hAnsi="Arial" w:cs="Arial"/>
          <w:i/>
          <w:sz w:val="22"/>
          <w:szCs w:val="22"/>
        </w:rPr>
        <w:t>Рис</w:t>
      </w:r>
      <w:r w:rsidR="006C680D" w:rsidRPr="00D337FA">
        <w:rPr>
          <w:rFonts w:ascii="Arial" w:hAnsi="Arial" w:cs="Arial"/>
          <w:i/>
          <w:sz w:val="22"/>
          <w:szCs w:val="22"/>
        </w:rPr>
        <w:t>.</w:t>
      </w:r>
      <w:r w:rsidRPr="00D337FA">
        <w:rPr>
          <w:rFonts w:ascii="Arial" w:hAnsi="Arial" w:cs="Arial"/>
          <w:i/>
          <w:sz w:val="22"/>
          <w:szCs w:val="22"/>
        </w:rPr>
        <w:t>1</w:t>
      </w:r>
      <w:r w:rsidR="006C680D" w:rsidRPr="00D337FA">
        <w:rPr>
          <w:rFonts w:ascii="Arial" w:hAnsi="Arial" w:cs="Arial"/>
          <w:i/>
          <w:sz w:val="22"/>
          <w:szCs w:val="22"/>
        </w:rPr>
        <w:t xml:space="preserve">. </w:t>
      </w:r>
      <w:r w:rsidRPr="00D337FA">
        <w:rPr>
          <w:rFonts w:ascii="Arial" w:hAnsi="Arial" w:cs="Arial"/>
          <w:i/>
          <w:sz w:val="22"/>
          <w:szCs w:val="22"/>
        </w:rPr>
        <w:t>Отраслевая</w:t>
      </w:r>
      <w:r w:rsidR="006C680D" w:rsidRPr="00D337FA">
        <w:rPr>
          <w:rFonts w:ascii="Arial" w:hAnsi="Arial" w:cs="Arial"/>
          <w:i/>
          <w:sz w:val="22"/>
          <w:szCs w:val="22"/>
        </w:rPr>
        <w:t xml:space="preserve"> </w:t>
      </w:r>
      <w:r w:rsidRPr="00D337FA">
        <w:rPr>
          <w:rFonts w:ascii="Arial" w:hAnsi="Arial" w:cs="Arial"/>
          <w:i/>
          <w:sz w:val="22"/>
          <w:szCs w:val="22"/>
        </w:rPr>
        <w:t>структура</w:t>
      </w:r>
      <w:r w:rsidR="006C680D" w:rsidRPr="00D337FA">
        <w:rPr>
          <w:rFonts w:ascii="Arial" w:hAnsi="Arial" w:cs="Arial"/>
          <w:i/>
          <w:sz w:val="22"/>
          <w:szCs w:val="22"/>
        </w:rPr>
        <w:t xml:space="preserve"> </w:t>
      </w:r>
      <w:r w:rsidRPr="00D337FA">
        <w:rPr>
          <w:rFonts w:ascii="Arial" w:hAnsi="Arial" w:cs="Arial"/>
          <w:i/>
          <w:sz w:val="22"/>
          <w:szCs w:val="22"/>
        </w:rPr>
        <w:t>малого</w:t>
      </w:r>
      <w:r w:rsidR="006C680D" w:rsidRPr="00D337FA">
        <w:rPr>
          <w:rFonts w:ascii="Arial" w:hAnsi="Arial" w:cs="Arial"/>
          <w:i/>
          <w:sz w:val="22"/>
          <w:szCs w:val="22"/>
        </w:rPr>
        <w:t xml:space="preserve"> </w:t>
      </w:r>
      <w:r w:rsidRPr="00D337FA">
        <w:rPr>
          <w:rFonts w:ascii="Arial" w:hAnsi="Arial" w:cs="Arial"/>
          <w:i/>
          <w:sz w:val="22"/>
          <w:szCs w:val="22"/>
        </w:rPr>
        <w:t>бизнеса</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России</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2024</w:t>
      </w:r>
      <w:r w:rsidR="006C680D" w:rsidRPr="00D337FA">
        <w:rPr>
          <w:rFonts w:ascii="Arial" w:hAnsi="Arial" w:cs="Arial"/>
          <w:i/>
          <w:sz w:val="22"/>
          <w:szCs w:val="22"/>
        </w:rPr>
        <w:t xml:space="preserve"> </w:t>
      </w:r>
      <w:r w:rsidRPr="00D337FA">
        <w:rPr>
          <w:rFonts w:ascii="Arial" w:hAnsi="Arial" w:cs="Arial"/>
          <w:i/>
          <w:sz w:val="22"/>
          <w:szCs w:val="22"/>
        </w:rPr>
        <w:t>г.,</w:t>
      </w:r>
      <w:r w:rsidR="006C680D" w:rsidRPr="00D337FA">
        <w:rPr>
          <w:rFonts w:ascii="Arial" w:hAnsi="Arial" w:cs="Arial"/>
          <w:i/>
          <w:sz w:val="22"/>
          <w:szCs w:val="22"/>
        </w:rPr>
        <w:t xml:space="preserve"> </w:t>
      </w:r>
      <w:r w:rsidRPr="00D337FA">
        <w:rPr>
          <w:rFonts w:ascii="Arial" w:hAnsi="Arial" w:cs="Arial"/>
          <w:i/>
          <w:sz w:val="22"/>
          <w:szCs w:val="22"/>
        </w:rPr>
        <w:t>%</w:t>
      </w:r>
    </w:p>
    <w:p w:rsidR="00B706E9" w:rsidRPr="00D337FA" w:rsidRDefault="00B706E9" w:rsidP="00FB2463">
      <w:pPr>
        <w:tabs>
          <w:tab w:val="center" w:pos="4677"/>
        </w:tabs>
        <w:ind w:firstLine="0"/>
        <w:jc w:val="right"/>
        <w:rPr>
          <w:rFonts w:ascii="Arial CYR" w:hAnsi="Arial CYR" w:cs="Arial CYR"/>
          <w:b/>
          <w:bCs/>
          <w:i/>
          <w:iCs/>
          <w:caps/>
          <w:szCs w:val="24"/>
          <w:u w:val="single"/>
          <w:lang w:eastAsia="ru-RU"/>
        </w:rPr>
      </w:pPr>
    </w:p>
    <w:p w:rsidR="00256E85" w:rsidRPr="00D337FA" w:rsidRDefault="00256E85" w:rsidP="00256E85">
      <w:pPr>
        <w:ind w:firstLine="709"/>
        <w:rPr>
          <w:szCs w:val="24"/>
        </w:rPr>
        <w:sectPr w:rsidR="00256E85"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256E85" w:rsidRPr="00D337FA" w:rsidRDefault="00256E85" w:rsidP="00256E85">
      <w:pPr>
        <w:ind w:firstLine="284"/>
        <w:rPr>
          <w:szCs w:val="24"/>
        </w:rPr>
      </w:pPr>
      <w:r w:rsidRPr="00D337FA">
        <w:rPr>
          <w:szCs w:val="24"/>
        </w:rPr>
        <w:lastRenderedPageBreak/>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малый</w:t>
      </w:r>
      <w:r w:rsidR="006C680D" w:rsidRPr="00D337FA">
        <w:rPr>
          <w:szCs w:val="24"/>
        </w:rPr>
        <w:t xml:space="preserve"> </w:t>
      </w:r>
      <w:r w:rsidRPr="00D337FA">
        <w:rPr>
          <w:szCs w:val="24"/>
        </w:rPr>
        <w:t>бизнес</w:t>
      </w:r>
      <w:r w:rsidR="006C680D" w:rsidRPr="00D337FA">
        <w:rPr>
          <w:szCs w:val="24"/>
        </w:rPr>
        <w:t xml:space="preserve"> </w:t>
      </w:r>
      <w:r w:rsidRPr="00D337FA">
        <w:rPr>
          <w:szCs w:val="24"/>
        </w:rPr>
        <w:t>преимущественно</w:t>
      </w:r>
      <w:r w:rsidR="006C680D" w:rsidRPr="00D337FA">
        <w:rPr>
          <w:szCs w:val="24"/>
        </w:rPr>
        <w:t xml:space="preserve"> </w:t>
      </w:r>
      <w:r w:rsidRPr="00D337FA">
        <w:rPr>
          <w:szCs w:val="24"/>
        </w:rPr>
        <w:t>ориентирован</w:t>
      </w:r>
      <w:r w:rsidR="006C680D" w:rsidRPr="00D337FA">
        <w:rPr>
          <w:szCs w:val="24"/>
        </w:rPr>
        <w:t xml:space="preserve"> </w:t>
      </w:r>
      <w:r w:rsidRPr="00D337FA">
        <w:rPr>
          <w:szCs w:val="24"/>
        </w:rPr>
        <w:t>на</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с</w:t>
      </w:r>
      <w:r w:rsidR="006C680D" w:rsidRPr="00D337FA">
        <w:rPr>
          <w:szCs w:val="24"/>
        </w:rPr>
        <w:t xml:space="preserve"> </w:t>
      </w:r>
      <w:r w:rsidRPr="00D337FA">
        <w:rPr>
          <w:szCs w:val="24"/>
        </w:rPr>
        <w:t>быстрой</w:t>
      </w:r>
      <w:r w:rsidR="006C680D" w:rsidRPr="00D337FA">
        <w:rPr>
          <w:szCs w:val="24"/>
        </w:rPr>
        <w:t xml:space="preserve"> </w:t>
      </w:r>
      <w:r w:rsidRPr="00D337FA">
        <w:rPr>
          <w:szCs w:val="24"/>
        </w:rPr>
        <w:t>оборачиваемостью</w:t>
      </w:r>
      <w:r w:rsidR="006C680D" w:rsidRPr="00D337FA">
        <w:rPr>
          <w:szCs w:val="24"/>
        </w:rPr>
        <w:t xml:space="preserve"> </w:t>
      </w:r>
      <w:r w:rsidRPr="00D337FA">
        <w:rPr>
          <w:szCs w:val="24"/>
        </w:rPr>
        <w:t>капитала</w:t>
      </w:r>
      <w:r w:rsidR="006C680D" w:rsidRPr="00D337FA">
        <w:rPr>
          <w:szCs w:val="24"/>
        </w:rPr>
        <w:t xml:space="preserve"> </w:t>
      </w:r>
      <w:r w:rsidRPr="00D337FA">
        <w:rPr>
          <w:szCs w:val="24"/>
        </w:rPr>
        <w:t>и</w:t>
      </w:r>
      <w:r w:rsidR="006C680D" w:rsidRPr="00D337FA">
        <w:rPr>
          <w:szCs w:val="24"/>
        </w:rPr>
        <w:t xml:space="preserve"> </w:t>
      </w:r>
      <w:r w:rsidRPr="00D337FA">
        <w:rPr>
          <w:szCs w:val="24"/>
        </w:rPr>
        <w:t>минимальной</w:t>
      </w:r>
      <w:r w:rsidR="006C680D" w:rsidRPr="00D337FA">
        <w:rPr>
          <w:szCs w:val="24"/>
        </w:rPr>
        <w:t xml:space="preserve"> </w:t>
      </w:r>
      <w:r w:rsidRPr="00D337FA">
        <w:rPr>
          <w:szCs w:val="24"/>
        </w:rPr>
        <w:t>инвестиционной</w:t>
      </w:r>
      <w:r w:rsidR="006C680D" w:rsidRPr="00D337FA">
        <w:rPr>
          <w:szCs w:val="24"/>
        </w:rPr>
        <w:t xml:space="preserve"> </w:t>
      </w:r>
      <w:r w:rsidRPr="00D337FA">
        <w:rPr>
          <w:szCs w:val="24"/>
        </w:rPr>
        <w:t>нагрузкой.</w:t>
      </w:r>
      <w:r w:rsidR="006C680D" w:rsidRPr="00D337FA">
        <w:rPr>
          <w:szCs w:val="24"/>
        </w:rPr>
        <w:t xml:space="preserve"> </w:t>
      </w:r>
      <w:r w:rsidRPr="00D337FA">
        <w:rPr>
          <w:szCs w:val="24"/>
        </w:rPr>
        <w:t>Такая</w:t>
      </w:r>
      <w:r w:rsidR="006C680D" w:rsidRPr="00D337FA">
        <w:rPr>
          <w:szCs w:val="24"/>
        </w:rPr>
        <w:t xml:space="preserve"> </w:t>
      </w:r>
      <w:r w:rsidRPr="00D337FA">
        <w:rPr>
          <w:szCs w:val="24"/>
        </w:rPr>
        <w:t>структура</w:t>
      </w:r>
      <w:r w:rsidR="006C680D" w:rsidRPr="00D337FA">
        <w:rPr>
          <w:szCs w:val="24"/>
        </w:rPr>
        <w:t xml:space="preserve"> </w:t>
      </w:r>
      <w:r w:rsidRPr="00D337FA">
        <w:rPr>
          <w:szCs w:val="24"/>
        </w:rPr>
        <w:t>объясняется</w:t>
      </w:r>
      <w:r w:rsidR="006C680D" w:rsidRPr="00D337FA">
        <w:rPr>
          <w:szCs w:val="24"/>
        </w:rPr>
        <w:t xml:space="preserve"> </w:t>
      </w:r>
      <w:r w:rsidRPr="00D337FA">
        <w:rPr>
          <w:szCs w:val="24"/>
        </w:rPr>
        <w:t>высокой</w:t>
      </w:r>
      <w:r w:rsidR="006C680D" w:rsidRPr="00D337FA">
        <w:rPr>
          <w:szCs w:val="24"/>
        </w:rPr>
        <w:t xml:space="preserve"> </w:t>
      </w:r>
      <w:r w:rsidRPr="00D337FA">
        <w:rPr>
          <w:szCs w:val="24"/>
        </w:rPr>
        <w:t>степенью</w:t>
      </w:r>
      <w:r w:rsidR="006C680D" w:rsidRPr="00D337FA">
        <w:rPr>
          <w:szCs w:val="24"/>
        </w:rPr>
        <w:t xml:space="preserve"> </w:t>
      </w:r>
      <w:r w:rsidRPr="00D337FA">
        <w:rPr>
          <w:szCs w:val="24"/>
        </w:rPr>
        <w:t>зависимости</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от</w:t>
      </w:r>
      <w:r w:rsidR="006C680D" w:rsidRPr="00D337FA">
        <w:rPr>
          <w:szCs w:val="24"/>
        </w:rPr>
        <w:t xml:space="preserve"> </w:t>
      </w:r>
      <w:r w:rsidRPr="00D337FA">
        <w:rPr>
          <w:szCs w:val="24"/>
        </w:rPr>
        <w:t>текущего</w:t>
      </w:r>
      <w:r w:rsidR="006C680D" w:rsidRPr="00D337FA">
        <w:rPr>
          <w:szCs w:val="24"/>
        </w:rPr>
        <w:t xml:space="preserve"> </w:t>
      </w:r>
      <w:r w:rsidRPr="00D337FA">
        <w:rPr>
          <w:szCs w:val="24"/>
        </w:rPr>
        <w:t>потребительского</w:t>
      </w:r>
      <w:r w:rsidR="006C680D" w:rsidRPr="00D337FA">
        <w:rPr>
          <w:szCs w:val="24"/>
        </w:rPr>
        <w:t xml:space="preserve"> </w:t>
      </w:r>
      <w:r w:rsidRPr="00D337FA">
        <w:rPr>
          <w:szCs w:val="24"/>
        </w:rPr>
        <w:t>спроса</w:t>
      </w:r>
      <w:r w:rsidR="006C680D" w:rsidRPr="00D337FA">
        <w:rPr>
          <w:szCs w:val="24"/>
        </w:rPr>
        <w:t xml:space="preserve"> </w:t>
      </w:r>
      <w:r w:rsidRPr="00D337FA">
        <w:rPr>
          <w:szCs w:val="24"/>
        </w:rPr>
        <w:t>и</w:t>
      </w:r>
      <w:r w:rsidR="006C680D" w:rsidRPr="00D337FA">
        <w:rPr>
          <w:szCs w:val="24"/>
        </w:rPr>
        <w:t xml:space="preserve"> </w:t>
      </w:r>
      <w:r w:rsidRPr="00D337FA">
        <w:rPr>
          <w:szCs w:val="24"/>
        </w:rPr>
        <w:t>доступности</w:t>
      </w:r>
      <w:r w:rsidR="006C680D" w:rsidRPr="00D337FA">
        <w:rPr>
          <w:szCs w:val="24"/>
        </w:rPr>
        <w:t xml:space="preserve"> </w:t>
      </w:r>
      <w:r w:rsidRPr="00D337FA">
        <w:rPr>
          <w:szCs w:val="24"/>
        </w:rPr>
        <w:t>оборотных</w:t>
      </w:r>
      <w:r w:rsidR="006C680D" w:rsidRPr="00D337FA">
        <w:rPr>
          <w:szCs w:val="24"/>
        </w:rPr>
        <w:t xml:space="preserve"> </w:t>
      </w:r>
      <w:r w:rsidRPr="00D337FA">
        <w:rPr>
          <w:szCs w:val="24"/>
        </w:rPr>
        <w:t>средств.</w:t>
      </w:r>
      <w:r w:rsidR="006C680D" w:rsidRPr="00D337FA">
        <w:rPr>
          <w:szCs w:val="24"/>
        </w:rPr>
        <w:t xml:space="preserve"> </w:t>
      </w:r>
      <w:r w:rsidRPr="00D337FA">
        <w:rPr>
          <w:szCs w:val="24"/>
        </w:rPr>
        <w:t>Это,</w:t>
      </w:r>
      <w:r w:rsidR="006C680D" w:rsidRPr="00D337FA">
        <w:rPr>
          <w:szCs w:val="24"/>
        </w:rPr>
        <w:t xml:space="preserve"> </w:t>
      </w:r>
      <w:r w:rsidRPr="00D337FA">
        <w:rPr>
          <w:szCs w:val="24"/>
        </w:rPr>
        <w:t>в</w:t>
      </w:r>
      <w:r w:rsidR="006C680D" w:rsidRPr="00D337FA">
        <w:rPr>
          <w:szCs w:val="24"/>
        </w:rPr>
        <w:t xml:space="preserve"> </w:t>
      </w:r>
      <w:r w:rsidRPr="00D337FA">
        <w:rPr>
          <w:szCs w:val="24"/>
        </w:rPr>
        <w:t>свою</w:t>
      </w:r>
      <w:r w:rsidR="006C680D" w:rsidRPr="00D337FA">
        <w:rPr>
          <w:szCs w:val="24"/>
        </w:rPr>
        <w:t xml:space="preserve"> </w:t>
      </w:r>
      <w:r w:rsidRPr="00D337FA">
        <w:rPr>
          <w:szCs w:val="24"/>
        </w:rPr>
        <w:t>очередь,</w:t>
      </w:r>
      <w:r w:rsidR="006C680D" w:rsidRPr="00D337FA">
        <w:rPr>
          <w:szCs w:val="24"/>
        </w:rPr>
        <w:t xml:space="preserve"> </w:t>
      </w:r>
      <w:r w:rsidRPr="00D337FA">
        <w:rPr>
          <w:szCs w:val="24"/>
        </w:rPr>
        <w:t>определяет</w:t>
      </w:r>
      <w:r w:rsidR="006C680D" w:rsidRPr="00D337FA">
        <w:rPr>
          <w:szCs w:val="24"/>
        </w:rPr>
        <w:t xml:space="preserve"> </w:t>
      </w:r>
      <w:r w:rsidRPr="00D337FA">
        <w:rPr>
          <w:szCs w:val="24"/>
        </w:rPr>
        <w:t>специфику</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субъектов,</w:t>
      </w:r>
      <w:r w:rsidR="006C680D" w:rsidRPr="00D337FA">
        <w:rPr>
          <w:szCs w:val="24"/>
        </w:rPr>
        <w:t xml:space="preserve"> </w:t>
      </w:r>
      <w:r w:rsidRPr="00D337FA">
        <w:rPr>
          <w:szCs w:val="24"/>
        </w:rPr>
        <w:t>требующих</w:t>
      </w:r>
      <w:r w:rsidR="006C680D" w:rsidRPr="00D337FA">
        <w:rPr>
          <w:szCs w:val="24"/>
        </w:rPr>
        <w:t xml:space="preserve"> </w:t>
      </w:r>
      <w:r w:rsidRPr="00D337FA">
        <w:rPr>
          <w:szCs w:val="24"/>
        </w:rPr>
        <w:t>гибких</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и</w:t>
      </w:r>
      <w:r w:rsidR="006C680D" w:rsidRPr="00D337FA">
        <w:rPr>
          <w:szCs w:val="24"/>
        </w:rPr>
        <w:t xml:space="preserve"> </w:t>
      </w:r>
      <w:r w:rsidRPr="00D337FA">
        <w:rPr>
          <w:szCs w:val="24"/>
        </w:rPr>
        <w:t>оперативной</w:t>
      </w:r>
      <w:r w:rsidR="006C680D" w:rsidRPr="00D337FA">
        <w:rPr>
          <w:szCs w:val="24"/>
        </w:rPr>
        <w:t xml:space="preserve"> </w:t>
      </w:r>
      <w:r w:rsidRPr="00D337FA">
        <w:rPr>
          <w:szCs w:val="24"/>
        </w:rPr>
        <w:t>поддержки.</w:t>
      </w:r>
    </w:p>
    <w:p w:rsidR="00256E85" w:rsidRPr="00D337FA" w:rsidRDefault="00256E85" w:rsidP="00256E85">
      <w:pPr>
        <w:ind w:firstLine="284"/>
        <w:rPr>
          <w:szCs w:val="24"/>
        </w:rPr>
      </w:pP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настоящего</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форм</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был</w:t>
      </w:r>
      <w:r w:rsidR="006C680D" w:rsidRPr="00D337FA">
        <w:rPr>
          <w:szCs w:val="24"/>
        </w:rPr>
        <w:t xml:space="preserve"> </w:t>
      </w:r>
      <w:r w:rsidRPr="00D337FA">
        <w:rPr>
          <w:szCs w:val="24"/>
        </w:rPr>
        <w:t>проведен</w:t>
      </w:r>
      <w:r w:rsidR="006C680D" w:rsidRPr="00D337FA">
        <w:rPr>
          <w:szCs w:val="24"/>
        </w:rPr>
        <w:t xml:space="preserve"> </w:t>
      </w:r>
      <w:r w:rsidRPr="00D337FA">
        <w:rPr>
          <w:szCs w:val="24"/>
        </w:rPr>
        <w:t>на</w:t>
      </w:r>
      <w:r w:rsidR="006C680D" w:rsidRPr="00D337FA">
        <w:rPr>
          <w:szCs w:val="24"/>
        </w:rPr>
        <w:t xml:space="preserve"> </w:t>
      </w:r>
      <w:r w:rsidRPr="00D337FA">
        <w:rPr>
          <w:szCs w:val="24"/>
        </w:rPr>
        <w:t>примере</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значимых</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России.</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позволил</w:t>
      </w:r>
      <w:r w:rsidR="006C680D" w:rsidRPr="00D337FA">
        <w:rPr>
          <w:szCs w:val="24"/>
        </w:rPr>
        <w:t xml:space="preserve"> </w:t>
      </w:r>
      <w:r w:rsidRPr="00D337FA">
        <w:rPr>
          <w:szCs w:val="24"/>
        </w:rPr>
        <w:t>выявить</w:t>
      </w:r>
      <w:r w:rsidR="006C680D" w:rsidRPr="00D337FA">
        <w:rPr>
          <w:szCs w:val="24"/>
        </w:rPr>
        <w:t xml:space="preserve"> </w:t>
      </w:r>
      <w:r w:rsidRPr="00D337FA">
        <w:rPr>
          <w:szCs w:val="24"/>
        </w:rPr>
        <w:t>шесть</w:t>
      </w:r>
      <w:r w:rsidR="006C680D" w:rsidRPr="00D337FA">
        <w:rPr>
          <w:szCs w:val="24"/>
        </w:rPr>
        <w:t xml:space="preserve"> </w:t>
      </w:r>
      <w:r w:rsidRPr="00D337FA">
        <w:rPr>
          <w:szCs w:val="24"/>
        </w:rPr>
        <w:t>тенденций:</w:t>
      </w:r>
      <w:r w:rsidR="006C680D" w:rsidRPr="00D337FA">
        <w:rPr>
          <w:szCs w:val="24"/>
        </w:rPr>
        <w:t xml:space="preserve"> </w:t>
      </w:r>
      <w:r w:rsidRPr="00D337FA">
        <w:rPr>
          <w:szCs w:val="24"/>
        </w:rPr>
        <w:t>использование</w:t>
      </w:r>
      <w:r w:rsidR="006C680D" w:rsidRPr="00D337FA">
        <w:rPr>
          <w:szCs w:val="24"/>
        </w:rPr>
        <w:t xml:space="preserve"> </w:t>
      </w:r>
      <w:r w:rsidRPr="00D337FA">
        <w:rPr>
          <w:szCs w:val="24"/>
        </w:rPr>
        <w:t>банками</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моделей</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цифровизацию</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отраслевую</w:t>
      </w:r>
      <w:r w:rsidR="006C680D" w:rsidRPr="00D337FA">
        <w:rPr>
          <w:szCs w:val="24"/>
        </w:rPr>
        <w:t xml:space="preserve"> </w:t>
      </w:r>
      <w:r w:rsidRPr="00D337FA">
        <w:rPr>
          <w:szCs w:val="24"/>
        </w:rPr>
        <w:t>специализацию,</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видов</w:t>
      </w:r>
      <w:r w:rsidR="006C680D" w:rsidRPr="00D337FA">
        <w:rPr>
          <w:szCs w:val="24"/>
        </w:rPr>
        <w:t xml:space="preserve"> </w:t>
      </w:r>
      <w:r w:rsidRPr="00D337FA">
        <w:rPr>
          <w:szCs w:val="24"/>
        </w:rPr>
        <w:t>кредитной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и</w:t>
      </w:r>
      <w:r w:rsidR="006C680D" w:rsidRPr="00D337FA">
        <w:rPr>
          <w:szCs w:val="24"/>
        </w:rPr>
        <w:t xml:space="preserve"> </w:t>
      </w:r>
      <w:r w:rsidRPr="00D337FA">
        <w:rPr>
          <w:szCs w:val="24"/>
        </w:rPr>
        <w:t>альтернативных</w:t>
      </w:r>
      <w:r w:rsidR="006C680D" w:rsidRPr="00D337FA">
        <w:rPr>
          <w:szCs w:val="24"/>
        </w:rPr>
        <w:t xml:space="preserve"> </w:t>
      </w:r>
      <w:r w:rsidRPr="00D337FA">
        <w:rPr>
          <w:szCs w:val="24"/>
        </w:rPr>
        <w:t>форм</w:t>
      </w:r>
      <w:r w:rsidR="006C680D" w:rsidRPr="00D337FA">
        <w:rPr>
          <w:szCs w:val="24"/>
        </w:rPr>
        <w:t xml:space="preserve"> </w:t>
      </w:r>
      <w:r w:rsidRPr="00D337FA">
        <w:rPr>
          <w:szCs w:val="24"/>
        </w:rPr>
        <w:t>финансирования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ограниченное</w:t>
      </w:r>
      <w:r w:rsidR="006C680D" w:rsidRPr="00D337FA">
        <w:rPr>
          <w:szCs w:val="24"/>
        </w:rPr>
        <w:t xml:space="preserve"> </w:t>
      </w:r>
      <w:r w:rsidRPr="00D337FA">
        <w:rPr>
          <w:szCs w:val="24"/>
        </w:rPr>
        <w:t>предложение</w:t>
      </w:r>
      <w:r w:rsidR="006C680D" w:rsidRPr="00D337FA">
        <w:rPr>
          <w:szCs w:val="24"/>
        </w:rPr>
        <w:t xml:space="preserve"> </w:t>
      </w:r>
      <w:r w:rsidRPr="00D337FA">
        <w:rPr>
          <w:szCs w:val="24"/>
        </w:rPr>
        <w:t>ряда</w:t>
      </w:r>
      <w:r w:rsidR="006C680D" w:rsidRPr="00D337FA">
        <w:rPr>
          <w:szCs w:val="24"/>
        </w:rPr>
        <w:t xml:space="preserve"> </w:t>
      </w:r>
      <w:r w:rsidRPr="00D337FA">
        <w:rPr>
          <w:szCs w:val="24"/>
        </w:rPr>
        <w:t>специфических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нефинансового</w:t>
      </w:r>
      <w:r w:rsidR="006C680D" w:rsidRPr="00D337FA">
        <w:rPr>
          <w:szCs w:val="24"/>
        </w:rPr>
        <w:t xml:space="preserve"> </w:t>
      </w:r>
      <w:r w:rsidRPr="00D337FA">
        <w:rPr>
          <w:szCs w:val="24"/>
        </w:rPr>
        <w:t>сопровождения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углубление</w:t>
      </w:r>
      <w:r w:rsidR="006C680D" w:rsidRPr="00D337FA">
        <w:rPr>
          <w:szCs w:val="24"/>
        </w:rPr>
        <w:t xml:space="preserve"> </w:t>
      </w:r>
      <w:r w:rsidRPr="00D337FA">
        <w:rPr>
          <w:szCs w:val="24"/>
        </w:rPr>
        <w:t>кастомизации</w:t>
      </w:r>
      <w:r w:rsidR="006C680D" w:rsidRPr="00D337FA">
        <w:rPr>
          <w:szCs w:val="24"/>
        </w:rPr>
        <w:t xml:space="preserve"> </w:t>
      </w:r>
      <w:r w:rsidRPr="00D337FA">
        <w:rPr>
          <w:szCs w:val="24"/>
        </w:rPr>
        <w:t>клиентских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Охарактеризуем</w:t>
      </w:r>
      <w:r w:rsidR="006C680D" w:rsidRPr="00D337FA">
        <w:rPr>
          <w:szCs w:val="24"/>
        </w:rPr>
        <w:t xml:space="preserve"> </w:t>
      </w:r>
      <w:r w:rsidRPr="00D337FA">
        <w:rPr>
          <w:szCs w:val="24"/>
        </w:rPr>
        <w:t>их</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подробно.</w:t>
      </w:r>
      <w:r w:rsidR="006C680D" w:rsidRPr="00D337FA">
        <w:rPr>
          <w:szCs w:val="24"/>
        </w:rPr>
        <w:t xml:space="preserve"> </w:t>
      </w:r>
    </w:p>
    <w:p w:rsidR="00256E85" w:rsidRPr="00D337FA" w:rsidRDefault="00256E85" w:rsidP="00256E85">
      <w:pPr>
        <w:ind w:firstLine="284"/>
        <w:rPr>
          <w:szCs w:val="24"/>
        </w:rPr>
      </w:pPr>
      <w:r w:rsidRPr="00D337FA">
        <w:rPr>
          <w:szCs w:val="24"/>
        </w:rPr>
        <w:t>Российские</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используют</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банке</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внедрена</w:t>
      </w:r>
      <w:r w:rsidR="006C680D" w:rsidRPr="00D337FA">
        <w:rPr>
          <w:szCs w:val="24"/>
        </w:rPr>
        <w:t xml:space="preserve"> </w:t>
      </w:r>
      <w:r w:rsidRPr="00D337FA">
        <w:rPr>
          <w:szCs w:val="24"/>
        </w:rPr>
        <w:t>омниканальная</w:t>
      </w:r>
      <w:r w:rsidR="006C680D" w:rsidRPr="00D337FA">
        <w:rPr>
          <w:szCs w:val="24"/>
        </w:rPr>
        <w:t xml:space="preserve"> </w:t>
      </w:r>
      <w:r w:rsidRPr="00D337FA">
        <w:rPr>
          <w:szCs w:val="24"/>
        </w:rPr>
        <w:t>модель</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lastRenderedPageBreak/>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акцентированная</w:t>
      </w:r>
      <w:r w:rsidR="006C680D" w:rsidRPr="00D337FA">
        <w:rPr>
          <w:szCs w:val="24"/>
        </w:rPr>
        <w:t xml:space="preserve"> </w:t>
      </w:r>
      <w:r w:rsidRPr="00D337FA">
        <w:rPr>
          <w:szCs w:val="24"/>
        </w:rPr>
        <w:t>на</w:t>
      </w:r>
      <w:r w:rsidR="006C680D" w:rsidRPr="00D337FA">
        <w:rPr>
          <w:szCs w:val="24"/>
        </w:rPr>
        <w:t xml:space="preserve"> </w:t>
      </w:r>
      <w:r w:rsidRPr="00D337FA">
        <w:rPr>
          <w:szCs w:val="24"/>
        </w:rPr>
        <w:t>персонализацию.</w:t>
      </w:r>
      <w:r w:rsidR="006C680D" w:rsidRPr="00D337FA">
        <w:rPr>
          <w:szCs w:val="24"/>
        </w:rPr>
        <w:t xml:space="preserve"> </w:t>
      </w:r>
      <w:r w:rsidRPr="00D337FA">
        <w:rPr>
          <w:szCs w:val="24"/>
        </w:rPr>
        <w:t>За</w:t>
      </w:r>
      <w:r w:rsidR="006C680D" w:rsidRPr="00D337FA">
        <w:rPr>
          <w:szCs w:val="24"/>
        </w:rPr>
        <w:t xml:space="preserve"> </w:t>
      </w:r>
      <w:r w:rsidRPr="00D337FA">
        <w:rPr>
          <w:szCs w:val="24"/>
        </w:rPr>
        <w:t>каждым</w:t>
      </w:r>
      <w:r w:rsidR="006C680D" w:rsidRPr="00D337FA">
        <w:rPr>
          <w:szCs w:val="24"/>
        </w:rPr>
        <w:t xml:space="preserve"> </w:t>
      </w:r>
      <w:r w:rsidRPr="00D337FA">
        <w:rPr>
          <w:szCs w:val="24"/>
        </w:rPr>
        <w:t>клиентом</w:t>
      </w:r>
      <w:r w:rsidR="006C680D" w:rsidRPr="00D337FA">
        <w:rPr>
          <w:szCs w:val="24"/>
        </w:rPr>
        <w:t xml:space="preserve"> </w:t>
      </w:r>
      <w:r w:rsidRPr="00D337FA">
        <w:rPr>
          <w:szCs w:val="24"/>
        </w:rPr>
        <w:t>закреплён</w:t>
      </w:r>
      <w:r w:rsidR="006C680D" w:rsidRPr="00D337FA">
        <w:rPr>
          <w:szCs w:val="24"/>
        </w:rPr>
        <w:t xml:space="preserve"> </w:t>
      </w:r>
      <w:r w:rsidRPr="00D337FA">
        <w:rPr>
          <w:szCs w:val="24"/>
        </w:rPr>
        <w:t>менеджер,</w:t>
      </w:r>
      <w:r w:rsidR="006C680D" w:rsidRPr="00D337FA">
        <w:rPr>
          <w:szCs w:val="24"/>
        </w:rPr>
        <w:t xml:space="preserve"> </w:t>
      </w:r>
      <w:r w:rsidRPr="00D337FA">
        <w:rPr>
          <w:szCs w:val="24"/>
        </w:rPr>
        <w:t>предоставляющий</w:t>
      </w:r>
      <w:r w:rsidR="006C680D" w:rsidRPr="00D337FA">
        <w:rPr>
          <w:szCs w:val="24"/>
        </w:rPr>
        <w:t xml:space="preserve"> </w:t>
      </w:r>
      <w:r w:rsidRPr="00D337FA">
        <w:rPr>
          <w:szCs w:val="24"/>
        </w:rPr>
        <w:t>комплексную</w:t>
      </w:r>
      <w:r w:rsidR="006C680D" w:rsidRPr="00D337FA">
        <w:rPr>
          <w:szCs w:val="24"/>
        </w:rPr>
        <w:t xml:space="preserve"> </w:t>
      </w:r>
      <w:r w:rsidRPr="00D337FA">
        <w:rPr>
          <w:szCs w:val="24"/>
        </w:rPr>
        <w:t>поддержку,</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выбор</w:t>
      </w:r>
      <w:r w:rsidR="006C680D" w:rsidRPr="00D337FA">
        <w:rPr>
          <w:szCs w:val="24"/>
        </w:rPr>
        <w:t xml:space="preserve"> </w:t>
      </w:r>
      <w:r w:rsidRPr="00D337FA">
        <w:rPr>
          <w:szCs w:val="24"/>
        </w:rPr>
        <w:t>кредитных</w:t>
      </w:r>
      <w:r w:rsidR="006C680D" w:rsidRPr="00D337FA">
        <w:rPr>
          <w:szCs w:val="24"/>
        </w:rPr>
        <w:t xml:space="preserve"> </w:t>
      </w:r>
      <w:r w:rsidRPr="00D337FA">
        <w:rPr>
          <w:szCs w:val="24"/>
        </w:rPr>
        <w:t>и</w:t>
      </w:r>
      <w:r w:rsidR="006C680D" w:rsidRPr="00D337FA">
        <w:rPr>
          <w:szCs w:val="24"/>
        </w:rPr>
        <w:t xml:space="preserve"> </w:t>
      </w:r>
      <w:r w:rsidRPr="00D337FA">
        <w:rPr>
          <w:szCs w:val="24"/>
        </w:rPr>
        <w:t>нефинансовых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учитывать</w:t>
      </w:r>
      <w:r w:rsidR="006C680D" w:rsidRPr="00D337FA">
        <w:rPr>
          <w:szCs w:val="24"/>
        </w:rPr>
        <w:t xml:space="preserve"> </w:t>
      </w:r>
      <w:r w:rsidRPr="00D337FA">
        <w:rPr>
          <w:szCs w:val="24"/>
        </w:rPr>
        <w:t>текущие</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потребности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долгосрочные</w:t>
      </w:r>
      <w:r w:rsidR="006C680D" w:rsidRPr="00D337FA">
        <w:rPr>
          <w:szCs w:val="24"/>
        </w:rPr>
        <w:t xml:space="preserve"> </w:t>
      </w:r>
      <w:r w:rsidRPr="00D337FA">
        <w:rPr>
          <w:szCs w:val="24"/>
        </w:rPr>
        <w:t>стратегические</w:t>
      </w:r>
      <w:r w:rsidR="006C680D" w:rsidRPr="00D337FA">
        <w:rPr>
          <w:szCs w:val="24"/>
        </w:rPr>
        <w:t xml:space="preserve"> </w:t>
      </w:r>
      <w:r w:rsidRPr="00D337FA">
        <w:rPr>
          <w:szCs w:val="24"/>
        </w:rPr>
        <w:t>цели</w:t>
      </w:r>
      <w:r w:rsidR="006C680D" w:rsidRPr="00D337FA">
        <w:rPr>
          <w:szCs w:val="24"/>
        </w:rPr>
        <w:t xml:space="preserve"> </w:t>
      </w:r>
      <w:r w:rsidRPr="00D337FA">
        <w:rPr>
          <w:szCs w:val="24"/>
        </w:rPr>
        <w:t>предприятия.</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сделал</w:t>
      </w:r>
      <w:r w:rsidR="006C680D" w:rsidRPr="00D337FA">
        <w:rPr>
          <w:szCs w:val="24"/>
        </w:rPr>
        <w:t xml:space="preserve"> </w:t>
      </w:r>
      <w:r w:rsidRPr="00D337FA">
        <w:rPr>
          <w:szCs w:val="24"/>
        </w:rPr>
        <w:t>акцент</w:t>
      </w:r>
      <w:r w:rsidR="006C680D" w:rsidRPr="00D337FA">
        <w:rPr>
          <w:szCs w:val="24"/>
        </w:rPr>
        <w:t xml:space="preserve"> </w:t>
      </w:r>
      <w:r w:rsidRPr="00D337FA">
        <w:rPr>
          <w:szCs w:val="24"/>
        </w:rPr>
        <w:t>на</w:t>
      </w:r>
      <w:r w:rsidR="006C680D" w:rsidRPr="00D337FA">
        <w:rPr>
          <w:szCs w:val="24"/>
        </w:rPr>
        <w:t xml:space="preserve"> </w:t>
      </w:r>
      <w:r w:rsidRPr="00D337FA">
        <w:rPr>
          <w:szCs w:val="24"/>
        </w:rPr>
        <w:t>институциональную</w:t>
      </w:r>
      <w:r w:rsidR="006C680D" w:rsidRPr="00D337FA">
        <w:rPr>
          <w:szCs w:val="24"/>
        </w:rPr>
        <w:t xml:space="preserve"> </w:t>
      </w:r>
      <w:r w:rsidRPr="00D337FA">
        <w:rPr>
          <w:szCs w:val="24"/>
        </w:rPr>
        <w:t>поддержку</w:t>
      </w:r>
      <w:r w:rsidR="006C680D" w:rsidRPr="00D337FA">
        <w:rPr>
          <w:szCs w:val="24"/>
        </w:rPr>
        <w:t xml:space="preserve"> </w:t>
      </w:r>
      <w:r w:rsidRPr="00D337FA">
        <w:rPr>
          <w:szCs w:val="24"/>
        </w:rPr>
        <w:t>предпринимательства,</w:t>
      </w:r>
      <w:r w:rsidR="006C680D" w:rsidRPr="00D337FA">
        <w:rPr>
          <w:szCs w:val="24"/>
        </w:rPr>
        <w:t xml:space="preserve"> </w:t>
      </w:r>
      <w:r w:rsidRPr="00D337FA">
        <w:rPr>
          <w:szCs w:val="24"/>
        </w:rPr>
        <w:t>развивая</w:t>
      </w:r>
      <w:r w:rsidR="006C680D" w:rsidRPr="00D337FA">
        <w:rPr>
          <w:szCs w:val="24"/>
        </w:rPr>
        <w:t xml:space="preserve"> </w:t>
      </w:r>
      <w:r w:rsidRPr="00D337FA">
        <w:rPr>
          <w:szCs w:val="24"/>
        </w:rPr>
        <w:t>платформу</w:t>
      </w:r>
      <w:r w:rsidR="006C680D" w:rsidRPr="00D337FA">
        <w:rPr>
          <w:szCs w:val="24"/>
        </w:rPr>
        <w:t xml:space="preserve"> </w:t>
      </w:r>
      <w:r w:rsidRPr="00D337FA">
        <w:rPr>
          <w:szCs w:val="24"/>
        </w:rPr>
        <w:t>«СберБизнес».</w:t>
      </w:r>
      <w:r w:rsidR="006C680D" w:rsidRPr="00D337FA">
        <w:rPr>
          <w:szCs w:val="24"/>
        </w:rPr>
        <w:t xml:space="preserve"> </w:t>
      </w:r>
      <w:r w:rsidRPr="00D337FA">
        <w:rPr>
          <w:szCs w:val="24"/>
        </w:rPr>
        <w:t>Она</w:t>
      </w:r>
      <w:r w:rsidR="006C680D" w:rsidRPr="00D337FA">
        <w:rPr>
          <w:szCs w:val="24"/>
        </w:rPr>
        <w:t xml:space="preserve"> </w:t>
      </w:r>
      <w:r w:rsidRPr="00D337FA">
        <w:rPr>
          <w:szCs w:val="24"/>
        </w:rPr>
        <w:t>включает</w:t>
      </w:r>
      <w:r w:rsidR="006C680D" w:rsidRPr="00D337FA">
        <w:rPr>
          <w:szCs w:val="24"/>
        </w:rPr>
        <w:t xml:space="preserve"> </w:t>
      </w:r>
      <w:r w:rsidRPr="00D337FA">
        <w:rPr>
          <w:szCs w:val="24"/>
        </w:rPr>
        <w:t>в</w:t>
      </w:r>
      <w:r w:rsidR="006C680D" w:rsidRPr="00D337FA">
        <w:rPr>
          <w:szCs w:val="24"/>
        </w:rPr>
        <w:t xml:space="preserve"> </w:t>
      </w:r>
      <w:r w:rsidRPr="00D337FA">
        <w:rPr>
          <w:szCs w:val="24"/>
        </w:rPr>
        <w:t>себя</w:t>
      </w:r>
      <w:r w:rsidR="006C680D" w:rsidRPr="00D337FA">
        <w:rPr>
          <w:szCs w:val="24"/>
        </w:rPr>
        <w:t xml:space="preserve"> </w:t>
      </w:r>
      <w:r w:rsidRPr="00D337FA">
        <w:rPr>
          <w:szCs w:val="24"/>
        </w:rPr>
        <w:t>помимо</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еще</w:t>
      </w:r>
      <w:r w:rsidR="006C680D" w:rsidRPr="00D337FA">
        <w:rPr>
          <w:szCs w:val="24"/>
        </w:rPr>
        <w:t xml:space="preserve"> </w:t>
      </w:r>
      <w:r w:rsidRPr="00D337FA">
        <w:rPr>
          <w:szCs w:val="24"/>
        </w:rPr>
        <w:t>и</w:t>
      </w:r>
      <w:r w:rsidR="006C680D" w:rsidRPr="00D337FA">
        <w:rPr>
          <w:szCs w:val="24"/>
        </w:rPr>
        <w:t xml:space="preserve"> </w:t>
      </w:r>
      <w:r w:rsidRPr="00D337FA">
        <w:rPr>
          <w:szCs w:val="24"/>
        </w:rPr>
        <w:t>образовательные</w:t>
      </w:r>
      <w:r w:rsidR="006C680D" w:rsidRPr="00D337FA">
        <w:rPr>
          <w:szCs w:val="24"/>
        </w:rPr>
        <w:t xml:space="preserve"> </w:t>
      </w:r>
      <w:r w:rsidRPr="00D337FA">
        <w:rPr>
          <w:szCs w:val="24"/>
        </w:rPr>
        <w:t>и</w:t>
      </w:r>
      <w:r w:rsidR="006C680D" w:rsidRPr="00D337FA">
        <w:rPr>
          <w:szCs w:val="24"/>
        </w:rPr>
        <w:t xml:space="preserve"> </w:t>
      </w:r>
      <w:r w:rsidRPr="00D337FA">
        <w:rPr>
          <w:szCs w:val="24"/>
        </w:rPr>
        <w:t>цифровые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интересные</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предпринимателей,</w:t>
      </w:r>
      <w:r w:rsidR="006C680D" w:rsidRPr="00D337FA">
        <w:rPr>
          <w:szCs w:val="24"/>
        </w:rPr>
        <w:t xml:space="preserve"> </w:t>
      </w:r>
      <w:r w:rsidRPr="00D337FA">
        <w:rPr>
          <w:szCs w:val="24"/>
        </w:rPr>
        <w:t>осуществляющих</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в</w:t>
      </w:r>
      <w:r w:rsidR="006C680D" w:rsidRPr="00D337FA">
        <w:rPr>
          <w:szCs w:val="24"/>
        </w:rPr>
        <w:t xml:space="preserve"> </w:t>
      </w:r>
      <w:r w:rsidRPr="00D337FA">
        <w:rPr>
          <w:szCs w:val="24"/>
        </w:rPr>
        <w:t>удалённых</w:t>
      </w:r>
      <w:r w:rsidR="006C680D" w:rsidRPr="00D337FA">
        <w:rPr>
          <w:szCs w:val="24"/>
        </w:rPr>
        <w:t xml:space="preserve"> </w:t>
      </w:r>
      <w:r w:rsidRPr="00D337FA">
        <w:rPr>
          <w:szCs w:val="24"/>
        </w:rPr>
        <w:t>или</w:t>
      </w:r>
      <w:r w:rsidR="006C680D" w:rsidRPr="00D337FA">
        <w:rPr>
          <w:szCs w:val="24"/>
        </w:rPr>
        <w:t xml:space="preserve"> </w:t>
      </w:r>
      <w:r w:rsidRPr="00D337FA">
        <w:rPr>
          <w:szCs w:val="24"/>
        </w:rPr>
        <w:t>труднодоступных</w:t>
      </w:r>
      <w:r w:rsidR="006C680D" w:rsidRPr="00D337FA">
        <w:rPr>
          <w:szCs w:val="24"/>
        </w:rPr>
        <w:t xml:space="preserve"> </w:t>
      </w:r>
      <w:r w:rsidRPr="00D337FA">
        <w:rPr>
          <w:szCs w:val="24"/>
        </w:rPr>
        <w:t>регионах.</w:t>
      </w:r>
    </w:p>
    <w:p w:rsidR="00256E85" w:rsidRPr="00D337FA" w:rsidRDefault="00256E85" w:rsidP="00256E85">
      <w:pPr>
        <w:ind w:firstLine="284"/>
        <w:rPr>
          <w:szCs w:val="24"/>
        </w:rPr>
      </w:pPr>
      <w:r w:rsidRPr="00D337FA">
        <w:rPr>
          <w:szCs w:val="24"/>
        </w:rPr>
        <w:t>Цифровизация</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определяющим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современного</w:t>
      </w:r>
      <w:r w:rsidR="006C680D" w:rsidRPr="00D337FA">
        <w:rPr>
          <w:szCs w:val="24"/>
        </w:rPr>
        <w:t xml:space="preserve"> </w:t>
      </w:r>
      <w:r w:rsidRPr="00D337FA">
        <w:rPr>
          <w:szCs w:val="24"/>
        </w:rPr>
        <w:t>российского</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Это</w:t>
      </w:r>
      <w:r w:rsidR="006C680D" w:rsidRPr="00D337FA">
        <w:rPr>
          <w:szCs w:val="24"/>
        </w:rPr>
        <w:t xml:space="preserve"> </w:t>
      </w:r>
      <w:r w:rsidRPr="00D337FA">
        <w:rPr>
          <w:szCs w:val="24"/>
        </w:rPr>
        <w:t>обстоятельство</w:t>
      </w:r>
      <w:r w:rsidR="006C680D" w:rsidRPr="00D337FA">
        <w:rPr>
          <w:szCs w:val="24"/>
        </w:rPr>
        <w:t xml:space="preserve"> </w:t>
      </w:r>
      <w:r w:rsidRPr="00D337FA">
        <w:rPr>
          <w:szCs w:val="24"/>
        </w:rPr>
        <w:t>относится</w:t>
      </w:r>
      <w:r w:rsidR="006C680D" w:rsidRPr="00D337FA">
        <w:rPr>
          <w:szCs w:val="24"/>
        </w:rPr>
        <w:t xml:space="preserve"> </w:t>
      </w:r>
      <w:r w:rsidRPr="00D337FA">
        <w:rPr>
          <w:szCs w:val="24"/>
        </w:rPr>
        <w:t>и</w:t>
      </w:r>
      <w:r w:rsidR="006C680D" w:rsidRPr="00D337FA">
        <w:rPr>
          <w:szCs w:val="24"/>
        </w:rPr>
        <w:t xml:space="preserve"> </w:t>
      </w:r>
      <w:r w:rsidRPr="00D337FA">
        <w:rPr>
          <w:szCs w:val="24"/>
        </w:rPr>
        <w:t>к</w:t>
      </w:r>
      <w:r w:rsidR="006C680D" w:rsidRPr="00D337FA">
        <w:rPr>
          <w:szCs w:val="24"/>
        </w:rPr>
        <w:t xml:space="preserve"> </w:t>
      </w:r>
      <w:r w:rsidRPr="00D337FA">
        <w:rPr>
          <w:szCs w:val="24"/>
        </w:rPr>
        <w:t>банковскому</w:t>
      </w:r>
      <w:r w:rsidR="006C680D" w:rsidRPr="00D337FA">
        <w:rPr>
          <w:szCs w:val="24"/>
        </w:rPr>
        <w:t xml:space="preserve"> </w:t>
      </w:r>
      <w:r w:rsidRPr="00D337FA">
        <w:rPr>
          <w:szCs w:val="24"/>
        </w:rPr>
        <w:t>обслуживанию</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ярко</w:t>
      </w:r>
      <w:r w:rsidR="006C680D" w:rsidRPr="00D337FA">
        <w:rPr>
          <w:szCs w:val="24"/>
        </w:rPr>
        <w:t xml:space="preserve"> </w:t>
      </w:r>
      <w:r w:rsidRPr="00D337FA">
        <w:rPr>
          <w:szCs w:val="24"/>
        </w:rPr>
        <w:t>цифровизация</w:t>
      </w:r>
      <w:r w:rsidR="006C680D" w:rsidRPr="00D337FA">
        <w:rPr>
          <w:szCs w:val="24"/>
        </w:rPr>
        <w:t xml:space="preserve"> </w:t>
      </w:r>
      <w:r w:rsidRPr="00D337FA">
        <w:rPr>
          <w:szCs w:val="24"/>
        </w:rPr>
        <w:t>проявляется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услугах,</w:t>
      </w:r>
      <w:r w:rsidR="006C680D" w:rsidRPr="00D337FA">
        <w:rPr>
          <w:szCs w:val="24"/>
        </w:rPr>
        <w:t xml:space="preserve"> </w:t>
      </w:r>
      <w:r w:rsidRPr="00D337FA">
        <w:rPr>
          <w:szCs w:val="24"/>
        </w:rPr>
        <w:t>как</w:t>
      </w:r>
      <w:r w:rsidR="006C680D" w:rsidRPr="00D337FA">
        <w:rPr>
          <w:szCs w:val="24"/>
        </w:rPr>
        <w:t xml:space="preserve"> </w:t>
      </w:r>
      <w:r w:rsidRPr="00D337FA">
        <w:rPr>
          <w:szCs w:val="24"/>
        </w:rPr>
        <w:t>открытие</w:t>
      </w:r>
      <w:r w:rsidR="006C680D" w:rsidRPr="00D337FA">
        <w:rPr>
          <w:szCs w:val="24"/>
        </w:rPr>
        <w:t xml:space="preserve"> </w:t>
      </w:r>
      <w:r w:rsidRPr="00D337FA">
        <w:rPr>
          <w:szCs w:val="24"/>
        </w:rPr>
        <w:t>и</w:t>
      </w:r>
      <w:r w:rsidR="006C680D" w:rsidRPr="00D337FA">
        <w:rPr>
          <w:szCs w:val="24"/>
        </w:rPr>
        <w:t xml:space="preserve"> </w:t>
      </w:r>
      <w:r w:rsidRPr="00D337FA">
        <w:rPr>
          <w:szCs w:val="24"/>
        </w:rPr>
        <w:t>ведение</w:t>
      </w:r>
      <w:r w:rsidR="006C680D" w:rsidRPr="00D337FA">
        <w:rPr>
          <w:szCs w:val="24"/>
        </w:rPr>
        <w:t xml:space="preserve"> </w:t>
      </w:r>
      <w:r w:rsidRPr="00D337FA">
        <w:rPr>
          <w:szCs w:val="24"/>
        </w:rPr>
        <w:t>расчетных</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онлайн-сервисы,</w:t>
      </w:r>
      <w:r w:rsidR="006C680D" w:rsidRPr="00D337FA">
        <w:rPr>
          <w:szCs w:val="24"/>
        </w:rPr>
        <w:t xml:space="preserve"> </w:t>
      </w:r>
      <w:r w:rsidRPr="00D337FA">
        <w:rPr>
          <w:szCs w:val="24"/>
        </w:rPr>
        <w:t>бухгалтерское</w:t>
      </w:r>
      <w:r w:rsidR="006C680D" w:rsidRPr="00D337FA">
        <w:rPr>
          <w:szCs w:val="24"/>
        </w:rPr>
        <w:t xml:space="preserve"> </w:t>
      </w:r>
      <w:r w:rsidRPr="00D337FA">
        <w:rPr>
          <w:szCs w:val="24"/>
        </w:rPr>
        <w:t>сопровождение,</w:t>
      </w:r>
      <w:r w:rsidR="006C680D" w:rsidRPr="00D337FA">
        <w:rPr>
          <w:szCs w:val="24"/>
        </w:rPr>
        <w:t xml:space="preserve"> </w:t>
      </w:r>
      <w:r w:rsidRPr="00D337FA">
        <w:rPr>
          <w:szCs w:val="24"/>
        </w:rPr>
        <w:t>зарплатные</w:t>
      </w:r>
      <w:r w:rsidR="006C680D" w:rsidRPr="00D337FA">
        <w:rPr>
          <w:szCs w:val="24"/>
        </w:rPr>
        <w:t xml:space="preserve"> </w:t>
      </w:r>
      <w:r w:rsidRPr="00D337FA">
        <w:rPr>
          <w:szCs w:val="24"/>
        </w:rPr>
        <w:t>проекты</w:t>
      </w:r>
      <w:r w:rsidR="006C680D" w:rsidRPr="00D337FA">
        <w:rPr>
          <w:szCs w:val="24"/>
        </w:rPr>
        <w:t xml:space="preserve"> </w:t>
      </w:r>
      <w:r w:rsidRPr="00D337FA">
        <w:rPr>
          <w:szCs w:val="24"/>
        </w:rPr>
        <w:t>и</w:t>
      </w:r>
      <w:r w:rsidR="006C680D" w:rsidRPr="00D337FA">
        <w:rPr>
          <w:szCs w:val="24"/>
        </w:rPr>
        <w:t xml:space="preserve"> </w:t>
      </w:r>
      <w:r w:rsidRPr="00D337FA">
        <w:rPr>
          <w:szCs w:val="24"/>
        </w:rPr>
        <w:t>прием</w:t>
      </w:r>
      <w:r w:rsidR="006C680D" w:rsidRPr="00D337FA">
        <w:rPr>
          <w:szCs w:val="24"/>
        </w:rPr>
        <w:t xml:space="preserve"> </w:t>
      </w:r>
      <w:r w:rsidRPr="00D337FA">
        <w:rPr>
          <w:szCs w:val="24"/>
        </w:rPr>
        <w:t>платежей.</w:t>
      </w:r>
      <w:r w:rsidR="006C680D" w:rsidRPr="00D337FA">
        <w:rPr>
          <w:szCs w:val="24"/>
        </w:rPr>
        <w:t xml:space="preserve"> </w:t>
      </w:r>
      <w:r w:rsidRPr="00D337FA">
        <w:rPr>
          <w:szCs w:val="24"/>
        </w:rPr>
        <w:t>Практически</w:t>
      </w:r>
      <w:r w:rsidR="006C680D" w:rsidRPr="00D337FA">
        <w:rPr>
          <w:szCs w:val="24"/>
        </w:rPr>
        <w:t xml:space="preserve"> </w:t>
      </w:r>
      <w:r w:rsidRPr="00D337FA">
        <w:rPr>
          <w:szCs w:val="24"/>
        </w:rPr>
        <w:t>все</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значимые</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интегрировали</w:t>
      </w:r>
      <w:r w:rsidR="006C680D" w:rsidRPr="00D337FA">
        <w:rPr>
          <w:szCs w:val="24"/>
        </w:rPr>
        <w:t xml:space="preserve"> </w:t>
      </w:r>
      <w:r w:rsidRPr="00D337FA">
        <w:rPr>
          <w:szCs w:val="24"/>
        </w:rPr>
        <w:t>цифровые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в</w:t>
      </w:r>
      <w:r w:rsidR="006C680D" w:rsidRPr="00D337FA">
        <w:rPr>
          <w:szCs w:val="24"/>
        </w:rPr>
        <w:t xml:space="preserve"> </w:t>
      </w:r>
      <w:r w:rsidRPr="00D337FA">
        <w:rPr>
          <w:szCs w:val="24"/>
        </w:rPr>
        <w:t>свои</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p>
    <w:p w:rsidR="00256E85" w:rsidRPr="00D337FA" w:rsidRDefault="00256E85" w:rsidP="00256E85">
      <w:pPr>
        <w:ind w:firstLine="284"/>
        <w:rPr>
          <w:szCs w:val="24"/>
        </w:rPr>
      </w:pPr>
      <w:r w:rsidRPr="00D337FA">
        <w:rPr>
          <w:szCs w:val="24"/>
        </w:rPr>
        <w:t>Особого</w:t>
      </w:r>
      <w:r w:rsidR="006C680D" w:rsidRPr="00D337FA">
        <w:rPr>
          <w:szCs w:val="24"/>
        </w:rPr>
        <w:t xml:space="preserve"> </w:t>
      </w:r>
      <w:r w:rsidRPr="00D337FA">
        <w:rPr>
          <w:szCs w:val="24"/>
        </w:rPr>
        <w:t>внимания</w:t>
      </w:r>
      <w:r w:rsidR="006C680D" w:rsidRPr="00D337FA">
        <w:rPr>
          <w:szCs w:val="24"/>
        </w:rPr>
        <w:t xml:space="preserve"> </w:t>
      </w:r>
      <w:r w:rsidRPr="00D337FA">
        <w:rPr>
          <w:szCs w:val="24"/>
        </w:rPr>
        <w:t>заслуживает</w:t>
      </w:r>
      <w:r w:rsidR="006C680D" w:rsidRPr="00D337FA">
        <w:rPr>
          <w:szCs w:val="24"/>
        </w:rPr>
        <w:t xml:space="preserve"> </w:t>
      </w:r>
      <w:r w:rsidRPr="00D337FA">
        <w:rPr>
          <w:szCs w:val="24"/>
        </w:rPr>
        <w:t>услуга</w:t>
      </w:r>
      <w:r w:rsidR="006C680D" w:rsidRPr="00D337FA">
        <w:rPr>
          <w:szCs w:val="24"/>
        </w:rPr>
        <w:t xml:space="preserve"> </w:t>
      </w:r>
      <w:r w:rsidRPr="00D337FA">
        <w:rPr>
          <w:szCs w:val="24"/>
        </w:rPr>
        <w:t>«Открытие</w:t>
      </w:r>
      <w:r w:rsidR="006C680D" w:rsidRPr="00D337FA">
        <w:rPr>
          <w:szCs w:val="24"/>
        </w:rPr>
        <w:t xml:space="preserve"> </w:t>
      </w:r>
      <w:r w:rsidRPr="00D337FA">
        <w:rPr>
          <w:szCs w:val="24"/>
        </w:rPr>
        <w:t>и</w:t>
      </w:r>
      <w:r w:rsidR="006C680D" w:rsidRPr="00D337FA">
        <w:rPr>
          <w:szCs w:val="24"/>
        </w:rPr>
        <w:t xml:space="preserve"> </w:t>
      </w:r>
      <w:r w:rsidRPr="00D337FA">
        <w:rPr>
          <w:szCs w:val="24"/>
        </w:rPr>
        <w:t>ведение</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реализуемая</w:t>
      </w:r>
      <w:r w:rsidR="006C680D" w:rsidRPr="00D337FA">
        <w:rPr>
          <w:szCs w:val="24"/>
        </w:rPr>
        <w:t xml:space="preserve"> </w:t>
      </w:r>
      <w:r w:rsidRPr="00D337FA">
        <w:rPr>
          <w:szCs w:val="24"/>
        </w:rPr>
        <w:t>в</w:t>
      </w:r>
      <w:r w:rsidR="006C680D" w:rsidRPr="00D337FA">
        <w:rPr>
          <w:szCs w:val="24"/>
        </w:rPr>
        <w:t xml:space="preserve"> </w:t>
      </w:r>
      <w:r w:rsidRPr="00D337FA">
        <w:rPr>
          <w:szCs w:val="24"/>
        </w:rPr>
        <w:t>онлайн-формате.</w:t>
      </w:r>
      <w:r w:rsidR="006C680D" w:rsidRPr="00D337FA">
        <w:rPr>
          <w:szCs w:val="24"/>
        </w:rPr>
        <w:t xml:space="preserve"> </w:t>
      </w:r>
      <w:r w:rsidRPr="00D337FA">
        <w:rPr>
          <w:szCs w:val="24"/>
        </w:rPr>
        <w:t>Все</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цифровые</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открытия</w:t>
      </w:r>
      <w:r w:rsidR="006C680D" w:rsidRPr="00D337FA">
        <w:rPr>
          <w:szCs w:val="24"/>
        </w:rPr>
        <w:t xml:space="preserve"> </w:t>
      </w:r>
      <w:r w:rsidRPr="00D337FA">
        <w:rPr>
          <w:szCs w:val="24"/>
        </w:rPr>
        <w:t>расчет</w:t>
      </w:r>
      <w:r w:rsidRPr="00D337FA">
        <w:rPr>
          <w:szCs w:val="24"/>
        </w:rPr>
        <w:lastRenderedPageBreak/>
        <w:t>ных</w:t>
      </w:r>
      <w:r w:rsidR="006C680D" w:rsidRPr="00D337FA">
        <w:rPr>
          <w:szCs w:val="24"/>
        </w:rPr>
        <w:t xml:space="preserve"> </w:t>
      </w:r>
      <w:r w:rsidRPr="00D337FA">
        <w:rPr>
          <w:szCs w:val="24"/>
        </w:rPr>
        <w:t>и</w:t>
      </w:r>
      <w:r w:rsidR="006C680D" w:rsidRPr="00D337FA">
        <w:rPr>
          <w:szCs w:val="24"/>
        </w:rPr>
        <w:t xml:space="preserve"> </w:t>
      </w:r>
      <w:r w:rsidRPr="00D337FA">
        <w:rPr>
          <w:szCs w:val="24"/>
        </w:rPr>
        <w:t>валютных</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индивидуальных</w:t>
      </w:r>
      <w:r w:rsidR="006C680D" w:rsidRPr="00D337FA">
        <w:rPr>
          <w:szCs w:val="24"/>
        </w:rPr>
        <w:t xml:space="preserve"> </w:t>
      </w:r>
      <w:r w:rsidRPr="00D337FA">
        <w:rPr>
          <w:szCs w:val="24"/>
        </w:rPr>
        <w:t>предпринимателей</w:t>
      </w:r>
      <w:r w:rsidR="006C680D" w:rsidRPr="00D337FA">
        <w:rPr>
          <w:szCs w:val="24"/>
        </w:rPr>
        <w:t xml:space="preserve"> </w:t>
      </w:r>
      <w:r w:rsidRPr="00D337FA">
        <w:rPr>
          <w:szCs w:val="24"/>
        </w:rPr>
        <w:t>и</w:t>
      </w:r>
      <w:r w:rsidR="006C680D" w:rsidRPr="00D337FA">
        <w:rPr>
          <w:szCs w:val="24"/>
        </w:rPr>
        <w:t xml:space="preserve"> </w:t>
      </w:r>
      <w:r w:rsidRPr="00D337FA">
        <w:rPr>
          <w:szCs w:val="24"/>
        </w:rPr>
        <w:t>обществ</w:t>
      </w:r>
      <w:r w:rsidR="006C680D" w:rsidRPr="00D337FA">
        <w:rPr>
          <w:szCs w:val="24"/>
        </w:rPr>
        <w:t xml:space="preserve"> </w:t>
      </w:r>
      <w:r w:rsidRPr="00D337FA">
        <w:rPr>
          <w:szCs w:val="24"/>
        </w:rPr>
        <w:t>с</w:t>
      </w:r>
      <w:r w:rsidR="006C680D" w:rsidRPr="00D337FA">
        <w:rPr>
          <w:szCs w:val="24"/>
        </w:rPr>
        <w:t xml:space="preserve"> </w:t>
      </w:r>
      <w:r w:rsidRPr="00D337FA">
        <w:rPr>
          <w:szCs w:val="24"/>
        </w:rPr>
        <w:t>ограниченной</w:t>
      </w:r>
      <w:r w:rsidR="006C680D" w:rsidRPr="00D337FA">
        <w:rPr>
          <w:szCs w:val="24"/>
        </w:rPr>
        <w:t xml:space="preserve"> </w:t>
      </w:r>
      <w:r w:rsidRPr="00D337FA">
        <w:rPr>
          <w:szCs w:val="24"/>
        </w:rPr>
        <w:t>ответственностью,</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использование</w:t>
      </w:r>
      <w:r w:rsidR="006C680D" w:rsidRPr="00D337FA">
        <w:rPr>
          <w:szCs w:val="24"/>
        </w:rPr>
        <w:t xml:space="preserve"> </w:t>
      </w:r>
      <w:r w:rsidRPr="00D337FA">
        <w:rPr>
          <w:szCs w:val="24"/>
        </w:rPr>
        <w:t>бизнес-карт</w:t>
      </w:r>
      <w:r w:rsidR="006C680D" w:rsidRPr="00D337FA">
        <w:rPr>
          <w:szCs w:val="24"/>
        </w:rPr>
        <w:t xml:space="preserve"> </w:t>
      </w:r>
      <w:r w:rsidRPr="00D337FA">
        <w:rPr>
          <w:szCs w:val="24"/>
        </w:rPr>
        <w:t>и</w:t>
      </w:r>
      <w:r w:rsidR="006C680D" w:rsidRPr="00D337FA">
        <w:rPr>
          <w:szCs w:val="24"/>
        </w:rPr>
        <w:t xml:space="preserve"> </w:t>
      </w:r>
      <w:r w:rsidRPr="00D337FA">
        <w:rPr>
          <w:szCs w:val="24"/>
        </w:rPr>
        <w:t>номинальных</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предоставляет</w:t>
      </w:r>
      <w:r w:rsidR="006C680D" w:rsidRPr="00D337FA">
        <w:rPr>
          <w:szCs w:val="24"/>
        </w:rPr>
        <w:t xml:space="preserve"> </w:t>
      </w:r>
      <w:r w:rsidRPr="00D337FA">
        <w:rPr>
          <w:szCs w:val="24"/>
        </w:rPr>
        <w:t>возможность</w:t>
      </w:r>
      <w:r w:rsidR="006C680D" w:rsidRPr="00D337FA">
        <w:rPr>
          <w:szCs w:val="24"/>
        </w:rPr>
        <w:t xml:space="preserve"> </w:t>
      </w:r>
      <w:r w:rsidRPr="00D337FA">
        <w:rPr>
          <w:szCs w:val="24"/>
        </w:rPr>
        <w:t>удаленного</w:t>
      </w:r>
      <w:r w:rsidR="006C680D" w:rsidRPr="00D337FA">
        <w:rPr>
          <w:szCs w:val="24"/>
        </w:rPr>
        <w:t xml:space="preserve"> </w:t>
      </w:r>
      <w:r w:rsidRPr="00D337FA">
        <w:rPr>
          <w:szCs w:val="24"/>
        </w:rPr>
        <w:t>открытия</w:t>
      </w:r>
      <w:r w:rsidR="006C680D" w:rsidRPr="00D337FA">
        <w:rPr>
          <w:szCs w:val="24"/>
        </w:rPr>
        <w:t xml:space="preserve"> </w:t>
      </w:r>
      <w:r w:rsidRPr="00D337FA">
        <w:rPr>
          <w:szCs w:val="24"/>
        </w:rPr>
        <w:t>стандартных</w:t>
      </w:r>
      <w:r w:rsidR="00F70991">
        <w:rPr>
          <w:szCs w:val="24"/>
        </w:rPr>
        <w:t xml:space="preserve"> </w:t>
      </w:r>
      <w:r w:rsidRPr="00D337FA">
        <w:rPr>
          <w:szCs w:val="24"/>
        </w:rPr>
        <w:t>и</w:t>
      </w:r>
      <w:r w:rsidR="006C680D" w:rsidRPr="00D337FA">
        <w:rPr>
          <w:szCs w:val="24"/>
        </w:rPr>
        <w:t xml:space="preserve"> </w:t>
      </w:r>
      <w:r w:rsidRPr="00D337FA">
        <w:rPr>
          <w:szCs w:val="24"/>
        </w:rPr>
        <w:t>исламских</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выпускает</w:t>
      </w:r>
      <w:r w:rsidR="006C680D" w:rsidRPr="00D337FA">
        <w:rPr>
          <w:szCs w:val="24"/>
        </w:rPr>
        <w:t xml:space="preserve"> </w:t>
      </w:r>
      <w:r w:rsidRPr="00D337FA">
        <w:rPr>
          <w:szCs w:val="24"/>
        </w:rPr>
        <w:t>виртуальные</w:t>
      </w:r>
      <w:r w:rsidR="006C680D" w:rsidRPr="00D337FA">
        <w:rPr>
          <w:szCs w:val="24"/>
        </w:rPr>
        <w:t xml:space="preserve"> </w:t>
      </w:r>
      <w:r w:rsidRPr="00D337FA">
        <w:rPr>
          <w:szCs w:val="24"/>
        </w:rPr>
        <w:t>и</w:t>
      </w:r>
      <w:r w:rsidR="006C680D" w:rsidRPr="00D337FA">
        <w:rPr>
          <w:szCs w:val="24"/>
        </w:rPr>
        <w:t xml:space="preserve"> </w:t>
      </w:r>
      <w:r w:rsidRPr="00D337FA">
        <w:rPr>
          <w:szCs w:val="24"/>
        </w:rPr>
        <w:t>кредитные</w:t>
      </w:r>
      <w:r w:rsidR="006C680D" w:rsidRPr="00D337FA">
        <w:rPr>
          <w:szCs w:val="24"/>
        </w:rPr>
        <w:t xml:space="preserve"> </w:t>
      </w:r>
      <w:r w:rsidRPr="00D337FA">
        <w:rPr>
          <w:szCs w:val="24"/>
        </w:rPr>
        <w:t>бизнес-карты.</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предлагает</w:t>
      </w:r>
      <w:r w:rsidR="006C680D" w:rsidRPr="00D337FA">
        <w:rPr>
          <w:szCs w:val="24"/>
        </w:rPr>
        <w:t xml:space="preserve"> </w:t>
      </w:r>
      <w:r w:rsidRPr="00D337FA">
        <w:rPr>
          <w:szCs w:val="24"/>
        </w:rPr>
        <w:t>специальные</w:t>
      </w:r>
      <w:r w:rsidR="006C680D" w:rsidRPr="00D337FA">
        <w:rPr>
          <w:szCs w:val="24"/>
        </w:rPr>
        <w:t xml:space="preserve"> </w:t>
      </w:r>
      <w:r w:rsidRPr="00D337FA">
        <w:rPr>
          <w:szCs w:val="24"/>
        </w:rPr>
        <w:t>счета</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расчетов</w:t>
      </w:r>
      <w:r w:rsidR="006C680D" w:rsidRPr="00D337FA">
        <w:rPr>
          <w:szCs w:val="24"/>
        </w:rPr>
        <w:t xml:space="preserve"> </w:t>
      </w:r>
      <w:r w:rsidRPr="00D337FA">
        <w:rPr>
          <w:szCs w:val="24"/>
        </w:rPr>
        <w:t>по</w:t>
      </w:r>
      <w:r w:rsidR="006C680D" w:rsidRPr="00D337FA">
        <w:rPr>
          <w:szCs w:val="24"/>
        </w:rPr>
        <w:t xml:space="preserve"> </w:t>
      </w:r>
      <w:r w:rsidRPr="00D337FA">
        <w:rPr>
          <w:szCs w:val="24"/>
        </w:rPr>
        <w:t>государственным</w:t>
      </w:r>
      <w:r w:rsidR="006C680D" w:rsidRPr="00D337FA">
        <w:rPr>
          <w:szCs w:val="24"/>
        </w:rPr>
        <w:t xml:space="preserve"> </w:t>
      </w:r>
      <w:r w:rsidRPr="00D337FA">
        <w:rPr>
          <w:szCs w:val="24"/>
        </w:rPr>
        <w:t>контрактам,</w:t>
      </w:r>
      <w:r w:rsidR="006C680D" w:rsidRPr="00D337FA">
        <w:rPr>
          <w:szCs w:val="24"/>
        </w:rPr>
        <w:t xml:space="preserve"> </w:t>
      </w:r>
      <w:r w:rsidRPr="00D337FA">
        <w:rPr>
          <w:szCs w:val="24"/>
        </w:rPr>
        <w:t>что</w:t>
      </w:r>
      <w:r w:rsidR="006C680D" w:rsidRPr="00D337FA">
        <w:rPr>
          <w:szCs w:val="24"/>
        </w:rPr>
        <w:t xml:space="preserve"> </w:t>
      </w:r>
      <w:r w:rsidRPr="00D337FA">
        <w:rPr>
          <w:szCs w:val="24"/>
        </w:rPr>
        <w:t>отражает</w:t>
      </w:r>
      <w:r w:rsidR="006C680D" w:rsidRPr="00D337FA">
        <w:rPr>
          <w:szCs w:val="24"/>
        </w:rPr>
        <w:t xml:space="preserve"> </w:t>
      </w:r>
      <w:r w:rsidRPr="00D337FA">
        <w:rPr>
          <w:szCs w:val="24"/>
        </w:rPr>
        <w:t>гибкость</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отдельных</w:t>
      </w:r>
      <w:r w:rsidR="006C680D" w:rsidRPr="00D337FA">
        <w:rPr>
          <w:szCs w:val="24"/>
        </w:rPr>
        <w:t xml:space="preserve"> </w:t>
      </w:r>
      <w:r w:rsidRPr="00D337FA">
        <w:rPr>
          <w:szCs w:val="24"/>
        </w:rPr>
        <w:t>сегментов</w:t>
      </w:r>
      <w:r w:rsidR="006C680D" w:rsidRPr="00D337FA">
        <w:rPr>
          <w:szCs w:val="24"/>
        </w:rPr>
        <w:t xml:space="preserve"> </w:t>
      </w:r>
      <w:r w:rsidRPr="00D337FA">
        <w:rPr>
          <w:szCs w:val="24"/>
        </w:rPr>
        <w:t>рынка.</w:t>
      </w:r>
    </w:p>
    <w:p w:rsidR="00256E85" w:rsidRPr="00D337FA" w:rsidRDefault="00256E85" w:rsidP="00256E85">
      <w:pPr>
        <w:ind w:firstLine="284"/>
        <w:rPr>
          <w:szCs w:val="24"/>
        </w:rPr>
      </w:pPr>
      <w:r w:rsidRPr="00D337FA">
        <w:rPr>
          <w:szCs w:val="24"/>
        </w:rPr>
        <w:t>Услуга</w:t>
      </w:r>
      <w:r w:rsidR="006C680D" w:rsidRPr="00D337FA">
        <w:rPr>
          <w:szCs w:val="24"/>
        </w:rPr>
        <w:t xml:space="preserve"> </w:t>
      </w:r>
      <w:r w:rsidRPr="00D337FA">
        <w:rPr>
          <w:szCs w:val="24"/>
        </w:rPr>
        <w:t>«Онлайн-сервисы»</w:t>
      </w:r>
      <w:r w:rsidR="006C680D" w:rsidRPr="00D337FA">
        <w:rPr>
          <w:szCs w:val="24"/>
        </w:rPr>
        <w:t xml:space="preserve"> </w:t>
      </w:r>
      <w:r w:rsidRPr="00D337FA">
        <w:rPr>
          <w:szCs w:val="24"/>
        </w:rPr>
        <w:t>охватывает</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как</w:t>
      </w:r>
      <w:r w:rsidR="006C680D" w:rsidRPr="00D337FA">
        <w:rPr>
          <w:szCs w:val="24"/>
        </w:rPr>
        <w:t xml:space="preserve"> </w:t>
      </w:r>
      <w:r w:rsidRPr="00D337FA">
        <w:rPr>
          <w:szCs w:val="24"/>
        </w:rPr>
        <w:t>интернет-банкинг,</w:t>
      </w:r>
      <w:r w:rsidR="006C680D" w:rsidRPr="00D337FA">
        <w:rPr>
          <w:szCs w:val="24"/>
        </w:rPr>
        <w:t xml:space="preserve"> </w:t>
      </w:r>
      <w:r w:rsidRPr="00D337FA">
        <w:rPr>
          <w:szCs w:val="24"/>
        </w:rPr>
        <w:t>мобильные</w:t>
      </w:r>
      <w:r w:rsidR="006C680D" w:rsidRPr="00D337FA">
        <w:rPr>
          <w:szCs w:val="24"/>
        </w:rPr>
        <w:t xml:space="preserve"> </w:t>
      </w:r>
      <w:r w:rsidRPr="00D337FA">
        <w:rPr>
          <w:szCs w:val="24"/>
        </w:rPr>
        <w:t>приложения,</w:t>
      </w:r>
      <w:r w:rsidR="006C680D" w:rsidRPr="00D337FA">
        <w:rPr>
          <w:szCs w:val="24"/>
        </w:rPr>
        <w:t xml:space="preserve"> </w:t>
      </w:r>
      <w:r w:rsidRPr="00D337FA">
        <w:rPr>
          <w:szCs w:val="24"/>
        </w:rPr>
        <w:t>электронная</w:t>
      </w:r>
      <w:r w:rsidR="006C680D" w:rsidRPr="00D337FA">
        <w:rPr>
          <w:szCs w:val="24"/>
        </w:rPr>
        <w:t xml:space="preserve"> </w:t>
      </w:r>
      <w:r w:rsidRPr="00D337FA">
        <w:rPr>
          <w:szCs w:val="24"/>
        </w:rPr>
        <w:t>бухгалтерия,</w:t>
      </w:r>
      <w:r w:rsidR="006C680D" w:rsidRPr="00D337FA">
        <w:rPr>
          <w:szCs w:val="24"/>
        </w:rPr>
        <w:t xml:space="preserve"> </w:t>
      </w:r>
      <w:r w:rsidRPr="00D337FA">
        <w:rPr>
          <w:szCs w:val="24"/>
        </w:rPr>
        <w:t>инкассация,</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сопровождение</w:t>
      </w:r>
      <w:r w:rsidR="006C680D" w:rsidRPr="00D337FA">
        <w:rPr>
          <w:szCs w:val="24"/>
        </w:rPr>
        <w:t xml:space="preserve"> </w:t>
      </w:r>
      <w:r w:rsidRPr="00D337FA">
        <w:rPr>
          <w:szCs w:val="24"/>
        </w:rPr>
        <w:t>в</w:t>
      </w:r>
      <w:r w:rsidR="006C680D" w:rsidRPr="00D337FA">
        <w:rPr>
          <w:szCs w:val="24"/>
        </w:rPr>
        <w:t xml:space="preserve"> </w:t>
      </w:r>
      <w:r w:rsidRPr="00D337FA">
        <w:rPr>
          <w:szCs w:val="24"/>
        </w:rPr>
        <w:t>форме</w:t>
      </w:r>
      <w:r w:rsidR="006C680D" w:rsidRPr="00D337FA">
        <w:rPr>
          <w:szCs w:val="24"/>
        </w:rPr>
        <w:t xml:space="preserve"> </w:t>
      </w:r>
      <w:r w:rsidRPr="00D337FA">
        <w:rPr>
          <w:szCs w:val="24"/>
        </w:rPr>
        <w:t>онлайн-чатов</w:t>
      </w:r>
      <w:r w:rsidR="006C680D" w:rsidRPr="00D337FA">
        <w:rPr>
          <w:szCs w:val="24"/>
        </w:rPr>
        <w:t xml:space="preserve"> </w:t>
      </w:r>
      <w:r w:rsidRPr="00D337FA">
        <w:rPr>
          <w:szCs w:val="24"/>
        </w:rPr>
        <w:t>и</w:t>
      </w:r>
      <w:r w:rsidR="006C680D" w:rsidRPr="00D337FA">
        <w:rPr>
          <w:szCs w:val="24"/>
        </w:rPr>
        <w:t xml:space="preserve"> </w:t>
      </w:r>
      <w:r w:rsidRPr="00D337FA">
        <w:rPr>
          <w:szCs w:val="24"/>
        </w:rPr>
        <w:t>уведомлений.</w:t>
      </w:r>
      <w:r w:rsidR="006C680D" w:rsidRPr="00D337FA">
        <w:rPr>
          <w:szCs w:val="24"/>
        </w:rPr>
        <w:t xml:space="preserve"> </w:t>
      </w:r>
      <w:r w:rsidRPr="00D337FA">
        <w:rPr>
          <w:szCs w:val="24"/>
        </w:rPr>
        <w:t>АО</w:t>
      </w:r>
      <w:r w:rsidR="006C680D" w:rsidRPr="00D337FA">
        <w:rPr>
          <w:szCs w:val="24"/>
        </w:rPr>
        <w:t xml:space="preserve"> </w:t>
      </w:r>
      <w:r w:rsidRPr="00D337FA">
        <w:rPr>
          <w:szCs w:val="24"/>
        </w:rPr>
        <w:t>«Райффайзенбанк»</w:t>
      </w:r>
      <w:r w:rsidR="006C680D" w:rsidRPr="00D337FA">
        <w:rPr>
          <w:szCs w:val="24"/>
        </w:rPr>
        <w:t xml:space="preserve"> </w:t>
      </w:r>
      <w:r w:rsidRPr="00D337FA">
        <w:rPr>
          <w:szCs w:val="24"/>
        </w:rPr>
        <w:t>предлагает</w:t>
      </w:r>
      <w:r w:rsidR="006C680D" w:rsidRPr="00D337FA">
        <w:rPr>
          <w:szCs w:val="24"/>
        </w:rPr>
        <w:t xml:space="preserve"> </w:t>
      </w:r>
      <w:r w:rsidRPr="00D337FA">
        <w:rPr>
          <w:szCs w:val="24"/>
        </w:rPr>
        <w:t>мобильный</w:t>
      </w:r>
      <w:r w:rsidR="006C680D" w:rsidRPr="00D337FA">
        <w:rPr>
          <w:szCs w:val="24"/>
        </w:rPr>
        <w:t xml:space="preserve"> </w:t>
      </w:r>
      <w:r w:rsidRPr="00D337FA">
        <w:rPr>
          <w:szCs w:val="24"/>
        </w:rPr>
        <w:t>и</w:t>
      </w:r>
      <w:r w:rsidR="006C680D" w:rsidRPr="00D337FA">
        <w:rPr>
          <w:szCs w:val="24"/>
        </w:rPr>
        <w:t xml:space="preserve"> </w:t>
      </w:r>
      <w:r w:rsidRPr="00D337FA">
        <w:rPr>
          <w:szCs w:val="24"/>
        </w:rPr>
        <w:t>интернет-банк,</w:t>
      </w:r>
      <w:r w:rsidR="006C680D" w:rsidRPr="00D337FA">
        <w:rPr>
          <w:szCs w:val="24"/>
        </w:rPr>
        <w:t xml:space="preserve"> </w:t>
      </w:r>
      <w:r w:rsidRPr="00D337FA">
        <w:rPr>
          <w:szCs w:val="24"/>
        </w:rPr>
        <w:t>онлайн-бухгалтерию,</w:t>
      </w:r>
      <w:r w:rsidR="006C680D" w:rsidRPr="00D337FA">
        <w:rPr>
          <w:szCs w:val="24"/>
        </w:rPr>
        <w:t xml:space="preserve"> </w:t>
      </w:r>
      <w:r w:rsidRPr="00D337FA">
        <w:rPr>
          <w:szCs w:val="24"/>
        </w:rPr>
        <w:t>налоговую</w:t>
      </w:r>
      <w:r w:rsidR="006C680D" w:rsidRPr="00D337FA">
        <w:rPr>
          <w:szCs w:val="24"/>
        </w:rPr>
        <w:t xml:space="preserve"> </w:t>
      </w:r>
      <w:r w:rsidRPr="00D337FA">
        <w:rPr>
          <w:szCs w:val="24"/>
        </w:rPr>
        <w:t>копилку,</w:t>
      </w:r>
      <w:r w:rsidR="006C680D" w:rsidRPr="00D337FA">
        <w:rPr>
          <w:szCs w:val="24"/>
        </w:rPr>
        <w:t xml:space="preserve"> </w:t>
      </w:r>
      <w:r w:rsidRPr="00D337FA">
        <w:rPr>
          <w:szCs w:val="24"/>
        </w:rPr>
        <w:t>сервис</w:t>
      </w:r>
      <w:r w:rsidR="006C680D" w:rsidRPr="00D337FA">
        <w:rPr>
          <w:szCs w:val="24"/>
        </w:rPr>
        <w:t xml:space="preserve"> </w:t>
      </w:r>
      <w:r w:rsidRPr="00D337FA">
        <w:rPr>
          <w:szCs w:val="24"/>
        </w:rPr>
        <w:t>СМС-уведомлений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онлайн-инкассацию.</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развивает</w:t>
      </w:r>
      <w:r w:rsidR="006C680D" w:rsidRPr="00D337FA">
        <w:rPr>
          <w:szCs w:val="24"/>
        </w:rPr>
        <w:t xml:space="preserve"> </w:t>
      </w:r>
      <w:r w:rsidRPr="00D337FA">
        <w:rPr>
          <w:szCs w:val="24"/>
        </w:rPr>
        <w:t>интеграционные</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типа</w:t>
      </w:r>
      <w:r w:rsidR="006C680D" w:rsidRPr="00D337FA">
        <w:rPr>
          <w:szCs w:val="24"/>
        </w:rPr>
        <w:t xml:space="preserve"> </w:t>
      </w:r>
      <w:r w:rsidRPr="00D337FA">
        <w:rPr>
          <w:szCs w:val="24"/>
        </w:rPr>
        <w:t>«Банк-Клиент»</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предоставляет</w:t>
      </w:r>
      <w:r w:rsidR="006C680D" w:rsidRPr="00D337FA">
        <w:rPr>
          <w:szCs w:val="24"/>
        </w:rPr>
        <w:t xml:space="preserve"> </w:t>
      </w:r>
      <w:r w:rsidRPr="00D337FA">
        <w:rPr>
          <w:szCs w:val="24"/>
        </w:rPr>
        <w:t>доступ</w:t>
      </w:r>
      <w:r w:rsidR="006C680D" w:rsidRPr="00D337FA">
        <w:rPr>
          <w:szCs w:val="24"/>
        </w:rPr>
        <w:t xml:space="preserve"> </w:t>
      </w:r>
      <w:r w:rsidRPr="00D337FA">
        <w:rPr>
          <w:szCs w:val="24"/>
        </w:rPr>
        <w:t>к</w:t>
      </w:r>
      <w:r w:rsidR="006C680D" w:rsidRPr="00D337FA">
        <w:rPr>
          <w:szCs w:val="24"/>
        </w:rPr>
        <w:t xml:space="preserve"> </w:t>
      </w:r>
      <w:r w:rsidRPr="00D337FA">
        <w:rPr>
          <w:szCs w:val="24"/>
        </w:rPr>
        <w:t>телемедицине,</w:t>
      </w:r>
      <w:r w:rsidR="006C680D" w:rsidRPr="00D337FA">
        <w:rPr>
          <w:szCs w:val="24"/>
        </w:rPr>
        <w:t xml:space="preserve"> </w:t>
      </w:r>
      <w:r w:rsidRPr="00D337FA">
        <w:rPr>
          <w:szCs w:val="24"/>
        </w:rPr>
        <w:t>расширяя</w:t>
      </w:r>
      <w:r w:rsidR="006C680D" w:rsidRPr="00D337FA">
        <w:rPr>
          <w:szCs w:val="24"/>
        </w:rPr>
        <w:t xml:space="preserve"> </w:t>
      </w:r>
      <w:r w:rsidRPr="00D337FA">
        <w:rPr>
          <w:szCs w:val="24"/>
        </w:rPr>
        <w:t>тем</w:t>
      </w:r>
      <w:r w:rsidR="006C680D" w:rsidRPr="00D337FA">
        <w:rPr>
          <w:szCs w:val="24"/>
        </w:rPr>
        <w:t xml:space="preserve"> </w:t>
      </w:r>
      <w:r w:rsidRPr="00D337FA">
        <w:rPr>
          <w:szCs w:val="24"/>
        </w:rPr>
        <w:t>самым</w:t>
      </w:r>
      <w:r w:rsidR="006C680D" w:rsidRPr="00D337FA">
        <w:rPr>
          <w:szCs w:val="24"/>
        </w:rPr>
        <w:t xml:space="preserve"> </w:t>
      </w:r>
      <w:r w:rsidRPr="00D337FA">
        <w:rPr>
          <w:szCs w:val="24"/>
        </w:rPr>
        <w:t>спектр</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решений.</w:t>
      </w:r>
    </w:p>
    <w:p w:rsidR="00256E85" w:rsidRPr="00D337FA" w:rsidRDefault="00256E85" w:rsidP="00256E85">
      <w:pPr>
        <w:ind w:firstLine="284"/>
        <w:rPr>
          <w:szCs w:val="24"/>
        </w:rPr>
      </w:pPr>
      <w:r w:rsidRPr="00D337FA">
        <w:rPr>
          <w:szCs w:val="24"/>
        </w:rPr>
        <w:lastRenderedPageBreak/>
        <w:t>Важную</w:t>
      </w:r>
      <w:r w:rsidR="006C680D" w:rsidRPr="00D337FA">
        <w:rPr>
          <w:szCs w:val="24"/>
        </w:rPr>
        <w:t xml:space="preserve"> </w:t>
      </w:r>
      <w:r w:rsidRPr="00D337FA">
        <w:rPr>
          <w:szCs w:val="24"/>
        </w:rPr>
        <w:t>роль</w:t>
      </w:r>
      <w:r w:rsidR="006C680D" w:rsidRPr="00D337FA">
        <w:rPr>
          <w:szCs w:val="24"/>
        </w:rPr>
        <w:t xml:space="preserve"> </w:t>
      </w:r>
      <w:r w:rsidRPr="00D337FA">
        <w:rPr>
          <w:szCs w:val="24"/>
        </w:rPr>
        <w:t>в</w:t>
      </w:r>
      <w:r w:rsidR="006C680D" w:rsidRPr="00D337FA">
        <w:rPr>
          <w:szCs w:val="24"/>
        </w:rPr>
        <w:t xml:space="preserve"> </w:t>
      </w:r>
      <w:r w:rsidRPr="00D337FA">
        <w:rPr>
          <w:szCs w:val="24"/>
        </w:rPr>
        <w:t>цифровизации</w:t>
      </w:r>
      <w:r w:rsidR="006C680D" w:rsidRPr="00D337FA">
        <w:rPr>
          <w:szCs w:val="24"/>
        </w:rPr>
        <w:t xml:space="preserve"> </w:t>
      </w:r>
      <w:r w:rsidRPr="00D337FA">
        <w:rPr>
          <w:szCs w:val="24"/>
        </w:rPr>
        <w:t>играет</w:t>
      </w:r>
      <w:r w:rsidR="006C680D" w:rsidRPr="00D337FA">
        <w:rPr>
          <w:szCs w:val="24"/>
        </w:rPr>
        <w:t xml:space="preserve"> </w:t>
      </w:r>
      <w:r w:rsidRPr="00D337FA">
        <w:rPr>
          <w:szCs w:val="24"/>
        </w:rPr>
        <w:t>и</w:t>
      </w:r>
      <w:r w:rsidR="006C680D" w:rsidRPr="00D337FA">
        <w:rPr>
          <w:szCs w:val="24"/>
        </w:rPr>
        <w:t xml:space="preserve"> </w:t>
      </w:r>
      <w:r w:rsidRPr="00D337FA">
        <w:rPr>
          <w:szCs w:val="24"/>
        </w:rPr>
        <w:t>услуга</w:t>
      </w:r>
      <w:r w:rsidR="006C680D" w:rsidRPr="00D337FA">
        <w:rPr>
          <w:szCs w:val="24"/>
        </w:rPr>
        <w:t xml:space="preserve"> </w:t>
      </w:r>
      <w:r w:rsidRPr="00D337FA">
        <w:rPr>
          <w:szCs w:val="24"/>
        </w:rPr>
        <w:t>«Бухгалтерия»,</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в</w:t>
      </w:r>
      <w:r w:rsidR="006C680D" w:rsidRPr="00D337FA">
        <w:rPr>
          <w:szCs w:val="24"/>
        </w:rPr>
        <w:t xml:space="preserve"> </w:t>
      </w:r>
      <w:r w:rsidRPr="00D337FA">
        <w:rPr>
          <w:szCs w:val="24"/>
        </w:rPr>
        <w:t>сфере</w:t>
      </w:r>
      <w:r w:rsidR="006C680D" w:rsidRPr="00D337FA">
        <w:rPr>
          <w:szCs w:val="24"/>
        </w:rPr>
        <w:t xml:space="preserve"> </w:t>
      </w:r>
      <w:r w:rsidRPr="00D337FA">
        <w:rPr>
          <w:szCs w:val="24"/>
        </w:rPr>
        <w:t>автоматизации</w:t>
      </w:r>
      <w:r w:rsidR="006C680D" w:rsidRPr="00D337FA">
        <w:rPr>
          <w:szCs w:val="24"/>
        </w:rPr>
        <w:t xml:space="preserve"> </w:t>
      </w:r>
      <w:r w:rsidRPr="00D337FA">
        <w:rPr>
          <w:szCs w:val="24"/>
        </w:rPr>
        <w:t>документооборота</w:t>
      </w:r>
      <w:r w:rsidR="006C680D" w:rsidRPr="00D337FA">
        <w:rPr>
          <w:szCs w:val="24"/>
        </w:rPr>
        <w:t xml:space="preserve"> </w:t>
      </w:r>
      <w:r w:rsidRPr="00D337FA">
        <w:rPr>
          <w:szCs w:val="24"/>
        </w:rPr>
        <w:t>и</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с</w:t>
      </w:r>
      <w:r w:rsidR="006C680D" w:rsidRPr="00D337FA">
        <w:rPr>
          <w:szCs w:val="24"/>
        </w:rPr>
        <w:t xml:space="preserve"> </w:t>
      </w:r>
      <w:r w:rsidRPr="00D337FA">
        <w:rPr>
          <w:szCs w:val="24"/>
        </w:rPr>
        <w:t>программами</w:t>
      </w:r>
      <w:r w:rsidR="006C680D" w:rsidRPr="00D337FA">
        <w:rPr>
          <w:szCs w:val="24"/>
        </w:rPr>
        <w:t xml:space="preserve"> </w:t>
      </w:r>
      <w:r w:rsidRPr="00D337FA">
        <w:rPr>
          <w:szCs w:val="24"/>
        </w:rPr>
        <w:t>1С.</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банках</w:t>
      </w:r>
      <w:r w:rsidR="006C680D" w:rsidRPr="00D337FA">
        <w:rPr>
          <w:szCs w:val="24"/>
        </w:rPr>
        <w:t xml:space="preserve"> </w:t>
      </w:r>
      <w:r w:rsidRPr="00D337FA">
        <w:rPr>
          <w:szCs w:val="24"/>
        </w:rPr>
        <w:t>доступны</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формы</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как</w:t>
      </w:r>
      <w:r w:rsidR="006C680D" w:rsidRPr="00D337FA">
        <w:rPr>
          <w:szCs w:val="24"/>
        </w:rPr>
        <w:t xml:space="preserve"> </w:t>
      </w:r>
      <w:r w:rsidRPr="00D337FA">
        <w:rPr>
          <w:szCs w:val="24"/>
        </w:rPr>
        <w:t>«1С:</w:t>
      </w:r>
      <w:r w:rsidR="006C680D" w:rsidRPr="00D337FA">
        <w:rPr>
          <w:szCs w:val="24"/>
        </w:rPr>
        <w:t xml:space="preserve"> </w:t>
      </w:r>
      <w:r w:rsidRPr="00D337FA">
        <w:rPr>
          <w:szCs w:val="24"/>
        </w:rPr>
        <w:t>ДиректБанк»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аутсорсинг</w:t>
      </w:r>
      <w:r w:rsidR="006C680D" w:rsidRPr="00D337FA">
        <w:rPr>
          <w:szCs w:val="24"/>
        </w:rPr>
        <w:t xml:space="preserve"> </w:t>
      </w:r>
      <w:r w:rsidRPr="00D337FA">
        <w:rPr>
          <w:szCs w:val="24"/>
        </w:rPr>
        <w:t>бухгалтерских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Это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малым</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снизить</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на</w:t>
      </w:r>
      <w:r w:rsidR="006C680D" w:rsidRPr="00D337FA">
        <w:rPr>
          <w:szCs w:val="24"/>
        </w:rPr>
        <w:t xml:space="preserve"> </w:t>
      </w:r>
      <w:r w:rsidRPr="00D337FA">
        <w:rPr>
          <w:szCs w:val="24"/>
        </w:rPr>
        <w:t>содержание</w:t>
      </w:r>
      <w:r w:rsidR="006C680D" w:rsidRPr="00D337FA">
        <w:rPr>
          <w:szCs w:val="24"/>
        </w:rPr>
        <w:t xml:space="preserve"> </w:t>
      </w:r>
      <w:r w:rsidRPr="00D337FA">
        <w:rPr>
          <w:szCs w:val="24"/>
        </w:rPr>
        <w:t>бухгалтерского</w:t>
      </w:r>
      <w:r w:rsidR="006C680D" w:rsidRPr="00D337FA">
        <w:rPr>
          <w:szCs w:val="24"/>
        </w:rPr>
        <w:t xml:space="preserve"> </w:t>
      </w:r>
      <w:r w:rsidRPr="00D337FA">
        <w:rPr>
          <w:szCs w:val="24"/>
        </w:rPr>
        <w:t>штата</w:t>
      </w:r>
      <w:r w:rsidR="006C680D" w:rsidRPr="00D337FA">
        <w:rPr>
          <w:szCs w:val="24"/>
        </w:rPr>
        <w:t xml:space="preserve"> </w:t>
      </w:r>
      <w:r w:rsidRPr="00D337FA">
        <w:rPr>
          <w:szCs w:val="24"/>
        </w:rPr>
        <w:t>и</w:t>
      </w:r>
      <w:r w:rsidR="006C680D" w:rsidRPr="00D337FA">
        <w:rPr>
          <w:szCs w:val="24"/>
        </w:rPr>
        <w:t xml:space="preserve"> </w:t>
      </w:r>
      <w:r w:rsidRPr="00D337FA">
        <w:rPr>
          <w:szCs w:val="24"/>
        </w:rPr>
        <w:t>обеспечить</w:t>
      </w:r>
      <w:r w:rsidR="006C680D" w:rsidRPr="00D337FA">
        <w:rPr>
          <w:szCs w:val="24"/>
        </w:rPr>
        <w:t xml:space="preserve"> </w:t>
      </w:r>
      <w:r w:rsidRPr="00D337FA">
        <w:rPr>
          <w:szCs w:val="24"/>
        </w:rPr>
        <w:t>своевременную</w:t>
      </w:r>
      <w:r w:rsidR="006C680D" w:rsidRPr="00D337FA">
        <w:rPr>
          <w:szCs w:val="24"/>
        </w:rPr>
        <w:t xml:space="preserve"> </w:t>
      </w:r>
      <w:r w:rsidRPr="00D337FA">
        <w:rPr>
          <w:szCs w:val="24"/>
        </w:rPr>
        <w:t>отчетность.</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такую</w:t>
      </w:r>
      <w:r w:rsidR="006C680D" w:rsidRPr="00D337FA">
        <w:rPr>
          <w:szCs w:val="24"/>
        </w:rPr>
        <w:t xml:space="preserve"> </w:t>
      </w:r>
      <w:r w:rsidRPr="00D337FA">
        <w:rPr>
          <w:szCs w:val="24"/>
        </w:rPr>
        <w:t>услугу</w:t>
      </w:r>
      <w:r w:rsidR="006C680D" w:rsidRPr="00D337FA">
        <w:rPr>
          <w:szCs w:val="24"/>
        </w:rPr>
        <w:t xml:space="preserve"> </w:t>
      </w:r>
      <w:r w:rsidRPr="00D337FA">
        <w:rPr>
          <w:szCs w:val="24"/>
        </w:rPr>
        <w:t>в</w:t>
      </w:r>
      <w:r w:rsidR="006C680D" w:rsidRPr="00D337FA">
        <w:rPr>
          <w:szCs w:val="24"/>
        </w:rPr>
        <w:t xml:space="preserve"> </w:t>
      </w:r>
      <w:r w:rsidRPr="00D337FA">
        <w:rPr>
          <w:szCs w:val="24"/>
        </w:rPr>
        <w:t>настоящее</w:t>
      </w:r>
      <w:r w:rsidR="006C680D" w:rsidRPr="00D337FA">
        <w:rPr>
          <w:szCs w:val="24"/>
        </w:rPr>
        <w:t xml:space="preserve"> </w:t>
      </w:r>
      <w:r w:rsidRPr="00D337FA">
        <w:rPr>
          <w:szCs w:val="24"/>
        </w:rPr>
        <w:t>время</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не</w:t>
      </w:r>
      <w:r w:rsidR="006C680D" w:rsidRPr="00D337FA">
        <w:rPr>
          <w:szCs w:val="24"/>
        </w:rPr>
        <w:t xml:space="preserve"> </w:t>
      </w:r>
      <w:r w:rsidRPr="00D337FA">
        <w:rPr>
          <w:szCs w:val="24"/>
        </w:rPr>
        <w:t>все</w:t>
      </w:r>
      <w:r w:rsidR="006C680D" w:rsidRPr="00D337FA">
        <w:rPr>
          <w:szCs w:val="24"/>
        </w:rPr>
        <w:t xml:space="preserve"> </w:t>
      </w:r>
      <w:r w:rsidRPr="00D337FA">
        <w:rPr>
          <w:szCs w:val="24"/>
        </w:rPr>
        <w:t>банки.</w:t>
      </w:r>
    </w:p>
    <w:p w:rsidR="00256E85" w:rsidRPr="00D337FA" w:rsidRDefault="00256E85" w:rsidP="00256E85">
      <w:pPr>
        <w:ind w:firstLine="284"/>
        <w:rPr>
          <w:szCs w:val="24"/>
        </w:rPr>
      </w:pP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зарплатных</w:t>
      </w:r>
      <w:r w:rsidR="006C680D" w:rsidRPr="00D337FA">
        <w:rPr>
          <w:szCs w:val="24"/>
        </w:rPr>
        <w:t xml:space="preserve"> </w:t>
      </w:r>
      <w:r w:rsidRPr="00D337FA">
        <w:rPr>
          <w:szCs w:val="24"/>
        </w:rPr>
        <w:t>проектов</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удобную</w:t>
      </w:r>
      <w:r w:rsidR="006C680D" w:rsidRPr="00D337FA">
        <w:rPr>
          <w:szCs w:val="24"/>
        </w:rPr>
        <w:t xml:space="preserve"> </w:t>
      </w:r>
      <w:r w:rsidRPr="00D337FA">
        <w:rPr>
          <w:szCs w:val="24"/>
        </w:rPr>
        <w:t>загрузку</w:t>
      </w:r>
      <w:r w:rsidR="006C680D" w:rsidRPr="00D337FA">
        <w:rPr>
          <w:szCs w:val="24"/>
        </w:rPr>
        <w:t xml:space="preserve"> </w:t>
      </w:r>
      <w:r w:rsidRPr="00D337FA">
        <w:rPr>
          <w:szCs w:val="24"/>
        </w:rPr>
        <w:t>зарплатных</w:t>
      </w:r>
      <w:r w:rsidR="006C680D" w:rsidRPr="00D337FA">
        <w:rPr>
          <w:szCs w:val="24"/>
        </w:rPr>
        <w:t xml:space="preserve"> </w:t>
      </w:r>
      <w:r w:rsidRPr="00D337FA">
        <w:rPr>
          <w:szCs w:val="24"/>
        </w:rPr>
        <w:t>ведомостей</w:t>
      </w:r>
      <w:r w:rsidR="006C680D" w:rsidRPr="00D337FA">
        <w:rPr>
          <w:szCs w:val="24"/>
        </w:rPr>
        <w:t xml:space="preserve"> </w:t>
      </w:r>
      <w:r w:rsidRPr="00D337FA">
        <w:rPr>
          <w:szCs w:val="24"/>
        </w:rPr>
        <w:t>в</w:t>
      </w:r>
      <w:r w:rsidR="006C680D" w:rsidRPr="00D337FA">
        <w:rPr>
          <w:szCs w:val="24"/>
        </w:rPr>
        <w:t xml:space="preserve"> </w:t>
      </w:r>
      <w:r w:rsidRPr="00D337FA">
        <w:rPr>
          <w:szCs w:val="24"/>
        </w:rPr>
        <w:t>личном</w:t>
      </w:r>
      <w:r w:rsidR="006C680D" w:rsidRPr="00D337FA">
        <w:rPr>
          <w:szCs w:val="24"/>
        </w:rPr>
        <w:t xml:space="preserve"> </w:t>
      </w:r>
      <w:r w:rsidRPr="00D337FA">
        <w:rPr>
          <w:szCs w:val="24"/>
        </w:rPr>
        <w:t>кабинете,</w:t>
      </w:r>
      <w:r w:rsidR="006C680D" w:rsidRPr="00D337FA">
        <w:rPr>
          <w:szCs w:val="24"/>
        </w:rPr>
        <w:t xml:space="preserve"> </w:t>
      </w:r>
      <w:r w:rsidRPr="00D337FA">
        <w:rPr>
          <w:szCs w:val="24"/>
        </w:rPr>
        <w:t>мгновенные</w:t>
      </w:r>
      <w:r w:rsidR="006C680D" w:rsidRPr="00D337FA">
        <w:rPr>
          <w:szCs w:val="24"/>
        </w:rPr>
        <w:t xml:space="preserve"> </w:t>
      </w:r>
      <w:r w:rsidRPr="00D337FA">
        <w:rPr>
          <w:szCs w:val="24"/>
        </w:rPr>
        <w:t>переводы</w:t>
      </w:r>
      <w:r w:rsidR="006C680D" w:rsidRPr="00D337FA">
        <w:rPr>
          <w:szCs w:val="24"/>
        </w:rPr>
        <w:t xml:space="preserve"> </w:t>
      </w:r>
      <w:r w:rsidRPr="00D337FA">
        <w:rPr>
          <w:szCs w:val="24"/>
        </w:rPr>
        <w:t>и</w:t>
      </w:r>
      <w:r w:rsidR="006C680D" w:rsidRPr="00D337FA">
        <w:rPr>
          <w:szCs w:val="24"/>
        </w:rPr>
        <w:t xml:space="preserve"> </w:t>
      </w:r>
      <w:r w:rsidRPr="00D337FA">
        <w:rPr>
          <w:szCs w:val="24"/>
        </w:rPr>
        <w:t>интеграцию</w:t>
      </w:r>
      <w:r w:rsidR="006C680D" w:rsidRPr="00D337FA">
        <w:rPr>
          <w:szCs w:val="24"/>
        </w:rPr>
        <w:t xml:space="preserve"> </w:t>
      </w:r>
      <w:r w:rsidRPr="00D337FA">
        <w:rPr>
          <w:szCs w:val="24"/>
        </w:rPr>
        <w:t>с</w:t>
      </w:r>
      <w:r w:rsidR="006C680D" w:rsidRPr="00D337FA">
        <w:rPr>
          <w:szCs w:val="24"/>
        </w:rPr>
        <w:t xml:space="preserve"> </w:t>
      </w:r>
      <w:r w:rsidRPr="00D337FA">
        <w:rPr>
          <w:szCs w:val="24"/>
        </w:rPr>
        <w:t>бухгалтерскими</w:t>
      </w:r>
      <w:r w:rsidR="006C680D" w:rsidRPr="00D337FA">
        <w:rPr>
          <w:szCs w:val="24"/>
        </w:rPr>
        <w:t xml:space="preserve"> </w:t>
      </w:r>
      <w:r w:rsidRPr="00D337FA">
        <w:rPr>
          <w:szCs w:val="24"/>
        </w:rPr>
        <w:t>программами.</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развиты</w:t>
      </w:r>
      <w:r w:rsidR="006C680D" w:rsidRPr="00D337FA">
        <w:rPr>
          <w:szCs w:val="24"/>
        </w:rPr>
        <w:t xml:space="preserve"> </w:t>
      </w:r>
      <w:r w:rsidRPr="00D337FA">
        <w:rPr>
          <w:szCs w:val="24"/>
        </w:rPr>
        <w:t>подобные</w:t>
      </w:r>
      <w:r w:rsidR="006C680D" w:rsidRPr="00D337FA">
        <w:rPr>
          <w:szCs w:val="24"/>
        </w:rPr>
        <w:t xml:space="preserve"> </w:t>
      </w:r>
      <w:r w:rsidRPr="00D337FA">
        <w:rPr>
          <w:szCs w:val="24"/>
        </w:rPr>
        <w:t>функции</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Банке</w:t>
      </w:r>
      <w:r w:rsidR="006C680D" w:rsidRPr="00D337FA">
        <w:rPr>
          <w:szCs w:val="24"/>
        </w:rPr>
        <w:t xml:space="preserve"> </w:t>
      </w:r>
      <w:r w:rsidRPr="00D337FA">
        <w:rPr>
          <w:szCs w:val="24"/>
        </w:rPr>
        <w:t>ГПБ</w:t>
      </w:r>
      <w:r w:rsidR="006C680D" w:rsidRPr="00D337FA">
        <w:rPr>
          <w:szCs w:val="24"/>
        </w:rPr>
        <w:t xml:space="preserve"> </w:t>
      </w:r>
      <w:r w:rsidRPr="00D337FA">
        <w:rPr>
          <w:szCs w:val="24"/>
        </w:rPr>
        <w:t>(ПАО),</w:t>
      </w:r>
      <w:r w:rsidR="006C680D" w:rsidRPr="00D337FA">
        <w:rPr>
          <w:szCs w:val="24"/>
        </w:rPr>
        <w:t xml:space="preserve"> </w:t>
      </w:r>
      <w:r w:rsidRPr="00D337FA">
        <w:rPr>
          <w:szCs w:val="24"/>
        </w:rPr>
        <w:t>ПАО</w:t>
      </w:r>
      <w:r w:rsidR="006C680D" w:rsidRPr="00D337FA">
        <w:rPr>
          <w:szCs w:val="24"/>
        </w:rPr>
        <w:t xml:space="preserve"> </w:t>
      </w:r>
      <w:r w:rsidRPr="00D337FA">
        <w:rPr>
          <w:szCs w:val="24"/>
        </w:rPr>
        <w:t>«Совкомбанк»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p>
    <w:p w:rsidR="00256E85" w:rsidRPr="00D337FA" w:rsidRDefault="00256E85" w:rsidP="00256E85">
      <w:pPr>
        <w:ind w:firstLine="284"/>
        <w:rPr>
          <w:szCs w:val="24"/>
        </w:rPr>
      </w:pPr>
      <w:r w:rsidRPr="00D337FA">
        <w:rPr>
          <w:szCs w:val="24"/>
        </w:rPr>
        <w:t>Наименее</w:t>
      </w:r>
      <w:r w:rsidR="006C680D" w:rsidRPr="00D337FA">
        <w:rPr>
          <w:szCs w:val="24"/>
        </w:rPr>
        <w:t xml:space="preserve"> </w:t>
      </w:r>
      <w:r w:rsidRPr="00D337FA">
        <w:rPr>
          <w:szCs w:val="24"/>
        </w:rPr>
        <w:t>развитой</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банковской</w:t>
      </w:r>
      <w:r w:rsidR="006C680D" w:rsidRPr="00D337FA">
        <w:rPr>
          <w:szCs w:val="24"/>
        </w:rPr>
        <w:t xml:space="preserve"> </w:t>
      </w:r>
      <w:r w:rsidRPr="00D337FA">
        <w:rPr>
          <w:szCs w:val="24"/>
        </w:rPr>
        <w:t>услугой</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остаются</w:t>
      </w:r>
      <w:r w:rsidR="006C680D" w:rsidRPr="00D337FA">
        <w:rPr>
          <w:szCs w:val="24"/>
        </w:rPr>
        <w:t xml:space="preserve"> </w:t>
      </w:r>
      <w:r w:rsidRPr="00D337FA">
        <w:rPr>
          <w:szCs w:val="24"/>
        </w:rPr>
        <w:t>собственные</w:t>
      </w:r>
      <w:r w:rsidR="006C680D" w:rsidRPr="00D337FA">
        <w:rPr>
          <w:szCs w:val="24"/>
        </w:rPr>
        <w:t xml:space="preserve"> </w:t>
      </w:r>
      <w:r w:rsidRPr="00D337FA">
        <w:rPr>
          <w:szCs w:val="24"/>
        </w:rPr>
        <w:t>специализированные</w:t>
      </w:r>
      <w:r w:rsidR="006C680D" w:rsidRPr="00D337FA">
        <w:rPr>
          <w:szCs w:val="24"/>
        </w:rPr>
        <w:t xml:space="preserve"> </w:t>
      </w:r>
      <w:r w:rsidRPr="00D337FA">
        <w:rPr>
          <w:szCs w:val="24"/>
        </w:rPr>
        <w:t>маркетплейсы</w:t>
      </w:r>
      <w:r w:rsidR="006C680D" w:rsidRPr="00D337FA">
        <w:rPr>
          <w:szCs w:val="24"/>
        </w:rPr>
        <w:t xml:space="preserve"> </w:t>
      </w:r>
      <w:r w:rsidRPr="00D337FA">
        <w:rPr>
          <w:szCs w:val="24"/>
        </w:rPr>
        <w:t>банков.</w:t>
      </w:r>
      <w:r w:rsidR="006C680D" w:rsidRPr="00D337FA">
        <w:rPr>
          <w:szCs w:val="24"/>
        </w:rPr>
        <w:t xml:space="preserve">  </w:t>
      </w:r>
    </w:p>
    <w:p w:rsidR="00A53D60" w:rsidRDefault="00256E85" w:rsidP="00A53D60">
      <w:pPr>
        <w:ind w:firstLine="284"/>
        <w:rPr>
          <w:sz w:val="28"/>
          <w:szCs w:val="28"/>
        </w:rPr>
      </w:pPr>
      <w:r w:rsidRPr="00D337FA">
        <w:rPr>
          <w:szCs w:val="24"/>
        </w:rPr>
        <w:t>Наличие</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ориентированных</w:t>
      </w:r>
      <w:r w:rsidR="006C680D" w:rsidRPr="00D337FA">
        <w:rPr>
          <w:szCs w:val="24"/>
        </w:rPr>
        <w:t xml:space="preserve"> </w:t>
      </w:r>
      <w:r w:rsidRPr="00D337FA">
        <w:rPr>
          <w:szCs w:val="24"/>
        </w:rPr>
        <w:t>на</w:t>
      </w:r>
      <w:r w:rsidR="006C680D" w:rsidRPr="00D337FA">
        <w:rPr>
          <w:szCs w:val="24"/>
        </w:rPr>
        <w:t xml:space="preserve"> </w:t>
      </w:r>
      <w:r w:rsidRPr="00D337FA">
        <w:rPr>
          <w:szCs w:val="24"/>
        </w:rPr>
        <w:t>потребности</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12</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значимых</w:t>
      </w:r>
      <w:r w:rsidR="006C680D" w:rsidRPr="00D337FA">
        <w:rPr>
          <w:szCs w:val="24"/>
        </w:rPr>
        <w:t xml:space="preserve"> </w:t>
      </w:r>
      <w:r w:rsidRPr="00D337FA">
        <w:rPr>
          <w:szCs w:val="24"/>
        </w:rPr>
        <w:t>банках</w:t>
      </w:r>
      <w:r w:rsidR="006C680D" w:rsidRPr="00D337FA">
        <w:rPr>
          <w:szCs w:val="24"/>
        </w:rPr>
        <w:t xml:space="preserve"> </w:t>
      </w:r>
      <w:r w:rsidRPr="00D337FA">
        <w:rPr>
          <w:szCs w:val="24"/>
        </w:rPr>
        <w:t>России</w:t>
      </w:r>
      <w:r w:rsidR="006C680D" w:rsidRPr="00D337FA">
        <w:rPr>
          <w:szCs w:val="24"/>
        </w:rPr>
        <w:t xml:space="preserve"> </w:t>
      </w:r>
      <w:r w:rsidRPr="00D337FA">
        <w:rPr>
          <w:szCs w:val="24"/>
        </w:rPr>
        <w:t>наглядно</w:t>
      </w:r>
      <w:r w:rsidR="006C680D" w:rsidRPr="00D337FA">
        <w:rPr>
          <w:szCs w:val="24"/>
        </w:rPr>
        <w:t xml:space="preserve"> </w:t>
      </w:r>
      <w:r w:rsidRPr="00D337FA">
        <w:rPr>
          <w:szCs w:val="24"/>
        </w:rPr>
        <w:t>представлено</w:t>
      </w:r>
      <w:r w:rsidR="006C680D" w:rsidRPr="00D337FA">
        <w:rPr>
          <w:szCs w:val="24"/>
        </w:rPr>
        <w:t xml:space="preserve"> </w:t>
      </w:r>
      <w:r w:rsidRPr="00D337FA">
        <w:rPr>
          <w:szCs w:val="24"/>
        </w:rPr>
        <w:t>на</w:t>
      </w:r>
      <w:r w:rsidR="006C680D" w:rsidRPr="00D337FA">
        <w:rPr>
          <w:szCs w:val="24"/>
        </w:rPr>
        <w:t xml:space="preserve"> </w:t>
      </w:r>
      <w:r w:rsidRPr="00D337FA">
        <w:rPr>
          <w:szCs w:val="24"/>
        </w:rPr>
        <w:t>рис.</w:t>
      </w:r>
      <w:r w:rsidR="006C680D" w:rsidRPr="00D337FA">
        <w:rPr>
          <w:szCs w:val="24"/>
        </w:rPr>
        <w:t xml:space="preserve"> </w:t>
      </w:r>
      <w:r w:rsidRPr="00D337FA">
        <w:rPr>
          <w:szCs w:val="24"/>
        </w:rPr>
        <w:t>2.</w:t>
      </w:r>
    </w:p>
    <w:p w:rsidR="00A53D60" w:rsidRPr="00D337FA" w:rsidRDefault="00A53D60" w:rsidP="00256E85">
      <w:pPr>
        <w:ind w:firstLine="709"/>
        <w:rPr>
          <w:sz w:val="28"/>
          <w:szCs w:val="28"/>
        </w:rPr>
        <w:sectPr w:rsidR="00A53D60" w:rsidRPr="00D337FA" w:rsidSect="00256E85">
          <w:footnotePr>
            <w:numRestart w:val="eachPage"/>
          </w:footnotePr>
          <w:type w:val="continuous"/>
          <w:pgSz w:w="11907" w:h="16840" w:code="9"/>
          <w:pgMar w:top="1418" w:right="1134" w:bottom="1418" w:left="1134" w:header="1021" w:footer="1021" w:gutter="0"/>
          <w:cols w:num="2" w:space="708"/>
          <w:docGrid w:linePitch="360"/>
        </w:sectPr>
      </w:pPr>
    </w:p>
    <w:p w:rsidR="00B706E9" w:rsidRPr="00D337FA" w:rsidRDefault="00256E85" w:rsidP="00256E85">
      <w:pPr>
        <w:tabs>
          <w:tab w:val="center" w:pos="4677"/>
        </w:tabs>
        <w:ind w:firstLine="0"/>
        <w:jc w:val="center"/>
        <w:rPr>
          <w:rFonts w:ascii="Arial CYR" w:hAnsi="Arial CYR" w:cs="Arial CYR"/>
          <w:b/>
          <w:bCs/>
          <w:i/>
          <w:iCs/>
          <w:caps/>
          <w:szCs w:val="24"/>
          <w:u w:val="single"/>
          <w:lang w:eastAsia="ru-RU"/>
        </w:rPr>
      </w:pPr>
      <w:r w:rsidRPr="00D337FA">
        <w:rPr>
          <w:noProof/>
          <w:sz w:val="28"/>
          <w:szCs w:val="28"/>
          <w:lang w:eastAsia="ru-RU"/>
        </w:rPr>
        <w:lastRenderedPageBreak/>
        <w:drawing>
          <wp:inline distT="0" distB="0" distL="0" distR="0" wp14:anchorId="4ABC239C" wp14:editId="2EAEE1A1">
            <wp:extent cx="4805888" cy="2258705"/>
            <wp:effectExtent l="0" t="0" r="0" b="82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53D60" w:rsidRDefault="00A53D60" w:rsidP="00256E85">
      <w:pPr>
        <w:jc w:val="center"/>
        <w:rPr>
          <w:rFonts w:ascii="Arial" w:hAnsi="Arial" w:cs="Arial"/>
          <w:i/>
          <w:sz w:val="22"/>
          <w:szCs w:val="22"/>
        </w:rPr>
      </w:pPr>
    </w:p>
    <w:p w:rsidR="00F40B92" w:rsidRDefault="00256E85" w:rsidP="00256E85">
      <w:pPr>
        <w:jc w:val="center"/>
        <w:rPr>
          <w:rFonts w:ascii="Arial" w:hAnsi="Arial" w:cs="Arial"/>
          <w:i/>
          <w:sz w:val="22"/>
          <w:szCs w:val="22"/>
        </w:rPr>
      </w:pPr>
      <w:r w:rsidRPr="00D337FA">
        <w:rPr>
          <w:rFonts w:ascii="Arial" w:hAnsi="Arial" w:cs="Arial"/>
          <w:i/>
          <w:sz w:val="22"/>
          <w:szCs w:val="22"/>
        </w:rPr>
        <w:t>Рис.</w:t>
      </w:r>
      <w:r w:rsidR="006C680D" w:rsidRPr="00D337FA">
        <w:rPr>
          <w:rFonts w:ascii="Arial" w:hAnsi="Arial" w:cs="Arial"/>
          <w:i/>
          <w:sz w:val="22"/>
          <w:szCs w:val="22"/>
        </w:rPr>
        <w:t xml:space="preserve"> </w:t>
      </w:r>
      <w:r w:rsidRPr="00D337FA">
        <w:rPr>
          <w:rFonts w:ascii="Arial" w:hAnsi="Arial" w:cs="Arial"/>
          <w:i/>
          <w:sz w:val="22"/>
          <w:szCs w:val="22"/>
        </w:rPr>
        <w:t>2.</w:t>
      </w:r>
      <w:r w:rsidR="006C680D" w:rsidRPr="00D337FA">
        <w:rPr>
          <w:rFonts w:ascii="Arial" w:hAnsi="Arial" w:cs="Arial"/>
          <w:i/>
          <w:sz w:val="22"/>
          <w:szCs w:val="22"/>
        </w:rPr>
        <w:t xml:space="preserve"> </w:t>
      </w:r>
      <w:r w:rsidRPr="00D337FA">
        <w:rPr>
          <w:rFonts w:ascii="Arial" w:hAnsi="Arial" w:cs="Arial"/>
          <w:i/>
          <w:sz w:val="22"/>
          <w:szCs w:val="22"/>
        </w:rPr>
        <w:t>Наличие</w:t>
      </w:r>
      <w:r w:rsidR="006C680D" w:rsidRPr="00D337FA">
        <w:rPr>
          <w:rFonts w:ascii="Arial" w:hAnsi="Arial" w:cs="Arial"/>
          <w:i/>
          <w:sz w:val="22"/>
          <w:szCs w:val="22"/>
        </w:rPr>
        <w:t xml:space="preserve"> </w:t>
      </w:r>
      <w:r w:rsidRPr="00D337FA">
        <w:rPr>
          <w:rFonts w:ascii="Arial" w:hAnsi="Arial" w:cs="Arial"/>
          <w:i/>
          <w:sz w:val="22"/>
          <w:szCs w:val="22"/>
        </w:rPr>
        <w:t>цифровых</w:t>
      </w:r>
      <w:r w:rsidR="006C680D" w:rsidRPr="00D337FA">
        <w:rPr>
          <w:rFonts w:ascii="Arial" w:hAnsi="Arial" w:cs="Arial"/>
          <w:i/>
          <w:sz w:val="22"/>
          <w:szCs w:val="22"/>
        </w:rPr>
        <w:t xml:space="preserve"> </w:t>
      </w:r>
      <w:r w:rsidRPr="00D337FA">
        <w:rPr>
          <w:rFonts w:ascii="Arial" w:hAnsi="Arial" w:cs="Arial"/>
          <w:i/>
          <w:sz w:val="22"/>
          <w:szCs w:val="22"/>
        </w:rPr>
        <w:t>банковских</w:t>
      </w:r>
      <w:r w:rsidR="006C680D" w:rsidRPr="00D337FA">
        <w:rPr>
          <w:rFonts w:ascii="Arial" w:hAnsi="Arial" w:cs="Arial"/>
          <w:i/>
          <w:sz w:val="22"/>
          <w:szCs w:val="22"/>
        </w:rPr>
        <w:t xml:space="preserve"> </w:t>
      </w:r>
      <w:r w:rsidRPr="00D337FA">
        <w:rPr>
          <w:rFonts w:ascii="Arial" w:hAnsi="Arial" w:cs="Arial"/>
          <w:i/>
          <w:sz w:val="22"/>
          <w:szCs w:val="22"/>
        </w:rPr>
        <w:t>услуг</w:t>
      </w:r>
      <w:r w:rsidR="006C680D" w:rsidRPr="00D337FA">
        <w:rPr>
          <w:rFonts w:ascii="Arial" w:hAnsi="Arial" w:cs="Arial"/>
          <w:i/>
          <w:sz w:val="22"/>
          <w:szCs w:val="22"/>
        </w:rPr>
        <w:t xml:space="preserve"> </w:t>
      </w:r>
      <w:r w:rsidRPr="00D337FA">
        <w:rPr>
          <w:rFonts w:ascii="Arial" w:hAnsi="Arial" w:cs="Arial"/>
          <w:i/>
          <w:sz w:val="22"/>
          <w:szCs w:val="22"/>
        </w:rPr>
        <w:t>для</w:t>
      </w:r>
      <w:r w:rsidR="006C680D" w:rsidRPr="00D337FA">
        <w:rPr>
          <w:rFonts w:ascii="Arial" w:hAnsi="Arial" w:cs="Arial"/>
          <w:i/>
          <w:sz w:val="22"/>
          <w:szCs w:val="22"/>
        </w:rPr>
        <w:t xml:space="preserve"> </w:t>
      </w:r>
      <w:r w:rsidRPr="00D337FA">
        <w:rPr>
          <w:rFonts w:ascii="Arial" w:hAnsi="Arial" w:cs="Arial"/>
          <w:i/>
          <w:sz w:val="22"/>
          <w:szCs w:val="22"/>
        </w:rPr>
        <w:t>предприятий</w:t>
      </w:r>
      <w:r w:rsidR="006C680D" w:rsidRPr="00D337FA">
        <w:rPr>
          <w:rFonts w:ascii="Arial" w:hAnsi="Arial" w:cs="Arial"/>
          <w:i/>
          <w:sz w:val="22"/>
          <w:szCs w:val="22"/>
        </w:rPr>
        <w:t xml:space="preserve"> </w:t>
      </w:r>
      <w:r w:rsidRPr="00D337FA">
        <w:rPr>
          <w:rFonts w:ascii="Arial" w:hAnsi="Arial" w:cs="Arial"/>
          <w:i/>
          <w:sz w:val="22"/>
          <w:szCs w:val="22"/>
        </w:rPr>
        <w:t>малого</w:t>
      </w:r>
      <w:r w:rsidR="006C680D" w:rsidRPr="00D337FA">
        <w:rPr>
          <w:rFonts w:ascii="Arial" w:hAnsi="Arial" w:cs="Arial"/>
          <w:i/>
          <w:sz w:val="22"/>
          <w:szCs w:val="22"/>
        </w:rPr>
        <w:t xml:space="preserve"> </w:t>
      </w:r>
      <w:r w:rsidRPr="00D337FA">
        <w:rPr>
          <w:rFonts w:ascii="Arial" w:hAnsi="Arial" w:cs="Arial"/>
          <w:i/>
          <w:sz w:val="22"/>
          <w:szCs w:val="22"/>
        </w:rPr>
        <w:t>бизнеса</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системно</w:t>
      </w:r>
      <w:r w:rsidR="006C680D" w:rsidRPr="00D337FA">
        <w:rPr>
          <w:rFonts w:ascii="Arial" w:hAnsi="Arial" w:cs="Arial"/>
          <w:i/>
          <w:sz w:val="22"/>
          <w:szCs w:val="22"/>
        </w:rPr>
        <w:t xml:space="preserve"> </w:t>
      </w:r>
      <w:r w:rsidRPr="00D337FA">
        <w:rPr>
          <w:rFonts w:ascii="Arial" w:hAnsi="Arial" w:cs="Arial"/>
          <w:i/>
          <w:sz w:val="22"/>
          <w:szCs w:val="22"/>
        </w:rPr>
        <w:t>значимых</w:t>
      </w:r>
      <w:r w:rsidR="006C680D" w:rsidRPr="00D337FA">
        <w:rPr>
          <w:rFonts w:ascii="Arial" w:hAnsi="Arial" w:cs="Arial"/>
          <w:i/>
          <w:sz w:val="22"/>
          <w:szCs w:val="22"/>
        </w:rPr>
        <w:t xml:space="preserve"> </w:t>
      </w:r>
      <w:r w:rsidRPr="00D337FA">
        <w:rPr>
          <w:rFonts w:ascii="Arial" w:hAnsi="Arial" w:cs="Arial"/>
          <w:i/>
          <w:sz w:val="22"/>
          <w:szCs w:val="22"/>
        </w:rPr>
        <w:t>банках</w:t>
      </w:r>
      <w:r w:rsidR="006C680D" w:rsidRPr="00D337FA">
        <w:rPr>
          <w:rFonts w:ascii="Arial" w:hAnsi="Arial" w:cs="Arial"/>
          <w:i/>
          <w:sz w:val="22"/>
          <w:szCs w:val="22"/>
        </w:rPr>
        <w:t xml:space="preserve"> </w:t>
      </w:r>
      <w:r w:rsidRPr="00D337FA">
        <w:rPr>
          <w:rFonts w:ascii="Arial" w:hAnsi="Arial" w:cs="Arial"/>
          <w:i/>
          <w:sz w:val="22"/>
          <w:szCs w:val="22"/>
        </w:rPr>
        <w:t>России</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2025</w:t>
      </w:r>
      <w:r w:rsidR="006C680D" w:rsidRPr="00D337FA">
        <w:rPr>
          <w:rFonts w:ascii="Arial" w:hAnsi="Arial" w:cs="Arial"/>
          <w:i/>
          <w:sz w:val="22"/>
          <w:szCs w:val="22"/>
        </w:rPr>
        <w:t xml:space="preserve"> </w:t>
      </w:r>
      <w:r w:rsidRPr="00D337FA">
        <w:rPr>
          <w:rFonts w:ascii="Arial" w:hAnsi="Arial" w:cs="Arial"/>
          <w:i/>
          <w:sz w:val="22"/>
          <w:szCs w:val="22"/>
        </w:rPr>
        <w:t>г</w:t>
      </w:r>
    </w:p>
    <w:p w:rsidR="00256E85" w:rsidRPr="00D337FA" w:rsidRDefault="00256E85" w:rsidP="00256E85">
      <w:pPr>
        <w:jc w:val="center"/>
        <w:rPr>
          <w:rFonts w:ascii="Arial" w:hAnsi="Arial" w:cs="Arial"/>
          <w:i/>
          <w:sz w:val="22"/>
          <w:szCs w:val="22"/>
        </w:rPr>
      </w:pPr>
      <w:r w:rsidRPr="00D337FA">
        <w:rPr>
          <w:rFonts w:ascii="Arial" w:hAnsi="Arial" w:cs="Arial"/>
          <w:i/>
          <w:sz w:val="22"/>
          <w:szCs w:val="22"/>
        </w:rPr>
        <w:t>.</w:t>
      </w:r>
    </w:p>
    <w:p w:rsidR="00256E85" w:rsidRPr="00D337FA" w:rsidRDefault="00256E85" w:rsidP="00256E85">
      <w:pPr>
        <w:ind w:firstLine="709"/>
        <w:rPr>
          <w:szCs w:val="24"/>
        </w:rPr>
        <w:sectPr w:rsidR="00256E85"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256E85" w:rsidRPr="00D337FA" w:rsidRDefault="00256E85" w:rsidP="00256E85">
      <w:pPr>
        <w:ind w:firstLine="284"/>
        <w:rPr>
          <w:szCs w:val="24"/>
        </w:rPr>
      </w:pPr>
      <w:r w:rsidRPr="00D337FA">
        <w:rPr>
          <w:szCs w:val="24"/>
        </w:rPr>
        <w:lastRenderedPageBreak/>
        <w:t>Отраслевая</w:t>
      </w:r>
      <w:r w:rsidR="006C680D" w:rsidRPr="00D337FA">
        <w:rPr>
          <w:szCs w:val="24"/>
        </w:rPr>
        <w:t xml:space="preserve"> </w:t>
      </w:r>
      <w:r w:rsidRPr="00D337FA">
        <w:rPr>
          <w:szCs w:val="24"/>
        </w:rPr>
        <w:t>специализация,</w:t>
      </w:r>
      <w:r w:rsidR="006C680D" w:rsidRPr="00D337FA">
        <w:rPr>
          <w:szCs w:val="24"/>
        </w:rPr>
        <w:t xml:space="preserve"> </w:t>
      </w:r>
      <w:r w:rsidRPr="00D337FA">
        <w:rPr>
          <w:szCs w:val="24"/>
        </w:rPr>
        <w:t>ф</w:t>
      </w:r>
      <w:bookmarkStart w:id="1" w:name="_Hlk197958633"/>
      <w:r w:rsidRPr="00D337FA">
        <w:rPr>
          <w:szCs w:val="24"/>
        </w:rPr>
        <w:t>ормирование</w:t>
      </w:r>
      <w:r w:rsidR="006C680D" w:rsidRPr="00D337FA">
        <w:rPr>
          <w:szCs w:val="24"/>
        </w:rPr>
        <w:t xml:space="preserve"> </w:t>
      </w:r>
      <w:r w:rsidRPr="00D337FA">
        <w:rPr>
          <w:szCs w:val="24"/>
        </w:rPr>
        <w:t>индивидуальных</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стали</w:t>
      </w:r>
      <w:r w:rsidR="006C680D" w:rsidRPr="00D337FA">
        <w:rPr>
          <w:szCs w:val="24"/>
        </w:rPr>
        <w:t xml:space="preserve"> </w:t>
      </w:r>
      <w:r w:rsidRPr="00D337FA">
        <w:rPr>
          <w:szCs w:val="24"/>
        </w:rPr>
        <w:t>отражением</w:t>
      </w:r>
      <w:r w:rsidR="006C680D" w:rsidRPr="00D337FA">
        <w:rPr>
          <w:szCs w:val="24"/>
        </w:rPr>
        <w:t xml:space="preserve"> </w:t>
      </w:r>
      <w:r w:rsidRPr="00D337FA">
        <w:rPr>
          <w:szCs w:val="24"/>
        </w:rPr>
        <w:t>целенаправленного</w:t>
      </w:r>
      <w:r w:rsidR="006C680D" w:rsidRPr="00D337FA">
        <w:rPr>
          <w:szCs w:val="24"/>
        </w:rPr>
        <w:t xml:space="preserve"> </w:t>
      </w:r>
      <w:r w:rsidRPr="00D337FA">
        <w:rPr>
          <w:szCs w:val="24"/>
        </w:rPr>
        <w:t>движения</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в</w:t>
      </w:r>
      <w:r w:rsidR="006C680D" w:rsidRPr="00D337FA">
        <w:rPr>
          <w:szCs w:val="24"/>
        </w:rPr>
        <w:t xml:space="preserve"> </w:t>
      </w:r>
      <w:r w:rsidRPr="00D337FA">
        <w:rPr>
          <w:szCs w:val="24"/>
        </w:rPr>
        <w:t>сторону</w:t>
      </w:r>
      <w:r w:rsidR="006C680D" w:rsidRPr="00D337FA">
        <w:rPr>
          <w:szCs w:val="24"/>
        </w:rPr>
        <w:t xml:space="preserve"> </w:t>
      </w:r>
      <w:r w:rsidRPr="00D337FA">
        <w:rPr>
          <w:szCs w:val="24"/>
        </w:rPr>
        <w:t>глубокой</w:t>
      </w:r>
      <w:r w:rsidR="006C680D" w:rsidRPr="00D337FA">
        <w:rPr>
          <w:szCs w:val="24"/>
        </w:rPr>
        <w:t xml:space="preserve"> </w:t>
      </w:r>
      <w:r w:rsidRPr="00D337FA">
        <w:rPr>
          <w:szCs w:val="24"/>
        </w:rPr>
        <w:t>сегментации</w:t>
      </w:r>
      <w:r w:rsidR="006C680D" w:rsidRPr="00D337FA">
        <w:rPr>
          <w:szCs w:val="24"/>
        </w:rPr>
        <w:t xml:space="preserve"> </w:t>
      </w:r>
      <w:r w:rsidRPr="00D337FA">
        <w:rPr>
          <w:szCs w:val="24"/>
        </w:rPr>
        <w:t>клиентской</w:t>
      </w:r>
      <w:r w:rsidR="006C680D" w:rsidRPr="00D337FA">
        <w:rPr>
          <w:szCs w:val="24"/>
        </w:rPr>
        <w:t xml:space="preserve"> </w:t>
      </w:r>
      <w:r w:rsidRPr="00D337FA">
        <w:rPr>
          <w:szCs w:val="24"/>
        </w:rPr>
        <w:t>базы.</w:t>
      </w:r>
      <w:r w:rsidR="006C680D" w:rsidRPr="00D337FA">
        <w:rPr>
          <w:szCs w:val="24"/>
        </w:rPr>
        <w:t xml:space="preserve"> </w:t>
      </w:r>
    </w:p>
    <w:bookmarkEnd w:id="1"/>
    <w:p w:rsidR="00256E85" w:rsidRPr="00D337FA" w:rsidRDefault="00256E85" w:rsidP="00F40B92">
      <w:pPr>
        <w:ind w:firstLine="284"/>
        <w:rPr>
          <w:szCs w:val="24"/>
        </w:rPr>
      </w:pPr>
      <w:r w:rsidRPr="00D337FA">
        <w:rPr>
          <w:szCs w:val="24"/>
        </w:rPr>
        <w:lastRenderedPageBreak/>
        <w:t>Специализированные</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охватывают</w:t>
      </w:r>
      <w:r w:rsidR="006C680D" w:rsidRPr="00D337FA">
        <w:rPr>
          <w:szCs w:val="24"/>
        </w:rPr>
        <w:t xml:space="preserve"> </w:t>
      </w:r>
      <w:r w:rsidRPr="00D337FA">
        <w:rPr>
          <w:szCs w:val="24"/>
        </w:rPr>
        <w:t>широкий</w:t>
      </w:r>
      <w:r w:rsidR="006C680D" w:rsidRPr="00D337FA">
        <w:rPr>
          <w:szCs w:val="24"/>
        </w:rPr>
        <w:t xml:space="preserve"> </w:t>
      </w:r>
      <w:r w:rsidRPr="00D337FA">
        <w:rPr>
          <w:szCs w:val="24"/>
        </w:rPr>
        <w:t>спектр</w:t>
      </w:r>
      <w:r w:rsidR="006C680D" w:rsidRPr="00D337FA">
        <w:rPr>
          <w:szCs w:val="24"/>
        </w:rPr>
        <w:t xml:space="preserve"> </w:t>
      </w:r>
      <w:r w:rsidRPr="00D337FA">
        <w:rPr>
          <w:szCs w:val="24"/>
        </w:rPr>
        <w:t>отраслей:</w:t>
      </w:r>
      <w:r w:rsidR="006C680D" w:rsidRPr="00D337FA">
        <w:rPr>
          <w:szCs w:val="24"/>
        </w:rPr>
        <w:t xml:space="preserve"> </w:t>
      </w:r>
      <w:r w:rsidRPr="00D337FA">
        <w:rPr>
          <w:szCs w:val="24"/>
        </w:rPr>
        <w:t>общественное</w:t>
      </w:r>
      <w:r w:rsidR="006C680D" w:rsidRPr="00D337FA">
        <w:rPr>
          <w:szCs w:val="24"/>
        </w:rPr>
        <w:t xml:space="preserve"> </w:t>
      </w:r>
      <w:r w:rsidRPr="00D337FA">
        <w:rPr>
          <w:szCs w:val="24"/>
        </w:rPr>
        <w:t>питание,</w:t>
      </w:r>
      <w:r w:rsidR="006C680D" w:rsidRPr="00D337FA">
        <w:rPr>
          <w:szCs w:val="24"/>
        </w:rPr>
        <w:t xml:space="preserve"> </w:t>
      </w:r>
      <w:r w:rsidRPr="00D337FA">
        <w:rPr>
          <w:szCs w:val="24"/>
        </w:rPr>
        <w:t>розничная</w:t>
      </w:r>
      <w:r w:rsidR="006C680D" w:rsidRPr="00D337FA">
        <w:rPr>
          <w:szCs w:val="24"/>
        </w:rPr>
        <w:t xml:space="preserve"> </w:t>
      </w:r>
      <w:r w:rsidRPr="00D337FA">
        <w:rPr>
          <w:szCs w:val="24"/>
        </w:rPr>
        <w:t>и</w:t>
      </w:r>
      <w:r w:rsidR="006C680D" w:rsidRPr="00D337FA">
        <w:rPr>
          <w:szCs w:val="24"/>
        </w:rPr>
        <w:t xml:space="preserve"> </w:t>
      </w:r>
      <w:r w:rsidRPr="00D337FA">
        <w:rPr>
          <w:szCs w:val="24"/>
        </w:rPr>
        <w:t>оптовая</w:t>
      </w:r>
      <w:r w:rsidR="006C680D" w:rsidRPr="00D337FA">
        <w:rPr>
          <w:szCs w:val="24"/>
        </w:rPr>
        <w:t xml:space="preserve"> </w:t>
      </w:r>
      <w:r w:rsidRPr="00D337FA">
        <w:rPr>
          <w:szCs w:val="24"/>
        </w:rPr>
        <w:t>торговля,</w:t>
      </w:r>
      <w:r w:rsidR="006C680D" w:rsidRPr="00D337FA">
        <w:rPr>
          <w:szCs w:val="24"/>
        </w:rPr>
        <w:t xml:space="preserve"> </w:t>
      </w:r>
      <w:r w:rsidRPr="00D337FA">
        <w:rPr>
          <w:szCs w:val="24"/>
        </w:rPr>
        <w:t>производство,</w:t>
      </w:r>
      <w:r w:rsidR="006C680D" w:rsidRPr="00D337FA">
        <w:rPr>
          <w:szCs w:val="24"/>
        </w:rPr>
        <w:t xml:space="preserve"> </w:t>
      </w:r>
      <w:r w:rsidRPr="00D337FA">
        <w:rPr>
          <w:szCs w:val="24"/>
        </w:rPr>
        <w:t>строительство,</w:t>
      </w:r>
      <w:r w:rsidR="006C680D" w:rsidRPr="00D337FA">
        <w:rPr>
          <w:szCs w:val="24"/>
        </w:rPr>
        <w:t xml:space="preserve"> </w:t>
      </w:r>
      <w:r w:rsidRPr="00D337FA">
        <w:rPr>
          <w:szCs w:val="24"/>
        </w:rPr>
        <w:t>агропромышленный</w:t>
      </w:r>
      <w:r w:rsidR="006C680D" w:rsidRPr="00D337FA">
        <w:rPr>
          <w:szCs w:val="24"/>
        </w:rPr>
        <w:t xml:space="preserve"> </w:t>
      </w:r>
      <w:r w:rsidRPr="00D337FA">
        <w:rPr>
          <w:szCs w:val="24"/>
        </w:rPr>
        <w:t>сектор,</w:t>
      </w:r>
      <w:r w:rsidR="006C680D" w:rsidRPr="00D337FA">
        <w:rPr>
          <w:szCs w:val="24"/>
        </w:rPr>
        <w:t xml:space="preserve"> </w:t>
      </w:r>
      <w:r w:rsidRPr="00D337FA">
        <w:rPr>
          <w:szCs w:val="24"/>
        </w:rPr>
        <w:t>IT</w:t>
      </w:r>
      <w:r w:rsidR="006C680D" w:rsidRPr="00D337FA">
        <w:rPr>
          <w:szCs w:val="24"/>
        </w:rPr>
        <w:t xml:space="preserve"> </w:t>
      </w:r>
      <w:r w:rsidRPr="00D337FA">
        <w:rPr>
          <w:szCs w:val="24"/>
        </w:rPr>
        <w:t>и</w:t>
      </w:r>
      <w:r w:rsidR="006C680D" w:rsidRPr="00D337FA">
        <w:rPr>
          <w:szCs w:val="24"/>
        </w:rPr>
        <w:t xml:space="preserve"> </w:t>
      </w:r>
      <w:r w:rsidRPr="00D337FA">
        <w:rPr>
          <w:szCs w:val="24"/>
        </w:rPr>
        <w:t>сфера</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От</w:t>
      </w:r>
      <w:r w:rsidRPr="00D337FA">
        <w:rPr>
          <w:szCs w:val="24"/>
        </w:rPr>
        <w:lastRenderedPageBreak/>
        <w:t>раслевые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совокупность</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объединённых</w:t>
      </w:r>
      <w:r w:rsidR="006C680D" w:rsidRPr="00D337FA">
        <w:rPr>
          <w:szCs w:val="24"/>
        </w:rPr>
        <w:t xml:space="preserve"> </w:t>
      </w:r>
      <w:r w:rsidRPr="00D337FA">
        <w:rPr>
          <w:szCs w:val="24"/>
        </w:rPr>
        <w:t>в</w:t>
      </w:r>
      <w:r w:rsidR="006C680D" w:rsidRPr="00D337FA">
        <w:rPr>
          <w:szCs w:val="24"/>
        </w:rPr>
        <w:t xml:space="preserve"> </w:t>
      </w:r>
      <w:r w:rsidRPr="00D337FA">
        <w:rPr>
          <w:szCs w:val="24"/>
        </w:rPr>
        <w:t>тематические</w:t>
      </w:r>
      <w:r w:rsidR="006C680D" w:rsidRPr="00D337FA">
        <w:rPr>
          <w:szCs w:val="24"/>
        </w:rPr>
        <w:t xml:space="preserve"> </w:t>
      </w:r>
      <w:r w:rsidRPr="00D337FA">
        <w:rPr>
          <w:szCs w:val="24"/>
        </w:rPr>
        <w:t>пакеты,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учитывают</w:t>
      </w:r>
      <w:r w:rsidR="006C680D" w:rsidRPr="00D337FA">
        <w:rPr>
          <w:szCs w:val="24"/>
        </w:rPr>
        <w:t xml:space="preserve"> </w:t>
      </w:r>
      <w:r w:rsidRPr="00D337FA">
        <w:rPr>
          <w:szCs w:val="24"/>
        </w:rPr>
        <w:t>специфику</w:t>
      </w:r>
      <w:r w:rsidR="006C680D" w:rsidRPr="00D337FA">
        <w:rPr>
          <w:szCs w:val="24"/>
        </w:rPr>
        <w:t xml:space="preserve"> </w:t>
      </w:r>
      <w:r w:rsidRPr="00D337FA">
        <w:rPr>
          <w:szCs w:val="24"/>
        </w:rPr>
        <w:t>ведения</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типичные</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денежного</w:t>
      </w:r>
      <w:r w:rsidR="006C680D" w:rsidRPr="00D337FA">
        <w:rPr>
          <w:szCs w:val="24"/>
        </w:rPr>
        <w:t xml:space="preserve"> </w:t>
      </w:r>
      <w:r w:rsidRPr="00D337FA">
        <w:rPr>
          <w:szCs w:val="24"/>
        </w:rPr>
        <w:t>оборота,</w:t>
      </w:r>
      <w:r w:rsidR="006C680D" w:rsidRPr="00D337FA">
        <w:rPr>
          <w:szCs w:val="24"/>
        </w:rPr>
        <w:t xml:space="preserve"> </w:t>
      </w:r>
      <w:r w:rsidRPr="00D337FA">
        <w:rPr>
          <w:szCs w:val="24"/>
        </w:rPr>
        <w:t>риски</w:t>
      </w:r>
      <w:r w:rsidR="006C680D" w:rsidRPr="00D337FA">
        <w:rPr>
          <w:szCs w:val="24"/>
        </w:rPr>
        <w:t xml:space="preserve"> </w:t>
      </w:r>
      <w:r w:rsidRPr="00D337FA">
        <w:rPr>
          <w:szCs w:val="24"/>
        </w:rPr>
        <w:t>и</w:t>
      </w:r>
      <w:r w:rsidR="006C680D" w:rsidRPr="00D337FA">
        <w:rPr>
          <w:szCs w:val="24"/>
        </w:rPr>
        <w:t xml:space="preserve"> </w:t>
      </w:r>
      <w:r w:rsidRPr="00D337FA">
        <w:rPr>
          <w:szCs w:val="24"/>
        </w:rPr>
        <w:t>особенности</w:t>
      </w:r>
      <w:r w:rsidR="006C680D" w:rsidRPr="00D337FA">
        <w:rPr>
          <w:szCs w:val="24"/>
        </w:rPr>
        <w:t xml:space="preserve"> </w:t>
      </w:r>
      <w:r w:rsidRPr="00D337FA">
        <w:rPr>
          <w:szCs w:val="24"/>
        </w:rPr>
        <w:t>расчётов.</w:t>
      </w:r>
      <w:r w:rsidR="006C680D" w:rsidRPr="00D337FA">
        <w:rPr>
          <w:szCs w:val="24"/>
        </w:rPr>
        <w:t xml:space="preserve"> </w:t>
      </w:r>
      <w:r w:rsidRPr="00D337FA">
        <w:rPr>
          <w:szCs w:val="24"/>
        </w:rPr>
        <w:t>Они</w:t>
      </w:r>
      <w:r w:rsidR="006C680D" w:rsidRPr="00D337FA">
        <w:rPr>
          <w:szCs w:val="24"/>
        </w:rPr>
        <w:t xml:space="preserve"> </w:t>
      </w:r>
      <w:r w:rsidRPr="00D337FA">
        <w:rPr>
          <w:szCs w:val="24"/>
        </w:rPr>
        <w:t>включают</w:t>
      </w:r>
      <w:r w:rsidR="006C680D" w:rsidRPr="00D337FA">
        <w:rPr>
          <w:szCs w:val="24"/>
        </w:rPr>
        <w:t xml:space="preserve"> </w:t>
      </w:r>
      <w:r w:rsidRPr="00D337FA">
        <w:rPr>
          <w:szCs w:val="24"/>
        </w:rPr>
        <w:t>расчётно-кассовое</w:t>
      </w:r>
      <w:r w:rsidR="006C680D" w:rsidRPr="00D337FA">
        <w:rPr>
          <w:szCs w:val="24"/>
        </w:rPr>
        <w:t xml:space="preserve"> </w:t>
      </w:r>
      <w:r w:rsidRPr="00D337FA">
        <w:rPr>
          <w:szCs w:val="24"/>
        </w:rPr>
        <w:t>обслуживание,</w:t>
      </w:r>
      <w:r w:rsidR="006C680D" w:rsidRPr="00D337FA">
        <w:rPr>
          <w:szCs w:val="24"/>
        </w:rPr>
        <w:t xml:space="preserve"> </w:t>
      </w:r>
      <w:r w:rsidRPr="00D337FA">
        <w:rPr>
          <w:szCs w:val="24"/>
        </w:rPr>
        <w:t>эквайринг,</w:t>
      </w:r>
      <w:r w:rsidR="006C680D" w:rsidRPr="00D337FA">
        <w:rPr>
          <w:szCs w:val="24"/>
        </w:rPr>
        <w:t xml:space="preserve"> </w:t>
      </w:r>
      <w:r w:rsidRPr="00D337FA">
        <w:rPr>
          <w:szCs w:val="24"/>
        </w:rPr>
        <w:t>бухгалтерию,</w:t>
      </w:r>
      <w:r w:rsidR="006C680D" w:rsidRPr="00D337FA">
        <w:rPr>
          <w:szCs w:val="24"/>
        </w:rPr>
        <w:t xml:space="preserve"> </w:t>
      </w:r>
      <w:r w:rsidRPr="00D337FA">
        <w:rPr>
          <w:szCs w:val="24"/>
        </w:rPr>
        <w:t>кредитование,</w:t>
      </w:r>
      <w:r w:rsidR="006C680D" w:rsidRPr="00D337FA">
        <w:rPr>
          <w:szCs w:val="24"/>
        </w:rPr>
        <w:t xml:space="preserve"> </w:t>
      </w:r>
      <w:r w:rsidRPr="00D337FA">
        <w:rPr>
          <w:szCs w:val="24"/>
        </w:rPr>
        <w:t>аналитику</w:t>
      </w:r>
      <w:r w:rsidR="006C680D" w:rsidRPr="00D337FA">
        <w:rPr>
          <w:szCs w:val="24"/>
        </w:rPr>
        <w:t xml:space="preserve"> </w:t>
      </w:r>
      <w:r w:rsidRPr="00D337FA">
        <w:rPr>
          <w:szCs w:val="24"/>
        </w:rPr>
        <w:t>и</w:t>
      </w:r>
      <w:r w:rsidR="006C680D" w:rsidRPr="00D337FA">
        <w:rPr>
          <w:szCs w:val="24"/>
        </w:rPr>
        <w:t xml:space="preserve"> </w:t>
      </w:r>
      <w:r w:rsidRPr="00D337FA">
        <w:rPr>
          <w:szCs w:val="24"/>
        </w:rPr>
        <w:t>интеграцию</w:t>
      </w:r>
      <w:r w:rsidR="006C680D" w:rsidRPr="00D337FA">
        <w:rPr>
          <w:szCs w:val="24"/>
        </w:rPr>
        <w:t xml:space="preserve"> </w:t>
      </w:r>
      <w:r w:rsidRPr="00D337FA">
        <w:rPr>
          <w:szCs w:val="24"/>
        </w:rPr>
        <w:t>с</w:t>
      </w:r>
      <w:r w:rsidR="006C680D" w:rsidRPr="00D337FA">
        <w:rPr>
          <w:szCs w:val="24"/>
        </w:rPr>
        <w:t xml:space="preserve"> </w:t>
      </w:r>
      <w:r w:rsidRPr="00D337FA">
        <w:rPr>
          <w:szCs w:val="24"/>
        </w:rPr>
        <w:t>внешними</w:t>
      </w:r>
      <w:r w:rsidR="006C680D" w:rsidRPr="00D337FA">
        <w:rPr>
          <w:szCs w:val="24"/>
        </w:rPr>
        <w:t xml:space="preserve"> </w:t>
      </w:r>
      <w:r w:rsidRPr="00D337FA">
        <w:rPr>
          <w:szCs w:val="24"/>
        </w:rPr>
        <w:t>платформами.</w:t>
      </w:r>
    </w:p>
    <w:p w:rsidR="00256E85" w:rsidRPr="00D337FA" w:rsidRDefault="00256E85" w:rsidP="00F40B92">
      <w:pPr>
        <w:ind w:firstLine="284"/>
        <w:rPr>
          <w:szCs w:val="24"/>
        </w:rPr>
      </w:pPr>
      <w:r w:rsidRPr="00D337FA">
        <w:rPr>
          <w:szCs w:val="24"/>
        </w:rPr>
        <w:t>Наибольшее</w:t>
      </w:r>
      <w:r w:rsidR="006C680D" w:rsidRPr="00D337FA">
        <w:rPr>
          <w:szCs w:val="24"/>
        </w:rPr>
        <w:t xml:space="preserve"> </w:t>
      </w:r>
      <w:r w:rsidRPr="00D337FA">
        <w:rPr>
          <w:szCs w:val="24"/>
        </w:rPr>
        <w:t>внимание</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сосредоточено</w:t>
      </w:r>
      <w:r w:rsidR="006C680D" w:rsidRPr="00D337FA">
        <w:rPr>
          <w:szCs w:val="24"/>
        </w:rPr>
        <w:t xml:space="preserve"> </w:t>
      </w:r>
      <w:r w:rsidRPr="00D337FA">
        <w:rPr>
          <w:szCs w:val="24"/>
        </w:rPr>
        <w:t>на</w:t>
      </w:r>
      <w:r w:rsidR="006C680D" w:rsidRPr="00D337FA">
        <w:rPr>
          <w:szCs w:val="24"/>
        </w:rPr>
        <w:t xml:space="preserve"> </w:t>
      </w:r>
      <w:r w:rsidRPr="00D337FA">
        <w:rPr>
          <w:szCs w:val="24"/>
        </w:rPr>
        <w:t>разработке</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общественного</w:t>
      </w:r>
      <w:r w:rsidR="006C680D" w:rsidRPr="00D337FA">
        <w:rPr>
          <w:szCs w:val="24"/>
        </w:rPr>
        <w:t xml:space="preserve"> </w:t>
      </w:r>
      <w:r w:rsidRPr="00D337FA">
        <w:rPr>
          <w:szCs w:val="24"/>
        </w:rPr>
        <w:t>питания.</w:t>
      </w:r>
      <w:r w:rsidR="006C680D" w:rsidRPr="00D337FA">
        <w:rPr>
          <w:szCs w:val="24"/>
        </w:rPr>
        <w:t xml:space="preserve"> </w:t>
      </w:r>
      <w:r w:rsidRPr="00D337FA">
        <w:rPr>
          <w:szCs w:val="24"/>
        </w:rPr>
        <w:t>Они</w:t>
      </w:r>
      <w:r w:rsidR="006C680D" w:rsidRPr="00D337FA">
        <w:rPr>
          <w:szCs w:val="24"/>
        </w:rPr>
        <w:t xml:space="preserve"> </w:t>
      </w:r>
      <w:r w:rsidRPr="00D337FA">
        <w:rPr>
          <w:szCs w:val="24"/>
        </w:rPr>
        <w:t>ориентированы</w:t>
      </w:r>
      <w:r w:rsidR="006C680D" w:rsidRPr="00D337FA">
        <w:rPr>
          <w:szCs w:val="24"/>
        </w:rPr>
        <w:t xml:space="preserve"> </w:t>
      </w:r>
      <w:r w:rsidRPr="00D337FA">
        <w:rPr>
          <w:szCs w:val="24"/>
        </w:rPr>
        <w:t>на</w:t>
      </w:r>
      <w:r w:rsidR="006C680D" w:rsidRPr="00D337FA">
        <w:rPr>
          <w:szCs w:val="24"/>
        </w:rPr>
        <w:t xml:space="preserve"> </w:t>
      </w:r>
      <w:r w:rsidRPr="00D337FA">
        <w:rPr>
          <w:szCs w:val="24"/>
        </w:rPr>
        <w:t>расчётные</w:t>
      </w:r>
      <w:r w:rsidR="006C680D" w:rsidRPr="00D337FA">
        <w:rPr>
          <w:szCs w:val="24"/>
        </w:rPr>
        <w:t xml:space="preserve"> </w:t>
      </w:r>
      <w:r w:rsidRPr="00D337FA">
        <w:rPr>
          <w:szCs w:val="24"/>
        </w:rPr>
        <w:t>операции,</w:t>
      </w:r>
      <w:r w:rsidR="006C680D" w:rsidRPr="00D337FA">
        <w:rPr>
          <w:szCs w:val="24"/>
        </w:rPr>
        <w:t xml:space="preserve"> </w:t>
      </w:r>
      <w:r w:rsidRPr="00D337FA">
        <w:rPr>
          <w:szCs w:val="24"/>
        </w:rPr>
        <w:t>учетные</w:t>
      </w:r>
      <w:r w:rsidR="006C680D" w:rsidRPr="00D337FA">
        <w:rPr>
          <w:szCs w:val="24"/>
        </w:rPr>
        <w:t xml:space="preserve"> </w:t>
      </w:r>
      <w:r w:rsidRPr="00D337FA">
        <w:rPr>
          <w:szCs w:val="24"/>
        </w:rPr>
        <w:t>и</w:t>
      </w:r>
      <w:r w:rsidR="006C680D" w:rsidRPr="00D337FA">
        <w:rPr>
          <w:szCs w:val="24"/>
        </w:rPr>
        <w:t xml:space="preserve"> </w:t>
      </w:r>
      <w:r w:rsidRPr="00D337FA">
        <w:rPr>
          <w:szCs w:val="24"/>
        </w:rPr>
        <w:t>кадровые</w:t>
      </w:r>
      <w:r w:rsidR="006C680D" w:rsidRPr="00D337FA">
        <w:rPr>
          <w:szCs w:val="24"/>
        </w:rPr>
        <w:t xml:space="preserve"> </w:t>
      </w:r>
      <w:r w:rsidRPr="00D337FA">
        <w:rPr>
          <w:szCs w:val="24"/>
        </w:rPr>
        <w:t>процессы:</w:t>
      </w:r>
      <w:r w:rsidR="006C680D" w:rsidRPr="00D337FA">
        <w:rPr>
          <w:szCs w:val="24"/>
        </w:rPr>
        <w:t xml:space="preserve"> </w:t>
      </w:r>
      <w:r w:rsidRPr="00D337FA">
        <w:rPr>
          <w:szCs w:val="24"/>
        </w:rPr>
        <w:t>возможность</w:t>
      </w:r>
      <w:r w:rsidR="006C680D" w:rsidRPr="00D337FA">
        <w:rPr>
          <w:szCs w:val="24"/>
        </w:rPr>
        <w:t xml:space="preserve"> </w:t>
      </w:r>
      <w:r w:rsidRPr="00D337FA">
        <w:rPr>
          <w:szCs w:val="24"/>
        </w:rPr>
        <w:t>подключения</w:t>
      </w:r>
      <w:r w:rsidR="006C680D" w:rsidRPr="00D337FA">
        <w:rPr>
          <w:szCs w:val="24"/>
        </w:rPr>
        <w:t xml:space="preserve"> </w:t>
      </w:r>
      <w:r w:rsidRPr="00D337FA">
        <w:rPr>
          <w:szCs w:val="24"/>
        </w:rPr>
        <w:t>онлайн-касс,</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автоматизации</w:t>
      </w:r>
      <w:r w:rsidR="006C680D" w:rsidRPr="00D337FA">
        <w:rPr>
          <w:szCs w:val="24"/>
        </w:rPr>
        <w:t xml:space="preserve"> </w:t>
      </w:r>
      <w:r w:rsidRPr="00D337FA">
        <w:rPr>
          <w:szCs w:val="24"/>
        </w:rPr>
        <w:t>учёта,</w:t>
      </w:r>
      <w:r w:rsidR="006C680D" w:rsidRPr="00D337FA">
        <w:rPr>
          <w:szCs w:val="24"/>
        </w:rPr>
        <w:t xml:space="preserve"> </w:t>
      </w:r>
      <w:r w:rsidRPr="00D337FA">
        <w:rPr>
          <w:szCs w:val="24"/>
        </w:rPr>
        <w:t>эквайринга</w:t>
      </w:r>
      <w:r w:rsidR="006C680D" w:rsidRPr="00D337FA">
        <w:rPr>
          <w:szCs w:val="24"/>
        </w:rPr>
        <w:t xml:space="preserve"> </w:t>
      </w:r>
      <w:r w:rsidRPr="00D337FA">
        <w:rPr>
          <w:szCs w:val="24"/>
        </w:rPr>
        <w:t>с</w:t>
      </w:r>
      <w:r w:rsidR="006C680D" w:rsidRPr="00D337FA">
        <w:rPr>
          <w:szCs w:val="24"/>
        </w:rPr>
        <w:t xml:space="preserve"> </w:t>
      </w:r>
      <w:r w:rsidRPr="00D337FA">
        <w:rPr>
          <w:szCs w:val="24"/>
        </w:rPr>
        <w:t>гибкими</w:t>
      </w:r>
      <w:r w:rsidR="006C680D" w:rsidRPr="00D337FA">
        <w:rPr>
          <w:szCs w:val="24"/>
        </w:rPr>
        <w:t xml:space="preserve"> </w:t>
      </w:r>
      <w:r w:rsidRPr="00D337FA">
        <w:rPr>
          <w:szCs w:val="24"/>
        </w:rPr>
        <w:t>условиями</w:t>
      </w:r>
      <w:r w:rsidR="006C680D" w:rsidRPr="00D337FA">
        <w:rPr>
          <w:szCs w:val="24"/>
        </w:rPr>
        <w:t xml:space="preserve"> </w:t>
      </w:r>
      <w:r w:rsidRPr="00D337FA">
        <w:rPr>
          <w:szCs w:val="24"/>
        </w:rPr>
        <w:t>и</w:t>
      </w:r>
      <w:r w:rsidR="006C680D" w:rsidRPr="00D337FA">
        <w:rPr>
          <w:szCs w:val="24"/>
        </w:rPr>
        <w:t xml:space="preserve"> </w:t>
      </w:r>
      <w:r w:rsidRPr="00D337FA">
        <w:rPr>
          <w:szCs w:val="24"/>
        </w:rPr>
        <w:t>оформления</w:t>
      </w:r>
      <w:r w:rsidR="006C680D" w:rsidRPr="00D337FA">
        <w:rPr>
          <w:szCs w:val="24"/>
        </w:rPr>
        <w:t xml:space="preserve"> </w:t>
      </w:r>
      <w:r w:rsidRPr="00D337FA">
        <w:rPr>
          <w:szCs w:val="24"/>
        </w:rPr>
        <w:t>карт</w:t>
      </w:r>
      <w:r w:rsidR="006C680D" w:rsidRPr="00D337FA">
        <w:rPr>
          <w:szCs w:val="24"/>
        </w:rPr>
        <w:t xml:space="preserve"> </w:t>
      </w:r>
      <w:r w:rsidRPr="00D337FA">
        <w:rPr>
          <w:szCs w:val="24"/>
        </w:rPr>
        <w:t>для</w:t>
      </w:r>
      <w:r w:rsidR="006C680D" w:rsidRPr="00D337FA">
        <w:rPr>
          <w:szCs w:val="24"/>
        </w:rPr>
        <w:t xml:space="preserve"> </w:t>
      </w:r>
      <w:r w:rsidRPr="00D337FA">
        <w:rPr>
          <w:szCs w:val="24"/>
        </w:rPr>
        <w:t>персонала.</w:t>
      </w:r>
      <w:r w:rsidR="006C680D" w:rsidRPr="00D337FA">
        <w:rPr>
          <w:szCs w:val="24"/>
        </w:rPr>
        <w:t xml:space="preserve"> </w:t>
      </w:r>
      <w:r w:rsidRPr="00D337FA">
        <w:rPr>
          <w:szCs w:val="24"/>
        </w:rPr>
        <w:t>В</w:t>
      </w:r>
      <w:r w:rsidR="006C680D" w:rsidRPr="00D337FA">
        <w:rPr>
          <w:szCs w:val="24"/>
        </w:rPr>
        <w:t xml:space="preserve"> </w:t>
      </w:r>
      <w:r w:rsidRPr="00D337FA">
        <w:rPr>
          <w:szCs w:val="24"/>
        </w:rPr>
        <w:t>частности,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предусмотрены</w:t>
      </w:r>
      <w:r w:rsidR="006C680D" w:rsidRPr="00D337FA">
        <w:rPr>
          <w:szCs w:val="24"/>
        </w:rPr>
        <w:t xml:space="preserve"> </w:t>
      </w:r>
      <w:r w:rsidRPr="00D337FA">
        <w:rPr>
          <w:szCs w:val="24"/>
        </w:rPr>
        <w:t>тарифы,</w:t>
      </w:r>
      <w:r w:rsidR="006C680D" w:rsidRPr="00D337FA">
        <w:rPr>
          <w:szCs w:val="24"/>
        </w:rPr>
        <w:t xml:space="preserve"> </w:t>
      </w:r>
      <w:r w:rsidRPr="00D337FA">
        <w:rPr>
          <w:szCs w:val="24"/>
        </w:rPr>
        <w:t>учитывающие</w:t>
      </w:r>
      <w:r w:rsidR="006C680D" w:rsidRPr="00D337FA">
        <w:rPr>
          <w:szCs w:val="24"/>
        </w:rPr>
        <w:t xml:space="preserve"> </w:t>
      </w:r>
      <w:r w:rsidRPr="00D337FA">
        <w:rPr>
          <w:szCs w:val="24"/>
        </w:rPr>
        <w:t>особенности</w:t>
      </w:r>
      <w:r w:rsidR="006C680D" w:rsidRPr="00D337FA">
        <w:rPr>
          <w:szCs w:val="24"/>
        </w:rPr>
        <w:t xml:space="preserve"> </w:t>
      </w:r>
      <w:r w:rsidRPr="00D337FA">
        <w:rPr>
          <w:szCs w:val="24"/>
        </w:rPr>
        <w:t>расчётов</w:t>
      </w:r>
      <w:r w:rsidR="006C680D" w:rsidRPr="00D337FA">
        <w:rPr>
          <w:szCs w:val="24"/>
        </w:rPr>
        <w:t xml:space="preserve"> </w:t>
      </w:r>
      <w:r w:rsidRPr="00D337FA">
        <w:rPr>
          <w:szCs w:val="24"/>
        </w:rPr>
        <w:t>в</w:t>
      </w:r>
      <w:r w:rsidR="006C680D" w:rsidRPr="00D337FA">
        <w:rPr>
          <w:szCs w:val="24"/>
        </w:rPr>
        <w:t xml:space="preserve"> </w:t>
      </w:r>
      <w:r w:rsidRPr="00D337FA">
        <w:rPr>
          <w:szCs w:val="24"/>
        </w:rPr>
        <w:t>ресторанном</w:t>
      </w:r>
      <w:r w:rsidR="006C680D" w:rsidRPr="00D337FA">
        <w:rPr>
          <w:szCs w:val="24"/>
        </w:rPr>
        <w:t xml:space="preserve"> </w:t>
      </w:r>
      <w:r w:rsidRPr="00D337FA">
        <w:rPr>
          <w:szCs w:val="24"/>
        </w:rPr>
        <w:t>бизнесе,</w:t>
      </w:r>
      <w:r w:rsidR="006C680D" w:rsidRPr="00D337FA">
        <w:rPr>
          <w:szCs w:val="24"/>
        </w:rPr>
        <w:t xml:space="preserve"> </w:t>
      </w:r>
      <w:r w:rsidRPr="00D337FA">
        <w:rPr>
          <w:szCs w:val="24"/>
        </w:rPr>
        <w:t>а</w:t>
      </w:r>
      <w:r w:rsidR="006C680D" w:rsidRPr="00D337FA">
        <w:rPr>
          <w:szCs w:val="24"/>
        </w:rPr>
        <w:t xml:space="preserve"> </w:t>
      </w:r>
      <w:r w:rsidRPr="00D337FA">
        <w:rPr>
          <w:szCs w:val="24"/>
        </w:rPr>
        <w:t>в</w:t>
      </w:r>
      <w:r w:rsidR="006C680D" w:rsidRPr="00D337FA">
        <w:rPr>
          <w:szCs w:val="24"/>
        </w:rPr>
        <w:t xml:space="preserve"> </w:t>
      </w:r>
      <w:r w:rsidRPr="00D337FA">
        <w:rPr>
          <w:szCs w:val="24"/>
        </w:rPr>
        <w:t>АО</w:t>
      </w:r>
      <w:r w:rsidR="006C680D" w:rsidRPr="00D337FA">
        <w:rPr>
          <w:szCs w:val="24"/>
        </w:rPr>
        <w:t xml:space="preserve"> </w:t>
      </w:r>
      <w:r w:rsidRPr="00D337FA">
        <w:rPr>
          <w:szCs w:val="24"/>
        </w:rPr>
        <w:t>«Россельхозбанк»</w:t>
      </w:r>
      <w:r w:rsidR="006C680D" w:rsidRPr="00D337FA">
        <w:rPr>
          <w:szCs w:val="24"/>
        </w:rPr>
        <w:t xml:space="preserve"> </w:t>
      </w:r>
      <w:r w:rsidRPr="00D337FA">
        <w:rPr>
          <w:szCs w:val="24"/>
        </w:rPr>
        <w:t>акцент</w:t>
      </w:r>
      <w:r w:rsidR="006C680D" w:rsidRPr="00D337FA">
        <w:rPr>
          <w:szCs w:val="24"/>
        </w:rPr>
        <w:t xml:space="preserve"> </w:t>
      </w:r>
      <w:r w:rsidRPr="00D337FA">
        <w:rPr>
          <w:szCs w:val="24"/>
        </w:rPr>
        <w:t>делается</w:t>
      </w:r>
      <w:r w:rsidR="006C680D" w:rsidRPr="00D337FA">
        <w:rPr>
          <w:szCs w:val="24"/>
        </w:rPr>
        <w:t xml:space="preserve"> </w:t>
      </w:r>
      <w:r w:rsidRPr="00D337FA">
        <w:rPr>
          <w:szCs w:val="24"/>
        </w:rPr>
        <w:t>на</w:t>
      </w:r>
      <w:r w:rsidR="006C680D" w:rsidRPr="00D337FA">
        <w:rPr>
          <w:szCs w:val="24"/>
        </w:rPr>
        <w:t xml:space="preserve"> </w:t>
      </w:r>
      <w:r w:rsidRPr="00D337FA">
        <w:rPr>
          <w:szCs w:val="24"/>
        </w:rPr>
        <w:t>экономичные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небольших</w:t>
      </w:r>
      <w:r w:rsidR="006C680D" w:rsidRPr="00D337FA">
        <w:rPr>
          <w:szCs w:val="24"/>
        </w:rPr>
        <w:t xml:space="preserve"> </w:t>
      </w:r>
      <w:r w:rsidRPr="00D337FA">
        <w:rPr>
          <w:szCs w:val="24"/>
        </w:rPr>
        <w:t>заведений.</w:t>
      </w:r>
    </w:p>
    <w:p w:rsidR="00256E85" w:rsidRPr="00D337FA" w:rsidRDefault="00256E85" w:rsidP="00F40B92">
      <w:pPr>
        <w:ind w:firstLine="284"/>
        <w:rPr>
          <w:szCs w:val="24"/>
        </w:rPr>
      </w:pPr>
      <w:r w:rsidRPr="00D337FA">
        <w:rPr>
          <w:szCs w:val="24"/>
        </w:rPr>
        <w:t>Постоянное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наблюдается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сегменте</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розничного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Пакеты</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сочетают</w:t>
      </w:r>
      <w:r w:rsidR="006C680D" w:rsidRPr="00D337FA">
        <w:rPr>
          <w:szCs w:val="24"/>
        </w:rPr>
        <w:t xml:space="preserve"> </w:t>
      </w:r>
      <w:r w:rsidRPr="00D337FA">
        <w:rPr>
          <w:szCs w:val="24"/>
        </w:rPr>
        <w:t>выгодные</w:t>
      </w:r>
      <w:r w:rsidR="006C680D" w:rsidRPr="00D337FA">
        <w:rPr>
          <w:szCs w:val="24"/>
        </w:rPr>
        <w:t xml:space="preserve"> </w:t>
      </w:r>
      <w:r w:rsidRPr="00D337FA">
        <w:rPr>
          <w:szCs w:val="24"/>
        </w:rPr>
        <w:t>тарифы</w:t>
      </w:r>
      <w:r w:rsidR="006C680D" w:rsidRPr="00D337FA">
        <w:rPr>
          <w:szCs w:val="24"/>
        </w:rPr>
        <w:t xml:space="preserve"> </w:t>
      </w:r>
      <w:r w:rsidRPr="00D337FA">
        <w:rPr>
          <w:szCs w:val="24"/>
        </w:rPr>
        <w:t>на</w:t>
      </w:r>
      <w:r w:rsidR="006C680D" w:rsidRPr="00D337FA">
        <w:rPr>
          <w:szCs w:val="24"/>
        </w:rPr>
        <w:t xml:space="preserve"> </w:t>
      </w:r>
      <w:r w:rsidRPr="00D337FA">
        <w:rPr>
          <w:szCs w:val="24"/>
        </w:rPr>
        <w:t>расчётно-кассовое</w:t>
      </w:r>
      <w:r w:rsidR="006C680D" w:rsidRPr="00D337FA">
        <w:rPr>
          <w:szCs w:val="24"/>
        </w:rPr>
        <w:t xml:space="preserve"> </w:t>
      </w:r>
      <w:r w:rsidRPr="00D337FA">
        <w:rPr>
          <w:szCs w:val="24"/>
        </w:rPr>
        <w:t>обслуживание,</w:t>
      </w:r>
      <w:r w:rsidR="006C680D" w:rsidRPr="00D337FA">
        <w:rPr>
          <w:szCs w:val="24"/>
        </w:rPr>
        <w:t xml:space="preserve"> </w:t>
      </w:r>
      <w:r w:rsidRPr="00D337FA">
        <w:rPr>
          <w:szCs w:val="24"/>
        </w:rPr>
        <w:t>интернет-эквайринг</w:t>
      </w:r>
      <w:r w:rsidR="006C680D" w:rsidRPr="00D337FA">
        <w:rPr>
          <w:szCs w:val="24"/>
        </w:rPr>
        <w:t xml:space="preserve"> </w:t>
      </w:r>
      <w:r w:rsidRPr="00D337FA">
        <w:rPr>
          <w:szCs w:val="24"/>
        </w:rPr>
        <w:t>и</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продаж.</w:t>
      </w:r>
      <w:r w:rsidR="006C680D" w:rsidRPr="00D337FA">
        <w:rPr>
          <w:szCs w:val="24"/>
        </w:rPr>
        <w:t xml:space="preserve"> </w:t>
      </w:r>
      <w:r w:rsidRPr="00D337FA">
        <w:rPr>
          <w:szCs w:val="24"/>
        </w:rPr>
        <w:t>Особо</w:t>
      </w:r>
      <w:r w:rsidR="006C680D" w:rsidRPr="00D337FA">
        <w:rPr>
          <w:szCs w:val="24"/>
        </w:rPr>
        <w:t xml:space="preserve"> </w:t>
      </w:r>
      <w:r w:rsidRPr="00D337FA">
        <w:rPr>
          <w:szCs w:val="24"/>
        </w:rPr>
        <w:t>выделяется</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предлагающий</w:t>
      </w:r>
      <w:r w:rsidR="006C680D" w:rsidRPr="00D337FA">
        <w:rPr>
          <w:szCs w:val="24"/>
        </w:rPr>
        <w:t xml:space="preserve"> </w:t>
      </w:r>
      <w:r w:rsidRPr="00D337FA">
        <w:rPr>
          <w:szCs w:val="24"/>
        </w:rPr>
        <w:t>интеграцию</w:t>
      </w:r>
      <w:r w:rsidR="006C680D" w:rsidRPr="00D337FA">
        <w:rPr>
          <w:szCs w:val="24"/>
        </w:rPr>
        <w:t xml:space="preserve"> </w:t>
      </w:r>
      <w:r w:rsidRPr="00D337FA">
        <w:rPr>
          <w:szCs w:val="24"/>
        </w:rPr>
        <w:t>с</w:t>
      </w:r>
      <w:r w:rsidR="006C680D" w:rsidRPr="00D337FA">
        <w:rPr>
          <w:szCs w:val="24"/>
        </w:rPr>
        <w:t xml:space="preserve"> </w:t>
      </w:r>
      <w:r w:rsidRPr="00D337FA">
        <w:rPr>
          <w:szCs w:val="24"/>
        </w:rPr>
        <w:t>маркетплейсами</w:t>
      </w:r>
      <w:r w:rsidR="006C680D" w:rsidRPr="00D337FA">
        <w:rPr>
          <w:szCs w:val="24"/>
        </w:rPr>
        <w:t xml:space="preserve"> </w:t>
      </w:r>
      <w:r w:rsidRPr="00D337FA">
        <w:rPr>
          <w:szCs w:val="24"/>
        </w:rPr>
        <w:t>и</w:t>
      </w:r>
      <w:r w:rsidR="006C680D" w:rsidRPr="00D337FA">
        <w:rPr>
          <w:szCs w:val="24"/>
        </w:rPr>
        <w:t xml:space="preserve"> </w:t>
      </w:r>
      <w:r w:rsidRPr="00D337FA">
        <w:rPr>
          <w:szCs w:val="24"/>
        </w:rPr>
        <w:t>онлайн-кассами,</w:t>
      </w:r>
      <w:r w:rsidR="006C680D" w:rsidRPr="00D337FA">
        <w:rPr>
          <w:szCs w:val="24"/>
        </w:rPr>
        <w:t xml:space="preserve"> </w:t>
      </w:r>
      <w:r w:rsidRPr="00D337FA">
        <w:rPr>
          <w:szCs w:val="24"/>
        </w:rPr>
        <w:t>что</w:t>
      </w:r>
      <w:r w:rsidR="006C680D" w:rsidRPr="00D337FA">
        <w:rPr>
          <w:szCs w:val="24"/>
        </w:rPr>
        <w:t xml:space="preserve"> </w:t>
      </w:r>
      <w:r w:rsidRPr="00D337FA">
        <w:rPr>
          <w:szCs w:val="24"/>
        </w:rPr>
        <w:t>расширяет</w:t>
      </w:r>
      <w:r w:rsidR="006C680D" w:rsidRPr="00D337FA">
        <w:rPr>
          <w:szCs w:val="24"/>
        </w:rPr>
        <w:t xml:space="preserve"> </w:t>
      </w:r>
      <w:r w:rsidRPr="00D337FA">
        <w:rPr>
          <w:szCs w:val="24"/>
        </w:rPr>
        <w:t>ка</w:t>
      </w:r>
      <w:r w:rsidRPr="00D337FA">
        <w:rPr>
          <w:szCs w:val="24"/>
        </w:rPr>
        <w:lastRenderedPageBreak/>
        <w:t>налы</w:t>
      </w:r>
      <w:r w:rsidR="006C680D" w:rsidRPr="00D337FA">
        <w:rPr>
          <w:szCs w:val="24"/>
        </w:rPr>
        <w:t xml:space="preserve"> </w:t>
      </w:r>
      <w:r w:rsidRPr="00D337FA">
        <w:rPr>
          <w:szCs w:val="24"/>
        </w:rPr>
        <w:t>продаж</w:t>
      </w:r>
      <w:r w:rsidR="006C680D" w:rsidRPr="00D337FA">
        <w:rPr>
          <w:szCs w:val="24"/>
        </w:rPr>
        <w:t xml:space="preserve"> </w:t>
      </w:r>
      <w:r w:rsidRPr="00D337FA">
        <w:rPr>
          <w:szCs w:val="24"/>
        </w:rPr>
        <w:t>для</w:t>
      </w:r>
      <w:r w:rsidR="006C680D" w:rsidRPr="00D337FA">
        <w:rPr>
          <w:szCs w:val="24"/>
        </w:rPr>
        <w:t xml:space="preserve"> </w:t>
      </w:r>
      <w:r w:rsidRPr="00D337FA">
        <w:rPr>
          <w:szCs w:val="24"/>
        </w:rPr>
        <w:t>небольших</w:t>
      </w:r>
      <w:r w:rsidR="006C680D" w:rsidRPr="00D337FA">
        <w:rPr>
          <w:szCs w:val="24"/>
        </w:rPr>
        <w:t xml:space="preserve"> </w:t>
      </w:r>
      <w:r w:rsidRPr="00D337FA">
        <w:rPr>
          <w:szCs w:val="24"/>
        </w:rPr>
        <w:t>торговых</w:t>
      </w:r>
      <w:r w:rsidR="006C680D" w:rsidRPr="00D337FA">
        <w:rPr>
          <w:szCs w:val="24"/>
        </w:rPr>
        <w:t xml:space="preserve"> </w:t>
      </w:r>
      <w:r w:rsidRPr="00D337FA">
        <w:rPr>
          <w:szCs w:val="24"/>
        </w:rPr>
        <w:t>точек.</w:t>
      </w:r>
    </w:p>
    <w:p w:rsidR="00256E85" w:rsidRPr="00D337FA" w:rsidRDefault="00256E85" w:rsidP="00F40B92">
      <w:pPr>
        <w:ind w:firstLine="284"/>
        <w:rPr>
          <w:szCs w:val="24"/>
        </w:rPr>
      </w:pPr>
      <w:r w:rsidRPr="00D337FA">
        <w:rPr>
          <w:szCs w:val="24"/>
        </w:rPr>
        <w:t>Предложения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сферы</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касаются</w:t>
      </w:r>
      <w:r w:rsidR="006C680D" w:rsidRPr="00D337FA">
        <w:rPr>
          <w:szCs w:val="24"/>
        </w:rPr>
        <w:t xml:space="preserve"> </w:t>
      </w:r>
      <w:r w:rsidRPr="00D337FA">
        <w:rPr>
          <w:szCs w:val="24"/>
        </w:rPr>
        <w:t>персонализированных</w:t>
      </w:r>
      <w:r w:rsidR="006C680D" w:rsidRPr="00D337FA">
        <w:rPr>
          <w:szCs w:val="24"/>
        </w:rPr>
        <w:t xml:space="preserve"> </w:t>
      </w:r>
      <w:r w:rsidRPr="00D337FA">
        <w:rPr>
          <w:szCs w:val="24"/>
        </w:rPr>
        <w:t>тарифов,</w:t>
      </w:r>
      <w:r w:rsidR="006C680D" w:rsidRPr="00D337FA">
        <w:rPr>
          <w:szCs w:val="24"/>
        </w:rPr>
        <w:t xml:space="preserve"> </w:t>
      </w:r>
      <w:r w:rsidRPr="00D337FA">
        <w:rPr>
          <w:szCs w:val="24"/>
        </w:rPr>
        <w:t>автоматизации</w:t>
      </w:r>
      <w:r w:rsidR="006C680D" w:rsidRPr="00D337FA">
        <w:rPr>
          <w:szCs w:val="24"/>
        </w:rPr>
        <w:t xml:space="preserve"> </w:t>
      </w:r>
      <w:r w:rsidRPr="00D337FA">
        <w:rPr>
          <w:szCs w:val="24"/>
        </w:rPr>
        <w:t>расчётов</w:t>
      </w:r>
      <w:r w:rsidR="006C680D" w:rsidRPr="00D337FA">
        <w:rPr>
          <w:szCs w:val="24"/>
        </w:rPr>
        <w:t xml:space="preserve"> </w:t>
      </w:r>
      <w:r w:rsidRPr="00D337FA">
        <w:rPr>
          <w:szCs w:val="24"/>
        </w:rPr>
        <w:t>и</w:t>
      </w:r>
      <w:r w:rsidR="006C680D" w:rsidRPr="00D337FA">
        <w:rPr>
          <w:szCs w:val="24"/>
        </w:rPr>
        <w:t xml:space="preserve"> </w:t>
      </w:r>
      <w:r w:rsidRPr="00D337FA">
        <w:rPr>
          <w:szCs w:val="24"/>
        </w:rPr>
        <w:t>возможности</w:t>
      </w:r>
      <w:r w:rsidR="006C680D" w:rsidRPr="00D337FA">
        <w:rPr>
          <w:szCs w:val="24"/>
        </w:rPr>
        <w:t xml:space="preserve"> </w:t>
      </w:r>
      <w:r w:rsidRPr="00D337FA">
        <w:rPr>
          <w:szCs w:val="24"/>
        </w:rPr>
        <w:t>адаптации</w:t>
      </w:r>
      <w:r w:rsidR="006C680D" w:rsidRPr="00D337FA">
        <w:rPr>
          <w:szCs w:val="24"/>
        </w:rPr>
        <w:t xml:space="preserve"> </w:t>
      </w:r>
      <w:r w:rsidRPr="00D337FA">
        <w:rPr>
          <w:szCs w:val="24"/>
        </w:rPr>
        <w:t>бухгалтерского</w:t>
      </w:r>
      <w:r w:rsidR="006C680D" w:rsidRPr="00D337FA">
        <w:rPr>
          <w:szCs w:val="24"/>
        </w:rPr>
        <w:t xml:space="preserve"> </w:t>
      </w:r>
      <w:r w:rsidRPr="00D337FA">
        <w:rPr>
          <w:szCs w:val="24"/>
        </w:rPr>
        <w:t>учёта</w:t>
      </w:r>
      <w:r w:rsidR="006C680D" w:rsidRPr="00D337FA">
        <w:rPr>
          <w:szCs w:val="24"/>
        </w:rPr>
        <w:t xml:space="preserve"> </w:t>
      </w:r>
      <w:r w:rsidRPr="00D337FA">
        <w:rPr>
          <w:szCs w:val="24"/>
        </w:rPr>
        <w:t>под</w:t>
      </w:r>
      <w:r w:rsidR="006C680D" w:rsidRPr="00D337FA">
        <w:rPr>
          <w:szCs w:val="24"/>
        </w:rPr>
        <w:t xml:space="preserve"> </w:t>
      </w:r>
      <w:r w:rsidRPr="00D337FA">
        <w:rPr>
          <w:szCs w:val="24"/>
        </w:rPr>
        <w:t>специфику</w:t>
      </w:r>
      <w:r w:rsidR="006C680D" w:rsidRPr="00D337FA">
        <w:rPr>
          <w:szCs w:val="24"/>
        </w:rPr>
        <w:t xml:space="preserve"> </w:t>
      </w:r>
      <w:r w:rsidRPr="00D337FA">
        <w:rPr>
          <w:szCs w:val="24"/>
        </w:rPr>
        <w:t>оказываемых</w:t>
      </w:r>
      <w:r w:rsidR="006C680D" w:rsidRPr="00D337FA">
        <w:rPr>
          <w:szCs w:val="24"/>
        </w:rPr>
        <w:t xml:space="preserve"> </w:t>
      </w:r>
      <w:r w:rsidRPr="00D337FA">
        <w:rPr>
          <w:szCs w:val="24"/>
        </w:rPr>
        <w:t>услуг.</w:t>
      </w:r>
    </w:p>
    <w:p w:rsidR="00256E85" w:rsidRPr="00D337FA" w:rsidRDefault="00256E85" w:rsidP="00F40B92">
      <w:pPr>
        <w:ind w:firstLine="284"/>
        <w:rPr>
          <w:szCs w:val="24"/>
        </w:rPr>
      </w:pPr>
      <w:r w:rsidRPr="00D337FA">
        <w:rPr>
          <w:szCs w:val="24"/>
        </w:rPr>
        <w:t>Специализированные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охватывают</w:t>
      </w:r>
      <w:r w:rsidR="006C680D" w:rsidRPr="00D337FA">
        <w:rPr>
          <w:szCs w:val="24"/>
        </w:rPr>
        <w:t xml:space="preserve"> </w:t>
      </w:r>
      <w:r w:rsidRPr="00D337FA">
        <w:rPr>
          <w:szCs w:val="24"/>
        </w:rPr>
        <w:t>отрасли</w:t>
      </w:r>
      <w:r w:rsidR="006C680D" w:rsidRPr="00D337FA">
        <w:rPr>
          <w:szCs w:val="24"/>
        </w:rPr>
        <w:t xml:space="preserve"> </w:t>
      </w:r>
      <w:r w:rsidRPr="00D337FA">
        <w:rPr>
          <w:szCs w:val="24"/>
        </w:rPr>
        <w:t>онлайн-продаж,</w:t>
      </w:r>
      <w:r w:rsidR="006C680D" w:rsidRPr="00D337FA">
        <w:rPr>
          <w:szCs w:val="24"/>
        </w:rPr>
        <w:t xml:space="preserve"> </w:t>
      </w:r>
      <w:r w:rsidRPr="00D337FA">
        <w:rPr>
          <w:szCs w:val="24"/>
        </w:rPr>
        <w:t>оптовой</w:t>
      </w:r>
      <w:r w:rsidR="006C680D" w:rsidRPr="00D337FA">
        <w:rPr>
          <w:szCs w:val="24"/>
        </w:rPr>
        <w:t xml:space="preserve"> </w:t>
      </w:r>
      <w:r w:rsidRPr="00D337FA">
        <w:rPr>
          <w:szCs w:val="24"/>
        </w:rPr>
        <w:t>торговли,</w:t>
      </w:r>
      <w:r w:rsidR="006C680D" w:rsidRPr="00D337FA">
        <w:rPr>
          <w:szCs w:val="24"/>
        </w:rPr>
        <w:t xml:space="preserve"> </w:t>
      </w:r>
      <w:r w:rsidRPr="00D337FA">
        <w:rPr>
          <w:szCs w:val="24"/>
        </w:rPr>
        <w:t>производства</w:t>
      </w:r>
      <w:r w:rsidR="006C680D" w:rsidRPr="00D337FA">
        <w:rPr>
          <w:szCs w:val="24"/>
        </w:rPr>
        <w:t xml:space="preserve"> </w:t>
      </w:r>
      <w:r w:rsidRPr="00D337FA">
        <w:rPr>
          <w:szCs w:val="24"/>
        </w:rPr>
        <w:t>и</w:t>
      </w:r>
      <w:r w:rsidR="006C680D" w:rsidRPr="00D337FA">
        <w:rPr>
          <w:szCs w:val="24"/>
        </w:rPr>
        <w:t xml:space="preserve"> </w:t>
      </w:r>
      <w:r w:rsidRPr="00D337FA">
        <w:rPr>
          <w:szCs w:val="24"/>
        </w:rPr>
        <w:t>строительства.</w:t>
      </w:r>
      <w:r w:rsidR="006C680D" w:rsidRPr="00D337FA">
        <w:rPr>
          <w:szCs w:val="24"/>
        </w:rPr>
        <w:t xml:space="preserve"> </w:t>
      </w:r>
      <w:r w:rsidRPr="00D337FA">
        <w:rPr>
          <w:szCs w:val="24"/>
        </w:rPr>
        <w:t>Малым</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этих</w:t>
      </w:r>
      <w:r w:rsidR="006C680D" w:rsidRPr="00D337FA">
        <w:rPr>
          <w:szCs w:val="24"/>
        </w:rPr>
        <w:t xml:space="preserve"> </w:t>
      </w:r>
      <w:r w:rsidRPr="00D337FA">
        <w:rPr>
          <w:szCs w:val="24"/>
        </w:rPr>
        <w:t>отраслей</w:t>
      </w:r>
      <w:r w:rsidR="006C680D" w:rsidRPr="00D337FA">
        <w:rPr>
          <w:szCs w:val="24"/>
        </w:rPr>
        <w:t xml:space="preserve"> </w:t>
      </w:r>
      <w:r w:rsidRPr="00D337FA">
        <w:rPr>
          <w:szCs w:val="24"/>
        </w:rPr>
        <w:t>предлагаются</w:t>
      </w:r>
      <w:r w:rsidR="006C680D" w:rsidRPr="00D337FA">
        <w:rPr>
          <w:szCs w:val="24"/>
        </w:rPr>
        <w:t xml:space="preserve"> </w:t>
      </w:r>
      <w:r w:rsidRPr="00D337FA">
        <w:rPr>
          <w:szCs w:val="24"/>
        </w:rPr>
        <w:t>интернет-эквайринг,</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с</w:t>
      </w:r>
      <w:r w:rsidR="006C680D" w:rsidRPr="00D337FA">
        <w:rPr>
          <w:szCs w:val="24"/>
        </w:rPr>
        <w:t xml:space="preserve"> </w:t>
      </w:r>
      <w:r w:rsidRPr="00D337FA">
        <w:rPr>
          <w:szCs w:val="24"/>
        </w:rPr>
        <w:t>e-commerce</w:t>
      </w:r>
      <w:r w:rsidR="006C680D" w:rsidRPr="00D337FA">
        <w:rPr>
          <w:szCs w:val="24"/>
        </w:rPr>
        <w:t xml:space="preserve"> </w:t>
      </w:r>
      <w:r w:rsidRPr="00D337FA">
        <w:rPr>
          <w:szCs w:val="24"/>
        </w:rPr>
        <w:t>платформами,</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аналитики</w:t>
      </w:r>
      <w:r w:rsidR="006C680D" w:rsidRPr="00D337FA">
        <w:rPr>
          <w:szCs w:val="24"/>
        </w:rPr>
        <w:t xml:space="preserve"> </w:t>
      </w:r>
      <w:r w:rsidRPr="00D337FA">
        <w:rPr>
          <w:szCs w:val="24"/>
        </w:rPr>
        <w:t>и</w:t>
      </w:r>
      <w:r w:rsidR="006C680D" w:rsidRPr="00D337FA">
        <w:rPr>
          <w:szCs w:val="24"/>
        </w:rPr>
        <w:t xml:space="preserve"> </w:t>
      </w:r>
      <w:r w:rsidRPr="00D337FA">
        <w:rPr>
          <w:szCs w:val="24"/>
        </w:rPr>
        <w:t>комплексные</w:t>
      </w:r>
      <w:r w:rsidR="006C680D" w:rsidRPr="00D337FA">
        <w:rPr>
          <w:szCs w:val="24"/>
        </w:rPr>
        <w:t xml:space="preserve"> </w:t>
      </w:r>
      <w:r w:rsidRPr="00D337FA">
        <w:rPr>
          <w:szCs w:val="24"/>
        </w:rPr>
        <w:t>пакеты</w:t>
      </w:r>
      <w:r w:rsidR="006C680D" w:rsidRPr="00D337FA">
        <w:rPr>
          <w:szCs w:val="24"/>
        </w:rPr>
        <w:t xml:space="preserve"> </w:t>
      </w:r>
      <w:r w:rsidRPr="00D337FA">
        <w:rPr>
          <w:szCs w:val="24"/>
        </w:rPr>
        <w:t>с</w:t>
      </w:r>
      <w:r w:rsidR="006C680D" w:rsidRPr="00D337FA">
        <w:rPr>
          <w:szCs w:val="24"/>
        </w:rPr>
        <w:t xml:space="preserve"> </w:t>
      </w:r>
      <w:r w:rsidRPr="00D337FA">
        <w:rPr>
          <w:szCs w:val="24"/>
        </w:rPr>
        <w:t>кредитными</w:t>
      </w:r>
      <w:r w:rsidR="006C680D" w:rsidRPr="00D337FA">
        <w:rPr>
          <w:szCs w:val="24"/>
        </w:rPr>
        <w:t xml:space="preserve"> </w:t>
      </w:r>
      <w:r w:rsidRPr="00D337FA">
        <w:rPr>
          <w:szCs w:val="24"/>
        </w:rPr>
        <w:t>продуктами,</w:t>
      </w:r>
      <w:r w:rsidR="006C680D" w:rsidRPr="00D337FA">
        <w:rPr>
          <w:szCs w:val="24"/>
        </w:rPr>
        <w:t xml:space="preserve"> </w:t>
      </w:r>
      <w:r w:rsidRPr="00D337FA">
        <w:rPr>
          <w:szCs w:val="24"/>
        </w:rPr>
        <w:t>аналитикой</w:t>
      </w:r>
      <w:r w:rsidR="006C680D" w:rsidRPr="00D337FA">
        <w:rPr>
          <w:szCs w:val="24"/>
        </w:rPr>
        <w:t xml:space="preserve"> </w:t>
      </w:r>
      <w:r w:rsidRPr="00D337FA">
        <w:rPr>
          <w:szCs w:val="24"/>
        </w:rPr>
        <w:t>и</w:t>
      </w:r>
      <w:r w:rsidR="006C680D" w:rsidRPr="00D337FA">
        <w:rPr>
          <w:szCs w:val="24"/>
        </w:rPr>
        <w:t xml:space="preserve"> </w:t>
      </w:r>
      <w:r w:rsidRPr="00D337FA">
        <w:rPr>
          <w:szCs w:val="24"/>
        </w:rPr>
        <w:t>обслуживанием</w:t>
      </w:r>
      <w:r w:rsidR="006C680D" w:rsidRPr="00D337FA">
        <w:rPr>
          <w:szCs w:val="24"/>
        </w:rPr>
        <w:t xml:space="preserve"> </w:t>
      </w:r>
      <w:r w:rsidRPr="00D337FA">
        <w:rPr>
          <w:szCs w:val="24"/>
        </w:rPr>
        <w:t>контрактов.</w:t>
      </w:r>
    </w:p>
    <w:p w:rsidR="00256E85" w:rsidRPr="00D337FA" w:rsidRDefault="00256E85" w:rsidP="00F40B92">
      <w:pPr>
        <w:ind w:firstLine="284"/>
        <w:rPr>
          <w:szCs w:val="24"/>
        </w:rPr>
      </w:pPr>
      <w:r w:rsidRPr="00D337FA">
        <w:rPr>
          <w:szCs w:val="24"/>
        </w:rPr>
        <w:t>Единичные</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касаются</w:t>
      </w:r>
      <w:r w:rsidR="006C680D" w:rsidRPr="00D337FA">
        <w:rPr>
          <w:szCs w:val="24"/>
        </w:rPr>
        <w:t xml:space="preserve"> </w:t>
      </w:r>
      <w:r w:rsidRPr="00D337FA">
        <w:rPr>
          <w:szCs w:val="24"/>
        </w:rPr>
        <w:t>узконаправленных</w:t>
      </w:r>
      <w:r w:rsidR="006C680D" w:rsidRPr="00D337FA">
        <w:rPr>
          <w:szCs w:val="24"/>
        </w:rPr>
        <w:t xml:space="preserve"> </w:t>
      </w:r>
      <w:r w:rsidRPr="00D337FA">
        <w:rPr>
          <w:szCs w:val="24"/>
        </w:rPr>
        <w:t>сфер:</w:t>
      </w:r>
      <w:r w:rsidR="006C680D" w:rsidRPr="00D337FA">
        <w:rPr>
          <w:szCs w:val="24"/>
        </w:rPr>
        <w:t xml:space="preserve"> </w:t>
      </w:r>
      <w:r w:rsidRPr="00D337FA">
        <w:rPr>
          <w:szCs w:val="24"/>
        </w:rPr>
        <w:t>агробизнеса,</w:t>
      </w:r>
      <w:r w:rsidR="006C680D" w:rsidRPr="00D337FA">
        <w:rPr>
          <w:szCs w:val="24"/>
        </w:rPr>
        <w:t xml:space="preserve"> </w:t>
      </w:r>
      <w:r w:rsidRPr="00D337FA">
        <w:rPr>
          <w:szCs w:val="24"/>
        </w:rPr>
        <w:t>цветочного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нотариата,</w:t>
      </w:r>
      <w:r w:rsidR="006C680D" w:rsidRPr="00D337FA">
        <w:rPr>
          <w:szCs w:val="24"/>
        </w:rPr>
        <w:t xml:space="preserve"> </w:t>
      </w:r>
      <w:r w:rsidRPr="00D337FA">
        <w:rPr>
          <w:szCs w:val="24"/>
        </w:rPr>
        <w:t>гостиничного</w:t>
      </w:r>
      <w:r w:rsidR="006C680D" w:rsidRPr="00D337FA">
        <w:rPr>
          <w:szCs w:val="24"/>
        </w:rPr>
        <w:t xml:space="preserve"> </w:t>
      </w:r>
      <w:r w:rsidRPr="00D337FA">
        <w:rPr>
          <w:szCs w:val="24"/>
        </w:rPr>
        <w:t>дела,</w:t>
      </w:r>
      <w:r w:rsidR="006C680D" w:rsidRPr="00D337FA">
        <w:rPr>
          <w:szCs w:val="24"/>
        </w:rPr>
        <w:t xml:space="preserve"> </w:t>
      </w:r>
      <w:r w:rsidRPr="00D337FA">
        <w:rPr>
          <w:szCs w:val="24"/>
        </w:rPr>
        <w:t>франчайзинга,</w:t>
      </w:r>
      <w:r w:rsidR="006C680D" w:rsidRPr="00D337FA">
        <w:rPr>
          <w:szCs w:val="24"/>
        </w:rPr>
        <w:t xml:space="preserve"> </w:t>
      </w:r>
      <w:r w:rsidRPr="00D337FA">
        <w:rPr>
          <w:szCs w:val="24"/>
        </w:rPr>
        <w:t>фитнеса,</w:t>
      </w:r>
      <w:r w:rsidR="006C680D" w:rsidRPr="00D337FA">
        <w:rPr>
          <w:szCs w:val="24"/>
        </w:rPr>
        <w:t xml:space="preserve"> </w:t>
      </w:r>
      <w:r w:rsidRPr="00D337FA">
        <w:rPr>
          <w:szCs w:val="24"/>
        </w:rPr>
        <w:t>транспорта</w:t>
      </w:r>
      <w:r w:rsidR="006C680D" w:rsidRPr="00D337FA">
        <w:rPr>
          <w:szCs w:val="24"/>
        </w:rPr>
        <w:t xml:space="preserve"> </w:t>
      </w:r>
      <w:r w:rsidRPr="00D337FA">
        <w:rPr>
          <w:szCs w:val="24"/>
        </w:rPr>
        <w:t>и</w:t>
      </w:r>
      <w:r w:rsidR="006C680D" w:rsidRPr="00D337FA">
        <w:rPr>
          <w:szCs w:val="24"/>
        </w:rPr>
        <w:t xml:space="preserve"> </w:t>
      </w:r>
      <w:r w:rsidRPr="00D337FA">
        <w:rPr>
          <w:szCs w:val="24"/>
        </w:rPr>
        <w:t>ЖКХ.</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в</w:t>
      </w:r>
      <w:r w:rsidR="006C680D" w:rsidRPr="00D337FA">
        <w:rPr>
          <w:szCs w:val="24"/>
        </w:rPr>
        <w:t xml:space="preserve"> </w:t>
      </w:r>
      <w:r w:rsidRPr="00D337FA">
        <w:rPr>
          <w:szCs w:val="24"/>
        </w:rPr>
        <w:t>АО</w:t>
      </w:r>
      <w:r w:rsidR="006C680D" w:rsidRPr="00D337FA">
        <w:rPr>
          <w:szCs w:val="24"/>
        </w:rPr>
        <w:t xml:space="preserve"> </w:t>
      </w:r>
      <w:r w:rsidRPr="00D337FA">
        <w:rPr>
          <w:szCs w:val="24"/>
        </w:rPr>
        <w:t>«Россельхозбанк»</w:t>
      </w:r>
      <w:r w:rsidR="006C680D" w:rsidRPr="00D337FA">
        <w:rPr>
          <w:szCs w:val="24"/>
        </w:rPr>
        <w:t xml:space="preserve"> </w:t>
      </w:r>
      <w:r w:rsidRPr="00D337FA">
        <w:rPr>
          <w:szCs w:val="24"/>
        </w:rPr>
        <w:t>разработан</w:t>
      </w:r>
      <w:r w:rsidR="006C680D" w:rsidRPr="00D337FA">
        <w:rPr>
          <w:szCs w:val="24"/>
        </w:rPr>
        <w:t xml:space="preserve"> </w:t>
      </w:r>
      <w:r w:rsidRPr="00D337FA">
        <w:rPr>
          <w:szCs w:val="24"/>
        </w:rPr>
        <w:t>набор</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для</w:t>
      </w:r>
      <w:r w:rsidR="006C680D" w:rsidRPr="00D337FA">
        <w:rPr>
          <w:szCs w:val="24"/>
        </w:rPr>
        <w:t xml:space="preserve"> </w:t>
      </w:r>
      <w:r w:rsidRPr="00D337FA">
        <w:rPr>
          <w:szCs w:val="24"/>
        </w:rPr>
        <w:t>фермеров</w:t>
      </w:r>
      <w:r w:rsidR="006C680D" w:rsidRPr="00D337FA">
        <w:rPr>
          <w:szCs w:val="24"/>
        </w:rPr>
        <w:t xml:space="preserve"> </w:t>
      </w:r>
      <w:r w:rsidRPr="00D337FA">
        <w:rPr>
          <w:szCs w:val="24"/>
        </w:rPr>
        <w:t>и</w:t>
      </w:r>
      <w:r w:rsidR="006C680D" w:rsidRPr="00D337FA">
        <w:rPr>
          <w:szCs w:val="24"/>
        </w:rPr>
        <w:t xml:space="preserve"> </w:t>
      </w:r>
      <w:r w:rsidRPr="00D337FA">
        <w:rPr>
          <w:szCs w:val="24"/>
        </w:rPr>
        <w:t>сельхозпроизводителей,</w:t>
      </w:r>
      <w:r w:rsidR="006C680D" w:rsidRPr="00D337FA">
        <w:rPr>
          <w:szCs w:val="24"/>
        </w:rPr>
        <w:t xml:space="preserve"> </w:t>
      </w:r>
      <w:r w:rsidRPr="00D337FA">
        <w:rPr>
          <w:szCs w:val="24"/>
        </w:rPr>
        <w:t>включающий</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по</w:t>
      </w:r>
      <w:r w:rsidR="006C680D" w:rsidRPr="00D337FA">
        <w:rPr>
          <w:szCs w:val="24"/>
        </w:rPr>
        <w:t xml:space="preserve"> </w:t>
      </w:r>
      <w:r w:rsidRPr="00D337FA">
        <w:rPr>
          <w:szCs w:val="24"/>
        </w:rPr>
        <w:t>сбыту</w:t>
      </w:r>
      <w:r w:rsidR="006C680D" w:rsidRPr="00D337FA">
        <w:rPr>
          <w:szCs w:val="24"/>
        </w:rPr>
        <w:t xml:space="preserve"> </w:t>
      </w:r>
      <w:r w:rsidRPr="00D337FA">
        <w:rPr>
          <w:szCs w:val="24"/>
        </w:rPr>
        <w:t>продукции,</w:t>
      </w:r>
      <w:r w:rsidR="006C680D" w:rsidRPr="00D337FA">
        <w:rPr>
          <w:szCs w:val="24"/>
        </w:rPr>
        <w:t xml:space="preserve"> </w:t>
      </w:r>
      <w:r w:rsidRPr="00D337FA">
        <w:rPr>
          <w:szCs w:val="24"/>
        </w:rPr>
        <w:t>стартовые</w:t>
      </w:r>
      <w:r w:rsidR="006C680D" w:rsidRPr="00D337FA">
        <w:rPr>
          <w:szCs w:val="24"/>
        </w:rPr>
        <w:t xml:space="preserve"> </w:t>
      </w:r>
      <w:r w:rsidRPr="00D337FA">
        <w:rPr>
          <w:szCs w:val="24"/>
        </w:rPr>
        <w:t>кредиты</w:t>
      </w:r>
      <w:r w:rsidR="006C680D" w:rsidRPr="00D337FA">
        <w:rPr>
          <w:szCs w:val="24"/>
        </w:rPr>
        <w:t xml:space="preserve"> </w:t>
      </w:r>
      <w:r w:rsidRPr="00D337FA">
        <w:rPr>
          <w:szCs w:val="24"/>
        </w:rPr>
        <w:t>и</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сопровождения.</w:t>
      </w:r>
    </w:p>
    <w:p w:rsidR="00256E85" w:rsidRPr="00D337FA" w:rsidRDefault="00256E85" w:rsidP="00F40B92">
      <w:pPr>
        <w:ind w:firstLine="284"/>
        <w:rPr>
          <w:szCs w:val="24"/>
        </w:rPr>
      </w:pPr>
      <w:r w:rsidRPr="00D337FA">
        <w:rPr>
          <w:szCs w:val="24"/>
        </w:rPr>
        <w:t>Количество</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значимых</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по</w:t>
      </w:r>
      <w:r w:rsidR="006C680D" w:rsidRPr="00D337FA">
        <w:rPr>
          <w:szCs w:val="24"/>
        </w:rPr>
        <w:t xml:space="preserve"> </w:t>
      </w:r>
      <w:r w:rsidRPr="00D337FA">
        <w:rPr>
          <w:szCs w:val="24"/>
        </w:rPr>
        <w:t>направлениям</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наглядно</w:t>
      </w:r>
      <w:r w:rsidR="006C680D" w:rsidRPr="00D337FA">
        <w:rPr>
          <w:szCs w:val="24"/>
        </w:rPr>
        <w:t xml:space="preserve"> </w:t>
      </w:r>
      <w:r w:rsidRPr="00D337FA">
        <w:rPr>
          <w:szCs w:val="24"/>
        </w:rPr>
        <w:t>представлено</w:t>
      </w:r>
      <w:r w:rsidR="006C680D" w:rsidRPr="00D337FA">
        <w:rPr>
          <w:szCs w:val="24"/>
        </w:rPr>
        <w:t xml:space="preserve"> </w:t>
      </w:r>
      <w:r w:rsidRPr="00D337FA">
        <w:rPr>
          <w:szCs w:val="24"/>
        </w:rPr>
        <w:t>на</w:t>
      </w:r>
      <w:r w:rsidR="006C680D" w:rsidRPr="00D337FA">
        <w:rPr>
          <w:szCs w:val="24"/>
        </w:rPr>
        <w:t xml:space="preserve"> </w:t>
      </w:r>
      <w:r w:rsidRPr="00D337FA">
        <w:rPr>
          <w:szCs w:val="24"/>
        </w:rPr>
        <w:t>рис.</w:t>
      </w:r>
      <w:r w:rsidR="006C680D" w:rsidRPr="00D337FA">
        <w:rPr>
          <w:szCs w:val="24"/>
        </w:rPr>
        <w:t xml:space="preserve"> </w:t>
      </w:r>
      <w:r w:rsidRPr="00D337FA">
        <w:rPr>
          <w:szCs w:val="24"/>
        </w:rPr>
        <w:t>3.</w:t>
      </w:r>
      <w:r w:rsidR="006C680D" w:rsidRPr="00D337FA">
        <w:rPr>
          <w:szCs w:val="24"/>
        </w:rPr>
        <w:t xml:space="preserve"> </w:t>
      </w:r>
    </w:p>
    <w:p w:rsidR="00256E85" w:rsidRPr="00D337FA" w:rsidRDefault="00256E85" w:rsidP="00FB2463">
      <w:pPr>
        <w:tabs>
          <w:tab w:val="center" w:pos="4677"/>
        </w:tabs>
        <w:ind w:firstLine="0"/>
        <w:jc w:val="right"/>
        <w:rPr>
          <w:rFonts w:ascii="Arial CYR" w:hAnsi="Arial CYR" w:cs="Arial CYR"/>
          <w:b/>
          <w:bCs/>
          <w:i/>
          <w:iCs/>
          <w:caps/>
          <w:szCs w:val="24"/>
          <w:u w:val="single"/>
          <w:lang w:eastAsia="ru-RU"/>
        </w:rPr>
        <w:sectPr w:rsidR="00256E85" w:rsidRPr="00D337FA" w:rsidSect="00256E85">
          <w:footnotePr>
            <w:numRestart w:val="eachPage"/>
          </w:footnotePr>
          <w:type w:val="continuous"/>
          <w:pgSz w:w="11907" w:h="16840" w:code="9"/>
          <w:pgMar w:top="1418" w:right="1134" w:bottom="1418" w:left="1134" w:header="1021" w:footer="1021" w:gutter="0"/>
          <w:cols w:num="2" w:space="708"/>
          <w:docGrid w:linePitch="360"/>
        </w:sectPr>
      </w:pPr>
    </w:p>
    <w:p w:rsidR="00B706E9" w:rsidRPr="00D337FA" w:rsidRDefault="00B706E9" w:rsidP="00FB2463">
      <w:pPr>
        <w:tabs>
          <w:tab w:val="center" w:pos="4677"/>
        </w:tabs>
        <w:ind w:firstLine="0"/>
        <w:jc w:val="right"/>
        <w:rPr>
          <w:rFonts w:ascii="Arial CYR" w:hAnsi="Arial CYR" w:cs="Arial CYR"/>
          <w:b/>
          <w:bCs/>
          <w:i/>
          <w:iCs/>
          <w:caps/>
          <w:szCs w:val="24"/>
          <w:u w:val="single"/>
          <w:lang w:eastAsia="ru-RU"/>
        </w:rPr>
      </w:pPr>
    </w:p>
    <w:p w:rsidR="00B706E9" w:rsidRPr="00D337FA" w:rsidRDefault="00256E85" w:rsidP="00F40B92">
      <w:pPr>
        <w:tabs>
          <w:tab w:val="center" w:pos="4677"/>
        </w:tabs>
        <w:ind w:firstLine="0"/>
        <w:jc w:val="center"/>
        <w:rPr>
          <w:rFonts w:ascii="Arial CYR" w:hAnsi="Arial CYR" w:cs="Arial CYR"/>
          <w:b/>
          <w:bCs/>
          <w:i/>
          <w:iCs/>
          <w:caps/>
          <w:szCs w:val="24"/>
          <w:u w:val="single"/>
          <w:lang w:eastAsia="ru-RU"/>
        </w:rPr>
      </w:pPr>
      <w:r w:rsidRPr="00D337FA">
        <w:rPr>
          <w:noProof/>
          <w:sz w:val="28"/>
          <w:szCs w:val="28"/>
          <w:lang w:eastAsia="ru-RU"/>
        </w:rPr>
        <w:drawing>
          <wp:inline distT="0" distB="0" distL="0" distR="0" wp14:anchorId="06129BAF" wp14:editId="12EB32E9">
            <wp:extent cx="4872317" cy="2402006"/>
            <wp:effectExtent l="0" t="0" r="508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56E85" w:rsidRPr="00D337FA" w:rsidRDefault="00256E85" w:rsidP="00256E85">
      <w:pPr>
        <w:jc w:val="center"/>
        <w:rPr>
          <w:rFonts w:ascii="Arial" w:hAnsi="Arial" w:cs="Arial"/>
          <w:i/>
          <w:sz w:val="22"/>
          <w:szCs w:val="22"/>
        </w:rPr>
      </w:pPr>
      <w:r w:rsidRPr="00D337FA">
        <w:rPr>
          <w:rFonts w:ascii="Arial" w:hAnsi="Arial" w:cs="Arial"/>
          <w:i/>
          <w:sz w:val="22"/>
          <w:szCs w:val="22"/>
        </w:rPr>
        <w:t>Рис.3</w:t>
      </w:r>
      <w:r w:rsidRPr="00D337FA">
        <w:rPr>
          <w:rFonts w:ascii="Arial" w:hAnsi="Arial" w:cs="Arial"/>
          <w:bCs/>
          <w:i/>
          <w:sz w:val="22"/>
          <w:szCs w:val="22"/>
        </w:rPr>
        <w:t>.</w:t>
      </w:r>
      <w:r w:rsidR="006C680D" w:rsidRPr="00D337FA">
        <w:rPr>
          <w:rFonts w:ascii="Arial" w:hAnsi="Arial" w:cs="Arial"/>
          <w:bCs/>
          <w:i/>
          <w:sz w:val="22"/>
          <w:szCs w:val="22"/>
        </w:rPr>
        <w:t xml:space="preserve"> </w:t>
      </w:r>
      <w:r w:rsidRPr="00D337FA">
        <w:rPr>
          <w:rFonts w:ascii="Arial" w:hAnsi="Arial" w:cs="Arial"/>
          <w:i/>
          <w:sz w:val="22"/>
          <w:szCs w:val="22"/>
        </w:rPr>
        <w:t>Количество</w:t>
      </w:r>
      <w:r w:rsidR="006C680D" w:rsidRPr="00D337FA">
        <w:rPr>
          <w:rFonts w:ascii="Arial" w:hAnsi="Arial" w:cs="Arial"/>
          <w:i/>
          <w:sz w:val="22"/>
          <w:szCs w:val="22"/>
        </w:rPr>
        <w:t xml:space="preserve"> </w:t>
      </w:r>
      <w:r w:rsidRPr="00D337FA">
        <w:rPr>
          <w:rFonts w:ascii="Arial" w:hAnsi="Arial" w:cs="Arial"/>
          <w:i/>
          <w:sz w:val="22"/>
          <w:szCs w:val="22"/>
        </w:rPr>
        <w:t>системно</w:t>
      </w:r>
      <w:r w:rsidR="006C680D" w:rsidRPr="00D337FA">
        <w:rPr>
          <w:rFonts w:ascii="Arial" w:hAnsi="Arial" w:cs="Arial"/>
          <w:i/>
          <w:sz w:val="22"/>
          <w:szCs w:val="22"/>
        </w:rPr>
        <w:t xml:space="preserve"> </w:t>
      </w:r>
      <w:r w:rsidRPr="00D337FA">
        <w:rPr>
          <w:rFonts w:ascii="Arial" w:hAnsi="Arial" w:cs="Arial"/>
          <w:i/>
          <w:sz w:val="22"/>
          <w:szCs w:val="22"/>
        </w:rPr>
        <w:t>значимых</w:t>
      </w:r>
      <w:r w:rsidR="006C680D" w:rsidRPr="00D337FA">
        <w:rPr>
          <w:rFonts w:ascii="Arial" w:hAnsi="Arial" w:cs="Arial"/>
          <w:i/>
          <w:sz w:val="22"/>
          <w:szCs w:val="22"/>
        </w:rPr>
        <w:t xml:space="preserve"> </w:t>
      </w:r>
      <w:r w:rsidRPr="00D337FA">
        <w:rPr>
          <w:rFonts w:ascii="Arial" w:hAnsi="Arial" w:cs="Arial"/>
          <w:i/>
          <w:sz w:val="22"/>
          <w:szCs w:val="22"/>
        </w:rPr>
        <w:t>банков</w:t>
      </w:r>
      <w:r w:rsidR="006C680D" w:rsidRPr="00D337FA">
        <w:rPr>
          <w:rFonts w:ascii="Arial" w:hAnsi="Arial" w:cs="Arial"/>
          <w:i/>
          <w:sz w:val="22"/>
          <w:szCs w:val="22"/>
        </w:rPr>
        <w:t xml:space="preserve"> </w:t>
      </w:r>
      <w:r w:rsidRPr="00D337FA">
        <w:rPr>
          <w:rFonts w:ascii="Arial" w:hAnsi="Arial" w:cs="Arial"/>
          <w:i/>
          <w:sz w:val="22"/>
          <w:szCs w:val="22"/>
        </w:rPr>
        <w:t>по</w:t>
      </w:r>
      <w:r w:rsidR="006C680D" w:rsidRPr="00D337FA">
        <w:rPr>
          <w:rFonts w:ascii="Arial" w:hAnsi="Arial" w:cs="Arial"/>
          <w:i/>
          <w:sz w:val="22"/>
          <w:szCs w:val="22"/>
        </w:rPr>
        <w:t xml:space="preserve"> </w:t>
      </w:r>
      <w:r w:rsidRPr="00D337FA">
        <w:rPr>
          <w:rFonts w:ascii="Arial" w:hAnsi="Arial" w:cs="Arial"/>
          <w:i/>
          <w:sz w:val="22"/>
          <w:szCs w:val="22"/>
        </w:rPr>
        <w:t>направлениям</w:t>
      </w:r>
      <w:r w:rsidR="006C680D" w:rsidRPr="00D337FA">
        <w:rPr>
          <w:rFonts w:ascii="Arial" w:hAnsi="Arial" w:cs="Arial"/>
          <w:i/>
          <w:sz w:val="22"/>
          <w:szCs w:val="22"/>
        </w:rPr>
        <w:t xml:space="preserve"> </w:t>
      </w:r>
      <w:r w:rsidRPr="00D337FA">
        <w:rPr>
          <w:rFonts w:ascii="Arial" w:hAnsi="Arial" w:cs="Arial"/>
          <w:i/>
          <w:sz w:val="22"/>
          <w:szCs w:val="22"/>
        </w:rPr>
        <w:t>отраслевых</w:t>
      </w:r>
      <w:r w:rsidR="006C680D" w:rsidRPr="00D337FA">
        <w:rPr>
          <w:rFonts w:ascii="Arial" w:hAnsi="Arial" w:cs="Arial"/>
          <w:i/>
          <w:sz w:val="22"/>
          <w:szCs w:val="22"/>
        </w:rPr>
        <w:t xml:space="preserve"> </w:t>
      </w:r>
      <w:r w:rsidRPr="00D337FA">
        <w:rPr>
          <w:rFonts w:ascii="Arial" w:hAnsi="Arial" w:cs="Arial"/>
          <w:i/>
          <w:sz w:val="22"/>
          <w:szCs w:val="22"/>
        </w:rPr>
        <w:t>решений</w:t>
      </w:r>
      <w:r w:rsidR="006C680D" w:rsidRPr="00D337FA">
        <w:rPr>
          <w:rFonts w:ascii="Arial" w:hAnsi="Arial" w:cs="Arial"/>
          <w:i/>
          <w:sz w:val="22"/>
          <w:szCs w:val="22"/>
        </w:rPr>
        <w:t xml:space="preserve"> </w:t>
      </w:r>
      <w:r w:rsidRPr="00D337FA">
        <w:rPr>
          <w:rFonts w:ascii="Arial" w:hAnsi="Arial" w:cs="Arial"/>
          <w:i/>
          <w:sz w:val="22"/>
          <w:szCs w:val="22"/>
        </w:rPr>
        <w:t>для</w:t>
      </w:r>
      <w:r w:rsidR="006C680D" w:rsidRPr="00D337FA">
        <w:rPr>
          <w:rFonts w:ascii="Arial" w:hAnsi="Arial" w:cs="Arial"/>
          <w:i/>
          <w:sz w:val="22"/>
          <w:szCs w:val="22"/>
        </w:rPr>
        <w:t xml:space="preserve"> </w:t>
      </w:r>
      <w:r w:rsidRPr="00D337FA">
        <w:rPr>
          <w:rFonts w:ascii="Arial" w:hAnsi="Arial" w:cs="Arial"/>
          <w:i/>
          <w:sz w:val="22"/>
          <w:szCs w:val="22"/>
        </w:rPr>
        <w:t>предприятий</w:t>
      </w:r>
      <w:r w:rsidR="006C680D" w:rsidRPr="00D337FA">
        <w:rPr>
          <w:rFonts w:ascii="Arial" w:hAnsi="Arial" w:cs="Arial"/>
          <w:i/>
          <w:sz w:val="22"/>
          <w:szCs w:val="22"/>
        </w:rPr>
        <w:t xml:space="preserve"> </w:t>
      </w:r>
      <w:r w:rsidRPr="00D337FA">
        <w:rPr>
          <w:rFonts w:ascii="Arial" w:hAnsi="Arial" w:cs="Arial"/>
          <w:i/>
          <w:sz w:val="22"/>
          <w:szCs w:val="22"/>
        </w:rPr>
        <w:t>малого</w:t>
      </w:r>
      <w:r w:rsidR="006C680D" w:rsidRPr="00D337FA">
        <w:rPr>
          <w:rFonts w:ascii="Arial" w:hAnsi="Arial" w:cs="Arial"/>
          <w:i/>
          <w:sz w:val="22"/>
          <w:szCs w:val="22"/>
        </w:rPr>
        <w:t xml:space="preserve"> </w:t>
      </w:r>
      <w:r w:rsidRPr="00D337FA">
        <w:rPr>
          <w:rFonts w:ascii="Arial" w:hAnsi="Arial" w:cs="Arial"/>
          <w:i/>
          <w:sz w:val="22"/>
          <w:szCs w:val="22"/>
        </w:rPr>
        <w:t>бизнеса</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2025</w:t>
      </w:r>
      <w:r w:rsidR="006C680D" w:rsidRPr="00D337FA">
        <w:rPr>
          <w:rFonts w:ascii="Arial" w:hAnsi="Arial" w:cs="Arial"/>
          <w:i/>
          <w:sz w:val="22"/>
          <w:szCs w:val="22"/>
        </w:rPr>
        <w:t xml:space="preserve"> </w:t>
      </w:r>
      <w:r w:rsidRPr="00D337FA">
        <w:rPr>
          <w:rFonts w:ascii="Arial" w:hAnsi="Arial" w:cs="Arial"/>
          <w:i/>
          <w:sz w:val="22"/>
          <w:szCs w:val="22"/>
        </w:rPr>
        <w:t>г.</w:t>
      </w:r>
    </w:p>
    <w:p w:rsidR="00256E85" w:rsidRPr="00D337FA" w:rsidRDefault="00256E85" w:rsidP="00256E85">
      <w:pPr>
        <w:ind w:firstLine="709"/>
        <w:rPr>
          <w:szCs w:val="24"/>
        </w:rPr>
        <w:sectPr w:rsidR="00256E85"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A53D60" w:rsidRDefault="00A53D60" w:rsidP="00F40B92">
      <w:pPr>
        <w:ind w:firstLine="284"/>
        <w:rPr>
          <w:szCs w:val="24"/>
        </w:rPr>
      </w:pPr>
    </w:p>
    <w:p w:rsidR="00A53D60" w:rsidRDefault="00A53D60" w:rsidP="00F40B92">
      <w:pPr>
        <w:ind w:firstLine="284"/>
        <w:rPr>
          <w:szCs w:val="24"/>
        </w:rPr>
      </w:pPr>
    </w:p>
    <w:p w:rsidR="00A53D60" w:rsidRDefault="00A53D60" w:rsidP="00F40B92">
      <w:pPr>
        <w:ind w:firstLine="284"/>
        <w:rPr>
          <w:szCs w:val="24"/>
        </w:rPr>
      </w:pPr>
    </w:p>
    <w:p w:rsidR="00A53D60" w:rsidRDefault="00A53D60" w:rsidP="00F40B92">
      <w:pPr>
        <w:ind w:firstLine="284"/>
        <w:rPr>
          <w:szCs w:val="24"/>
        </w:rPr>
      </w:pPr>
    </w:p>
    <w:p w:rsidR="00F40B92" w:rsidRPr="00F40B92" w:rsidRDefault="00F40B92" w:rsidP="00F40B92">
      <w:pPr>
        <w:ind w:firstLine="284"/>
        <w:rPr>
          <w:szCs w:val="24"/>
        </w:rPr>
      </w:pPr>
      <w:r w:rsidRPr="00F40B92">
        <w:rPr>
          <w:szCs w:val="24"/>
        </w:rPr>
        <w:lastRenderedPageBreak/>
        <w:t xml:space="preserve">Результаты анализа демонстрируют неравномерность охвата отраслей банковскими решениями. Такие сферы, как ресторанный бизнес, розничная торговля и онлайн-продажи, получили значительную поддержку, в то время как направления, связанные с производством, сельским хозяйством и промышленными услугами, охвачены ограниченно. При этом очевидна концентрация таких решений у трёх крупнейших банков – АО «АЛЬФА-БАНК», ПАО Сбербанк и Банк ВТБ (ПАО). Именно они формируют отраслевую инфраструктуру банковского обслуживания малого бизнеса в России. Остальные системно значимые банки реализуют ограниченное количество специализированных пакетов. </w:t>
      </w:r>
    </w:p>
    <w:p w:rsidR="00F40B92" w:rsidRDefault="00F40B92" w:rsidP="00F40B92">
      <w:pPr>
        <w:ind w:firstLine="284"/>
        <w:rPr>
          <w:szCs w:val="24"/>
        </w:rPr>
      </w:pPr>
      <w:r w:rsidRPr="00F40B92">
        <w:rPr>
          <w:szCs w:val="24"/>
        </w:rPr>
        <w:t>Следующая тенденция – расширение видов кредитной поддержки малого бизнеса и развитие альтернативных форм его финансирования.</w:t>
      </w:r>
    </w:p>
    <w:p w:rsidR="00256E85" w:rsidRPr="00D337FA" w:rsidRDefault="00256E85" w:rsidP="00F40B92">
      <w:pPr>
        <w:ind w:firstLine="284"/>
        <w:rPr>
          <w:szCs w:val="24"/>
        </w:rPr>
      </w:pPr>
      <w:r w:rsidRPr="00D337FA">
        <w:rPr>
          <w:szCs w:val="24"/>
        </w:rPr>
        <w:t>Активизация</w:t>
      </w:r>
      <w:r w:rsidR="006C680D" w:rsidRPr="00D337FA">
        <w:rPr>
          <w:szCs w:val="24"/>
        </w:rPr>
        <w:t xml:space="preserve"> </w:t>
      </w:r>
      <w:r w:rsidRPr="00D337FA">
        <w:rPr>
          <w:szCs w:val="24"/>
        </w:rPr>
        <w:t>кредитной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годы</w:t>
      </w:r>
      <w:r w:rsidR="006C680D" w:rsidRPr="00D337FA">
        <w:rPr>
          <w:szCs w:val="24"/>
        </w:rPr>
        <w:t xml:space="preserve"> </w:t>
      </w:r>
      <w:r w:rsidRPr="00D337FA">
        <w:rPr>
          <w:szCs w:val="24"/>
        </w:rPr>
        <w:t>значительно</w:t>
      </w:r>
      <w:r w:rsidR="006C680D" w:rsidRPr="00D337FA">
        <w:rPr>
          <w:szCs w:val="24"/>
        </w:rPr>
        <w:t xml:space="preserve"> </w:t>
      </w:r>
      <w:r w:rsidRPr="00D337FA">
        <w:rPr>
          <w:szCs w:val="24"/>
        </w:rPr>
        <w:t>улучшила</w:t>
      </w:r>
      <w:r w:rsidR="006C680D" w:rsidRPr="00D337FA">
        <w:rPr>
          <w:szCs w:val="24"/>
        </w:rPr>
        <w:t xml:space="preserve"> </w:t>
      </w:r>
      <w:r w:rsidRPr="00D337FA">
        <w:rPr>
          <w:szCs w:val="24"/>
        </w:rPr>
        <w:t>его</w:t>
      </w:r>
      <w:r w:rsidR="006C680D" w:rsidRPr="00D337FA">
        <w:rPr>
          <w:szCs w:val="24"/>
        </w:rPr>
        <w:t xml:space="preserve"> </w:t>
      </w:r>
      <w:r w:rsidRPr="00D337FA">
        <w:rPr>
          <w:szCs w:val="24"/>
        </w:rPr>
        <w:t>финансовое</w:t>
      </w:r>
      <w:r w:rsidR="006C680D" w:rsidRPr="00D337FA">
        <w:rPr>
          <w:szCs w:val="24"/>
        </w:rPr>
        <w:t xml:space="preserve"> </w:t>
      </w:r>
      <w:r w:rsidRPr="00D337FA">
        <w:rPr>
          <w:szCs w:val="24"/>
        </w:rPr>
        <w:t>положение.</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как</w:t>
      </w:r>
      <w:r w:rsidR="006C680D" w:rsidRPr="00D337FA">
        <w:rPr>
          <w:szCs w:val="24"/>
        </w:rPr>
        <w:t xml:space="preserve"> </w:t>
      </w:r>
      <w:r w:rsidRPr="00D337FA">
        <w:rPr>
          <w:szCs w:val="24"/>
        </w:rPr>
        <w:t>Банк</w:t>
      </w:r>
      <w:r w:rsidR="006C680D" w:rsidRPr="00D337FA">
        <w:rPr>
          <w:szCs w:val="24"/>
        </w:rPr>
        <w:t xml:space="preserve"> </w:t>
      </w:r>
      <w:r w:rsidRPr="00D337FA">
        <w:rPr>
          <w:szCs w:val="24"/>
        </w:rPr>
        <w:t>ГПБ</w:t>
      </w:r>
      <w:r w:rsidR="006C680D" w:rsidRPr="00D337FA">
        <w:rPr>
          <w:szCs w:val="24"/>
        </w:rPr>
        <w:t xml:space="preserve"> </w:t>
      </w:r>
      <w:r w:rsidRPr="00D337FA">
        <w:rPr>
          <w:szCs w:val="24"/>
        </w:rPr>
        <w:t>(АО),</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предложили</w:t>
      </w:r>
      <w:r w:rsidR="006C680D" w:rsidRPr="00D337FA">
        <w:rPr>
          <w:szCs w:val="24"/>
        </w:rPr>
        <w:t xml:space="preserve"> </w:t>
      </w:r>
      <w:r w:rsidRPr="00D337FA">
        <w:rPr>
          <w:szCs w:val="24"/>
        </w:rPr>
        <w:t>широкий</w:t>
      </w:r>
      <w:r w:rsidR="006C680D" w:rsidRPr="00D337FA">
        <w:rPr>
          <w:szCs w:val="24"/>
        </w:rPr>
        <w:t xml:space="preserve"> </w:t>
      </w:r>
      <w:r w:rsidRPr="00D337FA">
        <w:rPr>
          <w:szCs w:val="24"/>
        </w:rPr>
        <w:t>выбор</w:t>
      </w:r>
      <w:r w:rsidR="006C680D" w:rsidRPr="00D337FA">
        <w:rPr>
          <w:szCs w:val="24"/>
        </w:rPr>
        <w:t xml:space="preserve"> </w:t>
      </w:r>
      <w:r w:rsidRPr="00D337FA">
        <w:rPr>
          <w:szCs w:val="24"/>
        </w:rPr>
        <w:t>кредитных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кредиты</w:t>
      </w:r>
      <w:r w:rsidR="006C680D" w:rsidRPr="00D337FA">
        <w:rPr>
          <w:szCs w:val="24"/>
        </w:rPr>
        <w:t xml:space="preserve"> </w:t>
      </w:r>
      <w:r w:rsidRPr="00D337FA">
        <w:rPr>
          <w:szCs w:val="24"/>
        </w:rPr>
        <w:t>на</w:t>
      </w:r>
      <w:r w:rsidR="006C680D" w:rsidRPr="00D337FA">
        <w:rPr>
          <w:szCs w:val="24"/>
        </w:rPr>
        <w:t xml:space="preserve"> </w:t>
      </w:r>
      <w:r w:rsidRPr="00D337FA">
        <w:rPr>
          <w:szCs w:val="24"/>
        </w:rPr>
        <w:t>оборотные</w:t>
      </w:r>
      <w:r w:rsidR="006C680D" w:rsidRPr="00D337FA">
        <w:rPr>
          <w:szCs w:val="24"/>
        </w:rPr>
        <w:t xml:space="preserve"> </w:t>
      </w:r>
      <w:r w:rsidRPr="00D337FA">
        <w:rPr>
          <w:szCs w:val="24"/>
        </w:rPr>
        <w:t>средства,</w:t>
      </w:r>
      <w:r w:rsidR="006C680D" w:rsidRPr="00D337FA">
        <w:rPr>
          <w:szCs w:val="24"/>
        </w:rPr>
        <w:t xml:space="preserve"> </w:t>
      </w:r>
      <w:r w:rsidRPr="00D337FA">
        <w:rPr>
          <w:szCs w:val="24"/>
        </w:rPr>
        <w:t>кредитование</w:t>
      </w:r>
      <w:r w:rsidR="006C680D" w:rsidRPr="00D337FA">
        <w:rPr>
          <w:szCs w:val="24"/>
        </w:rPr>
        <w:t xml:space="preserve"> </w:t>
      </w:r>
      <w:r w:rsidRPr="00D337FA">
        <w:rPr>
          <w:szCs w:val="24"/>
        </w:rPr>
        <w:t>под</w:t>
      </w:r>
      <w:r w:rsidR="006C680D" w:rsidRPr="00D337FA">
        <w:rPr>
          <w:szCs w:val="24"/>
        </w:rPr>
        <w:t xml:space="preserve"> </w:t>
      </w:r>
      <w:r w:rsidRPr="00D337FA">
        <w:rPr>
          <w:szCs w:val="24"/>
        </w:rPr>
        <w:t>финансирование</w:t>
      </w:r>
      <w:r w:rsidR="006C680D" w:rsidRPr="00D337FA">
        <w:rPr>
          <w:szCs w:val="24"/>
        </w:rPr>
        <w:t xml:space="preserve"> </w:t>
      </w:r>
      <w:r w:rsidRPr="00D337FA">
        <w:rPr>
          <w:szCs w:val="24"/>
        </w:rPr>
        <w:t>контрактов</w:t>
      </w:r>
      <w:r w:rsidR="006C680D" w:rsidRPr="00D337FA">
        <w:rPr>
          <w:szCs w:val="24"/>
        </w:rPr>
        <w:t xml:space="preserve"> </w:t>
      </w:r>
      <w:r w:rsidRPr="00D337FA">
        <w:rPr>
          <w:szCs w:val="24"/>
        </w:rPr>
        <w:t>и</w:t>
      </w:r>
      <w:r w:rsidR="006C680D" w:rsidRPr="00D337FA">
        <w:rPr>
          <w:szCs w:val="24"/>
        </w:rPr>
        <w:t xml:space="preserve"> </w:t>
      </w:r>
      <w:r w:rsidRPr="00D337FA">
        <w:rPr>
          <w:szCs w:val="24"/>
        </w:rPr>
        <w:t>льготные</w:t>
      </w:r>
      <w:r w:rsidR="006C680D" w:rsidRPr="00D337FA">
        <w:rPr>
          <w:szCs w:val="24"/>
        </w:rPr>
        <w:t xml:space="preserve"> </w:t>
      </w:r>
      <w:r w:rsidRPr="00D337FA">
        <w:rPr>
          <w:szCs w:val="24"/>
        </w:rPr>
        <w:t>кредитные</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поддерживаемые</w:t>
      </w:r>
      <w:r w:rsidR="006C680D" w:rsidRPr="00D337FA">
        <w:rPr>
          <w:szCs w:val="24"/>
        </w:rPr>
        <w:t xml:space="preserve"> </w:t>
      </w:r>
      <w:r w:rsidRPr="00D337FA">
        <w:rPr>
          <w:szCs w:val="24"/>
        </w:rPr>
        <w:t>государственными</w:t>
      </w:r>
      <w:r w:rsidR="006C680D" w:rsidRPr="00D337FA">
        <w:rPr>
          <w:szCs w:val="24"/>
        </w:rPr>
        <w:t xml:space="preserve"> </w:t>
      </w:r>
      <w:r w:rsidRPr="00D337FA">
        <w:rPr>
          <w:szCs w:val="24"/>
        </w:rPr>
        <w:t>субсидиями.</w:t>
      </w:r>
      <w:r w:rsidR="006C680D" w:rsidRPr="00D337FA">
        <w:rPr>
          <w:szCs w:val="24"/>
        </w:rPr>
        <w:t xml:space="preserve"> </w:t>
      </w:r>
      <w:r w:rsidRPr="00D337FA">
        <w:rPr>
          <w:szCs w:val="24"/>
        </w:rPr>
        <w:t>Большое</w:t>
      </w:r>
      <w:r w:rsidR="006C680D" w:rsidRPr="00D337FA">
        <w:rPr>
          <w:szCs w:val="24"/>
        </w:rPr>
        <w:t xml:space="preserve"> </w:t>
      </w:r>
      <w:r w:rsidRPr="00D337FA">
        <w:rPr>
          <w:szCs w:val="24"/>
        </w:rPr>
        <w:t>внимание</w:t>
      </w:r>
      <w:r w:rsidR="006C680D" w:rsidRPr="00D337FA">
        <w:rPr>
          <w:szCs w:val="24"/>
        </w:rPr>
        <w:t xml:space="preserve"> </w:t>
      </w:r>
      <w:r w:rsidRPr="00D337FA">
        <w:rPr>
          <w:szCs w:val="24"/>
        </w:rPr>
        <w:t>уделяется</w:t>
      </w:r>
      <w:r w:rsidR="006C680D" w:rsidRPr="00D337FA">
        <w:rPr>
          <w:szCs w:val="24"/>
        </w:rPr>
        <w:t xml:space="preserve"> </w:t>
      </w:r>
      <w:r w:rsidRPr="00D337FA">
        <w:rPr>
          <w:szCs w:val="24"/>
        </w:rPr>
        <w:t>развитию</w:t>
      </w:r>
      <w:r w:rsidR="006C680D" w:rsidRPr="00D337FA">
        <w:rPr>
          <w:szCs w:val="24"/>
        </w:rPr>
        <w:t xml:space="preserve"> </w:t>
      </w:r>
      <w:r w:rsidRPr="00D337FA">
        <w:rPr>
          <w:szCs w:val="24"/>
        </w:rPr>
        <w:t>кредитов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реализации</w:t>
      </w:r>
      <w:r w:rsidR="006C680D" w:rsidRPr="00D337FA">
        <w:rPr>
          <w:szCs w:val="24"/>
        </w:rPr>
        <w:t xml:space="preserve"> </w:t>
      </w:r>
      <w:r w:rsidRPr="00D337FA">
        <w:rPr>
          <w:szCs w:val="24"/>
        </w:rPr>
        <w:t>проектов,</w:t>
      </w:r>
      <w:r w:rsidR="006C680D" w:rsidRPr="00D337FA">
        <w:rPr>
          <w:szCs w:val="24"/>
        </w:rPr>
        <w:t xml:space="preserve"> </w:t>
      </w:r>
      <w:r w:rsidRPr="00D337FA">
        <w:rPr>
          <w:szCs w:val="24"/>
        </w:rPr>
        <w:t>инвестиционных</w:t>
      </w:r>
      <w:r w:rsidR="006C680D" w:rsidRPr="00D337FA">
        <w:rPr>
          <w:szCs w:val="24"/>
        </w:rPr>
        <w:t xml:space="preserve"> </w:t>
      </w:r>
      <w:r w:rsidRPr="00D337FA">
        <w:rPr>
          <w:szCs w:val="24"/>
        </w:rPr>
        <w:t>кредитов</w:t>
      </w:r>
      <w:r w:rsidR="006C680D" w:rsidRPr="00D337FA">
        <w:rPr>
          <w:szCs w:val="24"/>
        </w:rPr>
        <w:t xml:space="preserve"> </w:t>
      </w:r>
      <w:r w:rsidRPr="00D337FA">
        <w:rPr>
          <w:szCs w:val="24"/>
        </w:rPr>
        <w:t>и</w:t>
      </w:r>
      <w:r w:rsidR="006C680D" w:rsidRPr="00D337FA">
        <w:rPr>
          <w:szCs w:val="24"/>
        </w:rPr>
        <w:t xml:space="preserve"> </w:t>
      </w:r>
      <w:r w:rsidRPr="00D337FA">
        <w:rPr>
          <w:szCs w:val="24"/>
        </w:rPr>
        <w:t>рефинансированию.</w:t>
      </w:r>
      <w:r w:rsidR="006C680D" w:rsidRPr="00D337FA">
        <w:rPr>
          <w:szCs w:val="24"/>
        </w:rPr>
        <w:t xml:space="preserve"> </w:t>
      </w:r>
      <w:r w:rsidRPr="00D337FA">
        <w:rPr>
          <w:szCs w:val="24"/>
        </w:rPr>
        <w:t>Эти</w:t>
      </w:r>
      <w:r w:rsidR="006C680D" w:rsidRPr="00D337FA">
        <w:rPr>
          <w:szCs w:val="24"/>
        </w:rPr>
        <w:t xml:space="preserve"> </w:t>
      </w:r>
      <w:r w:rsidRPr="00D337FA">
        <w:rPr>
          <w:szCs w:val="24"/>
        </w:rPr>
        <w:t>продукты</w:t>
      </w:r>
      <w:r w:rsidR="006C680D" w:rsidRPr="00D337FA">
        <w:rPr>
          <w:szCs w:val="24"/>
        </w:rPr>
        <w:t xml:space="preserve"> </w:t>
      </w:r>
      <w:r w:rsidRPr="00D337FA">
        <w:rPr>
          <w:szCs w:val="24"/>
        </w:rPr>
        <w:t>позволяют</w:t>
      </w:r>
      <w:r w:rsidR="006C680D" w:rsidRPr="00D337FA">
        <w:rPr>
          <w:szCs w:val="24"/>
        </w:rPr>
        <w:t xml:space="preserve"> </w:t>
      </w:r>
      <w:r w:rsidRPr="00D337FA">
        <w:rPr>
          <w:szCs w:val="24"/>
        </w:rPr>
        <w:t>малым</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оптимизировать</w:t>
      </w:r>
      <w:r w:rsidR="006C680D" w:rsidRPr="00D337FA">
        <w:rPr>
          <w:szCs w:val="24"/>
        </w:rPr>
        <w:t xml:space="preserve"> </w:t>
      </w:r>
      <w:r w:rsidRPr="00D337FA">
        <w:rPr>
          <w:szCs w:val="24"/>
        </w:rPr>
        <w:t>свои</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потоки</w:t>
      </w:r>
      <w:r w:rsidR="006C680D" w:rsidRPr="00D337FA">
        <w:rPr>
          <w:szCs w:val="24"/>
        </w:rPr>
        <w:t xml:space="preserve"> </w:t>
      </w:r>
      <w:r w:rsidRPr="00D337FA">
        <w:rPr>
          <w:szCs w:val="24"/>
        </w:rPr>
        <w:t>и</w:t>
      </w:r>
      <w:r w:rsidR="006C680D" w:rsidRPr="00D337FA">
        <w:rPr>
          <w:szCs w:val="24"/>
        </w:rPr>
        <w:t xml:space="preserve"> </w:t>
      </w:r>
      <w:r w:rsidRPr="00D337FA">
        <w:rPr>
          <w:szCs w:val="24"/>
        </w:rPr>
        <w:t>эффективно</w:t>
      </w:r>
      <w:r w:rsidR="006C680D" w:rsidRPr="00D337FA">
        <w:rPr>
          <w:szCs w:val="24"/>
        </w:rPr>
        <w:t xml:space="preserve"> </w:t>
      </w:r>
      <w:r w:rsidRPr="00D337FA">
        <w:rPr>
          <w:szCs w:val="24"/>
        </w:rPr>
        <w:t>планировать</w:t>
      </w:r>
      <w:r w:rsidR="006C680D" w:rsidRPr="00D337FA">
        <w:rPr>
          <w:szCs w:val="24"/>
        </w:rPr>
        <w:t xml:space="preserve"> </w:t>
      </w:r>
      <w:r w:rsidRPr="00D337FA">
        <w:rPr>
          <w:szCs w:val="24"/>
        </w:rPr>
        <w:t>расходы.</w:t>
      </w:r>
    </w:p>
    <w:p w:rsidR="00256E85" w:rsidRPr="00D337FA" w:rsidRDefault="00256E85" w:rsidP="00256E85">
      <w:pPr>
        <w:ind w:firstLine="284"/>
        <w:rPr>
          <w:szCs w:val="24"/>
        </w:rPr>
      </w:pPr>
      <w:r w:rsidRPr="00D337FA">
        <w:rPr>
          <w:szCs w:val="24"/>
        </w:rPr>
        <w:t>Важную</w:t>
      </w:r>
      <w:r w:rsidR="006C680D" w:rsidRPr="00D337FA">
        <w:rPr>
          <w:szCs w:val="24"/>
        </w:rPr>
        <w:t xml:space="preserve"> </w:t>
      </w:r>
      <w:r w:rsidRPr="00D337FA">
        <w:rPr>
          <w:szCs w:val="24"/>
        </w:rPr>
        <w:t>роль</w:t>
      </w:r>
      <w:r w:rsidR="006C680D" w:rsidRPr="00D337FA">
        <w:rPr>
          <w:szCs w:val="24"/>
        </w:rPr>
        <w:t xml:space="preserve"> </w:t>
      </w:r>
      <w:r w:rsidRPr="00D337FA">
        <w:rPr>
          <w:szCs w:val="24"/>
        </w:rPr>
        <w:t>в</w:t>
      </w:r>
      <w:r w:rsidR="006C680D" w:rsidRPr="00D337FA">
        <w:rPr>
          <w:szCs w:val="24"/>
        </w:rPr>
        <w:t xml:space="preserve"> </w:t>
      </w:r>
      <w:r w:rsidRPr="00D337FA">
        <w:rPr>
          <w:szCs w:val="24"/>
        </w:rPr>
        <w:t>поддержке</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играют</w:t>
      </w:r>
      <w:r w:rsidR="006C680D" w:rsidRPr="00D337FA">
        <w:rPr>
          <w:szCs w:val="24"/>
        </w:rPr>
        <w:t xml:space="preserve"> </w:t>
      </w:r>
      <w:r w:rsidRPr="00D337FA">
        <w:rPr>
          <w:szCs w:val="24"/>
        </w:rPr>
        <w:t>альтернативные</w:t>
      </w:r>
      <w:r w:rsidR="006C680D" w:rsidRPr="00D337FA">
        <w:rPr>
          <w:szCs w:val="24"/>
        </w:rPr>
        <w:t xml:space="preserve"> </w:t>
      </w:r>
      <w:r w:rsidRPr="00D337FA">
        <w:rPr>
          <w:szCs w:val="24"/>
        </w:rPr>
        <w:t>формы</w:t>
      </w:r>
      <w:r w:rsidR="006C680D" w:rsidRPr="00D337FA">
        <w:rPr>
          <w:szCs w:val="24"/>
        </w:rPr>
        <w:t xml:space="preserve"> </w:t>
      </w:r>
      <w:r w:rsidRPr="00D337FA">
        <w:rPr>
          <w:szCs w:val="24"/>
        </w:rPr>
        <w:t>их</w:t>
      </w:r>
      <w:r w:rsidR="006C680D" w:rsidRPr="00D337FA">
        <w:rPr>
          <w:szCs w:val="24"/>
        </w:rPr>
        <w:t xml:space="preserve"> </w:t>
      </w:r>
      <w:r w:rsidRPr="00D337FA">
        <w:rPr>
          <w:szCs w:val="24"/>
        </w:rPr>
        <w:t>финансирования</w:t>
      </w:r>
      <w:r w:rsidR="006C680D" w:rsidRPr="00D337FA">
        <w:rPr>
          <w:szCs w:val="24"/>
        </w:rPr>
        <w:t xml:space="preserve"> </w:t>
      </w:r>
      <w:r w:rsidRPr="00D337FA">
        <w:rPr>
          <w:szCs w:val="24"/>
        </w:rPr>
        <w:t>–</w:t>
      </w:r>
      <w:r w:rsidR="006C680D" w:rsidRPr="00D337FA">
        <w:rPr>
          <w:szCs w:val="24"/>
        </w:rPr>
        <w:t xml:space="preserve"> </w:t>
      </w:r>
      <w:r w:rsidRPr="00D337FA">
        <w:rPr>
          <w:szCs w:val="24"/>
        </w:rPr>
        <w:t>лизинг</w:t>
      </w:r>
      <w:r w:rsidR="006C680D" w:rsidRPr="00D337FA">
        <w:rPr>
          <w:szCs w:val="24"/>
        </w:rPr>
        <w:t xml:space="preserve"> </w:t>
      </w:r>
      <w:r w:rsidRPr="00D337FA">
        <w:rPr>
          <w:szCs w:val="24"/>
        </w:rPr>
        <w:t>и</w:t>
      </w:r>
      <w:r w:rsidR="006C680D" w:rsidRPr="00D337FA">
        <w:rPr>
          <w:szCs w:val="24"/>
        </w:rPr>
        <w:t xml:space="preserve"> </w:t>
      </w:r>
      <w:r w:rsidRPr="00D337FA">
        <w:rPr>
          <w:szCs w:val="24"/>
        </w:rPr>
        <w:t>факторинг.</w:t>
      </w:r>
      <w:r w:rsidR="006C680D" w:rsidRPr="00D337FA">
        <w:rPr>
          <w:szCs w:val="24"/>
        </w:rPr>
        <w:t xml:space="preserve"> </w:t>
      </w:r>
      <w:r w:rsidRPr="00D337FA">
        <w:rPr>
          <w:szCs w:val="24"/>
        </w:rPr>
        <w:t>Лизинг</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бизнесу,</w:t>
      </w:r>
      <w:r w:rsidR="006C680D" w:rsidRPr="00D337FA">
        <w:rPr>
          <w:szCs w:val="24"/>
        </w:rPr>
        <w:t xml:space="preserve"> </w:t>
      </w:r>
      <w:r w:rsidRPr="00D337FA">
        <w:rPr>
          <w:szCs w:val="24"/>
        </w:rPr>
        <w:t>не</w:t>
      </w:r>
      <w:r w:rsidR="006C680D" w:rsidRPr="00D337FA">
        <w:rPr>
          <w:szCs w:val="24"/>
        </w:rPr>
        <w:t xml:space="preserve"> </w:t>
      </w:r>
      <w:r w:rsidRPr="00D337FA">
        <w:rPr>
          <w:szCs w:val="24"/>
        </w:rPr>
        <w:t>имеющему</w:t>
      </w:r>
      <w:r w:rsidR="006C680D" w:rsidRPr="00D337FA">
        <w:rPr>
          <w:szCs w:val="24"/>
        </w:rPr>
        <w:t xml:space="preserve"> </w:t>
      </w:r>
      <w:r w:rsidRPr="00D337FA">
        <w:rPr>
          <w:szCs w:val="24"/>
        </w:rPr>
        <w:t>достаточных</w:t>
      </w:r>
      <w:r w:rsidR="006C680D" w:rsidRPr="00D337FA">
        <w:rPr>
          <w:szCs w:val="24"/>
        </w:rPr>
        <w:t xml:space="preserve"> </w:t>
      </w:r>
      <w:r w:rsidRPr="00D337FA">
        <w:rPr>
          <w:szCs w:val="24"/>
        </w:rPr>
        <w:t>средств</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приобретения</w:t>
      </w:r>
      <w:r w:rsidR="006C680D" w:rsidRPr="00D337FA">
        <w:rPr>
          <w:szCs w:val="24"/>
        </w:rPr>
        <w:t xml:space="preserve"> </w:t>
      </w:r>
      <w:r w:rsidRPr="00D337FA">
        <w:rPr>
          <w:szCs w:val="24"/>
        </w:rPr>
        <w:t>необходимого</w:t>
      </w:r>
      <w:r w:rsidR="006C680D" w:rsidRPr="00D337FA">
        <w:rPr>
          <w:szCs w:val="24"/>
        </w:rPr>
        <w:t xml:space="preserve"> </w:t>
      </w:r>
      <w:r w:rsidRPr="00D337FA">
        <w:rPr>
          <w:szCs w:val="24"/>
        </w:rPr>
        <w:t>оборудования</w:t>
      </w:r>
      <w:r w:rsidR="006C680D" w:rsidRPr="00D337FA">
        <w:rPr>
          <w:szCs w:val="24"/>
        </w:rPr>
        <w:t xml:space="preserve"> </w:t>
      </w:r>
      <w:r w:rsidRPr="00D337FA">
        <w:rPr>
          <w:szCs w:val="24"/>
        </w:rPr>
        <w:t>или</w:t>
      </w:r>
      <w:r w:rsidR="006C680D" w:rsidRPr="00D337FA">
        <w:rPr>
          <w:szCs w:val="24"/>
        </w:rPr>
        <w:t xml:space="preserve"> </w:t>
      </w:r>
      <w:r w:rsidRPr="00D337FA">
        <w:rPr>
          <w:szCs w:val="24"/>
        </w:rPr>
        <w:t>транспорта,</w:t>
      </w:r>
      <w:r w:rsidR="006C680D" w:rsidRPr="00D337FA">
        <w:rPr>
          <w:szCs w:val="24"/>
        </w:rPr>
        <w:t xml:space="preserve"> </w:t>
      </w:r>
      <w:r w:rsidRPr="00D337FA">
        <w:rPr>
          <w:szCs w:val="24"/>
        </w:rPr>
        <w:t>получить</w:t>
      </w:r>
      <w:r w:rsidR="006C680D" w:rsidRPr="00D337FA">
        <w:rPr>
          <w:szCs w:val="24"/>
        </w:rPr>
        <w:t xml:space="preserve"> </w:t>
      </w:r>
      <w:r w:rsidRPr="00D337FA">
        <w:rPr>
          <w:szCs w:val="24"/>
        </w:rPr>
        <w:t>в</w:t>
      </w:r>
      <w:r w:rsidR="006C680D" w:rsidRPr="00D337FA">
        <w:rPr>
          <w:szCs w:val="24"/>
        </w:rPr>
        <w:t xml:space="preserve"> </w:t>
      </w:r>
      <w:r w:rsidRPr="00D337FA">
        <w:rPr>
          <w:szCs w:val="24"/>
        </w:rPr>
        <w:t>пользование</w:t>
      </w:r>
      <w:r w:rsidR="006C680D" w:rsidRPr="00D337FA">
        <w:rPr>
          <w:szCs w:val="24"/>
        </w:rPr>
        <w:t xml:space="preserve"> </w:t>
      </w:r>
      <w:r w:rsidRPr="00D337FA">
        <w:rPr>
          <w:szCs w:val="24"/>
        </w:rPr>
        <w:t>нужные</w:t>
      </w:r>
      <w:r w:rsidR="006C680D" w:rsidRPr="00D337FA">
        <w:rPr>
          <w:szCs w:val="24"/>
        </w:rPr>
        <w:t xml:space="preserve"> </w:t>
      </w:r>
      <w:r w:rsidRPr="00D337FA">
        <w:rPr>
          <w:szCs w:val="24"/>
        </w:rPr>
        <w:t>активы</w:t>
      </w:r>
      <w:r w:rsidR="006C680D" w:rsidRPr="00D337FA">
        <w:rPr>
          <w:szCs w:val="24"/>
        </w:rPr>
        <w:t xml:space="preserve"> </w:t>
      </w:r>
      <w:r w:rsidRPr="00D337FA">
        <w:rPr>
          <w:szCs w:val="24"/>
        </w:rPr>
        <w:t>с</w:t>
      </w:r>
      <w:r w:rsidR="006C680D" w:rsidRPr="00D337FA">
        <w:rPr>
          <w:szCs w:val="24"/>
        </w:rPr>
        <w:t xml:space="preserve"> </w:t>
      </w:r>
      <w:r w:rsidRPr="00D337FA">
        <w:rPr>
          <w:szCs w:val="24"/>
        </w:rPr>
        <w:t>последующей</w:t>
      </w:r>
      <w:r w:rsidR="006C680D" w:rsidRPr="00D337FA">
        <w:rPr>
          <w:szCs w:val="24"/>
        </w:rPr>
        <w:t xml:space="preserve"> </w:t>
      </w:r>
      <w:r w:rsidRPr="00D337FA">
        <w:rPr>
          <w:szCs w:val="24"/>
        </w:rPr>
        <w:t>возможностью</w:t>
      </w:r>
      <w:r w:rsidR="006C680D" w:rsidRPr="00D337FA">
        <w:rPr>
          <w:szCs w:val="24"/>
        </w:rPr>
        <w:t xml:space="preserve"> </w:t>
      </w:r>
      <w:r w:rsidRPr="00D337FA">
        <w:rPr>
          <w:szCs w:val="24"/>
        </w:rPr>
        <w:t>выкупа.</w:t>
      </w:r>
      <w:r w:rsidR="006C680D" w:rsidRPr="00D337FA">
        <w:rPr>
          <w:szCs w:val="24"/>
        </w:rPr>
        <w:t xml:space="preserve"> </w:t>
      </w:r>
      <w:r w:rsidRPr="00D337FA">
        <w:rPr>
          <w:szCs w:val="24"/>
        </w:rPr>
        <w:t>Это</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актуально</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занимающихся</w:t>
      </w:r>
      <w:r w:rsidR="006C680D" w:rsidRPr="00D337FA">
        <w:rPr>
          <w:szCs w:val="24"/>
        </w:rPr>
        <w:t xml:space="preserve"> </w:t>
      </w:r>
      <w:r w:rsidRPr="00D337FA">
        <w:rPr>
          <w:szCs w:val="24"/>
        </w:rPr>
        <w:t>производством</w:t>
      </w:r>
      <w:r w:rsidR="006C680D" w:rsidRPr="00D337FA">
        <w:rPr>
          <w:szCs w:val="24"/>
        </w:rPr>
        <w:t xml:space="preserve"> </w:t>
      </w:r>
      <w:r w:rsidRPr="00D337FA">
        <w:rPr>
          <w:szCs w:val="24"/>
        </w:rPr>
        <w:t>или</w:t>
      </w:r>
      <w:r w:rsidR="006C680D" w:rsidRPr="00D337FA">
        <w:rPr>
          <w:szCs w:val="24"/>
        </w:rPr>
        <w:t xml:space="preserve"> </w:t>
      </w:r>
      <w:r w:rsidRPr="00D337FA">
        <w:rPr>
          <w:szCs w:val="24"/>
        </w:rPr>
        <w:t>транспортировкой</w:t>
      </w:r>
      <w:r w:rsidR="006C680D" w:rsidRPr="00D337FA">
        <w:rPr>
          <w:szCs w:val="24"/>
        </w:rPr>
        <w:t xml:space="preserve"> </w:t>
      </w:r>
      <w:r w:rsidRPr="00D337FA">
        <w:rPr>
          <w:szCs w:val="24"/>
        </w:rPr>
        <w:t>товаров,</w:t>
      </w:r>
      <w:r w:rsidR="006C680D" w:rsidRPr="00D337FA">
        <w:rPr>
          <w:szCs w:val="24"/>
        </w:rPr>
        <w:t xml:space="preserve"> </w:t>
      </w:r>
      <w:r w:rsidRPr="00D337FA">
        <w:rPr>
          <w:szCs w:val="24"/>
        </w:rPr>
        <w:t>где</w:t>
      </w:r>
      <w:r w:rsidR="006C680D" w:rsidRPr="00D337FA">
        <w:rPr>
          <w:szCs w:val="24"/>
        </w:rPr>
        <w:t xml:space="preserve"> </w:t>
      </w:r>
      <w:r w:rsidRPr="00D337FA">
        <w:rPr>
          <w:szCs w:val="24"/>
        </w:rPr>
        <w:lastRenderedPageBreak/>
        <w:t>высокая</w:t>
      </w:r>
      <w:r w:rsidR="006C680D" w:rsidRPr="00D337FA">
        <w:rPr>
          <w:szCs w:val="24"/>
        </w:rPr>
        <w:t xml:space="preserve"> </w:t>
      </w:r>
      <w:r w:rsidRPr="00D337FA">
        <w:rPr>
          <w:szCs w:val="24"/>
        </w:rPr>
        <w:t>стоимость</w:t>
      </w:r>
      <w:r w:rsidR="006C680D" w:rsidRPr="00D337FA">
        <w:rPr>
          <w:szCs w:val="24"/>
        </w:rPr>
        <w:t xml:space="preserve"> </w:t>
      </w:r>
      <w:r w:rsidRPr="00D337FA">
        <w:rPr>
          <w:szCs w:val="24"/>
        </w:rPr>
        <w:t>активов</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стать</w:t>
      </w:r>
      <w:r w:rsidR="006C680D" w:rsidRPr="00D337FA">
        <w:rPr>
          <w:szCs w:val="24"/>
        </w:rPr>
        <w:t xml:space="preserve"> </w:t>
      </w:r>
      <w:r w:rsidRPr="00D337FA">
        <w:rPr>
          <w:szCs w:val="24"/>
        </w:rPr>
        <w:t>серьёзным</w:t>
      </w:r>
      <w:r w:rsidR="006C680D" w:rsidRPr="00D337FA">
        <w:rPr>
          <w:szCs w:val="24"/>
        </w:rPr>
        <w:t xml:space="preserve"> </w:t>
      </w:r>
      <w:r w:rsidRPr="00D337FA">
        <w:rPr>
          <w:szCs w:val="24"/>
        </w:rPr>
        <w:t>барьером</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Банк</w:t>
      </w:r>
      <w:r w:rsidR="006C680D" w:rsidRPr="00D337FA">
        <w:rPr>
          <w:szCs w:val="24"/>
        </w:rPr>
        <w:t xml:space="preserve"> </w:t>
      </w:r>
      <w:r w:rsidRPr="00D337FA">
        <w:rPr>
          <w:szCs w:val="24"/>
        </w:rPr>
        <w:t>ГПБ</w:t>
      </w:r>
      <w:r w:rsidR="006C680D" w:rsidRPr="00D337FA">
        <w:rPr>
          <w:szCs w:val="24"/>
        </w:rPr>
        <w:t xml:space="preserve"> </w:t>
      </w:r>
      <w:r w:rsidRPr="00D337FA">
        <w:rPr>
          <w:szCs w:val="24"/>
        </w:rPr>
        <w:t>(АО),</w:t>
      </w:r>
      <w:r w:rsidR="006C680D" w:rsidRPr="00D337FA">
        <w:rPr>
          <w:szCs w:val="24"/>
        </w:rPr>
        <w:t xml:space="preserve"> </w:t>
      </w:r>
      <w:r w:rsidRPr="00D337FA">
        <w:rPr>
          <w:szCs w:val="24"/>
        </w:rPr>
        <w:t>ПАО</w:t>
      </w:r>
      <w:r w:rsidR="006C680D" w:rsidRPr="00D337FA">
        <w:rPr>
          <w:szCs w:val="24"/>
        </w:rPr>
        <w:t xml:space="preserve"> </w:t>
      </w:r>
      <w:r w:rsidRPr="00D337FA">
        <w:rPr>
          <w:szCs w:val="24"/>
        </w:rPr>
        <w:t>«Совкомбанк»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лизинг</w:t>
      </w:r>
      <w:r w:rsidR="006C680D" w:rsidRPr="00D337FA">
        <w:rPr>
          <w:szCs w:val="24"/>
        </w:rPr>
        <w:t xml:space="preserve"> </w:t>
      </w:r>
      <w:r w:rsidRPr="00D337FA">
        <w:rPr>
          <w:szCs w:val="24"/>
        </w:rPr>
        <w:t>как</w:t>
      </w:r>
      <w:r w:rsidR="006C680D" w:rsidRPr="00D337FA">
        <w:rPr>
          <w:szCs w:val="24"/>
        </w:rPr>
        <w:t xml:space="preserve"> </w:t>
      </w:r>
      <w:r w:rsidRPr="00D337FA">
        <w:rPr>
          <w:szCs w:val="24"/>
        </w:rPr>
        <w:t>для</w:t>
      </w:r>
      <w:r w:rsidR="006C680D" w:rsidRPr="00D337FA">
        <w:rPr>
          <w:szCs w:val="24"/>
        </w:rPr>
        <w:t xml:space="preserve"> </w:t>
      </w:r>
      <w:r w:rsidRPr="00D337FA">
        <w:rPr>
          <w:szCs w:val="24"/>
        </w:rPr>
        <w:t>автомобилей,</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для</w:t>
      </w:r>
      <w:r w:rsidR="006C680D" w:rsidRPr="00D337FA">
        <w:rPr>
          <w:szCs w:val="24"/>
        </w:rPr>
        <w:t xml:space="preserve"> </w:t>
      </w:r>
      <w:r w:rsidRPr="00D337FA">
        <w:rPr>
          <w:szCs w:val="24"/>
        </w:rPr>
        <w:t>специализированного</w:t>
      </w:r>
      <w:r w:rsidR="006C680D" w:rsidRPr="00D337FA">
        <w:rPr>
          <w:szCs w:val="24"/>
        </w:rPr>
        <w:t xml:space="preserve"> </w:t>
      </w:r>
      <w:r w:rsidRPr="00D337FA">
        <w:rPr>
          <w:szCs w:val="24"/>
        </w:rPr>
        <w:t>оборудования.</w:t>
      </w:r>
      <w:r w:rsidR="006C680D" w:rsidRPr="00D337FA">
        <w:rPr>
          <w:szCs w:val="24"/>
        </w:rPr>
        <w:t xml:space="preserve"> </w:t>
      </w:r>
    </w:p>
    <w:p w:rsidR="00256E85" w:rsidRPr="00D337FA" w:rsidRDefault="00256E85" w:rsidP="00256E85">
      <w:pPr>
        <w:ind w:firstLine="284"/>
        <w:rPr>
          <w:szCs w:val="24"/>
        </w:rPr>
      </w:pPr>
      <w:r w:rsidRPr="00D337FA">
        <w:rPr>
          <w:szCs w:val="24"/>
        </w:rPr>
        <w:t>Факторинг</w:t>
      </w:r>
      <w:r w:rsidR="006C680D" w:rsidRPr="00D337FA">
        <w:rPr>
          <w:szCs w:val="24"/>
        </w:rPr>
        <w:t xml:space="preserve"> </w:t>
      </w:r>
      <w:r w:rsidRPr="00D337FA">
        <w:rPr>
          <w:szCs w:val="24"/>
        </w:rPr>
        <w:t>дает</w:t>
      </w:r>
      <w:r w:rsidR="006C680D" w:rsidRPr="00D337FA">
        <w:rPr>
          <w:szCs w:val="24"/>
        </w:rPr>
        <w:t xml:space="preserve"> </w:t>
      </w:r>
      <w:r w:rsidRPr="00D337FA">
        <w:rPr>
          <w:szCs w:val="24"/>
        </w:rPr>
        <w:t>возможность</w:t>
      </w:r>
      <w:r w:rsidR="006C680D" w:rsidRPr="00D337FA">
        <w:rPr>
          <w:szCs w:val="24"/>
        </w:rPr>
        <w:t xml:space="preserve"> </w:t>
      </w:r>
      <w:r w:rsidRPr="00D337FA">
        <w:rPr>
          <w:szCs w:val="24"/>
        </w:rPr>
        <w:t>мгновенно</w:t>
      </w:r>
      <w:r w:rsidR="006C680D" w:rsidRPr="00D337FA">
        <w:rPr>
          <w:szCs w:val="24"/>
        </w:rPr>
        <w:t xml:space="preserve"> </w:t>
      </w:r>
      <w:r w:rsidRPr="00D337FA">
        <w:rPr>
          <w:szCs w:val="24"/>
        </w:rPr>
        <w:t>получить</w:t>
      </w:r>
      <w:r w:rsidR="006C680D" w:rsidRPr="00D337FA">
        <w:rPr>
          <w:szCs w:val="24"/>
        </w:rPr>
        <w:t xml:space="preserve"> </w:t>
      </w:r>
      <w:r w:rsidRPr="00D337FA">
        <w:rPr>
          <w:szCs w:val="24"/>
        </w:rPr>
        <w:t>деньги</w:t>
      </w:r>
      <w:r w:rsidR="006C680D" w:rsidRPr="00D337FA">
        <w:rPr>
          <w:szCs w:val="24"/>
        </w:rPr>
        <w:t xml:space="preserve"> </w:t>
      </w:r>
      <w:r w:rsidRPr="00D337FA">
        <w:rPr>
          <w:szCs w:val="24"/>
        </w:rPr>
        <w:t>за</w:t>
      </w:r>
      <w:r w:rsidR="006C680D" w:rsidRPr="00D337FA">
        <w:rPr>
          <w:szCs w:val="24"/>
        </w:rPr>
        <w:t xml:space="preserve"> </w:t>
      </w:r>
      <w:r w:rsidRPr="00D337FA">
        <w:rPr>
          <w:szCs w:val="24"/>
        </w:rPr>
        <w:t>проданные</w:t>
      </w:r>
      <w:r w:rsidR="006C680D" w:rsidRPr="00D337FA">
        <w:rPr>
          <w:szCs w:val="24"/>
        </w:rPr>
        <w:t xml:space="preserve"> </w:t>
      </w:r>
      <w:r w:rsidRPr="00D337FA">
        <w:rPr>
          <w:szCs w:val="24"/>
        </w:rPr>
        <w:t>товары</w:t>
      </w:r>
      <w:r w:rsidR="006C680D" w:rsidRPr="00D337FA">
        <w:rPr>
          <w:szCs w:val="24"/>
        </w:rPr>
        <w:t xml:space="preserve"> </w:t>
      </w:r>
      <w:r w:rsidRPr="00D337FA">
        <w:rPr>
          <w:szCs w:val="24"/>
        </w:rPr>
        <w:t>или</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Факторинговые</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значимых</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доступны</w:t>
      </w:r>
      <w:r w:rsidR="006C680D" w:rsidRPr="00D337FA">
        <w:rPr>
          <w:szCs w:val="24"/>
        </w:rPr>
        <w:t xml:space="preserve"> </w:t>
      </w:r>
      <w:r w:rsidRPr="00D337FA">
        <w:rPr>
          <w:szCs w:val="24"/>
        </w:rPr>
        <w:t>в</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вариациях,</w:t>
      </w:r>
      <w:r w:rsidR="006C680D" w:rsidRPr="00D337FA">
        <w:rPr>
          <w:szCs w:val="24"/>
        </w:rPr>
        <w:t xml:space="preserve"> </w:t>
      </w:r>
      <w:r w:rsidRPr="00D337FA">
        <w:rPr>
          <w:szCs w:val="24"/>
        </w:rPr>
        <w:t>ориентированных</w:t>
      </w:r>
      <w:r w:rsidR="006C680D" w:rsidRPr="00D337FA">
        <w:rPr>
          <w:szCs w:val="24"/>
        </w:rPr>
        <w:t xml:space="preserve"> </w:t>
      </w:r>
      <w:r w:rsidRPr="00D337FA">
        <w:rPr>
          <w:szCs w:val="24"/>
        </w:rPr>
        <w:t>на</w:t>
      </w:r>
      <w:r w:rsidR="006C680D" w:rsidRPr="00D337FA">
        <w:rPr>
          <w:szCs w:val="24"/>
        </w:rPr>
        <w:t xml:space="preserve"> </w:t>
      </w:r>
      <w:r w:rsidRPr="00D337FA">
        <w:rPr>
          <w:szCs w:val="24"/>
        </w:rPr>
        <w:t>конкретные</w:t>
      </w:r>
      <w:r w:rsidR="006C680D" w:rsidRPr="00D337FA">
        <w:rPr>
          <w:szCs w:val="24"/>
        </w:rPr>
        <w:t xml:space="preserve"> </w:t>
      </w:r>
      <w:r w:rsidRPr="00D337FA">
        <w:rPr>
          <w:szCs w:val="24"/>
        </w:rPr>
        <w:t>нужды</w:t>
      </w:r>
      <w:r w:rsidR="006C680D" w:rsidRPr="00D337FA">
        <w:rPr>
          <w:szCs w:val="24"/>
        </w:rPr>
        <w:t xml:space="preserve"> </w:t>
      </w:r>
      <w:r w:rsidRPr="00D337FA">
        <w:rPr>
          <w:szCs w:val="24"/>
        </w:rPr>
        <w:t>предприятий.</w:t>
      </w:r>
      <w:r w:rsidR="006C680D" w:rsidRPr="00D337FA">
        <w:rPr>
          <w:szCs w:val="24"/>
        </w:rPr>
        <w:t xml:space="preserve"> </w:t>
      </w:r>
    </w:p>
    <w:p w:rsidR="00256E85" w:rsidRPr="00D337FA" w:rsidRDefault="00256E85" w:rsidP="00256E85">
      <w:pPr>
        <w:ind w:firstLine="284"/>
        <w:rPr>
          <w:szCs w:val="24"/>
        </w:rPr>
      </w:pPr>
      <w:r w:rsidRPr="00D337FA">
        <w:rPr>
          <w:szCs w:val="24"/>
        </w:rPr>
        <w:t>Некоторые</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значимые</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оказывают</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по</w:t>
      </w:r>
      <w:r w:rsidR="006C680D" w:rsidRPr="00D337FA">
        <w:rPr>
          <w:szCs w:val="24"/>
        </w:rPr>
        <w:t xml:space="preserve"> </w:t>
      </w:r>
      <w:r w:rsidRPr="00D337FA">
        <w:rPr>
          <w:szCs w:val="24"/>
        </w:rPr>
        <w:t>выдаче</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гарантий.</w:t>
      </w:r>
      <w:r w:rsidR="006C680D" w:rsidRPr="00D337FA">
        <w:rPr>
          <w:szCs w:val="24"/>
        </w:rPr>
        <w:t xml:space="preserve">  </w:t>
      </w:r>
    </w:p>
    <w:p w:rsidR="00256E85" w:rsidRPr="00D337FA" w:rsidRDefault="00256E85" w:rsidP="00256E85">
      <w:pPr>
        <w:ind w:firstLine="284"/>
        <w:rPr>
          <w:szCs w:val="24"/>
        </w:rPr>
      </w:pPr>
      <w:r w:rsidRPr="00D337FA">
        <w:rPr>
          <w:szCs w:val="24"/>
        </w:rPr>
        <w:t>Одной</w:t>
      </w:r>
      <w:r w:rsidR="006C680D" w:rsidRPr="00D337FA">
        <w:rPr>
          <w:szCs w:val="24"/>
        </w:rPr>
        <w:t xml:space="preserve"> </w:t>
      </w:r>
      <w:r w:rsidRPr="00D337FA">
        <w:rPr>
          <w:szCs w:val="24"/>
        </w:rPr>
        <w:t>из</w:t>
      </w:r>
      <w:r w:rsidR="006C680D" w:rsidRPr="00D337FA">
        <w:rPr>
          <w:szCs w:val="24"/>
        </w:rPr>
        <w:t xml:space="preserve"> </w:t>
      </w:r>
      <w:r w:rsidRPr="00D337FA">
        <w:rPr>
          <w:szCs w:val="24"/>
        </w:rPr>
        <w:t>особенностей</w:t>
      </w:r>
      <w:r w:rsidR="006C680D" w:rsidRPr="00D337FA">
        <w:rPr>
          <w:szCs w:val="24"/>
        </w:rPr>
        <w:t xml:space="preserve"> </w:t>
      </w:r>
      <w:r w:rsidRPr="00D337FA">
        <w:rPr>
          <w:szCs w:val="24"/>
        </w:rPr>
        <w:t>активизации</w:t>
      </w:r>
      <w:r w:rsidR="006C680D" w:rsidRPr="00D337FA">
        <w:rPr>
          <w:szCs w:val="24"/>
        </w:rPr>
        <w:t xml:space="preserve"> </w:t>
      </w:r>
      <w:r w:rsidRPr="00D337FA">
        <w:rPr>
          <w:szCs w:val="24"/>
        </w:rPr>
        <w:t>кредитной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участие</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в</w:t>
      </w:r>
      <w:r w:rsidR="006C680D" w:rsidRPr="00D337FA">
        <w:rPr>
          <w:szCs w:val="24"/>
        </w:rPr>
        <w:t xml:space="preserve"> </w:t>
      </w:r>
      <w:r w:rsidRPr="00D337FA">
        <w:rPr>
          <w:szCs w:val="24"/>
        </w:rPr>
        <w:t>государственных</w:t>
      </w:r>
      <w:r w:rsidR="006C680D" w:rsidRPr="00D337FA">
        <w:rPr>
          <w:szCs w:val="24"/>
        </w:rPr>
        <w:t xml:space="preserve"> </w:t>
      </w:r>
      <w:r w:rsidRPr="00D337FA">
        <w:rPr>
          <w:szCs w:val="24"/>
        </w:rPr>
        <w:t>программах.</w:t>
      </w:r>
      <w:r w:rsidR="006C680D" w:rsidRPr="00D337FA">
        <w:rPr>
          <w:szCs w:val="24"/>
        </w:rPr>
        <w:t xml:space="preserve"> </w:t>
      </w:r>
      <w:r w:rsidRPr="00D337FA">
        <w:rPr>
          <w:szCs w:val="24"/>
        </w:rPr>
        <w:t>Это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малым</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работающим</w:t>
      </w:r>
      <w:r w:rsidR="006C680D" w:rsidRPr="00D337FA">
        <w:rPr>
          <w:szCs w:val="24"/>
        </w:rPr>
        <w:t xml:space="preserve"> </w:t>
      </w:r>
      <w:r w:rsidRPr="00D337FA">
        <w:rPr>
          <w:szCs w:val="24"/>
        </w:rPr>
        <w:t>в</w:t>
      </w:r>
      <w:r w:rsidR="006C680D" w:rsidRPr="00D337FA">
        <w:rPr>
          <w:szCs w:val="24"/>
        </w:rPr>
        <w:t xml:space="preserve"> </w:t>
      </w:r>
      <w:r w:rsidRPr="00D337FA">
        <w:rPr>
          <w:szCs w:val="24"/>
        </w:rPr>
        <w:t>приоритетных</w:t>
      </w:r>
      <w:r w:rsidR="006C680D" w:rsidRPr="00D337FA">
        <w:rPr>
          <w:szCs w:val="24"/>
        </w:rPr>
        <w:t xml:space="preserve"> </w:t>
      </w:r>
      <w:r w:rsidRPr="00D337FA">
        <w:rPr>
          <w:szCs w:val="24"/>
        </w:rPr>
        <w:t>отраслях</w:t>
      </w:r>
      <w:r w:rsidR="006C680D" w:rsidRPr="00D337FA">
        <w:rPr>
          <w:szCs w:val="24"/>
        </w:rPr>
        <w:t xml:space="preserve"> </w:t>
      </w:r>
      <w:r w:rsidRPr="00D337FA">
        <w:rPr>
          <w:szCs w:val="24"/>
        </w:rPr>
        <w:t>экономики,</w:t>
      </w:r>
      <w:r w:rsidR="006C680D" w:rsidRPr="00D337FA">
        <w:rPr>
          <w:szCs w:val="24"/>
        </w:rPr>
        <w:t xml:space="preserve"> </w:t>
      </w:r>
      <w:r w:rsidRPr="00D337FA">
        <w:rPr>
          <w:szCs w:val="24"/>
        </w:rPr>
        <w:t>получить</w:t>
      </w:r>
      <w:r w:rsidR="006C680D" w:rsidRPr="00D337FA">
        <w:rPr>
          <w:szCs w:val="24"/>
        </w:rPr>
        <w:t xml:space="preserve"> </w:t>
      </w:r>
      <w:r w:rsidRPr="00D337FA">
        <w:rPr>
          <w:szCs w:val="24"/>
        </w:rPr>
        <w:t>субсидированные</w:t>
      </w:r>
      <w:r w:rsidR="006C680D" w:rsidRPr="00D337FA">
        <w:rPr>
          <w:szCs w:val="24"/>
        </w:rPr>
        <w:t xml:space="preserve"> </w:t>
      </w:r>
      <w:r w:rsidRPr="00D337FA">
        <w:rPr>
          <w:szCs w:val="24"/>
        </w:rPr>
        <w:t>кредиты</w:t>
      </w:r>
      <w:r w:rsidR="006C680D" w:rsidRPr="00D337FA">
        <w:rPr>
          <w:szCs w:val="24"/>
        </w:rPr>
        <w:t xml:space="preserve"> </w:t>
      </w:r>
      <w:r w:rsidRPr="00D337FA">
        <w:rPr>
          <w:szCs w:val="24"/>
        </w:rPr>
        <w:t>с</w:t>
      </w:r>
      <w:r w:rsidR="006C680D" w:rsidRPr="00D337FA">
        <w:rPr>
          <w:szCs w:val="24"/>
        </w:rPr>
        <w:t xml:space="preserve"> </w:t>
      </w:r>
      <w:r w:rsidRPr="00D337FA">
        <w:rPr>
          <w:szCs w:val="24"/>
        </w:rPr>
        <w:t>льготными</w:t>
      </w:r>
      <w:r w:rsidR="006C680D" w:rsidRPr="00D337FA">
        <w:rPr>
          <w:szCs w:val="24"/>
        </w:rPr>
        <w:t xml:space="preserve"> </w:t>
      </w:r>
      <w:r w:rsidRPr="00D337FA">
        <w:rPr>
          <w:szCs w:val="24"/>
        </w:rPr>
        <w:t>процентными</w:t>
      </w:r>
      <w:r w:rsidR="006C680D" w:rsidRPr="00D337FA">
        <w:rPr>
          <w:szCs w:val="24"/>
        </w:rPr>
        <w:t xml:space="preserve"> </w:t>
      </w:r>
      <w:r w:rsidRPr="00D337FA">
        <w:rPr>
          <w:szCs w:val="24"/>
        </w:rPr>
        <w:t>ставками.</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Банк</w:t>
      </w:r>
      <w:r w:rsidR="006C680D" w:rsidRPr="00D337FA">
        <w:rPr>
          <w:szCs w:val="24"/>
        </w:rPr>
        <w:t xml:space="preserve"> </w:t>
      </w:r>
      <w:r w:rsidRPr="00D337FA">
        <w:rPr>
          <w:szCs w:val="24"/>
        </w:rPr>
        <w:t>ГПБ</w:t>
      </w:r>
      <w:r w:rsidR="006C680D" w:rsidRPr="00D337FA">
        <w:rPr>
          <w:szCs w:val="24"/>
        </w:rPr>
        <w:t xml:space="preserve"> </w:t>
      </w:r>
      <w:r w:rsidRPr="00D337FA">
        <w:rPr>
          <w:szCs w:val="24"/>
        </w:rPr>
        <w:t>(АО)</w:t>
      </w:r>
      <w:r w:rsidR="006C680D" w:rsidRPr="00D337FA">
        <w:rPr>
          <w:szCs w:val="24"/>
        </w:rPr>
        <w:t xml:space="preserve"> </w:t>
      </w:r>
      <w:r w:rsidRPr="00D337FA">
        <w:rPr>
          <w:szCs w:val="24"/>
        </w:rPr>
        <w:t>и</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участвуют</w:t>
      </w:r>
      <w:r w:rsidR="006C680D" w:rsidRPr="00D337FA">
        <w:rPr>
          <w:szCs w:val="24"/>
        </w:rPr>
        <w:t xml:space="preserve"> </w:t>
      </w:r>
      <w:r w:rsidRPr="00D337FA">
        <w:rPr>
          <w:szCs w:val="24"/>
        </w:rPr>
        <w:t>в</w:t>
      </w:r>
      <w:r w:rsidR="006C680D" w:rsidRPr="00D337FA">
        <w:rPr>
          <w:szCs w:val="24"/>
        </w:rPr>
        <w:t xml:space="preserve"> </w:t>
      </w:r>
      <w:r w:rsidRPr="00D337FA">
        <w:rPr>
          <w:szCs w:val="24"/>
        </w:rPr>
        <w:t>программах</w:t>
      </w:r>
      <w:r w:rsidR="006C680D" w:rsidRPr="00D337FA">
        <w:rPr>
          <w:szCs w:val="24"/>
        </w:rPr>
        <w:t xml:space="preserve"> </w:t>
      </w:r>
      <w:r w:rsidRPr="00D337FA">
        <w:rPr>
          <w:szCs w:val="24"/>
        </w:rPr>
        <w:t>Минэкономразвития,</w:t>
      </w:r>
      <w:r w:rsidR="006C680D" w:rsidRPr="00D337FA">
        <w:rPr>
          <w:szCs w:val="24"/>
        </w:rPr>
        <w:t xml:space="preserve"> </w:t>
      </w:r>
      <w:r w:rsidRPr="00D337FA">
        <w:rPr>
          <w:szCs w:val="24"/>
        </w:rPr>
        <w:t>предлагая</w:t>
      </w:r>
      <w:r w:rsidR="006C680D" w:rsidRPr="00D337FA">
        <w:rPr>
          <w:szCs w:val="24"/>
        </w:rPr>
        <w:t xml:space="preserve"> </w:t>
      </w:r>
      <w:r w:rsidRPr="00D337FA">
        <w:rPr>
          <w:szCs w:val="24"/>
        </w:rPr>
        <w:t>субсидирование</w:t>
      </w:r>
      <w:r w:rsidR="006C680D" w:rsidRPr="00D337FA">
        <w:rPr>
          <w:szCs w:val="24"/>
        </w:rPr>
        <w:t xml:space="preserve"> </w:t>
      </w:r>
      <w:r w:rsidRPr="00D337FA">
        <w:rPr>
          <w:szCs w:val="24"/>
        </w:rPr>
        <w:t>процентных</w:t>
      </w:r>
      <w:r w:rsidR="006C680D" w:rsidRPr="00D337FA">
        <w:rPr>
          <w:szCs w:val="24"/>
        </w:rPr>
        <w:t xml:space="preserve"> </w:t>
      </w:r>
      <w:r w:rsidRPr="00D337FA">
        <w:rPr>
          <w:szCs w:val="24"/>
        </w:rPr>
        <w:t>ставок</w:t>
      </w:r>
      <w:r w:rsidR="006C680D" w:rsidRPr="00D337FA">
        <w:rPr>
          <w:szCs w:val="24"/>
        </w:rPr>
        <w:t xml:space="preserve"> </w:t>
      </w:r>
      <w:r w:rsidRPr="00D337FA">
        <w:rPr>
          <w:szCs w:val="24"/>
        </w:rPr>
        <w:t>по</w:t>
      </w:r>
      <w:r w:rsidR="006C680D" w:rsidRPr="00D337FA">
        <w:rPr>
          <w:szCs w:val="24"/>
        </w:rPr>
        <w:t xml:space="preserve"> </w:t>
      </w:r>
      <w:r w:rsidRPr="00D337FA">
        <w:rPr>
          <w:szCs w:val="24"/>
        </w:rPr>
        <w:t>кредитам</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работающих</w:t>
      </w:r>
      <w:r w:rsidR="006C680D" w:rsidRPr="00D337FA">
        <w:rPr>
          <w:szCs w:val="24"/>
        </w:rPr>
        <w:t xml:space="preserve"> </w:t>
      </w:r>
      <w:r w:rsidRPr="00D337FA">
        <w:rPr>
          <w:szCs w:val="24"/>
        </w:rPr>
        <w:t>в</w:t>
      </w:r>
      <w:r w:rsidR="006C680D" w:rsidRPr="00D337FA">
        <w:rPr>
          <w:szCs w:val="24"/>
        </w:rPr>
        <w:t xml:space="preserve"> </w:t>
      </w:r>
      <w:r w:rsidRPr="00D337FA">
        <w:rPr>
          <w:szCs w:val="24"/>
        </w:rPr>
        <w:t>стратегически</w:t>
      </w:r>
      <w:r w:rsidR="006C680D" w:rsidRPr="00D337FA">
        <w:rPr>
          <w:szCs w:val="24"/>
        </w:rPr>
        <w:t xml:space="preserve"> </w:t>
      </w:r>
      <w:r w:rsidRPr="00D337FA">
        <w:rPr>
          <w:szCs w:val="24"/>
        </w:rPr>
        <w:t>важных</w:t>
      </w:r>
      <w:r w:rsidR="006C680D" w:rsidRPr="00D337FA">
        <w:rPr>
          <w:szCs w:val="24"/>
        </w:rPr>
        <w:t xml:space="preserve"> </w:t>
      </w:r>
      <w:r w:rsidRPr="00D337FA">
        <w:rPr>
          <w:szCs w:val="24"/>
        </w:rPr>
        <w:t>отраслях.</w:t>
      </w:r>
      <w:r w:rsidR="006C680D" w:rsidRPr="00D337FA">
        <w:rPr>
          <w:szCs w:val="24"/>
        </w:rPr>
        <w:t xml:space="preserve"> </w:t>
      </w:r>
      <w:r w:rsidRPr="00D337FA">
        <w:rPr>
          <w:szCs w:val="24"/>
        </w:rPr>
        <w:t>ПАО</w:t>
      </w:r>
      <w:r w:rsidR="006C680D" w:rsidRPr="00D337FA">
        <w:rPr>
          <w:szCs w:val="24"/>
        </w:rPr>
        <w:t xml:space="preserve"> </w:t>
      </w:r>
      <w:r w:rsidRPr="00D337FA">
        <w:rPr>
          <w:szCs w:val="24"/>
        </w:rPr>
        <w:t>«Промсвязьбанк»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АО</w:t>
      </w:r>
      <w:r w:rsidR="006C680D" w:rsidRPr="00D337FA">
        <w:rPr>
          <w:szCs w:val="24"/>
        </w:rPr>
        <w:t xml:space="preserve"> </w:t>
      </w:r>
      <w:r w:rsidRPr="00D337FA">
        <w:rPr>
          <w:szCs w:val="24"/>
        </w:rPr>
        <w:t>«Россельхозбанк»</w:t>
      </w:r>
      <w:r w:rsidR="006C680D" w:rsidRPr="00D337FA">
        <w:rPr>
          <w:szCs w:val="24"/>
        </w:rPr>
        <w:t xml:space="preserve"> </w:t>
      </w:r>
      <w:r w:rsidRPr="00D337FA">
        <w:rPr>
          <w:szCs w:val="24"/>
        </w:rPr>
        <w:t>поддерживают</w:t>
      </w:r>
      <w:r w:rsidR="006C680D" w:rsidRPr="00D337FA">
        <w:rPr>
          <w:szCs w:val="24"/>
        </w:rPr>
        <w:t xml:space="preserve"> </w:t>
      </w:r>
      <w:r w:rsidRPr="00D337FA">
        <w:rPr>
          <w:szCs w:val="24"/>
        </w:rPr>
        <w:t>агробизнес</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предоставление</w:t>
      </w:r>
      <w:r w:rsidR="006C680D" w:rsidRPr="00D337FA">
        <w:rPr>
          <w:szCs w:val="24"/>
        </w:rPr>
        <w:t xml:space="preserve"> </w:t>
      </w:r>
      <w:r w:rsidRPr="00D337FA">
        <w:rPr>
          <w:szCs w:val="24"/>
        </w:rPr>
        <w:t>грантов</w:t>
      </w:r>
      <w:r w:rsidR="006C680D" w:rsidRPr="00D337FA">
        <w:rPr>
          <w:szCs w:val="24"/>
        </w:rPr>
        <w:t xml:space="preserve"> </w:t>
      </w:r>
      <w:r w:rsidRPr="00D337FA">
        <w:rPr>
          <w:szCs w:val="24"/>
        </w:rPr>
        <w:t>и</w:t>
      </w:r>
      <w:r w:rsidR="006C680D" w:rsidRPr="00D337FA">
        <w:rPr>
          <w:szCs w:val="24"/>
        </w:rPr>
        <w:t xml:space="preserve"> </w:t>
      </w:r>
      <w:r w:rsidRPr="00D337FA">
        <w:rPr>
          <w:szCs w:val="24"/>
        </w:rPr>
        <w:t>кредитов</w:t>
      </w:r>
      <w:r w:rsidR="006C680D" w:rsidRPr="00D337FA">
        <w:rPr>
          <w:szCs w:val="24"/>
        </w:rPr>
        <w:t xml:space="preserve"> </w:t>
      </w:r>
      <w:r w:rsidRPr="00D337FA">
        <w:rPr>
          <w:szCs w:val="24"/>
        </w:rPr>
        <w:t>с</w:t>
      </w:r>
      <w:r w:rsidR="006C680D" w:rsidRPr="00D337FA">
        <w:rPr>
          <w:szCs w:val="24"/>
        </w:rPr>
        <w:t xml:space="preserve"> </w:t>
      </w:r>
      <w:r w:rsidRPr="00D337FA">
        <w:rPr>
          <w:szCs w:val="24"/>
        </w:rPr>
        <w:t>грантовой</w:t>
      </w:r>
      <w:r w:rsidR="006C680D" w:rsidRPr="00D337FA">
        <w:rPr>
          <w:szCs w:val="24"/>
        </w:rPr>
        <w:t xml:space="preserve"> </w:t>
      </w:r>
      <w:r w:rsidRPr="00D337FA">
        <w:rPr>
          <w:szCs w:val="24"/>
        </w:rPr>
        <w:t>поддержкой.</w:t>
      </w:r>
    </w:p>
    <w:p w:rsidR="00256E85" w:rsidRPr="00D337FA" w:rsidRDefault="00256E85" w:rsidP="00256E85">
      <w:pPr>
        <w:ind w:firstLine="284"/>
        <w:rPr>
          <w:szCs w:val="24"/>
        </w:rPr>
      </w:pPr>
      <w:r w:rsidRPr="00D337FA">
        <w:rPr>
          <w:szCs w:val="24"/>
        </w:rPr>
        <w:t>Следующая</w:t>
      </w:r>
      <w:r w:rsidR="006C680D" w:rsidRPr="00D337FA">
        <w:rPr>
          <w:szCs w:val="24"/>
        </w:rPr>
        <w:t xml:space="preserve"> </w:t>
      </w:r>
      <w:r w:rsidRPr="00D337FA">
        <w:rPr>
          <w:szCs w:val="24"/>
        </w:rPr>
        <w:t>тенденция</w:t>
      </w:r>
      <w:r w:rsidR="006C680D" w:rsidRPr="00D337FA">
        <w:rPr>
          <w:szCs w:val="24"/>
        </w:rPr>
        <w:t xml:space="preserve"> </w:t>
      </w:r>
      <w:r w:rsidRPr="00D337FA">
        <w:rPr>
          <w:szCs w:val="24"/>
        </w:rPr>
        <w:t>–</w:t>
      </w:r>
      <w:r w:rsidR="006C680D" w:rsidRPr="00D337FA">
        <w:rPr>
          <w:szCs w:val="24"/>
        </w:rPr>
        <w:t xml:space="preserve"> </w:t>
      </w:r>
      <w:r w:rsidRPr="00D337FA">
        <w:rPr>
          <w:szCs w:val="24"/>
        </w:rPr>
        <w:t>ограниченное</w:t>
      </w:r>
      <w:r w:rsidR="006C680D" w:rsidRPr="00D337FA">
        <w:rPr>
          <w:szCs w:val="24"/>
        </w:rPr>
        <w:t xml:space="preserve"> </w:t>
      </w:r>
      <w:r w:rsidRPr="00D337FA">
        <w:rPr>
          <w:szCs w:val="24"/>
        </w:rPr>
        <w:t>предложение</w:t>
      </w:r>
      <w:r w:rsidR="006C680D" w:rsidRPr="00D337FA">
        <w:rPr>
          <w:szCs w:val="24"/>
        </w:rPr>
        <w:t xml:space="preserve"> </w:t>
      </w:r>
      <w:r w:rsidRPr="00D337FA">
        <w:rPr>
          <w:szCs w:val="24"/>
        </w:rPr>
        <w:t>ряда</w:t>
      </w:r>
      <w:r w:rsidR="006C680D" w:rsidRPr="00D337FA">
        <w:rPr>
          <w:szCs w:val="24"/>
        </w:rPr>
        <w:t xml:space="preserve"> </w:t>
      </w:r>
      <w:r w:rsidRPr="00D337FA">
        <w:rPr>
          <w:szCs w:val="24"/>
        </w:rPr>
        <w:t>специфических</w:t>
      </w:r>
      <w:r w:rsidR="006C680D" w:rsidRPr="00D337FA">
        <w:rPr>
          <w:szCs w:val="24"/>
        </w:rPr>
        <w:t xml:space="preserve"> </w:t>
      </w:r>
      <w:r w:rsidRPr="00D337FA">
        <w:rPr>
          <w:szCs w:val="24"/>
        </w:rPr>
        <w:t>услуг</w:t>
      </w:r>
      <w:r w:rsidRPr="00D337FA">
        <w:rPr>
          <w:b/>
          <w:szCs w:val="24"/>
        </w:rPr>
        <w:t>.</w:t>
      </w:r>
      <w:r w:rsidR="006C680D" w:rsidRPr="00D337FA">
        <w:rPr>
          <w:b/>
          <w:szCs w:val="24"/>
        </w:rPr>
        <w:t xml:space="preserve"> </w:t>
      </w:r>
      <w:r w:rsidRPr="00D337FA">
        <w:rPr>
          <w:szCs w:val="24"/>
        </w:rPr>
        <w:t>Среди</w:t>
      </w:r>
      <w:r w:rsidR="006C680D" w:rsidRPr="00D337FA">
        <w:rPr>
          <w:szCs w:val="24"/>
        </w:rPr>
        <w:t xml:space="preserve"> </w:t>
      </w:r>
      <w:r w:rsidRPr="00D337FA">
        <w:rPr>
          <w:szCs w:val="24"/>
        </w:rPr>
        <w:t>них</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выделяются</w:t>
      </w:r>
      <w:r w:rsidR="006C680D" w:rsidRPr="00D337FA">
        <w:rPr>
          <w:szCs w:val="24"/>
        </w:rPr>
        <w:t xml:space="preserve"> </w:t>
      </w:r>
      <w:r w:rsidRPr="00D337FA">
        <w:rPr>
          <w:szCs w:val="24"/>
        </w:rPr>
        <w:t>международные</w:t>
      </w:r>
      <w:r w:rsidR="006C680D" w:rsidRPr="00D337FA">
        <w:rPr>
          <w:szCs w:val="24"/>
        </w:rPr>
        <w:t xml:space="preserve"> </w:t>
      </w:r>
      <w:r w:rsidRPr="00D337FA">
        <w:rPr>
          <w:szCs w:val="24"/>
        </w:rPr>
        <w:t>расчёты,</w:t>
      </w:r>
      <w:r w:rsidR="006C680D" w:rsidRPr="00D337FA">
        <w:rPr>
          <w:szCs w:val="24"/>
        </w:rPr>
        <w:t xml:space="preserve"> </w:t>
      </w:r>
      <w:r w:rsidRPr="00D337FA">
        <w:rPr>
          <w:szCs w:val="24"/>
        </w:rPr>
        <w:t>страхование</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и</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связанные</w:t>
      </w:r>
      <w:r w:rsidR="006C680D" w:rsidRPr="00D337FA">
        <w:rPr>
          <w:szCs w:val="24"/>
        </w:rPr>
        <w:t xml:space="preserve"> </w:t>
      </w:r>
      <w:r w:rsidRPr="00D337FA">
        <w:rPr>
          <w:szCs w:val="24"/>
        </w:rPr>
        <w:t>с</w:t>
      </w:r>
      <w:r w:rsidR="006C680D" w:rsidRPr="00D337FA">
        <w:rPr>
          <w:szCs w:val="24"/>
        </w:rPr>
        <w:t xml:space="preserve"> </w:t>
      </w:r>
      <w:r w:rsidRPr="00D337FA">
        <w:rPr>
          <w:szCs w:val="24"/>
        </w:rPr>
        <w:t>электронной</w:t>
      </w:r>
      <w:r w:rsidR="006C680D" w:rsidRPr="00D337FA">
        <w:rPr>
          <w:szCs w:val="24"/>
        </w:rPr>
        <w:t xml:space="preserve"> </w:t>
      </w:r>
      <w:r w:rsidRPr="00D337FA">
        <w:rPr>
          <w:szCs w:val="24"/>
        </w:rPr>
        <w:t>коммерцией.</w:t>
      </w:r>
      <w:r w:rsidR="006C680D" w:rsidRPr="00D337FA">
        <w:rPr>
          <w:szCs w:val="24"/>
        </w:rPr>
        <w:t xml:space="preserve"> </w:t>
      </w:r>
    </w:p>
    <w:p w:rsidR="00256E85" w:rsidRPr="00D337FA" w:rsidRDefault="00256E85" w:rsidP="00256E85">
      <w:pPr>
        <w:ind w:firstLine="284"/>
        <w:rPr>
          <w:szCs w:val="24"/>
        </w:rPr>
      </w:pPr>
      <w:r w:rsidRPr="00D337FA">
        <w:rPr>
          <w:szCs w:val="24"/>
        </w:rPr>
        <w:t>Доступ</w:t>
      </w:r>
      <w:r w:rsidR="006C680D" w:rsidRPr="00D337FA">
        <w:rPr>
          <w:szCs w:val="24"/>
        </w:rPr>
        <w:t xml:space="preserve"> </w:t>
      </w:r>
      <w:r w:rsidRPr="00D337FA">
        <w:rPr>
          <w:szCs w:val="24"/>
        </w:rPr>
        <w:t>к</w:t>
      </w:r>
      <w:r w:rsidR="006C680D" w:rsidRPr="00D337FA">
        <w:rPr>
          <w:szCs w:val="24"/>
        </w:rPr>
        <w:t xml:space="preserve"> </w:t>
      </w:r>
      <w:r w:rsidRPr="00D337FA">
        <w:rPr>
          <w:szCs w:val="24"/>
        </w:rPr>
        <w:t>международным</w:t>
      </w:r>
      <w:r w:rsidR="006C680D" w:rsidRPr="00D337FA">
        <w:rPr>
          <w:szCs w:val="24"/>
        </w:rPr>
        <w:t xml:space="preserve"> </w:t>
      </w:r>
      <w:r w:rsidRPr="00D337FA">
        <w:rPr>
          <w:szCs w:val="24"/>
        </w:rPr>
        <w:t>расчётам</w:t>
      </w:r>
      <w:r w:rsidR="006C680D" w:rsidRPr="00D337FA">
        <w:rPr>
          <w:szCs w:val="24"/>
        </w:rPr>
        <w:t xml:space="preserve"> </w:t>
      </w:r>
      <w:r w:rsidRPr="00D337FA">
        <w:rPr>
          <w:szCs w:val="24"/>
        </w:rPr>
        <w:t>предоставляется</w:t>
      </w:r>
      <w:r w:rsidR="006C680D" w:rsidRPr="00D337FA">
        <w:rPr>
          <w:szCs w:val="24"/>
        </w:rPr>
        <w:t xml:space="preserve"> </w:t>
      </w:r>
      <w:r w:rsidRPr="00D337FA">
        <w:rPr>
          <w:szCs w:val="24"/>
        </w:rPr>
        <w:t>лишь</w:t>
      </w:r>
      <w:r w:rsidR="006C680D" w:rsidRPr="00D337FA">
        <w:rPr>
          <w:szCs w:val="24"/>
        </w:rPr>
        <w:t xml:space="preserve"> </w:t>
      </w:r>
      <w:r w:rsidRPr="00D337FA">
        <w:rPr>
          <w:szCs w:val="24"/>
        </w:rPr>
        <w:t>в</w:t>
      </w:r>
      <w:r w:rsidR="006C680D" w:rsidRPr="00D337FA">
        <w:rPr>
          <w:szCs w:val="24"/>
        </w:rPr>
        <w:t xml:space="preserve"> </w:t>
      </w:r>
      <w:r w:rsidRPr="00D337FA">
        <w:rPr>
          <w:szCs w:val="24"/>
        </w:rPr>
        <w:t>трёх</w:t>
      </w:r>
      <w:r w:rsidR="006C680D" w:rsidRPr="00D337FA">
        <w:rPr>
          <w:szCs w:val="24"/>
        </w:rPr>
        <w:t xml:space="preserve"> </w:t>
      </w:r>
      <w:r w:rsidRPr="00D337FA">
        <w:rPr>
          <w:szCs w:val="24"/>
        </w:rPr>
        <w:t>банках</w:t>
      </w:r>
      <w:r w:rsidR="006C680D" w:rsidRPr="00D337FA">
        <w:rPr>
          <w:szCs w:val="24"/>
        </w:rPr>
        <w:t xml:space="preserve"> </w:t>
      </w:r>
      <w:r w:rsidRPr="00D337FA">
        <w:rPr>
          <w:szCs w:val="24"/>
        </w:rPr>
        <w:t>(АО</w:t>
      </w:r>
      <w:r w:rsidR="006C680D" w:rsidRPr="00D337FA">
        <w:rPr>
          <w:szCs w:val="24"/>
        </w:rPr>
        <w:t xml:space="preserve"> </w:t>
      </w:r>
      <w:r w:rsidRPr="00D337FA">
        <w:rPr>
          <w:szCs w:val="24"/>
        </w:rPr>
        <w:t>«Юни</w:t>
      </w:r>
      <w:r w:rsidR="006C680D" w:rsidRPr="00D337FA">
        <w:rPr>
          <w:szCs w:val="24"/>
        </w:rPr>
        <w:t xml:space="preserve"> </w:t>
      </w:r>
      <w:r w:rsidRPr="00D337FA">
        <w:rPr>
          <w:szCs w:val="24"/>
        </w:rPr>
        <w:t>Кредит</w:t>
      </w:r>
      <w:r w:rsidR="006C680D" w:rsidRPr="00D337FA">
        <w:rPr>
          <w:szCs w:val="24"/>
        </w:rPr>
        <w:t xml:space="preserve"> </w:t>
      </w:r>
      <w:r w:rsidRPr="00D337FA">
        <w:rPr>
          <w:szCs w:val="24"/>
        </w:rPr>
        <w:t>Банк»,</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Они</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по</w:t>
      </w:r>
      <w:r w:rsidR="006C680D" w:rsidRPr="00D337FA">
        <w:rPr>
          <w:szCs w:val="24"/>
        </w:rPr>
        <w:t xml:space="preserve"> </w:t>
      </w:r>
      <w:r w:rsidRPr="00D337FA">
        <w:rPr>
          <w:szCs w:val="24"/>
        </w:rPr>
        <w:t>открытию</w:t>
      </w:r>
      <w:r w:rsidR="006C680D" w:rsidRPr="00D337FA">
        <w:rPr>
          <w:szCs w:val="24"/>
        </w:rPr>
        <w:t xml:space="preserve"> </w:t>
      </w:r>
      <w:r w:rsidRPr="00D337FA">
        <w:rPr>
          <w:szCs w:val="24"/>
        </w:rPr>
        <w:t>валютных</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международным</w:t>
      </w:r>
      <w:r w:rsidR="006C680D" w:rsidRPr="00D337FA">
        <w:rPr>
          <w:szCs w:val="24"/>
        </w:rPr>
        <w:t xml:space="preserve"> </w:t>
      </w:r>
      <w:r w:rsidRPr="00D337FA">
        <w:rPr>
          <w:szCs w:val="24"/>
        </w:rPr>
        <w:t>переводам</w:t>
      </w:r>
      <w:r w:rsidR="006C680D" w:rsidRPr="00D337FA">
        <w:rPr>
          <w:szCs w:val="24"/>
        </w:rPr>
        <w:t xml:space="preserve"> </w:t>
      </w:r>
      <w:r w:rsidRPr="00D337FA">
        <w:rPr>
          <w:szCs w:val="24"/>
        </w:rPr>
        <w:t>и</w:t>
      </w:r>
      <w:r w:rsidR="006C680D" w:rsidRPr="00D337FA">
        <w:rPr>
          <w:szCs w:val="24"/>
        </w:rPr>
        <w:t xml:space="preserve"> </w:t>
      </w:r>
      <w:r w:rsidRPr="00D337FA">
        <w:rPr>
          <w:szCs w:val="24"/>
        </w:rPr>
        <w:t>сопровождению</w:t>
      </w:r>
      <w:r w:rsidR="006C680D" w:rsidRPr="00D337FA">
        <w:rPr>
          <w:szCs w:val="24"/>
        </w:rPr>
        <w:t xml:space="preserve"> </w:t>
      </w:r>
      <w:r w:rsidRPr="00D337FA">
        <w:rPr>
          <w:szCs w:val="24"/>
        </w:rPr>
        <w:t>внешнеэкономической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Данное</w:t>
      </w:r>
      <w:r w:rsidR="006C680D" w:rsidRPr="00D337FA">
        <w:rPr>
          <w:szCs w:val="24"/>
        </w:rPr>
        <w:t xml:space="preserve"> </w:t>
      </w:r>
      <w:r w:rsidRPr="00D337FA">
        <w:rPr>
          <w:szCs w:val="24"/>
        </w:rPr>
        <w:t>обстоятельство</w:t>
      </w:r>
      <w:r w:rsidR="006C680D" w:rsidRPr="00D337FA">
        <w:rPr>
          <w:szCs w:val="24"/>
        </w:rPr>
        <w:t xml:space="preserve"> </w:t>
      </w:r>
      <w:r w:rsidRPr="00D337FA">
        <w:rPr>
          <w:szCs w:val="24"/>
        </w:rPr>
        <w:t>ограничивает</w:t>
      </w:r>
      <w:r w:rsidR="006C680D" w:rsidRPr="00D337FA">
        <w:rPr>
          <w:szCs w:val="24"/>
        </w:rPr>
        <w:t xml:space="preserve"> </w:t>
      </w:r>
      <w:r w:rsidRPr="00D337FA">
        <w:rPr>
          <w:szCs w:val="24"/>
        </w:rPr>
        <w:t>доступ</w:t>
      </w:r>
      <w:r w:rsidR="006C680D" w:rsidRPr="00D337FA">
        <w:rPr>
          <w:szCs w:val="24"/>
        </w:rPr>
        <w:t xml:space="preserve"> </w:t>
      </w:r>
      <w:r w:rsidRPr="00D337FA">
        <w:rPr>
          <w:szCs w:val="24"/>
        </w:rPr>
        <w:t>предпринимателей</w:t>
      </w:r>
      <w:r w:rsidR="006C680D" w:rsidRPr="00D337FA">
        <w:rPr>
          <w:szCs w:val="24"/>
        </w:rPr>
        <w:t xml:space="preserve"> </w:t>
      </w:r>
      <w:r w:rsidRPr="00D337FA">
        <w:rPr>
          <w:szCs w:val="24"/>
        </w:rPr>
        <w:t>к</w:t>
      </w:r>
      <w:r w:rsidR="006C680D" w:rsidRPr="00D337FA">
        <w:rPr>
          <w:szCs w:val="24"/>
        </w:rPr>
        <w:t xml:space="preserve"> </w:t>
      </w:r>
      <w:r w:rsidRPr="00D337FA">
        <w:rPr>
          <w:szCs w:val="24"/>
        </w:rPr>
        <w:t>зарубежным</w:t>
      </w:r>
      <w:r w:rsidR="006C680D" w:rsidRPr="00D337FA">
        <w:rPr>
          <w:szCs w:val="24"/>
        </w:rPr>
        <w:t xml:space="preserve"> </w:t>
      </w:r>
      <w:r w:rsidRPr="00D337FA">
        <w:rPr>
          <w:szCs w:val="24"/>
        </w:rPr>
        <w:t>рынкам,</w:t>
      </w:r>
      <w:r w:rsidR="006C680D" w:rsidRPr="00D337FA">
        <w:rPr>
          <w:szCs w:val="24"/>
        </w:rPr>
        <w:t xml:space="preserve"> </w:t>
      </w:r>
      <w:r w:rsidRPr="00D337FA">
        <w:rPr>
          <w:szCs w:val="24"/>
        </w:rPr>
        <w:t>снижает</w:t>
      </w:r>
      <w:r w:rsidR="006C680D" w:rsidRPr="00D337FA">
        <w:rPr>
          <w:szCs w:val="24"/>
        </w:rPr>
        <w:t xml:space="preserve"> </w:t>
      </w:r>
      <w:r w:rsidRPr="00D337FA">
        <w:rPr>
          <w:szCs w:val="24"/>
        </w:rPr>
        <w:t>их</w:t>
      </w:r>
      <w:r w:rsidR="006C680D" w:rsidRPr="00D337FA">
        <w:rPr>
          <w:szCs w:val="24"/>
        </w:rPr>
        <w:t xml:space="preserve"> </w:t>
      </w:r>
      <w:r w:rsidRPr="00D337FA">
        <w:rPr>
          <w:szCs w:val="24"/>
        </w:rPr>
        <w:t>экспортный</w:t>
      </w:r>
      <w:r w:rsidR="006C680D" w:rsidRPr="00D337FA">
        <w:rPr>
          <w:szCs w:val="24"/>
        </w:rPr>
        <w:t xml:space="preserve"> </w:t>
      </w:r>
      <w:r w:rsidRPr="00D337FA">
        <w:rPr>
          <w:szCs w:val="24"/>
        </w:rPr>
        <w:t>потенциал</w:t>
      </w:r>
      <w:r w:rsidR="006C680D" w:rsidRPr="00D337FA">
        <w:rPr>
          <w:szCs w:val="24"/>
        </w:rPr>
        <w:t xml:space="preserve"> </w:t>
      </w:r>
      <w:r w:rsidRPr="00D337FA">
        <w:rPr>
          <w:szCs w:val="24"/>
        </w:rPr>
        <w:t>и</w:t>
      </w:r>
      <w:r w:rsidR="006C680D" w:rsidRPr="00D337FA">
        <w:rPr>
          <w:szCs w:val="24"/>
        </w:rPr>
        <w:t xml:space="preserve"> </w:t>
      </w:r>
      <w:r w:rsidRPr="00D337FA">
        <w:rPr>
          <w:szCs w:val="24"/>
        </w:rPr>
        <w:t>сдер</w:t>
      </w:r>
      <w:r w:rsidRPr="00D337FA">
        <w:rPr>
          <w:szCs w:val="24"/>
        </w:rPr>
        <w:lastRenderedPageBreak/>
        <w:t>живает</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международного</w:t>
      </w:r>
      <w:r w:rsidR="006C680D" w:rsidRPr="00D337FA">
        <w:rPr>
          <w:szCs w:val="24"/>
        </w:rPr>
        <w:t xml:space="preserve"> </w:t>
      </w:r>
      <w:r w:rsidRPr="00D337FA">
        <w:rPr>
          <w:szCs w:val="24"/>
        </w:rPr>
        <w:t>партнёрства.</w:t>
      </w:r>
      <w:r w:rsidR="006C680D" w:rsidRPr="00D337FA">
        <w:rPr>
          <w:szCs w:val="24"/>
        </w:rPr>
        <w:t xml:space="preserve"> </w:t>
      </w:r>
    </w:p>
    <w:p w:rsidR="00256E85" w:rsidRPr="00D337FA" w:rsidRDefault="00256E85" w:rsidP="00256E85">
      <w:pPr>
        <w:ind w:firstLine="284"/>
        <w:rPr>
          <w:szCs w:val="24"/>
        </w:rPr>
      </w:pPr>
      <w:r w:rsidRPr="00D337FA">
        <w:rPr>
          <w:szCs w:val="24"/>
        </w:rPr>
        <w:t>Ограниченными</w:t>
      </w:r>
      <w:r w:rsidR="006C680D" w:rsidRPr="00D337FA">
        <w:rPr>
          <w:szCs w:val="24"/>
        </w:rPr>
        <w:t xml:space="preserve"> </w:t>
      </w:r>
      <w:r w:rsidRPr="00D337FA">
        <w:rPr>
          <w:szCs w:val="24"/>
        </w:rPr>
        <w:t>остаются</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по</w:t>
      </w:r>
      <w:r w:rsidR="006C680D" w:rsidRPr="00D337FA">
        <w:rPr>
          <w:szCs w:val="24"/>
        </w:rPr>
        <w:t xml:space="preserve"> </w:t>
      </w:r>
      <w:r w:rsidRPr="00D337FA">
        <w:rPr>
          <w:szCs w:val="24"/>
        </w:rPr>
        <w:t>страхованию</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четыре</w:t>
      </w:r>
      <w:r w:rsidR="006C680D" w:rsidRPr="00D337FA">
        <w:rPr>
          <w:szCs w:val="24"/>
        </w:rPr>
        <w:t xml:space="preserve"> </w:t>
      </w:r>
      <w:r w:rsidRPr="00D337FA">
        <w:rPr>
          <w:szCs w:val="24"/>
        </w:rPr>
        <w:t>банка</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и</w:t>
      </w:r>
      <w:r w:rsidR="006C680D" w:rsidRPr="00D337FA">
        <w:rPr>
          <w:szCs w:val="24"/>
        </w:rPr>
        <w:t xml:space="preserve"> </w:t>
      </w:r>
      <w:r w:rsidRPr="00D337FA">
        <w:rPr>
          <w:szCs w:val="24"/>
        </w:rPr>
        <w:t>ПАО</w:t>
      </w:r>
      <w:r w:rsidR="006C680D" w:rsidRPr="00D337FA">
        <w:rPr>
          <w:szCs w:val="24"/>
        </w:rPr>
        <w:t xml:space="preserve"> </w:t>
      </w:r>
      <w:r w:rsidRPr="00D337FA">
        <w:rPr>
          <w:szCs w:val="24"/>
        </w:rPr>
        <w:t>«Промсвязьбанк»)</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продукты,</w:t>
      </w:r>
      <w:r w:rsidR="006C680D" w:rsidRPr="00D337FA">
        <w:rPr>
          <w:szCs w:val="24"/>
        </w:rPr>
        <w:t xml:space="preserve"> </w:t>
      </w:r>
      <w:r w:rsidRPr="00D337FA">
        <w:rPr>
          <w:szCs w:val="24"/>
        </w:rPr>
        <w:t>направленные</w:t>
      </w:r>
      <w:r w:rsidR="006C680D" w:rsidRPr="00D337FA">
        <w:rPr>
          <w:szCs w:val="24"/>
        </w:rPr>
        <w:t xml:space="preserve"> </w:t>
      </w:r>
      <w:r w:rsidRPr="00D337FA">
        <w:rPr>
          <w:szCs w:val="24"/>
        </w:rPr>
        <w:t>на</w:t>
      </w:r>
      <w:r w:rsidR="006C680D" w:rsidRPr="00D337FA">
        <w:rPr>
          <w:szCs w:val="24"/>
        </w:rPr>
        <w:t xml:space="preserve"> </w:t>
      </w:r>
      <w:r w:rsidRPr="00D337FA">
        <w:rPr>
          <w:szCs w:val="24"/>
        </w:rPr>
        <w:t>защиту</w:t>
      </w:r>
      <w:r w:rsidR="006C680D" w:rsidRPr="00D337FA">
        <w:rPr>
          <w:szCs w:val="24"/>
        </w:rPr>
        <w:t xml:space="preserve"> </w:t>
      </w:r>
      <w:r w:rsidRPr="00D337FA">
        <w:rPr>
          <w:szCs w:val="24"/>
        </w:rPr>
        <w:t>имущества,</w:t>
      </w:r>
      <w:r w:rsidR="006C680D" w:rsidRPr="00D337FA">
        <w:rPr>
          <w:szCs w:val="24"/>
        </w:rPr>
        <w:t xml:space="preserve"> </w:t>
      </w:r>
      <w:r w:rsidRPr="00D337FA">
        <w:rPr>
          <w:szCs w:val="24"/>
        </w:rPr>
        <w:t>ответственности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других</w:t>
      </w:r>
      <w:r w:rsidR="006C680D" w:rsidRPr="00D337FA">
        <w:rPr>
          <w:szCs w:val="24"/>
        </w:rPr>
        <w:t xml:space="preserve"> </w:t>
      </w:r>
      <w:r w:rsidRPr="00D337FA">
        <w:rPr>
          <w:szCs w:val="24"/>
        </w:rPr>
        <w:t>бизнес-рисков.</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тем,</w:t>
      </w:r>
      <w:r w:rsidR="006C680D" w:rsidRPr="00D337FA">
        <w:rPr>
          <w:szCs w:val="24"/>
        </w:rPr>
        <w:t xml:space="preserve"> </w:t>
      </w:r>
      <w:r w:rsidRPr="00D337FA">
        <w:rPr>
          <w:szCs w:val="24"/>
        </w:rPr>
        <w:t>страхование</w:t>
      </w:r>
      <w:r w:rsidR="006C680D" w:rsidRPr="00D337FA">
        <w:rPr>
          <w:szCs w:val="24"/>
        </w:rPr>
        <w:t xml:space="preserve"> </w:t>
      </w:r>
      <w:r w:rsidRPr="00D337FA">
        <w:rPr>
          <w:szCs w:val="24"/>
        </w:rPr>
        <w:t>остаётся</w:t>
      </w:r>
      <w:r w:rsidR="006C680D" w:rsidRPr="00D337FA">
        <w:rPr>
          <w:szCs w:val="24"/>
        </w:rPr>
        <w:t xml:space="preserve"> </w:t>
      </w:r>
      <w:r w:rsidRPr="00D337FA">
        <w:rPr>
          <w:szCs w:val="24"/>
        </w:rPr>
        <w:t>важным</w:t>
      </w:r>
      <w:r w:rsidR="006C680D" w:rsidRPr="00D337FA">
        <w:rPr>
          <w:szCs w:val="24"/>
        </w:rPr>
        <w:t xml:space="preserve"> </w:t>
      </w:r>
      <w:r w:rsidRPr="00D337FA">
        <w:rPr>
          <w:szCs w:val="24"/>
        </w:rPr>
        <w:t>элементом</w:t>
      </w:r>
      <w:r w:rsidR="006C680D" w:rsidRPr="00D337FA">
        <w:rPr>
          <w:szCs w:val="24"/>
        </w:rPr>
        <w:t xml:space="preserve"> </w:t>
      </w:r>
      <w:r w:rsidRPr="00D337FA">
        <w:rPr>
          <w:szCs w:val="24"/>
        </w:rPr>
        <w:t>обеспечения</w:t>
      </w:r>
      <w:r w:rsidR="006C680D" w:rsidRPr="00D337FA">
        <w:rPr>
          <w:szCs w:val="24"/>
        </w:rPr>
        <w:t xml:space="preserve"> </w:t>
      </w:r>
      <w:r w:rsidRPr="00D337FA">
        <w:rPr>
          <w:szCs w:val="24"/>
        </w:rPr>
        <w:t>непрерывности</w:t>
      </w:r>
      <w:r w:rsidR="006C680D" w:rsidRPr="00D337FA">
        <w:rPr>
          <w:szCs w:val="24"/>
        </w:rPr>
        <w:t xml:space="preserve"> </w:t>
      </w:r>
      <w:r w:rsidRPr="00D337FA">
        <w:rPr>
          <w:szCs w:val="24"/>
        </w:rPr>
        <w:t>бизнес-процессов</w:t>
      </w:r>
      <w:r w:rsidR="006C680D" w:rsidRPr="00D337FA">
        <w:rPr>
          <w:szCs w:val="24"/>
        </w:rPr>
        <w:t xml:space="preserve"> </w:t>
      </w:r>
      <w:r w:rsidRPr="00D337FA">
        <w:rPr>
          <w:szCs w:val="24"/>
        </w:rPr>
        <w:t>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форс-мажорными</w:t>
      </w:r>
      <w:r w:rsidR="006C680D" w:rsidRPr="00D337FA">
        <w:rPr>
          <w:szCs w:val="24"/>
        </w:rPr>
        <w:t xml:space="preserve"> </w:t>
      </w:r>
      <w:r w:rsidRPr="00D337FA">
        <w:rPr>
          <w:szCs w:val="24"/>
        </w:rPr>
        <w:t>ситуациями.</w:t>
      </w:r>
      <w:r w:rsidR="006C680D" w:rsidRPr="00D337FA">
        <w:rPr>
          <w:szCs w:val="24"/>
        </w:rPr>
        <w:t xml:space="preserve"> </w:t>
      </w:r>
      <w:r w:rsidRPr="00D337FA">
        <w:rPr>
          <w:szCs w:val="24"/>
        </w:rPr>
        <w:t>Отсутствие</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в</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значимых</w:t>
      </w:r>
      <w:r w:rsidR="006C680D" w:rsidRPr="00D337FA">
        <w:rPr>
          <w:szCs w:val="24"/>
        </w:rPr>
        <w:t xml:space="preserve"> </w:t>
      </w:r>
      <w:r w:rsidRPr="00D337FA">
        <w:rPr>
          <w:szCs w:val="24"/>
        </w:rPr>
        <w:t>банках</w:t>
      </w:r>
      <w:r w:rsidR="006C680D" w:rsidRPr="00D337FA">
        <w:rPr>
          <w:szCs w:val="24"/>
        </w:rPr>
        <w:t xml:space="preserve"> </w:t>
      </w:r>
      <w:r w:rsidRPr="00D337FA">
        <w:rPr>
          <w:szCs w:val="24"/>
        </w:rPr>
        <w:t>формирует</w:t>
      </w:r>
      <w:r w:rsidR="006C680D" w:rsidRPr="00D337FA">
        <w:rPr>
          <w:szCs w:val="24"/>
        </w:rPr>
        <w:t xml:space="preserve"> </w:t>
      </w:r>
      <w:r w:rsidRPr="00D337FA">
        <w:rPr>
          <w:szCs w:val="24"/>
        </w:rPr>
        <w:t>уязвимость</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к</w:t>
      </w:r>
      <w:r w:rsidR="006C680D" w:rsidRPr="00D337FA">
        <w:rPr>
          <w:szCs w:val="24"/>
        </w:rPr>
        <w:t xml:space="preserve"> </w:t>
      </w:r>
      <w:r w:rsidRPr="00D337FA">
        <w:rPr>
          <w:szCs w:val="24"/>
        </w:rPr>
        <w:t>внешним</w:t>
      </w:r>
      <w:r w:rsidR="006C680D" w:rsidRPr="00D337FA">
        <w:rPr>
          <w:szCs w:val="24"/>
        </w:rPr>
        <w:t xml:space="preserve"> </w:t>
      </w:r>
      <w:r w:rsidRPr="00D337FA">
        <w:rPr>
          <w:szCs w:val="24"/>
        </w:rPr>
        <w:t>изменениям.</w:t>
      </w:r>
    </w:p>
    <w:p w:rsidR="00256E85" w:rsidRPr="00D337FA" w:rsidRDefault="00256E85" w:rsidP="00256E85">
      <w:pPr>
        <w:ind w:firstLine="284"/>
        <w:rPr>
          <w:szCs w:val="24"/>
        </w:rPr>
      </w:pPr>
      <w:r w:rsidRPr="00D337FA">
        <w:rPr>
          <w:szCs w:val="24"/>
        </w:rPr>
        <w:t>Недостаточно</w:t>
      </w:r>
      <w:r w:rsidR="006C680D" w:rsidRPr="00D337FA">
        <w:rPr>
          <w:szCs w:val="24"/>
        </w:rPr>
        <w:t xml:space="preserve"> </w:t>
      </w:r>
      <w:r w:rsidRPr="00D337FA">
        <w:rPr>
          <w:szCs w:val="24"/>
        </w:rPr>
        <w:t>развиты</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связанных</w:t>
      </w:r>
      <w:r w:rsidR="006C680D" w:rsidRPr="00D337FA">
        <w:rPr>
          <w:szCs w:val="24"/>
        </w:rPr>
        <w:t xml:space="preserve"> </w:t>
      </w:r>
      <w:r w:rsidRPr="00D337FA">
        <w:rPr>
          <w:szCs w:val="24"/>
        </w:rPr>
        <w:t>с</w:t>
      </w:r>
      <w:r w:rsidR="006C680D" w:rsidRPr="00D337FA">
        <w:rPr>
          <w:szCs w:val="24"/>
        </w:rPr>
        <w:t xml:space="preserve"> </w:t>
      </w:r>
      <w:r w:rsidRPr="00D337FA">
        <w:rPr>
          <w:szCs w:val="24"/>
        </w:rPr>
        <w:t>маркетплейсами.</w:t>
      </w:r>
      <w:r w:rsidR="006C680D" w:rsidRPr="00D337FA">
        <w:rPr>
          <w:szCs w:val="24"/>
        </w:rPr>
        <w:t xml:space="preserve"> </w:t>
      </w:r>
      <w:r w:rsidRPr="00D337FA">
        <w:rPr>
          <w:szCs w:val="24"/>
        </w:rPr>
        <w:t>В</w:t>
      </w:r>
      <w:r w:rsidR="006C680D" w:rsidRPr="00D337FA">
        <w:rPr>
          <w:szCs w:val="24"/>
        </w:rPr>
        <w:t xml:space="preserve"> </w:t>
      </w:r>
      <w:r w:rsidRPr="00D337FA">
        <w:rPr>
          <w:szCs w:val="24"/>
        </w:rPr>
        <w:t>процессе</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платформ</w:t>
      </w:r>
      <w:r w:rsidR="006C680D" w:rsidRPr="00D337FA">
        <w:rPr>
          <w:szCs w:val="24"/>
        </w:rPr>
        <w:t xml:space="preserve"> </w:t>
      </w:r>
      <w:r w:rsidRPr="00D337FA">
        <w:rPr>
          <w:szCs w:val="24"/>
        </w:rPr>
        <w:t>предприниматели</w:t>
      </w:r>
      <w:r w:rsidR="006C680D" w:rsidRPr="00D337FA">
        <w:rPr>
          <w:szCs w:val="24"/>
        </w:rPr>
        <w:t xml:space="preserve"> </w:t>
      </w:r>
      <w:r w:rsidRPr="00D337FA">
        <w:rPr>
          <w:szCs w:val="24"/>
        </w:rPr>
        <w:t>нуждаются</w:t>
      </w:r>
      <w:r w:rsidR="006C680D" w:rsidRPr="00D337FA">
        <w:rPr>
          <w:szCs w:val="24"/>
        </w:rPr>
        <w:t xml:space="preserve"> </w:t>
      </w:r>
      <w:r w:rsidRPr="00D337FA">
        <w:rPr>
          <w:szCs w:val="24"/>
        </w:rPr>
        <w:t>в</w:t>
      </w:r>
      <w:r w:rsidR="006C680D" w:rsidRPr="00D337FA">
        <w:rPr>
          <w:szCs w:val="24"/>
        </w:rPr>
        <w:t xml:space="preserve"> </w:t>
      </w:r>
      <w:r w:rsidRPr="00D337FA">
        <w:rPr>
          <w:szCs w:val="24"/>
        </w:rPr>
        <w:t>продуктах,</w:t>
      </w:r>
      <w:r w:rsidR="006C680D" w:rsidRPr="00D337FA">
        <w:rPr>
          <w:szCs w:val="24"/>
        </w:rPr>
        <w:t xml:space="preserve"> </w:t>
      </w:r>
      <w:r w:rsidRPr="00D337FA">
        <w:rPr>
          <w:szCs w:val="24"/>
        </w:rPr>
        <w:t>обеспечивающих</w:t>
      </w:r>
      <w:r w:rsidR="006C680D" w:rsidRPr="00D337FA">
        <w:rPr>
          <w:szCs w:val="24"/>
        </w:rPr>
        <w:t xml:space="preserve"> </w:t>
      </w:r>
      <w:r w:rsidRPr="00D337FA">
        <w:rPr>
          <w:szCs w:val="24"/>
        </w:rPr>
        <w:t>эквайринг,</w:t>
      </w:r>
      <w:r w:rsidR="006C680D" w:rsidRPr="00D337FA">
        <w:rPr>
          <w:szCs w:val="24"/>
        </w:rPr>
        <w:t xml:space="preserve"> </w:t>
      </w:r>
      <w:r w:rsidRPr="00D337FA">
        <w:rPr>
          <w:szCs w:val="24"/>
        </w:rPr>
        <w:t>интеграцию</w:t>
      </w:r>
      <w:r w:rsidR="006C680D" w:rsidRPr="00D337FA">
        <w:rPr>
          <w:szCs w:val="24"/>
        </w:rPr>
        <w:t xml:space="preserve"> </w:t>
      </w:r>
      <w:r w:rsidRPr="00D337FA">
        <w:rPr>
          <w:szCs w:val="24"/>
        </w:rPr>
        <w:t>с</w:t>
      </w:r>
      <w:r w:rsidR="006C680D" w:rsidRPr="00D337FA">
        <w:rPr>
          <w:szCs w:val="24"/>
        </w:rPr>
        <w:t xml:space="preserve"> </w:t>
      </w:r>
      <w:r w:rsidRPr="00D337FA">
        <w:rPr>
          <w:szCs w:val="24"/>
        </w:rPr>
        <w:t>системами</w:t>
      </w:r>
      <w:r w:rsidR="006C680D" w:rsidRPr="00D337FA">
        <w:rPr>
          <w:szCs w:val="24"/>
        </w:rPr>
        <w:t xml:space="preserve"> </w:t>
      </w:r>
      <w:r w:rsidRPr="00D337FA">
        <w:rPr>
          <w:szCs w:val="24"/>
        </w:rPr>
        <w:t>учёта,</w:t>
      </w:r>
      <w:r w:rsidR="006C680D" w:rsidRPr="00D337FA">
        <w:rPr>
          <w:szCs w:val="24"/>
        </w:rPr>
        <w:t xml:space="preserve"> </w:t>
      </w:r>
      <w:r w:rsidRPr="00D337FA">
        <w:rPr>
          <w:szCs w:val="24"/>
        </w:rPr>
        <w:t>онлайн-аналитику</w:t>
      </w:r>
      <w:r w:rsidR="006C680D" w:rsidRPr="00D337FA">
        <w:rPr>
          <w:szCs w:val="24"/>
        </w:rPr>
        <w:t xml:space="preserve"> </w:t>
      </w:r>
      <w:r w:rsidRPr="00D337FA">
        <w:rPr>
          <w:szCs w:val="24"/>
        </w:rPr>
        <w:t>и</w:t>
      </w:r>
      <w:r w:rsidR="006C680D" w:rsidRPr="00D337FA">
        <w:rPr>
          <w:szCs w:val="24"/>
        </w:rPr>
        <w:t xml:space="preserve"> </w:t>
      </w:r>
      <w:r w:rsidRPr="00D337FA">
        <w:rPr>
          <w:szCs w:val="24"/>
        </w:rPr>
        <w:t>расчётные</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Тем</w:t>
      </w:r>
      <w:r w:rsidR="006C680D" w:rsidRPr="00D337FA">
        <w:rPr>
          <w:szCs w:val="24"/>
        </w:rPr>
        <w:t xml:space="preserve"> </w:t>
      </w:r>
      <w:r w:rsidRPr="00D337FA">
        <w:rPr>
          <w:szCs w:val="24"/>
        </w:rPr>
        <w:t>не</w:t>
      </w:r>
      <w:r w:rsidR="006C680D" w:rsidRPr="00D337FA">
        <w:rPr>
          <w:szCs w:val="24"/>
        </w:rPr>
        <w:t xml:space="preserve"> </w:t>
      </w:r>
      <w:r w:rsidRPr="00D337FA">
        <w:rPr>
          <w:szCs w:val="24"/>
        </w:rPr>
        <w:t>менее</w:t>
      </w:r>
      <w:r w:rsidR="006C680D" w:rsidRPr="00D337FA">
        <w:rPr>
          <w:szCs w:val="24"/>
        </w:rPr>
        <w:t xml:space="preserve"> </w:t>
      </w:r>
      <w:r w:rsidRPr="00D337FA">
        <w:rPr>
          <w:szCs w:val="24"/>
        </w:rPr>
        <w:t>соответствующие</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имеются</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у</w:t>
      </w:r>
      <w:r w:rsidR="006C680D" w:rsidRPr="00D337FA">
        <w:rPr>
          <w:szCs w:val="24"/>
        </w:rPr>
        <w:t xml:space="preserve"> </w:t>
      </w:r>
      <w:r w:rsidRPr="00D337FA">
        <w:rPr>
          <w:szCs w:val="24"/>
        </w:rPr>
        <w:t>двух</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ограничивается</w:t>
      </w:r>
      <w:r w:rsidR="006C680D" w:rsidRPr="00D337FA">
        <w:rPr>
          <w:szCs w:val="24"/>
        </w:rPr>
        <w:t xml:space="preserve"> </w:t>
      </w:r>
      <w:r w:rsidRPr="00D337FA">
        <w:rPr>
          <w:szCs w:val="24"/>
        </w:rPr>
        <w:t>возможность</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развивать</w:t>
      </w:r>
      <w:r w:rsidR="006C680D" w:rsidRPr="00D337FA">
        <w:rPr>
          <w:szCs w:val="24"/>
        </w:rPr>
        <w:t xml:space="preserve"> </w:t>
      </w:r>
      <w:r w:rsidRPr="00D337FA">
        <w:rPr>
          <w:szCs w:val="24"/>
        </w:rPr>
        <w:t>онлайн-продажи,</w:t>
      </w:r>
      <w:r w:rsidR="006C680D" w:rsidRPr="00D337FA">
        <w:rPr>
          <w:szCs w:val="24"/>
        </w:rPr>
        <w:t xml:space="preserve"> </w:t>
      </w:r>
      <w:r w:rsidRPr="00D337FA">
        <w:rPr>
          <w:szCs w:val="24"/>
        </w:rPr>
        <w:t>масштабировать</w:t>
      </w:r>
      <w:r w:rsidR="006C680D" w:rsidRPr="00D337FA">
        <w:rPr>
          <w:szCs w:val="24"/>
        </w:rPr>
        <w:t xml:space="preserve"> </w:t>
      </w:r>
      <w:r w:rsidRPr="00D337FA">
        <w:rPr>
          <w:szCs w:val="24"/>
        </w:rPr>
        <w:t>бизнес</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цифровые</w:t>
      </w:r>
      <w:r w:rsidR="006C680D" w:rsidRPr="00D337FA">
        <w:rPr>
          <w:szCs w:val="24"/>
        </w:rPr>
        <w:t xml:space="preserve"> </w:t>
      </w:r>
      <w:r w:rsidRPr="00D337FA">
        <w:rPr>
          <w:szCs w:val="24"/>
        </w:rPr>
        <w:t>каналы</w:t>
      </w:r>
      <w:r w:rsidR="006C680D" w:rsidRPr="00D337FA">
        <w:rPr>
          <w:szCs w:val="24"/>
        </w:rPr>
        <w:t xml:space="preserve"> </w:t>
      </w:r>
      <w:r w:rsidRPr="00D337FA">
        <w:rPr>
          <w:szCs w:val="24"/>
        </w:rPr>
        <w:t>и</w:t>
      </w:r>
      <w:r w:rsidR="006C680D" w:rsidRPr="00D337FA">
        <w:rPr>
          <w:szCs w:val="24"/>
        </w:rPr>
        <w:t xml:space="preserve"> </w:t>
      </w:r>
      <w:r w:rsidRPr="00D337FA">
        <w:rPr>
          <w:szCs w:val="24"/>
        </w:rPr>
        <w:t>адаптироваться</w:t>
      </w:r>
      <w:r w:rsidR="006C680D" w:rsidRPr="00D337FA">
        <w:rPr>
          <w:szCs w:val="24"/>
        </w:rPr>
        <w:t xml:space="preserve"> </w:t>
      </w:r>
      <w:r w:rsidRPr="00D337FA">
        <w:rPr>
          <w:szCs w:val="24"/>
        </w:rPr>
        <w:t>к</w:t>
      </w:r>
      <w:r w:rsidR="006C680D" w:rsidRPr="00D337FA">
        <w:rPr>
          <w:szCs w:val="24"/>
        </w:rPr>
        <w:t xml:space="preserve"> </w:t>
      </w:r>
      <w:r w:rsidRPr="00D337FA">
        <w:rPr>
          <w:szCs w:val="24"/>
        </w:rPr>
        <w:t>новой</w:t>
      </w:r>
      <w:r w:rsidR="006C680D" w:rsidRPr="00D337FA">
        <w:rPr>
          <w:szCs w:val="24"/>
        </w:rPr>
        <w:t xml:space="preserve"> </w:t>
      </w:r>
      <w:r w:rsidRPr="00D337FA">
        <w:rPr>
          <w:szCs w:val="24"/>
        </w:rPr>
        <w:t>экономической</w:t>
      </w:r>
      <w:r w:rsidR="006C680D" w:rsidRPr="00D337FA">
        <w:rPr>
          <w:szCs w:val="24"/>
        </w:rPr>
        <w:t xml:space="preserve"> </w:t>
      </w:r>
      <w:r w:rsidRPr="00D337FA">
        <w:rPr>
          <w:szCs w:val="24"/>
        </w:rPr>
        <w:t>реальности.</w:t>
      </w:r>
    </w:p>
    <w:p w:rsidR="00256E85" w:rsidRPr="00D337FA" w:rsidRDefault="00256E85" w:rsidP="00256E85">
      <w:pPr>
        <w:ind w:firstLine="284"/>
        <w:rPr>
          <w:szCs w:val="24"/>
        </w:rPr>
      </w:pPr>
      <w:r w:rsidRPr="00D337FA">
        <w:rPr>
          <w:szCs w:val="24"/>
        </w:rPr>
        <w:t>Еще</w:t>
      </w:r>
      <w:r w:rsidR="006C680D" w:rsidRPr="00D337FA">
        <w:rPr>
          <w:szCs w:val="24"/>
        </w:rPr>
        <w:t xml:space="preserve"> </w:t>
      </w:r>
      <w:r w:rsidRPr="00D337FA">
        <w:rPr>
          <w:szCs w:val="24"/>
        </w:rPr>
        <w:t>одной</w:t>
      </w:r>
      <w:r w:rsidR="006C680D" w:rsidRPr="00D337FA">
        <w:rPr>
          <w:szCs w:val="24"/>
        </w:rPr>
        <w:t xml:space="preserve"> </w:t>
      </w:r>
      <w:r w:rsidRPr="00D337FA">
        <w:rPr>
          <w:szCs w:val="24"/>
        </w:rPr>
        <w:t>тенденцией</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малых</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считать</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их</w:t>
      </w:r>
      <w:r w:rsidR="006C680D" w:rsidRPr="00D337FA">
        <w:rPr>
          <w:szCs w:val="24"/>
        </w:rPr>
        <w:t xml:space="preserve"> </w:t>
      </w:r>
      <w:r w:rsidRPr="00D337FA">
        <w:rPr>
          <w:szCs w:val="24"/>
        </w:rPr>
        <w:t>нефинансового</w:t>
      </w:r>
      <w:r w:rsidR="006C680D" w:rsidRPr="00D337FA">
        <w:rPr>
          <w:szCs w:val="24"/>
        </w:rPr>
        <w:t xml:space="preserve"> </w:t>
      </w:r>
      <w:r w:rsidRPr="00D337FA">
        <w:rPr>
          <w:szCs w:val="24"/>
        </w:rPr>
        <w:t>сопровождения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углубление</w:t>
      </w:r>
      <w:r w:rsidR="006C680D" w:rsidRPr="00D337FA">
        <w:rPr>
          <w:szCs w:val="24"/>
        </w:rPr>
        <w:t xml:space="preserve"> </w:t>
      </w:r>
      <w:r w:rsidRPr="00D337FA">
        <w:rPr>
          <w:szCs w:val="24"/>
        </w:rPr>
        <w:t>кастомизации</w:t>
      </w:r>
      <w:r w:rsidR="006C680D" w:rsidRPr="00D337FA">
        <w:rPr>
          <w:szCs w:val="24"/>
        </w:rPr>
        <w:t xml:space="preserve"> </w:t>
      </w:r>
      <w:r w:rsidRPr="00D337FA">
        <w:rPr>
          <w:szCs w:val="24"/>
        </w:rPr>
        <w:t>клиентских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Современная</w:t>
      </w:r>
      <w:r w:rsidR="006C680D" w:rsidRPr="00D337FA">
        <w:rPr>
          <w:szCs w:val="24"/>
        </w:rPr>
        <w:t xml:space="preserve"> </w:t>
      </w:r>
      <w:r w:rsidRPr="00D337FA">
        <w:rPr>
          <w:szCs w:val="24"/>
        </w:rPr>
        <w:t>модель</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постепенно</w:t>
      </w:r>
      <w:r w:rsidR="006C680D" w:rsidRPr="00D337FA">
        <w:rPr>
          <w:szCs w:val="24"/>
        </w:rPr>
        <w:t xml:space="preserve"> </w:t>
      </w:r>
      <w:r w:rsidRPr="00D337FA">
        <w:rPr>
          <w:szCs w:val="24"/>
        </w:rPr>
        <w:t>выходит</w:t>
      </w:r>
      <w:r w:rsidR="006C680D" w:rsidRPr="00D337FA">
        <w:rPr>
          <w:szCs w:val="24"/>
        </w:rPr>
        <w:t xml:space="preserve"> </w:t>
      </w:r>
      <w:r w:rsidRPr="00D337FA">
        <w:rPr>
          <w:szCs w:val="24"/>
        </w:rPr>
        <w:t>за</w:t>
      </w:r>
      <w:r w:rsidR="006C680D" w:rsidRPr="00D337FA">
        <w:rPr>
          <w:szCs w:val="24"/>
        </w:rPr>
        <w:t xml:space="preserve"> </w:t>
      </w:r>
      <w:r w:rsidRPr="00D337FA">
        <w:rPr>
          <w:szCs w:val="24"/>
        </w:rPr>
        <w:t>рамки</w:t>
      </w:r>
      <w:r w:rsidR="006C680D" w:rsidRPr="00D337FA">
        <w:rPr>
          <w:szCs w:val="24"/>
        </w:rPr>
        <w:t xml:space="preserve"> </w:t>
      </w:r>
      <w:r w:rsidRPr="00D337FA">
        <w:rPr>
          <w:szCs w:val="24"/>
        </w:rPr>
        <w:t>исключительно</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операций,</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в</w:t>
      </w:r>
      <w:r w:rsidR="006C680D" w:rsidRPr="00D337FA">
        <w:rPr>
          <w:szCs w:val="24"/>
        </w:rPr>
        <w:t xml:space="preserve"> </w:t>
      </w:r>
      <w:r w:rsidRPr="00D337FA">
        <w:rPr>
          <w:szCs w:val="24"/>
        </w:rPr>
        <w:t>себя</w:t>
      </w:r>
      <w:r w:rsidR="006C680D" w:rsidRPr="00D337FA">
        <w:rPr>
          <w:szCs w:val="24"/>
        </w:rPr>
        <w:t xml:space="preserve"> </w:t>
      </w:r>
      <w:r w:rsidRPr="00D337FA">
        <w:rPr>
          <w:szCs w:val="24"/>
        </w:rPr>
        <w:t>элементы</w:t>
      </w:r>
      <w:r w:rsidR="006C680D" w:rsidRPr="00D337FA">
        <w:rPr>
          <w:szCs w:val="24"/>
        </w:rPr>
        <w:t xml:space="preserve"> </w:t>
      </w:r>
      <w:r w:rsidRPr="00D337FA">
        <w:rPr>
          <w:szCs w:val="24"/>
        </w:rPr>
        <w:t>сервисной</w:t>
      </w:r>
      <w:r w:rsidR="006C680D" w:rsidRPr="00D337FA">
        <w:rPr>
          <w:szCs w:val="24"/>
        </w:rPr>
        <w:t xml:space="preserve"> </w:t>
      </w:r>
      <w:r w:rsidRPr="00D337FA">
        <w:rPr>
          <w:szCs w:val="24"/>
        </w:rPr>
        <w:t>экосистемы,</w:t>
      </w:r>
      <w:r w:rsidR="006C680D" w:rsidRPr="00D337FA">
        <w:rPr>
          <w:szCs w:val="24"/>
        </w:rPr>
        <w:t xml:space="preserve"> </w:t>
      </w:r>
      <w:r w:rsidRPr="00D337FA">
        <w:rPr>
          <w:szCs w:val="24"/>
        </w:rPr>
        <w:t>что</w:t>
      </w:r>
      <w:r w:rsidR="006C680D" w:rsidRPr="00D337FA">
        <w:rPr>
          <w:szCs w:val="24"/>
        </w:rPr>
        <w:t xml:space="preserve"> </w:t>
      </w:r>
      <w:r w:rsidRPr="00D337FA">
        <w:rPr>
          <w:szCs w:val="24"/>
        </w:rPr>
        <w:t>отражает</w:t>
      </w:r>
      <w:r w:rsidR="006C680D" w:rsidRPr="00D337FA">
        <w:rPr>
          <w:szCs w:val="24"/>
        </w:rPr>
        <w:t xml:space="preserve"> </w:t>
      </w:r>
      <w:r w:rsidRPr="00D337FA">
        <w:rPr>
          <w:szCs w:val="24"/>
        </w:rPr>
        <w:t>стремление</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к</w:t>
      </w:r>
      <w:r w:rsidR="006C680D" w:rsidRPr="00D337FA">
        <w:rPr>
          <w:szCs w:val="24"/>
        </w:rPr>
        <w:t xml:space="preserve"> </w:t>
      </w:r>
      <w:r w:rsidRPr="00D337FA">
        <w:rPr>
          <w:szCs w:val="24"/>
        </w:rPr>
        <w:t>комплексному</w:t>
      </w:r>
      <w:r w:rsidR="006C680D" w:rsidRPr="00D337FA">
        <w:rPr>
          <w:szCs w:val="24"/>
        </w:rPr>
        <w:t xml:space="preserve"> </w:t>
      </w:r>
      <w:r w:rsidRPr="00D337FA">
        <w:rPr>
          <w:szCs w:val="24"/>
        </w:rPr>
        <w:t>удовлетворению</w:t>
      </w:r>
      <w:r w:rsidR="006C680D" w:rsidRPr="00D337FA">
        <w:rPr>
          <w:szCs w:val="24"/>
        </w:rPr>
        <w:t xml:space="preserve"> </w:t>
      </w:r>
      <w:r w:rsidRPr="00D337FA">
        <w:rPr>
          <w:szCs w:val="24"/>
        </w:rPr>
        <w:t>потребностей</w:t>
      </w:r>
      <w:r w:rsidR="006C680D" w:rsidRPr="00D337FA">
        <w:rPr>
          <w:szCs w:val="24"/>
        </w:rPr>
        <w:t xml:space="preserve"> </w:t>
      </w:r>
      <w:r w:rsidRPr="00D337FA">
        <w:rPr>
          <w:szCs w:val="24"/>
        </w:rPr>
        <w:t>предпринимателя</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всех</w:t>
      </w:r>
      <w:r w:rsidR="006C680D" w:rsidRPr="00D337FA">
        <w:rPr>
          <w:szCs w:val="24"/>
        </w:rPr>
        <w:t xml:space="preserve"> </w:t>
      </w:r>
      <w:r w:rsidRPr="00D337FA">
        <w:rPr>
          <w:szCs w:val="24"/>
        </w:rPr>
        <w:t>этапах</w:t>
      </w:r>
      <w:r w:rsidR="006C680D" w:rsidRPr="00D337FA">
        <w:rPr>
          <w:szCs w:val="24"/>
        </w:rPr>
        <w:t xml:space="preserve"> </w:t>
      </w:r>
      <w:r w:rsidRPr="00D337FA">
        <w:rPr>
          <w:szCs w:val="24"/>
        </w:rPr>
        <w:t>ведения</w:t>
      </w:r>
      <w:r w:rsidR="006C680D" w:rsidRPr="00D337FA">
        <w:rPr>
          <w:szCs w:val="24"/>
        </w:rPr>
        <w:t xml:space="preserve"> </w:t>
      </w:r>
      <w:r w:rsidRPr="00D337FA">
        <w:rPr>
          <w:szCs w:val="24"/>
        </w:rPr>
        <w:t>бизнеса.</w:t>
      </w:r>
    </w:p>
    <w:p w:rsidR="00256E85" w:rsidRPr="00D337FA" w:rsidRDefault="00256E85" w:rsidP="00256E85">
      <w:pPr>
        <w:ind w:firstLine="284"/>
        <w:rPr>
          <w:szCs w:val="24"/>
        </w:rPr>
      </w:pPr>
      <w:r w:rsidRPr="00D337FA">
        <w:rPr>
          <w:szCs w:val="24"/>
        </w:rPr>
        <w:t>Увеличение</w:t>
      </w:r>
      <w:r w:rsidR="006C680D" w:rsidRPr="00D337FA">
        <w:rPr>
          <w:szCs w:val="24"/>
        </w:rPr>
        <w:t xml:space="preserve"> </w:t>
      </w:r>
      <w:r w:rsidRPr="00D337FA">
        <w:rPr>
          <w:szCs w:val="24"/>
        </w:rPr>
        <w:t>числа</w:t>
      </w:r>
      <w:r w:rsidR="006C680D" w:rsidRPr="00D337FA">
        <w:rPr>
          <w:szCs w:val="24"/>
        </w:rPr>
        <w:t xml:space="preserve"> </w:t>
      </w:r>
      <w:r w:rsidRPr="00D337FA">
        <w:rPr>
          <w:szCs w:val="24"/>
        </w:rPr>
        <w:t>нефинансовых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наблюдается</w:t>
      </w:r>
      <w:r w:rsidR="006C680D" w:rsidRPr="00D337FA">
        <w:rPr>
          <w:szCs w:val="24"/>
        </w:rPr>
        <w:t xml:space="preserve"> </w:t>
      </w:r>
      <w:r w:rsidRPr="00D337FA">
        <w:rPr>
          <w:szCs w:val="24"/>
        </w:rPr>
        <w:t>прежде</w:t>
      </w:r>
      <w:r w:rsidR="006C680D" w:rsidRPr="00D337FA">
        <w:rPr>
          <w:szCs w:val="24"/>
        </w:rPr>
        <w:t xml:space="preserve"> </w:t>
      </w:r>
      <w:r w:rsidRPr="00D337FA">
        <w:rPr>
          <w:szCs w:val="24"/>
        </w:rPr>
        <w:t>всего</w:t>
      </w:r>
      <w:r w:rsidR="006C680D" w:rsidRPr="00D337FA">
        <w:rPr>
          <w:szCs w:val="24"/>
        </w:rPr>
        <w:t xml:space="preserve"> </w:t>
      </w:r>
      <w:r w:rsidRPr="00D337FA">
        <w:rPr>
          <w:szCs w:val="24"/>
        </w:rPr>
        <w:t>в</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направлениях,</w:t>
      </w:r>
      <w:r w:rsidR="006C680D" w:rsidRPr="00D337FA">
        <w:rPr>
          <w:szCs w:val="24"/>
        </w:rPr>
        <w:t xml:space="preserve"> </w:t>
      </w:r>
      <w:r w:rsidRPr="00D337FA">
        <w:rPr>
          <w:szCs w:val="24"/>
        </w:rPr>
        <w:t>как</w:t>
      </w:r>
      <w:r w:rsidR="006C680D" w:rsidRPr="00D337FA">
        <w:rPr>
          <w:szCs w:val="24"/>
        </w:rPr>
        <w:t xml:space="preserve"> </w:t>
      </w:r>
      <w:r w:rsidRPr="00D337FA">
        <w:rPr>
          <w:szCs w:val="24"/>
        </w:rPr>
        <w:t>регистрация</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мобильная</w:t>
      </w:r>
      <w:r w:rsidR="006C680D" w:rsidRPr="00D337FA">
        <w:rPr>
          <w:szCs w:val="24"/>
        </w:rPr>
        <w:t xml:space="preserve"> </w:t>
      </w:r>
      <w:r w:rsidRPr="00D337FA">
        <w:rPr>
          <w:szCs w:val="24"/>
        </w:rPr>
        <w:t>связь,</w:t>
      </w:r>
      <w:r w:rsidR="006C680D" w:rsidRPr="00D337FA">
        <w:rPr>
          <w:szCs w:val="24"/>
        </w:rPr>
        <w:t xml:space="preserve"> </w:t>
      </w:r>
      <w:r w:rsidRPr="00D337FA">
        <w:rPr>
          <w:szCs w:val="24"/>
        </w:rPr>
        <w:t>онлайн-бухгалтерия</w:t>
      </w:r>
      <w:r w:rsidR="006C680D" w:rsidRPr="00D337FA">
        <w:rPr>
          <w:szCs w:val="24"/>
        </w:rPr>
        <w:t xml:space="preserve"> </w:t>
      </w:r>
      <w:r w:rsidRPr="00D337FA">
        <w:rPr>
          <w:szCs w:val="24"/>
        </w:rPr>
        <w:t>и</w:t>
      </w:r>
      <w:r w:rsidR="006C680D" w:rsidRPr="00D337FA">
        <w:rPr>
          <w:szCs w:val="24"/>
        </w:rPr>
        <w:t xml:space="preserve"> </w:t>
      </w:r>
      <w:r w:rsidRPr="00D337FA">
        <w:rPr>
          <w:szCs w:val="24"/>
        </w:rPr>
        <w:t>консалтинг.</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продвинутыми</w:t>
      </w:r>
      <w:r w:rsidR="006C680D" w:rsidRPr="00D337FA">
        <w:rPr>
          <w:szCs w:val="24"/>
        </w:rPr>
        <w:t xml:space="preserve"> </w:t>
      </w:r>
      <w:r w:rsidRPr="00D337FA">
        <w:rPr>
          <w:szCs w:val="24"/>
        </w:rPr>
        <w:t>здесь</w:t>
      </w:r>
      <w:r w:rsidR="006C680D" w:rsidRPr="00D337FA">
        <w:rPr>
          <w:szCs w:val="24"/>
        </w:rPr>
        <w:t xml:space="preserve"> </w:t>
      </w:r>
      <w:r w:rsidRPr="00D337FA">
        <w:rPr>
          <w:szCs w:val="24"/>
        </w:rPr>
        <w:t>выступают</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предлагающие</w:t>
      </w:r>
      <w:r w:rsidR="006C680D" w:rsidRPr="00D337FA">
        <w:rPr>
          <w:szCs w:val="24"/>
        </w:rPr>
        <w:t xml:space="preserve"> </w:t>
      </w:r>
      <w:r w:rsidRPr="00D337FA">
        <w:rPr>
          <w:szCs w:val="24"/>
        </w:rPr>
        <w:t>предпринимателям</w:t>
      </w:r>
      <w:r w:rsidR="006C680D" w:rsidRPr="00D337FA">
        <w:rPr>
          <w:szCs w:val="24"/>
        </w:rPr>
        <w:t xml:space="preserve"> </w:t>
      </w:r>
      <w:r w:rsidRPr="00D337FA">
        <w:rPr>
          <w:szCs w:val="24"/>
        </w:rPr>
        <w:t>готовые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«под</w:t>
      </w:r>
      <w:r w:rsidR="006C680D" w:rsidRPr="00D337FA">
        <w:rPr>
          <w:szCs w:val="24"/>
        </w:rPr>
        <w:t xml:space="preserve"> </w:t>
      </w:r>
      <w:r w:rsidRPr="00D337FA">
        <w:rPr>
          <w:szCs w:val="24"/>
        </w:rPr>
        <w:lastRenderedPageBreak/>
        <w:t>ключ».</w:t>
      </w:r>
      <w:r w:rsidR="006C680D" w:rsidRPr="00D337FA">
        <w:rPr>
          <w:szCs w:val="24"/>
        </w:rPr>
        <w:t xml:space="preserve"> </w:t>
      </w:r>
      <w:r w:rsidRPr="00D337FA">
        <w:rPr>
          <w:szCs w:val="24"/>
        </w:rPr>
        <w:t>В</w:t>
      </w:r>
      <w:r w:rsidR="006C680D" w:rsidRPr="00D337FA">
        <w:rPr>
          <w:szCs w:val="24"/>
        </w:rPr>
        <w:t xml:space="preserve"> </w:t>
      </w:r>
      <w:r w:rsidRPr="00D337FA">
        <w:rPr>
          <w:szCs w:val="24"/>
        </w:rPr>
        <w:t>этих</w:t>
      </w:r>
      <w:r w:rsidR="006C680D" w:rsidRPr="00D337FA">
        <w:rPr>
          <w:szCs w:val="24"/>
        </w:rPr>
        <w:t xml:space="preserve"> </w:t>
      </w:r>
      <w:r w:rsidRPr="00D337FA">
        <w:rPr>
          <w:szCs w:val="24"/>
        </w:rPr>
        <w:t>банках</w:t>
      </w:r>
      <w:r w:rsidR="006C680D" w:rsidRPr="00D337FA">
        <w:rPr>
          <w:szCs w:val="24"/>
        </w:rPr>
        <w:t xml:space="preserve"> </w:t>
      </w:r>
      <w:r w:rsidRPr="00D337FA">
        <w:rPr>
          <w:szCs w:val="24"/>
        </w:rPr>
        <w:t>реализованы</w:t>
      </w:r>
      <w:r w:rsidR="006C680D" w:rsidRPr="00D337FA">
        <w:rPr>
          <w:szCs w:val="24"/>
        </w:rPr>
        <w:t xml:space="preserve"> </w:t>
      </w:r>
      <w:r w:rsidRPr="00D337FA">
        <w:rPr>
          <w:szCs w:val="24"/>
        </w:rPr>
        <w:t>цифровые</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позволяющие</w:t>
      </w:r>
      <w:r w:rsidR="006C680D" w:rsidRPr="00D337FA">
        <w:rPr>
          <w:szCs w:val="24"/>
        </w:rPr>
        <w:t xml:space="preserve"> </w:t>
      </w:r>
      <w:r w:rsidRPr="00D337FA">
        <w:rPr>
          <w:szCs w:val="24"/>
        </w:rPr>
        <w:t>пройти</w:t>
      </w:r>
      <w:r w:rsidR="006C680D" w:rsidRPr="00D337FA">
        <w:rPr>
          <w:szCs w:val="24"/>
        </w:rPr>
        <w:t xml:space="preserve"> </w:t>
      </w:r>
      <w:r w:rsidRPr="00D337FA">
        <w:rPr>
          <w:szCs w:val="24"/>
        </w:rPr>
        <w:t>регистрацию</w:t>
      </w:r>
      <w:r w:rsidR="006C680D" w:rsidRPr="00D337FA">
        <w:rPr>
          <w:szCs w:val="24"/>
        </w:rPr>
        <w:t xml:space="preserve"> </w:t>
      </w:r>
      <w:r w:rsidRPr="00D337FA">
        <w:rPr>
          <w:szCs w:val="24"/>
        </w:rPr>
        <w:t>индивидуальным</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или</w:t>
      </w:r>
      <w:r w:rsidR="006C680D" w:rsidRPr="00D337FA">
        <w:rPr>
          <w:szCs w:val="24"/>
        </w:rPr>
        <w:t xml:space="preserve"> </w:t>
      </w:r>
      <w:r w:rsidRPr="00D337FA">
        <w:rPr>
          <w:szCs w:val="24"/>
        </w:rPr>
        <w:t>обществам</w:t>
      </w:r>
      <w:r w:rsidR="006C680D" w:rsidRPr="00D337FA">
        <w:rPr>
          <w:szCs w:val="24"/>
        </w:rPr>
        <w:t xml:space="preserve"> </w:t>
      </w:r>
      <w:r w:rsidRPr="00D337FA">
        <w:rPr>
          <w:szCs w:val="24"/>
        </w:rPr>
        <w:t>с</w:t>
      </w:r>
      <w:r w:rsidR="006C680D" w:rsidRPr="00D337FA">
        <w:rPr>
          <w:szCs w:val="24"/>
        </w:rPr>
        <w:t xml:space="preserve"> </w:t>
      </w:r>
      <w:r w:rsidRPr="00D337FA">
        <w:rPr>
          <w:szCs w:val="24"/>
        </w:rPr>
        <w:t>ограниченной</w:t>
      </w:r>
      <w:r w:rsidR="006C680D" w:rsidRPr="00D337FA">
        <w:rPr>
          <w:szCs w:val="24"/>
        </w:rPr>
        <w:t xml:space="preserve"> </w:t>
      </w:r>
      <w:r w:rsidRPr="00D337FA">
        <w:rPr>
          <w:szCs w:val="24"/>
        </w:rPr>
        <w:t>ответственностью,</w:t>
      </w:r>
      <w:r w:rsidR="006C680D" w:rsidRPr="00D337FA">
        <w:rPr>
          <w:szCs w:val="24"/>
        </w:rPr>
        <w:t xml:space="preserve"> </w:t>
      </w:r>
      <w:r w:rsidRPr="00D337FA">
        <w:rPr>
          <w:szCs w:val="24"/>
        </w:rPr>
        <w:t>открыть</w:t>
      </w:r>
      <w:r w:rsidR="006C680D" w:rsidRPr="00D337FA">
        <w:rPr>
          <w:szCs w:val="24"/>
        </w:rPr>
        <w:t xml:space="preserve"> </w:t>
      </w:r>
      <w:r w:rsidRPr="00D337FA">
        <w:rPr>
          <w:szCs w:val="24"/>
        </w:rPr>
        <w:t>расчётный</w:t>
      </w:r>
      <w:r w:rsidR="006C680D" w:rsidRPr="00D337FA">
        <w:rPr>
          <w:szCs w:val="24"/>
        </w:rPr>
        <w:t xml:space="preserve"> </w:t>
      </w:r>
      <w:r w:rsidRPr="00D337FA">
        <w:rPr>
          <w:szCs w:val="24"/>
        </w:rPr>
        <w:t>счёт,</w:t>
      </w:r>
      <w:r w:rsidR="006C680D" w:rsidRPr="00D337FA">
        <w:rPr>
          <w:szCs w:val="24"/>
        </w:rPr>
        <w:t xml:space="preserve"> </w:t>
      </w:r>
      <w:r w:rsidRPr="00D337FA">
        <w:rPr>
          <w:szCs w:val="24"/>
        </w:rPr>
        <w:t>подключить</w:t>
      </w:r>
      <w:r w:rsidR="006C680D" w:rsidRPr="00D337FA">
        <w:rPr>
          <w:szCs w:val="24"/>
        </w:rPr>
        <w:t xml:space="preserve"> </w:t>
      </w:r>
      <w:r w:rsidRPr="00D337FA">
        <w:rPr>
          <w:szCs w:val="24"/>
        </w:rPr>
        <w:t>онлайн-бухгалтерию,</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воспользоваться</w:t>
      </w:r>
      <w:r w:rsidR="006C680D" w:rsidRPr="00D337FA">
        <w:rPr>
          <w:szCs w:val="24"/>
        </w:rPr>
        <w:t xml:space="preserve"> </w:t>
      </w:r>
      <w:r w:rsidRPr="00D337FA">
        <w:rPr>
          <w:szCs w:val="24"/>
        </w:rPr>
        <w:t>консультационными</w:t>
      </w:r>
      <w:r w:rsidR="006C680D" w:rsidRPr="00D337FA">
        <w:rPr>
          <w:szCs w:val="24"/>
        </w:rPr>
        <w:t xml:space="preserve"> </w:t>
      </w:r>
      <w:r w:rsidRPr="00D337FA">
        <w:rPr>
          <w:szCs w:val="24"/>
        </w:rPr>
        <w:t>услугами.</w:t>
      </w:r>
      <w:r w:rsidR="006C680D" w:rsidRPr="00D337FA">
        <w:rPr>
          <w:szCs w:val="24"/>
        </w:rPr>
        <w:t xml:space="preserve"> </w:t>
      </w:r>
      <w:r w:rsidRPr="00D337FA">
        <w:rPr>
          <w:szCs w:val="24"/>
        </w:rPr>
        <w:t>Такая</w:t>
      </w:r>
      <w:r w:rsidR="006C680D" w:rsidRPr="00D337FA">
        <w:rPr>
          <w:szCs w:val="24"/>
        </w:rPr>
        <w:t xml:space="preserve"> </w:t>
      </w:r>
      <w:r w:rsidRPr="00D337FA">
        <w:rPr>
          <w:szCs w:val="24"/>
        </w:rPr>
        <w:t>стратегия</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снизить</w:t>
      </w:r>
      <w:r w:rsidR="006C680D" w:rsidRPr="00D337FA">
        <w:rPr>
          <w:szCs w:val="24"/>
        </w:rPr>
        <w:t xml:space="preserve"> </w:t>
      </w:r>
      <w:r w:rsidRPr="00D337FA">
        <w:rPr>
          <w:szCs w:val="24"/>
        </w:rPr>
        <w:t>порог</w:t>
      </w:r>
      <w:r w:rsidR="006C680D" w:rsidRPr="00D337FA">
        <w:rPr>
          <w:szCs w:val="24"/>
        </w:rPr>
        <w:t xml:space="preserve"> </w:t>
      </w:r>
      <w:r w:rsidRPr="00D337FA">
        <w:rPr>
          <w:szCs w:val="24"/>
        </w:rPr>
        <w:t>входа</w:t>
      </w:r>
      <w:r w:rsidR="006C680D" w:rsidRPr="00D337FA">
        <w:rPr>
          <w:szCs w:val="24"/>
        </w:rPr>
        <w:t xml:space="preserve"> </w:t>
      </w:r>
      <w:r w:rsidRPr="00D337FA">
        <w:rPr>
          <w:szCs w:val="24"/>
        </w:rPr>
        <w:t>в</w:t>
      </w:r>
      <w:r w:rsidR="006C680D" w:rsidRPr="00D337FA">
        <w:rPr>
          <w:szCs w:val="24"/>
        </w:rPr>
        <w:t xml:space="preserve"> </w:t>
      </w:r>
      <w:r w:rsidRPr="00D337FA">
        <w:rPr>
          <w:szCs w:val="24"/>
        </w:rPr>
        <w:t>предпринимательство,</w:t>
      </w:r>
      <w:r w:rsidR="006C680D" w:rsidRPr="00D337FA">
        <w:rPr>
          <w:szCs w:val="24"/>
        </w:rPr>
        <w:t xml:space="preserve"> </w:t>
      </w:r>
      <w:r w:rsidRPr="00D337FA">
        <w:rPr>
          <w:szCs w:val="24"/>
        </w:rPr>
        <w:t>минимизируя</w:t>
      </w:r>
      <w:r w:rsidR="006C680D" w:rsidRPr="00D337FA">
        <w:rPr>
          <w:szCs w:val="24"/>
        </w:rPr>
        <w:t xml:space="preserve"> </w:t>
      </w:r>
      <w:r w:rsidRPr="00D337FA">
        <w:rPr>
          <w:szCs w:val="24"/>
        </w:rPr>
        <w:t>административные</w:t>
      </w:r>
      <w:r w:rsidR="006C680D" w:rsidRPr="00D337FA">
        <w:rPr>
          <w:szCs w:val="24"/>
        </w:rPr>
        <w:t xml:space="preserve"> </w:t>
      </w:r>
      <w:r w:rsidRPr="00D337FA">
        <w:rPr>
          <w:szCs w:val="24"/>
        </w:rPr>
        <w:t>и</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барьеры</w:t>
      </w:r>
      <w:r w:rsidR="006C680D" w:rsidRPr="00D337FA">
        <w:rPr>
          <w:szCs w:val="24"/>
        </w:rPr>
        <w:t xml:space="preserve"> </w:t>
      </w:r>
      <w:r w:rsidRPr="00D337FA">
        <w:rPr>
          <w:szCs w:val="24"/>
        </w:rPr>
        <w:t>на</w:t>
      </w:r>
      <w:r w:rsidR="006C680D" w:rsidRPr="00D337FA">
        <w:rPr>
          <w:szCs w:val="24"/>
        </w:rPr>
        <w:t xml:space="preserve"> </w:t>
      </w:r>
      <w:r w:rsidRPr="00D337FA">
        <w:rPr>
          <w:szCs w:val="24"/>
        </w:rPr>
        <w:t>старте.</w:t>
      </w:r>
      <w:r w:rsidR="006C680D" w:rsidRPr="00D337FA">
        <w:rPr>
          <w:szCs w:val="24"/>
        </w:rPr>
        <w:t xml:space="preserve"> </w:t>
      </w:r>
      <w:r w:rsidRPr="00D337FA">
        <w:rPr>
          <w:szCs w:val="24"/>
        </w:rPr>
        <w:t>Популярность</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подтверждается</w:t>
      </w:r>
      <w:r w:rsidR="006C680D" w:rsidRPr="00D337FA">
        <w:rPr>
          <w:szCs w:val="24"/>
        </w:rPr>
        <w:t xml:space="preserve"> </w:t>
      </w:r>
      <w:r w:rsidRPr="00D337FA">
        <w:rPr>
          <w:szCs w:val="24"/>
        </w:rPr>
        <w:t>статистикой</w:t>
      </w:r>
      <w:r w:rsidR="006C680D" w:rsidRPr="00D337FA">
        <w:rPr>
          <w:szCs w:val="24"/>
        </w:rPr>
        <w:t xml:space="preserve"> </w:t>
      </w:r>
      <w:r w:rsidRPr="00D337FA">
        <w:rPr>
          <w:szCs w:val="24"/>
        </w:rPr>
        <w:t>клиентских</w:t>
      </w:r>
      <w:r w:rsidR="006C680D" w:rsidRPr="00D337FA">
        <w:rPr>
          <w:szCs w:val="24"/>
        </w:rPr>
        <w:t xml:space="preserve"> </w:t>
      </w:r>
      <w:r w:rsidRPr="00D337FA">
        <w:rPr>
          <w:szCs w:val="24"/>
        </w:rPr>
        <w:t>баз</w:t>
      </w:r>
      <w:r w:rsidR="006C680D" w:rsidRPr="00D337FA">
        <w:rPr>
          <w:szCs w:val="24"/>
        </w:rPr>
        <w:t xml:space="preserve"> </w:t>
      </w:r>
      <w:r w:rsidRPr="00D337FA">
        <w:rPr>
          <w:szCs w:val="24"/>
        </w:rPr>
        <w:t>и</w:t>
      </w:r>
      <w:r w:rsidR="006C680D" w:rsidRPr="00D337FA">
        <w:rPr>
          <w:szCs w:val="24"/>
        </w:rPr>
        <w:t xml:space="preserve"> </w:t>
      </w:r>
      <w:r w:rsidRPr="00D337FA">
        <w:rPr>
          <w:szCs w:val="24"/>
        </w:rPr>
        <w:t>оценками</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платформ.</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клиентская</w:t>
      </w:r>
      <w:r w:rsidR="006C680D" w:rsidRPr="00D337FA">
        <w:rPr>
          <w:szCs w:val="24"/>
        </w:rPr>
        <w:t xml:space="preserve"> </w:t>
      </w:r>
      <w:r w:rsidRPr="00D337FA">
        <w:rPr>
          <w:szCs w:val="24"/>
        </w:rPr>
        <w:t>база</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Сбербанке</w:t>
      </w:r>
      <w:r w:rsidR="006C680D" w:rsidRPr="00D337FA">
        <w:rPr>
          <w:szCs w:val="24"/>
        </w:rPr>
        <w:t xml:space="preserve"> </w:t>
      </w:r>
      <w:r w:rsidRPr="00D337FA">
        <w:rPr>
          <w:szCs w:val="24"/>
        </w:rPr>
        <w:t>превышает</w:t>
      </w:r>
      <w:r w:rsidR="006C680D" w:rsidRPr="00D337FA">
        <w:rPr>
          <w:szCs w:val="24"/>
        </w:rPr>
        <w:t xml:space="preserve"> </w:t>
      </w:r>
      <w:r w:rsidRPr="00D337FA">
        <w:rPr>
          <w:szCs w:val="24"/>
        </w:rPr>
        <w:t>3</w:t>
      </w:r>
      <w:r w:rsidR="006C680D" w:rsidRPr="00D337FA">
        <w:rPr>
          <w:szCs w:val="24"/>
        </w:rPr>
        <w:t xml:space="preserve"> </w:t>
      </w:r>
      <w:r w:rsidRPr="00D337FA">
        <w:rPr>
          <w:szCs w:val="24"/>
        </w:rPr>
        <w:t>млн,</w:t>
      </w:r>
      <w:r w:rsidR="006C680D" w:rsidRPr="00D337FA">
        <w:rPr>
          <w:szCs w:val="24"/>
        </w:rPr>
        <w:t xml:space="preserve"> </w:t>
      </w:r>
      <w:r w:rsidRPr="00D337FA">
        <w:rPr>
          <w:szCs w:val="24"/>
        </w:rPr>
        <w:t>а</w:t>
      </w:r>
      <w:r w:rsidR="006C680D" w:rsidRPr="00D337FA">
        <w:rPr>
          <w:szCs w:val="24"/>
        </w:rPr>
        <w:t xml:space="preserve"> </w:t>
      </w:r>
      <w:r w:rsidRPr="00D337FA">
        <w:rPr>
          <w:szCs w:val="24"/>
        </w:rPr>
        <w:t>цифровая</w:t>
      </w:r>
      <w:r w:rsidR="006C680D" w:rsidRPr="00D337FA">
        <w:rPr>
          <w:szCs w:val="24"/>
        </w:rPr>
        <w:t xml:space="preserve"> </w:t>
      </w:r>
      <w:r w:rsidRPr="00D337FA">
        <w:rPr>
          <w:szCs w:val="24"/>
        </w:rPr>
        <w:t>экосистема</w:t>
      </w:r>
      <w:r w:rsidR="006C680D" w:rsidRPr="00D337FA">
        <w:rPr>
          <w:szCs w:val="24"/>
        </w:rPr>
        <w:t xml:space="preserve"> </w:t>
      </w:r>
      <w:r w:rsidRPr="00D337FA">
        <w:rPr>
          <w:szCs w:val="24"/>
        </w:rPr>
        <w:t>«СберБизнес»</w:t>
      </w:r>
      <w:r w:rsidR="006C680D" w:rsidRPr="00D337FA">
        <w:rPr>
          <w:szCs w:val="24"/>
        </w:rPr>
        <w:t xml:space="preserve"> </w:t>
      </w:r>
      <w:r w:rsidRPr="00D337FA">
        <w:rPr>
          <w:szCs w:val="24"/>
        </w:rPr>
        <w:t>получила</w:t>
      </w:r>
      <w:r w:rsidR="006C680D" w:rsidRPr="00D337FA">
        <w:rPr>
          <w:szCs w:val="24"/>
        </w:rPr>
        <w:t xml:space="preserve"> </w:t>
      </w:r>
      <w:r w:rsidRPr="00D337FA">
        <w:rPr>
          <w:szCs w:val="24"/>
        </w:rPr>
        <w:t>76,8</w:t>
      </w:r>
      <w:r w:rsidR="006C680D" w:rsidRPr="00D337FA">
        <w:rPr>
          <w:szCs w:val="24"/>
        </w:rPr>
        <w:t xml:space="preserve"> </w:t>
      </w:r>
      <w:r w:rsidRPr="00D337FA">
        <w:rPr>
          <w:szCs w:val="24"/>
        </w:rPr>
        <w:t>балла</w:t>
      </w:r>
      <w:r w:rsidR="006C680D" w:rsidRPr="00D337FA">
        <w:rPr>
          <w:szCs w:val="24"/>
        </w:rPr>
        <w:t xml:space="preserve"> </w:t>
      </w:r>
      <w:r w:rsidRPr="00D337FA">
        <w:rPr>
          <w:szCs w:val="24"/>
        </w:rPr>
        <w:t>из</w:t>
      </w:r>
      <w:r w:rsidR="006C680D" w:rsidRPr="00D337FA">
        <w:rPr>
          <w:szCs w:val="24"/>
        </w:rPr>
        <w:t xml:space="preserve"> </w:t>
      </w:r>
      <w:r w:rsidRPr="00D337FA">
        <w:rPr>
          <w:szCs w:val="24"/>
        </w:rPr>
        <w:t>100</w:t>
      </w:r>
      <w:r w:rsidR="006C680D" w:rsidRPr="00D337FA">
        <w:rPr>
          <w:szCs w:val="24"/>
        </w:rPr>
        <w:t xml:space="preserve"> </w:t>
      </w:r>
      <w:r w:rsidRPr="00D337FA">
        <w:rPr>
          <w:szCs w:val="24"/>
        </w:rPr>
        <w:t>по</w:t>
      </w:r>
      <w:r w:rsidR="006C680D" w:rsidRPr="00D337FA">
        <w:rPr>
          <w:szCs w:val="24"/>
        </w:rPr>
        <w:t xml:space="preserve"> </w:t>
      </w:r>
      <w:r w:rsidRPr="00D337FA">
        <w:rPr>
          <w:szCs w:val="24"/>
        </w:rPr>
        <w:t>рейтингу</w:t>
      </w:r>
      <w:r w:rsidR="006C680D" w:rsidRPr="00D337FA">
        <w:rPr>
          <w:szCs w:val="24"/>
        </w:rPr>
        <w:t xml:space="preserve"> </w:t>
      </w:r>
      <w:r w:rsidRPr="00D337FA">
        <w:rPr>
          <w:szCs w:val="24"/>
        </w:rPr>
        <w:t>Markswebb</w:t>
      </w:r>
      <w:r w:rsidR="006C680D" w:rsidRPr="00D337FA">
        <w:rPr>
          <w:szCs w:val="24"/>
        </w:rPr>
        <w:t xml:space="preserve"> </w:t>
      </w:r>
      <w:r w:rsidRPr="00D337FA">
        <w:rPr>
          <w:szCs w:val="24"/>
        </w:rPr>
        <w:t>[19].</w:t>
      </w:r>
    </w:p>
    <w:p w:rsidR="00256E85" w:rsidRPr="00D337FA" w:rsidRDefault="00256E85" w:rsidP="00256E85">
      <w:pPr>
        <w:ind w:firstLine="284"/>
        <w:rPr>
          <w:szCs w:val="24"/>
        </w:rPr>
      </w:pPr>
      <w:r w:rsidRPr="00D337FA">
        <w:rPr>
          <w:szCs w:val="24"/>
        </w:rPr>
        <w:t>Дополняя</w:t>
      </w:r>
      <w:r w:rsidR="006C680D" w:rsidRPr="00D337FA">
        <w:rPr>
          <w:szCs w:val="24"/>
        </w:rPr>
        <w:t xml:space="preserve"> </w:t>
      </w:r>
      <w:r w:rsidRPr="00D337FA">
        <w:rPr>
          <w:szCs w:val="24"/>
        </w:rPr>
        <w:t>данную</w:t>
      </w:r>
      <w:r w:rsidR="006C680D" w:rsidRPr="00D337FA">
        <w:rPr>
          <w:szCs w:val="24"/>
        </w:rPr>
        <w:t xml:space="preserve"> </w:t>
      </w:r>
      <w:r w:rsidRPr="00D337FA">
        <w:rPr>
          <w:szCs w:val="24"/>
        </w:rPr>
        <w:t>тенденцию,</w:t>
      </w:r>
      <w:r w:rsidR="006C680D" w:rsidRPr="00D337FA">
        <w:rPr>
          <w:szCs w:val="24"/>
        </w:rPr>
        <w:t xml:space="preserve"> </w:t>
      </w:r>
      <w:r w:rsidRPr="00D337FA">
        <w:rPr>
          <w:szCs w:val="24"/>
        </w:rPr>
        <w:t>важную</w:t>
      </w:r>
      <w:r w:rsidR="006C680D" w:rsidRPr="00D337FA">
        <w:rPr>
          <w:szCs w:val="24"/>
        </w:rPr>
        <w:t xml:space="preserve"> </w:t>
      </w:r>
      <w:r w:rsidRPr="00D337FA">
        <w:rPr>
          <w:szCs w:val="24"/>
        </w:rPr>
        <w:t>роль</w:t>
      </w:r>
      <w:r w:rsidR="006C680D" w:rsidRPr="00D337FA">
        <w:rPr>
          <w:szCs w:val="24"/>
        </w:rPr>
        <w:t xml:space="preserve"> </w:t>
      </w:r>
      <w:r w:rsidRPr="00D337FA">
        <w:rPr>
          <w:szCs w:val="24"/>
        </w:rPr>
        <w:t>приобретает</w:t>
      </w:r>
      <w:r w:rsidR="006C680D" w:rsidRPr="00D337FA">
        <w:rPr>
          <w:szCs w:val="24"/>
        </w:rPr>
        <w:t xml:space="preserve"> </w:t>
      </w:r>
      <w:r w:rsidRPr="00D337FA">
        <w:rPr>
          <w:szCs w:val="24"/>
        </w:rPr>
        <w:t>углубление</w:t>
      </w:r>
      <w:r w:rsidR="006C680D" w:rsidRPr="00D337FA">
        <w:rPr>
          <w:szCs w:val="24"/>
        </w:rPr>
        <w:t xml:space="preserve"> </w:t>
      </w:r>
      <w:r w:rsidRPr="00D337FA">
        <w:rPr>
          <w:szCs w:val="24"/>
        </w:rPr>
        <w:t>кастомизации</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переходят</w:t>
      </w:r>
      <w:r w:rsidR="006C680D" w:rsidRPr="00D337FA">
        <w:rPr>
          <w:szCs w:val="24"/>
        </w:rPr>
        <w:t xml:space="preserve"> </w:t>
      </w:r>
      <w:r w:rsidRPr="00D337FA">
        <w:rPr>
          <w:szCs w:val="24"/>
        </w:rPr>
        <w:t>от</w:t>
      </w:r>
      <w:r w:rsidR="006C680D" w:rsidRPr="00D337FA">
        <w:rPr>
          <w:szCs w:val="24"/>
        </w:rPr>
        <w:t xml:space="preserve"> </w:t>
      </w:r>
      <w:r w:rsidRPr="00D337FA">
        <w:rPr>
          <w:szCs w:val="24"/>
        </w:rPr>
        <w:t>универсальных</w:t>
      </w:r>
      <w:r w:rsidR="006C680D" w:rsidRPr="00D337FA">
        <w:rPr>
          <w:szCs w:val="24"/>
        </w:rPr>
        <w:t xml:space="preserve"> </w:t>
      </w:r>
      <w:r w:rsidRPr="00D337FA">
        <w:rPr>
          <w:szCs w:val="24"/>
        </w:rPr>
        <w:t>тарифов</w:t>
      </w:r>
      <w:r w:rsidR="006C680D" w:rsidRPr="00D337FA">
        <w:rPr>
          <w:szCs w:val="24"/>
        </w:rPr>
        <w:t xml:space="preserve"> </w:t>
      </w:r>
      <w:r w:rsidRPr="00D337FA">
        <w:rPr>
          <w:szCs w:val="24"/>
        </w:rPr>
        <w:t>к</w:t>
      </w:r>
      <w:r w:rsidR="006C680D" w:rsidRPr="00D337FA">
        <w:rPr>
          <w:szCs w:val="24"/>
        </w:rPr>
        <w:t xml:space="preserve"> </w:t>
      </w:r>
      <w:r w:rsidRPr="00D337FA">
        <w:rPr>
          <w:szCs w:val="24"/>
        </w:rPr>
        <w:t>гибким</w:t>
      </w:r>
      <w:r w:rsidR="006C680D" w:rsidRPr="00D337FA">
        <w:rPr>
          <w:szCs w:val="24"/>
        </w:rPr>
        <w:t xml:space="preserve"> </w:t>
      </w:r>
      <w:r w:rsidRPr="00D337FA">
        <w:rPr>
          <w:szCs w:val="24"/>
        </w:rPr>
        <w:t>пакетам,</w:t>
      </w:r>
      <w:r w:rsidR="006C680D" w:rsidRPr="00D337FA">
        <w:rPr>
          <w:szCs w:val="24"/>
        </w:rPr>
        <w:t xml:space="preserve"> </w:t>
      </w:r>
      <w:r w:rsidRPr="00D337FA">
        <w:rPr>
          <w:szCs w:val="24"/>
        </w:rPr>
        <w:t>учитывающим</w:t>
      </w:r>
      <w:r w:rsidR="006C680D" w:rsidRPr="00D337FA">
        <w:rPr>
          <w:szCs w:val="24"/>
        </w:rPr>
        <w:t xml:space="preserve"> </w:t>
      </w:r>
      <w:r w:rsidRPr="00D337FA">
        <w:rPr>
          <w:szCs w:val="24"/>
        </w:rPr>
        <w:t>отраслевые,</w:t>
      </w:r>
      <w:r w:rsidR="006C680D" w:rsidRPr="00D337FA">
        <w:rPr>
          <w:szCs w:val="24"/>
        </w:rPr>
        <w:t xml:space="preserve"> </w:t>
      </w:r>
      <w:r w:rsidRPr="00D337FA">
        <w:rPr>
          <w:szCs w:val="24"/>
        </w:rPr>
        <w:t>региональные</w:t>
      </w:r>
      <w:r w:rsidR="006C680D" w:rsidRPr="00D337FA">
        <w:rPr>
          <w:szCs w:val="24"/>
        </w:rPr>
        <w:t xml:space="preserve"> </w:t>
      </w:r>
      <w:r w:rsidRPr="00D337FA">
        <w:rPr>
          <w:szCs w:val="24"/>
        </w:rPr>
        <w:t>и</w:t>
      </w:r>
      <w:r w:rsidR="006C680D" w:rsidRPr="00D337FA">
        <w:rPr>
          <w:szCs w:val="24"/>
        </w:rPr>
        <w:t xml:space="preserve"> </w:t>
      </w:r>
      <w:r w:rsidRPr="00D337FA">
        <w:rPr>
          <w:szCs w:val="24"/>
        </w:rPr>
        <w:t>масштабные</w:t>
      </w:r>
      <w:r w:rsidR="006C680D" w:rsidRPr="00D337FA">
        <w:rPr>
          <w:szCs w:val="24"/>
        </w:rPr>
        <w:t xml:space="preserve"> </w:t>
      </w:r>
      <w:r w:rsidRPr="00D337FA">
        <w:rPr>
          <w:szCs w:val="24"/>
        </w:rPr>
        <w:t>особенности</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Индивидуальные</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формируются</w:t>
      </w:r>
      <w:r w:rsidR="006C680D" w:rsidRPr="00D337FA">
        <w:rPr>
          <w:szCs w:val="24"/>
        </w:rPr>
        <w:t xml:space="preserve"> </w:t>
      </w: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бизнес-профиля,</w:t>
      </w:r>
      <w:r w:rsidR="006C680D" w:rsidRPr="00D337FA">
        <w:rPr>
          <w:szCs w:val="24"/>
        </w:rPr>
        <w:t xml:space="preserve"> </w:t>
      </w:r>
      <w:r w:rsidRPr="00D337FA">
        <w:rPr>
          <w:szCs w:val="24"/>
        </w:rPr>
        <w:t>объёмов</w:t>
      </w:r>
      <w:r w:rsidR="006C680D" w:rsidRPr="00D337FA">
        <w:rPr>
          <w:szCs w:val="24"/>
        </w:rPr>
        <w:t xml:space="preserve"> </w:t>
      </w:r>
      <w:r w:rsidRPr="00D337FA">
        <w:rPr>
          <w:szCs w:val="24"/>
        </w:rPr>
        <w:t>операций,</w:t>
      </w:r>
      <w:r w:rsidR="006C680D" w:rsidRPr="00D337FA">
        <w:rPr>
          <w:szCs w:val="24"/>
        </w:rPr>
        <w:t xml:space="preserve"> </w:t>
      </w:r>
      <w:r w:rsidRPr="00D337FA">
        <w:rPr>
          <w:szCs w:val="24"/>
        </w:rPr>
        <w:t>сезонности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рисков.</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предоставляет</w:t>
      </w:r>
      <w:r w:rsidR="006C680D" w:rsidRPr="00D337FA">
        <w:rPr>
          <w:szCs w:val="24"/>
        </w:rPr>
        <w:t xml:space="preserve"> </w:t>
      </w:r>
      <w:r w:rsidRPr="00D337FA">
        <w:rPr>
          <w:szCs w:val="24"/>
        </w:rPr>
        <w:t>предприятиям</w:t>
      </w:r>
      <w:r w:rsidR="006C680D" w:rsidRPr="00D337FA">
        <w:rPr>
          <w:szCs w:val="24"/>
        </w:rPr>
        <w:t xml:space="preserve"> </w:t>
      </w:r>
      <w:r w:rsidRPr="00D337FA">
        <w:rPr>
          <w:szCs w:val="24"/>
        </w:rPr>
        <w:t>доступ</w:t>
      </w:r>
      <w:r w:rsidR="006C680D" w:rsidRPr="00D337FA">
        <w:rPr>
          <w:szCs w:val="24"/>
        </w:rPr>
        <w:t xml:space="preserve"> </w:t>
      </w:r>
      <w:r w:rsidRPr="00D337FA">
        <w:rPr>
          <w:szCs w:val="24"/>
        </w:rPr>
        <w:t>к</w:t>
      </w:r>
      <w:r w:rsidR="006C680D" w:rsidRPr="00D337FA">
        <w:rPr>
          <w:szCs w:val="24"/>
        </w:rPr>
        <w:t xml:space="preserve"> </w:t>
      </w:r>
      <w:r w:rsidRPr="00D337FA">
        <w:rPr>
          <w:szCs w:val="24"/>
        </w:rPr>
        <w:t>гибким</w:t>
      </w:r>
      <w:r w:rsidR="006C680D" w:rsidRPr="00D337FA">
        <w:rPr>
          <w:szCs w:val="24"/>
        </w:rPr>
        <w:t xml:space="preserve"> </w:t>
      </w:r>
      <w:r w:rsidRPr="00D337FA">
        <w:rPr>
          <w:szCs w:val="24"/>
        </w:rPr>
        <w:t>тарифным</w:t>
      </w:r>
      <w:r w:rsidR="006C680D" w:rsidRPr="00D337FA">
        <w:rPr>
          <w:szCs w:val="24"/>
        </w:rPr>
        <w:t xml:space="preserve"> </w:t>
      </w:r>
      <w:r w:rsidRPr="00D337FA">
        <w:rPr>
          <w:szCs w:val="24"/>
        </w:rPr>
        <w:t>линейкам,</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специальные</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по</w:t>
      </w:r>
      <w:r w:rsidR="006C680D" w:rsidRPr="00D337FA">
        <w:rPr>
          <w:szCs w:val="24"/>
        </w:rPr>
        <w:t xml:space="preserve"> </w:t>
      </w:r>
      <w:r w:rsidRPr="00D337FA">
        <w:rPr>
          <w:szCs w:val="24"/>
        </w:rPr>
        <w:t>эквайрингу,</w:t>
      </w:r>
      <w:r w:rsidR="006C680D" w:rsidRPr="00D337FA">
        <w:rPr>
          <w:szCs w:val="24"/>
        </w:rPr>
        <w:t xml:space="preserve"> </w:t>
      </w:r>
      <w:r w:rsidRPr="00D337FA">
        <w:rPr>
          <w:szCs w:val="24"/>
        </w:rPr>
        <w:t>кредитованию</w:t>
      </w:r>
      <w:r w:rsidR="006C680D" w:rsidRPr="00D337FA">
        <w:rPr>
          <w:szCs w:val="24"/>
        </w:rPr>
        <w:t xml:space="preserve"> </w:t>
      </w:r>
      <w:r w:rsidRPr="00D337FA">
        <w:rPr>
          <w:szCs w:val="24"/>
        </w:rPr>
        <w:t>и</w:t>
      </w:r>
      <w:r w:rsidR="006C680D" w:rsidRPr="00D337FA">
        <w:rPr>
          <w:szCs w:val="24"/>
        </w:rPr>
        <w:t xml:space="preserve"> </w:t>
      </w:r>
      <w:r w:rsidRPr="00D337FA">
        <w:rPr>
          <w:szCs w:val="24"/>
        </w:rPr>
        <w:t>расчётным</w:t>
      </w:r>
      <w:r w:rsidR="006C680D" w:rsidRPr="00D337FA">
        <w:rPr>
          <w:szCs w:val="24"/>
        </w:rPr>
        <w:t xml:space="preserve"> </w:t>
      </w:r>
      <w:r w:rsidRPr="00D337FA">
        <w:rPr>
          <w:szCs w:val="24"/>
        </w:rPr>
        <w:t>счетам.</w:t>
      </w:r>
      <w:r w:rsidR="006C680D" w:rsidRPr="00D337FA">
        <w:rPr>
          <w:szCs w:val="24"/>
        </w:rPr>
        <w:t xml:space="preserve"> </w:t>
      </w:r>
      <w:r w:rsidRPr="00D337FA">
        <w:rPr>
          <w:szCs w:val="24"/>
        </w:rPr>
        <w:t>В</w:t>
      </w:r>
      <w:r w:rsidR="006C680D" w:rsidRPr="00D337FA">
        <w:rPr>
          <w:szCs w:val="24"/>
        </w:rPr>
        <w:t xml:space="preserve"> </w:t>
      </w:r>
      <w:r w:rsidRPr="00D337FA">
        <w:rPr>
          <w:szCs w:val="24"/>
        </w:rPr>
        <w:t>ПАО</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используются</w:t>
      </w:r>
      <w:r w:rsidR="006C680D" w:rsidRPr="00D337FA">
        <w:rPr>
          <w:szCs w:val="24"/>
        </w:rPr>
        <w:t xml:space="preserve"> </w:t>
      </w:r>
      <w:r w:rsidRPr="00D337FA">
        <w:rPr>
          <w:szCs w:val="24"/>
        </w:rPr>
        <w:t>алгоритмы</w:t>
      </w:r>
      <w:r w:rsidR="006C680D" w:rsidRPr="00D337FA">
        <w:rPr>
          <w:szCs w:val="24"/>
        </w:rPr>
        <w:t xml:space="preserve"> </w:t>
      </w:r>
      <w:r w:rsidRPr="00D337FA">
        <w:rPr>
          <w:szCs w:val="24"/>
        </w:rPr>
        <w:t>поведенческой</w:t>
      </w:r>
      <w:r w:rsidR="006C680D" w:rsidRPr="00D337FA">
        <w:rPr>
          <w:szCs w:val="24"/>
        </w:rPr>
        <w:t xml:space="preserve"> </w:t>
      </w:r>
      <w:r w:rsidRPr="00D337FA">
        <w:rPr>
          <w:szCs w:val="24"/>
        </w:rPr>
        <w:t>аналитики</w:t>
      </w:r>
      <w:r w:rsidR="006C680D" w:rsidRPr="00D337FA">
        <w:rPr>
          <w:szCs w:val="24"/>
        </w:rPr>
        <w:t xml:space="preserve"> </w:t>
      </w:r>
      <w:r w:rsidRPr="00D337FA">
        <w:rPr>
          <w:szCs w:val="24"/>
        </w:rPr>
        <w:t>для</w:t>
      </w:r>
      <w:r w:rsidR="006C680D" w:rsidRPr="00D337FA">
        <w:rPr>
          <w:szCs w:val="24"/>
        </w:rPr>
        <w:t xml:space="preserve"> </w:t>
      </w:r>
      <w:r w:rsidRPr="00D337FA">
        <w:rPr>
          <w:szCs w:val="24"/>
        </w:rPr>
        <w:t>подбора</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ПАО</w:t>
      </w:r>
      <w:r w:rsidR="006C680D" w:rsidRPr="00D337FA">
        <w:rPr>
          <w:szCs w:val="24"/>
        </w:rPr>
        <w:t xml:space="preserve"> </w:t>
      </w:r>
      <w:r w:rsidRPr="00D337FA">
        <w:rPr>
          <w:szCs w:val="24"/>
        </w:rPr>
        <w:t>«Совкомбанк»</w:t>
      </w:r>
      <w:r w:rsidR="006C680D" w:rsidRPr="00D337FA">
        <w:rPr>
          <w:szCs w:val="24"/>
        </w:rPr>
        <w:t xml:space="preserve"> </w:t>
      </w:r>
      <w:r w:rsidRPr="00D337FA">
        <w:rPr>
          <w:szCs w:val="24"/>
        </w:rPr>
        <w:t>и</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(ПАО)</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персонализированные</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позволяющие</w:t>
      </w:r>
      <w:r w:rsidR="006C680D" w:rsidRPr="00D337FA">
        <w:rPr>
          <w:szCs w:val="24"/>
        </w:rPr>
        <w:t xml:space="preserve"> </w:t>
      </w:r>
      <w:r w:rsidRPr="00D337FA">
        <w:rPr>
          <w:szCs w:val="24"/>
        </w:rPr>
        <w:t>учитывать</w:t>
      </w:r>
      <w:r w:rsidR="006C680D" w:rsidRPr="00D337FA">
        <w:rPr>
          <w:szCs w:val="24"/>
        </w:rPr>
        <w:t xml:space="preserve"> </w:t>
      </w:r>
      <w:r w:rsidRPr="00D337FA">
        <w:rPr>
          <w:szCs w:val="24"/>
        </w:rPr>
        <w:t>особенности</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конкретного</w:t>
      </w:r>
      <w:r w:rsidR="006C680D" w:rsidRPr="00D337FA">
        <w:rPr>
          <w:szCs w:val="24"/>
        </w:rPr>
        <w:t xml:space="preserve"> </w:t>
      </w:r>
      <w:r w:rsidRPr="00D337FA">
        <w:rPr>
          <w:szCs w:val="24"/>
        </w:rPr>
        <w:t>предприятия.</w:t>
      </w:r>
    </w:p>
    <w:p w:rsidR="00256E85" w:rsidRPr="00D337FA" w:rsidRDefault="00256E85" w:rsidP="00256E85">
      <w:pPr>
        <w:ind w:firstLine="284"/>
        <w:rPr>
          <w:szCs w:val="24"/>
        </w:rPr>
      </w:pPr>
      <w:r w:rsidRPr="00D337FA">
        <w:rPr>
          <w:szCs w:val="24"/>
        </w:rPr>
        <w:t>Проведенный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сделать</w:t>
      </w:r>
      <w:r w:rsidR="006C680D" w:rsidRPr="00D337FA">
        <w:rPr>
          <w:szCs w:val="24"/>
        </w:rPr>
        <w:t xml:space="preserve"> </w:t>
      </w:r>
      <w:r w:rsidRPr="00D337FA">
        <w:rPr>
          <w:szCs w:val="24"/>
        </w:rPr>
        <w:t>вывод</w:t>
      </w:r>
      <w:r w:rsidR="006C680D" w:rsidRPr="00D337FA">
        <w:rPr>
          <w:szCs w:val="24"/>
        </w:rPr>
        <w:t xml:space="preserve"> </w:t>
      </w:r>
      <w:r w:rsidRPr="00D337FA">
        <w:rPr>
          <w:szCs w:val="24"/>
        </w:rPr>
        <w:t>о</w:t>
      </w:r>
      <w:r w:rsidR="006C680D" w:rsidRPr="00D337FA">
        <w:rPr>
          <w:szCs w:val="24"/>
        </w:rPr>
        <w:t xml:space="preserve"> </w:t>
      </w:r>
      <w:r w:rsidRPr="00D337FA">
        <w:rPr>
          <w:szCs w:val="24"/>
        </w:rPr>
        <w:t>том,</w:t>
      </w:r>
      <w:r w:rsidR="006C680D" w:rsidRPr="00D337FA">
        <w:rPr>
          <w:szCs w:val="24"/>
        </w:rPr>
        <w:t xml:space="preserve"> </w:t>
      </w:r>
      <w:r w:rsidRPr="00D337FA">
        <w:rPr>
          <w:szCs w:val="24"/>
        </w:rPr>
        <w:t>что</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России</w:t>
      </w:r>
      <w:r w:rsidR="006C680D" w:rsidRPr="00D337FA">
        <w:rPr>
          <w:szCs w:val="24"/>
        </w:rPr>
        <w:t xml:space="preserve"> </w:t>
      </w:r>
      <w:r w:rsidRPr="00D337FA">
        <w:rPr>
          <w:szCs w:val="24"/>
        </w:rPr>
        <w:t>в</w:t>
      </w:r>
      <w:r w:rsidR="006C680D" w:rsidRPr="00D337FA">
        <w:rPr>
          <w:szCs w:val="24"/>
        </w:rPr>
        <w:t xml:space="preserve"> </w:t>
      </w:r>
      <w:r w:rsidRPr="00D337FA">
        <w:rPr>
          <w:szCs w:val="24"/>
        </w:rPr>
        <w:t>последние</w:t>
      </w:r>
      <w:r w:rsidR="006C680D" w:rsidRPr="00D337FA">
        <w:rPr>
          <w:szCs w:val="24"/>
        </w:rPr>
        <w:t xml:space="preserve"> </w:t>
      </w:r>
      <w:r w:rsidRPr="00D337FA">
        <w:rPr>
          <w:szCs w:val="24"/>
        </w:rPr>
        <w:t>годы</w:t>
      </w:r>
      <w:r w:rsidR="006C680D" w:rsidRPr="00D337FA">
        <w:rPr>
          <w:szCs w:val="24"/>
        </w:rPr>
        <w:t xml:space="preserve"> </w:t>
      </w:r>
      <w:r w:rsidRPr="00D337FA">
        <w:rPr>
          <w:szCs w:val="24"/>
        </w:rPr>
        <w:t>демонстрирует</w:t>
      </w:r>
      <w:r w:rsidR="006C680D" w:rsidRPr="00D337FA">
        <w:rPr>
          <w:szCs w:val="24"/>
        </w:rPr>
        <w:t xml:space="preserve"> </w:t>
      </w:r>
      <w:r w:rsidRPr="00D337FA">
        <w:rPr>
          <w:szCs w:val="24"/>
        </w:rPr>
        <w:t>положительную</w:t>
      </w:r>
      <w:r w:rsidR="006C680D" w:rsidRPr="00D337FA">
        <w:rPr>
          <w:szCs w:val="24"/>
        </w:rPr>
        <w:t xml:space="preserve"> </w:t>
      </w:r>
      <w:r w:rsidRPr="00D337FA">
        <w:rPr>
          <w:szCs w:val="24"/>
        </w:rPr>
        <w:t>динамику,</w:t>
      </w:r>
      <w:r w:rsidR="006C680D" w:rsidRPr="00D337FA">
        <w:rPr>
          <w:szCs w:val="24"/>
        </w:rPr>
        <w:t xml:space="preserve"> </w:t>
      </w:r>
      <w:r w:rsidRPr="00D337FA">
        <w:rPr>
          <w:szCs w:val="24"/>
        </w:rPr>
        <w:t>отражающуюся</w:t>
      </w:r>
      <w:r w:rsidR="006C680D" w:rsidRPr="00D337FA">
        <w:rPr>
          <w:szCs w:val="24"/>
        </w:rPr>
        <w:t xml:space="preserve"> </w:t>
      </w:r>
      <w:r w:rsidRPr="00D337FA">
        <w:rPr>
          <w:szCs w:val="24"/>
        </w:rPr>
        <w:t>в</w:t>
      </w:r>
      <w:r w:rsidR="006C680D" w:rsidRPr="00D337FA">
        <w:rPr>
          <w:szCs w:val="24"/>
        </w:rPr>
        <w:t xml:space="preserve"> </w:t>
      </w:r>
      <w:r w:rsidRPr="00D337FA">
        <w:rPr>
          <w:szCs w:val="24"/>
        </w:rPr>
        <w:t>постоянной</w:t>
      </w:r>
      <w:r w:rsidR="006C680D" w:rsidRPr="00D337FA">
        <w:rPr>
          <w:szCs w:val="24"/>
        </w:rPr>
        <w:t xml:space="preserve"> </w:t>
      </w:r>
      <w:r w:rsidRPr="00D337FA">
        <w:rPr>
          <w:szCs w:val="24"/>
        </w:rPr>
        <w:t>цифровизации</w:t>
      </w:r>
      <w:r w:rsidR="006C680D" w:rsidRPr="00D337FA">
        <w:rPr>
          <w:szCs w:val="24"/>
        </w:rPr>
        <w:t xml:space="preserve"> </w:t>
      </w:r>
      <w:r w:rsidRPr="00D337FA">
        <w:rPr>
          <w:szCs w:val="24"/>
        </w:rPr>
        <w:t>процессов,</w:t>
      </w:r>
      <w:r w:rsidR="006C680D" w:rsidRPr="00D337FA">
        <w:rPr>
          <w:szCs w:val="24"/>
        </w:rPr>
        <w:t xml:space="preserve"> </w:t>
      </w:r>
      <w:r w:rsidRPr="00D337FA">
        <w:rPr>
          <w:szCs w:val="24"/>
        </w:rPr>
        <w:t>распространении</w:t>
      </w:r>
      <w:r w:rsidR="006C680D" w:rsidRPr="00D337FA">
        <w:rPr>
          <w:szCs w:val="24"/>
        </w:rPr>
        <w:t xml:space="preserve"> </w:t>
      </w:r>
      <w:r w:rsidRPr="00D337FA">
        <w:rPr>
          <w:szCs w:val="24"/>
        </w:rPr>
        <w:t>кастомизированных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и</w:t>
      </w:r>
      <w:r w:rsidR="006C680D" w:rsidRPr="00D337FA">
        <w:rPr>
          <w:szCs w:val="24"/>
        </w:rPr>
        <w:t xml:space="preserve"> </w:t>
      </w:r>
      <w:r w:rsidRPr="00D337FA">
        <w:rPr>
          <w:szCs w:val="24"/>
        </w:rPr>
        <w:t>росте</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по</w:t>
      </w:r>
      <w:r w:rsidR="006C680D" w:rsidRPr="00D337FA">
        <w:rPr>
          <w:szCs w:val="24"/>
        </w:rPr>
        <w:t xml:space="preserve"> </w:t>
      </w:r>
      <w:r w:rsidRPr="00D337FA">
        <w:rPr>
          <w:szCs w:val="24"/>
        </w:rPr>
        <w:t>кредитным</w:t>
      </w:r>
      <w:r w:rsidR="006C680D" w:rsidRPr="00D337FA">
        <w:rPr>
          <w:szCs w:val="24"/>
        </w:rPr>
        <w:t xml:space="preserve"> </w:t>
      </w:r>
      <w:r w:rsidRPr="00D337FA">
        <w:rPr>
          <w:szCs w:val="24"/>
        </w:rPr>
        <w:t>программам.</w:t>
      </w:r>
      <w:r w:rsidR="006C680D" w:rsidRPr="00D337FA">
        <w:rPr>
          <w:szCs w:val="24"/>
        </w:rPr>
        <w:t xml:space="preserve"> </w:t>
      </w:r>
      <w:r w:rsidRPr="00D337FA">
        <w:rPr>
          <w:szCs w:val="24"/>
        </w:rPr>
        <w:t>Тем</w:t>
      </w:r>
      <w:r w:rsidR="006C680D" w:rsidRPr="00D337FA">
        <w:rPr>
          <w:szCs w:val="24"/>
        </w:rPr>
        <w:t xml:space="preserve"> </w:t>
      </w:r>
      <w:r w:rsidRPr="00D337FA">
        <w:rPr>
          <w:szCs w:val="24"/>
        </w:rPr>
        <w:t>не</w:t>
      </w:r>
      <w:r w:rsidR="006C680D" w:rsidRPr="00D337FA">
        <w:rPr>
          <w:szCs w:val="24"/>
        </w:rPr>
        <w:t xml:space="preserve"> </w:t>
      </w:r>
      <w:r w:rsidRPr="00D337FA">
        <w:rPr>
          <w:szCs w:val="24"/>
        </w:rPr>
        <w:t>менее</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показывает,</w:t>
      </w:r>
      <w:r w:rsidR="006C680D" w:rsidRPr="00D337FA">
        <w:rPr>
          <w:szCs w:val="24"/>
        </w:rPr>
        <w:t xml:space="preserve"> </w:t>
      </w:r>
      <w:r w:rsidRPr="00D337FA">
        <w:rPr>
          <w:szCs w:val="24"/>
        </w:rPr>
        <w:t>что</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спектра</w:t>
      </w:r>
      <w:r w:rsidR="006C680D" w:rsidRPr="00D337FA">
        <w:rPr>
          <w:szCs w:val="24"/>
        </w:rPr>
        <w:t xml:space="preserve"> </w:t>
      </w:r>
      <w:r w:rsidRPr="00D337FA">
        <w:rPr>
          <w:szCs w:val="24"/>
        </w:rPr>
        <w:t>доступных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осуществляется</w:t>
      </w:r>
      <w:r w:rsidR="006C680D" w:rsidRPr="00D337FA">
        <w:rPr>
          <w:szCs w:val="24"/>
        </w:rPr>
        <w:t xml:space="preserve"> </w:t>
      </w:r>
      <w:r w:rsidRPr="00D337FA">
        <w:rPr>
          <w:szCs w:val="24"/>
        </w:rPr>
        <w:t>неравномерно,</w:t>
      </w:r>
      <w:r w:rsidR="006C680D" w:rsidRPr="00D337FA">
        <w:rPr>
          <w:szCs w:val="24"/>
        </w:rPr>
        <w:t xml:space="preserve"> </w:t>
      </w:r>
      <w:r w:rsidRPr="00D337FA">
        <w:rPr>
          <w:szCs w:val="24"/>
        </w:rPr>
        <w:t>в</w:t>
      </w:r>
      <w:r w:rsidR="006C680D" w:rsidRPr="00D337FA">
        <w:rPr>
          <w:szCs w:val="24"/>
        </w:rPr>
        <w:t xml:space="preserve"> </w:t>
      </w:r>
      <w:r w:rsidRPr="00D337FA">
        <w:rPr>
          <w:szCs w:val="24"/>
        </w:rPr>
        <w:t>ряде</w:t>
      </w:r>
      <w:r w:rsidR="006C680D" w:rsidRPr="00D337FA">
        <w:rPr>
          <w:szCs w:val="24"/>
        </w:rPr>
        <w:t xml:space="preserve"> </w:t>
      </w:r>
      <w:r w:rsidRPr="00D337FA">
        <w:rPr>
          <w:szCs w:val="24"/>
        </w:rPr>
        <w:t>направлений</w:t>
      </w:r>
      <w:r w:rsidR="006C680D" w:rsidRPr="00D337FA">
        <w:rPr>
          <w:szCs w:val="24"/>
        </w:rPr>
        <w:t xml:space="preserve"> </w:t>
      </w:r>
      <w:r w:rsidRPr="00D337FA">
        <w:rPr>
          <w:szCs w:val="24"/>
        </w:rPr>
        <w:t>они</w:t>
      </w:r>
      <w:r w:rsidR="006C680D" w:rsidRPr="00D337FA">
        <w:rPr>
          <w:szCs w:val="24"/>
        </w:rPr>
        <w:t xml:space="preserve"> </w:t>
      </w:r>
      <w:r w:rsidRPr="00D337FA">
        <w:rPr>
          <w:szCs w:val="24"/>
        </w:rPr>
        <w:t>вообще</w:t>
      </w:r>
      <w:r w:rsidR="006C680D" w:rsidRPr="00D337FA">
        <w:rPr>
          <w:szCs w:val="24"/>
        </w:rPr>
        <w:t xml:space="preserve"> </w:t>
      </w:r>
      <w:r w:rsidRPr="00D337FA">
        <w:rPr>
          <w:szCs w:val="24"/>
        </w:rPr>
        <w:t>мало</w:t>
      </w:r>
      <w:r w:rsidR="006C680D" w:rsidRPr="00D337FA">
        <w:rPr>
          <w:szCs w:val="24"/>
        </w:rPr>
        <w:t xml:space="preserve"> </w:t>
      </w:r>
      <w:r w:rsidRPr="00D337FA">
        <w:rPr>
          <w:szCs w:val="24"/>
        </w:rPr>
        <w:t>развиты.</w:t>
      </w:r>
    </w:p>
    <w:p w:rsidR="00256E85" w:rsidRPr="00D337FA" w:rsidRDefault="00256E85" w:rsidP="00256E85">
      <w:pPr>
        <w:ind w:firstLine="284"/>
        <w:rPr>
          <w:szCs w:val="24"/>
        </w:rPr>
      </w:pPr>
      <w:r w:rsidRPr="00D337FA">
        <w:rPr>
          <w:szCs w:val="24"/>
        </w:rPr>
        <w:lastRenderedPageBreak/>
        <w:t>Ограниченность</w:t>
      </w:r>
      <w:r w:rsidR="006C680D" w:rsidRPr="00D337FA">
        <w:rPr>
          <w:szCs w:val="24"/>
        </w:rPr>
        <w:t xml:space="preserve"> </w:t>
      </w:r>
      <w:r w:rsidRPr="00D337FA">
        <w:rPr>
          <w:szCs w:val="24"/>
        </w:rPr>
        <w:t>доступа</w:t>
      </w:r>
      <w:r w:rsidR="006C680D" w:rsidRPr="00D337FA">
        <w:rPr>
          <w:szCs w:val="24"/>
        </w:rPr>
        <w:t xml:space="preserve"> </w:t>
      </w:r>
      <w:r w:rsidRPr="00D337FA">
        <w:rPr>
          <w:szCs w:val="24"/>
        </w:rPr>
        <w:t>к</w:t>
      </w:r>
      <w:r w:rsidR="006C680D" w:rsidRPr="00D337FA">
        <w:rPr>
          <w:szCs w:val="24"/>
        </w:rPr>
        <w:t xml:space="preserve"> </w:t>
      </w:r>
      <w:r w:rsidRPr="00D337FA">
        <w:rPr>
          <w:szCs w:val="24"/>
        </w:rPr>
        <w:t>некоторым</w:t>
      </w:r>
      <w:r w:rsidR="006C680D" w:rsidRPr="00D337FA">
        <w:rPr>
          <w:szCs w:val="24"/>
        </w:rPr>
        <w:t xml:space="preserve"> </w:t>
      </w:r>
      <w:r w:rsidRPr="00D337FA">
        <w:rPr>
          <w:szCs w:val="24"/>
        </w:rPr>
        <w:t>банковским</w:t>
      </w:r>
      <w:r w:rsidR="006C680D" w:rsidRPr="00D337FA">
        <w:rPr>
          <w:szCs w:val="24"/>
        </w:rPr>
        <w:t xml:space="preserve"> </w:t>
      </w:r>
      <w:r w:rsidRPr="00D337FA">
        <w:rPr>
          <w:szCs w:val="24"/>
        </w:rPr>
        <w:t>услугам</w:t>
      </w:r>
      <w:r w:rsidR="006C680D" w:rsidRPr="00D337FA">
        <w:rPr>
          <w:szCs w:val="24"/>
        </w:rPr>
        <w:t xml:space="preserve"> </w:t>
      </w:r>
      <w:r w:rsidRPr="00D337FA">
        <w:rPr>
          <w:szCs w:val="24"/>
        </w:rPr>
        <w:t>обусловлена</w:t>
      </w:r>
      <w:r w:rsidR="006C680D" w:rsidRPr="00D337FA">
        <w:rPr>
          <w:szCs w:val="24"/>
        </w:rPr>
        <w:t xml:space="preserve"> </w:t>
      </w:r>
      <w:r w:rsidRPr="00D337FA">
        <w:rPr>
          <w:szCs w:val="24"/>
        </w:rPr>
        <w:t>как</w:t>
      </w:r>
      <w:r w:rsidR="006C680D" w:rsidRPr="00D337FA">
        <w:rPr>
          <w:szCs w:val="24"/>
        </w:rPr>
        <w:t xml:space="preserve"> </w:t>
      </w:r>
      <w:r w:rsidRPr="00D337FA">
        <w:rPr>
          <w:szCs w:val="24"/>
        </w:rPr>
        <w:t>внешними</w:t>
      </w:r>
      <w:r w:rsidR="006C680D" w:rsidRPr="00D337FA">
        <w:rPr>
          <w:szCs w:val="24"/>
        </w:rPr>
        <w:t xml:space="preserve"> </w:t>
      </w:r>
      <w:r w:rsidRPr="00D337FA">
        <w:rPr>
          <w:szCs w:val="24"/>
        </w:rPr>
        <w:t>барьерами,</w:t>
      </w:r>
      <w:r w:rsidR="006C680D" w:rsidRPr="00D337FA">
        <w:rPr>
          <w:szCs w:val="24"/>
        </w:rPr>
        <w:t xml:space="preserve"> </w:t>
      </w:r>
      <w:r w:rsidRPr="00D337FA">
        <w:rPr>
          <w:szCs w:val="24"/>
        </w:rPr>
        <w:t>в</w:t>
      </w:r>
      <w:r w:rsidR="006C680D" w:rsidRPr="00D337FA">
        <w:rPr>
          <w:szCs w:val="24"/>
        </w:rPr>
        <w:t xml:space="preserve"> </w:t>
      </w:r>
      <w:r w:rsidRPr="00D337FA">
        <w:rPr>
          <w:szCs w:val="24"/>
        </w:rPr>
        <w:t>том</w:t>
      </w:r>
      <w:r w:rsidR="006C680D" w:rsidRPr="00D337FA">
        <w:rPr>
          <w:szCs w:val="24"/>
        </w:rPr>
        <w:t xml:space="preserve"> </w:t>
      </w:r>
      <w:r w:rsidRPr="00D337FA">
        <w:rPr>
          <w:szCs w:val="24"/>
        </w:rPr>
        <w:t>числе</w:t>
      </w:r>
      <w:r w:rsidR="006C680D" w:rsidRPr="00D337FA">
        <w:rPr>
          <w:szCs w:val="24"/>
        </w:rPr>
        <w:t xml:space="preserve"> </w:t>
      </w:r>
      <w:r w:rsidRPr="00D337FA">
        <w:rPr>
          <w:szCs w:val="24"/>
        </w:rPr>
        <w:t>санкционными,</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регуляторными,</w:t>
      </w:r>
      <w:r w:rsidR="006C680D" w:rsidRPr="00D337FA">
        <w:rPr>
          <w:szCs w:val="24"/>
        </w:rPr>
        <w:t xml:space="preserve"> </w:t>
      </w:r>
      <w:r w:rsidRPr="00D337FA">
        <w:rPr>
          <w:szCs w:val="24"/>
        </w:rPr>
        <w:t>инфраструктурными</w:t>
      </w:r>
      <w:r w:rsidR="006C680D" w:rsidRPr="00D337FA">
        <w:rPr>
          <w:szCs w:val="24"/>
        </w:rPr>
        <w:t xml:space="preserve"> </w:t>
      </w:r>
      <w:r w:rsidRPr="00D337FA">
        <w:rPr>
          <w:szCs w:val="24"/>
        </w:rPr>
        <w:t>и</w:t>
      </w:r>
      <w:r w:rsidR="006C680D" w:rsidRPr="00D337FA">
        <w:rPr>
          <w:szCs w:val="24"/>
        </w:rPr>
        <w:t xml:space="preserve"> </w:t>
      </w:r>
      <w:r w:rsidRPr="00D337FA">
        <w:rPr>
          <w:szCs w:val="24"/>
        </w:rPr>
        <w:t>внутренними</w:t>
      </w:r>
      <w:r w:rsidR="006C680D" w:rsidRPr="00D337FA">
        <w:rPr>
          <w:szCs w:val="24"/>
        </w:rPr>
        <w:t xml:space="preserve"> </w:t>
      </w:r>
      <w:r w:rsidRPr="00D337FA">
        <w:rPr>
          <w:szCs w:val="24"/>
        </w:rPr>
        <w:t>ограничениями</w:t>
      </w:r>
      <w:r w:rsidR="006C680D" w:rsidRPr="00D337FA">
        <w:rPr>
          <w:szCs w:val="24"/>
        </w:rPr>
        <w:t xml:space="preserve"> </w:t>
      </w:r>
      <w:r w:rsidRPr="00D337FA">
        <w:rPr>
          <w:szCs w:val="24"/>
        </w:rPr>
        <w:t>самих</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Они</w:t>
      </w:r>
      <w:r w:rsidR="006C680D" w:rsidRPr="00D337FA">
        <w:rPr>
          <w:szCs w:val="24"/>
        </w:rPr>
        <w:t xml:space="preserve"> </w:t>
      </w:r>
      <w:r w:rsidRPr="00D337FA">
        <w:rPr>
          <w:szCs w:val="24"/>
        </w:rPr>
        <w:t>предпочитают</w:t>
      </w:r>
      <w:r w:rsidR="006C680D" w:rsidRPr="00D337FA">
        <w:rPr>
          <w:szCs w:val="24"/>
        </w:rPr>
        <w:t xml:space="preserve"> </w:t>
      </w:r>
      <w:r w:rsidRPr="00D337FA">
        <w:rPr>
          <w:szCs w:val="24"/>
        </w:rPr>
        <w:t>сосредотачиваться</w:t>
      </w:r>
      <w:r w:rsidR="006C680D" w:rsidRPr="00D337FA">
        <w:rPr>
          <w:szCs w:val="24"/>
        </w:rPr>
        <w:t xml:space="preserve"> </w:t>
      </w:r>
      <w:r w:rsidRPr="00D337FA">
        <w:rPr>
          <w:szCs w:val="24"/>
        </w:rPr>
        <w:t>на</w:t>
      </w:r>
      <w:r w:rsidR="006C680D" w:rsidRPr="00D337FA">
        <w:rPr>
          <w:szCs w:val="24"/>
        </w:rPr>
        <w:t xml:space="preserve"> </w:t>
      </w:r>
      <w:r w:rsidRPr="00D337FA">
        <w:rPr>
          <w:szCs w:val="24"/>
        </w:rPr>
        <w:t>массовых,</w:t>
      </w:r>
      <w:r w:rsidR="006C680D" w:rsidRPr="00D337FA">
        <w:rPr>
          <w:szCs w:val="24"/>
        </w:rPr>
        <w:t xml:space="preserve"> </w:t>
      </w:r>
      <w:r w:rsidRPr="00D337FA">
        <w:rPr>
          <w:szCs w:val="24"/>
        </w:rPr>
        <w:t>относительно</w:t>
      </w:r>
      <w:r w:rsidR="006C680D" w:rsidRPr="00D337FA">
        <w:rPr>
          <w:szCs w:val="24"/>
        </w:rPr>
        <w:t xml:space="preserve"> </w:t>
      </w:r>
      <w:r w:rsidRPr="00D337FA">
        <w:rPr>
          <w:szCs w:val="24"/>
        </w:rPr>
        <w:t>низкорисковых</w:t>
      </w:r>
      <w:r w:rsidR="006C680D" w:rsidRPr="00D337FA">
        <w:rPr>
          <w:szCs w:val="24"/>
        </w:rPr>
        <w:t xml:space="preserve"> </w:t>
      </w:r>
      <w:r w:rsidRPr="00D337FA">
        <w:rPr>
          <w:szCs w:val="24"/>
        </w:rPr>
        <w:t>продуктах</w:t>
      </w:r>
      <w:r w:rsidR="006C680D" w:rsidRPr="00D337FA">
        <w:rPr>
          <w:szCs w:val="24"/>
        </w:rPr>
        <w:t xml:space="preserve"> </w:t>
      </w:r>
      <w:r w:rsidRPr="00D337FA">
        <w:rPr>
          <w:szCs w:val="24"/>
        </w:rPr>
        <w:t>с</w:t>
      </w:r>
      <w:r w:rsidR="006C680D" w:rsidRPr="00D337FA">
        <w:rPr>
          <w:szCs w:val="24"/>
        </w:rPr>
        <w:t xml:space="preserve"> </w:t>
      </w:r>
      <w:r w:rsidRPr="00D337FA">
        <w:rPr>
          <w:szCs w:val="24"/>
        </w:rPr>
        <w:t>прогнозируемой</w:t>
      </w:r>
      <w:r w:rsidR="006C680D" w:rsidRPr="00D337FA">
        <w:rPr>
          <w:szCs w:val="24"/>
        </w:rPr>
        <w:t xml:space="preserve"> </w:t>
      </w:r>
      <w:r w:rsidRPr="00D337FA">
        <w:rPr>
          <w:szCs w:val="24"/>
        </w:rPr>
        <w:t>доходностью,</w:t>
      </w:r>
      <w:r w:rsidR="006C680D" w:rsidRPr="00D337FA">
        <w:rPr>
          <w:szCs w:val="24"/>
        </w:rPr>
        <w:t xml:space="preserve"> </w:t>
      </w:r>
      <w:r w:rsidRPr="00D337FA">
        <w:rPr>
          <w:szCs w:val="24"/>
        </w:rPr>
        <w:t>игнорируя</w:t>
      </w:r>
      <w:r w:rsidR="006C680D" w:rsidRPr="00D337FA">
        <w:rPr>
          <w:szCs w:val="24"/>
        </w:rPr>
        <w:t xml:space="preserve"> </w:t>
      </w:r>
      <w:r w:rsidRPr="00D337FA">
        <w:rPr>
          <w:szCs w:val="24"/>
        </w:rPr>
        <w:t>перспективные,</w:t>
      </w:r>
      <w:r w:rsidR="006C680D" w:rsidRPr="00D337FA">
        <w:rPr>
          <w:szCs w:val="24"/>
        </w:rPr>
        <w:t xml:space="preserve"> </w:t>
      </w:r>
      <w:r w:rsidRPr="00D337FA">
        <w:rPr>
          <w:szCs w:val="24"/>
        </w:rPr>
        <w:t>но</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сложные</w:t>
      </w:r>
      <w:r w:rsidR="006C680D" w:rsidRPr="00D337FA">
        <w:rPr>
          <w:szCs w:val="24"/>
        </w:rPr>
        <w:t xml:space="preserve"> </w:t>
      </w:r>
      <w:r w:rsidRPr="00D337FA">
        <w:rPr>
          <w:szCs w:val="24"/>
        </w:rPr>
        <w:t>в</w:t>
      </w:r>
      <w:r w:rsidR="006C680D" w:rsidRPr="00D337FA">
        <w:rPr>
          <w:szCs w:val="24"/>
        </w:rPr>
        <w:t xml:space="preserve"> </w:t>
      </w:r>
      <w:r w:rsidRPr="00D337FA">
        <w:rPr>
          <w:szCs w:val="24"/>
        </w:rPr>
        <w:t>реализации,</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Кроме</w:t>
      </w:r>
      <w:r w:rsidR="006C680D" w:rsidRPr="00D337FA">
        <w:rPr>
          <w:szCs w:val="24"/>
        </w:rPr>
        <w:t xml:space="preserve"> </w:t>
      </w:r>
      <w:r w:rsidRPr="00D337FA">
        <w:rPr>
          <w:szCs w:val="24"/>
        </w:rPr>
        <w:t>того,</w:t>
      </w:r>
      <w:r w:rsidR="006C680D" w:rsidRPr="00D337FA">
        <w:rPr>
          <w:szCs w:val="24"/>
        </w:rPr>
        <w:t xml:space="preserve"> </w:t>
      </w:r>
      <w:r w:rsidRPr="00D337FA">
        <w:rPr>
          <w:szCs w:val="24"/>
        </w:rPr>
        <w:t>разработка</w:t>
      </w:r>
      <w:r w:rsidR="006C680D" w:rsidRPr="00D337FA">
        <w:rPr>
          <w:szCs w:val="24"/>
        </w:rPr>
        <w:t xml:space="preserve"> </w:t>
      </w:r>
      <w:r w:rsidRPr="00D337FA">
        <w:rPr>
          <w:szCs w:val="24"/>
        </w:rPr>
        <w:t>и</w:t>
      </w:r>
      <w:r w:rsidR="006C680D" w:rsidRPr="00D337FA">
        <w:rPr>
          <w:szCs w:val="24"/>
        </w:rPr>
        <w:t xml:space="preserve"> </w:t>
      </w:r>
      <w:r w:rsidRPr="00D337FA">
        <w:rPr>
          <w:szCs w:val="24"/>
        </w:rPr>
        <w:t>внедрение</w:t>
      </w:r>
      <w:r w:rsidR="006C680D" w:rsidRPr="00D337FA">
        <w:rPr>
          <w:szCs w:val="24"/>
        </w:rPr>
        <w:t xml:space="preserve"> </w:t>
      </w:r>
      <w:r w:rsidRPr="00D337FA">
        <w:rPr>
          <w:szCs w:val="24"/>
        </w:rPr>
        <w:t>специализированных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требует</w:t>
      </w:r>
      <w:r w:rsidR="006C680D" w:rsidRPr="00D337FA">
        <w:rPr>
          <w:szCs w:val="24"/>
        </w:rPr>
        <w:t xml:space="preserve"> </w:t>
      </w:r>
      <w:r w:rsidRPr="00D337FA">
        <w:rPr>
          <w:szCs w:val="24"/>
        </w:rPr>
        <w:t>привлечения</w:t>
      </w:r>
      <w:r w:rsidR="006C680D" w:rsidRPr="00D337FA">
        <w:rPr>
          <w:szCs w:val="24"/>
        </w:rPr>
        <w:t xml:space="preserve"> </w:t>
      </w:r>
      <w:r w:rsidRPr="00D337FA">
        <w:rPr>
          <w:szCs w:val="24"/>
        </w:rPr>
        <w:t>дополнительного</w:t>
      </w:r>
      <w:r w:rsidR="006C680D" w:rsidRPr="00D337FA">
        <w:rPr>
          <w:szCs w:val="24"/>
        </w:rPr>
        <w:t xml:space="preserve"> </w:t>
      </w:r>
      <w:r w:rsidRPr="00D337FA">
        <w:rPr>
          <w:szCs w:val="24"/>
        </w:rPr>
        <w:t>аналитического</w:t>
      </w:r>
      <w:r w:rsidR="006C680D" w:rsidRPr="00D337FA">
        <w:rPr>
          <w:szCs w:val="24"/>
        </w:rPr>
        <w:t xml:space="preserve"> </w:t>
      </w:r>
      <w:r w:rsidRPr="00D337FA">
        <w:rPr>
          <w:szCs w:val="24"/>
        </w:rPr>
        <w:t>и</w:t>
      </w:r>
      <w:r w:rsidR="006C680D" w:rsidRPr="00D337FA">
        <w:rPr>
          <w:szCs w:val="24"/>
        </w:rPr>
        <w:t xml:space="preserve"> </w:t>
      </w:r>
      <w:r w:rsidRPr="00D337FA">
        <w:rPr>
          <w:szCs w:val="24"/>
        </w:rPr>
        <w:t>ИТ-ресурса,</w:t>
      </w:r>
      <w:r w:rsidR="006C680D" w:rsidRPr="00D337FA">
        <w:rPr>
          <w:szCs w:val="24"/>
        </w:rPr>
        <w:t xml:space="preserve"> </w:t>
      </w:r>
      <w:r w:rsidRPr="00D337FA">
        <w:rPr>
          <w:szCs w:val="24"/>
        </w:rPr>
        <w:t>что</w:t>
      </w:r>
      <w:r w:rsidR="006C680D" w:rsidRPr="00D337FA">
        <w:rPr>
          <w:szCs w:val="24"/>
        </w:rPr>
        <w:t xml:space="preserve"> </w:t>
      </w:r>
      <w:r w:rsidRPr="00D337FA">
        <w:rPr>
          <w:szCs w:val="24"/>
        </w:rPr>
        <w:t>не</w:t>
      </w:r>
      <w:r w:rsidR="006C680D" w:rsidRPr="00D337FA">
        <w:rPr>
          <w:szCs w:val="24"/>
        </w:rPr>
        <w:t xml:space="preserve"> </w:t>
      </w:r>
      <w:r w:rsidRPr="00D337FA">
        <w:rPr>
          <w:szCs w:val="24"/>
        </w:rPr>
        <w:t>всегда</w:t>
      </w:r>
      <w:r w:rsidR="006C680D" w:rsidRPr="00D337FA">
        <w:rPr>
          <w:szCs w:val="24"/>
        </w:rPr>
        <w:t xml:space="preserve"> </w:t>
      </w:r>
      <w:r w:rsidRPr="00D337FA">
        <w:rPr>
          <w:szCs w:val="24"/>
        </w:rPr>
        <w:t>могут</w:t>
      </w:r>
      <w:r w:rsidR="006C680D" w:rsidRPr="00D337FA">
        <w:rPr>
          <w:szCs w:val="24"/>
        </w:rPr>
        <w:t xml:space="preserve"> </w:t>
      </w:r>
      <w:r w:rsidRPr="00D337FA">
        <w:rPr>
          <w:szCs w:val="24"/>
        </w:rPr>
        <w:t>себе</w:t>
      </w:r>
      <w:r w:rsidR="006C680D" w:rsidRPr="00D337FA">
        <w:rPr>
          <w:szCs w:val="24"/>
        </w:rPr>
        <w:t xml:space="preserve"> </w:t>
      </w:r>
      <w:r w:rsidRPr="00D337FA">
        <w:rPr>
          <w:szCs w:val="24"/>
        </w:rPr>
        <w:t>позволить</w:t>
      </w:r>
      <w:r w:rsidR="006C680D" w:rsidRPr="00D337FA">
        <w:rPr>
          <w:szCs w:val="24"/>
        </w:rPr>
        <w:t xml:space="preserve"> </w:t>
      </w:r>
      <w:r w:rsidRPr="00D337FA">
        <w:rPr>
          <w:szCs w:val="24"/>
        </w:rPr>
        <w:t>даже</w:t>
      </w:r>
      <w:r w:rsidR="006C680D" w:rsidRPr="00D337FA">
        <w:rPr>
          <w:szCs w:val="24"/>
        </w:rPr>
        <w:t xml:space="preserve"> </w:t>
      </w:r>
      <w:r w:rsidRPr="00D337FA">
        <w:rPr>
          <w:szCs w:val="24"/>
        </w:rPr>
        <w:t>крупные</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из-за</w:t>
      </w:r>
      <w:r w:rsidR="006C680D" w:rsidRPr="00D337FA">
        <w:rPr>
          <w:szCs w:val="24"/>
        </w:rPr>
        <w:t xml:space="preserve"> </w:t>
      </w:r>
      <w:r w:rsidRPr="00D337FA">
        <w:rPr>
          <w:szCs w:val="24"/>
        </w:rPr>
        <w:t>давления</w:t>
      </w:r>
      <w:r w:rsidR="006C680D" w:rsidRPr="00D337FA">
        <w:rPr>
          <w:szCs w:val="24"/>
        </w:rPr>
        <w:t xml:space="preserve"> </w:t>
      </w:r>
      <w:r w:rsidRPr="00D337FA">
        <w:rPr>
          <w:szCs w:val="24"/>
        </w:rPr>
        <w:t>на</w:t>
      </w:r>
      <w:r w:rsidR="006C680D" w:rsidRPr="00D337FA">
        <w:rPr>
          <w:szCs w:val="24"/>
        </w:rPr>
        <w:t xml:space="preserve"> </w:t>
      </w:r>
      <w:r w:rsidRPr="00D337FA">
        <w:rPr>
          <w:szCs w:val="24"/>
        </w:rPr>
        <w:t>маржу</w:t>
      </w:r>
      <w:r w:rsidR="006C680D" w:rsidRPr="00D337FA">
        <w:rPr>
          <w:szCs w:val="24"/>
        </w:rPr>
        <w:t xml:space="preserve"> </w:t>
      </w:r>
      <w:r w:rsidRPr="00D337FA">
        <w:rPr>
          <w:szCs w:val="24"/>
        </w:rPr>
        <w:t>и</w:t>
      </w:r>
      <w:r w:rsidR="006C680D" w:rsidRPr="00D337FA">
        <w:rPr>
          <w:szCs w:val="24"/>
        </w:rPr>
        <w:t xml:space="preserve"> </w:t>
      </w:r>
      <w:r w:rsidRPr="00D337FA">
        <w:rPr>
          <w:szCs w:val="24"/>
        </w:rPr>
        <w:t>растущих</w:t>
      </w:r>
      <w:r w:rsidR="006C680D" w:rsidRPr="00D337FA">
        <w:rPr>
          <w:szCs w:val="24"/>
        </w:rPr>
        <w:t xml:space="preserve"> </w:t>
      </w:r>
      <w:r w:rsidRPr="00D337FA">
        <w:rPr>
          <w:szCs w:val="24"/>
        </w:rPr>
        <w:t>регуляторных</w:t>
      </w:r>
      <w:r w:rsidR="006C680D" w:rsidRPr="00D337FA">
        <w:rPr>
          <w:szCs w:val="24"/>
        </w:rPr>
        <w:t xml:space="preserve"> </w:t>
      </w:r>
      <w:r w:rsidRPr="00D337FA">
        <w:rPr>
          <w:szCs w:val="24"/>
        </w:rPr>
        <w:t>требований.</w:t>
      </w:r>
    </w:p>
    <w:p w:rsidR="00256E85" w:rsidRPr="00D337FA" w:rsidRDefault="00256E85" w:rsidP="00256E85">
      <w:pPr>
        <w:ind w:firstLine="284"/>
        <w:rPr>
          <w:szCs w:val="24"/>
        </w:rPr>
      </w:pPr>
      <w:r w:rsidRPr="00D337FA">
        <w:rPr>
          <w:szCs w:val="24"/>
        </w:rPr>
        <w:t>Существенным</w:t>
      </w:r>
      <w:r w:rsidR="006C680D" w:rsidRPr="00D337FA">
        <w:rPr>
          <w:szCs w:val="24"/>
        </w:rPr>
        <w:t xml:space="preserve"> </w:t>
      </w:r>
      <w:r w:rsidRPr="00D337FA">
        <w:rPr>
          <w:szCs w:val="24"/>
        </w:rPr>
        <w:t>сдерживающим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в</w:t>
      </w:r>
      <w:r w:rsidR="006C680D" w:rsidRPr="00D337FA">
        <w:rPr>
          <w:szCs w:val="24"/>
        </w:rPr>
        <w:t xml:space="preserve"> </w:t>
      </w:r>
      <w:r w:rsidRPr="00D337FA">
        <w:rPr>
          <w:szCs w:val="24"/>
        </w:rPr>
        <w:t>развитии</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остаётся</w:t>
      </w:r>
      <w:r w:rsidR="006C680D" w:rsidRPr="00D337FA">
        <w:rPr>
          <w:szCs w:val="24"/>
        </w:rPr>
        <w:t xml:space="preserve"> </w:t>
      </w:r>
      <w:r w:rsidRPr="00D337FA">
        <w:rPr>
          <w:szCs w:val="24"/>
        </w:rPr>
        <w:t>недостаточный</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индивидуализации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отраслевой</w:t>
      </w:r>
      <w:r w:rsidR="006C680D" w:rsidRPr="00D337FA">
        <w:rPr>
          <w:szCs w:val="24"/>
        </w:rPr>
        <w:t xml:space="preserve"> </w:t>
      </w:r>
      <w:r w:rsidRPr="00D337FA">
        <w:rPr>
          <w:szCs w:val="24"/>
        </w:rPr>
        <w:t>адаптации</w:t>
      </w:r>
      <w:r w:rsidR="006C680D" w:rsidRPr="00D337FA">
        <w:rPr>
          <w:szCs w:val="24"/>
        </w:rPr>
        <w:t xml:space="preserve"> </w:t>
      </w:r>
      <w:r w:rsidRPr="00D337FA">
        <w:rPr>
          <w:szCs w:val="24"/>
        </w:rPr>
        <w:t>предлагаемых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Большинство</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сохраняют</w:t>
      </w:r>
      <w:r w:rsidR="006C680D" w:rsidRPr="00D337FA">
        <w:rPr>
          <w:szCs w:val="24"/>
        </w:rPr>
        <w:t xml:space="preserve"> </w:t>
      </w:r>
      <w:r w:rsidRPr="00D337FA">
        <w:rPr>
          <w:szCs w:val="24"/>
        </w:rPr>
        <w:t>ориентацию</w:t>
      </w:r>
      <w:r w:rsidR="006C680D" w:rsidRPr="00D337FA">
        <w:rPr>
          <w:szCs w:val="24"/>
        </w:rPr>
        <w:t xml:space="preserve"> </w:t>
      </w:r>
      <w:r w:rsidRPr="00D337FA">
        <w:rPr>
          <w:szCs w:val="24"/>
        </w:rPr>
        <w:t>на</w:t>
      </w:r>
      <w:r w:rsidR="006C680D" w:rsidRPr="00D337FA">
        <w:rPr>
          <w:szCs w:val="24"/>
        </w:rPr>
        <w:t xml:space="preserve"> </w:t>
      </w:r>
      <w:r w:rsidRPr="00D337FA">
        <w:rPr>
          <w:szCs w:val="24"/>
        </w:rPr>
        <w:t>унифицированные</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Разработка</w:t>
      </w:r>
      <w:r w:rsidR="006C680D" w:rsidRPr="00D337FA">
        <w:rPr>
          <w:szCs w:val="24"/>
        </w:rPr>
        <w:t xml:space="preserve"> </w:t>
      </w:r>
      <w:r w:rsidRPr="00D337FA">
        <w:rPr>
          <w:szCs w:val="24"/>
        </w:rPr>
        <w:t>и</w:t>
      </w:r>
      <w:r w:rsidR="006C680D" w:rsidRPr="00D337FA">
        <w:rPr>
          <w:szCs w:val="24"/>
        </w:rPr>
        <w:t xml:space="preserve"> </w:t>
      </w:r>
      <w:r w:rsidRPr="00D337FA">
        <w:rPr>
          <w:szCs w:val="24"/>
        </w:rPr>
        <w:t>сопровождение</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требует</w:t>
      </w:r>
      <w:r w:rsidR="006C680D" w:rsidRPr="00D337FA">
        <w:rPr>
          <w:szCs w:val="24"/>
        </w:rPr>
        <w:t xml:space="preserve"> </w:t>
      </w:r>
      <w:r w:rsidRPr="00D337FA">
        <w:rPr>
          <w:szCs w:val="24"/>
        </w:rPr>
        <w:t>дополнительных</w:t>
      </w:r>
      <w:r w:rsidR="006C680D" w:rsidRPr="00D337FA">
        <w:rPr>
          <w:szCs w:val="24"/>
        </w:rPr>
        <w:t xml:space="preserve"> </w:t>
      </w:r>
      <w:r w:rsidRPr="00D337FA">
        <w:rPr>
          <w:szCs w:val="24"/>
        </w:rPr>
        <w:t>затрат,</w:t>
      </w:r>
      <w:r w:rsidR="006C680D" w:rsidRPr="00D337FA">
        <w:rPr>
          <w:szCs w:val="24"/>
        </w:rPr>
        <w:t xml:space="preserve"> </w:t>
      </w:r>
      <w:r w:rsidRPr="00D337FA">
        <w:rPr>
          <w:szCs w:val="24"/>
        </w:rPr>
        <w:t>аналитических</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и</w:t>
      </w:r>
      <w:r w:rsidR="006C680D" w:rsidRPr="00D337FA">
        <w:rPr>
          <w:szCs w:val="24"/>
        </w:rPr>
        <w:t xml:space="preserve"> </w:t>
      </w:r>
      <w:r w:rsidRPr="00D337FA">
        <w:rPr>
          <w:szCs w:val="24"/>
        </w:rPr>
        <w:t>информационных</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адаптированных</w:t>
      </w:r>
      <w:r w:rsidR="006C680D" w:rsidRPr="00D337FA">
        <w:rPr>
          <w:szCs w:val="24"/>
        </w:rPr>
        <w:t xml:space="preserve"> </w:t>
      </w:r>
      <w:r w:rsidRPr="00D337FA">
        <w:rPr>
          <w:szCs w:val="24"/>
        </w:rPr>
        <w:t>под</w:t>
      </w:r>
      <w:r w:rsidR="006C680D" w:rsidRPr="00D337FA">
        <w:rPr>
          <w:szCs w:val="24"/>
        </w:rPr>
        <w:t xml:space="preserve"> </w:t>
      </w:r>
      <w:r w:rsidRPr="00D337FA">
        <w:rPr>
          <w:szCs w:val="24"/>
        </w:rPr>
        <w:t>конкретные</w:t>
      </w:r>
      <w:r w:rsidR="006C680D" w:rsidRPr="00D337FA">
        <w:rPr>
          <w:szCs w:val="24"/>
        </w:rPr>
        <w:t xml:space="preserve"> </w:t>
      </w:r>
      <w:r w:rsidRPr="00D337FA">
        <w:rPr>
          <w:szCs w:val="24"/>
        </w:rPr>
        <w:t>сценарии</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клиента.</w:t>
      </w:r>
      <w:r w:rsidR="006C680D" w:rsidRPr="00D337FA">
        <w:rPr>
          <w:szCs w:val="24"/>
        </w:rPr>
        <w:t xml:space="preserve"> </w:t>
      </w:r>
    </w:p>
    <w:p w:rsidR="00256E85" w:rsidRPr="00D337FA" w:rsidRDefault="00256E85" w:rsidP="00256E85">
      <w:pPr>
        <w:ind w:firstLine="284"/>
        <w:rPr>
          <w:szCs w:val="24"/>
        </w:rPr>
      </w:pPr>
      <w:r w:rsidRPr="00D337FA">
        <w:rPr>
          <w:szCs w:val="24"/>
        </w:rPr>
        <w:t>Макроэкономическая</w:t>
      </w:r>
      <w:r w:rsidR="006C680D" w:rsidRPr="00D337FA">
        <w:rPr>
          <w:szCs w:val="24"/>
        </w:rPr>
        <w:t xml:space="preserve"> </w:t>
      </w:r>
      <w:r w:rsidRPr="00D337FA">
        <w:rPr>
          <w:szCs w:val="24"/>
        </w:rPr>
        <w:t>ситуация</w:t>
      </w:r>
      <w:r w:rsidR="006C680D" w:rsidRPr="00D337FA">
        <w:rPr>
          <w:szCs w:val="24"/>
        </w:rPr>
        <w:t xml:space="preserve"> </w:t>
      </w:r>
      <w:r w:rsidRPr="00D337FA">
        <w:rPr>
          <w:szCs w:val="24"/>
        </w:rPr>
        <w:t>в</w:t>
      </w:r>
      <w:r w:rsidR="006C680D" w:rsidRPr="00D337FA">
        <w:rPr>
          <w:szCs w:val="24"/>
        </w:rPr>
        <w:t xml:space="preserve"> </w:t>
      </w:r>
      <w:r w:rsidRPr="00D337FA">
        <w:rPr>
          <w:szCs w:val="24"/>
        </w:rPr>
        <w:t>2024-2025</w:t>
      </w:r>
      <w:r w:rsidR="006C680D" w:rsidRPr="00D337FA">
        <w:rPr>
          <w:szCs w:val="24"/>
        </w:rPr>
        <w:t xml:space="preserve"> </w:t>
      </w:r>
      <w:r w:rsidRPr="00D337FA">
        <w:rPr>
          <w:szCs w:val="24"/>
        </w:rPr>
        <w:t>гг.</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оказала</w:t>
      </w:r>
      <w:r w:rsidR="006C680D" w:rsidRPr="00D337FA">
        <w:rPr>
          <w:szCs w:val="24"/>
        </w:rPr>
        <w:t xml:space="preserve"> </w:t>
      </w:r>
      <w:r w:rsidRPr="00D337FA">
        <w:rPr>
          <w:szCs w:val="24"/>
        </w:rPr>
        <w:t>существенное</w:t>
      </w:r>
      <w:r w:rsidR="006C680D" w:rsidRPr="00D337FA">
        <w:rPr>
          <w:szCs w:val="24"/>
        </w:rPr>
        <w:t xml:space="preserve"> </w:t>
      </w:r>
      <w:r w:rsidRPr="00D337FA">
        <w:rPr>
          <w:szCs w:val="24"/>
        </w:rPr>
        <w:t>влияние</w:t>
      </w:r>
      <w:r w:rsidR="006C680D" w:rsidRPr="00D337FA">
        <w:rPr>
          <w:szCs w:val="24"/>
        </w:rPr>
        <w:t xml:space="preserve"> </w:t>
      </w:r>
      <w:r w:rsidRPr="00D337FA">
        <w:rPr>
          <w:szCs w:val="24"/>
        </w:rPr>
        <w:t>на</w:t>
      </w:r>
      <w:r w:rsidR="006C680D" w:rsidRPr="00D337FA">
        <w:rPr>
          <w:szCs w:val="24"/>
        </w:rPr>
        <w:t xml:space="preserve"> </w:t>
      </w:r>
      <w:r w:rsidRPr="00D337FA">
        <w:rPr>
          <w:szCs w:val="24"/>
        </w:rPr>
        <w:t>динамику</w:t>
      </w:r>
      <w:r w:rsidR="006C680D" w:rsidRPr="00D337FA">
        <w:rPr>
          <w:szCs w:val="24"/>
        </w:rPr>
        <w:t xml:space="preserve"> </w:t>
      </w:r>
      <w:r w:rsidRPr="00D337FA">
        <w:rPr>
          <w:szCs w:val="24"/>
        </w:rPr>
        <w:t>кредитной</w:t>
      </w:r>
      <w:r w:rsidR="006C680D" w:rsidRPr="00D337FA">
        <w:rPr>
          <w:szCs w:val="24"/>
        </w:rPr>
        <w:t xml:space="preserve"> </w:t>
      </w:r>
      <w:r w:rsidRPr="00D337FA">
        <w:rPr>
          <w:szCs w:val="24"/>
        </w:rPr>
        <w:t>активности</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Повышение</w:t>
      </w:r>
      <w:r w:rsidR="006C680D" w:rsidRPr="00D337FA">
        <w:rPr>
          <w:szCs w:val="24"/>
        </w:rPr>
        <w:t xml:space="preserve"> </w:t>
      </w:r>
      <w:r w:rsidRPr="00D337FA">
        <w:rPr>
          <w:szCs w:val="24"/>
        </w:rPr>
        <w:t>ключевой</w:t>
      </w:r>
      <w:r w:rsidR="006C680D" w:rsidRPr="00D337FA">
        <w:rPr>
          <w:szCs w:val="24"/>
        </w:rPr>
        <w:t xml:space="preserve"> </w:t>
      </w:r>
      <w:r w:rsidRPr="00D337FA">
        <w:rPr>
          <w:szCs w:val="24"/>
        </w:rPr>
        <w:t>ставки</w:t>
      </w:r>
      <w:r w:rsidR="006C680D" w:rsidRPr="00D337FA">
        <w:rPr>
          <w:szCs w:val="24"/>
        </w:rPr>
        <w:t xml:space="preserve"> </w:t>
      </w:r>
      <w:r w:rsidRPr="00D337FA">
        <w:rPr>
          <w:szCs w:val="24"/>
        </w:rPr>
        <w:t>Банком</w:t>
      </w:r>
      <w:r w:rsidR="006C680D" w:rsidRPr="00D337FA">
        <w:rPr>
          <w:szCs w:val="24"/>
        </w:rPr>
        <w:t xml:space="preserve"> </w:t>
      </w:r>
      <w:r w:rsidRPr="00D337FA">
        <w:rPr>
          <w:szCs w:val="24"/>
        </w:rPr>
        <w:t>России</w:t>
      </w:r>
      <w:r w:rsidR="006C680D" w:rsidRPr="00D337FA">
        <w:rPr>
          <w:szCs w:val="24"/>
        </w:rPr>
        <w:t xml:space="preserve"> </w:t>
      </w:r>
      <w:r w:rsidRPr="00D337FA">
        <w:rPr>
          <w:szCs w:val="24"/>
        </w:rPr>
        <w:t>до</w:t>
      </w:r>
      <w:r w:rsidR="006C680D" w:rsidRPr="00D337FA">
        <w:rPr>
          <w:szCs w:val="24"/>
        </w:rPr>
        <w:t xml:space="preserve"> </w:t>
      </w:r>
      <w:r w:rsidRPr="00D337FA">
        <w:rPr>
          <w:szCs w:val="24"/>
        </w:rPr>
        <w:t>21</w:t>
      </w:r>
      <w:r w:rsidR="006C680D" w:rsidRPr="00D337FA">
        <w:rPr>
          <w:szCs w:val="24"/>
        </w:rPr>
        <w:t xml:space="preserve"> </w:t>
      </w:r>
      <w:r w:rsidRPr="00D337FA">
        <w:rPr>
          <w:szCs w:val="24"/>
        </w:rPr>
        <w:t>%</w:t>
      </w:r>
      <w:r w:rsidR="006C680D" w:rsidRPr="00D337FA">
        <w:rPr>
          <w:szCs w:val="24"/>
        </w:rPr>
        <w:t xml:space="preserve"> </w:t>
      </w:r>
      <w:r w:rsidRPr="00D337FA">
        <w:rPr>
          <w:szCs w:val="24"/>
        </w:rPr>
        <w:t>значительно</w:t>
      </w:r>
      <w:r w:rsidR="006C680D" w:rsidRPr="00D337FA">
        <w:rPr>
          <w:szCs w:val="24"/>
        </w:rPr>
        <w:t xml:space="preserve"> </w:t>
      </w:r>
      <w:r w:rsidRPr="00D337FA">
        <w:rPr>
          <w:szCs w:val="24"/>
        </w:rPr>
        <w:t>увеличило</w:t>
      </w:r>
      <w:r w:rsidR="006C680D" w:rsidRPr="00D337FA">
        <w:rPr>
          <w:szCs w:val="24"/>
        </w:rPr>
        <w:t xml:space="preserve"> </w:t>
      </w:r>
      <w:r w:rsidRPr="00D337FA">
        <w:rPr>
          <w:szCs w:val="24"/>
        </w:rPr>
        <w:t>стоимость</w:t>
      </w:r>
      <w:r w:rsidR="006C680D" w:rsidRPr="00D337FA">
        <w:rPr>
          <w:szCs w:val="24"/>
        </w:rPr>
        <w:t xml:space="preserve"> </w:t>
      </w:r>
      <w:r w:rsidRPr="00D337FA">
        <w:rPr>
          <w:szCs w:val="24"/>
        </w:rPr>
        <w:t>заимствований,</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в</w:t>
      </w:r>
      <w:r w:rsidR="006C680D" w:rsidRPr="00D337FA">
        <w:rPr>
          <w:szCs w:val="24"/>
        </w:rPr>
        <w:t xml:space="preserve"> </w:t>
      </w:r>
      <w:r w:rsidRPr="00D337FA">
        <w:rPr>
          <w:szCs w:val="24"/>
        </w:rPr>
        <w:t>сегменте</w:t>
      </w:r>
      <w:r w:rsidR="006C680D" w:rsidRPr="00D337FA">
        <w:rPr>
          <w:szCs w:val="24"/>
        </w:rPr>
        <w:t xml:space="preserve"> </w:t>
      </w:r>
      <w:r w:rsidRPr="00D337FA">
        <w:rPr>
          <w:szCs w:val="24"/>
        </w:rPr>
        <w:t>краткосрочных</w:t>
      </w:r>
      <w:r w:rsidR="006C680D" w:rsidRPr="00D337FA">
        <w:rPr>
          <w:szCs w:val="24"/>
        </w:rPr>
        <w:t xml:space="preserve"> </w:t>
      </w:r>
      <w:r w:rsidRPr="00D337FA">
        <w:rPr>
          <w:szCs w:val="24"/>
        </w:rPr>
        <w:t>и</w:t>
      </w:r>
      <w:r w:rsidR="006C680D" w:rsidRPr="00D337FA">
        <w:rPr>
          <w:szCs w:val="24"/>
        </w:rPr>
        <w:t xml:space="preserve"> </w:t>
      </w:r>
      <w:r w:rsidRPr="00D337FA">
        <w:rPr>
          <w:szCs w:val="24"/>
        </w:rPr>
        <w:t>оборотных</w:t>
      </w:r>
      <w:r w:rsidR="006C680D" w:rsidRPr="00D337FA">
        <w:rPr>
          <w:szCs w:val="24"/>
        </w:rPr>
        <w:t xml:space="preserve"> </w:t>
      </w:r>
      <w:r w:rsidRPr="00D337FA">
        <w:rPr>
          <w:szCs w:val="24"/>
        </w:rPr>
        <w:t>кредитов.</w:t>
      </w:r>
    </w:p>
    <w:p w:rsidR="00256E85" w:rsidRPr="00D337FA" w:rsidRDefault="00256E85" w:rsidP="00256E85">
      <w:pPr>
        <w:ind w:firstLine="284"/>
        <w:rPr>
          <w:szCs w:val="24"/>
        </w:rPr>
      </w:pPr>
      <w:r w:rsidRPr="00D337FA">
        <w:rPr>
          <w:szCs w:val="24"/>
        </w:rPr>
        <w:t>Невзирая</w:t>
      </w:r>
      <w:r w:rsidR="006C680D" w:rsidRPr="00D337FA">
        <w:rPr>
          <w:szCs w:val="24"/>
        </w:rPr>
        <w:t xml:space="preserve"> </w:t>
      </w:r>
      <w:r w:rsidRPr="00D337FA">
        <w:rPr>
          <w:szCs w:val="24"/>
        </w:rPr>
        <w:t>на</w:t>
      </w:r>
      <w:r w:rsidR="006C680D" w:rsidRPr="00D337FA">
        <w:rPr>
          <w:szCs w:val="24"/>
        </w:rPr>
        <w:t xml:space="preserve"> </w:t>
      </w:r>
      <w:r w:rsidRPr="00D337FA">
        <w:rPr>
          <w:szCs w:val="24"/>
        </w:rPr>
        <w:t>продолжающуюся</w:t>
      </w:r>
      <w:r w:rsidR="006C680D" w:rsidRPr="00D337FA">
        <w:rPr>
          <w:szCs w:val="24"/>
        </w:rPr>
        <w:t xml:space="preserve"> </w:t>
      </w:r>
      <w:r w:rsidRPr="00D337FA">
        <w:rPr>
          <w:szCs w:val="24"/>
        </w:rPr>
        <w:t>реализацию</w:t>
      </w:r>
      <w:r w:rsidR="006C680D" w:rsidRPr="00D337FA">
        <w:rPr>
          <w:szCs w:val="24"/>
        </w:rPr>
        <w:t xml:space="preserve"> </w:t>
      </w:r>
      <w:r w:rsidRPr="00D337FA">
        <w:rPr>
          <w:szCs w:val="24"/>
        </w:rPr>
        <w:t>мер</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w:t>
      </w:r>
      <w:r w:rsidR="006C680D" w:rsidRPr="00D337FA">
        <w:rPr>
          <w:szCs w:val="24"/>
        </w:rPr>
        <w:t xml:space="preserve"> </w:t>
      </w:r>
      <w:r w:rsidRPr="00D337FA">
        <w:rPr>
          <w:szCs w:val="24"/>
        </w:rPr>
        <w:t>том</w:t>
      </w:r>
      <w:r w:rsidR="006C680D" w:rsidRPr="00D337FA">
        <w:rPr>
          <w:szCs w:val="24"/>
        </w:rPr>
        <w:t xml:space="preserve"> </w:t>
      </w:r>
      <w:r w:rsidRPr="00D337FA">
        <w:rPr>
          <w:szCs w:val="24"/>
        </w:rPr>
        <w:t>числе</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национального</w:t>
      </w:r>
      <w:r w:rsidR="006C680D" w:rsidRPr="00D337FA">
        <w:rPr>
          <w:szCs w:val="24"/>
        </w:rPr>
        <w:t xml:space="preserve"> </w:t>
      </w:r>
      <w:r w:rsidRPr="00D337FA">
        <w:rPr>
          <w:szCs w:val="24"/>
        </w:rPr>
        <w:t>проекта</w:t>
      </w:r>
      <w:r w:rsidR="006C680D" w:rsidRPr="00D337FA">
        <w:rPr>
          <w:szCs w:val="24"/>
        </w:rPr>
        <w:t xml:space="preserve"> </w:t>
      </w:r>
      <w:r w:rsidRPr="00D337FA">
        <w:rPr>
          <w:szCs w:val="24"/>
        </w:rPr>
        <w:t>«Малое</w:t>
      </w:r>
      <w:r w:rsidR="006C680D" w:rsidRPr="00D337FA">
        <w:rPr>
          <w:szCs w:val="24"/>
        </w:rPr>
        <w:t xml:space="preserve"> </w:t>
      </w:r>
      <w:r w:rsidRPr="00D337FA">
        <w:rPr>
          <w:szCs w:val="24"/>
        </w:rPr>
        <w:t>и</w:t>
      </w:r>
      <w:r w:rsidR="006C680D" w:rsidRPr="00D337FA">
        <w:rPr>
          <w:szCs w:val="24"/>
        </w:rPr>
        <w:t xml:space="preserve"> </w:t>
      </w:r>
      <w:r w:rsidRPr="00D337FA">
        <w:rPr>
          <w:szCs w:val="24"/>
        </w:rPr>
        <w:t>среднее</w:t>
      </w:r>
      <w:r w:rsidR="006C680D" w:rsidRPr="00D337FA">
        <w:rPr>
          <w:szCs w:val="24"/>
        </w:rPr>
        <w:t xml:space="preserve"> </w:t>
      </w:r>
      <w:r w:rsidRPr="00D337FA">
        <w:rPr>
          <w:szCs w:val="24"/>
        </w:rPr>
        <w:t>предпринимательство»,</w:t>
      </w:r>
      <w:r w:rsidR="006C680D" w:rsidRPr="00D337FA">
        <w:rPr>
          <w:szCs w:val="24"/>
        </w:rPr>
        <w:t xml:space="preserve"> </w:t>
      </w:r>
      <w:r w:rsidRPr="00D337FA">
        <w:rPr>
          <w:szCs w:val="24"/>
        </w:rPr>
        <w:t>масштабы</w:t>
      </w:r>
      <w:r w:rsidR="006C680D" w:rsidRPr="00D337FA">
        <w:rPr>
          <w:szCs w:val="24"/>
        </w:rPr>
        <w:t xml:space="preserve"> </w:t>
      </w:r>
      <w:r w:rsidRPr="00D337FA">
        <w:rPr>
          <w:szCs w:val="24"/>
        </w:rPr>
        <w:t>охвата</w:t>
      </w:r>
      <w:r w:rsidR="006C680D" w:rsidRPr="00D337FA">
        <w:rPr>
          <w:szCs w:val="24"/>
        </w:rPr>
        <w:t xml:space="preserve"> </w:t>
      </w:r>
      <w:r w:rsidRPr="00D337FA">
        <w:rPr>
          <w:szCs w:val="24"/>
        </w:rPr>
        <w:t>им</w:t>
      </w:r>
      <w:r w:rsidR="006C680D" w:rsidRPr="00D337FA">
        <w:rPr>
          <w:szCs w:val="24"/>
        </w:rPr>
        <w:t xml:space="preserve"> </w:t>
      </w:r>
      <w:r w:rsidRPr="00D337FA">
        <w:rPr>
          <w:szCs w:val="24"/>
        </w:rPr>
        <w:t>по-прежнему</w:t>
      </w:r>
      <w:r w:rsidR="006C680D" w:rsidRPr="00D337FA">
        <w:rPr>
          <w:szCs w:val="24"/>
        </w:rPr>
        <w:t xml:space="preserve"> </w:t>
      </w:r>
      <w:r w:rsidRPr="00D337FA">
        <w:rPr>
          <w:szCs w:val="24"/>
        </w:rPr>
        <w:t>не</w:t>
      </w:r>
      <w:r w:rsidR="006C680D" w:rsidRPr="00D337FA">
        <w:rPr>
          <w:szCs w:val="24"/>
        </w:rPr>
        <w:t xml:space="preserve"> </w:t>
      </w:r>
      <w:r w:rsidRPr="00D337FA">
        <w:rPr>
          <w:szCs w:val="24"/>
        </w:rPr>
        <w:t>позволяют</w:t>
      </w:r>
      <w:r w:rsidR="006C680D" w:rsidRPr="00D337FA">
        <w:rPr>
          <w:szCs w:val="24"/>
        </w:rPr>
        <w:t xml:space="preserve"> </w:t>
      </w:r>
      <w:r w:rsidRPr="00D337FA">
        <w:rPr>
          <w:szCs w:val="24"/>
        </w:rPr>
        <w:t>кардинально</w:t>
      </w:r>
      <w:r w:rsidR="006C680D" w:rsidRPr="00D337FA">
        <w:rPr>
          <w:szCs w:val="24"/>
        </w:rPr>
        <w:t xml:space="preserve"> </w:t>
      </w:r>
      <w:r w:rsidRPr="00D337FA">
        <w:rPr>
          <w:szCs w:val="24"/>
        </w:rPr>
        <w:t>изменить</w:t>
      </w:r>
      <w:r w:rsidR="006C680D" w:rsidRPr="00D337FA">
        <w:rPr>
          <w:szCs w:val="24"/>
        </w:rPr>
        <w:t xml:space="preserve"> </w:t>
      </w:r>
      <w:r w:rsidRPr="00D337FA">
        <w:rPr>
          <w:szCs w:val="24"/>
        </w:rPr>
        <w:t>ситуацию.</w:t>
      </w:r>
      <w:r w:rsidR="006C680D" w:rsidRPr="00D337FA">
        <w:rPr>
          <w:szCs w:val="24"/>
        </w:rPr>
        <w:t xml:space="preserve"> </w:t>
      </w:r>
      <w:r w:rsidRPr="00D337FA">
        <w:rPr>
          <w:szCs w:val="24"/>
        </w:rPr>
        <w:t>По</w:t>
      </w:r>
      <w:r w:rsidR="006C680D" w:rsidRPr="00D337FA">
        <w:rPr>
          <w:szCs w:val="24"/>
        </w:rPr>
        <w:t xml:space="preserve"> </w:t>
      </w:r>
      <w:r w:rsidRPr="00D337FA">
        <w:rPr>
          <w:szCs w:val="24"/>
        </w:rPr>
        <w:t>данным</w:t>
      </w:r>
      <w:r w:rsidR="006C680D" w:rsidRPr="00D337FA">
        <w:rPr>
          <w:szCs w:val="24"/>
        </w:rPr>
        <w:t xml:space="preserve"> </w:t>
      </w:r>
      <w:r w:rsidRPr="00D337FA">
        <w:rPr>
          <w:szCs w:val="24"/>
        </w:rPr>
        <w:t>Министерства</w:t>
      </w:r>
      <w:r w:rsidR="006C680D" w:rsidRPr="00D337FA">
        <w:rPr>
          <w:szCs w:val="24"/>
        </w:rPr>
        <w:t xml:space="preserve"> </w:t>
      </w:r>
      <w:r w:rsidRPr="00D337FA">
        <w:rPr>
          <w:szCs w:val="24"/>
        </w:rPr>
        <w:t>экономического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РФ,</w:t>
      </w:r>
      <w:r w:rsidR="006C680D" w:rsidRPr="00D337FA">
        <w:rPr>
          <w:szCs w:val="24"/>
        </w:rPr>
        <w:t xml:space="preserve"> </w:t>
      </w:r>
      <w:r w:rsidRPr="00D337FA">
        <w:rPr>
          <w:szCs w:val="24"/>
        </w:rPr>
        <w:t>в</w:t>
      </w:r>
      <w:r w:rsidR="006C680D" w:rsidRPr="00D337FA">
        <w:rPr>
          <w:szCs w:val="24"/>
        </w:rPr>
        <w:t xml:space="preserve"> </w:t>
      </w:r>
      <w:r w:rsidRPr="00D337FA">
        <w:rPr>
          <w:szCs w:val="24"/>
        </w:rPr>
        <w:t>2024</w:t>
      </w:r>
      <w:r w:rsidR="006C680D" w:rsidRPr="00D337FA">
        <w:rPr>
          <w:szCs w:val="24"/>
        </w:rPr>
        <w:t xml:space="preserve"> </w:t>
      </w:r>
      <w:r w:rsidRPr="00D337FA">
        <w:rPr>
          <w:szCs w:val="24"/>
        </w:rPr>
        <w:t>г.</w:t>
      </w:r>
      <w:r w:rsidR="006C680D" w:rsidRPr="00D337FA">
        <w:rPr>
          <w:szCs w:val="24"/>
        </w:rPr>
        <w:t xml:space="preserve"> </w:t>
      </w:r>
      <w:r w:rsidRPr="00D337FA">
        <w:rPr>
          <w:szCs w:val="24"/>
        </w:rPr>
        <w:t>мерами</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воспользовались</w:t>
      </w:r>
      <w:r w:rsidR="006C680D" w:rsidRPr="00D337FA">
        <w:rPr>
          <w:szCs w:val="24"/>
        </w:rPr>
        <w:t xml:space="preserve"> </w:t>
      </w:r>
      <w:r w:rsidRPr="00D337FA">
        <w:rPr>
          <w:szCs w:val="24"/>
        </w:rPr>
        <w:t>около</w:t>
      </w:r>
      <w:r w:rsidR="006C680D" w:rsidRPr="00D337FA">
        <w:rPr>
          <w:szCs w:val="24"/>
        </w:rPr>
        <w:t xml:space="preserve"> </w:t>
      </w:r>
      <w:r w:rsidRPr="00D337FA">
        <w:rPr>
          <w:szCs w:val="24"/>
        </w:rPr>
        <w:t>54</w:t>
      </w:r>
      <w:r w:rsidR="006C680D" w:rsidRPr="00D337FA">
        <w:rPr>
          <w:szCs w:val="24"/>
        </w:rPr>
        <w:t xml:space="preserve"> </w:t>
      </w:r>
      <w:r w:rsidRPr="00D337FA">
        <w:rPr>
          <w:szCs w:val="24"/>
        </w:rPr>
        <w:t>%</w:t>
      </w:r>
      <w:r w:rsidR="006C680D" w:rsidRPr="00D337FA">
        <w:rPr>
          <w:szCs w:val="24"/>
        </w:rPr>
        <w:t xml:space="preserve"> </w:t>
      </w:r>
      <w:r w:rsidRPr="00D337FA">
        <w:rPr>
          <w:szCs w:val="24"/>
        </w:rPr>
        <w:t>субъектов</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и</w:t>
      </w:r>
      <w:r w:rsidR="006C680D" w:rsidRPr="00D337FA">
        <w:rPr>
          <w:szCs w:val="24"/>
        </w:rPr>
        <w:t xml:space="preserve"> </w:t>
      </w:r>
      <w:r w:rsidRPr="00D337FA">
        <w:rPr>
          <w:szCs w:val="24"/>
        </w:rPr>
        <w:t>среднего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но</w:t>
      </w:r>
      <w:r w:rsidR="006C680D" w:rsidRPr="00D337FA">
        <w:rPr>
          <w:szCs w:val="24"/>
        </w:rPr>
        <w:t xml:space="preserve"> </w:t>
      </w:r>
      <w:r w:rsidRPr="00D337FA">
        <w:rPr>
          <w:szCs w:val="24"/>
        </w:rPr>
        <w:t>по</w:t>
      </w:r>
      <w:r w:rsidR="006C680D" w:rsidRPr="00D337FA">
        <w:rPr>
          <w:szCs w:val="24"/>
        </w:rPr>
        <w:t xml:space="preserve"> </w:t>
      </w:r>
      <w:r w:rsidRPr="00D337FA">
        <w:rPr>
          <w:szCs w:val="24"/>
        </w:rPr>
        <w:t>объёму</w:t>
      </w:r>
      <w:r w:rsidR="006C680D" w:rsidRPr="00D337FA">
        <w:rPr>
          <w:szCs w:val="24"/>
        </w:rPr>
        <w:t xml:space="preserve"> </w:t>
      </w:r>
      <w:r w:rsidRPr="00D337FA">
        <w:rPr>
          <w:szCs w:val="24"/>
        </w:rPr>
        <w:t>финансирования</w:t>
      </w:r>
      <w:r w:rsidR="006C680D" w:rsidRPr="00D337FA">
        <w:rPr>
          <w:szCs w:val="24"/>
        </w:rPr>
        <w:t xml:space="preserve"> </w:t>
      </w:r>
      <w:r w:rsidRPr="00D337FA">
        <w:rPr>
          <w:szCs w:val="24"/>
        </w:rPr>
        <w:t>их</w:t>
      </w:r>
      <w:r w:rsidR="006C680D" w:rsidRPr="00D337FA">
        <w:rPr>
          <w:szCs w:val="24"/>
        </w:rPr>
        <w:t xml:space="preserve"> </w:t>
      </w:r>
      <w:r w:rsidRPr="00D337FA">
        <w:rPr>
          <w:szCs w:val="24"/>
        </w:rPr>
        <w:t>доля</w:t>
      </w:r>
      <w:r w:rsidR="006C680D" w:rsidRPr="00D337FA">
        <w:rPr>
          <w:szCs w:val="24"/>
        </w:rPr>
        <w:t xml:space="preserve"> </w:t>
      </w:r>
      <w:r w:rsidRPr="00D337FA">
        <w:rPr>
          <w:szCs w:val="24"/>
        </w:rPr>
        <w:t>составила</w:t>
      </w:r>
      <w:r w:rsidR="006C680D" w:rsidRPr="00D337FA">
        <w:rPr>
          <w:szCs w:val="24"/>
        </w:rPr>
        <w:t xml:space="preserve"> </w:t>
      </w:r>
      <w:r w:rsidRPr="00D337FA">
        <w:rPr>
          <w:szCs w:val="24"/>
        </w:rPr>
        <w:t>лишь</w:t>
      </w:r>
      <w:r w:rsidR="006C680D" w:rsidRPr="00D337FA">
        <w:rPr>
          <w:szCs w:val="24"/>
        </w:rPr>
        <w:t xml:space="preserve"> </w:t>
      </w:r>
      <w:r w:rsidRPr="00D337FA">
        <w:rPr>
          <w:szCs w:val="24"/>
        </w:rPr>
        <w:lastRenderedPageBreak/>
        <w:t>треть</w:t>
      </w:r>
      <w:r w:rsidR="006C680D" w:rsidRPr="00D337FA">
        <w:rPr>
          <w:szCs w:val="24"/>
        </w:rPr>
        <w:t xml:space="preserve"> </w:t>
      </w:r>
      <w:r w:rsidRPr="00D337FA">
        <w:rPr>
          <w:szCs w:val="24"/>
        </w:rPr>
        <w:t>от</w:t>
      </w:r>
      <w:r w:rsidR="006C680D" w:rsidRPr="00D337FA">
        <w:rPr>
          <w:szCs w:val="24"/>
        </w:rPr>
        <w:t xml:space="preserve"> </w:t>
      </w:r>
      <w:r w:rsidRPr="00D337FA">
        <w:rPr>
          <w:szCs w:val="24"/>
        </w:rPr>
        <w:t>общего</w:t>
      </w:r>
      <w:r w:rsidR="006C680D" w:rsidRPr="00D337FA">
        <w:rPr>
          <w:szCs w:val="24"/>
        </w:rPr>
        <w:t xml:space="preserve"> </w:t>
      </w:r>
      <w:r w:rsidRPr="00D337FA">
        <w:rPr>
          <w:szCs w:val="24"/>
        </w:rPr>
        <w:t>кредитного</w:t>
      </w:r>
      <w:r w:rsidR="006C680D" w:rsidRPr="00D337FA">
        <w:rPr>
          <w:szCs w:val="24"/>
        </w:rPr>
        <w:t xml:space="preserve"> </w:t>
      </w:r>
      <w:r w:rsidRPr="00D337FA">
        <w:rPr>
          <w:szCs w:val="24"/>
        </w:rPr>
        <w:t>портфеля</w:t>
      </w:r>
      <w:r w:rsidR="006C680D" w:rsidRPr="00D337FA">
        <w:rPr>
          <w:szCs w:val="24"/>
        </w:rPr>
        <w:t xml:space="preserve"> </w:t>
      </w:r>
      <w:r w:rsidRPr="00D337FA">
        <w:rPr>
          <w:szCs w:val="24"/>
        </w:rPr>
        <w:t>[10].</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каждый</w:t>
      </w:r>
      <w:r w:rsidR="006C680D" w:rsidRPr="00D337FA">
        <w:rPr>
          <w:szCs w:val="24"/>
        </w:rPr>
        <w:t xml:space="preserve"> </w:t>
      </w:r>
      <w:r w:rsidRPr="00D337FA">
        <w:rPr>
          <w:szCs w:val="24"/>
        </w:rPr>
        <w:t>десятый</w:t>
      </w:r>
      <w:r w:rsidR="006C680D" w:rsidRPr="00D337FA">
        <w:rPr>
          <w:szCs w:val="24"/>
        </w:rPr>
        <w:t xml:space="preserve"> </w:t>
      </w:r>
      <w:r w:rsidRPr="00D337FA">
        <w:rPr>
          <w:szCs w:val="24"/>
        </w:rPr>
        <w:t>предприниматель</w:t>
      </w:r>
      <w:r w:rsidR="006C680D" w:rsidRPr="00D337FA">
        <w:rPr>
          <w:szCs w:val="24"/>
        </w:rPr>
        <w:t xml:space="preserve"> </w:t>
      </w:r>
      <w:r w:rsidRPr="00D337FA">
        <w:rPr>
          <w:szCs w:val="24"/>
        </w:rPr>
        <w:t>получил</w:t>
      </w:r>
      <w:r w:rsidR="006C680D" w:rsidRPr="00D337FA">
        <w:rPr>
          <w:szCs w:val="24"/>
        </w:rPr>
        <w:t xml:space="preserve"> </w:t>
      </w:r>
      <w:r w:rsidRPr="00D337FA">
        <w:rPr>
          <w:szCs w:val="24"/>
        </w:rPr>
        <w:t>помощь</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нацпроекта.</w:t>
      </w:r>
    </w:p>
    <w:p w:rsidR="00256E85" w:rsidRPr="00D337FA" w:rsidRDefault="00256E85" w:rsidP="00256E85">
      <w:pPr>
        <w:ind w:firstLine="284"/>
        <w:rPr>
          <w:szCs w:val="24"/>
        </w:rPr>
      </w:pPr>
      <w:r w:rsidRPr="00D337FA">
        <w:rPr>
          <w:szCs w:val="24"/>
        </w:rPr>
        <w:t>Важной</w:t>
      </w:r>
      <w:r w:rsidR="006C680D" w:rsidRPr="00D337FA">
        <w:rPr>
          <w:szCs w:val="24"/>
        </w:rPr>
        <w:t xml:space="preserve"> </w:t>
      </w:r>
      <w:r w:rsidRPr="00D337FA">
        <w:rPr>
          <w:szCs w:val="24"/>
        </w:rPr>
        <w:t>проблемой</w:t>
      </w:r>
      <w:r w:rsidR="006C680D" w:rsidRPr="00D337FA">
        <w:rPr>
          <w:szCs w:val="24"/>
        </w:rPr>
        <w:t xml:space="preserve"> </w:t>
      </w:r>
      <w:r w:rsidRPr="00D337FA">
        <w:rPr>
          <w:szCs w:val="24"/>
        </w:rPr>
        <w:t>остаётся</w:t>
      </w:r>
      <w:r w:rsidR="006C680D" w:rsidRPr="00D337FA">
        <w:rPr>
          <w:szCs w:val="24"/>
        </w:rPr>
        <w:t xml:space="preserve"> </w:t>
      </w:r>
      <w:r w:rsidRPr="00D337FA">
        <w:rPr>
          <w:szCs w:val="24"/>
        </w:rPr>
        <w:t>слабое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нефинансовой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Вопреки</w:t>
      </w:r>
      <w:r w:rsidR="006C680D" w:rsidRPr="00D337FA">
        <w:rPr>
          <w:szCs w:val="24"/>
        </w:rPr>
        <w:t xml:space="preserve"> </w:t>
      </w:r>
      <w:r w:rsidRPr="00D337FA">
        <w:rPr>
          <w:szCs w:val="24"/>
        </w:rPr>
        <w:t>заявленному</w:t>
      </w:r>
      <w:r w:rsidR="006C680D" w:rsidRPr="00D337FA">
        <w:rPr>
          <w:szCs w:val="24"/>
        </w:rPr>
        <w:t xml:space="preserve"> </w:t>
      </w:r>
      <w:r w:rsidRPr="00D337FA">
        <w:rPr>
          <w:szCs w:val="24"/>
        </w:rPr>
        <w:t>переходу</w:t>
      </w:r>
      <w:r w:rsidR="006C680D" w:rsidRPr="00D337FA">
        <w:rPr>
          <w:szCs w:val="24"/>
        </w:rPr>
        <w:t xml:space="preserve"> </w:t>
      </w:r>
      <w:r w:rsidRPr="00D337FA">
        <w:rPr>
          <w:szCs w:val="24"/>
        </w:rPr>
        <w:t>к</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экосистемных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предполагающей</w:t>
      </w:r>
      <w:r w:rsidR="006C680D" w:rsidRPr="00D337FA">
        <w:rPr>
          <w:szCs w:val="24"/>
        </w:rPr>
        <w:t xml:space="preserve"> </w:t>
      </w:r>
      <w:r w:rsidRPr="00D337FA">
        <w:rPr>
          <w:szCs w:val="24"/>
        </w:rPr>
        <w:t>включение</w:t>
      </w:r>
      <w:r w:rsidR="006C680D" w:rsidRPr="00D337FA">
        <w:rPr>
          <w:szCs w:val="24"/>
        </w:rPr>
        <w:t xml:space="preserve"> </w:t>
      </w:r>
      <w:r w:rsidRPr="00D337FA">
        <w:rPr>
          <w:szCs w:val="24"/>
        </w:rPr>
        <w:t>в</w:t>
      </w:r>
      <w:r w:rsidR="006C680D" w:rsidRPr="00D337FA">
        <w:rPr>
          <w:szCs w:val="24"/>
        </w:rPr>
        <w:t xml:space="preserve"> </w:t>
      </w:r>
      <w:r w:rsidRPr="00D337FA">
        <w:rPr>
          <w:szCs w:val="24"/>
        </w:rPr>
        <w:t>структуру</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консультационных,</w:t>
      </w:r>
      <w:r w:rsidR="006C680D" w:rsidRPr="00D337FA">
        <w:rPr>
          <w:szCs w:val="24"/>
        </w:rPr>
        <w:t xml:space="preserve"> </w:t>
      </w:r>
      <w:r w:rsidRPr="00D337FA">
        <w:rPr>
          <w:szCs w:val="24"/>
        </w:rPr>
        <w:t>юридических,</w:t>
      </w:r>
      <w:r w:rsidR="006C680D" w:rsidRPr="00D337FA">
        <w:rPr>
          <w:szCs w:val="24"/>
        </w:rPr>
        <w:t xml:space="preserve"> </w:t>
      </w:r>
      <w:r w:rsidRPr="00D337FA">
        <w:rPr>
          <w:szCs w:val="24"/>
        </w:rPr>
        <w:t>бухгалтерских</w:t>
      </w:r>
      <w:r w:rsidR="006C680D" w:rsidRPr="00D337FA">
        <w:rPr>
          <w:szCs w:val="24"/>
        </w:rPr>
        <w:t xml:space="preserve"> </w:t>
      </w:r>
      <w:r w:rsidRPr="00D337FA">
        <w:rPr>
          <w:szCs w:val="24"/>
        </w:rPr>
        <w:t>и</w:t>
      </w:r>
      <w:r w:rsidR="006C680D" w:rsidRPr="00D337FA">
        <w:rPr>
          <w:szCs w:val="24"/>
        </w:rPr>
        <w:t xml:space="preserve"> </w:t>
      </w:r>
      <w:r w:rsidRPr="00D337FA">
        <w:rPr>
          <w:szCs w:val="24"/>
        </w:rPr>
        <w:t>обучающих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большинство</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по-прежнему</w:t>
      </w:r>
      <w:r w:rsidR="006C680D" w:rsidRPr="00D337FA">
        <w:rPr>
          <w:szCs w:val="24"/>
        </w:rPr>
        <w:t xml:space="preserve"> </w:t>
      </w:r>
      <w:r w:rsidRPr="00D337FA">
        <w:rPr>
          <w:szCs w:val="24"/>
        </w:rPr>
        <w:t>сосредоточены</w:t>
      </w:r>
      <w:r w:rsidR="006C680D" w:rsidRPr="00D337FA">
        <w:rPr>
          <w:szCs w:val="24"/>
        </w:rPr>
        <w:t xml:space="preserve"> </w:t>
      </w:r>
      <w:r w:rsidRPr="00D337FA">
        <w:rPr>
          <w:szCs w:val="24"/>
        </w:rPr>
        <w:t>на</w:t>
      </w:r>
      <w:r w:rsidR="006C680D" w:rsidRPr="00D337FA">
        <w:rPr>
          <w:szCs w:val="24"/>
        </w:rPr>
        <w:t xml:space="preserve"> </w:t>
      </w:r>
      <w:r w:rsidRPr="00D337FA">
        <w:rPr>
          <w:szCs w:val="24"/>
        </w:rPr>
        <w:t>предоставлении</w:t>
      </w:r>
      <w:r w:rsidR="006C680D" w:rsidRPr="00D337FA">
        <w:rPr>
          <w:szCs w:val="24"/>
        </w:rPr>
        <w:t xml:space="preserve"> </w:t>
      </w:r>
      <w:r w:rsidRPr="00D337FA">
        <w:rPr>
          <w:szCs w:val="24"/>
        </w:rPr>
        <w:t>стандартных</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В</w:t>
      </w:r>
      <w:r w:rsidR="006C680D" w:rsidRPr="00D337FA">
        <w:rPr>
          <w:szCs w:val="24"/>
        </w:rPr>
        <w:t xml:space="preserve"> </w:t>
      </w:r>
      <w:r w:rsidRPr="00D337FA">
        <w:rPr>
          <w:szCs w:val="24"/>
        </w:rPr>
        <w:t>результате</w:t>
      </w:r>
      <w:r w:rsidR="006C680D" w:rsidRPr="00D337FA">
        <w:rPr>
          <w:szCs w:val="24"/>
        </w:rPr>
        <w:t xml:space="preserve"> </w:t>
      </w:r>
      <w:r w:rsidRPr="00D337FA">
        <w:rPr>
          <w:szCs w:val="24"/>
        </w:rPr>
        <w:t>предприниматели</w:t>
      </w:r>
      <w:r w:rsidR="006C680D" w:rsidRPr="00D337FA">
        <w:rPr>
          <w:szCs w:val="24"/>
        </w:rPr>
        <w:t xml:space="preserve"> </w:t>
      </w:r>
      <w:r w:rsidRPr="00D337FA">
        <w:rPr>
          <w:szCs w:val="24"/>
        </w:rPr>
        <w:t>сталкиваются</w:t>
      </w:r>
      <w:r w:rsidR="006C680D" w:rsidRPr="00D337FA">
        <w:rPr>
          <w:szCs w:val="24"/>
        </w:rPr>
        <w:t xml:space="preserve"> </w:t>
      </w:r>
      <w:r w:rsidRPr="00D337FA">
        <w:rPr>
          <w:szCs w:val="24"/>
        </w:rPr>
        <w:t>с</w:t>
      </w:r>
      <w:r w:rsidR="006C680D" w:rsidRPr="00D337FA">
        <w:rPr>
          <w:szCs w:val="24"/>
        </w:rPr>
        <w:t xml:space="preserve"> </w:t>
      </w:r>
      <w:r w:rsidRPr="00D337FA">
        <w:rPr>
          <w:szCs w:val="24"/>
        </w:rPr>
        <w:t>дефицитом</w:t>
      </w:r>
      <w:r w:rsidR="006C680D" w:rsidRPr="00D337FA">
        <w:rPr>
          <w:szCs w:val="24"/>
        </w:rPr>
        <w:t xml:space="preserve"> </w:t>
      </w:r>
      <w:r w:rsidRPr="00D337FA">
        <w:rPr>
          <w:szCs w:val="24"/>
        </w:rPr>
        <w:t>информационного</w:t>
      </w:r>
      <w:r w:rsidR="006C680D" w:rsidRPr="00D337FA">
        <w:rPr>
          <w:szCs w:val="24"/>
        </w:rPr>
        <w:t xml:space="preserve"> </w:t>
      </w:r>
      <w:r w:rsidRPr="00D337FA">
        <w:rPr>
          <w:szCs w:val="24"/>
        </w:rPr>
        <w:t>сопровождения,</w:t>
      </w:r>
      <w:r w:rsidR="006C680D" w:rsidRPr="00D337FA">
        <w:rPr>
          <w:szCs w:val="24"/>
        </w:rPr>
        <w:t xml:space="preserve"> </w:t>
      </w:r>
      <w:r w:rsidRPr="00D337FA">
        <w:rPr>
          <w:szCs w:val="24"/>
        </w:rPr>
        <w:t>что</w:t>
      </w:r>
      <w:r w:rsidR="006C680D" w:rsidRPr="00D337FA">
        <w:rPr>
          <w:szCs w:val="24"/>
        </w:rPr>
        <w:t xml:space="preserve"> </w:t>
      </w:r>
      <w:r w:rsidRPr="00D337FA">
        <w:rPr>
          <w:szCs w:val="24"/>
        </w:rPr>
        <w:t>ощутимо</w:t>
      </w:r>
      <w:r w:rsidR="006C680D" w:rsidRPr="00D337FA">
        <w:rPr>
          <w:szCs w:val="24"/>
        </w:rPr>
        <w:t xml:space="preserve"> </w:t>
      </w:r>
      <w:r w:rsidRPr="00D337FA">
        <w:rPr>
          <w:szCs w:val="24"/>
        </w:rPr>
        <w:t>на</w:t>
      </w:r>
      <w:r w:rsidR="006C680D" w:rsidRPr="00D337FA">
        <w:rPr>
          <w:szCs w:val="24"/>
        </w:rPr>
        <w:t xml:space="preserve"> </w:t>
      </w:r>
      <w:r w:rsidRPr="00D337FA">
        <w:rPr>
          <w:szCs w:val="24"/>
        </w:rPr>
        <w:t>ранних</w:t>
      </w:r>
      <w:r w:rsidR="006C680D" w:rsidRPr="00D337FA">
        <w:rPr>
          <w:szCs w:val="24"/>
        </w:rPr>
        <w:t xml:space="preserve"> </w:t>
      </w:r>
      <w:r w:rsidRPr="00D337FA">
        <w:rPr>
          <w:szCs w:val="24"/>
        </w:rPr>
        <w:t>этапах</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или</w:t>
      </w:r>
      <w:r w:rsidR="006C680D" w:rsidRPr="00D337FA">
        <w:rPr>
          <w:szCs w:val="24"/>
        </w:rPr>
        <w:t xml:space="preserve"> </w:t>
      </w:r>
      <w:r w:rsidRPr="00D337FA">
        <w:rPr>
          <w:szCs w:val="24"/>
        </w:rPr>
        <w:t>при</w:t>
      </w:r>
      <w:r w:rsidR="006C680D" w:rsidRPr="00D337FA">
        <w:rPr>
          <w:szCs w:val="24"/>
        </w:rPr>
        <w:t xml:space="preserve"> </w:t>
      </w:r>
      <w:r w:rsidRPr="00D337FA">
        <w:rPr>
          <w:szCs w:val="24"/>
        </w:rPr>
        <w:t>вхождении</w:t>
      </w:r>
      <w:r w:rsidR="006C680D" w:rsidRPr="00D337FA">
        <w:rPr>
          <w:szCs w:val="24"/>
        </w:rPr>
        <w:t xml:space="preserve"> </w:t>
      </w:r>
      <w:r w:rsidRPr="00D337FA">
        <w:rPr>
          <w:szCs w:val="24"/>
        </w:rPr>
        <w:t>в</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рыночные</w:t>
      </w:r>
      <w:r w:rsidR="006C680D" w:rsidRPr="00D337FA">
        <w:rPr>
          <w:szCs w:val="24"/>
        </w:rPr>
        <w:t xml:space="preserve"> </w:t>
      </w:r>
      <w:r w:rsidRPr="00D337FA">
        <w:rPr>
          <w:szCs w:val="24"/>
        </w:rPr>
        <w:t>ниши.</w:t>
      </w:r>
    </w:p>
    <w:p w:rsidR="00256E85" w:rsidRPr="00D337FA" w:rsidRDefault="00256E85" w:rsidP="00256E85">
      <w:pPr>
        <w:ind w:firstLine="284"/>
        <w:rPr>
          <w:szCs w:val="24"/>
        </w:rPr>
      </w:pPr>
      <w:r w:rsidRPr="00D337FA">
        <w:rPr>
          <w:szCs w:val="24"/>
        </w:rPr>
        <w:t>Ситуация</w:t>
      </w:r>
      <w:r w:rsidR="006C680D" w:rsidRPr="00D337FA">
        <w:rPr>
          <w:szCs w:val="24"/>
        </w:rPr>
        <w:t xml:space="preserve"> </w:t>
      </w:r>
      <w:r w:rsidRPr="00D337FA">
        <w:rPr>
          <w:szCs w:val="24"/>
        </w:rPr>
        <w:t>осложняется</w:t>
      </w:r>
      <w:r w:rsidR="006C680D" w:rsidRPr="00D337FA">
        <w:rPr>
          <w:szCs w:val="24"/>
        </w:rPr>
        <w:t xml:space="preserve"> </w:t>
      </w:r>
      <w:r w:rsidRPr="00D337FA">
        <w:rPr>
          <w:szCs w:val="24"/>
        </w:rPr>
        <w:t>тем,</w:t>
      </w:r>
      <w:r w:rsidR="006C680D" w:rsidRPr="00D337FA">
        <w:rPr>
          <w:szCs w:val="24"/>
        </w:rPr>
        <w:t xml:space="preserve"> </w:t>
      </w:r>
      <w:r w:rsidRPr="00D337FA">
        <w:rPr>
          <w:szCs w:val="24"/>
        </w:rPr>
        <w:t>что</w:t>
      </w:r>
      <w:r w:rsidR="006C680D" w:rsidRPr="00D337FA">
        <w:rPr>
          <w:szCs w:val="24"/>
        </w:rPr>
        <w:t xml:space="preserve"> </w:t>
      </w:r>
      <w:r w:rsidRPr="00D337FA">
        <w:rPr>
          <w:szCs w:val="24"/>
        </w:rPr>
        <w:t>большинство</w:t>
      </w:r>
      <w:r w:rsidR="006C680D" w:rsidRPr="00D337FA">
        <w:rPr>
          <w:szCs w:val="24"/>
        </w:rPr>
        <w:t xml:space="preserve"> </w:t>
      </w:r>
      <w:r w:rsidRPr="00D337FA">
        <w:rPr>
          <w:szCs w:val="24"/>
        </w:rPr>
        <w:t>предпринимателей,</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в</w:t>
      </w:r>
      <w:r w:rsidR="006C680D" w:rsidRPr="00D337FA">
        <w:rPr>
          <w:szCs w:val="24"/>
        </w:rPr>
        <w:t xml:space="preserve"> </w:t>
      </w:r>
      <w:r w:rsidRPr="00D337FA">
        <w:rPr>
          <w:szCs w:val="24"/>
        </w:rPr>
        <w:t>сегменте</w:t>
      </w:r>
      <w:r w:rsidR="006C680D" w:rsidRPr="00D337FA">
        <w:rPr>
          <w:szCs w:val="24"/>
        </w:rPr>
        <w:t xml:space="preserve"> </w:t>
      </w:r>
      <w:r w:rsidRPr="00D337FA">
        <w:rPr>
          <w:szCs w:val="24"/>
        </w:rPr>
        <w:t>микробизнеса,</w:t>
      </w:r>
      <w:r w:rsidR="006C680D" w:rsidRPr="00D337FA">
        <w:rPr>
          <w:szCs w:val="24"/>
        </w:rPr>
        <w:t xml:space="preserve"> </w:t>
      </w:r>
      <w:r w:rsidRPr="00D337FA">
        <w:rPr>
          <w:szCs w:val="24"/>
        </w:rPr>
        <w:t>не</w:t>
      </w:r>
      <w:r w:rsidR="006C680D" w:rsidRPr="00D337FA">
        <w:rPr>
          <w:szCs w:val="24"/>
        </w:rPr>
        <w:t xml:space="preserve"> </w:t>
      </w:r>
      <w:r w:rsidRPr="00D337FA">
        <w:rPr>
          <w:szCs w:val="24"/>
        </w:rPr>
        <w:t>имеют</w:t>
      </w:r>
      <w:r w:rsidR="006C680D" w:rsidRPr="00D337FA">
        <w:rPr>
          <w:szCs w:val="24"/>
        </w:rPr>
        <w:t xml:space="preserve"> </w:t>
      </w:r>
      <w:r w:rsidRPr="00D337FA">
        <w:rPr>
          <w:szCs w:val="24"/>
        </w:rPr>
        <w:t>доступа</w:t>
      </w:r>
      <w:r w:rsidR="006C680D" w:rsidRPr="00D337FA">
        <w:rPr>
          <w:szCs w:val="24"/>
        </w:rPr>
        <w:t xml:space="preserve"> </w:t>
      </w:r>
      <w:r w:rsidRPr="00D337FA">
        <w:rPr>
          <w:szCs w:val="24"/>
        </w:rPr>
        <w:t>к</w:t>
      </w:r>
      <w:r w:rsidR="006C680D" w:rsidRPr="00D337FA">
        <w:rPr>
          <w:szCs w:val="24"/>
        </w:rPr>
        <w:t xml:space="preserve"> </w:t>
      </w:r>
      <w:r w:rsidRPr="00D337FA">
        <w:rPr>
          <w:szCs w:val="24"/>
        </w:rPr>
        <w:t>квалифицированной</w:t>
      </w:r>
      <w:r w:rsidR="006C680D" w:rsidRPr="00D337FA">
        <w:rPr>
          <w:szCs w:val="24"/>
        </w:rPr>
        <w:t xml:space="preserve"> </w:t>
      </w:r>
      <w:r w:rsidRPr="00D337FA">
        <w:rPr>
          <w:szCs w:val="24"/>
        </w:rPr>
        <w:t>правовой</w:t>
      </w:r>
      <w:r w:rsidR="006C680D" w:rsidRPr="00D337FA">
        <w:rPr>
          <w:szCs w:val="24"/>
        </w:rPr>
        <w:t xml:space="preserve"> </w:t>
      </w:r>
      <w:r w:rsidRPr="00D337FA">
        <w:rPr>
          <w:szCs w:val="24"/>
        </w:rPr>
        <w:t>и</w:t>
      </w:r>
      <w:r w:rsidR="006C680D" w:rsidRPr="00D337FA">
        <w:rPr>
          <w:szCs w:val="24"/>
        </w:rPr>
        <w:t xml:space="preserve"> </w:t>
      </w:r>
      <w:r w:rsidRPr="00D337FA">
        <w:rPr>
          <w:szCs w:val="24"/>
        </w:rPr>
        <w:t>налоговой</w:t>
      </w:r>
      <w:r w:rsidR="006C680D" w:rsidRPr="00D337FA">
        <w:rPr>
          <w:szCs w:val="24"/>
        </w:rPr>
        <w:t xml:space="preserve"> </w:t>
      </w:r>
      <w:r w:rsidRPr="00D337FA">
        <w:rPr>
          <w:szCs w:val="24"/>
        </w:rPr>
        <w:t>консультации</w:t>
      </w:r>
      <w:r w:rsidR="006C680D" w:rsidRPr="00D337FA">
        <w:rPr>
          <w:szCs w:val="24"/>
        </w:rPr>
        <w:t xml:space="preserve"> </w:t>
      </w:r>
      <w:r w:rsidRPr="00D337FA">
        <w:rPr>
          <w:szCs w:val="24"/>
        </w:rPr>
        <w:t>вне</w:t>
      </w:r>
      <w:r w:rsidR="006C680D" w:rsidRPr="00D337FA">
        <w:rPr>
          <w:szCs w:val="24"/>
        </w:rPr>
        <w:t xml:space="preserve"> </w:t>
      </w:r>
      <w:r w:rsidRPr="00D337FA">
        <w:rPr>
          <w:szCs w:val="24"/>
        </w:rPr>
        <w:t>банковской</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Учитывая</w:t>
      </w:r>
      <w:r w:rsidR="006C680D" w:rsidRPr="00D337FA">
        <w:rPr>
          <w:szCs w:val="24"/>
        </w:rPr>
        <w:t xml:space="preserve"> </w:t>
      </w:r>
      <w:r w:rsidRPr="00D337FA">
        <w:rPr>
          <w:szCs w:val="24"/>
        </w:rPr>
        <w:t>нехватку</w:t>
      </w:r>
      <w:r w:rsidR="006C680D" w:rsidRPr="00D337FA">
        <w:rPr>
          <w:szCs w:val="24"/>
        </w:rPr>
        <w:t xml:space="preserve"> </w:t>
      </w:r>
      <w:r w:rsidRPr="00D337FA">
        <w:rPr>
          <w:szCs w:val="24"/>
        </w:rPr>
        <w:t>бесплатных</w:t>
      </w:r>
      <w:r w:rsidR="006C680D" w:rsidRPr="00D337FA">
        <w:rPr>
          <w:szCs w:val="24"/>
        </w:rPr>
        <w:t xml:space="preserve"> </w:t>
      </w:r>
      <w:r w:rsidRPr="00D337FA">
        <w:rPr>
          <w:szCs w:val="24"/>
        </w:rPr>
        <w:t>государственных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в</w:t>
      </w:r>
      <w:r w:rsidR="006C680D" w:rsidRPr="00D337FA">
        <w:rPr>
          <w:szCs w:val="24"/>
        </w:rPr>
        <w:t xml:space="preserve"> </w:t>
      </w:r>
      <w:r w:rsidRPr="00D337FA">
        <w:rPr>
          <w:szCs w:val="24"/>
        </w:rPr>
        <w:t>ряде</w:t>
      </w:r>
      <w:r w:rsidR="006C680D" w:rsidRPr="00D337FA">
        <w:rPr>
          <w:szCs w:val="24"/>
        </w:rPr>
        <w:t xml:space="preserve"> </w:t>
      </w:r>
      <w:r w:rsidRPr="00D337FA">
        <w:rPr>
          <w:szCs w:val="24"/>
        </w:rPr>
        <w:t>регионов,</w:t>
      </w:r>
      <w:r w:rsidR="006C680D" w:rsidRPr="00D337FA">
        <w:rPr>
          <w:szCs w:val="24"/>
        </w:rPr>
        <w:t xml:space="preserve"> </w:t>
      </w:r>
      <w:r w:rsidRPr="00D337FA">
        <w:rPr>
          <w:szCs w:val="24"/>
        </w:rPr>
        <w:t>отсутствие</w:t>
      </w:r>
      <w:r w:rsidR="006C680D" w:rsidRPr="00D337FA">
        <w:rPr>
          <w:szCs w:val="24"/>
        </w:rPr>
        <w:t xml:space="preserve"> </w:t>
      </w:r>
      <w:r w:rsidRPr="00D337FA">
        <w:rPr>
          <w:szCs w:val="24"/>
        </w:rPr>
        <w:t>консалтинга</w:t>
      </w:r>
      <w:r w:rsidR="006C680D" w:rsidRPr="00D337FA">
        <w:rPr>
          <w:szCs w:val="24"/>
        </w:rPr>
        <w:t xml:space="preserve"> </w:t>
      </w:r>
      <w:r w:rsidRPr="00D337FA">
        <w:rPr>
          <w:szCs w:val="24"/>
        </w:rPr>
        <w:t>в</w:t>
      </w:r>
      <w:r w:rsidR="006C680D" w:rsidRPr="00D337FA">
        <w:rPr>
          <w:szCs w:val="24"/>
        </w:rPr>
        <w:t xml:space="preserve"> </w:t>
      </w:r>
      <w:r w:rsidRPr="00D337FA">
        <w:rPr>
          <w:szCs w:val="24"/>
        </w:rPr>
        <w:t>структуре</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снижает</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и</w:t>
      </w:r>
      <w:r w:rsidR="006C680D" w:rsidRPr="00D337FA">
        <w:rPr>
          <w:szCs w:val="24"/>
        </w:rPr>
        <w:t xml:space="preserve"> </w:t>
      </w:r>
      <w:r w:rsidRPr="00D337FA">
        <w:rPr>
          <w:szCs w:val="24"/>
        </w:rPr>
        <w:t>юридической</w:t>
      </w:r>
      <w:r w:rsidR="006C680D" w:rsidRPr="00D337FA">
        <w:rPr>
          <w:szCs w:val="24"/>
        </w:rPr>
        <w:t xml:space="preserve"> </w:t>
      </w:r>
      <w:r w:rsidRPr="00D337FA">
        <w:rPr>
          <w:szCs w:val="24"/>
        </w:rPr>
        <w:t>грамотности</w:t>
      </w:r>
      <w:r w:rsidR="006C680D" w:rsidRPr="00D337FA">
        <w:rPr>
          <w:szCs w:val="24"/>
        </w:rPr>
        <w:t xml:space="preserve"> </w:t>
      </w:r>
      <w:r w:rsidRPr="00D337FA">
        <w:rPr>
          <w:szCs w:val="24"/>
        </w:rPr>
        <w:t>предпринимателей,</w:t>
      </w:r>
      <w:r w:rsidR="006C680D" w:rsidRPr="00D337FA">
        <w:rPr>
          <w:szCs w:val="24"/>
        </w:rPr>
        <w:t xml:space="preserve"> </w:t>
      </w:r>
      <w:r w:rsidRPr="00D337FA">
        <w:rPr>
          <w:szCs w:val="24"/>
        </w:rPr>
        <w:t>повышает</w:t>
      </w:r>
      <w:r w:rsidR="006C680D" w:rsidRPr="00D337FA">
        <w:rPr>
          <w:szCs w:val="24"/>
        </w:rPr>
        <w:t xml:space="preserve"> </w:t>
      </w:r>
      <w:r w:rsidRPr="00D337FA">
        <w:rPr>
          <w:szCs w:val="24"/>
        </w:rPr>
        <w:t>риски</w:t>
      </w:r>
      <w:r w:rsidR="006C680D" w:rsidRPr="00D337FA">
        <w:rPr>
          <w:szCs w:val="24"/>
        </w:rPr>
        <w:t xml:space="preserve"> </w:t>
      </w:r>
      <w:r w:rsidRPr="00D337FA">
        <w:rPr>
          <w:szCs w:val="24"/>
        </w:rPr>
        <w:t>нарушения</w:t>
      </w:r>
      <w:r w:rsidR="006C680D" w:rsidRPr="00D337FA">
        <w:rPr>
          <w:szCs w:val="24"/>
        </w:rPr>
        <w:t xml:space="preserve"> </w:t>
      </w:r>
      <w:r w:rsidRPr="00D337FA">
        <w:rPr>
          <w:szCs w:val="24"/>
        </w:rPr>
        <w:t>обязательств</w:t>
      </w:r>
      <w:r w:rsidR="006C680D" w:rsidRPr="00D337FA">
        <w:rPr>
          <w:szCs w:val="24"/>
        </w:rPr>
        <w:t xml:space="preserve"> </w:t>
      </w:r>
      <w:r w:rsidRPr="00D337FA">
        <w:rPr>
          <w:szCs w:val="24"/>
        </w:rPr>
        <w:t>и</w:t>
      </w:r>
      <w:r w:rsidR="006C680D" w:rsidRPr="00D337FA">
        <w:rPr>
          <w:szCs w:val="24"/>
        </w:rPr>
        <w:t xml:space="preserve"> </w:t>
      </w:r>
      <w:r w:rsidRPr="00D337FA">
        <w:rPr>
          <w:szCs w:val="24"/>
        </w:rPr>
        <w:t>ухудшает</w:t>
      </w:r>
      <w:r w:rsidR="006C680D" w:rsidRPr="00D337FA">
        <w:rPr>
          <w:szCs w:val="24"/>
        </w:rPr>
        <w:t xml:space="preserve"> </w:t>
      </w:r>
      <w:r w:rsidRPr="00D337FA">
        <w:rPr>
          <w:szCs w:val="24"/>
        </w:rPr>
        <w:t>инвестиционный</w:t>
      </w:r>
      <w:r w:rsidR="006C680D" w:rsidRPr="00D337FA">
        <w:rPr>
          <w:szCs w:val="24"/>
        </w:rPr>
        <w:t xml:space="preserve"> </w:t>
      </w:r>
      <w:r w:rsidRPr="00D337FA">
        <w:rPr>
          <w:szCs w:val="24"/>
        </w:rPr>
        <w:t>климат.</w:t>
      </w:r>
    </w:p>
    <w:p w:rsidR="00256E85" w:rsidRPr="00D337FA" w:rsidRDefault="00256E85" w:rsidP="00256E85">
      <w:pPr>
        <w:ind w:firstLine="284"/>
        <w:rPr>
          <w:szCs w:val="24"/>
        </w:rPr>
      </w:pPr>
      <w:r w:rsidRPr="00D337FA">
        <w:rPr>
          <w:szCs w:val="24"/>
        </w:rPr>
        <w:t>За</w:t>
      </w:r>
      <w:r w:rsidR="006C680D" w:rsidRPr="00D337FA">
        <w:rPr>
          <w:szCs w:val="24"/>
        </w:rPr>
        <w:t xml:space="preserve"> </w:t>
      </w:r>
      <w:r w:rsidRPr="00D337FA">
        <w:rPr>
          <w:szCs w:val="24"/>
        </w:rPr>
        <w:t>2024</w:t>
      </w:r>
      <w:r w:rsidR="006C680D" w:rsidRPr="00D337FA">
        <w:rPr>
          <w:szCs w:val="24"/>
        </w:rPr>
        <w:t xml:space="preserve"> </w:t>
      </w:r>
      <w:r w:rsidRPr="00D337FA">
        <w:rPr>
          <w:szCs w:val="24"/>
        </w:rPr>
        <w:t>г.</w:t>
      </w:r>
      <w:r w:rsidR="006C680D" w:rsidRPr="00D337FA">
        <w:rPr>
          <w:szCs w:val="24"/>
        </w:rPr>
        <w:t xml:space="preserve"> </w:t>
      </w:r>
      <w:r w:rsidRPr="00D337FA">
        <w:rPr>
          <w:szCs w:val="24"/>
        </w:rPr>
        <w:t>разница</w:t>
      </w:r>
      <w:r w:rsidR="006C680D" w:rsidRPr="00D337FA">
        <w:rPr>
          <w:szCs w:val="24"/>
        </w:rPr>
        <w:t xml:space="preserve"> </w:t>
      </w:r>
      <w:r w:rsidRPr="00D337FA">
        <w:rPr>
          <w:szCs w:val="24"/>
        </w:rPr>
        <w:t>в</w:t>
      </w:r>
      <w:r w:rsidR="006C680D" w:rsidRPr="00D337FA">
        <w:rPr>
          <w:szCs w:val="24"/>
        </w:rPr>
        <w:t xml:space="preserve"> </w:t>
      </w:r>
      <w:r w:rsidRPr="00D337FA">
        <w:rPr>
          <w:szCs w:val="24"/>
        </w:rPr>
        <w:t>индексе</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удобства</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первым</w:t>
      </w:r>
      <w:r w:rsidR="006C680D" w:rsidRPr="00D337FA">
        <w:rPr>
          <w:szCs w:val="24"/>
        </w:rPr>
        <w:t xml:space="preserve"> </w:t>
      </w:r>
      <w:r w:rsidRPr="00D337FA">
        <w:rPr>
          <w:szCs w:val="24"/>
        </w:rPr>
        <w:t>и</w:t>
      </w:r>
      <w:r w:rsidR="006C680D" w:rsidRPr="00D337FA">
        <w:rPr>
          <w:szCs w:val="24"/>
        </w:rPr>
        <w:t xml:space="preserve"> </w:t>
      </w:r>
      <w:r w:rsidRPr="00D337FA">
        <w:rPr>
          <w:szCs w:val="24"/>
        </w:rPr>
        <w:t>десятым</w:t>
      </w:r>
      <w:r w:rsidR="006C680D" w:rsidRPr="00D337FA">
        <w:rPr>
          <w:szCs w:val="24"/>
        </w:rPr>
        <w:t xml:space="preserve"> </w:t>
      </w:r>
      <w:r w:rsidRPr="00D337FA">
        <w:rPr>
          <w:szCs w:val="24"/>
        </w:rPr>
        <w:t>банком</w:t>
      </w:r>
      <w:r w:rsidR="006C680D" w:rsidRPr="00D337FA">
        <w:rPr>
          <w:szCs w:val="24"/>
        </w:rPr>
        <w:t xml:space="preserve"> </w:t>
      </w:r>
      <w:r w:rsidRPr="00D337FA">
        <w:rPr>
          <w:szCs w:val="24"/>
        </w:rPr>
        <w:t>в</w:t>
      </w:r>
      <w:r w:rsidR="006C680D" w:rsidRPr="00D337FA">
        <w:rPr>
          <w:szCs w:val="24"/>
        </w:rPr>
        <w:t xml:space="preserve"> </w:t>
      </w:r>
      <w:r w:rsidRPr="00D337FA">
        <w:rPr>
          <w:szCs w:val="24"/>
        </w:rPr>
        <w:t>рейтинге</w:t>
      </w:r>
      <w:r w:rsidR="006C680D" w:rsidRPr="00D337FA">
        <w:rPr>
          <w:szCs w:val="24"/>
        </w:rPr>
        <w:t xml:space="preserve"> </w:t>
      </w:r>
      <w:r w:rsidRPr="00D337FA">
        <w:rPr>
          <w:szCs w:val="24"/>
        </w:rPr>
        <w:t>составила</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20</w:t>
      </w:r>
      <w:r w:rsidR="006C680D" w:rsidRPr="00D337FA">
        <w:rPr>
          <w:szCs w:val="24"/>
        </w:rPr>
        <w:t xml:space="preserve"> </w:t>
      </w:r>
      <w:r w:rsidRPr="00D337FA">
        <w:rPr>
          <w:szCs w:val="24"/>
        </w:rPr>
        <w:t>баллов</w:t>
      </w:r>
      <w:r w:rsidR="006C680D" w:rsidRPr="00D337FA">
        <w:rPr>
          <w:szCs w:val="24"/>
        </w:rPr>
        <w:t xml:space="preserve"> </w:t>
      </w:r>
      <w:r w:rsidRPr="00D337FA">
        <w:rPr>
          <w:szCs w:val="24"/>
        </w:rPr>
        <w:t>из</w:t>
      </w:r>
      <w:r w:rsidR="006C680D" w:rsidRPr="00D337FA">
        <w:rPr>
          <w:szCs w:val="24"/>
        </w:rPr>
        <w:t xml:space="preserve"> </w:t>
      </w:r>
      <w:r w:rsidRPr="00D337FA">
        <w:rPr>
          <w:szCs w:val="24"/>
        </w:rPr>
        <w:t>100,</w:t>
      </w:r>
      <w:r w:rsidR="006C680D" w:rsidRPr="00D337FA">
        <w:rPr>
          <w:szCs w:val="24"/>
        </w:rPr>
        <w:t xml:space="preserve"> </w:t>
      </w:r>
      <w:r w:rsidRPr="00D337FA">
        <w:rPr>
          <w:szCs w:val="24"/>
        </w:rPr>
        <w:t>что</w:t>
      </w:r>
      <w:r w:rsidR="006C680D" w:rsidRPr="00D337FA">
        <w:rPr>
          <w:szCs w:val="24"/>
        </w:rPr>
        <w:t xml:space="preserve"> </w:t>
      </w:r>
      <w:r w:rsidRPr="00D337FA">
        <w:rPr>
          <w:szCs w:val="24"/>
        </w:rPr>
        <w:t>говорит</w:t>
      </w:r>
      <w:r w:rsidR="006C680D" w:rsidRPr="00D337FA">
        <w:rPr>
          <w:szCs w:val="24"/>
        </w:rPr>
        <w:t xml:space="preserve"> </w:t>
      </w:r>
      <w:r w:rsidRPr="00D337FA">
        <w:rPr>
          <w:szCs w:val="24"/>
        </w:rPr>
        <w:t>о</w:t>
      </w:r>
      <w:r w:rsidR="006C680D" w:rsidRPr="00D337FA">
        <w:rPr>
          <w:szCs w:val="24"/>
        </w:rPr>
        <w:t xml:space="preserve"> </w:t>
      </w:r>
      <w:r w:rsidRPr="00D337FA">
        <w:rPr>
          <w:szCs w:val="24"/>
        </w:rPr>
        <w:t>неравномерности</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в</w:t>
      </w:r>
      <w:r w:rsidR="006C680D" w:rsidRPr="00D337FA">
        <w:rPr>
          <w:szCs w:val="24"/>
        </w:rPr>
        <w:t xml:space="preserve"> </w:t>
      </w:r>
      <w:r w:rsidRPr="00D337FA">
        <w:rPr>
          <w:szCs w:val="24"/>
        </w:rPr>
        <w:t>сегменте</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[11].</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остро</w:t>
      </w:r>
      <w:r w:rsidR="006C680D" w:rsidRPr="00D337FA">
        <w:rPr>
          <w:szCs w:val="24"/>
        </w:rPr>
        <w:t xml:space="preserve"> </w:t>
      </w:r>
      <w:r w:rsidRPr="00D337FA">
        <w:rPr>
          <w:szCs w:val="24"/>
        </w:rPr>
        <w:t>проблема</w:t>
      </w:r>
      <w:r w:rsidR="006C680D" w:rsidRPr="00D337FA">
        <w:rPr>
          <w:szCs w:val="24"/>
        </w:rPr>
        <w:t xml:space="preserve"> </w:t>
      </w:r>
      <w:r w:rsidRPr="00D337FA">
        <w:rPr>
          <w:szCs w:val="24"/>
        </w:rPr>
        <w:t>проявляется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регионах,</w:t>
      </w:r>
      <w:r w:rsidR="006C680D" w:rsidRPr="00D337FA">
        <w:rPr>
          <w:szCs w:val="24"/>
        </w:rPr>
        <w:t xml:space="preserve"> </w:t>
      </w:r>
      <w:r w:rsidRPr="00D337FA">
        <w:rPr>
          <w:szCs w:val="24"/>
        </w:rPr>
        <w:t>где</w:t>
      </w:r>
      <w:r w:rsidR="006C680D" w:rsidRPr="00D337FA">
        <w:rPr>
          <w:szCs w:val="24"/>
        </w:rPr>
        <w:t xml:space="preserve"> </w:t>
      </w:r>
      <w:r w:rsidRPr="00D337FA">
        <w:rPr>
          <w:szCs w:val="24"/>
        </w:rPr>
        <w:t>предприниматели</w:t>
      </w:r>
      <w:r w:rsidR="006C680D" w:rsidRPr="00D337FA">
        <w:rPr>
          <w:szCs w:val="24"/>
        </w:rPr>
        <w:t xml:space="preserve"> </w:t>
      </w:r>
      <w:r w:rsidRPr="00D337FA">
        <w:rPr>
          <w:szCs w:val="24"/>
        </w:rPr>
        <w:t>нередко</w:t>
      </w:r>
      <w:r w:rsidR="006C680D" w:rsidRPr="00D337FA">
        <w:rPr>
          <w:szCs w:val="24"/>
        </w:rPr>
        <w:t xml:space="preserve"> </w:t>
      </w:r>
      <w:r w:rsidRPr="00D337FA">
        <w:rPr>
          <w:szCs w:val="24"/>
        </w:rPr>
        <w:t>сталкиваются</w:t>
      </w:r>
      <w:r w:rsidR="006C680D" w:rsidRPr="00D337FA">
        <w:rPr>
          <w:szCs w:val="24"/>
        </w:rPr>
        <w:t xml:space="preserve"> </w:t>
      </w:r>
      <w:r w:rsidRPr="00D337FA">
        <w:rPr>
          <w:szCs w:val="24"/>
        </w:rPr>
        <w:t>с</w:t>
      </w:r>
      <w:r w:rsidR="006C680D" w:rsidRPr="00D337FA">
        <w:rPr>
          <w:szCs w:val="24"/>
        </w:rPr>
        <w:t xml:space="preserve"> </w:t>
      </w:r>
      <w:r w:rsidRPr="00D337FA">
        <w:rPr>
          <w:szCs w:val="24"/>
        </w:rPr>
        <w:t>низкой</w:t>
      </w:r>
      <w:r w:rsidR="006C680D" w:rsidRPr="00D337FA">
        <w:rPr>
          <w:szCs w:val="24"/>
        </w:rPr>
        <w:t xml:space="preserve"> </w:t>
      </w:r>
      <w:r w:rsidRPr="00D337FA">
        <w:rPr>
          <w:szCs w:val="24"/>
        </w:rPr>
        <w:t>скоростью</w:t>
      </w:r>
      <w:r w:rsidR="006C680D" w:rsidRPr="00D337FA">
        <w:rPr>
          <w:szCs w:val="24"/>
        </w:rPr>
        <w:t xml:space="preserve"> </w:t>
      </w:r>
      <w:r w:rsidRPr="00D337FA">
        <w:rPr>
          <w:szCs w:val="24"/>
        </w:rPr>
        <w:t>обработки</w:t>
      </w:r>
      <w:r w:rsidR="006C680D" w:rsidRPr="00D337FA">
        <w:rPr>
          <w:szCs w:val="24"/>
        </w:rPr>
        <w:t xml:space="preserve"> </w:t>
      </w:r>
      <w:r w:rsidRPr="00D337FA">
        <w:rPr>
          <w:szCs w:val="24"/>
        </w:rPr>
        <w:t>запросов,</w:t>
      </w:r>
      <w:r w:rsidR="006C680D" w:rsidRPr="00D337FA">
        <w:rPr>
          <w:szCs w:val="24"/>
        </w:rPr>
        <w:t xml:space="preserve"> </w:t>
      </w:r>
      <w:r w:rsidRPr="00D337FA">
        <w:rPr>
          <w:szCs w:val="24"/>
        </w:rPr>
        <w:t>сбоями</w:t>
      </w:r>
      <w:r w:rsidR="006C680D" w:rsidRPr="00D337FA">
        <w:rPr>
          <w:szCs w:val="24"/>
        </w:rPr>
        <w:t xml:space="preserve"> </w:t>
      </w:r>
      <w:r w:rsidRPr="00D337FA">
        <w:rPr>
          <w:szCs w:val="24"/>
        </w:rPr>
        <w:t>в</w:t>
      </w:r>
      <w:r w:rsidR="006C680D" w:rsidRPr="00D337FA">
        <w:rPr>
          <w:szCs w:val="24"/>
        </w:rPr>
        <w:t xml:space="preserve"> </w:t>
      </w:r>
      <w:r w:rsidRPr="00D337FA">
        <w:rPr>
          <w:szCs w:val="24"/>
        </w:rPr>
        <w:t>интерфейсах</w:t>
      </w:r>
      <w:r w:rsidR="006C680D" w:rsidRPr="00D337FA">
        <w:rPr>
          <w:szCs w:val="24"/>
        </w:rPr>
        <w:t xml:space="preserve"> </w:t>
      </w:r>
      <w:r w:rsidRPr="00D337FA">
        <w:rPr>
          <w:szCs w:val="24"/>
        </w:rPr>
        <w:t>онлайн-банков,</w:t>
      </w:r>
      <w:r w:rsidR="006C680D" w:rsidRPr="00D337FA">
        <w:rPr>
          <w:szCs w:val="24"/>
        </w:rPr>
        <w:t xml:space="preserve"> </w:t>
      </w:r>
      <w:r w:rsidRPr="00D337FA">
        <w:rPr>
          <w:szCs w:val="24"/>
        </w:rPr>
        <w:t>отсутствием</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с</w:t>
      </w:r>
      <w:r w:rsidR="006C680D" w:rsidRPr="00D337FA">
        <w:rPr>
          <w:szCs w:val="24"/>
        </w:rPr>
        <w:t xml:space="preserve"> </w:t>
      </w:r>
      <w:r w:rsidRPr="00D337FA">
        <w:rPr>
          <w:szCs w:val="24"/>
        </w:rPr>
        <w:t>внешними</w:t>
      </w:r>
      <w:r w:rsidR="006C680D" w:rsidRPr="00D337FA">
        <w:rPr>
          <w:szCs w:val="24"/>
        </w:rPr>
        <w:t xml:space="preserve"> </w:t>
      </w:r>
      <w:r w:rsidRPr="00D337FA">
        <w:rPr>
          <w:szCs w:val="24"/>
        </w:rPr>
        <w:t>платформами</w:t>
      </w:r>
      <w:r w:rsidR="006C680D" w:rsidRPr="00D337FA">
        <w:rPr>
          <w:szCs w:val="24"/>
        </w:rPr>
        <w:t xml:space="preserve"> </w:t>
      </w:r>
      <w:r w:rsidRPr="00D337FA">
        <w:rPr>
          <w:szCs w:val="24"/>
        </w:rPr>
        <w:t>и</w:t>
      </w:r>
      <w:r w:rsidR="006C680D" w:rsidRPr="00D337FA">
        <w:rPr>
          <w:szCs w:val="24"/>
        </w:rPr>
        <w:t xml:space="preserve"> </w:t>
      </w:r>
      <w:r w:rsidRPr="00D337FA">
        <w:rPr>
          <w:szCs w:val="24"/>
        </w:rPr>
        <w:t>невозможностью</w:t>
      </w:r>
      <w:r w:rsidR="006C680D" w:rsidRPr="00D337FA">
        <w:rPr>
          <w:szCs w:val="24"/>
        </w:rPr>
        <w:t xml:space="preserve"> </w:t>
      </w:r>
      <w:r w:rsidRPr="00D337FA">
        <w:rPr>
          <w:szCs w:val="24"/>
        </w:rPr>
        <w:t>удалённого</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нестандартных</w:t>
      </w:r>
      <w:r w:rsidR="006C680D" w:rsidRPr="00D337FA">
        <w:rPr>
          <w:szCs w:val="24"/>
        </w:rPr>
        <w:t xml:space="preserve"> </w:t>
      </w:r>
      <w:r w:rsidRPr="00D337FA">
        <w:rPr>
          <w:szCs w:val="24"/>
        </w:rPr>
        <w:t>вопросов.</w:t>
      </w:r>
      <w:r w:rsidR="006C680D" w:rsidRPr="00D337FA">
        <w:rPr>
          <w:szCs w:val="24"/>
        </w:rPr>
        <w:t xml:space="preserve"> </w:t>
      </w:r>
    </w:p>
    <w:p w:rsidR="00256E85" w:rsidRPr="00D337FA" w:rsidRDefault="00256E85" w:rsidP="00256E85">
      <w:pPr>
        <w:ind w:firstLine="284"/>
        <w:rPr>
          <w:szCs w:val="24"/>
        </w:rPr>
      </w:pPr>
      <w:r w:rsidRPr="00D337FA">
        <w:rPr>
          <w:szCs w:val="24"/>
        </w:rPr>
        <w:t>В</w:t>
      </w:r>
      <w:r w:rsidR="006C680D" w:rsidRPr="00D337FA">
        <w:rPr>
          <w:szCs w:val="24"/>
        </w:rPr>
        <w:t xml:space="preserve"> </w:t>
      </w:r>
      <w:r w:rsidRPr="00D337FA">
        <w:rPr>
          <w:szCs w:val="24"/>
        </w:rPr>
        <w:t>табл.</w:t>
      </w:r>
      <w:r w:rsidR="006C680D" w:rsidRPr="00D337FA">
        <w:rPr>
          <w:szCs w:val="24"/>
        </w:rPr>
        <w:t xml:space="preserve"> </w:t>
      </w:r>
      <w:r w:rsidRPr="00D337FA">
        <w:rPr>
          <w:szCs w:val="24"/>
        </w:rPr>
        <w:t>3</w:t>
      </w:r>
      <w:r w:rsidR="006C680D" w:rsidRPr="00D337FA">
        <w:rPr>
          <w:szCs w:val="24"/>
        </w:rPr>
        <w:t xml:space="preserve"> </w:t>
      </w:r>
      <w:r w:rsidRPr="00D337FA">
        <w:rPr>
          <w:szCs w:val="24"/>
        </w:rPr>
        <w:t>указаны</w:t>
      </w:r>
      <w:r w:rsidR="006C680D" w:rsidRPr="00D337FA">
        <w:rPr>
          <w:szCs w:val="24"/>
        </w:rPr>
        <w:t xml:space="preserve"> </w:t>
      </w:r>
      <w:r w:rsidRPr="00D337FA">
        <w:rPr>
          <w:szCs w:val="24"/>
        </w:rPr>
        <w:t>различия</w:t>
      </w:r>
      <w:r w:rsidR="006C680D" w:rsidRPr="00D337FA">
        <w:rPr>
          <w:szCs w:val="24"/>
        </w:rPr>
        <w:t xml:space="preserve"> </w:t>
      </w:r>
      <w:r w:rsidRPr="00D337FA">
        <w:rPr>
          <w:szCs w:val="24"/>
        </w:rPr>
        <w:t>по</w:t>
      </w:r>
      <w:r w:rsidR="006C680D" w:rsidRPr="00D337FA">
        <w:rPr>
          <w:szCs w:val="24"/>
        </w:rPr>
        <w:t xml:space="preserve"> </w:t>
      </w:r>
      <w:r w:rsidRPr="00D337FA">
        <w:rPr>
          <w:szCs w:val="24"/>
        </w:rPr>
        <w:t>уровню</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нефинансовых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в</w:t>
      </w:r>
      <w:r w:rsidR="006C680D" w:rsidRPr="00D337FA">
        <w:rPr>
          <w:szCs w:val="24"/>
        </w:rPr>
        <w:t xml:space="preserve"> </w:t>
      </w:r>
      <w:r w:rsidRPr="00D337FA">
        <w:rPr>
          <w:szCs w:val="24"/>
        </w:rPr>
        <w:t>некоторых</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значимых</w:t>
      </w:r>
      <w:r w:rsidR="006C680D" w:rsidRPr="00D337FA">
        <w:rPr>
          <w:szCs w:val="24"/>
        </w:rPr>
        <w:t xml:space="preserve"> </w:t>
      </w:r>
      <w:r w:rsidRPr="00D337FA">
        <w:rPr>
          <w:szCs w:val="24"/>
        </w:rPr>
        <w:t>банках.</w:t>
      </w:r>
      <w:r w:rsidR="006C680D" w:rsidRPr="00D337FA">
        <w:rPr>
          <w:szCs w:val="24"/>
        </w:rPr>
        <w:t xml:space="preserve"> </w:t>
      </w:r>
    </w:p>
    <w:p w:rsidR="00256E85" w:rsidRPr="00D337FA" w:rsidRDefault="00256E85" w:rsidP="00FB2463">
      <w:pPr>
        <w:tabs>
          <w:tab w:val="center" w:pos="4677"/>
        </w:tabs>
        <w:ind w:firstLine="0"/>
        <w:jc w:val="right"/>
        <w:rPr>
          <w:rFonts w:ascii="Arial CYR" w:hAnsi="Arial CYR" w:cs="Arial CYR"/>
          <w:b/>
          <w:bCs/>
          <w:i/>
          <w:iCs/>
          <w:caps/>
          <w:szCs w:val="24"/>
          <w:u w:val="single"/>
          <w:lang w:eastAsia="ru-RU"/>
        </w:rPr>
        <w:sectPr w:rsidR="00256E85" w:rsidRPr="00D337FA" w:rsidSect="00256E85">
          <w:footnotePr>
            <w:numRestart w:val="eachPage"/>
          </w:footnotePr>
          <w:type w:val="continuous"/>
          <w:pgSz w:w="11907" w:h="16840" w:code="9"/>
          <w:pgMar w:top="1418" w:right="1134" w:bottom="1418" w:left="1134" w:header="1021" w:footer="1021" w:gutter="0"/>
          <w:cols w:num="2" w:space="708"/>
          <w:docGrid w:linePitch="360"/>
        </w:sectPr>
      </w:pPr>
    </w:p>
    <w:p w:rsidR="00B706E9" w:rsidRPr="00D337FA" w:rsidRDefault="00B706E9" w:rsidP="00FB2463">
      <w:pPr>
        <w:tabs>
          <w:tab w:val="center" w:pos="4677"/>
        </w:tabs>
        <w:ind w:firstLine="0"/>
        <w:jc w:val="right"/>
        <w:rPr>
          <w:rFonts w:ascii="Arial CYR" w:hAnsi="Arial CYR" w:cs="Arial CYR"/>
          <w:b/>
          <w:bCs/>
          <w:i/>
          <w:iCs/>
          <w:caps/>
          <w:szCs w:val="24"/>
          <w:u w:val="single"/>
          <w:lang w:eastAsia="ru-RU"/>
        </w:rPr>
      </w:pPr>
    </w:p>
    <w:p w:rsidR="00E70CAD" w:rsidRPr="00D337FA" w:rsidRDefault="00E70CAD" w:rsidP="00E70CAD">
      <w:pPr>
        <w:jc w:val="right"/>
        <w:rPr>
          <w:rFonts w:ascii="Arial" w:hAnsi="Arial" w:cs="Arial"/>
          <w:i/>
          <w:sz w:val="22"/>
          <w:szCs w:val="22"/>
        </w:rPr>
      </w:pPr>
      <w:r w:rsidRPr="00D337FA">
        <w:rPr>
          <w:rFonts w:ascii="Arial" w:hAnsi="Arial" w:cs="Arial"/>
          <w:i/>
          <w:sz w:val="22"/>
          <w:szCs w:val="22"/>
        </w:rPr>
        <w:lastRenderedPageBreak/>
        <w:t>Таблица</w:t>
      </w:r>
      <w:r w:rsidR="006C680D" w:rsidRPr="00D337FA">
        <w:rPr>
          <w:rFonts w:ascii="Arial" w:hAnsi="Arial" w:cs="Arial"/>
          <w:i/>
          <w:sz w:val="22"/>
          <w:szCs w:val="22"/>
        </w:rPr>
        <w:t xml:space="preserve"> </w:t>
      </w:r>
      <w:r w:rsidRPr="00D337FA">
        <w:rPr>
          <w:rFonts w:ascii="Arial" w:hAnsi="Arial" w:cs="Arial"/>
          <w:i/>
          <w:sz w:val="22"/>
          <w:szCs w:val="22"/>
        </w:rPr>
        <w:t>3</w:t>
      </w:r>
    </w:p>
    <w:p w:rsidR="00E70CAD" w:rsidRPr="00D337FA" w:rsidRDefault="00E70CAD" w:rsidP="00E70CAD">
      <w:pPr>
        <w:jc w:val="center"/>
        <w:rPr>
          <w:rFonts w:ascii="Arial" w:hAnsi="Arial" w:cs="Arial"/>
          <w:i/>
          <w:sz w:val="22"/>
          <w:szCs w:val="22"/>
        </w:rPr>
      </w:pPr>
      <w:r w:rsidRPr="00D337FA">
        <w:rPr>
          <w:rFonts w:ascii="Arial" w:hAnsi="Arial" w:cs="Arial"/>
          <w:i/>
          <w:sz w:val="22"/>
          <w:szCs w:val="22"/>
        </w:rPr>
        <w:t>Наличие</w:t>
      </w:r>
      <w:r w:rsidR="006C680D" w:rsidRPr="00D337FA">
        <w:rPr>
          <w:rFonts w:ascii="Arial" w:hAnsi="Arial" w:cs="Arial"/>
          <w:i/>
          <w:sz w:val="22"/>
          <w:szCs w:val="22"/>
        </w:rPr>
        <w:t xml:space="preserve"> </w:t>
      </w:r>
      <w:r w:rsidRPr="00D337FA">
        <w:rPr>
          <w:rFonts w:ascii="Arial" w:hAnsi="Arial" w:cs="Arial"/>
          <w:i/>
          <w:sz w:val="22"/>
          <w:szCs w:val="22"/>
        </w:rPr>
        <w:t>нефинансовых</w:t>
      </w:r>
      <w:r w:rsidR="006C680D" w:rsidRPr="00D337FA">
        <w:rPr>
          <w:rFonts w:ascii="Arial" w:hAnsi="Arial" w:cs="Arial"/>
          <w:i/>
          <w:sz w:val="22"/>
          <w:szCs w:val="22"/>
        </w:rPr>
        <w:t xml:space="preserve"> </w:t>
      </w:r>
      <w:r w:rsidRPr="00D337FA">
        <w:rPr>
          <w:rFonts w:ascii="Arial" w:hAnsi="Arial" w:cs="Arial"/>
          <w:i/>
          <w:sz w:val="22"/>
          <w:szCs w:val="22"/>
        </w:rPr>
        <w:t>и</w:t>
      </w:r>
      <w:r w:rsidR="006C680D" w:rsidRPr="00D337FA">
        <w:rPr>
          <w:rFonts w:ascii="Arial" w:hAnsi="Arial" w:cs="Arial"/>
          <w:i/>
          <w:sz w:val="22"/>
          <w:szCs w:val="22"/>
        </w:rPr>
        <w:t xml:space="preserve"> </w:t>
      </w:r>
      <w:r w:rsidRPr="00D337FA">
        <w:rPr>
          <w:rFonts w:ascii="Arial" w:hAnsi="Arial" w:cs="Arial"/>
          <w:i/>
          <w:sz w:val="22"/>
          <w:szCs w:val="22"/>
        </w:rPr>
        <w:t>цифровых</w:t>
      </w:r>
      <w:r w:rsidR="006C680D" w:rsidRPr="00D337FA">
        <w:rPr>
          <w:rFonts w:ascii="Arial" w:hAnsi="Arial" w:cs="Arial"/>
          <w:i/>
          <w:sz w:val="22"/>
          <w:szCs w:val="22"/>
        </w:rPr>
        <w:t xml:space="preserve"> </w:t>
      </w:r>
      <w:r w:rsidRPr="00D337FA">
        <w:rPr>
          <w:rFonts w:ascii="Arial" w:hAnsi="Arial" w:cs="Arial"/>
          <w:i/>
          <w:sz w:val="22"/>
          <w:szCs w:val="22"/>
        </w:rPr>
        <w:t>сервисов</w:t>
      </w:r>
      <w:r w:rsidR="006C680D" w:rsidRPr="00D337FA">
        <w:rPr>
          <w:rFonts w:ascii="Arial" w:hAnsi="Arial" w:cs="Arial"/>
          <w:i/>
          <w:sz w:val="22"/>
          <w:szCs w:val="22"/>
        </w:rPr>
        <w:t xml:space="preserve"> </w:t>
      </w:r>
      <w:r w:rsidRPr="00D337FA">
        <w:rPr>
          <w:rFonts w:ascii="Arial" w:hAnsi="Arial" w:cs="Arial"/>
          <w:i/>
          <w:sz w:val="22"/>
          <w:szCs w:val="22"/>
        </w:rPr>
        <w:t>для</w:t>
      </w:r>
      <w:r w:rsidR="006C680D" w:rsidRPr="00D337FA">
        <w:rPr>
          <w:rFonts w:ascii="Arial" w:hAnsi="Arial" w:cs="Arial"/>
          <w:i/>
          <w:sz w:val="22"/>
          <w:szCs w:val="22"/>
        </w:rPr>
        <w:t xml:space="preserve"> </w:t>
      </w:r>
      <w:r w:rsidRPr="00D337FA">
        <w:rPr>
          <w:rFonts w:ascii="Arial" w:hAnsi="Arial" w:cs="Arial"/>
          <w:i/>
          <w:sz w:val="22"/>
          <w:szCs w:val="22"/>
        </w:rPr>
        <w:t>малого</w:t>
      </w:r>
      <w:r w:rsidR="006C680D" w:rsidRPr="00D337FA">
        <w:rPr>
          <w:rFonts w:ascii="Arial" w:hAnsi="Arial" w:cs="Arial"/>
          <w:i/>
          <w:sz w:val="22"/>
          <w:szCs w:val="22"/>
        </w:rPr>
        <w:t xml:space="preserve"> </w:t>
      </w:r>
      <w:r w:rsidRPr="00D337FA">
        <w:rPr>
          <w:rFonts w:ascii="Arial" w:hAnsi="Arial" w:cs="Arial"/>
          <w:i/>
          <w:sz w:val="22"/>
          <w:szCs w:val="22"/>
        </w:rPr>
        <w:t>бизнеса</w:t>
      </w:r>
      <w:r w:rsidR="006C680D" w:rsidRPr="00D337FA">
        <w:rPr>
          <w:rFonts w:ascii="Arial" w:hAnsi="Arial" w:cs="Arial"/>
          <w:i/>
          <w:sz w:val="22"/>
          <w:szCs w:val="22"/>
        </w:rPr>
        <w:t xml:space="preserve"> </w:t>
      </w:r>
      <w:r w:rsidRPr="00D337FA">
        <w:rPr>
          <w:rFonts w:ascii="Arial" w:hAnsi="Arial" w:cs="Arial"/>
          <w:i/>
          <w:sz w:val="22"/>
          <w:szCs w:val="22"/>
        </w:rPr>
        <w:t>в</w:t>
      </w:r>
      <w:r w:rsidR="006C680D" w:rsidRPr="00D337FA">
        <w:rPr>
          <w:rFonts w:ascii="Arial" w:hAnsi="Arial" w:cs="Arial"/>
          <w:i/>
          <w:sz w:val="22"/>
          <w:szCs w:val="22"/>
        </w:rPr>
        <w:t xml:space="preserve"> </w:t>
      </w:r>
      <w:r w:rsidRPr="00D337FA">
        <w:rPr>
          <w:rFonts w:ascii="Arial" w:hAnsi="Arial" w:cs="Arial"/>
          <w:i/>
          <w:sz w:val="22"/>
          <w:szCs w:val="22"/>
        </w:rPr>
        <w:t>некоторых</w:t>
      </w:r>
      <w:r w:rsidR="006C680D" w:rsidRPr="00D337FA">
        <w:rPr>
          <w:rFonts w:ascii="Arial" w:hAnsi="Arial" w:cs="Arial"/>
          <w:i/>
          <w:sz w:val="22"/>
          <w:szCs w:val="22"/>
        </w:rPr>
        <w:t xml:space="preserve"> </w:t>
      </w:r>
      <w:r w:rsidRPr="00D337FA">
        <w:rPr>
          <w:rFonts w:ascii="Arial" w:hAnsi="Arial" w:cs="Arial"/>
          <w:i/>
          <w:sz w:val="22"/>
          <w:szCs w:val="22"/>
        </w:rPr>
        <w:t>системно</w:t>
      </w:r>
      <w:r w:rsidR="006C680D" w:rsidRPr="00D337FA">
        <w:rPr>
          <w:rFonts w:ascii="Arial" w:hAnsi="Arial" w:cs="Arial"/>
          <w:i/>
          <w:sz w:val="22"/>
          <w:szCs w:val="22"/>
        </w:rPr>
        <w:t xml:space="preserve"> </w:t>
      </w:r>
      <w:r w:rsidRPr="00D337FA">
        <w:rPr>
          <w:rFonts w:ascii="Arial" w:hAnsi="Arial" w:cs="Arial"/>
          <w:i/>
          <w:sz w:val="22"/>
          <w:szCs w:val="22"/>
        </w:rPr>
        <w:t>значимых</w:t>
      </w:r>
      <w:r w:rsidR="006C680D" w:rsidRPr="00D337FA">
        <w:rPr>
          <w:rFonts w:ascii="Arial" w:hAnsi="Arial" w:cs="Arial"/>
          <w:i/>
          <w:sz w:val="22"/>
          <w:szCs w:val="22"/>
        </w:rPr>
        <w:t xml:space="preserve"> </w:t>
      </w:r>
      <w:r w:rsidRPr="00D337FA">
        <w:rPr>
          <w:rFonts w:ascii="Arial" w:hAnsi="Arial" w:cs="Arial"/>
          <w:i/>
          <w:sz w:val="22"/>
          <w:szCs w:val="22"/>
        </w:rPr>
        <w:t>банках</w:t>
      </w:r>
    </w:p>
    <w:tbl>
      <w:tblPr>
        <w:tblStyle w:val="afa"/>
        <w:tblW w:w="0" w:type="auto"/>
        <w:tblLook w:val="04A0" w:firstRow="1" w:lastRow="0" w:firstColumn="1" w:lastColumn="0" w:noHBand="0" w:noVBand="1"/>
      </w:tblPr>
      <w:tblGrid>
        <w:gridCol w:w="1852"/>
        <w:gridCol w:w="1869"/>
        <w:gridCol w:w="1293"/>
        <w:gridCol w:w="1457"/>
        <w:gridCol w:w="1522"/>
        <w:gridCol w:w="1862"/>
      </w:tblGrid>
      <w:tr w:rsidR="00D337FA" w:rsidRPr="00A53D60" w:rsidTr="00E70CAD">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Банк</w:t>
            </w:r>
          </w:p>
        </w:tc>
        <w:tc>
          <w:tcPr>
            <w:tcW w:w="1869"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Онлайн-консультации</w:t>
            </w:r>
          </w:p>
        </w:tc>
        <w:tc>
          <w:tcPr>
            <w:tcW w:w="1293"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Обучающие</w:t>
            </w:r>
            <w:r w:rsidR="006C680D" w:rsidRPr="00A53D60">
              <w:rPr>
                <w:rFonts w:eastAsia="Times New Roman"/>
                <w:sz w:val="20"/>
                <w:szCs w:val="20"/>
                <w:lang w:eastAsia="ru-RU"/>
              </w:rPr>
              <w:t xml:space="preserve"> </w:t>
            </w:r>
            <w:r w:rsidRPr="00A53D60">
              <w:rPr>
                <w:rFonts w:eastAsia="Times New Roman"/>
                <w:sz w:val="20"/>
                <w:szCs w:val="20"/>
                <w:lang w:eastAsia="ru-RU"/>
              </w:rPr>
              <w:t>сервисы</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Интеграция</w:t>
            </w:r>
            <w:r w:rsidR="006C680D" w:rsidRPr="00A53D60">
              <w:rPr>
                <w:rFonts w:eastAsia="Times New Roman"/>
                <w:sz w:val="20"/>
                <w:szCs w:val="20"/>
                <w:lang w:eastAsia="ru-RU"/>
              </w:rPr>
              <w:t xml:space="preserve"> </w:t>
            </w:r>
            <w:r w:rsidRPr="00A53D60">
              <w:rPr>
                <w:rFonts w:eastAsia="Times New Roman"/>
                <w:sz w:val="20"/>
                <w:szCs w:val="20"/>
                <w:lang w:eastAsia="ru-RU"/>
              </w:rPr>
              <w:t>с</w:t>
            </w:r>
            <w:r w:rsidR="006C680D" w:rsidRPr="00A53D60">
              <w:rPr>
                <w:rFonts w:eastAsia="Times New Roman"/>
                <w:sz w:val="20"/>
                <w:szCs w:val="20"/>
                <w:lang w:eastAsia="ru-RU"/>
              </w:rPr>
              <w:t xml:space="preserve"> </w:t>
            </w:r>
            <w:r w:rsidRPr="00A53D60">
              <w:rPr>
                <w:rFonts w:eastAsia="Times New Roman"/>
                <w:sz w:val="20"/>
                <w:szCs w:val="20"/>
                <w:lang w:eastAsia="ru-RU"/>
              </w:rPr>
              <w:t>1С/CRM</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Мобильное</w:t>
            </w:r>
            <w:r w:rsidR="006C680D" w:rsidRPr="00A53D60">
              <w:rPr>
                <w:rFonts w:eastAsia="Times New Roman"/>
                <w:sz w:val="20"/>
                <w:szCs w:val="20"/>
                <w:lang w:eastAsia="ru-RU"/>
              </w:rPr>
              <w:t xml:space="preserve"> </w:t>
            </w:r>
            <w:r w:rsidRPr="00A53D60">
              <w:rPr>
                <w:rFonts w:eastAsia="Times New Roman"/>
                <w:sz w:val="20"/>
                <w:szCs w:val="20"/>
                <w:lang w:eastAsia="ru-RU"/>
              </w:rPr>
              <w:t>приложение</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Индекс</w:t>
            </w:r>
            <w:r w:rsidR="006C680D" w:rsidRPr="00A53D60">
              <w:rPr>
                <w:rFonts w:eastAsia="Times New Roman"/>
                <w:sz w:val="20"/>
                <w:szCs w:val="20"/>
                <w:lang w:eastAsia="ru-RU"/>
              </w:rPr>
              <w:t xml:space="preserve"> </w:t>
            </w:r>
            <w:r w:rsidRPr="00A53D60">
              <w:rPr>
                <w:rFonts w:eastAsia="Times New Roman"/>
                <w:sz w:val="20"/>
                <w:szCs w:val="20"/>
                <w:lang w:eastAsia="ru-RU"/>
              </w:rPr>
              <w:t>цифрового</w:t>
            </w:r>
            <w:r w:rsidR="006C680D" w:rsidRPr="00A53D60">
              <w:rPr>
                <w:rFonts w:eastAsia="Times New Roman"/>
                <w:sz w:val="20"/>
                <w:szCs w:val="20"/>
                <w:lang w:eastAsia="ru-RU"/>
              </w:rPr>
              <w:t xml:space="preserve"> </w:t>
            </w:r>
            <w:r w:rsidRPr="00A53D60">
              <w:rPr>
                <w:rFonts w:eastAsia="Times New Roman"/>
                <w:sz w:val="20"/>
                <w:szCs w:val="20"/>
                <w:lang w:eastAsia="ru-RU"/>
              </w:rPr>
              <w:t>опыта</w:t>
            </w:r>
            <w:r w:rsidR="006C680D" w:rsidRPr="00A53D60">
              <w:rPr>
                <w:rFonts w:eastAsia="Times New Roman"/>
                <w:sz w:val="20"/>
                <w:szCs w:val="20"/>
                <w:lang w:eastAsia="ru-RU"/>
              </w:rPr>
              <w:t xml:space="preserve"> </w:t>
            </w:r>
            <w:r w:rsidRPr="00A53D60">
              <w:rPr>
                <w:rFonts w:eastAsia="Times New Roman"/>
                <w:sz w:val="20"/>
                <w:szCs w:val="20"/>
                <w:lang w:eastAsia="ru-RU"/>
              </w:rPr>
              <w:t>(Markswebb)</w:t>
            </w:r>
          </w:p>
        </w:tc>
      </w:tr>
      <w:tr w:rsidR="00D337FA" w:rsidRPr="00A53D60" w:rsidTr="00E70CAD">
        <w:tc>
          <w:tcPr>
            <w:tcW w:w="0" w:type="auto"/>
            <w:hideMark/>
          </w:tcPr>
          <w:p w:rsidR="00E70CAD" w:rsidRPr="00A53D60" w:rsidRDefault="00E70CAD" w:rsidP="00E70CAD">
            <w:pPr>
              <w:ind w:firstLine="0"/>
              <w:rPr>
                <w:rFonts w:eastAsia="Times New Roman"/>
                <w:sz w:val="20"/>
                <w:szCs w:val="20"/>
                <w:lang w:eastAsia="ru-RU"/>
              </w:rPr>
            </w:pPr>
            <w:r w:rsidRPr="00A53D60">
              <w:rPr>
                <w:rFonts w:eastAsia="Times New Roman"/>
                <w:sz w:val="20"/>
                <w:szCs w:val="20"/>
                <w:lang w:eastAsia="ru-RU"/>
              </w:rPr>
              <w:t>ПАО</w:t>
            </w:r>
            <w:r w:rsidR="006C680D" w:rsidRPr="00A53D60">
              <w:rPr>
                <w:rFonts w:eastAsia="Times New Roman"/>
                <w:sz w:val="20"/>
                <w:szCs w:val="20"/>
                <w:lang w:eastAsia="ru-RU"/>
              </w:rPr>
              <w:t xml:space="preserve"> </w:t>
            </w:r>
            <w:r w:rsidRPr="00A53D60">
              <w:rPr>
                <w:rFonts w:eastAsia="Times New Roman"/>
                <w:sz w:val="20"/>
                <w:szCs w:val="20"/>
                <w:lang w:eastAsia="ru-RU"/>
              </w:rPr>
              <w:t>Сбербанк</w:t>
            </w:r>
          </w:p>
        </w:tc>
        <w:tc>
          <w:tcPr>
            <w:tcW w:w="1869"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1293"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76,8</w:t>
            </w:r>
            <w:r w:rsidR="006C680D" w:rsidRPr="00A53D60">
              <w:rPr>
                <w:rFonts w:eastAsia="Times New Roman"/>
                <w:sz w:val="20"/>
                <w:szCs w:val="20"/>
                <w:lang w:eastAsia="ru-RU"/>
              </w:rPr>
              <w:t xml:space="preserve"> </w:t>
            </w:r>
            <w:r w:rsidRPr="00A53D60">
              <w:rPr>
                <w:rFonts w:eastAsia="Times New Roman"/>
                <w:sz w:val="20"/>
                <w:szCs w:val="20"/>
                <w:lang w:eastAsia="ru-RU"/>
              </w:rPr>
              <w:t>/</w:t>
            </w:r>
            <w:r w:rsidR="006C680D" w:rsidRPr="00A53D60">
              <w:rPr>
                <w:rFonts w:eastAsia="Times New Roman"/>
                <w:sz w:val="20"/>
                <w:szCs w:val="20"/>
                <w:lang w:eastAsia="ru-RU"/>
              </w:rPr>
              <w:t xml:space="preserve"> </w:t>
            </w:r>
            <w:r w:rsidRPr="00A53D60">
              <w:rPr>
                <w:rFonts w:eastAsia="Times New Roman"/>
                <w:sz w:val="20"/>
                <w:szCs w:val="20"/>
                <w:lang w:eastAsia="ru-RU"/>
              </w:rPr>
              <w:t>100</w:t>
            </w:r>
          </w:p>
        </w:tc>
      </w:tr>
      <w:tr w:rsidR="00D337FA" w:rsidRPr="00A53D60" w:rsidTr="00E70CAD">
        <w:tc>
          <w:tcPr>
            <w:tcW w:w="0" w:type="auto"/>
            <w:hideMark/>
          </w:tcPr>
          <w:p w:rsidR="00E70CAD" w:rsidRPr="00A53D60" w:rsidRDefault="00E70CAD" w:rsidP="00E70CAD">
            <w:pPr>
              <w:ind w:firstLine="0"/>
              <w:rPr>
                <w:rFonts w:eastAsia="Times New Roman"/>
                <w:sz w:val="20"/>
                <w:szCs w:val="20"/>
                <w:lang w:eastAsia="ru-RU"/>
              </w:rPr>
            </w:pPr>
            <w:r w:rsidRPr="00A53D60">
              <w:rPr>
                <w:rFonts w:eastAsia="Times New Roman"/>
                <w:sz w:val="20"/>
                <w:szCs w:val="20"/>
                <w:lang w:eastAsia="ru-RU"/>
              </w:rPr>
              <w:t>АО</w:t>
            </w:r>
            <w:r w:rsidR="006C680D" w:rsidRPr="00A53D60">
              <w:rPr>
                <w:rFonts w:eastAsia="Times New Roman"/>
                <w:sz w:val="20"/>
                <w:szCs w:val="20"/>
                <w:lang w:eastAsia="ru-RU"/>
              </w:rPr>
              <w:t xml:space="preserve"> </w:t>
            </w:r>
            <w:r w:rsidRPr="00A53D60">
              <w:rPr>
                <w:rFonts w:eastAsia="Times New Roman"/>
                <w:sz w:val="20"/>
                <w:szCs w:val="20"/>
                <w:lang w:eastAsia="ru-RU"/>
              </w:rPr>
              <w:t>«АЛЬФА-БАНК»</w:t>
            </w:r>
          </w:p>
        </w:tc>
        <w:tc>
          <w:tcPr>
            <w:tcW w:w="1869"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1293"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Частично</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74,3</w:t>
            </w:r>
            <w:r w:rsidR="006C680D" w:rsidRPr="00A53D60">
              <w:rPr>
                <w:rFonts w:eastAsia="Times New Roman"/>
                <w:sz w:val="20"/>
                <w:szCs w:val="20"/>
                <w:lang w:eastAsia="ru-RU"/>
              </w:rPr>
              <w:t xml:space="preserve"> </w:t>
            </w:r>
            <w:r w:rsidRPr="00A53D60">
              <w:rPr>
                <w:rFonts w:eastAsia="Times New Roman"/>
                <w:sz w:val="20"/>
                <w:szCs w:val="20"/>
                <w:lang w:eastAsia="ru-RU"/>
              </w:rPr>
              <w:t>/</w:t>
            </w:r>
            <w:r w:rsidR="006C680D" w:rsidRPr="00A53D60">
              <w:rPr>
                <w:rFonts w:eastAsia="Times New Roman"/>
                <w:sz w:val="20"/>
                <w:szCs w:val="20"/>
                <w:lang w:eastAsia="ru-RU"/>
              </w:rPr>
              <w:t xml:space="preserve"> </w:t>
            </w:r>
            <w:r w:rsidRPr="00A53D60">
              <w:rPr>
                <w:rFonts w:eastAsia="Times New Roman"/>
                <w:sz w:val="20"/>
                <w:szCs w:val="20"/>
                <w:lang w:eastAsia="ru-RU"/>
              </w:rPr>
              <w:t>100</w:t>
            </w:r>
          </w:p>
        </w:tc>
      </w:tr>
      <w:tr w:rsidR="00D337FA" w:rsidRPr="00A53D60" w:rsidTr="00E70CAD">
        <w:tc>
          <w:tcPr>
            <w:tcW w:w="0" w:type="auto"/>
            <w:hideMark/>
          </w:tcPr>
          <w:p w:rsidR="00E70CAD" w:rsidRPr="00A53D60" w:rsidRDefault="00E70CAD" w:rsidP="00E70CAD">
            <w:pPr>
              <w:ind w:firstLine="0"/>
              <w:rPr>
                <w:rFonts w:eastAsia="Times New Roman"/>
                <w:sz w:val="20"/>
                <w:szCs w:val="20"/>
                <w:lang w:eastAsia="ru-RU"/>
              </w:rPr>
            </w:pPr>
            <w:r w:rsidRPr="00A53D60">
              <w:rPr>
                <w:rFonts w:eastAsia="Times New Roman"/>
                <w:sz w:val="20"/>
                <w:szCs w:val="20"/>
                <w:lang w:eastAsia="ru-RU"/>
              </w:rPr>
              <w:t>Банк</w:t>
            </w:r>
            <w:r w:rsidR="006C680D" w:rsidRPr="00A53D60">
              <w:rPr>
                <w:rFonts w:eastAsia="Times New Roman"/>
                <w:sz w:val="20"/>
                <w:szCs w:val="20"/>
                <w:lang w:eastAsia="ru-RU"/>
              </w:rPr>
              <w:t xml:space="preserve"> </w:t>
            </w:r>
            <w:r w:rsidRPr="00A53D60">
              <w:rPr>
                <w:rFonts w:eastAsia="Times New Roman"/>
                <w:sz w:val="20"/>
                <w:szCs w:val="20"/>
                <w:lang w:eastAsia="ru-RU"/>
              </w:rPr>
              <w:t>ВТБ</w:t>
            </w:r>
            <w:r w:rsidR="006C680D" w:rsidRPr="00A53D60">
              <w:rPr>
                <w:rFonts w:eastAsia="Times New Roman"/>
                <w:sz w:val="20"/>
                <w:szCs w:val="20"/>
                <w:lang w:eastAsia="ru-RU"/>
              </w:rPr>
              <w:t xml:space="preserve"> </w:t>
            </w:r>
            <w:r w:rsidRPr="00A53D60">
              <w:rPr>
                <w:rFonts w:eastAsia="Times New Roman"/>
                <w:sz w:val="20"/>
                <w:szCs w:val="20"/>
                <w:lang w:eastAsia="ru-RU"/>
              </w:rPr>
              <w:t>(ПАО)</w:t>
            </w:r>
          </w:p>
        </w:tc>
        <w:tc>
          <w:tcPr>
            <w:tcW w:w="1869"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Частично</w:t>
            </w:r>
          </w:p>
        </w:tc>
        <w:tc>
          <w:tcPr>
            <w:tcW w:w="1293"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Нет</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Частично</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64,9</w:t>
            </w:r>
            <w:r w:rsidR="006C680D" w:rsidRPr="00A53D60">
              <w:rPr>
                <w:rFonts w:eastAsia="Times New Roman"/>
                <w:sz w:val="20"/>
                <w:szCs w:val="20"/>
                <w:lang w:eastAsia="ru-RU"/>
              </w:rPr>
              <w:t xml:space="preserve"> </w:t>
            </w:r>
            <w:r w:rsidRPr="00A53D60">
              <w:rPr>
                <w:rFonts w:eastAsia="Times New Roman"/>
                <w:sz w:val="20"/>
                <w:szCs w:val="20"/>
                <w:lang w:eastAsia="ru-RU"/>
              </w:rPr>
              <w:t>/</w:t>
            </w:r>
            <w:r w:rsidR="006C680D" w:rsidRPr="00A53D60">
              <w:rPr>
                <w:rFonts w:eastAsia="Times New Roman"/>
                <w:sz w:val="20"/>
                <w:szCs w:val="20"/>
                <w:lang w:eastAsia="ru-RU"/>
              </w:rPr>
              <w:t xml:space="preserve"> </w:t>
            </w:r>
            <w:r w:rsidRPr="00A53D60">
              <w:rPr>
                <w:rFonts w:eastAsia="Times New Roman"/>
                <w:sz w:val="20"/>
                <w:szCs w:val="20"/>
                <w:lang w:eastAsia="ru-RU"/>
              </w:rPr>
              <w:t>100</w:t>
            </w:r>
          </w:p>
        </w:tc>
      </w:tr>
      <w:tr w:rsidR="00D337FA" w:rsidRPr="00A53D60" w:rsidTr="00E70CAD">
        <w:tc>
          <w:tcPr>
            <w:tcW w:w="0" w:type="auto"/>
            <w:hideMark/>
          </w:tcPr>
          <w:p w:rsidR="00E70CAD" w:rsidRPr="00A53D60" w:rsidRDefault="00E70CAD" w:rsidP="00E70CAD">
            <w:pPr>
              <w:ind w:firstLine="0"/>
              <w:rPr>
                <w:rFonts w:eastAsia="Times New Roman"/>
                <w:sz w:val="20"/>
                <w:szCs w:val="20"/>
                <w:lang w:eastAsia="ru-RU"/>
              </w:rPr>
            </w:pPr>
            <w:r w:rsidRPr="00A53D60">
              <w:rPr>
                <w:rFonts w:eastAsia="Times New Roman"/>
                <w:sz w:val="20"/>
                <w:szCs w:val="20"/>
                <w:lang w:eastAsia="ru-RU"/>
              </w:rPr>
              <w:t>ПАО</w:t>
            </w:r>
            <w:r w:rsidR="006C680D" w:rsidRPr="00A53D60">
              <w:rPr>
                <w:rFonts w:eastAsia="Times New Roman"/>
                <w:sz w:val="20"/>
                <w:szCs w:val="20"/>
                <w:lang w:eastAsia="ru-RU"/>
              </w:rPr>
              <w:t xml:space="preserve"> </w:t>
            </w:r>
            <w:r w:rsidRPr="00A53D60">
              <w:rPr>
                <w:rFonts w:eastAsia="Times New Roman"/>
                <w:sz w:val="20"/>
                <w:szCs w:val="20"/>
                <w:lang w:eastAsia="ru-RU"/>
              </w:rPr>
              <w:t>«Совкомбанк»</w:t>
            </w:r>
          </w:p>
        </w:tc>
        <w:tc>
          <w:tcPr>
            <w:tcW w:w="1869"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Нет</w:t>
            </w:r>
          </w:p>
        </w:tc>
        <w:tc>
          <w:tcPr>
            <w:tcW w:w="1293"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Нет</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Нет</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Да</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51,4</w:t>
            </w:r>
            <w:r w:rsidR="006C680D" w:rsidRPr="00A53D60">
              <w:rPr>
                <w:rFonts w:eastAsia="Times New Roman"/>
                <w:sz w:val="20"/>
                <w:szCs w:val="20"/>
                <w:lang w:eastAsia="ru-RU"/>
              </w:rPr>
              <w:t xml:space="preserve"> </w:t>
            </w:r>
            <w:r w:rsidRPr="00A53D60">
              <w:rPr>
                <w:rFonts w:eastAsia="Times New Roman"/>
                <w:sz w:val="20"/>
                <w:szCs w:val="20"/>
                <w:lang w:eastAsia="ru-RU"/>
              </w:rPr>
              <w:t>/</w:t>
            </w:r>
            <w:r w:rsidR="006C680D" w:rsidRPr="00A53D60">
              <w:rPr>
                <w:rFonts w:eastAsia="Times New Roman"/>
                <w:sz w:val="20"/>
                <w:szCs w:val="20"/>
                <w:lang w:eastAsia="ru-RU"/>
              </w:rPr>
              <w:t xml:space="preserve"> </w:t>
            </w:r>
            <w:r w:rsidRPr="00A53D60">
              <w:rPr>
                <w:rFonts w:eastAsia="Times New Roman"/>
                <w:sz w:val="20"/>
                <w:szCs w:val="20"/>
                <w:lang w:eastAsia="ru-RU"/>
              </w:rPr>
              <w:t>100</w:t>
            </w:r>
          </w:p>
        </w:tc>
      </w:tr>
      <w:tr w:rsidR="00E70CAD" w:rsidRPr="00A53D60" w:rsidTr="00E70CAD">
        <w:tc>
          <w:tcPr>
            <w:tcW w:w="0" w:type="auto"/>
            <w:hideMark/>
          </w:tcPr>
          <w:p w:rsidR="00E70CAD" w:rsidRPr="00A53D60" w:rsidRDefault="00E70CAD" w:rsidP="00E70CAD">
            <w:pPr>
              <w:ind w:firstLine="0"/>
              <w:rPr>
                <w:rFonts w:eastAsia="Times New Roman"/>
                <w:sz w:val="20"/>
                <w:szCs w:val="20"/>
                <w:lang w:eastAsia="ru-RU"/>
              </w:rPr>
            </w:pPr>
            <w:r w:rsidRPr="00A53D60">
              <w:rPr>
                <w:rFonts w:eastAsia="Times New Roman"/>
                <w:sz w:val="20"/>
                <w:szCs w:val="20"/>
                <w:lang w:eastAsia="ru-RU"/>
              </w:rPr>
              <w:t>ПАО</w:t>
            </w:r>
            <w:r w:rsidR="006C680D" w:rsidRPr="00A53D60">
              <w:rPr>
                <w:rFonts w:eastAsia="Times New Roman"/>
                <w:sz w:val="20"/>
                <w:szCs w:val="20"/>
                <w:lang w:eastAsia="ru-RU"/>
              </w:rPr>
              <w:t xml:space="preserve"> </w:t>
            </w:r>
            <w:r w:rsidRPr="00A53D60">
              <w:rPr>
                <w:rFonts w:eastAsia="Times New Roman"/>
                <w:sz w:val="20"/>
                <w:szCs w:val="20"/>
                <w:lang w:eastAsia="ru-RU"/>
              </w:rPr>
              <w:t>«Промсвязьбанк»</w:t>
            </w:r>
          </w:p>
        </w:tc>
        <w:tc>
          <w:tcPr>
            <w:tcW w:w="1869"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Нет</w:t>
            </w:r>
          </w:p>
        </w:tc>
        <w:tc>
          <w:tcPr>
            <w:tcW w:w="1293" w:type="dxa"/>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Нет</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Нет</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Частично</w:t>
            </w:r>
          </w:p>
        </w:tc>
        <w:tc>
          <w:tcPr>
            <w:tcW w:w="0" w:type="auto"/>
            <w:vAlign w:val="center"/>
            <w:hideMark/>
          </w:tcPr>
          <w:p w:rsidR="00E70CAD" w:rsidRPr="00A53D60" w:rsidRDefault="00E70CAD" w:rsidP="00E70CAD">
            <w:pPr>
              <w:ind w:firstLine="0"/>
              <w:jc w:val="center"/>
              <w:rPr>
                <w:rFonts w:eastAsia="Times New Roman"/>
                <w:sz w:val="20"/>
                <w:szCs w:val="20"/>
                <w:lang w:eastAsia="ru-RU"/>
              </w:rPr>
            </w:pPr>
            <w:r w:rsidRPr="00A53D60">
              <w:rPr>
                <w:rFonts w:eastAsia="Times New Roman"/>
                <w:sz w:val="20"/>
                <w:szCs w:val="20"/>
                <w:lang w:eastAsia="ru-RU"/>
              </w:rPr>
              <w:t>47,6</w:t>
            </w:r>
            <w:r w:rsidR="006C680D" w:rsidRPr="00A53D60">
              <w:rPr>
                <w:rFonts w:eastAsia="Times New Roman"/>
                <w:sz w:val="20"/>
                <w:szCs w:val="20"/>
                <w:lang w:eastAsia="ru-RU"/>
              </w:rPr>
              <w:t xml:space="preserve"> </w:t>
            </w:r>
            <w:r w:rsidRPr="00A53D60">
              <w:rPr>
                <w:rFonts w:eastAsia="Times New Roman"/>
                <w:sz w:val="20"/>
                <w:szCs w:val="20"/>
                <w:lang w:eastAsia="ru-RU"/>
              </w:rPr>
              <w:t>/</w:t>
            </w:r>
            <w:r w:rsidR="006C680D" w:rsidRPr="00A53D60">
              <w:rPr>
                <w:rFonts w:eastAsia="Times New Roman"/>
                <w:sz w:val="20"/>
                <w:szCs w:val="20"/>
                <w:lang w:eastAsia="ru-RU"/>
              </w:rPr>
              <w:t xml:space="preserve"> </w:t>
            </w:r>
            <w:r w:rsidRPr="00A53D60">
              <w:rPr>
                <w:rFonts w:eastAsia="Times New Roman"/>
                <w:sz w:val="20"/>
                <w:szCs w:val="20"/>
                <w:lang w:eastAsia="ru-RU"/>
              </w:rPr>
              <w:t>100</w:t>
            </w:r>
          </w:p>
        </w:tc>
      </w:tr>
    </w:tbl>
    <w:p w:rsidR="00B706E9" w:rsidRPr="00D337FA" w:rsidRDefault="00B706E9" w:rsidP="00FB2463">
      <w:pPr>
        <w:tabs>
          <w:tab w:val="center" w:pos="4677"/>
        </w:tabs>
        <w:ind w:firstLine="0"/>
        <w:jc w:val="right"/>
        <w:rPr>
          <w:rFonts w:ascii="Arial CYR" w:hAnsi="Arial CYR" w:cs="Arial CYR"/>
          <w:b/>
          <w:bCs/>
          <w:i/>
          <w:iCs/>
          <w:caps/>
          <w:szCs w:val="24"/>
          <w:u w:val="single"/>
          <w:lang w:eastAsia="ru-RU"/>
        </w:rPr>
      </w:pPr>
    </w:p>
    <w:p w:rsidR="00E70CAD" w:rsidRPr="00D337FA" w:rsidRDefault="00E70CAD" w:rsidP="00E70CAD">
      <w:pPr>
        <w:ind w:firstLine="709"/>
        <w:rPr>
          <w:sz w:val="28"/>
          <w:szCs w:val="28"/>
        </w:rPr>
        <w:sectPr w:rsidR="00E70CAD"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E70CAD" w:rsidRPr="00D337FA" w:rsidRDefault="00E70CAD" w:rsidP="00E70CAD">
      <w:pPr>
        <w:ind w:firstLine="284"/>
        <w:rPr>
          <w:szCs w:val="24"/>
        </w:rPr>
      </w:pPr>
      <w:r w:rsidRPr="00D337FA">
        <w:rPr>
          <w:szCs w:val="24"/>
        </w:rPr>
        <w:lastRenderedPageBreak/>
        <w:t>Перспективные</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должны</w:t>
      </w:r>
      <w:r w:rsidR="006C680D" w:rsidRPr="00D337FA">
        <w:rPr>
          <w:szCs w:val="24"/>
        </w:rPr>
        <w:t xml:space="preserve"> </w:t>
      </w:r>
      <w:r w:rsidRPr="00D337FA">
        <w:rPr>
          <w:szCs w:val="24"/>
        </w:rPr>
        <w:t>быть</w:t>
      </w:r>
      <w:r w:rsidR="006C680D" w:rsidRPr="00D337FA">
        <w:rPr>
          <w:szCs w:val="24"/>
        </w:rPr>
        <w:t xml:space="preserve"> </w:t>
      </w:r>
      <w:r w:rsidRPr="00D337FA">
        <w:rPr>
          <w:szCs w:val="24"/>
        </w:rPr>
        <w:t>направлены</w:t>
      </w:r>
      <w:r w:rsidR="006C680D" w:rsidRPr="00D337FA">
        <w:rPr>
          <w:szCs w:val="24"/>
        </w:rPr>
        <w:t xml:space="preserve"> </w:t>
      </w:r>
      <w:r w:rsidRPr="00D337FA">
        <w:rPr>
          <w:szCs w:val="24"/>
        </w:rPr>
        <w:t>на</w:t>
      </w:r>
      <w:r w:rsidR="006C680D" w:rsidRPr="00D337FA">
        <w:rPr>
          <w:szCs w:val="24"/>
        </w:rPr>
        <w:t xml:space="preserve"> </w:t>
      </w:r>
      <w:r w:rsidRPr="00D337FA">
        <w:rPr>
          <w:szCs w:val="24"/>
        </w:rPr>
        <w:t>устранение</w:t>
      </w:r>
      <w:r w:rsidR="006C680D" w:rsidRPr="00D337FA">
        <w:rPr>
          <w:szCs w:val="24"/>
        </w:rPr>
        <w:t xml:space="preserve"> </w:t>
      </w:r>
      <w:r w:rsidRPr="00D337FA">
        <w:rPr>
          <w:szCs w:val="24"/>
        </w:rPr>
        <w:t>выявленных</w:t>
      </w:r>
      <w:r w:rsidR="006C680D" w:rsidRPr="00D337FA">
        <w:rPr>
          <w:szCs w:val="24"/>
        </w:rPr>
        <w:t xml:space="preserve"> </w:t>
      </w:r>
      <w:r w:rsidRPr="00D337FA">
        <w:rPr>
          <w:szCs w:val="24"/>
        </w:rPr>
        <w:t>ограничений,</w:t>
      </w:r>
      <w:r w:rsidR="006C680D" w:rsidRPr="00D337FA">
        <w:rPr>
          <w:szCs w:val="24"/>
        </w:rPr>
        <w:t xml:space="preserve"> </w:t>
      </w:r>
      <w:r w:rsidRPr="00D337FA">
        <w:rPr>
          <w:szCs w:val="24"/>
        </w:rPr>
        <w:t>усиление</w:t>
      </w:r>
      <w:r w:rsidR="006C680D" w:rsidRPr="00D337FA">
        <w:rPr>
          <w:szCs w:val="24"/>
        </w:rPr>
        <w:t xml:space="preserve"> </w:t>
      </w:r>
      <w:r w:rsidRPr="00D337FA">
        <w:rPr>
          <w:szCs w:val="24"/>
        </w:rPr>
        <w:t>роли</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как</w:t>
      </w:r>
      <w:r w:rsidR="006C680D" w:rsidRPr="00D337FA">
        <w:rPr>
          <w:szCs w:val="24"/>
        </w:rPr>
        <w:t xml:space="preserve"> </w:t>
      </w:r>
      <w:r w:rsidRPr="00D337FA">
        <w:rPr>
          <w:szCs w:val="24"/>
        </w:rPr>
        <w:t>универсальных</w:t>
      </w:r>
      <w:r w:rsidR="006C680D" w:rsidRPr="00D337FA">
        <w:rPr>
          <w:szCs w:val="24"/>
        </w:rPr>
        <w:t xml:space="preserve"> </w:t>
      </w:r>
      <w:r w:rsidRPr="00D337FA">
        <w:rPr>
          <w:szCs w:val="24"/>
        </w:rPr>
        <w:t>партнёров</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и</w:t>
      </w:r>
      <w:r w:rsidR="006C680D" w:rsidRPr="00D337FA">
        <w:rPr>
          <w:szCs w:val="24"/>
        </w:rPr>
        <w:t xml:space="preserve"> </w:t>
      </w:r>
      <w:r w:rsidRPr="00D337FA">
        <w:rPr>
          <w:szCs w:val="24"/>
        </w:rPr>
        <w:t>создание</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устойчивого</w:t>
      </w:r>
      <w:r w:rsidR="006C680D" w:rsidRPr="00D337FA">
        <w:rPr>
          <w:szCs w:val="24"/>
        </w:rPr>
        <w:t xml:space="preserve"> </w:t>
      </w:r>
      <w:r w:rsidRPr="00D337FA">
        <w:rPr>
          <w:szCs w:val="24"/>
        </w:rPr>
        <w:t>функционирования</w:t>
      </w:r>
      <w:r w:rsidR="006C680D" w:rsidRPr="00D337FA">
        <w:rPr>
          <w:szCs w:val="24"/>
        </w:rPr>
        <w:t xml:space="preserve"> </w:t>
      </w:r>
      <w:r w:rsidRPr="00D337FA">
        <w:rPr>
          <w:szCs w:val="24"/>
        </w:rPr>
        <w:t>предпринимательской</w:t>
      </w:r>
      <w:r w:rsidR="006C680D" w:rsidRPr="00D337FA">
        <w:rPr>
          <w:szCs w:val="24"/>
        </w:rPr>
        <w:t xml:space="preserve"> </w:t>
      </w:r>
      <w:r w:rsidRPr="00D337FA">
        <w:rPr>
          <w:szCs w:val="24"/>
        </w:rPr>
        <w:t>среды.</w:t>
      </w:r>
      <w:r w:rsidR="006C680D" w:rsidRPr="00D337FA">
        <w:rPr>
          <w:szCs w:val="24"/>
        </w:rPr>
        <w:t xml:space="preserve"> </w:t>
      </w:r>
    </w:p>
    <w:p w:rsidR="00E70CAD" w:rsidRPr="00D337FA" w:rsidRDefault="00E70CAD" w:rsidP="00E70CAD">
      <w:pPr>
        <w:ind w:firstLine="284"/>
        <w:rPr>
          <w:szCs w:val="24"/>
        </w:rPr>
      </w:pPr>
      <w:r w:rsidRPr="00D337FA">
        <w:rPr>
          <w:szCs w:val="24"/>
        </w:rPr>
        <w:t>Одним</w:t>
      </w:r>
      <w:r w:rsidR="006C680D" w:rsidRPr="00D337FA">
        <w:rPr>
          <w:szCs w:val="24"/>
        </w:rPr>
        <w:t xml:space="preserve"> </w:t>
      </w:r>
      <w:r w:rsidRPr="00D337FA">
        <w:rPr>
          <w:szCs w:val="24"/>
        </w:rPr>
        <w:t>из</w:t>
      </w:r>
      <w:r w:rsidR="006C680D" w:rsidRPr="00D337FA">
        <w:rPr>
          <w:szCs w:val="24"/>
        </w:rPr>
        <w:t xml:space="preserve"> </w:t>
      </w:r>
      <w:r w:rsidRPr="00D337FA">
        <w:rPr>
          <w:szCs w:val="24"/>
        </w:rPr>
        <w:t>важнейших</w:t>
      </w:r>
      <w:r w:rsidR="006C680D" w:rsidRPr="00D337FA">
        <w:rPr>
          <w:szCs w:val="24"/>
        </w:rPr>
        <w:t xml:space="preserve"> </w:t>
      </w:r>
      <w:r w:rsidRPr="00D337FA">
        <w:rPr>
          <w:szCs w:val="24"/>
        </w:rPr>
        <w:t>направлений</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платформ</w:t>
      </w:r>
      <w:r w:rsidR="006C680D" w:rsidRPr="00D337FA">
        <w:rPr>
          <w:szCs w:val="24"/>
        </w:rPr>
        <w:t xml:space="preserve"> </w:t>
      </w:r>
      <w:r w:rsidRPr="00D337FA">
        <w:rPr>
          <w:szCs w:val="24"/>
        </w:rPr>
        <w:t>с</w:t>
      </w:r>
      <w:r w:rsidR="006C680D" w:rsidRPr="00D337FA">
        <w:rPr>
          <w:szCs w:val="24"/>
        </w:rPr>
        <w:t xml:space="preserve"> </w:t>
      </w:r>
      <w:r w:rsidRPr="00D337FA">
        <w:rPr>
          <w:szCs w:val="24"/>
        </w:rPr>
        <w:t>внешними</w:t>
      </w:r>
      <w:r w:rsidR="006C680D" w:rsidRPr="00D337FA">
        <w:rPr>
          <w:szCs w:val="24"/>
        </w:rPr>
        <w:t xml:space="preserve"> </w:t>
      </w:r>
      <w:r w:rsidRPr="00D337FA">
        <w:rPr>
          <w:szCs w:val="24"/>
        </w:rPr>
        <w:t>сервисами</w:t>
      </w:r>
      <w:r w:rsidR="006C680D" w:rsidRPr="00D337FA">
        <w:rPr>
          <w:szCs w:val="24"/>
        </w:rPr>
        <w:t xml:space="preserve"> </w:t>
      </w:r>
      <w:r w:rsidRPr="00D337FA">
        <w:rPr>
          <w:szCs w:val="24"/>
        </w:rPr>
        <w:t>и</w:t>
      </w:r>
      <w:r w:rsidR="006C680D" w:rsidRPr="00D337FA">
        <w:rPr>
          <w:szCs w:val="24"/>
        </w:rPr>
        <w:t xml:space="preserve"> </w:t>
      </w:r>
      <w:r w:rsidRPr="00D337FA">
        <w:rPr>
          <w:szCs w:val="24"/>
        </w:rPr>
        <w:t>бизнес-инфраструктурой</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банках</w:t>
      </w:r>
      <w:r w:rsidR="006C680D" w:rsidRPr="00D337FA">
        <w:rPr>
          <w:szCs w:val="24"/>
        </w:rPr>
        <w:t xml:space="preserve"> </w:t>
      </w:r>
      <w:r w:rsidRPr="00D337FA">
        <w:rPr>
          <w:szCs w:val="24"/>
        </w:rPr>
        <w:t>уже</w:t>
      </w:r>
      <w:r w:rsidR="006C680D" w:rsidRPr="00D337FA">
        <w:rPr>
          <w:szCs w:val="24"/>
        </w:rPr>
        <w:t xml:space="preserve"> </w:t>
      </w:r>
      <w:r w:rsidRPr="00D337FA">
        <w:rPr>
          <w:szCs w:val="24"/>
        </w:rPr>
        <w:t>реализуются</w:t>
      </w:r>
      <w:r w:rsidR="006C680D" w:rsidRPr="00D337FA">
        <w:rPr>
          <w:szCs w:val="24"/>
        </w:rPr>
        <w:t xml:space="preserve"> </w:t>
      </w:r>
      <w:r w:rsidRPr="00D337FA">
        <w:rPr>
          <w:szCs w:val="24"/>
        </w:rPr>
        <w:t>успешные</w:t>
      </w:r>
      <w:r w:rsidR="006C680D" w:rsidRPr="00D337FA">
        <w:rPr>
          <w:szCs w:val="24"/>
        </w:rPr>
        <w:t xml:space="preserve"> </w:t>
      </w:r>
      <w:r w:rsidRPr="00D337FA">
        <w:rPr>
          <w:szCs w:val="24"/>
        </w:rPr>
        <w:t>кейсы</w:t>
      </w:r>
      <w:r w:rsidR="006C680D" w:rsidRPr="00D337FA">
        <w:rPr>
          <w:szCs w:val="24"/>
        </w:rPr>
        <w:t xml:space="preserve"> </w:t>
      </w:r>
      <w:r w:rsidRPr="00D337FA">
        <w:rPr>
          <w:szCs w:val="24"/>
        </w:rPr>
        <w:t>подобного</w:t>
      </w:r>
      <w:r w:rsidR="006C680D" w:rsidRPr="00D337FA">
        <w:rPr>
          <w:szCs w:val="24"/>
        </w:rPr>
        <w:t xml:space="preserve"> </w:t>
      </w:r>
      <w:r w:rsidRPr="00D337FA">
        <w:rPr>
          <w:szCs w:val="24"/>
        </w:rPr>
        <w:t>взаимодействия.</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ПАО</w:t>
      </w:r>
      <w:r w:rsidR="006C680D" w:rsidRPr="00D337FA">
        <w:rPr>
          <w:szCs w:val="24"/>
        </w:rPr>
        <w:t xml:space="preserve"> </w:t>
      </w:r>
      <w:r w:rsidRPr="00D337FA">
        <w:rPr>
          <w:szCs w:val="24"/>
        </w:rPr>
        <w:t>«Дом.РФ»</w:t>
      </w:r>
      <w:r w:rsidR="006C680D" w:rsidRPr="00D337FA">
        <w:rPr>
          <w:szCs w:val="24"/>
        </w:rPr>
        <w:t xml:space="preserve"> </w:t>
      </w:r>
      <w:r w:rsidRPr="00D337FA">
        <w:rPr>
          <w:szCs w:val="24"/>
        </w:rPr>
        <w:t>и</w:t>
      </w:r>
      <w:r w:rsidR="006C680D" w:rsidRPr="00D337FA">
        <w:rPr>
          <w:szCs w:val="24"/>
        </w:rPr>
        <w:t xml:space="preserve"> </w:t>
      </w:r>
      <w:r w:rsidRPr="00D337FA">
        <w:rPr>
          <w:szCs w:val="24"/>
        </w:rPr>
        <w:t>ООО</w:t>
      </w:r>
      <w:r w:rsidR="006C680D" w:rsidRPr="00D337FA">
        <w:rPr>
          <w:szCs w:val="24"/>
        </w:rPr>
        <w:t xml:space="preserve"> </w:t>
      </w:r>
      <w:r w:rsidRPr="00D337FA">
        <w:rPr>
          <w:szCs w:val="24"/>
        </w:rPr>
        <w:t>«Банк</w:t>
      </w:r>
      <w:r w:rsidR="006C680D" w:rsidRPr="00D337FA">
        <w:rPr>
          <w:szCs w:val="24"/>
        </w:rPr>
        <w:t xml:space="preserve"> </w:t>
      </w:r>
      <w:r w:rsidRPr="00D337FA">
        <w:rPr>
          <w:szCs w:val="24"/>
        </w:rPr>
        <w:t>Точка»</w:t>
      </w:r>
      <w:r w:rsidR="006C680D" w:rsidRPr="00D337FA">
        <w:rPr>
          <w:szCs w:val="24"/>
        </w:rPr>
        <w:t xml:space="preserve"> </w:t>
      </w:r>
      <w:r w:rsidRPr="00D337FA">
        <w:rPr>
          <w:szCs w:val="24"/>
        </w:rPr>
        <w:t>внедрили</w:t>
      </w:r>
      <w:r w:rsidR="006C680D" w:rsidRPr="00D337FA">
        <w:rPr>
          <w:szCs w:val="24"/>
        </w:rPr>
        <w:t xml:space="preserve"> </w:t>
      </w:r>
      <w:r w:rsidRPr="00D337FA">
        <w:rPr>
          <w:szCs w:val="24"/>
        </w:rPr>
        <w:t>механизм,</w:t>
      </w:r>
      <w:r w:rsidR="006C680D" w:rsidRPr="00D337FA">
        <w:rPr>
          <w:szCs w:val="24"/>
        </w:rPr>
        <w:t xml:space="preserve"> </w:t>
      </w:r>
      <w:r w:rsidRPr="00D337FA">
        <w:rPr>
          <w:szCs w:val="24"/>
        </w:rPr>
        <w:t>позволяющий</w:t>
      </w:r>
      <w:r w:rsidR="006C680D" w:rsidRPr="00D337FA">
        <w:rPr>
          <w:szCs w:val="24"/>
        </w:rPr>
        <w:t xml:space="preserve"> </w:t>
      </w:r>
      <w:r w:rsidRPr="00D337FA">
        <w:rPr>
          <w:szCs w:val="24"/>
        </w:rPr>
        <w:t>предпринимателям</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одного</w:t>
      </w:r>
      <w:r w:rsidR="006C680D" w:rsidRPr="00D337FA">
        <w:rPr>
          <w:szCs w:val="24"/>
        </w:rPr>
        <w:t xml:space="preserve"> </w:t>
      </w:r>
      <w:r w:rsidRPr="00D337FA">
        <w:rPr>
          <w:szCs w:val="24"/>
        </w:rPr>
        <w:t>интерфейса</w:t>
      </w:r>
      <w:r w:rsidR="006C680D" w:rsidRPr="00D337FA">
        <w:rPr>
          <w:szCs w:val="24"/>
        </w:rPr>
        <w:t xml:space="preserve"> </w:t>
      </w:r>
      <w:r w:rsidRPr="00D337FA">
        <w:rPr>
          <w:szCs w:val="24"/>
        </w:rPr>
        <w:t>открывать</w:t>
      </w:r>
      <w:r w:rsidR="006C680D" w:rsidRPr="00D337FA">
        <w:rPr>
          <w:szCs w:val="24"/>
        </w:rPr>
        <w:t xml:space="preserve"> </w:t>
      </w:r>
      <w:r w:rsidRPr="00D337FA">
        <w:rPr>
          <w:szCs w:val="24"/>
        </w:rPr>
        <w:t>счета</w:t>
      </w:r>
      <w:r w:rsidR="006C680D" w:rsidRPr="00D337FA">
        <w:rPr>
          <w:szCs w:val="24"/>
        </w:rPr>
        <w:t xml:space="preserve"> </w:t>
      </w:r>
      <w:r w:rsidRPr="00D337FA">
        <w:rPr>
          <w:szCs w:val="24"/>
        </w:rPr>
        <w:t>и</w:t>
      </w:r>
      <w:r w:rsidR="006C680D" w:rsidRPr="00D337FA">
        <w:rPr>
          <w:szCs w:val="24"/>
        </w:rPr>
        <w:t xml:space="preserve"> </w:t>
      </w:r>
      <w:r w:rsidRPr="00D337FA">
        <w:rPr>
          <w:szCs w:val="24"/>
        </w:rPr>
        <w:t>получать</w:t>
      </w:r>
      <w:r w:rsidR="006C680D" w:rsidRPr="00D337FA">
        <w:rPr>
          <w:szCs w:val="24"/>
        </w:rPr>
        <w:t xml:space="preserve"> </w:t>
      </w:r>
      <w:r w:rsidRPr="00D337FA">
        <w:rPr>
          <w:szCs w:val="24"/>
        </w:rPr>
        <w:t>кредитные</w:t>
      </w:r>
      <w:r w:rsidR="006C680D" w:rsidRPr="00D337FA">
        <w:rPr>
          <w:szCs w:val="24"/>
        </w:rPr>
        <w:t xml:space="preserve"> </w:t>
      </w:r>
      <w:r w:rsidRPr="00D337FA">
        <w:rPr>
          <w:szCs w:val="24"/>
        </w:rPr>
        <w:t>продукты,</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все</w:t>
      </w:r>
      <w:r w:rsidR="006C680D" w:rsidRPr="00D337FA">
        <w:rPr>
          <w:szCs w:val="24"/>
        </w:rPr>
        <w:t xml:space="preserve"> </w:t>
      </w:r>
      <w:r w:rsidRPr="00D337FA">
        <w:rPr>
          <w:szCs w:val="24"/>
        </w:rPr>
        <w:t>операции</w:t>
      </w:r>
      <w:r w:rsidR="006C680D" w:rsidRPr="00D337FA">
        <w:rPr>
          <w:szCs w:val="24"/>
        </w:rPr>
        <w:t xml:space="preserve"> </w:t>
      </w:r>
      <w:r w:rsidRPr="00D337FA">
        <w:rPr>
          <w:szCs w:val="24"/>
        </w:rPr>
        <w:t>сопровождаются</w:t>
      </w:r>
      <w:r w:rsidR="006C680D" w:rsidRPr="00D337FA">
        <w:rPr>
          <w:szCs w:val="24"/>
        </w:rPr>
        <w:t xml:space="preserve"> </w:t>
      </w:r>
      <w:r w:rsidRPr="00D337FA">
        <w:rPr>
          <w:szCs w:val="24"/>
        </w:rPr>
        <w:t>проверкой</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на</w:t>
      </w:r>
      <w:r w:rsidR="006C680D" w:rsidRPr="00D337FA">
        <w:rPr>
          <w:szCs w:val="24"/>
        </w:rPr>
        <w:t xml:space="preserve"> </w:t>
      </w:r>
      <w:r w:rsidRPr="00D337FA">
        <w:rPr>
          <w:szCs w:val="24"/>
        </w:rPr>
        <w:t>площадках</w:t>
      </w:r>
      <w:r w:rsidR="006C680D" w:rsidRPr="00D337FA">
        <w:rPr>
          <w:szCs w:val="24"/>
        </w:rPr>
        <w:t xml:space="preserve"> </w:t>
      </w:r>
      <w:r w:rsidRPr="00D337FA">
        <w:rPr>
          <w:szCs w:val="24"/>
        </w:rPr>
        <w:t>государственных</w:t>
      </w:r>
      <w:r w:rsidR="006C680D" w:rsidRPr="00D337FA">
        <w:rPr>
          <w:szCs w:val="24"/>
        </w:rPr>
        <w:t xml:space="preserve"> </w:t>
      </w:r>
      <w:r w:rsidRPr="00D337FA">
        <w:rPr>
          <w:szCs w:val="24"/>
        </w:rPr>
        <w:t>закупок.</w:t>
      </w:r>
    </w:p>
    <w:p w:rsidR="00E70CAD" w:rsidRPr="00D337FA" w:rsidRDefault="00E70CAD" w:rsidP="00E70CAD">
      <w:pPr>
        <w:ind w:firstLine="284"/>
        <w:rPr>
          <w:szCs w:val="24"/>
        </w:rPr>
      </w:pPr>
      <w:r w:rsidRPr="00D337FA">
        <w:rPr>
          <w:szCs w:val="24"/>
        </w:rPr>
        <w:t>Специальный</w:t>
      </w:r>
      <w:r w:rsidR="006C680D" w:rsidRPr="00D337FA">
        <w:rPr>
          <w:szCs w:val="24"/>
        </w:rPr>
        <w:t xml:space="preserve"> </w:t>
      </w:r>
      <w:r w:rsidRPr="00D337FA">
        <w:rPr>
          <w:szCs w:val="24"/>
        </w:rPr>
        <w:t>личный</w:t>
      </w:r>
      <w:r w:rsidR="006C680D" w:rsidRPr="00D337FA">
        <w:rPr>
          <w:szCs w:val="24"/>
        </w:rPr>
        <w:t xml:space="preserve"> </w:t>
      </w:r>
      <w:r w:rsidRPr="00D337FA">
        <w:rPr>
          <w:szCs w:val="24"/>
        </w:rPr>
        <w:t>кабинет</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обеспечивает</w:t>
      </w:r>
      <w:r w:rsidR="006C680D" w:rsidRPr="00D337FA">
        <w:rPr>
          <w:szCs w:val="24"/>
        </w:rPr>
        <w:t xml:space="preserve"> </w:t>
      </w:r>
      <w:r w:rsidRPr="00D337FA">
        <w:rPr>
          <w:szCs w:val="24"/>
        </w:rPr>
        <w:t>пользователям</w:t>
      </w:r>
      <w:r w:rsidR="006C680D" w:rsidRPr="00D337FA">
        <w:rPr>
          <w:szCs w:val="24"/>
        </w:rPr>
        <w:t xml:space="preserve"> </w:t>
      </w:r>
      <w:r w:rsidRPr="00D337FA">
        <w:rPr>
          <w:szCs w:val="24"/>
        </w:rPr>
        <w:t>возможность</w:t>
      </w:r>
      <w:r w:rsidR="006C680D" w:rsidRPr="00D337FA">
        <w:rPr>
          <w:szCs w:val="24"/>
        </w:rPr>
        <w:t xml:space="preserve"> </w:t>
      </w:r>
      <w:r w:rsidRPr="00D337FA">
        <w:rPr>
          <w:szCs w:val="24"/>
        </w:rPr>
        <w:t>заполнять</w:t>
      </w:r>
      <w:r w:rsidR="006C680D" w:rsidRPr="00D337FA">
        <w:rPr>
          <w:szCs w:val="24"/>
        </w:rPr>
        <w:t xml:space="preserve"> </w:t>
      </w:r>
      <w:r w:rsidRPr="00D337FA">
        <w:rPr>
          <w:szCs w:val="24"/>
        </w:rPr>
        <w:t>документы,</w:t>
      </w:r>
      <w:r w:rsidR="006C680D" w:rsidRPr="00D337FA">
        <w:rPr>
          <w:szCs w:val="24"/>
        </w:rPr>
        <w:t xml:space="preserve"> </w:t>
      </w:r>
      <w:r w:rsidRPr="00D337FA">
        <w:rPr>
          <w:szCs w:val="24"/>
        </w:rPr>
        <w:t>получать</w:t>
      </w:r>
      <w:r w:rsidR="006C680D" w:rsidRPr="00D337FA">
        <w:rPr>
          <w:szCs w:val="24"/>
        </w:rPr>
        <w:t xml:space="preserve"> </w:t>
      </w:r>
      <w:r w:rsidRPr="00D337FA">
        <w:rPr>
          <w:szCs w:val="24"/>
        </w:rPr>
        <w:t>подсказки,</w:t>
      </w:r>
      <w:r w:rsidR="006C680D" w:rsidRPr="00D337FA">
        <w:rPr>
          <w:szCs w:val="24"/>
        </w:rPr>
        <w:t xml:space="preserve"> </w:t>
      </w:r>
      <w:r w:rsidRPr="00D337FA">
        <w:rPr>
          <w:szCs w:val="24"/>
        </w:rPr>
        <w:t>проверять</w:t>
      </w:r>
      <w:r w:rsidR="006C680D" w:rsidRPr="00D337FA">
        <w:rPr>
          <w:szCs w:val="24"/>
        </w:rPr>
        <w:t xml:space="preserve"> </w:t>
      </w:r>
      <w:r w:rsidRPr="00D337FA">
        <w:rPr>
          <w:szCs w:val="24"/>
        </w:rPr>
        <w:t>их</w:t>
      </w:r>
      <w:r w:rsidR="006C680D" w:rsidRPr="00D337FA">
        <w:rPr>
          <w:szCs w:val="24"/>
        </w:rPr>
        <w:t xml:space="preserve"> </w:t>
      </w:r>
      <w:r w:rsidRPr="00D337FA">
        <w:rPr>
          <w:szCs w:val="24"/>
        </w:rPr>
        <w:t>корректность</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формировать</w:t>
      </w:r>
      <w:r w:rsidR="006C680D" w:rsidRPr="00D337FA">
        <w:rPr>
          <w:szCs w:val="24"/>
        </w:rPr>
        <w:t xml:space="preserve"> </w:t>
      </w:r>
      <w:r w:rsidRPr="00D337FA">
        <w:rPr>
          <w:szCs w:val="24"/>
        </w:rPr>
        <w:t>отчётность</w:t>
      </w:r>
      <w:r w:rsidR="006C680D" w:rsidRPr="00D337FA">
        <w:rPr>
          <w:szCs w:val="24"/>
        </w:rPr>
        <w:t xml:space="preserve"> </w:t>
      </w:r>
      <w:r w:rsidRPr="00D337FA">
        <w:rPr>
          <w:szCs w:val="24"/>
        </w:rPr>
        <w:t>без</w:t>
      </w:r>
      <w:r w:rsidR="006C680D" w:rsidRPr="00D337FA">
        <w:rPr>
          <w:szCs w:val="24"/>
        </w:rPr>
        <w:t xml:space="preserve"> </w:t>
      </w:r>
      <w:r w:rsidRPr="00D337FA">
        <w:rPr>
          <w:szCs w:val="24"/>
        </w:rPr>
        <w:t>обращения</w:t>
      </w:r>
      <w:r w:rsidR="006C680D" w:rsidRPr="00D337FA">
        <w:rPr>
          <w:szCs w:val="24"/>
        </w:rPr>
        <w:t xml:space="preserve"> </w:t>
      </w:r>
      <w:r w:rsidRPr="00D337FA">
        <w:rPr>
          <w:szCs w:val="24"/>
        </w:rPr>
        <w:t>к</w:t>
      </w:r>
      <w:r w:rsidR="006C680D" w:rsidRPr="00D337FA">
        <w:rPr>
          <w:szCs w:val="24"/>
        </w:rPr>
        <w:t xml:space="preserve"> </w:t>
      </w:r>
      <w:r w:rsidRPr="00D337FA">
        <w:rPr>
          <w:szCs w:val="24"/>
        </w:rPr>
        <w:t>менеджерам.</w:t>
      </w:r>
    </w:p>
    <w:p w:rsidR="00E70CAD" w:rsidRPr="00D337FA" w:rsidRDefault="00E70CAD" w:rsidP="00E70CAD">
      <w:pPr>
        <w:ind w:firstLine="284"/>
        <w:rPr>
          <w:szCs w:val="24"/>
        </w:rPr>
      </w:pPr>
      <w:r w:rsidRPr="00D337FA">
        <w:rPr>
          <w:szCs w:val="24"/>
        </w:rPr>
        <w:t>Перспективным</w:t>
      </w:r>
      <w:r w:rsidR="006C680D" w:rsidRPr="00D337FA">
        <w:rPr>
          <w:szCs w:val="24"/>
        </w:rPr>
        <w:t xml:space="preserve"> </w:t>
      </w:r>
      <w:r w:rsidRPr="00D337FA">
        <w:rPr>
          <w:szCs w:val="24"/>
        </w:rPr>
        <w:t>вектором</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становится</w:t>
      </w:r>
      <w:r w:rsidR="006C680D" w:rsidRPr="00D337FA">
        <w:rPr>
          <w:szCs w:val="24"/>
        </w:rPr>
        <w:t xml:space="preserve"> </w:t>
      </w:r>
      <w:r w:rsidRPr="00D337FA">
        <w:rPr>
          <w:szCs w:val="24"/>
        </w:rPr>
        <w:t>внедрение</w:t>
      </w:r>
      <w:r w:rsidR="006C680D" w:rsidRPr="00D337FA">
        <w:rPr>
          <w:szCs w:val="24"/>
        </w:rPr>
        <w:t xml:space="preserve"> </w:t>
      </w:r>
      <w:r w:rsidRPr="00D337FA">
        <w:rPr>
          <w:szCs w:val="24"/>
        </w:rPr>
        <w:t>встроенных</w:t>
      </w:r>
      <w:r w:rsidR="006C680D" w:rsidRPr="00D337FA">
        <w:rPr>
          <w:szCs w:val="24"/>
        </w:rPr>
        <w:t xml:space="preserve"> </w:t>
      </w:r>
      <w:r w:rsidRPr="00D337FA">
        <w:rPr>
          <w:szCs w:val="24"/>
        </w:rPr>
        <w:t>финансов,</w:t>
      </w:r>
      <w:r w:rsidR="006C680D" w:rsidRPr="00D337FA">
        <w:rPr>
          <w:szCs w:val="24"/>
        </w:rPr>
        <w:t xml:space="preserve"> </w:t>
      </w:r>
      <w:r w:rsidRPr="00D337FA">
        <w:rPr>
          <w:szCs w:val="24"/>
        </w:rPr>
        <w:t>когда</w:t>
      </w:r>
      <w:r w:rsidR="006C680D" w:rsidRPr="00D337FA">
        <w:rPr>
          <w:szCs w:val="24"/>
        </w:rPr>
        <w:t xml:space="preserve"> </w:t>
      </w:r>
      <w:r w:rsidRPr="00D337FA">
        <w:rPr>
          <w:szCs w:val="24"/>
        </w:rPr>
        <w:t>банковские</w:t>
      </w:r>
      <w:r w:rsidR="006C680D" w:rsidRPr="00D337FA">
        <w:rPr>
          <w:szCs w:val="24"/>
        </w:rPr>
        <w:t xml:space="preserve"> </w:t>
      </w:r>
      <w:r w:rsidRPr="00D337FA">
        <w:rPr>
          <w:szCs w:val="24"/>
        </w:rPr>
        <w:t>продукты</w:t>
      </w:r>
      <w:r w:rsidR="006C680D" w:rsidRPr="00D337FA">
        <w:rPr>
          <w:szCs w:val="24"/>
        </w:rPr>
        <w:t xml:space="preserve"> </w:t>
      </w:r>
      <w:r w:rsidRPr="00D337FA">
        <w:rPr>
          <w:szCs w:val="24"/>
        </w:rPr>
        <w:t>интегрируются</w:t>
      </w:r>
      <w:r w:rsidR="006C680D" w:rsidRPr="00D337FA">
        <w:rPr>
          <w:szCs w:val="24"/>
        </w:rPr>
        <w:t xml:space="preserve"> </w:t>
      </w:r>
      <w:r w:rsidRPr="00D337FA">
        <w:rPr>
          <w:szCs w:val="24"/>
        </w:rPr>
        <w:t>в</w:t>
      </w:r>
      <w:r w:rsidR="006C680D" w:rsidRPr="00D337FA">
        <w:rPr>
          <w:szCs w:val="24"/>
        </w:rPr>
        <w:t xml:space="preserve"> </w:t>
      </w:r>
      <w:r w:rsidRPr="00D337FA">
        <w:rPr>
          <w:szCs w:val="24"/>
        </w:rPr>
        <w:t>сторонние</w:t>
      </w:r>
      <w:r w:rsidR="006C680D" w:rsidRPr="00D337FA">
        <w:rPr>
          <w:szCs w:val="24"/>
        </w:rPr>
        <w:t xml:space="preserve"> </w:t>
      </w:r>
      <w:r w:rsidRPr="00D337FA">
        <w:rPr>
          <w:szCs w:val="24"/>
        </w:rPr>
        <w:t>платформы</w:t>
      </w:r>
      <w:r w:rsidR="006C680D" w:rsidRPr="00D337FA">
        <w:rPr>
          <w:szCs w:val="24"/>
        </w:rPr>
        <w:t xml:space="preserve"> </w:t>
      </w:r>
      <w:r w:rsidRPr="00D337FA">
        <w:rPr>
          <w:szCs w:val="24"/>
        </w:rPr>
        <w:t>–</w:t>
      </w:r>
      <w:r w:rsidR="006C680D" w:rsidRPr="00D337FA">
        <w:rPr>
          <w:szCs w:val="24"/>
        </w:rPr>
        <w:t xml:space="preserve"> </w:t>
      </w:r>
      <w:r w:rsidRPr="00D337FA">
        <w:rPr>
          <w:szCs w:val="24"/>
        </w:rPr>
        <w:t>маркетплейсы,</w:t>
      </w:r>
      <w:r w:rsidR="006C680D" w:rsidRPr="00D337FA">
        <w:rPr>
          <w:szCs w:val="24"/>
        </w:rPr>
        <w:t xml:space="preserve"> </w:t>
      </w:r>
      <w:r w:rsidRPr="00D337FA">
        <w:rPr>
          <w:szCs w:val="24"/>
        </w:rPr>
        <w:t>бухгалтерские</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и</w:t>
      </w:r>
      <w:r w:rsidR="006C680D" w:rsidRPr="00D337FA">
        <w:rPr>
          <w:szCs w:val="24"/>
        </w:rPr>
        <w:t xml:space="preserve"> </w:t>
      </w:r>
      <w:r w:rsidRPr="00D337FA">
        <w:rPr>
          <w:szCs w:val="24"/>
        </w:rPr>
        <w:t>CRM-системы.</w:t>
      </w:r>
      <w:r w:rsidR="006C680D" w:rsidRPr="00D337FA">
        <w:rPr>
          <w:szCs w:val="24"/>
        </w:rPr>
        <w:t xml:space="preserve"> </w:t>
      </w:r>
    </w:p>
    <w:p w:rsidR="00E70CAD" w:rsidRPr="00D337FA" w:rsidRDefault="00E70CAD" w:rsidP="00E70CAD">
      <w:pPr>
        <w:ind w:firstLine="284"/>
        <w:rPr>
          <w:szCs w:val="24"/>
        </w:rPr>
      </w:pPr>
      <w:r w:rsidRPr="00D337FA">
        <w:rPr>
          <w:szCs w:val="24"/>
        </w:rPr>
        <w:t>Одним</w:t>
      </w:r>
      <w:r w:rsidR="006C680D" w:rsidRPr="00D337FA">
        <w:rPr>
          <w:szCs w:val="24"/>
        </w:rPr>
        <w:t xml:space="preserve"> </w:t>
      </w:r>
      <w:r w:rsidRPr="00D337FA">
        <w:rPr>
          <w:szCs w:val="24"/>
        </w:rPr>
        <w:t>из</w:t>
      </w:r>
      <w:r w:rsidR="006C680D" w:rsidRPr="00D337FA">
        <w:rPr>
          <w:szCs w:val="24"/>
        </w:rPr>
        <w:t xml:space="preserve"> </w:t>
      </w:r>
      <w:r w:rsidRPr="00D337FA">
        <w:rPr>
          <w:szCs w:val="24"/>
        </w:rPr>
        <w:t>примеров</w:t>
      </w:r>
      <w:r w:rsidR="006C680D" w:rsidRPr="00D337FA">
        <w:rPr>
          <w:szCs w:val="24"/>
        </w:rPr>
        <w:t xml:space="preserve"> </w:t>
      </w:r>
      <w:r w:rsidRPr="00D337FA">
        <w:rPr>
          <w:szCs w:val="24"/>
        </w:rPr>
        <w:t>успешной</w:t>
      </w:r>
      <w:r w:rsidR="006C680D" w:rsidRPr="00D337FA">
        <w:rPr>
          <w:szCs w:val="24"/>
        </w:rPr>
        <w:t xml:space="preserve"> </w:t>
      </w:r>
      <w:r w:rsidRPr="00D337FA">
        <w:rPr>
          <w:szCs w:val="24"/>
        </w:rPr>
        <w:t>реализации</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АО</w:t>
      </w:r>
      <w:r w:rsidR="006C680D" w:rsidRPr="00D337FA">
        <w:rPr>
          <w:szCs w:val="24"/>
        </w:rPr>
        <w:t xml:space="preserve"> </w:t>
      </w:r>
      <w:r w:rsidRPr="00D337FA">
        <w:rPr>
          <w:szCs w:val="24"/>
        </w:rPr>
        <w:t>КБ</w:t>
      </w:r>
      <w:r w:rsidR="006C680D" w:rsidRPr="00D337FA">
        <w:rPr>
          <w:szCs w:val="24"/>
        </w:rPr>
        <w:t xml:space="preserve"> </w:t>
      </w:r>
      <w:r w:rsidRPr="00D337FA">
        <w:rPr>
          <w:szCs w:val="24"/>
        </w:rPr>
        <w:t>«Модульбанк»,</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lastRenderedPageBreak/>
        <w:t>разработал</w:t>
      </w:r>
      <w:r w:rsidR="006C680D" w:rsidRPr="00D337FA">
        <w:rPr>
          <w:szCs w:val="24"/>
        </w:rPr>
        <w:t xml:space="preserve"> </w:t>
      </w:r>
      <w:r w:rsidRPr="00D337FA">
        <w:rPr>
          <w:szCs w:val="24"/>
        </w:rPr>
        <w:t>платформу</w:t>
      </w:r>
      <w:r w:rsidR="006C680D" w:rsidRPr="00D337FA">
        <w:rPr>
          <w:szCs w:val="24"/>
        </w:rPr>
        <w:t xml:space="preserve"> </w:t>
      </w:r>
      <w:r w:rsidRPr="00D337FA">
        <w:rPr>
          <w:szCs w:val="24"/>
        </w:rPr>
        <w:t>«Модульселлер»</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продавцов</w:t>
      </w:r>
      <w:r w:rsidR="006C680D" w:rsidRPr="00D337FA">
        <w:rPr>
          <w:szCs w:val="24"/>
        </w:rPr>
        <w:t xml:space="preserve"> </w:t>
      </w:r>
      <w:r w:rsidRPr="00D337FA">
        <w:rPr>
          <w:szCs w:val="24"/>
        </w:rPr>
        <w:t>на</w:t>
      </w:r>
      <w:r w:rsidR="006C680D" w:rsidRPr="00D337FA">
        <w:rPr>
          <w:szCs w:val="24"/>
        </w:rPr>
        <w:t xml:space="preserve"> </w:t>
      </w:r>
      <w:r w:rsidRPr="00D337FA">
        <w:rPr>
          <w:szCs w:val="24"/>
        </w:rPr>
        <w:t>маркетплейсах,</w:t>
      </w:r>
      <w:r w:rsidR="006C680D" w:rsidRPr="00D337FA">
        <w:rPr>
          <w:szCs w:val="24"/>
        </w:rPr>
        <w:t xml:space="preserve"> </w:t>
      </w:r>
      <w:r w:rsidRPr="00D337FA">
        <w:rPr>
          <w:szCs w:val="24"/>
        </w:rPr>
        <w:t>предоставляющую</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для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продажами,</w:t>
      </w:r>
      <w:r w:rsidR="006C680D" w:rsidRPr="00D337FA">
        <w:rPr>
          <w:szCs w:val="24"/>
        </w:rPr>
        <w:t xml:space="preserve"> </w:t>
      </w:r>
      <w:r w:rsidRPr="00D337FA">
        <w:rPr>
          <w:szCs w:val="24"/>
        </w:rPr>
        <w:t>SEO-оптимизации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финансового</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[7].</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банк</w:t>
      </w:r>
      <w:r w:rsidR="006C680D" w:rsidRPr="00D337FA">
        <w:rPr>
          <w:szCs w:val="24"/>
        </w:rPr>
        <w:t xml:space="preserve"> </w:t>
      </w:r>
      <w:r w:rsidRPr="00D337FA">
        <w:rPr>
          <w:szCs w:val="24"/>
        </w:rPr>
        <w:t>предлагает</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для</w:t>
      </w:r>
      <w:r w:rsidR="006C680D" w:rsidRPr="00D337FA">
        <w:rPr>
          <w:szCs w:val="24"/>
        </w:rPr>
        <w:t xml:space="preserve"> </w:t>
      </w:r>
      <w:r w:rsidRPr="00D337FA">
        <w:rPr>
          <w:szCs w:val="24"/>
        </w:rPr>
        <w:t>курьерских</w:t>
      </w:r>
      <w:r w:rsidR="006C680D" w:rsidRPr="00D337FA">
        <w:rPr>
          <w:szCs w:val="24"/>
        </w:rPr>
        <w:t xml:space="preserve"> </w:t>
      </w:r>
      <w:r w:rsidRPr="00D337FA">
        <w:rPr>
          <w:szCs w:val="24"/>
        </w:rPr>
        <w:t>служб,</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управление</w:t>
      </w:r>
      <w:r w:rsidR="006C680D" w:rsidRPr="00D337FA">
        <w:rPr>
          <w:szCs w:val="24"/>
        </w:rPr>
        <w:t xml:space="preserve"> </w:t>
      </w:r>
      <w:r w:rsidRPr="00D337FA">
        <w:rPr>
          <w:szCs w:val="24"/>
        </w:rPr>
        <w:t>парком</w:t>
      </w:r>
      <w:r w:rsidR="006C680D" w:rsidRPr="00D337FA">
        <w:rPr>
          <w:szCs w:val="24"/>
        </w:rPr>
        <w:t xml:space="preserve"> </w:t>
      </w:r>
      <w:r w:rsidRPr="00D337FA">
        <w:rPr>
          <w:szCs w:val="24"/>
        </w:rPr>
        <w:t>кассовой</w:t>
      </w:r>
      <w:r w:rsidR="006C680D" w:rsidRPr="00D337FA">
        <w:rPr>
          <w:szCs w:val="24"/>
        </w:rPr>
        <w:t xml:space="preserve"> </w:t>
      </w:r>
      <w:r w:rsidRPr="00D337FA">
        <w:rPr>
          <w:szCs w:val="24"/>
        </w:rPr>
        <w:t>техники</w:t>
      </w:r>
      <w:r w:rsidR="006C680D" w:rsidRPr="00D337FA">
        <w:rPr>
          <w:szCs w:val="24"/>
        </w:rPr>
        <w:t xml:space="preserve"> </w:t>
      </w:r>
      <w:r w:rsidRPr="00D337FA">
        <w:rPr>
          <w:szCs w:val="24"/>
        </w:rPr>
        <w:t>и</w:t>
      </w:r>
      <w:r w:rsidR="006C680D" w:rsidRPr="00D337FA">
        <w:rPr>
          <w:szCs w:val="24"/>
        </w:rPr>
        <w:t xml:space="preserve"> </w:t>
      </w:r>
      <w:r w:rsidRPr="00D337FA">
        <w:rPr>
          <w:szCs w:val="24"/>
        </w:rPr>
        <w:t>интеграцию</w:t>
      </w:r>
      <w:r w:rsidR="006C680D" w:rsidRPr="00D337FA">
        <w:rPr>
          <w:szCs w:val="24"/>
        </w:rPr>
        <w:t xml:space="preserve"> </w:t>
      </w:r>
      <w:r w:rsidRPr="00D337FA">
        <w:rPr>
          <w:szCs w:val="24"/>
        </w:rPr>
        <w:t>с</w:t>
      </w:r>
      <w:r w:rsidR="006C680D" w:rsidRPr="00D337FA">
        <w:rPr>
          <w:szCs w:val="24"/>
        </w:rPr>
        <w:t xml:space="preserve"> </w:t>
      </w:r>
      <w:r w:rsidRPr="00D337FA">
        <w:rPr>
          <w:szCs w:val="24"/>
        </w:rPr>
        <w:t>бухгалтерскими</w:t>
      </w:r>
      <w:r w:rsidR="006C680D" w:rsidRPr="00D337FA">
        <w:rPr>
          <w:szCs w:val="24"/>
        </w:rPr>
        <w:t xml:space="preserve"> </w:t>
      </w:r>
      <w:r w:rsidRPr="00D337FA">
        <w:rPr>
          <w:szCs w:val="24"/>
        </w:rPr>
        <w:t>программами,</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оптимизировать</w:t>
      </w:r>
      <w:r w:rsidR="006C680D" w:rsidRPr="00D337FA">
        <w:rPr>
          <w:szCs w:val="24"/>
        </w:rPr>
        <w:t xml:space="preserve"> </w:t>
      </w:r>
      <w:r w:rsidRPr="00D337FA">
        <w:rPr>
          <w:szCs w:val="24"/>
        </w:rPr>
        <w:t>операционные</w:t>
      </w:r>
      <w:r w:rsidR="006C680D" w:rsidRPr="00D337FA">
        <w:rPr>
          <w:szCs w:val="24"/>
        </w:rPr>
        <w:t xml:space="preserve"> </w:t>
      </w:r>
      <w:r w:rsidRPr="00D337FA">
        <w:rPr>
          <w:szCs w:val="24"/>
        </w:rPr>
        <w:t>процессы</w:t>
      </w:r>
      <w:r w:rsidR="006C680D" w:rsidRPr="00D337FA">
        <w:rPr>
          <w:szCs w:val="24"/>
        </w:rPr>
        <w:t xml:space="preserve"> </w:t>
      </w:r>
      <w:r w:rsidRPr="00D337FA">
        <w:rPr>
          <w:szCs w:val="24"/>
        </w:rPr>
        <w:t>и</w:t>
      </w:r>
      <w:r w:rsidR="006C680D" w:rsidRPr="00D337FA">
        <w:rPr>
          <w:szCs w:val="24"/>
        </w:rPr>
        <w:t xml:space="preserve"> </w:t>
      </w:r>
      <w:r w:rsidRPr="00D337FA">
        <w:rPr>
          <w:szCs w:val="24"/>
        </w:rPr>
        <w:t>снизить</w:t>
      </w:r>
      <w:r w:rsidR="006C680D" w:rsidRPr="00D337FA">
        <w:rPr>
          <w:szCs w:val="24"/>
        </w:rPr>
        <w:t xml:space="preserve"> </w:t>
      </w:r>
      <w:r w:rsidRPr="00D337FA">
        <w:rPr>
          <w:szCs w:val="24"/>
        </w:rPr>
        <w:t>издержки.</w:t>
      </w:r>
    </w:p>
    <w:p w:rsidR="00E70CAD" w:rsidRPr="00D337FA" w:rsidRDefault="00E70CAD" w:rsidP="00E70CAD">
      <w:pPr>
        <w:ind w:firstLine="284"/>
        <w:rPr>
          <w:szCs w:val="24"/>
        </w:rPr>
      </w:pPr>
      <w:r w:rsidRPr="00D337FA">
        <w:rPr>
          <w:szCs w:val="24"/>
        </w:rPr>
        <w:t>ООО</w:t>
      </w:r>
      <w:r w:rsidR="006C680D" w:rsidRPr="00D337FA">
        <w:rPr>
          <w:szCs w:val="24"/>
        </w:rPr>
        <w:t xml:space="preserve"> </w:t>
      </w:r>
      <w:r w:rsidRPr="00D337FA">
        <w:rPr>
          <w:szCs w:val="24"/>
        </w:rPr>
        <w:t>«Банк</w:t>
      </w:r>
      <w:r w:rsidR="006C680D" w:rsidRPr="00D337FA">
        <w:rPr>
          <w:szCs w:val="24"/>
        </w:rPr>
        <w:t xml:space="preserve"> </w:t>
      </w:r>
      <w:r w:rsidRPr="00D337FA">
        <w:rPr>
          <w:szCs w:val="24"/>
        </w:rPr>
        <w:t>Точка»</w:t>
      </w:r>
      <w:r w:rsidR="006C680D" w:rsidRPr="00D337FA">
        <w:rPr>
          <w:szCs w:val="24"/>
        </w:rPr>
        <w:t xml:space="preserve"> </w:t>
      </w:r>
      <w:r w:rsidRPr="00D337FA">
        <w:rPr>
          <w:szCs w:val="24"/>
        </w:rPr>
        <w:t>развивает</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для</w:t>
      </w:r>
      <w:r w:rsidR="006C680D" w:rsidRPr="00D337FA">
        <w:rPr>
          <w:szCs w:val="24"/>
        </w:rPr>
        <w:t xml:space="preserve"> </w:t>
      </w:r>
      <w:r w:rsidRPr="00D337FA">
        <w:rPr>
          <w:szCs w:val="24"/>
        </w:rPr>
        <w:t>автоматизации</w:t>
      </w:r>
      <w:r w:rsidR="006C680D" w:rsidRPr="00D337FA">
        <w:rPr>
          <w:szCs w:val="24"/>
        </w:rPr>
        <w:t xml:space="preserve"> </w:t>
      </w:r>
      <w:r w:rsidRPr="00D337FA">
        <w:rPr>
          <w:szCs w:val="24"/>
        </w:rPr>
        <w:t>выплат</w:t>
      </w:r>
      <w:r w:rsidR="006C680D" w:rsidRPr="00D337FA">
        <w:rPr>
          <w:szCs w:val="24"/>
        </w:rPr>
        <w:t xml:space="preserve"> </w:t>
      </w:r>
      <w:r w:rsidRPr="00D337FA">
        <w:rPr>
          <w:szCs w:val="24"/>
        </w:rPr>
        <w:t>от</w:t>
      </w:r>
      <w:r w:rsidR="006C680D" w:rsidRPr="00D337FA">
        <w:rPr>
          <w:szCs w:val="24"/>
        </w:rPr>
        <w:t xml:space="preserve"> </w:t>
      </w:r>
      <w:r w:rsidRPr="00D337FA">
        <w:rPr>
          <w:szCs w:val="24"/>
        </w:rPr>
        <w:t>агрегаторов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таксопарков</w:t>
      </w:r>
      <w:r w:rsidR="006C680D" w:rsidRPr="00D337FA">
        <w:rPr>
          <w:szCs w:val="24"/>
        </w:rPr>
        <w:t xml:space="preserve"> </w:t>
      </w:r>
      <w:r w:rsidRPr="00D337FA">
        <w:rPr>
          <w:szCs w:val="24"/>
        </w:rPr>
        <w:t>и</w:t>
      </w:r>
      <w:r w:rsidR="006C680D" w:rsidRPr="00D337FA">
        <w:rPr>
          <w:szCs w:val="24"/>
        </w:rPr>
        <w:t xml:space="preserve"> </w:t>
      </w:r>
      <w:r w:rsidRPr="00D337FA">
        <w:rPr>
          <w:szCs w:val="24"/>
        </w:rPr>
        <w:t>помощь</w:t>
      </w:r>
      <w:r w:rsidR="006C680D" w:rsidRPr="00D337FA">
        <w:rPr>
          <w:szCs w:val="24"/>
        </w:rPr>
        <w:t xml:space="preserve"> </w:t>
      </w:r>
      <w:r w:rsidRPr="00D337FA">
        <w:rPr>
          <w:szCs w:val="24"/>
        </w:rPr>
        <w:t>в</w:t>
      </w:r>
      <w:r w:rsidR="006C680D" w:rsidRPr="00D337FA">
        <w:rPr>
          <w:szCs w:val="24"/>
        </w:rPr>
        <w:t xml:space="preserve"> </w:t>
      </w:r>
      <w:r w:rsidRPr="00D337FA">
        <w:rPr>
          <w:szCs w:val="24"/>
        </w:rPr>
        <w:t>выходе</w:t>
      </w:r>
      <w:r w:rsidR="006C680D" w:rsidRPr="00D337FA">
        <w:rPr>
          <w:szCs w:val="24"/>
        </w:rPr>
        <w:t xml:space="preserve"> </w:t>
      </w:r>
      <w:r w:rsidRPr="00D337FA">
        <w:rPr>
          <w:szCs w:val="24"/>
        </w:rPr>
        <w:t>на</w:t>
      </w:r>
      <w:r w:rsidR="006C680D" w:rsidRPr="00D337FA">
        <w:rPr>
          <w:szCs w:val="24"/>
        </w:rPr>
        <w:t xml:space="preserve"> </w:t>
      </w:r>
      <w:r w:rsidRPr="00D337FA">
        <w:rPr>
          <w:szCs w:val="24"/>
        </w:rPr>
        <w:t>международные</w:t>
      </w:r>
      <w:r w:rsidR="006C680D" w:rsidRPr="00D337FA">
        <w:rPr>
          <w:szCs w:val="24"/>
        </w:rPr>
        <w:t xml:space="preserve"> </w:t>
      </w:r>
      <w:r w:rsidRPr="00D337FA">
        <w:rPr>
          <w:szCs w:val="24"/>
        </w:rPr>
        <w:t>рынки</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отдел</w:t>
      </w:r>
      <w:r w:rsidR="006C680D" w:rsidRPr="00D337FA">
        <w:rPr>
          <w:szCs w:val="24"/>
        </w:rPr>
        <w:t xml:space="preserve"> </w:t>
      </w:r>
      <w:r w:rsidRPr="00D337FA">
        <w:rPr>
          <w:szCs w:val="24"/>
        </w:rPr>
        <w:t>валютных</w:t>
      </w:r>
      <w:r w:rsidR="006C680D" w:rsidRPr="00D337FA">
        <w:rPr>
          <w:szCs w:val="24"/>
        </w:rPr>
        <w:t xml:space="preserve"> </w:t>
      </w:r>
      <w:r w:rsidRPr="00D337FA">
        <w:rPr>
          <w:szCs w:val="24"/>
        </w:rPr>
        <w:t>операций.</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банке</w:t>
      </w:r>
      <w:r w:rsidR="006C680D" w:rsidRPr="00D337FA">
        <w:rPr>
          <w:szCs w:val="24"/>
        </w:rPr>
        <w:t xml:space="preserve"> </w:t>
      </w:r>
      <w:r w:rsidRPr="00D337FA">
        <w:rPr>
          <w:szCs w:val="24"/>
        </w:rPr>
        <w:t>есть</w:t>
      </w:r>
      <w:r w:rsidR="006C680D" w:rsidRPr="00D337FA">
        <w:rPr>
          <w:szCs w:val="24"/>
        </w:rPr>
        <w:t xml:space="preserve"> </w:t>
      </w:r>
      <w:r w:rsidRPr="00D337FA">
        <w:rPr>
          <w:szCs w:val="24"/>
        </w:rPr>
        <w:t>платформа</w:t>
      </w:r>
      <w:r w:rsidR="006C680D" w:rsidRPr="00D337FA">
        <w:rPr>
          <w:szCs w:val="24"/>
        </w:rPr>
        <w:t xml:space="preserve"> </w:t>
      </w:r>
      <w:r w:rsidRPr="00D337FA">
        <w:rPr>
          <w:szCs w:val="24"/>
        </w:rPr>
        <w:t>«Точка</w:t>
      </w:r>
      <w:r w:rsidR="006C680D" w:rsidRPr="00D337FA">
        <w:rPr>
          <w:szCs w:val="24"/>
        </w:rPr>
        <w:t xml:space="preserve"> </w:t>
      </w:r>
      <w:r w:rsidRPr="00D337FA">
        <w:rPr>
          <w:szCs w:val="24"/>
        </w:rPr>
        <w:t>Маркетплейсы».</w:t>
      </w:r>
      <w:r w:rsidR="006C680D" w:rsidRPr="00D337FA">
        <w:rPr>
          <w:szCs w:val="24"/>
        </w:rPr>
        <w:t xml:space="preserve"> </w:t>
      </w:r>
      <w:r w:rsidRPr="00D337FA">
        <w:rPr>
          <w:szCs w:val="24"/>
        </w:rPr>
        <w:t>Она</w:t>
      </w:r>
      <w:r w:rsidR="006C680D" w:rsidRPr="00D337FA">
        <w:rPr>
          <w:szCs w:val="24"/>
        </w:rPr>
        <w:t xml:space="preserve"> </w:t>
      </w:r>
      <w:r w:rsidRPr="00D337FA">
        <w:rPr>
          <w:szCs w:val="24"/>
        </w:rPr>
        <w:t>помогает</w:t>
      </w:r>
      <w:r w:rsidR="006C680D" w:rsidRPr="00D337FA">
        <w:rPr>
          <w:szCs w:val="24"/>
        </w:rPr>
        <w:t xml:space="preserve"> </w:t>
      </w:r>
      <w:r w:rsidRPr="00D337FA">
        <w:rPr>
          <w:szCs w:val="24"/>
        </w:rPr>
        <w:t>масштабировать</w:t>
      </w:r>
      <w:r w:rsidR="006C680D" w:rsidRPr="00D337FA">
        <w:rPr>
          <w:szCs w:val="24"/>
        </w:rPr>
        <w:t xml:space="preserve"> </w:t>
      </w:r>
      <w:r w:rsidRPr="00D337FA">
        <w:rPr>
          <w:szCs w:val="24"/>
        </w:rPr>
        <w:t>бизнес</w:t>
      </w:r>
      <w:r w:rsidR="006C680D" w:rsidRPr="00D337FA">
        <w:rPr>
          <w:szCs w:val="24"/>
        </w:rPr>
        <w:t xml:space="preserve"> </w:t>
      </w:r>
      <w:r w:rsidRPr="00D337FA">
        <w:rPr>
          <w:szCs w:val="24"/>
        </w:rPr>
        <w:t>на</w:t>
      </w:r>
      <w:r w:rsidR="006C680D" w:rsidRPr="00D337FA">
        <w:rPr>
          <w:szCs w:val="24"/>
        </w:rPr>
        <w:t xml:space="preserve"> </w:t>
      </w:r>
      <w:r w:rsidRPr="00D337FA">
        <w:rPr>
          <w:szCs w:val="24"/>
        </w:rPr>
        <w:t>популярных</w:t>
      </w:r>
      <w:r w:rsidR="006C680D" w:rsidRPr="00D337FA">
        <w:rPr>
          <w:szCs w:val="24"/>
        </w:rPr>
        <w:t xml:space="preserve"> </w:t>
      </w:r>
      <w:r w:rsidRPr="00D337FA">
        <w:rPr>
          <w:szCs w:val="24"/>
        </w:rPr>
        <w:t>онлайн-площадках</w:t>
      </w:r>
      <w:r w:rsidR="006C680D" w:rsidRPr="00D337FA">
        <w:rPr>
          <w:szCs w:val="24"/>
        </w:rPr>
        <w:t xml:space="preserve"> </w:t>
      </w:r>
      <w:r w:rsidRPr="00D337FA">
        <w:rPr>
          <w:szCs w:val="24"/>
        </w:rPr>
        <w:t>[6].</w:t>
      </w:r>
    </w:p>
    <w:p w:rsidR="00E70CAD" w:rsidRPr="00D337FA" w:rsidRDefault="00E70CAD" w:rsidP="00E70CAD">
      <w:pPr>
        <w:ind w:firstLine="284"/>
        <w:rPr>
          <w:szCs w:val="24"/>
        </w:rPr>
      </w:pPr>
      <w:r w:rsidRPr="00D337FA">
        <w:rPr>
          <w:szCs w:val="24"/>
        </w:rPr>
        <w:t>Наряду</w:t>
      </w:r>
      <w:r w:rsidR="006C680D" w:rsidRPr="00D337FA">
        <w:rPr>
          <w:szCs w:val="24"/>
        </w:rPr>
        <w:t xml:space="preserve"> </w:t>
      </w:r>
      <w:r w:rsidRPr="00D337FA">
        <w:rPr>
          <w:szCs w:val="24"/>
        </w:rPr>
        <w:t>с</w:t>
      </w:r>
      <w:r w:rsidR="006C680D" w:rsidRPr="00D337FA">
        <w:rPr>
          <w:szCs w:val="24"/>
        </w:rPr>
        <w:t xml:space="preserve"> </w:t>
      </w:r>
      <w:r w:rsidRPr="00D337FA">
        <w:rPr>
          <w:szCs w:val="24"/>
        </w:rPr>
        <w:t>кредитными</w:t>
      </w:r>
      <w:r w:rsidR="006C680D" w:rsidRPr="00D337FA">
        <w:rPr>
          <w:szCs w:val="24"/>
        </w:rPr>
        <w:t xml:space="preserve"> </w:t>
      </w:r>
      <w:r w:rsidRPr="00D337FA">
        <w:rPr>
          <w:szCs w:val="24"/>
        </w:rPr>
        <w:t>продуктами</w:t>
      </w:r>
      <w:r w:rsidR="006C680D" w:rsidRPr="00D337FA">
        <w:rPr>
          <w:szCs w:val="24"/>
        </w:rPr>
        <w:t xml:space="preserve"> </w:t>
      </w:r>
      <w:r w:rsidRPr="00D337FA">
        <w:rPr>
          <w:szCs w:val="24"/>
        </w:rPr>
        <w:t>для</w:t>
      </w:r>
      <w:r w:rsidR="006C680D" w:rsidRPr="00D337FA">
        <w:rPr>
          <w:szCs w:val="24"/>
        </w:rPr>
        <w:t xml:space="preserve"> </w:t>
      </w:r>
      <w:r w:rsidRPr="00D337FA">
        <w:rPr>
          <w:szCs w:val="24"/>
        </w:rPr>
        <w:t>определённых</w:t>
      </w:r>
      <w:r w:rsidR="006C680D" w:rsidRPr="00D337FA">
        <w:rPr>
          <w:szCs w:val="24"/>
        </w:rPr>
        <w:t xml:space="preserve"> </w:t>
      </w:r>
      <w:r w:rsidRPr="00D337FA">
        <w:rPr>
          <w:szCs w:val="24"/>
        </w:rPr>
        <w:t>отраслей</w:t>
      </w:r>
      <w:r w:rsidR="006C680D" w:rsidRPr="00D337FA">
        <w:rPr>
          <w:szCs w:val="24"/>
        </w:rPr>
        <w:t xml:space="preserve"> </w:t>
      </w:r>
      <w:r w:rsidRPr="00D337FA">
        <w:rPr>
          <w:szCs w:val="24"/>
        </w:rPr>
        <w:t>(агробизнес,</w:t>
      </w:r>
      <w:r w:rsidR="006C680D" w:rsidRPr="00D337FA">
        <w:rPr>
          <w:szCs w:val="24"/>
        </w:rPr>
        <w:t xml:space="preserve"> </w:t>
      </w:r>
      <w:r w:rsidRPr="00D337FA">
        <w:rPr>
          <w:szCs w:val="24"/>
        </w:rPr>
        <w:t>IT-сектор,</w:t>
      </w:r>
      <w:r w:rsidR="006C680D" w:rsidRPr="00D337FA">
        <w:rPr>
          <w:szCs w:val="24"/>
        </w:rPr>
        <w:t xml:space="preserve"> </w:t>
      </w:r>
      <w:r w:rsidRPr="00D337FA">
        <w:rPr>
          <w:szCs w:val="24"/>
        </w:rPr>
        <w:t>промышленность),</w:t>
      </w:r>
      <w:r w:rsidR="006C680D" w:rsidRPr="00D337FA">
        <w:rPr>
          <w:szCs w:val="24"/>
        </w:rPr>
        <w:t xml:space="preserve"> </w:t>
      </w:r>
      <w:r w:rsidRPr="00D337FA">
        <w:rPr>
          <w:szCs w:val="24"/>
        </w:rPr>
        <w:t>лизингом</w:t>
      </w:r>
      <w:r w:rsidR="006C680D" w:rsidRPr="00D337FA">
        <w:rPr>
          <w:szCs w:val="24"/>
        </w:rPr>
        <w:t xml:space="preserve"> </w:t>
      </w:r>
      <w:r w:rsidRPr="00D337FA">
        <w:rPr>
          <w:szCs w:val="24"/>
        </w:rPr>
        <w:t>и</w:t>
      </w:r>
      <w:r w:rsidR="006C680D" w:rsidRPr="00D337FA">
        <w:rPr>
          <w:szCs w:val="24"/>
        </w:rPr>
        <w:t xml:space="preserve"> </w:t>
      </w:r>
      <w:r w:rsidRPr="00D337FA">
        <w:rPr>
          <w:szCs w:val="24"/>
        </w:rPr>
        <w:t>факторингом</w:t>
      </w:r>
      <w:r w:rsidR="006C680D" w:rsidRPr="00D337FA">
        <w:rPr>
          <w:szCs w:val="24"/>
        </w:rPr>
        <w:t xml:space="preserve"> </w:t>
      </w:r>
      <w:r w:rsidRPr="00D337FA">
        <w:rPr>
          <w:szCs w:val="24"/>
        </w:rPr>
        <w:t>получает</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краудлендинг.</w:t>
      </w:r>
      <w:r w:rsidR="006C680D" w:rsidRPr="00D337FA">
        <w:rPr>
          <w:szCs w:val="24"/>
        </w:rPr>
        <w:t xml:space="preserve"> </w:t>
      </w:r>
      <w:r w:rsidRPr="00D337FA">
        <w:rPr>
          <w:szCs w:val="24"/>
        </w:rPr>
        <w:t>Платформа</w:t>
      </w:r>
      <w:r w:rsidR="006C680D" w:rsidRPr="00D337FA">
        <w:rPr>
          <w:szCs w:val="24"/>
        </w:rPr>
        <w:t xml:space="preserve"> </w:t>
      </w:r>
      <w:r w:rsidRPr="00D337FA">
        <w:rPr>
          <w:szCs w:val="24"/>
        </w:rPr>
        <w:t>JetLend</w:t>
      </w:r>
      <w:r w:rsidR="006C680D" w:rsidRPr="00D337FA">
        <w:rPr>
          <w:szCs w:val="24"/>
        </w:rPr>
        <w:t xml:space="preserve"> </w:t>
      </w:r>
      <w:r w:rsidRPr="00D337FA">
        <w:rPr>
          <w:szCs w:val="24"/>
        </w:rPr>
        <w:t>обеспечивает</w:t>
      </w:r>
      <w:r w:rsidR="006C680D" w:rsidRPr="00D337FA">
        <w:rPr>
          <w:szCs w:val="24"/>
        </w:rPr>
        <w:t xml:space="preserve"> </w:t>
      </w:r>
      <w:r w:rsidRPr="00D337FA">
        <w:rPr>
          <w:szCs w:val="24"/>
        </w:rPr>
        <w:t>малому</w:t>
      </w:r>
      <w:r w:rsidR="006C680D" w:rsidRPr="00D337FA">
        <w:rPr>
          <w:szCs w:val="24"/>
        </w:rPr>
        <w:t xml:space="preserve"> </w:t>
      </w:r>
      <w:r w:rsidRPr="00D337FA">
        <w:rPr>
          <w:szCs w:val="24"/>
        </w:rPr>
        <w:t>бизнесу</w:t>
      </w:r>
      <w:r w:rsidR="006C680D" w:rsidRPr="00D337FA">
        <w:rPr>
          <w:szCs w:val="24"/>
        </w:rPr>
        <w:t xml:space="preserve"> </w:t>
      </w:r>
      <w:r w:rsidRPr="00D337FA">
        <w:rPr>
          <w:szCs w:val="24"/>
        </w:rPr>
        <w:t>финансирование</w:t>
      </w:r>
      <w:r w:rsidR="006C680D" w:rsidRPr="00D337FA">
        <w:rPr>
          <w:szCs w:val="24"/>
        </w:rPr>
        <w:t xml:space="preserve"> </w:t>
      </w:r>
      <w:r w:rsidRPr="00D337FA">
        <w:rPr>
          <w:szCs w:val="24"/>
        </w:rPr>
        <w:t>от</w:t>
      </w:r>
      <w:r w:rsidR="006C680D" w:rsidRPr="00D337FA">
        <w:rPr>
          <w:szCs w:val="24"/>
        </w:rPr>
        <w:t xml:space="preserve"> </w:t>
      </w:r>
      <w:r w:rsidRPr="00D337FA">
        <w:rPr>
          <w:szCs w:val="24"/>
        </w:rPr>
        <w:t>частных</w:t>
      </w:r>
      <w:r w:rsidR="006C680D" w:rsidRPr="00D337FA">
        <w:rPr>
          <w:szCs w:val="24"/>
        </w:rPr>
        <w:t xml:space="preserve"> </w:t>
      </w:r>
      <w:r w:rsidRPr="00D337FA">
        <w:rPr>
          <w:szCs w:val="24"/>
        </w:rPr>
        <w:t>инвесторов.</w:t>
      </w:r>
      <w:r w:rsidR="006C680D" w:rsidRPr="00D337FA">
        <w:rPr>
          <w:szCs w:val="24"/>
        </w:rPr>
        <w:t xml:space="preserve"> </w:t>
      </w:r>
      <w:r w:rsidRPr="00D337FA">
        <w:rPr>
          <w:szCs w:val="24"/>
        </w:rPr>
        <w:t>В</w:t>
      </w:r>
      <w:r w:rsidR="006C680D" w:rsidRPr="00D337FA">
        <w:rPr>
          <w:szCs w:val="24"/>
        </w:rPr>
        <w:t xml:space="preserve"> </w:t>
      </w:r>
      <w:r w:rsidRPr="00D337FA">
        <w:rPr>
          <w:szCs w:val="24"/>
        </w:rPr>
        <w:t>2024</w:t>
      </w:r>
      <w:r w:rsidR="006C680D" w:rsidRPr="00D337FA">
        <w:rPr>
          <w:szCs w:val="24"/>
        </w:rPr>
        <w:t xml:space="preserve"> </w:t>
      </w:r>
      <w:r w:rsidRPr="00D337FA">
        <w:rPr>
          <w:szCs w:val="24"/>
        </w:rPr>
        <w:t>г.</w:t>
      </w:r>
      <w:r w:rsidR="006C680D" w:rsidRPr="00D337FA">
        <w:rPr>
          <w:szCs w:val="24"/>
        </w:rPr>
        <w:t xml:space="preserve"> </w:t>
      </w:r>
      <w:r w:rsidRPr="00D337FA">
        <w:rPr>
          <w:szCs w:val="24"/>
        </w:rPr>
        <w:t>объём</w:t>
      </w:r>
      <w:r w:rsidR="006C680D" w:rsidRPr="00D337FA">
        <w:rPr>
          <w:szCs w:val="24"/>
        </w:rPr>
        <w:t xml:space="preserve"> </w:t>
      </w:r>
      <w:r w:rsidRPr="00D337FA">
        <w:rPr>
          <w:szCs w:val="24"/>
        </w:rPr>
        <w:t>онлайн-микрозаймов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и</w:t>
      </w:r>
      <w:r w:rsidR="006C680D" w:rsidRPr="00D337FA">
        <w:rPr>
          <w:szCs w:val="24"/>
        </w:rPr>
        <w:t xml:space="preserve"> </w:t>
      </w:r>
      <w:r w:rsidRPr="00D337FA">
        <w:rPr>
          <w:szCs w:val="24"/>
        </w:rPr>
        <w:t>среднего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достиг</w:t>
      </w:r>
      <w:r w:rsidR="006C680D" w:rsidRPr="00D337FA">
        <w:rPr>
          <w:szCs w:val="24"/>
        </w:rPr>
        <w:t xml:space="preserve"> </w:t>
      </w:r>
      <w:r w:rsidRPr="00D337FA">
        <w:rPr>
          <w:szCs w:val="24"/>
        </w:rPr>
        <w:t>66,5</w:t>
      </w:r>
      <w:r w:rsidR="006C680D" w:rsidRPr="00D337FA">
        <w:rPr>
          <w:szCs w:val="24"/>
        </w:rPr>
        <w:t xml:space="preserve"> </w:t>
      </w:r>
      <w:r w:rsidRPr="00D337FA">
        <w:rPr>
          <w:szCs w:val="24"/>
        </w:rPr>
        <w:t>млрд</w:t>
      </w:r>
      <w:r w:rsidR="006C680D" w:rsidRPr="00D337FA">
        <w:rPr>
          <w:szCs w:val="24"/>
        </w:rPr>
        <w:t xml:space="preserve"> </w:t>
      </w:r>
      <w:r w:rsidRPr="00D337FA">
        <w:rPr>
          <w:szCs w:val="24"/>
        </w:rPr>
        <w:t>рублей,</w:t>
      </w:r>
      <w:r w:rsidR="006C680D" w:rsidRPr="00D337FA">
        <w:rPr>
          <w:szCs w:val="24"/>
        </w:rPr>
        <w:t xml:space="preserve"> </w:t>
      </w:r>
      <w:r w:rsidRPr="00D337FA">
        <w:rPr>
          <w:szCs w:val="24"/>
        </w:rPr>
        <w:t>увеличившись</w:t>
      </w:r>
      <w:r w:rsidR="006C680D" w:rsidRPr="00D337FA">
        <w:rPr>
          <w:szCs w:val="24"/>
        </w:rPr>
        <w:t xml:space="preserve"> </w:t>
      </w:r>
      <w:r w:rsidRPr="00D337FA">
        <w:rPr>
          <w:szCs w:val="24"/>
        </w:rPr>
        <w:t>на</w:t>
      </w:r>
      <w:r w:rsidR="006C680D" w:rsidRPr="00D337FA">
        <w:rPr>
          <w:szCs w:val="24"/>
        </w:rPr>
        <w:t xml:space="preserve"> </w:t>
      </w:r>
      <w:r w:rsidRPr="00D337FA">
        <w:rPr>
          <w:szCs w:val="24"/>
        </w:rPr>
        <w:t>58</w:t>
      </w:r>
      <w:r w:rsidR="006C680D" w:rsidRPr="00D337FA">
        <w:rPr>
          <w:szCs w:val="24"/>
        </w:rPr>
        <w:t xml:space="preserve"> </w:t>
      </w:r>
      <w:r w:rsidRPr="00D337FA">
        <w:rPr>
          <w:szCs w:val="24"/>
        </w:rPr>
        <w:t>%,</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половины</w:t>
      </w:r>
      <w:r w:rsidR="006C680D" w:rsidRPr="00D337FA">
        <w:rPr>
          <w:szCs w:val="24"/>
        </w:rPr>
        <w:t xml:space="preserve"> </w:t>
      </w:r>
      <w:r w:rsidRPr="00D337FA">
        <w:rPr>
          <w:szCs w:val="24"/>
        </w:rPr>
        <w:t>сделок</w:t>
      </w:r>
      <w:r w:rsidR="006C680D" w:rsidRPr="00D337FA">
        <w:rPr>
          <w:szCs w:val="24"/>
        </w:rPr>
        <w:t xml:space="preserve"> </w:t>
      </w:r>
      <w:r w:rsidRPr="00D337FA">
        <w:rPr>
          <w:szCs w:val="24"/>
        </w:rPr>
        <w:t>были</w:t>
      </w:r>
      <w:r w:rsidR="006C680D" w:rsidRPr="00D337FA">
        <w:rPr>
          <w:szCs w:val="24"/>
        </w:rPr>
        <w:t xml:space="preserve"> </w:t>
      </w:r>
      <w:r w:rsidRPr="00D337FA">
        <w:rPr>
          <w:szCs w:val="24"/>
        </w:rPr>
        <w:t>совершены</w:t>
      </w:r>
      <w:r w:rsidR="006C680D" w:rsidRPr="00D337FA">
        <w:rPr>
          <w:szCs w:val="24"/>
        </w:rPr>
        <w:t xml:space="preserve"> </w:t>
      </w:r>
      <w:r w:rsidRPr="00D337FA">
        <w:rPr>
          <w:szCs w:val="24"/>
        </w:rPr>
        <w:t>в</w:t>
      </w:r>
      <w:r w:rsidR="006C680D" w:rsidRPr="00D337FA">
        <w:rPr>
          <w:szCs w:val="24"/>
        </w:rPr>
        <w:t xml:space="preserve"> </w:t>
      </w:r>
      <w:r w:rsidRPr="00D337FA">
        <w:rPr>
          <w:szCs w:val="24"/>
        </w:rPr>
        <w:t>дистанционном</w:t>
      </w:r>
      <w:r w:rsidR="006C680D" w:rsidRPr="00D337FA">
        <w:rPr>
          <w:szCs w:val="24"/>
        </w:rPr>
        <w:t xml:space="preserve"> </w:t>
      </w:r>
      <w:r w:rsidRPr="00D337FA">
        <w:rPr>
          <w:szCs w:val="24"/>
        </w:rPr>
        <w:t>формате</w:t>
      </w:r>
      <w:r w:rsidR="006C680D" w:rsidRPr="00D337FA">
        <w:rPr>
          <w:szCs w:val="24"/>
        </w:rPr>
        <w:t xml:space="preserve"> </w:t>
      </w:r>
      <w:r w:rsidRPr="00D337FA">
        <w:rPr>
          <w:szCs w:val="24"/>
        </w:rPr>
        <w:t>[9].</w:t>
      </w:r>
    </w:p>
    <w:p w:rsidR="00E70CAD" w:rsidRPr="00D337FA" w:rsidRDefault="00E70CAD" w:rsidP="00E70CAD">
      <w:pPr>
        <w:ind w:firstLine="284"/>
        <w:rPr>
          <w:szCs w:val="24"/>
        </w:rPr>
      </w:pPr>
      <w:r w:rsidRPr="00D337FA">
        <w:rPr>
          <w:szCs w:val="24"/>
        </w:rPr>
        <w:t>Дальнейшее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получает</w:t>
      </w:r>
      <w:r w:rsidR="006C680D" w:rsidRPr="00D337FA">
        <w:rPr>
          <w:szCs w:val="24"/>
        </w:rPr>
        <w:t xml:space="preserve"> </w:t>
      </w:r>
      <w:r w:rsidRPr="00D337FA">
        <w:rPr>
          <w:szCs w:val="24"/>
        </w:rPr>
        <w:t>цифровое</w:t>
      </w:r>
      <w:r w:rsidR="006C680D" w:rsidRPr="00D337FA">
        <w:rPr>
          <w:szCs w:val="24"/>
        </w:rPr>
        <w:t xml:space="preserve"> </w:t>
      </w:r>
      <w:r w:rsidRPr="00D337FA">
        <w:rPr>
          <w:szCs w:val="24"/>
        </w:rPr>
        <w:t>кредитование,</w:t>
      </w:r>
      <w:r w:rsidR="006C680D" w:rsidRPr="00D337FA">
        <w:rPr>
          <w:szCs w:val="24"/>
        </w:rPr>
        <w:t xml:space="preserve"> </w:t>
      </w:r>
      <w:r w:rsidRPr="00D337FA">
        <w:rPr>
          <w:szCs w:val="24"/>
        </w:rPr>
        <w:t>где</w:t>
      </w:r>
      <w:r w:rsidR="006C680D" w:rsidRPr="00D337FA">
        <w:rPr>
          <w:szCs w:val="24"/>
        </w:rPr>
        <w:t xml:space="preserve"> </w:t>
      </w:r>
      <w:r w:rsidRPr="00D337FA">
        <w:rPr>
          <w:szCs w:val="24"/>
        </w:rPr>
        <w:t>используются</w:t>
      </w:r>
      <w:r w:rsidR="006C680D" w:rsidRPr="00D337FA">
        <w:rPr>
          <w:szCs w:val="24"/>
        </w:rPr>
        <w:t xml:space="preserve"> </w:t>
      </w:r>
      <w:r w:rsidRPr="00D337FA">
        <w:rPr>
          <w:szCs w:val="24"/>
        </w:rPr>
        <w:t>автоматизированные</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андеррайтинга,</w:t>
      </w:r>
      <w:r w:rsidR="006C680D" w:rsidRPr="00D337FA">
        <w:rPr>
          <w:szCs w:val="24"/>
        </w:rPr>
        <w:t xml:space="preserve"> </w:t>
      </w:r>
      <w:r w:rsidRPr="00D337FA">
        <w:rPr>
          <w:szCs w:val="24"/>
        </w:rPr>
        <w:t>BigData</w:t>
      </w:r>
      <w:r w:rsidR="006C680D" w:rsidRPr="00D337FA">
        <w:rPr>
          <w:szCs w:val="24"/>
        </w:rPr>
        <w:t xml:space="preserve"> </w:t>
      </w:r>
      <w:r w:rsidRPr="00D337FA">
        <w:rPr>
          <w:szCs w:val="24"/>
        </w:rPr>
        <w:t>и</w:t>
      </w:r>
      <w:r w:rsidR="006C680D" w:rsidRPr="00D337FA">
        <w:rPr>
          <w:szCs w:val="24"/>
        </w:rPr>
        <w:t xml:space="preserve"> </w:t>
      </w:r>
      <w:r w:rsidRPr="00D337FA">
        <w:rPr>
          <w:szCs w:val="24"/>
        </w:rPr>
        <w:t>интеграция</w:t>
      </w:r>
      <w:r w:rsidR="006C680D" w:rsidRPr="00D337FA">
        <w:rPr>
          <w:szCs w:val="24"/>
        </w:rPr>
        <w:t xml:space="preserve"> </w:t>
      </w:r>
      <w:r w:rsidRPr="00D337FA">
        <w:rPr>
          <w:szCs w:val="24"/>
        </w:rPr>
        <w:t>с</w:t>
      </w:r>
      <w:r w:rsidR="006C680D" w:rsidRPr="00D337FA">
        <w:rPr>
          <w:szCs w:val="24"/>
        </w:rPr>
        <w:t xml:space="preserve"> </w:t>
      </w:r>
      <w:r w:rsidRPr="00D337FA">
        <w:rPr>
          <w:szCs w:val="24"/>
        </w:rPr>
        <w:t>внешними</w:t>
      </w:r>
      <w:r w:rsidR="006C680D" w:rsidRPr="00D337FA">
        <w:rPr>
          <w:szCs w:val="24"/>
        </w:rPr>
        <w:t xml:space="preserve"> </w:t>
      </w:r>
      <w:r w:rsidRPr="00D337FA">
        <w:rPr>
          <w:szCs w:val="24"/>
        </w:rPr>
        <w:t>цифровыми</w:t>
      </w:r>
      <w:r w:rsidR="006C680D" w:rsidRPr="00D337FA">
        <w:rPr>
          <w:szCs w:val="24"/>
        </w:rPr>
        <w:t xml:space="preserve"> </w:t>
      </w:r>
      <w:r w:rsidRPr="00D337FA">
        <w:rPr>
          <w:szCs w:val="24"/>
        </w:rPr>
        <w:t>платформами.</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внедряют</w:t>
      </w:r>
      <w:r w:rsidR="006C680D" w:rsidRPr="00D337FA">
        <w:rPr>
          <w:szCs w:val="24"/>
        </w:rPr>
        <w:t xml:space="preserve"> </w:t>
      </w:r>
      <w:r w:rsidRPr="00D337FA">
        <w:rPr>
          <w:szCs w:val="24"/>
        </w:rPr>
        <w:t>API-решения,</w:t>
      </w:r>
      <w:r w:rsidR="006C680D" w:rsidRPr="00D337FA">
        <w:rPr>
          <w:szCs w:val="24"/>
        </w:rPr>
        <w:t xml:space="preserve"> </w:t>
      </w:r>
      <w:r w:rsidRPr="00D337FA">
        <w:rPr>
          <w:szCs w:val="24"/>
        </w:rPr>
        <w:t>позволяющие</w:t>
      </w:r>
      <w:r w:rsidR="006C680D" w:rsidRPr="00D337FA">
        <w:rPr>
          <w:szCs w:val="24"/>
        </w:rPr>
        <w:t xml:space="preserve"> </w:t>
      </w:r>
      <w:r w:rsidRPr="00D337FA">
        <w:rPr>
          <w:szCs w:val="24"/>
        </w:rPr>
        <w:t>адаптировать</w:t>
      </w:r>
      <w:r w:rsidR="006C680D" w:rsidRPr="00D337FA">
        <w:rPr>
          <w:szCs w:val="24"/>
        </w:rPr>
        <w:t xml:space="preserve"> </w:t>
      </w:r>
      <w:r w:rsidRPr="00D337FA">
        <w:rPr>
          <w:szCs w:val="24"/>
        </w:rPr>
        <w:lastRenderedPageBreak/>
        <w:t>условия</w:t>
      </w:r>
      <w:r w:rsidR="006C680D" w:rsidRPr="00D337FA">
        <w:rPr>
          <w:szCs w:val="24"/>
        </w:rPr>
        <w:t xml:space="preserve"> </w:t>
      </w:r>
      <w:r w:rsidRPr="00D337FA">
        <w:rPr>
          <w:szCs w:val="24"/>
        </w:rPr>
        <w:t>финансирования</w:t>
      </w:r>
      <w:r w:rsidR="006C680D" w:rsidRPr="00D337FA">
        <w:rPr>
          <w:szCs w:val="24"/>
        </w:rPr>
        <w:t xml:space="preserve"> </w:t>
      </w:r>
      <w:r w:rsidRPr="00D337FA">
        <w:rPr>
          <w:szCs w:val="24"/>
        </w:rPr>
        <w:t>к</w:t>
      </w:r>
      <w:r w:rsidR="006C680D" w:rsidRPr="00D337FA">
        <w:rPr>
          <w:szCs w:val="24"/>
        </w:rPr>
        <w:t xml:space="preserve"> </w:t>
      </w:r>
      <w:r w:rsidRPr="00D337FA">
        <w:rPr>
          <w:szCs w:val="24"/>
        </w:rPr>
        <w:t>индивидуальным</w:t>
      </w:r>
      <w:r w:rsidR="006C680D" w:rsidRPr="00D337FA">
        <w:rPr>
          <w:szCs w:val="24"/>
        </w:rPr>
        <w:t xml:space="preserve"> </w:t>
      </w:r>
      <w:r w:rsidRPr="00D337FA">
        <w:rPr>
          <w:szCs w:val="24"/>
        </w:rPr>
        <w:t>параметрам</w:t>
      </w:r>
      <w:r w:rsidR="006C680D" w:rsidRPr="00D337FA">
        <w:rPr>
          <w:szCs w:val="24"/>
        </w:rPr>
        <w:t xml:space="preserve"> </w:t>
      </w:r>
      <w:r w:rsidRPr="00D337FA">
        <w:rPr>
          <w:szCs w:val="24"/>
        </w:rPr>
        <w:t>бизнеса.</w:t>
      </w:r>
      <w:r w:rsidR="006C680D" w:rsidRPr="00D337FA">
        <w:rPr>
          <w:szCs w:val="24"/>
        </w:rPr>
        <w:t xml:space="preserve"> </w:t>
      </w:r>
    </w:p>
    <w:p w:rsidR="00E70CAD" w:rsidRPr="00D337FA" w:rsidRDefault="00E70CAD" w:rsidP="00E70CAD">
      <w:pPr>
        <w:ind w:firstLine="284"/>
        <w:rPr>
          <w:szCs w:val="24"/>
        </w:rPr>
      </w:pPr>
      <w:r w:rsidRPr="00D337FA">
        <w:rPr>
          <w:szCs w:val="24"/>
        </w:rPr>
        <w:t>Развитие</w:t>
      </w:r>
      <w:r w:rsidR="006C680D" w:rsidRPr="00D337FA">
        <w:rPr>
          <w:szCs w:val="24"/>
        </w:rPr>
        <w:t xml:space="preserve"> </w:t>
      </w:r>
      <w:r w:rsidRPr="00D337FA">
        <w:rPr>
          <w:szCs w:val="24"/>
        </w:rPr>
        <w:t>нефинансовых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становится</w:t>
      </w:r>
      <w:r w:rsidR="006C680D" w:rsidRPr="00D337FA">
        <w:rPr>
          <w:szCs w:val="24"/>
        </w:rPr>
        <w:t xml:space="preserve"> </w:t>
      </w:r>
      <w:r w:rsidRPr="00D337FA">
        <w:rPr>
          <w:szCs w:val="24"/>
        </w:rPr>
        <w:t>неотъемлемой</w:t>
      </w:r>
      <w:r w:rsidR="006C680D" w:rsidRPr="00D337FA">
        <w:rPr>
          <w:szCs w:val="24"/>
        </w:rPr>
        <w:t xml:space="preserve"> </w:t>
      </w:r>
      <w:r w:rsidRPr="00D337FA">
        <w:rPr>
          <w:szCs w:val="24"/>
        </w:rPr>
        <w:t>частью</w:t>
      </w:r>
      <w:r w:rsidR="006C680D" w:rsidRPr="00D337FA">
        <w:rPr>
          <w:szCs w:val="24"/>
        </w:rPr>
        <w:t xml:space="preserve"> </w:t>
      </w:r>
      <w:r w:rsidRPr="00D337FA">
        <w:rPr>
          <w:szCs w:val="24"/>
        </w:rPr>
        <w:t>банковской</w:t>
      </w:r>
      <w:r w:rsidR="006C680D" w:rsidRPr="00D337FA">
        <w:rPr>
          <w:szCs w:val="24"/>
        </w:rPr>
        <w:t xml:space="preserve"> </w:t>
      </w:r>
      <w:r w:rsidRPr="00D337FA">
        <w:rPr>
          <w:szCs w:val="24"/>
        </w:rPr>
        <w:t>экосистемы,</w:t>
      </w:r>
      <w:r w:rsidR="006C680D" w:rsidRPr="00D337FA">
        <w:rPr>
          <w:szCs w:val="24"/>
        </w:rPr>
        <w:t xml:space="preserve"> </w:t>
      </w:r>
      <w:r w:rsidRPr="00D337FA">
        <w:rPr>
          <w:szCs w:val="24"/>
        </w:rPr>
        <w:t>направленной</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всестороннюю</w:t>
      </w:r>
      <w:r w:rsidR="006C680D" w:rsidRPr="00D337FA">
        <w:rPr>
          <w:szCs w:val="24"/>
        </w:rPr>
        <w:t xml:space="preserve"> </w:t>
      </w:r>
      <w:r w:rsidRPr="00D337FA">
        <w:rPr>
          <w:szCs w:val="24"/>
        </w:rPr>
        <w:t>поддержку</w:t>
      </w:r>
      <w:r w:rsidR="006C680D" w:rsidRPr="00D337FA">
        <w:rPr>
          <w:szCs w:val="24"/>
        </w:rPr>
        <w:t xml:space="preserve"> </w:t>
      </w:r>
      <w:r w:rsidRPr="00D337FA">
        <w:rPr>
          <w:szCs w:val="24"/>
        </w:rPr>
        <w:t>бизнеса.</w:t>
      </w:r>
    </w:p>
    <w:p w:rsidR="00E70CAD" w:rsidRPr="00D337FA" w:rsidRDefault="00E70CAD" w:rsidP="00E70CAD">
      <w:pPr>
        <w:ind w:firstLine="284"/>
        <w:rPr>
          <w:szCs w:val="24"/>
        </w:rPr>
      </w:pPr>
      <w:r w:rsidRPr="00D337FA">
        <w:rPr>
          <w:szCs w:val="24"/>
        </w:rPr>
        <w:t>Исследование</w:t>
      </w:r>
      <w:r w:rsidR="006C680D" w:rsidRPr="00D337FA">
        <w:rPr>
          <w:szCs w:val="24"/>
        </w:rPr>
        <w:t xml:space="preserve"> </w:t>
      </w:r>
      <w:r w:rsidRPr="00D337FA">
        <w:rPr>
          <w:szCs w:val="24"/>
        </w:rPr>
        <w:t>Frank</w:t>
      </w:r>
      <w:r w:rsidR="006C680D" w:rsidRPr="00D337FA">
        <w:rPr>
          <w:szCs w:val="24"/>
        </w:rPr>
        <w:t xml:space="preserve"> </w:t>
      </w:r>
      <w:r w:rsidRPr="00D337FA">
        <w:rPr>
          <w:szCs w:val="24"/>
        </w:rPr>
        <w:t>RG</w:t>
      </w:r>
      <w:r w:rsidR="006C680D" w:rsidRPr="00D337FA">
        <w:rPr>
          <w:szCs w:val="24"/>
        </w:rPr>
        <w:t xml:space="preserve"> </w:t>
      </w:r>
      <w:r w:rsidRPr="00D337FA">
        <w:rPr>
          <w:szCs w:val="24"/>
        </w:rPr>
        <w:t>«Небанковские</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2024»</w:t>
      </w:r>
      <w:r w:rsidR="006C680D" w:rsidRPr="00D337FA">
        <w:rPr>
          <w:szCs w:val="24"/>
        </w:rPr>
        <w:t xml:space="preserve"> </w:t>
      </w:r>
      <w:r w:rsidRPr="00D337FA">
        <w:rPr>
          <w:szCs w:val="24"/>
        </w:rPr>
        <w:t>выявило,</w:t>
      </w:r>
      <w:r w:rsidR="006C680D" w:rsidRPr="00D337FA">
        <w:rPr>
          <w:szCs w:val="24"/>
        </w:rPr>
        <w:t xml:space="preserve"> </w:t>
      </w:r>
      <w:r w:rsidRPr="00D337FA">
        <w:rPr>
          <w:szCs w:val="24"/>
        </w:rPr>
        <w:t>что</w:t>
      </w:r>
      <w:r w:rsidR="006C680D" w:rsidRPr="00D337FA">
        <w:rPr>
          <w:szCs w:val="24"/>
        </w:rPr>
        <w:t xml:space="preserve"> </w:t>
      </w:r>
      <w:r w:rsidRPr="00D337FA">
        <w:rPr>
          <w:szCs w:val="24"/>
        </w:rPr>
        <w:t>72%</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предпочли</w:t>
      </w:r>
      <w:r w:rsidR="006C680D" w:rsidRPr="00D337FA">
        <w:rPr>
          <w:szCs w:val="24"/>
        </w:rPr>
        <w:t xml:space="preserve"> </w:t>
      </w:r>
      <w:r w:rsidRPr="00D337FA">
        <w:rPr>
          <w:szCs w:val="24"/>
        </w:rPr>
        <w:t>бы</w:t>
      </w:r>
      <w:r w:rsidR="006C680D" w:rsidRPr="00D337FA">
        <w:rPr>
          <w:szCs w:val="24"/>
        </w:rPr>
        <w:t xml:space="preserve"> </w:t>
      </w:r>
      <w:r w:rsidRPr="00D337FA">
        <w:rPr>
          <w:szCs w:val="24"/>
        </w:rPr>
        <w:t>обслуживаться</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банке,</w:t>
      </w:r>
      <w:r w:rsidR="006C680D" w:rsidRPr="00D337FA">
        <w:rPr>
          <w:szCs w:val="24"/>
        </w:rPr>
        <w:t xml:space="preserve"> </w:t>
      </w:r>
      <w:r w:rsidRPr="00D337FA">
        <w:rPr>
          <w:szCs w:val="24"/>
        </w:rPr>
        <w:t>предоставляющем</w:t>
      </w:r>
      <w:r w:rsidR="006C680D" w:rsidRPr="00D337FA">
        <w:rPr>
          <w:szCs w:val="24"/>
        </w:rPr>
        <w:t xml:space="preserve"> </w:t>
      </w:r>
      <w:r w:rsidRPr="00D337FA">
        <w:rPr>
          <w:szCs w:val="24"/>
        </w:rPr>
        <w:t>как</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нефинансовые</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половины</w:t>
      </w:r>
      <w:r w:rsidR="006C680D" w:rsidRPr="00D337FA">
        <w:rPr>
          <w:szCs w:val="24"/>
        </w:rPr>
        <w:t xml:space="preserve"> </w:t>
      </w:r>
      <w:r w:rsidRPr="00D337FA">
        <w:rPr>
          <w:szCs w:val="24"/>
        </w:rPr>
        <w:t>опрошенных</w:t>
      </w:r>
      <w:r w:rsidR="006C680D" w:rsidRPr="00D337FA">
        <w:rPr>
          <w:szCs w:val="24"/>
        </w:rPr>
        <w:t xml:space="preserve"> </w:t>
      </w:r>
      <w:r w:rsidRPr="00D337FA">
        <w:rPr>
          <w:szCs w:val="24"/>
        </w:rPr>
        <w:t>(52%)</w:t>
      </w:r>
      <w:r w:rsidR="006C680D" w:rsidRPr="00D337FA">
        <w:rPr>
          <w:szCs w:val="24"/>
        </w:rPr>
        <w:t xml:space="preserve"> </w:t>
      </w:r>
      <w:r w:rsidRPr="00D337FA">
        <w:rPr>
          <w:szCs w:val="24"/>
        </w:rPr>
        <w:t>выразили</w:t>
      </w:r>
      <w:r w:rsidR="006C680D" w:rsidRPr="00D337FA">
        <w:rPr>
          <w:szCs w:val="24"/>
        </w:rPr>
        <w:t xml:space="preserve"> </w:t>
      </w:r>
      <w:r w:rsidRPr="00D337FA">
        <w:rPr>
          <w:szCs w:val="24"/>
        </w:rPr>
        <w:t>потребность</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банковской</w:t>
      </w:r>
      <w:r w:rsidR="006C680D" w:rsidRPr="00D337FA">
        <w:rPr>
          <w:szCs w:val="24"/>
        </w:rPr>
        <w:t xml:space="preserve"> </w:t>
      </w:r>
      <w:r w:rsidRPr="00D337FA">
        <w:rPr>
          <w:szCs w:val="24"/>
        </w:rPr>
        <w:t>экосистеме</w:t>
      </w:r>
      <w:r w:rsidR="006C680D" w:rsidRPr="00D337FA">
        <w:rPr>
          <w:szCs w:val="24"/>
        </w:rPr>
        <w:t xml:space="preserve"> </w:t>
      </w:r>
      <w:r w:rsidRPr="00D337FA">
        <w:rPr>
          <w:szCs w:val="24"/>
        </w:rPr>
        <w:t>с</w:t>
      </w:r>
      <w:r w:rsidR="006C680D" w:rsidRPr="00D337FA">
        <w:rPr>
          <w:szCs w:val="24"/>
        </w:rPr>
        <w:t xml:space="preserve"> </w:t>
      </w:r>
      <w:r w:rsidRPr="00D337FA">
        <w:rPr>
          <w:szCs w:val="24"/>
        </w:rPr>
        <w:t>широким</w:t>
      </w:r>
      <w:r w:rsidR="006C680D" w:rsidRPr="00D337FA">
        <w:rPr>
          <w:szCs w:val="24"/>
        </w:rPr>
        <w:t xml:space="preserve"> </w:t>
      </w:r>
      <w:r w:rsidRPr="00D337FA">
        <w:rPr>
          <w:szCs w:val="24"/>
        </w:rPr>
        <w:t>спектром</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тогда</w:t>
      </w:r>
      <w:r w:rsidR="006C680D" w:rsidRPr="00D337FA">
        <w:rPr>
          <w:szCs w:val="24"/>
        </w:rPr>
        <w:t xml:space="preserve"> </w:t>
      </w:r>
      <w:r w:rsidRPr="00D337FA">
        <w:rPr>
          <w:szCs w:val="24"/>
        </w:rPr>
        <w:t>как</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28%</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заинтересованы</w:t>
      </w:r>
      <w:r w:rsidR="006C680D" w:rsidRPr="00D337FA">
        <w:rPr>
          <w:szCs w:val="24"/>
        </w:rPr>
        <w:t xml:space="preserve"> </w:t>
      </w:r>
      <w:r w:rsidRPr="00D337FA">
        <w:rPr>
          <w:szCs w:val="24"/>
        </w:rPr>
        <w:t>исключительно</w:t>
      </w:r>
      <w:r w:rsidR="006C680D" w:rsidRPr="00D337FA">
        <w:rPr>
          <w:szCs w:val="24"/>
        </w:rPr>
        <w:t xml:space="preserve"> </w:t>
      </w:r>
      <w:r w:rsidRPr="00D337FA">
        <w:rPr>
          <w:szCs w:val="24"/>
        </w:rPr>
        <w:t>в</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услугах</w:t>
      </w:r>
      <w:r w:rsidR="006C680D" w:rsidRPr="00D337FA">
        <w:rPr>
          <w:szCs w:val="24"/>
        </w:rPr>
        <w:t xml:space="preserve"> </w:t>
      </w:r>
      <w:r w:rsidRPr="00D337FA">
        <w:rPr>
          <w:szCs w:val="24"/>
        </w:rPr>
        <w:t>[8].</w:t>
      </w:r>
    </w:p>
    <w:p w:rsidR="00E70CAD" w:rsidRPr="00D337FA" w:rsidRDefault="00E70CAD" w:rsidP="00E70CAD">
      <w:pPr>
        <w:ind w:firstLine="284"/>
        <w:rPr>
          <w:szCs w:val="24"/>
        </w:rPr>
      </w:pPr>
      <w:r w:rsidRPr="00D337FA">
        <w:rPr>
          <w:szCs w:val="24"/>
        </w:rPr>
        <w:t>Менеджеры</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недостаточно</w:t>
      </w:r>
      <w:r w:rsidR="006C680D" w:rsidRPr="00D337FA">
        <w:rPr>
          <w:szCs w:val="24"/>
        </w:rPr>
        <w:t xml:space="preserve"> </w:t>
      </w:r>
      <w:r w:rsidRPr="00D337FA">
        <w:rPr>
          <w:szCs w:val="24"/>
        </w:rPr>
        <w:t>информированы</w:t>
      </w:r>
      <w:r w:rsidR="006C680D" w:rsidRPr="00D337FA">
        <w:rPr>
          <w:szCs w:val="24"/>
        </w:rPr>
        <w:t xml:space="preserve"> </w:t>
      </w:r>
      <w:r w:rsidRPr="00D337FA">
        <w:rPr>
          <w:szCs w:val="24"/>
        </w:rPr>
        <w:t>о</w:t>
      </w:r>
      <w:r w:rsidR="006C680D" w:rsidRPr="00D337FA">
        <w:rPr>
          <w:szCs w:val="24"/>
        </w:rPr>
        <w:t xml:space="preserve"> </w:t>
      </w:r>
      <w:r w:rsidRPr="00D337FA">
        <w:rPr>
          <w:szCs w:val="24"/>
        </w:rPr>
        <w:t>небанковских</w:t>
      </w:r>
      <w:r w:rsidR="006C680D" w:rsidRPr="00D337FA">
        <w:rPr>
          <w:szCs w:val="24"/>
        </w:rPr>
        <w:t xml:space="preserve"> </w:t>
      </w:r>
      <w:r w:rsidRPr="00D337FA">
        <w:rPr>
          <w:szCs w:val="24"/>
        </w:rPr>
        <w:t>сервисах,</w:t>
      </w:r>
      <w:r w:rsidR="006C680D" w:rsidRPr="00D337FA">
        <w:rPr>
          <w:szCs w:val="24"/>
        </w:rPr>
        <w:t xml:space="preserve"> </w:t>
      </w:r>
      <w:r w:rsidRPr="00D337FA">
        <w:rPr>
          <w:szCs w:val="24"/>
        </w:rPr>
        <w:t>что</w:t>
      </w:r>
      <w:r w:rsidR="006C680D" w:rsidRPr="00D337FA">
        <w:rPr>
          <w:szCs w:val="24"/>
        </w:rPr>
        <w:t xml:space="preserve"> </w:t>
      </w:r>
      <w:r w:rsidRPr="00D337FA">
        <w:rPr>
          <w:szCs w:val="24"/>
        </w:rPr>
        <w:t>приводит</w:t>
      </w:r>
      <w:r w:rsidR="006C680D" w:rsidRPr="00D337FA">
        <w:rPr>
          <w:szCs w:val="24"/>
        </w:rPr>
        <w:t xml:space="preserve"> </w:t>
      </w:r>
      <w:r w:rsidRPr="00D337FA">
        <w:rPr>
          <w:szCs w:val="24"/>
        </w:rPr>
        <w:t>к</w:t>
      </w:r>
      <w:r w:rsidR="006C680D" w:rsidRPr="00D337FA">
        <w:rPr>
          <w:szCs w:val="24"/>
        </w:rPr>
        <w:t xml:space="preserve"> </w:t>
      </w:r>
      <w:r w:rsidRPr="00D337FA">
        <w:rPr>
          <w:szCs w:val="24"/>
        </w:rPr>
        <w:t>низкому</w:t>
      </w:r>
      <w:r w:rsidR="006C680D" w:rsidRPr="00D337FA">
        <w:rPr>
          <w:szCs w:val="24"/>
        </w:rPr>
        <w:t xml:space="preserve"> </w:t>
      </w:r>
      <w:r w:rsidRPr="00D337FA">
        <w:rPr>
          <w:szCs w:val="24"/>
        </w:rPr>
        <w:t>уровню</w:t>
      </w:r>
      <w:r w:rsidR="006C680D" w:rsidRPr="00D337FA">
        <w:rPr>
          <w:szCs w:val="24"/>
        </w:rPr>
        <w:t xml:space="preserve"> </w:t>
      </w:r>
      <w:r w:rsidRPr="00D337FA">
        <w:rPr>
          <w:szCs w:val="24"/>
        </w:rPr>
        <w:t>их</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клиентам</w:t>
      </w:r>
      <w:r w:rsidR="006C680D" w:rsidRPr="00D337FA">
        <w:rPr>
          <w:szCs w:val="24"/>
        </w:rPr>
        <w:t xml:space="preserve"> </w:t>
      </w:r>
      <w:r w:rsidRPr="00D337FA">
        <w:rPr>
          <w:szCs w:val="24"/>
        </w:rPr>
        <w:t>при</w:t>
      </w:r>
      <w:r w:rsidR="006C680D" w:rsidRPr="00D337FA">
        <w:rPr>
          <w:szCs w:val="24"/>
        </w:rPr>
        <w:t xml:space="preserve"> </w:t>
      </w:r>
      <w:r w:rsidRPr="00D337FA">
        <w:rPr>
          <w:szCs w:val="24"/>
        </w:rPr>
        <w:t>открытии</w:t>
      </w:r>
      <w:r w:rsidR="006C680D" w:rsidRPr="00D337FA">
        <w:rPr>
          <w:szCs w:val="24"/>
        </w:rPr>
        <w:t xml:space="preserve"> </w:t>
      </w:r>
      <w:r w:rsidRPr="00D337FA">
        <w:rPr>
          <w:szCs w:val="24"/>
        </w:rPr>
        <w:t>счёта</w:t>
      </w:r>
      <w:r w:rsidR="006C680D" w:rsidRPr="00D337FA">
        <w:rPr>
          <w:szCs w:val="24"/>
        </w:rPr>
        <w:t xml:space="preserve"> </w:t>
      </w:r>
      <w:r w:rsidRPr="00D337FA">
        <w:rPr>
          <w:szCs w:val="24"/>
        </w:rPr>
        <w:t>[14,</w:t>
      </w:r>
      <w:r w:rsidR="006C680D" w:rsidRPr="00D337FA">
        <w:rPr>
          <w:szCs w:val="24"/>
        </w:rPr>
        <w:t xml:space="preserve"> </w:t>
      </w:r>
      <w:r w:rsidRPr="00D337FA">
        <w:rPr>
          <w:szCs w:val="24"/>
        </w:rPr>
        <w:t>с.</w:t>
      </w:r>
      <w:r w:rsidR="006C680D" w:rsidRPr="00D337FA">
        <w:rPr>
          <w:szCs w:val="24"/>
        </w:rPr>
        <w:t xml:space="preserve"> </w:t>
      </w:r>
      <w:r w:rsidRPr="00D337FA">
        <w:rPr>
          <w:szCs w:val="24"/>
        </w:rPr>
        <w:t>76].</w:t>
      </w:r>
      <w:r w:rsidR="006C680D" w:rsidRPr="00D337FA">
        <w:rPr>
          <w:szCs w:val="24"/>
        </w:rPr>
        <w:t xml:space="preserve"> </w:t>
      </w:r>
      <w:r w:rsidRPr="00D337FA">
        <w:rPr>
          <w:szCs w:val="24"/>
        </w:rPr>
        <w:t>Клиенты</w:t>
      </w:r>
      <w:r w:rsidR="006C680D" w:rsidRPr="00D337FA">
        <w:rPr>
          <w:szCs w:val="24"/>
        </w:rPr>
        <w:t xml:space="preserve"> </w:t>
      </w:r>
      <w:r w:rsidRPr="00D337FA">
        <w:rPr>
          <w:szCs w:val="24"/>
        </w:rPr>
        <w:t>ожидают</w:t>
      </w:r>
      <w:r w:rsidR="006C680D" w:rsidRPr="00D337FA">
        <w:rPr>
          <w:szCs w:val="24"/>
        </w:rPr>
        <w:t xml:space="preserve"> </w:t>
      </w:r>
      <w:r w:rsidRPr="00D337FA">
        <w:rPr>
          <w:szCs w:val="24"/>
        </w:rPr>
        <w:t>бесшовной</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в</w:t>
      </w:r>
      <w:r w:rsidR="006C680D" w:rsidRPr="00D337FA">
        <w:rPr>
          <w:szCs w:val="24"/>
        </w:rPr>
        <w:t xml:space="preserve"> </w:t>
      </w:r>
      <w:r w:rsidRPr="00D337FA">
        <w:rPr>
          <w:szCs w:val="24"/>
        </w:rPr>
        <w:t>интернет-банк</w:t>
      </w:r>
      <w:r w:rsidR="006C680D" w:rsidRPr="00D337FA">
        <w:rPr>
          <w:szCs w:val="24"/>
        </w:rPr>
        <w:t xml:space="preserve"> </w:t>
      </w:r>
      <w:r w:rsidRPr="00D337FA">
        <w:rPr>
          <w:szCs w:val="24"/>
        </w:rPr>
        <w:t>или</w:t>
      </w:r>
      <w:r w:rsidR="006C680D" w:rsidRPr="00D337FA">
        <w:rPr>
          <w:szCs w:val="24"/>
        </w:rPr>
        <w:t xml:space="preserve"> </w:t>
      </w:r>
      <w:r w:rsidRPr="00D337FA">
        <w:rPr>
          <w:szCs w:val="24"/>
        </w:rPr>
        <w:t>мобильное</w:t>
      </w:r>
      <w:r w:rsidR="006C680D" w:rsidRPr="00D337FA">
        <w:rPr>
          <w:szCs w:val="24"/>
        </w:rPr>
        <w:t xml:space="preserve"> </w:t>
      </w:r>
      <w:r w:rsidRPr="00D337FA">
        <w:rPr>
          <w:szCs w:val="24"/>
        </w:rPr>
        <w:t>приложение,</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компетентной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в</w:t>
      </w:r>
      <w:r w:rsidR="006C680D" w:rsidRPr="00D337FA">
        <w:rPr>
          <w:szCs w:val="24"/>
        </w:rPr>
        <w:t xml:space="preserve"> </w:t>
      </w:r>
      <w:r w:rsidRPr="00D337FA">
        <w:rPr>
          <w:szCs w:val="24"/>
        </w:rPr>
        <w:t>чате</w:t>
      </w:r>
      <w:r w:rsidR="006C680D" w:rsidRPr="00D337FA">
        <w:rPr>
          <w:szCs w:val="24"/>
        </w:rPr>
        <w:t xml:space="preserve"> </w:t>
      </w:r>
      <w:r w:rsidRPr="00D337FA">
        <w:rPr>
          <w:szCs w:val="24"/>
        </w:rPr>
        <w:t>банка.</w:t>
      </w:r>
      <w:r w:rsidR="006C680D" w:rsidRPr="00D337FA">
        <w:rPr>
          <w:szCs w:val="24"/>
        </w:rPr>
        <w:t xml:space="preserve"> </w:t>
      </w: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усиление</w:t>
      </w:r>
      <w:r w:rsidR="006C680D" w:rsidRPr="00D337FA">
        <w:rPr>
          <w:szCs w:val="24"/>
        </w:rPr>
        <w:t xml:space="preserve"> </w:t>
      </w:r>
      <w:r w:rsidRPr="00D337FA">
        <w:rPr>
          <w:szCs w:val="24"/>
        </w:rPr>
        <w:t>нефинансовой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и</w:t>
      </w:r>
      <w:r w:rsidR="006C680D" w:rsidRPr="00D337FA">
        <w:rPr>
          <w:szCs w:val="24"/>
        </w:rPr>
        <w:t xml:space="preserve"> </w:t>
      </w:r>
      <w:r w:rsidRPr="00D337FA">
        <w:rPr>
          <w:szCs w:val="24"/>
        </w:rPr>
        <w:t>консалтинга</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важным</w:t>
      </w:r>
      <w:r w:rsidR="006C680D" w:rsidRPr="00D337FA">
        <w:rPr>
          <w:szCs w:val="24"/>
        </w:rPr>
        <w:t xml:space="preserve"> </w:t>
      </w:r>
      <w:r w:rsidRPr="00D337FA">
        <w:rPr>
          <w:szCs w:val="24"/>
        </w:rPr>
        <w:t>направлением</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p>
    <w:p w:rsidR="00E70CAD" w:rsidRPr="00D337FA" w:rsidRDefault="00E70CAD" w:rsidP="00E70CAD">
      <w:pPr>
        <w:ind w:firstLine="284"/>
        <w:rPr>
          <w:szCs w:val="24"/>
        </w:rPr>
      </w:pPr>
      <w:r w:rsidRPr="00D337FA">
        <w:rPr>
          <w:szCs w:val="24"/>
        </w:rPr>
        <w:t>Дальнейшее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опираться</w:t>
      </w:r>
      <w:r w:rsidR="006C680D" w:rsidRPr="00D337FA">
        <w:rPr>
          <w:szCs w:val="24"/>
        </w:rPr>
        <w:t xml:space="preserve"> </w:t>
      </w:r>
      <w:r w:rsidRPr="00D337FA">
        <w:rPr>
          <w:szCs w:val="24"/>
        </w:rPr>
        <w:t>на</w:t>
      </w:r>
      <w:r w:rsidR="006C680D" w:rsidRPr="00D337FA">
        <w:rPr>
          <w:szCs w:val="24"/>
        </w:rPr>
        <w:t xml:space="preserve"> </w:t>
      </w:r>
      <w:r w:rsidRPr="00D337FA">
        <w:rPr>
          <w:szCs w:val="24"/>
        </w:rPr>
        <w:t>возможности</w:t>
      </w:r>
      <w:r w:rsidR="006C680D" w:rsidRPr="00D337FA">
        <w:rPr>
          <w:szCs w:val="24"/>
        </w:rPr>
        <w:t xml:space="preserve"> </w:t>
      </w:r>
      <w:r w:rsidRPr="00D337FA">
        <w:rPr>
          <w:szCs w:val="24"/>
        </w:rPr>
        <w:t>искусственного</w:t>
      </w:r>
      <w:r w:rsidR="006C680D" w:rsidRPr="00D337FA">
        <w:rPr>
          <w:szCs w:val="24"/>
        </w:rPr>
        <w:t xml:space="preserve"> </w:t>
      </w:r>
      <w:r w:rsidRPr="00D337FA">
        <w:rPr>
          <w:szCs w:val="24"/>
        </w:rPr>
        <w:t>интеллекта.</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АО</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использует</w:t>
      </w:r>
      <w:r w:rsidR="006C680D" w:rsidRPr="00D337FA">
        <w:rPr>
          <w:szCs w:val="24"/>
        </w:rPr>
        <w:t xml:space="preserve"> </w:t>
      </w:r>
      <w:r w:rsidRPr="00D337FA">
        <w:rPr>
          <w:szCs w:val="24"/>
        </w:rPr>
        <w:t>нейронные</w:t>
      </w:r>
      <w:r w:rsidR="006C680D" w:rsidRPr="00D337FA">
        <w:rPr>
          <w:szCs w:val="24"/>
        </w:rPr>
        <w:t xml:space="preserve"> </w:t>
      </w:r>
      <w:r w:rsidRPr="00D337FA">
        <w:rPr>
          <w:szCs w:val="24"/>
        </w:rPr>
        <w:t>сети</w:t>
      </w:r>
      <w:r w:rsidR="006C680D" w:rsidRPr="00D337FA">
        <w:rPr>
          <w:szCs w:val="24"/>
        </w:rPr>
        <w:t xml:space="preserve"> </w:t>
      </w:r>
      <w:r w:rsidRPr="00D337FA">
        <w:rPr>
          <w:szCs w:val="24"/>
        </w:rPr>
        <w:t>и</w:t>
      </w:r>
      <w:r w:rsidR="006C680D" w:rsidRPr="00D337FA">
        <w:rPr>
          <w:szCs w:val="24"/>
        </w:rPr>
        <w:t xml:space="preserve"> </w:t>
      </w:r>
      <w:r w:rsidRPr="00D337FA">
        <w:rPr>
          <w:szCs w:val="24"/>
        </w:rPr>
        <w:t>искусственный</w:t>
      </w:r>
      <w:r w:rsidR="006C680D" w:rsidRPr="00D337FA">
        <w:rPr>
          <w:szCs w:val="24"/>
        </w:rPr>
        <w:t xml:space="preserve"> </w:t>
      </w:r>
      <w:r w:rsidRPr="00D337FA">
        <w:rPr>
          <w:szCs w:val="24"/>
        </w:rPr>
        <w:t>интеллект</w:t>
      </w:r>
      <w:r w:rsidR="006C680D" w:rsidRPr="00D337FA">
        <w:rPr>
          <w:szCs w:val="24"/>
        </w:rPr>
        <w:t xml:space="preserve"> </w:t>
      </w:r>
      <w:r w:rsidRPr="00D337FA">
        <w:rPr>
          <w:szCs w:val="24"/>
        </w:rPr>
        <w:t>при</w:t>
      </w:r>
      <w:r w:rsidR="006C680D" w:rsidRPr="00D337FA">
        <w:rPr>
          <w:szCs w:val="24"/>
        </w:rPr>
        <w:t xml:space="preserve"> </w:t>
      </w:r>
      <w:r w:rsidRPr="00D337FA">
        <w:rPr>
          <w:szCs w:val="24"/>
        </w:rPr>
        <w:t>обработке</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операций</w:t>
      </w:r>
      <w:r w:rsidR="006C680D" w:rsidRPr="00D337FA">
        <w:rPr>
          <w:szCs w:val="24"/>
        </w:rPr>
        <w:t xml:space="preserve"> </w:t>
      </w:r>
      <w:r w:rsidRPr="00D337FA">
        <w:rPr>
          <w:szCs w:val="24"/>
        </w:rPr>
        <w:t>и</w:t>
      </w:r>
      <w:r w:rsidR="006C680D" w:rsidRPr="00D337FA">
        <w:rPr>
          <w:szCs w:val="24"/>
        </w:rPr>
        <w:t xml:space="preserve"> </w:t>
      </w:r>
      <w:r w:rsidRPr="00D337FA">
        <w:rPr>
          <w:szCs w:val="24"/>
        </w:rPr>
        <w:t>взаимодействии</w:t>
      </w:r>
      <w:r w:rsidR="006C680D" w:rsidRPr="00D337FA">
        <w:rPr>
          <w:szCs w:val="24"/>
        </w:rPr>
        <w:t xml:space="preserve"> </w:t>
      </w:r>
      <w:r w:rsidRPr="00D337FA">
        <w:rPr>
          <w:szCs w:val="24"/>
        </w:rPr>
        <w:t>с</w:t>
      </w:r>
      <w:r w:rsidR="006C680D" w:rsidRPr="00D337FA">
        <w:rPr>
          <w:szCs w:val="24"/>
        </w:rPr>
        <w:t xml:space="preserve"> </w:t>
      </w:r>
      <w:r w:rsidRPr="00D337FA">
        <w:rPr>
          <w:szCs w:val="24"/>
        </w:rPr>
        <w:t>клиентами.</w:t>
      </w:r>
      <w:r w:rsidR="006C680D" w:rsidRPr="00D337FA">
        <w:rPr>
          <w:szCs w:val="24"/>
        </w:rPr>
        <w:t xml:space="preserve"> </w:t>
      </w:r>
      <w:r w:rsidRPr="00D337FA">
        <w:rPr>
          <w:szCs w:val="24"/>
        </w:rPr>
        <w:t>В</w:t>
      </w:r>
      <w:r w:rsidR="006C680D" w:rsidRPr="00D337FA">
        <w:rPr>
          <w:szCs w:val="24"/>
        </w:rPr>
        <w:t xml:space="preserve"> </w:t>
      </w:r>
      <w:r w:rsidRPr="00D337FA">
        <w:rPr>
          <w:szCs w:val="24"/>
        </w:rPr>
        <w:t>2025</w:t>
      </w:r>
      <w:r w:rsidR="006C680D" w:rsidRPr="00D337FA">
        <w:rPr>
          <w:szCs w:val="24"/>
        </w:rPr>
        <w:t xml:space="preserve"> </w:t>
      </w:r>
      <w:r w:rsidRPr="00D337FA">
        <w:rPr>
          <w:szCs w:val="24"/>
        </w:rPr>
        <w:t>г.</w:t>
      </w:r>
      <w:r w:rsidR="006C680D" w:rsidRPr="00D337FA">
        <w:rPr>
          <w:szCs w:val="24"/>
        </w:rPr>
        <w:t xml:space="preserve"> </w:t>
      </w:r>
      <w:r w:rsidRPr="00D337FA">
        <w:rPr>
          <w:szCs w:val="24"/>
        </w:rPr>
        <w:t>с</w:t>
      </w:r>
      <w:r w:rsidR="006C680D" w:rsidRPr="00D337FA">
        <w:rPr>
          <w:szCs w:val="24"/>
        </w:rPr>
        <w:t xml:space="preserve"> </w:t>
      </w:r>
      <w:r w:rsidRPr="00D337FA">
        <w:rPr>
          <w:szCs w:val="24"/>
        </w:rPr>
        <w:t>помощью</w:t>
      </w:r>
      <w:r w:rsidR="006C680D" w:rsidRPr="00D337FA">
        <w:rPr>
          <w:szCs w:val="24"/>
        </w:rPr>
        <w:t xml:space="preserve"> </w:t>
      </w:r>
      <w:r w:rsidRPr="00D337FA">
        <w:rPr>
          <w:szCs w:val="24"/>
        </w:rPr>
        <w:t>этих</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в</w:t>
      </w:r>
      <w:r w:rsidR="006C680D" w:rsidRPr="00D337FA">
        <w:rPr>
          <w:szCs w:val="24"/>
        </w:rPr>
        <w:t xml:space="preserve"> </w:t>
      </w:r>
      <w:r w:rsidRPr="00D337FA">
        <w:rPr>
          <w:szCs w:val="24"/>
        </w:rPr>
        <w:t>банке</w:t>
      </w:r>
      <w:r w:rsidR="006C680D" w:rsidRPr="00D337FA">
        <w:rPr>
          <w:szCs w:val="24"/>
        </w:rPr>
        <w:t xml:space="preserve"> </w:t>
      </w:r>
      <w:r w:rsidRPr="00D337FA">
        <w:rPr>
          <w:szCs w:val="24"/>
        </w:rPr>
        <w:t>обрабатывался</w:t>
      </w:r>
      <w:r w:rsidR="006C680D" w:rsidRPr="00D337FA">
        <w:rPr>
          <w:szCs w:val="24"/>
        </w:rPr>
        <w:t xml:space="preserve"> </w:t>
      </w:r>
      <w:r w:rsidRPr="00D337FA">
        <w:rPr>
          <w:szCs w:val="24"/>
        </w:rPr>
        <w:t>1</w:t>
      </w:r>
      <w:r w:rsidR="006C680D" w:rsidRPr="00D337FA">
        <w:rPr>
          <w:szCs w:val="24"/>
        </w:rPr>
        <w:t xml:space="preserve"> </w:t>
      </w:r>
      <w:r w:rsidRPr="00D337FA">
        <w:rPr>
          <w:szCs w:val="24"/>
        </w:rPr>
        <w:t>терабайт</w:t>
      </w:r>
      <w:r w:rsidR="006C680D" w:rsidRPr="00D337FA">
        <w:rPr>
          <w:szCs w:val="24"/>
        </w:rPr>
        <w:t xml:space="preserve"> </w:t>
      </w:r>
      <w:r w:rsidRPr="00D337FA">
        <w:rPr>
          <w:szCs w:val="24"/>
        </w:rPr>
        <w:t>данных.</w:t>
      </w:r>
    </w:p>
    <w:p w:rsidR="00E70CAD" w:rsidRPr="00D337FA" w:rsidRDefault="00E70CAD" w:rsidP="00E70CAD">
      <w:pPr>
        <w:ind w:firstLine="284"/>
        <w:rPr>
          <w:szCs w:val="24"/>
        </w:rPr>
      </w:pPr>
      <w:r w:rsidRPr="00D337FA">
        <w:rPr>
          <w:szCs w:val="24"/>
        </w:rPr>
        <w:t>Проведенный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позволил</w:t>
      </w:r>
      <w:r w:rsidR="006C680D" w:rsidRPr="00D337FA">
        <w:rPr>
          <w:szCs w:val="24"/>
        </w:rPr>
        <w:t xml:space="preserve"> </w:t>
      </w:r>
      <w:r w:rsidRPr="00D337FA">
        <w:rPr>
          <w:szCs w:val="24"/>
        </w:rPr>
        <w:t>выявить</w:t>
      </w:r>
      <w:r w:rsidR="006C680D" w:rsidRPr="00D337FA">
        <w:rPr>
          <w:szCs w:val="24"/>
        </w:rPr>
        <w:t xml:space="preserve"> </w:t>
      </w:r>
      <w:r w:rsidRPr="00D337FA">
        <w:rPr>
          <w:szCs w:val="24"/>
        </w:rPr>
        <w:t>и</w:t>
      </w:r>
      <w:r w:rsidR="006C680D" w:rsidRPr="00D337FA">
        <w:rPr>
          <w:szCs w:val="24"/>
        </w:rPr>
        <w:t xml:space="preserve"> </w:t>
      </w:r>
      <w:r w:rsidRPr="00D337FA">
        <w:rPr>
          <w:szCs w:val="24"/>
        </w:rPr>
        <w:t>охарактеризовать</w:t>
      </w:r>
      <w:r w:rsidR="006C680D" w:rsidRPr="00D337FA">
        <w:rPr>
          <w:szCs w:val="24"/>
        </w:rPr>
        <w:t xml:space="preserve"> </w:t>
      </w:r>
      <w:r w:rsidRPr="00D337FA">
        <w:rPr>
          <w:szCs w:val="24"/>
        </w:rPr>
        <w:t>шесть</w:t>
      </w:r>
      <w:r w:rsidR="006C680D" w:rsidRPr="00D337FA">
        <w:rPr>
          <w:szCs w:val="24"/>
        </w:rPr>
        <w:t xml:space="preserve"> </w:t>
      </w:r>
      <w:r w:rsidRPr="00D337FA">
        <w:rPr>
          <w:szCs w:val="24"/>
        </w:rPr>
        <w:t>ключевых</w:t>
      </w:r>
      <w:r w:rsidR="006C680D" w:rsidRPr="00D337FA">
        <w:rPr>
          <w:szCs w:val="24"/>
        </w:rPr>
        <w:t xml:space="preserve"> </w:t>
      </w:r>
      <w:r w:rsidRPr="00D337FA">
        <w:rPr>
          <w:szCs w:val="24"/>
        </w:rPr>
        <w:t>тенденций,</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отражают</w:t>
      </w:r>
      <w:r w:rsidR="006C680D" w:rsidRPr="00D337FA">
        <w:rPr>
          <w:szCs w:val="24"/>
        </w:rPr>
        <w:t xml:space="preserve"> </w:t>
      </w:r>
      <w:r w:rsidRPr="00D337FA">
        <w:rPr>
          <w:szCs w:val="24"/>
        </w:rPr>
        <w:t>прогресс,</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отражают</w:t>
      </w:r>
      <w:r w:rsidR="006C680D" w:rsidRPr="00D337FA">
        <w:rPr>
          <w:szCs w:val="24"/>
        </w:rPr>
        <w:t xml:space="preserve"> </w:t>
      </w:r>
      <w:r w:rsidRPr="00D337FA">
        <w:rPr>
          <w:szCs w:val="24"/>
        </w:rPr>
        <w:t>системные</w:t>
      </w:r>
      <w:r w:rsidR="006C680D" w:rsidRPr="00D337FA">
        <w:rPr>
          <w:szCs w:val="24"/>
        </w:rPr>
        <w:t xml:space="preserve"> </w:t>
      </w:r>
      <w:r w:rsidRPr="00D337FA">
        <w:rPr>
          <w:szCs w:val="24"/>
        </w:rPr>
        <w:t>проблемы</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требующие</w:t>
      </w:r>
      <w:r w:rsidR="006C680D" w:rsidRPr="00D337FA">
        <w:rPr>
          <w:szCs w:val="24"/>
        </w:rPr>
        <w:t xml:space="preserve"> </w:t>
      </w:r>
      <w:r w:rsidRPr="00D337FA">
        <w:rPr>
          <w:szCs w:val="24"/>
        </w:rPr>
        <w:t>адресных</w:t>
      </w:r>
      <w:r w:rsidR="006C680D" w:rsidRPr="00D337FA">
        <w:rPr>
          <w:szCs w:val="24"/>
        </w:rPr>
        <w:t xml:space="preserve"> </w:t>
      </w:r>
      <w:r w:rsidRPr="00D337FA">
        <w:rPr>
          <w:szCs w:val="24"/>
        </w:rPr>
        <w:t>решений.</w:t>
      </w:r>
    </w:p>
    <w:p w:rsidR="00E70CAD" w:rsidRPr="00D337FA" w:rsidRDefault="00E70CAD" w:rsidP="00E70CAD">
      <w:pPr>
        <w:ind w:firstLine="284"/>
        <w:rPr>
          <w:szCs w:val="24"/>
        </w:rPr>
      </w:pPr>
      <w:r w:rsidRPr="00D337FA">
        <w:rPr>
          <w:szCs w:val="24"/>
        </w:rPr>
        <w:t>Во-первых,</w:t>
      </w:r>
      <w:r w:rsidR="006C680D" w:rsidRPr="00D337FA">
        <w:rPr>
          <w:szCs w:val="24"/>
        </w:rPr>
        <w:t xml:space="preserve"> </w:t>
      </w:r>
      <w:r w:rsidRPr="00D337FA">
        <w:rPr>
          <w:bCs/>
          <w:szCs w:val="24"/>
        </w:rPr>
        <w:t>цифровизация</w:t>
      </w:r>
      <w:r w:rsidR="006C680D" w:rsidRPr="00D337FA">
        <w:rPr>
          <w:bCs/>
          <w:szCs w:val="24"/>
        </w:rPr>
        <w:t xml:space="preserve"> </w:t>
      </w:r>
      <w:r w:rsidRPr="00D337FA">
        <w:rPr>
          <w:bCs/>
          <w:szCs w:val="24"/>
        </w:rPr>
        <w:t>услуг</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проблема</w:t>
      </w:r>
      <w:r w:rsidR="006C680D" w:rsidRPr="00D337FA">
        <w:rPr>
          <w:bCs/>
          <w:szCs w:val="24"/>
        </w:rPr>
        <w:t xml:space="preserve"> </w:t>
      </w:r>
      <w:r w:rsidRPr="00D337FA">
        <w:rPr>
          <w:bCs/>
          <w:szCs w:val="24"/>
        </w:rPr>
        <w:t>фрагментарности.</w:t>
      </w:r>
      <w:r w:rsidR="006C680D" w:rsidRPr="00D337FA">
        <w:rPr>
          <w:szCs w:val="24"/>
        </w:rPr>
        <w:t xml:space="preserve"> </w:t>
      </w:r>
      <w:r w:rsidRPr="00D337FA">
        <w:rPr>
          <w:szCs w:val="24"/>
        </w:rPr>
        <w:t>Как</w:t>
      </w:r>
      <w:r w:rsidR="006C680D" w:rsidRPr="00D337FA">
        <w:rPr>
          <w:szCs w:val="24"/>
        </w:rPr>
        <w:t xml:space="preserve"> </w:t>
      </w:r>
      <w:r w:rsidRPr="00D337FA">
        <w:rPr>
          <w:szCs w:val="24"/>
        </w:rPr>
        <w:t>показал</w:t>
      </w:r>
      <w:r w:rsidR="006C680D" w:rsidRPr="00D337FA">
        <w:rPr>
          <w:szCs w:val="24"/>
        </w:rPr>
        <w:t xml:space="preserve"> </w:t>
      </w:r>
      <w:r w:rsidRPr="00D337FA">
        <w:rPr>
          <w:szCs w:val="24"/>
        </w:rPr>
        <w:t>проведенный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цифровизация</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продвинута</w:t>
      </w:r>
      <w:r w:rsidR="006C680D" w:rsidRPr="00D337FA">
        <w:rPr>
          <w:szCs w:val="24"/>
        </w:rPr>
        <w:t xml:space="preserve"> </w:t>
      </w:r>
      <w:r w:rsidRPr="00D337FA">
        <w:rPr>
          <w:szCs w:val="24"/>
        </w:rPr>
        <w:t>в</w:t>
      </w:r>
      <w:r w:rsidR="006C680D" w:rsidRPr="00D337FA">
        <w:rPr>
          <w:szCs w:val="24"/>
        </w:rPr>
        <w:t xml:space="preserve"> </w:t>
      </w:r>
      <w:r w:rsidRPr="00D337FA">
        <w:rPr>
          <w:szCs w:val="24"/>
        </w:rPr>
        <w:t>базовых</w:t>
      </w:r>
      <w:r w:rsidR="006C680D" w:rsidRPr="00D337FA">
        <w:rPr>
          <w:szCs w:val="24"/>
        </w:rPr>
        <w:t xml:space="preserve"> </w:t>
      </w:r>
      <w:r w:rsidRPr="00D337FA">
        <w:rPr>
          <w:szCs w:val="24"/>
        </w:rPr>
        <w:t>транзакционных</w:t>
      </w:r>
      <w:r w:rsidR="006C680D" w:rsidRPr="00D337FA">
        <w:rPr>
          <w:szCs w:val="24"/>
        </w:rPr>
        <w:t xml:space="preserve"> </w:t>
      </w:r>
      <w:r w:rsidRPr="00D337FA">
        <w:rPr>
          <w:szCs w:val="24"/>
        </w:rPr>
        <w:lastRenderedPageBreak/>
        <w:t>услугах</w:t>
      </w:r>
      <w:r w:rsidR="006C680D" w:rsidRPr="00D337FA">
        <w:rPr>
          <w:szCs w:val="24"/>
        </w:rPr>
        <w:t xml:space="preserve"> </w:t>
      </w:r>
      <w:r w:rsidRPr="00D337FA">
        <w:rPr>
          <w:szCs w:val="24"/>
        </w:rPr>
        <w:t>(открытие</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онлайн-банкинг).</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остановилось</w:t>
      </w:r>
      <w:r w:rsidR="006C680D" w:rsidRPr="00D337FA">
        <w:rPr>
          <w:szCs w:val="24"/>
        </w:rPr>
        <w:t xml:space="preserve"> </w:t>
      </w:r>
      <w:r w:rsidRPr="00D337FA">
        <w:rPr>
          <w:szCs w:val="24"/>
        </w:rPr>
        <w:t>на</w:t>
      </w:r>
      <w:r w:rsidR="006C680D" w:rsidRPr="00D337FA">
        <w:rPr>
          <w:szCs w:val="24"/>
        </w:rPr>
        <w:t xml:space="preserve"> </w:t>
      </w:r>
      <w:r w:rsidRPr="00D337FA">
        <w:rPr>
          <w:szCs w:val="24"/>
        </w:rPr>
        <w:t>этапе</w:t>
      </w:r>
      <w:r w:rsidR="006C680D" w:rsidRPr="00D337FA">
        <w:rPr>
          <w:szCs w:val="24"/>
        </w:rPr>
        <w:t xml:space="preserve"> </w:t>
      </w:r>
      <w:r w:rsidRPr="00D337FA">
        <w:rPr>
          <w:szCs w:val="24"/>
        </w:rPr>
        <w:t>автоматизации</w:t>
      </w:r>
      <w:r w:rsidR="006C680D" w:rsidRPr="00D337FA">
        <w:rPr>
          <w:szCs w:val="24"/>
        </w:rPr>
        <w:t xml:space="preserve"> </w:t>
      </w:r>
      <w:r w:rsidRPr="00D337FA">
        <w:rPr>
          <w:szCs w:val="24"/>
        </w:rPr>
        <w:t>рутинных</w:t>
      </w:r>
      <w:r w:rsidR="006C680D" w:rsidRPr="00D337FA">
        <w:rPr>
          <w:szCs w:val="24"/>
        </w:rPr>
        <w:t xml:space="preserve"> </w:t>
      </w:r>
      <w:r w:rsidRPr="00D337FA">
        <w:rPr>
          <w:szCs w:val="24"/>
        </w:rPr>
        <w:t>процессов.</w:t>
      </w:r>
      <w:r w:rsidR="006C680D" w:rsidRPr="00D337FA">
        <w:rPr>
          <w:szCs w:val="24"/>
        </w:rPr>
        <w:t xml:space="preserve"> </w:t>
      </w:r>
      <w:r w:rsidRPr="00D337FA">
        <w:rPr>
          <w:bCs/>
          <w:szCs w:val="24"/>
        </w:rPr>
        <w:t>Выявленная</w:t>
      </w:r>
      <w:r w:rsidR="006C680D" w:rsidRPr="00D337FA">
        <w:rPr>
          <w:bCs/>
          <w:szCs w:val="24"/>
        </w:rPr>
        <w:t xml:space="preserve"> </w:t>
      </w:r>
      <w:r w:rsidRPr="00D337FA">
        <w:rPr>
          <w:bCs/>
          <w:szCs w:val="24"/>
        </w:rPr>
        <w:t>проблема</w:t>
      </w:r>
      <w:r w:rsidR="006C680D" w:rsidRPr="00D337FA">
        <w:rPr>
          <w:bCs/>
          <w:szCs w:val="24"/>
        </w:rPr>
        <w:t xml:space="preserve"> </w:t>
      </w:r>
      <w:r w:rsidRPr="00D337FA">
        <w:rPr>
          <w:bCs/>
          <w:szCs w:val="24"/>
        </w:rPr>
        <w:t>заключается</w:t>
      </w:r>
      <w:r w:rsidR="006C680D" w:rsidRPr="00D337FA">
        <w:rPr>
          <w:bCs/>
          <w:szCs w:val="24"/>
        </w:rPr>
        <w:t xml:space="preserve"> </w:t>
      </w:r>
      <w:r w:rsidRPr="00D337FA">
        <w:rPr>
          <w:bCs/>
          <w:szCs w:val="24"/>
        </w:rPr>
        <w:t>в</w:t>
      </w:r>
      <w:r w:rsidR="006C680D" w:rsidRPr="00D337FA">
        <w:rPr>
          <w:bCs/>
          <w:szCs w:val="24"/>
        </w:rPr>
        <w:t xml:space="preserve"> </w:t>
      </w:r>
      <w:r w:rsidRPr="00D337FA">
        <w:rPr>
          <w:szCs w:val="24"/>
        </w:rPr>
        <w:t>отсутствии</w:t>
      </w:r>
      <w:r w:rsidR="006C680D" w:rsidRPr="00D337FA">
        <w:rPr>
          <w:szCs w:val="24"/>
        </w:rPr>
        <w:t xml:space="preserve"> </w:t>
      </w:r>
      <w:r w:rsidRPr="00D337FA">
        <w:rPr>
          <w:szCs w:val="24"/>
        </w:rPr>
        <w:t>глубокой</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и</w:t>
      </w:r>
      <w:r w:rsidR="006C680D" w:rsidRPr="00D337FA">
        <w:rPr>
          <w:szCs w:val="24"/>
        </w:rPr>
        <w:t xml:space="preserve"> </w:t>
      </w:r>
      <w:r w:rsidRPr="00D337FA">
        <w:rPr>
          <w:szCs w:val="24"/>
        </w:rPr>
        <w:t>с</w:t>
      </w:r>
      <w:r w:rsidR="006C680D" w:rsidRPr="00D337FA">
        <w:rPr>
          <w:szCs w:val="24"/>
        </w:rPr>
        <w:t xml:space="preserve"> </w:t>
      </w:r>
      <w:r w:rsidRPr="00D337FA">
        <w:rPr>
          <w:szCs w:val="24"/>
        </w:rPr>
        <w:t>внешней</w:t>
      </w:r>
      <w:r w:rsidR="006C680D" w:rsidRPr="00D337FA">
        <w:rPr>
          <w:szCs w:val="24"/>
        </w:rPr>
        <w:t xml:space="preserve"> </w:t>
      </w:r>
      <w:r w:rsidRPr="00D337FA">
        <w:rPr>
          <w:szCs w:val="24"/>
        </w:rPr>
        <w:t>бизнес-средой</w:t>
      </w:r>
      <w:r w:rsidR="006C680D" w:rsidRPr="00D337FA">
        <w:rPr>
          <w:szCs w:val="24"/>
        </w:rPr>
        <w:t xml:space="preserve"> </w:t>
      </w:r>
      <w:r w:rsidRPr="00D337FA">
        <w:rPr>
          <w:szCs w:val="24"/>
        </w:rPr>
        <w:t>клиента</w:t>
      </w:r>
      <w:r w:rsidR="006C680D" w:rsidRPr="00D337FA">
        <w:rPr>
          <w:szCs w:val="24"/>
        </w:rPr>
        <w:t xml:space="preserve"> </w:t>
      </w:r>
      <w:r w:rsidRPr="00D337FA">
        <w:rPr>
          <w:szCs w:val="24"/>
        </w:rPr>
        <w:t>(CRM,</w:t>
      </w:r>
      <w:r w:rsidR="006C680D" w:rsidRPr="00D337FA">
        <w:rPr>
          <w:szCs w:val="24"/>
        </w:rPr>
        <w:t xml:space="preserve"> </w:t>
      </w:r>
      <w:r w:rsidRPr="00D337FA">
        <w:rPr>
          <w:szCs w:val="24"/>
        </w:rPr>
        <w:t>маркетплейсы,</w:t>
      </w:r>
      <w:r w:rsidR="006C680D" w:rsidRPr="00D337FA">
        <w:rPr>
          <w:szCs w:val="24"/>
        </w:rPr>
        <w:t xml:space="preserve"> </w:t>
      </w:r>
      <w:r w:rsidRPr="00D337FA">
        <w:rPr>
          <w:szCs w:val="24"/>
        </w:rPr>
        <w:t>бухгалтерские</w:t>
      </w:r>
      <w:r w:rsidR="006C680D" w:rsidRPr="00D337FA">
        <w:rPr>
          <w:szCs w:val="24"/>
        </w:rPr>
        <w:t xml:space="preserve"> </w:t>
      </w:r>
      <w:r w:rsidRPr="00D337FA">
        <w:rPr>
          <w:szCs w:val="24"/>
        </w:rPr>
        <w:t>программы),</w:t>
      </w:r>
      <w:r w:rsidR="006C680D" w:rsidRPr="00D337FA">
        <w:rPr>
          <w:szCs w:val="24"/>
        </w:rPr>
        <w:t xml:space="preserve"> </w:t>
      </w:r>
      <w:r w:rsidRPr="00D337FA">
        <w:rPr>
          <w:szCs w:val="24"/>
        </w:rPr>
        <w:t>что</w:t>
      </w:r>
      <w:r w:rsidR="006C680D" w:rsidRPr="00D337FA">
        <w:rPr>
          <w:szCs w:val="24"/>
        </w:rPr>
        <w:t xml:space="preserve"> </w:t>
      </w:r>
      <w:r w:rsidRPr="00D337FA">
        <w:rPr>
          <w:szCs w:val="24"/>
        </w:rPr>
        <w:t>ограничивает</w:t>
      </w:r>
      <w:r w:rsidR="006C680D" w:rsidRPr="00D337FA">
        <w:rPr>
          <w:szCs w:val="24"/>
        </w:rPr>
        <w:t xml:space="preserve"> </w:t>
      </w:r>
      <w:r w:rsidRPr="00D337FA">
        <w:rPr>
          <w:szCs w:val="24"/>
        </w:rPr>
        <w:t>синергетический</w:t>
      </w:r>
      <w:r w:rsidR="006C680D" w:rsidRPr="00D337FA">
        <w:rPr>
          <w:szCs w:val="24"/>
        </w:rPr>
        <w:t xml:space="preserve"> </w:t>
      </w:r>
      <w:r w:rsidRPr="00D337FA">
        <w:rPr>
          <w:szCs w:val="24"/>
        </w:rPr>
        <w:t>эффект.</w:t>
      </w:r>
      <w:r w:rsidR="006C680D" w:rsidRPr="00D337FA">
        <w:rPr>
          <w:szCs w:val="24"/>
        </w:rPr>
        <w:t xml:space="preserve"> </w:t>
      </w:r>
      <w:r w:rsidRPr="00D337FA">
        <w:rPr>
          <w:bCs/>
          <w:szCs w:val="24"/>
        </w:rPr>
        <w:t>Наше</w:t>
      </w:r>
      <w:r w:rsidR="006C680D" w:rsidRPr="00D337FA">
        <w:rPr>
          <w:bCs/>
          <w:szCs w:val="24"/>
        </w:rPr>
        <w:t xml:space="preserve"> </w:t>
      </w:r>
      <w:r w:rsidRPr="00D337FA">
        <w:rPr>
          <w:bCs/>
          <w:szCs w:val="24"/>
        </w:rPr>
        <w:t>предложение</w:t>
      </w:r>
      <w:r w:rsidR="006C680D" w:rsidRPr="00D337FA">
        <w:rPr>
          <w:bCs/>
          <w:szCs w:val="24"/>
        </w:rPr>
        <w:t xml:space="preserve"> </w:t>
      </w:r>
      <w:r w:rsidRPr="00D337FA">
        <w:rPr>
          <w:bCs/>
          <w:szCs w:val="24"/>
        </w:rPr>
        <w:t>заключается</w:t>
      </w:r>
      <w:r w:rsidR="006C680D" w:rsidRPr="00D337FA">
        <w:rPr>
          <w:bCs/>
          <w:szCs w:val="24"/>
        </w:rPr>
        <w:t xml:space="preserve"> </w:t>
      </w:r>
      <w:r w:rsidRPr="00D337FA">
        <w:rPr>
          <w:bCs/>
          <w:szCs w:val="24"/>
        </w:rPr>
        <w:t>во</w:t>
      </w:r>
      <w:r w:rsidR="006C680D" w:rsidRPr="00D337FA">
        <w:rPr>
          <w:bCs/>
          <w:szCs w:val="24"/>
        </w:rPr>
        <w:t xml:space="preserve"> </w:t>
      </w:r>
      <w:r w:rsidRPr="00D337FA">
        <w:rPr>
          <w:bCs/>
          <w:szCs w:val="24"/>
        </w:rPr>
        <w:t>внедрении</w:t>
      </w:r>
      <w:r w:rsidR="006C680D" w:rsidRPr="00D337FA">
        <w:rPr>
          <w:bCs/>
          <w:szCs w:val="24"/>
        </w:rPr>
        <w:t xml:space="preserve"> </w:t>
      </w:r>
      <w:r w:rsidRPr="00D337FA">
        <w:rPr>
          <w:bCs/>
          <w:szCs w:val="24"/>
        </w:rPr>
        <w:t>«встроенных</w:t>
      </w:r>
      <w:r w:rsidR="006C680D" w:rsidRPr="00D337FA">
        <w:rPr>
          <w:bCs/>
          <w:szCs w:val="24"/>
        </w:rPr>
        <w:t xml:space="preserve"> </w:t>
      </w:r>
      <w:r w:rsidRPr="00D337FA">
        <w:rPr>
          <w:bCs/>
          <w:szCs w:val="24"/>
        </w:rPr>
        <w:t>финансов»</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напрямую</w:t>
      </w:r>
      <w:r w:rsidR="006C680D" w:rsidRPr="00D337FA">
        <w:rPr>
          <w:bCs/>
          <w:szCs w:val="24"/>
        </w:rPr>
        <w:t xml:space="preserve"> </w:t>
      </w:r>
      <w:r w:rsidRPr="00D337FA">
        <w:rPr>
          <w:bCs/>
          <w:szCs w:val="24"/>
        </w:rPr>
        <w:t>направлено</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устранение</w:t>
      </w:r>
      <w:r w:rsidR="006C680D" w:rsidRPr="00D337FA">
        <w:rPr>
          <w:bCs/>
          <w:szCs w:val="24"/>
        </w:rPr>
        <w:t xml:space="preserve"> </w:t>
      </w:r>
      <w:r w:rsidRPr="00D337FA">
        <w:rPr>
          <w:bCs/>
          <w:szCs w:val="24"/>
        </w:rPr>
        <w:t>этой</w:t>
      </w:r>
      <w:r w:rsidR="006C680D" w:rsidRPr="00D337FA">
        <w:rPr>
          <w:bCs/>
          <w:szCs w:val="24"/>
        </w:rPr>
        <w:t xml:space="preserve"> </w:t>
      </w:r>
      <w:r w:rsidRPr="00D337FA">
        <w:rPr>
          <w:bCs/>
          <w:szCs w:val="24"/>
        </w:rPr>
        <w:t>фрагментарности.</w:t>
      </w:r>
      <w:r w:rsidR="006C680D" w:rsidRPr="00D337FA">
        <w:rPr>
          <w:szCs w:val="24"/>
        </w:rPr>
        <w:t xml:space="preserve"> </w:t>
      </w:r>
      <w:r w:rsidRPr="00D337FA">
        <w:rPr>
          <w:szCs w:val="24"/>
        </w:rPr>
        <w:t>Интеграция</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API</w:t>
      </w:r>
      <w:r w:rsidR="006C680D" w:rsidRPr="00D337FA">
        <w:rPr>
          <w:szCs w:val="24"/>
        </w:rPr>
        <w:t xml:space="preserve"> </w:t>
      </w:r>
      <w:r w:rsidRPr="00D337FA">
        <w:rPr>
          <w:szCs w:val="24"/>
        </w:rPr>
        <w:t>в</w:t>
      </w:r>
      <w:r w:rsidR="006C680D" w:rsidRPr="00D337FA">
        <w:rPr>
          <w:szCs w:val="24"/>
        </w:rPr>
        <w:t xml:space="preserve"> </w:t>
      </w:r>
      <w:r w:rsidRPr="00D337FA">
        <w:rPr>
          <w:szCs w:val="24"/>
        </w:rPr>
        <w:t>рабочие</w:t>
      </w:r>
      <w:r w:rsidR="006C680D" w:rsidRPr="00D337FA">
        <w:rPr>
          <w:szCs w:val="24"/>
        </w:rPr>
        <w:t xml:space="preserve"> </w:t>
      </w:r>
      <w:r w:rsidRPr="00D337FA">
        <w:rPr>
          <w:szCs w:val="24"/>
        </w:rPr>
        <w:t>среды</w:t>
      </w:r>
      <w:r w:rsidR="006C680D" w:rsidRPr="00D337FA">
        <w:rPr>
          <w:szCs w:val="24"/>
        </w:rPr>
        <w:t xml:space="preserve"> </w:t>
      </w:r>
      <w:r w:rsidRPr="00D337FA">
        <w:rPr>
          <w:szCs w:val="24"/>
        </w:rPr>
        <w:t>предпринимателя</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подключение</w:t>
      </w:r>
      <w:r w:rsidR="006C680D" w:rsidRPr="00D337FA">
        <w:rPr>
          <w:szCs w:val="24"/>
        </w:rPr>
        <w:t xml:space="preserve"> </w:t>
      </w:r>
      <w:r w:rsidRPr="00D337FA">
        <w:rPr>
          <w:szCs w:val="24"/>
        </w:rPr>
        <w:t>платежного</w:t>
      </w:r>
      <w:r w:rsidR="006C680D" w:rsidRPr="00D337FA">
        <w:rPr>
          <w:szCs w:val="24"/>
        </w:rPr>
        <w:t xml:space="preserve"> </w:t>
      </w:r>
      <w:r w:rsidRPr="00D337FA">
        <w:rPr>
          <w:szCs w:val="24"/>
        </w:rPr>
        <w:t>шлюза</w:t>
      </w:r>
      <w:r w:rsidR="006C680D" w:rsidRPr="00D337FA">
        <w:rPr>
          <w:szCs w:val="24"/>
        </w:rPr>
        <w:t xml:space="preserve"> </w:t>
      </w:r>
      <w:r w:rsidRPr="00D337FA">
        <w:rPr>
          <w:szCs w:val="24"/>
        </w:rPr>
        <w:t>и</w:t>
      </w:r>
      <w:r w:rsidR="006C680D" w:rsidRPr="00D337FA">
        <w:rPr>
          <w:szCs w:val="24"/>
        </w:rPr>
        <w:t xml:space="preserve"> </w:t>
      </w:r>
      <w:r w:rsidRPr="00D337FA">
        <w:rPr>
          <w:szCs w:val="24"/>
        </w:rPr>
        <w:t>экспресс-кредитования</w:t>
      </w:r>
      <w:r w:rsidR="006C680D" w:rsidRPr="00D337FA">
        <w:rPr>
          <w:szCs w:val="24"/>
        </w:rPr>
        <w:t xml:space="preserve"> </w:t>
      </w:r>
      <w:r w:rsidRPr="00D337FA">
        <w:rPr>
          <w:szCs w:val="24"/>
        </w:rPr>
        <w:t>напрямую</w:t>
      </w:r>
      <w:r w:rsidR="006C680D" w:rsidRPr="00D337FA">
        <w:rPr>
          <w:szCs w:val="24"/>
        </w:rPr>
        <w:t xml:space="preserve"> </w:t>
      </w:r>
      <w:r w:rsidRPr="00D337FA">
        <w:rPr>
          <w:szCs w:val="24"/>
        </w:rPr>
        <w:t>в</w:t>
      </w:r>
      <w:r w:rsidR="006C680D" w:rsidRPr="00D337FA">
        <w:rPr>
          <w:szCs w:val="24"/>
        </w:rPr>
        <w:t xml:space="preserve"> </w:t>
      </w:r>
      <w:r w:rsidRPr="00D337FA">
        <w:rPr>
          <w:szCs w:val="24"/>
        </w:rPr>
        <w:t>интерфейс</w:t>
      </w:r>
      <w:r w:rsidR="006C680D" w:rsidRPr="00D337FA">
        <w:rPr>
          <w:szCs w:val="24"/>
        </w:rPr>
        <w:t xml:space="preserve"> </w:t>
      </w:r>
      <w:r w:rsidRPr="00D337FA">
        <w:rPr>
          <w:szCs w:val="24"/>
        </w:rPr>
        <w:t>1С</w:t>
      </w:r>
      <w:r w:rsidR="006C680D" w:rsidRPr="00D337FA">
        <w:rPr>
          <w:szCs w:val="24"/>
        </w:rPr>
        <w:t xml:space="preserve"> </w:t>
      </w:r>
      <w:r w:rsidRPr="00D337FA">
        <w:rPr>
          <w:szCs w:val="24"/>
        </w:rPr>
        <w:t>или</w:t>
      </w:r>
      <w:r w:rsidR="006C680D" w:rsidRPr="00D337FA">
        <w:rPr>
          <w:szCs w:val="24"/>
        </w:rPr>
        <w:t xml:space="preserve"> </w:t>
      </w:r>
      <w:r w:rsidRPr="00D337FA">
        <w:rPr>
          <w:szCs w:val="24"/>
        </w:rPr>
        <w:t>на</w:t>
      </w:r>
      <w:r w:rsidR="006C680D" w:rsidRPr="00D337FA">
        <w:rPr>
          <w:szCs w:val="24"/>
        </w:rPr>
        <w:t xml:space="preserve"> </w:t>
      </w:r>
      <w:r w:rsidRPr="00D337FA">
        <w:rPr>
          <w:szCs w:val="24"/>
        </w:rPr>
        <w:t>страницу</w:t>
      </w:r>
      <w:r w:rsidR="006C680D" w:rsidRPr="00D337FA">
        <w:rPr>
          <w:szCs w:val="24"/>
        </w:rPr>
        <w:t xml:space="preserve"> </w:t>
      </w:r>
      <w:r w:rsidRPr="00D337FA">
        <w:rPr>
          <w:szCs w:val="24"/>
        </w:rPr>
        <w:t>магазина</w:t>
      </w:r>
      <w:r w:rsidR="006C680D" w:rsidRPr="00D337FA">
        <w:rPr>
          <w:szCs w:val="24"/>
        </w:rPr>
        <w:t xml:space="preserve"> </w:t>
      </w:r>
      <w:r w:rsidRPr="00D337FA">
        <w:rPr>
          <w:szCs w:val="24"/>
        </w:rPr>
        <w:t>на</w:t>
      </w:r>
      <w:r w:rsidR="006C680D" w:rsidRPr="00D337FA">
        <w:rPr>
          <w:szCs w:val="24"/>
        </w:rPr>
        <w:t xml:space="preserve"> </w:t>
      </w:r>
      <w:r w:rsidRPr="00D337FA">
        <w:rPr>
          <w:szCs w:val="24"/>
        </w:rPr>
        <w:t>маркетплейсе)</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преодолеть</w:t>
      </w:r>
      <w:r w:rsidR="006C680D" w:rsidRPr="00D337FA">
        <w:rPr>
          <w:szCs w:val="24"/>
        </w:rPr>
        <w:t xml:space="preserve"> </w:t>
      </w:r>
      <w:r w:rsidRPr="00D337FA">
        <w:rPr>
          <w:szCs w:val="24"/>
        </w:rPr>
        <w:t>разрозненность</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сократить</w:t>
      </w:r>
      <w:r w:rsidR="006C680D" w:rsidRPr="00D337FA">
        <w:rPr>
          <w:szCs w:val="24"/>
        </w:rPr>
        <w:t xml:space="preserve"> </w:t>
      </w:r>
      <w:r w:rsidRPr="00D337FA">
        <w:rPr>
          <w:szCs w:val="24"/>
        </w:rPr>
        <w:t>операционные</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клиента</w:t>
      </w:r>
      <w:r w:rsidR="006C680D" w:rsidRPr="00D337FA">
        <w:rPr>
          <w:szCs w:val="24"/>
        </w:rPr>
        <w:t xml:space="preserve"> </w:t>
      </w:r>
      <w:r w:rsidRPr="00D337FA">
        <w:rPr>
          <w:szCs w:val="24"/>
        </w:rPr>
        <w:t>и</w:t>
      </w:r>
      <w:r w:rsidR="006C680D" w:rsidRPr="00D337FA">
        <w:rPr>
          <w:szCs w:val="24"/>
        </w:rPr>
        <w:t xml:space="preserve"> </w:t>
      </w:r>
      <w:r w:rsidRPr="00D337FA">
        <w:rPr>
          <w:szCs w:val="24"/>
        </w:rPr>
        <w:t>сделать</w:t>
      </w:r>
      <w:r w:rsidR="006C680D" w:rsidRPr="00D337FA">
        <w:rPr>
          <w:szCs w:val="24"/>
        </w:rPr>
        <w:t xml:space="preserve"> </w:t>
      </w:r>
      <w:r w:rsidRPr="00D337FA">
        <w:rPr>
          <w:szCs w:val="24"/>
        </w:rPr>
        <w:t>банковский</w:t>
      </w:r>
      <w:r w:rsidR="006C680D" w:rsidRPr="00D337FA">
        <w:rPr>
          <w:szCs w:val="24"/>
        </w:rPr>
        <w:t xml:space="preserve"> </w:t>
      </w:r>
      <w:r w:rsidRPr="00D337FA">
        <w:rPr>
          <w:szCs w:val="24"/>
        </w:rPr>
        <w:t>функционал</w:t>
      </w:r>
      <w:r w:rsidR="006C680D" w:rsidRPr="00D337FA">
        <w:rPr>
          <w:szCs w:val="24"/>
        </w:rPr>
        <w:t xml:space="preserve"> </w:t>
      </w:r>
      <w:r w:rsidRPr="00D337FA">
        <w:rPr>
          <w:szCs w:val="24"/>
        </w:rPr>
        <w:t>неотъемлемой</w:t>
      </w:r>
      <w:r w:rsidR="006C680D" w:rsidRPr="00D337FA">
        <w:rPr>
          <w:szCs w:val="24"/>
        </w:rPr>
        <w:t xml:space="preserve"> </w:t>
      </w:r>
      <w:r w:rsidRPr="00D337FA">
        <w:rPr>
          <w:szCs w:val="24"/>
        </w:rPr>
        <w:t>частью</w:t>
      </w:r>
      <w:r w:rsidR="006C680D" w:rsidRPr="00D337FA">
        <w:rPr>
          <w:szCs w:val="24"/>
        </w:rPr>
        <w:t xml:space="preserve"> </w:t>
      </w:r>
      <w:r w:rsidRPr="00D337FA">
        <w:rPr>
          <w:szCs w:val="24"/>
        </w:rPr>
        <w:t>бизнес-процессов.</w:t>
      </w:r>
    </w:p>
    <w:p w:rsidR="00E70CAD" w:rsidRPr="00D337FA" w:rsidRDefault="00E70CAD" w:rsidP="00E70CAD">
      <w:pPr>
        <w:ind w:firstLine="284"/>
        <w:rPr>
          <w:szCs w:val="24"/>
        </w:rPr>
      </w:pPr>
      <w:r w:rsidRPr="00D337FA">
        <w:rPr>
          <w:bCs/>
          <w:szCs w:val="24"/>
        </w:rPr>
        <w:t>Во-вторых,</w:t>
      </w:r>
      <w:r w:rsidR="006C680D" w:rsidRPr="00D337FA">
        <w:rPr>
          <w:bCs/>
          <w:szCs w:val="24"/>
        </w:rPr>
        <w:t xml:space="preserve"> </w:t>
      </w:r>
      <w:r w:rsidRPr="00D337FA">
        <w:rPr>
          <w:bCs/>
          <w:szCs w:val="24"/>
        </w:rPr>
        <w:t>отраслевая</w:t>
      </w:r>
      <w:r w:rsidR="006C680D" w:rsidRPr="00D337FA">
        <w:rPr>
          <w:bCs/>
          <w:szCs w:val="24"/>
        </w:rPr>
        <w:t xml:space="preserve"> </w:t>
      </w:r>
      <w:r w:rsidRPr="00D337FA">
        <w:rPr>
          <w:bCs/>
          <w:szCs w:val="24"/>
        </w:rPr>
        <w:t>специализация</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проблема</w:t>
      </w:r>
      <w:r w:rsidR="006C680D" w:rsidRPr="00D337FA">
        <w:rPr>
          <w:bCs/>
          <w:szCs w:val="24"/>
        </w:rPr>
        <w:t xml:space="preserve"> </w:t>
      </w:r>
      <w:r w:rsidRPr="00D337FA">
        <w:rPr>
          <w:bCs/>
          <w:szCs w:val="24"/>
        </w:rPr>
        <w:t>«слепых</w:t>
      </w:r>
      <w:r w:rsidR="006C680D" w:rsidRPr="00D337FA">
        <w:rPr>
          <w:bCs/>
          <w:szCs w:val="24"/>
        </w:rPr>
        <w:t xml:space="preserve"> </w:t>
      </w:r>
      <w:r w:rsidRPr="00D337FA">
        <w:rPr>
          <w:bCs/>
          <w:szCs w:val="24"/>
        </w:rPr>
        <w:t>зон».</w:t>
      </w:r>
      <w:r w:rsidR="006C680D" w:rsidRPr="00D337FA">
        <w:rPr>
          <w:szCs w:val="24"/>
        </w:rPr>
        <w:t xml:space="preserve"> </w:t>
      </w:r>
      <w:r w:rsidRPr="00D337FA">
        <w:rPr>
          <w:szCs w:val="24"/>
        </w:rPr>
        <w:t>Проведенный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выявил</w:t>
      </w:r>
      <w:r w:rsidR="006C680D" w:rsidRPr="00D337FA">
        <w:rPr>
          <w:szCs w:val="24"/>
        </w:rPr>
        <w:t xml:space="preserve"> </w:t>
      </w:r>
      <w:r w:rsidRPr="00D337FA">
        <w:rPr>
          <w:szCs w:val="24"/>
        </w:rPr>
        <w:t>активную</w:t>
      </w:r>
      <w:r w:rsidR="006C680D" w:rsidRPr="00D337FA">
        <w:rPr>
          <w:szCs w:val="24"/>
        </w:rPr>
        <w:t xml:space="preserve"> </w:t>
      </w:r>
      <w:r w:rsidRPr="00D337FA">
        <w:rPr>
          <w:szCs w:val="24"/>
        </w:rPr>
        <w:t>разработку</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ресторанного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розничной</w:t>
      </w:r>
      <w:r w:rsidR="006C680D" w:rsidRPr="00D337FA">
        <w:rPr>
          <w:szCs w:val="24"/>
        </w:rPr>
        <w:t xml:space="preserve"> </w:t>
      </w:r>
      <w:r w:rsidRPr="00D337FA">
        <w:rPr>
          <w:szCs w:val="24"/>
        </w:rPr>
        <w:t>торговли</w:t>
      </w:r>
      <w:r w:rsidR="006C680D" w:rsidRPr="00D337FA">
        <w:rPr>
          <w:szCs w:val="24"/>
        </w:rPr>
        <w:t xml:space="preserve"> </w:t>
      </w:r>
      <w:r w:rsidRPr="00D337FA">
        <w:rPr>
          <w:szCs w:val="24"/>
        </w:rPr>
        <w:t>и</w:t>
      </w:r>
      <w:r w:rsidR="006C680D" w:rsidRPr="00D337FA">
        <w:rPr>
          <w:szCs w:val="24"/>
        </w:rPr>
        <w:t xml:space="preserve"> </w:t>
      </w:r>
      <w:r w:rsidRPr="00D337FA">
        <w:rPr>
          <w:szCs w:val="24"/>
        </w:rPr>
        <w:t>онлайн-продаж,</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rFonts w:eastAsia="MS Gothic"/>
          <w:szCs w:val="24"/>
        </w:rPr>
        <w:t xml:space="preserve"> </w:t>
      </w:r>
      <w:r w:rsidRPr="00D337FA">
        <w:rPr>
          <w:rFonts w:eastAsia="MS Gothic"/>
          <w:szCs w:val="24"/>
        </w:rPr>
        <w:t>сформировалась</w:t>
      </w:r>
      <w:r w:rsidR="006C680D" w:rsidRPr="00D337FA">
        <w:rPr>
          <w:szCs w:val="24"/>
        </w:rPr>
        <w:t xml:space="preserve"> </w:t>
      </w:r>
      <w:r w:rsidRPr="00D337FA">
        <w:rPr>
          <w:szCs w:val="24"/>
        </w:rPr>
        <w:t>узкая</w:t>
      </w:r>
      <w:r w:rsidR="006C680D" w:rsidRPr="00D337FA">
        <w:rPr>
          <w:szCs w:val="24"/>
        </w:rPr>
        <w:t xml:space="preserve"> </w:t>
      </w:r>
      <w:r w:rsidRPr="00D337FA">
        <w:rPr>
          <w:szCs w:val="24"/>
        </w:rPr>
        <w:t>направленность</w:t>
      </w:r>
      <w:r w:rsidR="006C680D" w:rsidRPr="00D337FA">
        <w:rPr>
          <w:szCs w:val="24"/>
        </w:rPr>
        <w:t xml:space="preserve"> </w:t>
      </w:r>
      <w:r w:rsidRPr="00D337FA">
        <w:rPr>
          <w:szCs w:val="24"/>
        </w:rPr>
        <w:t>и</w:t>
      </w:r>
      <w:r w:rsidR="006C680D" w:rsidRPr="00D337FA">
        <w:rPr>
          <w:szCs w:val="24"/>
        </w:rPr>
        <w:t xml:space="preserve"> </w:t>
      </w:r>
      <w:r w:rsidRPr="00D337FA">
        <w:rPr>
          <w:szCs w:val="24"/>
        </w:rPr>
        <w:t>«слепые</w:t>
      </w:r>
      <w:r w:rsidR="006C680D" w:rsidRPr="00D337FA">
        <w:rPr>
          <w:szCs w:val="24"/>
        </w:rPr>
        <w:t xml:space="preserve"> </w:t>
      </w:r>
      <w:r w:rsidRPr="00D337FA">
        <w:rPr>
          <w:szCs w:val="24"/>
        </w:rPr>
        <w:t>зоны»</w:t>
      </w:r>
      <w:r w:rsidR="006C680D" w:rsidRPr="00D337FA">
        <w:rPr>
          <w:szCs w:val="24"/>
        </w:rPr>
        <w:t xml:space="preserve"> </w:t>
      </w:r>
      <w:r w:rsidRPr="00D337FA">
        <w:rPr>
          <w:szCs w:val="24"/>
        </w:rPr>
        <w:t>–</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стратегически</w:t>
      </w:r>
      <w:r w:rsidR="006C680D" w:rsidRPr="00D337FA">
        <w:rPr>
          <w:szCs w:val="24"/>
        </w:rPr>
        <w:t xml:space="preserve"> </w:t>
      </w:r>
      <w:r w:rsidRPr="00D337FA">
        <w:rPr>
          <w:szCs w:val="24"/>
        </w:rPr>
        <w:t>важные,</w:t>
      </w:r>
      <w:r w:rsidR="006C680D" w:rsidRPr="00D337FA">
        <w:rPr>
          <w:szCs w:val="24"/>
        </w:rPr>
        <w:t xml:space="preserve"> </w:t>
      </w:r>
      <w:r w:rsidRPr="00D337FA">
        <w:rPr>
          <w:szCs w:val="24"/>
        </w:rPr>
        <w:t>но</w:t>
      </w:r>
      <w:r w:rsidR="006C680D" w:rsidRPr="00D337FA">
        <w:rPr>
          <w:szCs w:val="24"/>
        </w:rPr>
        <w:t xml:space="preserve"> </w:t>
      </w:r>
      <w:r w:rsidRPr="00D337FA">
        <w:rPr>
          <w:szCs w:val="24"/>
        </w:rPr>
        <w:t>капиталоемкие</w:t>
      </w:r>
      <w:r w:rsidR="006C680D" w:rsidRPr="00D337FA">
        <w:rPr>
          <w:szCs w:val="24"/>
        </w:rPr>
        <w:t xml:space="preserve"> </w:t>
      </w:r>
      <w:r w:rsidRPr="00D337FA">
        <w:rPr>
          <w:szCs w:val="24"/>
        </w:rPr>
        <w:t>и</w:t>
      </w:r>
      <w:r w:rsidR="006C680D" w:rsidRPr="00D337FA">
        <w:rPr>
          <w:szCs w:val="24"/>
        </w:rPr>
        <w:t xml:space="preserve"> </w:t>
      </w:r>
      <w:r w:rsidRPr="00D337FA">
        <w:rPr>
          <w:szCs w:val="24"/>
        </w:rPr>
        <w:t>сложные</w:t>
      </w:r>
      <w:r w:rsidR="006C680D" w:rsidRPr="00D337FA">
        <w:rPr>
          <w:szCs w:val="24"/>
        </w:rPr>
        <w:t xml:space="preserve"> </w:t>
      </w:r>
      <w:r w:rsidRPr="00D337FA">
        <w:rPr>
          <w:szCs w:val="24"/>
        </w:rPr>
        <w:t>с</w:t>
      </w:r>
      <w:r w:rsidR="006C680D" w:rsidRPr="00D337FA">
        <w:rPr>
          <w:szCs w:val="24"/>
        </w:rPr>
        <w:t xml:space="preserve"> </w:t>
      </w:r>
      <w:r w:rsidRPr="00D337FA">
        <w:rPr>
          <w:szCs w:val="24"/>
        </w:rPr>
        <w:t>точки</w:t>
      </w:r>
      <w:r w:rsidR="006C680D" w:rsidRPr="00D337FA">
        <w:rPr>
          <w:szCs w:val="24"/>
        </w:rPr>
        <w:t xml:space="preserve"> </w:t>
      </w:r>
      <w:r w:rsidRPr="00D337FA">
        <w:rPr>
          <w:szCs w:val="24"/>
        </w:rPr>
        <w:t>зрения</w:t>
      </w:r>
      <w:r w:rsidR="006C680D" w:rsidRPr="00D337FA">
        <w:rPr>
          <w:szCs w:val="24"/>
        </w:rPr>
        <w:t xml:space="preserve"> </w:t>
      </w:r>
      <w:r w:rsidRPr="00D337FA">
        <w:rPr>
          <w:szCs w:val="24"/>
        </w:rPr>
        <w:t>риск-моделирования</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как</w:t>
      </w:r>
      <w:r w:rsidR="006C680D" w:rsidRPr="00D337FA">
        <w:rPr>
          <w:szCs w:val="24"/>
        </w:rPr>
        <w:t xml:space="preserve"> </w:t>
      </w:r>
      <w:r w:rsidRPr="00D337FA">
        <w:rPr>
          <w:szCs w:val="24"/>
        </w:rPr>
        <w:t>производство,</w:t>
      </w:r>
      <w:r w:rsidR="006C680D" w:rsidRPr="00D337FA">
        <w:rPr>
          <w:szCs w:val="24"/>
        </w:rPr>
        <w:t xml:space="preserve"> </w:t>
      </w:r>
      <w:r w:rsidRPr="00D337FA">
        <w:rPr>
          <w:szCs w:val="24"/>
        </w:rPr>
        <w:t>агробизнес</w:t>
      </w:r>
      <w:r w:rsidR="006C680D" w:rsidRPr="00D337FA">
        <w:rPr>
          <w:szCs w:val="24"/>
        </w:rPr>
        <w:t xml:space="preserve"> </w:t>
      </w:r>
      <w:r w:rsidRPr="00D337FA">
        <w:rPr>
          <w:szCs w:val="24"/>
        </w:rPr>
        <w:t>и</w:t>
      </w:r>
      <w:r w:rsidR="006C680D" w:rsidRPr="00D337FA">
        <w:rPr>
          <w:szCs w:val="24"/>
        </w:rPr>
        <w:t xml:space="preserve"> </w:t>
      </w:r>
      <w:r w:rsidRPr="00D337FA">
        <w:rPr>
          <w:szCs w:val="24"/>
        </w:rPr>
        <w:t>высокотехнологичные</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остаются</w:t>
      </w:r>
      <w:r w:rsidR="006C680D" w:rsidRPr="00D337FA">
        <w:rPr>
          <w:szCs w:val="24"/>
        </w:rPr>
        <w:t xml:space="preserve"> </w:t>
      </w:r>
      <w:r w:rsidRPr="00D337FA">
        <w:rPr>
          <w:szCs w:val="24"/>
        </w:rPr>
        <w:t>без</w:t>
      </w:r>
      <w:r w:rsidR="006C680D" w:rsidRPr="00D337FA">
        <w:rPr>
          <w:szCs w:val="24"/>
        </w:rPr>
        <w:t xml:space="preserve"> </w:t>
      </w:r>
      <w:r w:rsidRPr="00D337FA">
        <w:rPr>
          <w:szCs w:val="24"/>
        </w:rPr>
        <w:t>специализированных</w:t>
      </w:r>
      <w:r w:rsidR="006C680D" w:rsidRPr="00D337FA">
        <w:rPr>
          <w:szCs w:val="24"/>
        </w:rPr>
        <w:t xml:space="preserve"> </w:t>
      </w:r>
      <w:r w:rsidRPr="00D337FA">
        <w:rPr>
          <w:szCs w:val="24"/>
        </w:rPr>
        <w:t>комплексных</w:t>
      </w:r>
      <w:r w:rsidR="006C680D" w:rsidRPr="00D337FA">
        <w:rPr>
          <w:szCs w:val="24"/>
        </w:rPr>
        <w:t xml:space="preserve"> </w:t>
      </w:r>
      <w:r w:rsidRPr="00D337FA">
        <w:rPr>
          <w:szCs w:val="24"/>
        </w:rPr>
        <w:t>предложений.</w:t>
      </w:r>
      <w:r w:rsidR="006C680D" w:rsidRPr="00D337FA">
        <w:rPr>
          <w:szCs w:val="24"/>
        </w:rPr>
        <w:t xml:space="preserve"> </w:t>
      </w:r>
      <w:r w:rsidRPr="00D337FA">
        <w:rPr>
          <w:bCs/>
          <w:szCs w:val="24"/>
        </w:rPr>
        <w:t>Наше</w:t>
      </w:r>
      <w:r w:rsidR="006C680D" w:rsidRPr="00D337FA">
        <w:rPr>
          <w:bCs/>
          <w:szCs w:val="24"/>
        </w:rPr>
        <w:t xml:space="preserve"> </w:t>
      </w:r>
      <w:r w:rsidRPr="00D337FA">
        <w:rPr>
          <w:bCs/>
          <w:szCs w:val="24"/>
        </w:rPr>
        <w:t>предложение</w:t>
      </w:r>
      <w:r w:rsidR="006C680D" w:rsidRPr="00D337FA">
        <w:rPr>
          <w:bCs/>
          <w:szCs w:val="24"/>
        </w:rPr>
        <w:t xml:space="preserve"> </w:t>
      </w:r>
      <w:r w:rsidRPr="00D337FA">
        <w:rPr>
          <w:bCs/>
          <w:szCs w:val="24"/>
        </w:rPr>
        <w:t>о</w:t>
      </w:r>
      <w:r w:rsidR="006C680D" w:rsidRPr="00D337FA">
        <w:rPr>
          <w:bCs/>
          <w:szCs w:val="24"/>
        </w:rPr>
        <w:t xml:space="preserve"> </w:t>
      </w:r>
      <w:r w:rsidRPr="00D337FA">
        <w:rPr>
          <w:bCs/>
          <w:szCs w:val="24"/>
        </w:rPr>
        <w:t>развитии</w:t>
      </w:r>
      <w:r w:rsidR="006C680D" w:rsidRPr="00D337FA">
        <w:rPr>
          <w:bCs/>
          <w:szCs w:val="24"/>
        </w:rPr>
        <w:t xml:space="preserve"> </w:t>
      </w:r>
      <w:r w:rsidRPr="00D337FA">
        <w:rPr>
          <w:bCs/>
          <w:szCs w:val="24"/>
        </w:rPr>
        <w:t>«динамического</w:t>
      </w:r>
      <w:r w:rsidR="006C680D" w:rsidRPr="00D337FA">
        <w:rPr>
          <w:bCs/>
          <w:szCs w:val="24"/>
        </w:rPr>
        <w:t xml:space="preserve"> </w:t>
      </w:r>
      <w:r w:rsidRPr="00D337FA">
        <w:rPr>
          <w:bCs/>
          <w:szCs w:val="24"/>
        </w:rPr>
        <w:t>скоринга</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основе</w:t>
      </w:r>
      <w:r w:rsidR="006C680D" w:rsidRPr="00D337FA">
        <w:rPr>
          <w:bCs/>
          <w:szCs w:val="24"/>
        </w:rPr>
        <w:t xml:space="preserve"> </w:t>
      </w:r>
      <w:r w:rsidRPr="00D337FA">
        <w:rPr>
          <w:bCs/>
          <w:szCs w:val="24"/>
        </w:rPr>
        <w:t>потоков</w:t>
      </w:r>
      <w:r w:rsidR="006C680D" w:rsidRPr="00D337FA">
        <w:rPr>
          <w:bCs/>
          <w:szCs w:val="24"/>
        </w:rPr>
        <w:t xml:space="preserve"> </w:t>
      </w:r>
      <w:r w:rsidRPr="00D337FA">
        <w:rPr>
          <w:bCs/>
          <w:szCs w:val="24"/>
        </w:rPr>
        <w:t>операционных</w:t>
      </w:r>
      <w:r w:rsidR="006C680D" w:rsidRPr="00D337FA">
        <w:rPr>
          <w:bCs/>
          <w:szCs w:val="24"/>
        </w:rPr>
        <w:t xml:space="preserve"> </w:t>
      </w:r>
      <w:r w:rsidRPr="00D337FA">
        <w:rPr>
          <w:bCs/>
          <w:szCs w:val="24"/>
        </w:rPr>
        <w:t>данных»</w:t>
      </w:r>
      <w:r w:rsidR="006C680D" w:rsidRPr="00D337FA">
        <w:rPr>
          <w:bCs/>
          <w:szCs w:val="24"/>
        </w:rPr>
        <w:t xml:space="preserve"> </w:t>
      </w:r>
      <w:r w:rsidRPr="00D337FA">
        <w:rPr>
          <w:bCs/>
          <w:szCs w:val="24"/>
        </w:rPr>
        <w:t>должно</w:t>
      </w:r>
      <w:r w:rsidR="006C680D" w:rsidRPr="00D337FA">
        <w:rPr>
          <w:bCs/>
          <w:szCs w:val="24"/>
        </w:rPr>
        <w:t xml:space="preserve"> </w:t>
      </w:r>
      <w:r w:rsidRPr="00D337FA">
        <w:rPr>
          <w:bCs/>
          <w:szCs w:val="24"/>
        </w:rPr>
        <w:t>снизить</w:t>
      </w:r>
      <w:r w:rsidR="006C680D" w:rsidRPr="00D337FA">
        <w:rPr>
          <w:bCs/>
          <w:szCs w:val="24"/>
        </w:rPr>
        <w:t xml:space="preserve"> </w:t>
      </w:r>
      <w:r w:rsidRPr="00D337FA">
        <w:rPr>
          <w:bCs/>
          <w:szCs w:val="24"/>
        </w:rPr>
        <w:t>барьеры</w:t>
      </w:r>
      <w:r w:rsidR="006C680D" w:rsidRPr="00D337FA">
        <w:rPr>
          <w:bCs/>
          <w:szCs w:val="24"/>
        </w:rPr>
        <w:t xml:space="preserve"> </w:t>
      </w:r>
      <w:r w:rsidRPr="00D337FA">
        <w:rPr>
          <w:bCs/>
          <w:szCs w:val="24"/>
        </w:rPr>
        <w:t>для</w:t>
      </w:r>
      <w:r w:rsidR="006C680D" w:rsidRPr="00D337FA">
        <w:rPr>
          <w:bCs/>
          <w:szCs w:val="24"/>
        </w:rPr>
        <w:t xml:space="preserve"> </w:t>
      </w:r>
      <w:r w:rsidRPr="00D337FA">
        <w:rPr>
          <w:bCs/>
          <w:szCs w:val="24"/>
        </w:rPr>
        <w:t>банков</w:t>
      </w:r>
      <w:r w:rsidR="006C680D" w:rsidRPr="00D337FA">
        <w:rPr>
          <w:bCs/>
          <w:szCs w:val="24"/>
        </w:rPr>
        <w:t xml:space="preserve"> </w:t>
      </w:r>
      <w:r w:rsidRPr="00D337FA">
        <w:rPr>
          <w:bCs/>
          <w:szCs w:val="24"/>
        </w:rPr>
        <w:t>при</w:t>
      </w:r>
      <w:r w:rsidR="006C680D" w:rsidRPr="00D337FA">
        <w:rPr>
          <w:bCs/>
          <w:szCs w:val="24"/>
        </w:rPr>
        <w:t xml:space="preserve"> </w:t>
      </w:r>
      <w:r w:rsidRPr="00D337FA">
        <w:rPr>
          <w:bCs/>
          <w:szCs w:val="24"/>
        </w:rPr>
        <w:t>работе</w:t>
      </w:r>
      <w:r w:rsidR="006C680D" w:rsidRPr="00D337FA">
        <w:rPr>
          <w:bCs/>
          <w:szCs w:val="24"/>
        </w:rPr>
        <w:t xml:space="preserve"> </w:t>
      </w:r>
      <w:r w:rsidRPr="00D337FA">
        <w:rPr>
          <w:bCs/>
          <w:szCs w:val="24"/>
        </w:rPr>
        <w:t>с</w:t>
      </w:r>
      <w:r w:rsidR="006C680D" w:rsidRPr="00D337FA">
        <w:rPr>
          <w:bCs/>
          <w:szCs w:val="24"/>
        </w:rPr>
        <w:t xml:space="preserve"> </w:t>
      </w:r>
      <w:r w:rsidRPr="00D337FA">
        <w:rPr>
          <w:bCs/>
          <w:szCs w:val="24"/>
        </w:rPr>
        <w:t>этими</w:t>
      </w:r>
      <w:r w:rsidR="006C680D" w:rsidRPr="00D337FA">
        <w:rPr>
          <w:bCs/>
          <w:szCs w:val="24"/>
        </w:rPr>
        <w:t xml:space="preserve"> </w:t>
      </w:r>
      <w:r w:rsidRPr="00D337FA">
        <w:rPr>
          <w:bCs/>
          <w:szCs w:val="24"/>
        </w:rPr>
        <w:t>«сложными»</w:t>
      </w:r>
      <w:r w:rsidR="006C680D" w:rsidRPr="00D337FA">
        <w:rPr>
          <w:bCs/>
          <w:szCs w:val="24"/>
        </w:rPr>
        <w:t xml:space="preserve"> </w:t>
      </w:r>
      <w:r w:rsidRPr="00D337FA">
        <w:rPr>
          <w:bCs/>
          <w:szCs w:val="24"/>
        </w:rPr>
        <w:t>секторами.</w:t>
      </w:r>
      <w:r w:rsidR="006C680D" w:rsidRPr="00D337FA">
        <w:rPr>
          <w:szCs w:val="24"/>
        </w:rPr>
        <w:t xml:space="preserve"> </w:t>
      </w:r>
      <w:r w:rsidRPr="00D337FA">
        <w:rPr>
          <w:szCs w:val="24"/>
        </w:rPr>
        <w:t>Оценка</w:t>
      </w:r>
      <w:r w:rsidR="006C680D" w:rsidRPr="00D337FA">
        <w:rPr>
          <w:szCs w:val="24"/>
        </w:rPr>
        <w:t xml:space="preserve"> </w:t>
      </w:r>
      <w:r w:rsidRPr="00D337FA">
        <w:rPr>
          <w:szCs w:val="24"/>
        </w:rPr>
        <w:t>кредитоспособности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реальном</w:t>
      </w:r>
      <w:r w:rsidR="006C680D" w:rsidRPr="00D337FA">
        <w:rPr>
          <w:szCs w:val="24"/>
        </w:rPr>
        <w:t xml:space="preserve"> </w:t>
      </w:r>
      <w:r w:rsidRPr="00D337FA">
        <w:rPr>
          <w:szCs w:val="24"/>
        </w:rPr>
        <w:t>времени</w:t>
      </w:r>
      <w:r w:rsidR="006C680D" w:rsidRPr="00D337FA">
        <w:rPr>
          <w:szCs w:val="24"/>
        </w:rPr>
        <w:t xml:space="preserve"> </w:t>
      </w: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оборота,</w:t>
      </w:r>
      <w:r w:rsidR="006C680D" w:rsidRPr="00D337FA">
        <w:rPr>
          <w:szCs w:val="24"/>
        </w:rPr>
        <w:t xml:space="preserve"> </w:t>
      </w:r>
      <w:r w:rsidRPr="00D337FA">
        <w:rPr>
          <w:szCs w:val="24"/>
        </w:rPr>
        <w:t>исполнения</w:t>
      </w:r>
      <w:r w:rsidR="006C680D" w:rsidRPr="00D337FA">
        <w:rPr>
          <w:szCs w:val="24"/>
        </w:rPr>
        <w:t xml:space="preserve"> </w:t>
      </w:r>
      <w:r w:rsidRPr="00D337FA">
        <w:rPr>
          <w:szCs w:val="24"/>
        </w:rPr>
        <w:t>контрактов</w:t>
      </w:r>
      <w:r w:rsidR="006C680D" w:rsidRPr="00D337FA">
        <w:rPr>
          <w:szCs w:val="24"/>
        </w:rPr>
        <w:t xml:space="preserve"> </w:t>
      </w:r>
      <w:r w:rsidRPr="00D337FA">
        <w:rPr>
          <w:szCs w:val="24"/>
        </w:rPr>
        <w:t>или</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с</w:t>
      </w:r>
      <w:r w:rsidR="006C680D" w:rsidRPr="00D337FA">
        <w:rPr>
          <w:szCs w:val="24"/>
        </w:rPr>
        <w:t xml:space="preserve"> </w:t>
      </w:r>
      <w:r w:rsidRPr="00D337FA">
        <w:rPr>
          <w:szCs w:val="24"/>
        </w:rPr>
        <w:t>IoT-датчиков</w:t>
      </w:r>
      <w:r w:rsidR="006C680D" w:rsidRPr="00D337FA">
        <w:rPr>
          <w:szCs w:val="24"/>
        </w:rPr>
        <w:t xml:space="preserve"> </w:t>
      </w:r>
      <w:r w:rsidRPr="00D337FA">
        <w:rPr>
          <w:szCs w:val="24"/>
        </w:rPr>
        <w:t>оборудования</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банкам</w:t>
      </w:r>
      <w:r w:rsidR="006C680D" w:rsidRPr="00D337FA">
        <w:rPr>
          <w:szCs w:val="24"/>
        </w:rPr>
        <w:t xml:space="preserve"> </w:t>
      </w:r>
      <w:r w:rsidRPr="00D337FA">
        <w:rPr>
          <w:szCs w:val="24"/>
        </w:rPr>
        <w:t>управлять</w:t>
      </w:r>
      <w:r w:rsidR="006C680D" w:rsidRPr="00D337FA">
        <w:rPr>
          <w:szCs w:val="24"/>
        </w:rPr>
        <w:t xml:space="preserve"> </w:t>
      </w:r>
      <w:r w:rsidRPr="00D337FA">
        <w:rPr>
          <w:szCs w:val="24"/>
        </w:rPr>
        <w:t>рисками</w:t>
      </w:r>
      <w:r w:rsidR="006C680D" w:rsidRPr="00D337FA">
        <w:rPr>
          <w:szCs w:val="24"/>
        </w:rPr>
        <w:t xml:space="preserve"> </w:t>
      </w:r>
      <w:r w:rsidRPr="00D337FA">
        <w:rPr>
          <w:szCs w:val="24"/>
        </w:rPr>
        <w:t>в</w:t>
      </w:r>
      <w:r w:rsidR="006C680D" w:rsidRPr="00D337FA">
        <w:rPr>
          <w:szCs w:val="24"/>
        </w:rPr>
        <w:t xml:space="preserve"> </w:t>
      </w:r>
      <w:r w:rsidRPr="00D337FA">
        <w:rPr>
          <w:szCs w:val="24"/>
        </w:rPr>
        <w:t>нишевых</w:t>
      </w:r>
      <w:r w:rsidR="006C680D" w:rsidRPr="00D337FA">
        <w:rPr>
          <w:szCs w:val="24"/>
        </w:rPr>
        <w:t xml:space="preserve"> </w:t>
      </w:r>
      <w:r w:rsidRPr="00D337FA">
        <w:rPr>
          <w:szCs w:val="24"/>
        </w:rPr>
        <w:t>отраслях</w:t>
      </w:r>
      <w:r w:rsidR="006C680D" w:rsidRPr="00D337FA">
        <w:rPr>
          <w:szCs w:val="24"/>
        </w:rPr>
        <w:t xml:space="preserve"> </w:t>
      </w:r>
      <w:r w:rsidRPr="00D337FA">
        <w:rPr>
          <w:szCs w:val="24"/>
        </w:rPr>
        <w:t>без</w:t>
      </w:r>
      <w:r w:rsidR="006C680D" w:rsidRPr="00D337FA">
        <w:rPr>
          <w:szCs w:val="24"/>
        </w:rPr>
        <w:t xml:space="preserve"> </w:t>
      </w:r>
      <w:r w:rsidRPr="00D337FA">
        <w:rPr>
          <w:szCs w:val="24"/>
        </w:rPr>
        <w:t>создания</w:t>
      </w:r>
      <w:r w:rsidR="006C680D" w:rsidRPr="00D337FA">
        <w:rPr>
          <w:szCs w:val="24"/>
        </w:rPr>
        <w:t xml:space="preserve"> </w:t>
      </w:r>
      <w:r w:rsidRPr="00D337FA">
        <w:rPr>
          <w:szCs w:val="24"/>
        </w:rPr>
        <w:t>громоздких</w:t>
      </w:r>
      <w:r w:rsidR="006C680D" w:rsidRPr="00D337FA">
        <w:rPr>
          <w:szCs w:val="24"/>
        </w:rPr>
        <w:t xml:space="preserve"> </w:t>
      </w:r>
      <w:r w:rsidRPr="00D337FA">
        <w:rPr>
          <w:szCs w:val="24"/>
        </w:rPr>
        <w:t>и</w:t>
      </w:r>
      <w:r w:rsidR="006C680D" w:rsidRPr="00D337FA">
        <w:rPr>
          <w:szCs w:val="24"/>
        </w:rPr>
        <w:t xml:space="preserve"> </w:t>
      </w:r>
      <w:r w:rsidRPr="00D337FA">
        <w:rPr>
          <w:szCs w:val="24"/>
        </w:rPr>
        <w:t>затратных</w:t>
      </w:r>
      <w:r w:rsidR="006C680D" w:rsidRPr="00D337FA">
        <w:rPr>
          <w:szCs w:val="24"/>
        </w:rPr>
        <w:t xml:space="preserve"> </w:t>
      </w:r>
      <w:r w:rsidRPr="00D337FA">
        <w:rPr>
          <w:szCs w:val="24"/>
        </w:rPr>
        <w:t>шаблонных</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моделей,</w:t>
      </w:r>
      <w:r w:rsidR="006C680D" w:rsidRPr="00D337FA">
        <w:rPr>
          <w:szCs w:val="24"/>
        </w:rPr>
        <w:t xml:space="preserve"> </w:t>
      </w:r>
      <w:r w:rsidRPr="00D337FA">
        <w:rPr>
          <w:szCs w:val="24"/>
        </w:rPr>
        <w:t>тем</w:t>
      </w:r>
      <w:r w:rsidR="006C680D" w:rsidRPr="00D337FA">
        <w:rPr>
          <w:szCs w:val="24"/>
        </w:rPr>
        <w:t xml:space="preserve"> </w:t>
      </w:r>
      <w:r w:rsidRPr="00D337FA">
        <w:rPr>
          <w:szCs w:val="24"/>
        </w:rPr>
        <w:t>самым</w:t>
      </w:r>
      <w:r w:rsidR="006C680D" w:rsidRPr="00D337FA">
        <w:rPr>
          <w:szCs w:val="24"/>
        </w:rPr>
        <w:t xml:space="preserve"> </w:t>
      </w:r>
      <w:r w:rsidRPr="00D337FA">
        <w:rPr>
          <w:szCs w:val="24"/>
        </w:rPr>
        <w:t>стимулируя</w:t>
      </w:r>
      <w:r w:rsidR="006C680D" w:rsidRPr="00D337FA">
        <w:rPr>
          <w:szCs w:val="24"/>
        </w:rPr>
        <w:t xml:space="preserve"> </w:t>
      </w:r>
      <w:r w:rsidRPr="00D337FA">
        <w:rPr>
          <w:szCs w:val="24"/>
        </w:rPr>
        <w:t>появление</w:t>
      </w:r>
      <w:r w:rsidR="006C680D" w:rsidRPr="00D337FA">
        <w:rPr>
          <w:szCs w:val="24"/>
        </w:rPr>
        <w:t xml:space="preserve"> </w:t>
      </w:r>
      <w:r w:rsidRPr="00D337FA">
        <w:rPr>
          <w:szCs w:val="24"/>
        </w:rPr>
        <w:t>для</w:t>
      </w:r>
      <w:r w:rsidR="006C680D" w:rsidRPr="00D337FA">
        <w:rPr>
          <w:szCs w:val="24"/>
        </w:rPr>
        <w:t xml:space="preserve"> </w:t>
      </w:r>
      <w:r w:rsidRPr="00D337FA">
        <w:rPr>
          <w:szCs w:val="24"/>
        </w:rPr>
        <w:t>них</w:t>
      </w:r>
      <w:r w:rsidR="006C680D" w:rsidRPr="00D337FA">
        <w:rPr>
          <w:szCs w:val="24"/>
        </w:rPr>
        <w:t xml:space="preserve"> </w:t>
      </w:r>
      <w:r w:rsidRPr="00D337FA">
        <w:rPr>
          <w:szCs w:val="24"/>
        </w:rPr>
        <w:t>кастомизированных</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продуктов.</w:t>
      </w:r>
    </w:p>
    <w:p w:rsidR="00E70CAD" w:rsidRPr="00D337FA" w:rsidRDefault="00E70CAD" w:rsidP="00E70CAD">
      <w:pPr>
        <w:ind w:firstLine="284"/>
        <w:rPr>
          <w:szCs w:val="24"/>
        </w:rPr>
      </w:pPr>
      <w:r w:rsidRPr="00D337FA">
        <w:rPr>
          <w:bCs/>
          <w:szCs w:val="24"/>
        </w:rPr>
        <w:t>В-третьих,</w:t>
      </w:r>
      <w:r w:rsidR="006C680D" w:rsidRPr="00D337FA">
        <w:rPr>
          <w:bCs/>
          <w:szCs w:val="24"/>
        </w:rPr>
        <w:t xml:space="preserve"> </w:t>
      </w:r>
      <w:r w:rsidRPr="00D337FA">
        <w:rPr>
          <w:bCs/>
          <w:szCs w:val="24"/>
        </w:rPr>
        <w:t>ограниченность</w:t>
      </w:r>
      <w:r w:rsidR="006C680D" w:rsidRPr="00D337FA">
        <w:rPr>
          <w:bCs/>
          <w:szCs w:val="24"/>
        </w:rPr>
        <w:t xml:space="preserve"> </w:t>
      </w:r>
      <w:r w:rsidRPr="00D337FA">
        <w:rPr>
          <w:bCs/>
          <w:szCs w:val="24"/>
        </w:rPr>
        <w:t>стратегических</w:t>
      </w:r>
      <w:r w:rsidR="006C680D" w:rsidRPr="00D337FA">
        <w:rPr>
          <w:bCs/>
          <w:szCs w:val="24"/>
        </w:rPr>
        <w:t xml:space="preserve"> </w:t>
      </w:r>
      <w:r w:rsidRPr="00D337FA">
        <w:rPr>
          <w:bCs/>
          <w:szCs w:val="24"/>
        </w:rPr>
        <w:t>услуг</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проблема</w:t>
      </w:r>
      <w:r w:rsidR="006C680D" w:rsidRPr="00D337FA">
        <w:rPr>
          <w:bCs/>
          <w:szCs w:val="24"/>
        </w:rPr>
        <w:t xml:space="preserve"> </w:t>
      </w:r>
      <w:r w:rsidRPr="00D337FA">
        <w:rPr>
          <w:bCs/>
          <w:szCs w:val="24"/>
        </w:rPr>
        <w:t>«двух</w:t>
      </w:r>
      <w:r w:rsidR="006C680D" w:rsidRPr="00D337FA">
        <w:rPr>
          <w:bCs/>
          <w:szCs w:val="24"/>
        </w:rPr>
        <w:t xml:space="preserve"> </w:t>
      </w:r>
      <w:r w:rsidRPr="00D337FA">
        <w:rPr>
          <w:bCs/>
          <w:szCs w:val="24"/>
        </w:rPr>
        <w:t>скоростей»</w:t>
      </w:r>
      <w:r w:rsidR="006C680D" w:rsidRPr="00D337FA">
        <w:rPr>
          <w:bCs/>
          <w:szCs w:val="24"/>
        </w:rPr>
        <w:t xml:space="preserve"> </w:t>
      </w:r>
      <w:r w:rsidRPr="00D337FA">
        <w:rPr>
          <w:bCs/>
          <w:szCs w:val="24"/>
        </w:rPr>
        <w:lastRenderedPageBreak/>
        <w:t>рынка.</w:t>
      </w:r>
      <w:r w:rsidR="006C680D" w:rsidRPr="00D337FA">
        <w:rPr>
          <w:szCs w:val="24"/>
        </w:rPr>
        <w:t xml:space="preserve"> </w:t>
      </w:r>
      <w:r w:rsidRPr="00D337FA">
        <w:rPr>
          <w:szCs w:val="24"/>
        </w:rPr>
        <w:t>Эмпирически</w:t>
      </w:r>
      <w:r w:rsidR="006C680D" w:rsidRPr="00D337FA">
        <w:rPr>
          <w:szCs w:val="24"/>
        </w:rPr>
        <w:t xml:space="preserve"> </w:t>
      </w:r>
      <w:r w:rsidRPr="00D337FA">
        <w:rPr>
          <w:szCs w:val="24"/>
        </w:rPr>
        <w:t>подтверждено,</w:t>
      </w:r>
      <w:r w:rsidR="006C680D" w:rsidRPr="00D337FA">
        <w:rPr>
          <w:szCs w:val="24"/>
        </w:rPr>
        <w:t xml:space="preserve"> </w:t>
      </w:r>
      <w:r w:rsidRPr="00D337FA">
        <w:rPr>
          <w:szCs w:val="24"/>
        </w:rPr>
        <w:t>что</w:t>
      </w:r>
      <w:r w:rsidR="006C680D" w:rsidRPr="00D337FA">
        <w:rPr>
          <w:szCs w:val="24"/>
        </w:rPr>
        <w:t xml:space="preserve"> </w:t>
      </w:r>
      <w:r w:rsidRPr="00D337FA">
        <w:rPr>
          <w:szCs w:val="24"/>
        </w:rPr>
        <w:t>доступ</w:t>
      </w:r>
      <w:r w:rsidR="006C680D" w:rsidRPr="00D337FA">
        <w:rPr>
          <w:szCs w:val="24"/>
        </w:rPr>
        <w:t xml:space="preserve"> </w:t>
      </w:r>
      <w:r w:rsidRPr="00D337FA">
        <w:rPr>
          <w:szCs w:val="24"/>
        </w:rPr>
        <w:t>к</w:t>
      </w:r>
      <w:r w:rsidR="006C680D" w:rsidRPr="00D337FA">
        <w:rPr>
          <w:szCs w:val="24"/>
        </w:rPr>
        <w:t xml:space="preserve"> </w:t>
      </w:r>
      <w:r w:rsidRPr="00D337FA">
        <w:rPr>
          <w:szCs w:val="24"/>
        </w:rPr>
        <w:t>международным</w:t>
      </w:r>
      <w:r w:rsidR="006C680D" w:rsidRPr="00D337FA">
        <w:rPr>
          <w:szCs w:val="24"/>
        </w:rPr>
        <w:t xml:space="preserve"> </w:t>
      </w:r>
      <w:r w:rsidRPr="00D337FA">
        <w:rPr>
          <w:szCs w:val="24"/>
        </w:rPr>
        <w:t>расчетам,</w:t>
      </w:r>
      <w:r w:rsidR="006C680D" w:rsidRPr="00D337FA">
        <w:rPr>
          <w:szCs w:val="24"/>
        </w:rPr>
        <w:t xml:space="preserve"> </w:t>
      </w:r>
      <w:r w:rsidRPr="00D337FA">
        <w:rPr>
          <w:szCs w:val="24"/>
        </w:rPr>
        <w:t>комплексному</w:t>
      </w:r>
      <w:r w:rsidR="006C680D" w:rsidRPr="00D337FA">
        <w:rPr>
          <w:szCs w:val="24"/>
        </w:rPr>
        <w:t xml:space="preserve"> </w:t>
      </w:r>
      <w:r w:rsidRPr="00D337FA">
        <w:rPr>
          <w:szCs w:val="24"/>
        </w:rPr>
        <w:t>страхованию</w:t>
      </w:r>
      <w:r w:rsidR="006C680D" w:rsidRPr="00D337FA">
        <w:rPr>
          <w:szCs w:val="24"/>
        </w:rPr>
        <w:t xml:space="preserve"> </w:t>
      </w:r>
      <w:r w:rsidRPr="00D337FA">
        <w:rPr>
          <w:szCs w:val="24"/>
        </w:rPr>
        <w:t>бизнес-рисков</w:t>
      </w:r>
      <w:r w:rsidR="006C680D" w:rsidRPr="00D337FA">
        <w:rPr>
          <w:szCs w:val="24"/>
        </w:rPr>
        <w:t xml:space="preserve"> </w:t>
      </w:r>
      <w:r w:rsidRPr="00D337FA">
        <w:rPr>
          <w:szCs w:val="24"/>
        </w:rPr>
        <w:t>и</w:t>
      </w:r>
      <w:r w:rsidR="006C680D" w:rsidRPr="00D337FA">
        <w:rPr>
          <w:szCs w:val="24"/>
        </w:rPr>
        <w:t xml:space="preserve"> </w:t>
      </w:r>
      <w:r w:rsidRPr="00D337FA">
        <w:rPr>
          <w:szCs w:val="24"/>
        </w:rPr>
        <w:t>продвинутым</w:t>
      </w:r>
      <w:r w:rsidR="006C680D" w:rsidRPr="00D337FA">
        <w:rPr>
          <w:szCs w:val="24"/>
        </w:rPr>
        <w:t xml:space="preserve"> </w:t>
      </w:r>
      <w:r w:rsidRPr="00D337FA">
        <w:rPr>
          <w:szCs w:val="24"/>
        </w:rPr>
        <w:t>e-commerce-инструментам</w:t>
      </w:r>
      <w:r w:rsidR="006C680D" w:rsidRPr="00D337FA">
        <w:rPr>
          <w:szCs w:val="24"/>
        </w:rPr>
        <w:t xml:space="preserve"> </w:t>
      </w:r>
      <w:r w:rsidRPr="00D337FA">
        <w:rPr>
          <w:szCs w:val="24"/>
        </w:rPr>
        <w:t>сконцентрирован</w:t>
      </w:r>
      <w:r w:rsidR="006C680D" w:rsidRPr="00D337FA">
        <w:rPr>
          <w:szCs w:val="24"/>
        </w:rPr>
        <w:t xml:space="preserve"> </w:t>
      </w:r>
      <w:r w:rsidRPr="00D337FA">
        <w:rPr>
          <w:szCs w:val="24"/>
        </w:rPr>
        <w:t>у</w:t>
      </w:r>
      <w:r w:rsidR="006C680D" w:rsidRPr="00D337FA">
        <w:rPr>
          <w:szCs w:val="24"/>
        </w:rPr>
        <w:t xml:space="preserve"> </w:t>
      </w:r>
      <w:r w:rsidRPr="00D337FA">
        <w:rPr>
          <w:szCs w:val="24"/>
        </w:rPr>
        <w:t>2-3</w:t>
      </w:r>
      <w:r w:rsidR="006C680D" w:rsidRPr="00D337FA">
        <w:rPr>
          <w:szCs w:val="24"/>
        </w:rPr>
        <w:t xml:space="preserve"> </w:t>
      </w:r>
      <w:r w:rsidRPr="00D337FA">
        <w:rPr>
          <w:szCs w:val="24"/>
        </w:rPr>
        <w:t>банков-лидеров.</w:t>
      </w:r>
      <w:r w:rsidR="006C680D" w:rsidRPr="00D337FA">
        <w:rPr>
          <w:szCs w:val="24"/>
        </w:rPr>
        <w:t xml:space="preserve"> </w:t>
      </w:r>
      <w:r w:rsidRPr="00D337FA">
        <w:rPr>
          <w:szCs w:val="24"/>
        </w:rPr>
        <w:t>Это</w:t>
      </w:r>
      <w:r w:rsidR="006C680D" w:rsidRPr="00D337FA">
        <w:rPr>
          <w:szCs w:val="24"/>
        </w:rPr>
        <w:t xml:space="preserve"> </w:t>
      </w:r>
      <w:r w:rsidRPr="00D337FA">
        <w:rPr>
          <w:szCs w:val="24"/>
        </w:rPr>
        <w:t>создает</w:t>
      </w:r>
      <w:r w:rsidR="006C680D" w:rsidRPr="00D337FA">
        <w:rPr>
          <w:szCs w:val="24"/>
        </w:rPr>
        <w:t xml:space="preserve"> </w:t>
      </w:r>
      <w:r w:rsidRPr="00D337FA">
        <w:rPr>
          <w:szCs w:val="24"/>
        </w:rPr>
        <w:t>ситуацию</w:t>
      </w:r>
      <w:r w:rsidR="006C680D" w:rsidRPr="00D337FA">
        <w:rPr>
          <w:szCs w:val="24"/>
        </w:rPr>
        <w:t xml:space="preserve"> </w:t>
      </w:r>
      <w:r w:rsidRPr="00D337FA">
        <w:rPr>
          <w:szCs w:val="24"/>
        </w:rPr>
        <w:t>«двух</w:t>
      </w:r>
      <w:r w:rsidR="006C680D" w:rsidRPr="00D337FA">
        <w:rPr>
          <w:szCs w:val="24"/>
        </w:rPr>
        <w:t xml:space="preserve"> </w:t>
      </w:r>
      <w:r w:rsidRPr="00D337FA">
        <w:rPr>
          <w:szCs w:val="24"/>
        </w:rPr>
        <w:t>скоростей»,</w:t>
      </w:r>
      <w:r w:rsidR="006C680D" w:rsidRPr="00D337FA">
        <w:rPr>
          <w:szCs w:val="24"/>
        </w:rPr>
        <w:t xml:space="preserve"> </w:t>
      </w:r>
      <w:r w:rsidRPr="00D337FA">
        <w:rPr>
          <w:szCs w:val="24"/>
        </w:rPr>
        <w:t>где</w:t>
      </w:r>
      <w:r w:rsidR="006C680D" w:rsidRPr="00D337FA">
        <w:rPr>
          <w:szCs w:val="24"/>
        </w:rPr>
        <w:t xml:space="preserve"> </w:t>
      </w:r>
      <w:r w:rsidRPr="00D337FA">
        <w:rPr>
          <w:szCs w:val="24"/>
        </w:rPr>
        <w:t>большинство</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региональных,</w:t>
      </w:r>
      <w:r w:rsidR="006C680D" w:rsidRPr="00D337FA">
        <w:rPr>
          <w:szCs w:val="24"/>
        </w:rPr>
        <w:t xml:space="preserve"> </w:t>
      </w:r>
      <w:r w:rsidRPr="00D337FA">
        <w:rPr>
          <w:szCs w:val="24"/>
        </w:rPr>
        <w:t>не</w:t>
      </w:r>
      <w:r w:rsidR="006C680D" w:rsidRPr="00D337FA">
        <w:rPr>
          <w:szCs w:val="24"/>
        </w:rPr>
        <w:t xml:space="preserve"> </w:t>
      </w:r>
      <w:r w:rsidRPr="00D337FA">
        <w:rPr>
          <w:szCs w:val="24"/>
        </w:rPr>
        <w:t>могут</w:t>
      </w:r>
      <w:r w:rsidR="006C680D" w:rsidRPr="00D337FA">
        <w:rPr>
          <w:szCs w:val="24"/>
        </w:rPr>
        <w:t xml:space="preserve"> </w:t>
      </w:r>
      <w:r w:rsidRPr="00D337FA">
        <w:rPr>
          <w:szCs w:val="24"/>
        </w:rPr>
        <w:t>предложить</w:t>
      </w:r>
      <w:r w:rsidR="006C680D" w:rsidRPr="00D337FA">
        <w:rPr>
          <w:szCs w:val="24"/>
        </w:rPr>
        <w:t xml:space="preserve"> </w:t>
      </w:r>
      <w:r w:rsidRPr="00D337FA">
        <w:rPr>
          <w:szCs w:val="24"/>
        </w:rPr>
        <w:t>клиентам</w:t>
      </w:r>
      <w:r w:rsidR="006C680D" w:rsidRPr="00D337FA">
        <w:rPr>
          <w:szCs w:val="24"/>
        </w:rPr>
        <w:t xml:space="preserve"> </w:t>
      </w:r>
      <w:r w:rsidRPr="00D337FA">
        <w:rPr>
          <w:szCs w:val="24"/>
        </w:rPr>
        <w:t>полный</w:t>
      </w:r>
      <w:r w:rsidR="006C680D" w:rsidRPr="00D337FA">
        <w:rPr>
          <w:szCs w:val="24"/>
        </w:rPr>
        <w:t xml:space="preserve"> </w:t>
      </w:r>
      <w:r w:rsidRPr="00D337FA">
        <w:rPr>
          <w:szCs w:val="24"/>
        </w:rPr>
        <w:t>спектр</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для</w:t>
      </w:r>
      <w:r w:rsidR="006C680D" w:rsidRPr="00D337FA">
        <w:rPr>
          <w:szCs w:val="24"/>
        </w:rPr>
        <w:t xml:space="preserve"> </w:t>
      </w:r>
      <w:r w:rsidRPr="00D337FA">
        <w:rPr>
          <w:szCs w:val="24"/>
        </w:rPr>
        <w:t>роста,</w:t>
      </w:r>
      <w:r w:rsidR="006C680D" w:rsidRPr="00D337FA">
        <w:rPr>
          <w:szCs w:val="24"/>
        </w:rPr>
        <w:t xml:space="preserve"> </w:t>
      </w:r>
      <w:r w:rsidRPr="00D337FA">
        <w:rPr>
          <w:szCs w:val="24"/>
        </w:rPr>
        <w:t>что</w:t>
      </w:r>
      <w:r w:rsidR="006C680D" w:rsidRPr="00D337FA">
        <w:rPr>
          <w:szCs w:val="24"/>
        </w:rPr>
        <w:t xml:space="preserve"> </w:t>
      </w:r>
      <w:r w:rsidRPr="00D337FA">
        <w:rPr>
          <w:szCs w:val="24"/>
        </w:rPr>
        <w:t>ограничивает</w:t>
      </w:r>
      <w:r w:rsidR="006C680D" w:rsidRPr="00D337FA">
        <w:rPr>
          <w:szCs w:val="24"/>
        </w:rPr>
        <w:t xml:space="preserve"> </w:t>
      </w:r>
      <w:r w:rsidRPr="00D337FA">
        <w:rPr>
          <w:szCs w:val="24"/>
        </w:rPr>
        <w:t>конкуренцию</w:t>
      </w:r>
      <w:r w:rsidR="006C680D" w:rsidRPr="00D337FA">
        <w:rPr>
          <w:szCs w:val="24"/>
        </w:rPr>
        <w:t xml:space="preserve"> </w:t>
      </w:r>
      <w:r w:rsidRPr="00D337FA">
        <w:rPr>
          <w:szCs w:val="24"/>
        </w:rPr>
        <w:t>и</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вне</w:t>
      </w:r>
      <w:r w:rsidR="006C680D" w:rsidRPr="00D337FA">
        <w:rPr>
          <w:szCs w:val="24"/>
        </w:rPr>
        <w:t xml:space="preserve"> </w:t>
      </w:r>
      <w:r w:rsidRPr="00D337FA">
        <w:rPr>
          <w:szCs w:val="24"/>
        </w:rPr>
        <w:t>столичных</w:t>
      </w:r>
      <w:r w:rsidR="006C680D" w:rsidRPr="00D337FA">
        <w:rPr>
          <w:szCs w:val="24"/>
        </w:rPr>
        <w:t xml:space="preserve"> </w:t>
      </w:r>
      <w:r w:rsidRPr="00D337FA">
        <w:rPr>
          <w:szCs w:val="24"/>
        </w:rPr>
        <w:t>агломераций.</w:t>
      </w:r>
      <w:r w:rsidR="006C680D" w:rsidRPr="00D337FA">
        <w:rPr>
          <w:szCs w:val="24"/>
        </w:rPr>
        <w:t xml:space="preserve"> </w:t>
      </w:r>
      <w:r w:rsidRPr="00D337FA">
        <w:rPr>
          <w:bCs/>
          <w:szCs w:val="24"/>
        </w:rPr>
        <w:t>Наше</w:t>
      </w:r>
      <w:r w:rsidR="006C680D" w:rsidRPr="00D337FA">
        <w:rPr>
          <w:bCs/>
          <w:szCs w:val="24"/>
        </w:rPr>
        <w:t xml:space="preserve"> </w:t>
      </w:r>
      <w:r w:rsidRPr="00D337FA">
        <w:rPr>
          <w:bCs/>
          <w:szCs w:val="24"/>
        </w:rPr>
        <w:t>предложение</w:t>
      </w:r>
      <w:r w:rsidR="006C680D" w:rsidRPr="00D337FA">
        <w:rPr>
          <w:bCs/>
          <w:szCs w:val="24"/>
        </w:rPr>
        <w:t xml:space="preserve"> </w:t>
      </w:r>
      <w:r w:rsidRPr="00D337FA">
        <w:rPr>
          <w:bCs/>
          <w:szCs w:val="24"/>
        </w:rPr>
        <w:t>о</w:t>
      </w:r>
      <w:r w:rsidR="006C680D" w:rsidRPr="00D337FA">
        <w:rPr>
          <w:bCs/>
          <w:szCs w:val="24"/>
        </w:rPr>
        <w:t xml:space="preserve"> </w:t>
      </w:r>
      <w:r w:rsidRPr="00D337FA">
        <w:rPr>
          <w:bCs/>
          <w:szCs w:val="24"/>
        </w:rPr>
        <w:t>стимулировании</w:t>
      </w:r>
      <w:r w:rsidR="006C680D" w:rsidRPr="00D337FA">
        <w:rPr>
          <w:bCs/>
          <w:szCs w:val="24"/>
        </w:rPr>
        <w:t xml:space="preserve"> </w:t>
      </w:r>
      <w:r w:rsidRPr="00D337FA">
        <w:rPr>
          <w:bCs/>
          <w:szCs w:val="24"/>
        </w:rPr>
        <w:t>разработки</w:t>
      </w:r>
      <w:r w:rsidR="006C680D" w:rsidRPr="00D337FA">
        <w:rPr>
          <w:bCs/>
          <w:szCs w:val="24"/>
        </w:rPr>
        <w:t xml:space="preserve"> </w:t>
      </w:r>
      <w:r w:rsidRPr="00D337FA">
        <w:rPr>
          <w:bCs/>
          <w:szCs w:val="24"/>
        </w:rPr>
        <w:t>«отраслевых</w:t>
      </w:r>
      <w:r w:rsidR="006C680D" w:rsidRPr="00D337FA">
        <w:rPr>
          <w:bCs/>
          <w:szCs w:val="24"/>
        </w:rPr>
        <w:t xml:space="preserve"> </w:t>
      </w:r>
      <w:r w:rsidRPr="00D337FA">
        <w:rPr>
          <w:bCs/>
          <w:szCs w:val="24"/>
        </w:rPr>
        <w:t>API-стандартов»</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создании</w:t>
      </w:r>
      <w:r w:rsidR="006C680D" w:rsidRPr="00D337FA">
        <w:rPr>
          <w:bCs/>
          <w:szCs w:val="24"/>
        </w:rPr>
        <w:t xml:space="preserve"> </w:t>
      </w:r>
      <w:r w:rsidRPr="00D337FA">
        <w:rPr>
          <w:bCs/>
          <w:szCs w:val="24"/>
        </w:rPr>
        <w:t>регуляторных</w:t>
      </w:r>
      <w:r w:rsidR="006C680D" w:rsidRPr="00D337FA">
        <w:rPr>
          <w:bCs/>
          <w:szCs w:val="24"/>
        </w:rPr>
        <w:t xml:space="preserve"> </w:t>
      </w:r>
      <w:r w:rsidRPr="00D337FA">
        <w:rPr>
          <w:bCs/>
          <w:szCs w:val="24"/>
        </w:rPr>
        <w:t>«песочниц»</w:t>
      </w:r>
      <w:r w:rsidR="006C680D" w:rsidRPr="00D337FA">
        <w:rPr>
          <w:bCs/>
          <w:szCs w:val="24"/>
        </w:rPr>
        <w:t xml:space="preserve"> </w:t>
      </w:r>
      <w:r w:rsidRPr="00D337FA">
        <w:rPr>
          <w:bCs/>
          <w:szCs w:val="24"/>
        </w:rPr>
        <w:t>прямо</w:t>
      </w:r>
      <w:r w:rsidR="006C680D" w:rsidRPr="00D337FA">
        <w:rPr>
          <w:bCs/>
          <w:szCs w:val="24"/>
        </w:rPr>
        <w:t xml:space="preserve"> </w:t>
      </w:r>
      <w:r w:rsidRPr="00D337FA">
        <w:rPr>
          <w:bCs/>
          <w:szCs w:val="24"/>
        </w:rPr>
        <w:t>направлено</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решение</w:t>
      </w:r>
      <w:r w:rsidR="006C680D" w:rsidRPr="00D337FA">
        <w:rPr>
          <w:bCs/>
          <w:szCs w:val="24"/>
        </w:rPr>
        <w:t xml:space="preserve"> </w:t>
      </w:r>
      <w:r w:rsidRPr="00D337FA">
        <w:rPr>
          <w:bCs/>
          <w:szCs w:val="24"/>
        </w:rPr>
        <w:t>данной</w:t>
      </w:r>
      <w:r w:rsidR="006C680D" w:rsidRPr="00D337FA">
        <w:rPr>
          <w:bCs/>
          <w:szCs w:val="24"/>
        </w:rPr>
        <w:t xml:space="preserve"> </w:t>
      </w:r>
      <w:r w:rsidRPr="00D337FA">
        <w:rPr>
          <w:bCs/>
          <w:szCs w:val="24"/>
        </w:rPr>
        <w:t>проблемы.</w:t>
      </w:r>
      <w:r w:rsidR="006C680D" w:rsidRPr="00D337FA">
        <w:rPr>
          <w:szCs w:val="24"/>
        </w:rPr>
        <w:t xml:space="preserve"> </w:t>
      </w:r>
      <w:r w:rsidRPr="00D337FA">
        <w:rPr>
          <w:szCs w:val="24"/>
        </w:rPr>
        <w:t>Унификация</w:t>
      </w:r>
      <w:r w:rsidR="006C680D" w:rsidRPr="00D337FA">
        <w:rPr>
          <w:szCs w:val="24"/>
        </w:rPr>
        <w:t xml:space="preserve"> </w:t>
      </w:r>
      <w:r w:rsidRPr="00D337FA">
        <w:rPr>
          <w:szCs w:val="24"/>
        </w:rPr>
        <w:t>интерфейсов</w:t>
      </w:r>
      <w:r w:rsidR="006C680D" w:rsidRPr="00D337FA">
        <w:rPr>
          <w:szCs w:val="24"/>
        </w:rPr>
        <w:t xml:space="preserve"> </w:t>
      </w:r>
      <w:r w:rsidRPr="00D337FA">
        <w:rPr>
          <w:szCs w:val="24"/>
        </w:rPr>
        <w:t>и</w:t>
      </w:r>
      <w:r w:rsidR="006C680D" w:rsidRPr="00D337FA">
        <w:rPr>
          <w:szCs w:val="24"/>
        </w:rPr>
        <w:t xml:space="preserve"> </w:t>
      </w:r>
      <w:r w:rsidRPr="00D337FA">
        <w:rPr>
          <w:szCs w:val="24"/>
        </w:rPr>
        <w:t>упрощение</w:t>
      </w:r>
      <w:r w:rsidR="006C680D" w:rsidRPr="00D337FA">
        <w:rPr>
          <w:szCs w:val="24"/>
        </w:rPr>
        <w:t xml:space="preserve"> </w:t>
      </w:r>
      <w:r w:rsidRPr="00D337FA">
        <w:rPr>
          <w:szCs w:val="24"/>
        </w:rPr>
        <w:t>процедур</w:t>
      </w:r>
      <w:r w:rsidR="006C680D" w:rsidRPr="00D337FA">
        <w:rPr>
          <w:szCs w:val="24"/>
        </w:rPr>
        <w:t xml:space="preserve"> </w:t>
      </w:r>
      <w:r w:rsidRPr="00D337FA">
        <w:rPr>
          <w:szCs w:val="24"/>
        </w:rPr>
        <w:t>тестирования</w:t>
      </w:r>
      <w:r w:rsidR="006C680D" w:rsidRPr="00D337FA">
        <w:rPr>
          <w:szCs w:val="24"/>
        </w:rPr>
        <w:t xml:space="preserve"> </w:t>
      </w:r>
      <w:r w:rsidRPr="00D337FA">
        <w:rPr>
          <w:szCs w:val="24"/>
        </w:rPr>
        <w:t>нишевых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для</w:t>
      </w:r>
      <w:r w:rsidR="006C680D" w:rsidRPr="00D337FA">
        <w:rPr>
          <w:szCs w:val="24"/>
        </w:rPr>
        <w:t xml:space="preserve"> </w:t>
      </w:r>
      <w:r w:rsidRPr="00D337FA">
        <w:rPr>
          <w:szCs w:val="24"/>
        </w:rPr>
        <w:t>страхования</w:t>
      </w:r>
      <w:r w:rsidR="006C680D" w:rsidRPr="00D337FA">
        <w:rPr>
          <w:szCs w:val="24"/>
        </w:rPr>
        <w:t xml:space="preserve"> </w:t>
      </w:r>
      <w:r w:rsidRPr="00D337FA">
        <w:rPr>
          <w:szCs w:val="24"/>
        </w:rPr>
        <w:t>сельскохозяйственных</w:t>
      </w:r>
      <w:r w:rsidR="006C680D" w:rsidRPr="00D337FA">
        <w:rPr>
          <w:szCs w:val="24"/>
        </w:rPr>
        <w:t xml:space="preserve"> </w:t>
      </w:r>
      <w:r w:rsidRPr="00D337FA">
        <w:rPr>
          <w:szCs w:val="24"/>
        </w:rPr>
        <w:t>рисков</w:t>
      </w:r>
      <w:r w:rsidR="006C680D" w:rsidRPr="00D337FA">
        <w:rPr>
          <w:szCs w:val="24"/>
        </w:rPr>
        <w:t xml:space="preserve"> </w:t>
      </w:r>
      <w:r w:rsidRPr="00D337FA">
        <w:rPr>
          <w:szCs w:val="24"/>
        </w:rPr>
        <w:t>или</w:t>
      </w:r>
      <w:r w:rsidR="006C680D" w:rsidRPr="00D337FA">
        <w:rPr>
          <w:szCs w:val="24"/>
        </w:rPr>
        <w:t xml:space="preserve"> </w:t>
      </w:r>
      <w:r w:rsidRPr="00D337FA">
        <w:rPr>
          <w:szCs w:val="24"/>
        </w:rPr>
        <w:t>валютного</w:t>
      </w:r>
      <w:r w:rsidR="006C680D" w:rsidRPr="00D337FA">
        <w:rPr>
          <w:szCs w:val="24"/>
        </w:rPr>
        <w:t xml:space="preserve"> </w:t>
      </w:r>
      <w:r w:rsidRPr="00D337FA">
        <w:rPr>
          <w:szCs w:val="24"/>
        </w:rPr>
        <w:t>оформления</w:t>
      </w:r>
      <w:r w:rsidR="006C680D" w:rsidRPr="00D337FA">
        <w:rPr>
          <w:szCs w:val="24"/>
        </w:rPr>
        <w:t xml:space="preserve"> </w:t>
      </w:r>
      <w:r w:rsidRPr="00D337FA">
        <w:rPr>
          <w:szCs w:val="24"/>
        </w:rPr>
        <w:t>экспортных</w:t>
      </w:r>
      <w:r w:rsidR="006C680D" w:rsidRPr="00D337FA">
        <w:rPr>
          <w:szCs w:val="24"/>
        </w:rPr>
        <w:t xml:space="preserve"> </w:t>
      </w:r>
      <w:r w:rsidRPr="00D337FA">
        <w:rPr>
          <w:szCs w:val="24"/>
        </w:rPr>
        <w:t>сделок)</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снизить</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на</w:t>
      </w:r>
      <w:r w:rsidR="006C680D" w:rsidRPr="00D337FA">
        <w:rPr>
          <w:szCs w:val="24"/>
        </w:rPr>
        <w:t xml:space="preserve"> </w:t>
      </w:r>
      <w:r w:rsidRPr="00D337FA">
        <w:rPr>
          <w:szCs w:val="24"/>
        </w:rPr>
        <w:t>разработку</w:t>
      </w:r>
      <w:r w:rsidR="006C680D" w:rsidRPr="00D337FA">
        <w:rPr>
          <w:szCs w:val="24"/>
        </w:rPr>
        <w:t xml:space="preserve"> </w:t>
      </w:r>
      <w:r w:rsidRPr="00D337FA">
        <w:rPr>
          <w:szCs w:val="24"/>
        </w:rPr>
        <w:t>для</w:t>
      </w:r>
      <w:r w:rsidR="006C680D" w:rsidRPr="00D337FA">
        <w:rPr>
          <w:szCs w:val="24"/>
        </w:rPr>
        <w:t xml:space="preserve"> </w:t>
      </w:r>
      <w:r w:rsidRPr="00D337FA">
        <w:rPr>
          <w:szCs w:val="24"/>
        </w:rPr>
        <w:t>банков-аутсайдеров</w:t>
      </w:r>
      <w:r w:rsidR="006C680D" w:rsidRPr="00D337FA">
        <w:rPr>
          <w:szCs w:val="24"/>
        </w:rPr>
        <w:t xml:space="preserve"> </w:t>
      </w:r>
      <w:r w:rsidRPr="00D337FA">
        <w:rPr>
          <w:szCs w:val="24"/>
        </w:rPr>
        <w:t>и</w:t>
      </w:r>
      <w:r w:rsidR="006C680D" w:rsidRPr="00D337FA">
        <w:rPr>
          <w:szCs w:val="24"/>
        </w:rPr>
        <w:t xml:space="preserve"> </w:t>
      </w:r>
      <w:r w:rsidRPr="00D337FA">
        <w:rPr>
          <w:szCs w:val="24"/>
        </w:rPr>
        <w:t>даст</w:t>
      </w:r>
      <w:r w:rsidR="006C680D" w:rsidRPr="00D337FA">
        <w:rPr>
          <w:szCs w:val="24"/>
        </w:rPr>
        <w:t xml:space="preserve"> </w:t>
      </w:r>
      <w:r w:rsidRPr="00D337FA">
        <w:rPr>
          <w:szCs w:val="24"/>
        </w:rPr>
        <w:t>им</w:t>
      </w:r>
      <w:r w:rsidR="006C680D" w:rsidRPr="00D337FA">
        <w:rPr>
          <w:szCs w:val="24"/>
        </w:rPr>
        <w:t xml:space="preserve"> </w:t>
      </w:r>
      <w:r w:rsidRPr="00D337FA">
        <w:rPr>
          <w:szCs w:val="24"/>
        </w:rPr>
        <w:t>возможность</w:t>
      </w:r>
      <w:r w:rsidR="006C680D" w:rsidRPr="00D337FA">
        <w:rPr>
          <w:szCs w:val="24"/>
        </w:rPr>
        <w:t xml:space="preserve"> </w:t>
      </w:r>
      <w:r w:rsidRPr="00D337FA">
        <w:rPr>
          <w:szCs w:val="24"/>
        </w:rPr>
        <w:t>конкурировать</w:t>
      </w:r>
      <w:r w:rsidR="006C680D" w:rsidRPr="00D337FA">
        <w:rPr>
          <w:szCs w:val="24"/>
        </w:rPr>
        <w:t xml:space="preserve"> </w:t>
      </w:r>
      <w:r w:rsidRPr="00D337FA">
        <w:rPr>
          <w:szCs w:val="24"/>
        </w:rPr>
        <w:t>на</w:t>
      </w:r>
      <w:r w:rsidR="006C680D" w:rsidRPr="00D337FA">
        <w:rPr>
          <w:szCs w:val="24"/>
        </w:rPr>
        <w:t xml:space="preserve"> </w:t>
      </w:r>
      <w:r w:rsidRPr="00D337FA">
        <w:rPr>
          <w:szCs w:val="24"/>
        </w:rPr>
        <w:t>рынке</w:t>
      </w:r>
      <w:r w:rsidR="006C680D" w:rsidRPr="00D337FA">
        <w:rPr>
          <w:szCs w:val="24"/>
        </w:rPr>
        <w:t xml:space="preserve"> </w:t>
      </w:r>
      <w:r w:rsidRPr="00D337FA">
        <w:rPr>
          <w:szCs w:val="24"/>
        </w:rPr>
        <w:t>сложных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повышая</w:t>
      </w:r>
      <w:r w:rsidR="006C680D" w:rsidRPr="00D337FA">
        <w:rPr>
          <w:szCs w:val="24"/>
        </w:rPr>
        <w:t xml:space="preserve"> </w:t>
      </w:r>
      <w:r w:rsidRPr="00D337FA">
        <w:rPr>
          <w:szCs w:val="24"/>
        </w:rPr>
        <w:t>общую</w:t>
      </w:r>
      <w:r w:rsidR="006C680D" w:rsidRPr="00D337FA">
        <w:rPr>
          <w:szCs w:val="24"/>
        </w:rPr>
        <w:t xml:space="preserve"> </w:t>
      </w:r>
      <w:r w:rsidRPr="00D337FA">
        <w:rPr>
          <w:szCs w:val="24"/>
        </w:rPr>
        <w:t>доступность</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по</w:t>
      </w:r>
      <w:r w:rsidR="006C680D" w:rsidRPr="00D337FA">
        <w:rPr>
          <w:szCs w:val="24"/>
        </w:rPr>
        <w:t xml:space="preserve"> </w:t>
      </w:r>
      <w:r w:rsidRPr="00D337FA">
        <w:rPr>
          <w:szCs w:val="24"/>
        </w:rPr>
        <w:t>всей</w:t>
      </w:r>
      <w:r w:rsidR="006C680D" w:rsidRPr="00D337FA">
        <w:rPr>
          <w:szCs w:val="24"/>
        </w:rPr>
        <w:t xml:space="preserve"> </w:t>
      </w:r>
      <w:r w:rsidRPr="00D337FA">
        <w:rPr>
          <w:szCs w:val="24"/>
        </w:rPr>
        <w:t>стране.</w:t>
      </w:r>
    </w:p>
    <w:p w:rsidR="00E70CAD" w:rsidRPr="00D337FA" w:rsidRDefault="00E70CAD" w:rsidP="00E70CAD">
      <w:pPr>
        <w:ind w:firstLine="284"/>
        <w:rPr>
          <w:szCs w:val="24"/>
        </w:rPr>
      </w:pPr>
      <w:r w:rsidRPr="00D337FA">
        <w:rPr>
          <w:bCs/>
          <w:szCs w:val="24"/>
        </w:rPr>
        <w:t>В-четвертых,</w:t>
      </w:r>
      <w:r w:rsidR="006C680D" w:rsidRPr="00D337FA">
        <w:rPr>
          <w:bCs/>
          <w:szCs w:val="24"/>
        </w:rPr>
        <w:t xml:space="preserve"> </w:t>
      </w:r>
      <w:r w:rsidRPr="00D337FA">
        <w:rPr>
          <w:bCs/>
          <w:szCs w:val="24"/>
        </w:rPr>
        <w:t>нефинансовое</w:t>
      </w:r>
      <w:r w:rsidR="006C680D" w:rsidRPr="00D337FA">
        <w:rPr>
          <w:bCs/>
          <w:szCs w:val="24"/>
        </w:rPr>
        <w:t xml:space="preserve"> </w:t>
      </w:r>
      <w:r w:rsidRPr="00D337FA">
        <w:rPr>
          <w:bCs/>
          <w:szCs w:val="24"/>
        </w:rPr>
        <w:t>сопровождение</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проблема</w:t>
      </w:r>
      <w:r w:rsidR="006C680D" w:rsidRPr="00D337FA">
        <w:rPr>
          <w:bCs/>
          <w:szCs w:val="24"/>
        </w:rPr>
        <w:t xml:space="preserve"> </w:t>
      </w:r>
      <w:r w:rsidRPr="00D337FA">
        <w:rPr>
          <w:bCs/>
          <w:szCs w:val="24"/>
        </w:rPr>
        <w:t>поверхностной</w:t>
      </w:r>
      <w:r w:rsidR="006C680D" w:rsidRPr="00D337FA">
        <w:rPr>
          <w:bCs/>
          <w:szCs w:val="24"/>
        </w:rPr>
        <w:t xml:space="preserve"> </w:t>
      </w:r>
      <w:r w:rsidRPr="00D337FA">
        <w:rPr>
          <w:bCs/>
          <w:szCs w:val="24"/>
        </w:rPr>
        <w:t>экосистемности.</w:t>
      </w:r>
      <w:r w:rsidR="006C680D" w:rsidRPr="00D337FA">
        <w:rPr>
          <w:szCs w:val="24"/>
        </w:rPr>
        <w:t xml:space="preserve"> </w:t>
      </w:r>
      <w:r w:rsidRPr="00D337FA">
        <w:rPr>
          <w:szCs w:val="24"/>
        </w:rPr>
        <w:t>Проведенный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показал,</w:t>
      </w:r>
      <w:r w:rsidR="006C680D" w:rsidRPr="00D337FA">
        <w:rPr>
          <w:szCs w:val="24"/>
        </w:rPr>
        <w:t xml:space="preserve"> </w:t>
      </w:r>
      <w:r w:rsidRPr="00D337FA">
        <w:rPr>
          <w:szCs w:val="24"/>
        </w:rPr>
        <w:t>что</w:t>
      </w:r>
      <w:r w:rsidR="006C680D" w:rsidRPr="00D337FA">
        <w:rPr>
          <w:szCs w:val="24"/>
        </w:rPr>
        <w:t xml:space="preserve"> </w:t>
      </w:r>
      <w:r w:rsidRPr="00D337FA">
        <w:rPr>
          <w:szCs w:val="24"/>
        </w:rPr>
        <w:t>нефинансовые</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(онлайн-консультации,</w:t>
      </w:r>
      <w:r w:rsidR="006C680D" w:rsidRPr="00D337FA">
        <w:rPr>
          <w:szCs w:val="24"/>
        </w:rPr>
        <w:t xml:space="preserve"> </w:t>
      </w:r>
      <w:r w:rsidRPr="00D337FA">
        <w:rPr>
          <w:szCs w:val="24"/>
        </w:rPr>
        <w:t>обучение)</w:t>
      </w:r>
      <w:r w:rsidR="006C680D" w:rsidRPr="00D337FA">
        <w:rPr>
          <w:szCs w:val="24"/>
        </w:rPr>
        <w:t xml:space="preserve"> </w:t>
      </w:r>
      <w:r w:rsidRPr="00D337FA">
        <w:rPr>
          <w:szCs w:val="24"/>
        </w:rPr>
        <w:t>носят</w:t>
      </w:r>
      <w:r w:rsidR="006C680D" w:rsidRPr="00D337FA">
        <w:rPr>
          <w:szCs w:val="24"/>
        </w:rPr>
        <w:t xml:space="preserve"> </w:t>
      </w:r>
      <w:r w:rsidRPr="00D337FA">
        <w:rPr>
          <w:szCs w:val="24"/>
        </w:rPr>
        <w:t>в</w:t>
      </w:r>
      <w:r w:rsidR="006C680D" w:rsidRPr="00D337FA">
        <w:rPr>
          <w:szCs w:val="24"/>
        </w:rPr>
        <w:t xml:space="preserve"> </w:t>
      </w:r>
      <w:r w:rsidRPr="00D337FA">
        <w:rPr>
          <w:szCs w:val="24"/>
        </w:rPr>
        <w:t>основном</w:t>
      </w:r>
      <w:r w:rsidR="006C680D" w:rsidRPr="00D337FA">
        <w:rPr>
          <w:szCs w:val="24"/>
        </w:rPr>
        <w:t xml:space="preserve"> </w:t>
      </w:r>
      <w:r w:rsidRPr="00D337FA">
        <w:rPr>
          <w:szCs w:val="24"/>
        </w:rPr>
        <w:t>поверхностный</w:t>
      </w:r>
      <w:r w:rsidR="006C680D" w:rsidRPr="00D337FA">
        <w:rPr>
          <w:szCs w:val="24"/>
        </w:rPr>
        <w:t xml:space="preserve"> </w:t>
      </w:r>
      <w:r w:rsidRPr="00D337FA">
        <w:rPr>
          <w:szCs w:val="24"/>
        </w:rPr>
        <w:t>характер</w:t>
      </w:r>
      <w:r w:rsidR="006C680D" w:rsidRPr="00D337FA">
        <w:rPr>
          <w:szCs w:val="24"/>
        </w:rPr>
        <w:t xml:space="preserve"> </w:t>
      </w:r>
      <w:r w:rsidRPr="00D337FA">
        <w:rPr>
          <w:szCs w:val="24"/>
        </w:rPr>
        <w:t>и</w:t>
      </w:r>
      <w:r w:rsidR="006C680D" w:rsidRPr="00D337FA">
        <w:rPr>
          <w:szCs w:val="24"/>
        </w:rPr>
        <w:t xml:space="preserve"> </w:t>
      </w:r>
      <w:r w:rsidRPr="00D337FA">
        <w:rPr>
          <w:szCs w:val="24"/>
        </w:rPr>
        <w:t>слабо</w:t>
      </w:r>
      <w:r w:rsidR="006C680D" w:rsidRPr="00D337FA">
        <w:rPr>
          <w:szCs w:val="24"/>
        </w:rPr>
        <w:t xml:space="preserve"> </w:t>
      </w:r>
      <w:r w:rsidRPr="00D337FA">
        <w:rPr>
          <w:szCs w:val="24"/>
        </w:rPr>
        <w:t>интегрированы</w:t>
      </w:r>
      <w:r w:rsidR="006C680D" w:rsidRPr="00D337FA">
        <w:rPr>
          <w:szCs w:val="24"/>
        </w:rPr>
        <w:t xml:space="preserve"> </w:t>
      </w:r>
      <w:r w:rsidRPr="00D337FA">
        <w:rPr>
          <w:szCs w:val="24"/>
        </w:rPr>
        <w:t>в</w:t>
      </w:r>
      <w:r w:rsidR="006C680D" w:rsidRPr="00D337FA">
        <w:rPr>
          <w:szCs w:val="24"/>
        </w:rPr>
        <w:t xml:space="preserve"> </w:t>
      </w:r>
      <w:r w:rsidRPr="00D337FA">
        <w:rPr>
          <w:szCs w:val="24"/>
        </w:rPr>
        <w:t>клиентский</w:t>
      </w:r>
      <w:r w:rsidR="006C680D" w:rsidRPr="00D337FA">
        <w:rPr>
          <w:szCs w:val="24"/>
        </w:rPr>
        <w:t xml:space="preserve"> </w:t>
      </w:r>
      <w:r w:rsidRPr="00D337FA">
        <w:rPr>
          <w:szCs w:val="24"/>
        </w:rPr>
        <w:t>опыт.</w:t>
      </w:r>
      <w:r w:rsidR="006C680D" w:rsidRPr="00D337FA">
        <w:rPr>
          <w:szCs w:val="24"/>
        </w:rPr>
        <w:t xml:space="preserve"> </w:t>
      </w:r>
      <w:r w:rsidRPr="00D337FA">
        <w:rPr>
          <w:bCs/>
          <w:szCs w:val="24"/>
        </w:rPr>
        <w:t>Выявленная</w:t>
      </w:r>
      <w:r w:rsidR="006C680D" w:rsidRPr="00D337FA">
        <w:rPr>
          <w:bCs/>
          <w:szCs w:val="24"/>
        </w:rPr>
        <w:t xml:space="preserve"> </w:t>
      </w:r>
      <w:r w:rsidRPr="00D337FA">
        <w:rPr>
          <w:bCs/>
          <w:szCs w:val="24"/>
        </w:rPr>
        <w:t>проблема</w:t>
      </w:r>
      <w:r w:rsidR="006C680D" w:rsidRPr="00D337FA">
        <w:rPr>
          <w:bCs/>
          <w:szCs w:val="24"/>
        </w:rPr>
        <w:t xml:space="preserve"> </w:t>
      </w:r>
      <w:r w:rsidRPr="00D337FA">
        <w:rPr>
          <w:bCs/>
          <w:szCs w:val="24"/>
        </w:rPr>
        <w:t>представляет</w:t>
      </w:r>
      <w:r w:rsidR="006C680D" w:rsidRPr="00D337FA">
        <w:rPr>
          <w:bCs/>
          <w:szCs w:val="24"/>
        </w:rPr>
        <w:t xml:space="preserve"> </w:t>
      </w:r>
      <w:r w:rsidRPr="00D337FA">
        <w:rPr>
          <w:bCs/>
          <w:szCs w:val="24"/>
        </w:rPr>
        <w:t>собой</w:t>
      </w:r>
      <w:r w:rsidR="006C680D" w:rsidRPr="00D337FA">
        <w:rPr>
          <w:szCs w:val="24"/>
        </w:rPr>
        <w:t xml:space="preserve"> </w:t>
      </w:r>
      <w:r w:rsidRPr="00D337FA">
        <w:rPr>
          <w:szCs w:val="24"/>
        </w:rPr>
        <w:t>разрыв</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декларируемым</w:t>
      </w:r>
      <w:r w:rsidR="006C680D" w:rsidRPr="00D337FA">
        <w:rPr>
          <w:szCs w:val="24"/>
        </w:rPr>
        <w:t xml:space="preserve"> </w:t>
      </w:r>
      <w:r w:rsidRPr="00D337FA">
        <w:rPr>
          <w:szCs w:val="24"/>
        </w:rPr>
        <w:t>переходом</w:t>
      </w:r>
      <w:r w:rsidR="006C680D" w:rsidRPr="00D337FA">
        <w:rPr>
          <w:szCs w:val="24"/>
        </w:rPr>
        <w:t xml:space="preserve"> </w:t>
      </w:r>
      <w:r w:rsidRPr="00D337FA">
        <w:rPr>
          <w:szCs w:val="24"/>
        </w:rPr>
        <w:t>к</w:t>
      </w:r>
      <w:r w:rsidR="006C680D" w:rsidRPr="00D337FA">
        <w:rPr>
          <w:szCs w:val="24"/>
        </w:rPr>
        <w:t xml:space="preserve"> </w:t>
      </w:r>
      <w:r w:rsidRPr="00D337FA">
        <w:rPr>
          <w:szCs w:val="24"/>
        </w:rPr>
        <w:t>экосистемной</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и</w:t>
      </w:r>
      <w:r w:rsidR="006C680D" w:rsidRPr="00D337FA">
        <w:rPr>
          <w:szCs w:val="24"/>
        </w:rPr>
        <w:t xml:space="preserve"> </w:t>
      </w:r>
      <w:r w:rsidRPr="00D337FA">
        <w:rPr>
          <w:szCs w:val="24"/>
        </w:rPr>
        <w:t>реальным</w:t>
      </w:r>
      <w:r w:rsidR="006C680D" w:rsidRPr="00D337FA">
        <w:rPr>
          <w:szCs w:val="24"/>
        </w:rPr>
        <w:t xml:space="preserve"> </w:t>
      </w:r>
      <w:r w:rsidRPr="00D337FA">
        <w:rPr>
          <w:szCs w:val="24"/>
        </w:rPr>
        <w:t>предложением,</w:t>
      </w:r>
      <w:r w:rsidR="006C680D" w:rsidRPr="00D337FA">
        <w:rPr>
          <w:szCs w:val="24"/>
        </w:rPr>
        <w:t xml:space="preserve"> </w:t>
      </w:r>
      <w:r w:rsidRPr="00D337FA">
        <w:rPr>
          <w:szCs w:val="24"/>
        </w:rPr>
        <w:t>что</w:t>
      </w:r>
      <w:r w:rsidR="006C680D" w:rsidRPr="00D337FA">
        <w:rPr>
          <w:szCs w:val="24"/>
        </w:rPr>
        <w:t xml:space="preserve"> </w:t>
      </w:r>
      <w:r w:rsidRPr="00D337FA">
        <w:rPr>
          <w:szCs w:val="24"/>
        </w:rPr>
        <w:t>не</w:t>
      </w:r>
      <w:r w:rsidR="006C680D" w:rsidRPr="00D337FA">
        <w:rPr>
          <w:szCs w:val="24"/>
        </w:rPr>
        <w:t xml:space="preserve"> </w:t>
      </w:r>
      <w:r w:rsidRPr="00D337FA">
        <w:rPr>
          <w:szCs w:val="24"/>
        </w:rPr>
        <w:t>удовлетворяет</w:t>
      </w:r>
      <w:r w:rsidR="006C680D" w:rsidRPr="00D337FA">
        <w:rPr>
          <w:szCs w:val="24"/>
        </w:rPr>
        <w:t xml:space="preserve"> </w:t>
      </w:r>
      <w:r w:rsidRPr="00D337FA">
        <w:rPr>
          <w:szCs w:val="24"/>
        </w:rPr>
        <w:t>запросу</w:t>
      </w:r>
      <w:r w:rsidR="006C680D" w:rsidRPr="00D337FA">
        <w:rPr>
          <w:szCs w:val="24"/>
        </w:rPr>
        <w:t xml:space="preserve"> </w:t>
      </w:r>
      <w:r w:rsidRPr="00D337FA">
        <w:rPr>
          <w:szCs w:val="24"/>
        </w:rPr>
        <w:t>72%</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на</w:t>
      </w:r>
      <w:r w:rsidR="006C680D" w:rsidRPr="00D337FA">
        <w:rPr>
          <w:szCs w:val="24"/>
        </w:rPr>
        <w:t xml:space="preserve"> </w:t>
      </w:r>
      <w:r w:rsidRPr="00D337FA">
        <w:rPr>
          <w:szCs w:val="24"/>
        </w:rPr>
        <w:t>комплексную</w:t>
      </w:r>
      <w:r w:rsidR="006C680D" w:rsidRPr="00D337FA">
        <w:rPr>
          <w:szCs w:val="24"/>
        </w:rPr>
        <w:t xml:space="preserve"> </w:t>
      </w:r>
      <w:r w:rsidRPr="00D337FA">
        <w:rPr>
          <w:szCs w:val="24"/>
        </w:rPr>
        <w:t>поддержку</w:t>
      </w:r>
      <w:r w:rsidR="006C680D" w:rsidRPr="00D337FA">
        <w:rPr>
          <w:szCs w:val="24"/>
        </w:rPr>
        <w:t xml:space="preserve"> </w:t>
      </w:r>
      <w:r w:rsidRPr="00D337FA">
        <w:rPr>
          <w:szCs w:val="24"/>
        </w:rPr>
        <w:t>[8].</w:t>
      </w:r>
      <w:r w:rsidR="006C680D" w:rsidRPr="00D337FA">
        <w:rPr>
          <w:szCs w:val="24"/>
        </w:rPr>
        <w:t xml:space="preserve"> </w:t>
      </w:r>
      <w:r w:rsidRPr="00D337FA">
        <w:rPr>
          <w:bCs/>
          <w:szCs w:val="24"/>
        </w:rPr>
        <w:t>Наше</w:t>
      </w:r>
      <w:r w:rsidR="006C680D" w:rsidRPr="00D337FA">
        <w:rPr>
          <w:bCs/>
          <w:szCs w:val="24"/>
        </w:rPr>
        <w:t xml:space="preserve"> </w:t>
      </w:r>
      <w:r w:rsidRPr="00D337FA">
        <w:rPr>
          <w:bCs/>
          <w:szCs w:val="24"/>
        </w:rPr>
        <w:t>предложение</w:t>
      </w:r>
      <w:r w:rsidR="006C680D" w:rsidRPr="00D337FA">
        <w:rPr>
          <w:bCs/>
          <w:szCs w:val="24"/>
        </w:rPr>
        <w:t xml:space="preserve"> </w:t>
      </w:r>
      <w:r w:rsidRPr="00D337FA">
        <w:rPr>
          <w:bCs/>
          <w:szCs w:val="24"/>
        </w:rPr>
        <w:t>о</w:t>
      </w:r>
      <w:r w:rsidR="006C680D" w:rsidRPr="00D337FA">
        <w:rPr>
          <w:bCs/>
          <w:szCs w:val="24"/>
        </w:rPr>
        <w:t xml:space="preserve"> </w:t>
      </w:r>
      <w:r w:rsidRPr="00D337FA">
        <w:rPr>
          <w:bCs/>
          <w:szCs w:val="24"/>
        </w:rPr>
        <w:t>создании</w:t>
      </w:r>
      <w:r w:rsidR="006C680D" w:rsidRPr="00D337FA">
        <w:rPr>
          <w:bCs/>
          <w:szCs w:val="24"/>
        </w:rPr>
        <w:t xml:space="preserve"> </w:t>
      </w:r>
      <w:r w:rsidRPr="00D337FA">
        <w:rPr>
          <w:bCs/>
          <w:szCs w:val="24"/>
        </w:rPr>
        <w:t>банковских</w:t>
      </w:r>
      <w:r w:rsidR="006C680D" w:rsidRPr="00D337FA">
        <w:rPr>
          <w:bCs/>
          <w:szCs w:val="24"/>
        </w:rPr>
        <w:t xml:space="preserve"> </w:t>
      </w:r>
      <w:r w:rsidRPr="00D337FA">
        <w:rPr>
          <w:bCs/>
          <w:szCs w:val="24"/>
        </w:rPr>
        <w:t>«конструкторов</w:t>
      </w:r>
      <w:r w:rsidR="006C680D" w:rsidRPr="00D337FA">
        <w:rPr>
          <w:bCs/>
          <w:szCs w:val="24"/>
        </w:rPr>
        <w:t xml:space="preserve"> </w:t>
      </w:r>
      <w:r w:rsidRPr="00D337FA">
        <w:rPr>
          <w:bCs/>
          <w:szCs w:val="24"/>
        </w:rPr>
        <w:t>бизнес-компетенций»</w:t>
      </w:r>
      <w:r w:rsidR="006C680D" w:rsidRPr="00D337FA">
        <w:rPr>
          <w:bCs/>
          <w:szCs w:val="24"/>
        </w:rPr>
        <w:t xml:space="preserve"> </w:t>
      </w:r>
      <w:r w:rsidRPr="00D337FA">
        <w:rPr>
          <w:bCs/>
          <w:szCs w:val="24"/>
        </w:rPr>
        <w:t>нацелено</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трансформацию</w:t>
      </w:r>
      <w:r w:rsidR="006C680D" w:rsidRPr="00D337FA">
        <w:rPr>
          <w:bCs/>
          <w:szCs w:val="24"/>
        </w:rPr>
        <w:t xml:space="preserve"> </w:t>
      </w:r>
      <w:r w:rsidRPr="00D337FA">
        <w:rPr>
          <w:bCs/>
          <w:szCs w:val="24"/>
        </w:rPr>
        <w:t>нефинансовой</w:t>
      </w:r>
      <w:r w:rsidR="006C680D" w:rsidRPr="00D337FA">
        <w:rPr>
          <w:bCs/>
          <w:szCs w:val="24"/>
        </w:rPr>
        <w:t xml:space="preserve"> </w:t>
      </w:r>
      <w:r w:rsidRPr="00D337FA">
        <w:rPr>
          <w:bCs/>
          <w:szCs w:val="24"/>
        </w:rPr>
        <w:t>поддержки</w:t>
      </w:r>
      <w:r w:rsidR="006C680D" w:rsidRPr="00D337FA">
        <w:rPr>
          <w:bCs/>
          <w:szCs w:val="24"/>
        </w:rPr>
        <w:t xml:space="preserve"> </w:t>
      </w:r>
      <w:r w:rsidRPr="00D337FA">
        <w:rPr>
          <w:bCs/>
          <w:szCs w:val="24"/>
        </w:rPr>
        <w:t>из</w:t>
      </w:r>
      <w:r w:rsidR="006C680D" w:rsidRPr="00D337FA">
        <w:rPr>
          <w:bCs/>
          <w:szCs w:val="24"/>
        </w:rPr>
        <w:t xml:space="preserve"> </w:t>
      </w:r>
      <w:r w:rsidRPr="00D337FA">
        <w:rPr>
          <w:bCs/>
          <w:szCs w:val="24"/>
        </w:rPr>
        <w:t>маркетингового</w:t>
      </w:r>
      <w:r w:rsidR="006C680D" w:rsidRPr="00D337FA">
        <w:rPr>
          <w:bCs/>
          <w:szCs w:val="24"/>
        </w:rPr>
        <w:t xml:space="preserve"> </w:t>
      </w:r>
      <w:r w:rsidRPr="00D337FA">
        <w:rPr>
          <w:bCs/>
          <w:szCs w:val="24"/>
        </w:rPr>
        <w:t>инструмента</w:t>
      </w:r>
      <w:r w:rsidR="006C680D" w:rsidRPr="00D337FA">
        <w:rPr>
          <w:bCs/>
          <w:szCs w:val="24"/>
        </w:rPr>
        <w:t xml:space="preserve"> </w:t>
      </w:r>
      <w:r w:rsidRPr="00D337FA">
        <w:rPr>
          <w:bCs/>
          <w:szCs w:val="24"/>
        </w:rPr>
        <w:t>в</w:t>
      </w:r>
      <w:r w:rsidR="006C680D" w:rsidRPr="00D337FA">
        <w:rPr>
          <w:bCs/>
          <w:szCs w:val="24"/>
        </w:rPr>
        <w:t xml:space="preserve"> </w:t>
      </w:r>
      <w:r w:rsidRPr="00D337FA">
        <w:rPr>
          <w:bCs/>
          <w:szCs w:val="24"/>
        </w:rPr>
        <w:t>реальный</w:t>
      </w:r>
      <w:r w:rsidR="006C680D" w:rsidRPr="00D337FA">
        <w:rPr>
          <w:bCs/>
          <w:szCs w:val="24"/>
        </w:rPr>
        <w:t xml:space="preserve"> </w:t>
      </w:r>
      <w:r w:rsidRPr="00D337FA">
        <w:rPr>
          <w:bCs/>
          <w:szCs w:val="24"/>
        </w:rPr>
        <w:t>драйвер</w:t>
      </w:r>
      <w:r w:rsidR="006C680D" w:rsidRPr="00D337FA">
        <w:rPr>
          <w:bCs/>
          <w:szCs w:val="24"/>
        </w:rPr>
        <w:t xml:space="preserve"> </w:t>
      </w:r>
      <w:r w:rsidRPr="00D337FA">
        <w:rPr>
          <w:bCs/>
          <w:szCs w:val="24"/>
        </w:rPr>
        <w:t>развития</w:t>
      </w:r>
      <w:r w:rsidR="006C680D" w:rsidRPr="00D337FA">
        <w:rPr>
          <w:bCs/>
          <w:szCs w:val="24"/>
        </w:rPr>
        <w:t xml:space="preserve"> </w:t>
      </w:r>
      <w:r w:rsidRPr="00D337FA">
        <w:rPr>
          <w:bCs/>
          <w:szCs w:val="24"/>
        </w:rPr>
        <w:t>клиента.</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платформ,</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агрегируют</w:t>
      </w:r>
      <w:r w:rsidR="006C680D" w:rsidRPr="00D337FA">
        <w:rPr>
          <w:szCs w:val="24"/>
        </w:rPr>
        <w:t xml:space="preserve"> </w:t>
      </w:r>
      <w:r w:rsidRPr="00D337FA">
        <w:rPr>
          <w:szCs w:val="24"/>
        </w:rPr>
        <w:t>не</w:t>
      </w:r>
      <w:r w:rsidR="006C680D" w:rsidRPr="00D337FA">
        <w:rPr>
          <w:szCs w:val="24"/>
        </w:rPr>
        <w:t xml:space="preserve"> </w:t>
      </w:r>
      <w:r w:rsidRPr="00D337FA">
        <w:rPr>
          <w:szCs w:val="24"/>
        </w:rPr>
        <w:t>просто</w:t>
      </w:r>
      <w:r w:rsidR="006C680D" w:rsidRPr="00D337FA">
        <w:rPr>
          <w:szCs w:val="24"/>
        </w:rPr>
        <w:t xml:space="preserve"> </w:t>
      </w:r>
      <w:r w:rsidRPr="00D337FA">
        <w:rPr>
          <w:szCs w:val="24"/>
        </w:rPr>
        <w:t>разрозненные</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а</w:t>
      </w:r>
      <w:r w:rsidR="006C680D" w:rsidRPr="00D337FA">
        <w:rPr>
          <w:szCs w:val="24"/>
        </w:rPr>
        <w:t xml:space="preserve"> </w:t>
      </w:r>
      <w:r w:rsidRPr="00D337FA">
        <w:rPr>
          <w:szCs w:val="24"/>
        </w:rPr>
        <w:t>связанные</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для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репутацией,</w:t>
      </w:r>
      <w:r w:rsidR="006C680D" w:rsidRPr="00D337FA">
        <w:rPr>
          <w:szCs w:val="24"/>
        </w:rPr>
        <w:t xml:space="preserve"> </w:t>
      </w:r>
      <w:r w:rsidRPr="00D337FA">
        <w:rPr>
          <w:szCs w:val="24"/>
        </w:rPr>
        <w:t>клиентской</w:t>
      </w:r>
      <w:r w:rsidR="006C680D" w:rsidRPr="00D337FA">
        <w:rPr>
          <w:szCs w:val="24"/>
        </w:rPr>
        <w:t xml:space="preserve"> </w:t>
      </w:r>
      <w:r w:rsidRPr="00D337FA">
        <w:rPr>
          <w:szCs w:val="24"/>
        </w:rPr>
        <w:t>базой</w:t>
      </w:r>
      <w:r w:rsidR="006C680D" w:rsidRPr="00D337FA">
        <w:rPr>
          <w:szCs w:val="24"/>
        </w:rPr>
        <w:t xml:space="preserve"> </w:t>
      </w:r>
      <w:r w:rsidRPr="00D337FA">
        <w:rPr>
          <w:szCs w:val="24"/>
        </w:rPr>
        <w:t>(упрощенный</w:t>
      </w:r>
      <w:r w:rsidR="006C680D" w:rsidRPr="00D337FA">
        <w:rPr>
          <w:szCs w:val="24"/>
        </w:rPr>
        <w:t xml:space="preserve"> </w:t>
      </w:r>
      <w:r w:rsidRPr="00D337FA">
        <w:rPr>
          <w:szCs w:val="24"/>
        </w:rPr>
        <w:t>CRM),</w:t>
      </w:r>
      <w:r w:rsidR="006C680D" w:rsidRPr="00D337FA">
        <w:rPr>
          <w:szCs w:val="24"/>
        </w:rPr>
        <w:t xml:space="preserve"> </w:t>
      </w:r>
      <w:r w:rsidRPr="00D337FA">
        <w:rPr>
          <w:szCs w:val="24"/>
        </w:rPr>
        <w:t>защиты</w:t>
      </w:r>
      <w:r w:rsidR="006C680D" w:rsidRPr="00D337FA">
        <w:rPr>
          <w:szCs w:val="24"/>
        </w:rPr>
        <w:t xml:space="preserve"> </w:t>
      </w:r>
      <w:r w:rsidRPr="00D337FA">
        <w:rPr>
          <w:szCs w:val="24"/>
        </w:rPr>
        <w:t>интеллектуальной</w:t>
      </w:r>
      <w:r w:rsidR="006C680D" w:rsidRPr="00D337FA">
        <w:rPr>
          <w:szCs w:val="24"/>
        </w:rPr>
        <w:t xml:space="preserve"> </w:t>
      </w:r>
      <w:r w:rsidRPr="00D337FA">
        <w:rPr>
          <w:szCs w:val="24"/>
        </w:rPr>
        <w:t>собственности,</w:t>
      </w:r>
      <w:r w:rsidR="006C680D" w:rsidRPr="00D337FA">
        <w:rPr>
          <w:szCs w:val="24"/>
        </w:rPr>
        <w:t xml:space="preserve"> </w:t>
      </w:r>
      <w:r w:rsidRPr="00D337FA">
        <w:rPr>
          <w:szCs w:val="24"/>
        </w:rPr>
        <w:t>напрямую</w:t>
      </w:r>
      <w:r w:rsidR="006C680D" w:rsidRPr="00D337FA">
        <w:rPr>
          <w:szCs w:val="24"/>
        </w:rPr>
        <w:t xml:space="preserve"> </w:t>
      </w:r>
      <w:r w:rsidRPr="00D337FA">
        <w:rPr>
          <w:szCs w:val="24"/>
        </w:rPr>
        <w:t>повышает</w:t>
      </w:r>
      <w:r w:rsidR="006C680D" w:rsidRPr="00D337FA">
        <w:rPr>
          <w:szCs w:val="24"/>
        </w:rPr>
        <w:t xml:space="preserve"> </w:t>
      </w:r>
      <w:r w:rsidRPr="00D337FA">
        <w:rPr>
          <w:szCs w:val="24"/>
        </w:rPr>
        <w:t>капитализацию</w:t>
      </w:r>
      <w:r w:rsidR="006C680D" w:rsidRPr="00D337FA">
        <w:rPr>
          <w:szCs w:val="24"/>
        </w:rPr>
        <w:t xml:space="preserve"> </w:t>
      </w:r>
      <w:r w:rsidRPr="00D337FA">
        <w:rPr>
          <w:szCs w:val="24"/>
        </w:rPr>
        <w:t>и</w:t>
      </w:r>
      <w:r w:rsidR="006C680D" w:rsidRPr="00D337FA">
        <w:rPr>
          <w:szCs w:val="24"/>
        </w:rPr>
        <w:t xml:space="preserve"> </w:t>
      </w:r>
      <w:r w:rsidRPr="00D337FA">
        <w:rPr>
          <w:szCs w:val="24"/>
        </w:rPr>
        <w:t>устойчивость</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lastRenderedPageBreak/>
        <w:t>превращая</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w:t>
      </w:r>
      <w:r w:rsidR="006C680D" w:rsidRPr="00D337FA">
        <w:rPr>
          <w:szCs w:val="24"/>
        </w:rPr>
        <w:t xml:space="preserve"> </w:t>
      </w:r>
      <w:r w:rsidRPr="00D337FA">
        <w:rPr>
          <w:szCs w:val="24"/>
        </w:rPr>
        <w:t>стратегического</w:t>
      </w:r>
      <w:r w:rsidR="006C680D" w:rsidRPr="00D337FA">
        <w:rPr>
          <w:szCs w:val="24"/>
        </w:rPr>
        <w:t xml:space="preserve"> </w:t>
      </w:r>
      <w:r w:rsidRPr="00D337FA">
        <w:rPr>
          <w:szCs w:val="24"/>
        </w:rPr>
        <w:t>партнера.</w:t>
      </w:r>
    </w:p>
    <w:p w:rsidR="00E70CAD" w:rsidRPr="00D337FA" w:rsidRDefault="00E70CAD" w:rsidP="00E70CAD">
      <w:pPr>
        <w:ind w:firstLine="284"/>
        <w:rPr>
          <w:szCs w:val="24"/>
        </w:rPr>
      </w:pP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эмпирический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не</w:t>
      </w:r>
      <w:r w:rsidR="006C680D" w:rsidRPr="00D337FA">
        <w:rPr>
          <w:szCs w:val="24"/>
        </w:rPr>
        <w:t xml:space="preserve"> </w:t>
      </w:r>
      <w:r w:rsidRPr="00D337FA">
        <w:rPr>
          <w:szCs w:val="24"/>
        </w:rPr>
        <w:t>просто</w:t>
      </w:r>
      <w:r w:rsidR="006C680D" w:rsidRPr="00D337FA">
        <w:rPr>
          <w:szCs w:val="24"/>
        </w:rPr>
        <w:t xml:space="preserve"> </w:t>
      </w:r>
      <w:r w:rsidRPr="00D337FA">
        <w:rPr>
          <w:szCs w:val="24"/>
        </w:rPr>
        <w:t>констатирует</w:t>
      </w:r>
      <w:r w:rsidR="006C680D" w:rsidRPr="00D337FA">
        <w:rPr>
          <w:szCs w:val="24"/>
        </w:rPr>
        <w:t xml:space="preserve"> </w:t>
      </w:r>
      <w:r w:rsidRPr="00D337FA">
        <w:rPr>
          <w:szCs w:val="24"/>
        </w:rPr>
        <w:t>наличие</w:t>
      </w:r>
      <w:r w:rsidR="006C680D" w:rsidRPr="00D337FA">
        <w:rPr>
          <w:szCs w:val="24"/>
        </w:rPr>
        <w:t xml:space="preserve"> </w:t>
      </w:r>
      <w:r w:rsidRPr="00D337FA">
        <w:rPr>
          <w:szCs w:val="24"/>
        </w:rPr>
        <w:t>тенденций,</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выявляет</w:t>
      </w:r>
      <w:r w:rsidR="006C680D" w:rsidRPr="00D337FA">
        <w:rPr>
          <w:szCs w:val="24"/>
        </w:rPr>
        <w:t xml:space="preserve"> </w:t>
      </w:r>
      <w:r w:rsidRPr="00D337FA">
        <w:rPr>
          <w:szCs w:val="24"/>
        </w:rPr>
        <w:t>их</w:t>
      </w:r>
      <w:r w:rsidR="006C680D" w:rsidRPr="00D337FA">
        <w:rPr>
          <w:szCs w:val="24"/>
        </w:rPr>
        <w:t xml:space="preserve"> </w:t>
      </w:r>
      <w:r w:rsidRPr="00D337FA">
        <w:rPr>
          <w:szCs w:val="24"/>
        </w:rPr>
        <w:t>внутренние</w:t>
      </w:r>
      <w:r w:rsidR="006C680D" w:rsidRPr="00D337FA">
        <w:rPr>
          <w:szCs w:val="24"/>
        </w:rPr>
        <w:t xml:space="preserve"> </w:t>
      </w:r>
      <w:r w:rsidRPr="00D337FA">
        <w:rPr>
          <w:szCs w:val="24"/>
        </w:rPr>
        <w:t>противоречия</w:t>
      </w:r>
      <w:r w:rsidR="006C680D" w:rsidRPr="00D337FA">
        <w:rPr>
          <w:szCs w:val="24"/>
        </w:rPr>
        <w:t xml:space="preserve"> </w:t>
      </w:r>
      <w:r w:rsidRPr="00D337FA">
        <w:rPr>
          <w:szCs w:val="24"/>
        </w:rPr>
        <w:t>и</w:t>
      </w:r>
      <w:r w:rsidR="006C680D" w:rsidRPr="00D337FA">
        <w:rPr>
          <w:szCs w:val="24"/>
        </w:rPr>
        <w:t xml:space="preserve"> </w:t>
      </w:r>
      <w:r w:rsidRPr="00D337FA">
        <w:rPr>
          <w:szCs w:val="24"/>
        </w:rPr>
        <w:t>ограничения.</w:t>
      </w:r>
      <w:r w:rsidR="006C680D" w:rsidRPr="00D337FA">
        <w:rPr>
          <w:szCs w:val="24"/>
        </w:rPr>
        <w:t xml:space="preserve"> </w:t>
      </w:r>
      <w:r w:rsidRPr="00D337FA">
        <w:rPr>
          <w:szCs w:val="24"/>
        </w:rPr>
        <w:t>Каждая</w:t>
      </w:r>
      <w:r w:rsidR="006C680D" w:rsidRPr="00D337FA">
        <w:rPr>
          <w:szCs w:val="24"/>
        </w:rPr>
        <w:t xml:space="preserve"> </w:t>
      </w:r>
      <w:r w:rsidRPr="00D337FA">
        <w:rPr>
          <w:szCs w:val="24"/>
        </w:rPr>
        <w:t>из</w:t>
      </w:r>
      <w:r w:rsidR="006C680D" w:rsidRPr="00D337FA">
        <w:rPr>
          <w:szCs w:val="24"/>
        </w:rPr>
        <w:t xml:space="preserve"> </w:t>
      </w:r>
      <w:r w:rsidRPr="00D337FA">
        <w:rPr>
          <w:szCs w:val="24"/>
        </w:rPr>
        <w:t>выявленных</w:t>
      </w:r>
      <w:r w:rsidR="006C680D" w:rsidRPr="00D337FA">
        <w:rPr>
          <w:szCs w:val="24"/>
        </w:rPr>
        <w:t xml:space="preserve"> </w:t>
      </w:r>
      <w:r w:rsidRPr="00D337FA">
        <w:rPr>
          <w:szCs w:val="24"/>
        </w:rPr>
        <w:t>проблем</w:t>
      </w:r>
      <w:r w:rsidR="006C680D" w:rsidRPr="00D337FA">
        <w:rPr>
          <w:szCs w:val="24"/>
        </w:rPr>
        <w:t xml:space="preserve"> </w:t>
      </w:r>
      <w:r w:rsidRPr="00D337FA">
        <w:rPr>
          <w:szCs w:val="24"/>
        </w:rPr>
        <w:t>находит</w:t>
      </w:r>
      <w:r w:rsidR="006C680D" w:rsidRPr="00D337FA">
        <w:rPr>
          <w:szCs w:val="24"/>
        </w:rPr>
        <w:t xml:space="preserve"> </w:t>
      </w:r>
      <w:r w:rsidRPr="00D337FA">
        <w:rPr>
          <w:szCs w:val="24"/>
        </w:rPr>
        <w:t>свое</w:t>
      </w:r>
      <w:r w:rsidR="006C680D" w:rsidRPr="00D337FA">
        <w:rPr>
          <w:szCs w:val="24"/>
        </w:rPr>
        <w:t xml:space="preserve"> </w:t>
      </w:r>
      <w:r w:rsidRPr="00D337FA">
        <w:rPr>
          <w:szCs w:val="24"/>
        </w:rPr>
        <w:t>отражение</w:t>
      </w:r>
      <w:r w:rsidR="006C680D" w:rsidRPr="00D337FA">
        <w:rPr>
          <w:szCs w:val="24"/>
        </w:rPr>
        <w:t xml:space="preserve"> </w:t>
      </w:r>
      <w:r w:rsidRPr="00D337FA">
        <w:rPr>
          <w:szCs w:val="24"/>
        </w:rPr>
        <w:t>в</w:t>
      </w:r>
      <w:r w:rsidR="006C680D" w:rsidRPr="00D337FA">
        <w:rPr>
          <w:szCs w:val="24"/>
        </w:rPr>
        <w:t xml:space="preserve"> </w:t>
      </w:r>
      <w:r w:rsidRPr="00D337FA">
        <w:rPr>
          <w:szCs w:val="24"/>
        </w:rPr>
        <w:t>сформулированном</w:t>
      </w:r>
      <w:r w:rsidR="006C680D" w:rsidRPr="00D337FA">
        <w:rPr>
          <w:szCs w:val="24"/>
        </w:rPr>
        <w:t xml:space="preserve"> </w:t>
      </w:r>
      <w:r w:rsidRPr="00D337FA">
        <w:rPr>
          <w:szCs w:val="24"/>
        </w:rPr>
        <w:t>комплексе</w:t>
      </w:r>
      <w:r w:rsidR="006C680D" w:rsidRPr="00D337FA">
        <w:rPr>
          <w:szCs w:val="24"/>
        </w:rPr>
        <w:t xml:space="preserve"> </w:t>
      </w:r>
      <w:r w:rsidRPr="00D337FA">
        <w:rPr>
          <w:szCs w:val="24"/>
        </w:rPr>
        <w:t>авторских</w:t>
      </w:r>
      <w:r w:rsidR="006C680D" w:rsidRPr="00D337FA">
        <w:rPr>
          <w:szCs w:val="24"/>
        </w:rPr>
        <w:t xml:space="preserve"> </w:t>
      </w:r>
      <w:r w:rsidRPr="00D337FA">
        <w:rPr>
          <w:szCs w:val="24"/>
        </w:rPr>
        <w:t>предложений,</w:t>
      </w:r>
      <w:r w:rsidR="006C680D" w:rsidRPr="00D337FA">
        <w:rPr>
          <w:szCs w:val="24"/>
        </w:rPr>
        <w:t xml:space="preserve"> </w:t>
      </w:r>
      <w:r w:rsidRPr="00D337FA">
        <w:rPr>
          <w:szCs w:val="24"/>
        </w:rPr>
        <w:t>что</w:t>
      </w:r>
      <w:r w:rsidR="006C680D" w:rsidRPr="00D337FA">
        <w:rPr>
          <w:szCs w:val="24"/>
        </w:rPr>
        <w:t xml:space="preserve"> </w:t>
      </w:r>
      <w:r w:rsidRPr="00D337FA">
        <w:rPr>
          <w:szCs w:val="24"/>
        </w:rPr>
        <w:t>обеспечивает</w:t>
      </w:r>
      <w:r w:rsidR="006C680D" w:rsidRPr="00D337FA">
        <w:rPr>
          <w:szCs w:val="24"/>
        </w:rPr>
        <w:t xml:space="preserve"> </w:t>
      </w:r>
      <w:r w:rsidRPr="00D337FA">
        <w:rPr>
          <w:szCs w:val="24"/>
        </w:rPr>
        <w:t>прямую</w:t>
      </w:r>
      <w:r w:rsidR="006C680D" w:rsidRPr="00D337FA">
        <w:rPr>
          <w:szCs w:val="24"/>
        </w:rPr>
        <w:t xml:space="preserve"> </w:t>
      </w:r>
      <w:r w:rsidRPr="00D337FA">
        <w:rPr>
          <w:szCs w:val="24"/>
        </w:rPr>
        <w:t>связь</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диагностикой</w:t>
      </w:r>
      <w:r w:rsidR="006C680D" w:rsidRPr="00D337FA">
        <w:rPr>
          <w:szCs w:val="24"/>
        </w:rPr>
        <w:t xml:space="preserve"> </w:t>
      </w:r>
      <w:r w:rsidRPr="00D337FA">
        <w:rPr>
          <w:szCs w:val="24"/>
        </w:rPr>
        <w:t>состояния</w:t>
      </w:r>
      <w:r w:rsidR="006C680D" w:rsidRPr="00D337FA">
        <w:rPr>
          <w:szCs w:val="24"/>
        </w:rPr>
        <w:t xml:space="preserve"> </w:t>
      </w:r>
      <w:r w:rsidRPr="00D337FA">
        <w:rPr>
          <w:szCs w:val="24"/>
        </w:rPr>
        <w:t>рынка</w:t>
      </w:r>
      <w:r w:rsidR="006C680D" w:rsidRPr="00D337FA">
        <w:rPr>
          <w:szCs w:val="24"/>
        </w:rPr>
        <w:t xml:space="preserve"> </w:t>
      </w:r>
      <w:r w:rsidRPr="00D337FA">
        <w:rPr>
          <w:szCs w:val="24"/>
        </w:rPr>
        <w:t>и</w:t>
      </w:r>
      <w:r w:rsidR="006C680D" w:rsidRPr="00D337FA">
        <w:rPr>
          <w:szCs w:val="24"/>
        </w:rPr>
        <w:t xml:space="preserve"> </w:t>
      </w:r>
      <w:r w:rsidRPr="00D337FA">
        <w:rPr>
          <w:szCs w:val="24"/>
        </w:rPr>
        <w:t>научно</w:t>
      </w:r>
      <w:r w:rsidR="006C680D" w:rsidRPr="00D337FA">
        <w:rPr>
          <w:szCs w:val="24"/>
        </w:rPr>
        <w:t xml:space="preserve"> </w:t>
      </w:r>
      <w:r w:rsidRPr="00D337FA">
        <w:rPr>
          <w:szCs w:val="24"/>
        </w:rPr>
        <w:t>обоснованной</w:t>
      </w:r>
      <w:r w:rsidR="006C680D" w:rsidRPr="00D337FA">
        <w:rPr>
          <w:szCs w:val="24"/>
        </w:rPr>
        <w:t xml:space="preserve"> </w:t>
      </w:r>
      <w:r w:rsidRPr="00D337FA">
        <w:rPr>
          <w:szCs w:val="24"/>
        </w:rPr>
        <w:t>дорожной</w:t>
      </w:r>
      <w:r w:rsidR="006C680D" w:rsidRPr="00D337FA">
        <w:rPr>
          <w:szCs w:val="24"/>
        </w:rPr>
        <w:t xml:space="preserve"> </w:t>
      </w:r>
      <w:r w:rsidRPr="00D337FA">
        <w:rPr>
          <w:szCs w:val="24"/>
        </w:rPr>
        <w:t>картой</w:t>
      </w:r>
      <w:r w:rsidR="006C680D" w:rsidRPr="00D337FA">
        <w:rPr>
          <w:szCs w:val="24"/>
        </w:rPr>
        <w:t xml:space="preserve"> </w:t>
      </w:r>
      <w:r w:rsidRPr="00D337FA">
        <w:rPr>
          <w:szCs w:val="24"/>
        </w:rPr>
        <w:t>его</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Предложенные</w:t>
      </w:r>
      <w:r w:rsidR="006C680D" w:rsidRPr="00D337FA">
        <w:rPr>
          <w:szCs w:val="24"/>
        </w:rPr>
        <w:t xml:space="preserve"> </w:t>
      </w:r>
      <w:r w:rsidRPr="00D337FA">
        <w:rPr>
          <w:szCs w:val="24"/>
        </w:rPr>
        <w:t>направления</w:t>
      </w:r>
      <w:r w:rsidR="006C680D" w:rsidRPr="00D337FA">
        <w:rPr>
          <w:szCs w:val="24"/>
        </w:rPr>
        <w:t xml:space="preserve"> </w:t>
      </w:r>
      <w:r w:rsidRPr="00D337FA">
        <w:rPr>
          <w:szCs w:val="24"/>
        </w:rPr>
        <w:t>(встроенные</w:t>
      </w:r>
      <w:r w:rsidR="006C680D" w:rsidRPr="00D337FA">
        <w:rPr>
          <w:szCs w:val="24"/>
        </w:rPr>
        <w:t xml:space="preserve"> </w:t>
      </w:r>
      <w:r w:rsidRPr="00D337FA">
        <w:rPr>
          <w:szCs w:val="24"/>
        </w:rPr>
        <w:t>финансы,</w:t>
      </w:r>
      <w:r w:rsidR="006C680D" w:rsidRPr="00D337FA">
        <w:rPr>
          <w:szCs w:val="24"/>
        </w:rPr>
        <w:t xml:space="preserve"> </w:t>
      </w:r>
      <w:r w:rsidRPr="00D337FA">
        <w:rPr>
          <w:szCs w:val="24"/>
        </w:rPr>
        <w:t>динамический</w:t>
      </w:r>
      <w:r w:rsidR="006C680D" w:rsidRPr="00D337FA">
        <w:rPr>
          <w:szCs w:val="24"/>
        </w:rPr>
        <w:t xml:space="preserve"> </w:t>
      </w:r>
      <w:r w:rsidRPr="00D337FA">
        <w:rPr>
          <w:szCs w:val="24"/>
        </w:rPr>
        <w:t>скоринг,</w:t>
      </w:r>
      <w:r w:rsidR="006C680D" w:rsidRPr="00D337FA">
        <w:rPr>
          <w:szCs w:val="24"/>
        </w:rPr>
        <w:t xml:space="preserve"> </w:t>
      </w:r>
      <w:r w:rsidRPr="00D337FA">
        <w:rPr>
          <w:szCs w:val="24"/>
        </w:rPr>
        <w:t>отраслевые</w:t>
      </w:r>
      <w:r w:rsidR="006C680D" w:rsidRPr="00D337FA">
        <w:rPr>
          <w:szCs w:val="24"/>
        </w:rPr>
        <w:t xml:space="preserve"> </w:t>
      </w:r>
      <w:r w:rsidRPr="00D337FA">
        <w:rPr>
          <w:szCs w:val="24"/>
        </w:rPr>
        <w:t>API-стандарты,</w:t>
      </w:r>
      <w:r w:rsidR="006C680D" w:rsidRPr="00D337FA">
        <w:rPr>
          <w:szCs w:val="24"/>
        </w:rPr>
        <w:t xml:space="preserve"> </w:t>
      </w:r>
      <w:r w:rsidRPr="00D337FA">
        <w:rPr>
          <w:szCs w:val="24"/>
        </w:rPr>
        <w:t>конструкторы</w:t>
      </w:r>
      <w:r w:rsidR="006C680D" w:rsidRPr="00D337FA">
        <w:rPr>
          <w:szCs w:val="24"/>
        </w:rPr>
        <w:t xml:space="preserve"> </w:t>
      </w:r>
      <w:r w:rsidRPr="00D337FA">
        <w:rPr>
          <w:szCs w:val="24"/>
        </w:rPr>
        <w:t>компетенций)</w:t>
      </w:r>
      <w:r w:rsidR="006C680D" w:rsidRPr="00D337FA">
        <w:rPr>
          <w:szCs w:val="24"/>
        </w:rPr>
        <w:t xml:space="preserve"> </w:t>
      </w:r>
      <w:r w:rsidRPr="00D337FA">
        <w:rPr>
          <w:szCs w:val="24"/>
        </w:rPr>
        <w:t>представляют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системный</w:t>
      </w:r>
      <w:r w:rsidR="006C680D" w:rsidRPr="00D337FA">
        <w:rPr>
          <w:szCs w:val="24"/>
        </w:rPr>
        <w:t xml:space="preserve"> </w:t>
      </w:r>
      <w:r w:rsidRPr="00D337FA">
        <w:rPr>
          <w:szCs w:val="24"/>
        </w:rPr>
        <w:t>ответ</w:t>
      </w:r>
      <w:r w:rsidR="006C680D" w:rsidRPr="00D337FA">
        <w:rPr>
          <w:szCs w:val="24"/>
        </w:rPr>
        <w:t xml:space="preserve"> </w:t>
      </w:r>
      <w:r w:rsidRPr="00D337FA">
        <w:rPr>
          <w:szCs w:val="24"/>
        </w:rPr>
        <w:t>на</w:t>
      </w:r>
      <w:r w:rsidR="006C680D" w:rsidRPr="00D337FA">
        <w:rPr>
          <w:szCs w:val="24"/>
        </w:rPr>
        <w:t xml:space="preserve"> </w:t>
      </w:r>
      <w:r w:rsidRPr="00D337FA">
        <w:rPr>
          <w:szCs w:val="24"/>
        </w:rPr>
        <w:t>выявленные</w:t>
      </w:r>
      <w:r w:rsidR="006C680D" w:rsidRPr="00D337FA">
        <w:rPr>
          <w:szCs w:val="24"/>
        </w:rPr>
        <w:t xml:space="preserve"> </w:t>
      </w:r>
      <w:r w:rsidRPr="00D337FA">
        <w:rPr>
          <w:szCs w:val="24"/>
        </w:rPr>
        <w:t>дисбалансы</w:t>
      </w:r>
      <w:r w:rsidR="006C680D" w:rsidRPr="00D337FA">
        <w:rPr>
          <w:szCs w:val="24"/>
        </w:rPr>
        <w:t xml:space="preserve"> </w:t>
      </w:r>
      <w:r w:rsidRPr="00D337FA">
        <w:rPr>
          <w:szCs w:val="24"/>
        </w:rPr>
        <w:t>и</w:t>
      </w:r>
      <w:r w:rsidR="006C680D" w:rsidRPr="00D337FA">
        <w:rPr>
          <w:szCs w:val="24"/>
        </w:rPr>
        <w:t xml:space="preserve"> </w:t>
      </w:r>
      <w:r w:rsidRPr="00D337FA">
        <w:rPr>
          <w:szCs w:val="24"/>
        </w:rPr>
        <w:t>направлены</w:t>
      </w:r>
      <w:r w:rsidR="006C680D" w:rsidRPr="00D337FA">
        <w:rPr>
          <w:szCs w:val="24"/>
        </w:rPr>
        <w:t xml:space="preserve"> </w:t>
      </w:r>
      <w:r w:rsidRPr="00D337FA">
        <w:rPr>
          <w:szCs w:val="24"/>
        </w:rPr>
        <w:t>на</w:t>
      </w:r>
      <w:r w:rsidR="006C680D" w:rsidRPr="00D337FA">
        <w:rPr>
          <w:szCs w:val="24"/>
        </w:rPr>
        <w:t xml:space="preserve"> </w:t>
      </w:r>
      <w:r w:rsidRPr="00D337FA">
        <w:rPr>
          <w:szCs w:val="24"/>
        </w:rPr>
        <w:t>трансформацию</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из</w:t>
      </w:r>
      <w:r w:rsidR="006C680D" w:rsidRPr="00D337FA">
        <w:rPr>
          <w:szCs w:val="24"/>
        </w:rPr>
        <w:t xml:space="preserve"> </w:t>
      </w:r>
      <w:r w:rsidRPr="00D337FA">
        <w:rPr>
          <w:szCs w:val="24"/>
        </w:rPr>
        <w:t>набора</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в</w:t>
      </w:r>
      <w:r w:rsidR="006C680D" w:rsidRPr="00D337FA">
        <w:rPr>
          <w:szCs w:val="24"/>
        </w:rPr>
        <w:t xml:space="preserve"> </w:t>
      </w:r>
      <w:r w:rsidRPr="00D337FA">
        <w:rPr>
          <w:szCs w:val="24"/>
        </w:rPr>
        <w:t>целостную</w:t>
      </w:r>
      <w:r w:rsidR="006C680D" w:rsidRPr="00D337FA">
        <w:rPr>
          <w:szCs w:val="24"/>
        </w:rPr>
        <w:t xml:space="preserve"> </w:t>
      </w:r>
      <w:r w:rsidRPr="00D337FA">
        <w:rPr>
          <w:szCs w:val="24"/>
        </w:rPr>
        <w:t>цифровую</w:t>
      </w:r>
      <w:r w:rsidR="006C680D" w:rsidRPr="00D337FA">
        <w:rPr>
          <w:szCs w:val="24"/>
        </w:rPr>
        <w:t xml:space="preserve"> </w:t>
      </w:r>
      <w:r w:rsidRPr="00D337FA">
        <w:rPr>
          <w:szCs w:val="24"/>
        </w:rPr>
        <w:t>среду</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p>
    <w:p w:rsidR="00E70CAD" w:rsidRPr="00D337FA" w:rsidRDefault="00E70CAD" w:rsidP="00E70CAD">
      <w:pPr>
        <w:ind w:firstLine="284"/>
        <w:rPr>
          <w:szCs w:val="24"/>
        </w:rPr>
      </w:pPr>
    </w:p>
    <w:p w:rsidR="00E70CAD" w:rsidRPr="00D337FA" w:rsidRDefault="00E70CAD" w:rsidP="00E70CAD">
      <w:pPr>
        <w:ind w:firstLine="284"/>
        <w:rPr>
          <w:b/>
          <w:szCs w:val="24"/>
        </w:rPr>
      </w:pPr>
      <w:r w:rsidRPr="00D337FA">
        <w:rPr>
          <w:b/>
          <w:szCs w:val="24"/>
        </w:rPr>
        <w:t>Результаты</w:t>
      </w:r>
    </w:p>
    <w:p w:rsidR="00E70CAD" w:rsidRPr="00D337FA" w:rsidRDefault="00E70CAD" w:rsidP="00E70CAD">
      <w:pPr>
        <w:ind w:firstLine="284"/>
        <w:rPr>
          <w:szCs w:val="24"/>
        </w:rPr>
      </w:pPr>
      <w:r w:rsidRPr="00D337FA">
        <w:rPr>
          <w:szCs w:val="24"/>
        </w:rPr>
        <w:t>Проведенное</w:t>
      </w:r>
      <w:r w:rsidR="006C680D" w:rsidRPr="00D337FA">
        <w:rPr>
          <w:szCs w:val="24"/>
        </w:rPr>
        <w:t xml:space="preserve"> </w:t>
      </w:r>
      <w:r w:rsidRPr="00D337FA">
        <w:rPr>
          <w:szCs w:val="24"/>
        </w:rPr>
        <w:t>исследование</w:t>
      </w:r>
      <w:r w:rsidR="006C680D" w:rsidRPr="00D337FA">
        <w:rPr>
          <w:szCs w:val="24"/>
        </w:rPr>
        <w:t xml:space="preserve"> </w:t>
      </w:r>
      <w:r w:rsidRPr="00D337FA">
        <w:rPr>
          <w:szCs w:val="24"/>
        </w:rPr>
        <w:t>позволило</w:t>
      </w:r>
      <w:r w:rsidR="006C680D" w:rsidRPr="00D337FA">
        <w:rPr>
          <w:szCs w:val="24"/>
        </w:rPr>
        <w:t xml:space="preserve"> </w:t>
      </w:r>
      <w:r w:rsidRPr="00D337FA">
        <w:rPr>
          <w:szCs w:val="24"/>
        </w:rPr>
        <w:t>получить</w:t>
      </w:r>
      <w:r w:rsidR="006C680D" w:rsidRPr="00D337FA">
        <w:rPr>
          <w:szCs w:val="24"/>
        </w:rPr>
        <w:t xml:space="preserve"> </w:t>
      </w:r>
      <w:r w:rsidRPr="00D337FA">
        <w:rPr>
          <w:szCs w:val="24"/>
        </w:rPr>
        <w:t>комплекс</w:t>
      </w:r>
      <w:r w:rsidR="006C680D" w:rsidRPr="00D337FA">
        <w:rPr>
          <w:szCs w:val="24"/>
        </w:rPr>
        <w:t xml:space="preserve"> </w:t>
      </w:r>
      <w:r w:rsidRPr="00D337FA">
        <w:rPr>
          <w:szCs w:val="24"/>
        </w:rPr>
        <w:t>результатов,</w:t>
      </w:r>
      <w:r w:rsidR="006C680D" w:rsidRPr="00D337FA">
        <w:rPr>
          <w:szCs w:val="24"/>
        </w:rPr>
        <w:t xml:space="preserve"> </w:t>
      </w:r>
      <w:r w:rsidRPr="00D337FA">
        <w:rPr>
          <w:szCs w:val="24"/>
        </w:rPr>
        <w:t>структурированных</w:t>
      </w:r>
      <w:r w:rsidR="006C680D" w:rsidRPr="00D337FA">
        <w:rPr>
          <w:szCs w:val="24"/>
        </w:rPr>
        <w:t xml:space="preserve"> </w:t>
      </w:r>
      <w:r w:rsidRPr="00D337FA">
        <w:rPr>
          <w:szCs w:val="24"/>
        </w:rPr>
        <w:t>в</w:t>
      </w:r>
      <w:r w:rsidR="006C680D" w:rsidRPr="00D337FA">
        <w:rPr>
          <w:szCs w:val="24"/>
        </w:rPr>
        <w:t xml:space="preserve"> </w:t>
      </w:r>
      <w:r w:rsidRPr="00D337FA">
        <w:rPr>
          <w:szCs w:val="24"/>
        </w:rPr>
        <w:t>соответствии</w:t>
      </w:r>
      <w:r w:rsidR="006C680D" w:rsidRPr="00D337FA">
        <w:rPr>
          <w:szCs w:val="24"/>
        </w:rPr>
        <w:t xml:space="preserve"> </w:t>
      </w:r>
      <w:r w:rsidRPr="00D337FA">
        <w:rPr>
          <w:szCs w:val="24"/>
        </w:rPr>
        <w:t>с</w:t>
      </w:r>
      <w:r w:rsidR="006C680D" w:rsidRPr="00D337FA">
        <w:rPr>
          <w:szCs w:val="24"/>
        </w:rPr>
        <w:t xml:space="preserve"> </w:t>
      </w:r>
      <w:r w:rsidRPr="00D337FA">
        <w:rPr>
          <w:szCs w:val="24"/>
        </w:rPr>
        <w:t>логикой</w:t>
      </w:r>
      <w:r w:rsidR="006C680D" w:rsidRPr="00D337FA">
        <w:rPr>
          <w:szCs w:val="24"/>
        </w:rPr>
        <w:t xml:space="preserve"> </w:t>
      </w:r>
      <w:r w:rsidRPr="00D337FA">
        <w:rPr>
          <w:szCs w:val="24"/>
        </w:rPr>
        <w:t>поставленных</w:t>
      </w:r>
      <w:r w:rsidR="006C680D" w:rsidRPr="00D337FA">
        <w:rPr>
          <w:szCs w:val="24"/>
        </w:rPr>
        <w:t xml:space="preserve"> </w:t>
      </w:r>
      <w:r w:rsidRPr="00D337FA">
        <w:rPr>
          <w:szCs w:val="24"/>
        </w:rPr>
        <w:t>задач</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формирующих</w:t>
      </w:r>
      <w:r w:rsidR="006C680D" w:rsidRPr="00D337FA">
        <w:rPr>
          <w:szCs w:val="24"/>
        </w:rPr>
        <w:t xml:space="preserve"> </w:t>
      </w:r>
      <w:r w:rsidRPr="00D337FA">
        <w:rPr>
          <w:szCs w:val="24"/>
        </w:rPr>
        <w:t>основу</w:t>
      </w:r>
      <w:r w:rsidR="006C680D" w:rsidRPr="00D337FA">
        <w:rPr>
          <w:szCs w:val="24"/>
        </w:rPr>
        <w:t xml:space="preserve"> </w:t>
      </w:r>
      <w:r w:rsidRPr="00D337FA">
        <w:rPr>
          <w:szCs w:val="24"/>
        </w:rPr>
        <w:t>для</w:t>
      </w:r>
      <w:r w:rsidR="006C680D" w:rsidRPr="00D337FA">
        <w:rPr>
          <w:szCs w:val="24"/>
        </w:rPr>
        <w:t xml:space="preserve"> </w:t>
      </w:r>
      <w:r w:rsidRPr="00D337FA">
        <w:rPr>
          <w:szCs w:val="24"/>
        </w:rPr>
        <w:t>авторского</w:t>
      </w:r>
      <w:r w:rsidR="006C680D" w:rsidRPr="00D337FA">
        <w:rPr>
          <w:szCs w:val="24"/>
        </w:rPr>
        <w:t xml:space="preserve"> </w:t>
      </w:r>
      <w:r w:rsidRPr="00D337FA">
        <w:rPr>
          <w:szCs w:val="24"/>
        </w:rPr>
        <w:t>вклада</w:t>
      </w:r>
      <w:r w:rsidR="006C680D" w:rsidRPr="00D337FA">
        <w:rPr>
          <w:szCs w:val="24"/>
        </w:rPr>
        <w:t xml:space="preserve"> </w:t>
      </w:r>
      <w:r w:rsidRPr="00D337FA">
        <w:rPr>
          <w:szCs w:val="24"/>
        </w:rPr>
        <w:t>в</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и</w:t>
      </w:r>
      <w:r w:rsidR="006C680D" w:rsidRPr="00D337FA">
        <w:rPr>
          <w:szCs w:val="24"/>
        </w:rPr>
        <w:t xml:space="preserve"> </w:t>
      </w:r>
      <w:r w:rsidRPr="00D337FA">
        <w:rPr>
          <w:szCs w:val="24"/>
        </w:rPr>
        <w:t>практики</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p>
    <w:p w:rsidR="00E70CAD" w:rsidRPr="00D337FA" w:rsidRDefault="00E70CAD" w:rsidP="00E70CAD">
      <w:pPr>
        <w:ind w:firstLine="284"/>
        <w:rPr>
          <w:szCs w:val="24"/>
        </w:rPr>
      </w:pP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изучения</w:t>
      </w:r>
      <w:r w:rsidR="006C680D" w:rsidRPr="00D337FA">
        <w:rPr>
          <w:szCs w:val="24"/>
        </w:rPr>
        <w:t xml:space="preserve"> </w:t>
      </w:r>
      <w:r w:rsidRPr="00D337FA">
        <w:rPr>
          <w:szCs w:val="24"/>
        </w:rPr>
        <w:t>эволюции</w:t>
      </w:r>
      <w:r w:rsidR="006C680D" w:rsidRPr="00D337FA">
        <w:rPr>
          <w:szCs w:val="24"/>
        </w:rPr>
        <w:t xml:space="preserve"> </w:t>
      </w:r>
      <w:r w:rsidRPr="00D337FA">
        <w:rPr>
          <w:szCs w:val="24"/>
        </w:rPr>
        <w:t>теоретических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(от</w:t>
      </w:r>
      <w:r w:rsidR="006C680D" w:rsidRPr="00D337FA">
        <w:rPr>
          <w:szCs w:val="24"/>
        </w:rPr>
        <w:t xml:space="preserve"> </w:t>
      </w:r>
      <w:r w:rsidRPr="00D337FA">
        <w:rPr>
          <w:szCs w:val="24"/>
        </w:rPr>
        <w:t>концепций</w:t>
      </w:r>
      <w:r w:rsidR="006C680D" w:rsidRPr="00D337FA">
        <w:rPr>
          <w:szCs w:val="24"/>
        </w:rPr>
        <w:t xml:space="preserve"> </w:t>
      </w:r>
      <w:r w:rsidRPr="00D337FA">
        <w:rPr>
          <w:szCs w:val="24"/>
        </w:rPr>
        <w:t>информационной</w:t>
      </w:r>
      <w:r w:rsidR="006C680D" w:rsidRPr="00D337FA">
        <w:rPr>
          <w:szCs w:val="24"/>
        </w:rPr>
        <w:t xml:space="preserve"> </w:t>
      </w:r>
      <w:r w:rsidRPr="00D337FA">
        <w:rPr>
          <w:szCs w:val="24"/>
        </w:rPr>
        <w:t>асимметрии</w:t>
      </w:r>
      <w:r w:rsidR="006C680D" w:rsidRPr="00D337FA">
        <w:rPr>
          <w:szCs w:val="24"/>
        </w:rPr>
        <w:t xml:space="preserve"> </w:t>
      </w:r>
      <w:r w:rsidRPr="00D337FA">
        <w:rPr>
          <w:szCs w:val="24"/>
        </w:rPr>
        <w:t>и</w:t>
      </w:r>
      <w:r w:rsidR="006C680D" w:rsidRPr="00D337FA">
        <w:rPr>
          <w:szCs w:val="24"/>
        </w:rPr>
        <w:t xml:space="preserve"> </w:t>
      </w:r>
      <w:r w:rsidRPr="00D337FA">
        <w:rPr>
          <w:szCs w:val="24"/>
        </w:rPr>
        <w:t>«отношенческого»</w:t>
      </w:r>
      <w:r w:rsidR="006C680D" w:rsidRPr="00D337FA">
        <w:rPr>
          <w:szCs w:val="24"/>
        </w:rPr>
        <w:t xml:space="preserve"> </w:t>
      </w:r>
      <w:r w:rsidRPr="00D337FA">
        <w:rPr>
          <w:szCs w:val="24"/>
        </w:rPr>
        <w:t>банкинга</w:t>
      </w:r>
      <w:r w:rsidR="006C680D" w:rsidRPr="00D337FA">
        <w:rPr>
          <w:szCs w:val="24"/>
        </w:rPr>
        <w:t xml:space="preserve"> </w:t>
      </w:r>
      <w:r w:rsidRPr="00D337FA">
        <w:rPr>
          <w:szCs w:val="24"/>
        </w:rPr>
        <w:t>до</w:t>
      </w:r>
      <w:r w:rsidR="006C680D" w:rsidRPr="00D337FA">
        <w:rPr>
          <w:szCs w:val="24"/>
        </w:rPr>
        <w:t xml:space="preserve"> </w:t>
      </w:r>
      <w:r w:rsidRPr="00D337FA">
        <w:rPr>
          <w:szCs w:val="24"/>
        </w:rPr>
        <w:t>парадигмы</w:t>
      </w:r>
      <w:r w:rsidR="006C680D" w:rsidRPr="00D337FA">
        <w:rPr>
          <w:szCs w:val="24"/>
        </w:rPr>
        <w:t xml:space="preserve"> </w:t>
      </w:r>
      <w:r w:rsidRPr="00D337FA">
        <w:rPr>
          <w:szCs w:val="24"/>
        </w:rPr>
        <w:t>экосистем</w:t>
      </w:r>
      <w:r w:rsidR="006C680D" w:rsidRPr="00D337FA">
        <w:rPr>
          <w:szCs w:val="24"/>
        </w:rPr>
        <w:t xml:space="preserve"> </w:t>
      </w:r>
      <w:r w:rsidRPr="00D337FA">
        <w:rPr>
          <w:szCs w:val="24"/>
        </w:rPr>
        <w:t>и</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была</w:t>
      </w:r>
      <w:r w:rsidR="006C680D" w:rsidRPr="00D337FA">
        <w:rPr>
          <w:szCs w:val="24"/>
        </w:rPr>
        <w:t xml:space="preserve"> </w:t>
      </w:r>
      <w:r w:rsidRPr="00D337FA">
        <w:rPr>
          <w:szCs w:val="24"/>
        </w:rPr>
        <w:t>разработана</w:t>
      </w:r>
      <w:r w:rsidR="006C680D" w:rsidRPr="00D337FA">
        <w:rPr>
          <w:szCs w:val="24"/>
        </w:rPr>
        <w:t xml:space="preserve"> </w:t>
      </w:r>
      <w:r w:rsidRPr="00D337FA">
        <w:rPr>
          <w:szCs w:val="24"/>
        </w:rPr>
        <w:t>и</w:t>
      </w:r>
      <w:r w:rsidR="006C680D" w:rsidRPr="00D337FA">
        <w:rPr>
          <w:szCs w:val="24"/>
        </w:rPr>
        <w:t xml:space="preserve"> </w:t>
      </w:r>
      <w:r w:rsidRPr="00D337FA">
        <w:rPr>
          <w:szCs w:val="24"/>
        </w:rPr>
        <w:t>эмпирически</w:t>
      </w:r>
      <w:r w:rsidR="006C680D" w:rsidRPr="00D337FA">
        <w:rPr>
          <w:szCs w:val="24"/>
        </w:rPr>
        <w:t xml:space="preserve"> </w:t>
      </w:r>
      <w:r w:rsidRPr="00D337FA">
        <w:rPr>
          <w:szCs w:val="24"/>
        </w:rPr>
        <w:t>верифицирована</w:t>
      </w:r>
      <w:r w:rsidR="006C680D" w:rsidRPr="00D337FA">
        <w:rPr>
          <w:szCs w:val="24"/>
        </w:rPr>
        <w:t xml:space="preserve"> </w:t>
      </w:r>
      <w:r w:rsidRPr="00D337FA">
        <w:rPr>
          <w:szCs w:val="24"/>
        </w:rPr>
        <w:t>целостная</w:t>
      </w:r>
      <w:r w:rsidR="006C680D" w:rsidRPr="00D337FA">
        <w:rPr>
          <w:szCs w:val="24"/>
        </w:rPr>
        <w:t xml:space="preserve"> </w:t>
      </w:r>
      <w:r w:rsidRPr="00D337FA">
        <w:rPr>
          <w:szCs w:val="24"/>
        </w:rPr>
        <w:t>аналитическая</w:t>
      </w:r>
      <w:r w:rsidR="006C680D" w:rsidRPr="00D337FA">
        <w:rPr>
          <w:szCs w:val="24"/>
        </w:rPr>
        <w:t xml:space="preserve"> </w:t>
      </w:r>
      <w:r w:rsidRPr="00D337FA">
        <w:rPr>
          <w:szCs w:val="24"/>
        </w:rPr>
        <w:t>модель.</w:t>
      </w:r>
      <w:r w:rsidR="006C680D" w:rsidRPr="00D337FA">
        <w:rPr>
          <w:szCs w:val="24"/>
        </w:rPr>
        <w:t xml:space="preserve"> </w:t>
      </w:r>
      <w:r w:rsidRPr="00D337FA">
        <w:rPr>
          <w:szCs w:val="24"/>
        </w:rPr>
        <w:t>Данная</w:t>
      </w:r>
      <w:r w:rsidR="006C680D" w:rsidRPr="00D337FA">
        <w:rPr>
          <w:szCs w:val="24"/>
        </w:rPr>
        <w:t xml:space="preserve"> </w:t>
      </w:r>
      <w:r w:rsidRPr="00D337FA">
        <w:rPr>
          <w:szCs w:val="24"/>
        </w:rPr>
        <w:t>модель</w:t>
      </w:r>
      <w:r w:rsidR="006C680D" w:rsidRPr="00D337FA">
        <w:rPr>
          <w:szCs w:val="24"/>
        </w:rPr>
        <w:t xml:space="preserve"> </w:t>
      </w:r>
      <w:r w:rsidRPr="00D337FA">
        <w:rPr>
          <w:szCs w:val="24"/>
        </w:rPr>
        <w:t>синтезирует</w:t>
      </w:r>
      <w:r w:rsidR="006C680D" w:rsidRPr="00D337FA">
        <w:rPr>
          <w:szCs w:val="24"/>
        </w:rPr>
        <w:t xml:space="preserve"> </w:t>
      </w:r>
      <w:r w:rsidRPr="00D337FA">
        <w:rPr>
          <w:szCs w:val="24"/>
        </w:rPr>
        <w:t>шесть</w:t>
      </w:r>
      <w:r w:rsidR="006C680D" w:rsidRPr="00D337FA">
        <w:rPr>
          <w:szCs w:val="24"/>
        </w:rPr>
        <w:t xml:space="preserve"> </w:t>
      </w:r>
      <w:r w:rsidRPr="00D337FA">
        <w:rPr>
          <w:szCs w:val="24"/>
        </w:rPr>
        <w:t>ключевых</w:t>
      </w:r>
      <w:r w:rsidR="006C680D" w:rsidRPr="00D337FA">
        <w:rPr>
          <w:szCs w:val="24"/>
        </w:rPr>
        <w:t xml:space="preserve"> </w:t>
      </w:r>
      <w:r w:rsidRPr="00D337FA">
        <w:rPr>
          <w:szCs w:val="24"/>
        </w:rPr>
        <w:t>взаимосвязанных</w:t>
      </w:r>
      <w:r w:rsidR="006C680D" w:rsidRPr="00D337FA">
        <w:rPr>
          <w:szCs w:val="24"/>
        </w:rPr>
        <w:t xml:space="preserve"> </w:t>
      </w:r>
      <w:r w:rsidRPr="00D337FA">
        <w:rPr>
          <w:szCs w:val="24"/>
        </w:rPr>
        <w:t>тенденций,</w:t>
      </w:r>
      <w:r w:rsidR="006C680D" w:rsidRPr="00D337FA">
        <w:rPr>
          <w:szCs w:val="24"/>
        </w:rPr>
        <w:t xml:space="preserve"> </w:t>
      </w:r>
      <w:r w:rsidRPr="00D337FA">
        <w:rPr>
          <w:szCs w:val="24"/>
        </w:rPr>
        <w:t>формирующих</w:t>
      </w:r>
      <w:r w:rsidR="006C680D" w:rsidRPr="00D337FA">
        <w:rPr>
          <w:szCs w:val="24"/>
        </w:rPr>
        <w:t xml:space="preserve"> </w:t>
      </w:r>
      <w:r w:rsidRPr="00D337FA">
        <w:rPr>
          <w:szCs w:val="24"/>
        </w:rPr>
        <w:t>современный</w:t>
      </w:r>
      <w:r w:rsidR="006C680D" w:rsidRPr="00D337FA">
        <w:rPr>
          <w:szCs w:val="24"/>
        </w:rPr>
        <w:t xml:space="preserve"> </w:t>
      </w:r>
      <w:r w:rsidRPr="00D337FA">
        <w:rPr>
          <w:szCs w:val="24"/>
        </w:rPr>
        <w:t>ландшафт</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значимыми</w:t>
      </w:r>
      <w:r w:rsidR="006C680D" w:rsidRPr="00D337FA">
        <w:rPr>
          <w:szCs w:val="24"/>
        </w:rPr>
        <w:t xml:space="preserve"> </w:t>
      </w:r>
      <w:r w:rsidRPr="00D337FA">
        <w:rPr>
          <w:szCs w:val="24"/>
        </w:rPr>
        <w:t>банками</w:t>
      </w:r>
      <w:r w:rsidR="006C680D" w:rsidRPr="00D337FA">
        <w:rPr>
          <w:szCs w:val="24"/>
        </w:rPr>
        <w:t xml:space="preserve"> </w:t>
      </w:r>
      <w:r w:rsidRPr="00D337FA">
        <w:rPr>
          <w:szCs w:val="24"/>
        </w:rPr>
        <w:t>России:</w:t>
      </w:r>
    </w:p>
    <w:p w:rsidR="00E70CAD" w:rsidRPr="00D337FA" w:rsidRDefault="00E70CAD" w:rsidP="005A0605">
      <w:pPr>
        <w:numPr>
          <w:ilvl w:val="0"/>
          <w:numId w:val="11"/>
        </w:numPr>
        <w:tabs>
          <w:tab w:val="clear" w:pos="720"/>
          <w:tab w:val="left" w:pos="567"/>
        </w:tabs>
        <w:ind w:left="0" w:firstLine="284"/>
        <w:rPr>
          <w:szCs w:val="24"/>
        </w:rPr>
      </w:pPr>
      <w:r w:rsidRPr="00D337FA">
        <w:rPr>
          <w:bCs/>
          <w:szCs w:val="24"/>
        </w:rPr>
        <w:t>Дифференциация</w:t>
      </w:r>
      <w:r w:rsidR="006C680D" w:rsidRPr="00D337FA">
        <w:rPr>
          <w:bCs/>
          <w:szCs w:val="24"/>
        </w:rPr>
        <w:t xml:space="preserve"> </w:t>
      </w:r>
      <w:r w:rsidRPr="00D337FA">
        <w:rPr>
          <w:bCs/>
          <w:szCs w:val="24"/>
        </w:rPr>
        <w:t>моделей</w:t>
      </w:r>
      <w:r w:rsidR="006C680D" w:rsidRPr="00D337FA">
        <w:rPr>
          <w:bCs/>
          <w:szCs w:val="24"/>
        </w:rPr>
        <w:t xml:space="preserve"> </w:t>
      </w:r>
      <w:r w:rsidRPr="00D337FA">
        <w:rPr>
          <w:bCs/>
          <w:szCs w:val="24"/>
        </w:rPr>
        <w:t>обслуживания,</w:t>
      </w:r>
      <w:r w:rsidR="006C680D" w:rsidRPr="00D337FA">
        <w:rPr>
          <w:bCs/>
          <w:szCs w:val="24"/>
        </w:rPr>
        <w:t xml:space="preserve"> </w:t>
      </w:r>
      <w:r w:rsidRPr="00D337FA">
        <w:rPr>
          <w:bCs/>
          <w:szCs w:val="24"/>
        </w:rPr>
        <w:t>отражающая</w:t>
      </w:r>
      <w:r w:rsidR="006C680D" w:rsidRPr="00D337FA">
        <w:rPr>
          <w:szCs w:val="24"/>
        </w:rPr>
        <w:t xml:space="preserve"> </w:t>
      </w:r>
      <w:r w:rsidRPr="00D337FA">
        <w:rPr>
          <w:szCs w:val="24"/>
        </w:rPr>
        <w:t>переход</w:t>
      </w:r>
      <w:r w:rsidR="006C680D" w:rsidRPr="00D337FA">
        <w:rPr>
          <w:szCs w:val="24"/>
        </w:rPr>
        <w:t xml:space="preserve"> </w:t>
      </w:r>
      <w:r w:rsidRPr="00D337FA">
        <w:rPr>
          <w:szCs w:val="24"/>
        </w:rPr>
        <w:t>от</w:t>
      </w:r>
      <w:r w:rsidR="006C680D" w:rsidRPr="00D337FA">
        <w:rPr>
          <w:szCs w:val="24"/>
        </w:rPr>
        <w:t xml:space="preserve"> </w:t>
      </w:r>
      <w:r w:rsidRPr="00D337FA">
        <w:rPr>
          <w:szCs w:val="24"/>
        </w:rPr>
        <w:t>унифицированного</w:t>
      </w:r>
      <w:r w:rsidR="006C680D" w:rsidRPr="00D337FA">
        <w:rPr>
          <w:szCs w:val="24"/>
        </w:rPr>
        <w:t xml:space="preserve"> </w:t>
      </w:r>
      <w:r w:rsidRPr="00D337FA">
        <w:rPr>
          <w:szCs w:val="24"/>
        </w:rPr>
        <w:t>подхода</w:t>
      </w:r>
      <w:r w:rsidR="006C680D" w:rsidRPr="00D337FA">
        <w:rPr>
          <w:szCs w:val="24"/>
        </w:rPr>
        <w:t xml:space="preserve"> </w:t>
      </w:r>
      <w:r w:rsidRPr="00D337FA">
        <w:rPr>
          <w:szCs w:val="24"/>
        </w:rPr>
        <w:t>к</w:t>
      </w:r>
      <w:r w:rsidR="006C680D" w:rsidRPr="00D337FA">
        <w:rPr>
          <w:szCs w:val="24"/>
        </w:rPr>
        <w:t xml:space="preserve"> </w:t>
      </w:r>
      <w:r w:rsidRPr="00D337FA">
        <w:rPr>
          <w:szCs w:val="24"/>
        </w:rPr>
        <w:t>омниканальным</w:t>
      </w:r>
      <w:r w:rsidR="006C680D" w:rsidRPr="00D337FA">
        <w:rPr>
          <w:szCs w:val="24"/>
        </w:rPr>
        <w:t xml:space="preserve"> </w:t>
      </w:r>
      <w:r w:rsidRPr="00D337FA">
        <w:rPr>
          <w:szCs w:val="24"/>
        </w:rPr>
        <w:t>и</w:t>
      </w:r>
      <w:r w:rsidR="006C680D" w:rsidRPr="00D337FA">
        <w:rPr>
          <w:szCs w:val="24"/>
        </w:rPr>
        <w:t xml:space="preserve"> </w:t>
      </w:r>
      <w:r w:rsidRPr="00D337FA">
        <w:rPr>
          <w:szCs w:val="24"/>
        </w:rPr>
        <w:t>платформенным</w:t>
      </w:r>
      <w:r w:rsidR="006C680D" w:rsidRPr="00D337FA">
        <w:rPr>
          <w:szCs w:val="24"/>
        </w:rPr>
        <w:t xml:space="preserve"> </w:t>
      </w:r>
      <w:r w:rsidRPr="00D337FA">
        <w:rPr>
          <w:szCs w:val="24"/>
        </w:rPr>
        <w:t>моделям</w:t>
      </w:r>
      <w:r w:rsidR="006C680D" w:rsidRPr="00D337FA">
        <w:rPr>
          <w:szCs w:val="24"/>
        </w:rPr>
        <w:t xml:space="preserve"> </w:t>
      </w:r>
      <w:r w:rsidRPr="00D337FA">
        <w:rPr>
          <w:szCs w:val="24"/>
        </w:rPr>
        <w:t>(СберБизнес,</w:t>
      </w:r>
      <w:r w:rsidR="006C680D" w:rsidRPr="00D337FA">
        <w:rPr>
          <w:szCs w:val="24"/>
        </w:rPr>
        <w:t xml:space="preserve"> </w:t>
      </w:r>
      <w:r w:rsidRPr="00D337FA">
        <w:rPr>
          <w:szCs w:val="24"/>
        </w:rPr>
        <w:t>персональный</w:t>
      </w:r>
      <w:r w:rsidR="006C680D" w:rsidRPr="00D337FA">
        <w:rPr>
          <w:szCs w:val="24"/>
        </w:rPr>
        <w:t xml:space="preserve"> </w:t>
      </w:r>
      <w:r w:rsidRPr="00D337FA">
        <w:rPr>
          <w:szCs w:val="24"/>
        </w:rPr>
        <w:t>менеджмент</w:t>
      </w:r>
      <w:r w:rsidR="006C680D" w:rsidRPr="00D337FA">
        <w:rPr>
          <w:szCs w:val="24"/>
        </w:rPr>
        <w:t xml:space="preserve"> </w:t>
      </w:r>
      <w:r w:rsidRPr="00D337FA">
        <w:rPr>
          <w:szCs w:val="24"/>
        </w:rPr>
        <w:t>в</w:t>
      </w:r>
      <w:r w:rsidR="006C680D" w:rsidRPr="00D337FA">
        <w:rPr>
          <w:szCs w:val="24"/>
        </w:rPr>
        <w:t xml:space="preserve"> </w:t>
      </w:r>
      <w:r w:rsidRPr="00D337FA">
        <w:rPr>
          <w:szCs w:val="24"/>
        </w:rPr>
        <w:t>ВТБ).</w:t>
      </w:r>
    </w:p>
    <w:p w:rsidR="00E70CAD" w:rsidRPr="00D337FA" w:rsidRDefault="00E70CAD" w:rsidP="005A0605">
      <w:pPr>
        <w:numPr>
          <w:ilvl w:val="0"/>
          <w:numId w:val="11"/>
        </w:numPr>
        <w:tabs>
          <w:tab w:val="clear" w:pos="720"/>
          <w:tab w:val="left" w:pos="567"/>
        </w:tabs>
        <w:ind w:left="0" w:firstLine="284"/>
        <w:rPr>
          <w:szCs w:val="24"/>
        </w:rPr>
      </w:pPr>
      <w:r w:rsidRPr="00D337FA">
        <w:rPr>
          <w:bCs/>
          <w:szCs w:val="24"/>
        </w:rPr>
        <w:t>Тотальная</w:t>
      </w:r>
      <w:r w:rsidR="006C680D" w:rsidRPr="00D337FA">
        <w:rPr>
          <w:bCs/>
          <w:szCs w:val="24"/>
        </w:rPr>
        <w:t xml:space="preserve"> </w:t>
      </w:r>
      <w:r w:rsidRPr="00D337FA">
        <w:rPr>
          <w:bCs/>
          <w:szCs w:val="24"/>
        </w:rPr>
        <w:t>цифровизация</w:t>
      </w:r>
      <w:r w:rsidR="006C680D" w:rsidRPr="00D337FA">
        <w:rPr>
          <w:bCs/>
          <w:szCs w:val="24"/>
        </w:rPr>
        <w:t xml:space="preserve"> </w:t>
      </w:r>
      <w:r w:rsidRPr="00D337FA">
        <w:rPr>
          <w:bCs/>
          <w:szCs w:val="24"/>
        </w:rPr>
        <w:t>базовых</w:t>
      </w:r>
      <w:r w:rsidR="006C680D" w:rsidRPr="00D337FA">
        <w:rPr>
          <w:bCs/>
          <w:szCs w:val="24"/>
        </w:rPr>
        <w:t xml:space="preserve"> </w:t>
      </w:r>
      <w:r w:rsidRPr="00D337FA">
        <w:rPr>
          <w:bCs/>
          <w:szCs w:val="24"/>
        </w:rPr>
        <w:t>операций,</w:t>
      </w:r>
      <w:r w:rsidR="006C680D" w:rsidRPr="00D337FA">
        <w:rPr>
          <w:bCs/>
          <w:szCs w:val="24"/>
        </w:rPr>
        <w:t xml:space="preserve"> </w:t>
      </w:r>
      <w:r w:rsidRPr="00D337FA">
        <w:rPr>
          <w:bCs/>
          <w:szCs w:val="24"/>
        </w:rPr>
        <w:t>отражающая</w:t>
      </w:r>
      <w:r w:rsidR="006C680D" w:rsidRPr="00D337FA">
        <w:rPr>
          <w:szCs w:val="24"/>
        </w:rPr>
        <w:t xml:space="preserve"> </w:t>
      </w:r>
      <w:r w:rsidRPr="00D337FA">
        <w:rPr>
          <w:szCs w:val="24"/>
        </w:rPr>
        <w:t>массовое</w:t>
      </w:r>
      <w:r w:rsidR="006C680D" w:rsidRPr="00D337FA">
        <w:rPr>
          <w:szCs w:val="24"/>
        </w:rPr>
        <w:t xml:space="preserve"> </w:t>
      </w:r>
      <w:r w:rsidRPr="00D337FA">
        <w:rPr>
          <w:szCs w:val="24"/>
        </w:rPr>
        <w:t>внедрение</w:t>
      </w:r>
      <w:r w:rsidR="006C680D" w:rsidRPr="00D337FA">
        <w:rPr>
          <w:szCs w:val="24"/>
        </w:rPr>
        <w:t xml:space="preserve"> </w:t>
      </w:r>
      <w:r w:rsidRPr="00D337FA">
        <w:rPr>
          <w:szCs w:val="24"/>
        </w:rPr>
        <w:t>онлайн-открытия</w:t>
      </w:r>
      <w:r w:rsidR="006C680D" w:rsidRPr="00D337FA">
        <w:rPr>
          <w:szCs w:val="24"/>
        </w:rPr>
        <w:t xml:space="preserve"> </w:t>
      </w:r>
      <w:r w:rsidRPr="00D337FA">
        <w:rPr>
          <w:szCs w:val="24"/>
        </w:rPr>
        <w:t>счетов,</w:t>
      </w:r>
      <w:r w:rsidR="006C680D" w:rsidRPr="00D337FA">
        <w:rPr>
          <w:szCs w:val="24"/>
        </w:rPr>
        <w:t xml:space="preserve"> </w:t>
      </w:r>
      <w:r w:rsidRPr="00D337FA">
        <w:rPr>
          <w:szCs w:val="24"/>
        </w:rPr>
        <w:t>интернет-банкинга,</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бухгалтерии</w:t>
      </w:r>
      <w:r w:rsidR="006C680D" w:rsidRPr="00D337FA">
        <w:rPr>
          <w:szCs w:val="24"/>
        </w:rPr>
        <w:t xml:space="preserve"> </w:t>
      </w:r>
      <w:r w:rsidRPr="00D337FA">
        <w:rPr>
          <w:szCs w:val="24"/>
        </w:rPr>
        <w:t>и</w:t>
      </w:r>
      <w:r w:rsidR="006C680D" w:rsidRPr="00D337FA">
        <w:rPr>
          <w:szCs w:val="24"/>
        </w:rPr>
        <w:t xml:space="preserve"> </w:t>
      </w:r>
      <w:r w:rsidRPr="00D337FA">
        <w:rPr>
          <w:szCs w:val="24"/>
        </w:rPr>
        <w:t>зар</w:t>
      </w:r>
      <w:r w:rsidRPr="00D337FA">
        <w:rPr>
          <w:szCs w:val="24"/>
        </w:rPr>
        <w:lastRenderedPageBreak/>
        <w:t>платных</w:t>
      </w:r>
      <w:r w:rsidR="006C680D" w:rsidRPr="00D337FA">
        <w:rPr>
          <w:szCs w:val="24"/>
        </w:rPr>
        <w:t xml:space="preserve"> </w:t>
      </w:r>
      <w:r w:rsidRPr="00D337FA">
        <w:rPr>
          <w:szCs w:val="24"/>
        </w:rPr>
        <w:t>проектов,</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автоматизация</w:t>
      </w:r>
      <w:r w:rsidR="006C680D" w:rsidRPr="00D337FA">
        <w:rPr>
          <w:szCs w:val="24"/>
        </w:rPr>
        <w:t xml:space="preserve"> </w:t>
      </w:r>
      <w:r w:rsidRPr="00D337FA">
        <w:rPr>
          <w:szCs w:val="24"/>
        </w:rPr>
        <w:t>носит</w:t>
      </w:r>
      <w:r w:rsidR="006C680D" w:rsidRPr="00D337FA">
        <w:rPr>
          <w:szCs w:val="24"/>
        </w:rPr>
        <w:t xml:space="preserve"> </w:t>
      </w:r>
      <w:r w:rsidRPr="00D337FA">
        <w:rPr>
          <w:szCs w:val="24"/>
        </w:rPr>
        <w:t>преимущественно</w:t>
      </w:r>
      <w:r w:rsidR="006C680D" w:rsidRPr="00D337FA">
        <w:rPr>
          <w:szCs w:val="24"/>
        </w:rPr>
        <w:t xml:space="preserve"> </w:t>
      </w:r>
      <w:r w:rsidRPr="00D337FA">
        <w:rPr>
          <w:szCs w:val="24"/>
        </w:rPr>
        <w:t>процессный</w:t>
      </w:r>
      <w:r w:rsidR="006C680D" w:rsidRPr="00D337FA">
        <w:rPr>
          <w:szCs w:val="24"/>
        </w:rPr>
        <w:t xml:space="preserve"> </w:t>
      </w:r>
      <w:r w:rsidRPr="00D337FA">
        <w:rPr>
          <w:szCs w:val="24"/>
        </w:rPr>
        <w:t>характер.</w:t>
      </w:r>
    </w:p>
    <w:p w:rsidR="00E70CAD" w:rsidRPr="00D337FA" w:rsidRDefault="00E70CAD" w:rsidP="005A0605">
      <w:pPr>
        <w:numPr>
          <w:ilvl w:val="0"/>
          <w:numId w:val="11"/>
        </w:numPr>
        <w:tabs>
          <w:tab w:val="clear" w:pos="720"/>
          <w:tab w:val="left" w:pos="567"/>
        </w:tabs>
        <w:ind w:left="0" w:firstLine="284"/>
        <w:rPr>
          <w:szCs w:val="24"/>
        </w:rPr>
      </w:pPr>
      <w:r w:rsidRPr="00D337FA">
        <w:rPr>
          <w:bCs/>
          <w:szCs w:val="24"/>
        </w:rPr>
        <w:t>Отраслевая</w:t>
      </w:r>
      <w:r w:rsidR="006C680D" w:rsidRPr="00D337FA">
        <w:rPr>
          <w:bCs/>
          <w:szCs w:val="24"/>
        </w:rPr>
        <w:t xml:space="preserve"> </w:t>
      </w:r>
      <w:r w:rsidRPr="00D337FA">
        <w:rPr>
          <w:bCs/>
          <w:szCs w:val="24"/>
        </w:rPr>
        <w:t>специализация,</w:t>
      </w:r>
      <w:r w:rsidR="006C680D" w:rsidRPr="00D337FA">
        <w:rPr>
          <w:bCs/>
          <w:szCs w:val="24"/>
        </w:rPr>
        <w:t xml:space="preserve"> </w:t>
      </w:r>
      <w:r w:rsidRPr="00D337FA">
        <w:rPr>
          <w:bCs/>
          <w:szCs w:val="24"/>
        </w:rPr>
        <w:t>характеризующаяся</w:t>
      </w:r>
      <w:r w:rsidR="006C680D" w:rsidRPr="00D337FA">
        <w:rPr>
          <w:szCs w:val="24"/>
        </w:rPr>
        <w:t xml:space="preserve"> </w:t>
      </w:r>
      <w:r w:rsidRPr="00D337FA">
        <w:rPr>
          <w:szCs w:val="24"/>
        </w:rPr>
        <w:t>формированием</w:t>
      </w:r>
      <w:r w:rsidR="006C680D" w:rsidRPr="00D337FA">
        <w:rPr>
          <w:szCs w:val="24"/>
        </w:rPr>
        <w:t xml:space="preserve"> </w:t>
      </w:r>
      <w:r w:rsidRPr="00D337FA">
        <w:rPr>
          <w:szCs w:val="24"/>
        </w:rPr>
        <w:t>пакетных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секторов</w:t>
      </w:r>
      <w:r w:rsidR="006C680D" w:rsidRPr="00D337FA">
        <w:rPr>
          <w:szCs w:val="24"/>
        </w:rPr>
        <w:t xml:space="preserve"> </w:t>
      </w:r>
      <w:r w:rsidRPr="00D337FA">
        <w:rPr>
          <w:szCs w:val="24"/>
        </w:rPr>
        <w:t>с</w:t>
      </w:r>
      <w:r w:rsidR="006C680D" w:rsidRPr="00D337FA">
        <w:rPr>
          <w:szCs w:val="24"/>
        </w:rPr>
        <w:t xml:space="preserve"> </w:t>
      </w:r>
      <w:r w:rsidRPr="00D337FA">
        <w:rPr>
          <w:szCs w:val="24"/>
        </w:rPr>
        <w:t>высокой</w:t>
      </w:r>
      <w:r w:rsidR="006C680D" w:rsidRPr="00D337FA">
        <w:rPr>
          <w:szCs w:val="24"/>
        </w:rPr>
        <w:t xml:space="preserve"> </w:t>
      </w:r>
      <w:r w:rsidRPr="00D337FA">
        <w:rPr>
          <w:szCs w:val="24"/>
        </w:rPr>
        <w:t>оборачиваемостью</w:t>
      </w:r>
      <w:r w:rsidR="006C680D" w:rsidRPr="00D337FA">
        <w:rPr>
          <w:szCs w:val="24"/>
        </w:rPr>
        <w:t xml:space="preserve"> </w:t>
      </w:r>
      <w:r w:rsidRPr="00D337FA">
        <w:rPr>
          <w:szCs w:val="24"/>
        </w:rPr>
        <w:t>капитала</w:t>
      </w:r>
      <w:r w:rsidR="006C680D" w:rsidRPr="00D337FA">
        <w:rPr>
          <w:szCs w:val="24"/>
        </w:rPr>
        <w:t xml:space="preserve"> </w:t>
      </w:r>
      <w:r w:rsidRPr="00D337FA">
        <w:rPr>
          <w:szCs w:val="24"/>
        </w:rPr>
        <w:t>(общественное</w:t>
      </w:r>
      <w:r w:rsidR="006C680D" w:rsidRPr="00D337FA">
        <w:rPr>
          <w:szCs w:val="24"/>
        </w:rPr>
        <w:t xml:space="preserve"> </w:t>
      </w:r>
      <w:r w:rsidRPr="00D337FA">
        <w:rPr>
          <w:szCs w:val="24"/>
        </w:rPr>
        <w:t>питание,</w:t>
      </w:r>
      <w:r w:rsidR="006C680D" w:rsidRPr="00D337FA">
        <w:rPr>
          <w:szCs w:val="24"/>
        </w:rPr>
        <w:t xml:space="preserve"> </w:t>
      </w:r>
      <w:r w:rsidRPr="00D337FA">
        <w:rPr>
          <w:szCs w:val="24"/>
        </w:rPr>
        <w:t>розничная</w:t>
      </w:r>
      <w:r w:rsidR="006C680D" w:rsidRPr="00D337FA">
        <w:rPr>
          <w:szCs w:val="24"/>
        </w:rPr>
        <w:t xml:space="preserve"> </w:t>
      </w:r>
      <w:r w:rsidRPr="00D337FA">
        <w:rPr>
          <w:szCs w:val="24"/>
        </w:rPr>
        <w:t>торговля,</w:t>
      </w:r>
      <w:r w:rsidR="006C680D" w:rsidRPr="00D337FA">
        <w:rPr>
          <w:szCs w:val="24"/>
        </w:rPr>
        <w:t xml:space="preserve"> </w:t>
      </w:r>
      <w:r w:rsidRPr="00D337FA">
        <w:rPr>
          <w:szCs w:val="24"/>
        </w:rPr>
        <w:t>онлайн-продажи).</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была</w:t>
      </w:r>
      <w:r w:rsidR="006C680D" w:rsidRPr="00D337FA">
        <w:rPr>
          <w:szCs w:val="24"/>
        </w:rPr>
        <w:t xml:space="preserve"> </w:t>
      </w:r>
      <w:r w:rsidRPr="00D337FA">
        <w:rPr>
          <w:szCs w:val="24"/>
        </w:rPr>
        <w:t>выявлена</w:t>
      </w:r>
      <w:r w:rsidR="006C680D" w:rsidRPr="00D337FA">
        <w:rPr>
          <w:szCs w:val="24"/>
        </w:rPr>
        <w:t xml:space="preserve"> </w:t>
      </w:r>
      <w:r w:rsidRPr="00D337FA">
        <w:rPr>
          <w:szCs w:val="24"/>
        </w:rPr>
        <w:t>концентрация</w:t>
      </w:r>
      <w:r w:rsidR="006C680D" w:rsidRPr="00D337FA">
        <w:rPr>
          <w:szCs w:val="24"/>
        </w:rPr>
        <w:t xml:space="preserve"> </w:t>
      </w:r>
      <w:r w:rsidRPr="00D337FA">
        <w:rPr>
          <w:szCs w:val="24"/>
        </w:rPr>
        <w:t>сложных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у</w:t>
      </w:r>
      <w:r w:rsidR="006C680D" w:rsidRPr="00D337FA">
        <w:rPr>
          <w:szCs w:val="24"/>
        </w:rPr>
        <w:t xml:space="preserve"> </w:t>
      </w:r>
      <w:r w:rsidRPr="00D337FA">
        <w:rPr>
          <w:szCs w:val="24"/>
        </w:rPr>
        <w:t>3-4</w:t>
      </w:r>
      <w:r w:rsidR="006C680D" w:rsidRPr="00D337FA">
        <w:rPr>
          <w:szCs w:val="24"/>
        </w:rPr>
        <w:t xml:space="preserve"> </w:t>
      </w:r>
      <w:r w:rsidRPr="00D337FA">
        <w:rPr>
          <w:szCs w:val="24"/>
        </w:rPr>
        <w:t>банков-лидеров</w:t>
      </w:r>
      <w:r w:rsidR="006C680D" w:rsidRPr="00D337FA">
        <w:rPr>
          <w:szCs w:val="24"/>
        </w:rPr>
        <w:t xml:space="preserve"> </w:t>
      </w:r>
      <w:r w:rsidRPr="00D337FA">
        <w:rPr>
          <w:szCs w:val="24"/>
        </w:rPr>
        <w:t>и</w:t>
      </w:r>
      <w:r w:rsidR="006C680D" w:rsidRPr="00D337FA">
        <w:rPr>
          <w:szCs w:val="24"/>
        </w:rPr>
        <w:t xml:space="preserve"> </w:t>
      </w:r>
      <w:r w:rsidRPr="00D337FA">
        <w:rPr>
          <w:szCs w:val="24"/>
        </w:rPr>
        <w:t>слабый</w:t>
      </w:r>
      <w:r w:rsidR="006C680D" w:rsidRPr="00D337FA">
        <w:rPr>
          <w:szCs w:val="24"/>
        </w:rPr>
        <w:t xml:space="preserve"> </w:t>
      </w:r>
      <w:r w:rsidRPr="00D337FA">
        <w:rPr>
          <w:szCs w:val="24"/>
        </w:rPr>
        <w:t>охват</w:t>
      </w:r>
      <w:r w:rsidR="006C680D" w:rsidRPr="00D337FA">
        <w:rPr>
          <w:szCs w:val="24"/>
        </w:rPr>
        <w:t xml:space="preserve"> </w:t>
      </w:r>
      <w:r w:rsidRPr="00D337FA">
        <w:rPr>
          <w:szCs w:val="24"/>
        </w:rPr>
        <w:t>производственного</w:t>
      </w:r>
      <w:r w:rsidR="006C680D" w:rsidRPr="00D337FA">
        <w:rPr>
          <w:szCs w:val="24"/>
        </w:rPr>
        <w:t xml:space="preserve"> </w:t>
      </w:r>
      <w:r w:rsidRPr="00D337FA">
        <w:rPr>
          <w:szCs w:val="24"/>
        </w:rPr>
        <w:t>и</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секторов.</w:t>
      </w:r>
    </w:p>
    <w:p w:rsidR="00E70CAD" w:rsidRPr="00D337FA" w:rsidRDefault="00E70CAD" w:rsidP="005A0605">
      <w:pPr>
        <w:numPr>
          <w:ilvl w:val="0"/>
          <w:numId w:val="11"/>
        </w:numPr>
        <w:tabs>
          <w:tab w:val="clear" w:pos="720"/>
          <w:tab w:val="left" w:pos="567"/>
        </w:tabs>
        <w:ind w:left="0" w:firstLine="284"/>
        <w:rPr>
          <w:szCs w:val="24"/>
        </w:rPr>
      </w:pPr>
      <w:r w:rsidRPr="00D337FA">
        <w:rPr>
          <w:bCs/>
          <w:szCs w:val="24"/>
        </w:rPr>
        <w:t>Диверсификация</w:t>
      </w:r>
      <w:r w:rsidR="006C680D" w:rsidRPr="00D337FA">
        <w:rPr>
          <w:bCs/>
          <w:szCs w:val="24"/>
        </w:rPr>
        <w:t xml:space="preserve"> </w:t>
      </w:r>
      <w:r w:rsidRPr="00D337FA">
        <w:rPr>
          <w:bCs/>
          <w:szCs w:val="24"/>
        </w:rPr>
        <w:t>финансирования,</w:t>
      </w:r>
      <w:r w:rsidR="006C680D" w:rsidRPr="00D337FA">
        <w:rPr>
          <w:bCs/>
          <w:szCs w:val="24"/>
        </w:rPr>
        <w:t xml:space="preserve"> </w:t>
      </w:r>
      <w:r w:rsidRPr="00D337FA">
        <w:rPr>
          <w:bCs/>
          <w:szCs w:val="24"/>
        </w:rPr>
        <w:t>включающая</w:t>
      </w:r>
      <w:r w:rsidR="006C680D" w:rsidRPr="00D337FA">
        <w:rPr>
          <w:szCs w:val="24"/>
        </w:rPr>
        <w:t xml:space="preserve"> </w:t>
      </w:r>
      <w:r w:rsidRPr="00D337FA">
        <w:rPr>
          <w:szCs w:val="24"/>
        </w:rPr>
        <w:t>расширение</w:t>
      </w:r>
      <w:r w:rsidR="006C680D" w:rsidRPr="00D337FA">
        <w:rPr>
          <w:szCs w:val="24"/>
        </w:rPr>
        <w:t xml:space="preserve"> </w:t>
      </w:r>
      <w:r w:rsidRPr="00D337FA">
        <w:rPr>
          <w:szCs w:val="24"/>
        </w:rPr>
        <w:t>линейки</w:t>
      </w:r>
      <w:r w:rsidR="006C680D" w:rsidRPr="00D337FA">
        <w:rPr>
          <w:szCs w:val="24"/>
        </w:rPr>
        <w:t xml:space="preserve"> </w:t>
      </w:r>
      <w:r w:rsidRPr="00D337FA">
        <w:rPr>
          <w:szCs w:val="24"/>
        </w:rPr>
        <w:t>кредитных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при</w:t>
      </w:r>
      <w:r w:rsidR="006C680D" w:rsidRPr="00D337FA">
        <w:rPr>
          <w:szCs w:val="24"/>
        </w:rPr>
        <w:t xml:space="preserve"> </w:t>
      </w:r>
      <w:r w:rsidRPr="00D337FA">
        <w:rPr>
          <w:szCs w:val="24"/>
        </w:rPr>
        <w:t>параллельном</w:t>
      </w:r>
      <w:r w:rsidR="006C680D" w:rsidRPr="00D337FA">
        <w:rPr>
          <w:szCs w:val="24"/>
        </w:rPr>
        <w:t xml:space="preserve"> </w:t>
      </w:r>
      <w:r w:rsidRPr="00D337FA">
        <w:rPr>
          <w:szCs w:val="24"/>
        </w:rPr>
        <w:t>развитии</w:t>
      </w:r>
      <w:r w:rsidR="006C680D" w:rsidRPr="00D337FA">
        <w:rPr>
          <w:szCs w:val="24"/>
        </w:rPr>
        <w:t xml:space="preserve"> </w:t>
      </w:r>
      <w:r w:rsidRPr="00D337FA">
        <w:rPr>
          <w:szCs w:val="24"/>
        </w:rPr>
        <w:t>альтернативных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(лизинг,</w:t>
      </w:r>
      <w:r w:rsidR="006C680D" w:rsidRPr="00D337FA">
        <w:rPr>
          <w:szCs w:val="24"/>
        </w:rPr>
        <w:t xml:space="preserve"> </w:t>
      </w:r>
      <w:r w:rsidRPr="00D337FA">
        <w:rPr>
          <w:szCs w:val="24"/>
        </w:rPr>
        <w:t>факторинг)</w:t>
      </w:r>
      <w:r w:rsidR="006C680D" w:rsidRPr="00D337FA">
        <w:rPr>
          <w:szCs w:val="24"/>
        </w:rPr>
        <w:t xml:space="preserve"> </w:t>
      </w:r>
      <w:r w:rsidRPr="00D337FA">
        <w:rPr>
          <w:szCs w:val="24"/>
        </w:rPr>
        <w:t>и</w:t>
      </w:r>
      <w:r w:rsidR="006C680D" w:rsidRPr="00D337FA">
        <w:rPr>
          <w:szCs w:val="24"/>
        </w:rPr>
        <w:t xml:space="preserve"> </w:t>
      </w:r>
      <w:r w:rsidRPr="00D337FA">
        <w:rPr>
          <w:szCs w:val="24"/>
        </w:rPr>
        <w:t>активном</w:t>
      </w:r>
      <w:r w:rsidR="006C680D" w:rsidRPr="00D337FA">
        <w:rPr>
          <w:szCs w:val="24"/>
        </w:rPr>
        <w:t xml:space="preserve"> </w:t>
      </w:r>
      <w:r w:rsidRPr="00D337FA">
        <w:rPr>
          <w:szCs w:val="24"/>
        </w:rPr>
        <w:t>использовании</w:t>
      </w:r>
      <w:r w:rsidR="006C680D" w:rsidRPr="00D337FA">
        <w:rPr>
          <w:szCs w:val="24"/>
        </w:rPr>
        <w:t xml:space="preserve"> </w:t>
      </w:r>
      <w:r w:rsidRPr="00D337FA">
        <w:rPr>
          <w:szCs w:val="24"/>
        </w:rPr>
        <w:t>государственных</w:t>
      </w:r>
      <w:r w:rsidR="006C680D" w:rsidRPr="00D337FA">
        <w:rPr>
          <w:szCs w:val="24"/>
        </w:rPr>
        <w:t xml:space="preserve"> </w:t>
      </w:r>
      <w:r w:rsidRPr="00D337FA">
        <w:rPr>
          <w:szCs w:val="24"/>
        </w:rPr>
        <w:t>льготных</w:t>
      </w:r>
      <w:r w:rsidR="006C680D" w:rsidRPr="00D337FA">
        <w:rPr>
          <w:szCs w:val="24"/>
        </w:rPr>
        <w:t xml:space="preserve"> </w:t>
      </w:r>
      <w:r w:rsidRPr="00D337FA">
        <w:rPr>
          <w:szCs w:val="24"/>
        </w:rPr>
        <w:t>программ.</w:t>
      </w:r>
    </w:p>
    <w:p w:rsidR="00E70CAD" w:rsidRPr="00D337FA" w:rsidRDefault="00E70CAD" w:rsidP="005A0605">
      <w:pPr>
        <w:numPr>
          <w:ilvl w:val="0"/>
          <w:numId w:val="11"/>
        </w:numPr>
        <w:tabs>
          <w:tab w:val="clear" w:pos="720"/>
          <w:tab w:val="left" w:pos="567"/>
        </w:tabs>
        <w:ind w:left="0" w:firstLine="284"/>
        <w:rPr>
          <w:szCs w:val="24"/>
        </w:rPr>
      </w:pPr>
      <w:r w:rsidRPr="00D337FA">
        <w:rPr>
          <w:bCs/>
          <w:szCs w:val="24"/>
        </w:rPr>
        <w:t>Стратегические</w:t>
      </w:r>
      <w:r w:rsidR="006C680D" w:rsidRPr="00D337FA">
        <w:rPr>
          <w:bCs/>
          <w:szCs w:val="24"/>
        </w:rPr>
        <w:t xml:space="preserve"> </w:t>
      </w:r>
      <w:r w:rsidRPr="00D337FA">
        <w:rPr>
          <w:bCs/>
          <w:szCs w:val="24"/>
        </w:rPr>
        <w:t>лакуны,</w:t>
      </w:r>
      <w:r w:rsidR="006C680D" w:rsidRPr="00D337FA">
        <w:rPr>
          <w:bCs/>
          <w:szCs w:val="24"/>
        </w:rPr>
        <w:t xml:space="preserve"> </w:t>
      </w:r>
      <w:r w:rsidRPr="00D337FA">
        <w:rPr>
          <w:bCs/>
          <w:szCs w:val="24"/>
        </w:rPr>
        <w:t>заключающиеся</w:t>
      </w:r>
      <w:r w:rsidR="006C680D" w:rsidRPr="00D337FA">
        <w:rPr>
          <w:bCs/>
          <w:szCs w:val="24"/>
        </w:rPr>
        <w:t xml:space="preserve"> </w:t>
      </w:r>
      <w:r w:rsidRPr="00D337FA">
        <w:rPr>
          <w:bCs/>
          <w:szCs w:val="24"/>
        </w:rPr>
        <w:t>в</w:t>
      </w:r>
      <w:r w:rsidR="006C680D" w:rsidRPr="00D337FA">
        <w:rPr>
          <w:szCs w:val="24"/>
        </w:rPr>
        <w:t xml:space="preserve"> </w:t>
      </w:r>
      <w:r w:rsidRPr="00D337FA">
        <w:rPr>
          <w:szCs w:val="24"/>
        </w:rPr>
        <w:t>сохранение</w:t>
      </w:r>
      <w:r w:rsidR="006C680D" w:rsidRPr="00D337FA">
        <w:rPr>
          <w:szCs w:val="24"/>
        </w:rPr>
        <w:t xml:space="preserve"> </w:t>
      </w:r>
      <w:r w:rsidRPr="00D337FA">
        <w:rPr>
          <w:szCs w:val="24"/>
        </w:rPr>
        <w:t>ограниченного</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критичных</w:t>
      </w:r>
      <w:r w:rsidR="006C680D" w:rsidRPr="00D337FA">
        <w:rPr>
          <w:szCs w:val="24"/>
        </w:rPr>
        <w:t xml:space="preserve"> </w:t>
      </w:r>
      <w:r w:rsidRPr="00D337FA">
        <w:rPr>
          <w:szCs w:val="24"/>
        </w:rPr>
        <w:t>для</w:t>
      </w:r>
      <w:r w:rsidR="006C680D" w:rsidRPr="00D337FA">
        <w:rPr>
          <w:szCs w:val="24"/>
        </w:rPr>
        <w:t xml:space="preserve"> </w:t>
      </w:r>
      <w:r w:rsidRPr="00D337FA">
        <w:rPr>
          <w:szCs w:val="24"/>
        </w:rPr>
        <w:t>роста</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(международные</w:t>
      </w:r>
      <w:r w:rsidR="006C680D" w:rsidRPr="00D337FA">
        <w:rPr>
          <w:szCs w:val="24"/>
        </w:rPr>
        <w:t xml:space="preserve"> </w:t>
      </w:r>
      <w:r w:rsidRPr="00D337FA">
        <w:rPr>
          <w:szCs w:val="24"/>
        </w:rPr>
        <w:t>расчеты</w:t>
      </w:r>
      <w:r w:rsidR="006C680D" w:rsidRPr="00D337FA">
        <w:rPr>
          <w:szCs w:val="24"/>
        </w:rPr>
        <w:t xml:space="preserve"> </w:t>
      </w:r>
      <w:r w:rsidRPr="00D337FA">
        <w:rPr>
          <w:szCs w:val="24"/>
        </w:rPr>
        <w:t>(доступны</w:t>
      </w:r>
      <w:r w:rsidR="006C680D" w:rsidRPr="00D337FA">
        <w:rPr>
          <w:szCs w:val="24"/>
        </w:rPr>
        <w:t xml:space="preserve"> </w:t>
      </w:r>
      <w:r w:rsidRPr="00D337FA">
        <w:rPr>
          <w:szCs w:val="24"/>
        </w:rPr>
        <w:t>в</w:t>
      </w:r>
      <w:r w:rsidR="006C680D" w:rsidRPr="00D337FA">
        <w:rPr>
          <w:szCs w:val="24"/>
        </w:rPr>
        <w:t xml:space="preserve"> </w:t>
      </w:r>
      <w:r w:rsidRPr="00D337FA">
        <w:rPr>
          <w:szCs w:val="24"/>
        </w:rPr>
        <w:t>3</w:t>
      </w:r>
      <w:r w:rsidR="006C680D" w:rsidRPr="00D337FA">
        <w:rPr>
          <w:szCs w:val="24"/>
        </w:rPr>
        <w:t xml:space="preserve"> </w:t>
      </w:r>
      <w:r w:rsidRPr="00D337FA">
        <w:rPr>
          <w:szCs w:val="24"/>
        </w:rPr>
        <w:t>из</w:t>
      </w:r>
      <w:r w:rsidR="006C680D" w:rsidRPr="00D337FA">
        <w:rPr>
          <w:szCs w:val="24"/>
        </w:rPr>
        <w:t xml:space="preserve"> </w:t>
      </w:r>
      <w:r w:rsidRPr="00D337FA">
        <w:rPr>
          <w:szCs w:val="24"/>
        </w:rPr>
        <w:t>12</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комплексное</w:t>
      </w:r>
      <w:r w:rsidR="006C680D" w:rsidRPr="00D337FA">
        <w:rPr>
          <w:szCs w:val="24"/>
        </w:rPr>
        <w:t xml:space="preserve"> </w:t>
      </w:r>
      <w:r w:rsidRPr="00D337FA">
        <w:rPr>
          <w:szCs w:val="24"/>
        </w:rPr>
        <w:t>страхование</w:t>
      </w:r>
      <w:r w:rsidR="006C680D" w:rsidRPr="00D337FA">
        <w:rPr>
          <w:szCs w:val="24"/>
        </w:rPr>
        <w:t xml:space="preserve"> </w:t>
      </w:r>
      <w:r w:rsidRPr="00D337FA">
        <w:rPr>
          <w:szCs w:val="24"/>
        </w:rPr>
        <w:t>бизнес-рисков,</w:t>
      </w:r>
      <w:r w:rsidR="006C680D" w:rsidRPr="00D337FA">
        <w:rPr>
          <w:szCs w:val="24"/>
        </w:rPr>
        <w:t xml:space="preserve"> </w:t>
      </w:r>
      <w:r w:rsidRPr="00D337FA">
        <w:rPr>
          <w:szCs w:val="24"/>
        </w:rPr>
        <w:t>глубокая</w:t>
      </w:r>
      <w:r w:rsidR="006C680D" w:rsidRPr="00D337FA">
        <w:rPr>
          <w:szCs w:val="24"/>
        </w:rPr>
        <w:t xml:space="preserve"> </w:t>
      </w:r>
      <w:r w:rsidRPr="00D337FA">
        <w:rPr>
          <w:szCs w:val="24"/>
        </w:rPr>
        <w:t>интеграция</w:t>
      </w:r>
      <w:r w:rsidR="006C680D" w:rsidRPr="00D337FA">
        <w:rPr>
          <w:szCs w:val="24"/>
        </w:rPr>
        <w:t xml:space="preserve"> </w:t>
      </w:r>
      <w:r w:rsidRPr="00D337FA">
        <w:rPr>
          <w:szCs w:val="24"/>
        </w:rPr>
        <w:t>с</w:t>
      </w:r>
      <w:r w:rsidR="006C680D" w:rsidRPr="00D337FA">
        <w:rPr>
          <w:szCs w:val="24"/>
        </w:rPr>
        <w:t xml:space="preserve"> </w:t>
      </w:r>
      <w:r w:rsidRPr="00D337FA">
        <w:rPr>
          <w:szCs w:val="24"/>
        </w:rPr>
        <w:t>e-commerce).</w:t>
      </w:r>
    </w:p>
    <w:p w:rsidR="00E70CAD" w:rsidRPr="00D337FA" w:rsidRDefault="00E70CAD" w:rsidP="005A0605">
      <w:pPr>
        <w:numPr>
          <w:ilvl w:val="0"/>
          <w:numId w:val="11"/>
        </w:numPr>
        <w:tabs>
          <w:tab w:val="clear" w:pos="720"/>
          <w:tab w:val="left" w:pos="567"/>
        </w:tabs>
        <w:ind w:left="0" w:firstLine="284"/>
        <w:rPr>
          <w:szCs w:val="24"/>
        </w:rPr>
      </w:pPr>
      <w:r w:rsidRPr="00D337FA">
        <w:rPr>
          <w:bCs/>
          <w:szCs w:val="24"/>
        </w:rPr>
        <w:t>Развитие</w:t>
      </w:r>
      <w:r w:rsidR="006C680D" w:rsidRPr="00D337FA">
        <w:rPr>
          <w:bCs/>
          <w:szCs w:val="24"/>
        </w:rPr>
        <w:t xml:space="preserve"> </w:t>
      </w:r>
      <w:r w:rsidRPr="00D337FA">
        <w:rPr>
          <w:bCs/>
          <w:szCs w:val="24"/>
        </w:rPr>
        <w:t>нефинансового</w:t>
      </w:r>
      <w:r w:rsidR="006C680D" w:rsidRPr="00D337FA">
        <w:rPr>
          <w:bCs/>
          <w:szCs w:val="24"/>
        </w:rPr>
        <w:t xml:space="preserve"> </w:t>
      </w:r>
      <w:r w:rsidRPr="00D337FA">
        <w:rPr>
          <w:bCs/>
          <w:szCs w:val="24"/>
        </w:rPr>
        <w:t>сопровождения,</w:t>
      </w:r>
      <w:r w:rsidR="006C680D" w:rsidRPr="00D337FA">
        <w:rPr>
          <w:bCs/>
          <w:szCs w:val="24"/>
        </w:rPr>
        <w:t xml:space="preserve"> </w:t>
      </w:r>
      <w:r w:rsidRPr="00D337FA">
        <w:rPr>
          <w:bCs/>
          <w:szCs w:val="24"/>
        </w:rPr>
        <w:t>включающее</w:t>
      </w:r>
      <w:r w:rsidR="006C680D" w:rsidRPr="00D337FA">
        <w:rPr>
          <w:szCs w:val="24"/>
        </w:rPr>
        <w:t xml:space="preserve"> </w:t>
      </w:r>
      <w:r w:rsidRPr="00D337FA">
        <w:rPr>
          <w:szCs w:val="24"/>
        </w:rPr>
        <w:t>начальный</w:t>
      </w:r>
      <w:r w:rsidR="006C680D" w:rsidRPr="00D337FA">
        <w:rPr>
          <w:szCs w:val="24"/>
        </w:rPr>
        <w:t xml:space="preserve"> </w:t>
      </w:r>
      <w:r w:rsidRPr="00D337FA">
        <w:rPr>
          <w:szCs w:val="24"/>
        </w:rPr>
        <w:t>этап</w:t>
      </w:r>
      <w:r w:rsidR="006C680D" w:rsidRPr="00D337FA">
        <w:rPr>
          <w:szCs w:val="24"/>
        </w:rPr>
        <w:t xml:space="preserve"> </w:t>
      </w:r>
      <w:r w:rsidRPr="00D337FA">
        <w:rPr>
          <w:szCs w:val="24"/>
        </w:rPr>
        <w:t>перехода</w:t>
      </w:r>
      <w:r w:rsidR="006C680D" w:rsidRPr="00D337FA">
        <w:rPr>
          <w:szCs w:val="24"/>
        </w:rPr>
        <w:t xml:space="preserve"> </w:t>
      </w:r>
      <w:r w:rsidRPr="00D337FA">
        <w:rPr>
          <w:szCs w:val="24"/>
        </w:rPr>
        <w:t>к</w:t>
      </w:r>
      <w:r w:rsidR="006C680D" w:rsidRPr="00D337FA">
        <w:rPr>
          <w:szCs w:val="24"/>
        </w:rPr>
        <w:t xml:space="preserve"> </w:t>
      </w:r>
      <w:r w:rsidRPr="00D337FA">
        <w:rPr>
          <w:szCs w:val="24"/>
        </w:rPr>
        <w:t>экосистемной</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проявляющийся</w:t>
      </w:r>
      <w:r w:rsidR="006C680D" w:rsidRPr="00D337FA">
        <w:rPr>
          <w:szCs w:val="24"/>
        </w:rPr>
        <w:t xml:space="preserve"> </w:t>
      </w:r>
      <w:r w:rsidRPr="00D337FA">
        <w:rPr>
          <w:szCs w:val="24"/>
        </w:rPr>
        <w:t>в</w:t>
      </w:r>
      <w:r w:rsidR="006C680D" w:rsidRPr="00D337FA">
        <w:rPr>
          <w:szCs w:val="24"/>
        </w:rPr>
        <w:t xml:space="preserve"> </w:t>
      </w:r>
      <w:r w:rsidRPr="00D337FA">
        <w:rPr>
          <w:szCs w:val="24"/>
        </w:rPr>
        <w:t>предложении</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по</w:t>
      </w:r>
      <w:r w:rsidR="006C680D" w:rsidRPr="00D337FA">
        <w:rPr>
          <w:szCs w:val="24"/>
        </w:rPr>
        <w:t xml:space="preserve"> </w:t>
      </w:r>
      <w:r w:rsidRPr="00D337FA">
        <w:rPr>
          <w:szCs w:val="24"/>
        </w:rPr>
        <w:t>регистрации</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онлайн-консультаций</w:t>
      </w:r>
      <w:r w:rsidR="006C680D" w:rsidRPr="00D337FA">
        <w:rPr>
          <w:szCs w:val="24"/>
        </w:rPr>
        <w:t xml:space="preserve"> </w:t>
      </w:r>
      <w:r w:rsidRPr="00D337FA">
        <w:rPr>
          <w:szCs w:val="24"/>
        </w:rPr>
        <w:t>и</w:t>
      </w:r>
      <w:r w:rsidR="006C680D" w:rsidRPr="00D337FA">
        <w:rPr>
          <w:szCs w:val="24"/>
        </w:rPr>
        <w:t xml:space="preserve"> </w:t>
      </w:r>
      <w:r w:rsidRPr="00D337FA">
        <w:rPr>
          <w:szCs w:val="24"/>
        </w:rPr>
        <w:t>кастомизации</w:t>
      </w:r>
      <w:r w:rsidR="006C680D" w:rsidRPr="00D337FA">
        <w:rPr>
          <w:szCs w:val="24"/>
        </w:rPr>
        <w:t xml:space="preserve"> </w:t>
      </w:r>
      <w:r w:rsidRPr="00D337FA">
        <w:rPr>
          <w:szCs w:val="24"/>
        </w:rPr>
        <w:t>тарифов.</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существенно</w:t>
      </w:r>
      <w:r w:rsidR="006C680D" w:rsidRPr="00D337FA">
        <w:rPr>
          <w:szCs w:val="24"/>
        </w:rPr>
        <w:t xml:space="preserve"> </w:t>
      </w:r>
      <w:r w:rsidRPr="00D337FA">
        <w:rPr>
          <w:szCs w:val="24"/>
        </w:rPr>
        <w:t>варьируется</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банками.</w:t>
      </w:r>
    </w:p>
    <w:p w:rsidR="00E70CAD" w:rsidRPr="00D337FA" w:rsidRDefault="00E70CAD" w:rsidP="00E70CAD">
      <w:pPr>
        <w:ind w:firstLine="284"/>
        <w:rPr>
          <w:szCs w:val="24"/>
        </w:rPr>
      </w:pPr>
      <w:r w:rsidRPr="00D337FA">
        <w:rPr>
          <w:szCs w:val="24"/>
        </w:rPr>
        <w:t>Эмпирический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позволил</w:t>
      </w:r>
      <w:r w:rsidR="006C680D" w:rsidRPr="00D337FA">
        <w:rPr>
          <w:szCs w:val="24"/>
        </w:rPr>
        <w:t xml:space="preserve"> </w:t>
      </w:r>
      <w:r w:rsidRPr="00D337FA">
        <w:rPr>
          <w:szCs w:val="24"/>
        </w:rPr>
        <w:t>выявить</w:t>
      </w:r>
      <w:r w:rsidR="006C680D" w:rsidRPr="00D337FA">
        <w:rPr>
          <w:szCs w:val="24"/>
        </w:rPr>
        <w:t xml:space="preserve"> </w:t>
      </w:r>
      <w:r w:rsidRPr="00D337FA">
        <w:rPr>
          <w:szCs w:val="24"/>
        </w:rPr>
        <w:t>структурные</w:t>
      </w:r>
      <w:r w:rsidR="006C680D" w:rsidRPr="00D337FA">
        <w:rPr>
          <w:szCs w:val="24"/>
        </w:rPr>
        <w:t xml:space="preserve"> </w:t>
      </w:r>
      <w:r w:rsidRPr="00D337FA">
        <w:rPr>
          <w:szCs w:val="24"/>
        </w:rPr>
        <w:t>противоречия</w:t>
      </w:r>
      <w:r w:rsidR="006C680D" w:rsidRPr="00D337FA">
        <w:rPr>
          <w:szCs w:val="24"/>
        </w:rPr>
        <w:t xml:space="preserve"> </w:t>
      </w:r>
      <w:r w:rsidRPr="00D337FA">
        <w:rPr>
          <w:szCs w:val="24"/>
        </w:rPr>
        <w:t>и</w:t>
      </w:r>
      <w:r w:rsidR="006C680D" w:rsidRPr="00D337FA">
        <w:rPr>
          <w:szCs w:val="24"/>
        </w:rPr>
        <w:t xml:space="preserve"> </w:t>
      </w:r>
      <w:r w:rsidRPr="00D337FA">
        <w:rPr>
          <w:szCs w:val="24"/>
        </w:rPr>
        <w:t>сдерживающие</w:t>
      </w:r>
      <w:r w:rsidR="006C680D" w:rsidRPr="00D337FA">
        <w:rPr>
          <w:szCs w:val="24"/>
        </w:rPr>
        <w:t xml:space="preserve"> </w:t>
      </w:r>
      <w:r w:rsidRPr="00D337FA">
        <w:rPr>
          <w:szCs w:val="24"/>
        </w:rPr>
        <w:t>факторы</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Наблюдается</w:t>
      </w:r>
      <w:r w:rsidR="006C680D" w:rsidRPr="00D337FA">
        <w:rPr>
          <w:szCs w:val="24"/>
        </w:rPr>
        <w:t xml:space="preserve"> </w:t>
      </w:r>
      <w:r w:rsidRPr="00D337FA">
        <w:rPr>
          <w:szCs w:val="24"/>
        </w:rPr>
        <w:t>н</w:t>
      </w:r>
      <w:r w:rsidRPr="00D337FA">
        <w:rPr>
          <w:bCs/>
          <w:szCs w:val="24"/>
        </w:rPr>
        <w:t>еравномерность</w:t>
      </w:r>
      <w:r w:rsidR="006C680D" w:rsidRPr="00D337FA">
        <w:rPr>
          <w:bCs/>
          <w:szCs w:val="24"/>
        </w:rPr>
        <w:t xml:space="preserve"> </w:t>
      </w:r>
      <w:r w:rsidRPr="00D337FA">
        <w:rPr>
          <w:bCs/>
          <w:szCs w:val="24"/>
        </w:rPr>
        <w:t>цифровой</w:t>
      </w:r>
      <w:r w:rsidR="006C680D" w:rsidRPr="00D337FA">
        <w:rPr>
          <w:bCs/>
          <w:szCs w:val="24"/>
        </w:rPr>
        <w:t xml:space="preserve"> </w:t>
      </w:r>
      <w:r w:rsidRPr="00D337FA">
        <w:rPr>
          <w:bCs/>
          <w:szCs w:val="24"/>
        </w:rPr>
        <w:t>трансформации:</w:t>
      </w:r>
      <w:r w:rsidR="006C680D" w:rsidRPr="00D337FA">
        <w:rPr>
          <w:szCs w:val="24"/>
        </w:rPr>
        <w:t xml:space="preserve"> </w:t>
      </w:r>
      <w:r w:rsidRPr="00D337FA">
        <w:rPr>
          <w:szCs w:val="24"/>
        </w:rPr>
        <w:t>индекс</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опыта</w:t>
      </w:r>
      <w:r w:rsidR="006C680D" w:rsidRPr="00D337FA">
        <w:rPr>
          <w:szCs w:val="24"/>
        </w:rPr>
        <w:t xml:space="preserve"> </w:t>
      </w:r>
      <w:r w:rsidRPr="00D337FA">
        <w:rPr>
          <w:szCs w:val="24"/>
        </w:rPr>
        <w:t>для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колеблется</w:t>
      </w:r>
      <w:r w:rsidR="006C680D" w:rsidRPr="00D337FA">
        <w:rPr>
          <w:szCs w:val="24"/>
        </w:rPr>
        <w:t xml:space="preserve"> </w:t>
      </w:r>
      <w:r w:rsidRPr="00D337FA">
        <w:rPr>
          <w:szCs w:val="24"/>
        </w:rPr>
        <w:t>от</w:t>
      </w:r>
      <w:r w:rsidR="006C680D" w:rsidRPr="00D337FA">
        <w:rPr>
          <w:szCs w:val="24"/>
        </w:rPr>
        <w:t xml:space="preserve"> </w:t>
      </w:r>
      <w:r w:rsidRPr="00D337FA">
        <w:rPr>
          <w:szCs w:val="24"/>
        </w:rPr>
        <w:t>76,8</w:t>
      </w:r>
      <w:r w:rsidR="006C680D" w:rsidRPr="00D337FA">
        <w:rPr>
          <w:szCs w:val="24"/>
        </w:rPr>
        <w:t xml:space="preserve"> </w:t>
      </w:r>
      <w:r w:rsidRPr="00D337FA">
        <w:rPr>
          <w:szCs w:val="24"/>
        </w:rPr>
        <w:t>у</w:t>
      </w:r>
      <w:r w:rsidR="006C680D" w:rsidRPr="00D337FA">
        <w:rPr>
          <w:szCs w:val="24"/>
        </w:rPr>
        <w:t xml:space="preserve"> </w:t>
      </w:r>
      <w:r w:rsidRPr="00D337FA">
        <w:rPr>
          <w:szCs w:val="24"/>
        </w:rPr>
        <w:t>лидера</w:t>
      </w:r>
      <w:r w:rsidR="006C680D" w:rsidRPr="00D337FA">
        <w:rPr>
          <w:szCs w:val="24"/>
        </w:rPr>
        <w:t xml:space="preserve"> </w:t>
      </w:r>
      <w:r w:rsidRPr="00D337FA">
        <w:rPr>
          <w:szCs w:val="24"/>
        </w:rPr>
        <w:t>до</w:t>
      </w:r>
      <w:r w:rsidR="006C680D" w:rsidRPr="00D337FA">
        <w:rPr>
          <w:szCs w:val="24"/>
        </w:rPr>
        <w:t xml:space="preserve"> </w:t>
      </w:r>
      <w:r w:rsidRPr="00D337FA">
        <w:rPr>
          <w:szCs w:val="24"/>
        </w:rPr>
        <w:t>47,6</w:t>
      </w:r>
      <w:r w:rsidR="006C680D" w:rsidRPr="00D337FA">
        <w:rPr>
          <w:szCs w:val="24"/>
        </w:rPr>
        <w:t xml:space="preserve"> </w:t>
      </w:r>
      <w:r w:rsidRPr="00D337FA">
        <w:rPr>
          <w:szCs w:val="24"/>
        </w:rPr>
        <w:t>у</w:t>
      </w:r>
      <w:r w:rsidR="006C680D" w:rsidRPr="00D337FA">
        <w:rPr>
          <w:szCs w:val="24"/>
        </w:rPr>
        <w:t xml:space="preserve"> </w:t>
      </w:r>
      <w:r w:rsidRPr="00D337FA">
        <w:rPr>
          <w:szCs w:val="24"/>
        </w:rPr>
        <w:t>аутсайдера,</w:t>
      </w:r>
      <w:r w:rsidR="006C680D" w:rsidRPr="00D337FA">
        <w:rPr>
          <w:szCs w:val="24"/>
        </w:rPr>
        <w:t xml:space="preserve"> </w:t>
      </w:r>
      <w:r w:rsidRPr="00D337FA">
        <w:rPr>
          <w:szCs w:val="24"/>
        </w:rPr>
        <w:t>что</w:t>
      </w:r>
      <w:r w:rsidR="006C680D" w:rsidRPr="00D337FA">
        <w:rPr>
          <w:szCs w:val="24"/>
        </w:rPr>
        <w:t xml:space="preserve"> </w:t>
      </w:r>
      <w:r w:rsidRPr="00D337FA">
        <w:rPr>
          <w:szCs w:val="24"/>
        </w:rPr>
        <w:t>создает</w:t>
      </w:r>
      <w:r w:rsidR="006C680D" w:rsidRPr="00D337FA">
        <w:rPr>
          <w:szCs w:val="24"/>
        </w:rPr>
        <w:t xml:space="preserve"> </w:t>
      </w:r>
      <w:r w:rsidRPr="00D337FA">
        <w:rPr>
          <w:szCs w:val="24"/>
        </w:rPr>
        <w:t>региональные</w:t>
      </w:r>
      <w:r w:rsidR="006C680D" w:rsidRPr="00D337FA">
        <w:rPr>
          <w:szCs w:val="24"/>
        </w:rPr>
        <w:t xml:space="preserve"> </w:t>
      </w:r>
      <w:r w:rsidRPr="00D337FA">
        <w:rPr>
          <w:szCs w:val="24"/>
        </w:rPr>
        <w:t>и</w:t>
      </w:r>
      <w:r w:rsidR="006C680D" w:rsidRPr="00D337FA">
        <w:rPr>
          <w:szCs w:val="24"/>
        </w:rPr>
        <w:t xml:space="preserve"> </w:t>
      </w:r>
      <w:r w:rsidRPr="00D337FA">
        <w:rPr>
          <w:szCs w:val="24"/>
        </w:rPr>
        <w:t>сегментные</w:t>
      </w:r>
      <w:r w:rsidR="006C680D" w:rsidRPr="00D337FA">
        <w:rPr>
          <w:szCs w:val="24"/>
        </w:rPr>
        <w:t xml:space="preserve"> </w:t>
      </w:r>
      <w:r w:rsidRPr="00D337FA">
        <w:rPr>
          <w:szCs w:val="24"/>
        </w:rPr>
        <w:t>диспропорции</w:t>
      </w:r>
      <w:r w:rsidR="006C680D" w:rsidRPr="00D337FA">
        <w:rPr>
          <w:szCs w:val="24"/>
        </w:rPr>
        <w:t xml:space="preserve"> </w:t>
      </w:r>
      <w:r w:rsidRPr="00D337FA">
        <w:rPr>
          <w:szCs w:val="24"/>
        </w:rPr>
        <w:t>в</w:t>
      </w:r>
      <w:r w:rsidR="006C680D" w:rsidRPr="00D337FA">
        <w:rPr>
          <w:szCs w:val="24"/>
        </w:rPr>
        <w:t xml:space="preserve"> </w:t>
      </w:r>
      <w:r w:rsidRPr="00D337FA">
        <w:rPr>
          <w:szCs w:val="24"/>
        </w:rPr>
        <w:t>доступности</w:t>
      </w:r>
      <w:r w:rsidR="006C680D" w:rsidRPr="00D337FA">
        <w:rPr>
          <w:szCs w:val="24"/>
        </w:rPr>
        <w:t xml:space="preserve"> </w:t>
      </w:r>
      <w:r w:rsidRPr="00D337FA">
        <w:rPr>
          <w:szCs w:val="24"/>
        </w:rPr>
        <w:t>качественных</w:t>
      </w:r>
      <w:r w:rsidR="006C680D" w:rsidRPr="00D337FA">
        <w:rPr>
          <w:szCs w:val="24"/>
        </w:rPr>
        <w:t xml:space="preserve"> </w:t>
      </w:r>
      <w:r w:rsidRPr="00D337FA">
        <w:rPr>
          <w:szCs w:val="24"/>
        </w:rPr>
        <w:t>услуг.</w:t>
      </w:r>
    </w:p>
    <w:p w:rsidR="00E70CAD" w:rsidRPr="00D337FA" w:rsidRDefault="00E70CAD" w:rsidP="00E70CAD">
      <w:pPr>
        <w:ind w:firstLine="284"/>
        <w:rPr>
          <w:szCs w:val="24"/>
        </w:rPr>
      </w:pPr>
      <w:r w:rsidRPr="00D337FA">
        <w:rPr>
          <w:szCs w:val="24"/>
        </w:rPr>
        <w:t>Имеет</w:t>
      </w:r>
      <w:r w:rsidR="006C680D" w:rsidRPr="00D337FA">
        <w:rPr>
          <w:szCs w:val="24"/>
        </w:rPr>
        <w:t xml:space="preserve"> </w:t>
      </w:r>
      <w:r w:rsidRPr="00D337FA">
        <w:rPr>
          <w:szCs w:val="24"/>
        </w:rPr>
        <w:t>место</w:t>
      </w:r>
      <w:r w:rsidR="006C680D" w:rsidRPr="00D337FA">
        <w:rPr>
          <w:szCs w:val="24"/>
        </w:rPr>
        <w:t xml:space="preserve"> </w:t>
      </w:r>
      <w:r w:rsidRPr="00D337FA">
        <w:rPr>
          <w:bCs/>
          <w:szCs w:val="24"/>
        </w:rPr>
        <w:t>проблема</w:t>
      </w:r>
      <w:r w:rsidR="006C680D" w:rsidRPr="00D337FA">
        <w:rPr>
          <w:bCs/>
          <w:szCs w:val="24"/>
        </w:rPr>
        <w:t xml:space="preserve"> </w:t>
      </w:r>
      <w:r w:rsidRPr="00D337FA">
        <w:rPr>
          <w:bCs/>
          <w:szCs w:val="24"/>
        </w:rPr>
        <w:t>«двух</w:t>
      </w:r>
      <w:r w:rsidR="006C680D" w:rsidRPr="00D337FA">
        <w:rPr>
          <w:bCs/>
          <w:szCs w:val="24"/>
        </w:rPr>
        <w:t xml:space="preserve"> </w:t>
      </w:r>
      <w:r w:rsidRPr="00D337FA">
        <w:rPr>
          <w:bCs/>
          <w:szCs w:val="24"/>
        </w:rPr>
        <w:t>скоростей»</w:t>
      </w:r>
      <w:r w:rsidR="006C680D" w:rsidRPr="00D337FA">
        <w:rPr>
          <w:bCs/>
          <w:szCs w:val="24"/>
        </w:rPr>
        <w:t xml:space="preserve"> </w:t>
      </w:r>
      <w:r w:rsidRPr="00D337FA">
        <w:rPr>
          <w:bCs/>
          <w:szCs w:val="24"/>
        </w:rPr>
        <w:t>рынка:</w:t>
      </w:r>
      <w:r w:rsidR="006C680D" w:rsidRPr="00D337FA">
        <w:rPr>
          <w:szCs w:val="24"/>
        </w:rPr>
        <w:t xml:space="preserve"> </w:t>
      </w:r>
      <w:r w:rsidRPr="00D337FA">
        <w:rPr>
          <w:szCs w:val="24"/>
        </w:rPr>
        <w:t>банки-лидеры</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формируют</w:t>
      </w:r>
      <w:r w:rsidR="006C680D" w:rsidRPr="00D337FA">
        <w:rPr>
          <w:szCs w:val="24"/>
        </w:rPr>
        <w:t xml:space="preserve"> </w:t>
      </w:r>
      <w:r w:rsidRPr="00D337FA">
        <w:rPr>
          <w:szCs w:val="24"/>
        </w:rPr>
        <w:t>полноценные</w:t>
      </w:r>
      <w:r w:rsidR="006C680D" w:rsidRPr="00D337FA">
        <w:rPr>
          <w:szCs w:val="24"/>
        </w:rPr>
        <w:t xml:space="preserve"> </w:t>
      </w:r>
      <w:r w:rsidRPr="00D337FA">
        <w:rPr>
          <w:szCs w:val="24"/>
        </w:rPr>
        <w:t>экосистемы,</w:t>
      </w:r>
      <w:r w:rsidR="006C680D" w:rsidRPr="00D337FA">
        <w:rPr>
          <w:szCs w:val="24"/>
        </w:rPr>
        <w:t xml:space="preserve"> </w:t>
      </w:r>
      <w:r w:rsidRPr="00D337FA">
        <w:rPr>
          <w:szCs w:val="24"/>
        </w:rPr>
        <w:t>в</w:t>
      </w:r>
      <w:r w:rsidR="006C680D" w:rsidRPr="00D337FA">
        <w:rPr>
          <w:szCs w:val="24"/>
        </w:rPr>
        <w:t xml:space="preserve"> </w:t>
      </w:r>
      <w:r w:rsidRPr="00D337FA">
        <w:rPr>
          <w:szCs w:val="24"/>
        </w:rPr>
        <w:t>то</w:t>
      </w:r>
      <w:r w:rsidR="006C680D" w:rsidRPr="00D337FA">
        <w:rPr>
          <w:szCs w:val="24"/>
        </w:rPr>
        <w:t xml:space="preserve"> </w:t>
      </w:r>
      <w:r w:rsidRPr="00D337FA">
        <w:rPr>
          <w:szCs w:val="24"/>
        </w:rPr>
        <w:t>время</w:t>
      </w:r>
      <w:r w:rsidR="006C680D" w:rsidRPr="00D337FA">
        <w:rPr>
          <w:szCs w:val="24"/>
        </w:rPr>
        <w:t xml:space="preserve"> </w:t>
      </w:r>
      <w:r w:rsidRPr="00D337FA">
        <w:rPr>
          <w:szCs w:val="24"/>
        </w:rPr>
        <w:t>как</w:t>
      </w:r>
      <w:r w:rsidR="006C680D" w:rsidRPr="00D337FA">
        <w:rPr>
          <w:szCs w:val="24"/>
        </w:rPr>
        <w:t xml:space="preserve"> </w:t>
      </w:r>
      <w:r w:rsidRPr="00D337FA">
        <w:rPr>
          <w:szCs w:val="24"/>
        </w:rPr>
        <w:t>остальные</w:t>
      </w:r>
      <w:r w:rsidR="006C680D" w:rsidRPr="00D337FA">
        <w:rPr>
          <w:szCs w:val="24"/>
        </w:rPr>
        <w:t xml:space="preserve"> </w:t>
      </w:r>
      <w:r w:rsidRPr="00D337FA">
        <w:rPr>
          <w:szCs w:val="24"/>
        </w:rPr>
        <w:t>участники</w:t>
      </w:r>
      <w:r w:rsidR="006C680D" w:rsidRPr="00D337FA">
        <w:rPr>
          <w:szCs w:val="24"/>
        </w:rPr>
        <w:t xml:space="preserve"> </w:t>
      </w:r>
      <w:r w:rsidRPr="00D337FA">
        <w:rPr>
          <w:szCs w:val="24"/>
        </w:rPr>
        <w:t>предлагают</w:t>
      </w:r>
      <w:r w:rsidR="006C680D" w:rsidRPr="00D337FA">
        <w:rPr>
          <w:szCs w:val="24"/>
        </w:rPr>
        <w:t xml:space="preserve"> </w:t>
      </w:r>
      <w:r w:rsidRPr="00D337FA">
        <w:rPr>
          <w:szCs w:val="24"/>
        </w:rPr>
        <w:t>ограниченный</w:t>
      </w:r>
      <w:r w:rsidR="006C680D" w:rsidRPr="00D337FA">
        <w:rPr>
          <w:szCs w:val="24"/>
        </w:rPr>
        <w:t xml:space="preserve"> </w:t>
      </w:r>
      <w:r w:rsidRPr="00D337FA">
        <w:rPr>
          <w:szCs w:val="24"/>
        </w:rPr>
        <w:t>набор,</w:t>
      </w:r>
      <w:r w:rsidR="006C680D" w:rsidRPr="00D337FA">
        <w:rPr>
          <w:szCs w:val="24"/>
        </w:rPr>
        <w:t xml:space="preserve"> </w:t>
      </w:r>
      <w:r w:rsidRPr="00D337FA">
        <w:rPr>
          <w:szCs w:val="24"/>
        </w:rPr>
        <w:t>в</w:t>
      </w:r>
      <w:r w:rsidR="006C680D" w:rsidRPr="00D337FA">
        <w:rPr>
          <w:szCs w:val="24"/>
        </w:rPr>
        <w:t xml:space="preserve"> </w:t>
      </w:r>
      <w:r w:rsidRPr="00D337FA">
        <w:rPr>
          <w:szCs w:val="24"/>
        </w:rPr>
        <w:t>основном,</w:t>
      </w:r>
      <w:r w:rsidR="006C680D" w:rsidRPr="00D337FA">
        <w:rPr>
          <w:szCs w:val="24"/>
        </w:rPr>
        <w:t xml:space="preserve"> </w:t>
      </w:r>
      <w:r w:rsidRPr="00D337FA">
        <w:rPr>
          <w:szCs w:val="24"/>
        </w:rPr>
        <w:t>базовых</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продуктов.</w:t>
      </w:r>
    </w:p>
    <w:p w:rsidR="00E70CAD" w:rsidRPr="00D337FA" w:rsidRDefault="00E70CAD" w:rsidP="00E70CAD">
      <w:pPr>
        <w:ind w:firstLine="284"/>
        <w:rPr>
          <w:szCs w:val="24"/>
        </w:rPr>
      </w:pPr>
      <w:r w:rsidRPr="00D337FA">
        <w:rPr>
          <w:szCs w:val="24"/>
        </w:rPr>
        <w:lastRenderedPageBreak/>
        <w:t>Наблюдается</w:t>
      </w:r>
      <w:r w:rsidR="006C680D" w:rsidRPr="00D337FA">
        <w:rPr>
          <w:szCs w:val="24"/>
        </w:rPr>
        <w:t xml:space="preserve"> </w:t>
      </w:r>
      <w:r w:rsidRPr="00D337FA">
        <w:rPr>
          <w:bCs/>
          <w:szCs w:val="24"/>
        </w:rPr>
        <w:t>диссонанс</w:t>
      </w:r>
      <w:r w:rsidR="006C680D" w:rsidRPr="00D337FA">
        <w:rPr>
          <w:bCs/>
          <w:szCs w:val="24"/>
        </w:rPr>
        <w:t xml:space="preserve"> </w:t>
      </w:r>
      <w:r w:rsidRPr="00D337FA">
        <w:rPr>
          <w:bCs/>
          <w:szCs w:val="24"/>
        </w:rPr>
        <w:t>между</w:t>
      </w:r>
      <w:r w:rsidR="006C680D" w:rsidRPr="00D337FA">
        <w:rPr>
          <w:bCs/>
          <w:szCs w:val="24"/>
        </w:rPr>
        <w:t xml:space="preserve"> </w:t>
      </w:r>
      <w:r w:rsidRPr="00D337FA">
        <w:rPr>
          <w:bCs/>
          <w:szCs w:val="24"/>
        </w:rPr>
        <w:t>потенциальными</w:t>
      </w:r>
      <w:r w:rsidR="006C680D" w:rsidRPr="00D337FA">
        <w:rPr>
          <w:bCs/>
          <w:szCs w:val="24"/>
        </w:rPr>
        <w:t xml:space="preserve"> </w:t>
      </w:r>
      <w:r w:rsidRPr="00D337FA">
        <w:rPr>
          <w:bCs/>
          <w:szCs w:val="24"/>
        </w:rPr>
        <w:t>возможностями</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рыночным</w:t>
      </w:r>
      <w:r w:rsidR="006C680D" w:rsidRPr="00D337FA">
        <w:rPr>
          <w:bCs/>
          <w:szCs w:val="24"/>
        </w:rPr>
        <w:t xml:space="preserve"> </w:t>
      </w:r>
      <w:r w:rsidRPr="00D337FA">
        <w:rPr>
          <w:bCs/>
          <w:szCs w:val="24"/>
        </w:rPr>
        <w:t>предложением.</w:t>
      </w:r>
      <w:r w:rsidR="006C680D" w:rsidRPr="00D337FA">
        <w:rPr>
          <w:szCs w:val="24"/>
        </w:rPr>
        <w:t xml:space="preserve"> </w:t>
      </w:r>
      <w:r w:rsidRPr="00D337FA">
        <w:rPr>
          <w:szCs w:val="24"/>
        </w:rPr>
        <w:t>Несмотря</w:t>
      </w:r>
      <w:r w:rsidR="006C680D" w:rsidRPr="00D337FA">
        <w:rPr>
          <w:szCs w:val="24"/>
        </w:rPr>
        <w:t xml:space="preserve"> </w:t>
      </w:r>
      <w:r w:rsidRPr="00D337FA">
        <w:rPr>
          <w:szCs w:val="24"/>
        </w:rPr>
        <w:t>на</w:t>
      </w:r>
      <w:r w:rsidR="006C680D" w:rsidRPr="00D337FA">
        <w:rPr>
          <w:szCs w:val="24"/>
        </w:rPr>
        <w:t xml:space="preserve"> </w:t>
      </w:r>
      <w:r w:rsidRPr="00D337FA">
        <w:rPr>
          <w:szCs w:val="24"/>
        </w:rPr>
        <w:t>технологическую</w:t>
      </w:r>
      <w:r w:rsidR="006C680D" w:rsidRPr="00D337FA">
        <w:rPr>
          <w:szCs w:val="24"/>
        </w:rPr>
        <w:t xml:space="preserve"> </w:t>
      </w:r>
      <w:r w:rsidRPr="00D337FA">
        <w:rPr>
          <w:szCs w:val="24"/>
        </w:rPr>
        <w:t>готовность</w:t>
      </w:r>
      <w:r w:rsidR="006C680D" w:rsidRPr="00D337FA">
        <w:rPr>
          <w:szCs w:val="24"/>
        </w:rPr>
        <w:t xml:space="preserve"> </w:t>
      </w:r>
      <w:r w:rsidRPr="00D337FA">
        <w:rPr>
          <w:szCs w:val="24"/>
        </w:rPr>
        <w:t>к</w:t>
      </w:r>
      <w:r w:rsidR="006C680D" w:rsidRPr="00D337FA">
        <w:rPr>
          <w:szCs w:val="24"/>
        </w:rPr>
        <w:t xml:space="preserve"> </w:t>
      </w:r>
      <w:r w:rsidRPr="00D337FA">
        <w:rPr>
          <w:szCs w:val="24"/>
        </w:rPr>
        <w:t>использованию</w:t>
      </w:r>
      <w:r w:rsidR="006C680D" w:rsidRPr="00D337FA">
        <w:rPr>
          <w:szCs w:val="24"/>
        </w:rPr>
        <w:t xml:space="preserve"> </w:t>
      </w:r>
      <w:r w:rsidRPr="00D337FA">
        <w:rPr>
          <w:szCs w:val="24"/>
        </w:rPr>
        <w:t>альтернативных</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(Big</w:t>
      </w:r>
      <w:r w:rsidR="006C680D" w:rsidRPr="00D337FA">
        <w:rPr>
          <w:szCs w:val="24"/>
        </w:rPr>
        <w:t xml:space="preserve"> </w:t>
      </w:r>
      <w:r w:rsidRPr="00D337FA">
        <w:rPr>
          <w:szCs w:val="24"/>
        </w:rPr>
        <w:t>Data,</w:t>
      </w:r>
      <w:r w:rsidR="006C680D" w:rsidRPr="00D337FA">
        <w:rPr>
          <w:szCs w:val="24"/>
        </w:rPr>
        <w:t xml:space="preserve"> </w:t>
      </w:r>
      <w:r w:rsidRPr="00D337FA">
        <w:rPr>
          <w:szCs w:val="24"/>
        </w:rPr>
        <w:t>AI),</w:t>
      </w:r>
      <w:r w:rsidR="006C680D" w:rsidRPr="00D337FA">
        <w:rPr>
          <w:szCs w:val="24"/>
        </w:rPr>
        <w:t xml:space="preserve"> </w:t>
      </w:r>
      <w:r w:rsidRPr="00D337FA">
        <w:rPr>
          <w:szCs w:val="24"/>
        </w:rPr>
        <w:t>банки</w:t>
      </w:r>
      <w:r w:rsidR="006C680D" w:rsidRPr="00D337FA">
        <w:rPr>
          <w:szCs w:val="24"/>
        </w:rPr>
        <w:t xml:space="preserve"> </w:t>
      </w:r>
      <w:r w:rsidRPr="00D337FA">
        <w:rPr>
          <w:szCs w:val="24"/>
        </w:rPr>
        <w:t>в</w:t>
      </w:r>
      <w:r w:rsidR="006C680D" w:rsidRPr="00D337FA">
        <w:rPr>
          <w:szCs w:val="24"/>
        </w:rPr>
        <w:t xml:space="preserve"> </w:t>
      </w:r>
      <w:r w:rsidRPr="00D337FA">
        <w:rPr>
          <w:szCs w:val="24"/>
        </w:rPr>
        <w:t>общей</w:t>
      </w:r>
      <w:r w:rsidR="006C680D" w:rsidRPr="00D337FA">
        <w:rPr>
          <w:szCs w:val="24"/>
        </w:rPr>
        <w:t xml:space="preserve"> </w:t>
      </w:r>
      <w:r w:rsidRPr="00D337FA">
        <w:rPr>
          <w:szCs w:val="24"/>
        </w:rPr>
        <w:t>массе</w:t>
      </w:r>
      <w:r w:rsidR="006C680D" w:rsidRPr="00D337FA">
        <w:rPr>
          <w:szCs w:val="24"/>
        </w:rPr>
        <w:t xml:space="preserve"> </w:t>
      </w:r>
      <w:r w:rsidRPr="00D337FA">
        <w:rPr>
          <w:szCs w:val="24"/>
        </w:rPr>
        <w:t>продолжают</w:t>
      </w:r>
      <w:r w:rsidR="006C680D" w:rsidRPr="00D337FA">
        <w:rPr>
          <w:szCs w:val="24"/>
        </w:rPr>
        <w:t xml:space="preserve"> </w:t>
      </w:r>
      <w:r w:rsidRPr="00D337FA">
        <w:rPr>
          <w:szCs w:val="24"/>
        </w:rPr>
        <w:t>опираться</w:t>
      </w:r>
      <w:r w:rsidR="006C680D" w:rsidRPr="00D337FA">
        <w:rPr>
          <w:szCs w:val="24"/>
        </w:rPr>
        <w:t xml:space="preserve"> </w:t>
      </w:r>
      <w:r w:rsidRPr="00D337FA">
        <w:rPr>
          <w:szCs w:val="24"/>
        </w:rPr>
        <w:t>на</w:t>
      </w:r>
      <w:r w:rsidR="006C680D" w:rsidRPr="00D337FA">
        <w:rPr>
          <w:szCs w:val="24"/>
        </w:rPr>
        <w:t xml:space="preserve"> </w:t>
      </w:r>
      <w:r w:rsidRPr="00D337FA">
        <w:rPr>
          <w:szCs w:val="24"/>
        </w:rPr>
        <w:t>традиционные</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оценки,</w:t>
      </w:r>
      <w:r w:rsidR="006C680D" w:rsidRPr="00D337FA">
        <w:rPr>
          <w:szCs w:val="24"/>
        </w:rPr>
        <w:t xml:space="preserve"> </w:t>
      </w:r>
      <w:r w:rsidRPr="00D337FA">
        <w:rPr>
          <w:szCs w:val="24"/>
        </w:rPr>
        <w:t>что</w:t>
      </w:r>
      <w:r w:rsidR="006C680D" w:rsidRPr="00D337FA">
        <w:rPr>
          <w:szCs w:val="24"/>
        </w:rPr>
        <w:t xml:space="preserve"> </w:t>
      </w:r>
      <w:r w:rsidRPr="00D337FA">
        <w:rPr>
          <w:szCs w:val="24"/>
        </w:rPr>
        <w:t>ограничивает</w:t>
      </w:r>
      <w:r w:rsidR="006C680D" w:rsidRPr="00D337FA">
        <w:rPr>
          <w:szCs w:val="24"/>
        </w:rPr>
        <w:t xml:space="preserve"> </w:t>
      </w:r>
      <w:r w:rsidRPr="00D337FA">
        <w:rPr>
          <w:szCs w:val="24"/>
        </w:rPr>
        <w:t>доступ</w:t>
      </w:r>
      <w:r w:rsidR="006C680D" w:rsidRPr="00D337FA">
        <w:rPr>
          <w:szCs w:val="24"/>
        </w:rPr>
        <w:t xml:space="preserve"> </w:t>
      </w:r>
      <w:r w:rsidRPr="00D337FA">
        <w:rPr>
          <w:szCs w:val="24"/>
        </w:rPr>
        <w:t>к</w:t>
      </w:r>
      <w:r w:rsidR="006C680D" w:rsidRPr="00D337FA">
        <w:rPr>
          <w:szCs w:val="24"/>
        </w:rPr>
        <w:t xml:space="preserve"> </w:t>
      </w:r>
      <w:r w:rsidRPr="00D337FA">
        <w:rPr>
          <w:szCs w:val="24"/>
        </w:rPr>
        <w:t>финансированию</w:t>
      </w:r>
      <w:r w:rsidR="006C680D" w:rsidRPr="00D337FA">
        <w:rPr>
          <w:szCs w:val="24"/>
        </w:rPr>
        <w:t xml:space="preserve"> </w:t>
      </w:r>
      <w:r w:rsidRPr="00D337FA">
        <w:rPr>
          <w:szCs w:val="24"/>
        </w:rPr>
        <w:t>для</w:t>
      </w:r>
      <w:r w:rsidR="006C680D" w:rsidRPr="00D337FA">
        <w:rPr>
          <w:szCs w:val="24"/>
        </w:rPr>
        <w:t xml:space="preserve"> </w:t>
      </w:r>
      <w:r w:rsidRPr="00D337FA">
        <w:rPr>
          <w:szCs w:val="24"/>
        </w:rPr>
        <w:t>«непрозрачных»</w:t>
      </w:r>
      <w:r w:rsidR="006C680D" w:rsidRPr="00D337FA">
        <w:rPr>
          <w:szCs w:val="24"/>
        </w:rPr>
        <w:t xml:space="preserve"> </w:t>
      </w:r>
      <w:r w:rsidRPr="00D337FA">
        <w:rPr>
          <w:szCs w:val="24"/>
        </w:rPr>
        <w:t>с</w:t>
      </w:r>
      <w:r w:rsidR="006C680D" w:rsidRPr="00D337FA">
        <w:rPr>
          <w:szCs w:val="24"/>
        </w:rPr>
        <w:t xml:space="preserve"> </w:t>
      </w:r>
      <w:r w:rsidRPr="00D337FA">
        <w:rPr>
          <w:szCs w:val="24"/>
        </w:rPr>
        <w:t>классической</w:t>
      </w:r>
      <w:r w:rsidR="006C680D" w:rsidRPr="00D337FA">
        <w:rPr>
          <w:szCs w:val="24"/>
        </w:rPr>
        <w:t xml:space="preserve"> </w:t>
      </w:r>
      <w:r w:rsidRPr="00D337FA">
        <w:rPr>
          <w:szCs w:val="24"/>
        </w:rPr>
        <w:t>точки</w:t>
      </w:r>
      <w:r w:rsidR="006C680D" w:rsidRPr="00D337FA">
        <w:rPr>
          <w:szCs w:val="24"/>
        </w:rPr>
        <w:t xml:space="preserve"> </w:t>
      </w:r>
      <w:r w:rsidRPr="00D337FA">
        <w:rPr>
          <w:szCs w:val="24"/>
        </w:rPr>
        <w:t>зрения</w:t>
      </w:r>
      <w:r w:rsidR="006C680D" w:rsidRPr="00D337FA">
        <w:rPr>
          <w:szCs w:val="24"/>
        </w:rPr>
        <w:t xml:space="preserve"> </w:t>
      </w:r>
      <w:r w:rsidRPr="00D337FA">
        <w:rPr>
          <w:szCs w:val="24"/>
        </w:rPr>
        <w:t>предприятий.</w:t>
      </w:r>
    </w:p>
    <w:p w:rsidR="00E70CAD" w:rsidRPr="00D337FA" w:rsidRDefault="00E70CAD" w:rsidP="00E70CAD">
      <w:pPr>
        <w:ind w:firstLine="284"/>
        <w:rPr>
          <w:szCs w:val="24"/>
        </w:rPr>
      </w:pPr>
      <w:r w:rsidRPr="00D337FA">
        <w:rPr>
          <w:szCs w:val="24"/>
        </w:rPr>
        <w:t>Еще</w:t>
      </w:r>
      <w:r w:rsidR="006C680D" w:rsidRPr="00D337FA">
        <w:rPr>
          <w:szCs w:val="24"/>
        </w:rPr>
        <w:t xml:space="preserve"> </w:t>
      </w:r>
      <w:r w:rsidRPr="00D337FA">
        <w:rPr>
          <w:szCs w:val="24"/>
        </w:rPr>
        <w:t>одним</w:t>
      </w:r>
      <w:r w:rsidR="006C680D" w:rsidRPr="00D337FA">
        <w:rPr>
          <w:szCs w:val="24"/>
        </w:rPr>
        <w:t xml:space="preserve"> </w:t>
      </w:r>
      <w:r w:rsidRPr="00D337FA">
        <w:rPr>
          <w:szCs w:val="24"/>
        </w:rPr>
        <w:t>сдерживающим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является</w:t>
      </w:r>
      <w:r w:rsidR="006C680D" w:rsidRPr="00D337FA">
        <w:rPr>
          <w:szCs w:val="24"/>
        </w:rPr>
        <w:t xml:space="preserve"> </w:t>
      </w:r>
      <w:r w:rsidRPr="00D337FA">
        <w:rPr>
          <w:bCs/>
          <w:szCs w:val="24"/>
        </w:rPr>
        <w:t>недостаточная</w:t>
      </w:r>
      <w:r w:rsidR="006C680D" w:rsidRPr="00D337FA">
        <w:rPr>
          <w:bCs/>
          <w:szCs w:val="24"/>
        </w:rPr>
        <w:t xml:space="preserve"> </w:t>
      </w:r>
      <w:r w:rsidRPr="00D337FA">
        <w:rPr>
          <w:bCs/>
          <w:szCs w:val="24"/>
        </w:rPr>
        <w:t>глубина</w:t>
      </w:r>
      <w:r w:rsidR="006C680D" w:rsidRPr="00D337FA">
        <w:rPr>
          <w:bCs/>
          <w:szCs w:val="24"/>
        </w:rPr>
        <w:t xml:space="preserve"> </w:t>
      </w:r>
      <w:r w:rsidRPr="00D337FA">
        <w:rPr>
          <w:bCs/>
          <w:szCs w:val="24"/>
        </w:rPr>
        <w:t>нефинансовой</w:t>
      </w:r>
      <w:r w:rsidR="006C680D" w:rsidRPr="00D337FA">
        <w:rPr>
          <w:bCs/>
          <w:szCs w:val="24"/>
        </w:rPr>
        <w:t xml:space="preserve"> </w:t>
      </w:r>
      <w:r w:rsidRPr="00D337FA">
        <w:rPr>
          <w:bCs/>
          <w:szCs w:val="24"/>
        </w:rPr>
        <w:t>поддержки.</w:t>
      </w:r>
      <w:r w:rsidR="006C680D" w:rsidRPr="00D337FA">
        <w:rPr>
          <w:bCs/>
          <w:szCs w:val="24"/>
        </w:rPr>
        <w:t xml:space="preserve"> </w:t>
      </w:r>
      <w:r w:rsidRPr="00D337FA">
        <w:rPr>
          <w:bCs/>
          <w:szCs w:val="24"/>
        </w:rPr>
        <w:t>Несмотря</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то,</w:t>
      </w:r>
      <w:r w:rsidR="006C680D" w:rsidRPr="00D337FA">
        <w:rPr>
          <w:bCs/>
          <w:szCs w:val="24"/>
        </w:rPr>
        <w:t xml:space="preserve"> </w:t>
      </w:r>
      <w:r w:rsidRPr="00D337FA">
        <w:rPr>
          <w:bCs/>
          <w:szCs w:val="24"/>
        </w:rPr>
        <w:t>что</w:t>
      </w:r>
      <w:r w:rsidR="006C680D" w:rsidRPr="00D337FA">
        <w:rPr>
          <w:szCs w:val="24"/>
        </w:rPr>
        <w:t xml:space="preserve"> </w:t>
      </w:r>
      <w:r w:rsidRPr="00D337FA">
        <w:rPr>
          <w:szCs w:val="24"/>
        </w:rPr>
        <w:t>72%</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выражают</w:t>
      </w:r>
      <w:r w:rsidR="006C680D" w:rsidRPr="00D337FA">
        <w:rPr>
          <w:szCs w:val="24"/>
        </w:rPr>
        <w:t xml:space="preserve"> </w:t>
      </w:r>
      <w:r w:rsidRPr="00D337FA">
        <w:rPr>
          <w:szCs w:val="24"/>
        </w:rPr>
        <w:t>потребность</w:t>
      </w:r>
      <w:r w:rsidR="006C680D" w:rsidRPr="00D337FA">
        <w:rPr>
          <w:szCs w:val="24"/>
        </w:rPr>
        <w:t xml:space="preserve"> </w:t>
      </w:r>
      <w:r w:rsidRPr="00D337FA">
        <w:rPr>
          <w:szCs w:val="24"/>
        </w:rPr>
        <w:t>в</w:t>
      </w:r>
      <w:r w:rsidR="006C680D" w:rsidRPr="00D337FA">
        <w:rPr>
          <w:szCs w:val="24"/>
        </w:rPr>
        <w:t xml:space="preserve"> </w:t>
      </w:r>
      <w:r w:rsidRPr="00D337FA">
        <w:rPr>
          <w:szCs w:val="24"/>
        </w:rPr>
        <w:t>комплексной</w:t>
      </w:r>
      <w:r w:rsidR="006C680D" w:rsidRPr="00D337FA">
        <w:rPr>
          <w:szCs w:val="24"/>
        </w:rPr>
        <w:t xml:space="preserve"> </w:t>
      </w:r>
      <w:r w:rsidRPr="00D337FA">
        <w:rPr>
          <w:szCs w:val="24"/>
        </w:rPr>
        <w:t>экосистеме,</w:t>
      </w:r>
      <w:r w:rsidR="006C680D" w:rsidRPr="00D337FA">
        <w:rPr>
          <w:szCs w:val="24"/>
        </w:rPr>
        <w:t xml:space="preserve"> </w:t>
      </w:r>
      <w:r w:rsidRPr="00D337FA">
        <w:rPr>
          <w:szCs w:val="24"/>
        </w:rPr>
        <w:t>большинство</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нефинансовых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носят</w:t>
      </w:r>
      <w:r w:rsidR="006C680D" w:rsidRPr="00D337FA">
        <w:rPr>
          <w:szCs w:val="24"/>
        </w:rPr>
        <w:t xml:space="preserve"> </w:t>
      </w:r>
      <w:r w:rsidRPr="00D337FA">
        <w:rPr>
          <w:szCs w:val="24"/>
        </w:rPr>
        <w:t>поверхностный</w:t>
      </w:r>
      <w:r w:rsidR="006C680D" w:rsidRPr="00D337FA">
        <w:rPr>
          <w:szCs w:val="24"/>
        </w:rPr>
        <w:t xml:space="preserve"> </w:t>
      </w:r>
      <w:r w:rsidRPr="00D337FA">
        <w:rPr>
          <w:szCs w:val="24"/>
        </w:rPr>
        <w:t>характер,</w:t>
      </w:r>
      <w:r w:rsidR="006C680D" w:rsidRPr="00D337FA">
        <w:rPr>
          <w:szCs w:val="24"/>
        </w:rPr>
        <w:t xml:space="preserve"> </w:t>
      </w:r>
      <w:r w:rsidRPr="00D337FA">
        <w:rPr>
          <w:szCs w:val="24"/>
        </w:rPr>
        <w:t>а</w:t>
      </w:r>
      <w:r w:rsidR="006C680D" w:rsidRPr="00D337FA">
        <w:rPr>
          <w:szCs w:val="24"/>
        </w:rPr>
        <w:t xml:space="preserve"> </w:t>
      </w:r>
      <w:r w:rsidRPr="00D337FA">
        <w:rPr>
          <w:szCs w:val="24"/>
        </w:rPr>
        <w:t>менеджеры</w:t>
      </w:r>
      <w:r w:rsidR="006C680D" w:rsidRPr="00D337FA">
        <w:rPr>
          <w:szCs w:val="24"/>
        </w:rPr>
        <w:t xml:space="preserve"> </w:t>
      </w:r>
      <w:r w:rsidRPr="00D337FA">
        <w:rPr>
          <w:szCs w:val="24"/>
        </w:rPr>
        <w:t>слабо</w:t>
      </w:r>
      <w:r w:rsidR="006C680D" w:rsidRPr="00D337FA">
        <w:rPr>
          <w:szCs w:val="24"/>
        </w:rPr>
        <w:t xml:space="preserve"> </w:t>
      </w:r>
      <w:r w:rsidRPr="00D337FA">
        <w:rPr>
          <w:szCs w:val="24"/>
        </w:rPr>
        <w:t>информированы</w:t>
      </w:r>
      <w:r w:rsidR="006C680D" w:rsidRPr="00D337FA">
        <w:rPr>
          <w:szCs w:val="24"/>
        </w:rPr>
        <w:t xml:space="preserve"> </w:t>
      </w:r>
      <w:r w:rsidRPr="00D337FA">
        <w:rPr>
          <w:szCs w:val="24"/>
        </w:rPr>
        <w:t>об</w:t>
      </w:r>
      <w:r w:rsidR="006C680D" w:rsidRPr="00D337FA">
        <w:rPr>
          <w:szCs w:val="24"/>
        </w:rPr>
        <w:t xml:space="preserve"> </w:t>
      </w:r>
      <w:r w:rsidRPr="00D337FA">
        <w:rPr>
          <w:szCs w:val="24"/>
        </w:rPr>
        <w:t>их</w:t>
      </w:r>
      <w:r w:rsidR="006C680D" w:rsidRPr="00D337FA">
        <w:rPr>
          <w:szCs w:val="24"/>
        </w:rPr>
        <w:t xml:space="preserve"> </w:t>
      </w:r>
      <w:r w:rsidRPr="00D337FA">
        <w:rPr>
          <w:szCs w:val="24"/>
        </w:rPr>
        <w:t>возможностях.</w:t>
      </w:r>
    </w:p>
    <w:p w:rsidR="00E70CAD" w:rsidRPr="00D337FA" w:rsidRDefault="00E70CAD" w:rsidP="00E70CAD">
      <w:pPr>
        <w:ind w:firstLine="284"/>
        <w:rPr>
          <w:szCs w:val="24"/>
        </w:rPr>
      </w:pPr>
      <w:r w:rsidRPr="00D337FA">
        <w:rPr>
          <w:szCs w:val="24"/>
        </w:rPr>
        <w:t>Для</w:t>
      </w:r>
      <w:r w:rsidR="006C680D" w:rsidRPr="00D337FA">
        <w:rPr>
          <w:szCs w:val="24"/>
        </w:rPr>
        <w:t xml:space="preserve"> </w:t>
      </w:r>
      <w:r w:rsidRPr="00D337FA">
        <w:rPr>
          <w:szCs w:val="24"/>
        </w:rPr>
        <w:t>преодоления</w:t>
      </w:r>
      <w:r w:rsidR="006C680D" w:rsidRPr="00D337FA">
        <w:rPr>
          <w:szCs w:val="24"/>
        </w:rPr>
        <w:t xml:space="preserve"> </w:t>
      </w:r>
      <w:r w:rsidRPr="00D337FA">
        <w:rPr>
          <w:szCs w:val="24"/>
        </w:rPr>
        <w:t>выявленных</w:t>
      </w:r>
      <w:r w:rsidR="006C680D" w:rsidRPr="00D337FA">
        <w:rPr>
          <w:szCs w:val="24"/>
        </w:rPr>
        <w:t xml:space="preserve"> </w:t>
      </w:r>
      <w:r w:rsidRPr="00D337FA">
        <w:rPr>
          <w:szCs w:val="24"/>
        </w:rPr>
        <w:t>дисбалансов</w:t>
      </w:r>
      <w:r w:rsidR="006C680D" w:rsidRPr="00D337FA">
        <w:rPr>
          <w:szCs w:val="24"/>
        </w:rPr>
        <w:t xml:space="preserve"> </w:t>
      </w:r>
      <w:r w:rsidRPr="00D337FA">
        <w:rPr>
          <w:szCs w:val="24"/>
        </w:rPr>
        <w:t>и</w:t>
      </w:r>
      <w:r w:rsidR="006C680D" w:rsidRPr="00D337FA">
        <w:rPr>
          <w:szCs w:val="24"/>
        </w:rPr>
        <w:t xml:space="preserve"> </w:t>
      </w:r>
      <w:r w:rsidRPr="00D337FA">
        <w:rPr>
          <w:szCs w:val="24"/>
        </w:rPr>
        <w:t>реализации</w:t>
      </w:r>
      <w:r w:rsidR="006C680D" w:rsidRPr="00D337FA">
        <w:rPr>
          <w:szCs w:val="24"/>
        </w:rPr>
        <w:t xml:space="preserve"> </w:t>
      </w:r>
      <w:r w:rsidRPr="00D337FA">
        <w:rPr>
          <w:szCs w:val="24"/>
        </w:rPr>
        <w:t>потенциала</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партнерства</w:t>
      </w:r>
      <w:r w:rsidR="006C680D" w:rsidRPr="00D337FA">
        <w:rPr>
          <w:szCs w:val="24"/>
        </w:rPr>
        <w:t xml:space="preserve"> </w:t>
      </w:r>
      <w:r w:rsidRPr="00D337FA">
        <w:rPr>
          <w:szCs w:val="24"/>
        </w:rPr>
        <w:t>с</w:t>
      </w:r>
      <w:r w:rsidR="006C680D" w:rsidRPr="00D337FA">
        <w:rPr>
          <w:szCs w:val="24"/>
        </w:rPr>
        <w:t xml:space="preserve"> </w:t>
      </w:r>
      <w:r w:rsidRPr="00D337FA">
        <w:rPr>
          <w:szCs w:val="24"/>
        </w:rPr>
        <w:t>малым</w:t>
      </w:r>
      <w:r w:rsidR="006C680D" w:rsidRPr="00D337FA">
        <w:rPr>
          <w:szCs w:val="24"/>
        </w:rPr>
        <w:t xml:space="preserve"> </w:t>
      </w:r>
      <w:r w:rsidRPr="00D337FA">
        <w:rPr>
          <w:szCs w:val="24"/>
        </w:rPr>
        <w:t>бизнесом</w:t>
      </w:r>
      <w:r w:rsidR="006C680D" w:rsidRPr="00D337FA">
        <w:rPr>
          <w:szCs w:val="24"/>
        </w:rPr>
        <w:t xml:space="preserve"> </w:t>
      </w:r>
      <w:r w:rsidRPr="00D337FA">
        <w:rPr>
          <w:szCs w:val="24"/>
        </w:rPr>
        <w:t>сформулирован</w:t>
      </w:r>
      <w:r w:rsidR="006C680D" w:rsidRPr="00D337FA">
        <w:rPr>
          <w:szCs w:val="24"/>
        </w:rPr>
        <w:t xml:space="preserve"> </w:t>
      </w:r>
      <w:r w:rsidRPr="00D337FA">
        <w:rPr>
          <w:szCs w:val="24"/>
        </w:rPr>
        <w:t>авторский</w:t>
      </w:r>
      <w:r w:rsidR="006C680D" w:rsidRPr="00D337FA">
        <w:rPr>
          <w:szCs w:val="24"/>
        </w:rPr>
        <w:t xml:space="preserve"> </w:t>
      </w:r>
      <w:r w:rsidRPr="00D337FA">
        <w:rPr>
          <w:szCs w:val="24"/>
        </w:rPr>
        <w:t>комплекс</w:t>
      </w:r>
      <w:r w:rsidR="006C680D" w:rsidRPr="00D337FA">
        <w:rPr>
          <w:szCs w:val="24"/>
        </w:rPr>
        <w:t xml:space="preserve"> </w:t>
      </w:r>
      <w:r w:rsidRPr="00D337FA">
        <w:rPr>
          <w:szCs w:val="24"/>
        </w:rPr>
        <w:t>взаимосвязанных</w:t>
      </w:r>
      <w:r w:rsidR="006C680D" w:rsidRPr="00D337FA">
        <w:rPr>
          <w:szCs w:val="24"/>
        </w:rPr>
        <w:t xml:space="preserve"> </w:t>
      </w:r>
      <w:r w:rsidRPr="00D337FA">
        <w:rPr>
          <w:szCs w:val="24"/>
        </w:rPr>
        <w:t>направлений:</w:t>
      </w:r>
    </w:p>
    <w:p w:rsidR="00E70CAD" w:rsidRPr="00D337FA" w:rsidRDefault="00E70CAD" w:rsidP="005A0605">
      <w:pPr>
        <w:numPr>
          <w:ilvl w:val="0"/>
          <w:numId w:val="12"/>
        </w:numPr>
        <w:tabs>
          <w:tab w:val="clear" w:pos="720"/>
        </w:tabs>
        <w:ind w:left="0" w:firstLine="284"/>
        <w:rPr>
          <w:szCs w:val="24"/>
        </w:rPr>
      </w:pPr>
      <w:r w:rsidRPr="00D337FA">
        <w:rPr>
          <w:bCs/>
          <w:szCs w:val="24"/>
        </w:rPr>
        <w:t>Внедрение</w:t>
      </w:r>
      <w:r w:rsidR="006C680D" w:rsidRPr="00D337FA">
        <w:rPr>
          <w:bCs/>
          <w:szCs w:val="24"/>
        </w:rPr>
        <w:t xml:space="preserve"> </w:t>
      </w:r>
      <w:r w:rsidRPr="00D337FA">
        <w:rPr>
          <w:bCs/>
          <w:szCs w:val="24"/>
        </w:rPr>
        <w:t>модели</w:t>
      </w:r>
      <w:r w:rsidR="006C680D" w:rsidRPr="00D337FA">
        <w:rPr>
          <w:bCs/>
          <w:szCs w:val="24"/>
        </w:rPr>
        <w:t xml:space="preserve"> </w:t>
      </w:r>
      <w:r w:rsidRPr="00D337FA">
        <w:rPr>
          <w:bCs/>
          <w:szCs w:val="24"/>
        </w:rPr>
        <w:t>встроенных</w:t>
      </w:r>
      <w:r w:rsidR="006C680D" w:rsidRPr="00D337FA">
        <w:rPr>
          <w:bCs/>
          <w:szCs w:val="24"/>
        </w:rPr>
        <w:t xml:space="preserve"> </w:t>
      </w:r>
      <w:r w:rsidRPr="00D337FA">
        <w:rPr>
          <w:bCs/>
          <w:szCs w:val="24"/>
        </w:rPr>
        <w:t>финансов.</w:t>
      </w:r>
      <w:r w:rsidR="006C680D" w:rsidRPr="00D337FA">
        <w:rPr>
          <w:szCs w:val="24"/>
        </w:rPr>
        <w:t xml:space="preserve"> </w:t>
      </w:r>
      <w:r w:rsidRPr="00D337FA">
        <w:rPr>
          <w:szCs w:val="24"/>
        </w:rPr>
        <w:t>Перспективным</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переход</w:t>
      </w:r>
      <w:r w:rsidR="006C680D" w:rsidRPr="00D337FA">
        <w:rPr>
          <w:szCs w:val="24"/>
        </w:rPr>
        <w:t xml:space="preserve"> </w:t>
      </w:r>
      <w:r w:rsidRPr="00D337FA">
        <w:rPr>
          <w:szCs w:val="24"/>
        </w:rPr>
        <w:t>от</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собственных</w:t>
      </w:r>
      <w:r w:rsidR="006C680D" w:rsidRPr="00D337FA">
        <w:rPr>
          <w:szCs w:val="24"/>
        </w:rPr>
        <w:t xml:space="preserve"> </w:t>
      </w:r>
      <w:r w:rsidRPr="00D337FA">
        <w:rPr>
          <w:szCs w:val="24"/>
        </w:rPr>
        <w:t>экосистем</w:t>
      </w:r>
      <w:r w:rsidR="006C680D" w:rsidRPr="00D337FA">
        <w:rPr>
          <w:szCs w:val="24"/>
        </w:rPr>
        <w:t xml:space="preserve"> </w:t>
      </w:r>
      <w:r w:rsidRPr="00D337FA">
        <w:rPr>
          <w:szCs w:val="24"/>
        </w:rPr>
        <w:t>к</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API-сервисов</w:t>
      </w:r>
      <w:r w:rsidR="006C680D" w:rsidRPr="00D337FA">
        <w:rPr>
          <w:szCs w:val="24"/>
        </w:rPr>
        <w:t xml:space="preserve"> </w:t>
      </w:r>
      <w:r w:rsidRPr="00D337FA">
        <w:rPr>
          <w:szCs w:val="24"/>
        </w:rPr>
        <w:t>(платежи,</w:t>
      </w:r>
      <w:r w:rsidR="006C680D" w:rsidRPr="00D337FA">
        <w:rPr>
          <w:szCs w:val="24"/>
        </w:rPr>
        <w:t xml:space="preserve"> </w:t>
      </w:r>
      <w:r w:rsidRPr="00D337FA">
        <w:rPr>
          <w:szCs w:val="24"/>
        </w:rPr>
        <w:t>кредитные</w:t>
      </w:r>
      <w:r w:rsidR="006C680D" w:rsidRPr="00D337FA">
        <w:rPr>
          <w:szCs w:val="24"/>
        </w:rPr>
        <w:t xml:space="preserve"> </w:t>
      </w:r>
      <w:r w:rsidRPr="00D337FA">
        <w:rPr>
          <w:szCs w:val="24"/>
        </w:rPr>
        <w:t>линии,</w:t>
      </w:r>
      <w:r w:rsidR="006C680D" w:rsidRPr="00D337FA">
        <w:rPr>
          <w:szCs w:val="24"/>
        </w:rPr>
        <w:t xml:space="preserve"> </w:t>
      </w:r>
      <w:r w:rsidRPr="00D337FA">
        <w:rPr>
          <w:szCs w:val="24"/>
        </w:rPr>
        <w:t>гарантии)</w:t>
      </w:r>
      <w:r w:rsidR="006C680D" w:rsidRPr="00D337FA">
        <w:rPr>
          <w:szCs w:val="24"/>
        </w:rPr>
        <w:t xml:space="preserve"> </w:t>
      </w:r>
      <w:r w:rsidRPr="00D337FA">
        <w:rPr>
          <w:szCs w:val="24"/>
        </w:rPr>
        <w:t>в</w:t>
      </w:r>
      <w:r w:rsidR="006C680D" w:rsidRPr="00D337FA">
        <w:rPr>
          <w:szCs w:val="24"/>
        </w:rPr>
        <w:t xml:space="preserve"> </w:t>
      </w:r>
      <w:r w:rsidRPr="00D337FA">
        <w:rPr>
          <w:szCs w:val="24"/>
        </w:rPr>
        <w:t>сторонние</w:t>
      </w:r>
      <w:r w:rsidR="006C680D" w:rsidRPr="00D337FA">
        <w:rPr>
          <w:szCs w:val="24"/>
        </w:rPr>
        <w:t xml:space="preserve"> </w:t>
      </w:r>
      <w:r w:rsidRPr="00D337FA">
        <w:rPr>
          <w:szCs w:val="24"/>
        </w:rPr>
        <w:t>программные</w:t>
      </w:r>
      <w:r w:rsidR="006C680D" w:rsidRPr="00D337FA">
        <w:rPr>
          <w:szCs w:val="24"/>
        </w:rPr>
        <w:t xml:space="preserve"> </w:t>
      </w:r>
      <w:r w:rsidRPr="00D337FA">
        <w:rPr>
          <w:szCs w:val="24"/>
        </w:rPr>
        <w:t>среды,</w:t>
      </w:r>
      <w:r w:rsidR="006C680D" w:rsidRPr="00D337FA">
        <w:rPr>
          <w:szCs w:val="24"/>
        </w:rPr>
        <w:t xml:space="preserve"> </w:t>
      </w:r>
      <w:r w:rsidRPr="00D337FA">
        <w:rPr>
          <w:szCs w:val="24"/>
        </w:rPr>
        <w:t>уже</w:t>
      </w:r>
      <w:r w:rsidR="006C680D" w:rsidRPr="00D337FA">
        <w:rPr>
          <w:szCs w:val="24"/>
        </w:rPr>
        <w:t xml:space="preserve"> </w:t>
      </w:r>
      <w:r w:rsidRPr="00D337FA">
        <w:rPr>
          <w:szCs w:val="24"/>
        </w:rPr>
        <w:t>используемые</w:t>
      </w:r>
      <w:r w:rsidR="006C680D" w:rsidRPr="00D337FA">
        <w:rPr>
          <w:szCs w:val="24"/>
        </w:rPr>
        <w:t xml:space="preserve"> </w:t>
      </w:r>
      <w:r w:rsidRPr="00D337FA">
        <w:rPr>
          <w:szCs w:val="24"/>
        </w:rPr>
        <w:t>предпринимателем</w:t>
      </w:r>
      <w:r w:rsidR="006C680D" w:rsidRPr="00D337FA">
        <w:rPr>
          <w:szCs w:val="24"/>
        </w:rPr>
        <w:t xml:space="preserve"> </w:t>
      </w:r>
      <w:r w:rsidRPr="00D337FA">
        <w:rPr>
          <w:szCs w:val="24"/>
        </w:rPr>
        <w:t>(бухгалтерские</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CRM-системы,</w:t>
      </w:r>
      <w:r w:rsidR="006C680D" w:rsidRPr="00D337FA">
        <w:rPr>
          <w:szCs w:val="24"/>
        </w:rPr>
        <w:t xml:space="preserve"> </w:t>
      </w:r>
      <w:r w:rsidRPr="00D337FA">
        <w:rPr>
          <w:szCs w:val="24"/>
        </w:rPr>
        <w:t>платформы</w:t>
      </w:r>
      <w:r w:rsidR="006C680D" w:rsidRPr="00D337FA">
        <w:rPr>
          <w:szCs w:val="24"/>
        </w:rPr>
        <w:t xml:space="preserve"> </w:t>
      </w:r>
      <w:r w:rsidRPr="00D337FA">
        <w:rPr>
          <w:szCs w:val="24"/>
        </w:rPr>
        <w:t>электронной</w:t>
      </w:r>
      <w:r w:rsidR="006C680D" w:rsidRPr="00D337FA">
        <w:rPr>
          <w:szCs w:val="24"/>
        </w:rPr>
        <w:t xml:space="preserve"> </w:t>
      </w:r>
      <w:r w:rsidRPr="00D337FA">
        <w:rPr>
          <w:szCs w:val="24"/>
        </w:rPr>
        <w:t>коммерции).</w:t>
      </w:r>
      <w:r w:rsidR="006C680D" w:rsidRPr="00D337FA">
        <w:rPr>
          <w:szCs w:val="24"/>
        </w:rPr>
        <w:t xml:space="preserve"> </w:t>
      </w:r>
      <w:r w:rsidRPr="00D337FA">
        <w:rPr>
          <w:szCs w:val="24"/>
        </w:rPr>
        <w:t>Это</w:t>
      </w:r>
      <w:r w:rsidR="006C680D" w:rsidRPr="00D337FA">
        <w:rPr>
          <w:szCs w:val="24"/>
        </w:rPr>
        <w:t xml:space="preserve"> </w:t>
      </w:r>
      <w:r w:rsidRPr="00D337FA">
        <w:rPr>
          <w:szCs w:val="24"/>
        </w:rPr>
        <w:t>снизит</w:t>
      </w:r>
      <w:r w:rsidR="006C680D" w:rsidRPr="00D337FA">
        <w:rPr>
          <w:szCs w:val="24"/>
        </w:rPr>
        <w:t xml:space="preserve"> </w:t>
      </w:r>
      <w:r w:rsidRPr="00D337FA">
        <w:rPr>
          <w:szCs w:val="24"/>
        </w:rPr>
        <w:t>операционные</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клиента</w:t>
      </w:r>
      <w:r w:rsidR="006C680D" w:rsidRPr="00D337FA">
        <w:rPr>
          <w:szCs w:val="24"/>
        </w:rPr>
        <w:t xml:space="preserve"> </w:t>
      </w:r>
      <w:r w:rsidRPr="00D337FA">
        <w:rPr>
          <w:szCs w:val="24"/>
        </w:rPr>
        <w:t>и</w:t>
      </w:r>
      <w:r w:rsidR="006C680D" w:rsidRPr="00D337FA">
        <w:rPr>
          <w:szCs w:val="24"/>
        </w:rPr>
        <w:t xml:space="preserve"> </w:t>
      </w:r>
      <w:r w:rsidRPr="00D337FA">
        <w:rPr>
          <w:szCs w:val="24"/>
        </w:rPr>
        <w:t>превратит</w:t>
      </w:r>
      <w:r w:rsidR="006C680D" w:rsidRPr="00D337FA">
        <w:rPr>
          <w:szCs w:val="24"/>
        </w:rPr>
        <w:t xml:space="preserve"> </w:t>
      </w:r>
      <w:r w:rsidRPr="00D337FA">
        <w:rPr>
          <w:szCs w:val="24"/>
        </w:rPr>
        <w:t>банк</w:t>
      </w:r>
      <w:r w:rsidR="006C680D" w:rsidRPr="00D337FA">
        <w:rPr>
          <w:szCs w:val="24"/>
        </w:rPr>
        <w:t xml:space="preserve"> </w:t>
      </w:r>
      <w:r w:rsidRPr="00D337FA">
        <w:rPr>
          <w:szCs w:val="24"/>
        </w:rPr>
        <w:t>в</w:t>
      </w:r>
      <w:r w:rsidR="006C680D" w:rsidRPr="00D337FA">
        <w:rPr>
          <w:szCs w:val="24"/>
        </w:rPr>
        <w:t xml:space="preserve"> </w:t>
      </w:r>
      <w:r w:rsidRPr="00D337FA">
        <w:rPr>
          <w:szCs w:val="24"/>
        </w:rPr>
        <w:t>неотъемлемый</w:t>
      </w:r>
      <w:r w:rsidR="006C680D" w:rsidRPr="00D337FA">
        <w:rPr>
          <w:szCs w:val="24"/>
        </w:rPr>
        <w:t xml:space="preserve"> </w:t>
      </w:r>
      <w:r w:rsidRPr="00D337FA">
        <w:rPr>
          <w:szCs w:val="24"/>
        </w:rPr>
        <w:t>элемент</w:t>
      </w:r>
      <w:r w:rsidR="006C680D" w:rsidRPr="00D337FA">
        <w:rPr>
          <w:szCs w:val="24"/>
        </w:rPr>
        <w:t xml:space="preserve"> </w:t>
      </w:r>
      <w:r w:rsidRPr="00D337FA">
        <w:rPr>
          <w:szCs w:val="24"/>
        </w:rPr>
        <w:t>его</w:t>
      </w:r>
      <w:r w:rsidR="006C680D" w:rsidRPr="00D337FA">
        <w:rPr>
          <w:szCs w:val="24"/>
        </w:rPr>
        <w:t xml:space="preserve"> </w:t>
      </w:r>
      <w:r w:rsidRPr="00D337FA">
        <w:rPr>
          <w:szCs w:val="24"/>
        </w:rPr>
        <w:t>операционной</w:t>
      </w:r>
      <w:r w:rsidR="006C680D" w:rsidRPr="00D337FA">
        <w:rPr>
          <w:szCs w:val="24"/>
        </w:rPr>
        <w:t xml:space="preserve"> </w:t>
      </w:r>
      <w:r w:rsidRPr="00D337FA">
        <w:rPr>
          <w:szCs w:val="24"/>
        </w:rPr>
        <w:t>инфраструктуры.</w:t>
      </w:r>
    </w:p>
    <w:p w:rsidR="00E70CAD" w:rsidRPr="00D337FA" w:rsidRDefault="00E70CAD" w:rsidP="005A0605">
      <w:pPr>
        <w:numPr>
          <w:ilvl w:val="0"/>
          <w:numId w:val="12"/>
        </w:numPr>
        <w:tabs>
          <w:tab w:val="clear" w:pos="720"/>
        </w:tabs>
        <w:ind w:left="0" w:firstLine="284"/>
        <w:rPr>
          <w:szCs w:val="24"/>
        </w:rPr>
      </w:pPr>
      <w:r w:rsidRPr="00D337FA">
        <w:rPr>
          <w:bCs/>
          <w:szCs w:val="24"/>
        </w:rPr>
        <w:t>Развитие</w:t>
      </w:r>
      <w:r w:rsidR="006C680D" w:rsidRPr="00D337FA">
        <w:rPr>
          <w:bCs/>
          <w:szCs w:val="24"/>
        </w:rPr>
        <w:t xml:space="preserve"> </w:t>
      </w:r>
      <w:r w:rsidRPr="00D337FA">
        <w:rPr>
          <w:bCs/>
          <w:szCs w:val="24"/>
        </w:rPr>
        <w:t>динамического</w:t>
      </w:r>
      <w:r w:rsidR="006C680D" w:rsidRPr="00D337FA">
        <w:rPr>
          <w:bCs/>
          <w:szCs w:val="24"/>
        </w:rPr>
        <w:t xml:space="preserve"> </w:t>
      </w:r>
      <w:r w:rsidRPr="00D337FA">
        <w:rPr>
          <w:bCs/>
          <w:szCs w:val="24"/>
        </w:rPr>
        <w:t>скоринга</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основе</w:t>
      </w:r>
      <w:r w:rsidR="006C680D" w:rsidRPr="00D337FA">
        <w:rPr>
          <w:bCs/>
          <w:szCs w:val="24"/>
        </w:rPr>
        <w:t xml:space="preserve"> </w:t>
      </w:r>
      <w:r w:rsidRPr="00D337FA">
        <w:rPr>
          <w:bCs/>
          <w:szCs w:val="24"/>
        </w:rPr>
        <w:t>потоков</w:t>
      </w:r>
      <w:r w:rsidR="006C680D" w:rsidRPr="00D337FA">
        <w:rPr>
          <w:bCs/>
          <w:szCs w:val="24"/>
        </w:rPr>
        <w:t xml:space="preserve"> </w:t>
      </w:r>
      <w:r w:rsidRPr="00D337FA">
        <w:rPr>
          <w:bCs/>
          <w:szCs w:val="24"/>
        </w:rPr>
        <w:t>операционных</w:t>
      </w:r>
      <w:r w:rsidR="006C680D" w:rsidRPr="00D337FA">
        <w:rPr>
          <w:bCs/>
          <w:szCs w:val="24"/>
        </w:rPr>
        <w:t xml:space="preserve"> </w:t>
      </w:r>
      <w:r w:rsidRPr="00D337FA">
        <w:rPr>
          <w:bCs/>
          <w:szCs w:val="24"/>
        </w:rPr>
        <w:t>данных.</w:t>
      </w:r>
      <w:r w:rsidR="006C680D" w:rsidRPr="00D337FA">
        <w:rPr>
          <w:szCs w:val="24"/>
        </w:rPr>
        <w:t xml:space="preserve"> </w:t>
      </w:r>
      <w:r w:rsidRPr="00D337FA">
        <w:rPr>
          <w:szCs w:val="24"/>
        </w:rPr>
        <w:t>В</w:t>
      </w:r>
      <w:r w:rsidR="006C680D" w:rsidRPr="00D337FA">
        <w:rPr>
          <w:szCs w:val="24"/>
        </w:rPr>
        <w:t xml:space="preserve"> </w:t>
      </w:r>
      <w:r w:rsidRPr="00D337FA">
        <w:rPr>
          <w:szCs w:val="24"/>
        </w:rPr>
        <w:t>противовес</w:t>
      </w:r>
      <w:r w:rsidR="006C680D" w:rsidRPr="00D337FA">
        <w:rPr>
          <w:szCs w:val="24"/>
        </w:rPr>
        <w:t xml:space="preserve"> </w:t>
      </w:r>
      <w:r w:rsidRPr="00D337FA">
        <w:rPr>
          <w:szCs w:val="24"/>
        </w:rPr>
        <w:t>шаблонным</w:t>
      </w:r>
      <w:r w:rsidR="006C680D" w:rsidRPr="00D337FA">
        <w:rPr>
          <w:szCs w:val="24"/>
        </w:rPr>
        <w:t xml:space="preserve"> </w:t>
      </w:r>
      <w:r w:rsidRPr="00D337FA">
        <w:rPr>
          <w:szCs w:val="24"/>
        </w:rPr>
        <w:t>отраслевым</w:t>
      </w:r>
      <w:r w:rsidR="006C680D" w:rsidRPr="00D337FA">
        <w:rPr>
          <w:szCs w:val="24"/>
        </w:rPr>
        <w:t xml:space="preserve"> </w:t>
      </w:r>
      <w:r w:rsidRPr="00D337FA">
        <w:rPr>
          <w:szCs w:val="24"/>
        </w:rPr>
        <w:t>решениям</w:t>
      </w:r>
      <w:r w:rsidR="006C680D" w:rsidRPr="00D337FA">
        <w:rPr>
          <w:szCs w:val="24"/>
        </w:rPr>
        <w:t xml:space="preserve"> </w:t>
      </w:r>
      <w:r w:rsidRPr="00D337FA">
        <w:rPr>
          <w:szCs w:val="24"/>
        </w:rPr>
        <w:t>предлагается</w:t>
      </w:r>
      <w:r w:rsidR="006C680D" w:rsidRPr="00D337FA">
        <w:rPr>
          <w:szCs w:val="24"/>
        </w:rPr>
        <w:t xml:space="preserve"> </w:t>
      </w:r>
      <w:r w:rsidRPr="00D337FA">
        <w:rPr>
          <w:szCs w:val="24"/>
        </w:rPr>
        <w:t>внедрение</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оценки</w:t>
      </w:r>
      <w:r w:rsidR="006C680D" w:rsidRPr="00D337FA">
        <w:rPr>
          <w:szCs w:val="24"/>
        </w:rPr>
        <w:t xml:space="preserve"> </w:t>
      </w:r>
      <w:r w:rsidRPr="00D337FA">
        <w:rPr>
          <w:szCs w:val="24"/>
        </w:rPr>
        <w:t>кредитоспособности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режиме,</w:t>
      </w:r>
      <w:r w:rsidR="006C680D" w:rsidRPr="00D337FA">
        <w:rPr>
          <w:szCs w:val="24"/>
        </w:rPr>
        <w:t xml:space="preserve"> </w:t>
      </w:r>
      <w:r w:rsidRPr="00D337FA">
        <w:rPr>
          <w:szCs w:val="24"/>
        </w:rPr>
        <w:t>близком</w:t>
      </w:r>
      <w:r w:rsidR="006C680D" w:rsidRPr="00D337FA">
        <w:rPr>
          <w:szCs w:val="24"/>
        </w:rPr>
        <w:t xml:space="preserve"> </w:t>
      </w:r>
      <w:r w:rsidRPr="00D337FA">
        <w:rPr>
          <w:szCs w:val="24"/>
        </w:rPr>
        <w:t>к</w:t>
      </w:r>
      <w:r w:rsidR="006C680D" w:rsidRPr="00D337FA">
        <w:rPr>
          <w:szCs w:val="24"/>
        </w:rPr>
        <w:t xml:space="preserve"> </w:t>
      </w:r>
      <w:r w:rsidRPr="00D337FA">
        <w:rPr>
          <w:szCs w:val="24"/>
        </w:rPr>
        <w:t>реальному</w:t>
      </w:r>
      <w:r w:rsidR="006C680D" w:rsidRPr="00D337FA">
        <w:rPr>
          <w:szCs w:val="24"/>
        </w:rPr>
        <w:t xml:space="preserve"> </w:t>
      </w:r>
      <w:r w:rsidRPr="00D337FA">
        <w:rPr>
          <w:szCs w:val="24"/>
        </w:rPr>
        <w:t>времени,</w:t>
      </w:r>
      <w:r w:rsidR="006C680D" w:rsidRPr="00D337FA">
        <w:rPr>
          <w:szCs w:val="24"/>
        </w:rPr>
        <w:t xml:space="preserve"> </w:t>
      </w: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следа</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оборота</w:t>
      </w:r>
      <w:r w:rsidR="006C680D" w:rsidRPr="00D337FA">
        <w:rPr>
          <w:szCs w:val="24"/>
        </w:rPr>
        <w:t xml:space="preserve"> </w:t>
      </w:r>
      <w:r w:rsidRPr="00D337FA">
        <w:rPr>
          <w:szCs w:val="24"/>
        </w:rPr>
        <w:t>по</w:t>
      </w:r>
      <w:r w:rsidR="006C680D" w:rsidRPr="00D337FA">
        <w:rPr>
          <w:szCs w:val="24"/>
        </w:rPr>
        <w:t xml:space="preserve"> </w:t>
      </w:r>
      <w:r w:rsidRPr="00D337FA">
        <w:rPr>
          <w:szCs w:val="24"/>
        </w:rPr>
        <w:t>счетам,</w:t>
      </w:r>
      <w:r w:rsidR="006C680D" w:rsidRPr="00D337FA">
        <w:rPr>
          <w:szCs w:val="24"/>
        </w:rPr>
        <w:t xml:space="preserve"> </w:t>
      </w:r>
      <w:r w:rsidRPr="00D337FA">
        <w:rPr>
          <w:szCs w:val="24"/>
        </w:rPr>
        <w:t>динамики</w:t>
      </w:r>
      <w:r w:rsidR="006C680D" w:rsidRPr="00D337FA">
        <w:rPr>
          <w:szCs w:val="24"/>
        </w:rPr>
        <w:t xml:space="preserve"> </w:t>
      </w:r>
      <w:r w:rsidRPr="00D337FA">
        <w:rPr>
          <w:szCs w:val="24"/>
        </w:rPr>
        <w:t>продаж</w:t>
      </w:r>
      <w:r w:rsidR="006C680D" w:rsidRPr="00D337FA">
        <w:rPr>
          <w:szCs w:val="24"/>
        </w:rPr>
        <w:t xml:space="preserve"> </w:t>
      </w:r>
      <w:r w:rsidRPr="00D337FA">
        <w:rPr>
          <w:szCs w:val="24"/>
        </w:rPr>
        <w:t>на</w:t>
      </w:r>
      <w:r w:rsidR="006C680D" w:rsidRPr="00D337FA">
        <w:rPr>
          <w:szCs w:val="24"/>
        </w:rPr>
        <w:t xml:space="preserve"> </w:t>
      </w:r>
      <w:r w:rsidRPr="00D337FA">
        <w:rPr>
          <w:szCs w:val="24"/>
        </w:rPr>
        <w:t>маркетплейсах,</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об</w:t>
      </w:r>
      <w:r w:rsidR="006C680D" w:rsidRPr="00D337FA">
        <w:rPr>
          <w:szCs w:val="24"/>
        </w:rPr>
        <w:t xml:space="preserve"> </w:t>
      </w:r>
      <w:r w:rsidRPr="00D337FA">
        <w:rPr>
          <w:szCs w:val="24"/>
        </w:rPr>
        <w:t>исполнении</w:t>
      </w:r>
      <w:r w:rsidR="006C680D" w:rsidRPr="00D337FA">
        <w:rPr>
          <w:szCs w:val="24"/>
        </w:rPr>
        <w:t xml:space="preserve"> </w:t>
      </w:r>
      <w:r w:rsidRPr="00D337FA">
        <w:rPr>
          <w:szCs w:val="24"/>
        </w:rPr>
        <w:t>контрактов.</w:t>
      </w:r>
      <w:r w:rsidR="006C680D" w:rsidRPr="00D337FA">
        <w:rPr>
          <w:szCs w:val="24"/>
        </w:rPr>
        <w:t xml:space="preserve"> </w:t>
      </w:r>
      <w:r w:rsidRPr="00D337FA">
        <w:rPr>
          <w:szCs w:val="24"/>
        </w:rPr>
        <w:t>Это</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снизить</w:t>
      </w:r>
      <w:r w:rsidR="006C680D" w:rsidRPr="00D337FA">
        <w:rPr>
          <w:szCs w:val="24"/>
        </w:rPr>
        <w:t xml:space="preserve"> </w:t>
      </w:r>
      <w:r w:rsidRPr="00D337FA">
        <w:rPr>
          <w:szCs w:val="24"/>
        </w:rPr>
        <w:t>риски</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предлагать</w:t>
      </w:r>
      <w:r w:rsidR="006C680D" w:rsidRPr="00D337FA">
        <w:rPr>
          <w:szCs w:val="24"/>
        </w:rPr>
        <w:t xml:space="preserve"> </w:t>
      </w:r>
      <w:r w:rsidRPr="00D337FA">
        <w:rPr>
          <w:szCs w:val="24"/>
        </w:rPr>
        <w:t>действительно</w:t>
      </w:r>
      <w:r w:rsidR="006C680D" w:rsidRPr="00D337FA">
        <w:rPr>
          <w:szCs w:val="24"/>
        </w:rPr>
        <w:t xml:space="preserve"> </w:t>
      </w:r>
      <w:r w:rsidRPr="00D337FA">
        <w:rPr>
          <w:szCs w:val="24"/>
        </w:rPr>
        <w:t>кастомизированные</w:t>
      </w:r>
      <w:r w:rsidR="006C680D" w:rsidRPr="00D337FA">
        <w:rPr>
          <w:szCs w:val="24"/>
        </w:rPr>
        <w:t xml:space="preserve"> </w:t>
      </w:r>
      <w:r w:rsidRPr="00D337FA">
        <w:rPr>
          <w:szCs w:val="24"/>
        </w:rPr>
        <w:t>финансовые</w:t>
      </w:r>
      <w:r w:rsidR="006C680D" w:rsidRPr="00D337FA">
        <w:rPr>
          <w:szCs w:val="24"/>
        </w:rPr>
        <w:t xml:space="preserve"> </w:t>
      </w:r>
      <w:r w:rsidRPr="00D337FA">
        <w:rPr>
          <w:szCs w:val="24"/>
        </w:rPr>
        <w:t>продукты.</w:t>
      </w:r>
    </w:p>
    <w:p w:rsidR="00E70CAD" w:rsidRPr="00D337FA" w:rsidRDefault="00E70CAD" w:rsidP="005A0605">
      <w:pPr>
        <w:numPr>
          <w:ilvl w:val="0"/>
          <w:numId w:val="12"/>
        </w:numPr>
        <w:tabs>
          <w:tab w:val="clear" w:pos="720"/>
        </w:tabs>
        <w:ind w:left="0" w:firstLine="284"/>
        <w:rPr>
          <w:szCs w:val="24"/>
        </w:rPr>
      </w:pPr>
      <w:r w:rsidRPr="00D337FA">
        <w:rPr>
          <w:bCs/>
          <w:szCs w:val="24"/>
        </w:rPr>
        <w:t>Создание</w:t>
      </w:r>
      <w:r w:rsidR="006C680D" w:rsidRPr="00D337FA">
        <w:rPr>
          <w:bCs/>
          <w:szCs w:val="24"/>
        </w:rPr>
        <w:t xml:space="preserve"> </w:t>
      </w:r>
      <w:r w:rsidRPr="00D337FA">
        <w:rPr>
          <w:bCs/>
          <w:szCs w:val="24"/>
        </w:rPr>
        <w:t>банковских</w:t>
      </w:r>
      <w:r w:rsidR="006C680D" w:rsidRPr="00D337FA">
        <w:rPr>
          <w:bCs/>
          <w:szCs w:val="24"/>
        </w:rPr>
        <w:t xml:space="preserve"> </w:t>
      </w:r>
      <w:r w:rsidRPr="00D337FA">
        <w:rPr>
          <w:bCs/>
          <w:szCs w:val="24"/>
        </w:rPr>
        <w:t>«конструкторов</w:t>
      </w:r>
      <w:r w:rsidR="006C680D" w:rsidRPr="00D337FA">
        <w:rPr>
          <w:bCs/>
          <w:szCs w:val="24"/>
        </w:rPr>
        <w:t xml:space="preserve"> </w:t>
      </w:r>
      <w:r w:rsidRPr="00D337FA">
        <w:rPr>
          <w:bCs/>
          <w:szCs w:val="24"/>
        </w:rPr>
        <w:t>бизнес-компетенций».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удовлетво</w:t>
      </w:r>
      <w:r w:rsidRPr="00D337FA">
        <w:rPr>
          <w:szCs w:val="24"/>
        </w:rPr>
        <w:lastRenderedPageBreak/>
        <w:t>рения</w:t>
      </w:r>
      <w:r w:rsidR="006C680D" w:rsidRPr="00D337FA">
        <w:rPr>
          <w:szCs w:val="24"/>
        </w:rPr>
        <w:t xml:space="preserve"> </w:t>
      </w:r>
      <w:r w:rsidRPr="00D337FA">
        <w:rPr>
          <w:szCs w:val="24"/>
        </w:rPr>
        <w:t>выявленного</w:t>
      </w:r>
      <w:r w:rsidR="006C680D" w:rsidRPr="00D337FA">
        <w:rPr>
          <w:szCs w:val="24"/>
        </w:rPr>
        <w:t xml:space="preserve"> </w:t>
      </w:r>
      <w:r w:rsidRPr="00D337FA">
        <w:rPr>
          <w:szCs w:val="24"/>
        </w:rPr>
        <w:t>спроса</w:t>
      </w:r>
      <w:r w:rsidR="006C680D" w:rsidRPr="00D337FA">
        <w:rPr>
          <w:szCs w:val="24"/>
        </w:rPr>
        <w:t xml:space="preserve"> </w:t>
      </w:r>
      <w:r w:rsidRPr="00D337FA">
        <w:rPr>
          <w:szCs w:val="24"/>
        </w:rPr>
        <w:t>на</w:t>
      </w:r>
      <w:r w:rsidR="006C680D" w:rsidRPr="00D337FA">
        <w:rPr>
          <w:szCs w:val="24"/>
        </w:rPr>
        <w:t xml:space="preserve"> </w:t>
      </w:r>
      <w:r w:rsidRPr="00D337FA">
        <w:rPr>
          <w:szCs w:val="24"/>
        </w:rPr>
        <w:t>нефинансовую</w:t>
      </w:r>
      <w:r w:rsidR="006C680D" w:rsidRPr="00D337FA">
        <w:rPr>
          <w:szCs w:val="24"/>
        </w:rPr>
        <w:t xml:space="preserve"> </w:t>
      </w:r>
      <w:r w:rsidRPr="00D337FA">
        <w:rPr>
          <w:szCs w:val="24"/>
        </w:rPr>
        <w:t>поддержку</w:t>
      </w:r>
      <w:r w:rsidR="006C680D" w:rsidRPr="00D337FA">
        <w:rPr>
          <w:szCs w:val="24"/>
        </w:rPr>
        <w:t xml:space="preserve"> </w:t>
      </w:r>
      <w:r w:rsidRPr="00D337FA">
        <w:rPr>
          <w:szCs w:val="24"/>
        </w:rPr>
        <w:t>предлагается</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платформ,</w:t>
      </w:r>
      <w:r w:rsidR="006C680D" w:rsidRPr="00D337FA">
        <w:rPr>
          <w:szCs w:val="24"/>
        </w:rPr>
        <w:t xml:space="preserve"> </w:t>
      </w:r>
      <w:r w:rsidRPr="00D337FA">
        <w:rPr>
          <w:szCs w:val="24"/>
        </w:rPr>
        <w:t>агрегирующих</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базовые</w:t>
      </w:r>
      <w:r w:rsidR="006C680D" w:rsidRPr="00D337FA">
        <w:rPr>
          <w:szCs w:val="24"/>
        </w:rPr>
        <w:t xml:space="preserve"> </w:t>
      </w:r>
      <w:r w:rsidRPr="00D337FA">
        <w:rPr>
          <w:szCs w:val="24"/>
        </w:rPr>
        <w:t>юридические</w:t>
      </w:r>
      <w:r w:rsidR="006C680D" w:rsidRPr="00D337FA">
        <w:rPr>
          <w:szCs w:val="24"/>
        </w:rPr>
        <w:t xml:space="preserve"> </w:t>
      </w:r>
      <w:r w:rsidRPr="00D337FA">
        <w:rPr>
          <w:szCs w:val="24"/>
        </w:rPr>
        <w:t>и</w:t>
      </w:r>
      <w:r w:rsidR="006C680D" w:rsidRPr="00D337FA">
        <w:rPr>
          <w:szCs w:val="24"/>
        </w:rPr>
        <w:t xml:space="preserve"> </w:t>
      </w:r>
      <w:r w:rsidRPr="00D337FA">
        <w:rPr>
          <w:szCs w:val="24"/>
        </w:rPr>
        <w:t>бухгалтерские</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для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репутацией,</w:t>
      </w:r>
      <w:r w:rsidR="006C680D" w:rsidRPr="00D337FA">
        <w:rPr>
          <w:szCs w:val="24"/>
        </w:rPr>
        <w:t xml:space="preserve"> </w:t>
      </w:r>
      <w:r w:rsidRPr="00D337FA">
        <w:rPr>
          <w:szCs w:val="24"/>
        </w:rPr>
        <w:t>клиентской</w:t>
      </w:r>
      <w:r w:rsidR="006C680D" w:rsidRPr="00D337FA">
        <w:rPr>
          <w:szCs w:val="24"/>
        </w:rPr>
        <w:t xml:space="preserve"> </w:t>
      </w:r>
      <w:r w:rsidRPr="00D337FA">
        <w:rPr>
          <w:szCs w:val="24"/>
        </w:rPr>
        <w:t>базой</w:t>
      </w:r>
      <w:r w:rsidR="006C680D" w:rsidRPr="00D337FA">
        <w:rPr>
          <w:szCs w:val="24"/>
        </w:rPr>
        <w:t xml:space="preserve"> </w:t>
      </w:r>
      <w:r w:rsidRPr="00D337FA">
        <w:rPr>
          <w:szCs w:val="24"/>
        </w:rPr>
        <w:t>(упрощенные</w:t>
      </w:r>
      <w:r w:rsidR="006C680D" w:rsidRPr="00D337FA">
        <w:rPr>
          <w:szCs w:val="24"/>
        </w:rPr>
        <w:t xml:space="preserve"> </w:t>
      </w:r>
      <w:r w:rsidRPr="00D337FA">
        <w:rPr>
          <w:szCs w:val="24"/>
        </w:rPr>
        <w:t>CRM),</w:t>
      </w:r>
      <w:r w:rsidR="006C680D" w:rsidRPr="00D337FA">
        <w:rPr>
          <w:szCs w:val="24"/>
        </w:rPr>
        <w:t xml:space="preserve"> </w:t>
      </w:r>
      <w:r w:rsidRPr="00D337FA">
        <w:rPr>
          <w:szCs w:val="24"/>
        </w:rPr>
        <w:t>защиты</w:t>
      </w:r>
      <w:r w:rsidR="006C680D" w:rsidRPr="00D337FA">
        <w:rPr>
          <w:szCs w:val="24"/>
        </w:rPr>
        <w:t xml:space="preserve"> </w:t>
      </w:r>
      <w:r w:rsidRPr="00D337FA">
        <w:rPr>
          <w:szCs w:val="24"/>
        </w:rPr>
        <w:t>интеллектуальной</w:t>
      </w:r>
      <w:r w:rsidR="006C680D" w:rsidRPr="00D337FA">
        <w:rPr>
          <w:szCs w:val="24"/>
        </w:rPr>
        <w:t xml:space="preserve"> </w:t>
      </w:r>
      <w:r w:rsidRPr="00D337FA">
        <w:rPr>
          <w:szCs w:val="24"/>
        </w:rPr>
        <w:t>собственности,</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повысит</w:t>
      </w:r>
      <w:r w:rsidR="006C680D" w:rsidRPr="00D337FA">
        <w:rPr>
          <w:szCs w:val="24"/>
        </w:rPr>
        <w:t xml:space="preserve"> </w:t>
      </w:r>
      <w:r w:rsidRPr="00D337FA">
        <w:rPr>
          <w:szCs w:val="24"/>
        </w:rPr>
        <w:t>капитализацию</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p>
    <w:p w:rsidR="00E70CAD" w:rsidRPr="00D337FA" w:rsidRDefault="00E70CAD" w:rsidP="005A0605">
      <w:pPr>
        <w:numPr>
          <w:ilvl w:val="0"/>
          <w:numId w:val="12"/>
        </w:numPr>
        <w:tabs>
          <w:tab w:val="clear" w:pos="720"/>
        </w:tabs>
        <w:ind w:left="0" w:firstLine="284"/>
        <w:rPr>
          <w:szCs w:val="24"/>
        </w:rPr>
      </w:pPr>
      <w:r w:rsidRPr="00D337FA">
        <w:rPr>
          <w:bCs/>
          <w:szCs w:val="24"/>
        </w:rPr>
        <w:t>Стимулирование</w:t>
      </w:r>
      <w:r w:rsidR="006C680D" w:rsidRPr="00D337FA">
        <w:rPr>
          <w:bCs/>
          <w:szCs w:val="24"/>
        </w:rPr>
        <w:t xml:space="preserve"> </w:t>
      </w:r>
      <w:r w:rsidRPr="00D337FA">
        <w:rPr>
          <w:bCs/>
          <w:szCs w:val="24"/>
        </w:rPr>
        <w:t>развития</w:t>
      </w:r>
      <w:r w:rsidR="006C680D" w:rsidRPr="00D337FA">
        <w:rPr>
          <w:bCs/>
          <w:szCs w:val="24"/>
        </w:rPr>
        <w:t xml:space="preserve"> </w:t>
      </w:r>
      <w:r w:rsidRPr="00D337FA">
        <w:rPr>
          <w:bCs/>
          <w:szCs w:val="24"/>
        </w:rPr>
        <w:t>отраслевых</w:t>
      </w:r>
      <w:r w:rsidR="006C680D" w:rsidRPr="00D337FA">
        <w:rPr>
          <w:bCs/>
          <w:szCs w:val="24"/>
        </w:rPr>
        <w:t xml:space="preserve"> </w:t>
      </w:r>
      <w:r w:rsidRPr="00D337FA">
        <w:rPr>
          <w:bCs/>
          <w:szCs w:val="24"/>
        </w:rPr>
        <w:t>API-стандартов.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снижения</w:t>
      </w:r>
      <w:r w:rsidR="006C680D" w:rsidRPr="00D337FA">
        <w:rPr>
          <w:szCs w:val="24"/>
        </w:rPr>
        <w:t xml:space="preserve"> </w:t>
      </w:r>
      <w:r w:rsidRPr="00D337FA">
        <w:rPr>
          <w:szCs w:val="24"/>
        </w:rPr>
        <w:t>барьеров</w:t>
      </w:r>
      <w:r w:rsidR="006C680D" w:rsidRPr="00D337FA">
        <w:rPr>
          <w:szCs w:val="24"/>
        </w:rPr>
        <w:t xml:space="preserve"> </w:t>
      </w:r>
      <w:r w:rsidRPr="00D337FA">
        <w:rPr>
          <w:szCs w:val="24"/>
        </w:rPr>
        <w:t>входа</w:t>
      </w:r>
      <w:r w:rsidR="006C680D" w:rsidRPr="00D337FA">
        <w:rPr>
          <w:szCs w:val="24"/>
        </w:rPr>
        <w:t xml:space="preserve"> </w:t>
      </w:r>
      <w:r w:rsidRPr="00D337FA">
        <w:rPr>
          <w:szCs w:val="24"/>
        </w:rPr>
        <w:t>на</w:t>
      </w:r>
      <w:r w:rsidR="006C680D" w:rsidRPr="00D337FA">
        <w:rPr>
          <w:szCs w:val="24"/>
        </w:rPr>
        <w:t xml:space="preserve"> </w:t>
      </w:r>
      <w:r w:rsidRPr="00D337FA">
        <w:rPr>
          <w:szCs w:val="24"/>
        </w:rPr>
        <w:t>рынок</w:t>
      </w:r>
      <w:r w:rsidR="006C680D" w:rsidRPr="00D337FA">
        <w:rPr>
          <w:szCs w:val="24"/>
        </w:rPr>
        <w:t xml:space="preserve"> </w:t>
      </w:r>
      <w:r w:rsidRPr="00D337FA">
        <w:rPr>
          <w:szCs w:val="24"/>
        </w:rPr>
        <w:t>и</w:t>
      </w:r>
      <w:r w:rsidR="006C680D" w:rsidRPr="00D337FA">
        <w:rPr>
          <w:szCs w:val="24"/>
        </w:rPr>
        <w:t xml:space="preserve"> </w:t>
      </w:r>
      <w:r w:rsidRPr="00D337FA">
        <w:rPr>
          <w:szCs w:val="24"/>
        </w:rPr>
        <w:t>преодоления</w:t>
      </w:r>
      <w:r w:rsidR="006C680D" w:rsidRPr="00D337FA">
        <w:rPr>
          <w:szCs w:val="24"/>
        </w:rPr>
        <w:t xml:space="preserve"> </w:t>
      </w:r>
      <w:r w:rsidRPr="00D337FA">
        <w:rPr>
          <w:szCs w:val="24"/>
        </w:rPr>
        <w:t>«дилеммы</w:t>
      </w:r>
      <w:r w:rsidR="006C680D" w:rsidRPr="00D337FA">
        <w:rPr>
          <w:szCs w:val="24"/>
        </w:rPr>
        <w:t xml:space="preserve"> </w:t>
      </w:r>
      <w:r w:rsidRPr="00D337FA">
        <w:rPr>
          <w:szCs w:val="24"/>
        </w:rPr>
        <w:t>инноватора»</w:t>
      </w:r>
      <w:r w:rsidR="006C680D" w:rsidRPr="00D337FA">
        <w:rPr>
          <w:szCs w:val="24"/>
        </w:rPr>
        <w:t xml:space="preserve"> </w:t>
      </w:r>
      <w:r w:rsidRPr="00D337FA">
        <w:rPr>
          <w:szCs w:val="24"/>
        </w:rPr>
        <w:t>у</w:t>
      </w:r>
      <w:r w:rsidR="006C680D" w:rsidRPr="00D337FA">
        <w:rPr>
          <w:szCs w:val="24"/>
        </w:rPr>
        <w:t xml:space="preserve"> </w:t>
      </w:r>
      <w:r w:rsidRPr="00D337FA">
        <w:rPr>
          <w:szCs w:val="24"/>
        </w:rPr>
        <w:t>банков,</w:t>
      </w:r>
      <w:r w:rsidR="006C680D" w:rsidRPr="00D337FA">
        <w:rPr>
          <w:szCs w:val="24"/>
        </w:rPr>
        <w:t xml:space="preserve"> </w:t>
      </w:r>
      <w:r w:rsidRPr="00D337FA">
        <w:rPr>
          <w:szCs w:val="24"/>
        </w:rPr>
        <w:t>не</w:t>
      </w:r>
      <w:r w:rsidR="006C680D" w:rsidRPr="00D337FA">
        <w:rPr>
          <w:szCs w:val="24"/>
        </w:rPr>
        <w:t xml:space="preserve"> </w:t>
      </w:r>
      <w:r w:rsidRPr="00D337FA">
        <w:rPr>
          <w:szCs w:val="24"/>
        </w:rPr>
        <w:t>входящих</w:t>
      </w:r>
      <w:r w:rsidR="006C680D" w:rsidRPr="00D337FA">
        <w:rPr>
          <w:szCs w:val="24"/>
        </w:rPr>
        <w:t xml:space="preserve"> </w:t>
      </w:r>
      <w:r w:rsidRPr="00D337FA">
        <w:rPr>
          <w:szCs w:val="24"/>
        </w:rPr>
        <w:t>в</w:t>
      </w:r>
      <w:r w:rsidR="006C680D" w:rsidRPr="00D337FA">
        <w:rPr>
          <w:szCs w:val="24"/>
        </w:rPr>
        <w:t xml:space="preserve"> </w:t>
      </w:r>
      <w:r w:rsidRPr="00D337FA">
        <w:rPr>
          <w:szCs w:val="24"/>
        </w:rPr>
        <w:t>топ</w:t>
      </w:r>
      <w:r w:rsidR="006C680D" w:rsidRPr="00D337FA">
        <w:rPr>
          <w:szCs w:val="24"/>
        </w:rPr>
        <w:t xml:space="preserve"> </w:t>
      </w:r>
      <w:r w:rsidRPr="00D337FA">
        <w:rPr>
          <w:szCs w:val="24"/>
        </w:rPr>
        <w:t>рейтингов,</w:t>
      </w:r>
      <w:r w:rsidR="006C680D" w:rsidRPr="00D337FA">
        <w:rPr>
          <w:szCs w:val="24"/>
        </w:rPr>
        <w:t xml:space="preserve"> </w:t>
      </w:r>
      <w:r w:rsidRPr="00D337FA">
        <w:rPr>
          <w:szCs w:val="24"/>
        </w:rPr>
        <w:t>целесообразно</w:t>
      </w:r>
      <w:r w:rsidR="006C680D" w:rsidRPr="00D337FA">
        <w:rPr>
          <w:szCs w:val="24"/>
        </w:rPr>
        <w:t xml:space="preserve"> </w:t>
      </w:r>
      <w:r w:rsidRPr="00D337FA">
        <w:rPr>
          <w:szCs w:val="24"/>
        </w:rPr>
        <w:t>инициировать</w:t>
      </w:r>
      <w:r w:rsidR="006C680D" w:rsidRPr="00D337FA">
        <w:rPr>
          <w:szCs w:val="24"/>
        </w:rPr>
        <w:t xml:space="preserve"> </w:t>
      </w:r>
      <w:r w:rsidRPr="00D337FA">
        <w:rPr>
          <w:szCs w:val="24"/>
        </w:rPr>
        <w:t>(при</w:t>
      </w:r>
      <w:r w:rsidR="006C680D" w:rsidRPr="00D337FA">
        <w:rPr>
          <w:szCs w:val="24"/>
        </w:rPr>
        <w:t xml:space="preserve"> </w:t>
      </w:r>
      <w:r w:rsidRPr="00D337FA">
        <w:rPr>
          <w:szCs w:val="24"/>
        </w:rPr>
        <w:t>участии</w:t>
      </w:r>
      <w:r w:rsidR="006C680D" w:rsidRPr="00D337FA">
        <w:rPr>
          <w:szCs w:val="24"/>
        </w:rPr>
        <w:t xml:space="preserve"> </w:t>
      </w:r>
      <w:r w:rsidRPr="00D337FA">
        <w:rPr>
          <w:szCs w:val="24"/>
        </w:rPr>
        <w:t>регулятора</w:t>
      </w:r>
      <w:r w:rsidR="006C680D" w:rsidRPr="00D337FA">
        <w:rPr>
          <w:szCs w:val="24"/>
        </w:rPr>
        <w:t xml:space="preserve"> </w:t>
      </w:r>
      <w:r w:rsidRPr="00D337FA">
        <w:rPr>
          <w:szCs w:val="24"/>
        </w:rPr>
        <w:t>и</w:t>
      </w:r>
      <w:r w:rsidR="006C680D" w:rsidRPr="00D337FA">
        <w:rPr>
          <w:szCs w:val="24"/>
        </w:rPr>
        <w:t xml:space="preserve"> </w:t>
      </w:r>
      <w:r w:rsidRPr="00D337FA">
        <w:rPr>
          <w:szCs w:val="24"/>
        </w:rPr>
        <w:t>банковских</w:t>
      </w:r>
      <w:r w:rsidR="006C680D" w:rsidRPr="00D337FA">
        <w:rPr>
          <w:szCs w:val="24"/>
        </w:rPr>
        <w:t xml:space="preserve"> </w:t>
      </w:r>
      <w:r w:rsidRPr="00D337FA">
        <w:rPr>
          <w:szCs w:val="24"/>
        </w:rPr>
        <w:t>ассоциаций)</w:t>
      </w:r>
      <w:r w:rsidR="006C680D" w:rsidRPr="00D337FA">
        <w:rPr>
          <w:szCs w:val="24"/>
        </w:rPr>
        <w:t xml:space="preserve"> </w:t>
      </w:r>
      <w:r w:rsidRPr="00D337FA">
        <w:rPr>
          <w:szCs w:val="24"/>
        </w:rPr>
        <w:t>разработку</w:t>
      </w:r>
      <w:r w:rsidR="006C680D" w:rsidRPr="00D337FA">
        <w:rPr>
          <w:szCs w:val="24"/>
        </w:rPr>
        <w:t xml:space="preserve"> </w:t>
      </w:r>
      <w:r w:rsidRPr="00D337FA">
        <w:rPr>
          <w:szCs w:val="24"/>
        </w:rPr>
        <w:t>открытых</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стандартов</w:t>
      </w:r>
      <w:r w:rsidR="006C680D" w:rsidRPr="00D337FA">
        <w:rPr>
          <w:szCs w:val="24"/>
        </w:rPr>
        <w:t xml:space="preserve"> </w:t>
      </w:r>
      <w:r w:rsidRPr="00D337FA">
        <w:rPr>
          <w:szCs w:val="24"/>
        </w:rPr>
        <w:t>API</w:t>
      </w:r>
      <w:r w:rsidR="006C680D" w:rsidRPr="00D337FA">
        <w:rPr>
          <w:szCs w:val="24"/>
        </w:rPr>
        <w:t xml:space="preserve"> </w:t>
      </w:r>
      <w:r w:rsidRPr="00D337FA">
        <w:rPr>
          <w:szCs w:val="24"/>
        </w:rPr>
        <w:t>и</w:t>
      </w:r>
      <w:r w:rsidR="006C680D" w:rsidRPr="00D337FA">
        <w:rPr>
          <w:szCs w:val="24"/>
        </w:rPr>
        <w:t xml:space="preserve"> </w:t>
      </w:r>
      <w:r w:rsidRPr="00D337FA">
        <w:rPr>
          <w:szCs w:val="24"/>
        </w:rPr>
        <w:t>создание</w:t>
      </w:r>
      <w:r w:rsidR="006C680D" w:rsidRPr="00D337FA">
        <w:rPr>
          <w:szCs w:val="24"/>
        </w:rPr>
        <w:t xml:space="preserve"> </w:t>
      </w:r>
      <w:r w:rsidRPr="00D337FA">
        <w:rPr>
          <w:szCs w:val="24"/>
        </w:rPr>
        <w:t>регуляторных</w:t>
      </w:r>
      <w:r w:rsidR="006C680D" w:rsidRPr="00D337FA">
        <w:rPr>
          <w:szCs w:val="24"/>
        </w:rPr>
        <w:t xml:space="preserve"> </w:t>
      </w:r>
      <w:r w:rsidRPr="00D337FA">
        <w:rPr>
          <w:szCs w:val="24"/>
        </w:rPr>
        <w:t>«песочниц»</w:t>
      </w:r>
      <w:r w:rsidR="006C680D" w:rsidRPr="00D337FA">
        <w:rPr>
          <w:szCs w:val="24"/>
        </w:rPr>
        <w:t xml:space="preserve"> </w:t>
      </w:r>
      <w:r w:rsidRPr="00D337FA">
        <w:rPr>
          <w:szCs w:val="24"/>
        </w:rPr>
        <w:t>для</w:t>
      </w:r>
      <w:r w:rsidR="006C680D" w:rsidRPr="00D337FA">
        <w:rPr>
          <w:szCs w:val="24"/>
        </w:rPr>
        <w:t xml:space="preserve"> </w:t>
      </w:r>
      <w:r w:rsidRPr="00D337FA">
        <w:rPr>
          <w:szCs w:val="24"/>
        </w:rPr>
        <w:t>тестирования</w:t>
      </w:r>
      <w:r w:rsidR="006C680D" w:rsidRPr="00D337FA">
        <w:rPr>
          <w:szCs w:val="24"/>
        </w:rPr>
        <w:t xml:space="preserve"> </w:t>
      </w:r>
      <w:r w:rsidRPr="00D337FA">
        <w:rPr>
          <w:szCs w:val="24"/>
        </w:rPr>
        <w:t>нишевых</w:t>
      </w:r>
      <w:r w:rsidR="006C680D" w:rsidRPr="00D337FA">
        <w:rPr>
          <w:szCs w:val="24"/>
        </w:rPr>
        <w:t xml:space="preserve"> </w:t>
      </w:r>
      <w:r w:rsidRPr="00D337FA">
        <w:rPr>
          <w:szCs w:val="24"/>
        </w:rPr>
        <w:t>решений.</w:t>
      </w:r>
    </w:p>
    <w:p w:rsidR="00E70CAD" w:rsidRPr="00D337FA" w:rsidRDefault="00E70CAD" w:rsidP="00E70CAD">
      <w:pPr>
        <w:ind w:firstLine="284"/>
        <w:rPr>
          <w:szCs w:val="24"/>
        </w:rPr>
      </w:pPr>
      <w:r w:rsidRPr="00D337FA">
        <w:rPr>
          <w:bCs/>
          <w:szCs w:val="24"/>
        </w:rPr>
        <w:t>Область</w:t>
      </w:r>
      <w:r w:rsidR="006C680D" w:rsidRPr="00D337FA">
        <w:rPr>
          <w:bCs/>
          <w:szCs w:val="24"/>
        </w:rPr>
        <w:t xml:space="preserve"> </w:t>
      </w:r>
      <w:r w:rsidRPr="00D337FA">
        <w:rPr>
          <w:bCs/>
          <w:szCs w:val="24"/>
        </w:rPr>
        <w:t>применения</w:t>
      </w:r>
      <w:r w:rsidR="006C680D" w:rsidRPr="00D337FA">
        <w:rPr>
          <w:bCs/>
          <w:szCs w:val="24"/>
        </w:rPr>
        <w:t xml:space="preserve"> </w:t>
      </w:r>
      <w:r w:rsidRPr="00D337FA">
        <w:rPr>
          <w:bCs/>
          <w:szCs w:val="24"/>
        </w:rPr>
        <w:t>результатов</w:t>
      </w:r>
      <w:r w:rsidR="006C680D" w:rsidRPr="00D337FA">
        <w:rPr>
          <w:szCs w:val="24"/>
        </w:rPr>
        <w:t xml:space="preserve"> </w:t>
      </w:r>
      <w:r w:rsidRPr="00D337FA">
        <w:rPr>
          <w:szCs w:val="24"/>
        </w:rPr>
        <w:t>включает</w:t>
      </w:r>
      <w:r w:rsidR="006C680D" w:rsidRPr="00D337FA">
        <w:rPr>
          <w:szCs w:val="24"/>
        </w:rPr>
        <w:t xml:space="preserve"> </w:t>
      </w:r>
      <w:r w:rsidRPr="00D337FA">
        <w:rPr>
          <w:szCs w:val="24"/>
        </w:rPr>
        <w:t>стратегическое</w:t>
      </w:r>
      <w:r w:rsidR="006C680D" w:rsidRPr="00D337FA">
        <w:rPr>
          <w:szCs w:val="24"/>
        </w:rPr>
        <w:t xml:space="preserve"> </w:t>
      </w:r>
      <w:r w:rsidRPr="00D337FA">
        <w:rPr>
          <w:szCs w:val="24"/>
        </w:rPr>
        <w:t>планирование</w:t>
      </w:r>
      <w:r w:rsidR="006C680D" w:rsidRPr="00D337FA">
        <w:rPr>
          <w:szCs w:val="24"/>
        </w:rPr>
        <w:t xml:space="preserve"> </w:t>
      </w:r>
      <w:r w:rsidRPr="00D337FA">
        <w:rPr>
          <w:szCs w:val="24"/>
        </w:rPr>
        <w:t>в</w:t>
      </w:r>
      <w:r w:rsidR="006C680D" w:rsidRPr="00D337FA">
        <w:rPr>
          <w:szCs w:val="24"/>
        </w:rPr>
        <w:t xml:space="preserve"> </w:t>
      </w:r>
      <w:r w:rsidRPr="00D337FA">
        <w:rPr>
          <w:szCs w:val="24"/>
        </w:rPr>
        <w:t>кредитных</w:t>
      </w:r>
      <w:r w:rsidR="006C680D" w:rsidRPr="00D337FA">
        <w:rPr>
          <w:szCs w:val="24"/>
        </w:rPr>
        <w:t xml:space="preserve"> </w:t>
      </w:r>
      <w:r w:rsidRPr="00D337FA">
        <w:rPr>
          <w:szCs w:val="24"/>
        </w:rPr>
        <w:t>организациях,</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мер</w:t>
      </w:r>
      <w:r w:rsidR="006C680D" w:rsidRPr="00D337FA">
        <w:rPr>
          <w:szCs w:val="24"/>
        </w:rPr>
        <w:t xml:space="preserve"> </w:t>
      </w:r>
      <w:r w:rsidRPr="00D337FA">
        <w:rPr>
          <w:szCs w:val="24"/>
        </w:rPr>
        <w:t>государственной</w:t>
      </w:r>
      <w:r w:rsidR="006C680D" w:rsidRPr="00D337FA">
        <w:rPr>
          <w:szCs w:val="24"/>
        </w:rPr>
        <w:t xml:space="preserve"> </w:t>
      </w:r>
      <w:r w:rsidRPr="00D337FA">
        <w:rPr>
          <w:szCs w:val="24"/>
        </w:rPr>
        <w:t>и</w:t>
      </w:r>
      <w:r w:rsidR="006C680D" w:rsidRPr="00D337FA">
        <w:rPr>
          <w:szCs w:val="24"/>
        </w:rPr>
        <w:t xml:space="preserve"> </w:t>
      </w:r>
      <w:r w:rsidRPr="00D337FA">
        <w:rPr>
          <w:szCs w:val="24"/>
        </w:rPr>
        <w:t>регуляторной</w:t>
      </w:r>
      <w:r w:rsidR="006C680D" w:rsidRPr="00D337FA">
        <w:rPr>
          <w:szCs w:val="24"/>
        </w:rPr>
        <w:t xml:space="preserve"> </w:t>
      </w:r>
      <w:r w:rsidRPr="00D337FA">
        <w:rPr>
          <w:szCs w:val="24"/>
        </w:rPr>
        <w:t>поддержки,</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дальнейшие</w:t>
      </w:r>
      <w:r w:rsidR="006C680D" w:rsidRPr="00D337FA">
        <w:rPr>
          <w:szCs w:val="24"/>
        </w:rPr>
        <w:t xml:space="preserve"> </w:t>
      </w:r>
      <w:r w:rsidRPr="00D337FA">
        <w:rPr>
          <w:szCs w:val="24"/>
        </w:rPr>
        <w:t>академические</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и</w:t>
      </w:r>
      <w:r w:rsidR="006C680D" w:rsidRPr="00D337FA">
        <w:rPr>
          <w:szCs w:val="24"/>
        </w:rPr>
        <w:t xml:space="preserve"> </w:t>
      </w:r>
      <w:r w:rsidRPr="00D337FA">
        <w:rPr>
          <w:szCs w:val="24"/>
        </w:rPr>
        <w:t>моделей</w:t>
      </w:r>
      <w:r w:rsidR="006C680D" w:rsidRPr="00D337FA">
        <w:rPr>
          <w:szCs w:val="24"/>
        </w:rPr>
        <w:t xml:space="preserve"> </w:t>
      </w:r>
      <w:r w:rsidRPr="00D337FA">
        <w:rPr>
          <w:szCs w:val="24"/>
        </w:rPr>
        <w:t>клиентского</w:t>
      </w:r>
      <w:r w:rsidR="006C680D" w:rsidRPr="00D337FA">
        <w:rPr>
          <w:szCs w:val="24"/>
        </w:rPr>
        <w:t xml:space="preserve"> </w:t>
      </w:r>
      <w:r w:rsidRPr="00D337FA">
        <w:rPr>
          <w:szCs w:val="24"/>
        </w:rPr>
        <w:t>взаимодействия.</w:t>
      </w:r>
      <w:r w:rsidR="006C680D" w:rsidRPr="00D337FA">
        <w:rPr>
          <w:szCs w:val="24"/>
        </w:rPr>
        <w:t xml:space="preserve"> </w:t>
      </w:r>
      <w:r w:rsidRPr="00D337FA">
        <w:rPr>
          <w:szCs w:val="24"/>
        </w:rPr>
        <w:t>Предложенная</w:t>
      </w:r>
      <w:r w:rsidR="006C680D" w:rsidRPr="00D337FA">
        <w:rPr>
          <w:szCs w:val="24"/>
        </w:rPr>
        <w:t xml:space="preserve"> </w:t>
      </w:r>
      <w:r w:rsidRPr="00D337FA">
        <w:rPr>
          <w:szCs w:val="24"/>
        </w:rPr>
        <w:t>система</w:t>
      </w:r>
      <w:r w:rsidR="006C680D" w:rsidRPr="00D337FA">
        <w:rPr>
          <w:szCs w:val="24"/>
        </w:rPr>
        <w:t xml:space="preserve"> </w:t>
      </w:r>
      <w:r w:rsidRPr="00D337FA">
        <w:rPr>
          <w:szCs w:val="24"/>
        </w:rPr>
        <w:t>мер</w:t>
      </w:r>
      <w:r w:rsidR="006C680D" w:rsidRPr="00D337FA">
        <w:rPr>
          <w:szCs w:val="24"/>
        </w:rPr>
        <w:t xml:space="preserve"> </w:t>
      </w:r>
      <w:r w:rsidRPr="00D337FA">
        <w:rPr>
          <w:szCs w:val="24"/>
        </w:rPr>
        <w:t>направлена</w:t>
      </w:r>
      <w:r w:rsidR="006C680D" w:rsidRPr="00D337FA">
        <w:rPr>
          <w:szCs w:val="24"/>
        </w:rPr>
        <w:t xml:space="preserve"> </w:t>
      </w:r>
      <w:r w:rsidRPr="00D337FA">
        <w:rPr>
          <w:szCs w:val="24"/>
        </w:rPr>
        <w:t>на</w:t>
      </w:r>
      <w:r w:rsidR="006C680D" w:rsidRPr="00D337FA">
        <w:rPr>
          <w:szCs w:val="24"/>
        </w:rPr>
        <w:t xml:space="preserve"> </w:t>
      </w:r>
      <w:r w:rsidRPr="00D337FA">
        <w:rPr>
          <w:szCs w:val="24"/>
        </w:rPr>
        <w:t>трансформацию</w:t>
      </w:r>
      <w:r w:rsidR="006C680D" w:rsidRPr="00D337FA">
        <w:rPr>
          <w:szCs w:val="24"/>
        </w:rPr>
        <w:t xml:space="preserve"> </w:t>
      </w:r>
      <w:r w:rsidRPr="00D337FA">
        <w:rPr>
          <w:szCs w:val="24"/>
        </w:rPr>
        <w:t>банка</w:t>
      </w:r>
      <w:r w:rsidR="006C680D" w:rsidRPr="00D337FA">
        <w:rPr>
          <w:szCs w:val="24"/>
        </w:rPr>
        <w:t xml:space="preserve"> </w:t>
      </w:r>
      <w:r w:rsidRPr="00D337FA">
        <w:rPr>
          <w:szCs w:val="24"/>
        </w:rPr>
        <w:t>из</w:t>
      </w:r>
      <w:r w:rsidR="006C680D" w:rsidRPr="00D337FA">
        <w:rPr>
          <w:szCs w:val="24"/>
        </w:rPr>
        <w:t xml:space="preserve"> </w:t>
      </w:r>
      <w:r w:rsidRPr="00D337FA">
        <w:rPr>
          <w:szCs w:val="24"/>
        </w:rPr>
        <w:t>поставщика</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в</w:t>
      </w:r>
      <w:r w:rsidR="006C680D" w:rsidRPr="00D337FA">
        <w:rPr>
          <w:szCs w:val="24"/>
        </w:rPr>
        <w:t xml:space="preserve"> </w:t>
      </w:r>
      <w:r w:rsidRPr="00D337FA">
        <w:rPr>
          <w:szCs w:val="24"/>
        </w:rPr>
        <w:t>интегрированного</w:t>
      </w:r>
      <w:r w:rsidR="006C680D" w:rsidRPr="00D337FA">
        <w:rPr>
          <w:szCs w:val="24"/>
        </w:rPr>
        <w:t xml:space="preserve"> </w:t>
      </w:r>
      <w:r w:rsidRPr="00D337FA">
        <w:rPr>
          <w:szCs w:val="24"/>
        </w:rPr>
        <w:t>партнера</w:t>
      </w:r>
      <w:r w:rsidR="006C680D" w:rsidRPr="00D337FA">
        <w:rPr>
          <w:szCs w:val="24"/>
        </w:rPr>
        <w:t xml:space="preserve"> </w:t>
      </w:r>
      <w:r w:rsidRPr="00D337FA">
        <w:rPr>
          <w:szCs w:val="24"/>
        </w:rPr>
        <w:t>по</w:t>
      </w:r>
      <w:r w:rsidR="006C680D" w:rsidRPr="00D337FA">
        <w:rPr>
          <w:szCs w:val="24"/>
        </w:rPr>
        <w:t xml:space="preserve"> </w:t>
      </w:r>
      <w:r w:rsidRPr="00D337FA">
        <w:rPr>
          <w:szCs w:val="24"/>
        </w:rPr>
        <w:t>развитию</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p>
    <w:p w:rsidR="00E70CAD" w:rsidRPr="00D337FA" w:rsidRDefault="00E70CAD" w:rsidP="00E70CAD">
      <w:pPr>
        <w:ind w:firstLine="284"/>
        <w:rPr>
          <w:szCs w:val="24"/>
        </w:rPr>
      </w:pPr>
    </w:p>
    <w:p w:rsidR="00E70CAD" w:rsidRPr="00D337FA" w:rsidRDefault="00E70CAD" w:rsidP="00E70CAD">
      <w:pPr>
        <w:ind w:firstLine="284"/>
        <w:rPr>
          <w:b/>
          <w:szCs w:val="24"/>
        </w:rPr>
      </w:pPr>
      <w:r w:rsidRPr="00D337FA">
        <w:rPr>
          <w:b/>
          <w:szCs w:val="24"/>
        </w:rPr>
        <w:t>Заключение</w:t>
      </w:r>
    </w:p>
    <w:p w:rsidR="00E70CAD" w:rsidRPr="00D337FA" w:rsidRDefault="00E70CAD" w:rsidP="00E70CAD">
      <w:pPr>
        <w:ind w:firstLine="284"/>
        <w:rPr>
          <w:szCs w:val="24"/>
        </w:rPr>
      </w:pP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bCs/>
          <w:szCs w:val="24"/>
        </w:rPr>
        <w:t>в</w:t>
      </w:r>
      <w:r w:rsidR="006C680D" w:rsidRPr="00D337FA">
        <w:rPr>
          <w:bCs/>
          <w:szCs w:val="24"/>
        </w:rPr>
        <w:t xml:space="preserve"> </w:t>
      </w:r>
      <w:r w:rsidRPr="00D337FA">
        <w:rPr>
          <w:bCs/>
          <w:szCs w:val="24"/>
        </w:rPr>
        <w:t>результате</w:t>
      </w:r>
      <w:r w:rsidR="006C680D" w:rsidRPr="00D337FA">
        <w:rPr>
          <w:bCs/>
          <w:szCs w:val="24"/>
        </w:rPr>
        <w:t xml:space="preserve"> </w:t>
      </w:r>
      <w:r w:rsidRPr="00D337FA">
        <w:rPr>
          <w:bCs/>
          <w:szCs w:val="24"/>
        </w:rPr>
        <w:t>проведенного</w:t>
      </w:r>
      <w:r w:rsidR="006C680D" w:rsidRPr="00D337FA">
        <w:rPr>
          <w:bCs/>
          <w:szCs w:val="24"/>
        </w:rPr>
        <w:t xml:space="preserve"> </w:t>
      </w:r>
      <w:r w:rsidRPr="00D337FA">
        <w:rPr>
          <w:bCs/>
          <w:szCs w:val="24"/>
        </w:rPr>
        <w:t>исследования,</w:t>
      </w:r>
      <w:r w:rsidR="006C680D" w:rsidRPr="00D337FA">
        <w:rPr>
          <w:bCs/>
          <w:szCs w:val="24"/>
        </w:rPr>
        <w:t xml:space="preserve"> </w:t>
      </w:r>
      <w:r w:rsidRPr="00D337FA">
        <w:rPr>
          <w:bCs/>
          <w:szCs w:val="24"/>
        </w:rPr>
        <w:t>направленного</w:t>
      </w:r>
      <w:r w:rsidR="006C680D" w:rsidRPr="00D337FA">
        <w:rPr>
          <w:bCs/>
          <w:szCs w:val="24"/>
        </w:rPr>
        <w:t xml:space="preserve"> </w:t>
      </w:r>
      <w:r w:rsidRPr="00D337FA">
        <w:rPr>
          <w:bCs/>
          <w:szCs w:val="24"/>
        </w:rPr>
        <w:t>на</w:t>
      </w:r>
      <w:r w:rsidR="006C680D" w:rsidRPr="00D337FA">
        <w:rPr>
          <w:bCs/>
          <w:szCs w:val="24"/>
        </w:rPr>
        <w:t xml:space="preserve"> </w:t>
      </w:r>
      <w:r w:rsidRPr="00D337FA">
        <w:rPr>
          <w:bCs/>
          <w:szCs w:val="24"/>
        </w:rPr>
        <w:t>устранение</w:t>
      </w:r>
      <w:r w:rsidR="006C680D" w:rsidRPr="00D337FA">
        <w:rPr>
          <w:bCs/>
          <w:szCs w:val="24"/>
        </w:rPr>
        <w:t xml:space="preserve"> </w:t>
      </w:r>
      <w:r w:rsidRPr="00D337FA">
        <w:rPr>
          <w:bCs/>
          <w:szCs w:val="24"/>
        </w:rPr>
        <w:t>выявленных</w:t>
      </w:r>
      <w:r w:rsidR="006C680D" w:rsidRPr="00D337FA">
        <w:rPr>
          <w:bCs/>
          <w:szCs w:val="24"/>
        </w:rPr>
        <w:t xml:space="preserve"> </w:t>
      </w:r>
      <w:r w:rsidRPr="00D337FA">
        <w:rPr>
          <w:bCs/>
          <w:szCs w:val="24"/>
        </w:rPr>
        <w:t>теоретических</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практических</w:t>
      </w:r>
      <w:r w:rsidR="006C680D" w:rsidRPr="00D337FA">
        <w:rPr>
          <w:bCs/>
          <w:szCs w:val="24"/>
        </w:rPr>
        <w:t xml:space="preserve"> </w:t>
      </w:r>
      <w:r w:rsidRPr="00D337FA">
        <w:rPr>
          <w:bCs/>
          <w:szCs w:val="24"/>
        </w:rPr>
        <w:t>пробелов,</w:t>
      </w:r>
      <w:r w:rsidR="006C680D" w:rsidRPr="00D337FA">
        <w:rPr>
          <w:bCs/>
          <w:szCs w:val="24"/>
        </w:rPr>
        <w:t xml:space="preserve"> </w:t>
      </w: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критического</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теоретических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была</w:t>
      </w:r>
      <w:r w:rsidR="006C680D" w:rsidRPr="00D337FA">
        <w:rPr>
          <w:szCs w:val="24"/>
        </w:rPr>
        <w:t xml:space="preserve"> </w:t>
      </w:r>
      <w:r w:rsidRPr="00D337FA">
        <w:rPr>
          <w:szCs w:val="24"/>
        </w:rPr>
        <w:t>выявлена</w:t>
      </w:r>
      <w:r w:rsidR="006C680D" w:rsidRPr="00D337FA">
        <w:rPr>
          <w:szCs w:val="24"/>
        </w:rPr>
        <w:t xml:space="preserve"> </w:t>
      </w:r>
      <w:r w:rsidRPr="00D337FA">
        <w:rPr>
          <w:szCs w:val="24"/>
        </w:rPr>
        <w:t>эволюция</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представляющая</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переход</w:t>
      </w:r>
      <w:r w:rsidR="006C680D" w:rsidRPr="00D337FA">
        <w:rPr>
          <w:szCs w:val="24"/>
        </w:rPr>
        <w:t xml:space="preserve"> </w:t>
      </w:r>
      <w:r w:rsidRPr="00D337FA">
        <w:rPr>
          <w:szCs w:val="24"/>
        </w:rPr>
        <w:t>от</w:t>
      </w:r>
      <w:r w:rsidR="006C680D" w:rsidRPr="00D337FA">
        <w:rPr>
          <w:szCs w:val="24"/>
        </w:rPr>
        <w:t xml:space="preserve"> </w:t>
      </w:r>
      <w:r w:rsidRPr="00D337FA">
        <w:rPr>
          <w:szCs w:val="24"/>
        </w:rPr>
        <w:t>компенсации</w:t>
      </w:r>
      <w:r w:rsidR="006C680D" w:rsidRPr="00D337FA">
        <w:rPr>
          <w:szCs w:val="24"/>
        </w:rPr>
        <w:t xml:space="preserve"> </w:t>
      </w:r>
      <w:r w:rsidRPr="00D337FA">
        <w:rPr>
          <w:szCs w:val="24"/>
        </w:rPr>
        <w:t>фундаментальных</w:t>
      </w:r>
      <w:r w:rsidR="006C680D" w:rsidRPr="00D337FA">
        <w:rPr>
          <w:szCs w:val="24"/>
        </w:rPr>
        <w:t xml:space="preserve"> </w:t>
      </w:r>
      <w:r w:rsidRPr="00D337FA">
        <w:rPr>
          <w:szCs w:val="24"/>
        </w:rPr>
        <w:t>рисков,</w:t>
      </w:r>
      <w:r w:rsidR="006C680D" w:rsidRPr="00D337FA">
        <w:rPr>
          <w:szCs w:val="24"/>
        </w:rPr>
        <w:t xml:space="preserve"> </w:t>
      </w:r>
      <w:r w:rsidRPr="00D337FA">
        <w:rPr>
          <w:szCs w:val="24"/>
        </w:rPr>
        <w:t>таких</w:t>
      </w:r>
      <w:r w:rsidR="006C680D" w:rsidRPr="00D337FA">
        <w:rPr>
          <w:szCs w:val="24"/>
        </w:rPr>
        <w:t xml:space="preserve"> </w:t>
      </w:r>
      <w:r w:rsidRPr="00D337FA">
        <w:rPr>
          <w:szCs w:val="24"/>
        </w:rPr>
        <w:t>как</w:t>
      </w:r>
      <w:r w:rsidR="006C680D" w:rsidRPr="00D337FA">
        <w:rPr>
          <w:szCs w:val="24"/>
        </w:rPr>
        <w:t xml:space="preserve"> </w:t>
      </w:r>
      <w:r w:rsidRPr="00D337FA">
        <w:rPr>
          <w:szCs w:val="24"/>
        </w:rPr>
        <w:t>непрозрачность,</w:t>
      </w:r>
      <w:r w:rsidR="006C680D" w:rsidRPr="00D337FA">
        <w:rPr>
          <w:szCs w:val="24"/>
        </w:rPr>
        <w:t xml:space="preserve"> </w:t>
      </w:r>
      <w:r w:rsidRPr="00D337FA">
        <w:rPr>
          <w:szCs w:val="24"/>
        </w:rPr>
        <w:t>отсутствие</w:t>
      </w:r>
      <w:r w:rsidR="006C680D" w:rsidRPr="00D337FA">
        <w:rPr>
          <w:szCs w:val="24"/>
        </w:rPr>
        <w:t xml:space="preserve"> </w:t>
      </w:r>
      <w:r w:rsidRPr="00D337FA">
        <w:rPr>
          <w:szCs w:val="24"/>
        </w:rPr>
        <w:t>залога,</w:t>
      </w:r>
      <w:r w:rsidR="006C680D" w:rsidRPr="00D337FA">
        <w:rPr>
          <w:szCs w:val="24"/>
        </w:rPr>
        <w:t xml:space="preserve"> </w:t>
      </w:r>
      <w:r w:rsidRPr="00D337FA">
        <w:rPr>
          <w:szCs w:val="24"/>
        </w:rPr>
        <w:t>к</w:t>
      </w:r>
      <w:r w:rsidR="006C680D" w:rsidRPr="00D337FA">
        <w:rPr>
          <w:szCs w:val="24"/>
        </w:rPr>
        <w:t xml:space="preserve"> </w:t>
      </w:r>
      <w:r w:rsidRPr="00D337FA">
        <w:rPr>
          <w:szCs w:val="24"/>
        </w:rPr>
        <w:t>созданию</w:t>
      </w:r>
      <w:r w:rsidR="006C680D" w:rsidRPr="00D337FA">
        <w:rPr>
          <w:szCs w:val="24"/>
        </w:rPr>
        <w:t xml:space="preserve"> </w:t>
      </w:r>
      <w:r w:rsidRPr="00D337FA">
        <w:rPr>
          <w:szCs w:val="24"/>
        </w:rPr>
        <w:t>добавочной</w:t>
      </w:r>
      <w:r w:rsidR="006C680D" w:rsidRPr="00D337FA">
        <w:rPr>
          <w:szCs w:val="24"/>
        </w:rPr>
        <w:t xml:space="preserve"> </w:t>
      </w:r>
      <w:r w:rsidRPr="00D337FA">
        <w:rPr>
          <w:szCs w:val="24"/>
        </w:rPr>
        <w:t>стоимости</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глубокую</w:t>
      </w:r>
      <w:r w:rsidR="006C680D" w:rsidRPr="00D337FA">
        <w:rPr>
          <w:szCs w:val="24"/>
        </w:rPr>
        <w:t xml:space="preserve"> </w:t>
      </w:r>
      <w:r w:rsidRPr="00D337FA">
        <w:rPr>
          <w:szCs w:val="24"/>
        </w:rPr>
        <w:t>цифровую</w:t>
      </w:r>
      <w:r w:rsidR="006C680D" w:rsidRPr="00D337FA">
        <w:rPr>
          <w:szCs w:val="24"/>
        </w:rPr>
        <w:t xml:space="preserve"> </w:t>
      </w:r>
      <w:r w:rsidRPr="00D337FA">
        <w:rPr>
          <w:szCs w:val="24"/>
        </w:rPr>
        <w:t>интеграцию</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предоставление</w:t>
      </w:r>
      <w:r w:rsidR="006C680D" w:rsidRPr="00D337FA">
        <w:rPr>
          <w:szCs w:val="24"/>
        </w:rPr>
        <w:t xml:space="preserve"> </w:t>
      </w:r>
      <w:r w:rsidRPr="00D337FA">
        <w:rPr>
          <w:szCs w:val="24"/>
        </w:rPr>
        <w:t>нефинансовых</w:t>
      </w:r>
      <w:r w:rsidR="006C680D" w:rsidRPr="00D337FA">
        <w:rPr>
          <w:szCs w:val="24"/>
        </w:rPr>
        <w:t xml:space="preserve"> </w:t>
      </w:r>
      <w:r w:rsidRPr="00D337FA">
        <w:rPr>
          <w:szCs w:val="24"/>
        </w:rPr>
        <w:t>сервисов.</w:t>
      </w:r>
      <w:r w:rsidR="006C680D" w:rsidRPr="00D337FA">
        <w:rPr>
          <w:szCs w:val="24"/>
        </w:rPr>
        <w:t xml:space="preserve"> </w:t>
      </w:r>
      <w:r w:rsidRPr="00D337FA">
        <w:rPr>
          <w:szCs w:val="24"/>
        </w:rPr>
        <w:t>В</w:t>
      </w:r>
      <w:r w:rsidR="006C680D" w:rsidRPr="00D337FA">
        <w:rPr>
          <w:szCs w:val="24"/>
        </w:rPr>
        <w:t xml:space="preserve"> </w:t>
      </w:r>
      <w:r w:rsidRPr="00D337FA">
        <w:rPr>
          <w:szCs w:val="24"/>
        </w:rPr>
        <w:t>современных</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конкурентное</w:t>
      </w:r>
      <w:r w:rsidR="006C680D" w:rsidRPr="00D337FA">
        <w:rPr>
          <w:szCs w:val="24"/>
        </w:rPr>
        <w:t xml:space="preserve"> </w:t>
      </w:r>
      <w:r w:rsidRPr="00D337FA">
        <w:rPr>
          <w:szCs w:val="24"/>
        </w:rPr>
        <w:t>преимущество</w:t>
      </w:r>
      <w:r w:rsidR="006C680D" w:rsidRPr="00D337FA">
        <w:rPr>
          <w:szCs w:val="24"/>
        </w:rPr>
        <w:t xml:space="preserve"> </w:t>
      </w:r>
      <w:r w:rsidRPr="00D337FA">
        <w:rPr>
          <w:szCs w:val="24"/>
        </w:rPr>
        <w:t>банка</w:t>
      </w:r>
      <w:r w:rsidR="006C680D" w:rsidRPr="00D337FA">
        <w:rPr>
          <w:szCs w:val="24"/>
        </w:rPr>
        <w:t xml:space="preserve"> </w:t>
      </w:r>
      <w:r w:rsidRPr="00D337FA">
        <w:rPr>
          <w:szCs w:val="24"/>
        </w:rPr>
        <w:t>определяется</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стоимостью</w:t>
      </w:r>
      <w:r w:rsidR="006C680D" w:rsidRPr="00D337FA">
        <w:rPr>
          <w:szCs w:val="24"/>
        </w:rPr>
        <w:t xml:space="preserve"> </w:t>
      </w:r>
      <w:r w:rsidRPr="00D337FA">
        <w:rPr>
          <w:szCs w:val="24"/>
        </w:rPr>
        <w:t>кредита,</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способностью</w:t>
      </w:r>
      <w:r w:rsidR="006C680D" w:rsidRPr="00D337FA">
        <w:rPr>
          <w:szCs w:val="24"/>
        </w:rPr>
        <w:t xml:space="preserve"> </w:t>
      </w:r>
      <w:r w:rsidRPr="00D337FA">
        <w:rPr>
          <w:szCs w:val="24"/>
        </w:rPr>
        <w:lastRenderedPageBreak/>
        <w:t>стать</w:t>
      </w:r>
      <w:r w:rsidR="006C680D" w:rsidRPr="00D337FA">
        <w:rPr>
          <w:szCs w:val="24"/>
        </w:rPr>
        <w:t xml:space="preserve"> </w:t>
      </w:r>
      <w:r w:rsidRPr="00D337FA">
        <w:rPr>
          <w:szCs w:val="24"/>
        </w:rPr>
        <w:t>элементом</w:t>
      </w:r>
      <w:r w:rsidR="006C680D" w:rsidRPr="00D337FA">
        <w:rPr>
          <w:szCs w:val="24"/>
        </w:rPr>
        <w:t xml:space="preserve"> </w:t>
      </w:r>
      <w:r w:rsidRPr="00D337FA">
        <w:rPr>
          <w:szCs w:val="24"/>
        </w:rPr>
        <w:t>операционной</w:t>
      </w:r>
      <w:r w:rsidR="006C680D" w:rsidRPr="00D337FA">
        <w:rPr>
          <w:szCs w:val="24"/>
        </w:rPr>
        <w:t xml:space="preserve"> </w:t>
      </w:r>
      <w:r w:rsidRPr="00D337FA">
        <w:rPr>
          <w:szCs w:val="24"/>
        </w:rPr>
        <w:t>инфраструктуры</w:t>
      </w:r>
      <w:r w:rsidR="006C680D" w:rsidRPr="00D337FA">
        <w:rPr>
          <w:szCs w:val="24"/>
        </w:rPr>
        <w:t xml:space="preserve"> </w:t>
      </w:r>
      <w:r w:rsidRPr="00D337FA">
        <w:rPr>
          <w:szCs w:val="24"/>
        </w:rPr>
        <w:t>клиента.</w:t>
      </w:r>
    </w:p>
    <w:p w:rsidR="00E70CAD" w:rsidRPr="00D337FA" w:rsidRDefault="00E70CAD" w:rsidP="00E70CAD">
      <w:pPr>
        <w:ind w:firstLine="284"/>
        <w:rPr>
          <w:szCs w:val="24"/>
        </w:rPr>
      </w:pPr>
      <w:r w:rsidRPr="00D337FA">
        <w:rPr>
          <w:szCs w:val="24"/>
        </w:rPr>
        <w:t>Путем</w:t>
      </w:r>
      <w:r w:rsidR="006C680D" w:rsidRPr="00D337FA">
        <w:rPr>
          <w:szCs w:val="24"/>
        </w:rPr>
        <w:t xml:space="preserve"> </w:t>
      </w:r>
      <w:r w:rsidRPr="00D337FA">
        <w:rPr>
          <w:szCs w:val="24"/>
        </w:rPr>
        <w:t>контент-анализа</w:t>
      </w:r>
      <w:r w:rsidR="006C680D" w:rsidRPr="00D337FA">
        <w:rPr>
          <w:szCs w:val="24"/>
        </w:rPr>
        <w:t xml:space="preserve"> </w:t>
      </w:r>
      <w:r w:rsidRPr="00D337FA">
        <w:rPr>
          <w:szCs w:val="24"/>
        </w:rPr>
        <w:t>продуктовых</w:t>
      </w:r>
      <w:r w:rsidR="006C680D" w:rsidRPr="00D337FA">
        <w:rPr>
          <w:szCs w:val="24"/>
        </w:rPr>
        <w:t xml:space="preserve"> </w:t>
      </w:r>
      <w:r w:rsidRPr="00D337FA">
        <w:rPr>
          <w:szCs w:val="24"/>
        </w:rPr>
        <w:t>предложений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моделей</w:t>
      </w:r>
      <w:r w:rsidR="006C680D" w:rsidRPr="00D337FA">
        <w:rPr>
          <w:szCs w:val="24"/>
        </w:rPr>
        <w:t xml:space="preserve"> </w:t>
      </w:r>
      <w:r w:rsidRPr="00D337FA">
        <w:rPr>
          <w:szCs w:val="24"/>
        </w:rPr>
        <w:t>десяти</w:t>
      </w:r>
      <w:r w:rsidR="006C680D" w:rsidRPr="00D337FA">
        <w:rPr>
          <w:szCs w:val="24"/>
        </w:rPr>
        <w:t xml:space="preserve"> </w:t>
      </w:r>
      <w:r w:rsidRPr="00D337FA">
        <w:rPr>
          <w:szCs w:val="24"/>
        </w:rPr>
        <w:t>системно</w:t>
      </w:r>
      <w:r w:rsidR="006C680D" w:rsidRPr="00D337FA">
        <w:rPr>
          <w:szCs w:val="24"/>
        </w:rPr>
        <w:t xml:space="preserve"> </w:t>
      </w:r>
      <w:r w:rsidRPr="00D337FA">
        <w:rPr>
          <w:szCs w:val="24"/>
        </w:rPr>
        <w:t>значимых</w:t>
      </w:r>
      <w:r w:rsidR="006C680D" w:rsidRPr="00D337FA">
        <w:rPr>
          <w:szCs w:val="24"/>
        </w:rPr>
        <w:t xml:space="preserve"> </w:t>
      </w:r>
      <w:r w:rsidRPr="00D337FA">
        <w:rPr>
          <w:szCs w:val="24"/>
        </w:rPr>
        <w:t>кредитных</w:t>
      </w:r>
      <w:r w:rsidR="006C680D" w:rsidRPr="00D337FA">
        <w:rPr>
          <w:szCs w:val="24"/>
        </w:rPr>
        <w:t xml:space="preserve"> </w:t>
      </w:r>
      <w:r w:rsidRPr="00D337FA">
        <w:rPr>
          <w:szCs w:val="24"/>
        </w:rPr>
        <w:t>организаций</w:t>
      </w:r>
      <w:r w:rsidR="006C680D" w:rsidRPr="00D337FA">
        <w:rPr>
          <w:szCs w:val="24"/>
        </w:rPr>
        <w:t xml:space="preserve"> </w:t>
      </w:r>
      <w:r w:rsidRPr="00D337FA">
        <w:rPr>
          <w:szCs w:val="24"/>
        </w:rPr>
        <w:t>эмпирически</w:t>
      </w:r>
      <w:r w:rsidR="006C680D" w:rsidRPr="00D337FA">
        <w:rPr>
          <w:szCs w:val="24"/>
        </w:rPr>
        <w:t xml:space="preserve"> </w:t>
      </w:r>
      <w:r w:rsidRPr="00D337FA">
        <w:rPr>
          <w:szCs w:val="24"/>
        </w:rPr>
        <w:t>выявлена</w:t>
      </w:r>
      <w:r w:rsidR="006C680D" w:rsidRPr="00D337FA">
        <w:rPr>
          <w:szCs w:val="24"/>
        </w:rPr>
        <w:t xml:space="preserve"> </w:t>
      </w:r>
      <w:r w:rsidRPr="00D337FA">
        <w:rPr>
          <w:szCs w:val="24"/>
        </w:rPr>
        <w:t>и</w:t>
      </w:r>
      <w:r w:rsidR="006C680D" w:rsidRPr="00D337FA">
        <w:rPr>
          <w:szCs w:val="24"/>
        </w:rPr>
        <w:t xml:space="preserve"> </w:t>
      </w:r>
      <w:r w:rsidRPr="00D337FA">
        <w:rPr>
          <w:szCs w:val="24"/>
        </w:rPr>
        <w:t>систематизирована</w:t>
      </w:r>
      <w:r w:rsidR="006C680D" w:rsidRPr="00D337FA">
        <w:rPr>
          <w:szCs w:val="24"/>
        </w:rPr>
        <w:t xml:space="preserve"> </w:t>
      </w:r>
      <w:r w:rsidRPr="00D337FA">
        <w:rPr>
          <w:bCs/>
          <w:szCs w:val="24"/>
        </w:rPr>
        <w:t>система</w:t>
      </w:r>
      <w:r w:rsidR="006C680D" w:rsidRPr="00D337FA">
        <w:rPr>
          <w:bCs/>
          <w:szCs w:val="24"/>
        </w:rPr>
        <w:t xml:space="preserve"> </w:t>
      </w:r>
      <w:r w:rsidRPr="00D337FA">
        <w:rPr>
          <w:bCs/>
          <w:szCs w:val="24"/>
        </w:rPr>
        <w:t>из</w:t>
      </w:r>
      <w:r w:rsidR="006C680D" w:rsidRPr="00D337FA">
        <w:rPr>
          <w:bCs/>
          <w:szCs w:val="24"/>
        </w:rPr>
        <w:t xml:space="preserve"> </w:t>
      </w:r>
      <w:r w:rsidRPr="00D337FA">
        <w:rPr>
          <w:bCs/>
          <w:szCs w:val="24"/>
        </w:rPr>
        <w:t>шести</w:t>
      </w:r>
      <w:r w:rsidR="006C680D" w:rsidRPr="00D337FA">
        <w:rPr>
          <w:bCs/>
          <w:szCs w:val="24"/>
        </w:rPr>
        <w:t xml:space="preserve"> </w:t>
      </w:r>
      <w:r w:rsidRPr="00D337FA">
        <w:rPr>
          <w:bCs/>
          <w:szCs w:val="24"/>
        </w:rPr>
        <w:t>взаимообусловленных</w:t>
      </w:r>
      <w:r w:rsidR="006C680D" w:rsidRPr="00D337FA">
        <w:rPr>
          <w:bCs/>
          <w:szCs w:val="24"/>
        </w:rPr>
        <w:t xml:space="preserve"> </w:t>
      </w:r>
      <w:r w:rsidRPr="00D337FA">
        <w:rPr>
          <w:bCs/>
          <w:szCs w:val="24"/>
        </w:rPr>
        <w:t>тенденций</w:t>
      </w:r>
      <w:r w:rsidRPr="00D337FA">
        <w:rPr>
          <w:szCs w:val="24"/>
        </w:rPr>
        <w:t>,</w:t>
      </w:r>
      <w:r w:rsidR="006C680D" w:rsidRPr="00D337FA">
        <w:rPr>
          <w:szCs w:val="24"/>
        </w:rPr>
        <w:t xml:space="preserve"> </w:t>
      </w:r>
      <w:r w:rsidRPr="00D337FA">
        <w:rPr>
          <w:szCs w:val="24"/>
        </w:rPr>
        <w:t>формирующих</w:t>
      </w:r>
      <w:r w:rsidR="006C680D" w:rsidRPr="00D337FA">
        <w:rPr>
          <w:szCs w:val="24"/>
        </w:rPr>
        <w:t xml:space="preserve"> </w:t>
      </w:r>
      <w:r w:rsidRPr="00D337FA">
        <w:rPr>
          <w:szCs w:val="24"/>
        </w:rPr>
        <w:t>современный</w:t>
      </w:r>
      <w:r w:rsidR="006C680D" w:rsidRPr="00D337FA">
        <w:rPr>
          <w:szCs w:val="24"/>
        </w:rPr>
        <w:t xml:space="preserve"> </w:t>
      </w:r>
      <w:r w:rsidRPr="00D337FA">
        <w:rPr>
          <w:szCs w:val="24"/>
        </w:rPr>
        <w:t>ландшафт</w:t>
      </w:r>
      <w:r w:rsidR="006C680D" w:rsidRPr="00D337FA">
        <w:rPr>
          <w:szCs w:val="24"/>
        </w:rPr>
        <w:t xml:space="preserve"> </w:t>
      </w:r>
      <w:r w:rsidRPr="00D337FA">
        <w:rPr>
          <w:szCs w:val="24"/>
        </w:rPr>
        <w:t>банковского</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в</w:t>
      </w:r>
      <w:r w:rsidR="006C680D" w:rsidRPr="00D337FA">
        <w:rPr>
          <w:szCs w:val="24"/>
        </w:rPr>
        <w:t xml:space="preserve"> </w:t>
      </w:r>
      <w:r w:rsidRPr="00D337FA">
        <w:rPr>
          <w:szCs w:val="24"/>
        </w:rPr>
        <w:t>России:</w:t>
      </w:r>
    </w:p>
    <w:p w:rsidR="00E70CAD" w:rsidRPr="00D337FA" w:rsidRDefault="00E70CAD" w:rsidP="005A0605">
      <w:pPr>
        <w:numPr>
          <w:ilvl w:val="1"/>
          <w:numId w:val="10"/>
        </w:numPr>
        <w:tabs>
          <w:tab w:val="clear" w:pos="1440"/>
        </w:tabs>
        <w:ind w:left="0" w:firstLine="284"/>
        <w:rPr>
          <w:szCs w:val="24"/>
        </w:rPr>
      </w:pPr>
      <w:r w:rsidRPr="00D337FA">
        <w:rPr>
          <w:szCs w:val="24"/>
        </w:rPr>
        <w:t>Дифференциация</w:t>
      </w:r>
      <w:r w:rsidR="006C680D" w:rsidRPr="00D337FA">
        <w:rPr>
          <w:szCs w:val="24"/>
        </w:rPr>
        <w:t xml:space="preserve"> </w:t>
      </w:r>
      <w:r w:rsidRPr="00D337FA">
        <w:rPr>
          <w:szCs w:val="24"/>
        </w:rPr>
        <w:t>моделей</w:t>
      </w:r>
      <w:r w:rsidR="006C680D" w:rsidRPr="00D337FA">
        <w:rPr>
          <w:szCs w:val="24"/>
        </w:rPr>
        <w:t xml:space="preserve"> </w:t>
      </w:r>
      <w:r w:rsidRPr="00D337FA">
        <w:rPr>
          <w:szCs w:val="24"/>
        </w:rPr>
        <w:t>обслуживания</w:t>
      </w:r>
      <w:r w:rsidR="006C680D" w:rsidRPr="00D337FA">
        <w:rPr>
          <w:szCs w:val="24"/>
        </w:rPr>
        <w:t xml:space="preserve"> </w:t>
      </w:r>
      <w:r w:rsidRPr="00D337FA">
        <w:rPr>
          <w:szCs w:val="24"/>
        </w:rPr>
        <w:t>(омниканальная</w:t>
      </w:r>
      <w:r w:rsidR="006C680D" w:rsidRPr="00D337FA">
        <w:rPr>
          <w:szCs w:val="24"/>
        </w:rPr>
        <w:t xml:space="preserve"> </w:t>
      </w:r>
      <w:r w:rsidRPr="00D337FA">
        <w:rPr>
          <w:szCs w:val="24"/>
        </w:rPr>
        <w:t>/</w:t>
      </w:r>
      <w:r w:rsidR="006C680D" w:rsidRPr="00D337FA">
        <w:rPr>
          <w:szCs w:val="24"/>
        </w:rPr>
        <w:t xml:space="preserve"> </w:t>
      </w:r>
      <w:r w:rsidRPr="00D337FA">
        <w:rPr>
          <w:szCs w:val="24"/>
        </w:rPr>
        <w:t>платформенная).</w:t>
      </w:r>
    </w:p>
    <w:p w:rsidR="00E70CAD" w:rsidRPr="00D337FA" w:rsidRDefault="00E70CAD" w:rsidP="005A0605">
      <w:pPr>
        <w:numPr>
          <w:ilvl w:val="1"/>
          <w:numId w:val="10"/>
        </w:numPr>
        <w:tabs>
          <w:tab w:val="clear" w:pos="1440"/>
        </w:tabs>
        <w:ind w:left="0" w:firstLine="284"/>
        <w:rPr>
          <w:szCs w:val="24"/>
        </w:rPr>
      </w:pPr>
      <w:r w:rsidRPr="00D337FA">
        <w:rPr>
          <w:szCs w:val="24"/>
        </w:rPr>
        <w:t>Тотальная</w:t>
      </w:r>
      <w:r w:rsidR="006C680D" w:rsidRPr="00D337FA">
        <w:rPr>
          <w:szCs w:val="24"/>
        </w:rPr>
        <w:t xml:space="preserve"> </w:t>
      </w:r>
      <w:r w:rsidRPr="00D337FA">
        <w:rPr>
          <w:szCs w:val="24"/>
        </w:rPr>
        <w:t>цифровизация</w:t>
      </w:r>
      <w:r w:rsidR="006C680D" w:rsidRPr="00D337FA">
        <w:rPr>
          <w:szCs w:val="24"/>
        </w:rPr>
        <w:t xml:space="preserve"> </w:t>
      </w:r>
      <w:r w:rsidRPr="00D337FA">
        <w:rPr>
          <w:szCs w:val="24"/>
        </w:rPr>
        <w:t>базовых</w:t>
      </w:r>
      <w:r w:rsidR="006C680D" w:rsidRPr="00D337FA">
        <w:rPr>
          <w:szCs w:val="24"/>
        </w:rPr>
        <w:t xml:space="preserve"> </w:t>
      </w:r>
      <w:r w:rsidRPr="00D337FA">
        <w:rPr>
          <w:szCs w:val="24"/>
        </w:rPr>
        <w:t>транзакционных</w:t>
      </w:r>
      <w:r w:rsidR="006C680D" w:rsidRPr="00D337FA">
        <w:rPr>
          <w:szCs w:val="24"/>
        </w:rPr>
        <w:t xml:space="preserve"> </w:t>
      </w:r>
      <w:r w:rsidRPr="00D337FA">
        <w:rPr>
          <w:szCs w:val="24"/>
        </w:rPr>
        <w:t>и</w:t>
      </w:r>
      <w:r w:rsidR="006C680D" w:rsidRPr="00D337FA">
        <w:rPr>
          <w:szCs w:val="24"/>
        </w:rPr>
        <w:t xml:space="preserve"> </w:t>
      </w:r>
      <w:r w:rsidRPr="00D337FA">
        <w:rPr>
          <w:szCs w:val="24"/>
        </w:rPr>
        <w:t>учетных</w:t>
      </w:r>
      <w:r w:rsidR="006C680D" w:rsidRPr="00D337FA">
        <w:rPr>
          <w:szCs w:val="24"/>
        </w:rPr>
        <w:t xml:space="preserve"> </w:t>
      </w:r>
      <w:r w:rsidRPr="00D337FA">
        <w:rPr>
          <w:szCs w:val="24"/>
        </w:rPr>
        <w:t>услуг.</w:t>
      </w:r>
    </w:p>
    <w:p w:rsidR="00E70CAD" w:rsidRPr="00D337FA" w:rsidRDefault="00E70CAD" w:rsidP="005A0605">
      <w:pPr>
        <w:numPr>
          <w:ilvl w:val="1"/>
          <w:numId w:val="10"/>
        </w:numPr>
        <w:tabs>
          <w:tab w:val="clear" w:pos="1440"/>
        </w:tabs>
        <w:ind w:left="0" w:firstLine="284"/>
        <w:rPr>
          <w:szCs w:val="24"/>
        </w:rPr>
      </w:pPr>
      <w:r w:rsidRPr="00D337FA">
        <w:rPr>
          <w:szCs w:val="24"/>
        </w:rPr>
        <w:t>Становление</w:t>
      </w:r>
      <w:r w:rsidR="006C680D" w:rsidRPr="00D337FA">
        <w:rPr>
          <w:szCs w:val="24"/>
        </w:rPr>
        <w:t xml:space="preserve"> </w:t>
      </w:r>
      <w:r w:rsidRPr="00D337FA">
        <w:rPr>
          <w:szCs w:val="24"/>
        </w:rPr>
        <w:t>отраслевой</w:t>
      </w:r>
      <w:r w:rsidR="006C680D" w:rsidRPr="00D337FA">
        <w:rPr>
          <w:szCs w:val="24"/>
        </w:rPr>
        <w:t xml:space="preserve"> </w:t>
      </w:r>
      <w:r w:rsidRPr="00D337FA">
        <w:rPr>
          <w:szCs w:val="24"/>
        </w:rPr>
        <w:t>специализации</w:t>
      </w:r>
      <w:r w:rsidR="006C680D" w:rsidRPr="00D337FA">
        <w:rPr>
          <w:szCs w:val="24"/>
        </w:rPr>
        <w:t xml:space="preserve"> </w:t>
      </w:r>
      <w:r w:rsidRPr="00D337FA">
        <w:rPr>
          <w:szCs w:val="24"/>
        </w:rPr>
        <w:t>как</w:t>
      </w:r>
      <w:r w:rsidR="006C680D" w:rsidRPr="00D337FA">
        <w:rPr>
          <w:szCs w:val="24"/>
        </w:rPr>
        <w:t xml:space="preserve"> </w:t>
      </w:r>
      <w:r w:rsidRPr="00D337FA">
        <w:rPr>
          <w:szCs w:val="24"/>
        </w:rPr>
        <w:t>инструмента</w:t>
      </w:r>
      <w:r w:rsidR="006C680D" w:rsidRPr="00D337FA">
        <w:rPr>
          <w:szCs w:val="24"/>
        </w:rPr>
        <w:t xml:space="preserve"> </w:t>
      </w:r>
      <w:r w:rsidRPr="00D337FA">
        <w:rPr>
          <w:szCs w:val="24"/>
        </w:rPr>
        <w:t>сегментации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снижения</w:t>
      </w:r>
      <w:r w:rsidR="006C680D" w:rsidRPr="00D337FA">
        <w:rPr>
          <w:szCs w:val="24"/>
        </w:rPr>
        <w:t xml:space="preserve"> </w:t>
      </w:r>
      <w:r w:rsidRPr="00D337FA">
        <w:rPr>
          <w:szCs w:val="24"/>
        </w:rPr>
        <w:t>рисков,</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развитой</w:t>
      </w:r>
      <w:r w:rsidR="006C680D" w:rsidRPr="00D337FA">
        <w:rPr>
          <w:szCs w:val="24"/>
        </w:rPr>
        <w:t xml:space="preserve"> </w:t>
      </w:r>
      <w:r w:rsidRPr="00D337FA">
        <w:rPr>
          <w:szCs w:val="24"/>
        </w:rPr>
        <w:t>в</w:t>
      </w:r>
      <w:r w:rsidR="006C680D" w:rsidRPr="00D337FA">
        <w:rPr>
          <w:szCs w:val="24"/>
        </w:rPr>
        <w:t xml:space="preserve"> </w:t>
      </w:r>
      <w:r w:rsidRPr="00D337FA">
        <w:rPr>
          <w:szCs w:val="24"/>
        </w:rPr>
        <w:t>сферах</w:t>
      </w:r>
      <w:r w:rsidR="006C680D" w:rsidRPr="00D337FA">
        <w:rPr>
          <w:szCs w:val="24"/>
        </w:rPr>
        <w:t xml:space="preserve"> </w:t>
      </w:r>
      <w:r w:rsidRPr="00D337FA">
        <w:rPr>
          <w:szCs w:val="24"/>
        </w:rPr>
        <w:t>с</w:t>
      </w:r>
      <w:r w:rsidR="006C680D" w:rsidRPr="00D337FA">
        <w:rPr>
          <w:szCs w:val="24"/>
        </w:rPr>
        <w:t xml:space="preserve"> </w:t>
      </w:r>
      <w:r w:rsidRPr="00D337FA">
        <w:rPr>
          <w:szCs w:val="24"/>
        </w:rPr>
        <w:t>высокой</w:t>
      </w:r>
      <w:r w:rsidR="006C680D" w:rsidRPr="00D337FA">
        <w:rPr>
          <w:szCs w:val="24"/>
        </w:rPr>
        <w:t xml:space="preserve"> </w:t>
      </w:r>
      <w:r w:rsidRPr="00D337FA">
        <w:rPr>
          <w:szCs w:val="24"/>
        </w:rPr>
        <w:t>оборачиваемостью</w:t>
      </w:r>
      <w:r w:rsidR="006C680D" w:rsidRPr="00D337FA">
        <w:rPr>
          <w:szCs w:val="24"/>
        </w:rPr>
        <w:t xml:space="preserve"> </w:t>
      </w:r>
      <w:r w:rsidRPr="00D337FA">
        <w:rPr>
          <w:szCs w:val="24"/>
        </w:rPr>
        <w:t>капитала.</w:t>
      </w:r>
    </w:p>
    <w:p w:rsidR="00E70CAD" w:rsidRPr="00D337FA" w:rsidRDefault="00E70CAD" w:rsidP="005A0605">
      <w:pPr>
        <w:numPr>
          <w:ilvl w:val="1"/>
          <w:numId w:val="10"/>
        </w:numPr>
        <w:tabs>
          <w:tab w:val="clear" w:pos="1440"/>
        </w:tabs>
        <w:ind w:left="0" w:firstLine="284"/>
        <w:rPr>
          <w:szCs w:val="24"/>
        </w:rPr>
      </w:pPr>
      <w:r w:rsidRPr="00D337FA">
        <w:rPr>
          <w:szCs w:val="24"/>
        </w:rPr>
        <w:t>Диверсификация</w:t>
      </w:r>
      <w:r w:rsidR="006C680D" w:rsidRPr="00D337FA">
        <w:rPr>
          <w:szCs w:val="24"/>
        </w:rPr>
        <w:t xml:space="preserve"> </w:t>
      </w:r>
      <w:r w:rsidRPr="00D337FA">
        <w:rPr>
          <w:szCs w:val="24"/>
        </w:rPr>
        <w:t>кредитных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и</w:t>
      </w:r>
      <w:r w:rsidR="006C680D" w:rsidRPr="00D337FA">
        <w:rPr>
          <w:szCs w:val="24"/>
        </w:rPr>
        <w:t xml:space="preserve"> </w:t>
      </w:r>
      <w:r w:rsidRPr="00D337FA">
        <w:rPr>
          <w:szCs w:val="24"/>
        </w:rPr>
        <w:t>рост</w:t>
      </w:r>
      <w:r w:rsidR="006C680D" w:rsidRPr="00D337FA">
        <w:rPr>
          <w:szCs w:val="24"/>
        </w:rPr>
        <w:t xml:space="preserve"> </w:t>
      </w:r>
      <w:r w:rsidRPr="00D337FA">
        <w:rPr>
          <w:szCs w:val="24"/>
        </w:rPr>
        <w:t>значимости</w:t>
      </w:r>
      <w:r w:rsidR="006C680D" w:rsidRPr="00D337FA">
        <w:rPr>
          <w:szCs w:val="24"/>
        </w:rPr>
        <w:t xml:space="preserve"> </w:t>
      </w:r>
      <w:r w:rsidRPr="00D337FA">
        <w:rPr>
          <w:szCs w:val="24"/>
        </w:rPr>
        <w:t>альтернативных</w:t>
      </w:r>
      <w:r w:rsidR="006C680D" w:rsidRPr="00D337FA">
        <w:rPr>
          <w:szCs w:val="24"/>
        </w:rPr>
        <w:t xml:space="preserve"> </w:t>
      </w:r>
      <w:r w:rsidRPr="00D337FA">
        <w:rPr>
          <w:szCs w:val="24"/>
        </w:rPr>
        <w:t>форм</w:t>
      </w:r>
      <w:r w:rsidR="006C680D" w:rsidRPr="00D337FA">
        <w:rPr>
          <w:szCs w:val="24"/>
        </w:rPr>
        <w:t xml:space="preserve"> </w:t>
      </w:r>
      <w:r w:rsidRPr="00D337FA">
        <w:rPr>
          <w:szCs w:val="24"/>
        </w:rPr>
        <w:t>финансирования</w:t>
      </w:r>
      <w:r w:rsidR="006C680D" w:rsidRPr="00D337FA">
        <w:rPr>
          <w:szCs w:val="24"/>
        </w:rPr>
        <w:t xml:space="preserve"> </w:t>
      </w:r>
      <w:r w:rsidRPr="00D337FA">
        <w:rPr>
          <w:szCs w:val="24"/>
        </w:rPr>
        <w:t>(лизинг,</w:t>
      </w:r>
      <w:r w:rsidR="006C680D" w:rsidRPr="00D337FA">
        <w:rPr>
          <w:szCs w:val="24"/>
        </w:rPr>
        <w:t xml:space="preserve"> </w:t>
      </w:r>
      <w:r w:rsidRPr="00D337FA">
        <w:rPr>
          <w:szCs w:val="24"/>
        </w:rPr>
        <w:t>факторинг)</w:t>
      </w:r>
      <w:r w:rsidR="006C680D" w:rsidRPr="00D337FA">
        <w:rPr>
          <w:szCs w:val="24"/>
        </w:rPr>
        <w:t xml:space="preserve"> </w:t>
      </w:r>
      <w:r w:rsidRPr="00D337FA">
        <w:rPr>
          <w:szCs w:val="24"/>
        </w:rPr>
        <w:t>в</w:t>
      </w:r>
      <w:r w:rsidR="006C680D" w:rsidRPr="00D337FA">
        <w:rPr>
          <w:szCs w:val="24"/>
        </w:rPr>
        <w:t xml:space="preserve"> </w:t>
      </w:r>
      <w:r w:rsidRPr="00D337FA">
        <w:rPr>
          <w:szCs w:val="24"/>
        </w:rPr>
        <w:t>связке</w:t>
      </w:r>
      <w:r w:rsidR="006C680D" w:rsidRPr="00D337FA">
        <w:rPr>
          <w:szCs w:val="24"/>
        </w:rPr>
        <w:t xml:space="preserve"> </w:t>
      </w:r>
      <w:r w:rsidRPr="00D337FA">
        <w:rPr>
          <w:szCs w:val="24"/>
        </w:rPr>
        <w:t>с</w:t>
      </w:r>
      <w:r w:rsidR="006C680D" w:rsidRPr="00D337FA">
        <w:rPr>
          <w:szCs w:val="24"/>
        </w:rPr>
        <w:t xml:space="preserve"> </w:t>
      </w:r>
      <w:r w:rsidRPr="00D337FA">
        <w:rPr>
          <w:szCs w:val="24"/>
        </w:rPr>
        <w:t>государственными</w:t>
      </w:r>
      <w:r w:rsidR="006C680D" w:rsidRPr="00D337FA">
        <w:rPr>
          <w:szCs w:val="24"/>
        </w:rPr>
        <w:t xml:space="preserve"> </w:t>
      </w:r>
      <w:r w:rsidRPr="00D337FA">
        <w:rPr>
          <w:szCs w:val="24"/>
        </w:rPr>
        <w:t>программами</w:t>
      </w:r>
      <w:r w:rsidR="006C680D" w:rsidRPr="00D337FA">
        <w:rPr>
          <w:szCs w:val="24"/>
        </w:rPr>
        <w:t xml:space="preserve"> </w:t>
      </w:r>
      <w:r w:rsidRPr="00D337FA">
        <w:rPr>
          <w:szCs w:val="24"/>
        </w:rPr>
        <w:t>поддержки.</w:t>
      </w:r>
    </w:p>
    <w:p w:rsidR="00E70CAD" w:rsidRPr="00D337FA" w:rsidRDefault="00E70CAD" w:rsidP="005A0605">
      <w:pPr>
        <w:numPr>
          <w:ilvl w:val="1"/>
          <w:numId w:val="10"/>
        </w:numPr>
        <w:tabs>
          <w:tab w:val="clear" w:pos="1440"/>
        </w:tabs>
        <w:ind w:left="0" w:firstLine="284"/>
        <w:rPr>
          <w:szCs w:val="24"/>
        </w:rPr>
      </w:pPr>
      <w:r w:rsidRPr="00D337FA">
        <w:rPr>
          <w:szCs w:val="24"/>
        </w:rPr>
        <w:t>Сохраняющаяся</w:t>
      </w:r>
      <w:r w:rsidR="006C680D" w:rsidRPr="00D337FA">
        <w:rPr>
          <w:szCs w:val="24"/>
        </w:rPr>
        <w:t xml:space="preserve"> </w:t>
      </w:r>
      <w:r w:rsidRPr="00D337FA">
        <w:rPr>
          <w:szCs w:val="24"/>
        </w:rPr>
        <w:t>ограниченность</w:t>
      </w:r>
      <w:r w:rsidR="006C680D" w:rsidRPr="00D337FA">
        <w:rPr>
          <w:szCs w:val="24"/>
        </w:rPr>
        <w:t xml:space="preserve"> </w:t>
      </w:r>
      <w:r w:rsidRPr="00D337FA">
        <w:rPr>
          <w:szCs w:val="24"/>
        </w:rPr>
        <w:t>предложения</w:t>
      </w:r>
      <w:r w:rsidR="006C680D" w:rsidRPr="00D337FA">
        <w:rPr>
          <w:szCs w:val="24"/>
        </w:rPr>
        <w:t xml:space="preserve"> </w:t>
      </w:r>
      <w:r w:rsidRPr="00D337FA">
        <w:rPr>
          <w:szCs w:val="24"/>
        </w:rPr>
        <w:t>стратегических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критичных</w:t>
      </w:r>
      <w:r w:rsidR="006C680D" w:rsidRPr="00D337FA">
        <w:rPr>
          <w:szCs w:val="24"/>
        </w:rPr>
        <w:t xml:space="preserve"> </w:t>
      </w:r>
      <w:r w:rsidRPr="00D337FA">
        <w:rPr>
          <w:szCs w:val="24"/>
        </w:rPr>
        <w:t>для</w:t>
      </w:r>
      <w:r w:rsidR="006C680D" w:rsidRPr="00D337FA">
        <w:rPr>
          <w:szCs w:val="24"/>
        </w:rPr>
        <w:t xml:space="preserve"> </w:t>
      </w:r>
      <w:r w:rsidRPr="00D337FA">
        <w:rPr>
          <w:szCs w:val="24"/>
        </w:rPr>
        <w:t>роста</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(международные</w:t>
      </w:r>
      <w:r w:rsidR="006C680D" w:rsidRPr="00D337FA">
        <w:rPr>
          <w:szCs w:val="24"/>
        </w:rPr>
        <w:t xml:space="preserve"> </w:t>
      </w:r>
      <w:r w:rsidRPr="00D337FA">
        <w:rPr>
          <w:szCs w:val="24"/>
        </w:rPr>
        <w:t>расчеты,</w:t>
      </w:r>
      <w:r w:rsidR="006C680D" w:rsidRPr="00D337FA">
        <w:rPr>
          <w:szCs w:val="24"/>
        </w:rPr>
        <w:t xml:space="preserve"> </w:t>
      </w:r>
      <w:r w:rsidRPr="00D337FA">
        <w:rPr>
          <w:szCs w:val="24"/>
        </w:rPr>
        <w:t>комплексное</w:t>
      </w:r>
      <w:r w:rsidR="006C680D" w:rsidRPr="00D337FA">
        <w:rPr>
          <w:szCs w:val="24"/>
        </w:rPr>
        <w:t xml:space="preserve"> </w:t>
      </w:r>
      <w:r w:rsidRPr="00D337FA">
        <w:rPr>
          <w:szCs w:val="24"/>
        </w:rPr>
        <w:t>страхование,</w:t>
      </w:r>
      <w:r w:rsidR="006C680D" w:rsidRPr="00D337FA">
        <w:rPr>
          <w:szCs w:val="24"/>
        </w:rPr>
        <w:t xml:space="preserve"> </w:t>
      </w:r>
      <w:r w:rsidRPr="00D337FA">
        <w:rPr>
          <w:szCs w:val="24"/>
        </w:rPr>
        <w:t>интеграция</w:t>
      </w:r>
      <w:r w:rsidR="006C680D" w:rsidRPr="00D337FA">
        <w:rPr>
          <w:szCs w:val="24"/>
        </w:rPr>
        <w:t xml:space="preserve"> </w:t>
      </w:r>
      <w:r w:rsidRPr="00D337FA">
        <w:rPr>
          <w:szCs w:val="24"/>
        </w:rPr>
        <w:t>с</w:t>
      </w:r>
      <w:r w:rsidR="006C680D" w:rsidRPr="00D337FA">
        <w:rPr>
          <w:szCs w:val="24"/>
        </w:rPr>
        <w:t xml:space="preserve"> </w:t>
      </w:r>
      <w:r w:rsidRPr="00D337FA">
        <w:rPr>
          <w:szCs w:val="24"/>
        </w:rPr>
        <w:t>e-commerce).</w:t>
      </w:r>
    </w:p>
    <w:p w:rsidR="00E70CAD" w:rsidRPr="00D337FA" w:rsidRDefault="00E70CAD" w:rsidP="005A0605">
      <w:pPr>
        <w:numPr>
          <w:ilvl w:val="1"/>
          <w:numId w:val="10"/>
        </w:numPr>
        <w:tabs>
          <w:tab w:val="clear" w:pos="1440"/>
        </w:tabs>
        <w:ind w:left="0" w:firstLine="284"/>
        <w:rPr>
          <w:szCs w:val="24"/>
        </w:rPr>
      </w:pPr>
      <w:r w:rsidRPr="00D337FA">
        <w:rPr>
          <w:szCs w:val="24"/>
        </w:rPr>
        <w:t>Развитие</w:t>
      </w:r>
      <w:r w:rsidR="006C680D" w:rsidRPr="00D337FA">
        <w:rPr>
          <w:szCs w:val="24"/>
        </w:rPr>
        <w:t xml:space="preserve"> </w:t>
      </w:r>
      <w:r w:rsidRPr="00D337FA">
        <w:rPr>
          <w:szCs w:val="24"/>
        </w:rPr>
        <w:t>нефинансового</w:t>
      </w:r>
      <w:r w:rsidR="006C680D" w:rsidRPr="00D337FA">
        <w:rPr>
          <w:szCs w:val="24"/>
        </w:rPr>
        <w:t xml:space="preserve"> </w:t>
      </w:r>
      <w:r w:rsidRPr="00D337FA">
        <w:rPr>
          <w:szCs w:val="24"/>
        </w:rPr>
        <w:t>сопровождения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кастомизации,</w:t>
      </w:r>
      <w:r w:rsidR="006C680D" w:rsidRPr="00D337FA">
        <w:rPr>
          <w:szCs w:val="24"/>
        </w:rPr>
        <w:t xml:space="preserve"> </w:t>
      </w:r>
      <w:r w:rsidRPr="00D337FA">
        <w:rPr>
          <w:szCs w:val="24"/>
        </w:rPr>
        <w:t>означающее</w:t>
      </w:r>
      <w:r w:rsidR="006C680D" w:rsidRPr="00D337FA">
        <w:rPr>
          <w:szCs w:val="24"/>
        </w:rPr>
        <w:t xml:space="preserve"> </w:t>
      </w:r>
      <w:r w:rsidRPr="00D337FA">
        <w:rPr>
          <w:szCs w:val="24"/>
        </w:rPr>
        <w:t>начало</w:t>
      </w:r>
      <w:r w:rsidR="006C680D" w:rsidRPr="00D337FA">
        <w:rPr>
          <w:szCs w:val="24"/>
        </w:rPr>
        <w:t xml:space="preserve"> </w:t>
      </w:r>
      <w:r w:rsidRPr="00D337FA">
        <w:rPr>
          <w:szCs w:val="24"/>
        </w:rPr>
        <w:t>перехода</w:t>
      </w:r>
      <w:r w:rsidR="006C680D" w:rsidRPr="00D337FA">
        <w:rPr>
          <w:szCs w:val="24"/>
        </w:rPr>
        <w:t xml:space="preserve"> </w:t>
      </w:r>
      <w:r w:rsidRPr="00D337FA">
        <w:rPr>
          <w:szCs w:val="24"/>
        </w:rPr>
        <w:t>к</w:t>
      </w:r>
      <w:r w:rsidR="006C680D" w:rsidRPr="00D337FA">
        <w:rPr>
          <w:szCs w:val="24"/>
        </w:rPr>
        <w:t xml:space="preserve"> </w:t>
      </w:r>
      <w:r w:rsidRPr="00D337FA">
        <w:rPr>
          <w:szCs w:val="24"/>
        </w:rPr>
        <w:t>экосистемной</w:t>
      </w:r>
      <w:r w:rsidR="006C680D" w:rsidRPr="00D337FA">
        <w:rPr>
          <w:szCs w:val="24"/>
        </w:rPr>
        <w:t xml:space="preserve"> </w:t>
      </w:r>
      <w:r w:rsidRPr="00D337FA">
        <w:rPr>
          <w:szCs w:val="24"/>
        </w:rPr>
        <w:t>бизнес-модели.</w:t>
      </w:r>
    </w:p>
    <w:p w:rsidR="00E70CAD" w:rsidRPr="00D337FA" w:rsidRDefault="00E70CAD" w:rsidP="00E70CAD">
      <w:pPr>
        <w:ind w:firstLine="284"/>
        <w:rPr>
          <w:szCs w:val="24"/>
        </w:rPr>
      </w:pPr>
      <w:r w:rsidRPr="00D337FA">
        <w:rPr>
          <w:szCs w:val="24"/>
        </w:rPr>
        <w:t>Установлено,</w:t>
      </w:r>
      <w:r w:rsidR="006C680D" w:rsidRPr="00D337FA">
        <w:rPr>
          <w:szCs w:val="24"/>
        </w:rPr>
        <w:t xml:space="preserve"> </w:t>
      </w:r>
      <w:r w:rsidRPr="00D337FA">
        <w:rPr>
          <w:szCs w:val="24"/>
        </w:rPr>
        <w:t>что</w:t>
      </w:r>
      <w:r w:rsidR="006C680D" w:rsidRPr="00D337FA">
        <w:rPr>
          <w:szCs w:val="24"/>
        </w:rPr>
        <w:t xml:space="preserve"> </w:t>
      </w:r>
      <w:r w:rsidRPr="00D337FA">
        <w:rPr>
          <w:szCs w:val="24"/>
        </w:rPr>
        <w:t>наблюдаемое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носит</w:t>
      </w:r>
      <w:r w:rsidR="006C680D" w:rsidRPr="00D337FA">
        <w:rPr>
          <w:szCs w:val="24"/>
        </w:rPr>
        <w:t xml:space="preserve"> </w:t>
      </w:r>
      <w:r w:rsidRPr="00D337FA">
        <w:rPr>
          <w:bCs/>
          <w:szCs w:val="24"/>
        </w:rPr>
        <w:t>неравномерный</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противоречивый</w:t>
      </w:r>
      <w:r w:rsidR="006C680D" w:rsidRPr="00D337FA">
        <w:rPr>
          <w:bCs/>
          <w:szCs w:val="24"/>
        </w:rPr>
        <w:t xml:space="preserve"> </w:t>
      </w:r>
      <w:r w:rsidRPr="00D337FA">
        <w:rPr>
          <w:bCs/>
          <w:szCs w:val="24"/>
        </w:rPr>
        <w:t>характер</w:t>
      </w:r>
      <w:r w:rsidRPr="00D337FA">
        <w:rPr>
          <w:szCs w:val="24"/>
        </w:rPr>
        <w:t>.</w:t>
      </w:r>
      <w:r w:rsidR="006C680D" w:rsidRPr="00D337FA">
        <w:rPr>
          <w:szCs w:val="24"/>
        </w:rPr>
        <w:t xml:space="preserve"> </w:t>
      </w:r>
      <w:r w:rsidRPr="00D337FA">
        <w:rPr>
          <w:szCs w:val="24"/>
        </w:rPr>
        <w:t>Параллельно</w:t>
      </w:r>
      <w:r w:rsidR="006C680D" w:rsidRPr="00D337FA">
        <w:rPr>
          <w:szCs w:val="24"/>
        </w:rPr>
        <w:t xml:space="preserve"> </w:t>
      </w:r>
      <w:r w:rsidRPr="00D337FA">
        <w:rPr>
          <w:szCs w:val="24"/>
        </w:rPr>
        <w:t>с</w:t>
      </w:r>
      <w:r w:rsidR="006C680D" w:rsidRPr="00D337FA">
        <w:rPr>
          <w:szCs w:val="24"/>
        </w:rPr>
        <w:t xml:space="preserve"> </w:t>
      </w:r>
      <w:r w:rsidRPr="00D337FA">
        <w:rPr>
          <w:szCs w:val="24"/>
        </w:rPr>
        <w:t>прогрессом</w:t>
      </w:r>
      <w:r w:rsidR="006C680D" w:rsidRPr="00D337FA">
        <w:rPr>
          <w:szCs w:val="24"/>
        </w:rPr>
        <w:t xml:space="preserve"> </w:t>
      </w:r>
      <w:r w:rsidRPr="00D337FA">
        <w:rPr>
          <w:szCs w:val="24"/>
        </w:rPr>
        <w:t>в</w:t>
      </w:r>
      <w:r w:rsidR="006C680D" w:rsidRPr="00D337FA">
        <w:rPr>
          <w:szCs w:val="24"/>
        </w:rPr>
        <w:t xml:space="preserve"> </w:t>
      </w:r>
      <w:r w:rsidRPr="00D337FA">
        <w:rPr>
          <w:szCs w:val="24"/>
        </w:rPr>
        <w:t>цифровизации</w:t>
      </w:r>
      <w:r w:rsidR="006C680D" w:rsidRPr="00D337FA">
        <w:rPr>
          <w:szCs w:val="24"/>
        </w:rPr>
        <w:t xml:space="preserve"> </w:t>
      </w:r>
      <w:r w:rsidRPr="00D337FA">
        <w:rPr>
          <w:szCs w:val="24"/>
        </w:rPr>
        <w:t>рутинных</w:t>
      </w:r>
      <w:r w:rsidR="006C680D" w:rsidRPr="00D337FA">
        <w:rPr>
          <w:szCs w:val="24"/>
        </w:rPr>
        <w:t xml:space="preserve"> </w:t>
      </w:r>
      <w:r w:rsidRPr="00D337FA">
        <w:rPr>
          <w:szCs w:val="24"/>
        </w:rPr>
        <w:t>операций</w:t>
      </w:r>
      <w:r w:rsidR="006C680D" w:rsidRPr="00D337FA">
        <w:rPr>
          <w:szCs w:val="24"/>
        </w:rPr>
        <w:t xml:space="preserve"> </w:t>
      </w:r>
      <w:r w:rsidRPr="00D337FA">
        <w:rPr>
          <w:szCs w:val="24"/>
        </w:rPr>
        <w:t>сохраняется</w:t>
      </w:r>
      <w:r w:rsidR="006C680D" w:rsidRPr="00D337FA">
        <w:rPr>
          <w:szCs w:val="24"/>
        </w:rPr>
        <w:t xml:space="preserve"> </w:t>
      </w:r>
      <w:r w:rsidRPr="00D337FA">
        <w:rPr>
          <w:szCs w:val="24"/>
        </w:rPr>
        <w:t>существенный</w:t>
      </w:r>
      <w:r w:rsidR="006C680D" w:rsidRPr="00D337FA">
        <w:rPr>
          <w:szCs w:val="24"/>
        </w:rPr>
        <w:t xml:space="preserve"> </w:t>
      </w:r>
      <w:r w:rsidRPr="00D337FA">
        <w:rPr>
          <w:szCs w:val="24"/>
        </w:rPr>
        <w:t>дефицит</w:t>
      </w:r>
      <w:r w:rsidR="006C680D" w:rsidRPr="00D337FA">
        <w:rPr>
          <w:szCs w:val="24"/>
        </w:rPr>
        <w:t xml:space="preserve"> </w:t>
      </w:r>
      <w:r w:rsidRPr="00D337FA">
        <w:rPr>
          <w:szCs w:val="24"/>
        </w:rPr>
        <w:t>сложных,</w:t>
      </w:r>
      <w:r w:rsidR="006C680D" w:rsidRPr="00D337FA">
        <w:rPr>
          <w:szCs w:val="24"/>
        </w:rPr>
        <w:t xml:space="preserve"> </w:t>
      </w:r>
      <w:r w:rsidRPr="00D337FA">
        <w:rPr>
          <w:szCs w:val="24"/>
        </w:rPr>
        <w:t>«штучных»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производственного</w:t>
      </w:r>
      <w:r w:rsidR="006C680D" w:rsidRPr="00D337FA">
        <w:rPr>
          <w:szCs w:val="24"/>
        </w:rPr>
        <w:t xml:space="preserve"> </w:t>
      </w:r>
      <w:r w:rsidRPr="00D337FA">
        <w:rPr>
          <w:szCs w:val="24"/>
        </w:rPr>
        <w:t>и</w:t>
      </w:r>
      <w:r w:rsidR="006C680D" w:rsidRPr="00D337FA">
        <w:rPr>
          <w:szCs w:val="24"/>
        </w:rPr>
        <w:t xml:space="preserve"> </w:t>
      </w:r>
      <w:r w:rsidRPr="00D337FA">
        <w:rPr>
          <w:szCs w:val="24"/>
        </w:rPr>
        <w:t>аграрного</w:t>
      </w:r>
      <w:r w:rsidR="006C680D" w:rsidRPr="00D337FA">
        <w:rPr>
          <w:szCs w:val="24"/>
        </w:rPr>
        <w:t xml:space="preserve"> </w:t>
      </w:r>
      <w:r w:rsidRPr="00D337FA">
        <w:rPr>
          <w:szCs w:val="24"/>
        </w:rPr>
        <w:t>сектора.</w:t>
      </w:r>
      <w:r w:rsidR="006C680D" w:rsidRPr="00D337FA">
        <w:rPr>
          <w:szCs w:val="24"/>
        </w:rPr>
        <w:t xml:space="preserve"> </w:t>
      </w:r>
      <w:r w:rsidRPr="00D337FA">
        <w:rPr>
          <w:szCs w:val="24"/>
        </w:rPr>
        <w:t>Выявлен</w:t>
      </w:r>
      <w:r w:rsidR="006C680D" w:rsidRPr="00D337FA">
        <w:rPr>
          <w:szCs w:val="24"/>
        </w:rPr>
        <w:t xml:space="preserve"> </w:t>
      </w:r>
      <w:r w:rsidRPr="00D337FA">
        <w:rPr>
          <w:szCs w:val="24"/>
        </w:rPr>
        <w:t>значительный</w:t>
      </w:r>
      <w:r w:rsidR="006C680D" w:rsidRPr="00D337FA">
        <w:rPr>
          <w:szCs w:val="24"/>
        </w:rPr>
        <w:t xml:space="preserve"> </w:t>
      </w:r>
      <w:r w:rsidRPr="00D337FA">
        <w:rPr>
          <w:szCs w:val="24"/>
        </w:rPr>
        <w:t>разрыв</w:t>
      </w:r>
      <w:r w:rsidR="006C680D" w:rsidRPr="00D337FA">
        <w:rPr>
          <w:szCs w:val="24"/>
        </w:rPr>
        <w:t xml:space="preserve"> </w:t>
      </w:r>
      <w:r w:rsidRPr="00D337FA">
        <w:rPr>
          <w:szCs w:val="24"/>
        </w:rPr>
        <w:t>в</w:t>
      </w:r>
      <w:r w:rsidR="006C680D" w:rsidRPr="00D337FA">
        <w:rPr>
          <w:szCs w:val="24"/>
        </w:rPr>
        <w:t xml:space="preserve"> </w:t>
      </w:r>
      <w:r w:rsidRPr="00D337FA">
        <w:rPr>
          <w:szCs w:val="24"/>
        </w:rPr>
        <w:t>уровне</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зрелости</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банками-лидерами,</w:t>
      </w:r>
      <w:r w:rsidR="006C680D" w:rsidRPr="00D337FA">
        <w:rPr>
          <w:szCs w:val="24"/>
        </w:rPr>
        <w:t xml:space="preserve"> </w:t>
      </w:r>
      <w:r w:rsidRPr="00D337FA">
        <w:rPr>
          <w:szCs w:val="24"/>
        </w:rPr>
        <w:t>формирующими</w:t>
      </w:r>
      <w:r w:rsidR="006C680D" w:rsidRPr="00D337FA">
        <w:rPr>
          <w:szCs w:val="24"/>
        </w:rPr>
        <w:t xml:space="preserve"> </w:t>
      </w:r>
      <w:r w:rsidRPr="00D337FA">
        <w:rPr>
          <w:szCs w:val="24"/>
        </w:rPr>
        <w:t>полноценные</w:t>
      </w:r>
      <w:r w:rsidR="006C680D" w:rsidRPr="00D337FA">
        <w:rPr>
          <w:szCs w:val="24"/>
        </w:rPr>
        <w:t xml:space="preserve"> </w:t>
      </w:r>
      <w:r w:rsidRPr="00D337FA">
        <w:rPr>
          <w:szCs w:val="24"/>
        </w:rPr>
        <w:t>экосистемы</w:t>
      </w:r>
      <w:r w:rsidR="006C680D" w:rsidRPr="00D337FA">
        <w:rPr>
          <w:szCs w:val="24"/>
        </w:rPr>
        <w:t xml:space="preserve"> </w:t>
      </w:r>
      <w:r w:rsidRPr="00D337FA">
        <w:rPr>
          <w:szCs w:val="24"/>
        </w:rPr>
        <w:t>(Сбербанк,</w:t>
      </w:r>
      <w:r w:rsidR="006C680D" w:rsidRPr="00D337FA">
        <w:rPr>
          <w:szCs w:val="24"/>
        </w:rPr>
        <w:t xml:space="preserve"> </w:t>
      </w:r>
      <w:r w:rsidRPr="00D337FA">
        <w:rPr>
          <w:szCs w:val="24"/>
        </w:rPr>
        <w:t>Альфа-Банк,</w:t>
      </w:r>
      <w:r w:rsidR="006C680D" w:rsidRPr="00D337FA">
        <w:rPr>
          <w:szCs w:val="24"/>
        </w:rPr>
        <w:t xml:space="preserve"> </w:t>
      </w:r>
      <w:r w:rsidRPr="00D337FA">
        <w:rPr>
          <w:szCs w:val="24"/>
        </w:rPr>
        <w:t>ВТБ),</w:t>
      </w:r>
      <w:r w:rsidR="006C680D" w:rsidRPr="00D337FA">
        <w:rPr>
          <w:szCs w:val="24"/>
        </w:rPr>
        <w:t xml:space="preserve"> </w:t>
      </w:r>
      <w:r w:rsidRPr="00D337FA">
        <w:rPr>
          <w:szCs w:val="24"/>
        </w:rPr>
        <w:t>и</w:t>
      </w:r>
      <w:r w:rsidR="006C680D" w:rsidRPr="00D337FA">
        <w:rPr>
          <w:szCs w:val="24"/>
        </w:rPr>
        <w:t xml:space="preserve"> </w:t>
      </w:r>
      <w:r w:rsidRPr="00D337FA">
        <w:rPr>
          <w:szCs w:val="24"/>
        </w:rPr>
        <w:t>остальными</w:t>
      </w:r>
      <w:r w:rsidR="006C680D" w:rsidRPr="00D337FA">
        <w:rPr>
          <w:szCs w:val="24"/>
        </w:rPr>
        <w:t xml:space="preserve"> </w:t>
      </w:r>
      <w:r w:rsidRPr="00D337FA">
        <w:rPr>
          <w:szCs w:val="24"/>
        </w:rPr>
        <w:t>участниками</w:t>
      </w:r>
      <w:r w:rsidR="006C680D" w:rsidRPr="00D337FA">
        <w:rPr>
          <w:szCs w:val="24"/>
        </w:rPr>
        <w:t xml:space="preserve"> </w:t>
      </w:r>
      <w:r w:rsidRPr="00D337FA">
        <w:rPr>
          <w:szCs w:val="24"/>
        </w:rPr>
        <w:t>рынка.</w:t>
      </w:r>
      <w:r w:rsidR="006C680D" w:rsidRPr="00D337FA">
        <w:rPr>
          <w:szCs w:val="24"/>
        </w:rPr>
        <w:t xml:space="preserve"> </w:t>
      </w:r>
      <w:r w:rsidRPr="00D337FA">
        <w:rPr>
          <w:szCs w:val="24"/>
        </w:rPr>
        <w:t>Основными</w:t>
      </w:r>
      <w:r w:rsidR="006C680D" w:rsidRPr="00D337FA">
        <w:rPr>
          <w:szCs w:val="24"/>
        </w:rPr>
        <w:t xml:space="preserve"> </w:t>
      </w:r>
      <w:r w:rsidRPr="00D337FA">
        <w:rPr>
          <w:szCs w:val="24"/>
        </w:rPr>
        <w:t>сдерживающими</w:t>
      </w:r>
      <w:r w:rsidR="006C680D" w:rsidRPr="00D337FA">
        <w:rPr>
          <w:szCs w:val="24"/>
        </w:rPr>
        <w:t xml:space="preserve"> </w:t>
      </w:r>
      <w:r w:rsidRPr="00D337FA">
        <w:rPr>
          <w:szCs w:val="24"/>
        </w:rPr>
        <w:t>факторами,</w:t>
      </w:r>
      <w:r w:rsidR="006C680D" w:rsidRPr="00D337FA">
        <w:rPr>
          <w:szCs w:val="24"/>
        </w:rPr>
        <w:t xml:space="preserve"> </w:t>
      </w:r>
      <w:r w:rsidRPr="00D337FA">
        <w:rPr>
          <w:szCs w:val="24"/>
        </w:rPr>
        <w:t>помимо</w:t>
      </w:r>
      <w:r w:rsidR="006C680D" w:rsidRPr="00D337FA">
        <w:rPr>
          <w:szCs w:val="24"/>
        </w:rPr>
        <w:t xml:space="preserve"> </w:t>
      </w:r>
      <w:r w:rsidRPr="00D337FA">
        <w:rPr>
          <w:szCs w:val="24"/>
        </w:rPr>
        <w:t>макроэкономической</w:t>
      </w:r>
      <w:r w:rsidR="006C680D" w:rsidRPr="00D337FA">
        <w:rPr>
          <w:szCs w:val="24"/>
        </w:rPr>
        <w:t xml:space="preserve"> </w:t>
      </w:r>
      <w:r w:rsidRPr="00D337FA">
        <w:rPr>
          <w:szCs w:val="24"/>
        </w:rPr>
        <w:t>и</w:t>
      </w:r>
      <w:r w:rsidR="006C680D" w:rsidRPr="00D337FA">
        <w:rPr>
          <w:szCs w:val="24"/>
        </w:rPr>
        <w:t xml:space="preserve"> </w:t>
      </w:r>
      <w:r w:rsidRPr="00D337FA">
        <w:rPr>
          <w:szCs w:val="24"/>
        </w:rPr>
        <w:t>регуляторной</w:t>
      </w:r>
      <w:r w:rsidR="006C680D" w:rsidRPr="00D337FA">
        <w:rPr>
          <w:szCs w:val="24"/>
        </w:rPr>
        <w:t xml:space="preserve"> </w:t>
      </w:r>
      <w:r w:rsidRPr="00D337FA">
        <w:rPr>
          <w:szCs w:val="24"/>
        </w:rPr>
        <w:t>неопределенности,</w:t>
      </w:r>
      <w:r w:rsidR="006C680D" w:rsidRPr="00D337FA">
        <w:rPr>
          <w:szCs w:val="24"/>
        </w:rPr>
        <w:t xml:space="preserve"> </w:t>
      </w:r>
      <w:r w:rsidRPr="00D337FA">
        <w:rPr>
          <w:szCs w:val="24"/>
        </w:rPr>
        <w:t>являются</w:t>
      </w:r>
      <w:r w:rsidR="006C680D" w:rsidRPr="00D337FA">
        <w:rPr>
          <w:szCs w:val="24"/>
        </w:rPr>
        <w:t xml:space="preserve"> </w:t>
      </w:r>
      <w:r w:rsidRPr="00D337FA">
        <w:rPr>
          <w:szCs w:val="24"/>
        </w:rPr>
        <w:t>высокие</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на</w:t>
      </w:r>
      <w:r w:rsidR="006C680D" w:rsidRPr="00D337FA">
        <w:rPr>
          <w:szCs w:val="24"/>
        </w:rPr>
        <w:t xml:space="preserve"> </w:t>
      </w:r>
      <w:r w:rsidRPr="00D337FA">
        <w:rPr>
          <w:szCs w:val="24"/>
        </w:rPr>
        <w:t>разработку</w:t>
      </w:r>
      <w:r w:rsidR="006C680D" w:rsidRPr="00D337FA">
        <w:rPr>
          <w:szCs w:val="24"/>
        </w:rPr>
        <w:t xml:space="preserve"> </w:t>
      </w:r>
      <w:r w:rsidRPr="00D337FA">
        <w:rPr>
          <w:szCs w:val="24"/>
        </w:rPr>
        <w:t>нишевых</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и</w:t>
      </w:r>
      <w:r w:rsidR="006C680D" w:rsidRPr="00D337FA">
        <w:rPr>
          <w:szCs w:val="24"/>
        </w:rPr>
        <w:t xml:space="preserve"> </w:t>
      </w:r>
      <w:r w:rsidRPr="00D337FA">
        <w:rPr>
          <w:szCs w:val="24"/>
        </w:rPr>
        <w:t>сохраняющаяся</w:t>
      </w:r>
      <w:r w:rsidR="006C680D" w:rsidRPr="00D337FA">
        <w:rPr>
          <w:szCs w:val="24"/>
        </w:rPr>
        <w:t xml:space="preserve"> </w:t>
      </w:r>
      <w:r w:rsidRPr="00D337FA">
        <w:rPr>
          <w:szCs w:val="24"/>
        </w:rPr>
        <w:t>ориентация</w:t>
      </w:r>
      <w:r w:rsidR="006C680D" w:rsidRPr="00D337FA">
        <w:rPr>
          <w:szCs w:val="24"/>
        </w:rPr>
        <w:t xml:space="preserve"> </w:t>
      </w:r>
      <w:r w:rsidRPr="00D337FA">
        <w:rPr>
          <w:szCs w:val="24"/>
        </w:rPr>
        <w:t>многих</w:t>
      </w:r>
      <w:r w:rsidR="006C680D" w:rsidRPr="00D337FA">
        <w:rPr>
          <w:szCs w:val="24"/>
        </w:rPr>
        <w:t xml:space="preserve"> </w:t>
      </w:r>
      <w:r w:rsidRPr="00D337FA">
        <w:rPr>
          <w:szCs w:val="24"/>
        </w:rPr>
        <w:lastRenderedPageBreak/>
        <w:t>банков</w:t>
      </w:r>
      <w:r w:rsidR="006C680D" w:rsidRPr="00D337FA">
        <w:rPr>
          <w:szCs w:val="24"/>
        </w:rPr>
        <w:t xml:space="preserve"> </w:t>
      </w:r>
      <w:r w:rsidRPr="00D337FA">
        <w:rPr>
          <w:szCs w:val="24"/>
        </w:rPr>
        <w:t>на</w:t>
      </w:r>
      <w:r w:rsidR="006C680D" w:rsidRPr="00D337FA">
        <w:rPr>
          <w:szCs w:val="24"/>
        </w:rPr>
        <w:t xml:space="preserve"> </w:t>
      </w:r>
      <w:r w:rsidRPr="00D337FA">
        <w:rPr>
          <w:szCs w:val="24"/>
        </w:rPr>
        <w:t>унифицированные,</w:t>
      </w:r>
      <w:r w:rsidR="006C680D" w:rsidRPr="00D337FA">
        <w:rPr>
          <w:szCs w:val="24"/>
        </w:rPr>
        <w:t xml:space="preserve"> </w:t>
      </w:r>
      <w:r w:rsidRPr="00D337FA">
        <w:rPr>
          <w:szCs w:val="24"/>
        </w:rPr>
        <w:t>низкорисковые</w:t>
      </w:r>
      <w:r w:rsidR="006C680D" w:rsidRPr="00D337FA">
        <w:rPr>
          <w:szCs w:val="24"/>
        </w:rPr>
        <w:t xml:space="preserve"> </w:t>
      </w:r>
      <w:r w:rsidRPr="00D337FA">
        <w:rPr>
          <w:szCs w:val="24"/>
        </w:rPr>
        <w:t>продукты.</w:t>
      </w:r>
    </w:p>
    <w:p w:rsidR="00E70CAD" w:rsidRPr="00D337FA" w:rsidRDefault="00E70CAD" w:rsidP="00E70CAD">
      <w:pPr>
        <w:ind w:firstLine="284"/>
        <w:rPr>
          <w:szCs w:val="24"/>
        </w:rPr>
      </w:pPr>
      <w:r w:rsidRPr="00D337FA">
        <w:rPr>
          <w:bCs/>
          <w:szCs w:val="24"/>
        </w:rPr>
        <w:t>В</w:t>
      </w:r>
      <w:r w:rsidR="006C680D" w:rsidRPr="00D337FA">
        <w:rPr>
          <w:bCs/>
          <w:szCs w:val="24"/>
        </w:rPr>
        <w:t xml:space="preserve"> </w:t>
      </w:r>
      <w:r w:rsidRPr="00D337FA">
        <w:rPr>
          <w:bCs/>
          <w:szCs w:val="24"/>
        </w:rPr>
        <w:t>качестве</w:t>
      </w:r>
      <w:r w:rsidR="006C680D" w:rsidRPr="00D337FA">
        <w:rPr>
          <w:bCs/>
          <w:szCs w:val="24"/>
        </w:rPr>
        <w:t xml:space="preserve"> </w:t>
      </w:r>
      <w:r w:rsidRPr="00D337FA">
        <w:rPr>
          <w:bCs/>
          <w:szCs w:val="24"/>
        </w:rPr>
        <w:t>авторского</w:t>
      </w:r>
      <w:r w:rsidR="006C680D" w:rsidRPr="00D337FA">
        <w:rPr>
          <w:bCs/>
          <w:szCs w:val="24"/>
        </w:rPr>
        <w:t xml:space="preserve"> </w:t>
      </w:r>
      <w:r w:rsidRPr="00D337FA">
        <w:rPr>
          <w:bCs/>
          <w:szCs w:val="24"/>
        </w:rPr>
        <w:t>вклада,</w:t>
      </w:r>
      <w:r w:rsidR="006C680D" w:rsidRPr="00D337FA">
        <w:rPr>
          <w:bCs/>
          <w:szCs w:val="24"/>
        </w:rPr>
        <w:t xml:space="preserve"> </w:t>
      </w:r>
      <w:r w:rsidRPr="00D337FA">
        <w:rPr>
          <w:bCs/>
          <w:szCs w:val="24"/>
        </w:rPr>
        <w:t>коррелирующего</w:t>
      </w:r>
      <w:r w:rsidR="006C680D" w:rsidRPr="00D337FA">
        <w:rPr>
          <w:bCs/>
          <w:szCs w:val="24"/>
        </w:rPr>
        <w:t xml:space="preserve"> </w:t>
      </w:r>
      <w:r w:rsidRPr="00D337FA">
        <w:rPr>
          <w:bCs/>
          <w:szCs w:val="24"/>
        </w:rPr>
        <w:t>с</w:t>
      </w:r>
      <w:r w:rsidR="006C680D" w:rsidRPr="00D337FA">
        <w:rPr>
          <w:bCs/>
          <w:szCs w:val="24"/>
        </w:rPr>
        <w:t xml:space="preserve"> </w:t>
      </w:r>
      <w:r w:rsidRPr="00D337FA">
        <w:rPr>
          <w:bCs/>
          <w:szCs w:val="24"/>
        </w:rPr>
        <w:t>целью</w:t>
      </w:r>
      <w:r w:rsidR="006C680D" w:rsidRPr="00D337FA">
        <w:rPr>
          <w:bCs/>
          <w:szCs w:val="24"/>
        </w:rPr>
        <w:t xml:space="preserve"> </w:t>
      </w:r>
      <w:r w:rsidRPr="00D337FA">
        <w:rPr>
          <w:bCs/>
          <w:szCs w:val="24"/>
        </w:rPr>
        <w:t>и</w:t>
      </w:r>
      <w:r w:rsidR="006C680D" w:rsidRPr="00D337FA">
        <w:rPr>
          <w:bCs/>
          <w:szCs w:val="24"/>
        </w:rPr>
        <w:t xml:space="preserve"> </w:t>
      </w:r>
      <w:r w:rsidRPr="00D337FA">
        <w:rPr>
          <w:bCs/>
          <w:szCs w:val="24"/>
        </w:rPr>
        <w:t>задачами</w:t>
      </w:r>
      <w:r w:rsidR="006C680D" w:rsidRPr="00D337FA">
        <w:rPr>
          <w:bCs/>
          <w:szCs w:val="24"/>
        </w:rPr>
        <w:t xml:space="preserve"> </w:t>
      </w:r>
      <w:r w:rsidRPr="00D337FA">
        <w:rPr>
          <w:bCs/>
          <w:szCs w:val="24"/>
        </w:rPr>
        <w:t>исследования,</w:t>
      </w:r>
      <w:r w:rsidR="006C680D" w:rsidRPr="00D337FA">
        <w:rPr>
          <w:bCs/>
          <w:szCs w:val="24"/>
        </w:rPr>
        <w:t xml:space="preserve"> </w:t>
      </w:r>
      <w:r w:rsidRPr="00D337FA">
        <w:rPr>
          <w:bCs/>
          <w:szCs w:val="24"/>
        </w:rPr>
        <w:t>сформулированы</w:t>
      </w:r>
      <w:r w:rsidR="006C680D" w:rsidRPr="00D337FA">
        <w:rPr>
          <w:bCs/>
          <w:szCs w:val="24"/>
        </w:rPr>
        <w:t xml:space="preserve"> </w:t>
      </w:r>
      <w:r w:rsidRPr="00D337FA">
        <w:rPr>
          <w:bCs/>
          <w:szCs w:val="24"/>
        </w:rPr>
        <w:t>ключевые</w:t>
      </w:r>
      <w:r w:rsidR="006C680D" w:rsidRPr="00D337FA">
        <w:rPr>
          <w:bCs/>
          <w:szCs w:val="24"/>
        </w:rPr>
        <w:t xml:space="preserve"> </w:t>
      </w:r>
      <w:r w:rsidRPr="00D337FA">
        <w:rPr>
          <w:bCs/>
          <w:szCs w:val="24"/>
        </w:rPr>
        <w:t>векторы</w:t>
      </w:r>
      <w:r w:rsidR="006C680D" w:rsidRPr="00D337FA">
        <w:rPr>
          <w:bCs/>
          <w:szCs w:val="24"/>
        </w:rPr>
        <w:t xml:space="preserve"> </w:t>
      </w:r>
      <w:r w:rsidRPr="00D337FA">
        <w:rPr>
          <w:bCs/>
          <w:szCs w:val="24"/>
        </w:rPr>
        <w:t>развития:</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встроенных</w:t>
      </w:r>
      <w:r w:rsidR="006C680D" w:rsidRPr="00D337FA">
        <w:rPr>
          <w:szCs w:val="24"/>
        </w:rPr>
        <w:t xml:space="preserve"> </w:t>
      </w:r>
      <w:r w:rsidRPr="00D337FA">
        <w:rPr>
          <w:szCs w:val="24"/>
        </w:rPr>
        <w:t>финансов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глубокой</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переход</w:t>
      </w:r>
      <w:r w:rsidR="006C680D" w:rsidRPr="00D337FA">
        <w:rPr>
          <w:szCs w:val="24"/>
        </w:rPr>
        <w:t xml:space="preserve"> </w:t>
      </w:r>
      <w:r w:rsidRPr="00D337FA">
        <w:rPr>
          <w:szCs w:val="24"/>
        </w:rPr>
        <w:t>к</w:t>
      </w:r>
      <w:r w:rsidR="006C680D" w:rsidRPr="00D337FA">
        <w:rPr>
          <w:szCs w:val="24"/>
        </w:rPr>
        <w:t xml:space="preserve"> </w:t>
      </w:r>
      <w:r w:rsidRPr="00D337FA">
        <w:rPr>
          <w:szCs w:val="24"/>
        </w:rPr>
        <w:t>динамическому</w:t>
      </w:r>
      <w:r w:rsidR="006C680D" w:rsidRPr="00D337FA">
        <w:rPr>
          <w:szCs w:val="24"/>
        </w:rPr>
        <w:t xml:space="preserve"> </w:t>
      </w:r>
      <w:r w:rsidRPr="00D337FA">
        <w:rPr>
          <w:szCs w:val="24"/>
        </w:rPr>
        <w:t>скорингу</w:t>
      </w:r>
      <w:r w:rsidR="006C680D" w:rsidRPr="00D337FA">
        <w:rPr>
          <w:szCs w:val="24"/>
        </w:rPr>
        <w:t xml:space="preserve"> </w:t>
      </w: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потоков</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для</w:t>
      </w:r>
      <w:r w:rsidR="006C680D" w:rsidRPr="00D337FA">
        <w:rPr>
          <w:szCs w:val="24"/>
        </w:rPr>
        <w:t xml:space="preserve"> </w:t>
      </w:r>
      <w:r w:rsidRPr="00D337FA">
        <w:rPr>
          <w:szCs w:val="24"/>
        </w:rPr>
        <w:t>гиперкастомизации;</w:t>
      </w:r>
      <w:r w:rsidR="006C680D" w:rsidRPr="00D337FA">
        <w:rPr>
          <w:szCs w:val="24"/>
        </w:rPr>
        <w:t xml:space="preserve"> </w:t>
      </w:r>
      <w:r w:rsidRPr="00D337FA">
        <w:rPr>
          <w:szCs w:val="24"/>
        </w:rPr>
        <w:t>разработка</w:t>
      </w:r>
      <w:r w:rsidR="006C680D" w:rsidRPr="00D337FA">
        <w:rPr>
          <w:szCs w:val="24"/>
        </w:rPr>
        <w:t xml:space="preserve"> </w:t>
      </w:r>
      <w:r w:rsidRPr="00D337FA">
        <w:rPr>
          <w:szCs w:val="24"/>
        </w:rPr>
        <w:t>комплексных</w:t>
      </w:r>
      <w:r w:rsidR="006C680D" w:rsidRPr="00D337FA">
        <w:rPr>
          <w:szCs w:val="24"/>
        </w:rPr>
        <w:t xml:space="preserve"> </w:t>
      </w:r>
      <w:r w:rsidRPr="00D337FA">
        <w:rPr>
          <w:szCs w:val="24"/>
        </w:rPr>
        <w:t>нефинансовых</w:t>
      </w:r>
      <w:r w:rsidR="006C680D" w:rsidRPr="00D337FA">
        <w:rPr>
          <w:szCs w:val="24"/>
        </w:rPr>
        <w:t xml:space="preserve"> </w:t>
      </w:r>
      <w:r w:rsidRPr="00D337FA">
        <w:rPr>
          <w:szCs w:val="24"/>
        </w:rPr>
        <w:t>«конструкторов</w:t>
      </w:r>
      <w:r w:rsidR="006C680D" w:rsidRPr="00D337FA">
        <w:rPr>
          <w:szCs w:val="24"/>
        </w:rPr>
        <w:t xml:space="preserve"> </w:t>
      </w:r>
      <w:r w:rsidRPr="00D337FA">
        <w:rPr>
          <w:szCs w:val="24"/>
        </w:rPr>
        <w:t>компетенций»;</w:t>
      </w:r>
      <w:r w:rsidR="006C680D" w:rsidRPr="00D337FA">
        <w:rPr>
          <w:szCs w:val="24"/>
        </w:rPr>
        <w:t xml:space="preserve"> </w:t>
      </w:r>
      <w:r w:rsidRPr="00D337FA">
        <w:rPr>
          <w:szCs w:val="24"/>
        </w:rPr>
        <w:t>стимулирование</w:t>
      </w:r>
      <w:r w:rsidR="006C680D" w:rsidRPr="00D337FA">
        <w:rPr>
          <w:szCs w:val="24"/>
        </w:rPr>
        <w:t xml:space="preserve"> </w:t>
      </w:r>
      <w:r w:rsidRPr="00D337FA">
        <w:rPr>
          <w:szCs w:val="24"/>
        </w:rPr>
        <w:t>отраслевых</w:t>
      </w:r>
      <w:r w:rsidR="006C680D" w:rsidRPr="00D337FA">
        <w:rPr>
          <w:szCs w:val="24"/>
        </w:rPr>
        <w:t xml:space="preserve"> </w:t>
      </w:r>
      <w:r w:rsidRPr="00D337FA">
        <w:rPr>
          <w:szCs w:val="24"/>
        </w:rPr>
        <w:t>стандартов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снижения</w:t>
      </w:r>
      <w:r w:rsidR="006C680D" w:rsidRPr="00D337FA">
        <w:rPr>
          <w:szCs w:val="24"/>
        </w:rPr>
        <w:t xml:space="preserve"> </w:t>
      </w:r>
      <w:r w:rsidRPr="00D337FA">
        <w:rPr>
          <w:szCs w:val="24"/>
        </w:rPr>
        <w:t>барьеров</w:t>
      </w:r>
      <w:r w:rsidR="006C680D" w:rsidRPr="00D337FA">
        <w:rPr>
          <w:szCs w:val="24"/>
        </w:rPr>
        <w:t xml:space="preserve"> </w:t>
      </w:r>
      <w:r w:rsidRPr="00D337FA">
        <w:rPr>
          <w:szCs w:val="24"/>
        </w:rPr>
        <w:t>входа</w:t>
      </w:r>
      <w:r w:rsidR="006C680D" w:rsidRPr="00D337FA">
        <w:rPr>
          <w:szCs w:val="24"/>
        </w:rPr>
        <w:t xml:space="preserve"> </w:t>
      </w:r>
      <w:r w:rsidRPr="00D337FA">
        <w:rPr>
          <w:szCs w:val="24"/>
        </w:rPr>
        <w:t>на</w:t>
      </w:r>
      <w:r w:rsidR="006C680D" w:rsidRPr="00D337FA">
        <w:rPr>
          <w:szCs w:val="24"/>
        </w:rPr>
        <w:t xml:space="preserve"> </w:t>
      </w:r>
      <w:r w:rsidRPr="00D337FA">
        <w:rPr>
          <w:szCs w:val="24"/>
        </w:rPr>
        <w:t>рынок.</w:t>
      </w:r>
      <w:r w:rsidR="006C680D" w:rsidRPr="00D337FA">
        <w:rPr>
          <w:szCs w:val="24"/>
        </w:rPr>
        <w:t xml:space="preserve"> </w:t>
      </w:r>
      <w:r w:rsidRPr="00D337FA">
        <w:rPr>
          <w:szCs w:val="24"/>
        </w:rPr>
        <w:t>Перспективным</w:t>
      </w:r>
      <w:r w:rsidR="006C680D" w:rsidRPr="00D337FA">
        <w:rPr>
          <w:szCs w:val="24"/>
        </w:rPr>
        <w:t xml:space="preserve"> </w:t>
      </w:r>
      <w:r w:rsidRPr="00D337FA">
        <w:rPr>
          <w:szCs w:val="24"/>
        </w:rPr>
        <w:t>направлением</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развитие</w:t>
      </w:r>
      <w:r w:rsidR="006C680D" w:rsidRPr="00D337FA">
        <w:rPr>
          <w:szCs w:val="24"/>
        </w:rPr>
        <w:t xml:space="preserve"> </w:t>
      </w:r>
      <w:r w:rsidRPr="00D337FA">
        <w:rPr>
          <w:bCs/>
          <w:szCs w:val="24"/>
        </w:rPr>
        <w:t>встроенных</w:t>
      </w:r>
      <w:r w:rsidR="006C680D" w:rsidRPr="00D337FA">
        <w:rPr>
          <w:bCs/>
          <w:szCs w:val="24"/>
        </w:rPr>
        <w:t xml:space="preserve"> </w:t>
      </w:r>
      <w:r w:rsidRPr="00D337FA">
        <w:rPr>
          <w:bCs/>
          <w:szCs w:val="24"/>
        </w:rPr>
        <w:t>финансов</w:t>
      </w:r>
      <w:r w:rsidRPr="00D337FA">
        <w:rPr>
          <w:szCs w:val="24"/>
        </w:rPr>
        <w:t>,</w:t>
      </w:r>
      <w:r w:rsidR="006C680D" w:rsidRPr="00D337FA">
        <w:rPr>
          <w:szCs w:val="24"/>
        </w:rPr>
        <w:t xml:space="preserve"> </w:t>
      </w:r>
      <w:r w:rsidRPr="00D337FA">
        <w:rPr>
          <w:szCs w:val="24"/>
        </w:rPr>
        <w:t>когда</w:t>
      </w:r>
      <w:r w:rsidR="006C680D" w:rsidRPr="00D337FA">
        <w:rPr>
          <w:szCs w:val="24"/>
        </w:rPr>
        <w:t xml:space="preserve"> </w:t>
      </w:r>
      <w:r w:rsidRPr="00D337FA">
        <w:rPr>
          <w:szCs w:val="24"/>
        </w:rPr>
        <w:t>банковский</w:t>
      </w:r>
      <w:r w:rsidR="006C680D" w:rsidRPr="00D337FA">
        <w:rPr>
          <w:szCs w:val="24"/>
        </w:rPr>
        <w:t xml:space="preserve"> </w:t>
      </w:r>
      <w:r w:rsidRPr="00D337FA">
        <w:rPr>
          <w:szCs w:val="24"/>
        </w:rPr>
        <w:t>функционал</w:t>
      </w:r>
      <w:r w:rsidR="006C680D" w:rsidRPr="00D337FA">
        <w:rPr>
          <w:szCs w:val="24"/>
        </w:rPr>
        <w:t xml:space="preserve"> </w:t>
      </w:r>
      <w:r w:rsidRPr="00D337FA">
        <w:rPr>
          <w:szCs w:val="24"/>
        </w:rPr>
        <w:t>(платежи,</w:t>
      </w:r>
      <w:r w:rsidR="006C680D" w:rsidRPr="00D337FA">
        <w:rPr>
          <w:szCs w:val="24"/>
        </w:rPr>
        <w:t xml:space="preserve"> </w:t>
      </w:r>
      <w:r w:rsidRPr="00D337FA">
        <w:rPr>
          <w:szCs w:val="24"/>
        </w:rPr>
        <w:t>кредитование,</w:t>
      </w:r>
      <w:r w:rsidR="006C680D" w:rsidRPr="00D337FA">
        <w:rPr>
          <w:szCs w:val="24"/>
        </w:rPr>
        <w:t xml:space="preserve"> </w:t>
      </w:r>
      <w:r w:rsidRPr="00D337FA">
        <w:rPr>
          <w:szCs w:val="24"/>
        </w:rPr>
        <w:t>гарантии)</w:t>
      </w:r>
      <w:r w:rsidR="006C680D" w:rsidRPr="00D337FA">
        <w:rPr>
          <w:szCs w:val="24"/>
        </w:rPr>
        <w:t xml:space="preserve"> </w:t>
      </w:r>
      <w:r w:rsidRPr="00D337FA">
        <w:rPr>
          <w:szCs w:val="24"/>
        </w:rPr>
        <w:t>инкапсулируется</w:t>
      </w:r>
      <w:r w:rsidR="006C680D" w:rsidRPr="00D337FA">
        <w:rPr>
          <w:szCs w:val="24"/>
        </w:rPr>
        <w:t xml:space="preserve"> </w:t>
      </w:r>
      <w:r w:rsidRPr="00D337FA">
        <w:rPr>
          <w:szCs w:val="24"/>
        </w:rPr>
        <w:t>непосредственно</w:t>
      </w:r>
      <w:r w:rsidR="006C680D" w:rsidRPr="00D337FA">
        <w:rPr>
          <w:szCs w:val="24"/>
        </w:rPr>
        <w:t xml:space="preserve"> </w:t>
      </w:r>
      <w:r w:rsidRPr="00D337FA">
        <w:rPr>
          <w:szCs w:val="24"/>
        </w:rPr>
        <w:t>в</w:t>
      </w:r>
      <w:r w:rsidR="006C680D" w:rsidRPr="00D337FA">
        <w:rPr>
          <w:szCs w:val="24"/>
        </w:rPr>
        <w:t xml:space="preserve"> </w:t>
      </w:r>
      <w:r w:rsidRPr="00D337FA">
        <w:rPr>
          <w:szCs w:val="24"/>
        </w:rPr>
        <w:t>программные</w:t>
      </w:r>
      <w:r w:rsidR="006C680D" w:rsidRPr="00D337FA">
        <w:rPr>
          <w:szCs w:val="24"/>
        </w:rPr>
        <w:t xml:space="preserve"> </w:t>
      </w:r>
      <w:r w:rsidRPr="00D337FA">
        <w:rPr>
          <w:szCs w:val="24"/>
        </w:rPr>
        <w:t>среды,</w:t>
      </w:r>
      <w:r w:rsidR="006C680D" w:rsidRPr="00D337FA">
        <w:rPr>
          <w:szCs w:val="24"/>
        </w:rPr>
        <w:t xml:space="preserve"> </w:t>
      </w:r>
      <w:r w:rsidRPr="00D337FA">
        <w:rPr>
          <w:szCs w:val="24"/>
        </w:rPr>
        <w:t>используемые</w:t>
      </w:r>
      <w:r w:rsidR="006C680D" w:rsidRPr="00D337FA">
        <w:rPr>
          <w:szCs w:val="24"/>
        </w:rPr>
        <w:t xml:space="preserve"> </w:t>
      </w:r>
      <w:r w:rsidRPr="00D337FA">
        <w:rPr>
          <w:szCs w:val="24"/>
        </w:rPr>
        <w:t>предпринимателем</w:t>
      </w:r>
      <w:r w:rsidR="006C680D" w:rsidRPr="00D337FA">
        <w:rPr>
          <w:szCs w:val="24"/>
        </w:rPr>
        <w:t xml:space="preserve"> </w:t>
      </w:r>
      <w:r w:rsidRPr="00D337FA">
        <w:rPr>
          <w:szCs w:val="24"/>
        </w:rPr>
        <w:t>(бухгалтерские</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маркетплейсы,</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проектами).</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открытых</w:t>
      </w:r>
      <w:r w:rsidR="006C680D" w:rsidRPr="00D337FA">
        <w:rPr>
          <w:szCs w:val="24"/>
        </w:rPr>
        <w:t xml:space="preserve"> </w:t>
      </w:r>
      <w:r w:rsidRPr="00D337FA">
        <w:rPr>
          <w:szCs w:val="24"/>
        </w:rPr>
        <w:t>API</w:t>
      </w:r>
      <w:r w:rsidR="006C680D" w:rsidRPr="00D337FA">
        <w:rPr>
          <w:szCs w:val="24"/>
        </w:rPr>
        <w:t xml:space="preserve"> </w:t>
      </w:r>
      <w:r w:rsidRPr="00D337FA">
        <w:rPr>
          <w:szCs w:val="24"/>
        </w:rPr>
        <w:t>и</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BigData</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перейти</w:t>
      </w:r>
      <w:r w:rsidR="006C680D" w:rsidRPr="00D337FA">
        <w:rPr>
          <w:szCs w:val="24"/>
        </w:rPr>
        <w:t xml:space="preserve"> </w:t>
      </w:r>
      <w:r w:rsidRPr="00D337FA">
        <w:rPr>
          <w:szCs w:val="24"/>
        </w:rPr>
        <w:t>от</w:t>
      </w:r>
      <w:r w:rsidR="006C680D" w:rsidRPr="00D337FA">
        <w:rPr>
          <w:szCs w:val="24"/>
        </w:rPr>
        <w:t xml:space="preserve"> </w:t>
      </w:r>
      <w:r w:rsidRPr="00D337FA">
        <w:rPr>
          <w:szCs w:val="24"/>
        </w:rPr>
        <w:t>кредитования</w:t>
      </w:r>
      <w:r w:rsidR="006C680D" w:rsidRPr="00D337FA">
        <w:rPr>
          <w:szCs w:val="24"/>
        </w:rPr>
        <w:t xml:space="preserve"> </w:t>
      </w:r>
      <w:r w:rsidRPr="00D337FA">
        <w:rPr>
          <w:szCs w:val="24"/>
        </w:rPr>
        <w:t>под</w:t>
      </w:r>
      <w:r w:rsidR="006C680D" w:rsidRPr="00D337FA">
        <w:rPr>
          <w:szCs w:val="24"/>
        </w:rPr>
        <w:t xml:space="preserve"> </w:t>
      </w:r>
      <w:r w:rsidRPr="00D337FA">
        <w:rPr>
          <w:szCs w:val="24"/>
        </w:rPr>
        <w:t>отраслевой</w:t>
      </w:r>
      <w:r w:rsidR="006C680D" w:rsidRPr="00D337FA">
        <w:rPr>
          <w:szCs w:val="24"/>
        </w:rPr>
        <w:t xml:space="preserve"> </w:t>
      </w:r>
      <w:r w:rsidRPr="00D337FA">
        <w:rPr>
          <w:szCs w:val="24"/>
        </w:rPr>
        <w:t>шаблон</w:t>
      </w:r>
      <w:r w:rsidR="006C680D" w:rsidRPr="00D337FA">
        <w:rPr>
          <w:szCs w:val="24"/>
        </w:rPr>
        <w:t xml:space="preserve"> </w:t>
      </w:r>
      <w:r w:rsidRPr="00D337FA">
        <w:rPr>
          <w:szCs w:val="24"/>
        </w:rPr>
        <w:t>к</w:t>
      </w:r>
      <w:r w:rsidR="006C680D" w:rsidRPr="00D337FA">
        <w:rPr>
          <w:szCs w:val="24"/>
        </w:rPr>
        <w:t xml:space="preserve"> </w:t>
      </w:r>
      <w:r w:rsidRPr="00D337FA">
        <w:rPr>
          <w:szCs w:val="24"/>
        </w:rPr>
        <w:t>оцен</w:t>
      </w:r>
      <w:r w:rsidRPr="00D337FA">
        <w:rPr>
          <w:szCs w:val="24"/>
        </w:rPr>
        <w:lastRenderedPageBreak/>
        <w:t>ке</w:t>
      </w:r>
      <w:r w:rsidR="006C680D" w:rsidRPr="00D337FA">
        <w:rPr>
          <w:szCs w:val="24"/>
        </w:rPr>
        <w:t xml:space="preserve"> </w:t>
      </w:r>
      <w:r w:rsidRPr="00D337FA">
        <w:rPr>
          <w:szCs w:val="24"/>
        </w:rPr>
        <w:t>рисков</w:t>
      </w:r>
      <w:r w:rsidR="006C680D" w:rsidRPr="00D337FA">
        <w:rPr>
          <w:szCs w:val="24"/>
        </w:rPr>
        <w:t xml:space="preserve"> </w:t>
      </w:r>
      <w:r w:rsidRPr="00D337FA">
        <w:rPr>
          <w:szCs w:val="24"/>
        </w:rPr>
        <w:t>в</w:t>
      </w:r>
      <w:r w:rsidR="006C680D" w:rsidRPr="00D337FA">
        <w:rPr>
          <w:szCs w:val="24"/>
        </w:rPr>
        <w:t xml:space="preserve"> </w:t>
      </w:r>
      <w:r w:rsidRPr="00D337FA">
        <w:rPr>
          <w:szCs w:val="24"/>
        </w:rPr>
        <w:t>реальном</w:t>
      </w:r>
      <w:r w:rsidR="006C680D" w:rsidRPr="00D337FA">
        <w:rPr>
          <w:szCs w:val="24"/>
        </w:rPr>
        <w:t xml:space="preserve"> </w:t>
      </w:r>
      <w:r w:rsidRPr="00D337FA">
        <w:rPr>
          <w:szCs w:val="24"/>
        </w:rPr>
        <w:t>времени</w:t>
      </w:r>
      <w:r w:rsidR="006C680D" w:rsidRPr="00D337FA">
        <w:rPr>
          <w:szCs w:val="24"/>
        </w:rPr>
        <w:t xml:space="preserve"> </w:t>
      </w: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потока</w:t>
      </w:r>
      <w:r w:rsidR="006C680D" w:rsidRPr="00D337FA">
        <w:rPr>
          <w:szCs w:val="24"/>
        </w:rPr>
        <w:t xml:space="preserve"> </w:t>
      </w:r>
      <w:r w:rsidRPr="00D337FA">
        <w:rPr>
          <w:szCs w:val="24"/>
        </w:rPr>
        <w:t>операционных</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конкретного</w:t>
      </w:r>
      <w:r w:rsidR="006C680D" w:rsidRPr="00D337FA">
        <w:rPr>
          <w:szCs w:val="24"/>
        </w:rPr>
        <w:t xml:space="preserve"> </w:t>
      </w:r>
      <w:r w:rsidRPr="00D337FA">
        <w:rPr>
          <w:szCs w:val="24"/>
        </w:rPr>
        <w:t>предприятия</w:t>
      </w:r>
      <w:r w:rsidR="006C680D" w:rsidRPr="00D337FA">
        <w:rPr>
          <w:szCs w:val="24"/>
        </w:rPr>
        <w:t xml:space="preserve"> </w:t>
      </w:r>
      <w:r w:rsidRPr="00D337FA">
        <w:rPr>
          <w:szCs w:val="24"/>
        </w:rPr>
        <w:t>(оборот</w:t>
      </w:r>
      <w:r w:rsidR="006C680D" w:rsidRPr="00D337FA">
        <w:rPr>
          <w:szCs w:val="24"/>
        </w:rPr>
        <w:t xml:space="preserve"> </w:t>
      </w:r>
      <w:r w:rsidRPr="00D337FA">
        <w:rPr>
          <w:szCs w:val="24"/>
        </w:rPr>
        <w:t>по</w:t>
      </w:r>
      <w:r w:rsidR="006C680D" w:rsidRPr="00D337FA">
        <w:rPr>
          <w:szCs w:val="24"/>
        </w:rPr>
        <w:t xml:space="preserve"> </w:t>
      </w:r>
      <w:r w:rsidRPr="00D337FA">
        <w:rPr>
          <w:szCs w:val="24"/>
        </w:rPr>
        <w:t>счетам,</w:t>
      </w:r>
      <w:r w:rsidR="006C680D" w:rsidRPr="00D337FA">
        <w:rPr>
          <w:szCs w:val="24"/>
        </w:rPr>
        <w:t xml:space="preserve"> </w:t>
      </w:r>
      <w:r w:rsidRPr="00D337FA">
        <w:rPr>
          <w:szCs w:val="24"/>
        </w:rPr>
        <w:t>динамика</w:t>
      </w:r>
      <w:r w:rsidR="006C680D" w:rsidRPr="00D337FA">
        <w:rPr>
          <w:szCs w:val="24"/>
        </w:rPr>
        <w:t xml:space="preserve"> </w:t>
      </w:r>
      <w:r w:rsidRPr="00D337FA">
        <w:rPr>
          <w:szCs w:val="24"/>
        </w:rPr>
        <w:t>продаж</w:t>
      </w:r>
      <w:r w:rsidR="006C680D" w:rsidRPr="00D337FA">
        <w:rPr>
          <w:szCs w:val="24"/>
        </w:rPr>
        <w:t xml:space="preserve"> </w:t>
      </w:r>
      <w:r w:rsidRPr="00D337FA">
        <w:rPr>
          <w:szCs w:val="24"/>
        </w:rPr>
        <w:t>на</w:t>
      </w:r>
      <w:r w:rsidR="006C680D" w:rsidRPr="00D337FA">
        <w:rPr>
          <w:szCs w:val="24"/>
        </w:rPr>
        <w:t xml:space="preserve"> </w:t>
      </w:r>
      <w:r w:rsidRPr="00D337FA">
        <w:rPr>
          <w:szCs w:val="24"/>
        </w:rPr>
        <w:t>маркетплейсах,</w:t>
      </w:r>
      <w:r w:rsidR="006C680D" w:rsidRPr="00D337FA">
        <w:rPr>
          <w:szCs w:val="24"/>
        </w:rPr>
        <w:t xml:space="preserve"> </w:t>
      </w:r>
      <w:r w:rsidRPr="00D337FA">
        <w:rPr>
          <w:szCs w:val="24"/>
        </w:rPr>
        <w:t>история</w:t>
      </w:r>
      <w:r w:rsidR="006C680D" w:rsidRPr="00D337FA">
        <w:rPr>
          <w:szCs w:val="24"/>
        </w:rPr>
        <w:t xml:space="preserve"> </w:t>
      </w:r>
      <w:r w:rsidRPr="00D337FA">
        <w:rPr>
          <w:szCs w:val="24"/>
        </w:rPr>
        <w:t>исполнения</w:t>
      </w:r>
      <w:r w:rsidR="006C680D" w:rsidRPr="00D337FA">
        <w:rPr>
          <w:szCs w:val="24"/>
        </w:rPr>
        <w:t xml:space="preserve"> </w:t>
      </w:r>
      <w:r w:rsidRPr="00D337FA">
        <w:rPr>
          <w:szCs w:val="24"/>
        </w:rPr>
        <w:t>контрактов).</w:t>
      </w:r>
      <w:r w:rsidR="006C680D" w:rsidRPr="00D337FA">
        <w:rPr>
          <w:szCs w:val="24"/>
        </w:rPr>
        <w:t xml:space="preserve"> </w:t>
      </w:r>
      <w:r w:rsidRPr="00D337FA">
        <w:rPr>
          <w:szCs w:val="24"/>
        </w:rPr>
        <w:t>Востребованным</w:t>
      </w:r>
      <w:r w:rsidR="006C680D" w:rsidRPr="00D337FA">
        <w:rPr>
          <w:szCs w:val="24"/>
        </w:rPr>
        <w:t xml:space="preserve"> </w:t>
      </w:r>
      <w:r w:rsidRPr="00D337FA">
        <w:rPr>
          <w:szCs w:val="24"/>
        </w:rPr>
        <w:t>направлением</w:t>
      </w:r>
      <w:r w:rsidR="006C680D" w:rsidRPr="00D337FA">
        <w:rPr>
          <w:szCs w:val="24"/>
        </w:rPr>
        <w:t xml:space="preserve"> </w:t>
      </w:r>
      <w:r w:rsidRPr="00D337FA">
        <w:rPr>
          <w:szCs w:val="24"/>
        </w:rPr>
        <w:t>станет</w:t>
      </w:r>
      <w:r w:rsidR="006C680D" w:rsidRPr="00D337FA">
        <w:rPr>
          <w:szCs w:val="24"/>
        </w:rPr>
        <w:t xml:space="preserve"> </w:t>
      </w:r>
      <w:r w:rsidRPr="00D337FA">
        <w:rPr>
          <w:szCs w:val="24"/>
        </w:rPr>
        <w:t>разработка</w:t>
      </w:r>
      <w:r w:rsidR="006C680D" w:rsidRPr="00D337FA">
        <w:rPr>
          <w:szCs w:val="24"/>
        </w:rPr>
        <w:t xml:space="preserve"> </w:t>
      </w:r>
      <w:r w:rsidRPr="00D337FA">
        <w:rPr>
          <w:szCs w:val="24"/>
        </w:rPr>
        <w:t>банками</w:t>
      </w:r>
      <w:r w:rsidR="006C680D" w:rsidRPr="00D337FA">
        <w:rPr>
          <w:szCs w:val="24"/>
        </w:rPr>
        <w:t xml:space="preserve"> </w:t>
      </w:r>
      <w:r w:rsidRPr="00D337FA">
        <w:rPr>
          <w:szCs w:val="24"/>
        </w:rPr>
        <w:t>или</w:t>
      </w:r>
      <w:r w:rsidR="006C680D" w:rsidRPr="00D337FA">
        <w:rPr>
          <w:szCs w:val="24"/>
        </w:rPr>
        <w:t xml:space="preserve"> </w:t>
      </w:r>
      <w:r w:rsidRPr="00D337FA">
        <w:rPr>
          <w:szCs w:val="24"/>
        </w:rPr>
        <w:t>в</w:t>
      </w:r>
      <w:r w:rsidR="006C680D" w:rsidRPr="00D337FA">
        <w:rPr>
          <w:szCs w:val="24"/>
        </w:rPr>
        <w:t xml:space="preserve"> </w:t>
      </w:r>
      <w:r w:rsidRPr="00D337FA">
        <w:rPr>
          <w:szCs w:val="24"/>
        </w:rPr>
        <w:t>партнерстве</w:t>
      </w:r>
      <w:r w:rsidR="006C680D" w:rsidRPr="00D337FA">
        <w:rPr>
          <w:szCs w:val="24"/>
        </w:rPr>
        <w:t xml:space="preserve"> </w:t>
      </w:r>
      <w:r w:rsidRPr="00D337FA">
        <w:rPr>
          <w:szCs w:val="24"/>
        </w:rPr>
        <w:t>с</w:t>
      </w:r>
      <w:r w:rsidR="006C680D" w:rsidRPr="00D337FA">
        <w:rPr>
          <w:szCs w:val="24"/>
        </w:rPr>
        <w:t xml:space="preserve"> </w:t>
      </w:r>
      <w:r w:rsidRPr="00D337FA">
        <w:rPr>
          <w:szCs w:val="24"/>
        </w:rPr>
        <w:t>ними</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репутацией,</w:t>
      </w:r>
      <w:r w:rsidR="006C680D" w:rsidRPr="00D337FA">
        <w:rPr>
          <w:szCs w:val="24"/>
        </w:rPr>
        <w:t xml:space="preserve"> </w:t>
      </w:r>
      <w:r w:rsidRPr="00D337FA">
        <w:rPr>
          <w:szCs w:val="24"/>
        </w:rPr>
        <w:t>клиентской</w:t>
      </w:r>
      <w:r w:rsidR="006C680D" w:rsidRPr="00D337FA">
        <w:rPr>
          <w:szCs w:val="24"/>
        </w:rPr>
        <w:t xml:space="preserve"> </w:t>
      </w:r>
      <w:r w:rsidRPr="00D337FA">
        <w:rPr>
          <w:szCs w:val="24"/>
        </w:rPr>
        <w:t>базой,</w:t>
      </w:r>
      <w:r w:rsidR="006C680D" w:rsidRPr="00D337FA">
        <w:rPr>
          <w:szCs w:val="24"/>
        </w:rPr>
        <w:t xml:space="preserve"> </w:t>
      </w:r>
      <w:r w:rsidRPr="00D337FA">
        <w:rPr>
          <w:szCs w:val="24"/>
        </w:rPr>
        <w:t>интеллектуальной</w:t>
      </w:r>
      <w:r w:rsidR="006C680D" w:rsidRPr="00D337FA">
        <w:rPr>
          <w:szCs w:val="24"/>
        </w:rPr>
        <w:t xml:space="preserve"> </w:t>
      </w:r>
      <w:r w:rsidRPr="00D337FA">
        <w:rPr>
          <w:szCs w:val="24"/>
        </w:rPr>
        <w:t>собственностью</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что</w:t>
      </w:r>
      <w:r w:rsidR="006C680D" w:rsidRPr="00D337FA">
        <w:rPr>
          <w:szCs w:val="24"/>
        </w:rPr>
        <w:t xml:space="preserve"> </w:t>
      </w:r>
      <w:r w:rsidRPr="00D337FA">
        <w:rPr>
          <w:szCs w:val="24"/>
        </w:rPr>
        <w:t>повысит</w:t>
      </w:r>
      <w:r w:rsidR="006C680D" w:rsidRPr="00D337FA">
        <w:rPr>
          <w:szCs w:val="24"/>
        </w:rPr>
        <w:t xml:space="preserve"> </w:t>
      </w:r>
      <w:r w:rsidRPr="00D337FA">
        <w:rPr>
          <w:szCs w:val="24"/>
        </w:rPr>
        <w:t>его</w:t>
      </w:r>
      <w:r w:rsidR="006C680D" w:rsidRPr="00D337FA">
        <w:rPr>
          <w:szCs w:val="24"/>
        </w:rPr>
        <w:t xml:space="preserve"> </w:t>
      </w:r>
      <w:r w:rsidRPr="00D337FA">
        <w:rPr>
          <w:szCs w:val="24"/>
        </w:rPr>
        <w:t>инвестиционную</w:t>
      </w:r>
      <w:r w:rsidR="006C680D" w:rsidRPr="00D337FA">
        <w:rPr>
          <w:szCs w:val="24"/>
        </w:rPr>
        <w:t xml:space="preserve"> </w:t>
      </w:r>
      <w:r w:rsidRPr="00D337FA">
        <w:rPr>
          <w:szCs w:val="24"/>
        </w:rPr>
        <w:t>привлекательность</w:t>
      </w:r>
      <w:r w:rsidR="006C680D" w:rsidRPr="00D337FA">
        <w:rPr>
          <w:szCs w:val="24"/>
        </w:rPr>
        <w:t xml:space="preserve"> </w:t>
      </w:r>
      <w:r w:rsidRPr="00D337FA">
        <w:rPr>
          <w:szCs w:val="24"/>
        </w:rPr>
        <w:t>и</w:t>
      </w:r>
      <w:r w:rsidR="006C680D" w:rsidRPr="00D337FA">
        <w:rPr>
          <w:szCs w:val="24"/>
        </w:rPr>
        <w:t xml:space="preserve"> </w:t>
      </w:r>
      <w:r w:rsidRPr="00D337FA">
        <w:rPr>
          <w:szCs w:val="24"/>
        </w:rPr>
        <w:t>капитализацию.</w:t>
      </w:r>
      <w:r w:rsidR="006C680D" w:rsidRPr="00D337FA">
        <w:rPr>
          <w:szCs w:val="24"/>
          <w:shd w:val="clear" w:color="auto" w:fill="FFFFFF"/>
        </w:rPr>
        <w:t xml:space="preserve"> </w:t>
      </w:r>
      <w:r w:rsidRPr="00D337FA">
        <w:rPr>
          <w:szCs w:val="24"/>
        </w:rPr>
        <w:t>Реализация</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направлений</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преодолеть</w:t>
      </w:r>
      <w:r w:rsidR="006C680D" w:rsidRPr="00D337FA">
        <w:rPr>
          <w:szCs w:val="24"/>
        </w:rPr>
        <w:t xml:space="preserve"> </w:t>
      </w:r>
      <w:r w:rsidRPr="00D337FA">
        <w:rPr>
          <w:szCs w:val="24"/>
        </w:rPr>
        <w:t>ключевые</w:t>
      </w:r>
      <w:r w:rsidR="006C680D" w:rsidRPr="00D337FA">
        <w:rPr>
          <w:szCs w:val="24"/>
        </w:rPr>
        <w:t xml:space="preserve"> </w:t>
      </w:r>
      <w:r w:rsidRPr="00D337FA">
        <w:rPr>
          <w:szCs w:val="24"/>
        </w:rPr>
        <w:t>дисбалансы</w:t>
      </w:r>
      <w:r w:rsidR="006C680D" w:rsidRPr="00D337FA">
        <w:rPr>
          <w:szCs w:val="24"/>
        </w:rPr>
        <w:t xml:space="preserve"> </w:t>
      </w:r>
      <w:r w:rsidRPr="00D337FA">
        <w:rPr>
          <w:szCs w:val="24"/>
        </w:rPr>
        <w:t>в</w:t>
      </w:r>
      <w:r w:rsidR="006C680D" w:rsidRPr="00D337FA">
        <w:rPr>
          <w:szCs w:val="24"/>
        </w:rPr>
        <w:t xml:space="preserve"> </w:t>
      </w:r>
      <w:r w:rsidRPr="00D337FA">
        <w:rPr>
          <w:szCs w:val="24"/>
        </w:rPr>
        <w:t>доступности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качестве</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что</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критически</w:t>
      </w:r>
      <w:r w:rsidR="006C680D" w:rsidRPr="00D337FA">
        <w:rPr>
          <w:szCs w:val="24"/>
        </w:rPr>
        <w:t xml:space="preserve"> </w:t>
      </w:r>
      <w:r w:rsidRPr="00D337FA">
        <w:rPr>
          <w:szCs w:val="24"/>
        </w:rPr>
        <w:t>важным</w:t>
      </w:r>
      <w:r w:rsidR="006C680D" w:rsidRPr="00D337FA">
        <w:rPr>
          <w:szCs w:val="24"/>
        </w:rPr>
        <w:t xml:space="preserve"> </w:t>
      </w:r>
      <w:r w:rsidRPr="00D337FA">
        <w:rPr>
          <w:szCs w:val="24"/>
        </w:rPr>
        <w:t>условием</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раскрытия</w:t>
      </w:r>
      <w:r w:rsidR="006C680D" w:rsidRPr="00D337FA">
        <w:rPr>
          <w:szCs w:val="24"/>
        </w:rPr>
        <w:t xml:space="preserve"> </w:t>
      </w:r>
      <w:r w:rsidRPr="00D337FA">
        <w:rPr>
          <w:szCs w:val="24"/>
        </w:rPr>
        <w:t>инновационного</w:t>
      </w:r>
      <w:r w:rsidR="006C680D" w:rsidRPr="00D337FA">
        <w:rPr>
          <w:szCs w:val="24"/>
        </w:rPr>
        <w:t xml:space="preserve"> </w:t>
      </w:r>
      <w:r w:rsidRPr="00D337FA">
        <w:rPr>
          <w:szCs w:val="24"/>
        </w:rPr>
        <w:t>и</w:t>
      </w:r>
      <w:r w:rsidR="006C680D" w:rsidRPr="00D337FA">
        <w:rPr>
          <w:szCs w:val="24"/>
        </w:rPr>
        <w:t xml:space="preserve"> </w:t>
      </w:r>
      <w:r w:rsidRPr="00D337FA">
        <w:rPr>
          <w:szCs w:val="24"/>
        </w:rPr>
        <w:t>адаптационного</w:t>
      </w:r>
      <w:r w:rsidR="006C680D" w:rsidRPr="00D337FA">
        <w:rPr>
          <w:szCs w:val="24"/>
        </w:rPr>
        <w:t xml:space="preserve"> </w:t>
      </w:r>
      <w:r w:rsidRPr="00D337FA">
        <w:rPr>
          <w:szCs w:val="24"/>
        </w:rPr>
        <w:t>потенциала</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предпринимательства,</w:t>
      </w:r>
      <w:r w:rsidR="006C680D" w:rsidRPr="00D337FA">
        <w:rPr>
          <w:szCs w:val="24"/>
        </w:rPr>
        <w:t xml:space="preserve"> </w:t>
      </w:r>
      <w:r w:rsidRPr="00D337FA">
        <w:rPr>
          <w:szCs w:val="24"/>
        </w:rPr>
        <w:t>его</w:t>
      </w:r>
      <w:r w:rsidR="006C680D" w:rsidRPr="00D337FA">
        <w:rPr>
          <w:szCs w:val="24"/>
        </w:rPr>
        <w:t xml:space="preserve"> </w:t>
      </w:r>
      <w:r w:rsidRPr="00D337FA">
        <w:rPr>
          <w:szCs w:val="24"/>
        </w:rPr>
        <w:t>интеграции</w:t>
      </w:r>
      <w:r w:rsidR="006C680D" w:rsidRPr="00D337FA">
        <w:rPr>
          <w:szCs w:val="24"/>
        </w:rPr>
        <w:t xml:space="preserve"> </w:t>
      </w:r>
      <w:r w:rsidRPr="00D337FA">
        <w:rPr>
          <w:szCs w:val="24"/>
        </w:rPr>
        <w:t>в</w:t>
      </w:r>
      <w:r w:rsidR="006C680D" w:rsidRPr="00D337FA">
        <w:rPr>
          <w:szCs w:val="24"/>
        </w:rPr>
        <w:t xml:space="preserve"> </w:t>
      </w:r>
      <w:r w:rsidRPr="00D337FA">
        <w:rPr>
          <w:szCs w:val="24"/>
        </w:rPr>
        <w:t>глобальные</w:t>
      </w:r>
      <w:r w:rsidR="006C680D" w:rsidRPr="00D337FA">
        <w:rPr>
          <w:szCs w:val="24"/>
        </w:rPr>
        <w:t xml:space="preserve"> </w:t>
      </w:r>
      <w:r w:rsidRPr="00D337FA">
        <w:rPr>
          <w:szCs w:val="24"/>
        </w:rPr>
        <w:t>цепочки</w:t>
      </w:r>
      <w:r w:rsidR="006C680D" w:rsidRPr="00D337FA">
        <w:rPr>
          <w:szCs w:val="24"/>
        </w:rPr>
        <w:t xml:space="preserve"> </w:t>
      </w:r>
      <w:r w:rsidRPr="00D337FA">
        <w:rPr>
          <w:szCs w:val="24"/>
        </w:rPr>
        <w:t>создания</w:t>
      </w:r>
      <w:r w:rsidR="006C680D" w:rsidRPr="00D337FA">
        <w:rPr>
          <w:szCs w:val="24"/>
        </w:rPr>
        <w:t xml:space="preserve"> </w:t>
      </w:r>
      <w:r w:rsidRPr="00D337FA">
        <w:rPr>
          <w:szCs w:val="24"/>
        </w:rPr>
        <w:t>стоимости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в</w:t>
      </w:r>
      <w:r w:rsidR="006C680D" w:rsidRPr="00D337FA">
        <w:rPr>
          <w:szCs w:val="24"/>
        </w:rPr>
        <w:t xml:space="preserve"> </w:t>
      </w:r>
      <w:r w:rsidRPr="00D337FA">
        <w:rPr>
          <w:szCs w:val="24"/>
        </w:rPr>
        <w:t>конечном</w:t>
      </w:r>
      <w:r w:rsidR="006C680D" w:rsidRPr="00D337FA">
        <w:rPr>
          <w:szCs w:val="24"/>
        </w:rPr>
        <w:t xml:space="preserve"> </w:t>
      </w:r>
      <w:r w:rsidRPr="00D337FA">
        <w:rPr>
          <w:szCs w:val="24"/>
        </w:rPr>
        <w:t>счете,</w:t>
      </w:r>
      <w:r w:rsidR="006C680D" w:rsidRPr="00D337FA">
        <w:rPr>
          <w:szCs w:val="24"/>
        </w:rPr>
        <w:t xml:space="preserve"> </w:t>
      </w:r>
      <w:r w:rsidRPr="00D337FA">
        <w:rPr>
          <w:szCs w:val="24"/>
        </w:rPr>
        <w:t>для</w:t>
      </w:r>
      <w:r w:rsidR="006C680D" w:rsidRPr="00D337FA">
        <w:rPr>
          <w:szCs w:val="24"/>
        </w:rPr>
        <w:t xml:space="preserve"> </w:t>
      </w:r>
      <w:r w:rsidRPr="00D337FA">
        <w:rPr>
          <w:szCs w:val="24"/>
        </w:rPr>
        <w:t>обеспечения</w:t>
      </w:r>
      <w:r w:rsidR="006C680D" w:rsidRPr="00D337FA">
        <w:rPr>
          <w:szCs w:val="24"/>
        </w:rPr>
        <w:t xml:space="preserve"> </w:t>
      </w:r>
      <w:r w:rsidRPr="00D337FA">
        <w:rPr>
          <w:szCs w:val="24"/>
        </w:rPr>
        <w:t>долгосрочного</w:t>
      </w:r>
      <w:r w:rsidR="006C680D" w:rsidRPr="00D337FA">
        <w:rPr>
          <w:szCs w:val="24"/>
        </w:rPr>
        <w:t xml:space="preserve"> </w:t>
      </w:r>
      <w:r w:rsidRPr="00D337FA">
        <w:rPr>
          <w:szCs w:val="24"/>
        </w:rPr>
        <w:t>экономического</w:t>
      </w:r>
      <w:r w:rsidR="006C680D" w:rsidRPr="00D337FA">
        <w:rPr>
          <w:szCs w:val="24"/>
        </w:rPr>
        <w:t xml:space="preserve"> </w:t>
      </w:r>
      <w:r w:rsidRPr="00D337FA">
        <w:rPr>
          <w:szCs w:val="24"/>
        </w:rPr>
        <w:t>суверенитета</w:t>
      </w:r>
      <w:r w:rsidR="006C680D" w:rsidRPr="00D337FA">
        <w:rPr>
          <w:szCs w:val="24"/>
        </w:rPr>
        <w:t xml:space="preserve"> </w:t>
      </w:r>
      <w:r w:rsidRPr="00D337FA">
        <w:rPr>
          <w:szCs w:val="24"/>
        </w:rPr>
        <w:t>и</w:t>
      </w:r>
      <w:r w:rsidR="006C680D" w:rsidRPr="00D337FA">
        <w:rPr>
          <w:szCs w:val="24"/>
        </w:rPr>
        <w:t xml:space="preserve"> </w:t>
      </w:r>
      <w:r w:rsidRPr="00D337FA">
        <w:rPr>
          <w:szCs w:val="24"/>
        </w:rPr>
        <w:t>роста</w:t>
      </w:r>
      <w:r w:rsidR="006C680D" w:rsidRPr="00D337FA">
        <w:rPr>
          <w:szCs w:val="24"/>
        </w:rPr>
        <w:t xml:space="preserve"> </w:t>
      </w:r>
      <w:r w:rsidRPr="00D337FA">
        <w:rPr>
          <w:szCs w:val="24"/>
        </w:rPr>
        <w:t>благосостояния</w:t>
      </w:r>
      <w:r w:rsidR="006C680D" w:rsidRPr="00D337FA">
        <w:rPr>
          <w:szCs w:val="24"/>
        </w:rPr>
        <w:t xml:space="preserve"> </w:t>
      </w:r>
      <w:r w:rsidRPr="00D337FA">
        <w:rPr>
          <w:szCs w:val="24"/>
        </w:rPr>
        <w:t>страны.</w:t>
      </w:r>
    </w:p>
    <w:p w:rsidR="00E70CAD" w:rsidRPr="00D337FA" w:rsidRDefault="00E70CAD" w:rsidP="00E70CAD">
      <w:pPr>
        <w:ind w:firstLine="709"/>
        <w:rPr>
          <w:sz w:val="28"/>
          <w:szCs w:val="28"/>
        </w:rPr>
        <w:sectPr w:rsidR="00E70CAD" w:rsidRPr="00D337FA" w:rsidSect="00E70CAD">
          <w:footnotePr>
            <w:numRestart w:val="eachPage"/>
          </w:footnotePr>
          <w:type w:val="continuous"/>
          <w:pgSz w:w="11907" w:h="16840" w:code="9"/>
          <w:pgMar w:top="1418" w:right="1134" w:bottom="1418" w:left="1134" w:header="1021" w:footer="1021" w:gutter="0"/>
          <w:cols w:num="2" w:space="708"/>
          <w:docGrid w:linePitch="360"/>
        </w:sectPr>
      </w:pPr>
    </w:p>
    <w:p w:rsidR="00E70CAD" w:rsidRPr="00D337FA" w:rsidRDefault="00E70CAD" w:rsidP="00E70CAD">
      <w:pPr>
        <w:ind w:firstLine="709"/>
        <w:rPr>
          <w:sz w:val="28"/>
          <w:szCs w:val="28"/>
        </w:rPr>
      </w:pPr>
    </w:p>
    <w:p w:rsidR="00E70CAD" w:rsidRPr="00D337FA" w:rsidRDefault="00E70CAD" w:rsidP="00E70CAD">
      <w:pPr>
        <w:ind w:firstLine="142"/>
        <w:jc w:val="center"/>
        <w:rPr>
          <w:b/>
          <w:szCs w:val="24"/>
        </w:rPr>
      </w:pPr>
      <w:r w:rsidRPr="00D337FA">
        <w:rPr>
          <w:b/>
          <w:szCs w:val="24"/>
        </w:rPr>
        <w:t>ЛИТЕРАТУРА</w:t>
      </w:r>
    </w:p>
    <w:p w:rsidR="00E70CAD" w:rsidRPr="00D337FA" w:rsidRDefault="00E70CAD" w:rsidP="005A0605">
      <w:pPr>
        <w:pStyle w:val="ds-markdown-paragraph"/>
        <w:numPr>
          <w:ilvl w:val="0"/>
          <w:numId w:val="13"/>
        </w:numPr>
        <w:shd w:val="clear" w:color="auto" w:fill="FFFFFF"/>
        <w:spacing w:before="0" w:beforeAutospacing="0" w:after="0" w:afterAutospacing="0"/>
        <w:ind w:left="0" w:firstLine="284"/>
        <w:jc w:val="both"/>
        <w:rPr>
          <w:i/>
        </w:rPr>
      </w:pPr>
      <w:r w:rsidRPr="00D337FA">
        <w:rPr>
          <w:i/>
        </w:rPr>
        <w:t>Федеральный</w:t>
      </w:r>
      <w:r w:rsidR="006C680D" w:rsidRPr="00D337FA">
        <w:rPr>
          <w:i/>
        </w:rPr>
        <w:t xml:space="preserve"> </w:t>
      </w:r>
      <w:r w:rsidRPr="00D337FA">
        <w:rPr>
          <w:i/>
        </w:rPr>
        <w:t>закон</w:t>
      </w:r>
      <w:r w:rsidR="006C680D" w:rsidRPr="00D337FA">
        <w:rPr>
          <w:i/>
        </w:rPr>
        <w:t xml:space="preserve"> </w:t>
      </w:r>
      <w:r w:rsidRPr="00D337FA">
        <w:rPr>
          <w:i/>
        </w:rPr>
        <w:t>РФ</w:t>
      </w:r>
      <w:r w:rsidR="006C680D" w:rsidRPr="00D337FA">
        <w:rPr>
          <w:i/>
        </w:rPr>
        <w:t xml:space="preserve"> </w:t>
      </w:r>
      <w:r w:rsidRPr="00D337FA">
        <w:rPr>
          <w:i/>
        </w:rPr>
        <w:t>«О</w:t>
      </w:r>
      <w:r w:rsidR="006C680D" w:rsidRPr="00D337FA">
        <w:rPr>
          <w:i/>
        </w:rPr>
        <w:t xml:space="preserve"> </w:t>
      </w:r>
      <w:r w:rsidRPr="00D337FA">
        <w:rPr>
          <w:i/>
        </w:rPr>
        <w:t>развитии</w:t>
      </w:r>
      <w:r w:rsidR="006C680D" w:rsidRPr="00D337FA">
        <w:rPr>
          <w:i/>
        </w:rPr>
        <w:t xml:space="preserve"> </w:t>
      </w:r>
      <w:r w:rsidRPr="00D337FA">
        <w:rPr>
          <w:i/>
        </w:rPr>
        <w:t>малого</w:t>
      </w:r>
      <w:r w:rsidR="006C680D" w:rsidRPr="00D337FA">
        <w:rPr>
          <w:i/>
        </w:rPr>
        <w:t xml:space="preserve"> </w:t>
      </w:r>
      <w:r w:rsidRPr="00D337FA">
        <w:rPr>
          <w:i/>
        </w:rPr>
        <w:t>и</w:t>
      </w:r>
      <w:r w:rsidR="006C680D" w:rsidRPr="00D337FA">
        <w:rPr>
          <w:i/>
        </w:rPr>
        <w:t xml:space="preserve"> </w:t>
      </w:r>
      <w:r w:rsidRPr="00D337FA">
        <w:rPr>
          <w:i/>
        </w:rPr>
        <w:t>среднего</w:t>
      </w:r>
      <w:r w:rsidR="006C680D" w:rsidRPr="00D337FA">
        <w:rPr>
          <w:i/>
        </w:rPr>
        <w:t xml:space="preserve"> </w:t>
      </w:r>
      <w:r w:rsidRPr="00D337FA">
        <w:rPr>
          <w:i/>
        </w:rPr>
        <w:t>предпринимательства</w:t>
      </w:r>
      <w:r w:rsidR="006C680D" w:rsidRPr="00D337FA">
        <w:rPr>
          <w:i/>
        </w:rPr>
        <w:t xml:space="preserve"> </w:t>
      </w:r>
      <w:r w:rsidRPr="00D337FA">
        <w:rPr>
          <w:i/>
        </w:rPr>
        <w:t>в</w:t>
      </w:r>
      <w:r w:rsidR="006C680D" w:rsidRPr="00D337FA">
        <w:rPr>
          <w:i/>
        </w:rPr>
        <w:t xml:space="preserve"> </w:t>
      </w:r>
      <w:r w:rsidRPr="00D337FA">
        <w:rPr>
          <w:i/>
        </w:rPr>
        <w:t>Российской</w:t>
      </w:r>
      <w:r w:rsidR="006C680D" w:rsidRPr="00D337FA">
        <w:rPr>
          <w:i/>
        </w:rPr>
        <w:t xml:space="preserve"> </w:t>
      </w:r>
      <w:r w:rsidRPr="00D337FA">
        <w:rPr>
          <w:i/>
        </w:rPr>
        <w:t>Федерации»</w:t>
      </w:r>
      <w:r w:rsidR="006C680D" w:rsidRPr="00D337FA">
        <w:rPr>
          <w:i/>
        </w:rPr>
        <w:t xml:space="preserve"> </w:t>
      </w:r>
      <w:r w:rsidRPr="00D337FA">
        <w:rPr>
          <w:i/>
        </w:rPr>
        <w:t>от</w:t>
      </w:r>
      <w:r w:rsidR="006C680D" w:rsidRPr="00D337FA">
        <w:rPr>
          <w:i/>
        </w:rPr>
        <w:t xml:space="preserve"> </w:t>
      </w:r>
      <w:r w:rsidRPr="00D337FA">
        <w:rPr>
          <w:i/>
        </w:rPr>
        <w:t>24.07.2007</w:t>
      </w:r>
      <w:r w:rsidR="006C680D" w:rsidRPr="00D337FA">
        <w:rPr>
          <w:i/>
        </w:rPr>
        <w:t xml:space="preserve"> </w:t>
      </w:r>
      <w:r w:rsidRPr="00D337FA">
        <w:rPr>
          <w:i/>
        </w:rPr>
        <w:t>№</w:t>
      </w:r>
      <w:r w:rsidR="006C680D" w:rsidRPr="00D337FA">
        <w:rPr>
          <w:i/>
        </w:rPr>
        <w:t xml:space="preserve"> </w:t>
      </w:r>
      <w:r w:rsidRPr="00D337FA">
        <w:rPr>
          <w:i/>
        </w:rPr>
        <w:t>209-ФЗ.</w:t>
      </w:r>
    </w:p>
    <w:p w:rsidR="00E70CAD" w:rsidRPr="00D337FA" w:rsidRDefault="00E70CAD" w:rsidP="005A0605">
      <w:pPr>
        <w:pStyle w:val="ds-markdown-paragraph"/>
        <w:numPr>
          <w:ilvl w:val="0"/>
          <w:numId w:val="13"/>
        </w:numPr>
        <w:shd w:val="clear" w:color="auto" w:fill="FFFFFF"/>
        <w:spacing w:before="0" w:beforeAutospacing="0" w:after="0" w:afterAutospacing="0"/>
        <w:ind w:left="0" w:firstLine="284"/>
        <w:jc w:val="both"/>
        <w:rPr>
          <w:i/>
        </w:rPr>
      </w:pPr>
      <w:r w:rsidRPr="00D337FA">
        <w:rPr>
          <w:i/>
        </w:rPr>
        <w:t>Аджиева</w:t>
      </w:r>
      <w:r w:rsidR="006C680D" w:rsidRPr="00D337FA">
        <w:rPr>
          <w:i/>
        </w:rPr>
        <w:t xml:space="preserve"> </w:t>
      </w:r>
      <w:r w:rsidRPr="00D337FA">
        <w:rPr>
          <w:i/>
        </w:rPr>
        <w:t>А.Ю.</w:t>
      </w:r>
      <w:r w:rsidR="006C680D" w:rsidRPr="00D337FA">
        <w:rPr>
          <w:i/>
        </w:rPr>
        <w:t xml:space="preserve"> </w:t>
      </w:r>
      <w:r w:rsidRPr="00D337FA">
        <w:rPr>
          <w:i/>
        </w:rPr>
        <w:t>Роль</w:t>
      </w:r>
      <w:r w:rsidR="006C680D" w:rsidRPr="00D337FA">
        <w:rPr>
          <w:i/>
        </w:rPr>
        <w:t xml:space="preserve"> </w:t>
      </w:r>
      <w:r w:rsidRPr="00D337FA">
        <w:rPr>
          <w:i/>
        </w:rPr>
        <w:t>кредитования</w:t>
      </w:r>
      <w:r w:rsidR="006C680D" w:rsidRPr="00D337FA">
        <w:rPr>
          <w:i/>
        </w:rPr>
        <w:t xml:space="preserve"> </w:t>
      </w:r>
      <w:r w:rsidRPr="00D337FA">
        <w:rPr>
          <w:i/>
        </w:rPr>
        <w:t>в</w:t>
      </w:r>
      <w:r w:rsidR="006C680D" w:rsidRPr="00D337FA">
        <w:rPr>
          <w:i/>
        </w:rPr>
        <w:t xml:space="preserve"> </w:t>
      </w:r>
      <w:r w:rsidRPr="00D337FA">
        <w:rPr>
          <w:i/>
        </w:rPr>
        <w:t>развитии</w:t>
      </w:r>
      <w:r w:rsidR="006C680D" w:rsidRPr="00D337FA">
        <w:rPr>
          <w:i/>
        </w:rPr>
        <w:t xml:space="preserve"> </w:t>
      </w:r>
      <w:r w:rsidRPr="00D337FA">
        <w:rPr>
          <w:i/>
        </w:rPr>
        <w:t>малого</w:t>
      </w:r>
      <w:r w:rsidR="006C680D" w:rsidRPr="00D337FA">
        <w:rPr>
          <w:i/>
        </w:rPr>
        <w:t xml:space="preserve"> </w:t>
      </w:r>
      <w:r w:rsidRPr="00D337FA">
        <w:rPr>
          <w:i/>
        </w:rPr>
        <w:t>и</w:t>
      </w:r>
      <w:r w:rsidR="006C680D" w:rsidRPr="00D337FA">
        <w:rPr>
          <w:i/>
        </w:rPr>
        <w:t xml:space="preserve"> </w:t>
      </w:r>
      <w:r w:rsidRPr="00D337FA">
        <w:rPr>
          <w:i/>
        </w:rPr>
        <w:t>среднего</w:t>
      </w:r>
      <w:r w:rsidR="006C680D" w:rsidRPr="00D337FA">
        <w:rPr>
          <w:i/>
        </w:rPr>
        <w:t xml:space="preserve"> </w:t>
      </w:r>
      <w:r w:rsidRPr="00D337FA">
        <w:rPr>
          <w:i/>
        </w:rPr>
        <w:t>предпринимательства</w:t>
      </w:r>
      <w:r w:rsidR="006C680D" w:rsidRPr="00D337FA">
        <w:rPr>
          <w:i/>
        </w:rPr>
        <w:t xml:space="preserve"> </w:t>
      </w:r>
      <w:r w:rsidRPr="00D337FA">
        <w:rPr>
          <w:i/>
        </w:rPr>
        <w:t>//</w:t>
      </w:r>
      <w:r w:rsidR="006C680D" w:rsidRPr="00D337FA">
        <w:rPr>
          <w:i/>
        </w:rPr>
        <w:t xml:space="preserve"> </w:t>
      </w:r>
      <w:r w:rsidRPr="00D337FA">
        <w:rPr>
          <w:i/>
        </w:rPr>
        <w:t>Эпомен:</w:t>
      </w:r>
      <w:r w:rsidR="006C680D" w:rsidRPr="00D337FA">
        <w:rPr>
          <w:i/>
        </w:rPr>
        <w:t xml:space="preserve"> </w:t>
      </w:r>
      <w:r w:rsidRPr="00D337FA">
        <w:rPr>
          <w:i/>
        </w:rPr>
        <w:t>научный</w:t>
      </w:r>
      <w:r w:rsidR="006C680D" w:rsidRPr="00D337FA">
        <w:rPr>
          <w:i/>
        </w:rPr>
        <w:t xml:space="preserve"> </w:t>
      </w:r>
      <w:r w:rsidRPr="00D337FA">
        <w:rPr>
          <w:i/>
        </w:rPr>
        <w:t>журнал.</w:t>
      </w:r>
      <w:r w:rsidR="006C680D" w:rsidRPr="00D337FA">
        <w:rPr>
          <w:i/>
        </w:rPr>
        <w:t xml:space="preserve"> </w:t>
      </w:r>
      <w:r w:rsidRPr="00D337FA">
        <w:rPr>
          <w:i/>
        </w:rPr>
        <w:t>2023.</w:t>
      </w:r>
      <w:r w:rsidR="006C680D" w:rsidRPr="00D337FA">
        <w:rPr>
          <w:i/>
        </w:rPr>
        <w:t xml:space="preserve">  </w:t>
      </w:r>
      <w:r w:rsidRPr="00D337FA">
        <w:rPr>
          <w:i/>
        </w:rPr>
        <w:t>№</w:t>
      </w:r>
      <w:r w:rsidR="006C680D" w:rsidRPr="00D337FA">
        <w:rPr>
          <w:i/>
        </w:rPr>
        <w:t xml:space="preserve"> </w:t>
      </w:r>
      <w:r w:rsidRPr="00D337FA">
        <w:rPr>
          <w:i/>
        </w:rPr>
        <w:t>48.</w:t>
      </w:r>
      <w:r w:rsidR="006C680D" w:rsidRPr="00D337FA">
        <w:rPr>
          <w:i/>
        </w:rPr>
        <w:t xml:space="preserve"> </w:t>
      </w:r>
      <w:r w:rsidRPr="00D337FA">
        <w:rPr>
          <w:i/>
        </w:rPr>
        <w:t>С.</w:t>
      </w:r>
      <w:r w:rsidR="006C680D" w:rsidRPr="00D337FA">
        <w:rPr>
          <w:i/>
        </w:rPr>
        <w:t xml:space="preserve"> </w:t>
      </w:r>
      <w:r w:rsidRPr="00D337FA">
        <w:rPr>
          <w:i/>
        </w:rPr>
        <w:t>21</w:t>
      </w:r>
      <w:r w:rsidR="00A53D60">
        <w:rPr>
          <w:i/>
        </w:rPr>
        <w:t>-</w:t>
      </w:r>
      <w:r w:rsidRPr="00D337FA">
        <w:rPr>
          <w:i/>
        </w:rPr>
        <w:t>29.</w:t>
      </w:r>
    </w:p>
    <w:p w:rsidR="00E70CAD" w:rsidRPr="00D337FA" w:rsidRDefault="00E70CAD" w:rsidP="005A0605">
      <w:pPr>
        <w:pStyle w:val="ds-markdown-paragraph"/>
        <w:numPr>
          <w:ilvl w:val="0"/>
          <w:numId w:val="13"/>
        </w:numPr>
        <w:shd w:val="clear" w:color="auto" w:fill="FFFFFF"/>
        <w:spacing w:before="0" w:beforeAutospacing="0" w:after="0" w:afterAutospacing="0"/>
        <w:ind w:left="0" w:firstLine="284"/>
        <w:jc w:val="both"/>
        <w:rPr>
          <w:i/>
        </w:rPr>
      </w:pPr>
      <w:r w:rsidRPr="00D337FA">
        <w:rPr>
          <w:i/>
        </w:rPr>
        <w:t>Анненкова</w:t>
      </w:r>
      <w:r w:rsidR="006C680D" w:rsidRPr="00D337FA">
        <w:rPr>
          <w:i/>
        </w:rPr>
        <w:t xml:space="preserve"> </w:t>
      </w:r>
      <w:r w:rsidRPr="00D337FA">
        <w:rPr>
          <w:i/>
        </w:rPr>
        <w:t>Е.</w:t>
      </w:r>
      <w:r w:rsidR="006C680D" w:rsidRPr="00D337FA">
        <w:rPr>
          <w:i/>
        </w:rPr>
        <w:t xml:space="preserve"> </w:t>
      </w:r>
      <w:r w:rsidRPr="00D337FA">
        <w:rPr>
          <w:i/>
        </w:rPr>
        <w:t>А.,</w:t>
      </w:r>
      <w:r w:rsidR="006C680D" w:rsidRPr="00D337FA">
        <w:rPr>
          <w:i/>
        </w:rPr>
        <w:t xml:space="preserve"> </w:t>
      </w:r>
      <w:r w:rsidRPr="00D337FA">
        <w:rPr>
          <w:i/>
        </w:rPr>
        <w:t>Усманова</w:t>
      </w:r>
      <w:r w:rsidR="006C680D" w:rsidRPr="00D337FA">
        <w:rPr>
          <w:i/>
        </w:rPr>
        <w:t xml:space="preserve"> </w:t>
      </w:r>
      <w:r w:rsidRPr="00D337FA">
        <w:rPr>
          <w:i/>
        </w:rPr>
        <w:t>А.</w:t>
      </w:r>
      <w:r w:rsidR="006C680D" w:rsidRPr="00D337FA">
        <w:rPr>
          <w:i/>
        </w:rPr>
        <w:t xml:space="preserve"> </w:t>
      </w:r>
      <w:r w:rsidRPr="00D337FA">
        <w:rPr>
          <w:i/>
        </w:rPr>
        <w:t>С.</w:t>
      </w:r>
      <w:r w:rsidR="006C680D" w:rsidRPr="00D337FA">
        <w:rPr>
          <w:i/>
        </w:rPr>
        <w:t xml:space="preserve"> </w:t>
      </w:r>
      <w:r w:rsidRPr="00D337FA">
        <w:rPr>
          <w:i/>
        </w:rPr>
        <w:t>Информационная</w:t>
      </w:r>
      <w:r w:rsidR="006C680D" w:rsidRPr="00D337FA">
        <w:rPr>
          <w:i/>
        </w:rPr>
        <w:t xml:space="preserve"> </w:t>
      </w:r>
      <w:r w:rsidRPr="00D337FA">
        <w:rPr>
          <w:i/>
        </w:rPr>
        <w:t>безопасность</w:t>
      </w:r>
      <w:r w:rsidR="006C680D" w:rsidRPr="00D337FA">
        <w:rPr>
          <w:i/>
        </w:rPr>
        <w:t xml:space="preserve"> </w:t>
      </w:r>
      <w:r w:rsidRPr="00D337FA">
        <w:rPr>
          <w:i/>
        </w:rPr>
        <w:t>банков:</w:t>
      </w:r>
      <w:r w:rsidR="006C680D" w:rsidRPr="00D337FA">
        <w:rPr>
          <w:i/>
        </w:rPr>
        <w:t xml:space="preserve"> </w:t>
      </w:r>
      <w:r w:rsidRPr="00D337FA">
        <w:rPr>
          <w:i/>
        </w:rPr>
        <w:t>ландшафт</w:t>
      </w:r>
      <w:r w:rsidR="006C680D" w:rsidRPr="00D337FA">
        <w:rPr>
          <w:i/>
        </w:rPr>
        <w:t xml:space="preserve"> </w:t>
      </w:r>
      <w:r w:rsidRPr="00D337FA">
        <w:rPr>
          <w:i/>
        </w:rPr>
        <w:t>киберугроз,</w:t>
      </w:r>
      <w:r w:rsidR="006C680D" w:rsidRPr="00D337FA">
        <w:rPr>
          <w:i/>
        </w:rPr>
        <w:t xml:space="preserve"> </w:t>
      </w:r>
      <w:r w:rsidRPr="00D337FA">
        <w:rPr>
          <w:i/>
        </w:rPr>
        <w:t>тенденции</w:t>
      </w:r>
      <w:r w:rsidR="006C680D" w:rsidRPr="00D337FA">
        <w:rPr>
          <w:i/>
        </w:rPr>
        <w:t xml:space="preserve"> </w:t>
      </w:r>
      <w:r w:rsidRPr="00D337FA">
        <w:rPr>
          <w:i/>
        </w:rPr>
        <w:t>и</w:t>
      </w:r>
      <w:r w:rsidR="006C680D" w:rsidRPr="00D337FA">
        <w:rPr>
          <w:i/>
        </w:rPr>
        <w:t xml:space="preserve"> </w:t>
      </w:r>
      <w:r w:rsidRPr="00D337FA">
        <w:rPr>
          <w:i/>
        </w:rPr>
        <w:t>вызовы</w:t>
      </w:r>
      <w:r w:rsidR="006C680D" w:rsidRPr="00D337FA">
        <w:rPr>
          <w:i/>
        </w:rPr>
        <w:t xml:space="preserve"> </w:t>
      </w:r>
      <w:r w:rsidRPr="00D337FA">
        <w:rPr>
          <w:i/>
        </w:rPr>
        <w:t>//</w:t>
      </w:r>
      <w:r w:rsidR="006C680D" w:rsidRPr="00D337FA">
        <w:rPr>
          <w:i/>
        </w:rPr>
        <w:t xml:space="preserve"> </w:t>
      </w:r>
      <w:r w:rsidRPr="00D337FA">
        <w:rPr>
          <w:i/>
        </w:rPr>
        <w:t>Научное</w:t>
      </w:r>
      <w:r w:rsidR="006C680D" w:rsidRPr="00D337FA">
        <w:rPr>
          <w:i/>
        </w:rPr>
        <w:t xml:space="preserve"> </w:t>
      </w:r>
      <w:r w:rsidRPr="00D337FA">
        <w:rPr>
          <w:i/>
        </w:rPr>
        <w:t>обозрение:</w:t>
      </w:r>
      <w:r w:rsidR="006C680D" w:rsidRPr="00D337FA">
        <w:rPr>
          <w:i/>
        </w:rPr>
        <w:t xml:space="preserve"> </w:t>
      </w:r>
      <w:r w:rsidRPr="00D337FA">
        <w:rPr>
          <w:i/>
        </w:rPr>
        <w:t>теория</w:t>
      </w:r>
      <w:r w:rsidR="006C680D" w:rsidRPr="00D337FA">
        <w:rPr>
          <w:i/>
        </w:rPr>
        <w:t xml:space="preserve"> </w:t>
      </w:r>
      <w:r w:rsidRPr="00D337FA">
        <w:rPr>
          <w:i/>
        </w:rPr>
        <w:t>и</w:t>
      </w:r>
      <w:r w:rsidR="006C680D" w:rsidRPr="00D337FA">
        <w:rPr>
          <w:i/>
        </w:rPr>
        <w:t xml:space="preserve"> </w:t>
      </w:r>
      <w:r w:rsidRPr="00D337FA">
        <w:rPr>
          <w:i/>
        </w:rPr>
        <w:t>практика.</w:t>
      </w:r>
      <w:r w:rsidR="00AD701E" w:rsidRPr="00D337FA">
        <w:rPr>
          <w:i/>
        </w:rPr>
        <w:t xml:space="preserve"> </w:t>
      </w:r>
      <w:r w:rsidR="006C680D" w:rsidRPr="00D337FA">
        <w:rPr>
          <w:i/>
        </w:rPr>
        <w:t xml:space="preserve"> </w:t>
      </w:r>
      <w:r w:rsidRPr="00D337FA">
        <w:rPr>
          <w:i/>
        </w:rPr>
        <w:t>2024.</w:t>
      </w:r>
      <w:r w:rsidR="006C680D" w:rsidRPr="00D337FA">
        <w:rPr>
          <w:i/>
        </w:rPr>
        <w:t xml:space="preserve"> </w:t>
      </w:r>
      <w:r w:rsidRPr="00D337FA">
        <w:rPr>
          <w:i/>
        </w:rPr>
        <w:t>Т.</w:t>
      </w:r>
      <w:r w:rsidR="006C680D" w:rsidRPr="00D337FA">
        <w:rPr>
          <w:i/>
        </w:rPr>
        <w:t xml:space="preserve"> </w:t>
      </w:r>
      <w:r w:rsidRPr="00D337FA">
        <w:rPr>
          <w:i/>
        </w:rPr>
        <w:t>14</w:t>
      </w:r>
      <w:r w:rsidR="00AD701E" w:rsidRPr="00D337FA">
        <w:rPr>
          <w:i/>
        </w:rPr>
        <w:t>.</w:t>
      </w:r>
      <w:r w:rsidR="006C680D" w:rsidRPr="00D337FA">
        <w:rPr>
          <w:i/>
        </w:rPr>
        <w:t xml:space="preserve"> </w:t>
      </w:r>
      <w:r w:rsidRPr="00D337FA">
        <w:rPr>
          <w:i/>
        </w:rPr>
        <w:t>№</w:t>
      </w:r>
      <w:r w:rsidR="006C680D" w:rsidRPr="00D337FA">
        <w:rPr>
          <w:i/>
        </w:rPr>
        <w:t xml:space="preserve"> </w:t>
      </w:r>
      <w:r w:rsidRPr="00D337FA">
        <w:rPr>
          <w:i/>
        </w:rPr>
        <w:t>10</w:t>
      </w:r>
      <w:r w:rsidR="00AD701E" w:rsidRPr="00D337FA">
        <w:rPr>
          <w:i/>
        </w:rPr>
        <w:t xml:space="preserve"> </w:t>
      </w:r>
      <w:r w:rsidRPr="00D337FA">
        <w:rPr>
          <w:i/>
        </w:rPr>
        <w:t>(110).</w:t>
      </w:r>
      <w:r w:rsidR="006C680D" w:rsidRPr="00D337FA">
        <w:rPr>
          <w:i/>
        </w:rPr>
        <w:t xml:space="preserve"> </w:t>
      </w:r>
      <w:r w:rsidRPr="00D337FA">
        <w:rPr>
          <w:i/>
        </w:rPr>
        <w:t>С.</w:t>
      </w:r>
      <w:r w:rsidR="006C680D" w:rsidRPr="00D337FA">
        <w:rPr>
          <w:i/>
        </w:rPr>
        <w:t xml:space="preserve"> </w:t>
      </w:r>
      <w:r w:rsidRPr="00D337FA">
        <w:rPr>
          <w:i/>
        </w:rPr>
        <w:t>1912-1920.</w:t>
      </w:r>
      <w:r w:rsidR="006C680D" w:rsidRPr="00D337FA">
        <w:rPr>
          <w:i/>
        </w:rPr>
        <w:t xml:space="preserve"> </w:t>
      </w:r>
      <w:r w:rsidRPr="00D337FA">
        <w:rPr>
          <w:i/>
        </w:rPr>
        <w:t>DOI</w:t>
      </w:r>
      <w:r w:rsidR="006C680D" w:rsidRPr="00D337FA">
        <w:rPr>
          <w:i/>
        </w:rPr>
        <w:t xml:space="preserve"> </w:t>
      </w:r>
      <w:r w:rsidRPr="00D337FA">
        <w:rPr>
          <w:i/>
        </w:rPr>
        <w:t>10.35679/2226-0226-2024-14-10-1912-1920.</w:t>
      </w:r>
      <w:r w:rsidR="006C680D" w:rsidRPr="00D337FA">
        <w:rPr>
          <w:i/>
        </w:rPr>
        <w:t xml:space="preserve"> </w:t>
      </w:r>
    </w:p>
    <w:p w:rsidR="00E70CAD" w:rsidRPr="00A53D60" w:rsidRDefault="00E70CAD" w:rsidP="005A0605">
      <w:pPr>
        <w:pStyle w:val="ds-markdown-paragraph"/>
        <w:numPr>
          <w:ilvl w:val="0"/>
          <w:numId w:val="13"/>
        </w:numPr>
        <w:shd w:val="clear" w:color="auto" w:fill="FFFFFF"/>
        <w:spacing w:before="0" w:beforeAutospacing="0" w:after="0" w:afterAutospacing="0"/>
        <w:ind w:left="0" w:firstLine="284"/>
        <w:jc w:val="both"/>
        <w:rPr>
          <w:i/>
        </w:rPr>
      </w:pPr>
      <w:r w:rsidRPr="00D337FA">
        <w:rPr>
          <w:i/>
        </w:rPr>
        <w:t>Брейли</w:t>
      </w:r>
      <w:r w:rsidR="006C680D" w:rsidRPr="00D337FA">
        <w:rPr>
          <w:i/>
        </w:rPr>
        <w:t xml:space="preserve"> </w:t>
      </w:r>
      <w:r w:rsidRPr="00D337FA">
        <w:rPr>
          <w:i/>
        </w:rPr>
        <w:t>Р.,</w:t>
      </w:r>
      <w:r w:rsidR="006C680D" w:rsidRPr="00D337FA">
        <w:rPr>
          <w:i/>
        </w:rPr>
        <w:t xml:space="preserve"> </w:t>
      </w:r>
      <w:r w:rsidRPr="00D337FA">
        <w:rPr>
          <w:i/>
        </w:rPr>
        <w:t>Майерс</w:t>
      </w:r>
      <w:r w:rsidR="006C680D" w:rsidRPr="00D337FA">
        <w:rPr>
          <w:i/>
        </w:rPr>
        <w:t xml:space="preserve"> </w:t>
      </w:r>
      <w:r w:rsidRPr="00D337FA">
        <w:rPr>
          <w:i/>
        </w:rPr>
        <w:t>С.,</w:t>
      </w:r>
      <w:r w:rsidR="006C680D" w:rsidRPr="00D337FA">
        <w:rPr>
          <w:i/>
        </w:rPr>
        <w:t xml:space="preserve"> </w:t>
      </w:r>
      <w:r w:rsidRPr="00D337FA">
        <w:rPr>
          <w:i/>
        </w:rPr>
        <w:t>Аллен</w:t>
      </w:r>
      <w:r w:rsidR="006C680D" w:rsidRPr="00D337FA">
        <w:rPr>
          <w:i/>
        </w:rPr>
        <w:t xml:space="preserve"> </w:t>
      </w:r>
      <w:r w:rsidRPr="00D337FA">
        <w:rPr>
          <w:i/>
        </w:rPr>
        <w:t>Ф.</w:t>
      </w:r>
      <w:r w:rsidR="006C680D" w:rsidRPr="00D337FA">
        <w:rPr>
          <w:i/>
        </w:rPr>
        <w:t xml:space="preserve"> </w:t>
      </w:r>
      <w:r w:rsidRPr="00D337FA">
        <w:rPr>
          <w:i/>
        </w:rPr>
        <w:t>Принципы</w:t>
      </w:r>
      <w:r w:rsidR="006C680D" w:rsidRPr="00D337FA">
        <w:rPr>
          <w:i/>
        </w:rPr>
        <w:t xml:space="preserve"> </w:t>
      </w:r>
      <w:r w:rsidRPr="00D337FA">
        <w:rPr>
          <w:i/>
        </w:rPr>
        <w:t>корпоративных</w:t>
      </w:r>
      <w:r w:rsidR="006C680D" w:rsidRPr="00D337FA">
        <w:rPr>
          <w:i/>
        </w:rPr>
        <w:t xml:space="preserve"> </w:t>
      </w:r>
      <w:r w:rsidRPr="00D337FA">
        <w:rPr>
          <w:i/>
        </w:rPr>
        <w:t>финансов.</w:t>
      </w:r>
      <w:r w:rsidR="006C680D" w:rsidRPr="00D337FA">
        <w:rPr>
          <w:i/>
        </w:rPr>
        <w:t xml:space="preserve"> </w:t>
      </w:r>
      <w:r w:rsidRPr="00D337FA">
        <w:rPr>
          <w:i/>
        </w:rPr>
        <w:t>–</w:t>
      </w:r>
      <w:r w:rsidR="006C680D" w:rsidRPr="00D337FA">
        <w:rPr>
          <w:i/>
        </w:rPr>
        <w:t xml:space="preserve"> </w:t>
      </w:r>
      <w:r w:rsidRPr="00D337FA">
        <w:rPr>
          <w:i/>
        </w:rPr>
        <w:t>М.:</w:t>
      </w:r>
      <w:r w:rsidR="006C680D" w:rsidRPr="00D337FA">
        <w:rPr>
          <w:i/>
        </w:rPr>
        <w:t xml:space="preserve"> </w:t>
      </w:r>
      <w:r w:rsidRPr="00D337FA">
        <w:rPr>
          <w:i/>
        </w:rPr>
        <w:t>Олимп–Бизнес,</w:t>
      </w:r>
      <w:r w:rsidR="006C680D" w:rsidRPr="00D337FA">
        <w:rPr>
          <w:i/>
        </w:rPr>
        <w:t xml:space="preserve"> </w:t>
      </w:r>
      <w:r w:rsidRPr="00D337FA">
        <w:rPr>
          <w:i/>
        </w:rPr>
        <w:t>2021.</w:t>
      </w:r>
      <w:r w:rsidR="006C680D" w:rsidRPr="00D337FA">
        <w:rPr>
          <w:i/>
        </w:rPr>
        <w:t xml:space="preserve"> </w:t>
      </w:r>
      <w:r w:rsidRPr="00D337FA">
        <w:rPr>
          <w:i/>
        </w:rPr>
        <w:t>1184</w:t>
      </w:r>
      <w:r w:rsidR="006C680D" w:rsidRPr="00D337FA">
        <w:rPr>
          <w:i/>
        </w:rPr>
        <w:t xml:space="preserve"> </w:t>
      </w:r>
      <w:r w:rsidRPr="00D337FA">
        <w:rPr>
          <w:i/>
        </w:rPr>
        <w:t>с.</w:t>
      </w:r>
    </w:p>
    <w:p w:rsidR="00E70CAD" w:rsidRPr="00A53D60" w:rsidRDefault="00E70CAD" w:rsidP="005A0605">
      <w:pPr>
        <w:pStyle w:val="ds-markdown-paragraph"/>
        <w:numPr>
          <w:ilvl w:val="0"/>
          <w:numId w:val="13"/>
        </w:numPr>
        <w:shd w:val="clear" w:color="auto" w:fill="FFFFFF"/>
        <w:spacing w:before="0" w:beforeAutospacing="0" w:after="0" w:afterAutospacing="0"/>
        <w:ind w:left="0" w:firstLine="284"/>
        <w:jc w:val="both"/>
        <w:rPr>
          <w:i/>
        </w:rPr>
      </w:pPr>
      <w:r w:rsidRPr="00A53D60">
        <w:rPr>
          <w:i/>
        </w:rPr>
        <w:t>Зарицкий</w:t>
      </w:r>
      <w:r w:rsidR="006C680D" w:rsidRPr="00A53D60">
        <w:rPr>
          <w:i/>
        </w:rPr>
        <w:t xml:space="preserve"> </w:t>
      </w:r>
      <w:r w:rsidRPr="00A53D60">
        <w:rPr>
          <w:i/>
        </w:rPr>
        <w:t>Б.Е.</w:t>
      </w:r>
      <w:r w:rsidR="006C680D" w:rsidRPr="00A53D60">
        <w:rPr>
          <w:i/>
        </w:rPr>
        <w:t xml:space="preserve"> </w:t>
      </w:r>
      <w:r w:rsidRPr="00A53D60">
        <w:rPr>
          <w:i/>
        </w:rPr>
        <w:t>Проблемы</w:t>
      </w:r>
      <w:r w:rsidR="006C680D" w:rsidRPr="00A53D60">
        <w:rPr>
          <w:i/>
        </w:rPr>
        <w:t xml:space="preserve"> </w:t>
      </w:r>
      <w:r w:rsidRPr="00A53D60">
        <w:rPr>
          <w:i/>
        </w:rPr>
        <w:t>и</w:t>
      </w:r>
      <w:r w:rsidR="006C680D" w:rsidRPr="00A53D60">
        <w:rPr>
          <w:i/>
        </w:rPr>
        <w:t xml:space="preserve"> </w:t>
      </w:r>
      <w:r w:rsidRPr="00A53D60">
        <w:rPr>
          <w:i/>
        </w:rPr>
        <w:t>перспективы</w:t>
      </w:r>
      <w:r w:rsidR="006C680D" w:rsidRPr="00A53D60">
        <w:rPr>
          <w:i/>
        </w:rPr>
        <w:t xml:space="preserve"> </w:t>
      </w:r>
      <w:r w:rsidRPr="00A53D60">
        <w:rPr>
          <w:i/>
        </w:rPr>
        <w:t>малого</w:t>
      </w:r>
      <w:r w:rsidR="006C680D" w:rsidRPr="00A53D60">
        <w:rPr>
          <w:i/>
        </w:rPr>
        <w:t xml:space="preserve"> </w:t>
      </w:r>
      <w:r w:rsidRPr="00A53D60">
        <w:rPr>
          <w:i/>
        </w:rPr>
        <w:t>и</w:t>
      </w:r>
      <w:r w:rsidR="006C680D" w:rsidRPr="00A53D60">
        <w:rPr>
          <w:i/>
        </w:rPr>
        <w:t xml:space="preserve"> </w:t>
      </w:r>
      <w:r w:rsidRPr="00A53D60">
        <w:rPr>
          <w:i/>
        </w:rPr>
        <w:t>среднего</w:t>
      </w:r>
      <w:r w:rsidR="006C680D" w:rsidRPr="00A53D60">
        <w:rPr>
          <w:i/>
        </w:rPr>
        <w:t xml:space="preserve"> </w:t>
      </w:r>
      <w:r w:rsidRPr="00A53D60">
        <w:rPr>
          <w:i/>
        </w:rPr>
        <w:t>бизнеса</w:t>
      </w:r>
      <w:r w:rsidR="006C680D" w:rsidRPr="00A53D60">
        <w:rPr>
          <w:i/>
        </w:rPr>
        <w:t xml:space="preserve"> </w:t>
      </w:r>
      <w:r w:rsidRPr="00A53D60">
        <w:rPr>
          <w:i/>
        </w:rPr>
        <w:t>в</w:t>
      </w:r>
      <w:r w:rsidR="006C680D" w:rsidRPr="00A53D60">
        <w:rPr>
          <w:i/>
        </w:rPr>
        <w:t xml:space="preserve"> </w:t>
      </w:r>
      <w:r w:rsidRPr="00A53D60">
        <w:rPr>
          <w:i/>
        </w:rPr>
        <w:t>Германии</w:t>
      </w:r>
      <w:r w:rsidR="006C680D" w:rsidRPr="00A53D60">
        <w:rPr>
          <w:i/>
        </w:rPr>
        <w:t xml:space="preserve"> </w:t>
      </w:r>
      <w:r w:rsidRPr="00A53D60">
        <w:rPr>
          <w:i/>
        </w:rPr>
        <w:t>//</w:t>
      </w:r>
      <w:r w:rsidR="006C680D" w:rsidRPr="00A53D60">
        <w:rPr>
          <w:i/>
        </w:rPr>
        <w:t xml:space="preserve"> </w:t>
      </w:r>
      <w:r w:rsidRPr="00A53D60">
        <w:rPr>
          <w:i/>
        </w:rPr>
        <w:t>Вестник</w:t>
      </w:r>
      <w:r w:rsidR="006C680D" w:rsidRPr="00A53D60">
        <w:rPr>
          <w:i/>
        </w:rPr>
        <w:t xml:space="preserve"> </w:t>
      </w:r>
      <w:r w:rsidRPr="00A53D60">
        <w:rPr>
          <w:i/>
        </w:rPr>
        <w:t>МГИМО-Университета.</w:t>
      </w:r>
      <w:r w:rsidR="006C680D" w:rsidRPr="00A53D60">
        <w:rPr>
          <w:i/>
        </w:rPr>
        <w:t xml:space="preserve"> </w:t>
      </w:r>
      <w:r w:rsidRPr="00A53D60">
        <w:rPr>
          <w:i/>
        </w:rPr>
        <w:t>2021.</w:t>
      </w:r>
      <w:r w:rsidR="006C680D" w:rsidRPr="00A53D60">
        <w:rPr>
          <w:i/>
        </w:rPr>
        <w:t xml:space="preserve"> </w:t>
      </w:r>
      <w:r w:rsidRPr="00A53D60">
        <w:rPr>
          <w:i/>
        </w:rPr>
        <w:t>Т.</w:t>
      </w:r>
      <w:r w:rsidR="006C680D" w:rsidRPr="00A53D60">
        <w:rPr>
          <w:i/>
        </w:rPr>
        <w:t xml:space="preserve"> </w:t>
      </w:r>
      <w:r w:rsidRPr="00A53D60">
        <w:rPr>
          <w:i/>
        </w:rPr>
        <w:t>13.</w:t>
      </w:r>
      <w:r w:rsidR="006C680D" w:rsidRPr="00A53D60">
        <w:rPr>
          <w:i/>
        </w:rPr>
        <w:t xml:space="preserve"> </w:t>
      </w:r>
      <w:r w:rsidRPr="00A53D60">
        <w:rPr>
          <w:i/>
        </w:rPr>
        <w:t>№</w:t>
      </w:r>
      <w:r w:rsidR="006C680D" w:rsidRPr="00A53D60">
        <w:rPr>
          <w:i/>
        </w:rPr>
        <w:t xml:space="preserve"> </w:t>
      </w:r>
      <w:r w:rsidRPr="00A53D60">
        <w:rPr>
          <w:i/>
        </w:rPr>
        <w:t>6.</w:t>
      </w:r>
      <w:r w:rsidR="006C680D" w:rsidRPr="00A53D60">
        <w:rPr>
          <w:i/>
        </w:rPr>
        <w:t xml:space="preserve"> </w:t>
      </w:r>
      <w:r w:rsidRPr="00A53D60">
        <w:rPr>
          <w:i/>
        </w:rPr>
        <w:t>С.</w:t>
      </w:r>
      <w:r w:rsidR="006C680D" w:rsidRPr="00A53D60">
        <w:rPr>
          <w:i/>
        </w:rPr>
        <w:t xml:space="preserve"> </w:t>
      </w:r>
      <w:r w:rsidRPr="00A53D60">
        <w:rPr>
          <w:i/>
        </w:rPr>
        <w:t>133-152.</w:t>
      </w:r>
    </w:p>
    <w:p w:rsidR="00E70CAD" w:rsidRPr="00A53D60" w:rsidRDefault="00E70CAD" w:rsidP="005A0605">
      <w:pPr>
        <w:pStyle w:val="affb"/>
        <w:numPr>
          <w:ilvl w:val="0"/>
          <w:numId w:val="13"/>
        </w:numPr>
        <w:spacing w:after="0" w:line="240" w:lineRule="auto"/>
        <w:ind w:left="0" w:firstLine="284"/>
        <w:jc w:val="both"/>
        <w:rPr>
          <w:rStyle w:val="af7"/>
          <w:rFonts w:ascii="Times New Roman" w:hAnsi="Times New Roman" w:cs="Times New Roman"/>
          <w:i/>
          <w:color w:val="auto"/>
          <w:sz w:val="24"/>
          <w:szCs w:val="24"/>
          <w:u w:val="none"/>
        </w:rPr>
      </w:pPr>
      <w:r w:rsidRPr="00A53D60">
        <w:rPr>
          <w:rFonts w:ascii="Times New Roman" w:hAnsi="Times New Roman" w:cs="Times New Roman"/>
          <w:i/>
          <w:sz w:val="24"/>
          <w:szCs w:val="24"/>
        </w:rPr>
        <w:t>Информационный</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портал</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«Точка.</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Маркетплейсы».</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lang w:val="en-US"/>
        </w:rPr>
        <w:t>URL</w:t>
      </w:r>
      <w:r w:rsidRPr="00A53D60">
        <w:rPr>
          <w:rFonts w:ascii="Times New Roman" w:hAnsi="Times New Roman" w:cs="Times New Roman"/>
          <w:i/>
          <w:sz w:val="24"/>
          <w:szCs w:val="24"/>
        </w:rPr>
        <w:t>:</w:t>
      </w:r>
      <w:r w:rsidR="006C680D" w:rsidRPr="00A53D60">
        <w:rPr>
          <w:rFonts w:ascii="Times New Roman" w:hAnsi="Times New Roman" w:cs="Times New Roman"/>
          <w:i/>
          <w:sz w:val="24"/>
          <w:szCs w:val="24"/>
        </w:rPr>
        <w:t xml:space="preserve"> </w:t>
      </w:r>
      <w:hyperlink r:id="rId26" w:history="1">
        <w:r w:rsidRPr="00A53D60">
          <w:rPr>
            <w:rStyle w:val="af7"/>
            <w:rFonts w:ascii="Times New Roman" w:hAnsi="Times New Roman" w:cs="Times New Roman"/>
            <w:i/>
            <w:color w:val="auto"/>
            <w:sz w:val="24"/>
            <w:szCs w:val="24"/>
            <w:u w:val="none"/>
          </w:rPr>
          <w:t>https://tochkamp.com</w:t>
        </w:r>
      </w:hyperlink>
    </w:p>
    <w:p w:rsidR="00E70CAD" w:rsidRPr="00A53D60" w:rsidRDefault="00E70CAD" w:rsidP="005A0605">
      <w:pPr>
        <w:pStyle w:val="affb"/>
        <w:numPr>
          <w:ilvl w:val="0"/>
          <w:numId w:val="13"/>
        </w:numPr>
        <w:spacing w:after="0" w:line="240" w:lineRule="auto"/>
        <w:ind w:left="0" w:firstLine="284"/>
        <w:rPr>
          <w:rStyle w:val="af7"/>
          <w:rFonts w:ascii="Times New Roman" w:hAnsi="Times New Roman" w:cs="Times New Roman"/>
          <w:i/>
          <w:color w:val="auto"/>
          <w:sz w:val="24"/>
          <w:szCs w:val="24"/>
          <w:u w:val="none"/>
          <w:lang w:val="en-US"/>
        </w:rPr>
      </w:pPr>
      <w:r w:rsidRPr="00A53D60">
        <w:rPr>
          <w:rFonts w:ascii="Times New Roman" w:hAnsi="Times New Roman" w:cs="Times New Roman"/>
          <w:i/>
          <w:sz w:val="24"/>
          <w:szCs w:val="24"/>
        </w:rPr>
        <w:t>Малый</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и</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средний</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бизнес</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в</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новых</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условиях:</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проблемы</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и</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меры,</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необходимые</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для</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развития.</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lang w:val="en-US"/>
        </w:rPr>
        <w:t>URL:</w:t>
      </w:r>
      <w:r w:rsidR="006C680D" w:rsidRPr="00A53D60">
        <w:rPr>
          <w:rFonts w:ascii="Times New Roman" w:hAnsi="Times New Roman" w:cs="Times New Roman"/>
          <w:i/>
          <w:sz w:val="24"/>
          <w:szCs w:val="24"/>
          <w:lang w:val="en-US"/>
        </w:rPr>
        <w:t xml:space="preserve">  </w:t>
      </w:r>
      <w:hyperlink r:id="rId27" w:history="1">
        <w:r w:rsidRPr="00A53D60">
          <w:rPr>
            <w:rStyle w:val="af7"/>
            <w:rFonts w:ascii="Times New Roman" w:hAnsi="Times New Roman" w:cs="Times New Roman"/>
            <w:i/>
            <w:color w:val="auto"/>
            <w:sz w:val="24"/>
            <w:szCs w:val="24"/>
            <w:u w:val="none"/>
            <w:lang w:val="en-US"/>
          </w:rPr>
          <w:t>https://icss.ru/images/macro/20240205_%D0%98%D0%9A%D0%A1%D0%98%20%D0%9C%D0%A1%D0%9F%20(6).pdf</w:t>
        </w:r>
      </w:hyperlink>
    </w:p>
    <w:p w:rsidR="00E70CAD" w:rsidRPr="00D337FA" w:rsidRDefault="00E70CAD" w:rsidP="005A0605">
      <w:pPr>
        <w:pStyle w:val="affb"/>
        <w:numPr>
          <w:ilvl w:val="0"/>
          <w:numId w:val="13"/>
        </w:numPr>
        <w:spacing w:after="0" w:line="240" w:lineRule="auto"/>
        <w:ind w:left="0" w:firstLine="284"/>
        <w:jc w:val="both"/>
        <w:rPr>
          <w:rFonts w:ascii="Times New Roman" w:hAnsi="Times New Roman" w:cs="Times New Roman"/>
          <w:i/>
          <w:sz w:val="24"/>
          <w:szCs w:val="24"/>
          <w:lang w:val="en-US"/>
        </w:rPr>
      </w:pPr>
      <w:r w:rsidRPr="00A53D60">
        <w:rPr>
          <w:rFonts w:ascii="Times New Roman" w:hAnsi="Times New Roman" w:cs="Times New Roman"/>
          <w:i/>
          <w:sz w:val="24"/>
          <w:szCs w:val="24"/>
        </w:rPr>
        <w:t>Небанковские</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сервисы</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для</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малого</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rPr>
        <w:t>бизнеса.</w:t>
      </w:r>
      <w:r w:rsidR="006C680D" w:rsidRPr="00A53D60">
        <w:rPr>
          <w:rFonts w:ascii="Times New Roman" w:hAnsi="Times New Roman" w:cs="Times New Roman"/>
          <w:i/>
          <w:sz w:val="24"/>
          <w:szCs w:val="24"/>
        </w:rPr>
        <w:t xml:space="preserve"> </w:t>
      </w:r>
      <w:r w:rsidRPr="00A53D60">
        <w:rPr>
          <w:rFonts w:ascii="Times New Roman" w:hAnsi="Times New Roman" w:cs="Times New Roman"/>
          <w:i/>
          <w:sz w:val="24"/>
          <w:szCs w:val="24"/>
          <w:lang w:val="en-US"/>
        </w:rPr>
        <w:t>URL:</w:t>
      </w:r>
      <w:r w:rsidR="006C680D" w:rsidRPr="00A53D60">
        <w:rPr>
          <w:rFonts w:ascii="Times New Roman" w:hAnsi="Times New Roman" w:cs="Times New Roman"/>
          <w:i/>
          <w:sz w:val="24"/>
          <w:szCs w:val="24"/>
          <w:lang w:val="en-US"/>
        </w:rPr>
        <w:t xml:space="preserve">   </w:t>
      </w:r>
      <w:hyperlink r:id="rId28" w:history="1">
        <w:r w:rsidRPr="00A53D60">
          <w:rPr>
            <w:rStyle w:val="af7"/>
            <w:rFonts w:ascii="Times New Roman" w:hAnsi="Times New Roman" w:cs="Times New Roman"/>
            <w:i/>
            <w:color w:val="auto"/>
            <w:sz w:val="24"/>
            <w:szCs w:val="24"/>
            <w:u w:val="none"/>
            <w:lang w:val="en-US"/>
          </w:rPr>
          <w:t>https://frankrg.com/research/nebankovskie-servisy-dlya-malogo-biznesa-2024?ysclid=mam7sx9b1e8431709</w:t>
        </w:r>
      </w:hyperlink>
    </w:p>
    <w:p w:rsidR="00E70CAD" w:rsidRPr="00D337FA" w:rsidRDefault="00E70CAD" w:rsidP="005A0605">
      <w:pPr>
        <w:pStyle w:val="affb"/>
        <w:numPr>
          <w:ilvl w:val="0"/>
          <w:numId w:val="13"/>
        </w:numPr>
        <w:spacing w:after="0" w:line="240" w:lineRule="auto"/>
        <w:ind w:left="0" w:firstLine="284"/>
        <w:jc w:val="both"/>
        <w:rPr>
          <w:rFonts w:ascii="Times New Roman" w:hAnsi="Times New Roman" w:cs="Times New Roman"/>
          <w:i/>
          <w:sz w:val="24"/>
          <w:szCs w:val="24"/>
        </w:rPr>
      </w:pPr>
      <w:r w:rsidRPr="00D337FA">
        <w:rPr>
          <w:rFonts w:ascii="Times New Roman" w:hAnsi="Times New Roman" w:cs="Times New Roman"/>
          <w:i/>
          <w:sz w:val="24"/>
          <w:szCs w:val="24"/>
        </w:rPr>
        <w:t>Официальный</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сайт</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Банка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России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«Тенденции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на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рынке</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МФО</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предпринимательского</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финансирования».</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lang w:val="en-US"/>
        </w:rPr>
        <w:t>URL:</w:t>
      </w:r>
      <w:r w:rsidR="006C680D" w:rsidRPr="00D337FA">
        <w:rPr>
          <w:rFonts w:ascii="Times New Roman" w:hAnsi="Times New Roman" w:cs="Times New Roman"/>
          <w:i/>
          <w:sz w:val="24"/>
          <w:szCs w:val="24"/>
          <w:lang w:val="en-US"/>
        </w:rPr>
        <w:t xml:space="preserve">  </w:t>
      </w:r>
      <w:r w:rsidRPr="00D337FA">
        <w:rPr>
          <w:rFonts w:ascii="Times New Roman" w:hAnsi="Times New Roman" w:cs="Times New Roman"/>
          <w:i/>
          <w:sz w:val="24"/>
          <w:szCs w:val="24"/>
        </w:rPr>
        <w:t>https://www.cbr.ru/analytics/microfinance/2024/?utm_source</w:t>
      </w:r>
    </w:p>
    <w:p w:rsidR="00E70CAD" w:rsidRPr="00D337FA" w:rsidRDefault="00E70CAD" w:rsidP="005A0605">
      <w:pPr>
        <w:pStyle w:val="ds-markdown-paragraph"/>
        <w:numPr>
          <w:ilvl w:val="0"/>
          <w:numId w:val="13"/>
        </w:numPr>
        <w:shd w:val="clear" w:color="auto" w:fill="FFFFFF"/>
        <w:spacing w:before="0" w:beforeAutospacing="0" w:after="0" w:afterAutospacing="0"/>
        <w:ind w:left="0" w:firstLine="284"/>
        <w:jc w:val="both"/>
        <w:rPr>
          <w:i/>
        </w:rPr>
      </w:pPr>
      <w:r w:rsidRPr="00D337FA">
        <w:rPr>
          <w:i/>
        </w:rPr>
        <w:t>Официальный</w:t>
      </w:r>
      <w:r w:rsidR="006C680D" w:rsidRPr="00D337FA">
        <w:rPr>
          <w:i/>
        </w:rPr>
        <w:t xml:space="preserve"> </w:t>
      </w:r>
      <w:r w:rsidRPr="00D337FA">
        <w:rPr>
          <w:i/>
        </w:rPr>
        <w:t>сайт</w:t>
      </w:r>
      <w:r w:rsidR="006C680D" w:rsidRPr="00D337FA">
        <w:rPr>
          <w:i/>
        </w:rPr>
        <w:t xml:space="preserve"> </w:t>
      </w:r>
      <w:r w:rsidRPr="00D337FA">
        <w:rPr>
          <w:i/>
        </w:rPr>
        <w:t>Министерства</w:t>
      </w:r>
      <w:r w:rsidR="006C680D" w:rsidRPr="00D337FA">
        <w:rPr>
          <w:i/>
        </w:rPr>
        <w:t xml:space="preserve"> </w:t>
      </w:r>
      <w:r w:rsidRPr="00D337FA">
        <w:rPr>
          <w:i/>
        </w:rPr>
        <w:t>экономического</w:t>
      </w:r>
      <w:r w:rsidR="006C680D" w:rsidRPr="00D337FA">
        <w:rPr>
          <w:i/>
        </w:rPr>
        <w:t xml:space="preserve"> </w:t>
      </w:r>
      <w:r w:rsidRPr="00D337FA">
        <w:rPr>
          <w:i/>
        </w:rPr>
        <w:t>развития</w:t>
      </w:r>
      <w:r w:rsidR="006C680D" w:rsidRPr="00D337FA">
        <w:rPr>
          <w:i/>
        </w:rPr>
        <w:t xml:space="preserve"> </w:t>
      </w:r>
      <w:r w:rsidRPr="00D337FA">
        <w:rPr>
          <w:i/>
        </w:rPr>
        <w:t>РФ</w:t>
      </w:r>
      <w:r w:rsidR="006C680D" w:rsidRPr="00D337FA">
        <w:rPr>
          <w:i/>
        </w:rPr>
        <w:t xml:space="preserve"> </w:t>
      </w:r>
      <w:r w:rsidRPr="00D337FA">
        <w:rPr>
          <w:i/>
        </w:rPr>
        <w:t>«Минэкономразвития:</w:t>
      </w:r>
      <w:r w:rsidR="006C680D" w:rsidRPr="00D337FA">
        <w:rPr>
          <w:i/>
        </w:rPr>
        <w:t xml:space="preserve"> </w:t>
      </w:r>
      <w:r w:rsidRPr="00D337FA">
        <w:rPr>
          <w:i/>
        </w:rPr>
        <w:t>финансовая</w:t>
      </w:r>
      <w:r w:rsidR="006C680D" w:rsidRPr="00D337FA">
        <w:rPr>
          <w:i/>
        </w:rPr>
        <w:t xml:space="preserve"> </w:t>
      </w:r>
      <w:r w:rsidRPr="00D337FA">
        <w:rPr>
          <w:i/>
        </w:rPr>
        <w:t>поддержка</w:t>
      </w:r>
      <w:r w:rsidR="006C680D" w:rsidRPr="00D337FA">
        <w:rPr>
          <w:i/>
        </w:rPr>
        <w:t xml:space="preserve"> </w:t>
      </w:r>
      <w:r w:rsidRPr="00D337FA">
        <w:rPr>
          <w:i/>
        </w:rPr>
        <w:t>нацпроекта</w:t>
      </w:r>
      <w:r w:rsidR="006C680D" w:rsidRPr="00D337FA">
        <w:rPr>
          <w:i/>
        </w:rPr>
        <w:t xml:space="preserve"> </w:t>
      </w:r>
      <w:r w:rsidRPr="00D337FA">
        <w:rPr>
          <w:i/>
        </w:rPr>
        <w:t>привела</w:t>
      </w:r>
      <w:r w:rsidR="006C680D" w:rsidRPr="00D337FA">
        <w:rPr>
          <w:i/>
        </w:rPr>
        <w:t xml:space="preserve"> </w:t>
      </w:r>
      <w:r w:rsidRPr="00D337FA">
        <w:rPr>
          <w:i/>
        </w:rPr>
        <w:t>к</w:t>
      </w:r>
      <w:r w:rsidR="006C680D" w:rsidRPr="00D337FA">
        <w:rPr>
          <w:i/>
        </w:rPr>
        <w:t xml:space="preserve"> </w:t>
      </w:r>
      <w:r w:rsidRPr="00D337FA">
        <w:rPr>
          <w:i/>
        </w:rPr>
        <w:t>качественному</w:t>
      </w:r>
      <w:r w:rsidR="006C680D" w:rsidRPr="00D337FA">
        <w:rPr>
          <w:i/>
        </w:rPr>
        <w:t xml:space="preserve"> </w:t>
      </w:r>
      <w:r w:rsidRPr="00D337FA">
        <w:rPr>
          <w:i/>
        </w:rPr>
        <w:t>росту</w:t>
      </w:r>
      <w:r w:rsidR="006C680D" w:rsidRPr="00D337FA">
        <w:rPr>
          <w:i/>
        </w:rPr>
        <w:t xml:space="preserve"> </w:t>
      </w:r>
      <w:r w:rsidRPr="00D337FA">
        <w:rPr>
          <w:i/>
        </w:rPr>
        <w:t>сектора</w:t>
      </w:r>
      <w:r w:rsidR="006C680D" w:rsidRPr="00D337FA">
        <w:rPr>
          <w:i/>
        </w:rPr>
        <w:t xml:space="preserve"> </w:t>
      </w:r>
      <w:r w:rsidRPr="00D337FA">
        <w:rPr>
          <w:i/>
        </w:rPr>
        <w:t>МСП».</w:t>
      </w:r>
      <w:r w:rsidR="006C680D" w:rsidRPr="00D337FA">
        <w:rPr>
          <w:i/>
        </w:rPr>
        <w:t xml:space="preserve"> </w:t>
      </w:r>
      <w:r w:rsidRPr="00D337FA">
        <w:rPr>
          <w:i/>
        </w:rPr>
        <w:t>–</w:t>
      </w:r>
      <w:r w:rsidR="006C680D" w:rsidRPr="00D337FA">
        <w:rPr>
          <w:i/>
        </w:rPr>
        <w:t xml:space="preserve"> </w:t>
      </w:r>
      <w:r w:rsidRPr="00D337FA">
        <w:rPr>
          <w:i/>
          <w:lang w:val="en-US"/>
        </w:rPr>
        <w:t>URL</w:t>
      </w:r>
      <w:r w:rsidRPr="00D337FA">
        <w:rPr>
          <w:i/>
        </w:rPr>
        <w:t>:</w:t>
      </w:r>
      <w:r w:rsidR="006C680D" w:rsidRPr="00D337FA">
        <w:rPr>
          <w:i/>
        </w:rPr>
        <w:t xml:space="preserve"> </w:t>
      </w:r>
      <w:r w:rsidRPr="00D337FA">
        <w:rPr>
          <w:i/>
        </w:rPr>
        <w:lastRenderedPageBreak/>
        <w:t>https://www.economy.gov.ru/material/news/minekonomrazvitiya_finansovaya_podderzhka_nacproekta_privela_k_kachestvennomu_rostu_sektora_msp.html</w:t>
      </w:r>
    </w:p>
    <w:p w:rsidR="00E70CAD" w:rsidRPr="00D337FA" w:rsidRDefault="00E70CAD" w:rsidP="005A0605">
      <w:pPr>
        <w:pStyle w:val="affb"/>
        <w:numPr>
          <w:ilvl w:val="0"/>
          <w:numId w:val="13"/>
        </w:numPr>
        <w:spacing w:after="0" w:line="240" w:lineRule="auto"/>
        <w:ind w:left="0" w:firstLine="284"/>
        <w:jc w:val="both"/>
        <w:rPr>
          <w:rStyle w:val="af7"/>
          <w:rFonts w:ascii="Times New Roman" w:hAnsi="Times New Roman" w:cs="Times New Roman"/>
          <w:i/>
          <w:color w:val="auto"/>
          <w:sz w:val="24"/>
          <w:szCs w:val="24"/>
          <w:u w:val="none"/>
        </w:rPr>
      </w:pPr>
      <w:r w:rsidRPr="00D337FA">
        <w:rPr>
          <w:rFonts w:ascii="Times New Roman" w:hAnsi="Times New Roman" w:cs="Times New Roman"/>
          <w:i/>
          <w:sz w:val="24"/>
          <w:szCs w:val="24"/>
        </w:rPr>
        <w:t>Рейтинг</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бизнес-интернет-банкинга.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lang w:val="en-US"/>
        </w:rPr>
        <w:t>URL</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hyperlink r:id="rId29" w:history="1">
        <w:r w:rsidRPr="00D337FA">
          <w:rPr>
            <w:rStyle w:val="af7"/>
            <w:rFonts w:ascii="Times New Roman" w:hAnsi="Times New Roman" w:cs="Times New Roman"/>
            <w:i/>
            <w:color w:val="auto"/>
            <w:sz w:val="24"/>
            <w:szCs w:val="24"/>
            <w:u w:val="none"/>
            <w:lang w:val="en-US"/>
          </w:rPr>
          <w:t>https</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www</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markswebb</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ru</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report</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business</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internet</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banking</w:t>
        </w:r>
        <w:r w:rsidRPr="00D337FA">
          <w:rPr>
            <w:rStyle w:val="af7"/>
            <w:rFonts w:ascii="Times New Roman" w:hAnsi="Times New Roman" w:cs="Times New Roman"/>
            <w:i/>
            <w:color w:val="auto"/>
            <w:sz w:val="24"/>
            <w:szCs w:val="24"/>
            <w:u w:val="none"/>
          </w:rPr>
          <w:t>-</w:t>
        </w:r>
        <w:r w:rsidRPr="00D337FA">
          <w:rPr>
            <w:rStyle w:val="af7"/>
            <w:rFonts w:ascii="Times New Roman" w:hAnsi="Times New Roman" w:cs="Times New Roman"/>
            <w:i/>
            <w:color w:val="auto"/>
            <w:sz w:val="24"/>
            <w:szCs w:val="24"/>
            <w:u w:val="none"/>
            <w:lang w:val="en-US"/>
          </w:rPr>
          <w:t>rank</w:t>
        </w:r>
        <w:r w:rsidRPr="00D337FA">
          <w:rPr>
            <w:rStyle w:val="af7"/>
            <w:rFonts w:ascii="Times New Roman" w:hAnsi="Times New Roman" w:cs="Times New Roman"/>
            <w:i/>
            <w:color w:val="auto"/>
            <w:sz w:val="24"/>
            <w:szCs w:val="24"/>
            <w:u w:val="none"/>
          </w:rPr>
          <w:t>-2024/?</w:t>
        </w:r>
        <w:r w:rsidRPr="00D337FA">
          <w:rPr>
            <w:rStyle w:val="af7"/>
            <w:rFonts w:ascii="Times New Roman" w:hAnsi="Times New Roman" w:cs="Times New Roman"/>
            <w:i/>
            <w:color w:val="auto"/>
            <w:sz w:val="24"/>
            <w:szCs w:val="24"/>
            <w:u w:val="none"/>
            <w:lang w:val="en-US"/>
          </w:rPr>
          <w:t>utm</w:t>
        </w:r>
        <w:r w:rsidRPr="00D337FA">
          <w:rPr>
            <w:rStyle w:val="af7"/>
            <w:rFonts w:ascii="Times New Roman" w:hAnsi="Times New Roman" w:cs="Times New Roman"/>
            <w:i/>
            <w:color w:val="auto"/>
            <w:sz w:val="24"/>
            <w:szCs w:val="24"/>
            <w:u w:val="none"/>
          </w:rPr>
          <w:t>_</w:t>
        </w:r>
        <w:r w:rsidRPr="00D337FA">
          <w:rPr>
            <w:rStyle w:val="af7"/>
            <w:rFonts w:ascii="Times New Roman" w:hAnsi="Times New Roman" w:cs="Times New Roman"/>
            <w:i/>
            <w:color w:val="auto"/>
            <w:sz w:val="24"/>
            <w:szCs w:val="24"/>
            <w:u w:val="none"/>
            <w:lang w:val="en-US"/>
          </w:rPr>
          <w:t>source</w:t>
        </w:r>
      </w:hyperlink>
    </w:p>
    <w:p w:rsidR="00E70CAD" w:rsidRPr="00D337FA" w:rsidRDefault="00E70CAD" w:rsidP="005A0605">
      <w:pPr>
        <w:pStyle w:val="affb"/>
        <w:numPr>
          <w:ilvl w:val="0"/>
          <w:numId w:val="13"/>
        </w:numPr>
        <w:spacing w:after="0" w:line="240" w:lineRule="auto"/>
        <w:ind w:left="0" w:firstLine="284"/>
        <w:jc w:val="both"/>
        <w:rPr>
          <w:rStyle w:val="af7"/>
          <w:rFonts w:ascii="Times New Roman" w:hAnsi="Times New Roman" w:cs="Times New Roman"/>
          <w:i/>
          <w:color w:val="auto"/>
          <w:sz w:val="24"/>
          <w:szCs w:val="24"/>
          <w:u w:val="none"/>
        </w:rPr>
      </w:pPr>
      <w:r w:rsidRPr="00D337FA">
        <w:rPr>
          <w:rStyle w:val="af7"/>
          <w:rFonts w:ascii="Times New Roman" w:hAnsi="Times New Roman" w:cs="Times New Roman"/>
          <w:i/>
          <w:color w:val="auto"/>
          <w:sz w:val="24"/>
          <w:szCs w:val="24"/>
          <w:u w:val="none"/>
        </w:rPr>
        <w:t>Смирнова</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И.Ю.</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Теоретические</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подходы</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к</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трактовке</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малого</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бизнеса</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и</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малого</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предпринимательства</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Экономика</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строительства</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и</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природопользования.</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2024.</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2</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(63).</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С.</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82-86.</w:t>
      </w:r>
    </w:p>
    <w:p w:rsidR="00E70CAD" w:rsidRPr="00D337FA" w:rsidRDefault="00E70CAD" w:rsidP="005A0605">
      <w:pPr>
        <w:pStyle w:val="affb"/>
        <w:numPr>
          <w:ilvl w:val="0"/>
          <w:numId w:val="13"/>
        </w:numPr>
        <w:spacing w:after="0" w:line="240" w:lineRule="auto"/>
        <w:ind w:left="0" w:firstLine="284"/>
        <w:jc w:val="both"/>
        <w:rPr>
          <w:rStyle w:val="af7"/>
          <w:rFonts w:ascii="Times New Roman" w:hAnsi="Times New Roman" w:cs="Times New Roman"/>
          <w:i/>
          <w:color w:val="auto"/>
          <w:sz w:val="24"/>
          <w:szCs w:val="24"/>
          <w:u w:val="none"/>
        </w:rPr>
      </w:pPr>
      <w:r w:rsidRPr="00D337FA">
        <w:rPr>
          <w:rStyle w:val="af7"/>
          <w:rFonts w:ascii="Times New Roman" w:hAnsi="Times New Roman" w:cs="Times New Roman"/>
          <w:i/>
          <w:color w:val="auto"/>
          <w:sz w:val="24"/>
          <w:szCs w:val="24"/>
          <w:u w:val="none"/>
        </w:rPr>
        <w:t>Столерю</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П.</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Банк</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4.0.</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Цифровая</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трансформация</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финансового</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сектора.</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М.:</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Альпина</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Паблишер,</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2020.</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356</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с.</w:t>
      </w:r>
    </w:p>
    <w:p w:rsidR="00E70CAD" w:rsidRPr="00D337FA" w:rsidRDefault="00E70CAD" w:rsidP="005A0605">
      <w:pPr>
        <w:pStyle w:val="affb"/>
        <w:numPr>
          <w:ilvl w:val="0"/>
          <w:numId w:val="13"/>
        </w:numPr>
        <w:spacing w:after="0" w:line="240" w:lineRule="auto"/>
        <w:ind w:left="0" w:firstLine="284"/>
        <w:jc w:val="both"/>
        <w:rPr>
          <w:rFonts w:ascii="Times New Roman" w:hAnsi="Times New Roman" w:cs="Times New Roman"/>
          <w:i/>
          <w:sz w:val="24"/>
          <w:szCs w:val="24"/>
        </w:rPr>
      </w:pPr>
      <w:r w:rsidRPr="00D337FA">
        <w:rPr>
          <w:rFonts w:ascii="Times New Roman" w:hAnsi="Times New Roman" w:cs="Times New Roman"/>
          <w:i/>
          <w:sz w:val="24"/>
          <w:szCs w:val="24"/>
        </w:rPr>
        <w:t>Стратегии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развития</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модернизации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деятельности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коммерческих</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банков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Е.Г.</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Азманова,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С.М.</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Богомолов,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Т.П.</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Варламова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др.].</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Москва: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Компания</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КноРус,</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2019.</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154</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с.</w:t>
      </w:r>
    </w:p>
    <w:p w:rsidR="00E70CAD" w:rsidRPr="00D337FA" w:rsidRDefault="00E70CAD" w:rsidP="005A0605">
      <w:pPr>
        <w:pStyle w:val="affb"/>
        <w:numPr>
          <w:ilvl w:val="0"/>
          <w:numId w:val="13"/>
        </w:numPr>
        <w:spacing w:after="0" w:line="240" w:lineRule="auto"/>
        <w:ind w:left="0" w:firstLine="284"/>
        <w:jc w:val="both"/>
        <w:rPr>
          <w:rStyle w:val="af7"/>
          <w:rFonts w:ascii="Times New Roman" w:hAnsi="Times New Roman" w:cs="Times New Roman"/>
          <w:i/>
          <w:color w:val="auto"/>
          <w:sz w:val="24"/>
          <w:szCs w:val="24"/>
          <w:u w:val="none"/>
        </w:rPr>
      </w:pPr>
      <w:r w:rsidRPr="00D337FA">
        <w:rPr>
          <w:rStyle w:val="af7"/>
          <w:rFonts w:ascii="Times New Roman" w:hAnsi="Times New Roman" w:cs="Times New Roman"/>
          <w:i/>
          <w:color w:val="auto"/>
          <w:sz w:val="24"/>
          <w:szCs w:val="24"/>
          <w:u w:val="none"/>
        </w:rPr>
        <w:t>Урумов</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Т.Р.</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Доступ</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малых</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и</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средних</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предприятий</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к</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финансированию:</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новые</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возможности</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Анализ</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и</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прогноз:</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журнал</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ИМЭМО</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РАН.</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2023.</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3.</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С.</w:t>
      </w:r>
      <w:r w:rsidR="006C680D" w:rsidRPr="00D337FA">
        <w:rPr>
          <w:rStyle w:val="af7"/>
          <w:rFonts w:ascii="Times New Roman" w:hAnsi="Times New Roman" w:cs="Times New Roman"/>
          <w:i/>
          <w:color w:val="auto"/>
          <w:sz w:val="24"/>
          <w:szCs w:val="24"/>
          <w:u w:val="none"/>
        </w:rPr>
        <w:t xml:space="preserve"> </w:t>
      </w:r>
      <w:r w:rsidRPr="00D337FA">
        <w:rPr>
          <w:rStyle w:val="af7"/>
          <w:rFonts w:ascii="Times New Roman" w:hAnsi="Times New Roman" w:cs="Times New Roman"/>
          <w:i/>
          <w:color w:val="auto"/>
          <w:sz w:val="24"/>
          <w:szCs w:val="24"/>
          <w:u w:val="none"/>
        </w:rPr>
        <w:t>44-50.</w:t>
      </w:r>
    </w:p>
    <w:p w:rsidR="00E70CAD" w:rsidRPr="00D337FA" w:rsidRDefault="00E70CAD" w:rsidP="005A0605">
      <w:pPr>
        <w:pStyle w:val="affb"/>
        <w:numPr>
          <w:ilvl w:val="0"/>
          <w:numId w:val="13"/>
        </w:numPr>
        <w:spacing w:after="0" w:line="240" w:lineRule="auto"/>
        <w:ind w:left="0" w:firstLine="284"/>
        <w:jc w:val="both"/>
        <w:rPr>
          <w:rFonts w:ascii="Times New Roman" w:hAnsi="Times New Roman" w:cs="Times New Roman"/>
          <w:i/>
          <w:sz w:val="24"/>
          <w:szCs w:val="24"/>
        </w:rPr>
      </w:pPr>
      <w:r w:rsidRPr="00D337FA">
        <w:rPr>
          <w:rFonts w:ascii="Times New Roman" w:hAnsi="Times New Roman" w:cs="Times New Roman"/>
          <w:i/>
          <w:sz w:val="24"/>
          <w:szCs w:val="24"/>
        </w:rPr>
        <w:t>Швейкин</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И.Е.,</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Коробов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Ю.</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Цифровые</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инвестиционные</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инструменты</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на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финансовом</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рынке</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(обзор)</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Экономика.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Бизнес.</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Банки.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2023.</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1(67).</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С.</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49-57.</w:t>
      </w:r>
    </w:p>
    <w:p w:rsidR="00E70CAD" w:rsidRPr="00D337FA" w:rsidRDefault="00E70CAD" w:rsidP="005A0605">
      <w:pPr>
        <w:pStyle w:val="affb"/>
        <w:numPr>
          <w:ilvl w:val="0"/>
          <w:numId w:val="13"/>
        </w:numPr>
        <w:spacing w:after="0" w:line="240" w:lineRule="auto"/>
        <w:ind w:left="0" w:firstLine="284"/>
        <w:jc w:val="both"/>
        <w:rPr>
          <w:rFonts w:ascii="Times New Roman" w:hAnsi="Times New Roman" w:cs="Times New Roman"/>
          <w:i/>
          <w:sz w:val="24"/>
          <w:szCs w:val="24"/>
        </w:rPr>
      </w:pPr>
      <w:r w:rsidRPr="00D337FA">
        <w:rPr>
          <w:rFonts w:ascii="Times New Roman" w:hAnsi="Times New Roman" w:cs="Times New Roman"/>
          <w:i/>
          <w:sz w:val="24"/>
          <w:szCs w:val="24"/>
        </w:rPr>
        <w:t>Швейкин</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И.Е.,</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Коробова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Г.</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Г.</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Особенности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доходов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рисков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инвестиционной</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деятельности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коммерческих</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банков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Экономика.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Бизнес.</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Банки.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2017</w:t>
      </w:r>
      <w:r w:rsidR="00AD701E"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1(18).</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С.</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86-93.</w:t>
      </w:r>
    </w:p>
    <w:p w:rsidR="00E70CAD" w:rsidRPr="00D337FA" w:rsidRDefault="00E70CAD" w:rsidP="005A0605">
      <w:pPr>
        <w:pStyle w:val="affb"/>
        <w:numPr>
          <w:ilvl w:val="0"/>
          <w:numId w:val="13"/>
        </w:numPr>
        <w:spacing w:after="0" w:line="240" w:lineRule="auto"/>
        <w:ind w:left="0" w:firstLine="284"/>
        <w:jc w:val="both"/>
        <w:rPr>
          <w:rFonts w:ascii="Times New Roman" w:hAnsi="Times New Roman" w:cs="Times New Roman"/>
          <w:i/>
          <w:sz w:val="24"/>
          <w:szCs w:val="24"/>
        </w:rPr>
      </w:pPr>
      <w:r w:rsidRPr="00D337FA">
        <w:rPr>
          <w:rFonts w:ascii="Times New Roman" w:hAnsi="Times New Roman" w:cs="Times New Roman"/>
          <w:i/>
          <w:sz w:val="24"/>
          <w:szCs w:val="24"/>
        </w:rPr>
        <w:t>Шевченко</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Д.А.,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Арку</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Х.К.</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Финансовые</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ограничения</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как</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барьер</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развития</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малого</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и</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среднего</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бизнеса</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в</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РФ</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Экономинфо.</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2021.</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Т.</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15</w:t>
      </w:r>
      <w:r w:rsidR="00AD701E"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4.</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С.</w:t>
      </w:r>
      <w:r w:rsidR="006C680D" w:rsidRPr="00D337FA">
        <w:rPr>
          <w:rFonts w:ascii="Times New Roman" w:hAnsi="Times New Roman" w:cs="Times New Roman"/>
          <w:i/>
          <w:sz w:val="24"/>
          <w:szCs w:val="24"/>
        </w:rPr>
        <w:t xml:space="preserve"> </w:t>
      </w:r>
      <w:r w:rsidRPr="00D337FA">
        <w:rPr>
          <w:rFonts w:ascii="Times New Roman" w:hAnsi="Times New Roman" w:cs="Times New Roman"/>
          <w:i/>
          <w:sz w:val="24"/>
          <w:szCs w:val="24"/>
        </w:rPr>
        <w:t>60</w:t>
      </w:r>
      <w:r w:rsidR="00AD701E" w:rsidRPr="00D337FA">
        <w:rPr>
          <w:rFonts w:ascii="Times New Roman" w:hAnsi="Times New Roman" w:cs="Times New Roman"/>
          <w:i/>
          <w:sz w:val="24"/>
          <w:szCs w:val="24"/>
        </w:rPr>
        <w:t>-</w:t>
      </w:r>
      <w:r w:rsidRPr="00D337FA">
        <w:rPr>
          <w:rFonts w:ascii="Times New Roman" w:hAnsi="Times New Roman" w:cs="Times New Roman"/>
          <w:i/>
          <w:sz w:val="24"/>
          <w:szCs w:val="24"/>
        </w:rPr>
        <w:t>64.</w:t>
      </w:r>
    </w:p>
    <w:p w:rsidR="00E70CAD" w:rsidRPr="00D337FA" w:rsidRDefault="00E70CAD" w:rsidP="00E70CAD">
      <w:pPr>
        <w:ind w:firstLine="284"/>
        <w:rPr>
          <w:i/>
          <w:szCs w:val="24"/>
          <w:lang w:val="en-US"/>
        </w:rPr>
      </w:pPr>
      <w:r w:rsidRPr="00D337FA">
        <w:rPr>
          <w:i/>
          <w:szCs w:val="24"/>
        </w:rPr>
        <w:t>19.Экосистемность</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нишевые</w:t>
      </w:r>
      <w:r w:rsidR="006C680D" w:rsidRPr="00D337FA">
        <w:rPr>
          <w:i/>
          <w:szCs w:val="24"/>
        </w:rPr>
        <w:t xml:space="preserve"> </w:t>
      </w:r>
      <w:r w:rsidRPr="00D337FA">
        <w:rPr>
          <w:i/>
          <w:szCs w:val="24"/>
        </w:rPr>
        <w:t>задачи.</w:t>
      </w:r>
      <w:r w:rsidR="006C680D" w:rsidRPr="00D337FA">
        <w:rPr>
          <w:i/>
          <w:szCs w:val="24"/>
        </w:rPr>
        <w:t xml:space="preserve"> </w:t>
      </w:r>
      <w:r w:rsidRPr="00D337FA">
        <w:rPr>
          <w:i/>
          <w:szCs w:val="24"/>
        </w:rPr>
        <w:t>Как</w:t>
      </w:r>
      <w:r w:rsidR="006C680D" w:rsidRPr="00D337FA">
        <w:rPr>
          <w:i/>
          <w:szCs w:val="24"/>
        </w:rPr>
        <w:t xml:space="preserve"> </w:t>
      </w:r>
      <w:r w:rsidRPr="00D337FA">
        <w:rPr>
          <w:i/>
          <w:szCs w:val="24"/>
        </w:rPr>
        <w:t>удержать</w:t>
      </w:r>
      <w:r w:rsidR="006C680D" w:rsidRPr="00D337FA">
        <w:rPr>
          <w:i/>
          <w:szCs w:val="24"/>
        </w:rPr>
        <w:t xml:space="preserve"> </w:t>
      </w:r>
      <w:r w:rsidRPr="00D337FA">
        <w:rPr>
          <w:i/>
          <w:szCs w:val="24"/>
        </w:rPr>
        <w:t>малый</w:t>
      </w:r>
      <w:r w:rsidR="006C680D" w:rsidRPr="00D337FA">
        <w:rPr>
          <w:i/>
          <w:szCs w:val="24"/>
        </w:rPr>
        <w:t xml:space="preserve"> </w:t>
      </w:r>
      <w:r w:rsidRPr="00D337FA">
        <w:rPr>
          <w:i/>
          <w:szCs w:val="24"/>
        </w:rPr>
        <w:t>бизнес</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интернет-банке.</w:t>
      </w:r>
      <w:r w:rsidR="006C680D" w:rsidRPr="00D337FA">
        <w:rPr>
          <w:i/>
          <w:szCs w:val="24"/>
        </w:rPr>
        <w:t xml:space="preserve"> </w:t>
      </w:r>
      <w:r w:rsidRPr="00D337FA">
        <w:rPr>
          <w:i/>
          <w:szCs w:val="24"/>
          <w:lang w:val="en-US"/>
        </w:rPr>
        <w:t>URL:</w:t>
      </w:r>
      <w:r w:rsidR="006C680D" w:rsidRPr="00D337FA">
        <w:rPr>
          <w:i/>
          <w:szCs w:val="24"/>
          <w:lang w:val="en-US"/>
        </w:rPr>
        <w:t xml:space="preserve"> </w:t>
      </w:r>
      <w:r w:rsidRPr="00D337FA">
        <w:rPr>
          <w:i/>
          <w:szCs w:val="24"/>
          <w:lang w:val="en-US"/>
        </w:rPr>
        <w:t>https://www.markswebb.ru/blog/internet-banks-best-practices-2021/</w:t>
      </w:r>
    </w:p>
    <w:p w:rsidR="00E70CAD" w:rsidRPr="00D337FA" w:rsidRDefault="00E70CAD" w:rsidP="00E70CAD">
      <w:pPr>
        <w:ind w:firstLine="284"/>
        <w:rPr>
          <w:i/>
          <w:szCs w:val="24"/>
          <w:lang w:val="en-US"/>
        </w:rPr>
      </w:pPr>
      <w:r w:rsidRPr="00D337FA">
        <w:rPr>
          <w:i/>
          <w:szCs w:val="24"/>
          <w:lang w:val="en-US"/>
        </w:rPr>
        <w:t>20.</w:t>
      </w:r>
      <w:r w:rsidR="006C680D" w:rsidRPr="00D337FA">
        <w:rPr>
          <w:i/>
          <w:szCs w:val="24"/>
          <w:lang w:val="en-US"/>
        </w:rPr>
        <w:t xml:space="preserve"> </w:t>
      </w:r>
      <w:r w:rsidRPr="00D337FA">
        <w:rPr>
          <w:i/>
          <w:szCs w:val="24"/>
          <w:lang w:val="en-US"/>
        </w:rPr>
        <w:t>Akerlof</w:t>
      </w:r>
      <w:r w:rsidR="006C680D" w:rsidRPr="00D337FA">
        <w:rPr>
          <w:i/>
          <w:szCs w:val="24"/>
          <w:lang w:val="en-US"/>
        </w:rPr>
        <w:t xml:space="preserve"> </w:t>
      </w:r>
      <w:r w:rsidRPr="00D337FA">
        <w:rPr>
          <w:i/>
          <w:szCs w:val="24"/>
          <w:lang w:val="en-US"/>
        </w:rPr>
        <w:t>G.</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"Lemons":</w:t>
      </w:r>
      <w:r w:rsidR="006C680D" w:rsidRPr="00D337FA">
        <w:rPr>
          <w:i/>
          <w:szCs w:val="24"/>
          <w:lang w:val="en-US"/>
        </w:rPr>
        <w:t xml:space="preserve"> </w:t>
      </w:r>
      <w:r w:rsidRPr="00D337FA">
        <w:rPr>
          <w:i/>
          <w:szCs w:val="24"/>
          <w:lang w:val="en-US"/>
        </w:rPr>
        <w:t>Quality</w:t>
      </w:r>
      <w:r w:rsidR="006C680D" w:rsidRPr="00D337FA">
        <w:rPr>
          <w:i/>
          <w:szCs w:val="24"/>
          <w:lang w:val="en-US"/>
        </w:rPr>
        <w:t xml:space="preserve"> </w:t>
      </w:r>
      <w:r w:rsidRPr="00D337FA">
        <w:rPr>
          <w:i/>
          <w:szCs w:val="24"/>
          <w:lang w:val="en-US"/>
        </w:rPr>
        <w:t>Uncertainty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00133405" w:rsidRPr="00D337FA">
        <w:rPr>
          <w:i/>
          <w:szCs w:val="24"/>
          <w:lang w:val="en-US"/>
        </w:rPr>
        <w:t>Mechanism</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Quarterly</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Economics.</w:t>
      </w:r>
      <w:r w:rsidR="006C680D" w:rsidRPr="00D337FA">
        <w:rPr>
          <w:i/>
          <w:szCs w:val="24"/>
          <w:lang w:val="en-US"/>
        </w:rPr>
        <w:t xml:space="preserve"> </w:t>
      </w:r>
      <w:r w:rsidRPr="00D337FA">
        <w:rPr>
          <w:i/>
          <w:szCs w:val="24"/>
          <w:lang w:val="en-US"/>
        </w:rPr>
        <w:t>1970.</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84</w:t>
      </w:r>
      <w:r w:rsidR="00133405" w:rsidRPr="00D337FA">
        <w:rPr>
          <w:i/>
          <w:szCs w:val="24"/>
          <w:lang w:val="en-US"/>
        </w:rPr>
        <w:t>.</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488</w:t>
      </w:r>
      <w:r w:rsidR="00AD701E" w:rsidRPr="00D337FA">
        <w:rPr>
          <w:i/>
          <w:szCs w:val="24"/>
          <w:lang w:val="en-US"/>
        </w:rPr>
        <w:t>-</w:t>
      </w:r>
      <w:r w:rsidRPr="00D337FA">
        <w:rPr>
          <w:i/>
          <w:szCs w:val="24"/>
          <w:lang w:val="en-US"/>
        </w:rPr>
        <w:t>500.</w:t>
      </w:r>
    </w:p>
    <w:p w:rsidR="00E70CAD" w:rsidRPr="00D337FA" w:rsidRDefault="00E70CAD" w:rsidP="00E70CAD">
      <w:pPr>
        <w:ind w:firstLine="284"/>
        <w:rPr>
          <w:i/>
          <w:szCs w:val="24"/>
          <w:lang w:val="en-US"/>
        </w:rPr>
      </w:pPr>
      <w:r w:rsidRPr="00D337FA">
        <w:rPr>
          <w:i/>
          <w:szCs w:val="24"/>
          <w:lang w:val="en-US"/>
        </w:rPr>
        <w:t>21.</w:t>
      </w:r>
      <w:r w:rsidR="006C680D" w:rsidRPr="00D337FA">
        <w:rPr>
          <w:i/>
          <w:szCs w:val="24"/>
          <w:lang w:val="en-US"/>
        </w:rPr>
        <w:t xml:space="preserve"> </w:t>
      </w:r>
      <w:r w:rsidRPr="00D337FA">
        <w:rPr>
          <w:i/>
          <w:szCs w:val="24"/>
          <w:lang w:val="en-US"/>
        </w:rPr>
        <w:t>Alt</w:t>
      </w:r>
      <w:r w:rsidR="006C680D" w:rsidRPr="00D337FA">
        <w:rPr>
          <w:i/>
          <w:szCs w:val="24"/>
          <w:lang w:val="en-US"/>
        </w:rPr>
        <w:t xml:space="preserve"> </w:t>
      </w:r>
      <w:r w:rsidRPr="00D337FA">
        <w:rPr>
          <w:i/>
          <w:szCs w:val="24"/>
          <w:lang w:val="en-US"/>
        </w:rPr>
        <w:t>R.</w:t>
      </w:r>
      <w:r w:rsidR="00133405" w:rsidRPr="00D337FA">
        <w:rPr>
          <w:i/>
          <w:szCs w:val="24"/>
          <w:lang w:val="en-US"/>
        </w:rPr>
        <w:t>,</w:t>
      </w:r>
      <w:r w:rsidR="006C680D" w:rsidRPr="00D337FA">
        <w:rPr>
          <w:i/>
          <w:szCs w:val="24"/>
          <w:lang w:val="en-US"/>
        </w:rPr>
        <w:t xml:space="preserve"> </w:t>
      </w:r>
      <w:r w:rsidR="00133405" w:rsidRPr="00D337FA">
        <w:rPr>
          <w:i/>
          <w:szCs w:val="24"/>
          <w:lang w:val="en-US"/>
        </w:rPr>
        <w:t>Puschmann</w:t>
      </w:r>
      <w:r w:rsidR="006C680D" w:rsidRPr="00D337FA">
        <w:rPr>
          <w:i/>
          <w:szCs w:val="24"/>
          <w:lang w:val="en-US"/>
        </w:rPr>
        <w:t xml:space="preserve"> </w:t>
      </w:r>
      <w:r w:rsidR="00133405" w:rsidRPr="00D337FA">
        <w:rPr>
          <w:i/>
          <w:szCs w:val="24"/>
          <w:lang w:val="en-US"/>
        </w:rPr>
        <w:t>T.</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rise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digital</w:t>
      </w:r>
      <w:r w:rsidR="006C680D" w:rsidRPr="00D337FA">
        <w:rPr>
          <w:i/>
          <w:szCs w:val="24"/>
          <w:lang w:val="en-US"/>
        </w:rPr>
        <w:t xml:space="preserve"> </w:t>
      </w:r>
      <w:r w:rsidRPr="00D337FA">
        <w:rPr>
          <w:i/>
          <w:szCs w:val="24"/>
          <w:lang w:val="en-US"/>
        </w:rPr>
        <w:t>banking</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changing</w:t>
      </w:r>
      <w:r w:rsidR="006C680D" w:rsidRPr="00D337FA">
        <w:rPr>
          <w:i/>
          <w:szCs w:val="24"/>
          <w:lang w:val="en-US"/>
        </w:rPr>
        <w:t xml:space="preserve"> </w:t>
      </w:r>
      <w:r w:rsidRPr="00D337FA">
        <w:rPr>
          <w:i/>
          <w:szCs w:val="24"/>
          <w:lang w:val="en-US"/>
        </w:rPr>
        <w:t>l</w:t>
      </w:r>
      <w:r w:rsidR="00133405" w:rsidRPr="00D337FA">
        <w:rPr>
          <w:i/>
          <w:szCs w:val="24"/>
          <w:lang w:val="en-US"/>
        </w:rPr>
        <w:t>andscape</w:t>
      </w:r>
      <w:r w:rsidR="006C680D" w:rsidRPr="00D337FA">
        <w:rPr>
          <w:i/>
          <w:szCs w:val="24"/>
          <w:lang w:val="en-US"/>
        </w:rPr>
        <w:t xml:space="preserve"> </w:t>
      </w:r>
      <w:r w:rsidR="00133405" w:rsidRPr="00D337FA">
        <w:rPr>
          <w:i/>
          <w:szCs w:val="24"/>
          <w:lang w:val="en-US"/>
        </w:rPr>
        <w:t>of</w:t>
      </w:r>
      <w:r w:rsidR="006C680D" w:rsidRPr="00D337FA">
        <w:rPr>
          <w:i/>
          <w:szCs w:val="24"/>
          <w:lang w:val="en-US"/>
        </w:rPr>
        <w:t xml:space="preserve"> </w:t>
      </w:r>
      <w:r w:rsidR="00133405" w:rsidRPr="00D337FA">
        <w:rPr>
          <w:i/>
          <w:szCs w:val="24"/>
          <w:lang w:val="en-US"/>
        </w:rPr>
        <w:t>financial</w:t>
      </w:r>
      <w:r w:rsidR="006C680D" w:rsidRPr="00D337FA">
        <w:rPr>
          <w:i/>
          <w:szCs w:val="24"/>
          <w:lang w:val="en-US"/>
        </w:rPr>
        <w:t xml:space="preserve"> </w:t>
      </w:r>
      <w:r w:rsidR="00133405" w:rsidRPr="00D337FA">
        <w:rPr>
          <w:i/>
          <w:szCs w:val="24"/>
          <w:lang w:val="en-US"/>
        </w:rPr>
        <w:t>services</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Electronic</w:t>
      </w:r>
      <w:r w:rsidR="006C680D" w:rsidRPr="00D337FA">
        <w:rPr>
          <w:i/>
          <w:szCs w:val="24"/>
          <w:lang w:val="en-US"/>
        </w:rPr>
        <w:t xml:space="preserve"> </w:t>
      </w:r>
      <w:r w:rsidRPr="00D337FA">
        <w:rPr>
          <w:i/>
          <w:szCs w:val="24"/>
          <w:lang w:val="en-US"/>
        </w:rPr>
        <w:t>Markets.</w:t>
      </w:r>
      <w:r w:rsidR="006C680D" w:rsidRPr="00D337FA">
        <w:rPr>
          <w:i/>
          <w:szCs w:val="24"/>
          <w:lang w:val="en-US"/>
        </w:rPr>
        <w:t xml:space="preserve"> </w:t>
      </w:r>
      <w:r w:rsidRPr="00D337FA">
        <w:rPr>
          <w:i/>
          <w:szCs w:val="24"/>
          <w:lang w:val="en-US"/>
        </w:rPr>
        <w:t>2022.</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32</w:t>
      </w:r>
      <w:r w:rsidR="00133405" w:rsidRPr="00D337FA">
        <w:rPr>
          <w:i/>
          <w:szCs w:val="24"/>
          <w:lang w:val="en-US"/>
        </w:rPr>
        <w:t>.</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1369</w:t>
      </w:r>
      <w:r w:rsidR="00AD701E" w:rsidRPr="00D337FA">
        <w:rPr>
          <w:i/>
          <w:szCs w:val="24"/>
          <w:lang w:val="en-US"/>
        </w:rPr>
        <w:t>-</w:t>
      </w:r>
      <w:r w:rsidRPr="00D337FA">
        <w:rPr>
          <w:i/>
          <w:szCs w:val="24"/>
          <w:lang w:val="en-US"/>
        </w:rPr>
        <w:t>1383.</w:t>
      </w:r>
    </w:p>
    <w:p w:rsidR="00E70CAD" w:rsidRPr="00D337FA" w:rsidRDefault="00E70CAD" w:rsidP="00E70CAD">
      <w:pPr>
        <w:ind w:firstLine="284"/>
        <w:rPr>
          <w:i/>
          <w:szCs w:val="24"/>
          <w:lang w:val="en-US"/>
        </w:rPr>
      </w:pPr>
      <w:r w:rsidRPr="00D337FA">
        <w:rPr>
          <w:i/>
          <w:szCs w:val="24"/>
          <w:lang w:val="en-US"/>
        </w:rPr>
        <w:t>22.</w:t>
      </w:r>
      <w:r w:rsidR="006C680D" w:rsidRPr="00D337FA">
        <w:rPr>
          <w:i/>
          <w:szCs w:val="24"/>
          <w:lang w:val="en-US"/>
        </w:rPr>
        <w:t xml:space="preserve"> </w:t>
      </w:r>
      <w:r w:rsidRPr="00D337FA">
        <w:rPr>
          <w:i/>
          <w:szCs w:val="24"/>
          <w:lang w:val="en-US"/>
        </w:rPr>
        <w:t>Berger</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N.</w:t>
      </w:r>
      <w:r w:rsidR="00133405" w:rsidRPr="00D337FA">
        <w:rPr>
          <w:i/>
          <w:szCs w:val="24"/>
          <w:lang w:val="en-US"/>
        </w:rPr>
        <w:t>,</w:t>
      </w:r>
      <w:r w:rsidR="006C680D" w:rsidRPr="00D337FA">
        <w:rPr>
          <w:i/>
          <w:szCs w:val="24"/>
          <w:lang w:val="en-US"/>
        </w:rPr>
        <w:t xml:space="preserve"> </w:t>
      </w:r>
      <w:r w:rsidR="00133405" w:rsidRPr="00D337FA">
        <w:rPr>
          <w:i/>
          <w:szCs w:val="24"/>
          <w:lang w:val="en-US"/>
        </w:rPr>
        <w:t>Udell</w:t>
      </w:r>
      <w:r w:rsidR="006C680D" w:rsidRPr="00D337FA">
        <w:rPr>
          <w:i/>
          <w:szCs w:val="24"/>
          <w:lang w:val="en-US"/>
        </w:rPr>
        <w:t xml:space="preserve"> </w:t>
      </w:r>
      <w:r w:rsidR="00133405" w:rsidRPr="00D337FA">
        <w:rPr>
          <w:i/>
          <w:szCs w:val="24"/>
          <w:lang w:val="en-US"/>
        </w:rPr>
        <w:t>G.</w:t>
      </w:r>
      <w:r w:rsidR="006C680D" w:rsidRPr="00D337FA">
        <w:rPr>
          <w:i/>
          <w:szCs w:val="24"/>
          <w:lang w:val="en-US"/>
        </w:rPr>
        <w:t xml:space="preserve"> </w:t>
      </w:r>
      <w:r w:rsidR="00133405" w:rsidRPr="00D337FA">
        <w:rPr>
          <w:i/>
          <w:szCs w:val="24"/>
          <w:lang w:val="en-US"/>
        </w:rPr>
        <w:t>F.</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more</w:t>
      </w:r>
      <w:r w:rsidR="006C680D" w:rsidRPr="00D337FA">
        <w:rPr>
          <w:i/>
          <w:szCs w:val="24"/>
          <w:lang w:val="en-US"/>
        </w:rPr>
        <w:t xml:space="preserve"> </w:t>
      </w:r>
      <w:r w:rsidRPr="00D337FA">
        <w:rPr>
          <w:i/>
          <w:szCs w:val="24"/>
          <w:lang w:val="en-US"/>
        </w:rPr>
        <w:t>complete</w:t>
      </w:r>
      <w:r w:rsidR="006C680D" w:rsidRPr="00D337FA">
        <w:rPr>
          <w:i/>
          <w:szCs w:val="24"/>
          <w:lang w:val="en-US"/>
        </w:rPr>
        <w:t xml:space="preserve"> </w:t>
      </w:r>
      <w:r w:rsidRPr="00D337FA">
        <w:rPr>
          <w:i/>
          <w:szCs w:val="24"/>
          <w:lang w:val="en-US"/>
        </w:rPr>
        <w:t>conceptual</w:t>
      </w:r>
      <w:r w:rsidR="006C680D" w:rsidRPr="00D337FA">
        <w:rPr>
          <w:i/>
          <w:szCs w:val="24"/>
          <w:lang w:val="en-US"/>
        </w:rPr>
        <w:t xml:space="preserve"> </w:t>
      </w:r>
      <w:r w:rsidRPr="00D337FA">
        <w:rPr>
          <w:i/>
          <w:szCs w:val="24"/>
          <w:lang w:val="en-US"/>
        </w:rPr>
        <w:t>framework</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SME</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Banking</w:t>
      </w:r>
      <w:r w:rsidR="006C680D" w:rsidRPr="00D337FA">
        <w:rPr>
          <w:i/>
          <w:szCs w:val="24"/>
          <w:lang w:val="en-US"/>
        </w:rPr>
        <w:t xml:space="preserve"> </w:t>
      </w:r>
      <w:r w:rsidRPr="00D337FA">
        <w:rPr>
          <w:i/>
          <w:szCs w:val="24"/>
          <w:lang w:val="en-US"/>
        </w:rPr>
        <w:t>&amp;</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2006.</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30</w:t>
      </w:r>
      <w:r w:rsidR="00AD701E"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11.</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2945–2966.</w:t>
      </w:r>
    </w:p>
    <w:p w:rsidR="00E70CAD" w:rsidRPr="00D337FA" w:rsidRDefault="00E70CAD" w:rsidP="00E70CAD">
      <w:pPr>
        <w:ind w:firstLine="284"/>
        <w:rPr>
          <w:i/>
          <w:szCs w:val="24"/>
          <w:lang w:val="en-US"/>
        </w:rPr>
      </w:pPr>
      <w:r w:rsidRPr="00D337FA">
        <w:rPr>
          <w:i/>
          <w:szCs w:val="24"/>
          <w:lang w:val="en-US"/>
        </w:rPr>
        <w:t>23.</w:t>
      </w:r>
      <w:r w:rsidR="006C680D" w:rsidRPr="00D337FA">
        <w:rPr>
          <w:i/>
          <w:szCs w:val="24"/>
          <w:lang w:val="en-US"/>
        </w:rPr>
        <w:t xml:space="preserve"> </w:t>
      </w:r>
      <w:r w:rsidRPr="00D337FA">
        <w:rPr>
          <w:i/>
          <w:szCs w:val="24"/>
          <w:lang w:val="en-US"/>
        </w:rPr>
        <w:t>Boot</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W.</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Relationship</w:t>
      </w:r>
      <w:r w:rsidR="006C680D" w:rsidRPr="00D337FA">
        <w:rPr>
          <w:i/>
          <w:szCs w:val="24"/>
          <w:lang w:val="en-US"/>
        </w:rPr>
        <w:t xml:space="preserve"> </w:t>
      </w:r>
      <w:r w:rsidRPr="00D337FA">
        <w:rPr>
          <w:i/>
          <w:szCs w:val="24"/>
          <w:lang w:val="en-US"/>
        </w:rPr>
        <w:t>Banking:</w:t>
      </w:r>
      <w:r w:rsidR="006C680D" w:rsidRPr="00D337FA">
        <w:rPr>
          <w:i/>
          <w:szCs w:val="24"/>
          <w:lang w:val="en-US"/>
        </w:rPr>
        <w:t xml:space="preserve"> </w:t>
      </w:r>
      <w:r w:rsidRPr="00D337FA">
        <w:rPr>
          <w:i/>
          <w:szCs w:val="24"/>
          <w:lang w:val="en-US"/>
        </w:rPr>
        <w:t>What</w:t>
      </w:r>
      <w:r w:rsidR="006C680D" w:rsidRPr="00D337FA">
        <w:rPr>
          <w:i/>
          <w:szCs w:val="24"/>
          <w:lang w:val="en-US"/>
        </w:rPr>
        <w:t xml:space="preserve"> </w:t>
      </w:r>
      <w:r w:rsidRPr="00D337FA">
        <w:rPr>
          <w:i/>
          <w:szCs w:val="24"/>
          <w:lang w:val="en-US"/>
        </w:rPr>
        <w:t>Do</w:t>
      </w:r>
      <w:r w:rsidR="006C680D" w:rsidRPr="00D337FA">
        <w:rPr>
          <w:i/>
          <w:szCs w:val="24"/>
          <w:lang w:val="en-US"/>
        </w:rPr>
        <w:t xml:space="preserve"> </w:t>
      </w:r>
      <w:r w:rsidRPr="00D337FA">
        <w:rPr>
          <w:i/>
          <w:szCs w:val="24"/>
          <w:lang w:val="en-US"/>
        </w:rPr>
        <w:t>We</w:t>
      </w:r>
      <w:r w:rsidR="006C680D" w:rsidRPr="00D337FA">
        <w:rPr>
          <w:i/>
          <w:szCs w:val="24"/>
          <w:lang w:val="en-US"/>
        </w:rPr>
        <w:t xml:space="preserve"> </w:t>
      </w:r>
      <w:r w:rsidRPr="00D337FA">
        <w:rPr>
          <w:i/>
          <w:szCs w:val="24"/>
          <w:lang w:val="en-US"/>
        </w:rPr>
        <w:t>Know?</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Intermediation.</w:t>
      </w:r>
      <w:r w:rsidR="006C680D" w:rsidRPr="00D337FA">
        <w:rPr>
          <w:i/>
          <w:szCs w:val="24"/>
          <w:lang w:val="en-US"/>
        </w:rPr>
        <w:t xml:space="preserve">  </w:t>
      </w:r>
      <w:r w:rsidRPr="00D337FA">
        <w:rPr>
          <w:i/>
          <w:szCs w:val="24"/>
          <w:lang w:val="en-US"/>
        </w:rPr>
        <w:t>2000.</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9</w:t>
      </w:r>
      <w:r w:rsidR="00AD701E"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7–25.</w:t>
      </w:r>
    </w:p>
    <w:p w:rsidR="00133405" w:rsidRPr="00D337FA" w:rsidRDefault="00E70CAD" w:rsidP="00AD701E">
      <w:pPr>
        <w:ind w:firstLine="284"/>
        <w:rPr>
          <w:i/>
          <w:szCs w:val="24"/>
          <w:lang w:val="en-US"/>
        </w:rPr>
      </w:pPr>
      <w:r w:rsidRPr="00D337FA">
        <w:rPr>
          <w:i/>
          <w:szCs w:val="24"/>
          <w:lang w:val="en-US"/>
        </w:rPr>
        <w:t>24.</w:t>
      </w:r>
      <w:r w:rsidR="006C680D" w:rsidRPr="00D337FA">
        <w:rPr>
          <w:i/>
          <w:szCs w:val="24"/>
          <w:lang w:val="en-US"/>
        </w:rPr>
        <w:t xml:space="preserve"> </w:t>
      </w:r>
      <w:r w:rsidRPr="00D337FA">
        <w:rPr>
          <w:i/>
          <w:szCs w:val="24"/>
          <w:lang w:val="en-US"/>
        </w:rPr>
        <w:t>Stiglitz</w:t>
      </w:r>
      <w:r w:rsidR="006C680D" w:rsidRPr="00D337FA">
        <w:rPr>
          <w:i/>
          <w:szCs w:val="24"/>
          <w:lang w:val="en-US"/>
        </w:rPr>
        <w:t xml:space="preserve"> </w:t>
      </w:r>
      <w:r w:rsidRPr="00D337FA">
        <w:rPr>
          <w:i/>
          <w:szCs w:val="24"/>
          <w:lang w:val="en-US"/>
        </w:rPr>
        <w:t>J.</w:t>
      </w:r>
      <w:r w:rsidR="006C680D" w:rsidRPr="00D337FA">
        <w:rPr>
          <w:i/>
          <w:szCs w:val="24"/>
          <w:lang w:val="en-US"/>
        </w:rPr>
        <w:t xml:space="preserve"> </w:t>
      </w:r>
      <w:r w:rsidRPr="00D337FA">
        <w:rPr>
          <w:i/>
          <w:szCs w:val="24"/>
          <w:lang w:val="en-US"/>
        </w:rPr>
        <w:t>E.</w:t>
      </w:r>
      <w:r w:rsidR="00133405" w:rsidRPr="00D337FA">
        <w:rPr>
          <w:i/>
          <w:szCs w:val="24"/>
          <w:lang w:val="en-US"/>
        </w:rPr>
        <w:t>,</w:t>
      </w:r>
      <w:r w:rsidR="006C680D" w:rsidRPr="00D337FA">
        <w:rPr>
          <w:i/>
          <w:szCs w:val="24"/>
          <w:lang w:val="en-US"/>
        </w:rPr>
        <w:t xml:space="preserve"> </w:t>
      </w:r>
      <w:r w:rsidR="00133405" w:rsidRPr="00D337FA">
        <w:rPr>
          <w:i/>
          <w:szCs w:val="24"/>
          <w:lang w:val="en-US"/>
        </w:rPr>
        <w:t>Weiss</w:t>
      </w:r>
      <w:r w:rsidR="006C680D" w:rsidRPr="00D337FA">
        <w:rPr>
          <w:i/>
          <w:szCs w:val="24"/>
          <w:lang w:val="en-US"/>
        </w:rPr>
        <w:t xml:space="preserve"> </w:t>
      </w:r>
      <w:r w:rsidR="00133405" w:rsidRPr="00D337FA">
        <w:rPr>
          <w:i/>
          <w:szCs w:val="24"/>
          <w:lang w:val="en-US"/>
        </w:rPr>
        <w:t>A.</w:t>
      </w:r>
      <w:r w:rsidR="006C680D" w:rsidRPr="00D337FA">
        <w:rPr>
          <w:i/>
          <w:szCs w:val="24"/>
          <w:lang w:val="en-US"/>
        </w:rPr>
        <w:t xml:space="preserve"> </w:t>
      </w:r>
      <w:r w:rsidRPr="00D337FA">
        <w:rPr>
          <w:i/>
          <w:szCs w:val="24"/>
          <w:lang w:val="en-US"/>
        </w:rPr>
        <w:t>Credit</w:t>
      </w:r>
      <w:r w:rsidR="006C680D" w:rsidRPr="00D337FA">
        <w:rPr>
          <w:i/>
          <w:szCs w:val="24"/>
          <w:lang w:val="en-US"/>
        </w:rPr>
        <w:t xml:space="preserve"> </w:t>
      </w:r>
      <w:r w:rsidRPr="00D337FA">
        <w:rPr>
          <w:i/>
          <w:szCs w:val="24"/>
          <w:lang w:val="en-US"/>
        </w:rPr>
        <w:t>Rationing</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Markets</w:t>
      </w:r>
      <w:r w:rsidR="006C680D" w:rsidRPr="00D337FA">
        <w:rPr>
          <w:i/>
          <w:szCs w:val="24"/>
          <w:lang w:val="en-US"/>
        </w:rPr>
        <w:t xml:space="preserve"> </w:t>
      </w:r>
      <w:r w:rsidRPr="00D337FA">
        <w:rPr>
          <w:i/>
          <w:szCs w:val="24"/>
          <w:lang w:val="en-US"/>
        </w:rPr>
        <w:t>with</w:t>
      </w:r>
      <w:r w:rsidR="006C680D" w:rsidRPr="00D337FA">
        <w:rPr>
          <w:i/>
          <w:szCs w:val="24"/>
          <w:lang w:val="en-US"/>
        </w:rPr>
        <w:t xml:space="preserve"> </w:t>
      </w:r>
      <w:r w:rsidRPr="00D337FA">
        <w:rPr>
          <w:i/>
          <w:szCs w:val="24"/>
          <w:lang w:val="en-US"/>
        </w:rPr>
        <w:t>Imperfect</w:t>
      </w:r>
      <w:r w:rsidR="006C680D" w:rsidRPr="00D337FA">
        <w:rPr>
          <w:i/>
          <w:szCs w:val="24"/>
          <w:lang w:val="en-US"/>
        </w:rPr>
        <w:t xml:space="preserve"> </w:t>
      </w:r>
      <w:r w:rsidRPr="00D337FA">
        <w:rPr>
          <w:i/>
          <w:szCs w:val="24"/>
          <w:lang w:val="en-US"/>
        </w:rPr>
        <w:t>Information</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American</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Review.</w:t>
      </w:r>
      <w:r w:rsidR="006C680D" w:rsidRPr="00D337FA">
        <w:rPr>
          <w:i/>
          <w:szCs w:val="24"/>
          <w:lang w:val="en-US"/>
        </w:rPr>
        <w:t xml:space="preserve"> </w:t>
      </w:r>
      <w:r w:rsidRPr="00D337FA">
        <w:rPr>
          <w:i/>
          <w:szCs w:val="24"/>
          <w:lang w:val="en-US"/>
        </w:rPr>
        <w:t>1981.</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71</w:t>
      </w:r>
      <w:r w:rsidR="00AD701E" w:rsidRPr="00D337FA">
        <w:rPr>
          <w:i/>
          <w:szCs w:val="24"/>
          <w:lang w:val="en-US"/>
        </w:rPr>
        <w:t xml:space="preserve">. </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393</w:t>
      </w:r>
      <w:r w:rsidR="00AD701E" w:rsidRPr="00D337FA">
        <w:rPr>
          <w:i/>
          <w:szCs w:val="24"/>
          <w:lang w:val="en-US"/>
        </w:rPr>
        <w:t>-</w:t>
      </w:r>
      <w:r w:rsidRPr="00D337FA">
        <w:rPr>
          <w:i/>
          <w:szCs w:val="24"/>
          <w:lang w:val="en-US"/>
        </w:rPr>
        <w:t>410.</w:t>
      </w:r>
      <w:r w:rsidR="006C680D" w:rsidRPr="00D337FA">
        <w:rPr>
          <w:lang w:val="en-US"/>
        </w:rPr>
        <w:t xml:space="preserve"> </w:t>
      </w:r>
    </w:p>
    <w:p w:rsidR="00133405" w:rsidRPr="00D337FA" w:rsidRDefault="00133405" w:rsidP="00133405">
      <w:pPr>
        <w:ind w:firstLine="284"/>
        <w:rPr>
          <w:lang w:val="en-US"/>
        </w:rPr>
      </w:pPr>
    </w:p>
    <w:p w:rsidR="00133405" w:rsidRPr="00D337FA" w:rsidRDefault="00AD701E" w:rsidP="00AD701E">
      <w:pPr>
        <w:ind w:firstLine="0"/>
        <w:jc w:val="center"/>
        <w:rPr>
          <w:lang w:val="en-US"/>
        </w:rPr>
      </w:pPr>
      <w:r w:rsidRPr="00D337FA">
        <w:rPr>
          <w:b/>
          <w:iCs/>
          <w:lang w:val="en-US"/>
        </w:rPr>
        <w:t>REFERENCES</w:t>
      </w:r>
    </w:p>
    <w:p w:rsidR="00133405" w:rsidRPr="00D337FA" w:rsidRDefault="00133405" w:rsidP="00133405">
      <w:pPr>
        <w:ind w:firstLine="284"/>
        <w:rPr>
          <w:i/>
          <w:szCs w:val="24"/>
          <w:lang w:val="en-US"/>
        </w:rPr>
      </w:pPr>
      <w:r w:rsidRPr="00D337FA">
        <w:rPr>
          <w:i/>
          <w:szCs w:val="24"/>
          <w:lang w:val="en-US"/>
        </w:rPr>
        <w:t>1.</w:t>
      </w:r>
      <w:r w:rsidR="006C680D" w:rsidRPr="00D337FA">
        <w:rPr>
          <w:i/>
          <w:szCs w:val="24"/>
          <w:lang w:val="en-US"/>
        </w:rPr>
        <w:t xml:space="preserve"> </w:t>
      </w:r>
      <w:r w:rsidRPr="00D337FA">
        <w:rPr>
          <w:i/>
          <w:szCs w:val="24"/>
          <w:lang w:val="en-US"/>
        </w:rPr>
        <w:t>Federal'nyj</w:t>
      </w:r>
      <w:r w:rsidR="006C680D" w:rsidRPr="00D337FA">
        <w:rPr>
          <w:i/>
          <w:szCs w:val="24"/>
          <w:lang w:val="en-US"/>
        </w:rPr>
        <w:t xml:space="preserve"> </w:t>
      </w:r>
      <w:r w:rsidRPr="00D337FA">
        <w:rPr>
          <w:i/>
          <w:szCs w:val="24"/>
          <w:lang w:val="en-US"/>
        </w:rPr>
        <w:t>zakon</w:t>
      </w:r>
      <w:r w:rsidR="006C680D" w:rsidRPr="00D337FA">
        <w:rPr>
          <w:i/>
          <w:szCs w:val="24"/>
          <w:lang w:val="en-US"/>
        </w:rPr>
        <w:t xml:space="preserve"> </w:t>
      </w:r>
      <w:r w:rsidRPr="00D337FA">
        <w:rPr>
          <w:i/>
          <w:szCs w:val="24"/>
          <w:lang w:val="en-US"/>
        </w:rPr>
        <w:t>RF</w:t>
      </w:r>
      <w:r w:rsidR="006C680D" w:rsidRPr="00D337FA">
        <w:rPr>
          <w:i/>
          <w:szCs w:val="24"/>
          <w:lang w:val="en-US"/>
        </w:rPr>
        <w:t xml:space="preserve"> </w:t>
      </w:r>
      <w:r w:rsidRPr="00D337FA">
        <w:rPr>
          <w:i/>
          <w:szCs w:val="24"/>
          <w:lang w:val="en-US"/>
        </w:rPr>
        <w:t>«O</w:t>
      </w:r>
      <w:r w:rsidR="006C680D" w:rsidRPr="00D337FA">
        <w:rPr>
          <w:i/>
          <w:szCs w:val="24"/>
          <w:lang w:val="en-US"/>
        </w:rPr>
        <w:t xml:space="preserve"> </w:t>
      </w:r>
      <w:r w:rsidRPr="00D337FA">
        <w:rPr>
          <w:i/>
          <w:szCs w:val="24"/>
          <w:lang w:val="en-US"/>
        </w:rPr>
        <w:t>razvitii</w:t>
      </w:r>
      <w:r w:rsidR="006C680D" w:rsidRPr="00D337FA">
        <w:rPr>
          <w:i/>
          <w:szCs w:val="24"/>
          <w:lang w:val="en-US"/>
        </w:rPr>
        <w:t xml:space="preserve"> </w:t>
      </w:r>
      <w:r w:rsidRPr="00D337FA">
        <w:rPr>
          <w:i/>
          <w:szCs w:val="24"/>
          <w:lang w:val="en-US"/>
        </w:rPr>
        <w:t>malogo</w:t>
      </w:r>
      <w:r w:rsidR="006C680D" w:rsidRPr="00D337FA">
        <w:rPr>
          <w:i/>
          <w:szCs w:val="24"/>
          <w:lang w:val="en-US"/>
        </w:rPr>
        <w:t xml:space="preserve"> </w:t>
      </w:r>
      <w:r w:rsidRPr="00D337FA">
        <w:rPr>
          <w:i/>
          <w:szCs w:val="24"/>
          <w:lang w:val="en-US"/>
        </w:rPr>
        <w:t>i</w:t>
      </w:r>
      <w:r w:rsidR="006C680D" w:rsidRPr="00D337FA">
        <w:rPr>
          <w:i/>
          <w:szCs w:val="24"/>
          <w:lang w:val="en-US"/>
        </w:rPr>
        <w:t xml:space="preserve"> </w:t>
      </w:r>
      <w:r w:rsidRPr="00D337FA">
        <w:rPr>
          <w:i/>
          <w:szCs w:val="24"/>
          <w:lang w:val="en-US"/>
        </w:rPr>
        <w:t>srednego</w:t>
      </w:r>
      <w:r w:rsidR="006C680D" w:rsidRPr="00D337FA">
        <w:rPr>
          <w:i/>
          <w:szCs w:val="24"/>
          <w:lang w:val="en-US"/>
        </w:rPr>
        <w:t xml:space="preserve"> </w:t>
      </w:r>
      <w:r w:rsidRPr="00D337FA">
        <w:rPr>
          <w:i/>
          <w:szCs w:val="24"/>
          <w:lang w:val="en-US"/>
        </w:rPr>
        <w:t>predprinimatel'stva</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Pr="00D337FA">
        <w:rPr>
          <w:i/>
          <w:szCs w:val="24"/>
          <w:lang w:val="en-US"/>
        </w:rPr>
        <w:t>Ros-sijskoj</w:t>
      </w:r>
      <w:r w:rsidR="006C680D" w:rsidRPr="00D337FA">
        <w:rPr>
          <w:i/>
          <w:szCs w:val="24"/>
          <w:lang w:val="en-US"/>
        </w:rPr>
        <w:t xml:space="preserve"> </w:t>
      </w:r>
      <w:r w:rsidRPr="00D337FA">
        <w:rPr>
          <w:i/>
          <w:szCs w:val="24"/>
          <w:lang w:val="en-US"/>
        </w:rPr>
        <w:t>Federacii»</w:t>
      </w:r>
      <w:r w:rsidR="006C680D" w:rsidRPr="00D337FA">
        <w:rPr>
          <w:i/>
          <w:szCs w:val="24"/>
          <w:lang w:val="en-US"/>
        </w:rPr>
        <w:t xml:space="preserve"> </w:t>
      </w:r>
      <w:r w:rsidRPr="00D337FA">
        <w:rPr>
          <w:i/>
          <w:szCs w:val="24"/>
          <w:lang w:val="en-US"/>
        </w:rPr>
        <w:t>[Federal</w:t>
      </w:r>
      <w:r w:rsidR="006C680D" w:rsidRPr="00D337FA">
        <w:rPr>
          <w:i/>
          <w:szCs w:val="24"/>
          <w:lang w:val="en-US"/>
        </w:rPr>
        <w:t xml:space="preserve"> </w:t>
      </w:r>
      <w:r w:rsidRPr="00D337FA">
        <w:rPr>
          <w:i/>
          <w:szCs w:val="24"/>
          <w:lang w:val="en-US"/>
        </w:rPr>
        <w:t>Law</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Federation</w:t>
      </w:r>
      <w:r w:rsidR="006C680D" w:rsidRPr="00D337FA">
        <w:rPr>
          <w:i/>
          <w:szCs w:val="24"/>
          <w:lang w:val="en-US"/>
        </w:rPr>
        <w:t xml:space="preserve"> </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Medium-Sized</w:t>
      </w:r>
      <w:r w:rsidR="006C680D" w:rsidRPr="00D337FA">
        <w:rPr>
          <w:i/>
          <w:szCs w:val="24"/>
          <w:lang w:val="en-US"/>
        </w:rPr>
        <w:t xml:space="preserve"> </w:t>
      </w:r>
      <w:r w:rsidRPr="00D337FA">
        <w:rPr>
          <w:i/>
          <w:szCs w:val="24"/>
          <w:lang w:val="en-US"/>
        </w:rPr>
        <w:t>Entrepreneurship</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Federation"]</w:t>
      </w:r>
      <w:r w:rsidR="006C680D" w:rsidRPr="00D337FA">
        <w:rPr>
          <w:i/>
          <w:szCs w:val="24"/>
          <w:lang w:val="en-US"/>
        </w:rPr>
        <w:t xml:space="preserve"> </w:t>
      </w:r>
      <w:r w:rsidRPr="00D337FA">
        <w:rPr>
          <w:i/>
          <w:szCs w:val="24"/>
          <w:lang w:val="en-US"/>
        </w:rPr>
        <w:t>dated</w:t>
      </w:r>
      <w:r w:rsidR="006C680D" w:rsidRPr="00D337FA">
        <w:rPr>
          <w:i/>
          <w:szCs w:val="24"/>
          <w:lang w:val="en-US"/>
        </w:rPr>
        <w:t xml:space="preserve"> </w:t>
      </w:r>
      <w:r w:rsidRPr="00D337FA">
        <w:rPr>
          <w:i/>
          <w:szCs w:val="24"/>
          <w:lang w:val="en-US"/>
        </w:rPr>
        <w:t>July</w:t>
      </w:r>
      <w:r w:rsidR="006C680D" w:rsidRPr="00D337FA">
        <w:rPr>
          <w:i/>
          <w:szCs w:val="24"/>
          <w:lang w:val="en-US"/>
        </w:rPr>
        <w:t xml:space="preserve"> </w:t>
      </w:r>
      <w:r w:rsidRPr="00D337FA">
        <w:rPr>
          <w:i/>
          <w:szCs w:val="24"/>
          <w:lang w:val="en-US"/>
        </w:rPr>
        <w:t>24,</w:t>
      </w:r>
      <w:r w:rsidR="006C680D" w:rsidRPr="00D337FA">
        <w:rPr>
          <w:i/>
          <w:szCs w:val="24"/>
          <w:lang w:val="en-US"/>
        </w:rPr>
        <w:t xml:space="preserve"> </w:t>
      </w:r>
      <w:r w:rsidRPr="00D337FA">
        <w:rPr>
          <w:i/>
          <w:szCs w:val="24"/>
          <w:lang w:val="en-US"/>
        </w:rPr>
        <w:t>2007,</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209-FZ.</w:t>
      </w:r>
    </w:p>
    <w:p w:rsidR="00133405" w:rsidRPr="00D337FA" w:rsidRDefault="00133405" w:rsidP="00133405">
      <w:pPr>
        <w:ind w:firstLine="284"/>
        <w:rPr>
          <w:i/>
          <w:szCs w:val="24"/>
          <w:lang w:val="en-US"/>
        </w:rPr>
      </w:pPr>
      <w:r w:rsidRPr="00D337FA">
        <w:rPr>
          <w:i/>
          <w:szCs w:val="24"/>
          <w:lang w:val="en-US"/>
        </w:rPr>
        <w:t>2.</w:t>
      </w:r>
      <w:r w:rsidR="006C680D" w:rsidRPr="00D337FA">
        <w:rPr>
          <w:i/>
          <w:szCs w:val="24"/>
          <w:lang w:val="en-US"/>
        </w:rPr>
        <w:t xml:space="preserve"> </w:t>
      </w:r>
      <w:r w:rsidRPr="00D337FA">
        <w:rPr>
          <w:i/>
          <w:szCs w:val="24"/>
          <w:lang w:val="en-US"/>
        </w:rPr>
        <w:t>Adzhieva</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Yu.</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Role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Lending</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Medium-Sized</w:t>
      </w:r>
      <w:r w:rsidR="006C680D" w:rsidRPr="00D337FA">
        <w:rPr>
          <w:i/>
          <w:szCs w:val="24"/>
          <w:lang w:val="en-US"/>
        </w:rPr>
        <w:t xml:space="preserve"> </w:t>
      </w:r>
      <w:r w:rsidRPr="00D337FA">
        <w:rPr>
          <w:i/>
          <w:szCs w:val="24"/>
          <w:lang w:val="en-US"/>
        </w:rPr>
        <w:t>Entrepreneurship]</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Epomen:</w:t>
      </w:r>
      <w:r w:rsidR="006C680D" w:rsidRPr="00D337FA">
        <w:rPr>
          <w:i/>
          <w:szCs w:val="24"/>
          <w:lang w:val="en-US"/>
        </w:rPr>
        <w:t xml:space="preserve"> </w:t>
      </w:r>
      <w:r w:rsidRPr="00D337FA">
        <w:rPr>
          <w:i/>
          <w:szCs w:val="24"/>
          <w:lang w:val="en-US"/>
        </w:rPr>
        <w:t>nauchnyj</w:t>
      </w:r>
      <w:r w:rsidR="006C680D" w:rsidRPr="00D337FA">
        <w:rPr>
          <w:i/>
          <w:szCs w:val="24"/>
          <w:lang w:val="en-US"/>
        </w:rPr>
        <w:t xml:space="preserve"> </w:t>
      </w:r>
      <w:r w:rsidRPr="00D337FA">
        <w:rPr>
          <w:i/>
          <w:szCs w:val="24"/>
          <w:lang w:val="en-US"/>
        </w:rPr>
        <w:t>zhurnal</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Epomen:</w:t>
      </w:r>
      <w:r w:rsidR="006C680D" w:rsidRPr="00D337FA">
        <w:rPr>
          <w:i/>
          <w:szCs w:val="24"/>
          <w:lang w:val="en-US"/>
        </w:rPr>
        <w:t xml:space="preserve"> </w:t>
      </w:r>
      <w:r w:rsidRPr="00D337FA">
        <w:rPr>
          <w:i/>
          <w:szCs w:val="24"/>
          <w:lang w:val="en-US"/>
        </w:rPr>
        <w:t>scientific</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48.</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21-29.</w:t>
      </w:r>
    </w:p>
    <w:p w:rsidR="00133405" w:rsidRPr="00D337FA" w:rsidRDefault="00133405" w:rsidP="00133405">
      <w:pPr>
        <w:ind w:firstLine="284"/>
        <w:rPr>
          <w:i/>
          <w:szCs w:val="24"/>
          <w:lang w:val="en-US"/>
        </w:rPr>
      </w:pPr>
      <w:r w:rsidRPr="00D337FA">
        <w:rPr>
          <w:i/>
          <w:szCs w:val="24"/>
          <w:lang w:val="en-US"/>
        </w:rPr>
        <w:t>3.</w:t>
      </w:r>
      <w:r w:rsidR="006C680D" w:rsidRPr="00D337FA">
        <w:rPr>
          <w:i/>
          <w:szCs w:val="24"/>
          <w:lang w:val="en-US"/>
        </w:rPr>
        <w:t xml:space="preserve"> </w:t>
      </w:r>
      <w:r w:rsidRPr="00D337FA">
        <w:rPr>
          <w:i/>
          <w:szCs w:val="24"/>
          <w:lang w:val="en-US"/>
        </w:rPr>
        <w:t>Annenkova</w:t>
      </w:r>
      <w:r w:rsidR="006C680D" w:rsidRPr="00D337FA">
        <w:rPr>
          <w:i/>
          <w:szCs w:val="24"/>
          <w:lang w:val="en-US"/>
        </w:rPr>
        <w:t xml:space="preserve"> </w:t>
      </w:r>
      <w:r w:rsidRPr="00D337FA">
        <w:rPr>
          <w:i/>
          <w:szCs w:val="24"/>
          <w:lang w:val="en-US"/>
        </w:rPr>
        <w:t>E.</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Usmanova</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S.</w:t>
      </w:r>
      <w:r w:rsidR="006C680D" w:rsidRPr="00D337FA">
        <w:rPr>
          <w:i/>
          <w:szCs w:val="24"/>
          <w:lang w:val="en-US"/>
        </w:rPr>
        <w:t xml:space="preserve"> </w:t>
      </w:r>
      <w:r w:rsidR="00F30997" w:rsidRPr="00D337FA">
        <w:rPr>
          <w:i/>
          <w:szCs w:val="24"/>
          <w:lang w:val="en-US"/>
        </w:rPr>
        <w:t>Informacionnaya</w:t>
      </w:r>
      <w:r w:rsidR="006C680D" w:rsidRPr="00D337FA">
        <w:rPr>
          <w:i/>
          <w:szCs w:val="24"/>
          <w:lang w:val="en-US"/>
        </w:rPr>
        <w:t xml:space="preserve"> </w:t>
      </w:r>
      <w:r w:rsidR="00F30997" w:rsidRPr="00D337FA">
        <w:rPr>
          <w:i/>
          <w:szCs w:val="24"/>
          <w:lang w:val="en-US"/>
        </w:rPr>
        <w:t>bezopasnost'</w:t>
      </w:r>
      <w:r w:rsidR="006C680D" w:rsidRPr="00D337FA">
        <w:rPr>
          <w:i/>
          <w:szCs w:val="24"/>
          <w:lang w:val="en-US"/>
        </w:rPr>
        <w:t xml:space="preserve"> </w:t>
      </w:r>
      <w:r w:rsidR="00F30997" w:rsidRPr="00D337FA">
        <w:rPr>
          <w:i/>
          <w:szCs w:val="24"/>
          <w:lang w:val="en-US"/>
        </w:rPr>
        <w:t>bankov:</w:t>
      </w:r>
      <w:r w:rsidR="006C680D" w:rsidRPr="00D337FA">
        <w:rPr>
          <w:i/>
          <w:szCs w:val="24"/>
          <w:lang w:val="en-US"/>
        </w:rPr>
        <w:t xml:space="preserve"> </w:t>
      </w:r>
      <w:r w:rsidR="00F30997" w:rsidRPr="00D337FA">
        <w:rPr>
          <w:i/>
          <w:szCs w:val="24"/>
          <w:lang w:val="en-US"/>
        </w:rPr>
        <w:t>landshaft</w:t>
      </w:r>
      <w:r w:rsidR="006C680D" w:rsidRPr="00D337FA">
        <w:rPr>
          <w:i/>
          <w:szCs w:val="24"/>
          <w:lang w:val="en-US"/>
        </w:rPr>
        <w:t xml:space="preserve"> </w:t>
      </w:r>
      <w:r w:rsidR="00F30997" w:rsidRPr="00D337FA">
        <w:rPr>
          <w:i/>
          <w:szCs w:val="24"/>
          <w:lang w:val="en-US"/>
        </w:rPr>
        <w:t>kiberugroz,</w:t>
      </w:r>
      <w:r w:rsidR="006C680D" w:rsidRPr="00D337FA">
        <w:rPr>
          <w:i/>
          <w:szCs w:val="24"/>
          <w:lang w:val="en-US"/>
        </w:rPr>
        <w:t xml:space="preserve"> </w:t>
      </w:r>
      <w:r w:rsidR="00F30997" w:rsidRPr="00D337FA">
        <w:rPr>
          <w:i/>
          <w:szCs w:val="24"/>
          <w:lang w:val="en-US"/>
        </w:rPr>
        <w:t>tendencii</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vyzovy</w:t>
      </w:r>
      <w:r w:rsidR="006C680D" w:rsidRPr="00D337FA">
        <w:rPr>
          <w:i/>
          <w:szCs w:val="24"/>
          <w:lang w:val="en-US"/>
        </w:rPr>
        <w:t xml:space="preserve"> </w:t>
      </w:r>
      <w:r w:rsidR="00F30997" w:rsidRPr="00D337FA">
        <w:rPr>
          <w:i/>
          <w:szCs w:val="24"/>
          <w:lang w:val="en-US"/>
        </w:rPr>
        <w:t>[</w:t>
      </w:r>
      <w:r w:rsidRPr="00D337FA">
        <w:rPr>
          <w:i/>
          <w:szCs w:val="24"/>
          <w:lang w:val="en-US"/>
        </w:rPr>
        <w:t>Information</w:t>
      </w:r>
      <w:r w:rsidR="006C680D" w:rsidRPr="00D337FA">
        <w:rPr>
          <w:i/>
          <w:szCs w:val="24"/>
          <w:lang w:val="en-US"/>
        </w:rPr>
        <w:t xml:space="preserve"> </w:t>
      </w:r>
      <w:r w:rsidRPr="00D337FA">
        <w:rPr>
          <w:i/>
          <w:szCs w:val="24"/>
          <w:lang w:val="en-US"/>
        </w:rPr>
        <w:t>Security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Banks:</w:t>
      </w:r>
      <w:r w:rsidR="006C680D" w:rsidRPr="00D337FA">
        <w:rPr>
          <w:i/>
          <w:szCs w:val="24"/>
          <w:lang w:val="en-US"/>
        </w:rPr>
        <w:t xml:space="preserve"> </w:t>
      </w:r>
      <w:r w:rsidRPr="00D337FA">
        <w:rPr>
          <w:i/>
          <w:szCs w:val="24"/>
          <w:lang w:val="en-US"/>
        </w:rPr>
        <w:t>Cyber</w:t>
      </w:r>
      <w:r w:rsidR="006C680D" w:rsidRPr="00D337FA">
        <w:rPr>
          <w:i/>
          <w:szCs w:val="24"/>
          <w:lang w:val="en-US"/>
        </w:rPr>
        <w:t xml:space="preserve"> </w:t>
      </w:r>
      <w:r w:rsidRPr="00D337FA">
        <w:rPr>
          <w:i/>
          <w:szCs w:val="24"/>
          <w:lang w:val="en-US"/>
        </w:rPr>
        <w:t>Threat</w:t>
      </w:r>
      <w:r w:rsidR="006C680D" w:rsidRPr="00D337FA">
        <w:rPr>
          <w:i/>
          <w:szCs w:val="24"/>
          <w:lang w:val="en-US"/>
        </w:rPr>
        <w:t xml:space="preserve"> </w:t>
      </w:r>
      <w:r w:rsidRPr="00D337FA">
        <w:rPr>
          <w:i/>
          <w:szCs w:val="24"/>
          <w:lang w:val="en-US"/>
        </w:rPr>
        <w:t>Landscape,</w:t>
      </w:r>
      <w:r w:rsidR="006C680D" w:rsidRPr="00D337FA">
        <w:rPr>
          <w:i/>
          <w:szCs w:val="24"/>
          <w:lang w:val="en-US"/>
        </w:rPr>
        <w:t xml:space="preserve"> </w:t>
      </w:r>
      <w:r w:rsidRPr="00D337FA">
        <w:rPr>
          <w:i/>
          <w:szCs w:val="24"/>
          <w:lang w:val="en-US"/>
        </w:rPr>
        <w:t>Trends,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Challenges</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F30997" w:rsidRPr="00D337FA">
        <w:rPr>
          <w:i/>
          <w:szCs w:val="24"/>
          <w:lang w:val="en-US"/>
        </w:rPr>
        <w:t>Nauchnoe</w:t>
      </w:r>
      <w:r w:rsidR="006C680D" w:rsidRPr="00D337FA">
        <w:rPr>
          <w:i/>
          <w:szCs w:val="24"/>
          <w:lang w:val="en-US"/>
        </w:rPr>
        <w:t xml:space="preserve"> </w:t>
      </w:r>
      <w:r w:rsidR="00F30997" w:rsidRPr="00D337FA">
        <w:rPr>
          <w:i/>
          <w:szCs w:val="24"/>
          <w:lang w:val="en-US"/>
        </w:rPr>
        <w:t>obozrenie:</w:t>
      </w:r>
      <w:r w:rsidR="006C680D" w:rsidRPr="00D337FA">
        <w:rPr>
          <w:i/>
          <w:szCs w:val="24"/>
          <w:lang w:val="en-US"/>
        </w:rPr>
        <w:t xml:space="preserve"> </w:t>
      </w:r>
      <w:r w:rsidR="00F30997" w:rsidRPr="00D337FA">
        <w:rPr>
          <w:i/>
          <w:szCs w:val="24"/>
          <w:lang w:val="en-US"/>
        </w:rPr>
        <w:t>teoriya</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praktika</w:t>
      </w:r>
      <w:r w:rsidR="006C680D" w:rsidRPr="00D337FA">
        <w:rPr>
          <w:i/>
          <w:szCs w:val="24"/>
          <w:lang w:val="en-US"/>
        </w:rPr>
        <w:t xml:space="preserve"> </w:t>
      </w:r>
      <w:r w:rsidR="00F30997" w:rsidRPr="00D337FA">
        <w:rPr>
          <w:i/>
          <w:szCs w:val="24"/>
          <w:lang w:val="en-US"/>
        </w:rPr>
        <w:t>–</w:t>
      </w:r>
      <w:r w:rsidR="006C680D" w:rsidRPr="00D337FA">
        <w:rPr>
          <w:i/>
          <w:szCs w:val="24"/>
          <w:lang w:val="en-US"/>
        </w:rPr>
        <w:t xml:space="preserve"> </w:t>
      </w:r>
      <w:r w:rsidRPr="00D337FA">
        <w:rPr>
          <w:i/>
          <w:szCs w:val="24"/>
          <w:lang w:val="en-US"/>
        </w:rPr>
        <w:t>Scientific</w:t>
      </w:r>
      <w:r w:rsidR="006C680D" w:rsidRPr="00D337FA">
        <w:rPr>
          <w:i/>
          <w:szCs w:val="24"/>
          <w:lang w:val="en-US"/>
        </w:rPr>
        <w:t xml:space="preserve"> </w:t>
      </w:r>
      <w:r w:rsidRPr="00D337FA">
        <w:rPr>
          <w:i/>
          <w:szCs w:val="24"/>
          <w:lang w:val="en-US"/>
        </w:rPr>
        <w:t>Review:</w:t>
      </w:r>
      <w:r w:rsidR="006C680D" w:rsidRPr="00D337FA">
        <w:rPr>
          <w:i/>
          <w:szCs w:val="24"/>
          <w:lang w:val="en-US"/>
        </w:rPr>
        <w:t xml:space="preserve"> </w:t>
      </w:r>
      <w:r w:rsidRPr="00D337FA">
        <w:rPr>
          <w:i/>
          <w:szCs w:val="24"/>
          <w:lang w:val="en-US"/>
        </w:rPr>
        <w:t>Theory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Practice.</w:t>
      </w:r>
      <w:r w:rsidR="006C680D" w:rsidRPr="00D337FA">
        <w:rPr>
          <w:i/>
          <w:szCs w:val="24"/>
          <w:lang w:val="en-US"/>
        </w:rPr>
        <w:t xml:space="preserve"> </w:t>
      </w:r>
      <w:r w:rsidR="00AD701E" w:rsidRPr="00D337FA">
        <w:rPr>
          <w:i/>
          <w:szCs w:val="24"/>
          <w:lang w:val="en-US"/>
        </w:rPr>
        <w:t>2</w:t>
      </w:r>
      <w:r w:rsidRPr="00D337FA">
        <w:rPr>
          <w:i/>
          <w:szCs w:val="24"/>
          <w:lang w:val="en-US"/>
        </w:rPr>
        <w:t>024.</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14,</w:t>
      </w:r>
      <w:r w:rsidR="006C680D" w:rsidRPr="00D337FA">
        <w:rPr>
          <w:i/>
          <w:szCs w:val="24"/>
          <w:lang w:val="en-US"/>
        </w:rPr>
        <w:t xml:space="preserve"> </w:t>
      </w:r>
      <w:r w:rsidR="00F30997" w:rsidRPr="00D337FA">
        <w:rPr>
          <w:i/>
          <w:szCs w:val="24"/>
          <w:lang w:val="en-US"/>
        </w:rPr>
        <w:t>No.</w:t>
      </w:r>
      <w:r w:rsidR="006C680D" w:rsidRPr="00D337FA">
        <w:rPr>
          <w:i/>
          <w:szCs w:val="24"/>
          <w:lang w:val="en-US"/>
        </w:rPr>
        <w:t xml:space="preserve"> </w:t>
      </w:r>
      <w:r w:rsidR="00F30997" w:rsidRPr="00D337FA">
        <w:rPr>
          <w:i/>
          <w:szCs w:val="24"/>
          <w:lang w:val="en-US"/>
        </w:rPr>
        <w:t>10</w:t>
      </w:r>
      <w:r w:rsidR="006C680D" w:rsidRPr="00D337FA">
        <w:rPr>
          <w:i/>
          <w:szCs w:val="24"/>
          <w:lang w:val="en-US"/>
        </w:rPr>
        <w:t xml:space="preserve"> </w:t>
      </w:r>
      <w:r w:rsidR="00F30997" w:rsidRPr="00D337FA">
        <w:rPr>
          <w:i/>
          <w:szCs w:val="24"/>
          <w:lang w:val="en-US"/>
        </w:rPr>
        <w:t>(110).</w:t>
      </w:r>
      <w:r w:rsidR="006C680D" w:rsidRPr="00D337FA">
        <w:rPr>
          <w:i/>
          <w:szCs w:val="24"/>
          <w:lang w:val="en-US"/>
        </w:rPr>
        <w:t xml:space="preserve"> </w:t>
      </w:r>
      <w:r w:rsidR="00F30997" w:rsidRPr="00D337FA">
        <w:rPr>
          <w:i/>
          <w:szCs w:val="24"/>
          <w:lang w:val="en-US"/>
        </w:rPr>
        <w:t>Pp.</w:t>
      </w:r>
      <w:r w:rsidR="006C680D" w:rsidRPr="00D337FA">
        <w:rPr>
          <w:i/>
          <w:szCs w:val="24"/>
          <w:lang w:val="en-US"/>
        </w:rPr>
        <w:t xml:space="preserve"> </w:t>
      </w:r>
      <w:r w:rsidR="00F30997" w:rsidRPr="00D337FA">
        <w:rPr>
          <w:i/>
          <w:szCs w:val="24"/>
          <w:lang w:val="en-US"/>
        </w:rPr>
        <w:t>1912-1920.</w:t>
      </w:r>
      <w:r w:rsidR="006C680D" w:rsidRPr="00D337FA">
        <w:rPr>
          <w:i/>
          <w:szCs w:val="24"/>
          <w:lang w:val="en-US"/>
        </w:rPr>
        <w:t xml:space="preserve"> </w:t>
      </w:r>
      <w:r w:rsidRPr="00D337FA">
        <w:rPr>
          <w:i/>
          <w:szCs w:val="24"/>
          <w:lang w:val="en-US"/>
        </w:rPr>
        <w:t>DOI</w:t>
      </w:r>
      <w:r w:rsidR="006C680D" w:rsidRPr="00D337FA">
        <w:rPr>
          <w:i/>
          <w:szCs w:val="24"/>
          <w:lang w:val="en-US"/>
        </w:rPr>
        <w:t xml:space="preserve"> </w:t>
      </w:r>
      <w:r w:rsidRPr="00D337FA">
        <w:rPr>
          <w:i/>
          <w:szCs w:val="24"/>
          <w:lang w:val="en-US"/>
        </w:rPr>
        <w:t>10.35679/2226-0226-2024-14-10-1912-1920.</w:t>
      </w:r>
    </w:p>
    <w:p w:rsidR="00133405" w:rsidRPr="00D337FA" w:rsidRDefault="00133405" w:rsidP="00133405">
      <w:pPr>
        <w:ind w:firstLine="284"/>
        <w:rPr>
          <w:i/>
          <w:szCs w:val="24"/>
          <w:lang w:val="en-US"/>
        </w:rPr>
      </w:pPr>
      <w:r w:rsidRPr="00D337FA">
        <w:rPr>
          <w:i/>
          <w:szCs w:val="24"/>
          <w:lang w:val="en-US"/>
        </w:rPr>
        <w:t>4.</w:t>
      </w:r>
      <w:r w:rsidR="006C680D" w:rsidRPr="00D337FA">
        <w:rPr>
          <w:i/>
          <w:szCs w:val="24"/>
          <w:lang w:val="en-US"/>
        </w:rPr>
        <w:t xml:space="preserve"> </w:t>
      </w:r>
      <w:r w:rsidRPr="00D337FA">
        <w:rPr>
          <w:i/>
          <w:szCs w:val="24"/>
          <w:lang w:val="en-US"/>
        </w:rPr>
        <w:t>Brailey</w:t>
      </w:r>
      <w:r w:rsidR="006C680D" w:rsidRPr="00D337FA">
        <w:rPr>
          <w:i/>
          <w:szCs w:val="24"/>
          <w:lang w:val="en-US"/>
        </w:rPr>
        <w:t xml:space="preserve"> </w:t>
      </w:r>
      <w:r w:rsidRPr="00D337FA">
        <w:rPr>
          <w:i/>
          <w:szCs w:val="24"/>
          <w:lang w:val="en-US"/>
        </w:rPr>
        <w:t>R.,</w:t>
      </w:r>
      <w:r w:rsidR="006C680D" w:rsidRPr="00D337FA">
        <w:rPr>
          <w:i/>
          <w:szCs w:val="24"/>
          <w:lang w:val="en-US"/>
        </w:rPr>
        <w:t xml:space="preserve"> </w:t>
      </w:r>
      <w:r w:rsidRPr="00D337FA">
        <w:rPr>
          <w:i/>
          <w:szCs w:val="24"/>
          <w:lang w:val="en-US"/>
        </w:rPr>
        <w:t>Myers</w:t>
      </w:r>
      <w:r w:rsidR="006C680D" w:rsidRPr="00D337FA">
        <w:rPr>
          <w:i/>
          <w:szCs w:val="24"/>
          <w:lang w:val="en-US"/>
        </w:rPr>
        <w:t xml:space="preserve"> </w:t>
      </w:r>
      <w:r w:rsidRPr="00D337FA">
        <w:rPr>
          <w:i/>
          <w:szCs w:val="24"/>
          <w:lang w:val="en-US"/>
        </w:rPr>
        <w:t>S.,</w:t>
      </w:r>
      <w:r w:rsidR="006C680D" w:rsidRPr="00D337FA">
        <w:rPr>
          <w:i/>
          <w:szCs w:val="24"/>
          <w:lang w:val="en-US"/>
        </w:rPr>
        <w:t xml:space="preserve"> </w:t>
      </w:r>
      <w:r w:rsidRPr="00D337FA">
        <w:rPr>
          <w:i/>
          <w:szCs w:val="24"/>
          <w:lang w:val="en-US"/>
        </w:rPr>
        <w:t>Allen</w:t>
      </w:r>
      <w:r w:rsidR="006C680D" w:rsidRPr="00D337FA">
        <w:rPr>
          <w:i/>
          <w:szCs w:val="24"/>
          <w:lang w:val="en-US"/>
        </w:rPr>
        <w:t xml:space="preserve"> </w:t>
      </w:r>
      <w:r w:rsidRPr="00D337FA">
        <w:rPr>
          <w:i/>
          <w:szCs w:val="24"/>
          <w:lang w:val="en-US"/>
        </w:rPr>
        <w:t>F.</w:t>
      </w:r>
      <w:r w:rsidR="006C680D" w:rsidRPr="00D337FA">
        <w:rPr>
          <w:i/>
          <w:szCs w:val="24"/>
          <w:lang w:val="en-US"/>
        </w:rPr>
        <w:t xml:space="preserve"> </w:t>
      </w:r>
      <w:r w:rsidR="00F30997" w:rsidRPr="00D337FA">
        <w:rPr>
          <w:i/>
          <w:szCs w:val="24"/>
          <w:lang w:val="en-US"/>
        </w:rPr>
        <w:t>Principy</w:t>
      </w:r>
      <w:r w:rsidR="006C680D" w:rsidRPr="00D337FA">
        <w:rPr>
          <w:i/>
          <w:szCs w:val="24"/>
          <w:lang w:val="en-US"/>
        </w:rPr>
        <w:t xml:space="preserve"> </w:t>
      </w:r>
      <w:r w:rsidR="00F30997" w:rsidRPr="00D337FA">
        <w:rPr>
          <w:i/>
          <w:szCs w:val="24"/>
          <w:lang w:val="en-US"/>
        </w:rPr>
        <w:t>korporativnyh</w:t>
      </w:r>
      <w:r w:rsidR="006C680D" w:rsidRPr="00D337FA">
        <w:rPr>
          <w:i/>
          <w:szCs w:val="24"/>
          <w:lang w:val="en-US"/>
        </w:rPr>
        <w:t xml:space="preserve"> </w:t>
      </w:r>
      <w:r w:rsidR="00F30997" w:rsidRPr="00D337FA">
        <w:rPr>
          <w:i/>
          <w:szCs w:val="24"/>
          <w:lang w:val="en-US"/>
        </w:rPr>
        <w:t>finansov</w:t>
      </w:r>
      <w:r w:rsidR="006C680D" w:rsidRPr="00D337FA">
        <w:rPr>
          <w:i/>
          <w:szCs w:val="24"/>
          <w:lang w:val="en-US"/>
        </w:rPr>
        <w:t xml:space="preserve"> </w:t>
      </w:r>
      <w:r w:rsidR="00F30997" w:rsidRPr="00D337FA">
        <w:rPr>
          <w:i/>
          <w:szCs w:val="24"/>
          <w:lang w:val="en-US"/>
        </w:rPr>
        <w:t>[</w:t>
      </w:r>
      <w:r w:rsidRPr="00D337FA">
        <w:rPr>
          <w:i/>
          <w:szCs w:val="24"/>
          <w:lang w:val="en-US"/>
        </w:rPr>
        <w:t>Principles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Corporate</w:t>
      </w:r>
      <w:r w:rsidR="006C680D" w:rsidRPr="00D337FA">
        <w:rPr>
          <w:i/>
          <w:szCs w:val="24"/>
          <w:lang w:val="en-US"/>
        </w:rPr>
        <w:t xml:space="preserve"> </w:t>
      </w:r>
      <w:r w:rsidRPr="00D337FA">
        <w:rPr>
          <w:i/>
          <w:szCs w:val="24"/>
          <w:lang w:val="en-US"/>
        </w:rPr>
        <w:t>Finance</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Olimp-Business,</w:t>
      </w:r>
      <w:r w:rsidR="006C680D" w:rsidRPr="00D337FA">
        <w:rPr>
          <w:i/>
          <w:szCs w:val="24"/>
          <w:lang w:val="en-US"/>
        </w:rPr>
        <w:t xml:space="preserve"> </w:t>
      </w:r>
      <w:r w:rsidRPr="00D337FA">
        <w:rPr>
          <w:i/>
          <w:szCs w:val="24"/>
          <w:lang w:val="en-US"/>
        </w:rPr>
        <w:t>2021,</w:t>
      </w:r>
      <w:r w:rsidR="006C680D" w:rsidRPr="00D337FA">
        <w:rPr>
          <w:i/>
          <w:szCs w:val="24"/>
          <w:lang w:val="en-US"/>
        </w:rPr>
        <w:t xml:space="preserve"> </w:t>
      </w:r>
      <w:r w:rsidRPr="00D337FA">
        <w:rPr>
          <w:i/>
          <w:szCs w:val="24"/>
          <w:lang w:val="en-US"/>
        </w:rPr>
        <w:t>1184</w:t>
      </w:r>
      <w:r w:rsidR="006C680D" w:rsidRPr="00D337FA">
        <w:rPr>
          <w:i/>
          <w:szCs w:val="24"/>
          <w:lang w:val="en-US"/>
        </w:rPr>
        <w:t xml:space="preserve"> </w:t>
      </w:r>
      <w:r w:rsidRPr="00D337FA">
        <w:rPr>
          <w:i/>
          <w:szCs w:val="24"/>
          <w:lang w:val="en-US"/>
        </w:rPr>
        <w:t>p.</w:t>
      </w:r>
    </w:p>
    <w:p w:rsidR="00133405" w:rsidRPr="00D337FA" w:rsidRDefault="00133405" w:rsidP="00133405">
      <w:pPr>
        <w:ind w:firstLine="284"/>
        <w:rPr>
          <w:i/>
          <w:szCs w:val="24"/>
          <w:lang w:val="en-US"/>
        </w:rPr>
      </w:pPr>
      <w:r w:rsidRPr="00D337FA">
        <w:rPr>
          <w:i/>
          <w:szCs w:val="24"/>
          <w:lang w:val="en-US"/>
        </w:rPr>
        <w:t>5.</w:t>
      </w:r>
      <w:r w:rsidR="006C680D" w:rsidRPr="00D337FA">
        <w:rPr>
          <w:i/>
          <w:szCs w:val="24"/>
          <w:lang w:val="en-US"/>
        </w:rPr>
        <w:t xml:space="preserve"> </w:t>
      </w:r>
      <w:r w:rsidRPr="00D337FA">
        <w:rPr>
          <w:i/>
          <w:szCs w:val="24"/>
          <w:lang w:val="en-US"/>
        </w:rPr>
        <w:t>Zaritsky</w:t>
      </w:r>
      <w:r w:rsidR="006C680D" w:rsidRPr="00D337FA">
        <w:rPr>
          <w:i/>
          <w:szCs w:val="24"/>
          <w:lang w:val="en-US"/>
        </w:rPr>
        <w:t xml:space="preserve"> </w:t>
      </w:r>
      <w:r w:rsidRPr="00D337FA">
        <w:rPr>
          <w:i/>
          <w:szCs w:val="24"/>
          <w:lang w:val="en-US"/>
        </w:rPr>
        <w:t>B.E.</w:t>
      </w:r>
      <w:r w:rsidR="006C680D" w:rsidRPr="00D337FA">
        <w:rPr>
          <w:i/>
          <w:szCs w:val="24"/>
          <w:lang w:val="en-US"/>
        </w:rPr>
        <w:t xml:space="preserve"> </w:t>
      </w:r>
      <w:r w:rsidR="00F30997" w:rsidRPr="00D337FA">
        <w:rPr>
          <w:i/>
          <w:szCs w:val="24"/>
          <w:lang w:val="en-US"/>
        </w:rPr>
        <w:t>Problemy</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perspektivy</w:t>
      </w:r>
      <w:r w:rsidR="006C680D" w:rsidRPr="00D337FA">
        <w:rPr>
          <w:i/>
          <w:szCs w:val="24"/>
          <w:lang w:val="en-US"/>
        </w:rPr>
        <w:t xml:space="preserve"> </w:t>
      </w:r>
      <w:r w:rsidR="00F30997" w:rsidRPr="00D337FA">
        <w:rPr>
          <w:i/>
          <w:szCs w:val="24"/>
          <w:lang w:val="en-US"/>
        </w:rPr>
        <w:t>malogo</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srednego</w:t>
      </w:r>
      <w:r w:rsidR="006C680D" w:rsidRPr="00D337FA">
        <w:rPr>
          <w:i/>
          <w:szCs w:val="24"/>
          <w:lang w:val="en-US"/>
        </w:rPr>
        <w:t xml:space="preserve"> </w:t>
      </w:r>
      <w:r w:rsidR="00F30997" w:rsidRPr="00D337FA">
        <w:rPr>
          <w:i/>
          <w:szCs w:val="24"/>
          <w:lang w:val="en-US"/>
        </w:rPr>
        <w:t>biznesa</w:t>
      </w:r>
      <w:r w:rsidR="006C680D" w:rsidRPr="00D337FA">
        <w:rPr>
          <w:i/>
          <w:szCs w:val="24"/>
          <w:lang w:val="en-US"/>
        </w:rPr>
        <w:t xml:space="preserve"> </w:t>
      </w:r>
      <w:r w:rsidR="00F30997" w:rsidRPr="00D337FA">
        <w:rPr>
          <w:i/>
          <w:szCs w:val="24"/>
          <w:lang w:val="en-US"/>
        </w:rPr>
        <w:t>v</w:t>
      </w:r>
      <w:r w:rsidR="006C680D" w:rsidRPr="00D337FA">
        <w:rPr>
          <w:i/>
          <w:szCs w:val="24"/>
          <w:lang w:val="en-US"/>
        </w:rPr>
        <w:t xml:space="preserve"> </w:t>
      </w:r>
      <w:r w:rsidR="00F30997" w:rsidRPr="00D337FA">
        <w:rPr>
          <w:i/>
          <w:szCs w:val="24"/>
          <w:lang w:val="en-US"/>
        </w:rPr>
        <w:t>Germanii</w:t>
      </w:r>
      <w:r w:rsidR="006C680D" w:rsidRPr="00D337FA">
        <w:rPr>
          <w:i/>
          <w:szCs w:val="24"/>
          <w:lang w:val="en-US"/>
        </w:rPr>
        <w:t xml:space="preserve"> </w:t>
      </w:r>
      <w:r w:rsidR="00F30997" w:rsidRPr="00D337FA">
        <w:rPr>
          <w:i/>
          <w:szCs w:val="24"/>
          <w:lang w:val="en-US"/>
        </w:rPr>
        <w:t>[</w:t>
      </w:r>
      <w:r w:rsidRPr="00D337FA">
        <w:rPr>
          <w:i/>
          <w:szCs w:val="24"/>
          <w:lang w:val="en-US"/>
        </w:rPr>
        <w:t>Problems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Prospects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Medium-Sized</w:t>
      </w:r>
      <w:r w:rsidR="006C680D" w:rsidRPr="00D337FA">
        <w:rPr>
          <w:i/>
          <w:szCs w:val="24"/>
          <w:lang w:val="en-US"/>
        </w:rPr>
        <w:t xml:space="preserve"> </w:t>
      </w:r>
      <w:r w:rsidRPr="00D337FA">
        <w:rPr>
          <w:i/>
          <w:szCs w:val="24"/>
          <w:lang w:val="en-US"/>
        </w:rPr>
        <w:t>Businesses</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Germany</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F30997" w:rsidRPr="00D337FA">
        <w:rPr>
          <w:i/>
          <w:szCs w:val="24"/>
          <w:lang w:val="en-US"/>
        </w:rPr>
        <w:t>Vestnik</w:t>
      </w:r>
      <w:r w:rsidR="006C680D" w:rsidRPr="00D337FA">
        <w:rPr>
          <w:i/>
          <w:szCs w:val="24"/>
          <w:lang w:val="en-US"/>
        </w:rPr>
        <w:t xml:space="preserve"> </w:t>
      </w:r>
      <w:r w:rsidR="00F30997" w:rsidRPr="00D337FA">
        <w:rPr>
          <w:i/>
          <w:szCs w:val="24"/>
          <w:lang w:val="en-US"/>
        </w:rPr>
        <w:t>MGIMO-Universiteta</w:t>
      </w:r>
      <w:r w:rsidR="006C680D" w:rsidRPr="00D337FA">
        <w:rPr>
          <w:i/>
          <w:szCs w:val="24"/>
          <w:lang w:val="en-US"/>
        </w:rPr>
        <w:t xml:space="preserve"> </w:t>
      </w:r>
      <w:r w:rsidR="00F30997" w:rsidRPr="00D337FA">
        <w:rPr>
          <w:i/>
          <w:szCs w:val="24"/>
          <w:lang w:val="en-US"/>
        </w:rPr>
        <w:t>–</w:t>
      </w:r>
      <w:r w:rsidR="006C680D" w:rsidRPr="00D337FA">
        <w:rPr>
          <w:i/>
          <w:szCs w:val="24"/>
          <w:lang w:val="en-US"/>
        </w:rPr>
        <w:t xml:space="preserve"> </w:t>
      </w:r>
      <w:r w:rsidRPr="00D337FA">
        <w:rPr>
          <w:i/>
          <w:szCs w:val="24"/>
          <w:lang w:val="en-US"/>
        </w:rPr>
        <w:t>MGIMO</w:t>
      </w:r>
      <w:r w:rsidR="006C680D" w:rsidRPr="00D337FA">
        <w:rPr>
          <w:i/>
          <w:szCs w:val="24"/>
          <w:lang w:val="en-US"/>
        </w:rPr>
        <w:t xml:space="preserve"> </w:t>
      </w:r>
      <w:r w:rsidRPr="00D337FA">
        <w:rPr>
          <w:i/>
          <w:szCs w:val="24"/>
          <w:lang w:val="en-US"/>
        </w:rPr>
        <w:t>University</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2021,</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13,</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6,</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133-152.</w:t>
      </w:r>
    </w:p>
    <w:p w:rsidR="00133405" w:rsidRPr="00D337FA" w:rsidRDefault="00133405" w:rsidP="00133405">
      <w:pPr>
        <w:ind w:firstLine="284"/>
        <w:rPr>
          <w:i/>
          <w:szCs w:val="24"/>
          <w:lang w:val="en-US"/>
        </w:rPr>
      </w:pPr>
      <w:r w:rsidRPr="00D337FA">
        <w:rPr>
          <w:i/>
          <w:szCs w:val="24"/>
          <w:lang w:val="en-US"/>
        </w:rPr>
        <w:t>6.</w:t>
      </w:r>
      <w:r w:rsidR="006C680D" w:rsidRPr="00D337FA">
        <w:rPr>
          <w:i/>
          <w:szCs w:val="24"/>
          <w:lang w:val="en-US"/>
        </w:rPr>
        <w:t xml:space="preserve"> </w:t>
      </w:r>
      <w:r w:rsidR="00F30997" w:rsidRPr="00D337FA">
        <w:rPr>
          <w:i/>
          <w:szCs w:val="24"/>
          <w:lang w:val="en-US"/>
        </w:rPr>
        <w:t>Informacionnyj</w:t>
      </w:r>
      <w:r w:rsidR="006C680D" w:rsidRPr="00D337FA">
        <w:rPr>
          <w:i/>
          <w:szCs w:val="24"/>
          <w:lang w:val="en-US"/>
        </w:rPr>
        <w:t xml:space="preserve"> </w:t>
      </w:r>
      <w:r w:rsidR="00F30997" w:rsidRPr="00D337FA">
        <w:rPr>
          <w:i/>
          <w:szCs w:val="24"/>
          <w:lang w:val="en-US"/>
        </w:rPr>
        <w:t>portal</w:t>
      </w:r>
      <w:r w:rsidR="006C680D" w:rsidRPr="00D337FA">
        <w:rPr>
          <w:i/>
          <w:szCs w:val="24"/>
          <w:lang w:val="en-US"/>
        </w:rPr>
        <w:t xml:space="preserve"> </w:t>
      </w:r>
      <w:r w:rsidR="00F30997" w:rsidRPr="00D337FA">
        <w:rPr>
          <w:i/>
          <w:szCs w:val="24"/>
          <w:lang w:val="en-US"/>
        </w:rPr>
        <w:t>«Tochka.</w:t>
      </w:r>
      <w:r w:rsidR="006C680D" w:rsidRPr="00D337FA">
        <w:rPr>
          <w:i/>
          <w:szCs w:val="24"/>
          <w:lang w:val="en-US"/>
        </w:rPr>
        <w:t xml:space="preserve"> </w:t>
      </w:r>
      <w:r w:rsidR="00F30997" w:rsidRPr="00D337FA">
        <w:rPr>
          <w:i/>
          <w:szCs w:val="24"/>
          <w:lang w:val="en-US"/>
        </w:rPr>
        <w:t>Marketplejsy»</w:t>
      </w:r>
      <w:r w:rsidR="006C680D" w:rsidRPr="00D337FA">
        <w:rPr>
          <w:i/>
          <w:szCs w:val="24"/>
          <w:lang w:val="en-US"/>
        </w:rPr>
        <w:t xml:space="preserve"> </w:t>
      </w:r>
      <w:r w:rsidR="00F30997" w:rsidRPr="00D337FA">
        <w:rPr>
          <w:i/>
          <w:szCs w:val="24"/>
          <w:lang w:val="en-US"/>
        </w:rPr>
        <w:t>[</w:t>
      </w:r>
      <w:r w:rsidRPr="00D337FA">
        <w:rPr>
          <w:i/>
          <w:szCs w:val="24"/>
          <w:lang w:val="en-US"/>
        </w:rPr>
        <w:t>Information</w:t>
      </w:r>
      <w:r w:rsidR="006C680D" w:rsidRPr="00D337FA">
        <w:rPr>
          <w:i/>
          <w:szCs w:val="24"/>
          <w:lang w:val="en-US"/>
        </w:rPr>
        <w:t xml:space="preserve"> </w:t>
      </w:r>
      <w:r w:rsidRPr="00D337FA">
        <w:rPr>
          <w:i/>
          <w:szCs w:val="24"/>
          <w:lang w:val="en-US"/>
        </w:rPr>
        <w:t>portal</w:t>
      </w:r>
      <w:r w:rsidR="006C680D" w:rsidRPr="00D337FA">
        <w:rPr>
          <w:i/>
          <w:szCs w:val="24"/>
          <w:lang w:val="en-US"/>
        </w:rPr>
        <w:t xml:space="preserve"> </w:t>
      </w:r>
      <w:r w:rsidRPr="00D337FA">
        <w:rPr>
          <w:i/>
          <w:szCs w:val="24"/>
          <w:lang w:val="en-US"/>
        </w:rPr>
        <w:t>"Tochka.</w:t>
      </w:r>
      <w:r w:rsidR="006C680D" w:rsidRPr="00D337FA">
        <w:rPr>
          <w:i/>
          <w:szCs w:val="24"/>
          <w:lang w:val="en-US"/>
        </w:rPr>
        <w:t xml:space="preserve"> </w:t>
      </w:r>
      <w:r w:rsidRPr="00D337FA">
        <w:rPr>
          <w:i/>
          <w:szCs w:val="24"/>
          <w:lang w:val="en-US"/>
        </w:rPr>
        <w:t>Marketplaces"</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https://tochkamp.com</w:t>
      </w:r>
    </w:p>
    <w:p w:rsidR="00133405" w:rsidRPr="00D337FA" w:rsidRDefault="00133405" w:rsidP="00133405">
      <w:pPr>
        <w:ind w:firstLine="284"/>
        <w:rPr>
          <w:i/>
          <w:szCs w:val="24"/>
          <w:lang w:val="en-US"/>
        </w:rPr>
      </w:pPr>
      <w:r w:rsidRPr="00D337FA">
        <w:rPr>
          <w:i/>
          <w:szCs w:val="24"/>
          <w:lang w:val="en-US"/>
        </w:rPr>
        <w:lastRenderedPageBreak/>
        <w:t>7.</w:t>
      </w:r>
      <w:r w:rsidR="006C680D" w:rsidRPr="00D337FA">
        <w:rPr>
          <w:i/>
          <w:szCs w:val="24"/>
          <w:lang w:val="en-US"/>
        </w:rPr>
        <w:t xml:space="preserve"> </w:t>
      </w:r>
      <w:r w:rsidR="00F30997" w:rsidRPr="00D337FA">
        <w:rPr>
          <w:i/>
          <w:szCs w:val="24"/>
          <w:lang w:val="en-US"/>
        </w:rPr>
        <w:t>Malyj</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srednij</w:t>
      </w:r>
      <w:r w:rsidR="006C680D" w:rsidRPr="00D337FA">
        <w:rPr>
          <w:i/>
          <w:szCs w:val="24"/>
          <w:lang w:val="en-US"/>
        </w:rPr>
        <w:t xml:space="preserve"> </w:t>
      </w:r>
      <w:r w:rsidR="00F30997" w:rsidRPr="00D337FA">
        <w:rPr>
          <w:i/>
          <w:szCs w:val="24"/>
          <w:lang w:val="en-US"/>
        </w:rPr>
        <w:t>biznes</w:t>
      </w:r>
      <w:r w:rsidR="006C680D" w:rsidRPr="00D337FA">
        <w:rPr>
          <w:i/>
          <w:szCs w:val="24"/>
          <w:lang w:val="en-US"/>
        </w:rPr>
        <w:t xml:space="preserve"> </w:t>
      </w:r>
      <w:r w:rsidR="00F30997" w:rsidRPr="00D337FA">
        <w:rPr>
          <w:i/>
          <w:szCs w:val="24"/>
          <w:lang w:val="en-US"/>
        </w:rPr>
        <w:t>v</w:t>
      </w:r>
      <w:r w:rsidR="006C680D" w:rsidRPr="00D337FA">
        <w:rPr>
          <w:i/>
          <w:szCs w:val="24"/>
          <w:lang w:val="en-US"/>
        </w:rPr>
        <w:t xml:space="preserve"> </w:t>
      </w:r>
      <w:r w:rsidR="00F30997" w:rsidRPr="00D337FA">
        <w:rPr>
          <w:i/>
          <w:szCs w:val="24"/>
          <w:lang w:val="en-US"/>
        </w:rPr>
        <w:t>novyh</w:t>
      </w:r>
      <w:r w:rsidR="006C680D" w:rsidRPr="00D337FA">
        <w:rPr>
          <w:i/>
          <w:szCs w:val="24"/>
          <w:lang w:val="en-US"/>
        </w:rPr>
        <w:t xml:space="preserve"> </w:t>
      </w:r>
      <w:r w:rsidR="00F30997" w:rsidRPr="00D337FA">
        <w:rPr>
          <w:i/>
          <w:szCs w:val="24"/>
          <w:lang w:val="en-US"/>
        </w:rPr>
        <w:t>usloviyah:</w:t>
      </w:r>
      <w:r w:rsidR="006C680D" w:rsidRPr="00D337FA">
        <w:rPr>
          <w:i/>
          <w:szCs w:val="24"/>
          <w:lang w:val="en-US"/>
        </w:rPr>
        <w:t xml:space="preserve"> </w:t>
      </w:r>
      <w:r w:rsidR="00F30997" w:rsidRPr="00D337FA">
        <w:rPr>
          <w:i/>
          <w:szCs w:val="24"/>
          <w:lang w:val="en-US"/>
        </w:rPr>
        <w:t>problemy</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mery,</w:t>
      </w:r>
      <w:r w:rsidR="006C680D" w:rsidRPr="00D337FA">
        <w:rPr>
          <w:i/>
          <w:szCs w:val="24"/>
          <w:lang w:val="en-US"/>
        </w:rPr>
        <w:t xml:space="preserve"> </w:t>
      </w:r>
      <w:r w:rsidR="00F30997" w:rsidRPr="00D337FA">
        <w:rPr>
          <w:i/>
          <w:szCs w:val="24"/>
          <w:lang w:val="en-US"/>
        </w:rPr>
        <w:t>neobhodimye</w:t>
      </w:r>
      <w:r w:rsidR="006C680D" w:rsidRPr="00D337FA">
        <w:rPr>
          <w:i/>
          <w:szCs w:val="24"/>
          <w:lang w:val="en-US"/>
        </w:rPr>
        <w:t xml:space="preserve"> </w:t>
      </w:r>
      <w:r w:rsidR="00F30997" w:rsidRPr="00D337FA">
        <w:rPr>
          <w:i/>
          <w:szCs w:val="24"/>
          <w:lang w:val="en-US"/>
        </w:rPr>
        <w:t>dlya</w:t>
      </w:r>
      <w:r w:rsidR="006C680D" w:rsidRPr="00D337FA">
        <w:rPr>
          <w:i/>
          <w:szCs w:val="24"/>
          <w:lang w:val="en-US"/>
        </w:rPr>
        <w:t xml:space="preserve"> </w:t>
      </w:r>
      <w:r w:rsidR="00F30997" w:rsidRPr="00D337FA">
        <w:rPr>
          <w:i/>
          <w:szCs w:val="24"/>
          <w:lang w:val="en-US"/>
        </w:rPr>
        <w:t>razvi-tiya</w:t>
      </w:r>
      <w:r w:rsidR="006C680D" w:rsidRPr="00D337FA">
        <w:rPr>
          <w:i/>
          <w:szCs w:val="24"/>
          <w:lang w:val="en-US"/>
        </w:rPr>
        <w:t xml:space="preserve"> </w:t>
      </w:r>
      <w:r w:rsidR="00F30997" w:rsidRPr="00D337FA">
        <w:rPr>
          <w:i/>
          <w:szCs w:val="24"/>
          <w:lang w:val="en-US"/>
        </w:rPr>
        <w:t>[</w:t>
      </w:r>
      <w:r w:rsidRPr="00D337FA">
        <w:rPr>
          <w:i/>
          <w:szCs w:val="24"/>
          <w:lang w:val="en-US"/>
        </w:rPr>
        <w:t>Small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Medium-Sized</w:t>
      </w:r>
      <w:r w:rsidR="006C680D" w:rsidRPr="00D337FA">
        <w:rPr>
          <w:i/>
          <w:szCs w:val="24"/>
          <w:lang w:val="en-US"/>
        </w:rPr>
        <w:t xml:space="preserve"> </w:t>
      </w:r>
      <w:r w:rsidRPr="00D337FA">
        <w:rPr>
          <w:i/>
          <w:szCs w:val="24"/>
          <w:lang w:val="en-US"/>
        </w:rPr>
        <w:t>Businesses</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New</w:t>
      </w:r>
      <w:r w:rsidR="006C680D" w:rsidRPr="00D337FA">
        <w:rPr>
          <w:i/>
          <w:szCs w:val="24"/>
          <w:lang w:val="en-US"/>
        </w:rPr>
        <w:t xml:space="preserve"> </w:t>
      </w:r>
      <w:r w:rsidRPr="00D337FA">
        <w:rPr>
          <w:i/>
          <w:szCs w:val="24"/>
          <w:lang w:val="en-US"/>
        </w:rPr>
        <w:t>Conditions:</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Measures</w:t>
      </w:r>
      <w:r w:rsidR="006C680D" w:rsidRPr="00D337FA">
        <w:rPr>
          <w:i/>
          <w:szCs w:val="24"/>
          <w:lang w:val="en-US"/>
        </w:rPr>
        <w:t xml:space="preserve"> </w:t>
      </w:r>
      <w:r w:rsidRPr="00D337FA">
        <w:rPr>
          <w:i/>
          <w:szCs w:val="24"/>
          <w:lang w:val="en-US"/>
        </w:rPr>
        <w:t>Necessary</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Development</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https://icss.ru/images/macro/20240205_%D0%98%D0%9A%D0%A1%D0%98%20%D0%9C%D0%A1%D0%9F%20(6).pdf</w:t>
      </w:r>
    </w:p>
    <w:p w:rsidR="00133405" w:rsidRPr="00D337FA" w:rsidRDefault="00133405" w:rsidP="00133405">
      <w:pPr>
        <w:ind w:firstLine="284"/>
        <w:rPr>
          <w:i/>
          <w:szCs w:val="24"/>
          <w:lang w:val="en-US"/>
        </w:rPr>
      </w:pPr>
      <w:r w:rsidRPr="00D337FA">
        <w:rPr>
          <w:i/>
          <w:szCs w:val="24"/>
          <w:lang w:val="en-US"/>
        </w:rPr>
        <w:t>8.</w:t>
      </w:r>
      <w:r w:rsidR="006C680D" w:rsidRPr="00D337FA">
        <w:rPr>
          <w:i/>
          <w:szCs w:val="24"/>
          <w:lang w:val="en-US"/>
        </w:rPr>
        <w:t xml:space="preserve"> </w:t>
      </w:r>
      <w:r w:rsidR="00F30997" w:rsidRPr="00D337FA">
        <w:rPr>
          <w:i/>
          <w:szCs w:val="24"/>
          <w:lang w:val="en-US"/>
        </w:rPr>
        <w:t>Nebankovskie</w:t>
      </w:r>
      <w:r w:rsidR="006C680D" w:rsidRPr="00D337FA">
        <w:rPr>
          <w:i/>
          <w:szCs w:val="24"/>
          <w:lang w:val="en-US"/>
        </w:rPr>
        <w:t xml:space="preserve"> </w:t>
      </w:r>
      <w:r w:rsidR="00F30997" w:rsidRPr="00D337FA">
        <w:rPr>
          <w:i/>
          <w:szCs w:val="24"/>
          <w:lang w:val="en-US"/>
        </w:rPr>
        <w:t>servisy</w:t>
      </w:r>
      <w:r w:rsidR="006C680D" w:rsidRPr="00D337FA">
        <w:rPr>
          <w:i/>
          <w:szCs w:val="24"/>
          <w:lang w:val="en-US"/>
        </w:rPr>
        <w:t xml:space="preserve"> </w:t>
      </w:r>
      <w:r w:rsidR="00F30997" w:rsidRPr="00D337FA">
        <w:rPr>
          <w:i/>
          <w:szCs w:val="24"/>
          <w:lang w:val="en-US"/>
        </w:rPr>
        <w:t>dlya</w:t>
      </w:r>
      <w:r w:rsidR="006C680D" w:rsidRPr="00D337FA">
        <w:rPr>
          <w:i/>
          <w:szCs w:val="24"/>
          <w:lang w:val="en-US"/>
        </w:rPr>
        <w:t xml:space="preserve"> </w:t>
      </w:r>
      <w:r w:rsidR="00F30997" w:rsidRPr="00D337FA">
        <w:rPr>
          <w:i/>
          <w:szCs w:val="24"/>
          <w:lang w:val="en-US"/>
        </w:rPr>
        <w:t>malogo</w:t>
      </w:r>
      <w:r w:rsidR="006C680D" w:rsidRPr="00D337FA">
        <w:rPr>
          <w:i/>
          <w:szCs w:val="24"/>
          <w:lang w:val="en-US"/>
        </w:rPr>
        <w:t xml:space="preserve"> </w:t>
      </w:r>
      <w:r w:rsidR="00F30997" w:rsidRPr="00D337FA">
        <w:rPr>
          <w:i/>
          <w:szCs w:val="24"/>
          <w:lang w:val="en-US"/>
        </w:rPr>
        <w:t>biznesa</w:t>
      </w:r>
      <w:r w:rsidR="006C680D" w:rsidRPr="00D337FA">
        <w:rPr>
          <w:i/>
          <w:szCs w:val="24"/>
          <w:lang w:val="en-US"/>
        </w:rPr>
        <w:t xml:space="preserve"> </w:t>
      </w:r>
      <w:r w:rsidR="00F30997" w:rsidRPr="00D337FA">
        <w:rPr>
          <w:i/>
          <w:szCs w:val="24"/>
          <w:lang w:val="en-US"/>
        </w:rPr>
        <w:t>[</w:t>
      </w:r>
      <w:r w:rsidRPr="00D337FA">
        <w:rPr>
          <w:i/>
          <w:szCs w:val="24"/>
          <w:lang w:val="en-US"/>
        </w:rPr>
        <w:t>Non-banking</w:t>
      </w:r>
      <w:r w:rsidR="006C680D" w:rsidRPr="00D337FA">
        <w:rPr>
          <w:i/>
          <w:szCs w:val="24"/>
          <w:lang w:val="en-US"/>
        </w:rPr>
        <w:t xml:space="preserve"> </w:t>
      </w:r>
      <w:r w:rsidRPr="00D337FA">
        <w:rPr>
          <w:i/>
          <w:szCs w:val="24"/>
          <w:lang w:val="en-US"/>
        </w:rPr>
        <w:t>services</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businesses</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https://frankrg.com/research/nebankovskie-servisy-dlya-malogo-biznesa-2024?ysclid=mam7sx9b1e8431709</w:t>
      </w:r>
    </w:p>
    <w:p w:rsidR="00133405" w:rsidRPr="00D337FA" w:rsidRDefault="00133405" w:rsidP="00133405">
      <w:pPr>
        <w:ind w:firstLine="284"/>
        <w:rPr>
          <w:i/>
          <w:szCs w:val="24"/>
          <w:lang w:val="en-US"/>
        </w:rPr>
      </w:pPr>
      <w:r w:rsidRPr="00D337FA">
        <w:rPr>
          <w:i/>
          <w:szCs w:val="24"/>
          <w:lang w:val="en-US"/>
        </w:rPr>
        <w:t>9.</w:t>
      </w:r>
      <w:r w:rsidR="006C680D" w:rsidRPr="00D337FA">
        <w:rPr>
          <w:i/>
          <w:szCs w:val="24"/>
          <w:lang w:val="en-US"/>
        </w:rPr>
        <w:t xml:space="preserve"> </w:t>
      </w:r>
      <w:r w:rsidR="00F30997" w:rsidRPr="00D337FA">
        <w:rPr>
          <w:i/>
          <w:szCs w:val="24"/>
          <w:lang w:val="en-US"/>
        </w:rPr>
        <w:t>Oficial'nyj</w:t>
      </w:r>
      <w:r w:rsidR="006C680D" w:rsidRPr="00D337FA">
        <w:rPr>
          <w:i/>
          <w:szCs w:val="24"/>
          <w:lang w:val="en-US"/>
        </w:rPr>
        <w:t xml:space="preserve"> </w:t>
      </w:r>
      <w:r w:rsidR="00F30997" w:rsidRPr="00D337FA">
        <w:rPr>
          <w:i/>
          <w:szCs w:val="24"/>
          <w:lang w:val="en-US"/>
        </w:rPr>
        <w:t>sajt</w:t>
      </w:r>
      <w:r w:rsidR="006C680D" w:rsidRPr="00D337FA">
        <w:rPr>
          <w:i/>
          <w:szCs w:val="24"/>
          <w:lang w:val="en-US"/>
        </w:rPr>
        <w:t xml:space="preserve"> </w:t>
      </w:r>
      <w:r w:rsidR="00F30997" w:rsidRPr="00D337FA">
        <w:rPr>
          <w:i/>
          <w:szCs w:val="24"/>
          <w:lang w:val="en-US"/>
        </w:rPr>
        <w:t>Banka</w:t>
      </w:r>
      <w:r w:rsidR="006C680D" w:rsidRPr="00D337FA">
        <w:rPr>
          <w:i/>
          <w:szCs w:val="24"/>
          <w:lang w:val="en-US"/>
        </w:rPr>
        <w:t xml:space="preserve"> </w:t>
      </w:r>
      <w:r w:rsidR="00F30997" w:rsidRPr="00D337FA">
        <w:rPr>
          <w:i/>
          <w:szCs w:val="24"/>
          <w:lang w:val="en-US"/>
        </w:rPr>
        <w:t>Rossii</w:t>
      </w:r>
      <w:r w:rsidR="006C680D" w:rsidRPr="00D337FA">
        <w:rPr>
          <w:i/>
          <w:szCs w:val="24"/>
          <w:lang w:val="en-US"/>
        </w:rPr>
        <w:t xml:space="preserve"> </w:t>
      </w:r>
      <w:r w:rsidR="00F30997" w:rsidRPr="00D337FA">
        <w:rPr>
          <w:i/>
          <w:szCs w:val="24"/>
          <w:lang w:val="en-US"/>
        </w:rPr>
        <w:t>«Tendencii</w:t>
      </w:r>
      <w:r w:rsidR="006C680D" w:rsidRPr="00D337FA">
        <w:rPr>
          <w:i/>
          <w:szCs w:val="24"/>
          <w:lang w:val="en-US"/>
        </w:rPr>
        <w:t xml:space="preserve"> </w:t>
      </w:r>
      <w:r w:rsidR="00F30997" w:rsidRPr="00D337FA">
        <w:rPr>
          <w:i/>
          <w:szCs w:val="24"/>
          <w:lang w:val="en-US"/>
        </w:rPr>
        <w:t>na</w:t>
      </w:r>
      <w:r w:rsidR="006C680D" w:rsidRPr="00D337FA">
        <w:rPr>
          <w:i/>
          <w:szCs w:val="24"/>
          <w:lang w:val="en-US"/>
        </w:rPr>
        <w:t xml:space="preserve"> </w:t>
      </w:r>
      <w:r w:rsidR="00F30997" w:rsidRPr="00D337FA">
        <w:rPr>
          <w:i/>
          <w:szCs w:val="24"/>
          <w:lang w:val="en-US"/>
        </w:rPr>
        <w:t>rynke</w:t>
      </w:r>
      <w:r w:rsidR="006C680D" w:rsidRPr="00D337FA">
        <w:rPr>
          <w:i/>
          <w:szCs w:val="24"/>
          <w:lang w:val="en-US"/>
        </w:rPr>
        <w:t xml:space="preserve"> </w:t>
      </w:r>
      <w:r w:rsidR="00F30997" w:rsidRPr="00D337FA">
        <w:rPr>
          <w:i/>
          <w:szCs w:val="24"/>
          <w:lang w:val="en-US"/>
        </w:rPr>
        <w:t>MFO</w:t>
      </w:r>
      <w:r w:rsidR="006C680D" w:rsidRPr="00D337FA">
        <w:rPr>
          <w:i/>
          <w:szCs w:val="24"/>
          <w:lang w:val="en-US"/>
        </w:rPr>
        <w:t xml:space="preserve"> </w:t>
      </w:r>
      <w:r w:rsidR="00F30997" w:rsidRPr="00D337FA">
        <w:rPr>
          <w:i/>
          <w:szCs w:val="24"/>
          <w:lang w:val="en-US"/>
        </w:rPr>
        <w:t>predprinimatel'skogo</w:t>
      </w:r>
      <w:r w:rsidR="006C680D" w:rsidRPr="00D337FA">
        <w:rPr>
          <w:i/>
          <w:szCs w:val="24"/>
          <w:lang w:val="en-US"/>
        </w:rPr>
        <w:t xml:space="preserve"> </w:t>
      </w:r>
      <w:r w:rsidR="00F30997" w:rsidRPr="00D337FA">
        <w:rPr>
          <w:i/>
          <w:szCs w:val="24"/>
          <w:lang w:val="en-US"/>
        </w:rPr>
        <w:t>finansirovaniya»</w:t>
      </w:r>
      <w:r w:rsidR="006C680D" w:rsidRPr="00D337FA">
        <w:rPr>
          <w:i/>
          <w:szCs w:val="24"/>
          <w:lang w:val="en-US"/>
        </w:rPr>
        <w:t xml:space="preserve"> </w:t>
      </w:r>
      <w:r w:rsidR="00F30997" w:rsidRPr="00D337FA">
        <w:rPr>
          <w:i/>
          <w:szCs w:val="24"/>
          <w:lang w:val="en-US"/>
        </w:rPr>
        <w:t>[</w:t>
      </w:r>
      <w:r w:rsidRPr="00D337FA">
        <w:rPr>
          <w:i/>
          <w:szCs w:val="24"/>
          <w:lang w:val="en-US"/>
        </w:rPr>
        <w:t>Official</w:t>
      </w:r>
      <w:r w:rsidR="006C680D" w:rsidRPr="00D337FA">
        <w:rPr>
          <w:i/>
          <w:szCs w:val="24"/>
          <w:lang w:val="en-US"/>
        </w:rPr>
        <w:t xml:space="preserve"> </w:t>
      </w:r>
      <w:r w:rsidRPr="00D337FA">
        <w:rPr>
          <w:i/>
          <w:szCs w:val="24"/>
          <w:lang w:val="en-US"/>
        </w:rPr>
        <w:t>website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Bank</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Russia</w:t>
      </w:r>
      <w:r w:rsidR="006C680D" w:rsidRPr="00D337FA">
        <w:rPr>
          <w:i/>
          <w:szCs w:val="24"/>
          <w:lang w:val="en-US"/>
        </w:rPr>
        <w:t xml:space="preserve"> </w:t>
      </w:r>
      <w:r w:rsidRPr="00D337FA">
        <w:rPr>
          <w:i/>
          <w:szCs w:val="24"/>
          <w:lang w:val="en-US"/>
        </w:rPr>
        <w:t>"Trends</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MFI</w:t>
      </w:r>
      <w:r w:rsidR="006C680D" w:rsidRPr="00D337FA">
        <w:rPr>
          <w:i/>
          <w:szCs w:val="24"/>
          <w:lang w:val="en-US"/>
        </w:rPr>
        <w:t xml:space="preserve"> </w:t>
      </w:r>
      <w:r w:rsidRPr="00D337FA">
        <w:rPr>
          <w:i/>
          <w:szCs w:val="24"/>
          <w:lang w:val="en-US"/>
        </w:rPr>
        <w:t>entrepreneurial</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market"</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https://www.cbr.ru/analytics/microfinance/2024/?utm_source</w:t>
      </w:r>
    </w:p>
    <w:p w:rsidR="00133405" w:rsidRPr="00D337FA" w:rsidRDefault="00133405" w:rsidP="00133405">
      <w:pPr>
        <w:ind w:firstLine="284"/>
        <w:rPr>
          <w:i/>
          <w:szCs w:val="24"/>
          <w:lang w:val="en-US"/>
        </w:rPr>
      </w:pPr>
      <w:r w:rsidRPr="00D337FA">
        <w:rPr>
          <w:i/>
          <w:szCs w:val="24"/>
          <w:lang w:val="en-US"/>
        </w:rPr>
        <w:t>10.</w:t>
      </w:r>
      <w:r w:rsidR="006C680D" w:rsidRPr="00D337FA">
        <w:rPr>
          <w:i/>
          <w:szCs w:val="24"/>
          <w:lang w:val="en-US"/>
        </w:rPr>
        <w:t xml:space="preserve"> </w:t>
      </w:r>
      <w:r w:rsidR="00F30997" w:rsidRPr="00D337FA">
        <w:rPr>
          <w:i/>
          <w:szCs w:val="24"/>
          <w:lang w:val="en-US"/>
        </w:rPr>
        <w:t>Oficial'nyj</w:t>
      </w:r>
      <w:r w:rsidR="006C680D" w:rsidRPr="00D337FA">
        <w:rPr>
          <w:i/>
          <w:szCs w:val="24"/>
          <w:lang w:val="en-US"/>
        </w:rPr>
        <w:t xml:space="preserve"> </w:t>
      </w:r>
      <w:r w:rsidR="00F30997" w:rsidRPr="00D337FA">
        <w:rPr>
          <w:i/>
          <w:szCs w:val="24"/>
          <w:lang w:val="en-US"/>
        </w:rPr>
        <w:t>sajt</w:t>
      </w:r>
      <w:r w:rsidR="006C680D" w:rsidRPr="00D337FA">
        <w:rPr>
          <w:i/>
          <w:szCs w:val="24"/>
          <w:lang w:val="en-US"/>
        </w:rPr>
        <w:t xml:space="preserve"> </w:t>
      </w:r>
      <w:r w:rsidR="00F30997" w:rsidRPr="00D337FA">
        <w:rPr>
          <w:i/>
          <w:szCs w:val="24"/>
          <w:lang w:val="en-US"/>
        </w:rPr>
        <w:t>Ministerstva</w:t>
      </w:r>
      <w:r w:rsidR="006C680D" w:rsidRPr="00D337FA">
        <w:rPr>
          <w:i/>
          <w:szCs w:val="24"/>
          <w:lang w:val="en-US"/>
        </w:rPr>
        <w:t xml:space="preserve"> </w:t>
      </w:r>
      <w:r w:rsidR="00F30997" w:rsidRPr="00D337FA">
        <w:rPr>
          <w:i/>
          <w:szCs w:val="24"/>
          <w:lang w:val="en-US"/>
        </w:rPr>
        <w:t>ekonomicheskogo</w:t>
      </w:r>
      <w:r w:rsidR="006C680D" w:rsidRPr="00D337FA">
        <w:rPr>
          <w:i/>
          <w:szCs w:val="24"/>
          <w:lang w:val="en-US"/>
        </w:rPr>
        <w:t xml:space="preserve"> </w:t>
      </w:r>
      <w:r w:rsidR="00F30997" w:rsidRPr="00D337FA">
        <w:rPr>
          <w:i/>
          <w:szCs w:val="24"/>
          <w:lang w:val="en-US"/>
        </w:rPr>
        <w:t>razvitiya</w:t>
      </w:r>
      <w:r w:rsidR="006C680D" w:rsidRPr="00D337FA">
        <w:rPr>
          <w:i/>
          <w:szCs w:val="24"/>
          <w:lang w:val="en-US"/>
        </w:rPr>
        <w:t xml:space="preserve"> </w:t>
      </w:r>
      <w:r w:rsidR="00F30997" w:rsidRPr="00D337FA">
        <w:rPr>
          <w:i/>
          <w:szCs w:val="24"/>
          <w:lang w:val="en-US"/>
        </w:rPr>
        <w:t>RF</w:t>
      </w:r>
      <w:r w:rsidR="006C680D" w:rsidRPr="00D337FA">
        <w:rPr>
          <w:i/>
          <w:szCs w:val="24"/>
          <w:lang w:val="en-US"/>
        </w:rPr>
        <w:t xml:space="preserve"> </w:t>
      </w:r>
      <w:r w:rsidR="00F30997" w:rsidRPr="00D337FA">
        <w:rPr>
          <w:i/>
          <w:szCs w:val="24"/>
          <w:lang w:val="en-US"/>
        </w:rPr>
        <w:t>«Minekonomrazvi-tiya:</w:t>
      </w:r>
      <w:r w:rsidR="006C680D" w:rsidRPr="00D337FA">
        <w:rPr>
          <w:i/>
          <w:szCs w:val="24"/>
          <w:lang w:val="en-US"/>
        </w:rPr>
        <w:t xml:space="preserve"> </w:t>
      </w:r>
      <w:r w:rsidR="00F30997" w:rsidRPr="00D337FA">
        <w:rPr>
          <w:i/>
          <w:szCs w:val="24"/>
          <w:lang w:val="en-US"/>
        </w:rPr>
        <w:t>finansovaya</w:t>
      </w:r>
      <w:r w:rsidR="006C680D" w:rsidRPr="00D337FA">
        <w:rPr>
          <w:i/>
          <w:szCs w:val="24"/>
          <w:lang w:val="en-US"/>
        </w:rPr>
        <w:t xml:space="preserve"> </w:t>
      </w:r>
      <w:r w:rsidR="00F30997" w:rsidRPr="00D337FA">
        <w:rPr>
          <w:i/>
          <w:szCs w:val="24"/>
          <w:lang w:val="en-US"/>
        </w:rPr>
        <w:t>podderzhka</w:t>
      </w:r>
      <w:r w:rsidR="006C680D" w:rsidRPr="00D337FA">
        <w:rPr>
          <w:i/>
          <w:szCs w:val="24"/>
          <w:lang w:val="en-US"/>
        </w:rPr>
        <w:t xml:space="preserve"> </w:t>
      </w:r>
      <w:r w:rsidR="00F30997" w:rsidRPr="00D337FA">
        <w:rPr>
          <w:i/>
          <w:szCs w:val="24"/>
          <w:lang w:val="en-US"/>
        </w:rPr>
        <w:t>nacproekta</w:t>
      </w:r>
      <w:r w:rsidR="006C680D" w:rsidRPr="00D337FA">
        <w:rPr>
          <w:i/>
          <w:szCs w:val="24"/>
          <w:lang w:val="en-US"/>
        </w:rPr>
        <w:t xml:space="preserve"> </w:t>
      </w:r>
      <w:r w:rsidR="00F30997" w:rsidRPr="00D337FA">
        <w:rPr>
          <w:i/>
          <w:szCs w:val="24"/>
          <w:lang w:val="en-US"/>
        </w:rPr>
        <w:t>privela</w:t>
      </w:r>
      <w:r w:rsidR="006C680D" w:rsidRPr="00D337FA">
        <w:rPr>
          <w:i/>
          <w:szCs w:val="24"/>
          <w:lang w:val="en-US"/>
        </w:rPr>
        <w:t xml:space="preserve"> </w:t>
      </w:r>
      <w:r w:rsidR="00F30997" w:rsidRPr="00D337FA">
        <w:rPr>
          <w:i/>
          <w:szCs w:val="24"/>
          <w:lang w:val="en-US"/>
        </w:rPr>
        <w:t>k</w:t>
      </w:r>
      <w:r w:rsidR="006C680D" w:rsidRPr="00D337FA">
        <w:rPr>
          <w:i/>
          <w:szCs w:val="24"/>
          <w:lang w:val="en-US"/>
        </w:rPr>
        <w:t xml:space="preserve"> </w:t>
      </w:r>
      <w:r w:rsidR="00F30997" w:rsidRPr="00D337FA">
        <w:rPr>
          <w:i/>
          <w:szCs w:val="24"/>
          <w:lang w:val="en-US"/>
        </w:rPr>
        <w:t>kachestvennomu</w:t>
      </w:r>
      <w:r w:rsidR="006C680D" w:rsidRPr="00D337FA">
        <w:rPr>
          <w:i/>
          <w:szCs w:val="24"/>
          <w:lang w:val="en-US"/>
        </w:rPr>
        <w:t xml:space="preserve"> </w:t>
      </w:r>
      <w:r w:rsidR="00F30997" w:rsidRPr="00D337FA">
        <w:rPr>
          <w:i/>
          <w:szCs w:val="24"/>
          <w:lang w:val="en-US"/>
        </w:rPr>
        <w:t>rostu</w:t>
      </w:r>
      <w:r w:rsidR="006C680D" w:rsidRPr="00D337FA">
        <w:rPr>
          <w:i/>
          <w:szCs w:val="24"/>
          <w:lang w:val="en-US"/>
        </w:rPr>
        <w:t xml:space="preserve"> </w:t>
      </w:r>
      <w:r w:rsidR="00F30997" w:rsidRPr="00D337FA">
        <w:rPr>
          <w:i/>
          <w:szCs w:val="24"/>
          <w:lang w:val="en-US"/>
        </w:rPr>
        <w:t>sektora</w:t>
      </w:r>
      <w:r w:rsidR="006C680D" w:rsidRPr="00D337FA">
        <w:rPr>
          <w:i/>
          <w:szCs w:val="24"/>
          <w:lang w:val="en-US"/>
        </w:rPr>
        <w:t xml:space="preserve"> </w:t>
      </w:r>
      <w:r w:rsidR="00F30997" w:rsidRPr="00D337FA">
        <w:rPr>
          <w:i/>
          <w:szCs w:val="24"/>
          <w:lang w:val="en-US"/>
        </w:rPr>
        <w:t>MSP»</w:t>
      </w:r>
      <w:r w:rsidR="006C680D" w:rsidRPr="00D337FA">
        <w:rPr>
          <w:i/>
          <w:szCs w:val="24"/>
          <w:lang w:val="en-US"/>
        </w:rPr>
        <w:t xml:space="preserve"> </w:t>
      </w:r>
      <w:r w:rsidR="00F30997" w:rsidRPr="00D337FA">
        <w:rPr>
          <w:i/>
          <w:szCs w:val="24"/>
          <w:lang w:val="en-US"/>
        </w:rPr>
        <w:t>[</w:t>
      </w:r>
      <w:r w:rsidRPr="00D337FA">
        <w:rPr>
          <w:i/>
          <w:szCs w:val="24"/>
          <w:lang w:val="en-US"/>
        </w:rPr>
        <w:t>Official</w:t>
      </w:r>
      <w:r w:rsidR="006C680D" w:rsidRPr="00D337FA">
        <w:rPr>
          <w:i/>
          <w:szCs w:val="24"/>
          <w:lang w:val="en-US"/>
        </w:rPr>
        <w:t xml:space="preserve"> </w:t>
      </w:r>
      <w:r w:rsidRPr="00D337FA">
        <w:rPr>
          <w:i/>
          <w:szCs w:val="24"/>
          <w:lang w:val="en-US"/>
        </w:rPr>
        <w:t>website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Ministry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Federation</w:t>
      </w:r>
      <w:r w:rsidR="00A53D60">
        <w:rPr>
          <w:i/>
          <w:szCs w:val="24"/>
          <w:lang w:val="en-US"/>
        </w:rPr>
        <w:t xml:space="preserve"> “</w:t>
      </w:r>
      <w:r w:rsidRPr="00D337FA">
        <w:rPr>
          <w:i/>
          <w:szCs w:val="24"/>
          <w:lang w:val="en-US"/>
        </w:rPr>
        <w:t>Ministry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support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national</w:t>
      </w:r>
      <w:r w:rsidR="006C680D" w:rsidRPr="00D337FA">
        <w:rPr>
          <w:i/>
          <w:szCs w:val="24"/>
          <w:lang w:val="en-US"/>
        </w:rPr>
        <w:t xml:space="preserve"> </w:t>
      </w:r>
      <w:r w:rsidRPr="00D337FA">
        <w:rPr>
          <w:i/>
          <w:szCs w:val="24"/>
          <w:lang w:val="en-US"/>
        </w:rPr>
        <w:t>project</w:t>
      </w:r>
      <w:r w:rsidR="006C680D" w:rsidRPr="00D337FA">
        <w:rPr>
          <w:i/>
          <w:szCs w:val="24"/>
          <w:lang w:val="en-US"/>
        </w:rPr>
        <w:t xml:space="preserve"> </w:t>
      </w:r>
      <w:r w:rsidRPr="00D337FA">
        <w:rPr>
          <w:i/>
          <w:szCs w:val="24"/>
          <w:lang w:val="en-US"/>
        </w:rPr>
        <w:t>led</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qualitative</w:t>
      </w:r>
      <w:r w:rsidR="006C680D" w:rsidRPr="00D337FA">
        <w:rPr>
          <w:i/>
          <w:szCs w:val="24"/>
          <w:lang w:val="en-US"/>
        </w:rPr>
        <w:t xml:space="preserve"> </w:t>
      </w:r>
      <w:r w:rsidRPr="00D337FA">
        <w:rPr>
          <w:i/>
          <w:szCs w:val="24"/>
          <w:lang w:val="en-US"/>
        </w:rPr>
        <w:t>growth</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SME</w:t>
      </w:r>
      <w:r w:rsidR="006C680D" w:rsidRPr="00D337FA">
        <w:rPr>
          <w:i/>
          <w:szCs w:val="24"/>
          <w:lang w:val="en-US"/>
        </w:rPr>
        <w:t xml:space="preserve"> </w:t>
      </w:r>
      <w:r w:rsidRPr="00D337FA">
        <w:rPr>
          <w:i/>
          <w:szCs w:val="24"/>
          <w:lang w:val="en-US"/>
        </w:rPr>
        <w:t>sector</w:t>
      </w:r>
      <w:r w:rsidR="00A53D60" w:rsidRPr="00A53D60">
        <w:rPr>
          <w:i/>
          <w:szCs w:val="24"/>
          <w:lang w:val="en-US"/>
        </w:rPr>
        <w:t>»</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https://www.economy.gov.ru/material/news/minekonomrazvitiya_finansovaya_podderzhka_nacproekta_privela_k_kachestvennomu_rostu_sektora_msp.html</w:t>
      </w:r>
    </w:p>
    <w:p w:rsidR="00133405" w:rsidRPr="00D337FA" w:rsidRDefault="00133405" w:rsidP="00133405">
      <w:pPr>
        <w:ind w:firstLine="284"/>
        <w:rPr>
          <w:i/>
          <w:szCs w:val="24"/>
          <w:lang w:val="en-US"/>
        </w:rPr>
      </w:pPr>
      <w:r w:rsidRPr="00D337FA">
        <w:rPr>
          <w:i/>
          <w:szCs w:val="24"/>
          <w:lang w:val="en-US"/>
        </w:rPr>
        <w:t>11.</w:t>
      </w:r>
      <w:r w:rsidR="006C680D" w:rsidRPr="00D337FA">
        <w:rPr>
          <w:i/>
          <w:szCs w:val="24"/>
          <w:lang w:val="en-US"/>
        </w:rPr>
        <w:t xml:space="preserve"> </w:t>
      </w:r>
      <w:r w:rsidR="00F30997" w:rsidRPr="00D337FA">
        <w:rPr>
          <w:i/>
          <w:szCs w:val="24"/>
          <w:lang w:val="en-US"/>
        </w:rPr>
        <w:t>Rejting</w:t>
      </w:r>
      <w:r w:rsidR="006C680D" w:rsidRPr="00D337FA">
        <w:rPr>
          <w:i/>
          <w:szCs w:val="24"/>
          <w:lang w:val="en-US"/>
        </w:rPr>
        <w:t xml:space="preserve"> </w:t>
      </w:r>
      <w:r w:rsidR="00F30997" w:rsidRPr="00D337FA">
        <w:rPr>
          <w:i/>
          <w:szCs w:val="24"/>
          <w:lang w:val="en-US"/>
        </w:rPr>
        <w:t>biznes-internet-bankinga</w:t>
      </w:r>
      <w:r w:rsidR="006C680D" w:rsidRPr="00D337FA">
        <w:rPr>
          <w:i/>
          <w:szCs w:val="24"/>
          <w:lang w:val="en-US"/>
        </w:rPr>
        <w:t xml:space="preserve"> </w:t>
      </w:r>
      <w:r w:rsidR="00F30997" w:rsidRPr="00D337FA">
        <w:rPr>
          <w:i/>
          <w:szCs w:val="24"/>
          <w:lang w:val="en-US"/>
        </w:rPr>
        <w:t>[</w:t>
      </w:r>
      <w:r w:rsidRPr="00D337FA">
        <w:rPr>
          <w:i/>
          <w:szCs w:val="24"/>
          <w:lang w:val="en-US"/>
        </w:rPr>
        <w:t>Business</w:t>
      </w:r>
      <w:r w:rsidR="006C680D" w:rsidRPr="00D337FA">
        <w:rPr>
          <w:i/>
          <w:szCs w:val="24"/>
          <w:lang w:val="en-US"/>
        </w:rPr>
        <w:t xml:space="preserve"> </w:t>
      </w:r>
      <w:r w:rsidRPr="00D337FA">
        <w:rPr>
          <w:i/>
          <w:szCs w:val="24"/>
          <w:lang w:val="en-US"/>
        </w:rPr>
        <w:t>Internet</w:t>
      </w:r>
      <w:r w:rsidR="006C680D" w:rsidRPr="00D337FA">
        <w:rPr>
          <w:i/>
          <w:szCs w:val="24"/>
          <w:lang w:val="en-US"/>
        </w:rPr>
        <w:t xml:space="preserve"> </w:t>
      </w:r>
      <w:r w:rsidRPr="00D337FA">
        <w:rPr>
          <w:i/>
          <w:szCs w:val="24"/>
          <w:lang w:val="en-US"/>
        </w:rPr>
        <w:t>Banking</w:t>
      </w:r>
      <w:r w:rsidR="006C680D" w:rsidRPr="00D337FA">
        <w:rPr>
          <w:i/>
          <w:szCs w:val="24"/>
          <w:lang w:val="en-US"/>
        </w:rPr>
        <w:t xml:space="preserve"> </w:t>
      </w:r>
      <w:r w:rsidRPr="00D337FA">
        <w:rPr>
          <w:i/>
          <w:szCs w:val="24"/>
          <w:lang w:val="en-US"/>
        </w:rPr>
        <w:t>Rating</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https://www.markswebb.ru/report/business-internet-banking-rank-2024/?utm_source</w:t>
      </w:r>
    </w:p>
    <w:p w:rsidR="00133405" w:rsidRPr="00D337FA" w:rsidRDefault="00133405" w:rsidP="00133405">
      <w:pPr>
        <w:ind w:firstLine="284"/>
        <w:rPr>
          <w:i/>
          <w:szCs w:val="24"/>
          <w:lang w:val="en-US"/>
        </w:rPr>
      </w:pPr>
      <w:r w:rsidRPr="00D337FA">
        <w:rPr>
          <w:i/>
          <w:szCs w:val="24"/>
          <w:lang w:val="en-US"/>
        </w:rPr>
        <w:t>12.</w:t>
      </w:r>
      <w:r w:rsidR="006C680D" w:rsidRPr="00D337FA">
        <w:rPr>
          <w:i/>
          <w:szCs w:val="24"/>
          <w:lang w:val="en-US"/>
        </w:rPr>
        <w:t xml:space="preserve"> </w:t>
      </w:r>
      <w:r w:rsidRPr="00D337FA">
        <w:rPr>
          <w:i/>
          <w:szCs w:val="24"/>
          <w:lang w:val="en-US"/>
        </w:rPr>
        <w:t>Smirnova</w:t>
      </w:r>
      <w:r w:rsidR="006C680D" w:rsidRPr="00D337FA">
        <w:rPr>
          <w:i/>
          <w:szCs w:val="24"/>
          <w:lang w:val="en-US"/>
        </w:rPr>
        <w:t xml:space="preserve"> </w:t>
      </w:r>
      <w:r w:rsidRPr="00D337FA">
        <w:rPr>
          <w:i/>
          <w:szCs w:val="24"/>
          <w:lang w:val="en-US"/>
        </w:rPr>
        <w:t>I.Yu.</w:t>
      </w:r>
      <w:r w:rsidR="006C680D" w:rsidRPr="00D337FA">
        <w:rPr>
          <w:i/>
          <w:szCs w:val="24"/>
          <w:lang w:val="en-US"/>
        </w:rPr>
        <w:t xml:space="preserve"> </w:t>
      </w:r>
      <w:r w:rsidR="00F30997" w:rsidRPr="00D337FA">
        <w:rPr>
          <w:i/>
          <w:szCs w:val="24"/>
          <w:lang w:val="en-US"/>
        </w:rPr>
        <w:t>Teoreticheskie</w:t>
      </w:r>
      <w:r w:rsidR="006C680D" w:rsidRPr="00D337FA">
        <w:rPr>
          <w:i/>
          <w:szCs w:val="24"/>
          <w:lang w:val="en-US"/>
        </w:rPr>
        <w:t xml:space="preserve"> </w:t>
      </w:r>
      <w:r w:rsidR="00F30997" w:rsidRPr="00D337FA">
        <w:rPr>
          <w:i/>
          <w:szCs w:val="24"/>
          <w:lang w:val="en-US"/>
        </w:rPr>
        <w:t>podhody</w:t>
      </w:r>
      <w:r w:rsidR="006C680D" w:rsidRPr="00D337FA">
        <w:rPr>
          <w:i/>
          <w:szCs w:val="24"/>
          <w:lang w:val="en-US"/>
        </w:rPr>
        <w:t xml:space="preserve"> </w:t>
      </w:r>
      <w:r w:rsidR="00F30997" w:rsidRPr="00D337FA">
        <w:rPr>
          <w:i/>
          <w:szCs w:val="24"/>
          <w:lang w:val="en-US"/>
        </w:rPr>
        <w:t>k</w:t>
      </w:r>
      <w:r w:rsidR="006C680D" w:rsidRPr="00D337FA">
        <w:rPr>
          <w:i/>
          <w:szCs w:val="24"/>
          <w:lang w:val="en-US"/>
        </w:rPr>
        <w:t xml:space="preserve"> </w:t>
      </w:r>
      <w:r w:rsidR="00F30997" w:rsidRPr="00D337FA">
        <w:rPr>
          <w:i/>
          <w:szCs w:val="24"/>
          <w:lang w:val="en-US"/>
        </w:rPr>
        <w:t>traktovke</w:t>
      </w:r>
      <w:r w:rsidR="006C680D" w:rsidRPr="00D337FA">
        <w:rPr>
          <w:i/>
          <w:szCs w:val="24"/>
          <w:lang w:val="en-US"/>
        </w:rPr>
        <w:t xml:space="preserve"> </w:t>
      </w:r>
      <w:r w:rsidR="00F30997" w:rsidRPr="00D337FA">
        <w:rPr>
          <w:i/>
          <w:szCs w:val="24"/>
          <w:lang w:val="en-US"/>
        </w:rPr>
        <w:t>malogo</w:t>
      </w:r>
      <w:r w:rsidR="006C680D" w:rsidRPr="00D337FA">
        <w:rPr>
          <w:i/>
          <w:szCs w:val="24"/>
          <w:lang w:val="en-US"/>
        </w:rPr>
        <w:t xml:space="preserve"> </w:t>
      </w:r>
      <w:r w:rsidR="00F30997" w:rsidRPr="00D337FA">
        <w:rPr>
          <w:i/>
          <w:szCs w:val="24"/>
          <w:lang w:val="en-US"/>
        </w:rPr>
        <w:t>biznesa</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malogo</w:t>
      </w:r>
      <w:r w:rsidR="006C680D" w:rsidRPr="00D337FA">
        <w:rPr>
          <w:i/>
          <w:szCs w:val="24"/>
          <w:lang w:val="en-US"/>
        </w:rPr>
        <w:t xml:space="preserve"> </w:t>
      </w:r>
      <w:r w:rsidR="00F30997" w:rsidRPr="00D337FA">
        <w:rPr>
          <w:i/>
          <w:szCs w:val="24"/>
          <w:lang w:val="en-US"/>
        </w:rPr>
        <w:t>pred-prinimatel’stva</w:t>
      </w:r>
      <w:r w:rsidR="006C680D" w:rsidRPr="00D337FA">
        <w:rPr>
          <w:i/>
          <w:szCs w:val="24"/>
          <w:lang w:val="en-US"/>
        </w:rPr>
        <w:t xml:space="preserve"> </w:t>
      </w:r>
      <w:r w:rsidR="00F30997" w:rsidRPr="00D337FA">
        <w:rPr>
          <w:i/>
          <w:szCs w:val="24"/>
          <w:lang w:val="en-US"/>
        </w:rPr>
        <w:t>[</w:t>
      </w:r>
      <w:r w:rsidRPr="00D337FA">
        <w:rPr>
          <w:i/>
          <w:szCs w:val="24"/>
          <w:lang w:val="en-US"/>
        </w:rPr>
        <w:t>Theoretical</w:t>
      </w:r>
      <w:r w:rsidR="006C680D" w:rsidRPr="00D337FA">
        <w:rPr>
          <w:i/>
          <w:szCs w:val="24"/>
          <w:lang w:val="en-US"/>
        </w:rPr>
        <w:t xml:space="preserve"> </w:t>
      </w:r>
      <w:r w:rsidRPr="00D337FA">
        <w:rPr>
          <w:i/>
          <w:szCs w:val="24"/>
          <w:lang w:val="en-US"/>
        </w:rPr>
        <w:t>Approaches</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Interpretation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Entrepreneurship</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F30997" w:rsidRPr="00D337FA">
        <w:rPr>
          <w:i/>
          <w:szCs w:val="24"/>
          <w:lang w:val="en-US"/>
        </w:rPr>
        <w:t>Ekonomika</w:t>
      </w:r>
      <w:r w:rsidR="006C680D" w:rsidRPr="00D337FA">
        <w:rPr>
          <w:i/>
          <w:szCs w:val="24"/>
          <w:lang w:val="en-US"/>
        </w:rPr>
        <w:t xml:space="preserve"> </w:t>
      </w:r>
      <w:r w:rsidR="00F30997" w:rsidRPr="00D337FA">
        <w:rPr>
          <w:i/>
          <w:szCs w:val="24"/>
          <w:lang w:val="en-US"/>
        </w:rPr>
        <w:t>stroitel'stva</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prirodopol'zovaniya</w:t>
      </w:r>
      <w:r w:rsidR="006C680D" w:rsidRPr="00D337FA">
        <w:rPr>
          <w:i/>
          <w:szCs w:val="24"/>
          <w:lang w:val="en-US"/>
        </w:rPr>
        <w:t xml:space="preserve"> </w:t>
      </w:r>
      <w:r w:rsidR="00F30997" w:rsidRPr="00D337FA">
        <w:rPr>
          <w:i/>
          <w:szCs w:val="24"/>
          <w:lang w:val="en-US"/>
        </w:rPr>
        <w:t>–</w:t>
      </w:r>
      <w:r w:rsidR="006C680D" w:rsidRPr="00D337FA">
        <w:rPr>
          <w:i/>
          <w:szCs w:val="24"/>
          <w:lang w:val="en-US"/>
        </w:rPr>
        <w:t xml:space="preserve"> </w:t>
      </w:r>
      <w:r w:rsidRPr="00D337FA">
        <w:rPr>
          <w:i/>
          <w:szCs w:val="24"/>
          <w:lang w:val="en-US"/>
        </w:rPr>
        <w:t>Economics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Construction</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Nature</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2024.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(63).</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82-86.</w:t>
      </w:r>
    </w:p>
    <w:p w:rsidR="00133405" w:rsidRPr="00D337FA" w:rsidRDefault="00133405" w:rsidP="00133405">
      <w:pPr>
        <w:ind w:firstLine="284"/>
        <w:rPr>
          <w:i/>
          <w:szCs w:val="24"/>
          <w:lang w:val="en-US"/>
        </w:rPr>
      </w:pPr>
      <w:r w:rsidRPr="00D337FA">
        <w:rPr>
          <w:i/>
          <w:szCs w:val="24"/>
          <w:lang w:val="en-US"/>
        </w:rPr>
        <w:t>13.</w:t>
      </w:r>
      <w:r w:rsidR="006C680D" w:rsidRPr="00D337FA">
        <w:rPr>
          <w:i/>
          <w:szCs w:val="24"/>
          <w:lang w:val="en-US"/>
        </w:rPr>
        <w:t xml:space="preserve"> </w:t>
      </w:r>
      <w:r w:rsidRPr="00D337FA">
        <w:rPr>
          <w:i/>
          <w:szCs w:val="24"/>
          <w:lang w:val="en-US"/>
        </w:rPr>
        <w:t>Stoleru</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00F30997" w:rsidRPr="00D337FA">
        <w:rPr>
          <w:i/>
          <w:szCs w:val="24"/>
          <w:lang w:val="en-US"/>
        </w:rPr>
        <w:t>Cifrovaya</w:t>
      </w:r>
      <w:r w:rsidR="006C680D" w:rsidRPr="00D337FA">
        <w:rPr>
          <w:i/>
          <w:szCs w:val="24"/>
          <w:lang w:val="en-US"/>
        </w:rPr>
        <w:t xml:space="preserve"> </w:t>
      </w:r>
      <w:r w:rsidR="00F30997" w:rsidRPr="00D337FA">
        <w:rPr>
          <w:i/>
          <w:szCs w:val="24"/>
          <w:lang w:val="en-US"/>
        </w:rPr>
        <w:t>transformaciya</w:t>
      </w:r>
      <w:r w:rsidR="006C680D" w:rsidRPr="00D337FA">
        <w:rPr>
          <w:i/>
          <w:szCs w:val="24"/>
          <w:lang w:val="en-US"/>
        </w:rPr>
        <w:t xml:space="preserve"> </w:t>
      </w:r>
      <w:r w:rsidR="00F30997" w:rsidRPr="00D337FA">
        <w:rPr>
          <w:i/>
          <w:szCs w:val="24"/>
          <w:lang w:val="en-US"/>
        </w:rPr>
        <w:t>finansovogo</w:t>
      </w:r>
      <w:r w:rsidR="006C680D" w:rsidRPr="00D337FA">
        <w:rPr>
          <w:i/>
          <w:szCs w:val="24"/>
          <w:lang w:val="en-US"/>
        </w:rPr>
        <w:t xml:space="preserve"> </w:t>
      </w:r>
      <w:r w:rsidR="00F30997" w:rsidRPr="00D337FA">
        <w:rPr>
          <w:i/>
          <w:szCs w:val="24"/>
          <w:lang w:val="en-US"/>
        </w:rPr>
        <w:t>sektora</w:t>
      </w:r>
      <w:r w:rsidR="006C680D" w:rsidRPr="00D337FA">
        <w:rPr>
          <w:i/>
          <w:szCs w:val="24"/>
          <w:lang w:val="en-US"/>
        </w:rPr>
        <w:t xml:space="preserve"> </w:t>
      </w:r>
      <w:r w:rsidR="00F30997" w:rsidRPr="00D337FA">
        <w:rPr>
          <w:i/>
          <w:szCs w:val="24"/>
          <w:lang w:val="en-US"/>
        </w:rPr>
        <w:t>[</w:t>
      </w:r>
      <w:r w:rsidRPr="00D337FA">
        <w:rPr>
          <w:i/>
          <w:szCs w:val="24"/>
          <w:lang w:val="en-US"/>
        </w:rPr>
        <w:t>Bank</w:t>
      </w:r>
      <w:r w:rsidR="006C680D" w:rsidRPr="00D337FA">
        <w:rPr>
          <w:i/>
          <w:szCs w:val="24"/>
          <w:lang w:val="en-US"/>
        </w:rPr>
        <w:t xml:space="preserve"> </w:t>
      </w:r>
      <w:r w:rsidRPr="00D337FA">
        <w:rPr>
          <w:i/>
          <w:szCs w:val="24"/>
          <w:lang w:val="en-US"/>
        </w:rPr>
        <w:t>4.0.</w:t>
      </w:r>
      <w:r w:rsidR="006C680D" w:rsidRPr="00D337FA">
        <w:rPr>
          <w:i/>
          <w:szCs w:val="24"/>
          <w:lang w:val="en-US"/>
        </w:rPr>
        <w:t xml:space="preserve"> </w:t>
      </w:r>
      <w:r w:rsidRPr="00D337FA">
        <w:rPr>
          <w:i/>
          <w:szCs w:val="24"/>
          <w:lang w:val="en-US"/>
        </w:rPr>
        <w:t>Digital</w:t>
      </w:r>
      <w:r w:rsidR="006C680D" w:rsidRPr="00D337FA">
        <w:rPr>
          <w:i/>
          <w:szCs w:val="24"/>
          <w:lang w:val="en-US"/>
        </w:rPr>
        <w:t xml:space="preserve"> </w:t>
      </w:r>
      <w:r w:rsidRPr="00D337FA">
        <w:rPr>
          <w:i/>
          <w:szCs w:val="24"/>
          <w:lang w:val="en-US"/>
        </w:rPr>
        <w:t>Transformation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Sector</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Alpina</w:t>
      </w:r>
      <w:r w:rsidR="006C680D" w:rsidRPr="00D337FA">
        <w:rPr>
          <w:i/>
          <w:szCs w:val="24"/>
          <w:lang w:val="en-US"/>
        </w:rPr>
        <w:t xml:space="preserve"> </w:t>
      </w:r>
      <w:r w:rsidRPr="00D337FA">
        <w:rPr>
          <w:i/>
          <w:szCs w:val="24"/>
          <w:lang w:val="en-US"/>
        </w:rPr>
        <w:t>Publisher,</w:t>
      </w:r>
      <w:r w:rsidR="006C680D" w:rsidRPr="00D337FA">
        <w:rPr>
          <w:i/>
          <w:szCs w:val="24"/>
          <w:lang w:val="en-US"/>
        </w:rPr>
        <w:t xml:space="preserve"> </w:t>
      </w:r>
      <w:r w:rsidRPr="00D337FA">
        <w:rPr>
          <w:i/>
          <w:szCs w:val="24"/>
          <w:lang w:val="en-US"/>
        </w:rPr>
        <w:t>2020.</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356</w:t>
      </w:r>
      <w:r w:rsidR="006C680D" w:rsidRPr="00D337FA">
        <w:rPr>
          <w:i/>
          <w:szCs w:val="24"/>
          <w:lang w:val="en-US"/>
        </w:rPr>
        <w:t xml:space="preserve"> </w:t>
      </w:r>
      <w:r w:rsidRPr="00D337FA">
        <w:rPr>
          <w:i/>
          <w:szCs w:val="24"/>
          <w:lang w:val="en-US"/>
        </w:rPr>
        <w:t>p.</w:t>
      </w:r>
    </w:p>
    <w:p w:rsidR="00133405" w:rsidRPr="00D337FA" w:rsidRDefault="00133405" w:rsidP="00133405">
      <w:pPr>
        <w:ind w:firstLine="284"/>
        <w:rPr>
          <w:i/>
          <w:szCs w:val="24"/>
          <w:lang w:val="en-US"/>
        </w:rPr>
      </w:pPr>
      <w:r w:rsidRPr="00D337FA">
        <w:rPr>
          <w:i/>
          <w:szCs w:val="24"/>
          <w:lang w:val="en-US"/>
        </w:rPr>
        <w:t>14.</w:t>
      </w:r>
      <w:r w:rsidR="006C680D" w:rsidRPr="00D337FA">
        <w:rPr>
          <w:i/>
          <w:szCs w:val="24"/>
          <w:lang w:val="en-US"/>
        </w:rPr>
        <w:t xml:space="preserve"> </w:t>
      </w:r>
      <w:r w:rsidR="00F30997" w:rsidRPr="00D337FA">
        <w:rPr>
          <w:i/>
          <w:szCs w:val="24"/>
          <w:lang w:val="en-US"/>
        </w:rPr>
        <w:t>Strategii</w:t>
      </w:r>
      <w:r w:rsidR="006C680D" w:rsidRPr="00D337FA">
        <w:rPr>
          <w:i/>
          <w:szCs w:val="24"/>
          <w:lang w:val="en-US"/>
        </w:rPr>
        <w:t xml:space="preserve"> </w:t>
      </w:r>
      <w:r w:rsidR="00F30997" w:rsidRPr="00D337FA">
        <w:rPr>
          <w:i/>
          <w:szCs w:val="24"/>
          <w:lang w:val="en-US"/>
        </w:rPr>
        <w:t>razvitiya</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modernizacii</w:t>
      </w:r>
      <w:r w:rsidR="006C680D" w:rsidRPr="00D337FA">
        <w:rPr>
          <w:i/>
          <w:szCs w:val="24"/>
          <w:lang w:val="en-US"/>
        </w:rPr>
        <w:t xml:space="preserve"> </w:t>
      </w:r>
      <w:r w:rsidR="00F30997" w:rsidRPr="00D337FA">
        <w:rPr>
          <w:i/>
          <w:szCs w:val="24"/>
          <w:lang w:val="en-US"/>
        </w:rPr>
        <w:t>deyatel'nosti</w:t>
      </w:r>
      <w:r w:rsidR="006C680D" w:rsidRPr="00D337FA">
        <w:rPr>
          <w:i/>
          <w:szCs w:val="24"/>
          <w:lang w:val="en-US"/>
        </w:rPr>
        <w:t xml:space="preserve"> </w:t>
      </w:r>
      <w:r w:rsidR="00F30997" w:rsidRPr="00D337FA">
        <w:rPr>
          <w:i/>
          <w:szCs w:val="24"/>
          <w:lang w:val="en-US"/>
        </w:rPr>
        <w:t>kommercheskih</w:t>
      </w:r>
      <w:r w:rsidR="006C680D" w:rsidRPr="00D337FA">
        <w:rPr>
          <w:i/>
          <w:szCs w:val="24"/>
          <w:lang w:val="en-US"/>
        </w:rPr>
        <w:t xml:space="preserve"> </w:t>
      </w:r>
      <w:r w:rsidR="00F30997" w:rsidRPr="00D337FA">
        <w:rPr>
          <w:i/>
          <w:szCs w:val="24"/>
          <w:lang w:val="en-US"/>
        </w:rPr>
        <w:t>bankov</w:t>
      </w:r>
      <w:r w:rsidR="006C680D" w:rsidRPr="00D337FA">
        <w:rPr>
          <w:i/>
          <w:szCs w:val="24"/>
          <w:lang w:val="en-US"/>
        </w:rPr>
        <w:t xml:space="preserve"> </w:t>
      </w:r>
      <w:r w:rsidR="00F30997" w:rsidRPr="00D337FA">
        <w:rPr>
          <w:i/>
          <w:szCs w:val="24"/>
          <w:lang w:val="en-US"/>
        </w:rPr>
        <w:t>[</w:t>
      </w:r>
      <w:r w:rsidRPr="00D337FA">
        <w:rPr>
          <w:i/>
          <w:szCs w:val="24"/>
          <w:lang w:val="en-US"/>
        </w:rPr>
        <w:t>Strategies</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Modernization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Commercial</w:t>
      </w:r>
      <w:r w:rsidR="006C680D" w:rsidRPr="00D337FA">
        <w:rPr>
          <w:i/>
          <w:szCs w:val="24"/>
          <w:lang w:val="en-US"/>
        </w:rPr>
        <w:t xml:space="preserve"> </w:t>
      </w:r>
      <w:r w:rsidRPr="00D337FA">
        <w:rPr>
          <w:i/>
          <w:szCs w:val="24"/>
          <w:lang w:val="en-US"/>
        </w:rPr>
        <w:t>Banks</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E.G.</w:t>
      </w:r>
      <w:r w:rsidR="006C680D" w:rsidRPr="00D337FA">
        <w:rPr>
          <w:i/>
          <w:szCs w:val="24"/>
          <w:lang w:val="en-US"/>
        </w:rPr>
        <w:t xml:space="preserve"> </w:t>
      </w:r>
      <w:r w:rsidRPr="00D337FA">
        <w:rPr>
          <w:i/>
          <w:szCs w:val="24"/>
          <w:lang w:val="en-US"/>
        </w:rPr>
        <w:t>Azmanova,</w:t>
      </w:r>
      <w:r w:rsidR="006C680D" w:rsidRPr="00D337FA">
        <w:rPr>
          <w:i/>
          <w:szCs w:val="24"/>
          <w:lang w:val="en-US"/>
        </w:rPr>
        <w:t xml:space="preserve"> </w:t>
      </w:r>
      <w:r w:rsidRPr="00D337FA">
        <w:rPr>
          <w:i/>
          <w:szCs w:val="24"/>
          <w:lang w:val="en-US"/>
        </w:rPr>
        <w:t>S.M.</w:t>
      </w:r>
      <w:r w:rsidR="006C680D" w:rsidRPr="00D337FA">
        <w:rPr>
          <w:i/>
          <w:szCs w:val="24"/>
          <w:lang w:val="en-US"/>
        </w:rPr>
        <w:t xml:space="preserve"> </w:t>
      </w:r>
      <w:r w:rsidRPr="00D337FA">
        <w:rPr>
          <w:i/>
          <w:szCs w:val="24"/>
          <w:lang w:val="en-US"/>
        </w:rPr>
        <w:t>Bogomolov,</w:t>
      </w:r>
      <w:r w:rsidR="006C680D" w:rsidRPr="00D337FA">
        <w:rPr>
          <w:i/>
          <w:szCs w:val="24"/>
          <w:lang w:val="en-US"/>
        </w:rPr>
        <w:t xml:space="preserve"> </w:t>
      </w:r>
      <w:r w:rsidRPr="00D337FA">
        <w:rPr>
          <w:i/>
          <w:szCs w:val="24"/>
          <w:lang w:val="en-US"/>
        </w:rPr>
        <w:t>T.P.</w:t>
      </w:r>
      <w:r w:rsidR="006C680D" w:rsidRPr="00D337FA">
        <w:rPr>
          <w:i/>
          <w:szCs w:val="24"/>
          <w:lang w:val="en-US"/>
        </w:rPr>
        <w:t xml:space="preserve"> </w:t>
      </w:r>
      <w:r w:rsidRPr="00D337FA">
        <w:rPr>
          <w:i/>
          <w:szCs w:val="24"/>
          <w:lang w:val="en-US"/>
        </w:rPr>
        <w:t>Varlamova</w:t>
      </w:r>
      <w:r w:rsidR="006C680D" w:rsidRPr="00D337FA">
        <w:rPr>
          <w:i/>
          <w:szCs w:val="24"/>
          <w:lang w:val="en-US"/>
        </w:rPr>
        <w:t xml:space="preserve"> </w:t>
      </w:r>
      <w:r w:rsidRPr="00D337FA">
        <w:rPr>
          <w:i/>
          <w:szCs w:val="24"/>
          <w:lang w:val="en-US"/>
        </w:rPr>
        <w:t>[et</w:t>
      </w:r>
      <w:r w:rsidR="006C680D" w:rsidRPr="00D337FA">
        <w:rPr>
          <w:i/>
          <w:szCs w:val="24"/>
          <w:lang w:val="en-US"/>
        </w:rPr>
        <w:t xml:space="preserve"> </w:t>
      </w:r>
      <w:r w:rsidRPr="00D337FA">
        <w:rPr>
          <w:i/>
          <w:szCs w:val="24"/>
          <w:lang w:val="en-US"/>
        </w:rPr>
        <w:t>al.].</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Knorus</w:t>
      </w:r>
      <w:r w:rsidR="006C680D" w:rsidRPr="00D337FA">
        <w:rPr>
          <w:i/>
          <w:szCs w:val="24"/>
          <w:lang w:val="en-US"/>
        </w:rPr>
        <w:t xml:space="preserve"> </w:t>
      </w:r>
      <w:r w:rsidRPr="00D337FA">
        <w:rPr>
          <w:i/>
          <w:szCs w:val="24"/>
          <w:lang w:val="en-US"/>
        </w:rPr>
        <w:t>Company,</w:t>
      </w:r>
      <w:r w:rsidR="006C680D" w:rsidRPr="00D337FA">
        <w:rPr>
          <w:i/>
          <w:szCs w:val="24"/>
          <w:lang w:val="en-US"/>
        </w:rPr>
        <w:t xml:space="preserve"> </w:t>
      </w:r>
      <w:r w:rsidRPr="00D337FA">
        <w:rPr>
          <w:i/>
          <w:szCs w:val="24"/>
          <w:lang w:val="en-US"/>
        </w:rPr>
        <w:t>2019.</w:t>
      </w:r>
      <w:r w:rsidR="006C680D" w:rsidRPr="00D337FA">
        <w:rPr>
          <w:i/>
          <w:szCs w:val="24"/>
          <w:lang w:val="en-US"/>
        </w:rPr>
        <w:t xml:space="preserve"> </w:t>
      </w:r>
      <w:r w:rsidRPr="00D337FA">
        <w:rPr>
          <w:i/>
          <w:szCs w:val="24"/>
          <w:lang w:val="en-US"/>
        </w:rPr>
        <w:t>154</w:t>
      </w:r>
      <w:r w:rsidR="006C680D" w:rsidRPr="00D337FA">
        <w:rPr>
          <w:i/>
          <w:szCs w:val="24"/>
          <w:lang w:val="en-US"/>
        </w:rPr>
        <w:t xml:space="preserve"> </w:t>
      </w:r>
      <w:r w:rsidRPr="00D337FA">
        <w:rPr>
          <w:i/>
          <w:szCs w:val="24"/>
          <w:lang w:val="en-US"/>
        </w:rPr>
        <w:t>p.</w:t>
      </w:r>
    </w:p>
    <w:p w:rsidR="00133405" w:rsidRPr="00D337FA" w:rsidRDefault="00133405" w:rsidP="00133405">
      <w:pPr>
        <w:ind w:firstLine="284"/>
        <w:rPr>
          <w:i/>
          <w:szCs w:val="24"/>
          <w:lang w:val="en-US"/>
        </w:rPr>
      </w:pPr>
      <w:r w:rsidRPr="00D337FA">
        <w:rPr>
          <w:i/>
          <w:szCs w:val="24"/>
          <w:lang w:val="en-US"/>
        </w:rPr>
        <w:t>15.</w:t>
      </w:r>
      <w:r w:rsidR="006C680D" w:rsidRPr="00D337FA">
        <w:rPr>
          <w:i/>
          <w:szCs w:val="24"/>
          <w:lang w:val="en-US"/>
        </w:rPr>
        <w:t xml:space="preserve"> </w:t>
      </w:r>
      <w:r w:rsidRPr="00D337FA">
        <w:rPr>
          <w:i/>
          <w:szCs w:val="24"/>
          <w:lang w:val="en-US"/>
        </w:rPr>
        <w:t>Urumov</w:t>
      </w:r>
      <w:r w:rsidR="006C680D" w:rsidRPr="00D337FA">
        <w:rPr>
          <w:i/>
          <w:szCs w:val="24"/>
          <w:lang w:val="en-US"/>
        </w:rPr>
        <w:t xml:space="preserve"> </w:t>
      </w:r>
      <w:r w:rsidRPr="00D337FA">
        <w:rPr>
          <w:i/>
          <w:szCs w:val="24"/>
          <w:lang w:val="en-US"/>
        </w:rPr>
        <w:t>T.R.</w:t>
      </w:r>
      <w:r w:rsidR="006C680D" w:rsidRPr="00D337FA">
        <w:rPr>
          <w:i/>
          <w:szCs w:val="24"/>
          <w:lang w:val="en-US"/>
        </w:rPr>
        <w:t xml:space="preserve"> </w:t>
      </w:r>
      <w:r w:rsidR="00F30997" w:rsidRPr="00D337FA">
        <w:rPr>
          <w:i/>
          <w:szCs w:val="24"/>
          <w:lang w:val="en-US"/>
        </w:rPr>
        <w:t>Dostup</w:t>
      </w:r>
      <w:r w:rsidR="006C680D" w:rsidRPr="00D337FA">
        <w:rPr>
          <w:i/>
          <w:szCs w:val="24"/>
          <w:lang w:val="en-US"/>
        </w:rPr>
        <w:t xml:space="preserve"> </w:t>
      </w:r>
      <w:r w:rsidR="00F30997" w:rsidRPr="00D337FA">
        <w:rPr>
          <w:i/>
          <w:szCs w:val="24"/>
          <w:lang w:val="en-US"/>
        </w:rPr>
        <w:t>malyh</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srednih</w:t>
      </w:r>
      <w:r w:rsidR="006C680D" w:rsidRPr="00D337FA">
        <w:rPr>
          <w:i/>
          <w:szCs w:val="24"/>
          <w:lang w:val="en-US"/>
        </w:rPr>
        <w:t xml:space="preserve"> </w:t>
      </w:r>
      <w:r w:rsidR="00F30997" w:rsidRPr="00D337FA">
        <w:rPr>
          <w:i/>
          <w:szCs w:val="24"/>
          <w:lang w:val="en-US"/>
        </w:rPr>
        <w:t>predpriyatij</w:t>
      </w:r>
      <w:r w:rsidR="006C680D" w:rsidRPr="00D337FA">
        <w:rPr>
          <w:i/>
          <w:szCs w:val="24"/>
          <w:lang w:val="en-US"/>
        </w:rPr>
        <w:t xml:space="preserve"> </w:t>
      </w:r>
      <w:r w:rsidR="00F30997" w:rsidRPr="00D337FA">
        <w:rPr>
          <w:i/>
          <w:szCs w:val="24"/>
          <w:lang w:val="en-US"/>
        </w:rPr>
        <w:t>k</w:t>
      </w:r>
      <w:r w:rsidR="006C680D" w:rsidRPr="00D337FA">
        <w:rPr>
          <w:i/>
          <w:szCs w:val="24"/>
          <w:lang w:val="en-US"/>
        </w:rPr>
        <w:t xml:space="preserve"> </w:t>
      </w:r>
      <w:r w:rsidR="00F30997" w:rsidRPr="00D337FA">
        <w:rPr>
          <w:i/>
          <w:szCs w:val="24"/>
          <w:lang w:val="en-US"/>
        </w:rPr>
        <w:t>finansirovaniyu:</w:t>
      </w:r>
      <w:r w:rsidR="006C680D" w:rsidRPr="00D337FA">
        <w:rPr>
          <w:i/>
          <w:szCs w:val="24"/>
          <w:lang w:val="en-US"/>
        </w:rPr>
        <w:t xml:space="preserve"> </w:t>
      </w:r>
      <w:r w:rsidR="00F30997" w:rsidRPr="00D337FA">
        <w:rPr>
          <w:i/>
          <w:szCs w:val="24"/>
          <w:lang w:val="en-US"/>
        </w:rPr>
        <w:t>novye</w:t>
      </w:r>
      <w:r w:rsidR="006C680D" w:rsidRPr="00D337FA">
        <w:rPr>
          <w:i/>
          <w:szCs w:val="24"/>
          <w:lang w:val="en-US"/>
        </w:rPr>
        <w:t xml:space="preserve"> </w:t>
      </w:r>
      <w:r w:rsidR="00F30997" w:rsidRPr="00D337FA">
        <w:rPr>
          <w:i/>
          <w:szCs w:val="24"/>
          <w:lang w:val="en-US"/>
        </w:rPr>
        <w:t>vozmozh-nosti</w:t>
      </w:r>
      <w:r w:rsidR="006C680D" w:rsidRPr="00D337FA">
        <w:rPr>
          <w:i/>
          <w:szCs w:val="24"/>
          <w:lang w:val="en-US"/>
        </w:rPr>
        <w:t xml:space="preserve"> </w:t>
      </w:r>
      <w:r w:rsidR="00F30997" w:rsidRPr="00D337FA">
        <w:rPr>
          <w:i/>
          <w:szCs w:val="24"/>
          <w:lang w:val="en-US"/>
        </w:rPr>
        <w:t>[</w:t>
      </w:r>
      <w:r w:rsidRPr="00D337FA">
        <w:rPr>
          <w:i/>
          <w:szCs w:val="24"/>
          <w:lang w:val="en-US"/>
        </w:rPr>
        <w:t>Access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Medium-Sized</w:t>
      </w:r>
      <w:r w:rsidR="006C680D" w:rsidRPr="00D337FA">
        <w:rPr>
          <w:i/>
          <w:szCs w:val="24"/>
          <w:lang w:val="en-US"/>
        </w:rPr>
        <w:t xml:space="preserve"> </w:t>
      </w:r>
      <w:r w:rsidRPr="00D337FA">
        <w:rPr>
          <w:i/>
          <w:szCs w:val="24"/>
          <w:lang w:val="en-US"/>
        </w:rPr>
        <w:t>Enterprises</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Financing:</w:t>
      </w:r>
      <w:r w:rsidR="006C680D" w:rsidRPr="00D337FA">
        <w:rPr>
          <w:i/>
          <w:szCs w:val="24"/>
          <w:lang w:val="en-US"/>
        </w:rPr>
        <w:t xml:space="preserve"> </w:t>
      </w:r>
      <w:r w:rsidRPr="00D337FA">
        <w:rPr>
          <w:i/>
          <w:szCs w:val="24"/>
          <w:lang w:val="en-US"/>
        </w:rPr>
        <w:t>New</w:t>
      </w:r>
      <w:r w:rsidR="006C680D" w:rsidRPr="00D337FA">
        <w:rPr>
          <w:i/>
          <w:szCs w:val="24"/>
          <w:lang w:val="en-US"/>
        </w:rPr>
        <w:t xml:space="preserve"> </w:t>
      </w:r>
      <w:r w:rsidRPr="00D337FA">
        <w:rPr>
          <w:i/>
          <w:szCs w:val="24"/>
          <w:lang w:val="en-US"/>
        </w:rPr>
        <w:t>Opportunities</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F30997" w:rsidRPr="00D337FA">
        <w:rPr>
          <w:i/>
          <w:szCs w:val="24"/>
          <w:lang w:val="en-US"/>
        </w:rPr>
        <w:t>Analiz</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prognoz:</w:t>
      </w:r>
      <w:r w:rsidR="006C680D" w:rsidRPr="00D337FA">
        <w:rPr>
          <w:i/>
          <w:szCs w:val="24"/>
          <w:lang w:val="en-US"/>
        </w:rPr>
        <w:t xml:space="preserve"> </w:t>
      </w:r>
      <w:r w:rsidR="00F30997" w:rsidRPr="00D337FA">
        <w:rPr>
          <w:i/>
          <w:szCs w:val="24"/>
          <w:lang w:val="en-US"/>
        </w:rPr>
        <w:t>zhurnal</w:t>
      </w:r>
      <w:r w:rsidR="006C680D" w:rsidRPr="00D337FA">
        <w:rPr>
          <w:i/>
          <w:szCs w:val="24"/>
          <w:lang w:val="en-US"/>
        </w:rPr>
        <w:t xml:space="preserve"> </w:t>
      </w:r>
      <w:r w:rsidR="00F30997" w:rsidRPr="00D337FA">
        <w:rPr>
          <w:i/>
          <w:szCs w:val="24"/>
          <w:lang w:val="en-US"/>
        </w:rPr>
        <w:t>IMEMO</w:t>
      </w:r>
      <w:r w:rsidR="006C680D" w:rsidRPr="00D337FA">
        <w:rPr>
          <w:i/>
          <w:szCs w:val="24"/>
          <w:lang w:val="en-US"/>
        </w:rPr>
        <w:t xml:space="preserve"> </w:t>
      </w:r>
      <w:r w:rsidR="00F30997" w:rsidRPr="00D337FA">
        <w:rPr>
          <w:i/>
          <w:szCs w:val="24"/>
          <w:lang w:val="en-US"/>
        </w:rPr>
        <w:t>RAN</w:t>
      </w:r>
      <w:r w:rsidR="006C680D" w:rsidRPr="00D337FA">
        <w:rPr>
          <w:i/>
          <w:szCs w:val="24"/>
          <w:lang w:val="en-US"/>
        </w:rPr>
        <w:t xml:space="preserve"> </w:t>
      </w:r>
      <w:r w:rsidR="00F30997" w:rsidRPr="00D337FA">
        <w:rPr>
          <w:i/>
          <w:szCs w:val="24"/>
          <w:lang w:val="en-US"/>
        </w:rPr>
        <w:t>–</w:t>
      </w:r>
      <w:r w:rsidR="006C680D" w:rsidRPr="00D337FA">
        <w:rPr>
          <w:i/>
          <w:szCs w:val="24"/>
          <w:lang w:val="en-US"/>
        </w:rPr>
        <w:t xml:space="preserve"> </w:t>
      </w:r>
      <w:r w:rsidRPr="00D337FA">
        <w:rPr>
          <w:i/>
          <w:szCs w:val="24"/>
          <w:lang w:val="en-US"/>
        </w:rPr>
        <w:t>Analysis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Forecast:</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IMEMO</w:t>
      </w:r>
      <w:r w:rsidR="006C680D" w:rsidRPr="00D337FA">
        <w:rPr>
          <w:i/>
          <w:szCs w:val="24"/>
          <w:lang w:val="en-US"/>
        </w:rPr>
        <w:t xml:space="preserve"> </w:t>
      </w:r>
      <w:r w:rsidRPr="00D337FA">
        <w:rPr>
          <w:i/>
          <w:szCs w:val="24"/>
          <w:lang w:val="en-US"/>
        </w:rPr>
        <w:t>RAS.</w:t>
      </w:r>
      <w:r w:rsidR="00AD701E"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44-50.</w:t>
      </w:r>
    </w:p>
    <w:p w:rsidR="00133405" w:rsidRPr="00D337FA" w:rsidRDefault="00133405" w:rsidP="00133405">
      <w:pPr>
        <w:ind w:firstLine="284"/>
        <w:rPr>
          <w:i/>
          <w:szCs w:val="24"/>
          <w:lang w:val="en-US"/>
        </w:rPr>
      </w:pPr>
      <w:r w:rsidRPr="00D337FA">
        <w:rPr>
          <w:i/>
          <w:szCs w:val="24"/>
          <w:lang w:val="en-US"/>
        </w:rPr>
        <w:t>16.</w:t>
      </w:r>
      <w:r w:rsidR="006C680D" w:rsidRPr="00D337FA">
        <w:rPr>
          <w:i/>
          <w:szCs w:val="24"/>
          <w:lang w:val="en-US"/>
        </w:rPr>
        <w:t xml:space="preserve"> </w:t>
      </w:r>
      <w:r w:rsidRPr="00D337FA">
        <w:rPr>
          <w:i/>
          <w:szCs w:val="24"/>
          <w:lang w:val="en-US"/>
        </w:rPr>
        <w:t>Shveikin</w:t>
      </w:r>
      <w:r w:rsidR="006C680D" w:rsidRPr="00D337FA">
        <w:rPr>
          <w:i/>
          <w:szCs w:val="24"/>
          <w:lang w:val="en-US"/>
        </w:rPr>
        <w:t xml:space="preserve"> </w:t>
      </w:r>
      <w:r w:rsidRPr="00D337FA">
        <w:rPr>
          <w:i/>
          <w:szCs w:val="24"/>
          <w:lang w:val="en-US"/>
        </w:rPr>
        <w:t>I.E.,</w:t>
      </w:r>
      <w:r w:rsidR="006C680D" w:rsidRPr="00D337FA">
        <w:rPr>
          <w:i/>
          <w:szCs w:val="24"/>
          <w:lang w:val="en-US"/>
        </w:rPr>
        <w:t xml:space="preserve"> </w:t>
      </w:r>
      <w:r w:rsidRPr="00D337FA">
        <w:rPr>
          <w:i/>
          <w:szCs w:val="24"/>
          <w:lang w:val="en-US"/>
        </w:rPr>
        <w:t>Korobov</w:t>
      </w:r>
      <w:r w:rsidR="006C680D" w:rsidRPr="00D337FA">
        <w:rPr>
          <w:i/>
          <w:szCs w:val="24"/>
          <w:lang w:val="en-US"/>
        </w:rPr>
        <w:t xml:space="preserve"> </w:t>
      </w:r>
      <w:r w:rsidRPr="00D337FA">
        <w:rPr>
          <w:i/>
          <w:szCs w:val="24"/>
          <w:lang w:val="en-US"/>
        </w:rPr>
        <w:t>Yu.I.</w:t>
      </w:r>
      <w:r w:rsidR="006C680D" w:rsidRPr="00D337FA">
        <w:rPr>
          <w:i/>
          <w:szCs w:val="24"/>
          <w:lang w:val="en-US"/>
        </w:rPr>
        <w:t xml:space="preserve"> </w:t>
      </w:r>
      <w:r w:rsidR="00F30997" w:rsidRPr="00D337FA">
        <w:rPr>
          <w:i/>
          <w:szCs w:val="24"/>
          <w:lang w:val="en-US"/>
        </w:rPr>
        <w:t>Cifrovye</w:t>
      </w:r>
      <w:r w:rsidR="006C680D" w:rsidRPr="00D337FA">
        <w:rPr>
          <w:i/>
          <w:szCs w:val="24"/>
          <w:lang w:val="en-US"/>
        </w:rPr>
        <w:t xml:space="preserve"> </w:t>
      </w:r>
      <w:r w:rsidR="00F30997" w:rsidRPr="00D337FA">
        <w:rPr>
          <w:i/>
          <w:szCs w:val="24"/>
          <w:lang w:val="en-US"/>
        </w:rPr>
        <w:t>investicionnye</w:t>
      </w:r>
      <w:r w:rsidR="006C680D" w:rsidRPr="00D337FA">
        <w:rPr>
          <w:i/>
          <w:szCs w:val="24"/>
          <w:lang w:val="en-US"/>
        </w:rPr>
        <w:t xml:space="preserve"> </w:t>
      </w:r>
      <w:r w:rsidR="00F30997" w:rsidRPr="00D337FA">
        <w:rPr>
          <w:i/>
          <w:szCs w:val="24"/>
          <w:lang w:val="en-US"/>
        </w:rPr>
        <w:t>instrumenty</w:t>
      </w:r>
      <w:r w:rsidR="006C680D" w:rsidRPr="00D337FA">
        <w:rPr>
          <w:i/>
          <w:szCs w:val="24"/>
          <w:lang w:val="en-US"/>
        </w:rPr>
        <w:t xml:space="preserve"> </w:t>
      </w:r>
      <w:r w:rsidR="00F30997" w:rsidRPr="00D337FA">
        <w:rPr>
          <w:i/>
          <w:szCs w:val="24"/>
          <w:lang w:val="en-US"/>
        </w:rPr>
        <w:t>na</w:t>
      </w:r>
      <w:r w:rsidR="006C680D" w:rsidRPr="00D337FA">
        <w:rPr>
          <w:i/>
          <w:szCs w:val="24"/>
          <w:lang w:val="en-US"/>
        </w:rPr>
        <w:t xml:space="preserve"> </w:t>
      </w:r>
      <w:r w:rsidR="00F30997" w:rsidRPr="00D337FA">
        <w:rPr>
          <w:i/>
          <w:szCs w:val="24"/>
          <w:lang w:val="en-US"/>
        </w:rPr>
        <w:t>finanso-vom</w:t>
      </w:r>
      <w:r w:rsidR="006C680D" w:rsidRPr="00D337FA">
        <w:rPr>
          <w:i/>
          <w:szCs w:val="24"/>
          <w:lang w:val="en-US"/>
        </w:rPr>
        <w:t xml:space="preserve"> </w:t>
      </w:r>
      <w:r w:rsidR="00F30997" w:rsidRPr="00D337FA">
        <w:rPr>
          <w:i/>
          <w:szCs w:val="24"/>
          <w:lang w:val="en-US"/>
        </w:rPr>
        <w:t>rynke</w:t>
      </w:r>
      <w:r w:rsidR="006C680D" w:rsidRPr="00D337FA">
        <w:rPr>
          <w:i/>
          <w:szCs w:val="24"/>
          <w:lang w:val="en-US"/>
        </w:rPr>
        <w:t xml:space="preserve"> </w:t>
      </w:r>
      <w:r w:rsidR="00F30997" w:rsidRPr="00D337FA">
        <w:rPr>
          <w:i/>
          <w:szCs w:val="24"/>
          <w:lang w:val="en-US"/>
        </w:rPr>
        <w:t>(obzor)</w:t>
      </w:r>
      <w:r w:rsidR="006C680D" w:rsidRPr="00D337FA">
        <w:rPr>
          <w:i/>
          <w:szCs w:val="24"/>
          <w:lang w:val="en-US"/>
        </w:rPr>
        <w:t xml:space="preserve"> </w:t>
      </w:r>
      <w:r w:rsidR="00F30997" w:rsidRPr="00D337FA">
        <w:rPr>
          <w:i/>
          <w:szCs w:val="24"/>
          <w:lang w:val="en-US"/>
        </w:rPr>
        <w:t>[</w:t>
      </w:r>
      <w:r w:rsidRPr="00D337FA">
        <w:rPr>
          <w:i/>
          <w:szCs w:val="24"/>
          <w:lang w:val="en-US"/>
        </w:rPr>
        <w:t>Digital</w:t>
      </w:r>
      <w:r w:rsidR="006C680D" w:rsidRPr="00D337FA">
        <w:rPr>
          <w:i/>
          <w:szCs w:val="24"/>
          <w:lang w:val="en-US"/>
        </w:rPr>
        <w:t xml:space="preserve"> </w:t>
      </w:r>
      <w:r w:rsidRPr="00D337FA">
        <w:rPr>
          <w:i/>
          <w:szCs w:val="24"/>
          <w:lang w:val="en-US"/>
        </w:rPr>
        <w:t>Investment</w:t>
      </w:r>
      <w:r w:rsidR="006C680D" w:rsidRPr="00D337FA">
        <w:rPr>
          <w:i/>
          <w:szCs w:val="24"/>
          <w:lang w:val="en-US"/>
        </w:rPr>
        <w:t xml:space="preserve"> </w:t>
      </w:r>
      <w:r w:rsidRPr="00D337FA">
        <w:rPr>
          <w:i/>
          <w:szCs w:val="24"/>
          <w:lang w:val="en-US"/>
        </w:rPr>
        <w:t>Instruments</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(Review)</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F30997" w:rsidRPr="00D337FA">
        <w:rPr>
          <w:i/>
          <w:szCs w:val="24"/>
          <w:lang w:val="en-US"/>
        </w:rPr>
        <w:t>Ekonomika.</w:t>
      </w:r>
      <w:r w:rsidR="006C680D" w:rsidRPr="00D337FA">
        <w:rPr>
          <w:i/>
          <w:szCs w:val="24"/>
          <w:lang w:val="en-US"/>
        </w:rPr>
        <w:t xml:space="preserve"> </w:t>
      </w:r>
      <w:r w:rsidR="00F30997" w:rsidRPr="00D337FA">
        <w:rPr>
          <w:i/>
          <w:szCs w:val="24"/>
          <w:lang w:val="en-US"/>
        </w:rPr>
        <w:t>Biznes.</w:t>
      </w:r>
      <w:r w:rsidR="006C680D" w:rsidRPr="00D337FA">
        <w:rPr>
          <w:i/>
          <w:szCs w:val="24"/>
          <w:lang w:val="en-US"/>
        </w:rPr>
        <w:t xml:space="preserve"> </w:t>
      </w:r>
      <w:r w:rsidR="00F30997" w:rsidRPr="00D337FA">
        <w:rPr>
          <w:i/>
          <w:szCs w:val="24"/>
          <w:lang w:val="en-US"/>
        </w:rPr>
        <w:t>Banki</w:t>
      </w:r>
      <w:r w:rsidR="006C680D" w:rsidRPr="00D337FA">
        <w:rPr>
          <w:i/>
          <w:szCs w:val="24"/>
          <w:lang w:val="en-US"/>
        </w:rPr>
        <w:t xml:space="preserve"> </w:t>
      </w:r>
      <w:r w:rsidR="00F30997" w:rsidRPr="00D337FA">
        <w:rPr>
          <w:i/>
          <w:szCs w:val="24"/>
          <w:lang w:val="en-US"/>
        </w:rPr>
        <w:t>–</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Banks.</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(67).</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49-57.</w:t>
      </w:r>
    </w:p>
    <w:p w:rsidR="00F40B92" w:rsidRDefault="00133405" w:rsidP="00133405">
      <w:pPr>
        <w:ind w:firstLine="284"/>
        <w:rPr>
          <w:i/>
          <w:szCs w:val="24"/>
          <w:lang w:val="en-US"/>
        </w:rPr>
      </w:pPr>
      <w:r w:rsidRPr="00D337FA">
        <w:rPr>
          <w:i/>
          <w:szCs w:val="24"/>
          <w:lang w:val="en-US"/>
        </w:rPr>
        <w:t>17.</w:t>
      </w:r>
      <w:r w:rsidR="006C680D" w:rsidRPr="00D337FA">
        <w:rPr>
          <w:i/>
          <w:szCs w:val="24"/>
          <w:lang w:val="en-US"/>
        </w:rPr>
        <w:t xml:space="preserve"> </w:t>
      </w:r>
      <w:r w:rsidRPr="00D337FA">
        <w:rPr>
          <w:i/>
          <w:szCs w:val="24"/>
          <w:lang w:val="en-US"/>
        </w:rPr>
        <w:t>Shveikin</w:t>
      </w:r>
      <w:r w:rsidR="006C680D" w:rsidRPr="00D337FA">
        <w:rPr>
          <w:i/>
          <w:szCs w:val="24"/>
          <w:lang w:val="en-US"/>
        </w:rPr>
        <w:t xml:space="preserve"> </w:t>
      </w:r>
      <w:r w:rsidRPr="00D337FA">
        <w:rPr>
          <w:i/>
          <w:szCs w:val="24"/>
          <w:lang w:val="en-US"/>
        </w:rPr>
        <w:t>I.E.,</w:t>
      </w:r>
      <w:r w:rsidR="006C680D" w:rsidRPr="00D337FA">
        <w:rPr>
          <w:i/>
          <w:szCs w:val="24"/>
          <w:lang w:val="en-US"/>
        </w:rPr>
        <w:t xml:space="preserve"> </w:t>
      </w:r>
      <w:r w:rsidRPr="00D337FA">
        <w:rPr>
          <w:i/>
          <w:szCs w:val="24"/>
          <w:lang w:val="en-US"/>
        </w:rPr>
        <w:t>Korobova</w:t>
      </w:r>
      <w:r w:rsidR="006C680D" w:rsidRPr="00D337FA">
        <w:rPr>
          <w:i/>
          <w:szCs w:val="24"/>
          <w:lang w:val="en-US"/>
        </w:rPr>
        <w:t xml:space="preserve"> </w:t>
      </w:r>
      <w:r w:rsidRPr="00D337FA">
        <w:rPr>
          <w:i/>
          <w:szCs w:val="24"/>
          <w:lang w:val="en-US"/>
        </w:rPr>
        <w:t>G.G.</w:t>
      </w:r>
      <w:r w:rsidR="006C680D" w:rsidRPr="00D337FA">
        <w:rPr>
          <w:i/>
          <w:szCs w:val="24"/>
          <w:lang w:val="en-US"/>
        </w:rPr>
        <w:t xml:space="preserve"> </w:t>
      </w:r>
      <w:r w:rsidR="00F30997" w:rsidRPr="00D337FA">
        <w:rPr>
          <w:i/>
          <w:szCs w:val="24"/>
          <w:lang w:val="en-US"/>
        </w:rPr>
        <w:t>Osobennosti</w:t>
      </w:r>
      <w:r w:rsidR="006C680D" w:rsidRPr="00D337FA">
        <w:rPr>
          <w:i/>
          <w:szCs w:val="24"/>
          <w:lang w:val="en-US"/>
        </w:rPr>
        <w:t xml:space="preserve"> </w:t>
      </w:r>
      <w:r w:rsidR="00F30997" w:rsidRPr="00D337FA">
        <w:rPr>
          <w:i/>
          <w:szCs w:val="24"/>
          <w:lang w:val="en-US"/>
        </w:rPr>
        <w:t>dohodov</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riskov</w:t>
      </w:r>
      <w:r w:rsidR="006C680D" w:rsidRPr="00D337FA">
        <w:rPr>
          <w:i/>
          <w:szCs w:val="24"/>
          <w:lang w:val="en-US"/>
        </w:rPr>
        <w:t xml:space="preserve"> </w:t>
      </w:r>
      <w:r w:rsidR="00F30997" w:rsidRPr="00D337FA">
        <w:rPr>
          <w:i/>
          <w:szCs w:val="24"/>
          <w:lang w:val="en-US"/>
        </w:rPr>
        <w:t>v</w:t>
      </w:r>
      <w:r w:rsidR="006C680D" w:rsidRPr="00D337FA">
        <w:rPr>
          <w:i/>
          <w:szCs w:val="24"/>
          <w:lang w:val="en-US"/>
        </w:rPr>
        <w:t xml:space="preserve"> </w:t>
      </w:r>
      <w:r w:rsidR="00F30997" w:rsidRPr="00D337FA">
        <w:rPr>
          <w:i/>
          <w:szCs w:val="24"/>
          <w:lang w:val="en-US"/>
        </w:rPr>
        <w:t>investicionnoj</w:t>
      </w:r>
      <w:r w:rsidR="006C680D" w:rsidRPr="00D337FA">
        <w:rPr>
          <w:i/>
          <w:szCs w:val="24"/>
          <w:lang w:val="en-US"/>
        </w:rPr>
        <w:t xml:space="preserve"> </w:t>
      </w:r>
      <w:r w:rsidR="00F30997" w:rsidRPr="00D337FA">
        <w:rPr>
          <w:i/>
          <w:szCs w:val="24"/>
          <w:lang w:val="en-US"/>
        </w:rPr>
        <w:t>deya-tel'nosti</w:t>
      </w:r>
      <w:r w:rsidR="006C680D" w:rsidRPr="00D337FA">
        <w:rPr>
          <w:i/>
          <w:szCs w:val="24"/>
          <w:lang w:val="en-US"/>
        </w:rPr>
        <w:t xml:space="preserve"> </w:t>
      </w:r>
      <w:r w:rsidR="00F30997" w:rsidRPr="00D337FA">
        <w:rPr>
          <w:i/>
          <w:szCs w:val="24"/>
          <w:lang w:val="en-US"/>
        </w:rPr>
        <w:t>kommercheskih</w:t>
      </w:r>
      <w:r w:rsidR="006C680D" w:rsidRPr="00D337FA">
        <w:rPr>
          <w:i/>
          <w:szCs w:val="24"/>
          <w:lang w:val="en-US"/>
        </w:rPr>
        <w:t xml:space="preserve"> </w:t>
      </w:r>
      <w:r w:rsidR="00F30997" w:rsidRPr="00D337FA">
        <w:rPr>
          <w:i/>
          <w:szCs w:val="24"/>
          <w:lang w:val="en-US"/>
        </w:rPr>
        <w:t>bankov</w:t>
      </w:r>
      <w:r w:rsidR="006C680D" w:rsidRPr="00D337FA">
        <w:rPr>
          <w:i/>
          <w:szCs w:val="24"/>
          <w:lang w:val="en-US"/>
        </w:rPr>
        <w:t xml:space="preserve"> </w:t>
      </w:r>
      <w:r w:rsidR="00F30997" w:rsidRPr="00D337FA">
        <w:rPr>
          <w:i/>
          <w:szCs w:val="24"/>
          <w:lang w:val="en-US"/>
        </w:rPr>
        <w:t>[</w:t>
      </w:r>
      <w:r w:rsidRPr="00D337FA">
        <w:rPr>
          <w:i/>
          <w:szCs w:val="24"/>
          <w:lang w:val="en-US"/>
        </w:rPr>
        <w:t>Features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Income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Risks</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Investment</w:t>
      </w:r>
      <w:r w:rsidR="006C680D" w:rsidRPr="00D337FA">
        <w:rPr>
          <w:i/>
          <w:szCs w:val="24"/>
          <w:lang w:val="en-US"/>
        </w:rPr>
        <w:t xml:space="preserve"> </w:t>
      </w:r>
      <w:r w:rsidRPr="00D337FA">
        <w:rPr>
          <w:i/>
          <w:szCs w:val="24"/>
          <w:lang w:val="en-US"/>
        </w:rPr>
        <w:t>Activities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Commercial</w:t>
      </w:r>
      <w:r w:rsidR="006C680D" w:rsidRPr="00D337FA">
        <w:rPr>
          <w:i/>
          <w:szCs w:val="24"/>
          <w:lang w:val="en-US"/>
        </w:rPr>
        <w:t xml:space="preserve"> </w:t>
      </w:r>
      <w:r w:rsidRPr="00D337FA">
        <w:rPr>
          <w:i/>
          <w:szCs w:val="24"/>
          <w:lang w:val="en-US"/>
        </w:rPr>
        <w:t>Banks</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F30997" w:rsidRPr="00D337FA">
        <w:rPr>
          <w:i/>
          <w:szCs w:val="24"/>
          <w:lang w:val="en-US"/>
        </w:rPr>
        <w:t>Ekonomika.</w:t>
      </w:r>
      <w:r w:rsidR="006C680D" w:rsidRPr="00D337FA">
        <w:rPr>
          <w:i/>
          <w:szCs w:val="24"/>
          <w:lang w:val="en-US"/>
        </w:rPr>
        <w:t xml:space="preserve"> </w:t>
      </w:r>
      <w:r w:rsidR="00F30997" w:rsidRPr="00D337FA">
        <w:rPr>
          <w:i/>
          <w:szCs w:val="24"/>
          <w:lang w:val="en-US"/>
        </w:rPr>
        <w:t>Biznes.</w:t>
      </w:r>
      <w:r w:rsidR="006C680D" w:rsidRPr="00D337FA">
        <w:rPr>
          <w:i/>
          <w:szCs w:val="24"/>
          <w:lang w:val="en-US"/>
        </w:rPr>
        <w:t xml:space="preserve"> </w:t>
      </w:r>
      <w:r w:rsidR="00F30997" w:rsidRPr="00D337FA">
        <w:rPr>
          <w:i/>
          <w:szCs w:val="24"/>
          <w:lang w:val="en-US"/>
        </w:rPr>
        <w:t>Banki</w:t>
      </w:r>
      <w:r w:rsidR="006C680D" w:rsidRPr="00D337FA">
        <w:rPr>
          <w:i/>
          <w:szCs w:val="24"/>
          <w:lang w:val="en-US"/>
        </w:rPr>
        <w:t xml:space="preserve"> </w:t>
      </w:r>
      <w:r w:rsidR="00F30997" w:rsidRPr="00D337FA">
        <w:rPr>
          <w:i/>
          <w:szCs w:val="24"/>
          <w:lang w:val="en-US"/>
        </w:rPr>
        <w:t>–</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Banks.</w:t>
      </w:r>
      <w:r w:rsidR="006C680D" w:rsidRPr="00D337FA">
        <w:rPr>
          <w:i/>
          <w:szCs w:val="24"/>
          <w:lang w:val="en-US"/>
        </w:rPr>
        <w:t xml:space="preserve"> </w:t>
      </w:r>
      <w:r w:rsidRPr="00D337FA">
        <w:rPr>
          <w:i/>
          <w:szCs w:val="24"/>
          <w:lang w:val="en-US"/>
        </w:rPr>
        <w:t>2017</w:t>
      </w:r>
      <w:r w:rsidR="00AD701E" w:rsidRPr="00D337FA">
        <w:rPr>
          <w:i/>
          <w:szCs w:val="24"/>
          <w:lang w:val="en-US"/>
        </w:rPr>
        <w:t>.</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1(18).</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86-93.</w:t>
      </w:r>
    </w:p>
    <w:p w:rsidR="00133405" w:rsidRPr="00D337FA" w:rsidRDefault="00133405" w:rsidP="00133405">
      <w:pPr>
        <w:ind w:firstLine="284"/>
        <w:rPr>
          <w:i/>
          <w:szCs w:val="24"/>
          <w:lang w:val="en-US"/>
        </w:rPr>
      </w:pPr>
      <w:r w:rsidRPr="00D337FA">
        <w:rPr>
          <w:i/>
          <w:szCs w:val="24"/>
          <w:lang w:val="en-US"/>
        </w:rPr>
        <w:t>18.</w:t>
      </w:r>
      <w:r w:rsidR="006C680D" w:rsidRPr="00D337FA">
        <w:rPr>
          <w:i/>
          <w:szCs w:val="24"/>
          <w:lang w:val="en-US"/>
        </w:rPr>
        <w:t xml:space="preserve"> </w:t>
      </w:r>
      <w:r w:rsidRPr="00D337FA">
        <w:rPr>
          <w:i/>
          <w:szCs w:val="24"/>
          <w:lang w:val="en-US"/>
        </w:rPr>
        <w:t>Shevchenko</w:t>
      </w:r>
      <w:r w:rsidR="006C680D" w:rsidRPr="00D337FA">
        <w:rPr>
          <w:i/>
          <w:szCs w:val="24"/>
          <w:lang w:val="en-US"/>
        </w:rPr>
        <w:t xml:space="preserve"> </w:t>
      </w:r>
      <w:r w:rsidRPr="00D337FA">
        <w:rPr>
          <w:i/>
          <w:szCs w:val="24"/>
          <w:lang w:val="en-US"/>
        </w:rPr>
        <w:t>D.A.,</w:t>
      </w:r>
      <w:r w:rsidR="006C680D" w:rsidRPr="00D337FA">
        <w:rPr>
          <w:i/>
          <w:szCs w:val="24"/>
          <w:lang w:val="en-US"/>
        </w:rPr>
        <w:t xml:space="preserve"> </w:t>
      </w:r>
      <w:r w:rsidRPr="00D337FA">
        <w:rPr>
          <w:i/>
          <w:szCs w:val="24"/>
          <w:lang w:val="en-US"/>
        </w:rPr>
        <w:t>Arku</w:t>
      </w:r>
      <w:r w:rsidR="006C680D" w:rsidRPr="00D337FA">
        <w:rPr>
          <w:i/>
          <w:szCs w:val="24"/>
          <w:lang w:val="en-US"/>
        </w:rPr>
        <w:t xml:space="preserve"> </w:t>
      </w:r>
      <w:r w:rsidRPr="00D337FA">
        <w:rPr>
          <w:i/>
          <w:szCs w:val="24"/>
          <w:lang w:val="en-US"/>
        </w:rPr>
        <w:t>H.K.</w:t>
      </w:r>
      <w:r w:rsidR="006C680D" w:rsidRPr="00D337FA">
        <w:rPr>
          <w:i/>
          <w:szCs w:val="24"/>
          <w:lang w:val="en-US"/>
        </w:rPr>
        <w:t xml:space="preserve"> </w:t>
      </w:r>
      <w:r w:rsidR="00F30997" w:rsidRPr="00D337FA">
        <w:rPr>
          <w:i/>
          <w:szCs w:val="24"/>
          <w:lang w:val="en-US"/>
        </w:rPr>
        <w:t>Finansovye</w:t>
      </w:r>
      <w:r w:rsidR="006C680D" w:rsidRPr="00D337FA">
        <w:rPr>
          <w:i/>
          <w:szCs w:val="24"/>
          <w:lang w:val="en-US"/>
        </w:rPr>
        <w:t xml:space="preserve"> </w:t>
      </w:r>
      <w:r w:rsidR="00F30997" w:rsidRPr="00D337FA">
        <w:rPr>
          <w:i/>
          <w:szCs w:val="24"/>
          <w:lang w:val="en-US"/>
        </w:rPr>
        <w:t>ogranicheniya</w:t>
      </w:r>
      <w:r w:rsidR="006C680D" w:rsidRPr="00D337FA">
        <w:rPr>
          <w:i/>
          <w:szCs w:val="24"/>
          <w:lang w:val="en-US"/>
        </w:rPr>
        <w:t xml:space="preserve"> </w:t>
      </w:r>
      <w:r w:rsidR="00F30997" w:rsidRPr="00D337FA">
        <w:rPr>
          <w:i/>
          <w:szCs w:val="24"/>
          <w:lang w:val="en-US"/>
        </w:rPr>
        <w:t>kak</w:t>
      </w:r>
      <w:r w:rsidR="006C680D" w:rsidRPr="00D337FA">
        <w:rPr>
          <w:i/>
          <w:szCs w:val="24"/>
          <w:lang w:val="en-US"/>
        </w:rPr>
        <w:t xml:space="preserve"> </w:t>
      </w:r>
      <w:r w:rsidR="00F30997" w:rsidRPr="00D337FA">
        <w:rPr>
          <w:i/>
          <w:szCs w:val="24"/>
          <w:lang w:val="en-US"/>
        </w:rPr>
        <w:t>bar'er</w:t>
      </w:r>
      <w:r w:rsidR="006C680D" w:rsidRPr="00D337FA">
        <w:rPr>
          <w:i/>
          <w:szCs w:val="24"/>
          <w:lang w:val="en-US"/>
        </w:rPr>
        <w:t xml:space="preserve"> </w:t>
      </w:r>
      <w:r w:rsidR="00F30997" w:rsidRPr="00D337FA">
        <w:rPr>
          <w:i/>
          <w:szCs w:val="24"/>
          <w:lang w:val="en-US"/>
        </w:rPr>
        <w:t>razvitiya</w:t>
      </w:r>
      <w:r w:rsidR="006C680D" w:rsidRPr="00D337FA">
        <w:rPr>
          <w:i/>
          <w:szCs w:val="24"/>
          <w:lang w:val="en-US"/>
        </w:rPr>
        <w:t xml:space="preserve"> </w:t>
      </w:r>
      <w:r w:rsidR="00F30997" w:rsidRPr="00D337FA">
        <w:rPr>
          <w:i/>
          <w:szCs w:val="24"/>
          <w:lang w:val="en-US"/>
        </w:rPr>
        <w:t>malogo</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srednego</w:t>
      </w:r>
      <w:r w:rsidR="006C680D" w:rsidRPr="00D337FA">
        <w:rPr>
          <w:i/>
          <w:szCs w:val="24"/>
          <w:lang w:val="en-US"/>
        </w:rPr>
        <w:t xml:space="preserve"> </w:t>
      </w:r>
      <w:r w:rsidR="00F30997" w:rsidRPr="00D337FA">
        <w:rPr>
          <w:i/>
          <w:szCs w:val="24"/>
          <w:lang w:val="en-US"/>
        </w:rPr>
        <w:t>biznesa</w:t>
      </w:r>
      <w:r w:rsidR="006C680D" w:rsidRPr="00D337FA">
        <w:rPr>
          <w:i/>
          <w:szCs w:val="24"/>
          <w:lang w:val="en-US"/>
        </w:rPr>
        <w:t xml:space="preserve"> </w:t>
      </w:r>
      <w:r w:rsidR="00F30997" w:rsidRPr="00D337FA">
        <w:rPr>
          <w:i/>
          <w:szCs w:val="24"/>
          <w:lang w:val="en-US"/>
        </w:rPr>
        <w:t>v</w:t>
      </w:r>
      <w:r w:rsidR="006C680D" w:rsidRPr="00D337FA">
        <w:rPr>
          <w:i/>
          <w:szCs w:val="24"/>
          <w:lang w:val="en-US"/>
        </w:rPr>
        <w:t xml:space="preserve"> </w:t>
      </w:r>
      <w:r w:rsidR="00F30997" w:rsidRPr="00D337FA">
        <w:rPr>
          <w:i/>
          <w:szCs w:val="24"/>
          <w:lang w:val="en-US"/>
        </w:rPr>
        <w:t>RF</w:t>
      </w:r>
      <w:r w:rsidR="006C680D" w:rsidRPr="00D337FA">
        <w:rPr>
          <w:i/>
          <w:szCs w:val="24"/>
          <w:lang w:val="en-US"/>
        </w:rPr>
        <w:t xml:space="preserve"> </w:t>
      </w:r>
      <w:r w:rsidR="00F30997" w:rsidRPr="00D337FA">
        <w:rPr>
          <w:i/>
          <w:szCs w:val="24"/>
          <w:lang w:val="en-US"/>
        </w:rPr>
        <w:t>[</w:t>
      </w:r>
      <w:r w:rsidRPr="00D337FA">
        <w:rPr>
          <w:i/>
          <w:szCs w:val="24"/>
          <w:lang w:val="en-US"/>
        </w:rPr>
        <w:t>Financial</w:t>
      </w:r>
      <w:r w:rsidR="006C680D" w:rsidRPr="00D337FA">
        <w:rPr>
          <w:i/>
          <w:szCs w:val="24"/>
          <w:lang w:val="en-US"/>
        </w:rPr>
        <w:t xml:space="preserve"> </w:t>
      </w:r>
      <w:r w:rsidRPr="00D337FA">
        <w:rPr>
          <w:i/>
          <w:szCs w:val="24"/>
          <w:lang w:val="en-US"/>
        </w:rPr>
        <w:t>Constraints</w:t>
      </w:r>
      <w:r w:rsidR="006C680D" w:rsidRPr="00D337FA">
        <w:rPr>
          <w:i/>
          <w:szCs w:val="24"/>
          <w:lang w:val="en-US"/>
        </w:rPr>
        <w:t xml:space="preserve"> </w:t>
      </w:r>
      <w:r w:rsidRPr="00D337FA">
        <w:rPr>
          <w:i/>
          <w:szCs w:val="24"/>
          <w:lang w:val="en-US"/>
        </w:rPr>
        <w:t>as</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Barrier</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Medium-Sized</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Federation</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Ekonominfo.</w:t>
      </w:r>
      <w:r w:rsidR="006C680D" w:rsidRPr="00D337FA">
        <w:rPr>
          <w:i/>
          <w:szCs w:val="24"/>
          <w:lang w:val="en-US"/>
        </w:rPr>
        <w:t xml:space="preserve"> </w:t>
      </w:r>
      <w:r w:rsidRPr="00D337FA">
        <w:rPr>
          <w:i/>
          <w:szCs w:val="24"/>
          <w:lang w:val="en-US"/>
        </w:rPr>
        <w:t>2021.</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00AD701E" w:rsidRPr="00D337FA">
        <w:rPr>
          <w:i/>
          <w:szCs w:val="24"/>
          <w:lang w:val="en-US"/>
        </w:rPr>
        <w:t xml:space="preserve">15. </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4.</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60</w:t>
      </w:r>
      <w:r w:rsidR="00F40B92" w:rsidRPr="008A5AE7">
        <w:rPr>
          <w:i/>
          <w:szCs w:val="24"/>
          <w:lang w:val="en-US"/>
        </w:rPr>
        <w:t>-</w:t>
      </w:r>
      <w:r w:rsidRPr="00D337FA">
        <w:rPr>
          <w:i/>
          <w:szCs w:val="24"/>
          <w:lang w:val="en-US"/>
        </w:rPr>
        <w:t>64.</w:t>
      </w:r>
    </w:p>
    <w:p w:rsidR="00133405" w:rsidRPr="00D337FA" w:rsidRDefault="00133405" w:rsidP="00133405">
      <w:pPr>
        <w:ind w:firstLine="284"/>
        <w:rPr>
          <w:i/>
          <w:szCs w:val="24"/>
          <w:lang w:val="en-US"/>
        </w:rPr>
      </w:pPr>
      <w:r w:rsidRPr="00D337FA">
        <w:rPr>
          <w:i/>
          <w:szCs w:val="24"/>
          <w:lang w:val="en-US"/>
        </w:rPr>
        <w:t>19.</w:t>
      </w:r>
      <w:r w:rsidR="006C680D" w:rsidRPr="00D337FA">
        <w:rPr>
          <w:i/>
          <w:szCs w:val="24"/>
          <w:lang w:val="en-US"/>
        </w:rPr>
        <w:t xml:space="preserve"> </w:t>
      </w:r>
      <w:r w:rsidR="00F30997" w:rsidRPr="00D337FA">
        <w:rPr>
          <w:i/>
          <w:szCs w:val="24"/>
          <w:lang w:val="en-US"/>
        </w:rPr>
        <w:t>Ekosistemnost'</w:t>
      </w:r>
      <w:r w:rsidR="006C680D" w:rsidRPr="00D337FA">
        <w:rPr>
          <w:i/>
          <w:szCs w:val="24"/>
          <w:lang w:val="en-US"/>
        </w:rPr>
        <w:t xml:space="preserve"> </w:t>
      </w:r>
      <w:r w:rsidR="00F30997" w:rsidRPr="00D337FA">
        <w:rPr>
          <w:i/>
          <w:szCs w:val="24"/>
          <w:lang w:val="en-US"/>
        </w:rPr>
        <w:t>i</w:t>
      </w:r>
      <w:r w:rsidR="006C680D" w:rsidRPr="00D337FA">
        <w:rPr>
          <w:i/>
          <w:szCs w:val="24"/>
          <w:lang w:val="en-US"/>
        </w:rPr>
        <w:t xml:space="preserve"> </w:t>
      </w:r>
      <w:r w:rsidR="00F30997" w:rsidRPr="00D337FA">
        <w:rPr>
          <w:i/>
          <w:szCs w:val="24"/>
          <w:lang w:val="en-US"/>
        </w:rPr>
        <w:t>nishevye</w:t>
      </w:r>
      <w:r w:rsidR="006C680D" w:rsidRPr="00D337FA">
        <w:rPr>
          <w:i/>
          <w:szCs w:val="24"/>
          <w:lang w:val="en-US"/>
        </w:rPr>
        <w:t xml:space="preserve"> </w:t>
      </w:r>
      <w:r w:rsidR="00F30997" w:rsidRPr="00D337FA">
        <w:rPr>
          <w:i/>
          <w:szCs w:val="24"/>
          <w:lang w:val="en-US"/>
        </w:rPr>
        <w:t>zadachi.</w:t>
      </w:r>
      <w:r w:rsidR="006C680D" w:rsidRPr="00D337FA">
        <w:rPr>
          <w:i/>
          <w:szCs w:val="24"/>
          <w:lang w:val="en-US"/>
        </w:rPr>
        <w:t xml:space="preserve"> </w:t>
      </w:r>
      <w:r w:rsidR="00F30997" w:rsidRPr="00D337FA">
        <w:rPr>
          <w:i/>
          <w:szCs w:val="24"/>
          <w:lang w:val="en-US"/>
        </w:rPr>
        <w:t>Kak</w:t>
      </w:r>
      <w:r w:rsidR="006C680D" w:rsidRPr="00D337FA">
        <w:rPr>
          <w:i/>
          <w:szCs w:val="24"/>
          <w:lang w:val="en-US"/>
        </w:rPr>
        <w:t xml:space="preserve"> </w:t>
      </w:r>
      <w:r w:rsidR="00F30997" w:rsidRPr="00D337FA">
        <w:rPr>
          <w:i/>
          <w:szCs w:val="24"/>
          <w:lang w:val="en-US"/>
        </w:rPr>
        <w:t>uderzhat'</w:t>
      </w:r>
      <w:r w:rsidR="006C680D" w:rsidRPr="00D337FA">
        <w:rPr>
          <w:i/>
          <w:szCs w:val="24"/>
          <w:lang w:val="en-US"/>
        </w:rPr>
        <w:t xml:space="preserve"> </w:t>
      </w:r>
      <w:r w:rsidR="00F30997" w:rsidRPr="00D337FA">
        <w:rPr>
          <w:i/>
          <w:szCs w:val="24"/>
          <w:lang w:val="en-US"/>
        </w:rPr>
        <w:t>malyj</w:t>
      </w:r>
      <w:r w:rsidR="006C680D" w:rsidRPr="00D337FA">
        <w:rPr>
          <w:i/>
          <w:szCs w:val="24"/>
          <w:lang w:val="en-US"/>
        </w:rPr>
        <w:t xml:space="preserve"> </w:t>
      </w:r>
      <w:r w:rsidR="00F30997" w:rsidRPr="00D337FA">
        <w:rPr>
          <w:i/>
          <w:szCs w:val="24"/>
          <w:lang w:val="en-US"/>
        </w:rPr>
        <w:t>biznes</w:t>
      </w:r>
      <w:r w:rsidR="006C680D" w:rsidRPr="00D337FA">
        <w:rPr>
          <w:i/>
          <w:szCs w:val="24"/>
          <w:lang w:val="en-US"/>
        </w:rPr>
        <w:t xml:space="preserve"> </w:t>
      </w:r>
      <w:r w:rsidR="00F30997" w:rsidRPr="00D337FA">
        <w:rPr>
          <w:i/>
          <w:szCs w:val="24"/>
          <w:lang w:val="en-US"/>
        </w:rPr>
        <w:t>v</w:t>
      </w:r>
      <w:r w:rsidR="006C680D" w:rsidRPr="00D337FA">
        <w:rPr>
          <w:i/>
          <w:szCs w:val="24"/>
          <w:lang w:val="en-US"/>
        </w:rPr>
        <w:t xml:space="preserve"> </w:t>
      </w:r>
      <w:r w:rsidR="00F30997" w:rsidRPr="00D337FA">
        <w:rPr>
          <w:i/>
          <w:szCs w:val="24"/>
          <w:lang w:val="en-US"/>
        </w:rPr>
        <w:t>internet-banke</w:t>
      </w:r>
      <w:r w:rsidR="006C680D" w:rsidRPr="00D337FA">
        <w:rPr>
          <w:i/>
          <w:szCs w:val="24"/>
          <w:lang w:val="en-US"/>
        </w:rPr>
        <w:t xml:space="preserve"> </w:t>
      </w:r>
      <w:r w:rsidR="00F30997" w:rsidRPr="00D337FA">
        <w:rPr>
          <w:i/>
          <w:szCs w:val="24"/>
          <w:lang w:val="en-US"/>
        </w:rPr>
        <w:t>[</w:t>
      </w:r>
      <w:r w:rsidRPr="00D337FA">
        <w:rPr>
          <w:i/>
          <w:szCs w:val="24"/>
          <w:lang w:val="en-US"/>
        </w:rPr>
        <w:t>Ecosystem</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Niche</w:t>
      </w:r>
      <w:r w:rsidR="006C680D" w:rsidRPr="00D337FA">
        <w:rPr>
          <w:i/>
          <w:szCs w:val="24"/>
          <w:lang w:val="en-US"/>
        </w:rPr>
        <w:t xml:space="preserve"> </w:t>
      </w:r>
      <w:r w:rsidRPr="00D337FA">
        <w:rPr>
          <w:i/>
          <w:szCs w:val="24"/>
          <w:lang w:val="en-US"/>
        </w:rPr>
        <w:t>Tasks.</w:t>
      </w:r>
      <w:r w:rsidR="006C680D" w:rsidRPr="00D337FA">
        <w:rPr>
          <w:i/>
          <w:szCs w:val="24"/>
          <w:lang w:val="en-US"/>
        </w:rPr>
        <w:t xml:space="preserve"> </w:t>
      </w:r>
      <w:r w:rsidRPr="00D337FA">
        <w:rPr>
          <w:i/>
          <w:szCs w:val="24"/>
          <w:lang w:val="en-US"/>
        </w:rPr>
        <w:t>How</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Retain</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Businesses</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Online</w:t>
      </w:r>
      <w:r w:rsidR="006C680D" w:rsidRPr="00D337FA">
        <w:rPr>
          <w:i/>
          <w:szCs w:val="24"/>
          <w:lang w:val="en-US"/>
        </w:rPr>
        <w:t xml:space="preserve"> </w:t>
      </w:r>
      <w:r w:rsidRPr="00D337FA">
        <w:rPr>
          <w:i/>
          <w:szCs w:val="24"/>
          <w:lang w:val="en-US"/>
        </w:rPr>
        <w:t>Banking</w:t>
      </w:r>
      <w:r w:rsidR="00F30997"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https://www.markswebb.ru/blog/internet-banks-best-practices-2021/</w:t>
      </w:r>
    </w:p>
    <w:p w:rsidR="00133405" w:rsidRPr="00D337FA" w:rsidRDefault="00133405" w:rsidP="00133405">
      <w:pPr>
        <w:ind w:firstLine="284"/>
        <w:rPr>
          <w:i/>
          <w:szCs w:val="24"/>
          <w:lang w:val="en-US"/>
        </w:rPr>
      </w:pPr>
      <w:r w:rsidRPr="00D337FA">
        <w:rPr>
          <w:i/>
          <w:szCs w:val="24"/>
          <w:lang w:val="en-US"/>
        </w:rPr>
        <w:t>20.</w:t>
      </w:r>
      <w:r w:rsidR="006C680D" w:rsidRPr="00D337FA">
        <w:rPr>
          <w:i/>
          <w:szCs w:val="24"/>
          <w:lang w:val="en-US"/>
        </w:rPr>
        <w:t xml:space="preserve"> </w:t>
      </w:r>
      <w:r w:rsidRPr="00D337FA">
        <w:rPr>
          <w:i/>
          <w:szCs w:val="24"/>
          <w:lang w:val="en-US"/>
        </w:rPr>
        <w:t>Akerlof</w:t>
      </w:r>
      <w:r w:rsidR="006C680D" w:rsidRPr="00D337FA">
        <w:rPr>
          <w:i/>
          <w:szCs w:val="24"/>
          <w:lang w:val="en-US"/>
        </w:rPr>
        <w:t xml:space="preserve"> </w:t>
      </w:r>
      <w:r w:rsidRPr="00D337FA">
        <w:rPr>
          <w:i/>
          <w:szCs w:val="24"/>
          <w:lang w:val="en-US"/>
        </w:rPr>
        <w:t>G.A.</w:t>
      </w:r>
      <w:r w:rsidR="006C680D" w:rsidRPr="00D337FA">
        <w:rPr>
          <w:i/>
          <w:szCs w:val="24"/>
          <w:lang w:val="en-US"/>
        </w:rPr>
        <w:t xml:space="preserve"> </w:t>
      </w:r>
      <w:r w:rsidR="00F30997" w:rsidRPr="00D337FA">
        <w:rPr>
          <w:i/>
          <w:szCs w:val="24"/>
          <w:lang w:val="en-US"/>
        </w:rPr>
        <w:t>The</w:t>
      </w:r>
      <w:r w:rsidR="006C680D" w:rsidRPr="00D337FA">
        <w:rPr>
          <w:i/>
          <w:szCs w:val="24"/>
          <w:lang w:val="en-US"/>
        </w:rPr>
        <w:t xml:space="preserve"> </w:t>
      </w:r>
      <w:r w:rsidR="00F30997" w:rsidRPr="00D337FA">
        <w:rPr>
          <w:i/>
          <w:szCs w:val="24"/>
          <w:lang w:val="en-US"/>
        </w:rPr>
        <w:t>Market</w:t>
      </w:r>
      <w:r w:rsidR="006C680D" w:rsidRPr="00D337FA">
        <w:rPr>
          <w:i/>
          <w:szCs w:val="24"/>
          <w:lang w:val="en-US"/>
        </w:rPr>
        <w:t xml:space="preserve"> </w:t>
      </w:r>
      <w:r w:rsidR="00F30997" w:rsidRPr="00D337FA">
        <w:rPr>
          <w:i/>
          <w:szCs w:val="24"/>
          <w:lang w:val="en-US"/>
        </w:rPr>
        <w:t>for</w:t>
      </w:r>
      <w:r w:rsidR="006C680D" w:rsidRPr="00D337FA">
        <w:rPr>
          <w:i/>
          <w:szCs w:val="24"/>
          <w:lang w:val="en-US"/>
        </w:rPr>
        <w:t xml:space="preserve"> </w:t>
      </w:r>
      <w:r w:rsidR="00F40B92">
        <w:rPr>
          <w:i/>
          <w:szCs w:val="24"/>
          <w:lang w:val="en-US"/>
        </w:rPr>
        <w:t>“</w:t>
      </w:r>
      <w:r w:rsidR="00F30997" w:rsidRPr="00D337FA">
        <w:rPr>
          <w:i/>
          <w:szCs w:val="24"/>
          <w:lang w:val="en-US"/>
        </w:rPr>
        <w:t>Lemons":</w:t>
      </w:r>
      <w:r w:rsidR="006C680D" w:rsidRPr="00D337FA">
        <w:rPr>
          <w:i/>
          <w:szCs w:val="24"/>
          <w:lang w:val="en-US"/>
        </w:rPr>
        <w:t xml:space="preserve"> </w:t>
      </w:r>
      <w:r w:rsidR="00F30997" w:rsidRPr="00D337FA">
        <w:rPr>
          <w:i/>
          <w:szCs w:val="24"/>
          <w:lang w:val="en-US"/>
        </w:rPr>
        <w:t>Quality</w:t>
      </w:r>
      <w:r w:rsidR="006C680D" w:rsidRPr="00D337FA">
        <w:rPr>
          <w:i/>
          <w:szCs w:val="24"/>
          <w:lang w:val="en-US"/>
        </w:rPr>
        <w:t xml:space="preserve"> </w:t>
      </w:r>
      <w:r w:rsidR="00F30997" w:rsidRPr="00D337FA">
        <w:rPr>
          <w:i/>
          <w:szCs w:val="24"/>
          <w:lang w:val="en-US"/>
        </w:rPr>
        <w:t>Uncertainty</w:t>
      </w:r>
      <w:r w:rsidR="006C680D" w:rsidRPr="00D337FA">
        <w:rPr>
          <w:i/>
          <w:szCs w:val="24"/>
          <w:lang w:val="en-US"/>
        </w:rPr>
        <w:t xml:space="preserve"> </w:t>
      </w:r>
      <w:r w:rsidR="00F30997" w:rsidRPr="00D337FA">
        <w:rPr>
          <w:i/>
          <w:szCs w:val="24"/>
          <w:lang w:val="en-US"/>
        </w:rPr>
        <w:t>and</w:t>
      </w:r>
      <w:r w:rsidR="006C680D" w:rsidRPr="00D337FA">
        <w:rPr>
          <w:i/>
          <w:szCs w:val="24"/>
          <w:lang w:val="en-US"/>
        </w:rPr>
        <w:t xml:space="preserve"> </w:t>
      </w:r>
      <w:r w:rsidR="00F30997" w:rsidRPr="00D337FA">
        <w:rPr>
          <w:i/>
          <w:szCs w:val="24"/>
          <w:lang w:val="en-US"/>
        </w:rPr>
        <w:t>the</w:t>
      </w:r>
      <w:r w:rsidR="006C680D" w:rsidRPr="00D337FA">
        <w:rPr>
          <w:i/>
          <w:szCs w:val="24"/>
          <w:lang w:val="en-US"/>
        </w:rPr>
        <w:t xml:space="preserve"> </w:t>
      </w:r>
      <w:r w:rsidR="00F30997" w:rsidRPr="00D337FA">
        <w:rPr>
          <w:i/>
          <w:szCs w:val="24"/>
          <w:lang w:val="en-US"/>
        </w:rPr>
        <w:t>Market</w:t>
      </w:r>
      <w:r w:rsidR="006C680D" w:rsidRPr="00D337FA">
        <w:rPr>
          <w:i/>
          <w:szCs w:val="24"/>
          <w:lang w:val="en-US"/>
        </w:rPr>
        <w:t xml:space="preserve"> </w:t>
      </w:r>
      <w:r w:rsidR="00F30997" w:rsidRPr="00D337FA">
        <w:rPr>
          <w:i/>
          <w:szCs w:val="24"/>
          <w:lang w:val="en-US"/>
        </w:rPr>
        <w:t>Mechanism</w:t>
      </w:r>
      <w:r w:rsidR="006C680D" w:rsidRPr="00D337FA">
        <w:rPr>
          <w:i/>
          <w:szCs w:val="24"/>
          <w:lang w:val="en-US"/>
        </w:rPr>
        <w:t xml:space="preserve"> </w:t>
      </w:r>
      <w:r w:rsidR="00F30997" w:rsidRPr="00D337FA">
        <w:rPr>
          <w:i/>
          <w:szCs w:val="24"/>
          <w:lang w:val="en-US"/>
        </w:rPr>
        <w:t>[</w:t>
      </w:r>
      <w:r w:rsidRPr="00D337FA">
        <w:rPr>
          <w:i/>
          <w:szCs w:val="24"/>
          <w:lang w:val="en-US"/>
        </w:rPr>
        <w:t>The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"Lemons":</w:t>
      </w:r>
      <w:r w:rsidR="006C680D" w:rsidRPr="00D337FA">
        <w:rPr>
          <w:i/>
          <w:szCs w:val="24"/>
          <w:lang w:val="en-US"/>
        </w:rPr>
        <w:t xml:space="preserve"> </w:t>
      </w:r>
      <w:r w:rsidRPr="00D337FA">
        <w:rPr>
          <w:i/>
          <w:szCs w:val="24"/>
          <w:lang w:val="en-US"/>
        </w:rPr>
        <w:t>Quality</w:t>
      </w:r>
      <w:r w:rsidR="006C680D" w:rsidRPr="00D337FA">
        <w:rPr>
          <w:i/>
          <w:szCs w:val="24"/>
          <w:lang w:val="en-US"/>
        </w:rPr>
        <w:t xml:space="preserve"> </w:t>
      </w:r>
      <w:r w:rsidRPr="00D337FA">
        <w:rPr>
          <w:i/>
          <w:szCs w:val="24"/>
          <w:lang w:val="en-US"/>
        </w:rPr>
        <w:t>Uncertainty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Mechanism</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F30997" w:rsidRPr="00D337FA">
        <w:rPr>
          <w:i/>
          <w:szCs w:val="24"/>
          <w:lang w:val="en-US"/>
        </w:rPr>
        <w:t>The</w:t>
      </w:r>
      <w:r w:rsidR="006C680D" w:rsidRPr="00D337FA">
        <w:rPr>
          <w:i/>
          <w:szCs w:val="24"/>
          <w:lang w:val="en-US"/>
        </w:rPr>
        <w:t xml:space="preserve"> </w:t>
      </w:r>
      <w:r w:rsidR="00F30997" w:rsidRPr="00D337FA">
        <w:rPr>
          <w:i/>
          <w:szCs w:val="24"/>
          <w:lang w:val="en-US"/>
        </w:rPr>
        <w:t>Quarterly</w:t>
      </w:r>
      <w:r w:rsidR="006C680D" w:rsidRPr="00D337FA">
        <w:rPr>
          <w:i/>
          <w:szCs w:val="24"/>
          <w:lang w:val="en-US"/>
        </w:rPr>
        <w:t xml:space="preserve"> </w:t>
      </w:r>
      <w:r w:rsidR="00F30997" w:rsidRPr="00D337FA">
        <w:rPr>
          <w:i/>
          <w:szCs w:val="24"/>
          <w:lang w:val="en-US"/>
        </w:rPr>
        <w:t>Journal</w:t>
      </w:r>
      <w:r w:rsidR="006C680D" w:rsidRPr="00D337FA">
        <w:rPr>
          <w:i/>
          <w:szCs w:val="24"/>
          <w:lang w:val="en-US"/>
        </w:rPr>
        <w:t xml:space="preserve"> </w:t>
      </w:r>
      <w:r w:rsidR="00F30997" w:rsidRPr="00D337FA">
        <w:rPr>
          <w:i/>
          <w:szCs w:val="24"/>
          <w:lang w:val="en-US"/>
        </w:rPr>
        <w:t>of</w:t>
      </w:r>
      <w:r w:rsidR="006C680D" w:rsidRPr="00D337FA">
        <w:rPr>
          <w:i/>
          <w:szCs w:val="24"/>
          <w:lang w:val="en-US"/>
        </w:rPr>
        <w:t xml:space="preserve"> </w:t>
      </w:r>
      <w:r w:rsidR="00F30997" w:rsidRPr="00D337FA">
        <w:rPr>
          <w:i/>
          <w:szCs w:val="24"/>
          <w:lang w:val="en-US"/>
        </w:rPr>
        <w:t>Economics</w:t>
      </w:r>
      <w:r w:rsidR="006C680D" w:rsidRPr="00D337FA">
        <w:rPr>
          <w:i/>
          <w:szCs w:val="24"/>
          <w:lang w:val="en-US"/>
        </w:rPr>
        <w:t xml:space="preserve"> </w:t>
      </w:r>
      <w:r w:rsidR="00F30997" w:rsidRPr="00D337FA">
        <w:rPr>
          <w:i/>
          <w:szCs w:val="24"/>
          <w:lang w:val="en-US"/>
        </w:rPr>
        <w:t>–</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Quarterly</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Economics.</w:t>
      </w:r>
      <w:r w:rsidR="006C680D" w:rsidRPr="00D337FA">
        <w:rPr>
          <w:i/>
          <w:szCs w:val="24"/>
          <w:lang w:val="en-US"/>
        </w:rPr>
        <w:t xml:space="preserve"> </w:t>
      </w:r>
      <w:r w:rsidRPr="00D337FA">
        <w:rPr>
          <w:i/>
          <w:szCs w:val="24"/>
          <w:lang w:val="en-US"/>
        </w:rPr>
        <w:t>1970.</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84.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488</w:t>
      </w:r>
      <w:r w:rsidR="00F40B92" w:rsidRPr="008A5AE7">
        <w:rPr>
          <w:i/>
          <w:szCs w:val="24"/>
          <w:lang w:val="en-US"/>
        </w:rPr>
        <w:t>-</w:t>
      </w:r>
      <w:r w:rsidRPr="00D337FA">
        <w:rPr>
          <w:i/>
          <w:szCs w:val="24"/>
          <w:lang w:val="en-US"/>
        </w:rPr>
        <w:t>500.</w:t>
      </w:r>
    </w:p>
    <w:p w:rsidR="00133405" w:rsidRPr="00D337FA" w:rsidRDefault="00133405" w:rsidP="00133405">
      <w:pPr>
        <w:ind w:firstLine="284"/>
        <w:rPr>
          <w:i/>
          <w:szCs w:val="24"/>
          <w:lang w:val="en-US"/>
        </w:rPr>
      </w:pPr>
      <w:r w:rsidRPr="00D337FA">
        <w:rPr>
          <w:i/>
          <w:szCs w:val="24"/>
          <w:lang w:val="en-US"/>
        </w:rPr>
        <w:lastRenderedPageBreak/>
        <w:t>21.</w:t>
      </w:r>
      <w:r w:rsidR="006C680D" w:rsidRPr="00D337FA">
        <w:rPr>
          <w:i/>
          <w:szCs w:val="24"/>
          <w:lang w:val="en-US"/>
        </w:rPr>
        <w:t xml:space="preserve"> </w:t>
      </w:r>
      <w:r w:rsidRPr="00D337FA">
        <w:rPr>
          <w:i/>
          <w:szCs w:val="24"/>
          <w:lang w:val="en-US"/>
        </w:rPr>
        <w:t>Alt</w:t>
      </w:r>
      <w:r w:rsidR="006C680D" w:rsidRPr="00D337FA">
        <w:rPr>
          <w:i/>
          <w:szCs w:val="24"/>
          <w:lang w:val="en-US"/>
        </w:rPr>
        <w:t xml:space="preserve"> </w:t>
      </w:r>
      <w:r w:rsidRPr="00D337FA">
        <w:rPr>
          <w:i/>
          <w:szCs w:val="24"/>
          <w:lang w:val="en-US"/>
        </w:rPr>
        <w:t>R.,</w:t>
      </w:r>
      <w:r w:rsidR="006C680D" w:rsidRPr="00D337FA">
        <w:rPr>
          <w:i/>
          <w:szCs w:val="24"/>
          <w:lang w:val="en-US"/>
        </w:rPr>
        <w:t xml:space="preserve"> </w:t>
      </w:r>
      <w:r w:rsidRPr="00D337FA">
        <w:rPr>
          <w:i/>
          <w:szCs w:val="24"/>
          <w:lang w:val="en-US"/>
        </w:rPr>
        <w:t>Puschmann</w:t>
      </w:r>
      <w:r w:rsidR="006C680D" w:rsidRPr="00D337FA">
        <w:rPr>
          <w:i/>
          <w:szCs w:val="24"/>
          <w:lang w:val="en-US"/>
        </w:rPr>
        <w:t xml:space="preserve"> </w:t>
      </w:r>
      <w:r w:rsidRPr="00D337FA">
        <w:rPr>
          <w:i/>
          <w:szCs w:val="24"/>
          <w:lang w:val="en-US"/>
        </w:rPr>
        <w:t>T.</w:t>
      </w:r>
      <w:r w:rsidR="006C680D" w:rsidRPr="00D337FA">
        <w:rPr>
          <w:i/>
          <w:szCs w:val="24"/>
          <w:lang w:val="en-US"/>
        </w:rPr>
        <w:t xml:space="preserve"> </w:t>
      </w:r>
      <w:r w:rsidR="00F30997" w:rsidRPr="00D337FA">
        <w:rPr>
          <w:i/>
          <w:szCs w:val="24"/>
          <w:lang w:val="en-US"/>
        </w:rPr>
        <w:t>The</w:t>
      </w:r>
      <w:r w:rsidR="006C680D" w:rsidRPr="00D337FA">
        <w:rPr>
          <w:i/>
          <w:szCs w:val="24"/>
          <w:lang w:val="en-US"/>
        </w:rPr>
        <w:t xml:space="preserve"> </w:t>
      </w:r>
      <w:r w:rsidR="00F30997" w:rsidRPr="00D337FA">
        <w:rPr>
          <w:i/>
          <w:szCs w:val="24"/>
          <w:lang w:val="en-US"/>
        </w:rPr>
        <w:t>rise</w:t>
      </w:r>
      <w:r w:rsidR="006C680D" w:rsidRPr="00D337FA">
        <w:rPr>
          <w:i/>
          <w:szCs w:val="24"/>
          <w:lang w:val="en-US"/>
        </w:rPr>
        <w:t xml:space="preserve"> </w:t>
      </w:r>
      <w:r w:rsidR="00F30997" w:rsidRPr="00D337FA">
        <w:rPr>
          <w:i/>
          <w:szCs w:val="24"/>
          <w:lang w:val="en-US"/>
        </w:rPr>
        <w:t>of</w:t>
      </w:r>
      <w:r w:rsidR="006C680D" w:rsidRPr="00D337FA">
        <w:rPr>
          <w:i/>
          <w:szCs w:val="24"/>
          <w:lang w:val="en-US"/>
        </w:rPr>
        <w:t xml:space="preserve"> </w:t>
      </w:r>
      <w:r w:rsidR="00F30997" w:rsidRPr="00D337FA">
        <w:rPr>
          <w:i/>
          <w:szCs w:val="24"/>
          <w:lang w:val="en-US"/>
        </w:rPr>
        <w:t>digital</w:t>
      </w:r>
      <w:r w:rsidR="006C680D" w:rsidRPr="00D337FA">
        <w:rPr>
          <w:i/>
          <w:szCs w:val="24"/>
          <w:lang w:val="en-US"/>
        </w:rPr>
        <w:t xml:space="preserve"> </w:t>
      </w:r>
      <w:r w:rsidR="00F30997" w:rsidRPr="00D337FA">
        <w:rPr>
          <w:i/>
          <w:szCs w:val="24"/>
          <w:lang w:val="en-US"/>
        </w:rPr>
        <w:t>banking</w:t>
      </w:r>
      <w:r w:rsidR="006C680D" w:rsidRPr="00D337FA">
        <w:rPr>
          <w:i/>
          <w:szCs w:val="24"/>
          <w:lang w:val="en-US"/>
        </w:rPr>
        <w:t xml:space="preserve"> </w:t>
      </w:r>
      <w:r w:rsidR="00F30997" w:rsidRPr="00D337FA">
        <w:rPr>
          <w:i/>
          <w:szCs w:val="24"/>
          <w:lang w:val="en-US"/>
        </w:rPr>
        <w:t>and</w:t>
      </w:r>
      <w:r w:rsidR="006C680D" w:rsidRPr="00D337FA">
        <w:rPr>
          <w:i/>
          <w:szCs w:val="24"/>
          <w:lang w:val="en-US"/>
        </w:rPr>
        <w:t xml:space="preserve"> </w:t>
      </w:r>
      <w:r w:rsidR="00F30997" w:rsidRPr="00D337FA">
        <w:rPr>
          <w:i/>
          <w:szCs w:val="24"/>
          <w:lang w:val="en-US"/>
        </w:rPr>
        <w:t>the</w:t>
      </w:r>
      <w:r w:rsidR="006C680D" w:rsidRPr="00D337FA">
        <w:rPr>
          <w:i/>
          <w:szCs w:val="24"/>
          <w:lang w:val="en-US"/>
        </w:rPr>
        <w:t xml:space="preserve"> </w:t>
      </w:r>
      <w:r w:rsidR="00F30997" w:rsidRPr="00D337FA">
        <w:rPr>
          <w:i/>
          <w:szCs w:val="24"/>
          <w:lang w:val="en-US"/>
        </w:rPr>
        <w:t>changing</w:t>
      </w:r>
      <w:r w:rsidR="006C680D" w:rsidRPr="00D337FA">
        <w:rPr>
          <w:i/>
          <w:szCs w:val="24"/>
          <w:lang w:val="en-US"/>
        </w:rPr>
        <w:t xml:space="preserve"> </w:t>
      </w:r>
      <w:r w:rsidR="00F30997" w:rsidRPr="00D337FA">
        <w:rPr>
          <w:i/>
          <w:szCs w:val="24"/>
          <w:lang w:val="en-US"/>
        </w:rPr>
        <w:t>landscape</w:t>
      </w:r>
      <w:r w:rsidR="006C680D" w:rsidRPr="00D337FA">
        <w:rPr>
          <w:i/>
          <w:szCs w:val="24"/>
          <w:lang w:val="en-US"/>
        </w:rPr>
        <w:t xml:space="preserve"> </w:t>
      </w:r>
      <w:r w:rsidR="00F30997" w:rsidRPr="00D337FA">
        <w:rPr>
          <w:i/>
          <w:szCs w:val="24"/>
          <w:lang w:val="en-US"/>
        </w:rPr>
        <w:t>of</w:t>
      </w:r>
      <w:r w:rsidR="006C680D" w:rsidRPr="00D337FA">
        <w:rPr>
          <w:i/>
          <w:szCs w:val="24"/>
          <w:lang w:val="en-US"/>
        </w:rPr>
        <w:t xml:space="preserve"> </w:t>
      </w:r>
      <w:r w:rsidR="00F30997" w:rsidRPr="00D337FA">
        <w:rPr>
          <w:i/>
          <w:szCs w:val="24"/>
          <w:lang w:val="en-US"/>
        </w:rPr>
        <w:t>financial</w:t>
      </w:r>
      <w:r w:rsidR="006C680D" w:rsidRPr="00D337FA">
        <w:rPr>
          <w:i/>
          <w:szCs w:val="24"/>
          <w:lang w:val="en-US"/>
        </w:rPr>
        <w:t xml:space="preserve"> </w:t>
      </w:r>
      <w:r w:rsidR="00F30997" w:rsidRPr="00D337FA">
        <w:rPr>
          <w:i/>
          <w:szCs w:val="24"/>
          <w:lang w:val="en-US"/>
        </w:rPr>
        <w:t>services</w:t>
      </w:r>
      <w:r w:rsidR="006C680D" w:rsidRPr="00D337FA">
        <w:rPr>
          <w:i/>
          <w:szCs w:val="24"/>
          <w:lang w:val="en-US"/>
        </w:rPr>
        <w:t xml:space="preserve"> </w:t>
      </w:r>
      <w:r w:rsidR="00F30997" w:rsidRPr="00D337FA">
        <w:rPr>
          <w:i/>
          <w:szCs w:val="24"/>
          <w:lang w:val="en-US"/>
        </w:rPr>
        <w:t>[</w:t>
      </w:r>
      <w:r w:rsidRPr="00D337FA">
        <w:rPr>
          <w:i/>
          <w:szCs w:val="24"/>
          <w:lang w:val="en-US"/>
        </w:rPr>
        <w:t>The</w:t>
      </w:r>
      <w:r w:rsidR="006C680D" w:rsidRPr="00D337FA">
        <w:rPr>
          <w:i/>
          <w:szCs w:val="24"/>
          <w:lang w:val="en-US"/>
        </w:rPr>
        <w:t xml:space="preserve"> </w:t>
      </w:r>
      <w:r w:rsidRPr="00D337FA">
        <w:rPr>
          <w:i/>
          <w:szCs w:val="24"/>
          <w:lang w:val="en-US"/>
        </w:rPr>
        <w:t>rise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digital</w:t>
      </w:r>
      <w:r w:rsidR="006C680D" w:rsidRPr="00D337FA">
        <w:rPr>
          <w:i/>
          <w:szCs w:val="24"/>
          <w:lang w:val="en-US"/>
        </w:rPr>
        <w:t xml:space="preserve"> </w:t>
      </w:r>
      <w:r w:rsidRPr="00D337FA">
        <w:rPr>
          <w:i/>
          <w:szCs w:val="24"/>
          <w:lang w:val="en-US"/>
        </w:rPr>
        <w:t>banking</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changing</w:t>
      </w:r>
      <w:r w:rsidR="006C680D" w:rsidRPr="00D337FA">
        <w:rPr>
          <w:i/>
          <w:szCs w:val="24"/>
          <w:lang w:val="en-US"/>
        </w:rPr>
        <w:t xml:space="preserve"> </w:t>
      </w:r>
      <w:r w:rsidRPr="00D337FA">
        <w:rPr>
          <w:i/>
          <w:szCs w:val="24"/>
          <w:lang w:val="en-US"/>
        </w:rPr>
        <w:t>landscape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services</w:t>
      </w:r>
      <w:r w:rsidR="00F30997"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Electronic</w:t>
      </w:r>
      <w:r w:rsidR="006C680D" w:rsidRPr="00D337FA">
        <w:rPr>
          <w:i/>
          <w:szCs w:val="24"/>
          <w:lang w:val="en-US"/>
        </w:rPr>
        <w:t xml:space="preserve"> </w:t>
      </w:r>
      <w:r w:rsidRPr="00D337FA">
        <w:rPr>
          <w:i/>
          <w:szCs w:val="24"/>
          <w:lang w:val="en-US"/>
        </w:rPr>
        <w:t>Markets.</w:t>
      </w:r>
      <w:r w:rsidR="006C680D" w:rsidRPr="00D337FA">
        <w:rPr>
          <w:i/>
          <w:szCs w:val="24"/>
          <w:lang w:val="en-US"/>
        </w:rPr>
        <w:t xml:space="preserve"> </w:t>
      </w:r>
      <w:r w:rsidRPr="00D337FA">
        <w:rPr>
          <w:i/>
          <w:szCs w:val="24"/>
          <w:lang w:val="en-US"/>
        </w:rPr>
        <w:t>2022.</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32.No.</w:t>
      </w:r>
      <w:r w:rsidR="006C680D" w:rsidRPr="00D337FA">
        <w:rPr>
          <w:i/>
          <w:szCs w:val="24"/>
          <w:lang w:val="en-US"/>
        </w:rPr>
        <w:t xml:space="preserve"> </w:t>
      </w:r>
      <w:r w:rsidRPr="00D337FA">
        <w:rPr>
          <w:i/>
          <w:szCs w:val="24"/>
          <w:lang w:val="en-US"/>
        </w:rPr>
        <w:t>3.</w:t>
      </w:r>
      <w:r w:rsidR="00AD701E"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1369</w:t>
      </w:r>
      <w:r w:rsidR="00AD701E" w:rsidRPr="00D337FA">
        <w:rPr>
          <w:i/>
          <w:szCs w:val="24"/>
          <w:lang w:val="en-US"/>
        </w:rPr>
        <w:t>-</w:t>
      </w:r>
      <w:r w:rsidRPr="00D337FA">
        <w:rPr>
          <w:i/>
          <w:szCs w:val="24"/>
          <w:lang w:val="en-US"/>
        </w:rPr>
        <w:t>1383.</w:t>
      </w:r>
    </w:p>
    <w:p w:rsidR="00133405" w:rsidRPr="00D337FA" w:rsidRDefault="00133405" w:rsidP="00133405">
      <w:pPr>
        <w:ind w:firstLine="284"/>
        <w:rPr>
          <w:i/>
          <w:szCs w:val="24"/>
          <w:lang w:val="en-US"/>
        </w:rPr>
      </w:pPr>
      <w:r w:rsidRPr="00D337FA">
        <w:rPr>
          <w:i/>
          <w:szCs w:val="24"/>
          <w:lang w:val="en-US"/>
        </w:rPr>
        <w:t>22.</w:t>
      </w:r>
      <w:r w:rsidR="006C680D" w:rsidRPr="00D337FA">
        <w:rPr>
          <w:i/>
          <w:szCs w:val="24"/>
          <w:lang w:val="en-US"/>
        </w:rPr>
        <w:t xml:space="preserve"> </w:t>
      </w:r>
      <w:r w:rsidRPr="00D337FA">
        <w:rPr>
          <w:i/>
          <w:szCs w:val="24"/>
          <w:lang w:val="en-US"/>
        </w:rPr>
        <w:t>Berger</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N.,</w:t>
      </w:r>
      <w:r w:rsidR="006C680D" w:rsidRPr="00D337FA">
        <w:rPr>
          <w:i/>
          <w:szCs w:val="24"/>
          <w:lang w:val="en-US"/>
        </w:rPr>
        <w:t xml:space="preserve"> </w:t>
      </w:r>
      <w:r w:rsidRPr="00D337FA">
        <w:rPr>
          <w:i/>
          <w:szCs w:val="24"/>
          <w:lang w:val="en-US"/>
        </w:rPr>
        <w:t>Udell</w:t>
      </w:r>
      <w:r w:rsidR="006C680D" w:rsidRPr="00D337FA">
        <w:rPr>
          <w:i/>
          <w:szCs w:val="24"/>
          <w:lang w:val="en-US"/>
        </w:rPr>
        <w:t xml:space="preserve"> </w:t>
      </w:r>
      <w:r w:rsidRPr="00D337FA">
        <w:rPr>
          <w:i/>
          <w:szCs w:val="24"/>
          <w:lang w:val="en-US"/>
        </w:rPr>
        <w:t>G.</w:t>
      </w:r>
      <w:r w:rsidR="006C680D" w:rsidRPr="00D337FA">
        <w:rPr>
          <w:i/>
          <w:szCs w:val="24"/>
          <w:lang w:val="en-US"/>
        </w:rPr>
        <w:t xml:space="preserve"> </w:t>
      </w:r>
      <w:r w:rsidRPr="00D337FA">
        <w:rPr>
          <w:i/>
          <w:szCs w:val="24"/>
          <w:lang w:val="en-US"/>
        </w:rPr>
        <w:t>F.</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more</w:t>
      </w:r>
      <w:r w:rsidR="006C680D" w:rsidRPr="00D337FA">
        <w:rPr>
          <w:i/>
          <w:szCs w:val="24"/>
          <w:lang w:val="en-US"/>
        </w:rPr>
        <w:t xml:space="preserve"> </w:t>
      </w:r>
      <w:r w:rsidRPr="00D337FA">
        <w:rPr>
          <w:i/>
          <w:szCs w:val="24"/>
          <w:lang w:val="en-US"/>
        </w:rPr>
        <w:t>complete</w:t>
      </w:r>
      <w:r w:rsidR="006C680D" w:rsidRPr="00D337FA">
        <w:rPr>
          <w:i/>
          <w:szCs w:val="24"/>
          <w:lang w:val="en-US"/>
        </w:rPr>
        <w:t xml:space="preserve"> </w:t>
      </w:r>
      <w:r w:rsidRPr="00D337FA">
        <w:rPr>
          <w:i/>
          <w:szCs w:val="24"/>
          <w:lang w:val="en-US"/>
        </w:rPr>
        <w:t>conceptual</w:t>
      </w:r>
      <w:r w:rsidR="006C680D" w:rsidRPr="00D337FA">
        <w:rPr>
          <w:i/>
          <w:szCs w:val="24"/>
          <w:lang w:val="en-US"/>
        </w:rPr>
        <w:t xml:space="preserve"> </w:t>
      </w:r>
      <w:r w:rsidRPr="00D337FA">
        <w:rPr>
          <w:i/>
          <w:szCs w:val="24"/>
          <w:lang w:val="en-US"/>
        </w:rPr>
        <w:t>framework</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SME</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Banking</w:t>
      </w:r>
      <w:r w:rsidR="006C680D" w:rsidRPr="00D337FA">
        <w:rPr>
          <w:i/>
          <w:szCs w:val="24"/>
          <w:lang w:val="en-US"/>
        </w:rPr>
        <w:t xml:space="preserve"> </w:t>
      </w:r>
      <w:r w:rsidRPr="00D337FA">
        <w:rPr>
          <w:i/>
          <w:szCs w:val="24"/>
          <w:lang w:val="en-US"/>
        </w:rPr>
        <w:t>&amp;</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2006.</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30,</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11.</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2945</w:t>
      </w:r>
      <w:r w:rsidR="00AD701E" w:rsidRPr="00D337FA">
        <w:rPr>
          <w:i/>
          <w:szCs w:val="24"/>
          <w:lang w:val="en-US"/>
        </w:rPr>
        <w:t>-</w:t>
      </w:r>
      <w:r w:rsidRPr="00D337FA">
        <w:rPr>
          <w:i/>
          <w:szCs w:val="24"/>
          <w:lang w:val="en-US"/>
        </w:rPr>
        <w:t>2966.</w:t>
      </w:r>
    </w:p>
    <w:p w:rsidR="00133405" w:rsidRPr="00D337FA" w:rsidRDefault="00133405" w:rsidP="00133405">
      <w:pPr>
        <w:ind w:firstLine="284"/>
        <w:rPr>
          <w:i/>
          <w:szCs w:val="24"/>
          <w:lang w:val="en-US"/>
        </w:rPr>
      </w:pPr>
      <w:r w:rsidRPr="00D337FA">
        <w:rPr>
          <w:i/>
          <w:szCs w:val="24"/>
          <w:lang w:val="en-US"/>
        </w:rPr>
        <w:t>23.</w:t>
      </w:r>
      <w:r w:rsidR="006C680D" w:rsidRPr="00D337FA">
        <w:rPr>
          <w:i/>
          <w:szCs w:val="24"/>
          <w:lang w:val="en-US"/>
        </w:rPr>
        <w:t xml:space="preserve"> </w:t>
      </w:r>
      <w:r w:rsidRPr="00D337FA">
        <w:rPr>
          <w:i/>
          <w:szCs w:val="24"/>
          <w:lang w:val="en-US"/>
        </w:rPr>
        <w:t>Boot</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W.</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​​Relationship</w:t>
      </w:r>
      <w:r w:rsidR="006C680D" w:rsidRPr="00D337FA">
        <w:rPr>
          <w:i/>
          <w:szCs w:val="24"/>
          <w:lang w:val="en-US"/>
        </w:rPr>
        <w:t xml:space="preserve"> </w:t>
      </w:r>
      <w:r w:rsidRPr="00D337FA">
        <w:rPr>
          <w:i/>
          <w:szCs w:val="24"/>
          <w:lang w:val="en-US"/>
        </w:rPr>
        <w:t>Banking:</w:t>
      </w:r>
      <w:r w:rsidR="006C680D" w:rsidRPr="00D337FA">
        <w:rPr>
          <w:i/>
          <w:szCs w:val="24"/>
          <w:lang w:val="en-US"/>
        </w:rPr>
        <w:t xml:space="preserve"> </w:t>
      </w:r>
      <w:r w:rsidRPr="00D337FA">
        <w:rPr>
          <w:i/>
          <w:szCs w:val="24"/>
          <w:lang w:val="en-US"/>
        </w:rPr>
        <w:t>What</w:t>
      </w:r>
      <w:r w:rsidR="006C680D" w:rsidRPr="00D337FA">
        <w:rPr>
          <w:i/>
          <w:szCs w:val="24"/>
          <w:lang w:val="en-US"/>
        </w:rPr>
        <w:t xml:space="preserve"> </w:t>
      </w:r>
      <w:r w:rsidRPr="00D337FA">
        <w:rPr>
          <w:i/>
          <w:szCs w:val="24"/>
          <w:lang w:val="en-US"/>
        </w:rPr>
        <w:t>Do</w:t>
      </w:r>
      <w:r w:rsidR="006C680D" w:rsidRPr="00D337FA">
        <w:rPr>
          <w:i/>
          <w:szCs w:val="24"/>
          <w:lang w:val="en-US"/>
        </w:rPr>
        <w:t xml:space="preserve"> </w:t>
      </w:r>
      <w:r w:rsidRPr="00D337FA">
        <w:rPr>
          <w:i/>
          <w:szCs w:val="24"/>
          <w:lang w:val="en-US"/>
        </w:rPr>
        <w:t>We</w:t>
      </w:r>
      <w:r w:rsidR="006C680D" w:rsidRPr="00D337FA">
        <w:rPr>
          <w:i/>
          <w:szCs w:val="24"/>
          <w:lang w:val="en-US"/>
        </w:rPr>
        <w:t xml:space="preserve"> </w:t>
      </w:r>
      <w:r w:rsidRPr="00D337FA">
        <w:rPr>
          <w:i/>
          <w:szCs w:val="24"/>
          <w:lang w:val="en-US"/>
        </w:rPr>
        <w:t>Know?</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Intermedia-tion.</w:t>
      </w:r>
      <w:r w:rsidR="006C680D" w:rsidRPr="00D337FA">
        <w:rPr>
          <w:i/>
          <w:szCs w:val="24"/>
          <w:lang w:val="en-US"/>
        </w:rPr>
        <w:t xml:space="preserve"> </w:t>
      </w:r>
      <w:r w:rsidRPr="00D337FA">
        <w:rPr>
          <w:i/>
          <w:szCs w:val="24"/>
          <w:lang w:val="en-US"/>
        </w:rPr>
        <w:t>2000.</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9</w:t>
      </w:r>
      <w:r w:rsidR="00AD701E"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7</w:t>
      </w:r>
      <w:r w:rsidR="00F40B92" w:rsidRPr="008A5AE7">
        <w:rPr>
          <w:i/>
          <w:szCs w:val="24"/>
          <w:lang w:val="en-US"/>
        </w:rPr>
        <w:t>-</w:t>
      </w:r>
      <w:r w:rsidRPr="00D337FA">
        <w:rPr>
          <w:i/>
          <w:szCs w:val="24"/>
          <w:lang w:val="en-US"/>
        </w:rPr>
        <w:t>25.</w:t>
      </w:r>
    </w:p>
    <w:p w:rsidR="00E70CAD" w:rsidRPr="00D337FA" w:rsidRDefault="00133405" w:rsidP="00133405">
      <w:pPr>
        <w:ind w:firstLine="284"/>
        <w:rPr>
          <w:i/>
          <w:szCs w:val="24"/>
        </w:rPr>
      </w:pPr>
      <w:r w:rsidRPr="00D337FA">
        <w:rPr>
          <w:i/>
          <w:szCs w:val="24"/>
          <w:lang w:val="en-US"/>
        </w:rPr>
        <w:t>24.</w:t>
      </w:r>
      <w:r w:rsidR="006C680D" w:rsidRPr="00D337FA">
        <w:rPr>
          <w:i/>
          <w:szCs w:val="24"/>
          <w:lang w:val="en-US"/>
        </w:rPr>
        <w:t xml:space="preserve"> </w:t>
      </w:r>
      <w:r w:rsidRPr="00D337FA">
        <w:rPr>
          <w:i/>
          <w:szCs w:val="24"/>
          <w:lang w:val="en-US"/>
        </w:rPr>
        <w:t>Stiglitz</w:t>
      </w:r>
      <w:r w:rsidR="006C680D" w:rsidRPr="00D337FA">
        <w:rPr>
          <w:i/>
          <w:szCs w:val="24"/>
          <w:lang w:val="en-US"/>
        </w:rPr>
        <w:t xml:space="preserve"> </w:t>
      </w:r>
      <w:r w:rsidRPr="00D337FA">
        <w:rPr>
          <w:i/>
          <w:szCs w:val="24"/>
          <w:lang w:val="en-US"/>
        </w:rPr>
        <w:t>J.</w:t>
      </w:r>
      <w:r w:rsidR="006C680D" w:rsidRPr="00D337FA">
        <w:rPr>
          <w:i/>
          <w:szCs w:val="24"/>
          <w:lang w:val="en-US"/>
        </w:rPr>
        <w:t xml:space="preserve"> </w:t>
      </w:r>
      <w:r w:rsidRPr="00D337FA">
        <w:rPr>
          <w:i/>
          <w:szCs w:val="24"/>
          <w:lang w:val="en-US"/>
        </w:rPr>
        <w:t>E.,</w:t>
      </w:r>
      <w:r w:rsidR="006C680D" w:rsidRPr="00D337FA">
        <w:rPr>
          <w:i/>
          <w:szCs w:val="24"/>
          <w:lang w:val="en-US"/>
        </w:rPr>
        <w:t xml:space="preserve"> </w:t>
      </w:r>
      <w:r w:rsidRPr="00D337FA">
        <w:rPr>
          <w:i/>
          <w:szCs w:val="24"/>
          <w:lang w:val="en-US"/>
        </w:rPr>
        <w:t>Weiss</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Credit</w:t>
      </w:r>
      <w:r w:rsidR="006C680D" w:rsidRPr="00D337FA">
        <w:rPr>
          <w:i/>
          <w:szCs w:val="24"/>
          <w:lang w:val="en-US"/>
        </w:rPr>
        <w:t xml:space="preserve"> </w:t>
      </w:r>
      <w:r w:rsidRPr="00D337FA">
        <w:rPr>
          <w:i/>
          <w:szCs w:val="24"/>
          <w:lang w:val="en-US"/>
        </w:rPr>
        <w:t>Rationing</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Markets</w:t>
      </w:r>
      <w:r w:rsidR="006C680D" w:rsidRPr="00D337FA">
        <w:rPr>
          <w:i/>
          <w:szCs w:val="24"/>
          <w:lang w:val="en-US"/>
        </w:rPr>
        <w:t xml:space="preserve"> </w:t>
      </w:r>
      <w:r w:rsidRPr="00D337FA">
        <w:rPr>
          <w:i/>
          <w:szCs w:val="24"/>
          <w:lang w:val="en-US"/>
        </w:rPr>
        <w:t>with</w:t>
      </w:r>
      <w:r w:rsidR="006C680D" w:rsidRPr="00D337FA">
        <w:rPr>
          <w:i/>
          <w:szCs w:val="24"/>
          <w:lang w:val="en-US"/>
        </w:rPr>
        <w:t xml:space="preserve"> </w:t>
      </w:r>
      <w:r w:rsidRPr="00D337FA">
        <w:rPr>
          <w:i/>
          <w:szCs w:val="24"/>
          <w:lang w:val="en-US"/>
        </w:rPr>
        <w:t>Imperfect</w:t>
      </w:r>
      <w:r w:rsidR="006C680D" w:rsidRPr="00D337FA">
        <w:rPr>
          <w:i/>
          <w:szCs w:val="24"/>
          <w:lang w:val="en-US"/>
        </w:rPr>
        <w:t xml:space="preserve"> </w:t>
      </w:r>
      <w:r w:rsidRPr="00D337FA">
        <w:rPr>
          <w:i/>
          <w:szCs w:val="24"/>
          <w:lang w:val="en-US"/>
        </w:rPr>
        <w:t>Information</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American</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Review.</w:t>
      </w:r>
      <w:r w:rsidR="006C680D" w:rsidRPr="00D337FA">
        <w:rPr>
          <w:i/>
          <w:szCs w:val="24"/>
          <w:lang w:val="en-US"/>
        </w:rPr>
        <w:t xml:space="preserve"> </w:t>
      </w:r>
      <w:r w:rsidRPr="00D337FA">
        <w:rPr>
          <w:i/>
          <w:szCs w:val="24"/>
        </w:rPr>
        <w:t>1981.</w:t>
      </w:r>
      <w:r w:rsidR="006C680D" w:rsidRPr="00D337FA">
        <w:rPr>
          <w:i/>
          <w:szCs w:val="24"/>
        </w:rPr>
        <w:t xml:space="preserve"> </w:t>
      </w:r>
      <w:r w:rsidRPr="00D337FA">
        <w:rPr>
          <w:i/>
          <w:szCs w:val="24"/>
          <w:lang w:val="en-US"/>
        </w:rPr>
        <w:t>Vol</w:t>
      </w:r>
      <w:r w:rsidRPr="00D337FA">
        <w:rPr>
          <w:i/>
          <w:szCs w:val="24"/>
        </w:rPr>
        <w:t>.</w:t>
      </w:r>
      <w:r w:rsidR="006C680D" w:rsidRPr="00D337FA">
        <w:rPr>
          <w:i/>
          <w:szCs w:val="24"/>
        </w:rPr>
        <w:t xml:space="preserve"> </w:t>
      </w:r>
      <w:r w:rsidRPr="00D337FA">
        <w:rPr>
          <w:i/>
          <w:szCs w:val="24"/>
        </w:rPr>
        <w:t>71</w:t>
      </w:r>
      <w:r w:rsidR="00AD701E" w:rsidRPr="00D337FA">
        <w:rPr>
          <w:i/>
          <w:szCs w:val="24"/>
        </w:rPr>
        <w:t>.</w:t>
      </w:r>
      <w:r w:rsidR="006C680D" w:rsidRPr="00D337FA">
        <w:rPr>
          <w:i/>
          <w:szCs w:val="24"/>
        </w:rPr>
        <w:t xml:space="preserve"> </w:t>
      </w:r>
      <w:r w:rsidRPr="00D337FA">
        <w:rPr>
          <w:i/>
          <w:szCs w:val="24"/>
          <w:lang w:val="en-US"/>
        </w:rPr>
        <w:t>No</w:t>
      </w:r>
      <w:r w:rsidRPr="00D337FA">
        <w:rPr>
          <w:i/>
          <w:szCs w:val="24"/>
        </w:rPr>
        <w:t>.</w:t>
      </w:r>
      <w:r w:rsidR="006C680D" w:rsidRPr="00D337FA">
        <w:rPr>
          <w:i/>
          <w:szCs w:val="24"/>
        </w:rPr>
        <w:t xml:space="preserve"> </w:t>
      </w:r>
      <w:r w:rsidRPr="00D337FA">
        <w:rPr>
          <w:i/>
          <w:szCs w:val="24"/>
        </w:rPr>
        <w:t>3.</w:t>
      </w:r>
      <w:r w:rsidR="006C680D" w:rsidRPr="00D337FA">
        <w:rPr>
          <w:i/>
          <w:szCs w:val="24"/>
        </w:rPr>
        <w:t xml:space="preserve">  </w:t>
      </w:r>
      <w:r w:rsidRPr="00D337FA">
        <w:rPr>
          <w:i/>
          <w:szCs w:val="24"/>
          <w:lang w:val="en-US"/>
        </w:rPr>
        <w:t>P</w:t>
      </w:r>
      <w:r w:rsidRPr="00D337FA">
        <w:rPr>
          <w:i/>
          <w:szCs w:val="24"/>
        </w:rPr>
        <w:t>.</w:t>
      </w:r>
      <w:r w:rsidR="006C680D" w:rsidRPr="00D337FA">
        <w:rPr>
          <w:i/>
          <w:szCs w:val="24"/>
        </w:rPr>
        <w:t xml:space="preserve"> </w:t>
      </w:r>
      <w:r w:rsidRPr="00D337FA">
        <w:rPr>
          <w:i/>
          <w:szCs w:val="24"/>
        </w:rPr>
        <w:t>393</w:t>
      </w:r>
      <w:r w:rsidR="00F40B92">
        <w:rPr>
          <w:i/>
          <w:szCs w:val="24"/>
        </w:rPr>
        <w:t>-</w:t>
      </w:r>
      <w:r w:rsidRPr="00D337FA">
        <w:rPr>
          <w:i/>
          <w:szCs w:val="24"/>
        </w:rPr>
        <w:t>410.</w:t>
      </w:r>
    </w:p>
    <w:p w:rsidR="00E70CAD" w:rsidRPr="00D337FA" w:rsidRDefault="00E70CAD" w:rsidP="00E70CAD">
      <w:pPr>
        <w:ind w:firstLine="284"/>
        <w:rPr>
          <w:i/>
          <w:szCs w:val="24"/>
        </w:rPr>
      </w:pPr>
    </w:p>
    <w:p w:rsidR="00F30997" w:rsidRPr="00D337FA" w:rsidRDefault="00F30997" w:rsidP="00E70CAD">
      <w:pPr>
        <w:tabs>
          <w:tab w:val="center" w:pos="4677"/>
        </w:tabs>
        <w:ind w:firstLine="284"/>
        <w:sectPr w:rsidR="00F30997"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F30997" w:rsidRPr="00F40B92" w:rsidRDefault="00F30997" w:rsidP="00F40B92">
      <w:pPr>
        <w:tabs>
          <w:tab w:val="center" w:pos="4677"/>
        </w:tabs>
        <w:ind w:firstLine="284"/>
        <w:rPr>
          <w:i/>
        </w:rPr>
      </w:pPr>
      <w:r w:rsidRPr="00D337FA">
        <w:rPr>
          <w:b/>
          <w:i/>
        </w:rPr>
        <w:lastRenderedPageBreak/>
        <w:t>Усманова</w:t>
      </w:r>
      <w:r w:rsidR="006C680D" w:rsidRPr="00D337FA">
        <w:rPr>
          <w:b/>
          <w:i/>
        </w:rPr>
        <w:t xml:space="preserve"> </w:t>
      </w:r>
      <w:r w:rsidRPr="00D337FA">
        <w:rPr>
          <w:b/>
          <w:i/>
        </w:rPr>
        <w:t>Алина</w:t>
      </w:r>
      <w:r w:rsidR="006C680D" w:rsidRPr="00D337FA">
        <w:rPr>
          <w:b/>
          <w:i/>
        </w:rPr>
        <w:t xml:space="preserve"> </w:t>
      </w:r>
      <w:r w:rsidRPr="00D337FA">
        <w:rPr>
          <w:b/>
          <w:i/>
        </w:rPr>
        <w:t>Сергеевна</w:t>
      </w:r>
      <w:r w:rsidR="006C680D" w:rsidRPr="00D337FA">
        <w:rPr>
          <w:i/>
        </w:rPr>
        <w:t xml:space="preserve"> </w:t>
      </w:r>
      <w:r w:rsidRPr="00D337FA">
        <w:rPr>
          <w:i/>
        </w:rPr>
        <w:t>–</w:t>
      </w:r>
      <w:r w:rsidR="006C680D" w:rsidRPr="00D337FA">
        <w:rPr>
          <w:i/>
        </w:rPr>
        <w:t xml:space="preserve"> </w:t>
      </w:r>
      <w:r w:rsidRPr="00D337FA">
        <w:rPr>
          <w:i/>
        </w:rPr>
        <w:t>кандидат</w:t>
      </w:r>
      <w:r w:rsidR="006C680D" w:rsidRPr="00D337FA">
        <w:rPr>
          <w:i/>
        </w:rPr>
        <w:t xml:space="preserve"> </w:t>
      </w:r>
      <w:r w:rsidRPr="00D337FA">
        <w:rPr>
          <w:i/>
        </w:rPr>
        <w:t>экономических</w:t>
      </w:r>
      <w:r w:rsidR="006C680D" w:rsidRPr="00D337FA">
        <w:rPr>
          <w:i/>
        </w:rPr>
        <w:t xml:space="preserve"> </w:t>
      </w:r>
      <w:r w:rsidRPr="00D337FA">
        <w:rPr>
          <w:i/>
        </w:rPr>
        <w:t>наук,</w:t>
      </w:r>
      <w:r w:rsidR="006C680D" w:rsidRPr="00D337FA">
        <w:rPr>
          <w:i/>
        </w:rPr>
        <w:t xml:space="preserve"> </w:t>
      </w:r>
      <w:r w:rsidRPr="00D337FA">
        <w:rPr>
          <w:i/>
        </w:rPr>
        <w:t>доцент</w:t>
      </w:r>
      <w:r w:rsidR="006C680D" w:rsidRPr="00D337FA">
        <w:rPr>
          <w:i/>
        </w:rPr>
        <w:t xml:space="preserve"> </w:t>
      </w:r>
      <w:r w:rsidRPr="00D337FA">
        <w:rPr>
          <w:i/>
        </w:rPr>
        <w:t>кафедры</w:t>
      </w:r>
      <w:r w:rsidR="006C680D" w:rsidRPr="00D337FA">
        <w:rPr>
          <w:i/>
        </w:rPr>
        <w:t xml:space="preserve"> </w:t>
      </w:r>
      <w:r w:rsidRPr="00D337FA">
        <w:rPr>
          <w:i/>
        </w:rPr>
        <w:t>«Финансы</w:t>
      </w:r>
      <w:r w:rsidR="006C680D" w:rsidRPr="00D337FA">
        <w:rPr>
          <w:i/>
        </w:rPr>
        <w:t xml:space="preserve"> </w:t>
      </w:r>
      <w:r w:rsidRPr="00D337FA">
        <w:rPr>
          <w:i/>
        </w:rPr>
        <w:t>и</w:t>
      </w:r>
      <w:r w:rsidR="006C680D" w:rsidRPr="00D337FA">
        <w:rPr>
          <w:i/>
        </w:rPr>
        <w:t xml:space="preserve"> </w:t>
      </w:r>
      <w:r w:rsidRPr="00D337FA">
        <w:rPr>
          <w:i/>
        </w:rPr>
        <w:t>банковское</w:t>
      </w:r>
      <w:r w:rsidR="006C680D" w:rsidRPr="00D337FA">
        <w:rPr>
          <w:i/>
        </w:rPr>
        <w:t xml:space="preserve"> </w:t>
      </w:r>
      <w:r w:rsidRPr="00D337FA">
        <w:rPr>
          <w:i/>
        </w:rPr>
        <w:t>дело»,</w:t>
      </w:r>
      <w:r w:rsidR="006C680D" w:rsidRPr="00D337FA">
        <w:rPr>
          <w:i/>
        </w:rPr>
        <w:t xml:space="preserve"> </w:t>
      </w:r>
      <w:r w:rsidRPr="00D337FA">
        <w:rPr>
          <w:i/>
        </w:rPr>
        <w:t>Саратовский</w:t>
      </w:r>
      <w:r w:rsidR="006C680D" w:rsidRPr="00D337FA">
        <w:rPr>
          <w:i/>
        </w:rPr>
        <w:t xml:space="preserve"> </w:t>
      </w:r>
      <w:r w:rsidRPr="00D337FA">
        <w:rPr>
          <w:i/>
        </w:rPr>
        <w:t>государственный</w:t>
      </w:r>
      <w:r w:rsidR="006C680D" w:rsidRPr="00D337FA">
        <w:rPr>
          <w:i/>
        </w:rPr>
        <w:t xml:space="preserve"> </w:t>
      </w:r>
      <w:r w:rsidRPr="00D337FA">
        <w:rPr>
          <w:i/>
        </w:rPr>
        <w:t>технический</w:t>
      </w:r>
      <w:r w:rsidR="006C680D" w:rsidRPr="00D337FA">
        <w:rPr>
          <w:i/>
        </w:rPr>
        <w:t xml:space="preserve"> </w:t>
      </w:r>
      <w:r w:rsidRPr="00D337FA">
        <w:rPr>
          <w:i/>
        </w:rPr>
        <w:t>университет</w:t>
      </w:r>
      <w:r w:rsidR="006C680D" w:rsidRPr="00D337FA">
        <w:rPr>
          <w:i/>
        </w:rPr>
        <w:t xml:space="preserve"> </w:t>
      </w:r>
      <w:r w:rsidRPr="00D337FA">
        <w:rPr>
          <w:i/>
        </w:rPr>
        <w:t>имени</w:t>
      </w:r>
      <w:r w:rsidR="006C680D" w:rsidRPr="00D337FA">
        <w:rPr>
          <w:i/>
        </w:rPr>
        <w:t xml:space="preserve"> </w:t>
      </w:r>
      <w:r w:rsidRPr="00D337FA">
        <w:rPr>
          <w:i/>
        </w:rPr>
        <w:t>Гагарина</w:t>
      </w:r>
      <w:r w:rsidR="006C680D" w:rsidRPr="00D337FA">
        <w:rPr>
          <w:i/>
        </w:rPr>
        <w:t xml:space="preserve"> </w:t>
      </w:r>
      <w:r w:rsidRPr="00F40B92">
        <w:rPr>
          <w:i/>
        </w:rPr>
        <w:t>Ю.А.,</w:t>
      </w:r>
      <w:r w:rsidR="006C680D" w:rsidRPr="00F40B92">
        <w:rPr>
          <w:i/>
        </w:rPr>
        <w:t xml:space="preserve"> </w:t>
      </w:r>
      <w:r w:rsidRPr="00F40B92">
        <w:rPr>
          <w:i/>
        </w:rPr>
        <w:t>Россия,</w:t>
      </w:r>
      <w:r w:rsidR="006C680D" w:rsidRPr="00F40B92">
        <w:rPr>
          <w:i/>
        </w:rPr>
        <w:t xml:space="preserve"> </w:t>
      </w:r>
      <w:r w:rsidRPr="00F40B92">
        <w:rPr>
          <w:i/>
        </w:rPr>
        <w:t>410054,</w:t>
      </w:r>
      <w:r w:rsidR="006C680D" w:rsidRPr="00F40B92">
        <w:rPr>
          <w:i/>
        </w:rPr>
        <w:t xml:space="preserve"> </w:t>
      </w:r>
      <w:r w:rsidRPr="00F40B92">
        <w:rPr>
          <w:i/>
        </w:rPr>
        <w:t>г.</w:t>
      </w:r>
      <w:r w:rsidR="006C680D" w:rsidRPr="00F40B92">
        <w:rPr>
          <w:i/>
        </w:rPr>
        <w:t xml:space="preserve"> </w:t>
      </w:r>
      <w:r w:rsidRPr="00F40B92">
        <w:rPr>
          <w:i/>
        </w:rPr>
        <w:t>Саратов,</w:t>
      </w:r>
      <w:r w:rsidR="006C680D" w:rsidRPr="00F40B92">
        <w:rPr>
          <w:i/>
        </w:rPr>
        <w:t xml:space="preserve"> </w:t>
      </w:r>
      <w:r w:rsidRPr="00F40B92">
        <w:rPr>
          <w:i/>
        </w:rPr>
        <w:t>ул.</w:t>
      </w:r>
      <w:r w:rsidR="006C680D" w:rsidRPr="00F40B92">
        <w:rPr>
          <w:i/>
        </w:rPr>
        <w:t xml:space="preserve"> </w:t>
      </w:r>
      <w:r w:rsidRPr="00F40B92">
        <w:rPr>
          <w:i/>
        </w:rPr>
        <w:t>Политехническая,</w:t>
      </w:r>
      <w:r w:rsidR="006C680D" w:rsidRPr="00F40B92">
        <w:rPr>
          <w:i/>
        </w:rPr>
        <w:t xml:space="preserve"> </w:t>
      </w:r>
      <w:r w:rsidRPr="00F40B92">
        <w:rPr>
          <w:i/>
        </w:rPr>
        <w:t>77;</w:t>
      </w:r>
      <w:r w:rsidR="006C680D" w:rsidRPr="00F40B92">
        <w:rPr>
          <w:i/>
        </w:rPr>
        <w:t xml:space="preserve"> </w:t>
      </w:r>
      <w:r w:rsidRPr="00F40B92">
        <w:rPr>
          <w:i/>
        </w:rPr>
        <w:t>email:alina.brosalova@yandex.ru,</w:t>
      </w:r>
      <w:r w:rsidR="00651AC1" w:rsidRPr="00F40B92">
        <w:rPr>
          <w:i/>
        </w:rPr>
        <w:t xml:space="preserve"> </w:t>
      </w:r>
      <w:r w:rsidRPr="00F40B92">
        <w:rPr>
          <w:i/>
        </w:rPr>
        <w:t>https:/</w:t>
      </w:r>
      <w:r w:rsidR="006C680D" w:rsidRPr="00F40B92">
        <w:rPr>
          <w:i/>
        </w:rPr>
        <w:t xml:space="preserve"> </w:t>
      </w:r>
      <w:r w:rsidRPr="00F40B92">
        <w:rPr>
          <w:i/>
        </w:rPr>
        <w:t>/orcid.org/</w:t>
      </w:r>
      <w:r w:rsidR="006C680D" w:rsidRPr="00F40B92">
        <w:rPr>
          <w:i/>
        </w:rPr>
        <w:t xml:space="preserve"> </w:t>
      </w:r>
      <w:r w:rsidR="00F40B92" w:rsidRPr="00F40B92">
        <w:rPr>
          <w:i/>
        </w:rPr>
        <w:t>0000-0002-8488-0425</w:t>
      </w:r>
      <w:r w:rsidR="006C680D" w:rsidRPr="00F40B92">
        <w:rPr>
          <w:i/>
        </w:rPr>
        <w:t xml:space="preserve"> </w:t>
      </w:r>
    </w:p>
    <w:p w:rsidR="00651AC1" w:rsidRPr="00F40B92" w:rsidRDefault="00AD701E" w:rsidP="00F40B92">
      <w:pPr>
        <w:ind w:firstLine="284"/>
        <w:rPr>
          <w:i/>
          <w:iCs/>
        </w:rPr>
      </w:pPr>
      <w:r w:rsidRPr="00F40B92">
        <w:rPr>
          <w:b/>
          <w:i/>
          <w:szCs w:val="24"/>
        </w:rPr>
        <w:t xml:space="preserve">Миронов </w:t>
      </w:r>
      <w:r w:rsidR="00651AC1" w:rsidRPr="00F40B92">
        <w:rPr>
          <w:b/>
          <w:i/>
          <w:szCs w:val="24"/>
        </w:rPr>
        <w:t>Максим Георгиевич –</w:t>
      </w:r>
      <w:r w:rsidR="00651AC1" w:rsidRPr="00D337FA">
        <w:rPr>
          <w:b/>
          <w:i/>
          <w:szCs w:val="24"/>
        </w:rPr>
        <w:t xml:space="preserve"> </w:t>
      </w:r>
      <w:r w:rsidR="00651AC1" w:rsidRPr="00D337FA">
        <w:rPr>
          <w:i/>
          <w:szCs w:val="24"/>
        </w:rPr>
        <w:t>кандидат</w:t>
      </w:r>
      <w:r w:rsidR="00651AC1" w:rsidRPr="00D337FA">
        <w:rPr>
          <w:i/>
          <w:iCs/>
        </w:rPr>
        <w:t xml:space="preserve"> экономических наук, доцент кафедры «Экономика и маркетинг», Саратовский государственный технический университет </w:t>
      </w:r>
      <w:r w:rsidR="00651AC1" w:rsidRPr="00F40B92">
        <w:rPr>
          <w:i/>
          <w:iCs/>
        </w:rPr>
        <w:t>имени Гагарина Ю.А., Россия, 410054, г. Саратов, ул. Политехническая, 77; E-mail:</w:t>
      </w:r>
      <w:r w:rsidR="00F40B92" w:rsidRPr="00F40B92">
        <w:rPr>
          <w:i/>
          <w:iCs/>
        </w:rPr>
        <w:t xml:space="preserve"> max03101977@rambler.ru, https://orcid.org/0000-0001-9691-1121</w:t>
      </w:r>
    </w:p>
    <w:p w:rsidR="00651AC1" w:rsidRPr="00D74067" w:rsidRDefault="00AD701E" w:rsidP="00255200">
      <w:pPr>
        <w:tabs>
          <w:tab w:val="center" w:pos="4677"/>
        </w:tabs>
        <w:ind w:firstLine="284"/>
        <w:rPr>
          <w:i/>
          <w:highlight w:val="yellow"/>
        </w:rPr>
      </w:pPr>
      <w:r w:rsidRPr="00F40B92">
        <w:rPr>
          <w:b/>
          <w:i/>
          <w:szCs w:val="24"/>
        </w:rPr>
        <w:t>Швейкин И</w:t>
      </w:r>
      <w:r w:rsidR="00651AC1" w:rsidRPr="00F40B92">
        <w:rPr>
          <w:b/>
          <w:i/>
          <w:szCs w:val="24"/>
        </w:rPr>
        <w:t xml:space="preserve">горь </w:t>
      </w:r>
      <w:r w:rsidRPr="00F40B92">
        <w:rPr>
          <w:b/>
          <w:i/>
          <w:szCs w:val="24"/>
        </w:rPr>
        <w:t>Е</w:t>
      </w:r>
      <w:r w:rsidR="00255200">
        <w:rPr>
          <w:b/>
          <w:i/>
          <w:szCs w:val="24"/>
        </w:rPr>
        <w:t>вгеньевич</w:t>
      </w:r>
      <w:r w:rsidR="00651AC1" w:rsidRPr="00F40B92">
        <w:rPr>
          <w:i/>
        </w:rPr>
        <w:t xml:space="preserve"> </w:t>
      </w:r>
      <w:r w:rsidR="00F40B92">
        <w:rPr>
          <w:i/>
        </w:rPr>
        <w:t xml:space="preserve">– </w:t>
      </w:r>
      <w:r w:rsidR="00651AC1" w:rsidRPr="00F40B92">
        <w:rPr>
          <w:i/>
        </w:rPr>
        <w:t>кандидат экономических наук, доцент</w:t>
      </w:r>
      <w:r w:rsidR="00651AC1" w:rsidRPr="00D337FA">
        <w:rPr>
          <w:i/>
        </w:rPr>
        <w:t xml:space="preserve"> кафедры «Финансы и банковское дело», Саратовский государственный технический </w:t>
      </w:r>
      <w:r w:rsidR="00651AC1" w:rsidRPr="00255200">
        <w:rPr>
          <w:i/>
        </w:rPr>
        <w:t>университет имени Гагарина Ю.А., Россия, 410054, г. Саратов, ул. Политехническая, 77; e</w:t>
      </w:r>
      <w:r w:rsidR="00F70991">
        <w:rPr>
          <w:i/>
        </w:rPr>
        <w:t>-</w:t>
      </w:r>
      <w:r w:rsidR="00651AC1" w:rsidRPr="00255200">
        <w:rPr>
          <w:i/>
        </w:rPr>
        <w:t>mail:</w:t>
      </w:r>
      <w:r w:rsidR="00255200" w:rsidRPr="00255200">
        <w:t xml:space="preserve"> </w:t>
      </w:r>
      <w:r w:rsidR="00255200" w:rsidRPr="00255200">
        <w:rPr>
          <w:i/>
          <w:lang w:val="en-US"/>
        </w:rPr>
        <w:t>valentin</w:t>
      </w:r>
      <w:r w:rsidR="00255200" w:rsidRPr="00D74067">
        <w:rPr>
          <w:i/>
        </w:rPr>
        <w:t>.</w:t>
      </w:r>
      <w:r w:rsidR="00255200" w:rsidRPr="00255200">
        <w:rPr>
          <w:i/>
          <w:lang w:val="en-US"/>
        </w:rPr>
        <w:t>clarnet</w:t>
      </w:r>
      <w:r w:rsidR="00255200" w:rsidRPr="00D74067">
        <w:rPr>
          <w:i/>
        </w:rPr>
        <w:t>@</w:t>
      </w:r>
      <w:r w:rsidR="00255200" w:rsidRPr="00255200">
        <w:rPr>
          <w:i/>
          <w:lang w:val="en-US"/>
        </w:rPr>
        <w:t>yandex</w:t>
      </w:r>
      <w:r w:rsidR="00255200" w:rsidRPr="00D74067">
        <w:rPr>
          <w:i/>
        </w:rPr>
        <w:t>.</w:t>
      </w:r>
      <w:r w:rsidR="00255200" w:rsidRPr="00255200">
        <w:rPr>
          <w:i/>
          <w:lang w:val="en-US"/>
        </w:rPr>
        <w:t>ru</w:t>
      </w:r>
      <w:r w:rsidR="00255200" w:rsidRPr="00D74067">
        <w:rPr>
          <w:i/>
        </w:rPr>
        <w:t xml:space="preserve">, </w:t>
      </w:r>
      <w:r w:rsidR="00255200" w:rsidRPr="00255200">
        <w:rPr>
          <w:i/>
          <w:lang w:val="en-US"/>
        </w:rPr>
        <w:t>https</w:t>
      </w:r>
      <w:r w:rsidR="00255200" w:rsidRPr="00D74067">
        <w:rPr>
          <w:i/>
        </w:rPr>
        <w:t>://</w:t>
      </w:r>
      <w:r w:rsidR="00255200" w:rsidRPr="00255200">
        <w:rPr>
          <w:i/>
          <w:lang w:val="en-US"/>
        </w:rPr>
        <w:t>orcid</w:t>
      </w:r>
      <w:r w:rsidR="00255200" w:rsidRPr="00D74067">
        <w:rPr>
          <w:i/>
        </w:rPr>
        <w:t>.</w:t>
      </w:r>
      <w:r w:rsidR="00255200" w:rsidRPr="00255200">
        <w:rPr>
          <w:i/>
          <w:lang w:val="en-US"/>
        </w:rPr>
        <w:t>org</w:t>
      </w:r>
      <w:r w:rsidR="00255200" w:rsidRPr="00D74067">
        <w:rPr>
          <w:i/>
        </w:rPr>
        <w:t>/0000-0003-3852-5788</w:t>
      </w:r>
      <w:r w:rsidR="00651AC1" w:rsidRPr="00D74067">
        <w:rPr>
          <w:i/>
          <w:highlight w:val="yellow"/>
        </w:rPr>
        <w:t xml:space="preserve"> </w:t>
      </w:r>
    </w:p>
    <w:p w:rsidR="00AD701E" w:rsidRDefault="00AD701E" w:rsidP="00F40B92">
      <w:pPr>
        <w:ind w:firstLine="142"/>
        <w:rPr>
          <w:i/>
          <w:szCs w:val="24"/>
        </w:rPr>
      </w:pPr>
      <w:r w:rsidRPr="00D337FA">
        <w:rPr>
          <w:b/>
          <w:i/>
          <w:szCs w:val="24"/>
        </w:rPr>
        <w:t>Шиндряева А</w:t>
      </w:r>
      <w:r w:rsidR="00651AC1" w:rsidRPr="00D337FA">
        <w:rPr>
          <w:b/>
          <w:i/>
          <w:szCs w:val="24"/>
        </w:rPr>
        <w:t>нна Павловна –</w:t>
      </w:r>
      <w:r w:rsidR="00F40B92" w:rsidRPr="00F40B92">
        <w:t xml:space="preserve"> </w:t>
      </w:r>
      <w:r w:rsidR="00F40B92" w:rsidRPr="00F40B92">
        <w:rPr>
          <w:i/>
          <w:szCs w:val="24"/>
        </w:rPr>
        <w:t>старший</w:t>
      </w:r>
      <w:r w:rsidR="00F40B92">
        <w:rPr>
          <w:i/>
          <w:szCs w:val="24"/>
        </w:rPr>
        <w:t xml:space="preserve"> </w:t>
      </w:r>
      <w:r w:rsidR="00F40B92" w:rsidRPr="00F40B92">
        <w:rPr>
          <w:i/>
          <w:szCs w:val="24"/>
        </w:rPr>
        <w:t>преподаватель кафедры «Экономика и</w:t>
      </w:r>
      <w:r w:rsidR="00F40B92">
        <w:rPr>
          <w:i/>
          <w:szCs w:val="24"/>
        </w:rPr>
        <w:t xml:space="preserve"> </w:t>
      </w:r>
      <w:r w:rsidR="00F40B92" w:rsidRPr="00F40B92">
        <w:rPr>
          <w:i/>
          <w:szCs w:val="24"/>
        </w:rPr>
        <w:t>маркетинг», Саратовский государственный</w:t>
      </w:r>
      <w:r w:rsidR="00F40B92">
        <w:rPr>
          <w:i/>
          <w:szCs w:val="24"/>
        </w:rPr>
        <w:t xml:space="preserve"> </w:t>
      </w:r>
      <w:r w:rsidR="00F40B92" w:rsidRPr="00F40B92">
        <w:rPr>
          <w:i/>
          <w:szCs w:val="24"/>
        </w:rPr>
        <w:t>технический университет имени Гагарина</w:t>
      </w:r>
      <w:r w:rsidR="00F40B92">
        <w:rPr>
          <w:i/>
          <w:szCs w:val="24"/>
        </w:rPr>
        <w:t xml:space="preserve"> </w:t>
      </w:r>
      <w:r w:rsidR="00F40B92" w:rsidRPr="00F40B92">
        <w:rPr>
          <w:i/>
          <w:szCs w:val="24"/>
        </w:rPr>
        <w:t>Ю.А., Россия, 410054, г. Саратов, ул.</w:t>
      </w:r>
      <w:r w:rsidR="00E44098">
        <w:rPr>
          <w:i/>
          <w:szCs w:val="24"/>
        </w:rPr>
        <w:t xml:space="preserve"> </w:t>
      </w:r>
      <w:r w:rsidR="00F40B92" w:rsidRPr="00F40B92">
        <w:rPr>
          <w:i/>
          <w:szCs w:val="24"/>
        </w:rPr>
        <w:t>Политехническая, 77; e-mail:</w:t>
      </w:r>
      <w:r w:rsidR="00F40B92">
        <w:rPr>
          <w:i/>
          <w:szCs w:val="24"/>
        </w:rPr>
        <w:t xml:space="preserve"> </w:t>
      </w:r>
      <w:r w:rsidR="00F40B92" w:rsidRPr="00F40B92">
        <w:rPr>
          <w:i/>
          <w:szCs w:val="24"/>
        </w:rPr>
        <w:t xml:space="preserve">shinanna@mail.ru, </w:t>
      </w:r>
      <w:hyperlink r:id="rId30" w:history="1">
        <w:r w:rsidR="00F40B92" w:rsidRPr="002312BF">
          <w:rPr>
            <w:rStyle w:val="af7"/>
            <w:i/>
            <w:szCs w:val="24"/>
          </w:rPr>
          <w:t>https://orcid.org/0000-0002-6517-7590</w:t>
        </w:r>
      </w:hyperlink>
    </w:p>
    <w:p w:rsidR="00255200" w:rsidRDefault="00255200" w:rsidP="00F40B92">
      <w:pPr>
        <w:ind w:firstLine="142"/>
        <w:rPr>
          <w:i/>
          <w:szCs w:val="24"/>
        </w:rPr>
      </w:pPr>
    </w:p>
    <w:p w:rsidR="00F40B92" w:rsidRDefault="00F30997" w:rsidP="00F40B92">
      <w:pPr>
        <w:tabs>
          <w:tab w:val="center" w:pos="4677"/>
        </w:tabs>
        <w:ind w:firstLine="284"/>
        <w:rPr>
          <w:i/>
          <w:lang w:val="en-US"/>
        </w:rPr>
      </w:pPr>
      <w:r w:rsidRPr="00D337FA">
        <w:rPr>
          <w:b/>
          <w:i/>
          <w:lang w:val="en-US"/>
        </w:rPr>
        <w:lastRenderedPageBreak/>
        <w:t>Alina</w:t>
      </w:r>
      <w:r w:rsidR="006C680D" w:rsidRPr="00D337FA">
        <w:rPr>
          <w:b/>
          <w:i/>
          <w:lang w:val="en-US"/>
        </w:rPr>
        <w:t xml:space="preserve"> </w:t>
      </w:r>
      <w:r w:rsidRPr="00D337FA">
        <w:rPr>
          <w:b/>
          <w:i/>
          <w:lang w:val="en-US"/>
        </w:rPr>
        <w:t>S.</w:t>
      </w:r>
      <w:r w:rsidR="006C680D" w:rsidRPr="00D337FA">
        <w:rPr>
          <w:b/>
          <w:i/>
          <w:lang w:val="en-US"/>
        </w:rPr>
        <w:t xml:space="preserve"> </w:t>
      </w:r>
      <w:r w:rsidRPr="00D337FA">
        <w:rPr>
          <w:b/>
          <w:i/>
          <w:lang w:val="en-US"/>
        </w:rPr>
        <w:t>Usmanova</w:t>
      </w:r>
      <w:r w:rsidR="006C680D" w:rsidRPr="00D337FA">
        <w:rPr>
          <w:i/>
          <w:lang w:val="en-US"/>
        </w:rPr>
        <w:t xml:space="preserve"> </w:t>
      </w:r>
      <w:r w:rsidRPr="00D337FA">
        <w:rPr>
          <w:i/>
          <w:lang w:val="en-US"/>
        </w:rPr>
        <w:t>–</w:t>
      </w:r>
      <w:r w:rsidR="006C680D" w:rsidRPr="00D337FA">
        <w:rPr>
          <w:i/>
          <w:lang w:val="en-US"/>
        </w:rPr>
        <w:t xml:space="preserve"> </w:t>
      </w:r>
      <w:r w:rsidRPr="00D337FA">
        <w:rPr>
          <w:i/>
          <w:lang w:val="en-US"/>
        </w:rPr>
        <w:t>PhD</w:t>
      </w:r>
      <w:r w:rsidR="006C680D" w:rsidRPr="00D337FA">
        <w:rPr>
          <w:i/>
          <w:lang w:val="en-US"/>
        </w:rPr>
        <w:t xml:space="preserve"> </w:t>
      </w:r>
      <w:r w:rsidRPr="00D337FA">
        <w:rPr>
          <w:i/>
          <w:lang w:val="en-US"/>
        </w:rPr>
        <w:t>(Economics),</w:t>
      </w:r>
      <w:r w:rsidR="006C680D" w:rsidRPr="00D337FA">
        <w:rPr>
          <w:i/>
          <w:lang w:val="en-US"/>
        </w:rPr>
        <w:t xml:space="preserve"> </w:t>
      </w:r>
      <w:r w:rsidRPr="00D337FA">
        <w:rPr>
          <w:i/>
          <w:lang w:val="en-US"/>
        </w:rPr>
        <w:t>Associate</w:t>
      </w:r>
      <w:r w:rsidR="006C680D" w:rsidRPr="00D337FA">
        <w:rPr>
          <w:i/>
          <w:lang w:val="en-US"/>
        </w:rPr>
        <w:t xml:space="preserve"> </w:t>
      </w:r>
      <w:r w:rsidRPr="00D337FA">
        <w:rPr>
          <w:i/>
          <w:lang w:val="en-US"/>
        </w:rPr>
        <w:t>Professor</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Department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Finance</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Banking;</w:t>
      </w:r>
      <w:r w:rsidR="006C680D" w:rsidRPr="00D337FA">
        <w:rPr>
          <w:i/>
          <w:lang w:val="en-US"/>
        </w:rPr>
        <w:t xml:space="preserve"> </w:t>
      </w:r>
      <w:r w:rsidRPr="00D337FA">
        <w:rPr>
          <w:i/>
          <w:lang w:val="en-US"/>
        </w:rPr>
        <w:t>Yuri</w:t>
      </w:r>
      <w:r w:rsidR="006C680D" w:rsidRPr="00D337FA">
        <w:rPr>
          <w:i/>
          <w:lang w:val="en-US"/>
        </w:rPr>
        <w:t xml:space="preserve"> </w:t>
      </w:r>
      <w:r w:rsidRPr="00D337FA">
        <w:rPr>
          <w:i/>
          <w:lang w:val="en-US"/>
        </w:rPr>
        <w:t>Gagarin</w:t>
      </w:r>
      <w:r w:rsidR="006C680D" w:rsidRPr="00D337FA">
        <w:rPr>
          <w:i/>
          <w:lang w:val="en-US"/>
        </w:rPr>
        <w:t xml:space="preserve"> </w:t>
      </w:r>
      <w:r w:rsidRPr="00D337FA">
        <w:rPr>
          <w:i/>
          <w:lang w:val="en-US"/>
        </w:rPr>
        <w:t>State</w:t>
      </w:r>
      <w:r w:rsidR="006C680D" w:rsidRPr="00D337FA">
        <w:rPr>
          <w:i/>
          <w:lang w:val="en-US"/>
        </w:rPr>
        <w:t xml:space="preserve"> </w:t>
      </w:r>
      <w:r w:rsidRPr="00D337FA">
        <w:rPr>
          <w:i/>
          <w:lang w:val="en-US"/>
        </w:rPr>
        <w:t>Technical</w:t>
      </w:r>
      <w:r w:rsidR="006C680D" w:rsidRPr="00D337FA">
        <w:rPr>
          <w:i/>
          <w:lang w:val="en-US"/>
        </w:rPr>
        <w:t xml:space="preserve"> </w:t>
      </w:r>
      <w:r w:rsidRPr="00D337FA">
        <w:rPr>
          <w:i/>
          <w:lang w:val="en-US"/>
        </w:rPr>
        <w:t>University</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Saratov,</w:t>
      </w:r>
      <w:r w:rsidR="006C680D" w:rsidRPr="00D337FA">
        <w:rPr>
          <w:i/>
          <w:lang w:val="en-US"/>
        </w:rPr>
        <w:t xml:space="preserve"> </w:t>
      </w:r>
      <w:r w:rsidRPr="00D337FA">
        <w:rPr>
          <w:i/>
          <w:lang w:val="en-US"/>
        </w:rPr>
        <w:t>77</w:t>
      </w:r>
      <w:r w:rsidR="006C680D" w:rsidRPr="00D337FA">
        <w:rPr>
          <w:i/>
          <w:lang w:val="en-US"/>
        </w:rPr>
        <w:t xml:space="preserve"> </w:t>
      </w:r>
      <w:r w:rsidRPr="00D337FA">
        <w:rPr>
          <w:i/>
          <w:lang w:val="en-US"/>
        </w:rPr>
        <w:t>Politechnicheskaya</w:t>
      </w:r>
      <w:r w:rsidR="006C680D" w:rsidRPr="00D337FA">
        <w:rPr>
          <w:i/>
          <w:lang w:val="en-US"/>
        </w:rPr>
        <w:t xml:space="preserve"> </w:t>
      </w:r>
      <w:r w:rsidRPr="00D337FA">
        <w:rPr>
          <w:i/>
          <w:lang w:val="en-US"/>
        </w:rPr>
        <w:t>st.,</w:t>
      </w:r>
      <w:r w:rsidR="006C680D" w:rsidRPr="00D337FA">
        <w:rPr>
          <w:i/>
          <w:lang w:val="en-US"/>
        </w:rPr>
        <w:t xml:space="preserve"> </w:t>
      </w:r>
      <w:r w:rsidRPr="00D337FA">
        <w:rPr>
          <w:i/>
          <w:lang w:val="en-US"/>
        </w:rPr>
        <w:t>Saratov</w:t>
      </w:r>
      <w:r w:rsidR="006C680D" w:rsidRPr="00D337FA">
        <w:rPr>
          <w:i/>
          <w:lang w:val="en-US"/>
        </w:rPr>
        <w:t xml:space="preserve"> </w:t>
      </w:r>
      <w:r w:rsidRPr="00D337FA">
        <w:rPr>
          <w:i/>
          <w:lang w:val="en-US"/>
        </w:rPr>
        <w:t>410054,</w:t>
      </w:r>
      <w:r w:rsidR="006C680D" w:rsidRPr="00D337FA">
        <w:rPr>
          <w:i/>
          <w:lang w:val="en-US"/>
        </w:rPr>
        <w:t xml:space="preserve"> </w:t>
      </w:r>
      <w:r w:rsidRPr="00D337FA">
        <w:rPr>
          <w:i/>
          <w:lang w:val="en-US"/>
        </w:rPr>
        <w:t>Russia;</w:t>
      </w:r>
      <w:r w:rsidR="006C680D" w:rsidRPr="00D337FA">
        <w:rPr>
          <w:i/>
          <w:lang w:val="en-US"/>
        </w:rPr>
        <w:t xml:space="preserve"> </w:t>
      </w:r>
      <w:r w:rsidRPr="00D337FA">
        <w:rPr>
          <w:i/>
          <w:lang w:val="en-US"/>
        </w:rPr>
        <w:t>e-mail:</w:t>
      </w:r>
      <w:r w:rsidR="006C680D" w:rsidRPr="00D337FA">
        <w:rPr>
          <w:i/>
          <w:lang w:val="en-US"/>
        </w:rPr>
        <w:t xml:space="preserve"> </w:t>
      </w:r>
      <w:r w:rsidRPr="00D337FA">
        <w:rPr>
          <w:i/>
          <w:lang w:val="en-US"/>
        </w:rPr>
        <w:t>alina.brosalova@yandex.ru,</w:t>
      </w:r>
      <w:r w:rsidR="006C680D" w:rsidRPr="00D337FA">
        <w:rPr>
          <w:i/>
          <w:lang w:val="en-US"/>
        </w:rPr>
        <w:t xml:space="preserve"> </w:t>
      </w:r>
      <w:r w:rsidR="00F40B92" w:rsidRPr="00F40B92">
        <w:rPr>
          <w:i/>
          <w:lang w:val="en-US"/>
        </w:rPr>
        <w:t xml:space="preserve">https:/ /orcid.org/ 0000-0002-8488-0425 </w:t>
      </w:r>
    </w:p>
    <w:p w:rsidR="00F40B92" w:rsidRDefault="00F40B92" w:rsidP="00F40B92">
      <w:pPr>
        <w:tabs>
          <w:tab w:val="center" w:pos="4677"/>
        </w:tabs>
        <w:ind w:firstLine="284"/>
        <w:rPr>
          <w:i/>
          <w:lang w:val="en-US"/>
        </w:rPr>
      </w:pPr>
    </w:p>
    <w:p w:rsidR="00651AC1" w:rsidRDefault="00F40B92" w:rsidP="00F40B92">
      <w:pPr>
        <w:tabs>
          <w:tab w:val="center" w:pos="4677"/>
        </w:tabs>
        <w:ind w:firstLine="284"/>
        <w:rPr>
          <w:i/>
          <w:lang w:val="en-US"/>
        </w:rPr>
      </w:pPr>
      <w:r w:rsidRPr="00F40B92">
        <w:rPr>
          <w:b/>
          <w:i/>
          <w:lang w:val="en-US"/>
        </w:rPr>
        <w:t>Maxim G. Mironov</w:t>
      </w:r>
      <w:r w:rsidRPr="00F40B92">
        <w:rPr>
          <w:i/>
          <w:lang w:val="en-US"/>
        </w:rPr>
        <w:t xml:space="preserve"> – PhD (Economics), Associate Professor, Department of Economics and Marketing, Yuri Gagarin State Technical University of Saratov, 77 Politechnicheskaya st.,</w:t>
      </w:r>
      <w:r w:rsidRPr="00F40B92">
        <w:rPr>
          <w:lang w:val="en-US"/>
        </w:rPr>
        <w:t xml:space="preserve"> </w:t>
      </w:r>
      <w:r w:rsidRPr="00F40B92">
        <w:rPr>
          <w:i/>
          <w:lang w:val="en-US"/>
        </w:rPr>
        <w:t xml:space="preserve">Saratov 410054, Russia; e-mail: max03101977@rambler.ru, </w:t>
      </w:r>
      <w:hyperlink r:id="rId31" w:history="1">
        <w:r w:rsidRPr="002312BF">
          <w:rPr>
            <w:rStyle w:val="af7"/>
            <w:i/>
            <w:lang w:val="en-US"/>
          </w:rPr>
          <w:t>https://orcid.org/0000-0001-9691-1121</w:t>
        </w:r>
      </w:hyperlink>
    </w:p>
    <w:p w:rsidR="00F40B92" w:rsidRPr="00F40B92" w:rsidRDefault="00F40B92" w:rsidP="00F40B92">
      <w:pPr>
        <w:tabs>
          <w:tab w:val="center" w:pos="4677"/>
        </w:tabs>
        <w:ind w:firstLine="284"/>
        <w:rPr>
          <w:i/>
          <w:lang w:val="en-US"/>
        </w:rPr>
      </w:pPr>
    </w:p>
    <w:p w:rsidR="00F40B92" w:rsidRPr="00255200" w:rsidRDefault="00255200" w:rsidP="00255200">
      <w:pPr>
        <w:tabs>
          <w:tab w:val="center" w:pos="4677"/>
        </w:tabs>
        <w:ind w:firstLine="284"/>
        <w:rPr>
          <w:i/>
          <w:lang w:val="en-US"/>
        </w:rPr>
      </w:pPr>
      <w:r>
        <w:rPr>
          <w:b/>
          <w:i/>
          <w:lang w:val="en-US"/>
        </w:rPr>
        <w:t>Igor E. Shveikin</w:t>
      </w:r>
      <w:r w:rsidRPr="00255200">
        <w:rPr>
          <w:b/>
          <w:i/>
          <w:lang w:val="en-US"/>
        </w:rPr>
        <w:t xml:space="preserve"> – </w:t>
      </w:r>
      <w:r w:rsidRPr="00255200">
        <w:rPr>
          <w:i/>
          <w:lang w:val="en-US"/>
        </w:rPr>
        <w:t>PhD (Economics), Associate Professor of the Department of Fi-nance and Banking; Yuri Gagarin State Tech-nical University of Saratov, 77 Politechnich-eskaya st., Saratov 410054, Russia; email: valentin.clarnet@yandex.ru, https://orcid.org/0000-0003-3852-5788</w:t>
      </w:r>
    </w:p>
    <w:p w:rsidR="00F40B92" w:rsidRDefault="00F40B92" w:rsidP="00F40B92">
      <w:pPr>
        <w:tabs>
          <w:tab w:val="center" w:pos="4677"/>
        </w:tabs>
        <w:ind w:firstLine="284"/>
        <w:rPr>
          <w:b/>
          <w:i/>
          <w:lang w:val="en-US"/>
        </w:rPr>
      </w:pPr>
    </w:p>
    <w:p w:rsidR="00651AC1" w:rsidRPr="00D337FA" w:rsidRDefault="00F40B92" w:rsidP="00F40B92">
      <w:pPr>
        <w:tabs>
          <w:tab w:val="center" w:pos="4677"/>
        </w:tabs>
        <w:ind w:firstLine="284"/>
        <w:rPr>
          <w:i/>
          <w:lang w:val="en-US"/>
        </w:rPr>
      </w:pPr>
      <w:r w:rsidRPr="00F40B92">
        <w:rPr>
          <w:b/>
          <w:i/>
          <w:lang w:val="en-US"/>
        </w:rPr>
        <w:t>Anna P. Shindryaeva</w:t>
      </w:r>
      <w:r w:rsidRPr="00F40B92">
        <w:rPr>
          <w:i/>
          <w:lang w:val="en-US"/>
        </w:rPr>
        <w:t xml:space="preserve"> – Senior lecturer, Department of Economics and Marketing, Yuri Gagarin State Technical University of Saratov, 77 Politechnicheskaya st., Saratov 410054, Russia; e-mail: shinanna@mail.ru, https://orcid.org/0000-0002-6517-7590</w:t>
      </w:r>
    </w:p>
    <w:p w:rsidR="00651AC1" w:rsidRDefault="00651AC1" w:rsidP="00E70CAD">
      <w:pPr>
        <w:tabs>
          <w:tab w:val="center" w:pos="4677"/>
        </w:tabs>
        <w:ind w:firstLine="284"/>
        <w:rPr>
          <w:i/>
          <w:lang w:val="en-US"/>
        </w:rPr>
      </w:pPr>
    </w:p>
    <w:p w:rsidR="00133405" w:rsidRPr="00D337FA" w:rsidRDefault="00133405" w:rsidP="00E70CAD">
      <w:pPr>
        <w:tabs>
          <w:tab w:val="center" w:pos="4677"/>
        </w:tabs>
        <w:ind w:firstLine="284"/>
        <w:rPr>
          <w:b/>
          <w:bCs/>
          <w:i/>
          <w:iCs/>
          <w:caps/>
          <w:szCs w:val="24"/>
          <w:u w:val="single"/>
          <w:lang w:val="en-US" w:eastAsia="ru-RU"/>
        </w:rPr>
      </w:pPr>
    </w:p>
    <w:p w:rsidR="00F30997" w:rsidRPr="00D337FA" w:rsidRDefault="00F30997" w:rsidP="00E70CAD">
      <w:pPr>
        <w:tabs>
          <w:tab w:val="center" w:pos="4677"/>
        </w:tabs>
        <w:ind w:firstLine="0"/>
        <w:jc w:val="right"/>
        <w:rPr>
          <w:rFonts w:ascii="Arial CYR" w:hAnsi="Arial CYR" w:cs="Arial CYR"/>
          <w:b/>
          <w:bCs/>
          <w:i/>
          <w:iCs/>
          <w:caps/>
          <w:szCs w:val="24"/>
          <w:u w:val="single"/>
          <w:lang w:val="en-US" w:eastAsia="ru-RU"/>
        </w:rPr>
        <w:sectPr w:rsidR="00F30997" w:rsidRPr="00D337FA" w:rsidSect="00F30997">
          <w:footnotePr>
            <w:numRestart w:val="eachPage"/>
          </w:footnotePr>
          <w:type w:val="continuous"/>
          <w:pgSz w:w="11907" w:h="16840" w:code="9"/>
          <w:pgMar w:top="1418" w:right="1134" w:bottom="1418" w:left="1134" w:header="1021" w:footer="1021" w:gutter="0"/>
          <w:cols w:num="2" w:space="708"/>
          <w:docGrid w:linePitch="360"/>
        </w:sectPr>
      </w:pPr>
    </w:p>
    <w:p w:rsidR="00255200" w:rsidRPr="003E3A6F" w:rsidRDefault="00255200" w:rsidP="00255200">
      <w:pPr>
        <w:ind w:firstLine="142"/>
        <w:jc w:val="right"/>
        <w:rPr>
          <w:i/>
          <w:sz w:val="22"/>
          <w:szCs w:val="22"/>
        </w:rPr>
      </w:pPr>
      <w:r w:rsidRPr="003E3A6F">
        <w:rPr>
          <w:i/>
          <w:sz w:val="22"/>
          <w:szCs w:val="22"/>
        </w:rPr>
        <w:lastRenderedPageBreak/>
        <w:t>Статья поступила в редакцию 13.01.26, принята к опубликованию 15.03.26</w:t>
      </w:r>
    </w:p>
    <w:p w:rsidR="00B706E9" w:rsidRPr="00946B13" w:rsidRDefault="00B706E9" w:rsidP="00E70CAD">
      <w:pPr>
        <w:tabs>
          <w:tab w:val="center" w:pos="4677"/>
        </w:tabs>
        <w:ind w:firstLine="0"/>
        <w:jc w:val="right"/>
        <w:rPr>
          <w:rFonts w:ascii="Arial CYR" w:hAnsi="Arial CYR" w:cs="Arial CYR"/>
          <w:b/>
          <w:bCs/>
          <w:i/>
          <w:iCs/>
          <w:caps/>
          <w:szCs w:val="24"/>
          <w:u w:val="single"/>
          <w:lang w:eastAsia="ru-RU"/>
        </w:rPr>
      </w:pPr>
    </w:p>
    <w:p w:rsidR="00B706E9" w:rsidRPr="00946B13" w:rsidRDefault="00B706E9" w:rsidP="00FB2463">
      <w:pPr>
        <w:tabs>
          <w:tab w:val="center" w:pos="4677"/>
        </w:tabs>
        <w:ind w:firstLine="0"/>
        <w:jc w:val="right"/>
        <w:rPr>
          <w:rFonts w:ascii="Arial CYR" w:hAnsi="Arial CYR" w:cs="Arial CYR"/>
          <w:b/>
          <w:bCs/>
          <w:i/>
          <w:iCs/>
          <w:caps/>
          <w:szCs w:val="24"/>
          <w:u w:val="single"/>
          <w:lang w:eastAsia="ru-RU"/>
        </w:rPr>
      </w:pPr>
    </w:p>
    <w:p w:rsidR="00B706E9" w:rsidRPr="00946B13" w:rsidRDefault="00B706E9" w:rsidP="00FB2463">
      <w:pPr>
        <w:tabs>
          <w:tab w:val="center" w:pos="4677"/>
        </w:tabs>
        <w:ind w:firstLine="0"/>
        <w:jc w:val="right"/>
        <w:rPr>
          <w:rFonts w:ascii="Arial CYR" w:hAnsi="Arial CYR" w:cs="Arial CYR"/>
          <w:b/>
          <w:bCs/>
          <w:i/>
          <w:iCs/>
          <w:caps/>
          <w:szCs w:val="24"/>
          <w:u w:val="single"/>
          <w:lang w:eastAsia="ru-RU"/>
        </w:rPr>
      </w:pPr>
    </w:p>
    <w:p w:rsidR="00B706E9" w:rsidRPr="00946B13" w:rsidRDefault="00B706E9" w:rsidP="00FB2463">
      <w:pPr>
        <w:tabs>
          <w:tab w:val="center" w:pos="4677"/>
        </w:tabs>
        <w:ind w:firstLine="0"/>
        <w:jc w:val="right"/>
        <w:rPr>
          <w:rFonts w:ascii="Arial CYR" w:hAnsi="Arial CYR" w:cs="Arial CYR"/>
          <w:b/>
          <w:bCs/>
          <w:i/>
          <w:iCs/>
          <w:caps/>
          <w:szCs w:val="24"/>
          <w:u w:val="single"/>
          <w:lang w:eastAsia="ru-RU"/>
        </w:rPr>
      </w:pPr>
    </w:p>
    <w:p w:rsidR="00B706E9" w:rsidRPr="00946B13" w:rsidRDefault="00B706E9" w:rsidP="00FB2463">
      <w:pPr>
        <w:tabs>
          <w:tab w:val="center" w:pos="4677"/>
        </w:tabs>
        <w:ind w:firstLine="0"/>
        <w:jc w:val="right"/>
        <w:rPr>
          <w:rFonts w:ascii="Arial CYR" w:hAnsi="Arial CYR" w:cs="Arial CYR"/>
          <w:b/>
          <w:bCs/>
          <w:i/>
          <w:iCs/>
          <w:caps/>
          <w:szCs w:val="24"/>
          <w:u w:val="single"/>
          <w:lang w:eastAsia="ru-RU"/>
        </w:rPr>
      </w:pPr>
    </w:p>
    <w:p w:rsidR="00B706E9" w:rsidRPr="00946B13" w:rsidRDefault="00B706E9" w:rsidP="00FB2463">
      <w:pPr>
        <w:tabs>
          <w:tab w:val="center" w:pos="4677"/>
        </w:tabs>
        <w:ind w:firstLine="0"/>
        <w:jc w:val="right"/>
        <w:rPr>
          <w:rFonts w:ascii="Arial CYR" w:hAnsi="Arial CYR" w:cs="Arial CYR"/>
          <w:b/>
          <w:bCs/>
          <w:i/>
          <w:iCs/>
          <w:caps/>
          <w:szCs w:val="24"/>
          <w:u w:val="single"/>
          <w:lang w:eastAsia="ru-RU"/>
        </w:rPr>
      </w:pPr>
    </w:p>
    <w:p w:rsidR="00C8298C" w:rsidRPr="00946B13" w:rsidRDefault="00C8298C" w:rsidP="00FB2463">
      <w:pPr>
        <w:tabs>
          <w:tab w:val="center" w:pos="4677"/>
        </w:tabs>
        <w:ind w:firstLine="0"/>
        <w:jc w:val="right"/>
        <w:rPr>
          <w:rFonts w:ascii="Arial" w:hAnsi="Arial" w:cs="Arial"/>
          <w:i/>
          <w:szCs w:val="24"/>
        </w:rPr>
      </w:pPr>
      <w:r w:rsidRPr="00D337FA">
        <w:rPr>
          <w:rFonts w:ascii="Arial CYR" w:hAnsi="Arial CYR" w:cs="Arial CYR"/>
          <w:b/>
          <w:bCs/>
          <w:i/>
          <w:iCs/>
          <w:caps/>
          <w:szCs w:val="24"/>
          <w:u w:val="single"/>
          <w:lang w:eastAsia="ru-RU"/>
        </w:rPr>
        <w:lastRenderedPageBreak/>
        <w:t>МЕНЕДЖМЕНТ</w:t>
      </w:r>
    </w:p>
    <w:p w:rsidR="00C8298C" w:rsidRPr="00946B13" w:rsidRDefault="00C8298C" w:rsidP="006E52B9">
      <w:pPr>
        <w:ind w:firstLine="142"/>
        <w:rPr>
          <w:rFonts w:ascii="Arial" w:hAnsi="Arial" w:cs="Arial"/>
          <w:i/>
          <w:szCs w:val="24"/>
        </w:rPr>
      </w:pPr>
    </w:p>
    <w:p w:rsidR="006E52B9" w:rsidRPr="00946B13" w:rsidRDefault="006E52B9" w:rsidP="006E52B9">
      <w:pPr>
        <w:ind w:firstLine="142"/>
        <w:rPr>
          <w:rFonts w:ascii="Arial" w:hAnsi="Arial" w:cs="Arial"/>
          <w:i/>
          <w:szCs w:val="24"/>
        </w:rPr>
      </w:pPr>
      <w:r w:rsidRPr="00D337FA">
        <w:rPr>
          <w:rFonts w:ascii="Arial" w:hAnsi="Arial" w:cs="Arial"/>
          <w:i/>
          <w:szCs w:val="24"/>
        </w:rPr>
        <w:t>УДК</w:t>
      </w:r>
      <w:r w:rsidR="006C680D" w:rsidRPr="00946B13">
        <w:rPr>
          <w:rFonts w:ascii="Arial" w:hAnsi="Arial" w:cs="Arial"/>
          <w:i/>
          <w:szCs w:val="24"/>
        </w:rPr>
        <w:t xml:space="preserve"> </w:t>
      </w:r>
      <w:r w:rsidR="00C03F09" w:rsidRPr="00946B13">
        <w:rPr>
          <w:rFonts w:ascii="Arial" w:hAnsi="Arial" w:cs="Arial"/>
          <w:i/>
          <w:szCs w:val="24"/>
        </w:rPr>
        <w:t>001.895</w:t>
      </w:r>
      <w:r w:rsidR="006C680D" w:rsidRPr="00946B13">
        <w:rPr>
          <w:rFonts w:ascii="Arial" w:hAnsi="Arial" w:cs="Arial"/>
          <w:i/>
          <w:szCs w:val="24"/>
        </w:rPr>
        <w:t xml:space="preserve"> </w:t>
      </w:r>
    </w:p>
    <w:p w:rsidR="00C03F09" w:rsidRPr="00946B13" w:rsidRDefault="00C03F09" w:rsidP="00C03F09">
      <w:pPr>
        <w:ind w:firstLine="142"/>
        <w:rPr>
          <w:rFonts w:ascii="Arial" w:hAnsi="Arial" w:cs="Arial"/>
          <w:b/>
          <w:i/>
          <w:szCs w:val="24"/>
        </w:rPr>
      </w:pPr>
      <w:r w:rsidRPr="00D337FA">
        <w:rPr>
          <w:rFonts w:ascii="Arial" w:hAnsi="Arial" w:cs="Arial"/>
          <w:b/>
          <w:i/>
          <w:szCs w:val="24"/>
        </w:rPr>
        <w:t>Ю</w:t>
      </w:r>
      <w:r w:rsidRPr="00946B13">
        <w:rPr>
          <w:rFonts w:ascii="Arial" w:hAnsi="Arial" w:cs="Arial"/>
          <w:b/>
          <w:i/>
          <w:szCs w:val="24"/>
        </w:rPr>
        <w:t>.</w:t>
      </w:r>
      <w:r w:rsidR="006C680D" w:rsidRPr="00946B13">
        <w:rPr>
          <w:rFonts w:ascii="Arial" w:hAnsi="Arial" w:cs="Arial"/>
          <w:b/>
          <w:i/>
          <w:szCs w:val="24"/>
        </w:rPr>
        <w:t xml:space="preserve"> </w:t>
      </w:r>
      <w:r w:rsidRPr="00D337FA">
        <w:rPr>
          <w:rFonts w:ascii="Arial" w:hAnsi="Arial" w:cs="Arial"/>
          <w:b/>
          <w:i/>
          <w:szCs w:val="24"/>
        </w:rPr>
        <w:t>А</w:t>
      </w:r>
      <w:r w:rsidRPr="00946B13">
        <w:rPr>
          <w:rFonts w:ascii="Arial" w:hAnsi="Arial" w:cs="Arial"/>
          <w:b/>
          <w:i/>
          <w:szCs w:val="24"/>
        </w:rPr>
        <w:t>.</w:t>
      </w:r>
      <w:r w:rsidR="006C680D" w:rsidRPr="00946B13">
        <w:rPr>
          <w:rFonts w:ascii="Arial" w:hAnsi="Arial" w:cs="Arial"/>
          <w:b/>
          <w:i/>
          <w:szCs w:val="24"/>
        </w:rPr>
        <w:t xml:space="preserve"> </w:t>
      </w:r>
      <w:r w:rsidRPr="00D337FA">
        <w:rPr>
          <w:rFonts w:ascii="Arial" w:hAnsi="Arial" w:cs="Arial"/>
          <w:b/>
          <w:i/>
          <w:szCs w:val="24"/>
        </w:rPr>
        <w:t>Мартынова</w:t>
      </w:r>
    </w:p>
    <w:p w:rsidR="006E52B9" w:rsidRPr="00946B13" w:rsidRDefault="00C03F09" w:rsidP="00C03F09">
      <w:pPr>
        <w:ind w:firstLine="142"/>
        <w:rPr>
          <w:rFonts w:ascii="Arial" w:hAnsi="Arial" w:cs="Arial"/>
          <w:b/>
          <w:i/>
          <w:szCs w:val="24"/>
        </w:rPr>
      </w:pPr>
      <w:r w:rsidRPr="00D337FA">
        <w:rPr>
          <w:rFonts w:ascii="Arial" w:hAnsi="Arial" w:cs="Arial"/>
          <w:b/>
          <w:i/>
          <w:szCs w:val="24"/>
          <w:lang w:val="en-US"/>
        </w:rPr>
        <w:t>Yu</w:t>
      </w:r>
      <w:r w:rsidRPr="00946B13">
        <w:rPr>
          <w:rFonts w:ascii="Arial" w:hAnsi="Arial" w:cs="Arial"/>
          <w:b/>
          <w:i/>
          <w:szCs w:val="24"/>
        </w:rPr>
        <w:t>.</w:t>
      </w:r>
      <w:r w:rsidR="006C680D" w:rsidRPr="00946B13">
        <w:rPr>
          <w:rFonts w:ascii="Arial" w:hAnsi="Arial" w:cs="Arial"/>
          <w:b/>
          <w:i/>
          <w:szCs w:val="24"/>
        </w:rPr>
        <w:t xml:space="preserve"> </w:t>
      </w:r>
      <w:r w:rsidRPr="00D337FA">
        <w:rPr>
          <w:rFonts w:ascii="Arial" w:hAnsi="Arial" w:cs="Arial"/>
          <w:b/>
          <w:i/>
          <w:szCs w:val="24"/>
          <w:lang w:val="en-US"/>
        </w:rPr>
        <w:t>A</w:t>
      </w:r>
      <w:r w:rsidRPr="00946B13">
        <w:rPr>
          <w:rFonts w:ascii="Arial" w:hAnsi="Arial" w:cs="Arial"/>
          <w:b/>
          <w:i/>
          <w:szCs w:val="24"/>
        </w:rPr>
        <w:t>.</w:t>
      </w:r>
      <w:r w:rsidR="006C680D" w:rsidRPr="00946B13">
        <w:rPr>
          <w:rFonts w:ascii="Arial" w:hAnsi="Arial" w:cs="Arial"/>
          <w:b/>
          <w:i/>
          <w:szCs w:val="24"/>
        </w:rPr>
        <w:t xml:space="preserve"> </w:t>
      </w:r>
      <w:r w:rsidRPr="00D337FA">
        <w:rPr>
          <w:rFonts w:ascii="Arial" w:hAnsi="Arial" w:cs="Arial"/>
          <w:b/>
          <w:i/>
          <w:szCs w:val="24"/>
          <w:lang w:val="en-US"/>
        </w:rPr>
        <w:t>Martynova</w:t>
      </w:r>
      <w:r w:rsidR="006C680D" w:rsidRPr="00946B13">
        <w:rPr>
          <w:rFonts w:ascii="Arial" w:hAnsi="Arial" w:cs="Arial"/>
          <w:b/>
          <w:i/>
          <w:szCs w:val="24"/>
        </w:rPr>
        <w:t xml:space="preserve"> </w:t>
      </w:r>
    </w:p>
    <w:p w:rsidR="006E52B9" w:rsidRPr="00946B13" w:rsidRDefault="006E52B9" w:rsidP="006E52B9">
      <w:pPr>
        <w:ind w:firstLine="142"/>
        <w:rPr>
          <w:rFonts w:ascii="Arial" w:hAnsi="Arial" w:cs="Arial"/>
          <w:b/>
          <w:i/>
          <w:szCs w:val="24"/>
        </w:rPr>
      </w:pPr>
    </w:p>
    <w:p w:rsidR="006E52B9" w:rsidRPr="00D337FA" w:rsidRDefault="006E52B9" w:rsidP="006E52B9">
      <w:pPr>
        <w:ind w:firstLine="142"/>
        <w:jc w:val="center"/>
        <w:rPr>
          <w:rFonts w:ascii="Arial" w:hAnsi="Arial" w:cs="Arial"/>
          <w:b/>
          <w:szCs w:val="24"/>
        </w:rPr>
      </w:pPr>
      <w:r w:rsidRPr="00D337FA">
        <w:rPr>
          <w:rFonts w:ascii="Arial" w:hAnsi="Arial" w:cs="Arial"/>
          <w:b/>
          <w:szCs w:val="24"/>
        </w:rPr>
        <w:t>СОВЕРШЕНСТВОВАНИЕ</w:t>
      </w:r>
      <w:r w:rsidR="006C680D" w:rsidRPr="00D337FA">
        <w:rPr>
          <w:rFonts w:ascii="Arial" w:hAnsi="Arial" w:cs="Arial"/>
          <w:b/>
          <w:szCs w:val="24"/>
        </w:rPr>
        <w:t xml:space="preserve"> </w:t>
      </w:r>
      <w:r w:rsidRPr="00D337FA">
        <w:rPr>
          <w:rFonts w:ascii="Arial" w:hAnsi="Arial" w:cs="Arial"/>
          <w:b/>
          <w:szCs w:val="24"/>
        </w:rPr>
        <w:t>УПРАВЛЕНИЯ</w:t>
      </w:r>
      <w:r w:rsidR="006C680D" w:rsidRPr="00D337FA">
        <w:rPr>
          <w:rFonts w:ascii="Arial" w:hAnsi="Arial" w:cs="Arial"/>
          <w:b/>
          <w:szCs w:val="24"/>
        </w:rPr>
        <w:t xml:space="preserve"> </w:t>
      </w:r>
      <w:r w:rsidRPr="00D337FA">
        <w:rPr>
          <w:rFonts w:ascii="Arial" w:hAnsi="Arial" w:cs="Arial"/>
          <w:b/>
          <w:szCs w:val="24"/>
        </w:rPr>
        <w:t>ИННОВАЦИОННЫМИ</w:t>
      </w:r>
      <w:r w:rsidR="006C680D" w:rsidRPr="00D337FA">
        <w:rPr>
          <w:rFonts w:ascii="Arial" w:hAnsi="Arial" w:cs="Arial"/>
          <w:b/>
          <w:szCs w:val="24"/>
        </w:rPr>
        <w:t xml:space="preserve"> </w:t>
      </w:r>
      <w:r w:rsidRPr="00D337FA">
        <w:rPr>
          <w:rFonts w:ascii="Arial" w:hAnsi="Arial" w:cs="Arial"/>
          <w:b/>
          <w:szCs w:val="24"/>
        </w:rPr>
        <w:t>ПРОЦЕССАМИ</w:t>
      </w:r>
      <w:r w:rsidR="006C680D" w:rsidRPr="00D337FA">
        <w:rPr>
          <w:rFonts w:ascii="Arial" w:hAnsi="Arial" w:cs="Arial"/>
          <w:b/>
          <w:szCs w:val="24"/>
        </w:rPr>
        <w:t xml:space="preserve"> </w:t>
      </w:r>
      <w:r w:rsidRPr="00D337FA">
        <w:rPr>
          <w:rFonts w:ascii="Arial" w:hAnsi="Arial" w:cs="Arial"/>
          <w:b/>
          <w:szCs w:val="24"/>
        </w:rPr>
        <w:t>ПРЕДПРИЯТИЯ</w:t>
      </w:r>
      <w:r w:rsidR="006C680D" w:rsidRPr="00D337FA">
        <w:rPr>
          <w:rFonts w:ascii="Arial" w:hAnsi="Arial" w:cs="Arial"/>
          <w:b/>
          <w:szCs w:val="24"/>
        </w:rPr>
        <w:t xml:space="preserve"> </w:t>
      </w:r>
      <w:r w:rsidRPr="00D337FA">
        <w:rPr>
          <w:rFonts w:ascii="Arial" w:hAnsi="Arial" w:cs="Arial"/>
          <w:b/>
          <w:szCs w:val="24"/>
        </w:rPr>
        <w:t>НА</w:t>
      </w:r>
      <w:r w:rsidR="006C680D" w:rsidRPr="00D337FA">
        <w:rPr>
          <w:rFonts w:ascii="Arial" w:hAnsi="Arial" w:cs="Arial"/>
          <w:b/>
          <w:szCs w:val="24"/>
        </w:rPr>
        <w:t xml:space="preserve"> </w:t>
      </w:r>
      <w:r w:rsidRPr="00D337FA">
        <w:rPr>
          <w:rFonts w:ascii="Arial" w:hAnsi="Arial" w:cs="Arial"/>
          <w:b/>
          <w:szCs w:val="24"/>
        </w:rPr>
        <w:t>ОСНОВЕ</w:t>
      </w:r>
      <w:r w:rsidR="006C680D" w:rsidRPr="00D337FA">
        <w:rPr>
          <w:rFonts w:ascii="Arial" w:hAnsi="Arial" w:cs="Arial"/>
          <w:b/>
          <w:szCs w:val="24"/>
        </w:rPr>
        <w:t xml:space="preserve"> </w:t>
      </w:r>
      <w:r w:rsidRPr="00D337FA">
        <w:rPr>
          <w:rFonts w:ascii="Arial" w:hAnsi="Arial" w:cs="Arial"/>
          <w:b/>
          <w:szCs w:val="24"/>
        </w:rPr>
        <w:t>МЕТОДОЛОГИИ</w:t>
      </w:r>
      <w:r w:rsidR="006C680D" w:rsidRPr="00D337FA">
        <w:rPr>
          <w:rFonts w:ascii="Arial" w:hAnsi="Arial" w:cs="Arial"/>
          <w:b/>
          <w:szCs w:val="24"/>
        </w:rPr>
        <w:t xml:space="preserve"> </w:t>
      </w:r>
      <w:r w:rsidRPr="00D337FA">
        <w:rPr>
          <w:rFonts w:ascii="Arial" w:hAnsi="Arial" w:cs="Arial"/>
          <w:b/>
          <w:szCs w:val="24"/>
        </w:rPr>
        <w:t>ГИБКОГО</w:t>
      </w:r>
      <w:r w:rsidR="006C680D" w:rsidRPr="00D337FA">
        <w:rPr>
          <w:rFonts w:ascii="Arial" w:hAnsi="Arial" w:cs="Arial"/>
          <w:b/>
          <w:szCs w:val="24"/>
        </w:rPr>
        <w:t xml:space="preserve"> </w:t>
      </w:r>
      <w:r w:rsidRPr="00D337FA">
        <w:rPr>
          <w:rFonts w:ascii="Arial" w:hAnsi="Arial" w:cs="Arial"/>
          <w:b/>
          <w:szCs w:val="24"/>
        </w:rPr>
        <w:t>ПРОЕКТНОГО</w:t>
      </w:r>
      <w:r w:rsidR="006C680D" w:rsidRPr="00D337FA">
        <w:rPr>
          <w:rFonts w:ascii="Arial" w:hAnsi="Arial" w:cs="Arial"/>
          <w:b/>
          <w:szCs w:val="24"/>
        </w:rPr>
        <w:t xml:space="preserve"> </w:t>
      </w:r>
      <w:r w:rsidRPr="00D337FA">
        <w:rPr>
          <w:rFonts w:ascii="Arial" w:hAnsi="Arial" w:cs="Arial"/>
          <w:b/>
          <w:szCs w:val="24"/>
        </w:rPr>
        <w:t>УПРАВЛЕНИЯ</w:t>
      </w:r>
    </w:p>
    <w:p w:rsidR="006E52B9" w:rsidRPr="00D337FA" w:rsidRDefault="006E52B9" w:rsidP="006E52B9">
      <w:pPr>
        <w:ind w:firstLine="142"/>
        <w:jc w:val="center"/>
        <w:rPr>
          <w:rFonts w:ascii="Arial" w:hAnsi="Arial" w:cs="Arial"/>
          <w:b/>
          <w:szCs w:val="24"/>
        </w:rPr>
      </w:pPr>
    </w:p>
    <w:p w:rsidR="00230516" w:rsidRPr="00D337FA" w:rsidRDefault="006E52B9" w:rsidP="006E52B9">
      <w:pPr>
        <w:ind w:firstLine="142"/>
        <w:jc w:val="center"/>
        <w:rPr>
          <w:rFonts w:ascii="Arial" w:hAnsi="Arial" w:cs="Arial"/>
          <w:b/>
          <w:szCs w:val="24"/>
          <w:lang w:val="en-US"/>
        </w:rPr>
      </w:pPr>
      <w:r w:rsidRPr="00D337FA">
        <w:rPr>
          <w:rFonts w:ascii="Arial" w:hAnsi="Arial" w:cs="Arial"/>
          <w:b/>
          <w:szCs w:val="24"/>
          <w:lang w:val="en-US"/>
        </w:rPr>
        <w:t>IMPROVING</w:t>
      </w:r>
      <w:r w:rsidR="006C680D" w:rsidRPr="00D337FA">
        <w:rPr>
          <w:rFonts w:ascii="Arial" w:hAnsi="Arial" w:cs="Arial"/>
          <w:b/>
          <w:szCs w:val="24"/>
          <w:lang w:val="en-US"/>
        </w:rPr>
        <w:t xml:space="preserve"> </w:t>
      </w:r>
      <w:r w:rsidRPr="00D337FA">
        <w:rPr>
          <w:rFonts w:ascii="Arial" w:hAnsi="Arial" w:cs="Arial"/>
          <w:b/>
          <w:szCs w:val="24"/>
          <w:lang w:val="en-US"/>
        </w:rPr>
        <w:t>THE</w:t>
      </w:r>
      <w:r w:rsidR="006C680D" w:rsidRPr="00D337FA">
        <w:rPr>
          <w:rFonts w:ascii="Arial" w:hAnsi="Arial" w:cs="Arial"/>
          <w:b/>
          <w:szCs w:val="24"/>
          <w:lang w:val="en-US"/>
        </w:rPr>
        <w:t xml:space="preserve"> </w:t>
      </w:r>
      <w:r w:rsidRPr="00D337FA">
        <w:rPr>
          <w:rFonts w:ascii="Arial" w:hAnsi="Arial" w:cs="Arial"/>
          <w:b/>
          <w:szCs w:val="24"/>
          <w:lang w:val="en-US"/>
        </w:rPr>
        <w:t>MANAGEMENT</w:t>
      </w:r>
      <w:r w:rsidR="006C680D" w:rsidRPr="00D337FA">
        <w:rPr>
          <w:rFonts w:ascii="Arial" w:hAnsi="Arial" w:cs="Arial"/>
          <w:b/>
          <w:szCs w:val="24"/>
          <w:lang w:val="en-US"/>
        </w:rPr>
        <w:t xml:space="preserve"> </w:t>
      </w:r>
      <w:r w:rsidRPr="00D337FA">
        <w:rPr>
          <w:rFonts w:ascii="Arial" w:hAnsi="Arial" w:cs="Arial"/>
          <w:b/>
          <w:szCs w:val="24"/>
          <w:lang w:val="en-US"/>
        </w:rPr>
        <w:t>OF</w:t>
      </w:r>
      <w:r w:rsidR="006C680D" w:rsidRPr="00D337FA">
        <w:rPr>
          <w:rFonts w:ascii="Arial" w:hAnsi="Arial" w:cs="Arial"/>
          <w:b/>
          <w:szCs w:val="24"/>
          <w:lang w:val="en-US"/>
        </w:rPr>
        <w:t xml:space="preserve"> </w:t>
      </w:r>
      <w:r w:rsidRPr="00D337FA">
        <w:rPr>
          <w:rFonts w:ascii="Arial" w:hAnsi="Arial" w:cs="Arial"/>
          <w:b/>
          <w:szCs w:val="24"/>
          <w:lang w:val="en-US"/>
        </w:rPr>
        <w:t>ENTERPRISE</w:t>
      </w:r>
      <w:r w:rsidR="006C680D" w:rsidRPr="00D337FA">
        <w:rPr>
          <w:rFonts w:ascii="Arial" w:hAnsi="Arial" w:cs="Arial"/>
          <w:b/>
          <w:szCs w:val="24"/>
          <w:lang w:val="en-US"/>
        </w:rPr>
        <w:t xml:space="preserve"> </w:t>
      </w:r>
      <w:r w:rsidRPr="00D337FA">
        <w:rPr>
          <w:rFonts w:ascii="Arial" w:hAnsi="Arial" w:cs="Arial"/>
          <w:b/>
          <w:szCs w:val="24"/>
          <w:lang w:val="en-US"/>
        </w:rPr>
        <w:t>INNOVATION</w:t>
      </w:r>
      <w:r w:rsidR="006C680D" w:rsidRPr="00D337FA">
        <w:rPr>
          <w:rFonts w:ascii="Arial" w:hAnsi="Arial" w:cs="Arial"/>
          <w:b/>
          <w:szCs w:val="24"/>
          <w:lang w:val="en-US"/>
        </w:rPr>
        <w:t xml:space="preserve"> </w:t>
      </w:r>
      <w:r w:rsidRPr="00D337FA">
        <w:rPr>
          <w:rFonts w:ascii="Arial" w:hAnsi="Arial" w:cs="Arial"/>
          <w:b/>
          <w:szCs w:val="24"/>
          <w:lang w:val="en-US"/>
        </w:rPr>
        <w:t>PROCESSES</w:t>
      </w:r>
      <w:r w:rsidR="006C680D" w:rsidRPr="00D337FA">
        <w:rPr>
          <w:rFonts w:ascii="Arial" w:hAnsi="Arial" w:cs="Arial"/>
          <w:b/>
          <w:szCs w:val="24"/>
          <w:lang w:val="en-US"/>
        </w:rPr>
        <w:t xml:space="preserve"> </w:t>
      </w:r>
      <w:r w:rsidRPr="00D337FA">
        <w:rPr>
          <w:rFonts w:ascii="Arial" w:hAnsi="Arial" w:cs="Arial"/>
          <w:b/>
          <w:szCs w:val="24"/>
          <w:lang w:val="en-US"/>
        </w:rPr>
        <w:t>BASED</w:t>
      </w:r>
      <w:r w:rsidR="006C680D" w:rsidRPr="00D337FA">
        <w:rPr>
          <w:rFonts w:ascii="Arial" w:hAnsi="Arial" w:cs="Arial"/>
          <w:b/>
          <w:szCs w:val="24"/>
          <w:lang w:val="en-US"/>
        </w:rPr>
        <w:t xml:space="preserve"> </w:t>
      </w:r>
      <w:r w:rsidRPr="00D337FA">
        <w:rPr>
          <w:rFonts w:ascii="Arial" w:hAnsi="Arial" w:cs="Arial"/>
          <w:b/>
          <w:szCs w:val="24"/>
          <w:lang w:val="en-US"/>
        </w:rPr>
        <w:t>ON</w:t>
      </w:r>
      <w:r w:rsidR="006C680D" w:rsidRPr="00D337FA">
        <w:rPr>
          <w:rFonts w:ascii="Arial" w:hAnsi="Arial" w:cs="Arial"/>
          <w:b/>
          <w:szCs w:val="24"/>
          <w:lang w:val="en-US"/>
        </w:rPr>
        <w:t xml:space="preserve"> </w:t>
      </w:r>
      <w:r w:rsidRPr="00D337FA">
        <w:rPr>
          <w:rFonts w:ascii="Arial" w:hAnsi="Arial" w:cs="Arial"/>
          <w:b/>
          <w:szCs w:val="24"/>
          <w:lang w:val="en-US"/>
        </w:rPr>
        <w:t>THE</w:t>
      </w:r>
      <w:r w:rsidR="006C680D" w:rsidRPr="00D337FA">
        <w:rPr>
          <w:rFonts w:ascii="Arial" w:hAnsi="Arial" w:cs="Arial"/>
          <w:b/>
          <w:szCs w:val="24"/>
          <w:lang w:val="en-US"/>
        </w:rPr>
        <w:t xml:space="preserve"> </w:t>
      </w:r>
      <w:r w:rsidRPr="00D337FA">
        <w:rPr>
          <w:rFonts w:ascii="Arial" w:hAnsi="Arial" w:cs="Arial"/>
          <w:b/>
          <w:szCs w:val="24"/>
          <w:lang w:val="en-US"/>
        </w:rPr>
        <w:t>FLEXIBLE</w:t>
      </w:r>
      <w:r w:rsidR="006C680D" w:rsidRPr="00D337FA">
        <w:rPr>
          <w:rFonts w:ascii="Arial" w:hAnsi="Arial" w:cs="Arial"/>
          <w:b/>
          <w:szCs w:val="24"/>
          <w:lang w:val="en-US"/>
        </w:rPr>
        <w:t xml:space="preserve"> </w:t>
      </w:r>
      <w:r w:rsidRPr="00D337FA">
        <w:rPr>
          <w:rFonts w:ascii="Arial" w:hAnsi="Arial" w:cs="Arial"/>
          <w:b/>
          <w:szCs w:val="24"/>
          <w:lang w:val="en-US"/>
        </w:rPr>
        <w:t>PROJECT</w:t>
      </w:r>
      <w:r w:rsidR="006C680D" w:rsidRPr="00D337FA">
        <w:rPr>
          <w:rFonts w:ascii="Arial" w:hAnsi="Arial" w:cs="Arial"/>
          <w:b/>
          <w:szCs w:val="24"/>
          <w:lang w:val="en-US"/>
        </w:rPr>
        <w:t xml:space="preserve"> </w:t>
      </w:r>
      <w:r w:rsidRPr="00D337FA">
        <w:rPr>
          <w:rFonts w:ascii="Arial" w:hAnsi="Arial" w:cs="Arial"/>
          <w:b/>
          <w:szCs w:val="24"/>
          <w:lang w:val="en-US"/>
        </w:rPr>
        <w:t>MANAGEMENT</w:t>
      </w:r>
      <w:r w:rsidR="006C680D" w:rsidRPr="00D337FA">
        <w:rPr>
          <w:rFonts w:ascii="Arial" w:hAnsi="Arial" w:cs="Arial"/>
          <w:b/>
          <w:szCs w:val="24"/>
          <w:lang w:val="en-US"/>
        </w:rPr>
        <w:t xml:space="preserve"> </w:t>
      </w:r>
      <w:r w:rsidRPr="00D337FA">
        <w:rPr>
          <w:rFonts w:ascii="Arial" w:hAnsi="Arial" w:cs="Arial"/>
          <w:b/>
          <w:szCs w:val="24"/>
          <w:lang w:val="en-US"/>
        </w:rPr>
        <w:t>METHODOLOGY</w:t>
      </w:r>
    </w:p>
    <w:p w:rsidR="00230516" w:rsidRPr="00D337FA" w:rsidRDefault="00230516" w:rsidP="00847021">
      <w:pPr>
        <w:ind w:firstLine="142"/>
        <w:rPr>
          <w:i/>
          <w:szCs w:val="24"/>
          <w:lang w:val="en-US"/>
        </w:rPr>
      </w:pPr>
    </w:p>
    <w:p w:rsidR="006E52B9" w:rsidRPr="00D337FA" w:rsidRDefault="006E52B9" w:rsidP="006E52B9">
      <w:pPr>
        <w:rPr>
          <w:b/>
          <w:sz w:val="28"/>
          <w:szCs w:val="28"/>
          <w:lang w:val="en-US"/>
        </w:rPr>
        <w:sectPr w:rsidR="006E52B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6E52B9" w:rsidRPr="00D337FA" w:rsidRDefault="006E52B9" w:rsidP="007F0B79">
      <w:pPr>
        <w:ind w:firstLine="0"/>
        <w:rPr>
          <w:i/>
          <w:szCs w:val="24"/>
        </w:rPr>
      </w:pPr>
      <w:r w:rsidRPr="00D337FA">
        <w:rPr>
          <w:b/>
          <w:i/>
          <w:szCs w:val="24"/>
        </w:rPr>
        <w:lastRenderedPageBreak/>
        <w:t>Аннотация.</w:t>
      </w:r>
      <w:r w:rsidR="006C680D" w:rsidRPr="00D337FA">
        <w:rPr>
          <w:b/>
          <w:i/>
          <w:szCs w:val="24"/>
        </w:rPr>
        <w:t xml:space="preserve"> </w:t>
      </w:r>
      <w:r w:rsidR="00C03F09" w:rsidRPr="00D337FA">
        <w:rPr>
          <w:i/>
          <w:szCs w:val="24"/>
        </w:rPr>
        <w:t>Целью</w:t>
      </w:r>
      <w:r w:rsidR="006C680D" w:rsidRPr="00D337FA">
        <w:rPr>
          <w:i/>
          <w:szCs w:val="24"/>
        </w:rPr>
        <w:t xml:space="preserve"> </w:t>
      </w:r>
      <w:r w:rsidR="00C03F09" w:rsidRPr="00D337FA">
        <w:rPr>
          <w:i/>
          <w:szCs w:val="24"/>
        </w:rPr>
        <w:t>статьи</w:t>
      </w:r>
      <w:r w:rsidR="006C680D" w:rsidRPr="00D337FA">
        <w:rPr>
          <w:i/>
          <w:szCs w:val="24"/>
        </w:rPr>
        <w:t xml:space="preserve"> </w:t>
      </w:r>
      <w:r w:rsidR="00C03F09" w:rsidRPr="00D337FA">
        <w:rPr>
          <w:i/>
          <w:szCs w:val="24"/>
        </w:rPr>
        <w:t>является</w:t>
      </w:r>
      <w:r w:rsidR="006C680D" w:rsidRPr="00D337FA">
        <w:rPr>
          <w:i/>
          <w:szCs w:val="24"/>
        </w:rPr>
        <w:t xml:space="preserve"> </w:t>
      </w:r>
      <w:r w:rsidR="00C03F09" w:rsidRPr="00D337FA">
        <w:rPr>
          <w:i/>
          <w:szCs w:val="24"/>
        </w:rPr>
        <w:t>развитие</w:t>
      </w:r>
      <w:r w:rsidR="006C680D" w:rsidRPr="00D337FA">
        <w:rPr>
          <w:i/>
          <w:szCs w:val="24"/>
        </w:rPr>
        <w:t xml:space="preserve"> </w:t>
      </w:r>
      <w:r w:rsidR="00C03F09" w:rsidRPr="00D337FA">
        <w:rPr>
          <w:i/>
          <w:szCs w:val="24"/>
        </w:rPr>
        <w:t>методологии</w:t>
      </w:r>
      <w:r w:rsidR="006C680D" w:rsidRPr="00D337FA">
        <w:rPr>
          <w:i/>
          <w:szCs w:val="24"/>
        </w:rPr>
        <w:t xml:space="preserve"> </w:t>
      </w:r>
      <w:r w:rsidR="00C03F09" w:rsidRPr="00D337FA">
        <w:rPr>
          <w:i/>
          <w:szCs w:val="24"/>
        </w:rPr>
        <w:t>управления</w:t>
      </w:r>
      <w:r w:rsidR="006C680D" w:rsidRPr="00D337FA">
        <w:rPr>
          <w:i/>
          <w:szCs w:val="24"/>
        </w:rPr>
        <w:t xml:space="preserve"> </w:t>
      </w:r>
      <w:r w:rsidR="00C03F09" w:rsidRPr="00D337FA">
        <w:rPr>
          <w:i/>
          <w:szCs w:val="24"/>
        </w:rPr>
        <w:t>инновационной</w:t>
      </w:r>
      <w:r w:rsidR="006C680D" w:rsidRPr="00D337FA">
        <w:rPr>
          <w:i/>
          <w:szCs w:val="24"/>
        </w:rPr>
        <w:t xml:space="preserve"> </w:t>
      </w:r>
      <w:r w:rsidR="00C03F09" w:rsidRPr="00D337FA">
        <w:rPr>
          <w:i/>
          <w:szCs w:val="24"/>
        </w:rPr>
        <w:t>деятельностью</w:t>
      </w:r>
      <w:r w:rsidR="006C680D" w:rsidRPr="00D337FA">
        <w:rPr>
          <w:i/>
          <w:szCs w:val="24"/>
        </w:rPr>
        <w:t xml:space="preserve"> </w:t>
      </w:r>
      <w:r w:rsidR="00C03F09" w:rsidRPr="00D337FA">
        <w:rPr>
          <w:i/>
          <w:szCs w:val="24"/>
        </w:rPr>
        <w:t>для</w:t>
      </w:r>
      <w:r w:rsidR="006C680D" w:rsidRPr="00D337FA">
        <w:rPr>
          <w:i/>
          <w:szCs w:val="24"/>
        </w:rPr>
        <w:t xml:space="preserve"> </w:t>
      </w:r>
      <w:r w:rsidR="00C03F09" w:rsidRPr="00D337FA">
        <w:rPr>
          <w:i/>
          <w:szCs w:val="24"/>
        </w:rPr>
        <w:t>обеспечения</w:t>
      </w:r>
      <w:r w:rsidR="006C680D" w:rsidRPr="00D337FA">
        <w:rPr>
          <w:i/>
          <w:szCs w:val="24"/>
        </w:rPr>
        <w:t xml:space="preserve"> </w:t>
      </w:r>
      <w:r w:rsidR="00C03F09" w:rsidRPr="00D337FA">
        <w:rPr>
          <w:i/>
          <w:szCs w:val="24"/>
        </w:rPr>
        <w:t>более</w:t>
      </w:r>
      <w:r w:rsidR="006C680D" w:rsidRPr="00D337FA">
        <w:rPr>
          <w:i/>
          <w:szCs w:val="24"/>
        </w:rPr>
        <w:t xml:space="preserve"> </w:t>
      </w:r>
      <w:r w:rsidR="00C03F09" w:rsidRPr="00D337FA">
        <w:rPr>
          <w:i/>
          <w:szCs w:val="24"/>
        </w:rPr>
        <w:t>результативного</w:t>
      </w:r>
      <w:r w:rsidR="006C680D" w:rsidRPr="00D337FA">
        <w:rPr>
          <w:i/>
          <w:szCs w:val="24"/>
        </w:rPr>
        <w:t xml:space="preserve"> </w:t>
      </w:r>
      <w:r w:rsidR="00C03F09" w:rsidRPr="00D337FA">
        <w:rPr>
          <w:i/>
          <w:szCs w:val="24"/>
        </w:rPr>
        <w:t>ее</w:t>
      </w:r>
      <w:r w:rsidR="006C680D" w:rsidRPr="00D337FA">
        <w:rPr>
          <w:i/>
          <w:szCs w:val="24"/>
        </w:rPr>
        <w:t xml:space="preserve"> </w:t>
      </w:r>
      <w:r w:rsidR="00C03F09" w:rsidRPr="00D337FA">
        <w:rPr>
          <w:i/>
          <w:szCs w:val="24"/>
        </w:rPr>
        <w:t>осуществления.</w:t>
      </w:r>
      <w:r w:rsidR="006C680D" w:rsidRPr="00D337FA">
        <w:rPr>
          <w:i/>
          <w:szCs w:val="24"/>
        </w:rPr>
        <w:t xml:space="preserve"> </w:t>
      </w:r>
      <w:r w:rsidR="00C03F09" w:rsidRPr="00D337FA">
        <w:rPr>
          <w:i/>
          <w:szCs w:val="24"/>
        </w:rPr>
        <w:t>Автором</w:t>
      </w:r>
      <w:r w:rsidR="006C680D" w:rsidRPr="00D337FA">
        <w:rPr>
          <w:i/>
          <w:szCs w:val="24"/>
        </w:rPr>
        <w:t xml:space="preserve"> </w:t>
      </w:r>
      <w:r w:rsidR="00C03F09" w:rsidRPr="00D337FA">
        <w:rPr>
          <w:i/>
          <w:szCs w:val="24"/>
        </w:rPr>
        <w:t>рассмотрено</w:t>
      </w:r>
      <w:r w:rsidR="006C680D" w:rsidRPr="00D337FA">
        <w:rPr>
          <w:i/>
          <w:szCs w:val="24"/>
        </w:rPr>
        <w:t xml:space="preserve"> </w:t>
      </w:r>
      <w:r w:rsidR="00C03F09" w:rsidRPr="00D337FA">
        <w:rPr>
          <w:i/>
          <w:szCs w:val="24"/>
        </w:rPr>
        <w:t>понятие</w:t>
      </w:r>
      <w:r w:rsidR="006C680D" w:rsidRPr="00D337FA">
        <w:rPr>
          <w:i/>
          <w:szCs w:val="24"/>
        </w:rPr>
        <w:t xml:space="preserve"> </w:t>
      </w:r>
      <w:r w:rsidR="00C03F09" w:rsidRPr="00D337FA">
        <w:rPr>
          <w:i/>
          <w:szCs w:val="24"/>
        </w:rPr>
        <w:t>методологии,</w:t>
      </w:r>
      <w:r w:rsidR="006C680D" w:rsidRPr="00D337FA">
        <w:rPr>
          <w:i/>
          <w:szCs w:val="24"/>
        </w:rPr>
        <w:t xml:space="preserve"> </w:t>
      </w:r>
      <w:r w:rsidR="00C03F09" w:rsidRPr="00D337FA">
        <w:rPr>
          <w:i/>
          <w:szCs w:val="24"/>
        </w:rPr>
        <w:t>его</w:t>
      </w:r>
      <w:r w:rsidR="006C680D" w:rsidRPr="00D337FA">
        <w:rPr>
          <w:i/>
          <w:szCs w:val="24"/>
        </w:rPr>
        <w:t xml:space="preserve"> </w:t>
      </w:r>
      <w:r w:rsidR="00C03F09" w:rsidRPr="00D337FA">
        <w:rPr>
          <w:i/>
          <w:szCs w:val="24"/>
        </w:rPr>
        <w:t>содержание</w:t>
      </w:r>
      <w:r w:rsidR="006C680D" w:rsidRPr="00D337FA">
        <w:rPr>
          <w:i/>
          <w:szCs w:val="24"/>
        </w:rPr>
        <w:t xml:space="preserve"> </w:t>
      </w:r>
      <w:r w:rsidR="00C03F09" w:rsidRPr="00D337FA">
        <w:rPr>
          <w:i/>
          <w:szCs w:val="24"/>
        </w:rPr>
        <w:t>и</w:t>
      </w:r>
      <w:r w:rsidR="006C680D" w:rsidRPr="00D337FA">
        <w:rPr>
          <w:i/>
          <w:szCs w:val="24"/>
        </w:rPr>
        <w:t xml:space="preserve"> </w:t>
      </w:r>
      <w:r w:rsidR="00C03F09" w:rsidRPr="00D337FA">
        <w:rPr>
          <w:i/>
          <w:szCs w:val="24"/>
        </w:rPr>
        <w:t>структура.</w:t>
      </w:r>
      <w:r w:rsidR="006C680D" w:rsidRPr="00D337FA">
        <w:rPr>
          <w:i/>
          <w:szCs w:val="24"/>
        </w:rPr>
        <w:t xml:space="preserve"> </w:t>
      </w:r>
      <w:r w:rsidR="00C03F09" w:rsidRPr="00D337FA">
        <w:rPr>
          <w:i/>
          <w:szCs w:val="24"/>
        </w:rPr>
        <w:t>Опираясь</w:t>
      </w:r>
      <w:r w:rsidR="006C680D" w:rsidRPr="00D337FA">
        <w:rPr>
          <w:i/>
          <w:szCs w:val="24"/>
        </w:rPr>
        <w:t xml:space="preserve"> </w:t>
      </w:r>
      <w:r w:rsidR="00C03F09" w:rsidRPr="00D337FA">
        <w:rPr>
          <w:i/>
          <w:szCs w:val="24"/>
        </w:rPr>
        <w:t>на</w:t>
      </w:r>
      <w:r w:rsidR="006C680D" w:rsidRPr="00D337FA">
        <w:rPr>
          <w:i/>
          <w:szCs w:val="24"/>
        </w:rPr>
        <w:t xml:space="preserve"> </w:t>
      </w:r>
      <w:r w:rsidR="00C03F09" w:rsidRPr="00D337FA">
        <w:rPr>
          <w:i/>
          <w:szCs w:val="24"/>
        </w:rPr>
        <w:t>исследованные</w:t>
      </w:r>
      <w:r w:rsidR="006C680D" w:rsidRPr="00D337FA">
        <w:rPr>
          <w:i/>
          <w:szCs w:val="24"/>
        </w:rPr>
        <w:t xml:space="preserve"> </w:t>
      </w:r>
      <w:r w:rsidR="00C03F09" w:rsidRPr="00D337FA">
        <w:rPr>
          <w:i/>
          <w:szCs w:val="24"/>
        </w:rPr>
        <w:t>материалы</w:t>
      </w:r>
      <w:r w:rsidR="006C680D" w:rsidRPr="00D337FA">
        <w:rPr>
          <w:i/>
          <w:szCs w:val="24"/>
        </w:rPr>
        <w:t xml:space="preserve"> </w:t>
      </w:r>
      <w:r w:rsidR="00C03F09" w:rsidRPr="00D337FA">
        <w:rPr>
          <w:i/>
          <w:szCs w:val="24"/>
        </w:rPr>
        <w:t>в</w:t>
      </w:r>
      <w:r w:rsidR="006C680D" w:rsidRPr="00D337FA">
        <w:rPr>
          <w:i/>
          <w:szCs w:val="24"/>
        </w:rPr>
        <w:t xml:space="preserve"> </w:t>
      </w:r>
      <w:r w:rsidR="00C03F09" w:rsidRPr="00D337FA">
        <w:rPr>
          <w:i/>
          <w:szCs w:val="24"/>
        </w:rPr>
        <w:t>статье</w:t>
      </w:r>
      <w:r w:rsidR="006C680D" w:rsidRPr="00D337FA">
        <w:rPr>
          <w:i/>
          <w:szCs w:val="24"/>
        </w:rPr>
        <w:t xml:space="preserve"> </w:t>
      </w:r>
      <w:r w:rsidR="00C03F09" w:rsidRPr="00D337FA">
        <w:rPr>
          <w:i/>
          <w:szCs w:val="24"/>
        </w:rPr>
        <w:t>выделены</w:t>
      </w:r>
      <w:r w:rsidR="006C680D" w:rsidRPr="00D337FA">
        <w:rPr>
          <w:i/>
          <w:szCs w:val="24"/>
        </w:rPr>
        <w:t xml:space="preserve"> </w:t>
      </w:r>
      <w:r w:rsidR="00C03F09" w:rsidRPr="00D337FA">
        <w:rPr>
          <w:i/>
          <w:szCs w:val="24"/>
        </w:rPr>
        <w:t>основные</w:t>
      </w:r>
      <w:r w:rsidR="006C680D" w:rsidRPr="00D337FA">
        <w:rPr>
          <w:i/>
          <w:szCs w:val="24"/>
        </w:rPr>
        <w:t xml:space="preserve"> </w:t>
      </w:r>
      <w:r w:rsidR="00C03F09" w:rsidRPr="00D337FA">
        <w:rPr>
          <w:i/>
          <w:szCs w:val="24"/>
        </w:rPr>
        <w:t>элементы</w:t>
      </w:r>
      <w:r w:rsidR="006C680D" w:rsidRPr="00D337FA">
        <w:rPr>
          <w:i/>
          <w:szCs w:val="24"/>
        </w:rPr>
        <w:t xml:space="preserve"> </w:t>
      </w:r>
      <w:r w:rsidR="00C03F09" w:rsidRPr="00D337FA">
        <w:rPr>
          <w:i/>
          <w:szCs w:val="24"/>
        </w:rPr>
        <w:t>методологии</w:t>
      </w:r>
      <w:r w:rsidR="006C680D" w:rsidRPr="00D337FA">
        <w:rPr>
          <w:i/>
          <w:szCs w:val="24"/>
        </w:rPr>
        <w:t xml:space="preserve"> </w:t>
      </w:r>
      <w:r w:rsidR="00C03F09" w:rsidRPr="00D337FA">
        <w:rPr>
          <w:i/>
          <w:szCs w:val="24"/>
        </w:rPr>
        <w:t>управления</w:t>
      </w:r>
      <w:r w:rsidR="006C680D" w:rsidRPr="00D337FA">
        <w:rPr>
          <w:i/>
          <w:szCs w:val="24"/>
        </w:rPr>
        <w:t xml:space="preserve"> </w:t>
      </w:r>
      <w:r w:rsidR="00C03F09" w:rsidRPr="00D337FA">
        <w:rPr>
          <w:i/>
          <w:szCs w:val="24"/>
        </w:rPr>
        <w:t>инновационной</w:t>
      </w:r>
      <w:r w:rsidR="006C680D" w:rsidRPr="00D337FA">
        <w:rPr>
          <w:i/>
          <w:szCs w:val="24"/>
        </w:rPr>
        <w:t xml:space="preserve"> </w:t>
      </w:r>
      <w:r w:rsidR="00C03F09" w:rsidRPr="00D337FA">
        <w:rPr>
          <w:i/>
          <w:szCs w:val="24"/>
        </w:rPr>
        <w:t>деятельности,</w:t>
      </w:r>
      <w:r w:rsidR="006C680D" w:rsidRPr="00D337FA">
        <w:rPr>
          <w:i/>
          <w:szCs w:val="24"/>
        </w:rPr>
        <w:t xml:space="preserve"> </w:t>
      </w:r>
      <w:r w:rsidR="00C03F09" w:rsidRPr="00D337FA">
        <w:rPr>
          <w:i/>
          <w:szCs w:val="24"/>
        </w:rPr>
        <w:t>раскрыто</w:t>
      </w:r>
      <w:r w:rsidR="006C680D" w:rsidRPr="00D337FA">
        <w:rPr>
          <w:i/>
          <w:szCs w:val="24"/>
        </w:rPr>
        <w:t xml:space="preserve"> </w:t>
      </w:r>
      <w:r w:rsidR="00C03F09" w:rsidRPr="00D337FA">
        <w:rPr>
          <w:i/>
          <w:szCs w:val="24"/>
        </w:rPr>
        <w:t>их</w:t>
      </w:r>
      <w:r w:rsidR="006C680D" w:rsidRPr="00D337FA">
        <w:rPr>
          <w:i/>
          <w:szCs w:val="24"/>
        </w:rPr>
        <w:t xml:space="preserve"> </w:t>
      </w:r>
      <w:r w:rsidR="00C03F09" w:rsidRPr="00D337FA">
        <w:rPr>
          <w:i/>
          <w:szCs w:val="24"/>
        </w:rPr>
        <w:t>содержание,</w:t>
      </w:r>
      <w:r w:rsidR="006C680D" w:rsidRPr="00D337FA">
        <w:rPr>
          <w:i/>
          <w:szCs w:val="24"/>
        </w:rPr>
        <w:t xml:space="preserve"> </w:t>
      </w:r>
      <w:r w:rsidR="00C03F09" w:rsidRPr="00D337FA">
        <w:rPr>
          <w:i/>
          <w:szCs w:val="24"/>
        </w:rPr>
        <w:t>описана</w:t>
      </w:r>
      <w:r w:rsidR="006C680D" w:rsidRPr="00D337FA">
        <w:rPr>
          <w:i/>
          <w:szCs w:val="24"/>
        </w:rPr>
        <w:t xml:space="preserve"> </w:t>
      </w:r>
      <w:r w:rsidR="00C03F09" w:rsidRPr="00D337FA">
        <w:rPr>
          <w:i/>
          <w:szCs w:val="24"/>
        </w:rPr>
        <w:t>последовательность</w:t>
      </w:r>
      <w:r w:rsidR="006C680D" w:rsidRPr="00D337FA">
        <w:rPr>
          <w:i/>
          <w:szCs w:val="24"/>
        </w:rPr>
        <w:t xml:space="preserve"> </w:t>
      </w:r>
      <w:r w:rsidR="00C03F09" w:rsidRPr="00D337FA">
        <w:rPr>
          <w:i/>
          <w:szCs w:val="24"/>
        </w:rPr>
        <w:t>применения</w:t>
      </w:r>
      <w:r w:rsidR="006C680D" w:rsidRPr="00D337FA">
        <w:rPr>
          <w:i/>
          <w:szCs w:val="24"/>
        </w:rPr>
        <w:t xml:space="preserve"> </w:t>
      </w:r>
      <w:r w:rsidR="00C03F09" w:rsidRPr="00D337FA">
        <w:rPr>
          <w:i/>
          <w:szCs w:val="24"/>
        </w:rPr>
        <w:t>данной</w:t>
      </w:r>
      <w:r w:rsidR="006C680D" w:rsidRPr="00D337FA">
        <w:rPr>
          <w:i/>
          <w:szCs w:val="24"/>
        </w:rPr>
        <w:t xml:space="preserve"> </w:t>
      </w:r>
      <w:r w:rsidR="00C03F09" w:rsidRPr="00D337FA">
        <w:rPr>
          <w:i/>
          <w:szCs w:val="24"/>
        </w:rPr>
        <w:t>методики</w:t>
      </w:r>
      <w:r w:rsidR="006C680D" w:rsidRPr="00D337FA">
        <w:rPr>
          <w:i/>
          <w:szCs w:val="24"/>
        </w:rPr>
        <w:t xml:space="preserve"> </w:t>
      </w:r>
      <w:r w:rsidR="00C03F09" w:rsidRPr="00D337FA">
        <w:rPr>
          <w:i/>
          <w:szCs w:val="24"/>
        </w:rPr>
        <w:t>для</w:t>
      </w:r>
      <w:r w:rsidR="006C680D" w:rsidRPr="00D337FA">
        <w:rPr>
          <w:i/>
          <w:szCs w:val="24"/>
        </w:rPr>
        <w:t xml:space="preserve"> </w:t>
      </w:r>
      <w:r w:rsidR="00C03F09" w:rsidRPr="00D337FA">
        <w:rPr>
          <w:i/>
          <w:szCs w:val="24"/>
        </w:rPr>
        <w:t>решения</w:t>
      </w:r>
      <w:r w:rsidR="006C680D" w:rsidRPr="00D337FA">
        <w:rPr>
          <w:i/>
          <w:szCs w:val="24"/>
        </w:rPr>
        <w:t xml:space="preserve"> </w:t>
      </w:r>
      <w:r w:rsidR="00C03F09" w:rsidRPr="00D337FA">
        <w:rPr>
          <w:i/>
          <w:szCs w:val="24"/>
        </w:rPr>
        <w:t>управленческих</w:t>
      </w:r>
      <w:r w:rsidR="006C680D" w:rsidRPr="00D337FA">
        <w:rPr>
          <w:i/>
          <w:szCs w:val="24"/>
        </w:rPr>
        <w:t xml:space="preserve"> </w:t>
      </w:r>
      <w:r w:rsidR="00C03F09" w:rsidRPr="00D337FA">
        <w:rPr>
          <w:i/>
          <w:szCs w:val="24"/>
        </w:rPr>
        <w:t>задач</w:t>
      </w:r>
      <w:r w:rsidR="006C680D" w:rsidRPr="00D337FA">
        <w:rPr>
          <w:i/>
          <w:szCs w:val="24"/>
        </w:rPr>
        <w:t xml:space="preserve"> </w:t>
      </w:r>
      <w:r w:rsidR="00C03F09" w:rsidRPr="00D337FA">
        <w:rPr>
          <w:i/>
          <w:szCs w:val="24"/>
        </w:rPr>
        <w:t>в</w:t>
      </w:r>
      <w:r w:rsidR="006C680D" w:rsidRPr="00D337FA">
        <w:rPr>
          <w:i/>
          <w:szCs w:val="24"/>
        </w:rPr>
        <w:t xml:space="preserve"> </w:t>
      </w:r>
      <w:r w:rsidR="00C03F09" w:rsidRPr="00D337FA">
        <w:rPr>
          <w:i/>
          <w:szCs w:val="24"/>
        </w:rPr>
        <w:t>области</w:t>
      </w:r>
      <w:r w:rsidR="006C680D" w:rsidRPr="00D337FA">
        <w:rPr>
          <w:i/>
          <w:szCs w:val="24"/>
        </w:rPr>
        <w:t xml:space="preserve"> </w:t>
      </w:r>
      <w:r w:rsidR="00C03F09" w:rsidRPr="00D337FA">
        <w:rPr>
          <w:i/>
          <w:szCs w:val="24"/>
        </w:rPr>
        <w:t>инноваций.</w:t>
      </w:r>
      <w:r w:rsidR="006C680D" w:rsidRPr="00D337FA">
        <w:rPr>
          <w:i/>
          <w:szCs w:val="24"/>
        </w:rPr>
        <w:t xml:space="preserve"> </w:t>
      </w:r>
      <w:r w:rsidR="00C03F09" w:rsidRPr="00D337FA">
        <w:rPr>
          <w:i/>
          <w:szCs w:val="24"/>
        </w:rPr>
        <w:t>Предлагаемая</w:t>
      </w:r>
      <w:r w:rsidR="006C680D" w:rsidRPr="00D337FA">
        <w:rPr>
          <w:i/>
          <w:szCs w:val="24"/>
        </w:rPr>
        <w:t xml:space="preserve"> </w:t>
      </w:r>
      <w:r w:rsidR="00C03F09" w:rsidRPr="00D337FA">
        <w:rPr>
          <w:i/>
          <w:szCs w:val="24"/>
        </w:rPr>
        <w:t>методология</w:t>
      </w:r>
      <w:r w:rsidR="006C680D" w:rsidRPr="00D337FA">
        <w:rPr>
          <w:i/>
          <w:szCs w:val="24"/>
        </w:rPr>
        <w:t xml:space="preserve"> </w:t>
      </w:r>
      <w:r w:rsidR="00C03F09" w:rsidRPr="00D337FA">
        <w:rPr>
          <w:i/>
          <w:szCs w:val="24"/>
        </w:rPr>
        <w:t>направлена</w:t>
      </w:r>
      <w:r w:rsidR="006C680D" w:rsidRPr="00D337FA">
        <w:rPr>
          <w:i/>
          <w:szCs w:val="24"/>
        </w:rPr>
        <w:t xml:space="preserve"> </w:t>
      </w:r>
      <w:r w:rsidR="00C03F09" w:rsidRPr="00D337FA">
        <w:rPr>
          <w:i/>
          <w:szCs w:val="24"/>
        </w:rPr>
        <w:t>на</w:t>
      </w:r>
      <w:r w:rsidR="006C680D" w:rsidRPr="00D337FA">
        <w:rPr>
          <w:i/>
          <w:szCs w:val="24"/>
        </w:rPr>
        <w:t xml:space="preserve"> </w:t>
      </w:r>
      <w:r w:rsidR="00C03F09" w:rsidRPr="00D337FA">
        <w:rPr>
          <w:i/>
          <w:szCs w:val="24"/>
        </w:rPr>
        <w:t>формирование</w:t>
      </w:r>
      <w:r w:rsidR="006C680D" w:rsidRPr="00D337FA">
        <w:rPr>
          <w:i/>
          <w:szCs w:val="24"/>
        </w:rPr>
        <w:t xml:space="preserve"> </w:t>
      </w:r>
      <w:r w:rsidR="00C03F09" w:rsidRPr="00D337FA">
        <w:rPr>
          <w:i/>
          <w:szCs w:val="24"/>
        </w:rPr>
        <w:t>такой</w:t>
      </w:r>
      <w:r w:rsidR="006C680D" w:rsidRPr="00D337FA">
        <w:rPr>
          <w:i/>
          <w:szCs w:val="24"/>
        </w:rPr>
        <w:t xml:space="preserve"> </w:t>
      </w:r>
      <w:r w:rsidR="00C03F09" w:rsidRPr="00D337FA">
        <w:rPr>
          <w:i/>
          <w:szCs w:val="24"/>
        </w:rPr>
        <w:t>системы</w:t>
      </w:r>
      <w:r w:rsidR="006C680D" w:rsidRPr="00D337FA">
        <w:rPr>
          <w:i/>
          <w:szCs w:val="24"/>
        </w:rPr>
        <w:t xml:space="preserve"> </w:t>
      </w:r>
      <w:r w:rsidR="00C03F09" w:rsidRPr="00D337FA">
        <w:rPr>
          <w:i/>
          <w:szCs w:val="24"/>
        </w:rPr>
        <w:t>управления,</w:t>
      </w:r>
      <w:r w:rsidR="006C680D" w:rsidRPr="00D337FA">
        <w:rPr>
          <w:i/>
          <w:szCs w:val="24"/>
        </w:rPr>
        <w:t xml:space="preserve"> </w:t>
      </w:r>
      <w:r w:rsidR="00C03F09" w:rsidRPr="00D337FA">
        <w:rPr>
          <w:i/>
          <w:szCs w:val="24"/>
        </w:rPr>
        <w:t>которая</w:t>
      </w:r>
      <w:r w:rsidR="006C680D" w:rsidRPr="00D337FA">
        <w:rPr>
          <w:i/>
          <w:szCs w:val="24"/>
        </w:rPr>
        <w:t xml:space="preserve"> </w:t>
      </w:r>
      <w:r w:rsidR="00C03F09" w:rsidRPr="00D337FA">
        <w:rPr>
          <w:i/>
          <w:szCs w:val="24"/>
        </w:rPr>
        <w:t>позволит</w:t>
      </w:r>
      <w:r w:rsidR="006C680D" w:rsidRPr="00D337FA">
        <w:rPr>
          <w:i/>
          <w:szCs w:val="24"/>
        </w:rPr>
        <w:t xml:space="preserve"> </w:t>
      </w:r>
      <w:r w:rsidR="00C03F09" w:rsidRPr="00D337FA">
        <w:rPr>
          <w:i/>
          <w:szCs w:val="24"/>
        </w:rPr>
        <w:t>организовать</w:t>
      </w:r>
      <w:r w:rsidR="006C680D" w:rsidRPr="00D337FA">
        <w:rPr>
          <w:i/>
          <w:szCs w:val="24"/>
        </w:rPr>
        <w:t xml:space="preserve"> </w:t>
      </w:r>
      <w:r w:rsidR="00C03F09" w:rsidRPr="00D337FA">
        <w:rPr>
          <w:i/>
          <w:szCs w:val="24"/>
        </w:rPr>
        <w:t>инновационную</w:t>
      </w:r>
      <w:r w:rsidR="006C680D" w:rsidRPr="00D337FA">
        <w:rPr>
          <w:i/>
          <w:szCs w:val="24"/>
        </w:rPr>
        <w:t xml:space="preserve"> </w:t>
      </w:r>
      <w:r w:rsidR="00C03F09" w:rsidRPr="00D337FA">
        <w:rPr>
          <w:i/>
          <w:szCs w:val="24"/>
        </w:rPr>
        <w:t>деятельность,</w:t>
      </w:r>
      <w:r w:rsidR="006C680D" w:rsidRPr="00D337FA">
        <w:rPr>
          <w:i/>
          <w:szCs w:val="24"/>
        </w:rPr>
        <w:t xml:space="preserve"> </w:t>
      </w:r>
      <w:r w:rsidR="00C03F09" w:rsidRPr="00D337FA">
        <w:rPr>
          <w:i/>
          <w:szCs w:val="24"/>
        </w:rPr>
        <w:t>адаптируя</w:t>
      </w:r>
      <w:r w:rsidR="006C680D" w:rsidRPr="00D337FA">
        <w:rPr>
          <w:i/>
          <w:szCs w:val="24"/>
        </w:rPr>
        <w:t xml:space="preserve"> </w:t>
      </w:r>
      <w:r w:rsidR="00C03F09" w:rsidRPr="00D337FA">
        <w:rPr>
          <w:i/>
          <w:szCs w:val="24"/>
        </w:rPr>
        <w:t>к</w:t>
      </w:r>
      <w:r w:rsidR="006C680D" w:rsidRPr="00D337FA">
        <w:rPr>
          <w:i/>
          <w:szCs w:val="24"/>
        </w:rPr>
        <w:t xml:space="preserve"> </w:t>
      </w:r>
      <w:r w:rsidR="00C03F09" w:rsidRPr="00D337FA">
        <w:rPr>
          <w:i/>
          <w:szCs w:val="24"/>
        </w:rPr>
        <w:t>внешней</w:t>
      </w:r>
      <w:r w:rsidR="006C680D" w:rsidRPr="00D337FA">
        <w:rPr>
          <w:i/>
          <w:szCs w:val="24"/>
        </w:rPr>
        <w:t xml:space="preserve"> </w:t>
      </w:r>
      <w:r w:rsidR="00C03F09" w:rsidRPr="00D337FA">
        <w:rPr>
          <w:i/>
          <w:szCs w:val="24"/>
        </w:rPr>
        <w:t>среде,</w:t>
      </w:r>
      <w:r w:rsidR="006C680D" w:rsidRPr="00D337FA">
        <w:rPr>
          <w:i/>
          <w:szCs w:val="24"/>
        </w:rPr>
        <w:t xml:space="preserve"> </w:t>
      </w:r>
      <w:r w:rsidR="00C03F09" w:rsidRPr="00D337FA">
        <w:rPr>
          <w:i/>
          <w:szCs w:val="24"/>
        </w:rPr>
        <w:t>преодолевая</w:t>
      </w:r>
      <w:r w:rsidR="006C680D" w:rsidRPr="00D337FA">
        <w:rPr>
          <w:i/>
          <w:szCs w:val="24"/>
        </w:rPr>
        <w:t xml:space="preserve"> </w:t>
      </w:r>
      <w:r w:rsidR="00C03F09" w:rsidRPr="00D337FA">
        <w:rPr>
          <w:i/>
          <w:szCs w:val="24"/>
        </w:rPr>
        <w:t>барьеры</w:t>
      </w:r>
      <w:r w:rsidR="006C680D" w:rsidRPr="00D337FA">
        <w:rPr>
          <w:i/>
          <w:szCs w:val="24"/>
        </w:rPr>
        <w:t xml:space="preserve"> </w:t>
      </w:r>
      <w:r w:rsidR="00C03F09" w:rsidRPr="00D337FA">
        <w:rPr>
          <w:i/>
          <w:szCs w:val="24"/>
        </w:rPr>
        <w:t>и</w:t>
      </w:r>
      <w:r w:rsidR="006C680D" w:rsidRPr="00D337FA">
        <w:rPr>
          <w:i/>
          <w:szCs w:val="24"/>
        </w:rPr>
        <w:t xml:space="preserve"> </w:t>
      </w:r>
      <w:r w:rsidR="00C03F09" w:rsidRPr="00D337FA">
        <w:rPr>
          <w:i/>
          <w:szCs w:val="24"/>
        </w:rPr>
        <w:t>устраняя</w:t>
      </w:r>
      <w:r w:rsidR="006C680D" w:rsidRPr="00D337FA">
        <w:rPr>
          <w:i/>
          <w:szCs w:val="24"/>
        </w:rPr>
        <w:t xml:space="preserve"> </w:t>
      </w:r>
      <w:r w:rsidR="00C03F09" w:rsidRPr="00D337FA">
        <w:rPr>
          <w:i/>
          <w:szCs w:val="24"/>
        </w:rPr>
        <w:t>существующие</w:t>
      </w:r>
      <w:r w:rsidR="006C680D" w:rsidRPr="00D337FA">
        <w:rPr>
          <w:i/>
          <w:szCs w:val="24"/>
        </w:rPr>
        <w:t xml:space="preserve"> </w:t>
      </w:r>
      <w:r w:rsidR="00C03F09" w:rsidRPr="00D337FA">
        <w:rPr>
          <w:i/>
          <w:szCs w:val="24"/>
        </w:rPr>
        <w:t>проблемы.</w:t>
      </w:r>
      <w:r w:rsidR="006C680D" w:rsidRPr="00D337FA">
        <w:rPr>
          <w:i/>
          <w:szCs w:val="24"/>
        </w:rPr>
        <w:t xml:space="preserve"> </w:t>
      </w:r>
      <w:r w:rsidR="00C03F09" w:rsidRPr="00D337FA">
        <w:rPr>
          <w:i/>
          <w:szCs w:val="24"/>
        </w:rPr>
        <w:t>Результаты</w:t>
      </w:r>
      <w:r w:rsidR="006C680D" w:rsidRPr="00D337FA">
        <w:rPr>
          <w:i/>
          <w:szCs w:val="24"/>
        </w:rPr>
        <w:t xml:space="preserve"> </w:t>
      </w:r>
      <w:r w:rsidR="00C03F09" w:rsidRPr="00D337FA">
        <w:rPr>
          <w:i/>
          <w:szCs w:val="24"/>
        </w:rPr>
        <w:t>исследования,</w:t>
      </w:r>
      <w:r w:rsidR="006C680D" w:rsidRPr="00D337FA">
        <w:rPr>
          <w:i/>
          <w:szCs w:val="24"/>
        </w:rPr>
        <w:t xml:space="preserve"> </w:t>
      </w:r>
      <w:r w:rsidR="00C03F09" w:rsidRPr="00D337FA">
        <w:rPr>
          <w:i/>
          <w:szCs w:val="24"/>
        </w:rPr>
        <w:t>приведенного</w:t>
      </w:r>
      <w:r w:rsidR="006C680D" w:rsidRPr="00D337FA">
        <w:rPr>
          <w:i/>
          <w:szCs w:val="24"/>
        </w:rPr>
        <w:t xml:space="preserve"> </w:t>
      </w:r>
      <w:r w:rsidR="00C03F09" w:rsidRPr="00D337FA">
        <w:rPr>
          <w:i/>
          <w:szCs w:val="24"/>
        </w:rPr>
        <w:t>в</w:t>
      </w:r>
      <w:r w:rsidR="006C680D" w:rsidRPr="00D337FA">
        <w:rPr>
          <w:i/>
          <w:szCs w:val="24"/>
        </w:rPr>
        <w:t xml:space="preserve"> </w:t>
      </w:r>
      <w:r w:rsidR="00C03F09" w:rsidRPr="00D337FA">
        <w:rPr>
          <w:i/>
          <w:szCs w:val="24"/>
        </w:rPr>
        <w:t>статье,</w:t>
      </w:r>
      <w:r w:rsidR="006C680D" w:rsidRPr="00D337FA">
        <w:rPr>
          <w:i/>
          <w:szCs w:val="24"/>
        </w:rPr>
        <w:t xml:space="preserve"> </w:t>
      </w:r>
      <w:r w:rsidR="00C03F09" w:rsidRPr="00D337FA">
        <w:rPr>
          <w:i/>
          <w:szCs w:val="24"/>
        </w:rPr>
        <w:t>могут</w:t>
      </w:r>
      <w:r w:rsidR="006C680D" w:rsidRPr="00D337FA">
        <w:rPr>
          <w:i/>
          <w:szCs w:val="24"/>
        </w:rPr>
        <w:t xml:space="preserve"> </w:t>
      </w:r>
      <w:r w:rsidR="00C03F09" w:rsidRPr="00D337FA">
        <w:rPr>
          <w:i/>
          <w:szCs w:val="24"/>
        </w:rPr>
        <w:t>стать</w:t>
      </w:r>
      <w:r w:rsidR="006C680D" w:rsidRPr="00D337FA">
        <w:rPr>
          <w:i/>
          <w:szCs w:val="24"/>
        </w:rPr>
        <w:t xml:space="preserve"> </w:t>
      </w:r>
      <w:r w:rsidR="00C03F09" w:rsidRPr="00D337FA">
        <w:rPr>
          <w:i/>
          <w:szCs w:val="24"/>
        </w:rPr>
        <w:t>основой</w:t>
      </w:r>
      <w:r w:rsidR="006C680D" w:rsidRPr="00D337FA">
        <w:rPr>
          <w:i/>
          <w:szCs w:val="24"/>
        </w:rPr>
        <w:t xml:space="preserve"> </w:t>
      </w:r>
      <w:r w:rsidR="00C03F09" w:rsidRPr="00D337FA">
        <w:rPr>
          <w:i/>
          <w:szCs w:val="24"/>
        </w:rPr>
        <w:t>для</w:t>
      </w:r>
      <w:r w:rsidR="006C680D" w:rsidRPr="00D337FA">
        <w:rPr>
          <w:i/>
          <w:szCs w:val="24"/>
        </w:rPr>
        <w:t xml:space="preserve"> </w:t>
      </w:r>
      <w:r w:rsidR="00C03F09" w:rsidRPr="00D337FA">
        <w:rPr>
          <w:i/>
          <w:szCs w:val="24"/>
        </w:rPr>
        <w:t>формирования</w:t>
      </w:r>
      <w:r w:rsidR="006C680D" w:rsidRPr="00D337FA">
        <w:rPr>
          <w:i/>
          <w:szCs w:val="24"/>
        </w:rPr>
        <w:t xml:space="preserve"> </w:t>
      </w:r>
      <w:r w:rsidR="00C03F09" w:rsidRPr="00D337FA">
        <w:rPr>
          <w:i/>
          <w:szCs w:val="24"/>
        </w:rPr>
        <w:t>более</w:t>
      </w:r>
      <w:r w:rsidR="006C680D" w:rsidRPr="00D337FA">
        <w:rPr>
          <w:i/>
          <w:szCs w:val="24"/>
        </w:rPr>
        <w:t xml:space="preserve"> </w:t>
      </w:r>
      <w:r w:rsidR="00C03F09" w:rsidRPr="00D337FA">
        <w:rPr>
          <w:i/>
          <w:szCs w:val="24"/>
        </w:rPr>
        <w:t>эффективных</w:t>
      </w:r>
      <w:r w:rsidR="006C680D" w:rsidRPr="00D337FA">
        <w:rPr>
          <w:i/>
          <w:szCs w:val="24"/>
        </w:rPr>
        <w:t xml:space="preserve"> </w:t>
      </w:r>
      <w:r w:rsidR="00C03F09" w:rsidRPr="00D337FA">
        <w:rPr>
          <w:i/>
          <w:szCs w:val="24"/>
        </w:rPr>
        <w:t>инструментов</w:t>
      </w:r>
      <w:r w:rsidR="006C680D" w:rsidRPr="00D337FA">
        <w:rPr>
          <w:i/>
          <w:szCs w:val="24"/>
        </w:rPr>
        <w:t xml:space="preserve"> </w:t>
      </w:r>
      <w:r w:rsidR="00C03F09" w:rsidRPr="00D337FA">
        <w:rPr>
          <w:i/>
          <w:szCs w:val="24"/>
        </w:rPr>
        <w:t>управления,</w:t>
      </w:r>
      <w:r w:rsidR="006C680D" w:rsidRPr="00D337FA">
        <w:rPr>
          <w:i/>
          <w:szCs w:val="24"/>
        </w:rPr>
        <w:t xml:space="preserve"> </w:t>
      </w:r>
      <w:r w:rsidR="00C03F09" w:rsidRPr="00D337FA">
        <w:rPr>
          <w:i/>
          <w:szCs w:val="24"/>
        </w:rPr>
        <w:t>что</w:t>
      </w:r>
      <w:r w:rsidR="006C680D" w:rsidRPr="00D337FA">
        <w:rPr>
          <w:i/>
          <w:szCs w:val="24"/>
        </w:rPr>
        <w:t xml:space="preserve"> </w:t>
      </w:r>
      <w:r w:rsidR="00C03F09" w:rsidRPr="00D337FA">
        <w:rPr>
          <w:i/>
          <w:szCs w:val="24"/>
        </w:rPr>
        <w:t>в</w:t>
      </w:r>
      <w:r w:rsidR="006C680D" w:rsidRPr="00D337FA">
        <w:rPr>
          <w:i/>
          <w:szCs w:val="24"/>
        </w:rPr>
        <w:t xml:space="preserve"> </w:t>
      </w:r>
      <w:r w:rsidR="00C03F09" w:rsidRPr="00D337FA">
        <w:rPr>
          <w:i/>
          <w:szCs w:val="24"/>
        </w:rPr>
        <w:t>конечном</w:t>
      </w:r>
      <w:r w:rsidR="006C680D" w:rsidRPr="00D337FA">
        <w:rPr>
          <w:i/>
          <w:szCs w:val="24"/>
        </w:rPr>
        <w:t xml:space="preserve"> </w:t>
      </w:r>
      <w:r w:rsidR="00C03F09" w:rsidRPr="00D337FA">
        <w:rPr>
          <w:i/>
          <w:szCs w:val="24"/>
        </w:rPr>
        <w:t>итоге</w:t>
      </w:r>
      <w:r w:rsidR="006C680D" w:rsidRPr="00D337FA">
        <w:rPr>
          <w:i/>
          <w:szCs w:val="24"/>
        </w:rPr>
        <w:t xml:space="preserve"> </w:t>
      </w:r>
      <w:r w:rsidR="00C03F09" w:rsidRPr="00D337FA">
        <w:rPr>
          <w:i/>
          <w:szCs w:val="24"/>
        </w:rPr>
        <w:t>будет</w:t>
      </w:r>
      <w:r w:rsidR="006C680D" w:rsidRPr="00D337FA">
        <w:rPr>
          <w:i/>
          <w:szCs w:val="24"/>
        </w:rPr>
        <w:t xml:space="preserve"> </w:t>
      </w:r>
      <w:r w:rsidR="00C03F09" w:rsidRPr="00D337FA">
        <w:rPr>
          <w:i/>
          <w:szCs w:val="24"/>
        </w:rPr>
        <w:t>способствовать</w:t>
      </w:r>
      <w:r w:rsidR="006C680D" w:rsidRPr="00D337FA">
        <w:rPr>
          <w:i/>
          <w:szCs w:val="24"/>
        </w:rPr>
        <w:t xml:space="preserve"> </w:t>
      </w:r>
      <w:r w:rsidR="00C03F09" w:rsidRPr="00D337FA">
        <w:rPr>
          <w:i/>
          <w:szCs w:val="24"/>
        </w:rPr>
        <w:t>повышению</w:t>
      </w:r>
      <w:r w:rsidR="006C680D" w:rsidRPr="00D337FA">
        <w:rPr>
          <w:i/>
          <w:szCs w:val="24"/>
        </w:rPr>
        <w:t xml:space="preserve"> </w:t>
      </w:r>
      <w:r w:rsidR="00C03F09" w:rsidRPr="00D337FA">
        <w:rPr>
          <w:i/>
          <w:szCs w:val="24"/>
        </w:rPr>
        <w:t>конкурентоспособности</w:t>
      </w:r>
      <w:r w:rsidR="006C680D" w:rsidRPr="00D337FA">
        <w:rPr>
          <w:i/>
          <w:szCs w:val="24"/>
        </w:rPr>
        <w:t xml:space="preserve"> </w:t>
      </w:r>
      <w:r w:rsidR="00C03F09" w:rsidRPr="00D337FA">
        <w:rPr>
          <w:i/>
          <w:szCs w:val="24"/>
        </w:rPr>
        <w:t>отечественных</w:t>
      </w:r>
      <w:r w:rsidR="006C680D" w:rsidRPr="00D337FA">
        <w:rPr>
          <w:i/>
          <w:szCs w:val="24"/>
        </w:rPr>
        <w:t xml:space="preserve"> </w:t>
      </w:r>
      <w:r w:rsidR="00C03F09" w:rsidRPr="00D337FA">
        <w:rPr>
          <w:i/>
          <w:szCs w:val="24"/>
        </w:rPr>
        <w:t>предприятий</w:t>
      </w:r>
      <w:r w:rsidR="006C680D" w:rsidRPr="00D337FA">
        <w:rPr>
          <w:i/>
          <w:szCs w:val="24"/>
        </w:rPr>
        <w:t xml:space="preserve"> </w:t>
      </w:r>
      <w:r w:rsidR="00C03F09" w:rsidRPr="00D337FA">
        <w:rPr>
          <w:i/>
          <w:szCs w:val="24"/>
        </w:rPr>
        <w:t>на</w:t>
      </w:r>
      <w:r w:rsidR="006C680D" w:rsidRPr="00D337FA">
        <w:rPr>
          <w:i/>
          <w:szCs w:val="24"/>
        </w:rPr>
        <w:t xml:space="preserve"> </w:t>
      </w:r>
      <w:r w:rsidR="00C03F09" w:rsidRPr="00D337FA">
        <w:rPr>
          <w:i/>
          <w:szCs w:val="24"/>
        </w:rPr>
        <w:t>рынке.</w:t>
      </w:r>
      <w:r w:rsidR="006C680D" w:rsidRPr="00D337FA">
        <w:rPr>
          <w:i/>
          <w:szCs w:val="24"/>
        </w:rPr>
        <w:t xml:space="preserve"> </w:t>
      </w:r>
    </w:p>
    <w:p w:rsidR="006E52B9" w:rsidRPr="00D337FA" w:rsidRDefault="006E52B9" w:rsidP="007F0B79">
      <w:pPr>
        <w:ind w:firstLine="0"/>
        <w:rPr>
          <w:szCs w:val="24"/>
        </w:rPr>
      </w:pPr>
    </w:p>
    <w:p w:rsidR="007517A2" w:rsidRPr="00D337FA" w:rsidRDefault="00C03F09" w:rsidP="007F0B79">
      <w:pPr>
        <w:pStyle w:val="aff"/>
        <w:rPr>
          <w:color w:val="auto"/>
        </w:rPr>
      </w:pPr>
      <w:r w:rsidRPr="00D337FA">
        <w:rPr>
          <w:color w:val="auto"/>
        </w:rPr>
        <w:t>Инновационная</w:t>
      </w:r>
      <w:r w:rsidR="006C680D" w:rsidRPr="00D337FA">
        <w:rPr>
          <w:color w:val="auto"/>
        </w:rPr>
        <w:t xml:space="preserve"> </w:t>
      </w:r>
      <w:r w:rsidRPr="00D337FA">
        <w:rPr>
          <w:color w:val="auto"/>
        </w:rPr>
        <w:t>деятельность;</w:t>
      </w:r>
      <w:r w:rsidR="006C680D" w:rsidRPr="00D337FA">
        <w:rPr>
          <w:color w:val="auto"/>
        </w:rPr>
        <w:t xml:space="preserve"> </w:t>
      </w:r>
      <w:r w:rsidRPr="00D337FA">
        <w:rPr>
          <w:color w:val="auto"/>
        </w:rPr>
        <w:t>менеджмент;</w:t>
      </w:r>
      <w:r w:rsidR="006C680D" w:rsidRPr="00D337FA">
        <w:rPr>
          <w:color w:val="auto"/>
        </w:rPr>
        <w:t xml:space="preserve"> </w:t>
      </w:r>
      <w:r w:rsidRPr="00D337FA">
        <w:rPr>
          <w:color w:val="auto"/>
        </w:rPr>
        <w:t>методология</w:t>
      </w:r>
      <w:r w:rsidR="006C680D" w:rsidRPr="00D337FA">
        <w:rPr>
          <w:color w:val="auto"/>
        </w:rPr>
        <w:t xml:space="preserve"> </w:t>
      </w:r>
      <w:r w:rsidRPr="00D337FA">
        <w:rPr>
          <w:color w:val="auto"/>
        </w:rPr>
        <w:t>науки;</w:t>
      </w:r>
      <w:r w:rsidR="006C680D" w:rsidRPr="00D337FA">
        <w:rPr>
          <w:color w:val="auto"/>
        </w:rPr>
        <w:t xml:space="preserve"> </w:t>
      </w:r>
      <w:r w:rsidRPr="00D337FA">
        <w:rPr>
          <w:color w:val="auto"/>
        </w:rPr>
        <w:t>системный</w:t>
      </w:r>
      <w:r w:rsidR="006C680D" w:rsidRPr="00D337FA">
        <w:rPr>
          <w:color w:val="auto"/>
        </w:rPr>
        <w:t xml:space="preserve"> </w:t>
      </w:r>
      <w:r w:rsidRPr="00D337FA">
        <w:rPr>
          <w:color w:val="auto"/>
        </w:rPr>
        <w:t>подход;</w:t>
      </w:r>
      <w:r w:rsidR="006C680D" w:rsidRPr="00D337FA">
        <w:rPr>
          <w:color w:val="auto"/>
        </w:rPr>
        <w:t xml:space="preserve"> </w:t>
      </w:r>
      <w:r w:rsidRPr="00D337FA">
        <w:rPr>
          <w:color w:val="auto"/>
        </w:rPr>
        <w:t>инструменты</w:t>
      </w:r>
      <w:r w:rsidR="006C680D" w:rsidRPr="00D337FA">
        <w:rPr>
          <w:color w:val="auto"/>
        </w:rPr>
        <w:t xml:space="preserve"> </w:t>
      </w:r>
      <w:r w:rsidRPr="00D337FA">
        <w:rPr>
          <w:color w:val="auto"/>
        </w:rPr>
        <w:t>управления</w:t>
      </w:r>
    </w:p>
    <w:p w:rsidR="00C03F09" w:rsidRPr="00D337FA" w:rsidRDefault="00C03F09" w:rsidP="007F0B79">
      <w:pPr>
        <w:pStyle w:val="aff"/>
        <w:rPr>
          <w:color w:val="auto"/>
        </w:rPr>
      </w:pPr>
    </w:p>
    <w:p w:rsidR="00C03F09" w:rsidRPr="00D337FA" w:rsidRDefault="00C03F09" w:rsidP="007F0B79">
      <w:pPr>
        <w:pStyle w:val="aff"/>
        <w:rPr>
          <w:color w:val="auto"/>
        </w:rPr>
      </w:pPr>
    </w:p>
    <w:p w:rsidR="006E52B9" w:rsidRPr="00D337FA" w:rsidRDefault="006E52B9" w:rsidP="007517A2">
      <w:pPr>
        <w:pStyle w:val="aff5"/>
        <w:shd w:val="clear" w:color="auto" w:fill="FFFFFF"/>
        <w:tabs>
          <w:tab w:val="left" w:pos="3066"/>
        </w:tabs>
        <w:spacing w:before="0" w:beforeAutospacing="0" w:after="0" w:afterAutospacing="0"/>
        <w:jc w:val="both"/>
        <w:rPr>
          <w:i/>
          <w:lang w:val="en-US"/>
        </w:rPr>
      </w:pPr>
      <w:r w:rsidRPr="00D337FA">
        <w:rPr>
          <w:b/>
          <w:i/>
          <w:lang w:val="en-US"/>
        </w:rPr>
        <w:lastRenderedPageBreak/>
        <w:t>Abstract.</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purpose</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this</w:t>
      </w:r>
      <w:r w:rsidR="006C680D" w:rsidRPr="00D337FA">
        <w:rPr>
          <w:i/>
          <w:lang w:val="en-US"/>
        </w:rPr>
        <w:t xml:space="preserve"> </w:t>
      </w:r>
      <w:r w:rsidR="00C03F09" w:rsidRPr="00D337FA">
        <w:rPr>
          <w:i/>
          <w:lang w:val="en-US"/>
        </w:rPr>
        <w:t>article</w:t>
      </w:r>
      <w:r w:rsidR="006C680D" w:rsidRPr="00D337FA">
        <w:rPr>
          <w:i/>
          <w:lang w:val="en-US"/>
        </w:rPr>
        <w:t xml:space="preserve"> </w:t>
      </w:r>
      <w:r w:rsidR="00C03F09" w:rsidRPr="00D337FA">
        <w:rPr>
          <w:i/>
          <w:lang w:val="en-US"/>
        </w:rPr>
        <w:t>is</w:t>
      </w:r>
      <w:r w:rsidR="006C680D" w:rsidRPr="00D337FA">
        <w:rPr>
          <w:i/>
          <w:lang w:val="en-US"/>
        </w:rPr>
        <w:t xml:space="preserve"> </w:t>
      </w:r>
      <w:r w:rsidR="00C03F09" w:rsidRPr="00D337FA">
        <w:rPr>
          <w:i/>
          <w:lang w:val="en-US"/>
        </w:rPr>
        <w:t>to</w:t>
      </w:r>
      <w:r w:rsidR="006C680D" w:rsidRPr="00D337FA">
        <w:rPr>
          <w:i/>
          <w:lang w:val="en-US"/>
        </w:rPr>
        <w:t xml:space="preserve"> </w:t>
      </w:r>
      <w:r w:rsidR="00C03F09" w:rsidRPr="00D337FA">
        <w:rPr>
          <w:i/>
          <w:lang w:val="en-US"/>
        </w:rPr>
        <w:t>develop</w:t>
      </w:r>
      <w:r w:rsidR="006C680D" w:rsidRPr="00D337FA">
        <w:rPr>
          <w:i/>
          <w:lang w:val="en-US"/>
        </w:rPr>
        <w:t xml:space="preserve"> </w:t>
      </w:r>
      <w:r w:rsidR="00C03F09" w:rsidRPr="00D337FA">
        <w:rPr>
          <w:i/>
          <w:lang w:val="en-US"/>
        </w:rPr>
        <w:t>an</w:t>
      </w:r>
      <w:r w:rsidR="006C680D" w:rsidRPr="00D337FA">
        <w:rPr>
          <w:i/>
          <w:lang w:val="en-US"/>
        </w:rPr>
        <w:t xml:space="preserve"> </w:t>
      </w:r>
      <w:r w:rsidR="00C03F09" w:rsidRPr="00D337FA">
        <w:rPr>
          <w:i/>
          <w:lang w:val="en-US"/>
        </w:rPr>
        <w:t>innovation</w:t>
      </w:r>
      <w:r w:rsidR="006C680D" w:rsidRPr="00D337FA">
        <w:rPr>
          <w:i/>
          <w:lang w:val="en-US"/>
        </w:rPr>
        <w:t xml:space="preserve"> </w:t>
      </w:r>
      <w:r w:rsidR="00C03F09" w:rsidRPr="00D337FA">
        <w:rPr>
          <w:i/>
          <w:lang w:val="en-US"/>
        </w:rPr>
        <w:t>management</w:t>
      </w:r>
      <w:r w:rsidR="006C680D" w:rsidRPr="00D337FA">
        <w:rPr>
          <w:i/>
          <w:lang w:val="en-US"/>
        </w:rPr>
        <w:t xml:space="preserve"> </w:t>
      </w:r>
      <w:r w:rsidR="00C03F09" w:rsidRPr="00D337FA">
        <w:rPr>
          <w:i/>
          <w:lang w:val="en-US"/>
        </w:rPr>
        <w:t>methodology</w:t>
      </w:r>
      <w:r w:rsidR="006C680D" w:rsidRPr="00D337FA">
        <w:rPr>
          <w:i/>
          <w:lang w:val="en-US"/>
        </w:rPr>
        <w:t xml:space="preserve"> </w:t>
      </w:r>
      <w:r w:rsidR="00C03F09" w:rsidRPr="00D337FA">
        <w:rPr>
          <w:i/>
          <w:lang w:val="en-US"/>
        </w:rPr>
        <w:t>to</w:t>
      </w:r>
      <w:r w:rsidR="006C680D" w:rsidRPr="00D337FA">
        <w:rPr>
          <w:i/>
          <w:lang w:val="en-US"/>
        </w:rPr>
        <w:t xml:space="preserve"> </w:t>
      </w:r>
      <w:r w:rsidR="00C03F09" w:rsidRPr="00D337FA">
        <w:rPr>
          <w:i/>
          <w:lang w:val="en-US"/>
        </w:rPr>
        <w:t>ensure</w:t>
      </w:r>
      <w:r w:rsidR="006C680D" w:rsidRPr="00D337FA">
        <w:rPr>
          <w:i/>
          <w:lang w:val="en-US"/>
        </w:rPr>
        <w:t xml:space="preserve"> </w:t>
      </w:r>
      <w:r w:rsidR="00C03F09" w:rsidRPr="00D337FA">
        <w:rPr>
          <w:i/>
          <w:lang w:val="en-US"/>
        </w:rPr>
        <w:t>its</w:t>
      </w:r>
      <w:r w:rsidR="006C680D" w:rsidRPr="00D337FA">
        <w:rPr>
          <w:i/>
          <w:lang w:val="en-US"/>
        </w:rPr>
        <w:t xml:space="preserve"> </w:t>
      </w:r>
      <w:r w:rsidR="00C03F09" w:rsidRPr="00D337FA">
        <w:rPr>
          <w:i/>
          <w:lang w:val="en-US"/>
        </w:rPr>
        <w:t>more</w:t>
      </w:r>
      <w:r w:rsidR="006C680D" w:rsidRPr="00D337FA">
        <w:rPr>
          <w:i/>
          <w:lang w:val="en-US"/>
        </w:rPr>
        <w:t xml:space="preserve"> </w:t>
      </w:r>
      <w:r w:rsidR="00C03F09" w:rsidRPr="00D337FA">
        <w:rPr>
          <w:i/>
          <w:lang w:val="en-US"/>
        </w:rPr>
        <w:t>effective</w:t>
      </w:r>
      <w:r w:rsidR="006C680D" w:rsidRPr="00D337FA">
        <w:rPr>
          <w:i/>
          <w:lang w:val="en-US"/>
        </w:rPr>
        <w:t xml:space="preserve"> </w:t>
      </w:r>
      <w:r w:rsidR="00C03F09" w:rsidRPr="00D337FA">
        <w:rPr>
          <w:i/>
          <w:lang w:val="en-US"/>
        </w:rPr>
        <w:t>implementation.</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author</w:t>
      </w:r>
      <w:r w:rsidR="006C680D" w:rsidRPr="00D337FA">
        <w:rPr>
          <w:i/>
          <w:lang w:val="en-US"/>
        </w:rPr>
        <w:t xml:space="preserve"> </w:t>
      </w:r>
      <w:r w:rsidR="00C03F09" w:rsidRPr="00D337FA">
        <w:rPr>
          <w:i/>
          <w:lang w:val="en-US"/>
        </w:rPr>
        <w:t>considers</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concept</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methodology,</w:t>
      </w:r>
      <w:r w:rsidR="006C680D" w:rsidRPr="00D337FA">
        <w:rPr>
          <w:i/>
          <w:lang w:val="en-US"/>
        </w:rPr>
        <w:t xml:space="preserve"> </w:t>
      </w:r>
      <w:r w:rsidR="00C03F09" w:rsidRPr="00D337FA">
        <w:rPr>
          <w:i/>
          <w:lang w:val="en-US"/>
        </w:rPr>
        <w:t>its</w:t>
      </w:r>
      <w:r w:rsidR="006C680D" w:rsidRPr="00D337FA">
        <w:rPr>
          <w:i/>
          <w:lang w:val="en-US"/>
        </w:rPr>
        <w:t xml:space="preserve"> </w:t>
      </w:r>
      <w:r w:rsidR="00C03F09" w:rsidRPr="00D337FA">
        <w:rPr>
          <w:i/>
          <w:lang w:val="en-US"/>
        </w:rPr>
        <w:t>content</w:t>
      </w:r>
      <w:r w:rsidR="006C680D" w:rsidRPr="00D337FA">
        <w:rPr>
          <w:i/>
          <w:lang w:val="en-US"/>
        </w:rPr>
        <w:t xml:space="preserve"> </w:t>
      </w:r>
      <w:r w:rsidR="00C03F09" w:rsidRPr="00D337FA">
        <w:rPr>
          <w:i/>
          <w:lang w:val="en-US"/>
        </w:rPr>
        <w:t>and</w:t>
      </w:r>
      <w:r w:rsidR="006C680D" w:rsidRPr="00D337FA">
        <w:rPr>
          <w:i/>
          <w:lang w:val="en-US"/>
        </w:rPr>
        <w:t xml:space="preserve"> </w:t>
      </w:r>
      <w:r w:rsidR="00C03F09" w:rsidRPr="00D337FA">
        <w:rPr>
          <w:i/>
          <w:lang w:val="en-US"/>
        </w:rPr>
        <w:t>structure.</w:t>
      </w:r>
      <w:r w:rsidR="006C680D" w:rsidRPr="00D337FA">
        <w:rPr>
          <w:i/>
          <w:lang w:val="en-US"/>
        </w:rPr>
        <w:t xml:space="preserve"> </w:t>
      </w:r>
      <w:r w:rsidR="00C03F09" w:rsidRPr="00D337FA">
        <w:rPr>
          <w:i/>
          <w:lang w:val="en-US"/>
        </w:rPr>
        <w:t>Based</w:t>
      </w:r>
      <w:r w:rsidR="006C680D" w:rsidRPr="00D337FA">
        <w:rPr>
          <w:i/>
          <w:lang w:val="en-US"/>
        </w:rPr>
        <w:t xml:space="preserve"> </w:t>
      </w:r>
      <w:r w:rsidR="00C03F09" w:rsidRPr="00D337FA">
        <w:rPr>
          <w:i/>
          <w:lang w:val="en-US"/>
        </w:rPr>
        <w:t>on</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materials</w:t>
      </w:r>
      <w:r w:rsidR="006C680D" w:rsidRPr="00D337FA">
        <w:rPr>
          <w:i/>
          <w:lang w:val="en-US"/>
        </w:rPr>
        <w:t xml:space="preserve"> </w:t>
      </w:r>
      <w:r w:rsidR="00C03F09" w:rsidRPr="00D337FA">
        <w:rPr>
          <w:i/>
          <w:lang w:val="en-US"/>
        </w:rPr>
        <w:t>studied,</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article</w:t>
      </w:r>
      <w:r w:rsidR="006C680D" w:rsidRPr="00D337FA">
        <w:rPr>
          <w:i/>
          <w:lang w:val="en-US"/>
        </w:rPr>
        <w:t xml:space="preserve"> </w:t>
      </w:r>
      <w:r w:rsidR="00C03F09" w:rsidRPr="00D337FA">
        <w:rPr>
          <w:i/>
          <w:lang w:val="en-US"/>
        </w:rPr>
        <w:t>highlights</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main</w:t>
      </w:r>
      <w:r w:rsidR="006C680D" w:rsidRPr="00D337FA">
        <w:rPr>
          <w:i/>
          <w:lang w:val="en-US"/>
        </w:rPr>
        <w:t xml:space="preserve"> </w:t>
      </w:r>
      <w:r w:rsidR="00C03F09" w:rsidRPr="00D337FA">
        <w:rPr>
          <w:i/>
          <w:lang w:val="en-US"/>
        </w:rPr>
        <w:t>elements</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innovation</w:t>
      </w:r>
      <w:r w:rsidR="006C680D" w:rsidRPr="00D337FA">
        <w:rPr>
          <w:i/>
          <w:lang w:val="en-US"/>
        </w:rPr>
        <w:t xml:space="preserve"> </w:t>
      </w:r>
      <w:r w:rsidR="00C03F09" w:rsidRPr="00D337FA">
        <w:rPr>
          <w:i/>
          <w:lang w:val="en-US"/>
        </w:rPr>
        <w:t>management</w:t>
      </w:r>
      <w:r w:rsidR="006C680D" w:rsidRPr="00D337FA">
        <w:rPr>
          <w:i/>
          <w:lang w:val="en-US"/>
        </w:rPr>
        <w:t xml:space="preserve"> </w:t>
      </w:r>
      <w:r w:rsidR="00C03F09" w:rsidRPr="00D337FA">
        <w:rPr>
          <w:i/>
          <w:lang w:val="en-US"/>
        </w:rPr>
        <w:t>methodology,</w:t>
      </w:r>
      <w:r w:rsidR="006C680D" w:rsidRPr="00D337FA">
        <w:rPr>
          <w:i/>
          <w:lang w:val="en-US"/>
        </w:rPr>
        <w:t xml:space="preserve"> </w:t>
      </w:r>
      <w:r w:rsidR="00C03F09" w:rsidRPr="00D337FA">
        <w:rPr>
          <w:i/>
          <w:lang w:val="en-US"/>
        </w:rPr>
        <w:t>reveals</w:t>
      </w:r>
      <w:r w:rsidR="006C680D" w:rsidRPr="00D337FA">
        <w:rPr>
          <w:i/>
          <w:lang w:val="en-US"/>
        </w:rPr>
        <w:t xml:space="preserve"> </w:t>
      </w:r>
      <w:r w:rsidR="00C03F09" w:rsidRPr="00D337FA">
        <w:rPr>
          <w:i/>
          <w:lang w:val="en-US"/>
        </w:rPr>
        <w:t>their</w:t>
      </w:r>
      <w:r w:rsidR="006C680D" w:rsidRPr="00D337FA">
        <w:rPr>
          <w:i/>
          <w:lang w:val="en-US"/>
        </w:rPr>
        <w:t xml:space="preserve"> </w:t>
      </w:r>
      <w:r w:rsidR="00C03F09" w:rsidRPr="00D337FA">
        <w:rPr>
          <w:i/>
          <w:lang w:val="en-US"/>
        </w:rPr>
        <w:t>content,</w:t>
      </w:r>
      <w:r w:rsidR="006C680D" w:rsidRPr="00D337FA">
        <w:rPr>
          <w:i/>
          <w:lang w:val="en-US"/>
        </w:rPr>
        <w:t xml:space="preserve"> </w:t>
      </w:r>
      <w:r w:rsidR="00C03F09" w:rsidRPr="00D337FA">
        <w:rPr>
          <w:i/>
          <w:lang w:val="en-US"/>
        </w:rPr>
        <w:t>and</w:t>
      </w:r>
      <w:r w:rsidR="006C680D" w:rsidRPr="00D337FA">
        <w:rPr>
          <w:i/>
          <w:lang w:val="en-US"/>
        </w:rPr>
        <w:t xml:space="preserve"> </w:t>
      </w:r>
      <w:r w:rsidR="00C03F09" w:rsidRPr="00D337FA">
        <w:rPr>
          <w:i/>
          <w:lang w:val="en-US"/>
        </w:rPr>
        <w:t>describes</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sequence</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application</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this</w:t>
      </w:r>
      <w:r w:rsidR="006C680D" w:rsidRPr="00D337FA">
        <w:rPr>
          <w:i/>
          <w:lang w:val="en-US"/>
        </w:rPr>
        <w:t xml:space="preserve"> </w:t>
      </w:r>
      <w:r w:rsidR="00C03F09" w:rsidRPr="00D337FA">
        <w:rPr>
          <w:i/>
          <w:lang w:val="en-US"/>
        </w:rPr>
        <w:t>methodology</w:t>
      </w:r>
      <w:r w:rsidR="006C680D" w:rsidRPr="00D337FA">
        <w:rPr>
          <w:i/>
          <w:lang w:val="en-US"/>
        </w:rPr>
        <w:t xml:space="preserve"> </w:t>
      </w:r>
      <w:r w:rsidR="00C03F09" w:rsidRPr="00D337FA">
        <w:rPr>
          <w:i/>
          <w:lang w:val="en-US"/>
        </w:rPr>
        <w:t>to</w:t>
      </w:r>
      <w:r w:rsidR="006C680D" w:rsidRPr="00D337FA">
        <w:rPr>
          <w:i/>
          <w:lang w:val="en-US"/>
        </w:rPr>
        <w:t xml:space="preserve"> </w:t>
      </w:r>
      <w:r w:rsidR="00C03F09" w:rsidRPr="00D337FA">
        <w:rPr>
          <w:i/>
          <w:lang w:val="en-US"/>
        </w:rPr>
        <w:t>solve</w:t>
      </w:r>
      <w:r w:rsidR="006C680D" w:rsidRPr="00D337FA">
        <w:rPr>
          <w:i/>
          <w:lang w:val="en-US"/>
        </w:rPr>
        <w:t xml:space="preserve"> </w:t>
      </w:r>
      <w:r w:rsidR="00C03F09" w:rsidRPr="00D337FA">
        <w:rPr>
          <w:i/>
          <w:lang w:val="en-US"/>
        </w:rPr>
        <w:t>managerial</w:t>
      </w:r>
      <w:r w:rsidR="006C680D" w:rsidRPr="00D337FA">
        <w:rPr>
          <w:i/>
          <w:lang w:val="en-US"/>
        </w:rPr>
        <w:t xml:space="preserve"> </w:t>
      </w:r>
      <w:r w:rsidR="00C03F09" w:rsidRPr="00D337FA">
        <w:rPr>
          <w:i/>
          <w:lang w:val="en-US"/>
        </w:rPr>
        <w:t>tasks</w:t>
      </w:r>
      <w:r w:rsidR="006C680D" w:rsidRPr="00D337FA">
        <w:rPr>
          <w:i/>
          <w:lang w:val="en-US"/>
        </w:rPr>
        <w:t xml:space="preserve"> </w:t>
      </w:r>
      <w:r w:rsidR="00C03F09" w:rsidRPr="00D337FA">
        <w:rPr>
          <w:i/>
          <w:lang w:val="en-US"/>
        </w:rPr>
        <w:t>in</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field</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innovation.</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proposed</w:t>
      </w:r>
      <w:r w:rsidR="006C680D" w:rsidRPr="00D337FA">
        <w:rPr>
          <w:i/>
          <w:lang w:val="en-US"/>
        </w:rPr>
        <w:t xml:space="preserve"> </w:t>
      </w:r>
      <w:r w:rsidR="00C03F09" w:rsidRPr="00D337FA">
        <w:rPr>
          <w:i/>
          <w:lang w:val="en-US"/>
        </w:rPr>
        <w:t>methodology</w:t>
      </w:r>
      <w:r w:rsidR="006C680D" w:rsidRPr="00D337FA">
        <w:rPr>
          <w:i/>
          <w:lang w:val="en-US"/>
        </w:rPr>
        <w:t xml:space="preserve"> </w:t>
      </w:r>
      <w:r w:rsidR="00C03F09" w:rsidRPr="00D337FA">
        <w:rPr>
          <w:i/>
          <w:lang w:val="en-US"/>
        </w:rPr>
        <w:t>is</w:t>
      </w:r>
      <w:r w:rsidR="006C680D" w:rsidRPr="00D337FA">
        <w:rPr>
          <w:i/>
          <w:lang w:val="en-US"/>
        </w:rPr>
        <w:t xml:space="preserve"> </w:t>
      </w:r>
      <w:r w:rsidR="00C03F09" w:rsidRPr="00D337FA">
        <w:rPr>
          <w:i/>
          <w:lang w:val="en-US"/>
        </w:rPr>
        <w:t>aimed</w:t>
      </w:r>
      <w:r w:rsidR="006C680D" w:rsidRPr="00D337FA">
        <w:rPr>
          <w:i/>
          <w:lang w:val="en-US"/>
        </w:rPr>
        <w:t xml:space="preserve"> </w:t>
      </w:r>
      <w:r w:rsidR="00C03F09" w:rsidRPr="00D337FA">
        <w:rPr>
          <w:i/>
          <w:lang w:val="en-US"/>
        </w:rPr>
        <w:t>at</w:t>
      </w:r>
      <w:r w:rsidR="006C680D" w:rsidRPr="00D337FA">
        <w:rPr>
          <w:i/>
          <w:lang w:val="en-US"/>
        </w:rPr>
        <w:t xml:space="preserve"> </w:t>
      </w:r>
      <w:r w:rsidR="00C03F09" w:rsidRPr="00D337FA">
        <w:rPr>
          <w:i/>
          <w:lang w:val="en-US"/>
        </w:rPr>
        <w:t>forming</w:t>
      </w:r>
      <w:r w:rsidR="006C680D" w:rsidRPr="00D337FA">
        <w:rPr>
          <w:i/>
          <w:lang w:val="en-US"/>
        </w:rPr>
        <w:t xml:space="preserve"> </w:t>
      </w:r>
      <w:r w:rsidR="00C03F09" w:rsidRPr="00D337FA">
        <w:rPr>
          <w:i/>
          <w:lang w:val="en-US"/>
        </w:rPr>
        <w:t>a</w:t>
      </w:r>
      <w:r w:rsidR="006C680D" w:rsidRPr="00D337FA">
        <w:rPr>
          <w:i/>
          <w:lang w:val="en-US"/>
        </w:rPr>
        <w:t xml:space="preserve"> </w:t>
      </w:r>
      <w:r w:rsidR="00C03F09" w:rsidRPr="00D337FA">
        <w:rPr>
          <w:i/>
          <w:lang w:val="en-US"/>
        </w:rPr>
        <w:t>management</w:t>
      </w:r>
      <w:r w:rsidR="006C680D" w:rsidRPr="00D337FA">
        <w:rPr>
          <w:i/>
          <w:lang w:val="en-US"/>
        </w:rPr>
        <w:t xml:space="preserve"> </w:t>
      </w:r>
      <w:r w:rsidR="00C03F09" w:rsidRPr="00D337FA">
        <w:rPr>
          <w:i/>
          <w:lang w:val="en-US"/>
        </w:rPr>
        <w:t>system</w:t>
      </w:r>
      <w:r w:rsidR="006C680D" w:rsidRPr="00D337FA">
        <w:rPr>
          <w:i/>
          <w:lang w:val="en-US"/>
        </w:rPr>
        <w:t xml:space="preserve"> </w:t>
      </w:r>
      <w:r w:rsidR="00C03F09" w:rsidRPr="00D337FA">
        <w:rPr>
          <w:i/>
          <w:lang w:val="en-US"/>
        </w:rPr>
        <w:t>that</w:t>
      </w:r>
      <w:r w:rsidR="006C680D" w:rsidRPr="00D337FA">
        <w:rPr>
          <w:i/>
          <w:lang w:val="en-US"/>
        </w:rPr>
        <w:t xml:space="preserve"> </w:t>
      </w:r>
      <w:r w:rsidR="00C03F09" w:rsidRPr="00D337FA">
        <w:rPr>
          <w:i/>
          <w:lang w:val="en-US"/>
        </w:rPr>
        <w:t>will</w:t>
      </w:r>
      <w:r w:rsidR="006C680D" w:rsidRPr="00D337FA">
        <w:rPr>
          <w:i/>
          <w:lang w:val="en-US"/>
        </w:rPr>
        <w:t xml:space="preserve"> </w:t>
      </w:r>
      <w:r w:rsidR="00C03F09" w:rsidRPr="00D337FA">
        <w:rPr>
          <w:i/>
          <w:lang w:val="en-US"/>
        </w:rPr>
        <w:t>allow</w:t>
      </w:r>
      <w:r w:rsidR="006C680D" w:rsidRPr="00D337FA">
        <w:rPr>
          <w:i/>
          <w:lang w:val="en-US"/>
        </w:rPr>
        <w:t xml:space="preserve"> </w:t>
      </w:r>
      <w:r w:rsidR="00C03F09" w:rsidRPr="00D337FA">
        <w:rPr>
          <w:i/>
          <w:lang w:val="en-US"/>
        </w:rPr>
        <w:t>organizing</w:t>
      </w:r>
      <w:r w:rsidR="006C680D" w:rsidRPr="00D337FA">
        <w:rPr>
          <w:i/>
          <w:lang w:val="en-US"/>
        </w:rPr>
        <w:t xml:space="preserve"> </w:t>
      </w:r>
      <w:r w:rsidR="00C03F09" w:rsidRPr="00D337FA">
        <w:rPr>
          <w:i/>
          <w:lang w:val="en-US"/>
        </w:rPr>
        <w:t>innovative</w:t>
      </w:r>
      <w:r w:rsidR="006C680D" w:rsidRPr="00D337FA">
        <w:rPr>
          <w:i/>
          <w:lang w:val="en-US"/>
        </w:rPr>
        <w:t xml:space="preserve"> </w:t>
      </w:r>
      <w:r w:rsidR="00C03F09" w:rsidRPr="00D337FA">
        <w:rPr>
          <w:i/>
          <w:lang w:val="en-US"/>
        </w:rPr>
        <w:t>activities,</w:t>
      </w:r>
      <w:r w:rsidR="006C680D" w:rsidRPr="00D337FA">
        <w:rPr>
          <w:i/>
          <w:lang w:val="en-US"/>
        </w:rPr>
        <w:t xml:space="preserve"> </w:t>
      </w:r>
      <w:r w:rsidR="00C03F09" w:rsidRPr="00D337FA">
        <w:rPr>
          <w:i/>
          <w:lang w:val="en-US"/>
        </w:rPr>
        <w:t>integrating</w:t>
      </w:r>
      <w:r w:rsidR="006C680D" w:rsidRPr="00D337FA">
        <w:rPr>
          <w:i/>
          <w:lang w:val="en-US"/>
        </w:rPr>
        <w:t xml:space="preserve"> </w:t>
      </w:r>
      <w:r w:rsidR="00C03F09" w:rsidRPr="00D337FA">
        <w:rPr>
          <w:i/>
          <w:lang w:val="en-US"/>
        </w:rPr>
        <w:t>it</w:t>
      </w:r>
      <w:r w:rsidR="006C680D" w:rsidRPr="00D337FA">
        <w:rPr>
          <w:i/>
          <w:lang w:val="en-US"/>
        </w:rPr>
        <w:t xml:space="preserve"> </w:t>
      </w:r>
      <w:r w:rsidR="00C03F09" w:rsidRPr="00D337FA">
        <w:rPr>
          <w:i/>
          <w:lang w:val="en-US"/>
        </w:rPr>
        <w:t>into</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overall</w:t>
      </w:r>
      <w:r w:rsidR="006C680D" w:rsidRPr="00D337FA">
        <w:rPr>
          <w:i/>
          <w:lang w:val="en-US"/>
        </w:rPr>
        <w:t xml:space="preserve"> </w:t>
      </w:r>
      <w:r w:rsidR="00C03F09" w:rsidRPr="00D337FA">
        <w:rPr>
          <w:i/>
          <w:lang w:val="en-US"/>
        </w:rPr>
        <w:t>strategy</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enterprise</w:t>
      </w:r>
      <w:r w:rsidR="006C680D" w:rsidRPr="00D337FA">
        <w:rPr>
          <w:i/>
          <w:lang w:val="en-US"/>
        </w:rPr>
        <w:t xml:space="preserve"> </w:t>
      </w:r>
      <w:r w:rsidR="00C03F09" w:rsidRPr="00D337FA">
        <w:rPr>
          <w:i/>
          <w:lang w:val="en-US"/>
        </w:rPr>
        <w:t>and</w:t>
      </w:r>
      <w:r w:rsidR="006C680D" w:rsidRPr="00D337FA">
        <w:rPr>
          <w:i/>
          <w:lang w:val="en-US"/>
        </w:rPr>
        <w:t xml:space="preserve"> </w:t>
      </w:r>
      <w:r w:rsidR="00C03F09" w:rsidRPr="00D337FA">
        <w:rPr>
          <w:i/>
          <w:lang w:val="en-US"/>
        </w:rPr>
        <w:t>adapting</w:t>
      </w:r>
      <w:r w:rsidR="006C680D" w:rsidRPr="00D337FA">
        <w:rPr>
          <w:i/>
          <w:lang w:val="en-US"/>
        </w:rPr>
        <w:t xml:space="preserve"> </w:t>
      </w:r>
      <w:r w:rsidR="00C03F09" w:rsidRPr="00D337FA">
        <w:rPr>
          <w:i/>
          <w:lang w:val="en-US"/>
        </w:rPr>
        <w:t>it</w:t>
      </w:r>
      <w:r w:rsidR="006C680D" w:rsidRPr="00D337FA">
        <w:rPr>
          <w:i/>
          <w:lang w:val="en-US"/>
        </w:rPr>
        <w:t xml:space="preserve"> </w:t>
      </w:r>
      <w:r w:rsidR="00C03F09" w:rsidRPr="00D337FA">
        <w:rPr>
          <w:i/>
          <w:lang w:val="en-US"/>
        </w:rPr>
        <w:t>to</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external</w:t>
      </w:r>
      <w:r w:rsidR="006C680D" w:rsidRPr="00D337FA">
        <w:rPr>
          <w:i/>
          <w:lang w:val="en-US"/>
        </w:rPr>
        <w:t xml:space="preserve"> </w:t>
      </w:r>
      <w:r w:rsidR="00C03F09" w:rsidRPr="00D337FA">
        <w:rPr>
          <w:i/>
          <w:lang w:val="en-US"/>
        </w:rPr>
        <w:t>environment,</w:t>
      </w:r>
      <w:r w:rsidR="006C680D" w:rsidRPr="00D337FA">
        <w:rPr>
          <w:i/>
          <w:lang w:val="en-US"/>
        </w:rPr>
        <w:t xml:space="preserve"> </w:t>
      </w:r>
      <w:r w:rsidR="00C03F09" w:rsidRPr="00D337FA">
        <w:rPr>
          <w:i/>
          <w:lang w:val="en-US"/>
        </w:rPr>
        <w:t>overcoming</w:t>
      </w:r>
      <w:r w:rsidR="006C680D" w:rsidRPr="00D337FA">
        <w:rPr>
          <w:i/>
          <w:lang w:val="en-US"/>
        </w:rPr>
        <w:t xml:space="preserve"> </w:t>
      </w:r>
      <w:r w:rsidR="00C03F09" w:rsidRPr="00D337FA">
        <w:rPr>
          <w:i/>
          <w:lang w:val="en-US"/>
        </w:rPr>
        <w:t>barriers</w:t>
      </w:r>
      <w:r w:rsidR="006C680D" w:rsidRPr="00D337FA">
        <w:rPr>
          <w:i/>
          <w:lang w:val="en-US"/>
        </w:rPr>
        <w:t xml:space="preserve"> </w:t>
      </w:r>
      <w:r w:rsidR="00C03F09" w:rsidRPr="00D337FA">
        <w:rPr>
          <w:i/>
          <w:lang w:val="en-US"/>
        </w:rPr>
        <w:t>and</w:t>
      </w:r>
      <w:r w:rsidR="006C680D" w:rsidRPr="00D337FA">
        <w:rPr>
          <w:i/>
          <w:lang w:val="en-US"/>
        </w:rPr>
        <w:t xml:space="preserve"> </w:t>
      </w:r>
      <w:r w:rsidR="00C03F09" w:rsidRPr="00D337FA">
        <w:rPr>
          <w:i/>
          <w:lang w:val="en-US"/>
        </w:rPr>
        <w:t>eliminating</w:t>
      </w:r>
      <w:r w:rsidR="006C680D" w:rsidRPr="00D337FA">
        <w:rPr>
          <w:i/>
          <w:lang w:val="en-US"/>
        </w:rPr>
        <w:t xml:space="preserve"> </w:t>
      </w:r>
      <w:r w:rsidR="00C03F09" w:rsidRPr="00D337FA">
        <w:rPr>
          <w:i/>
          <w:lang w:val="en-US"/>
        </w:rPr>
        <w:t>existing</w:t>
      </w:r>
      <w:r w:rsidR="006C680D" w:rsidRPr="00D337FA">
        <w:rPr>
          <w:i/>
          <w:lang w:val="en-US"/>
        </w:rPr>
        <w:t xml:space="preserve"> </w:t>
      </w:r>
      <w:r w:rsidR="00C03F09" w:rsidRPr="00D337FA">
        <w:rPr>
          <w:i/>
          <w:lang w:val="en-US"/>
        </w:rPr>
        <w:t>problems.</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results</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research</w:t>
      </w:r>
      <w:r w:rsidR="006C680D" w:rsidRPr="00D337FA">
        <w:rPr>
          <w:i/>
          <w:lang w:val="en-US"/>
        </w:rPr>
        <w:t xml:space="preserve"> </w:t>
      </w:r>
      <w:r w:rsidR="00C03F09" w:rsidRPr="00D337FA">
        <w:rPr>
          <w:i/>
          <w:lang w:val="en-US"/>
        </w:rPr>
        <w:t>presented</w:t>
      </w:r>
      <w:r w:rsidR="006C680D" w:rsidRPr="00D337FA">
        <w:rPr>
          <w:i/>
          <w:lang w:val="en-US"/>
        </w:rPr>
        <w:t xml:space="preserve"> </w:t>
      </w:r>
      <w:r w:rsidR="00C03F09" w:rsidRPr="00D337FA">
        <w:rPr>
          <w:i/>
          <w:lang w:val="en-US"/>
        </w:rPr>
        <w:t>in</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article</w:t>
      </w:r>
      <w:r w:rsidR="006C680D" w:rsidRPr="00D337FA">
        <w:rPr>
          <w:i/>
          <w:lang w:val="en-US"/>
        </w:rPr>
        <w:t xml:space="preserve"> </w:t>
      </w:r>
      <w:r w:rsidR="00C03F09" w:rsidRPr="00D337FA">
        <w:rPr>
          <w:i/>
          <w:lang w:val="en-US"/>
        </w:rPr>
        <w:t>can</w:t>
      </w:r>
      <w:r w:rsidR="006C680D" w:rsidRPr="00D337FA">
        <w:rPr>
          <w:i/>
          <w:lang w:val="en-US"/>
        </w:rPr>
        <w:t xml:space="preserve"> </w:t>
      </w:r>
      <w:r w:rsidR="00C03F09" w:rsidRPr="00D337FA">
        <w:rPr>
          <w:i/>
          <w:lang w:val="en-US"/>
        </w:rPr>
        <w:t>become</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basis</w:t>
      </w:r>
      <w:r w:rsidR="006C680D" w:rsidRPr="00D337FA">
        <w:rPr>
          <w:i/>
          <w:lang w:val="en-US"/>
        </w:rPr>
        <w:t xml:space="preserve"> </w:t>
      </w:r>
      <w:r w:rsidR="00C03F09" w:rsidRPr="00D337FA">
        <w:rPr>
          <w:i/>
          <w:lang w:val="en-US"/>
        </w:rPr>
        <w:t>for</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formation</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more</w:t>
      </w:r>
      <w:r w:rsidR="006C680D" w:rsidRPr="00D337FA">
        <w:rPr>
          <w:i/>
          <w:lang w:val="en-US"/>
        </w:rPr>
        <w:t xml:space="preserve"> </w:t>
      </w:r>
      <w:r w:rsidR="00C03F09" w:rsidRPr="00D337FA">
        <w:rPr>
          <w:i/>
          <w:lang w:val="en-US"/>
        </w:rPr>
        <w:t>effective</w:t>
      </w:r>
      <w:r w:rsidR="006C680D" w:rsidRPr="00D337FA">
        <w:rPr>
          <w:i/>
          <w:lang w:val="en-US"/>
        </w:rPr>
        <w:t xml:space="preserve"> </w:t>
      </w:r>
      <w:r w:rsidR="00C03F09" w:rsidRPr="00D337FA">
        <w:rPr>
          <w:i/>
          <w:lang w:val="en-US"/>
        </w:rPr>
        <w:t>management</w:t>
      </w:r>
      <w:r w:rsidR="006C680D" w:rsidRPr="00D337FA">
        <w:rPr>
          <w:i/>
          <w:lang w:val="en-US"/>
        </w:rPr>
        <w:t xml:space="preserve"> </w:t>
      </w:r>
      <w:r w:rsidR="00C03F09" w:rsidRPr="00D337FA">
        <w:rPr>
          <w:i/>
          <w:lang w:val="en-US"/>
        </w:rPr>
        <w:t>tools,</w:t>
      </w:r>
      <w:r w:rsidR="006C680D" w:rsidRPr="00D337FA">
        <w:rPr>
          <w:i/>
          <w:lang w:val="en-US"/>
        </w:rPr>
        <w:t xml:space="preserve"> </w:t>
      </w:r>
      <w:r w:rsidR="00C03F09" w:rsidRPr="00D337FA">
        <w:rPr>
          <w:i/>
          <w:lang w:val="en-US"/>
        </w:rPr>
        <w:t>which</w:t>
      </w:r>
      <w:r w:rsidR="006C680D" w:rsidRPr="00D337FA">
        <w:rPr>
          <w:i/>
          <w:lang w:val="en-US"/>
        </w:rPr>
        <w:t xml:space="preserve"> </w:t>
      </w:r>
      <w:r w:rsidR="00C03F09" w:rsidRPr="00D337FA">
        <w:rPr>
          <w:i/>
          <w:lang w:val="en-US"/>
        </w:rPr>
        <w:t>ultimately</w:t>
      </w:r>
      <w:r w:rsidR="006C680D" w:rsidRPr="00D337FA">
        <w:rPr>
          <w:i/>
          <w:lang w:val="en-US"/>
        </w:rPr>
        <w:t xml:space="preserve"> </w:t>
      </w:r>
      <w:r w:rsidR="00C03F09" w:rsidRPr="00D337FA">
        <w:rPr>
          <w:i/>
          <w:lang w:val="en-US"/>
        </w:rPr>
        <w:t>will</w:t>
      </w:r>
      <w:r w:rsidR="006C680D" w:rsidRPr="00D337FA">
        <w:rPr>
          <w:i/>
          <w:lang w:val="en-US"/>
        </w:rPr>
        <w:t xml:space="preserve"> </w:t>
      </w:r>
      <w:r w:rsidR="00C03F09" w:rsidRPr="00D337FA">
        <w:rPr>
          <w:i/>
          <w:lang w:val="en-US"/>
        </w:rPr>
        <w:t>contribute</w:t>
      </w:r>
      <w:r w:rsidR="006C680D" w:rsidRPr="00D337FA">
        <w:rPr>
          <w:i/>
          <w:lang w:val="en-US"/>
        </w:rPr>
        <w:t xml:space="preserve"> </w:t>
      </w:r>
      <w:r w:rsidR="00C03F09" w:rsidRPr="00D337FA">
        <w:rPr>
          <w:i/>
          <w:lang w:val="en-US"/>
        </w:rPr>
        <w:t>to</w:t>
      </w:r>
      <w:r w:rsidR="006C680D" w:rsidRPr="00D337FA">
        <w:rPr>
          <w:i/>
          <w:lang w:val="en-US"/>
        </w:rPr>
        <w:t xml:space="preserve"> </w:t>
      </w:r>
      <w:r w:rsidR="00C03F09" w:rsidRPr="00D337FA">
        <w:rPr>
          <w:i/>
          <w:lang w:val="en-US"/>
        </w:rPr>
        <w:t>improving</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competitiveness</w:t>
      </w:r>
      <w:r w:rsidR="006C680D" w:rsidRPr="00D337FA">
        <w:rPr>
          <w:i/>
          <w:lang w:val="en-US"/>
        </w:rPr>
        <w:t xml:space="preserve"> </w:t>
      </w:r>
      <w:r w:rsidR="00C03F09" w:rsidRPr="00D337FA">
        <w:rPr>
          <w:i/>
          <w:lang w:val="en-US"/>
        </w:rPr>
        <w:t>of</w:t>
      </w:r>
      <w:r w:rsidR="006C680D" w:rsidRPr="00D337FA">
        <w:rPr>
          <w:i/>
          <w:lang w:val="en-US"/>
        </w:rPr>
        <w:t xml:space="preserve"> </w:t>
      </w:r>
      <w:r w:rsidR="00C03F09" w:rsidRPr="00D337FA">
        <w:rPr>
          <w:i/>
          <w:lang w:val="en-US"/>
        </w:rPr>
        <w:t>domestic</w:t>
      </w:r>
      <w:r w:rsidR="006C680D" w:rsidRPr="00D337FA">
        <w:rPr>
          <w:i/>
          <w:lang w:val="en-US"/>
        </w:rPr>
        <w:t xml:space="preserve"> </w:t>
      </w:r>
      <w:r w:rsidR="00C03F09" w:rsidRPr="00D337FA">
        <w:rPr>
          <w:i/>
          <w:lang w:val="en-US"/>
        </w:rPr>
        <w:t>enterprises.</w:t>
      </w:r>
      <w:r w:rsidR="006C680D" w:rsidRPr="00D337FA">
        <w:rPr>
          <w:i/>
          <w:lang w:val="en-US"/>
        </w:rPr>
        <w:t xml:space="preserve"> </w:t>
      </w:r>
      <w:r w:rsidR="00C03F09" w:rsidRPr="00D337FA">
        <w:rPr>
          <w:i/>
          <w:lang w:val="en-US"/>
        </w:rPr>
        <w:t>on</w:t>
      </w:r>
      <w:r w:rsidR="006C680D" w:rsidRPr="00D337FA">
        <w:rPr>
          <w:i/>
          <w:lang w:val="en-US"/>
        </w:rPr>
        <w:t xml:space="preserve"> </w:t>
      </w:r>
      <w:r w:rsidR="00C03F09" w:rsidRPr="00D337FA">
        <w:rPr>
          <w:i/>
          <w:lang w:val="en-US"/>
        </w:rPr>
        <w:t>the</w:t>
      </w:r>
      <w:r w:rsidR="006C680D" w:rsidRPr="00D337FA">
        <w:rPr>
          <w:i/>
          <w:lang w:val="en-US"/>
        </w:rPr>
        <w:t xml:space="preserve"> </w:t>
      </w:r>
      <w:r w:rsidR="00C03F09" w:rsidRPr="00D337FA">
        <w:rPr>
          <w:i/>
          <w:lang w:val="en-US"/>
        </w:rPr>
        <w:t>market.</w:t>
      </w:r>
      <w:r w:rsidR="006C680D" w:rsidRPr="00D337FA">
        <w:rPr>
          <w:i/>
          <w:lang w:val="en-US"/>
        </w:rPr>
        <w:t xml:space="preserve"> </w:t>
      </w:r>
    </w:p>
    <w:p w:rsidR="006E52B9" w:rsidRPr="00D337FA" w:rsidRDefault="006E52B9" w:rsidP="006E52B9">
      <w:pPr>
        <w:pStyle w:val="aff5"/>
        <w:shd w:val="clear" w:color="auto" w:fill="FFFFFF"/>
        <w:spacing w:before="0" w:beforeAutospacing="0" w:after="0" w:afterAutospacing="0"/>
        <w:jc w:val="both"/>
        <w:rPr>
          <w:lang w:val="en-US"/>
        </w:rPr>
      </w:pPr>
    </w:p>
    <w:p w:rsidR="006E52B9" w:rsidRPr="00D337FA" w:rsidRDefault="006E52B9" w:rsidP="006E52B9">
      <w:pPr>
        <w:pStyle w:val="aff5"/>
        <w:shd w:val="clear" w:color="auto" w:fill="FFFFFF"/>
        <w:spacing w:before="0" w:beforeAutospacing="0" w:after="0" w:afterAutospacing="0"/>
        <w:jc w:val="both"/>
        <w:rPr>
          <w:lang w:val="en-US"/>
        </w:rPr>
      </w:pPr>
    </w:p>
    <w:p w:rsidR="00C03F09" w:rsidRPr="00D337FA" w:rsidRDefault="00C03F09" w:rsidP="006E52B9">
      <w:pPr>
        <w:pStyle w:val="aff5"/>
        <w:shd w:val="clear" w:color="auto" w:fill="FFFFFF"/>
        <w:spacing w:before="0" w:beforeAutospacing="0" w:after="0" w:afterAutospacing="0"/>
        <w:jc w:val="both"/>
        <w:rPr>
          <w:lang w:val="en-US"/>
        </w:rPr>
      </w:pPr>
    </w:p>
    <w:p w:rsidR="006E52B9" w:rsidRPr="00D337FA" w:rsidRDefault="006E52B9" w:rsidP="006E52B9">
      <w:pPr>
        <w:pStyle w:val="aff5"/>
        <w:shd w:val="clear" w:color="auto" w:fill="FFFFFF"/>
        <w:spacing w:before="0" w:beforeAutospacing="0" w:after="0" w:afterAutospacing="0"/>
        <w:jc w:val="both"/>
        <w:rPr>
          <w:lang w:val="en-US"/>
        </w:rPr>
      </w:pPr>
    </w:p>
    <w:p w:rsidR="006E52B9" w:rsidRPr="00D337FA" w:rsidRDefault="006E52B9" w:rsidP="006E52B9">
      <w:pPr>
        <w:pStyle w:val="aff5"/>
        <w:shd w:val="clear" w:color="auto" w:fill="FFFFFF"/>
        <w:spacing w:before="0" w:beforeAutospacing="0" w:after="0" w:afterAutospacing="0"/>
        <w:jc w:val="both"/>
        <w:rPr>
          <w:lang w:val="en-US"/>
        </w:rPr>
      </w:pPr>
    </w:p>
    <w:p w:rsidR="006E52B9" w:rsidRPr="00D337FA" w:rsidRDefault="00C03F09" w:rsidP="006E52B9">
      <w:pPr>
        <w:pStyle w:val="aff5"/>
        <w:shd w:val="clear" w:color="auto" w:fill="FFFFFF"/>
        <w:tabs>
          <w:tab w:val="left" w:pos="3066"/>
        </w:tabs>
        <w:spacing w:before="0" w:beforeAutospacing="0" w:after="0" w:afterAutospacing="0"/>
        <w:jc w:val="both"/>
        <w:rPr>
          <w:lang w:val="en-US"/>
        </w:rPr>
      </w:pPr>
      <w:r w:rsidRPr="00D337FA">
        <w:rPr>
          <w:lang w:val="en-US"/>
        </w:rPr>
        <w:t>Innovation</w:t>
      </w:r>
      <w:r w:rsidR="006C680D" w:rsidRPr="00D337FA">
        <w:rPr>
          <w:lang w:val="en-US"/>
        </w:rPr>
        <w:t xml:space="preserve"> </w:t>
      </w:r>
      <w:r w:rsidRPr="00D337FA">
        <w:rPr>
          <w:lang w:val="en-US"/>
        </w:rPr>
        <w:t>activity;</w:t>
      </w:r>
      <w:r w:rsidR="006C680D" w:rsidRPr="00D337FA">
        <w:rPr>
          <w:lang w:val="en-US"/>
        </w:rPr>
        <w:t xml:space="preserve"> </w:t>
      </w:r>
      <w:r w:rsidRPr="00D337FA">
        <w:rPr>
          <w:lang w:val="en-US"/>
        </w:rPr>
        <w:t>management;</w:t>
      </w:r>
      <w:r w:rsidR="006C680D" w:rsidRPr="00D337FA">
        <w:rPr>
          <w:lang w:val="en-US"/>
        </w:rPr>
        <w:t xml:space="preserve"> </w:t>
      </w:r>
      <w:r w:rsidRPr="00D337FA">
        <w:rPr>
          <w:lang w:val="en-US"/>
        </w:rPr>
        <w:t>methodology</w:t>
      </w:r>
      <w:r w:rsidR="006C680D" w:rsidRPr="00D337FA">
        <w:rPr>
          <w:lang w:val="en-US"/>
        </w:rPr>
        <w:t xml:space="preserve"> </w:t>
      </w:r>
      <w:r w:rsidRPr="00D337FA">
        <w:rPr>
          <w:lang w:val="en-US"/>
        </w:rPr>
        <w:t>of</w:t>
      </w:r>
      <w:r w:rsidR="006C680D" w:rsidRPr="00D337FA">
        <w:rPr>
          <w:lang w:val="en-US"/>
        </w:rPr>
        <w:t xml:space="preserve"> </w:t>
      </w:r>
      <w:r w:rsidRPr="00D337FA">
        <w:rPr>
          <w:lang w:val="en-US"/>
        </w:rPr>
        <w:t>science;</w:t>
      </w:r>
      <w:r w:rsidR="006C680D" w:rsidRPr="00D337FA">
        <w:rPr>
          <w:lang w:val="en-US"/>
        </w:rPr>
        <w:t xml:space="preserve"> </w:t>
      </w:r>
      <w:r w:rsidRPr="00D337FA">
        <w:rPr>
          <w:lang w:val="en-US"/>
        </w:rPr>
        <w:t>system</w:t>
      </w:r>
      <w:r w:rsidR="006C680D" w:rsidRPr="00D337FA">
        <w:rPr>
          <w:lang w:val="en-US"/>
        </w:rPr>
        <w:t xml:space="preserve"> </w:t>
      </w:r>
      <w:r w:rsidRPr="00D337FA">
        <w:rPr>
          <w:lang w:val="en-US"/>
        </w:rPr>
        <w:t>approach;</w:t>
      </w:r>
      <w:r w:rsidR="006C680D" w:rsidRPr="00D337FA">
        <w:rPr>
          <w:lang w:val="en-US"/>
        </w:rPr>
        <w:t xml:space="preserve"> </w:t>
      </w:r>
      <w:r w:rsidRPr="00D337FA">
        <w:rPr>
          <w:lang w:val="en-US"/>
        </w:rPr>
        <w:t>management</w:t>
      </w:r>
      <w:r w:rsidR="006C680D" w:rsidRPr="00D337FA">
        <w:rPr>
          <w:lang w:val="en-US"/>
        </w:rPr>
        <w:t xml:space="preserve"> </w:t>
      </w:r>
      <w:r w:rsidRPr="00D337FA">
        <w:rPr>
          <w:lang w:val="en-US"/>
        </w:rPr>
        <w:t>tools</w:t>
      </w:r>
    </w:p>
    <w:p w:rsidR="00C03F09" w:rsidRPr="00D337FA" w:rsidRDefault="00C03F09" w:rsidP="006E52B9">
      <w:pPr>
        <w:pStyle w:val="aff5"/>
        <w:shd w:val="clear" w:color="auto" w:fill="FFFFFF"/>
        <w:tabs>
          <w:tab w:val="left" w:pos="3066"/>
        </w:tabs>
        <w:spacing w:before="0" w:beforeAutospacing="0" w:after="0" w:afterAutospacing="0"/>
        <w:jc w:val="both"/>
        <w:rPr>
          <w:lang w:val="en-US"/>
        </w:rPr>
      </w:pPr>
    </w:p>
    <w:p w:rsidR="00230516" w:rsidRPr="00D337FA" w:rsidRDefault="00230516" w:rsidP="00847021">
      <w:pPr>
        <w:ind w:firstLine="142"/>
        <w:rPr>
          <w:i/>
          <w:szCs w:val="24"/>
          <w:lang w:val="en-US"/>
        </w:rPr>
      </w:pPr>
    </w:p>
    <w:p w:rsidR="006E52B9" w:rsidRPr="00D337FA" w:rsidRDefault="006E52B9" w:rsidP="00847021">
      <w:pPr>
        <w:ind w:firstLine="142"/>
        <w:rPr>
          <w:i/>
          <w:szCs w:val="24"/>
          <w:lang w:val="en-US"/>
        </w:rPr>
        <w:sectPr w:rsidR="006E52B9" w:rsidRPr="00D337FA" w:rsidSect="006E52B9">
          <w:footnotePr>
            <w:numRestart w:val="eachPage"/>
          </w:footnotePr>
          <w:type w:val="continuous"/>
          <w:pgSz w:w="11907" w:h="16840" w:code="9"/>
          <w:pgMar w:top="1418" w:right="1134" w:bottom="1418" w:left="1134" w:header="1021" w:footer="1021" w:gutter="0"/>
          <w:cols w:num="2" w:space="708"/>
          <w:docGrid w:linePitch="360"/>
        </w:sectPr>
      </w:pPr>
    </w:p>
    <w:p w:rsidR="00C03F09" w:rsidRPr="00D337FA" w:rsidRDefault="00C03F09" w:rsidP="00847021">
      <w:pPr>
        <w:ind w:firstLine="142"/>
        <w:rPr>
          <w:i/>
          <w:szCs w:val="24"/>
          <w:lang w:val="en-US"/>
        </w:rPr>
      </w:pPr>
    </w:p>
    <w:p w:rsidR="00C03F09" w:rsidRPr="00D337FA" w:rsidRDefault="00C03F09" w:rsidP="00847021">
      <w:pPr>
        <w:ind w:firstLine="142"/>
        <w:rPr>
          <w:i/>
          <w:szCs w:val="24"/>
          <w:lang w:val="en-US"/>
        </w:rPr>
      </w:pPr>
    </w:p>
    <w:p w:rsidR="004454FD" w:rsidRPr="00D337FA" w:rsidRDefault="004454FD" w:rsidP="00847021">
      <w:pPr>
        <w:ind w:firstLine="142"/>
        <w:rPr>
          <w:i/>
          <w:szCs w:val="24"/>
          <w:lang w:val="en-US"/>
        </w:rPr>
      </w:pPr>
    </w:p>
    <w:p w:rsidR="00C03F09" w:rsidRPr="00D337FA" w:rsidRDefault="00C03F09" w:rsidP="00847021">
      <w:pPr>
        <w:ind w:firstLine="142"/>
        <w:rPr>
          <w:i/>
          <w:szCs w:val="24"/>
          <w:lang w:val="en-US"/>
        </w:rPr>
      </w:pPr>
    </w:p>
    <w:p w:rsidR="00C03F09" w:rsidRPr="00D337FA" w:rsidRDefault="00C03F09" w:rsidP="00C03F09">
      <w:pPr>
        <w:ind w:firstLine="0"/>
        <w:rPr>
          <w:i/>
          <w:szCs w:val="24"/>
          <w:lang w:val="en-US"/>
        </w:rPr>
        <w:sectPr w:rsidR="00C03F0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C03F09" w:rsidRPr="00D337FA" w:rsidRDefault="00C03F09" w:rsidP="00C03F09">
      <w:pPr>
        <w:ind w:firstLine="0"/>
        <w:jc w:val="left"/>
        <w:rPr>
          <w:b/>
          <w:szCs w:val="24"/>
        </w:rPr>
      </w:pPr>
      <w:r w:rsidRPr="00D337FA">
        <w:rPr>
          <w:rFonts w:ascii="Times New Roman CYR" w:hAnsi="Times New Roman CYR" w:cs="Times New Roman CYR"/>
          <w:sz w:val="20"/>
          <w:szCs w:val="20"/>
        </w:rPr>
        <w:lastRenderedPageBreak/>
        <w:t>©</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Мартынова</w:t>
      </w:r>
      <w:r w:rsidR="006C680D" w:rsidRPr="00D337FA">
        <w:rPr>
          <w:rFonts w:ascii="Times New Roman CYR" w:hAnsi="Times New Roman CYR" w:cs="Times New Roman CYR"/>
          <w:sz w:val="20"/>
          <w:szCs w:val="20"/>
        </w:rPr>
        <w:t xml:space="preserve"> </w:t>
      </w:r>
      <w:r w:rsidRPr="00D337FA">
        <w:rPr>
          <w:rFonts w:ascii="Times New Roman CYR" w:hAnsi="Times New Roman CYR" w:cs="Times New Roman CYR"/>
          <w:sz w:val="20"/>
          <w:szCs w:val="20"/>
        </w:rPr>
        <w:t>Ю.А.</w:t>
      </w:r>
      <w:r w:rsidRPr="00D337FA">
        <w:rPr>
          <w:rFonts w:ascii="Times New Roman CYR" w:hAnsi="Times New Roman CYR" w:cs="Times New Roman CYR"/>
          <w:spacing w:val="-4"/>
          <w:sz w:val="20"/>
          <w:szCs w:val="20"/>
        </w:rPr>
        <w:t>,</w:t>
      </w:r>
      <w:r w:rsidR="006C680D" w:rsidRPr="00D337FA">
        <w:rPr>
          <w:rFonts w:ascii="Times New Roman CYR" w:hAnsi="Times New Roman CYR" w:cs="Times New Roman CYR"/>
          <w:spacing w:val="-4"/>
          <w:sz w:val="20"/>
          <w:szCs w:val="20"/>
        </w:rPr>
        <w:t xml:space="preserve"> </w:t>
      </w:r>
      <w:r w:rsidRPr="00D337FA">
        <w:rPr>
          <w:rFonts w:ascii="Times New Roman CYR" w:hAnsi="Times New Roman CYR" w:cs="Times New Roman CYR"/>
          <w:spacing w:val="-4"/>
          <w:sz w:val="20"/>
          <w:szCs w:val="20"/>
        </w:rPr>
        <w:t>2026</w:t>
      </w:r>
    </w:p>
    <w:p w:rsidR="00C03F09" w:rsidRPr="00D337FA" w:rsidRDefault="00C03F09" w:rsidP="006E52B9">
      <w:pPr>
        <w:pStyle w:val="aff5"/>
        <w:shd w:val="clear" w:color="auto" w:fill="FFFFFF"/>
        <w:spacing w:before="0" w:beforeAutospacing="0" w:after="0" w:afterAutospacing="0"/>
        <w:ind w:firstLine="284"/>
        <w:jc w:val="both"/>
        <w:rPr>
          <w:b/>
        </w:rPr>
      </w:pPr>
    </w:p>
    <w:p w:rsidR="00C03F09" w:rsidRPr="00D337FA" w:rsidRDefault="00C03F09" w:rsidP="00C03F09">
      <w:pPr>
        <w:ind w:firstLine="142"/>
        <w:rPr>
          <w:b/>
          <w:szCs w:val="24"/>
        </w:rPr>
      </w:pPr>
      <w:r w:rsidRPr="00D337FA">
        <w:rPr>
          <w:b/>
          <w:szCs w:val="24"/>
        </w:rPr>
        <w:lastRenderedPageBreak/>
        <w:t>Введение</w:t>
      </w:r>
    </w:p>
    <w:p w:rsidR="00C03F09" w:rsidRPr="00D337FA" w:rsidRDefault="00C03F09" w:rsidP="00C03F09">
      <w:pPr>
        <w:ind w:firstLine="142"/>
        <w:rPr>
          <w:szCs w:val="24"/>
        </w:rPr>
      </w:pPr>
      <w:r w:rsidRPr="00D337FA">
        <w:rPr>
          <w:szCs w:val="24"/>
        </w:rPr>
        <w:t>Современные</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функционирования</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характеризуются</w:t>
      </w:r>
      <w:r w:rsidR="006C680D" w:rsidRPr="00D337FA">
        <w:rPr>
          <w:szCs w:val="24"/>
        </w:rPr>
        <w:t xml:space="preserve"> </w:t>
      </w:r>
      <w:r w:rsidRPr="00D337FA">
        <w:rPr>
          <w:szCs w:val="24"/>
        </w:rPr>
        <w:t>высокой</w:t>
      </w:r>
      <w:r w:rsidR="006C680D" w:rsidRPr="00D337FA">
        <w:rPr>
          <w:szCs w:val="24"/>
        </w:rPr>
        <w:t xml:space="preserve"> </w:t>
      </w:r>
      <w:r w:rsidRPr="00D337FA">
        <w:rPr>
          <w:szCs w:val="24"/>
        </w:rPr>
        <w:t>степенью</w:t>
      </w:r>
      <w:r w:rsidR="006C680D" w:rsidRPr="00D337FA">
        <w:rPr>
          <w:szCs w:val="24"/>
        </w:rPr>
        <w:t xml:space="preserve"> </w:t>
      </w:r>
      <w:r w:rsidRPr="00D337FA">
        <w:rPr>
          <w:szCs w:val="24"/>
        </w:rPr>
        <w:t>неопределённости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динамичности,</w:t>
      </w:r>
      <w:r w:rsidR="006C680D" w:rsidRPr="00D337FA">
        <w:rPr>
          <w:szCs w:val="24"/>
        </w:rPr>
        <w:t xml:space="preserve"> </w:t>
      </w:r>
      <w:r w:rsidRPr="00D337FA">
        <w:rPr>
          <w:szCs w:val="24"/>
        </w:rPr>
        <w:t>вызванной</w:t>
      </w:r>
      <w:r w:rsidR="006C680D" w:rsidRPr="00D337FA">
        <w:rPr>
          <w:szCs w:val="24"/>
        </w:rPr>
        <w:t xml:space="preserve"> </w:t>
      </w:r>
      <w:r w:rsidRPr="00D337FA">
        <w:rPr>
          <w:szCs w:val="24"/>
        </w:rPr>
        <w:t>множеством</w:t>
      </w:r>
      <w:r w:rsidR="006C680D" w:rsidRPr="00D337FA">
        <w:rPr>
          <w:szCs w:val="24"/>
        </w:rPr>
        <w:t xml:space="preserve"> </w:t>
      </w:r>
      <w:r w:rsidRPr="00D337FA">
        <w:rPr>
          <w:szCs w:val="24"/>
        </w:rPr>
        <w:t>факторов.</w:t>
      </w:r>
      <w:r w:rsidR="006C680D" w:rsidRPr="00D337FA">
        <w:rPr>
          <w:szCs w:val="24"/>
        </w:rPr>
        <w:t xml:space="preserve"> </w:t>
      </w:r>
      <w:r w:rsidRPr="00D337FA">
        <w:rPr>
          <w:szCs w:val="24"/>
        </w:rPr>
        <w:t>Многими</w:t>
      </w:r>
      <w:r w:rsidR="006C680D" w:rsidRPr="00D337FA">
        <w:rPr>
          <w:szCs w:val="24"/>
        </w:rPr>
        <w:t xml:space="preserve"> </w:t>
      </w:r>
      <w:r w:rsidRPr="00D337FA">
        <w:rPr>
          <w:szCs w:val="24"/>
        </w:rPr>
        <w:t>исследователями</w:t>
      </w:r>
      <w:r w:rsidR="006C680D" w:rsidRPr="00D337FA">
        <w:rPr>
          <w:szCs w:val="24"/>
        </w:rPr>
        <w:t xml:space="preserve"> </w:t>
      </w:r>
      <w:r w:rsidRPr="00D337FA">
        <w:rPr>
          <w:szCs w:val="24"/>
        </w:rPr>
        <w:t>отмечается,</w:t>
      </w:r>
      <w:r w:rsidR="006C680D" w:rsidRPr="00D337FA">
        <w:rPr>
          <w:szCs w:val="24"/>
        </w:rPr>
        <w:t xml:space="preserve"> </w:t>
      </w:r>
      <w:r w:rsidRPr="00D337FA">
        <w:rPr>
          <w:szCs w:val="24"/>
        </w:rPr>
        <w:t>что</w:t>
      </w:r>
      <w:r w:rsidR="006C680D" w:rsidRPr="00D337FA">
        <w:rPr>
          <w:szCs w:val="24"/>
        </w:rPr>
        <w:t xml:space="preserve"> </w:t>
      </w:r>
      <w:r w:rsidRPr="00D337FA">
        <w:rPr>
          <w:szCs w:val="24"/>
        </w:rPr>
        <w:t>скорость</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растет,</w:t>
      </w:r>
      <w:r w:rsidR="006C680D" w:rsidRPr="00D337FA">
        <w:rPr>
          <w:szCs w:val="24"/>
        </w:rPr>
        <w:t xml:space="preserve"> </w:t>
      </w:r>
      <w:r w:rsidRPr="00D337FA">
        <w:rPr>
          <w:szCs w:val="24"/>
        </w:rPr>
        <w:t>а</w:t>
      </w:r>
      <w:r w:rsidR="006C680D" w:rsidRPr="00D337FA">
        <w:rPr>
          <w:szCs w:val="24"/>
        </w:rPr>
        <w:t xml:space="preserve"> </w:t>
      </w:r>
      <w:r w:rsidRPr="00D337FA">
        <w:rPr>
          <w:szCs w:val="24"/>
        </w:rPr>
        <w:t>длительность</w:t>
      </w:r>
      <w:r w:rsidR="006C680D" w:rsidRPr="00D337FA">
        <w:rPr>
          <w:szCs w:val="24"/>
        </w:rPr>
        <w:t xml:space="preserve"> </w:t>
      </w:r>
      <w:r w:rsidRPr="00D337FA">
        <w:rPr>
          <w:szCs w:val="24"/>
        </w:rPr>
        <w:t>циклов</w:t>
      </w:r>
      <w:r w:rsidR="006C680D" w:rsidRPr="00D337FA">
        <w:rPr>
          <w:szCs w:val="24"/>
        </w:rPr>
        <w:t xml:space="preserve"> </w:t>
      </w:r>
      <w:r w:rsidRPr="00D337FA">
        <w:rPr>
          <w:szCs w:val="24"/>
        </w:rPr>
        <w:t>технологических</w:t>
      </w:r>
      <w:r w:rsidR="006C680D" w:rsidRPr="00D337FA">
        <w:rPr>
          <w:szCs w:val="24"/>
        </w:rPr>
        <w:t xml:space="preserve"> </w:t>
      </w:r>
      <w:r w:rsidRPr="00D337FA">
        <w:rPr>
          <w:szCs w:val="24"/>
        </w:rPr>
        <w:t>изменений</w:t>
      </w:r>
      <w:r w:rsidR="006C680D" w:rsidRPr="00D337FA">
        <w:rPr>
          <w:szCs w:val="24"/>
        </w:rPr>
        <w:t xml:space="preserve"> </w:t>
      </w:r>
      <w:r w:rsidRPr="00D337FA">
        <w:rPr>
          <w:szCs w:val="24"/>
        </w:rPr>
        <w:t>сокращается,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появляются</w:t>
      </w:r>
      <w:r w:rsidR="006C680D" w:rsidRPr="00D337FA">
        <w:rPr>
          <w:szCs w:val="24"/>
        </w:rPr>
        <w:t xml:space="preserve"> </w:t>
      </w:r>
      <w:r w:rsidRPr="00D337FA">
        <w:rPr>
          <w:szCs w:val="24"/>
        </w:rPr>
        <w:t>новые</w:t>
      </w:r>
      <w:r w:rsidR="006C680D" w:rsidRPr="00D337FA">
        <w:rPr>
          <w:szCs w:val="24"/>
        </w:rPr>
        <w:t xml:space="preserve"> </w:t>
      </w:r>
      <w:r w:rsidRPr="00D337FA">
        <w:rPr>
          <w:szCs w:val="24"/>
        </w:rPr>
        <w:t>бизнес-модели,</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требуют</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к</w:t>
      </w:r>
      <w:r w:rsidR="006C680D" w:rsidRPr="00D337FA">
        <w:rPr>
          <w:szCs w:val="24"/>
        </w:rPr>
        <w:t xml:space="preserve"> </w:t>
      </w:r>
      <w:r w:rsidRPr="00D337FA">
        <w:rPr>
          <w:szCs w:val="24"/>
        </w:rPr>
        <w:t>управлению,</w:t>
      </w:r>
      <w:r w:rsidR="006C680D" w:rsidRPr="00D337FA">
        <w:rPr>
          <w:szCs w:val="24"/>
        </w:rPr>
        <w:t xml:space="preserve"> </w:t>
      </w:r>
      <w:r w:rsidRPr="00D337FA">
        <w:rPr>
          <w:szCs w:val="24"/>
        </w:rPr>
        <w:t>современные</w:t>
      </w:r>
      <w:r w:rsidR="006C680D" w:rsidRPr="00D337FA">
        <w:rPr>
          <w:szCs w:val="24"/>
        </w:rPr>
        <w:t xml:space="preserve"> </w:t>
      </w:r>
      <w:r w:rsidRPr="00D337FA">
        <w:rPr>
          <w:szCs w:val="24"/>
        </w:rPr>
        <w:t>потребители</w:t>
      </w:r>
      <w:r w:rsidR="006C680D" w:rsidRPr="00D337FA">
        <w:rPr>
          <w:szCs w:val="24"/>
        </w:rPr>
        <w:t xml:space="preserve"> </w:t>
      </w:r>
      <w:r w:rsidRPr="00D337FA">
        <w:rPr>
          <w:szCs w:val="24"/>
        </w:rPr>
        <w:t>становятся</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требовательными,</w:t>
      </w:r>
      <w:r w:rsidR="006C680D" w:rsidRPr="00D337FA">
        <w:rPr>
          <w:szCs w:val="24"/>
        </w:rPr>
        <w:t xml:space="preserve"> </w:t>
      </w:r>
      <w:r w:rsidRPr="00D337FA">
        <w:rPr>
          <w:szCs w:val="24"/>
        </w:rPr>
        <w:t>ожидая</w:t>
      </w:r>
      <w:r w:rsidR="006C680D" w:rsidRPr="00D337FA">
        <w:rPr>
          <w:szCs w:val="24"/>
        </w:rPr>
        <w:t xml:space="preserve"> </w:t>
      </w:r>
      <w:r w:rsidRPr="00D337FA">
        <w:rPr>
          <w:szCs w:val="24"/>
        </w:rPr>
        <w:t>все</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и</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разработок,</w:t>
      </w:r>
      <w:r w:rsidR="006C680D" w:rsidRPr="00D337FA">
        <w:rPr>
          <w:szCs w:val="24"/>
        </w:rPr>
        <w:t xml:space="preserve"> </w:t>
      </w:r>
      <w:r w:rsidRPr="00D337FA">
        <w:rPr>
          <w:szCs w:val="24"/>
        </w:rPr>
        <w:t>подталкивая</w:t>
      </w:r>
      <w:r w:rsidR="006C680D" w:rsidRPr="00D337FA">
        <w:rPr>
          <w:szCs w:val="24"/>
        </w:rPr>
        <w:t xml:space="preserve"> </w:t>
      </w:r>
      <w:r w:rsidRPr="00D337FA">
        <w:rPr>
          <w:szCs w:val="24"/>
        </w:rPr>
        <w:t>предприятия</w:t>
      </w:r>
      <w:r w:rsidR="006C680D" w:rsidRPr="00D337FA">
        <w:rPr>
          <w:szCs w:val="24"/>
        </w:rPr>
        <w:t xml:space="preserve"> </w:t>
      </w:r>
      <w:r w:rsidRPr="00D337FA">
        <w:rPr>
          <w:szCs w:val="24"/>
        </w:rPr>
        <w:t>к</w:t>
      </w:r>
      <w:r w:rsidR="006C680D" w:rsidRPr="00D337FA">
        <w:rPr>
          <w:szCs w:val="24"/>
        </w:rPr>
        <w:t xml:space="preserve"> </w:t>
      </w:r>
      <w:r w:rsidRPr="00D337FA">
        <w:rPr>
          <w:szCs w:val="24"/>
        </w:rPr>
        <w:t>повышению</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активности,</w:t>
      </w:r>
      <w:r w:rsidR="006C680D" w:rsidRPr="00D337FA">
        <w:rPr>
          <w:szCs w:val="24"/>
        </w:rPr>
        <w:t xml:space="preserve"> </w:t>
      </w:r>
      <w:r w:rsidRPr="00D337FA">
        <w:rPr>
          <w:szCs w:val="24"/>
        </w:rPr>
        <w:t>что</w:t>
      </w:r>
      <w:r w:rsidR="006C680D" w:rsidRPr="00D337FA">
        <w:rPr>
          <w:szCs w:val="24"/>
        </w:rPr>
        <w:t xml:space="preserve"> </w:t>
      </w:r>
      <w:r w:rsidRPr="00D337FA">
        <w:rPr>
          <w:szCs w:val="24"/>
        </w:rPr>
        <w:t>в</w:t>
      </w:r>
      <w:r w:rsidR="006C680D" w:rsidRPr="00D337FA">
        <w:rPr>
          <w:szCs w:val="24"/>
        </w:rPr>
        <w:t xml:space="preserve"> </w:t>
      </w:r>
      <w:r w:rsidRPr="00D337FA">
        <w:rPr>
          <w:szCs w:val="24"/>
        </w:rPr>
        <w:t>свою</w:t>
      </w:r>
      <w:r w:rsidR="006C680D" w:rsidRPr="00D337FA">
        <w:rPr>
          <w:szCs w:val="24"/>
        </w:rPr>
        <w:t xml:space="preserve"> </w:t>
      </w:r>
      <w:r w:rsidRPr="00D337FA">
        <w:rPr>
          <w:szCs w:val="24"/>
        </w:rPr>
        <w:t>очередь</w:t>
      </w:r>
      <w:r w:rsidR="006C680D" w:rsidRPr="00D337FA">
        <w:rPr>
          <w:szCs w:val="24"/>
        </w:rPr>
        <w:t xml:space="preserve"> </w:t>
      </w:r>
      <w:r w:rsidRPr="00D337FA">
        <w:rPr>
          <w:szCs w:val="24"/>
        </w:rPr>
        <w:t>еще</w:t>
      </w:r>
      <w:r w:rsidR="006C680D" w:rsidRPr="00D337FA">
        <w:rPr>
          <w:szCs w:val="24"/>
        </w:rPr>
        <w:t xml:space="preserve"> </w:t>
      </w:r>
      <w:r w:rsidRPr="00D337FA">
        <w:rPr>
          <w:szCs w:val="24"/>
        </w:rPr>
        <w:t>и</w:t>
      </w:r>
      <w:r w:rsidR="006C680D" w:rsidRPr="00D337FA">
        <w:rPr>
          <w:szCs w:val="24"/>
        </w:rPr>
        <w:t xml:space="preserve"> </w:t>
      </w:r>
      <w:r w:rsidRPr="00D337FA">
        <w:rPr>
          <w:szCs w:val="24"/>
        </w:rPr>
        <w:t>усиливают</w:t>
      </w:r>
      <w:r w:rsidR="006C680D" w:rsidRPr="00D337FA">
        <w:rPr>
          <w:szCs w:val="24"/>
        </w:rPr>
        <w:t xml:space="preserve"> </w:t>
      </w:r>
      <w:r w:rsidRPr="00D337FA">
        <w:rPr>
          <w:szCs w:val="24"/>
        </w:rPr>
        <w:t>конкуренцию</w:t>
      </w:r>
      <w:r w:rsidR="006C680D" w:rsidRPr="00D337FA">
        <w:rPr>
          <w:szCs w:val="24"/>
        </w:rPr>
        <w:t xml:space="preserve"> </w:t>
      </w:r>
      <w:r w:rsidRPr="00D337FA">
        <w:rPr>
          <w:szCs w:val="24"/>
        </w:rPr>
        <w:t>на</w:t>
      </w:r>
      <w:r w:rsidR="006C680D" w:rsidRPr="00D337FA">
        <w:rPr>
          <w:szCs w:val="24"/>
        </w:rPr>
        <w:t xml:space="preserve"> </w:t>
      </w:r>
      <w:r w:rsidRPr="00D337FA">
        <w:rPr>
          <w:szCs w:val="24"/>
        </w:rPr>
        <w:t>рынке.</w:t>
      </w:r>
      <w:r w:rsidR="006C680D" w:rsidRPr="00D337FA">
        <w:rPr>
          <w:szCs w:val="24"/>
        </w:rPr>
        <w:t xml:space="preserve"> </w:t>
      </w:r>
      <w:r w:rsidRPr="00D337FA">
        <w:rPr>
          <w:szCs w:val="24"/>
        </w:rPr>
        <w:t>Все</w:t>
      </w:r>
      <w:r w:rsidR="006C680D" w:rsidRPr="00D337FA">
        <w:rPr>
          <w:szCs w:val="24"/>
        </w:rPr>
        <w:t xml:space="preserve"> </w:t>
      </w:r>
      <w:r w:rsidRPr="00D337FA">
        <w:rPr>
          <w:szCs w:val="24"/>
        </w:rPr>
        <w:t>это</w:t>
      </w:r>
      <w:r w:rsidR="006C680D" w:rsidRPr="00D337FA">
        <w:rPr>
          <w:szCs w:val="24"/>
        </w:rPr>
        <w:t xml:space="preserve"> </w:t>
      </w:r>
      <w:r w:rsidRPr="00D337FA">
        <w:rPr>
          <w:szCs w:val="24"/>
        </w:rPr>
        <w:t>обуславливает</w:t>
      </w:r>
      <w:r w:rsidR="006C680D" w:rsidRPr="00D337FA">
        <w:rPr>
          <w:szCs w:val="24"/>
        </w:rPr>
        <w:t xml:space="preserve"> </w:t>
      </w:r>
      <w:r w:rsidRPr="00D337FA">
        <w:rPr>
          <w:szCs w:val="24"/>
        </w:rPr>
        <w:t>необходимость</w:t>
      </w:r>
      <w:r w:rsidR="006C680D" w:rsidRPr="00D337FA">
        <w:rPr>
          <w:szCs w:val="24"/>
        </w:rPr>
        <w:t xml:space="preserve"> </w:t>
      </w:r>
      <w:r w:rsidRPr="00D337FA">
        <w:rPr>
          <w:szCs w:val="24"/>
        </w:rPr>
        <w:t>постоянного</w:t>
      </w:r>
      <w:r w:rsidR="006C680D" w:rsidRPr="00D337FA">
        <w:rPr>
          <w:szCs w:val="24"/>
        </w:rPr>
        <w:t xml:space="preserve"> </w:t>
      </w:r>
      <w:r w:rsidRPr="00D337FA">
        <w:rPr>
          <w:szCs w:val="24"/>
        </w:rPr>
        <w:t>обновления</w:t>
      </w:r>
      <w:r w:rsidR="006C680D" w:rsidRPr="00D337FA">
        <w:rPr>
          <w:szCs w:val="24"/>
        </w:rPr>
        <w:t xml:space="preserve"> </w:t>
      </w:r>
      <w:r w:rsidRPr="00D337FA">
        <w:rPr>
          <w:szCs w:val="24"/>
        </w:rPr>
        <w:t>и</w:t>
      </w:r>
      <w:r w:rsidR="006C680D" w:rsidRPr="00D337FA">
        <w:rPr>
          <w:szCs w:val="24"/>
        </w:rPr>
        <w:t xml:space="preserve"> </w:t>
      </w:r>
      <w:r w:rsidRPr="00D337FA">
        <w:rPr>
          <w:szCs w:val="24"/>
        </w:rPr>
        <w:t>адаптации</w:t>
      </w:r>
      <w:r w:rsidR="006C680D" w:rsidRPr="00D337FA">
        <w:rPr>
          <w:szCs w:val="24"/>
        </w:rPr>
        <w:t xml:space="preserve"> </w:t>
      </w:r>
      <w:r w:rsidRPr="00D337FA">
        <w:rPr>
          <w:szCs w:val="24"/>
        </w:rPr>
        <w:t>управленческих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Эффективное</w:t>
      </w:r>
      <w:r w:rsidR="006C680D" w:rsidRPr="00D337FA">
        <w:rPr>
          <w:szCs w:val="24"/>
        </w:rPr>
        <w:t xml:space="preserve"> </w:t>
      </w:r>
      <w:r w:rsidRPr="00D337FA">
        <w:rPr>
          <w:szCs w:val="24"/>
        </w:rPr>
        <w:t>управление</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представляет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важный</w:t>
      </w:r>
      <w:r w:rsidR="006C680D" w:rsidRPr="00D337FA">
        <w:rPr>
          <w:szCs w:val="24"/>
        </w:rPr>
        <w:t xml:space="preserve"> </w:t>
      </w:r>
      <w:r w:rsidRPr="00D337FA">
        <w:rPr>
          <w:szCs w:val="24"/>
        </w:rPr>
        <w:t>аспект,</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требует</w:t>
      </w:r>
      <w:r w:rsidR="006C680D" w:rsidRPr="00D337FA">
        <w:rPr>
          <w:szCs w:val="24"/>
        </w:rPr>
        <w:t xml:space="preserve"> </w:t>
      </w:r>
      <w:r w:rsidRPr="00D337FA">
        <w:rPr>
          <w:szCs w:val="24"/>
        </w:rPr>
        <w:t>разработки</w:t>
      </w:r>
      <w:r w:rsidR="006C680D" w:rsidRPr="00D337FA">
        <w:rPr>
          <w:szCs w:val="24"/>
        </w:rPr>
        <w:t xml:space="preserve"> </w:t>
      </w:r>
      <w:r w:rsidRPr="00D337FA">
        <w:rPr>
          <w:szCs w:val="24"/>
        </w:rPr>
        <w:t>научно</w:t>
      </w:r>
      <w:r w:rsidR="006C680D" w:rsidRPr="00D337FA">
        <w:rPr>
          <w:szCs w:val="24"/>
        </w:rPr>
        <w:t xml:space="preserve"> </w:t>
      </w:r>
      <w:r w:rsidRPr="00D337FA">
        <w:rPr>
          <w:szCs w:val="24"/>
        </w:rPr>
        <w:t>обоснованных</w:t>
      </w:r>
      <w:r w:rsidR="006C680D" w:rsidRPr="00D337FA">
        <w:rPr>
          <w:szCs w:val="24"/>
        </w:rPr>
        <w:t xml:space="preserve"> </w:t>
      </w:r>
      <w:r w:rsidRPr="00D337FA">
        <w:rPr>
          <w:szCs w:val="24"/>
        </w:rPr>
        <w:t>методологий,</w:t>
      </w:r>
      <w:r w:rsidR="006C680D" w:rsidRPr="00D337FA">
        <w:rPr>
          <w:szCs w:val="24"/>
        </w:rPr>
        <w:t xml:space="preserve"> </w:t>
      </w:r>
      <w:r w:rsidRPr="00D337FA">
        <w:rPr>
          <w:szCs w:val="24"/>
        </w:rPr>
        <w:t>способствующих</w:t>
      </w:r>
      <w:r w:rsidR="006C680D" w:rsidRPr="00D337FA">
        <w:rPr>
          <w:szCs w:val="24"/>
        </w:rPr>
        <w:t xml:space="preserve"> </w:t>
      </w:r>
      <w:r w:rsidRPr="00D337FA">
        <w:rPr>
          <w:szCs w:val="24"/>
        </w:rPr>
        <w:t>максимизации</w:t>
      </w:r>
      <w:r w:rsidR="006C680D" w:rsidRPr="00D337FA">
        <w:rPr>
          <w:szCs w:val="24"/>
        </w:rPr>
        <w:t xml:space="preserve"> </w:t>
      </w:r>
      <w:r w:rsidRPr="00D337FA">
        <w:rPr>
          <w:szCs w:val="24"/>
        </w:rPr>
        <w:t>конкурентных</w:t>
      </w:r>
      <w:r w:rsidR="006C680D" w:rsidRPr="00D337FA">
        <w:rPr>
          <w:szCs w:val="24"/>
        </w:rPr>
        <w:t xml:space="preserve"> </w:t>
      </w:r>
      <w:r w:rsidRPr="00D337FA">
        <w:rPr>
          <w:szCs w:val="24"/>
        </w:rPr>
        <w:t>преимуществ</w:t>
      </w:r>
      <w:r w:rsidR="006C680D" w:rsidRPr="00D337FA">
        <w:rPr>
          <w:szCs w:val="24"/>
        </w:rPr>
        <w:t xml:space="preserve"> </w:t>
      </w:r>
      <w:r w:rsidRPr="00D337FA">
        <w:rPr>
          <w:szCs w:val="24"/>
        </w:rPr>
        <w:t>и</w:t>
      </w:r>
      <w:r w:rsidR="006C680D" w:rsidRPr="00D337FA">
        <w:rPr>
          <w:szCs w:val="24"/>
        </w:rPr>
        <w:t xml:space="preserve"> </w:t>
      </w:r>
      <w:r w:rsidRPr="00D337FA">
        <w:rPr>
          <w:szCs w:val="24"/>
        </w:rPr>
        <w:t>оптимизации</w:t>
      </w:r>
      <w:r w:rsidR="006C680D" w:rsidRPr="00D337FA">
        <w:rPr>
          <w:szCs w:val="24"/>
        </w:rPr>
        <w:t xml:space="preserve"> </w:t>
      </w:r>
      <w:r w:rsidRPr="00D337FA">
        <w:rPr>
          <w:szCs w:val="24"/>
        </w:rPr>
        <w:t>внутренних</w:t>
      </w:r>
      <w:r w:rsidR="006C680D" w:rsidRPr="00D337FA">
        <w:rPr>
          <w:szCs w:val="24"/>
        </w:rPr>
        <w:t xml:space="preserve"> </w:t>
      </w:r>
      <w:r w:rsidRPr="00D337FA">
        <w:rPr>
          <w:szCs w:val="24"/>
        </w:rPr>
        <w:t>процессов,</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обладающими</w:t>
      </w:r>
      <w:r w:rsidR="006C680D" w:rsidRPr="00D337FA">
        <w:rPr>
          <w:szCs w:val="24"/>
        </w:rPr>
        <w:t xml:space="preserve"> </w:t>
      </w:r>
      <w:r w:rsidRPr="00D337FA">
        <w:rPr>
          <w:szCs w:val="24"/>
        </w:rPr>
        <w:t>свойствами</w:t>
      </w:r>
      <w:r w:rsidR="006C680D" w:rsidRPr="00D337FA">
        <w:rPr>
          <w:szCs w:val="24"/>
        </w:rPr>
        <w:t xml:space="preserve"> </w:t>
      </w:r>
      <w:r w:rsidRPr="00D337FA">
        <w:rPr>
          <w:szCs w:val="24"/>
        </w:rPr>
        <w:t>комплексности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системности.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связи</w:t>
      </w:r>
      <w:r w:rsidR="006C680D" w:rsidRPr="00D337FA">
        <w:rPr>
          <w:szCs w:val="24"/>
        </w:rPr>
        <w:t xml:space="preserve"> </w:t>
      </w:r>
      <w:r w:rsidRPr="00D337FA">
        <w:rPr>
          <w:szCs w:val="24"/>
        </w:rPr>
        <w:t>с</w:t>
      </w:r>
      <w:r w:rsidR="006C680D" w:rsidRPr="00D337FA">
        <w:rPr>
          <w:szCs w:val="24"/>
        </w:rPr>
        <w:t xml:space="preserve"> </w:t>
      </w:r>
      <w:r w:rsidRPr="00D337FA">
        <w:rPr>
          <w:szCs w:val="24"/>
        </w:rPr>
        <w:t>этим</w:t>
      </w:r>
      <w:r w:rsidR="006C680D" w:rsidRPr="00D337FA">
        <w:rPr>
          <w:szCs w:val="24"/>
        </w:rPr>
        <w:t xml:space="preserve"> </w:t>
      </w:r>
      <w:r w:rsidRPr="00D337FA">
        <w:rPr>
          <w:szCs w:val="24"/>
        </w:rPr>
        <w:t>целью</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такой,</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позволит</w:t>
      </w:r>
      <w:r w:rsidR="006C680D" w:rsidRPr="00D337FA">
        <w:rPr>
          <w:szCs w:val="24"/>
        </w:rPr>
        <w:t xml:space="preserve"> </w:t>
      </w:r>
      <w:r w:rsidRPr="00D337FA">
        <w:rPr>
          <w:szCs w:val="24"/>
        </w:rPr>
        <w:t>с</w:t>
      </w:r>
      <w:r w:rsidR="006C680D" w:rsidRPr="00D337FA">
        <w:rPr>
          <w:szCs w:val="24"/>
        </w:rPr>
        <w:t xml:space="preserve"> </w:t>
      </w:r>
      <w:r w:rsidRPr="00D337FA">
        <w:rPr>
          <w:szCs w:val="24"/>
        </w:rPr>
        <w:t>учетом</w:t>
      </w:r>
      <w:r w:rsidR="006C680D" w:rsidRPr="00D337FA">
        <w:rPr>
          <w:szCs w:val="24"/>
        </w:rPr>
        <w:t xml:space="preserve"> </w:t>
      </w:r>
      <w:r w:rsidRPr="00D337FA">
        <w:rPr>
          <w:szCs w:val="24"/>
        </w:rPr>
        <w:t>конкретных</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и</w:t>
      </w:r>
      <w:r w:rsidR="006C680D" w:rsidRPr="00D337FA">
        <w:rPr>
          <w:szCs w:val="24"/>
        </w:rPr>
        <w:t xml:space="preserve"> </w:t>
      </w:r>
      <w:r w:rsidRPr="00D337FA">
        <w:rPr>
          <w:szCs w:val="24"/>
        </w:rPr>
        <w:t>принципом</w:t>
      </w:r>
      <w:r w:rsidR="006C680D" w:rsidRPr="00D337FA">
        <w:rPr>
          <w:szCs w:val="24"/>
        </w:rPr>
        <w:t xml:space="preserve"> </w:t>
      </w:r>
      <w:r w:rsidRPr="00D337FA">
        <w:rPr>
          <w:szCs w:val="24"/>
        </w:rPr>
        <w:t>исходя</w:t>
      </w:r>
      <w:r w:rsidR="006C680D" w:rsidRPr="00D337FA">
        <w:rPr>
          <w:szCs w:val="24"/>
        </w:rPr>
        <w:t xml:space="preserve"> </w:t>
      </w:r>
      <w:r w:rsidRPr="00D337FA">
        <w:rPr>
          <w:szCs w:val="24"/>
        </w:rPr>
        <w:t>из</w:t>
      </w:r>
      <w:r w:rsidR="006C680D" w:rsidRPr="00D337FA">
        <w:rPr>
          <w:szCs w:val="24"/>
        </w:rPr>
        <w:t xml:space="preserve"> </w:t>
      </w:r>
      <w:r w:rsidRPr="00D337FA">
        <w:rPr>
          <w:szCs w:val="24"/>
        </w:rPr>
        <w:t>поставленных</w:t>
      </w:r>
      <w:r w:rsidR="006C680D" w:rsidRPr="00D337FA">
        <w:rPr>
          <w:szCs w:val="24"/>
        </w:rPr>
        <w:t xml:space="preserve"> </w:t>
      </w:r>
      <w:r w:rsidRPr="00D337FA">
        <w:rPr>
          <w:szCs w:val="24"/>
        </w:rPr>
        <w:t>целей,</w:t>
      </w:r>
      <w:r w:rsidR="006C680D" w:rsidRPr="00D337FA">
        <w:rPr>
          <w:szCs w:val="24"/>
        </w:rPr>
        <w:t xml:space="preserve"> </w:t>
      </w:r>
      <w:r w:rsidRPr="00D337FA">
        <w:rPr>
          <w:szCs w:val="24"/>
        </w:rPr>
        <w:t>сформировать</w:t>
      </w:r>
      <w:r w:rsidR="006C680D" w:rsidRPr="00D337FA">
        <w:rPr>
          <w:szCs w:val="24"/>
        </w:rPr>
        <w:t xml:space="preserve"> </w:t>
      </w:r>
      <w:r w:rsidRPr="00D337FA">
        <w:rPr>
          <w:szCs w:val="24"/>
        </w:rPr>
        <w:t>из</w:t>
      </w:r>
      <w:r w:rsidR="006C680D" w:rsidRPr="00D337FA">
        <w:rPr>
          <w:szCs w:val="24"/>
        </w:rPr>
        <w:t xml:space="preserve"> </w:t>
      </w:r>
      <w:r w:rsidRPr="00D337FA">
        <w:rPr>
          <w:szCs w:val="24"/>
        </w:rPr>
        <w:t>предложенных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и</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вариант,</w:t>
      </w:r>
      <w:r w:rsidR="006C680D" w:rsidRPr="00D337FA">
        <w:rPr>
          <w:szCs w:val="24"/>
        </w:rPr>
        <w:t xml:space="preserve"> </w:t>
      </w:r>
      <w:r w:rsidRPr="00D337FA">
        <w:rPr>
          <w:szCs w:val="24"/>
        </w:rPr>
        <w:t>наилучшим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способствующий</w:t>
      </w:r>
      <w:r w:rsidR="006C680D" w:rsidRPr="00D337FA">
        <w:rPr>
          <w:szCs w:val="24"/>
        </w:rPr>
        <w:t xml:space="preserve"> </w:t>
      </w:r>
      <w:r w:rsidRPr="00D337FA">
        <w:rPr>
          <w:szCs w:val="24"/>
        </w:rPr>
        <w:t>решению</w:t>
      </w:r>
      <w:r w:rsidR="006C680D" w:rsidRPr="00D337FA">
        <w:rPr>
          <w:szCs w:val="24"/>
        </w:rPr>
        <w:t xml:space="preserve"> </w:t>
      </w:r>
      <w:r w:rsidRPr="00D337FA">
        <w:rPr>
          <w:szCs w:val="24"/>
        </w:rPr>
        <w:t>управленческих</w:t>
      </w:r>
      <w:r w:rsidR="006C680D" w:rsidRPr="00D337FA">
        <w:rPr>
          <w:szCs w:val="24"/>
        </w:rPr>
        <w:t xml:space="preserve"> </w:t>
      </w:r>
      <w:r w:rsidRPr="00D337FA">
        <w:rPr>
          <w:szCs w:val="24"/>
        </w:rPr>
        <w:t>задач</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инноваций.</w:t>
      </w:r>
    </w:p>
    <w:p w:rsidR="00C03F09" w:rsidRPr="00D337FA" w:rsidRDefault="00C03F09" w:rsidP="00C03F09">
      <w:pPr>
        <w:ind w:firstLine="142"/>
        <w:rPr>
          <w:szCs w:val="24"/>
        </w:rPr>
      </w:pPr>
    </w:p>
    <w:p w:rsidR="00C03F09" w:rsidRPr="00D337FA" w:rsidRDefault="00C03F09" w:rsidP="00C03F09">
      <w:pPr>
        <w:ind w:firstLine="142"/>
        <w:rPr>
          <w:b/>
          <w:szCs w:val="24"/>
        </w:rPr>
      </w:pPr>
      <w:r w:rsidRPr="00D337FA">
        <w:rPr>
          <w:b/>
          <w:szCs w:val="24"/>
        </w:rPr>
        <w:t>Теоретический</w:t>
      </w:r>
      <w:r w:rsidR="006C680D" w:rsidRPr="00D337FA">
        <w:rPr>
          <w:b/>
          <w:szCs w:val="24"/>
        </w:rPr>
        <w:t xml:space="preserve"> </w:t>
      </w:r>
      <w:r w:rsidRPr="00D337FA">
        <w:rPr>
          <w:b/>
          <w:szCs w:val="24"/>
        </w:rPr>
        <w:t>анализ</w:t>
      </w:r>
    </w:p>
    <w:p w:rsidR="00C03F09" w:rsidRPr="00D337FA" w:rsidRDefault="00C03F09" w:rsidP="00C03F09">
      <w:pPr>
        <w:ind w:firstLine="142"/>
        <w:rPr>
          <w:szCs w:val="24"/>
        </w:rPr>
      </w:pPr>
      <w:r w:rsidRPr="00D337FA">
        <w:rPr>
          <w:szCs w:val="24"/>
        </w:rPr>
        <w:t>Большой</w:t>
      </w:r>
      <w:r w:rsidR="006C680D" w:rsidRPr="00D337FA">
        <w:rPr>
          <w:szCs w:val="24"/>
        </w:rPr>
        <w:t xml:space="preserve"> </w:t>
      </w:r>
      <w:r w:rsidRPr="00D337FA">
        <w:rPr>
          <w:szCs w:val="24"/>
        </w:rPr>
        <w:t>вклад</w:t>
      </w:r>
      <w:r w:rsidR="006C680D" w:rsidRPr="00D337FA">
        <w:rPr>
          <w:szCs w:val="24"/>
        </w:rPr>
        <w:t xml:space="preserve"> </w:t>
      </w:r>
      <w:r w:rsidRPr="00D337FA">
        <w:rPr>
          <w:szCs w:val="24"/>
        </w:rPr>
        <w:t>в</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в</w:t>
      </w:r>
      <w:r w:rsidR="006C680D" w:rsidRPr="00D337FA">
        <w:rPr>
          <w:szCs w:val="24"/>
        </w:rPr>
        <w:t xml:space="preserve"> </w:t>
      </w:r>
      <w:r w:rsidRPr="00D337FA">
        <w:rPr>
          <w:szCs w:val="24"/>
        </w:rPr>
        <w:t>том</w:t>
      </w:r>
      <w:r w:rsidR="006C680D" w:rsidRPr="00D337FA">
        <w:rPr>
          <w:szCs w:val="24"/>
        </w:rPr>
        <w:t xml:space="preserve"> </w:t>
      </w:r>
      <w:r w:rsidRPr="00D337FA">
        <w:rPr>
          <w:szCs w:val="24"/>
        </w:rPr>
        <w:t>числе</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науки,</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развитие</w:t>
      </w:r>
      <w:r w:rsidR="006C680D" w:rsidRPr="00D337FA">
        <w:rPr>
          <w:szCs w:val="24"/>
        </w:rPr>
        <w:t xml:space="preserve"> </w:t>
      </w:r>
      <w:r w:rsidRPr="00D337FA">
        <w:rPr>
          <w:szCs w:val="24"/>
        </w:rPr>
        <w:t>и</w:t>
      </w:r>
      <w:r w:rsidR="006C680D" w:rsidRPr="00D337FA">
        <w:rPr>
          <w:szCs w:val="24"/>
        </w:rPr>
        <w:t xml:space="preserve"> </w:t>
      </w:r>
      <w:r w:rsidRPr="00D337FA">
        <w:rPr>
          <w:szCs w:val="24"/>
        </w:rPr>
        <w:t>уточнение</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в</w:t>
      </w:r>
      <w:r w:rsidR="006C680D" w:rsidRPr="00D337FA">
        <w:rPr>
          <w:szCs w:val="24"/>
        </w:rPr>
        <w:t xml:space="preserve"> </w:t>
      </w:r>
      <w:r w:rsidRPr="00D337FA">
        <w:rPr>
          <w:szCs w:val="24"/>
        </w:rPr>
        <w:t>разрезе</w:t>
      </w:r>
      <w:r w:rsidR="006C680D" w:rsidRPr="00D337FA">
        <w:rPr>
          <w:szCs w:val="24"/>
        </w:rPr>
        <w:t xml:space="preserve"> </w:t>
      </w:r>
      <w:r w:rsidRPr="00D337FA">
        <w:rPr>
          <w:szCs w:val="24"/>
        </w:rPr>
        <w:t>современного</w:t>
      </w:r>
      <w:r w:rsidR="006C680D" w:rsidRPr="00D337FA">
        <w:rPr>
          <w:szCs w:val="24"/>
        </w:rPr>
        <w:t xml:space="preserve"> </w:t>
      </w:r>
      <w:r w:rsidRPr="00D337FA">
        <w:rPr>
          <w:szCs w:val="24"/>
        </w:rPr>
        <w:t>положения</w:t>
      </w:r>
      <w:r w:rsidR="006C680D" w:rsidRPr="00D337FA">
        <w:rPr>
          <w:szCs w:val="24"/>
        </w:rPr>
        <w:t xml:space="preserve"> </w:t>
      </w:r>
      <w:r w:rsidRPr="00D337FA">
        <w:rPr>
          <w:szCs w:val="24"/>
        </w:rPr>
        <w:t>дел</w:t>
      </w:r>
      <w:r w:rsidR="006C680D" w:rsidRPr="00D337FA">
        <w:rPr>
          <w:szCs w:val="24"/>
        </w:rPr>
        <w:t xml:space="preserve"> </w:t>
      </w:r>
      <w:r w:rsidRPr="00D337FA">
        <w:rPr>
          <w:szCs w:val="24"/>
        </w:rPr>
        <w:t>внесли</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ученые</w:t>
      </w:r>
      <w:r w:rsidR="006C680D" w:rsidRPr="00D337FA">
        <w:rPr>
          <w:szCs w:val="24"/>
        </w:rPr>
        <w:t xml:space="preserve"> </w:t>
      </w:r>
      <w:r w:rsidRPr="00D337FA">
        <w:rPr>
          <w:szCs w:val="24"/>
        </w:rPr>
        <w:t>как</w:t>
      </w:r>
      <w:r w:rsidR="006C680D" w:rsidRPr="00D337FA">
        <w:rPr>
          <w:szCs w:val="24"/>
        </w:rPr>
        <w:t xml:space="preserve"> </w:t>
      </w:r>
      <w:r w:rsidRPr="00D337FA">
        <w:rPr>
          <w:szCs w:val="24"/>
        </w:rPr>
        <w:t>Юдин</w:t>
      </w:r>
      <w:r w:rsidR="006C680D" w:rsidRPr="00D337FA">
        <w:rPr>
          <w:szCs w:val="24"/>
        </w:rPr>
        <w:t xml:space="preserve"> </w:t>
      </w:r>
      <w:r w:rsidRPr="00D337FA">
        <w:rPr>
          <w:szCs w:val="24"/>
        </w:rPr>
        <w:t>Э.Г.,</w:t>
      </w:r>
      <w:r w:rsidR="006C680D" w:rsidRPr="00D337FA">
        <w:rPr>
          <w:szCs w:val="24"/>
        </w:rPr>
        <w:t xml:space="preserve"> </w:t>
      </w:r>
      <w:r w:rsidRPr="00D337FA">
        <w:rPr>
          <w:szCs w:val="24"/>
        </w:rPr>
        <w:t>Новиков</w:t>
      </w:r>
      <w:r w:rsidR="006C680D" w:rsidRPr="00D337FA">
        <w:rPr>
          <w:szCs w:val="24"/>
        </w:rPr>
        <w:t xml:space="preserve"> </w:t>
      </w:r>
      <w:r w:rsidRPr="00D337FA">
        <w:rPr>
          <w:szCs w:val="24"/>
        </w:rPr>
        <w:t>А.М.,</w:t>
      </w:r>
      <w:r w:rsidR="006C680D" w:rsidRPr="00D337FA">
        <w:rPr>
          <w:szCs w:val="24"/>
        </w:rPr>
        <w:t xml:space="preserve"> </w:t>
      </w:r>
      <w:r w:rsidRPr="00D337FA">
        <w:rPr>
          <w:szCs w:val="24"/>
        </w:rPr>
        <w:t>Новиков</w:t>
      </w:r>
      <w:r w:rsidR="006C680D" w:rsidRPr="00D337FA">
        <w:rPr>
          <w:szCs w:val="24"/>
        </w:rPr>
        <w:t xml:space="preserve"> </w:t>
      </w:r>
      <w:r w:rsidRPr="00D337FA">
        <w:rPr>
          <w:szCs w:val="24"/>
        </w:rPr>
        <w:t>Д.А.,</w:t>
      </w:r>
      <w:r w:rsidR="006C680D" w:rsidRPr="00D337FA">
        <w:rPr>
          <w:szCs w:val="24"/>
        </w:rPr>
        <w:t xml:space="preserve"> </w:t>
      </w:r>
      <w:r w:rsidRPr="00D337FA">
        <w:rPr>
          <w:szCs w:val="24"/>
        </w:rPr>
        <w:t>Зеленов</w:t>
      </w:r>
      <w:r w:rsidR="006C680D" w:rsidRPr="00D337FA">
        <w:rPr>
          <w:szCs w:val="24"/>
        </w:rPr>
        <w:t xml:space="preserve"> </w:t>
      </w:r>
      <w:r w:rsidRPr="00D337FA">
        <w:rPr>
          <w:szCs w:val="24"/>
        </w:rPr>
        <w:t>Л.А.,</w:t>
      </w:r>
      <w:r w:rsidR="006C680D" w:rsidRPr="00D337FA">
        <w:rPr>
          <w:szCs w:val="24"/>
        </w:rPr>
        <w:t xml:space="preserve"> </w:t>
      </w:r>
      <w:r w:rsidRPr="00D337FA">
        <w:rPr>
          <w:szCs w:val="24"/>
        </w:rPr>
        <w:t>Манушин</w:t>
      </w:r>
      <w:r w:rsidR="006C680D" w:rsidRPr="00D337FA">
        <w:rPr>
          <w:szCs w:val="24"/>
        </w:rPr>
        <w:t xml:space="preserve"> </w:t>
      </w:r>
      <w:r w:rsidRPr="00D337FA">
        <w:rPr>
          <w:szCs w:val="24"/>
        </w:rPr>
        <w:t>Д.В.</w:t>
      </w:r>
      <w:r w:rsidR="006C680D" w:rsidRPr="00D337FA">
        <w:rPr>
          <w:szCs w:val="24"/>
        </w:rPr>
        <w:t xml:space="preserve"> </w:t>
      </w:r>
      <w:r w:rsidRPr="00D337FA">
        <w:rPr>
          <w:szCs w:val="24"/>
        </w:rPr>
        <w:t>и</w:t>
      </w:r>
      <w:r w:rsidR="006C680D" w:rsidRPr="00D337FA">
        <w:rPr>
          <w:szCs w:val="24"/>
        </w:rPr>
        <w:t xml:space="preserve"> </w:t>
      </w:r>
      <w:r w:rsidRPr="00D337FA">
        <w:rPr>
          <w:szCs w:val="24"/>
        </w:rPr>
        <w:t>др.</w:t>
      </w:r>
      <w:r w:rsidR="006C680D" w:rsidRPr="00D337FA">
        <w:rPr>
          <w:szCs w:val="24"/>
        </w:rPr>
        <w:t xml:space="preserve"> </w:t>
      </w:r>
      <w:r w:rsidRPr="00D337FA">
        <w:rPr>
          <w:szCs w:val="24"/>
        </w:rPr>
        <w:t>[9,</w:t>
      </w:r>
      <w:r w:rsidR="006C680D" w:rsidRPr="00D337FA">
        <w:rPr>
          <w:szCs w:val="24"/>
        </w:rPr>
        <w:t xml:space="preserve"> </w:t>
      </w:r>
      <w:r w:rsidRPr="00D337FA">
        <w:rPr>
          <w:szCs w:val="24"/>
        </w:rPr>
        <w:t>11,</w:t>
      </w:r>
      <w:r w:rsidR="006C680D" w:rsidRPr="00D337FA">
        <w:rPr>
          <w:szCs w:val="24"/>
        </w:rPr>
        <w:t xml:space="preserve"> </w:t>
      </w:r>
      <w:r w:rsidRPr="00D337FA">
        <w:rPr>
          <w:szCs w:val="24"/>
        </w:rPr>
        <w:t>16]</w:t>
      </w:r>
      <w:r w:rsidR="0002772A" w:rsidRPr="00D337FA">
        <w:rPr>
          <w:szCs w:val="24"/>
        </w:rPr>
        <w:t>.</w:t>
      </w:r>
      <w:r w:rsidR="006C680D" w:rsidRPr="00D337FA">
        <w:rPr>
          <w:szCs w:val="24"/>
        </w:rPr>
        <w:t xml:space="preserve"> </w:t>
      </w:r>
      <w:r w:rsidRPr="00D337FA">
        <w:rPr>
          <w:szCs w:val="24"/>
        </w:rPr>
        <w:t>Применение</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к</w:t>
      </w:r>
      <w:r w:rsidR="006C680D" w:rsidRPr="00D337FA">
        <w:rPr>
          <w:szCs w:val="24"/>
        </w:rPr>
        <w:t xml:space="preserve"> </w:t>
      </w:r>
      <w:r w:rsidRPr="00D337FA">
        <w:rPr>
          <w:szCs w:val="24"/>
        </w:rPr>
        <w:t>конкретным</w:t>
      </w:r>
      <w:r w:rsidR="006C680D" w:rsidRPr="00D337FA">
        <w:rPr>
          <w:szCs w:val="24"/>
        </w:rPr>
        <w:t xml:space="preserve"> </w:t>
      </w:r>
      <w:r w:rsidRPr="00D337FA">
        <w:rPr>
          <w:szCs w:val="24"/>
        </w:rPr>
        <w:t>областям</w:t>
      </w:r>
      <w:r w:rsidR="006C680D" w:rsidRPr="00D337FA">
        <w:rPr>
          <w:szCs w:val="24"/>
        </w:rPr>
        <w:t xml:space="preserve"> </w:t>
      </w:r>
      <w:r w:rsidRPr="00D337FA">
        <w:rPr>
          <w:szCs w:val="24"/>
        </w:rPr>
        <w:t>показали</w:t>
      </w:r>
      <w:r w:rsidR="006C680D" w:rsidRPr="00D337FA">
        <w:rPr>
          <w:szCs w:val="24"/>
        </w:rPr>
        <w:t xml:space="preserve"> </w:t>
      </w:r>
      <w:r w:rsidRPr="00D337FA">
        <w:rPr>
          <w:szCs w:val="24"/>
        </w:rPr>
        <w:t>в</w:t>
      </w:r>
      <w:r w:rsidR="006C680D" w:rsidRPr="00D337FA">
        <w:rPr>
          <w:szCs w:val="24"/>
        </w:rPr>
        <w:t xml:space="preserve"> </w:t>
      </w:r>
      <w:r w:rsidRPr="00D337FA">
        <w:rPr>
          <w:szCs w:val="24"/>
        </w:rPr>
        <w:t>своих</w:t>
      </w:r>
      <w:r w:rsidR="006C680D" w:rsidRPr="00D337FA">
        <w:rPr>
          <w:szCs w:val="24"/>
        </w:rPr>
        <w:t xml:space="preserve"> </w:t>
      </w:r>
      <w:r w:rsidRPr="00D337FA">
        <w:rPr>
          <w:szCs w:val="24"/>
        </w:rPr>
        <w:t>работах</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авторы</w:t>
      </w:r>
      <w:r w:rsidR="006C680D" w:rsidRPr="00D337FA">
        <w:rPr>
          <w:szCs w:val="24"/>
        </w:rPr>
        <w:t xml:space="preserve"> </w:t>
      </w:r>
      <w:r w:rsidRPr="00D337FA">
        <w:rPr>
          <w:szCs w:val="24"/>
        </w:rPr>
        <w:t>как</w:t>
      </w:r>
      <w:r w:rsidR="006C680D" w:rsidRPr="00D337FA">
        <w:rPr>
          <w:szCs w:val="24"/>
        </w:rPr>
        <w:t xml:space="preserve"> </w:t>
      </w:r>
      <w:r w:rsidRPr="00D337FA">
        <w:rPr>
          <w:szCs w:val="24"/>
        </w:rPr>
        <w:t>Горб</w:t>
      </w:r>
      <w:r w:rsidR="006C680D" w:rsidRPr="00D337FA">
        <w:rPr>
          <w:szCs w:val="24"/>
        </w:rPr>
        <w:t xml:space="preserve"> </w:t>
      </w:r>
      <w:r w:rsidRPr="00D337FA">
        <w:rPr>
          <w:szCs w:val="24"/>
        </w:rPr>
        <w:t>В.Г.,</w:t>
      </w:r>
      <w:r w:rsidR="006C680D" w:rsidRPr="00D337FA">
        <w:rPr>
          <w:szCs w:val="24"/>
        </w:rPr>
        <w:t xml:space="preserve"> </w:t>
      </w:r>
      <w:r w:rsidRPr="00D337FA">
        <w:rPr>
          <w:szCs w:val="24"/>
        </w:rPr>
        <w:t>Герасимов</w:t>
      </w:r>
      <w:r w:rsidR="006C680D" w:rsidRPr="00D337FA">
        <w:rPr>
          <w:szCs w:val="24"/>
        </w:rPr>
        <w:t xml:space="preserve"> </w:t>
      </w:r>
      <w:r w:rsidRPr="00D337FA">
        <w:rPr>
          <w:szCs w:val="24"/>
        </w:rPr>
        <w:t>Б.Н.,</w:t>
      </w:r>
      <w:r w:rsidR="006C680D" w:rsidRPr="00D337FA">
        <w:rPr>
          <w:szCs w:val="24"/>
        </w:rPr>
        <w:t xml:space="preserve"> </w:t>
      </w:r>
      <w:r w:rsidRPr="00D337FA">
        <w:rPr>
          <w:szCs w:val="24"/>
        </w:rPr>
        <w:t>Нечеухина</w:t>
      </w:r>
      <w:r w:rsidR="006C680D" w:rsidRPr="00D337FA">
        <w:rPr>
          <w:szCs w:val="24"/>
        </w:rPr>
        <w:t xml:space="preserve"> </w:t>
      </w:r>
      <w:r w:rsidRPr="00D337FA">
        <w:rPr>
          <w:szCs w:val="24"/>
        </w:rPr>
        <w:lastRenderedPageBreak/>
        <w:t>Н.С.,</w:t>
      </w:r>
      <w:r w:rsidR="006C680D" w:rsidRPr="00D337FA">
        <w:rPr>
          <w:szCs w:val="24"/>
        </w:rPr>
        <w:t xml:space="preserve"> </w:t>
      </w:r>
      <w:r w:rsidRPr="00D337FA">
        <w:rPr>
          <w:szCs w:val="24"/>
        </w:rPr>
        <w:t>Мустафина</w:t>
      </w:r>
      <w:r w:rsidR="006C680D" w:rsidRPr="00D337FA">
        <w:rPr>
          <w:szCs w:val="24"/>
        </w:rPr>
        <w:t xml:space="preserve"> </w:t>
      </w:r>
      <w:r w:rsidRPr="00D337FA">
        <w:rPr>
          <w:szCs w:val="24"/>
        </w:rPr>
        <w:t>О.В.,</w:t>
      </w:r>
      <w:r w:rsidR="006C680D" w:rsidRPr="00D337FA">
        <w:rPr>
          <w:szCs w:val="24"/>
        </w:rPr>
        <w:t xml:space="preserve"> </w:t>
      </w:r>
      <w:r w:rsidRPr="00D337FA">
        <w:rPr>
          <w:szCs w:val="24"/>
        </w:rPr>
        <w:t>Орлов</w:t>
      </w:r>
      <w:r w:rsidR="006C680D" w:rsidRPr="00D337FA">
        <w:rPr>
          <w:szCs w:val="24"/>
        </w:rPr>
        <w:t xml:space="preserve"> </w:t>
      </w:r>
      <w:r w:rsidRPr="00D337FA">
        <w:rPr>
          <w:szCs w:val="24"/>
        </w:rPr>
        <w:t>А.И.</w:t>
      </w:r>
      <w:r w:rsidR="006C680D" w:rsidRPr="00D337FA">
        <w:rPr>
          <w:szCs w:val="24"/>
        </w:rPr>
        <w:t xml:space="preserve"> </w:t>
      </w:r>
      <w:r w:rsidRPr="00D337FA">
        <w:rPr>
          <w:szCs w:val="24"/>
        </w:rPr>
        <w:t>[4,</w:t>
      </w:r>
      <w:r w:rsidR="006C680D" w:rsidRPr="00D337FA">
        <w:rPr>
          <w:szCs w:val="24"/>
        </w:rPr>
        <w:t xml:space="preserve"> </w:t>
      </w:r>
      <w:r w:rsidRPr="00D337FA">
        <w:rPr>
          <w:szCs w:val="24"/>
        </w:rPr>
        <w:t>6,</w:t>
      </w:r>
      <w:r w:rsidR="006C680D" w:rsidRPr="00D337FA">
        <w:rPr>
          <w:szCs w:val="24"/>
        </w:rPr>
        <w:t xml:space="preserve"> </w:t>
      </w:r>
      <w:r w:rsidRPr="00D337FA">
        <w:rPr>
          <w:szCs w:val="24"/>
        </w:rPr>
        <w:t>15,</w:t>
      </w:r>
      <w:r w:rsidR="006C680D" w:rsidRPr="00D337FA">
        <w:rPr>
          <w:szCs w:val="24"/>
        </w:rPr>
        <w:t xml:space="preserve"> </w:t>
      </w:r>
      <w:r w:rsidRPr="00D337FA">
        <w:rPr>
          <w:szCs w:val="24"/>
        </w:rPr>
        <w:t>18]</w:t>
      </w:r>
      <w:r w:rsidR="0002772A" w:rsidRPr="00D337FA">
        <w:rPr>
          <w:szCs w:val="24"/>
        </w:rPr>
        <w:t>.</w:t>
      </w:r>
    </w:p>
    <w:p w:rsidR="00C03F09" w:rsidRPr="00D337FA" w:rsidRDefault="00C03F09" w:rsidP="00C03F09">
      <w:pPr>
        <w:ind w:firstLine="142"/>
        <w:rPr>
          <w:szCs w:val="24"/>
        </w:rPr>
      </w:pPr>
      <w:r w:rsidRPr="00D337FA">
        <w:rPr>
          <w:szCs w:val="24"/>
        </w:rPr>
        <w:t>Среди</w:t>
      </w:r>
      <w:r w:rsidR="006C680D" w:rsidRPr="00D337FA">
        <w:rPr>
          <w:szCs w:val="24"/>
        </w:rPr>
        <w:t xml:space="preserve"> </w:t>
      </w:r>
      <w:r w:rsidRPr="00D337FA">
        <w:rPr>
          <w:szCs w:val="24"/>
        </w:rPr>
        <w:t>ученых</w:t>
      </w:r>
      <w:r w:rsidR="006C680D" w:rsidRPr="00D337FA">
        <w:rPr>
          <w:szCs w:val="24"/>
        </w:rPr>
        <w:t xml:space="preserve"> </w:t>
      </w:r>
      <w:r w:rsidRPr="00D337FA">
        <w:rPr>
          <w:szCs w:val="24"/>
        </w:rPr>
        <w:t>разный</w:t>
      </w:r>
      <w:r w:rsidR="006C680D" w:rsidRPr="00D337FA">
        <w:rPr>
          <w:szCs w:val="24"/>
        </w:rPr>
        <w:t xml:space="preserve"> </w:t>
      </w:r>
      <w:r w:rsidRPr="00D337FA">
        <w:rPr>
          <w:szCs w:val="24"/>
        </w:rPr>
        <w:t>направлений</w:t>
      </w:r>
      <w:r w:rsidR="006C680D" w:rsidRPr="00D337FA">
        <w:rPr>
          <w:szCs w:val="24"/>
        </w:rPr>
        <w:t xml:space="preserve"> </w:t>
      </w:r>
      <w:r w:rsidRPr="00D337FA">
        <w:rPr>
          <w:szCs w:val="24"/>
        </w:rPr>
        <w:t>нет</w:t>
      </w:r>
      <w:r w:rsidR="006C680D" w:rsidRPr="00D337FA">
        <w:rPr>
          <w:szCs w:val="24"/>
        </w:rPr>
        <w:t xml:space="preserve"> </w:t>
      </w:r>
      <w:r w:rsidRPr="00D337FA">
        <w:rPr>
          <w:szCs w:val="24"/>
        </w:rPr>
        <w:t>единства</w:t>
      </w:r>
      <w:r w:rsidR="006C680D" w:rsidRPr="00D337FA">
        <w:rPr>
          <w:szCs w:val="24"/>
        </w:rPr>
        <w:t xml:space="preserve"> </w:t>
      </w:r>
      <w:r w:rsidRPr="00D337FA">
        <w:rPr>
          <w:szCs w:val="24"/>
        </w:rPr>
        <w:t>в</w:t>
      </w:r>
      <w:r w:rsidR="006C680D" w:rsidRPr="00D337FA">
        <w:rPr>
          <w:szCs w:val="24"/>
        </w:rPr>
        <w:t xml:space="preserve"> </w:t>
      </w:r>
      <w:r w:rsidRPr="00D337FA">
        <w:rPr>
          <w:szCs w:val="24"/>
        </w:rPr>
        <w:t>определении</w:t>
      </w:r>
      <w:r w:rsidR="006C680D" w:rsidRPr="00D337FA">
        <w:rPr>
          <w:szCs w:val="24"/>
        </w:rPr>
        <w:t xml:space="preserve"> </w:t>
      </w:r>
      <w:r w:rsidRPr="00D337FA">
        <w:rPr>
          <w:szCs w:val="24"/>
        </w:rPr>
        <w:t>термина</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и</w:t>
      </w:r>
      <w:r w:rsidR="006C680D" w:rsidRPr="00D337FA">
        <w:rPr>
          <w:szCs w:val="24"/>
        </w:rPr>
        <w:t xml:space="preserve"> </w:t>
      </w:r>
      <w:r w:rsidRPr="00D337FA">
        <w:rPr>
          <w:szCs w:val="24"/>
        </w:rPr>
        <w:t>понимании</w:t>
      </w:r>
      <w:r w:rsidR="006C680D" w:rsidRPr="00D337FA">
        <w:rPr>
          <w:szCs w:val="24"/>
        </w:rPr>
        <w:t xml:space="preserve"> </w:t>
      </w:r>
      <w:r w:rsidRPr="00D337FA">
        <w:rPr>
          <w:szCs w:val="24"/>
        </w:rPr>
        <w:t>его</w:t>
      </w:r>
      <w:r w:rsidR="006C680D" w:rsidRPr="00D337FA">
        <w:rPr>
          <w:szCs w:val="24"/>
        </w:rPr>
        <w:t xml:space="preserve"> </w:t>
      </w:r>
      <w:r w:rsidRPr="00D337FA">
        <w:rPr>
          <w:szCs w:val="24"/>
        </w:rPr>
        <w:t>содержания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структуры.</w:t>
      </w:r>
      <w:r w:rsidR="006C680D" w:rsidRPr="00D337FA">
        <w:rPr>
          <w:szCs w:val="24"/>
        </w:rPr>
        <w:t xml:space="preserve"> </w:t>
      </w:r>
      <w:r w:rsidRPr="00D337FA">
        <w:rPr>
          <w:szCs w:val="24"/>
        </w:rPr>
        <w:t>Долгое</w:t>
      </w:r>
      <w:r w:rsidR="006C680D" w:rsidRPr="00D337FA">
        <w:rPr>
          <w:szCs w:val="24"/>
        </w:rPr>
        <w:t xml:space="preserve"> </w:t>
      </w:r>
      <w:r w:rsidRPr="00D337FA">
        <w:rPr>
          <w:szCs w:val="24"/>
        </w:rPr>
        <w:t>время</w:t>
      </w:r>
      <w:r w:rsidR="006C680D" w:rsidRPr="00D337FA">
        <w:rPr>
          <w:szCs w:val="24"/>
        </w:rPr>
        <w:t xml:space="preserve"> </w:t>
      </w:r>
      <w:r w:rsidRPr="00D337FA">
        <w:rPr>
          <w:szCs w:val="24"/>
        </w:rPr>
        <w:t>методологию</w:t>
      </w:r>
      <w:r w:rsidR="006C680D" w:rsidRPr="00D337FA">
        <w:rPr>
          <w:szCs w:val="24"/>
        </w:rPr>
        <w:t xml:space="preserve"> </w:t>
      </w:r>
      <w:r w:rsidRPr="00D337FA">
        <w:rPr>
          <w:szCs w:val="24"/>
        </w:rPr>
        <w:t>делили</w:t>
      </w:r>
      <w:r w:rsidR="006C680D" w:rsidRPr="00D337FA">
        <w:rPr>
          <w:szCs w:val="24"/>
        </w:rPr>
        <w:t xml:space="preserve"> </w:t>
      </w:r>
      <w:r w:rsidRPr="00D337FA">
        <w:rPr>
          <w:szCs w:val="24"/>
        </w:rPr>
        <w:t>на</w:t>
      </w:r>
      <w:r w:rsidR="006C680D" w:rsidRPr="00D337FA">
        <w:rPr>
          <w:szCs w:val="24"/>
        </w:rPr>
        <w:t xml:space="preserve"> </w:t>
      </w:r>
      <w:r w:rsidRPr="00D337FA">
        <w:rPr>
          <w:szCs w:val="24"/>
        </w:rPr>
        <w:t>четыре</w:t>
      </w:r>
      <w:r w:rsidR="006C680D" w:rsidRPr="00D337FA">
        <w:rPr>
          <w:szCs w:val="24"/>
        </w:rPr>
        <w:t xml:space="preserve"> </w:t>
      </w:r>
      <w:r w:rsidRPr="00D337FA">
        <w:rPr>
          <w:szCs w:val="24"/>
        </w:rPr>
        <w:t>уровня</w:t>
      </w:r>
      <w:r w:rsidR="006C680D" w:rsidRPr="00D337FA">
        <w:rPr>
          <w:szCs w:val="24"/>
        </w:rPr>
        <w:t xml:space="preserve"> </w:t>
      </w:r>
      <w:r w:rsidRPr="00D337FA">
        <w:rPr>
          <w:szCs w:val="24"/>
        </w:rPr>
        <w:t>(философский,</w:t>
      </w:r>
      <w:r w:rsidR="006C680D" w:rsidRPr="00D337FA">
        <w:rPr>
          <w:szCs w:val="24"/>
        </w:rPr>
        <w:t xml:space="preserve"> </w:t>
      </w:r>
      <w:r w:rsidRPr="00D337FA">
        <w:rPr>
          <w:szCs w:val="24"/>
        </w:rPr>
        <w:t>общенаучный,</w:t>
      </w:r>
      <w:r w:rsidR="006C680D" w:rsidRPr="00D337FA">
        <w:rPr>
          <w:szCs w:val="24"/>
        </w:rPr>
        <w:t xml:space="preserve"> </w:t>
      </w:r>
      <w:r w:rsidRPr="00D337FA">
        <w:rPr>
          <w:szCs w:val="24"/>
        </w:rPr>
        <w:t>конкретно-научный</w:t>
      </w:r>
      <w:r w:rsidR="006C680D" w:rsidRPr="00D337FA">
        <w:rPr>
          <w:szCs w:val="24"/>
        </w:rPr>
        <w:t xml:space="preserve"> </w:t>
      </w:r>
      <w:r w:rsidRPr="00D337FA">
        <w:rPr>
          <w:szCs w:val="24"/>
        </w:rPr>
        <w:t>и</w:t>
      </w:r>
      <w:r w:rsidR="006C680D" w:rsidRPr="00D337FA">
        <w:rPr>
          <w:szCs w:val="24"/>
        </w:rPr>
        <w:t xml:space="preserve"> </w:t>
      </w:r>
      <w:r w:rsidRPr="00D337FA">
        <w:rPr>
          <w:szCs w:val="24"/>
        </w:rPr>
        <w:t>технологический),</w:t>
      </w:r>
      <w:r w:rsidR="006C680D" w:rsidRPr="00D337FA">
        <w:rPr>
          <w:szCs w:val="24"/>
        </w:rPr>
        <w:t xml:space="preserve"> </w:t>
      </w:r>
      <w:r w:rsidRPr="00D337FA">
        <w:rPr>
          <w:szCs w:val="24"/>
        </w:rPr>
        <w:t>что</w:t>
      </w:r>
      <w:r w:rsidR="006C680D" w:rsidRPr="00D337FA">
        <w:rPr>
          <w:szCs w:val="24"/>
        </w:rPr>
        <w:t xml:space="preserve"> </w:t>
      </w:r>
      <w:r w:rsidRPr="00D337FA">
        <w:rPr>
          <w:szCs w:val="24"/>
        </w:rPr>
        <w:t>не</w:t>
      </w:r>
      <w:r w:rsidR="006C680D" w:rsidRPr="00D337FA">
        <w:rPr>
          <w:szCs w:val="24"/>
        </w:rPr>
        <w:t xml:space="preserve"> </w:t>
      </w:r>
      <w:r w:rsidRPr="00D337FA">
        <w:rPr>
          <w:szCs w:val="24"/>
        </w:rPr>
        <w:t>обеспечивало</w:t>
      </w:r>
      <w:r w:rsidR="006C680D" w:rsidRPr="00D337FA">
        <w:rPr>
          <w:szCs w:val="24"/>
        </w:rPr>
        <w:t xml:space="preserve"> </w:t>
      </w:r>
      <w:r w:rsidRPr="00D337FA">
        <w:rPr>
          <w:szCs w:val="24"/>
        </w:rPr>
        <w:t>единство</w:t>
      </w:r>
      <w:r w:rsidR="006C680D" w:rsidRPr="00D337FA">
        <w:rPr>
          <w:szCs w:val="24"/>
        </w:rPr>
        <w:t xml:space="preserve"> </w:t>
      </w:r>
      <w:r w:rsidRPr="00D337FA">
        <w:rPr>
          <w:szCs w:val="24"/>
        </w:rPr>
        <w:t>понимания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создавало</w:t>
      </w:r>
      <w:r w:rsidR="006C680D" w:rsidRPr="00D337FA">
        <w:rPr>
          <w:szCs w:val="24"/>
        </w:rPr>
        <w:t xml:space="preserve"> </w:t>
      </w:r>
      <w:r w:rsidRPr="00D337FA">
        <w:rPr>
          <w:szCs w:val="24"/>
        </w:rPr>
        <w:t>серьезный</w:t>
      </w:r>
      <w:r w:rsidR="006C680D" w:rsidRPr="00D337FA">
        <w:rPr>
          <w:szCs w:val="24"/>
        </w:rPr>
        <w:t xml:space="preserve"> </w:t>
      </w:r>
      <w:r w:rsidRPr="00D337FA">
        <w:rPr>
          <w:szCs w:val="24"/>
        </w:rPr>
        <w:t>разрыв</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уровнями</w:t>
      </w:r>
      <w:r w:rsidR="006C680D" w:rsidRPr="00D337FA">
        <w:rPr>
          <w:szCs w:val="24"/>
        </w:rPr>
        <w:t xml:space="preserve"> </w:t>
      </w:r>
      <w:r w:rsidRPr="00D337FA">
        <w:rPr>
          <w:szCs w:val="24"/>
        </w:rPr>
        <w:t>и</w:t>
      </w:r>
      <w:r w:rsidR="006C680D" w:rsidRPr="00D337FA">
        <w:rPr>
          <w:szCs w:val="24"/>
        </w:rPr>
        <w:t xml:space="preserve"> </w:t>
      </w:r>
      <w:r w:rsidRPr="00D337FA">
        <w:rPr>
          <w:szCs w:val="24"/>
        </w:rPr>
        <w:t>учеными,</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на</w:t>
      </w:r>
      <w:r w:rsidR="006C680D" w:rsidRPr="00D337FA">
        <w:rPr>
          <w:szCs w:val="24"/>
        </w:rPr>
        <w:t xml:space="preserve"> </w:t>
      </w:r>
      <w:r w:rsidRPr="00D337FA">
        <w:rPr>
          <w:szCs w:val="24"/>
        </w:rPr>
        <w:t>них</w:t>
      </w:r>
      <w:r w:rsidR="006C680D" w:rsidRPr="00D337FA">
        <w:rPr>
          <w:szCs w:val="24"/>
        </w:rPr>
        <w:t xml:space="preserve"> </w:t>
      </w:r>
      <w:r w:rsidRPr="00D337FA">
        <w:rPr>
          <w:szCs w:val="24"/>
        </w:rPr>
        <w:t>работали.</w:t>
      </w:r>
      <w:r w:rsidR="006C680D" w:rsidRPr="00D337FA">
        <w:rPr>
          <w:szCs w:val="24"/>
        </w:rPr>
        <w:t xml:space="preserve"> </w:t>
      </w:r>
      <w:r w:rsidRPr="00D337FA">
        <w:rPr>
          <w:szCs w:val="24"/>
        </w:rPr>
        <w:t>Такой</w:t>
      </w:r>
      <w:r w:rsidR="006C680D" w:rsidRPr="00D337FA">
        <w:rPr>
          <w:szCs w:val="24"/>
        </w:rPr>
        <w:t xml:space="preserve"> </w:t>
      </w:r>
      <w:r w:rsidRPr="00D337FA">
        <w:rPr>
          <w:szCs w:val="24"/>
        </w:rPr>
        <w:t>подход</w:t>
      </w:r>
      <w:r w:rsidR="006C680D" w:rsidRPr="00D337FA">
        <w:rPr>
          <w:szCs w:val="24"/>
        </w:rPr>
        <w:t xml:space="preserve"> </w:t>
      </w:r>
      <w:r w:rsidRPr="00D337FA">
        <w:rPr>
          <w:szCs w:val="24"/>
        </w:rPr>
        <w:t>не</w:t>
      </w:r>
      <w:r w:rsidR="006C680D" w:rsidRPr="00D337FA">
        <w:rPr>
          <w:szCs w:val="24"/>
        </w:rPr>
        <w:t xml:space="preserve"> </w:t>
      </w:r>
      <w:r w:rsidRPr="00D337FA">
        <w:rPr>
          <w:szCs w:val="24"/>
        </w:rPr>
        <w:t>позволял</w:t>
      </w:r>
      <w:r w:rsidR="006C680D" w:rsidRPr="00D337FA">
        <w:rPr>
          <w:szCs w:val="24"/>
        </w:rPr>
        <w:t xml:space="preserve"> </w:t>
      </w:r>
      <w:r w:rsidRPr="00D337FA">
        <w:rPr>
          <w:szCs w:val="24"/>
        </w:rPr>
        <w:t>сформировать</w:t>
      </w:r>
      <w:r w:rsidR="006C680D" w:rsidRPr="00D337FA">
        <w:rPr>
          <w:szCs w:val="24"/>
        </w:rPr>
        <w:t xml:space="preserve"> </w:t>
      </w:r>
      <w:r w:rsidRPr="00D337FA">
        <w:rPr>
          <w:szCs w:val="24"/>
        </w:rPr>
        <w:t>целостное</w:t>
      </w:r>
      <w:r w:rsidR="006C680D" w:rsidRPr="00D337FA">
        <w:rPr>
          <w:szCs w:val="24"/>
        </w:rPr>
        <w:t xml:space="preserve"> </w:t>
      </w:r>
      <w:r w:rsidRPr="00D337FA">
        <w:rPr>
          <w:szCs w:val="24"/>
        </w:rPr>
        <w:t>научное</w:t>
      </w:r>
      <w:r w:rsidR="006C680D" w:rsidRPr="00D337FA">
        <w:rPr>
          <w:szCs w:val="24"/>
        </w:rPr>
        <w:t xml:space="preserve"> </w:t>
      </w:r>
      <w:r w:rsidRPr="00D337FA">
        <w:rPr>
          <w:szCs w:val="24"/>
        </w:rPr>
        <w:t>знание</w:t>
      </w:r>
      <w:r w:rsidR="006C680D" w:rsidRPr="00D337FA">
        <w:rPr>
          <w:szCs w:val="24"/>
        </w:rPr>
        <w:t xml:space="preserve"> </w:t>
      </w:r>
      <w:r w:rsidRPr="00D337FA">
        <w:rPr>
          <w:szCs w:val="24"/>
        </w:rPr>
        <w:t>и</w:t>
      </w:r>
      <w:r w:rsidR="006C680D" w:rsidRPr="00D337FA">
        <w:rPr>
          <w:szCs w:val="24"/>
        </w:rPr>
        <w:t xml:space="preserve"> </w:t>
      </w:r>
      <w:r w:rsidRPr="00D337FA">
        <w:rPr>
          <w:szCs w:val="24"/>
        </w:rPr>
        <w:t>его</w:t>
      </w:r>
      <w:r w:rsidR="006C680D" w:rsidRPr="00D337FA">
        <w:rPr>
          <w:szCs w:val="24"/>
        </w:rPr>
        <w:t xml:space="preserve"> </w:t>
      </w:r>
      <w:r w:rsidRPr="00D337FA">
        <w:rPr>
          <w:szCs w:val="24"/>
        </w:rPr>
        <w:t>связь</w:t>
      </w:r>
      <w:r w:rsidR="006C680D" w:rsidRPr="00D337FA">
        <w:rPr>
          <w:szCs w:val="24"/>
        </w:rPr>
        <w:t xml:space="preserve"> </w:t>
      </w:r>
      <w:r w:rsidRPr="00D337FA">
        <w:rPr>
          <w:szCs w:val="24"/>
        </w:rPr>
        <w:t>с</w:t>
      </w:r>
      <w:r w:rsidR="006C680D" w:rsidRPr="00D337FA">
        <w:rPr>
          <w:szCs w:val="24"/>
        </w:rPr>
        <w:t xml:space="preserve"> </w:t>
      </w:r>
      <w:r w:rsidRPr="00D337FA">
        <w:rPr>
          <w:szCs w:val="24"/>
        </w:rPr>
        <w:t>практическим.</w:t>
      </w:r>
      <w:r w:rsidR="006C680D" w:rsidRPr="00D337FA">
        <w:rPr>
          <w:szCs w:val="24"/>
        </w:rPr>
        <w:t xml:space="preserve"> </w:t>
      </w:r>
      <w:r w:rsidRPr="00D337FA">
        <w:rPr>
          <w:szCs w:val="24"/>
        </w:rPr>
        <w:t>Часто</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рассматривается</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в</w:t>
      </w:r>
      <w:r w:rsidR="006C680D" w:rsidRPr="00D337FA">
        <w:rPr>
          <w:szCs w:val="24"/>
        </w:rPr>
        <w:t xml:space="preserve"> </w:t>
      </w:r>
      <w:r w:rsidRPr="00D337FA">
        <w:rPr>
          <w:szCs w:val="24"/>
        </w:rPr>
        <w:t>разрезе</w:t>
      </w:r>
      <w:r w:rsidR="006C680D" w:rsidRPr="00D337FA">
        <w:rPr>
          <w:szCs w:val="24"/>
        </w:rPr>
        <w:t xml:space="preserve"> </w:t>
      </w:r>
      <w:r w:rsidRPr="00D337FA">
        <w:rPr>
          <w:szCs w:val="24"/>
        </w:rPr>
        <w:t>науки</w:t>
      </w:r>
      <w:r w:rsidR="006C680D" w:rsidRPr="00D337FA">
        <w:rPr>
          <w:szCs w:val="24"/>
        </w:rPr>
        <w:t xml:space="preserve"> </w:t>
      </w:r>
      <w:r w:rsidRPr="00D337FA">
        <w:rPr>
          <w:szCs w:val="24"/>
        </w:rPr>
        <w:t>или</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познания</w:t>
      </w:r>
      <w:r w:rsidR="006C680D" w:rsidRPr="00D337FA">
        <w:rPr>
          <w:szCs w:val="24"/>
        </w:rPr>
        <w:t xml:space="preserve"> </w:t>
      </w:r>
      <w:r w:rsidRPr="00D337FA">
        <w:rPr>
          <w:szCs w:val="24"/>
        </w:rPr>
        <w:t>мира.</w:t>
      </w:r>
      <w:r w:rsidR="006C680D" w:rsidRPr="00D337FA">
        <w:rPr>
          <w:szCs w:val="24"/>
        </w:rPr>
        <w:t xml:space="preserve"> </w:t>
      </w:r>
      <w:r w:rsidRPr="00D337FA">
        <w:rPr>
          <w:szCs w:val="24"/>
        </w:rPr>
        <w:t>Абстрактность</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отпугивает,</w:t>
      </w:r>
      <w:r w:rsidR="006C680D" w:rsidRPr="00D337FA">
        <w:rPr>
          <w:szCs w:val="24"/>
        </w:rPr>
        <w:t xml:space="preserve"> </w:t>
      </w:r>
      <w:r w:rsidRPr="00D337FA">
        <w:rPr>
          <w:szCs w:val="24"/>
        </w:rPr>
        <w:t>вследствие</w:t>
      </w:r>
      <w:r w:rsidR="006C680D" w:rsidRPr="00D337FA">
        <w:rPr>
          <w:szCs w:val="24"/>
        </w:rPr>
        <w:t xml:space="preserve"> </w:t>
      </w:r>
      <w:r w:rsidRPr="00D337FA">
        <w:rPr>
          <w:szCs w:val="24"/>
        </w:rPr>
        <w:t>восприятия</w:t>
      </w:r>
      <w:r w:rsidR="006C680D" w:rsidRPr="00D337FA">
        <w:rPr>
          <w:szCs w:val="24"/>
        </w:rPr>
        <w:t xml:space="preserve"> </w:t>
      </w:r>
      <w:r w:rsidRPr="00D337FA">
        <w:rPr>
          <w:szCs w:val="24"/>
        </w:rPr>
        <w:t>ее</w:t>
      </w:r>
      <w:r w:rsidR="006C680D" w:rsidRPr="00D337FA">
        <w:rPr>
          <w:szCs w:val="24"/>
        </w:rPr>
        <w:t xml:space="preserve"> </w:t>
      </w:r>
      <w:r w:rsidRPr="00D337FA">
        <w:rPr>
          <w:szCs w:val="24"/>
        </w:rPr>
        <w:t>как</w:t>
      </w:r>
      <w:r w:rsidR="006C680D" w:rsidRPr="00D337FA">
        <w:rPr>
          <w:szCs w:val="24"/>
        </w:rPr>
        <w:t xml:space="preserve"> </w:t>
      </w:r>
      <w:r w:rsidRPr="00D337FA">
        <w:rPr>
          <w:szCs w:val="24"/>
        </w:rPr>
        <w:t>учения</w:t>
      </w:r>
      <w:r w:rsidR="006C680D" w:rsidRPr="00D337FA">
        <w:rPr>
          <w:szCs w:val="24"/>
        </w:rPr>
        <w:t xml:space="preserve"> </w:t>
      </w:r>
      <w:r w:rsidRPr="00D337FA">
        <w:rPr>
          <w:szCs w:val="24"/>
        </w:rPr>
        <w:t>о</w:t>
      </w:r>
      <w:r w:rsidR="006C680D" w:rsidRPr="00D337FA">
        <w:rPr>
          <w:szCs w:val="24"/>
        </w:rPr>
        <w:t xml:space="preserve"> </w:t>
      </w:r>
      <w:r w:rsidRPr="00D337FA">
        <w:rPr>
          <w:szCs w:val="24"/>
        </w:rPr>
        <w:t>знании</w:t>
      </w:r>
      <w:r w:rsidR="006C680D" w:rsidRPr="00D337FA">
        <w:rPr>
          <w:szCs w:val="24"/>
        </w:rPr>
        <w:t xml:space="preserve"> </w:t>
      </w:r>
      <w:r w:rsidRPr="00D337FA">
        <w:rPr>
          <w:szCs w:val="24"/>
        </w:rPr>
        <w:t>и</w:t>
      </w:r>
      <w:r w:rsidR="006C680D" w:rsidRPr="00D337FA">
        <w:rPr>
          <w:szCs w:val="24"/>
        </w:rPr>
        <w:t xml:space="preserve"> </w:t>
      </w:r>
      <w:r w:rsidRPr="00D337FA">
        <w:rPr>
          <w:szCs w:val="24"/>
        </w:rPr>
        <w:t>методах</w:t>
      </w:r>
      <w:r w:rsidR="006C680D" w:rsidRPr="00D337FA">
        <w:rPr>
          <w:szCs w:val="24"/>
        </w:rPr>
        <w:t xml:space="preserve"> </w:t>
      </w:r>
      <w:r w:rsidRPr="00D337FA">
        <w:rPr>
          <w:szCs w:val="24"/>
        </w:rPr>
        <w:t>познания.</w:t>
      </w:r>
      <w:r w:rsidR="006C680D" w:rsidRPr="00D337FA">
        <w:rPr>
          <w:szCs w:val="24"/>
        </w:rPr>
        <w:t xml:space="preserve"> </w:t>
      </w:r>
      <w:r w:rsidRPr="00D337FA">
        <w:rPr>
          <w:szCs w:val="24"/>
        </w:rPr>
        <w:t>Но</w:t>
      </w:r>
      <w:r w:rsidR="006C680D" w:rsidRPr="00D337FA">
        <w:rPr>
          <w:szCs w:val="24"/>
        </w:rPr>
        <w:t xml:space="preserve"> </w:t>
      </w:r>
      <w:r w:rsidRPr="00D337FA">
        <w:rPr>
          <w:szCs w:val="24"/>
        </w:rPr>
        <w:t>важно</w:t>
      </w:r>
      <w:r w:rsidR="006C680D" w:rsidRPr="00D337FA">
        <w:rPr>
          <w:szCs w:val="24"/>
        </w:rPr>
        <w:t xml:space="preserve"> </w:t>
      </w:r>
      <w:r w:rsidRPr="00D337FA">
        <w:rPr>
          <w:szCs w:val="24"/>
        </w:rPr>
        <w:t>понимать,</w:t>
      </w:r>
      <w:r w:rsidR="006C680D" w:rsidRPr="00D337FA">
        <w:rPr>
          <w:szCs w:val="24"/>
        </w:rPr>
        <w:t xml:space="preserve"> </w:t>
      </w:r>
      <w:r w:rsidRPr="00D337FA">
        <w:rPr>
          <w:szCs w:val="24"/>
        </w:rPr>
        <w:t>что</w:t>
      </w:r>
      <w:r w:rsidR="006C680D" w:rsidRPr="00D337FA">
        <w:rPr>
          <w:szCs w:val="24"/>
        </w:rPr>
        <w:t xml:space="preserve"> </w:t>
      </w:r>
      <w:r w:rsidRPr="00D337FA">
        <w:rPr>
          <w:szCs w:val="24"/>
        </w:rPr>
        <w:t>данное</w:t>
      </w:r>
      <w:r w:rsidR="006C680D" w:rsidRPr="00D337FA">
        <w:rPr>
          <w:szCs w:val="24"/>
        </w:rPr>
        <w:t xml:space="preserve"> </w:t>
      </w:r>
      <w:r w:rsidRPr="00D337FA">
        <w:rPr>
          <w:szCs w:val="24"/>
        </w:rPr>
        <w:t>понятие</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распространяться</w:t>
      </w:r>
      <w:r w:rsidR="006C680D" w:rsidRPr="00D337FA">
        <w:rPr>
          <w:szCs w:val="24"/>
        </w:rPr>
        <w:t xml:space="preserve"> </w:t>
      </w:r>
      <w:r w:rsidRPr="00D337FA">
        <w:rPr>
          <w:szCs w:val="24"/>
        </w:rPr>
        <w:t>и</w:t>
      </w:r>
      <w:r w:rsidR="006C680D" w:rsidRPr="00D337FA">
        <w:rPr>
          <w:szCs w:val="24"/>
        </w:rPr>
        <w:t xml:space="preserve"> </w:t>
      </w:r>
      <w:r w:rsidRPr="00D337FA">
        <w:rPr>
          <w:szCs w:val="24"/>
        </w:rPr>
        <w:t>на</w:t>
      </w:r>
      <w:r w:rsidR="006C680D" w:rsidRPr="00D337FA">
        <w:rPr>
          <w:szCs w:val="24"/>
        </w:rPr>
        <w:t xml:space="preserve"> </w:t>
      </w:r>
      <w:r w:rsidRPr="00D337FA">
        <w:rPr>
          <w:szCs w:val="24"/>
        </w:rPr>
        <w:t>другие</w:t>
      </w:r>
      <w:r w:rsidR="006C680D" w:rsidRPr="00D337FA">
        <w:rPr>
          <w:szCs w:val="24"/>
        </w:rPr>
        <w:t xml:space="preserve"> </w:t>
      </w:r>
      <w:r w:rsidRPr="00D337FA">
        <w:rPr>
          <w:szCs w:val="24"/>
        </w:rPr>
        <w:t>виды</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том</w:t>
      </w:r>
      <w:r w:rsidR="006C680D" w:rsidRPr="00D337FA">
        <w:rPr>
          <w:szCs w:val="24"/>
        </w:rPr>
        <w:t xml:space="preserve"> </w:t>
      </w:r>
      <w:r w:rsidRPr="00D337FA">
        <w:rPr>
          <w:szCs w:val="24"/>
        </w:rPr>
        <w:t>числе</w:t>
      </w:r>
      <w:r w:rsidR="006C680D" w:rsidRPr="00D337FA">
        <w:rPr>
          <w:szCs w:val="24"/>
        </w:rPr>
        <w:t xml:space="preserve"> </w:t>
      </w:r>
      <w:r w:rsidRPr="00D337FA">
        <w:rPr>
          <w:szCs w:val="24"/>
        </w:rPr>
        <w:t>и</w:t>
      </w:r>
      <w:r w:rsidR="006C680D" w:rsidRPr="00D337FA">
        <w:rPr>
          <w:szCs w:val="24"/>
        </w:rPr>
        <w:t xml:space="preserve"> </w:t>
      </w:r>
      <w:r w:rsidRPr="00D337FA">
        <w:rPr>
          <w:szCs w:val="24"/>
        </w:rPr>
        <w:t>практические.</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понимать</w:t>
      </w:r>
      <w:r w:rsidR="006C680D" w:rsidRPr="00D337FA">
        <w:rPr>
          <w:szCs w:val="24"/>
        </w:rPr>
        <w:t xml:space="preserve"> </w:t>
      </w:r>
      <w:r w:rsidRPr="00D337FA">
        <w:rPr>
          <w:szCs w:val="24"/>
        </w:rPr>
        <w:t>под</w:t>
      </w:r>
      <w:r w:rsidR="006C680D" w:rsidRPr="00D337FA">
        <w:rPr>
          <w:szCs w:val="24"/>
        </w:rPr>
        <w:t xml:space="preserve"> </w:t>
      </w:r>
      <w:r w:rsidRPr="00D337FA">
        <w:rPr>
          <w:szCs w:val="24"/>
        </w:rPr>
        <w:t>методологией</w:t>
      </w:r>
      <w:r w:rsidR="006C680D" w:rsidRPr="00D337FA">
        <w:rPr>
          <w:szCs w:val="24"/>
        </w:rPr>
        <w:t xml:space="preserve"> </w:t>
      </w:r>
      <w:r w:rsidRPr="00D337FA">
        <w:rPr>
          <w:szCs w:val="24"/>
        </w:rPr>
        <w:t>область</w:t>
      </w:r>
      <w:r w:rsidR="006C680D" w:rsidRPr="00D337FA">
        <w:rPr>
          <w:szCs w:val="24"/>
        </w:rPr>
        <w:t xml:space="preserve"> </w:t>
      </w:r>
      <w:r w:rsidRPr="00D337FA">
        <w:rPr>
          <w:szCs w:val="24"/>
        </w:rPr>
        <w:t>знания,</w:t>
      </w:r>
      <w:r w:rsidR="006C680D" w:rsidRPr="00D337FA">
        <w:rPr>
          <w:szCs w:val="24"/>
        </w:rPr>
        <w:t xml:space="preserve"> </w:t>
      </w:r>
      <w:r w:rsidRPr="00D337FA">
        <w:rPr>
          <w:szCs w:val="24"/>
        </w:rPr>
        <w:t>изучающую</w:t>
      </w:r>
      <w:r w:rsidR="006C680D" w:rsidRPr="00D337FA">
        <w:rPr>
          <w:szCs w:val="24"/>
        </w:rPr>
        <w:t xml:space="preserve"> </w:t>
      </w:r>
      <w:r w:rsidRPr="00D337FA">
        <w:rPr>
          <w:szCs w:val="24"/>
        </w:rPr>
        <w:t>средства,</w:t>
      </w:r>
      <w:r w:rsidR="006C680D" w:rsidRPr="00D337FA">
        <w:rPr>
          <w:szCs w:val="24"/>
        </w:rPr>
        <w:t xml:space="preserve"> </w:t>
      </w:r>
      <w:r w:rsidRPr="00D337FA">
        <w:rPr>
          <w:szCs w:val="24"/>
        </w:rPr>
        <w:t>предпосылки</w:t>
      </w:r>
      <w:r w:rsidR="006C680D" w:rsidRPr="00D337FA">
        <w:rPr>
          <w:szCs w:val="24"/>
        </w:rPr>
        <w:t xml:space="preserve"> </w:t>
      </w:r>
      <w:r w:rsidRPr="00D337FA">
        <w:rPr>
          <w:szCs w:val="24"/>
        </w:rPr>
        <w:t>и</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познавательной</w:t>
      </w:r>
      <w:r w:rsidR="006C680D" w:rsidRPr="00D337FA">
        <w:rPr>
          <w:szCs w:val="24"/>
        </w:rPr>
        <w:t xml:space="preserve"> </w:t>
      </w:r>
      <w:r w:rsidRPr="00D337FA">
        <w:rPr>
          <w:szCs w:val="24"/>
        </w:rPr>
        <w:t>и</w:t>
      </w:r>
      <w:r w:rsidR="006C680D" w:rsidRPr="00D337FA">
        <w:rPr>
          <w:szCs w:val="24"/>
        </w:rPr>
        <w:t xml:space="preserve"> </w:t>
      </w:r>
      <w:r w:rsidRPr="00D337FA">
        <w:rPr>
          <w:szCs w:val="24"/>
        </w:rPr>
        <w:t>практически-преобразующей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Иногда</w:t>
      </w:r>
      <w:r w:rsidR="006C680D" w:rsidRPr="00D337FA">
        <w:rPr>
          <w:szCs w:val="24"/>
        </w:rPr>
        <w:t xml:space="preserve"> </w:t>
      </w:r>
      <w:r w:rsidRPr="00D337FA">
        <w:rPr>
          <w:szCs w:val="24"/>
        </w:rPr>
        <w:t>методологию</w:t>
      </w:r>
      <w:r w:rsidR="006C680D" w:rsidRPr="00D337FA">
        <w:rPr>
          <w:szCs w:val="24"/>
        </w:rPr>
        <w:t xml:space="preserve"> </w:t>
      </w:r>
      <w:r w:rsidRPr="00D337FA">
        <w:rPr>
          <w:szCs w:val="24"/>
        </w:rPr>
        <w:t>рассматривают</w:t>
      </w:r>
      <w:r w:rsidR="006C680D" w:rsidRPr="00D337FA">
        <w:rPr>
          <w:szCs w:val="24"/>
        </w:rPr>
        <w:t xml:space="preserve"> </w:t>
      </w:r>
      <w:r w:rsidRPr="00D337FA">
        <w:rPr>
          <w:szCs w:val="24"/>
        </w:rPr>
        <w:t>как</w:t>
      </w:r>
      <w:r w:rsidR="006C680D" w:rsidRPr="00D337FA">
        <w:rPr>
          <w:szCs w:val="24"/>
        </w:rPr>
        <w:t xml:space="preserve"> </w:t>
      </w:r>
      <w:r w:rsidRPr="00D337FA">
        <w:rPr>
          <w:szCs w:val="24"/>
        </w:rPr>
        <w:t>совокупность</w:t>
      </w:r>
      <w:r w:rsidR="006C680D" w:rsidRPr="00D337FA">
        <w:rPr>
          <w:szCs w:val="24"/>
        </w:rPr>
        <w:t xml:space="preserve"> </w:t>
      </w:r>
      <w:r w:rsidRPr="00D337FA">
        <w:rPr>
          <w:szCs w:val="24"/>
        </w:rPr>
        <w:t>некоторых</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но</w:t>
      </w:r>
      <w:r w:rsidR="006C680D" w:rsidRPr="00D337FA">
        <w:rPr>
          <w:szCs w:val="24"/>
        </w:rPr>
        <w:t xml:space="preserve"> </w:t>
      </w:r>
      <w:r w:rsidRPr="00D337FA">
        <w:rPr>
          <w:szCs w:val="24"/>
        </w:rPr>
        <w:t>это</w:t>
      </w:r>
      <w:r w:rsidR="006C680D" w:rsidRPr="00D337FA">
        <w:rPr>
          <w:szCs w:val="24"/>
        </w:rPr>
        <w:t xml:space="preserve"> </w:t>
      </w:r>
      <w:r w:rsidRPr="00D337FA">
        <w:rPr>
          <w:szCs w:val="24"/>
        </w:rPr>
        <w:t>тоже</w:t>
      </w:r>
      <w:r w:rsidR="006C680D" w:rsidRPr="00D337FA">
        <w:rPr>
          <w:szCs w:val="24"/>
        </w:rPr>
        <w:t xml:space="preserve"> </w:t>
      </w:r>
      <w:r w:rsidRPr="00D337FA">
        <w:rPr>
          <w:szCs w:val="24"/>
        </w:rPr>
        <w:t>не</w:t>
      </w:r>
      <w:r w:rsidR="006C680D" w:rsidRPr="00D337FA">
        <w:rPr>
          <w:szCs w:val="24"/>
        </w:rPr>
        <w:t xml:space="preserve"> </w:t>
      </w:r>
      <w:r w:rsidRPr="00D337FA">
        <w:rPr>
          <w:szCs w:val="24"/>
        </w:rPr>
        <w:t>верное,</w:t>
      </w:r>
      <w:r w:rsidR="006C680D" w:rsidRPr="00D337FA">
        <w:rPr>
          <w:szCs w:val="24"/>
        </w:rPr>
        <w:t xml:space="preserve"> </w:t>
      </w:r>
      <w:r w:rsidRPr="00D337FA">
        <w:rPr>
          <w:szCs w:val="24"/>
        </w:rPr>
        <w:t>слишком</w:t>
      </w:r>
      <w:r w:rsidR="006C680D" w:rsidRPr="00D337FA">
        <w:rPr>
          <w:szCs w:val="24"/>
        </w:rPr>
        <w:t xml:space="preserve"> </w:t>
      </w:r>
      <w:r w:rsidRPr="00D337FA">
        <w:rPr>
          <w:szCs w:val="24"/>
        </w:rPr>
        <w:t>узкое</w:t>
      </w:r>
      <w:r w:rsidR="006C680D" w:rsidRPr="00D337FA">
        <w:rPr>
          <w:szCs w:val="24"/>
        </w:rPr>
        <w:t xml:space="preserve"> </w:t>
      </w:r>
      <w:r w:rsidRPr="00D337FA">
        <w:rPr>
          <w:szCs w:val="24"/>
        </w:rPr>
        <w:t>понимание</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термина.</w:t>
      </w:r>
      <w:r w:rsidR="006C680D" w:rsidRPr="00D337FA">
        <w:rPr>
          <w:szCs w:val="24"/>
        </w:rPr>
        <w:t xml:space="preserve"> </w:t>
      </w:r>
      <w:r w:rsidRPr="00D337FA">
        <w:rPr>
          <w:szCs w:val="24"/>
        </w:rPr>
        <w:t>Необходимо,</w:t>
      </w:r>
      <w:r w:rsidR="006C680D" w:rsidRPr="00D337FA">
        <w:rPr>
          <w:szCs w:val="24"/>
        </w:rPr>
        <w:t xml:space="preserve"> </w:t>
      </w:r>
      <w:r w:rsidRPr="00D337FA">
        <w:rPr>
          <w:szCs w:val="24"/>
        </w:rPr>
        <w:t>как</w:t>
      </w:r>
      <w:r w:rsidR="006C680D" w:rsidRPr="00D337FA">
        <w:rPr>
          <w:szCs w:val="24"/>
        </w:rPr>
        <w:t xml:space="preserve"> </w:t>
      </w:r>
      <w:r w:rsidRPr="00D337FA">
        <w:rPr>
          <w:szCs w:val="24"/>
        </w:rPr>
        <w:t>минимум,</w:t>
      </w:r>
      <w:r w:rsidR="006C680D" w:rsidRPr="00D337FA">
        <w:rPr>
          <w:szCs w:val="24"/>
        </w:rPr>
        <w:t xml:space="preserve"> </w:t>
      </w:r>
      <w:r w:rsidRPr="00D337FA">
        <w:rPr>
          <w:szCs w:val="24"/>
        </w:rPr>
        <w:t>учитывать</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применения</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и</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реализации</w:t>
      </w:r>
      <w:r w:rsidR="006C680D" w:rsidRPr="00D337FA">
        <w:rPr>
          <w:szCs w:val="24"/>
        </w:rPr>
        <w:t xml:space="preserve"> </w:t>
      </w:r>
      <w:r w:rsidRPr="00D337FA">
        <w:rPr>
          <w:szCs w:val="24"/>
        </w:rPr>
        <w:t>в</w:t>
      </w:r>
      <w:r w:rsidR="006C680D" w:rsidRPr="00D337FA">
        <w:rPr>
          <w:szCs w:val="24"/>
        </w:rPr>
        <w:t xml:space="preserve"> </w:t>
      </w:r>
      <w:r w:rsidRPr="00D337FA">
        <w:rPr>
          <w:szCs w:val="24"/>
        </w:rPr>
        <w:t>соответствии</w:t>
      </w:r>
      <w:r w:rsidR="006C680D" w:rsidRPr="00D337FA">
        <w:rPr>
          <w:szCs w:val="24"/>
        </w:rPr>
        <w:t xml:space="preserve"> </w:t>
      </w:r>
      <w:r w:rsidRPr="00D337FA">
        <w:rPr>
          <w:szCs w:val="24"/>
        </w:rPr>
        <w:t>с</w:t>
      </w:r>
      <w:r w:rsidR="006C680D" w:rsidRPr="00D337FA">
        <w:rPr>
          <w:szCs w:val="24"/>
        </w:rPr>
        <w:t xml:space="preserve"> </w:t>
      </w:r>
      <w:r w:rsidRPr="00D337FA">
        <w:rPr>
          <w:szCs w:val="24"/>
        </w:rPr>
        <w:t>объектом</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предметом,</w:t>
      </w:r>
      <w:r w:rsidR="006C680D" w:rsidRPr="00D337FA">
        <w:rPr>
          <w:szCs w:val="24"/>
        </w:rPr>
        <w:t xml:space="preserve"> </w:t>
      </w:r>
      <w:r w:rsidRPr="00D337FA">
        <w:rPr>
          <w:szCs w:val="24"/>
        </w:rPr>
        <w:t>с</w:t>
      </w:r>
      <w:r w:rsidR="006C680D" w:rsidRPr="00D337FA">
        <w:rPr>
          <w:szCs w:val="24"/>
        </w:rPr>
        <w:t xml:space="preserve"> </w:t>
      </w:r>
      <w:r w:rsidRPr="00D337FA">
        <w:rPr>
          <w:szCs w:val="24"/>
        </w:rPr>
        <w:t>характеристиками</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Другие</w:t>
      </w:r>
      <w:r w:rsidR="006C680D" w:rsidRPr="00D337FA">
        <w:rPr>
          <w:szCs w:val="24"/>
        </w:rPr>
        <w:t xml:space="preserve"> </w:t>
      </w:r>
      <w:r w:rsidRPr="00D337FA">
        <w:rPr>
          <w:szCs w:val="24"/>
        </w:rPr>
        <w:t>определения</w:t>
      </w:r>
      <w:r w:rsidR="006C680D" w:rsidRPr="00D337FA">
        <w:rPr>
          <w:szCs w:val="24"/>
        </w:rPr>
        <w:t xml:space="preserve"> </w:t>
      </w:r>
      <w:r w:rsidRPr="00D337FA">
        <w:rPr>
          <w:szCs w:val="24"/>
        </w:rPr>
        <w:t>ставят</w:t>
      </w:r>
      <w:r w:rsidR="006C680D" w:rsidRPr="00D337FA">
        <w:rPr>
          <w:szCs w:val="24"/>
        </w:rPr>
        <w:t xml:space="preserve"> </w:t>
      </w:r>
      <w:r w:rsidRPr="00D337FA">
        <w:rPr>
          <w:szCs w:val="24"/>
        </w:rPr>
        <w:t>знак</w:t>
      </w:r>
      <w:r w:rsidR="006C680D" w:rsidRPr="00D337FA">
        <w:rPr>
          <w:szCs w:val="24"/>
        </w:rPr>
        <w:t xml:space="preserve"> </w:t>
      </w:r>
      <w:r w:rsidRPr="00D337FA">
        <w:rPr>
          <w:szCs w:val="24"/>
        </w:rPr>
        <w:t>равенства</w:t>
      </w:r>
      <w:r w:rsidR="006C680D" w:rsidRPr="00D337FA">
        <w:rPr>
          <w:szCs w:val="24"/>
        </w:rPr>
        <w:t xml:space="preserve"> </w:t>
      </w:r>
      <w:r w:rsidRPr="00D337FA">
        <w:rPr>
          <w:szCs w:val="24"/>
        </w:rPr>
        <w:t>между</w:t>
      </w:r>
      <w:r w:rsidR="006C680D" w:rsidRPr="00D337FA">
        <w:rPr>
          <w:szCs w:val="24"/>
        </w:rPr>
        <w:t xml:space="preserve"> </w:t>
      </w:r>
      <w:r w:rsidRPr="00D337FA">
        <w:rPr>
          <w:szCs w:val="24"/>
        </w:rPr>
        <w:t>методологией</w:t>
      </w:r>
      <w:r w:rsidR="006C680D" w:rsidRPr="00D337FA">
        <w:rPr>
          <w:szCs w:val="24"/>
        </w:rPr>
        <w:t xml:space="preserve"> </w:t>
      </w:r>
      <w:r w:rsidRPr="00D337FA">
        <w:rPr>
          <w:szCs w:val="24"/>
        </w:rPr>
        <w:t>и</w:t>
      </w:r>
      <w:r w:rsidR="006C680D" w:rsidRPr="00D337FA">
        <w:rPr>
          <w:szCs w:val="24"/>
        </w:rPr>
        <w:t xml:space="preserve"> </w:t>
      </w:r>
      <w:r w:rsidRPr="00D337FA">
        <w:rPr>
          <w:szCs w:val="24"/>
        </w:rPr>
        <w:t>методикой,</w:t>
      </w:r>
      <w:r w:rsidR="006C680D" w:rsidRPr="00D337FA">
        <w:rPr>
          <w:szCs w:val="24"/>
        </w:rPr>
        <w:t xml:space="preserve"> </w:t>
      </w:r>
      <w:r w:rsidRPr="00D337FA">
        <w:rPr>
          <w:szCs w:val="24"/>
        </w:rPr>
        <w:t>описывая</w:t>
      </w:r>
      <w:r w:rsidR="006C680D" w:rsidRPr="00D337FA">
        <w:rPr>
          <w:szCs w:val="24"/>
        </w:rPr>
        <w:t xml:space="preserve"> </w:t>
      </w:r>
      <w:r w:rsidRPr="00D337FA">
        <w:rPr>
          <w:szCs w:val="24"/>
        </w:rPr>
        <w:t>ее</w:t>
      </w:r>
      <w:r w:rsidR="006C680D" w:rsidRPr="00D337FA">
        <w:rPr>
          <w:szCs w:val="24"/>
        </w:rPr>
        <w:t xml:space="preserve"> </w:t>
      </w:r>
      <w:r w:rsidRPr="00D337FA">
        <w:rPr>
          <w:szCs w:val="24"/>
        </w:rPr>
        <w:t>как</w:t>
      </w:r>
      <w:r w:rsidR="006C680D" w:rsidRPr="00D337FA">
        <w:rPr>
          <w:szCs w:val="24"/>
        </w:rPr>
        <w:t xml:space="preserve"> </w:t>
      </w:r>
      <w:r w:rsidRPr="00D337FA">
        <w:rPr>
          <w:szCs w:val="24"/>
        </w:rPr>
        <w:t>способ</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конкретной</w:t>
      </w:r>
      <w:r w:rsidR="006C680D" w:rsidRPr="00D337FA">
        <w:rPr>
          <w:szCs w:val="24"/>
        </w:rPr>
        <w:t xml:space="preserve"> </w:t>
      </w:r>
      <w:r w:rsidRPr="00D337FA">
        <w:rPr>
          <w:szCs w:val="24"/>
        </w:rPr>
        <w:t>проблемы</w:t>
      </w:r>
      <w:r w:rsidR="006C680D" w:rsidRPr="00D337FA">
        <w:rPr>
          <w:szCs w:val="24"/>
        </w:rPr>
        <w:t xml:space="preserve"> </w:t>
      </w:r>
      <w:r w:rsidRPr="00D337FA">
        <w:rPr>
          <w:szCs w:val="24"/>
        </w:rPr>
        <w:t>или</w:t>
      </w:r>
      <w:r w:rsidR="006C680D" w:rsidRPr="00D337FA">
        <w:rPr>
          <w:szCs w:val="24"/>
        </w:rPr>
        <w:t xml:space="preserve"> </w:t>
      </w:r>
      <w:r w:rsidRPr="00D337FA">
        <w:rPr>
          <w:szCs w:val="24"/>
        </w:rPr>
        <w:t>задачи,</w:t>
      </w:r>
      <w:r w:rsidR="006C680D" w:rsidRPr="00D337FA">
        <w:rPr>
          <w:szCs w:val="24"/>
        </w:rPr>
        <w:t xml:space="preserve"> </w:t>
      </w:r>
      <w:r w:rsidRPr="00D337FA">
        <w:rPr>
          <w:szCs w:val="24"/>
        </w:rPr>
        <w:t>что</w:t>
      </w:r>
      <w:r w:rsidR="006C680D" w:rsidRPr="00D337FA">
        <w:rPr>
          <w:szCs w:val="24"/>
        </w:rPr>
        <w:t xml:space="preserve"> </w:t>
      </w:r>
      <w:r w:rsidRPr="00D337FA">
        <w:rPr>
          <w:szCs w:val="24"/>
        </w:rPr>
        <w:t>в</w:t>
      </w:r>
      <w:r w:rsidR="006C680D" w:rsidRPr="00D337FA">
        <w:rPr>
          <w:szCs w:val="24"/>
        </w:rPr>
        <w:t xml:space="preserve"> </w:t>
      </w:r>
      <w:r w:rsidRPr="00D337FA">
        <w:rPr>
          <w:szCs w:val="24"/>
        </w:rPr>
        <w:t>корне</w:t>
      </w:r>
      <w:r w:rsidR="006C680D" w:rsidRPr="00D337FA">
        <w:rPr>
          <w:szCs w:val="24"/>
        </w:rPr>
        <w:t xml:space="preserve"> </w:t>
      </w:r>
      <w:r w:rsidRPr="00D337FA">
        <w:rPr>
          <w:szCs w:val="24"/>
        </w:rPr>
        <w:t>не</w:t>
      </w:r>
      <w:r w:rsidR="006C680D" w:rsidRPr="00D337FA">
        <w:rPr>
          <w:szCs w:val="24"/>
        </w:rPr>
        <w:t xml:space="preserve"> </w:t>
      </w:r>
      <w:r w:rsidRPr="00D337FA">
        <w:rPr>
          <w:szCs w:val="24"/>
        </w:rPr>
        <w:t>соответствует</w:t>
      </w:r>
      <w:r w:rsidR="006C680D" w:rsidRPr="00D337FA">
        <w:rPr>
          <w:szCs w:val="24"/>
        </w:rPr>
        <w:t xml:space="preserve"> </w:t>
      </w:r>
      <w:r w:rsidRPr="00D337FA">
        <w:rPr>
          <w:szCs w:val="24"/>
        </w:rPr>
        <w:t>истинному</w:t>
      </w:r>
      <w:r w:rsidR="006C680D" w:rsidRPr="00D337FA">
        <w:rPr>
          <w:szCs w:val="24"/>
        </w:rPr>
        <w:t xml:space="preserve"> </w:t>
      </w:r>
      <w:r w:rsidRPr="00D337FA">
        <w:rPr>
          <w:szCs w:val="24"/>
        </w:rPr>
        <w:t>содержанию</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Определенные</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есть</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часть</w:t>
      </w:r>
      <w:r w:rsidR="006C680D" w:rsidRPr="00D337FA">
        <w:rPr>
          <w:szCs w:val="24"/>
        </w:rPr>
        <w:t xml:space="preserve"> </w:t>
      </w:r>
      <w:r w:rsidRPr="00D337FA">
        <w:rPr>
          <w:szCs w:val="24"/>
        </w:rPr>
        <w:t>некоторой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В</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широком</w:t>
      </w:r>
      <w:r w:rsidR="006C680D" w:rsidRPr="00D337FA">
        <w:rPr>
          <w:szCs w:val="24"/>
        </w:rPr>
        <w:t xml:space="preserve"> </w:t>
      </w:r>
      <w:r w:rsidRPr="00D337FA">
        <w:rPr>
          <w:szCs w:val="24"/>
        </w:rPr>
        <w:t>смысле</w:t>
      </w:r>
      <w:r w:rsidR="006C680D" w:rsidRPr="00D337FA">
        <w:rPr>
          <w:szCs w:val="24"/>
        </w:rPr>
        <w:t xml:space="preserve"> </w:t>
      </w:r>
      <w:r w:rsidRPr="00D337FA">
        <w:rPr>
          <w:szCs w:val="24"/>
        </w:rPr>
        <w:t>стоит</w:t>
      </w:r>
      <w:r w:rsidR="006C680D" w:rsidRPr="00D337FA">
        <w:rPr>
          <w:szCs w:val="24"/>
        </w:rPr>
        <w:t xml:space="preserve"> </w:t>
      </w:r>
      <w:r w:rsidRPr="00D337FA">
        <w:rPr>
          <w:szCs w:val="24"/>
        </w:rPr>
        <w:t>понимать</w:t>
      </w:r>
      <w:r w:rsidR="006C680D" w:rsidRPr="00D337FA">
        <w:rPr>
          <w:szCs w:val="24"/>
        </w:rPr>
        <w:t xml:space="preserve"> </w:t>
      </w:r>
      <w:r w:rsidRPr="00D337FA">
        <w:rPr>
          <w:szCs w:val="24"/>
        </w:rPr>
        <w:t>под</w:t>
      </w:r>
      <w:r w:rsidR="006C680D" w:rsidRPr="00D337FA">
        <w:rPr>
          <w:szCs w:val="24"/>
        </w:rPr>
        <w:t xml:space="preserve"> </w:t>
      </w:r>
      <w:r w:rsidRPr="00D337FA">
        <w:rPr>
          <w:szCs w:val="24"/>
        </w:rPr>
        <w:t>методологией</w:t>
      </w:r>
      <w:r w:rsidR="006C680D" w:rsidRPr="00D337FA">
        <w:rPr>
          <w:szCs w:val="24"/>
        </w:rPr>
        <w:t xml:space="preserve"> </w:t>
      </w:r>
      <w:r w:rsidRPr="00D337FA">
        <w:rPr>
          <w:szCs w:val="24"/>
        </w:rPr>
        <w:t>учение</w:t>
      </w:r>
      <w:r w:rsidR="006C680D" w:rsidRPr="00D337FA">
        <w:rPr>
          <w:szCs w:val="24"/>
        </w:rPr>
        <w:t xml:space="preserve"> </w:t>
      </w:r>
      <w:r w:rsidRPr="00D337FA">
        <w:rPr>
          <w:szCs w:val="24"/>
        </w:rPr>
        <w:t>об</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объединяющее</w:t>
      </w:r>
      <w:r w:rsidR="006C680D" w:rsidRPr="00D337FA">
        <w:rPr>
          <w:szCs w:val="24"/>
        </w:rPr>
        <w:t xml:space="preserve"> </w:t>
      </w:r>
      <w:r w:rsidRPr="00D337FA">
        <w:rPr>
          <w:szCs w:val="24"/>
        </w:rPr>
        <w:t>процедуры,</w:t>
      </w:r>
      <w:r w:rsidR="006C680D" w:rsidRPr="00D337FA">
        <w:rPr>
          <w:szCs w:val="24"/>
        </w:rPr>
        <w:t xml:space="preserve"> </w:t>
      </w:r>
      <w:r w:rsidRPr="00D337FA">
        <w:rPr>
          <w:szCs w:val="24"/>
        </w:rPr>
        <w:t>приемы</w:t>
      </w:r>
      <w:r w:rsidR="006C680D" w:rsidRPr="00D337FA">
        <w:rPr>
          <w:szCs w:val="24"/>
        </w:rPr>
        <w:t xml:space="preserve"> </w:t>
      </w:r>
      <w:r w:rsidRPr="00D337FA">
        <w:rPr>
          <w:szCs w:val="24"/>
        </w:rPr>
        <w:t>и</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науки</w:t>
      </w:r>
      <w:r w:rsidR="006C680D" w:rsidRPr="00D337FA">
        <w:rPr>
          <w:szCs w:val="24"/>
        </w:rPr>
        <w:t xml:space="preserve"> </w:t>
      </w:r>
      <w:r w:rsidRPr="00D337FA">
        <w:rPr>
          <w:szCs w:val="24"/>
        </w:rPr>
        <w:t>в</w:t>
      </w:r>
      <w:r w:rsidR="006C680D" w:rsidRPr="00D337FA">
        <w:rPr>
          <w:szCs w:val="24"/>
        </w:rPr>
        <w:t xml:space="preserve"> </w:t>
      </w:r>
      <w:r w:rsidRPr="00D337FA">
        <w:rPr>
          <w:szCs w:val="24"/>
        </w:rPr>
        <w:t>единую</w:t>
      </w:r>
      <w:r w:rsidR="006C680D" w:rsidRPr="00D337FA">
        <w:rPr>
          <w:szCs w:val="24"/>
        </w:rPr>
        <w:t xml:space="preserve"> </w:t>
      </w:r>
      <w:r w:rsidRPr="00D337FA">
        <w:rPr>
          <w:szCs w:val="24"/>
        </w:rPr>
        <w:t>конструктивную</w:t>
      </w:r>
      <w:r w:rsidR="006C680D" w:rsidRPr="00D337FA">
        <w:rPr>
          <w:szCs w:val="24"/>
        </w:rPr>
        <w:t xml:space="preserve"> </w:t>
      </w:r>
      <w:r w:rsidRPr="00D337FA">
        <w:rPr>
          <w:szCs w:val="24"/>
        </w:rPr>
        <w:t>программу.</w:t>
      </w:r>
      <w:r w:rsidR="006C680D" w:rsidRPr="00D337FA">
        <w:rPr>
          <w:szCs w:val="24"/>
        </w:rPr>
        <w:t xml:space="preserve"> </w:t>
      </w:r>
      <w:r w:rsidRPr="00D337FA">
        <w:rPr>
          <w:szCs w:val="24"/>
        </w:rPr>
        <w:t>С</w:t>
      </w:r>
      <w:r w:rsidR="006C680D" w:rsidRPr="00D337FA">
        <w:rPr>
          <w:szCs w:val="24"/>
        </w:rPr>
        <w:t xml:space="preserve"> </w:t>
      </w:r>
      <w:r w:rsidRPr="00D337FA">
        <w:rPr>
          <w:szCs w:val="24"/>
        </w:rPr>
        <w:t>учетом</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определения</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представляет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учением</w:t>
      </w:r>
      <w:r w:rsidR="006C680D" w:rsidRPr="00D337FA">
        <w:rPr>
          <w:szCs w:val="24"/>
        </w:rPr>
        <w:t xml:space="preserve"> </w:t>
      </w:r>
      <w:r w:rsidRPr="00D337FA">
        <w:rPr>
          <w:szCs w:val="24"/>
        </w:rPr>
        <w:t>об</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управленческой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[17,</w:t>
      </w:r>
      <w:r w:rsidR="006C680D" w:rsidRPr="00D337FA">
        <w:rPr>
          <w:szCs w:val="24"/>
        </w:rPr>
        <w:t xml:space="preserve"> </w:t>
      </w:r>
      <w:r w:rsidRPr="00D337FA">
        <w:rPr>
          <w:szCs w:val="24"/>
        </w:rPr>
        <w:t>20,</w:t>
      </w:r>
      <w:r w:rsidR="006C680D" w:rsidRPr="00D337FA">
        <w:rPr>
          <w:szCs w:val="24"/>
        </w:rPr>
        <w:t xml:space="preserve"> </w:t>
      </w:r>
      <w:r w:rsidRPr="00D337FA">
        <w:rPr>
          <w:szCs w:val="24"/>
        </w:rPr>
        <w:t>21]</w:t>
      </w:r>
      <w:r w:rsidR="0002772A" w:rsidRPr="00D337FA">
        <w:rPr>
          <w:szCs w:val="24"/>
        </w:rPr>
        <w:t>.</w:t>
      </w:r>
    </w:p>
    <w:p w:rsidR="00C03F09" w:rsidRPr="00D337FA" w:rsidRDefault="00C03F09" w:rsidP="00C03F09">
      <w:pPr>
        <w:ind w:firstLine="142"/>
        <w:rPr>
          <w:szCs w:val="24"/>
        </w:rPr>
      </w:pPr>
      <w:r w:rsidRPr="00D337FA">
        <w:rPr>
          <w:szCs w:val="24"/>
        </w:rPr>
        <w:lastRenderedPageBreak/>
        <w:t>Предлагаемая</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касается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предприятия.</w:t>
      </w:r>
      <w:r w:rsidR="006C680D" w:rsidRPr="00D337FA">
        <w:rPr>
          <w:szCs w:val="24"/>
        </w:rPr>
        <w:t xml:space="preserve"> </w:t>
      </w:r>
      <w:r w:rsidRPr="00D337FA">
        <w:rPr>
          <w:szCs w:val="24"/>
        </w:rPr>
        <w:t>Она</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быть</w:t>
      </w:r>
      <w:r w:rsidR="006C680D" w:rsidRPr="00D337FA">
        <w:rPr>
          <w:szCs w:val="24"/>
        </w:rPr>
        <w:t xml:space="preserve"> </w:t>
      </w:r>
      <w:r w:rsidRPr="00D337FA">
        <w:rPr>
          <w:szCs w:val="24"/>
        </w:rPr>
        <w:t>с</w:t>
      </w:r>
      <w:r w:rsidR="006C680D" w:rsidRPr="00D337FA">
        <w:rPr>
          <w:szCs w:val="24"/>
        </w:rPr>
        <w:t xml:space="preserve"> </w:t>
      </w:r>
      <w:r w:rsidRPr="00D337FA">
        <w:rPr>
          <w:szCs w:val="24"/>
        </w:rPr>
        <w:t>универсальной</w:t>
      </w:r>
      <w:r w:rsidR="006C680D" w:rsidRPr="00D337FA">
        <w:rPr>
          <w:szCs w:val="24"/>
        </w:rPr>
        <w:t xml:space="preserve"> </w:t>
      </w:r>
      <w:r w:rsidRPr="00D337FA">
        <w:rPr>
          <w:szCs w:val="24"/>
        </w:rPr>
        <w:t>и</w:t>
      </w:r>
      <w:r w:rsidR="006C680D" w:rsidRPr="00D337FA">
        <w:rPr>
          <w:szCs w:val="24"/>
        </w:rPr>
        <w:t xml:space="preserve"> </w:t>
      </w:r>
      <w:r w:rsidRPr="00D337FA">
        <w:rPr>
          <w:szCs w:val="24"/>
        </w:rPr>
        <w:t>позволять</w:t>
      </w:r>
      <w:r w:rsidR="006C680D" w:rsidRPr="00D337FA">
        <w:rPr>
          <w:szCs w:val="24"/>
        </w:rPr>
        <w:t xml:space="preserve"> </w:t>
      </w:r>
      <w:r w:rsidRPr="00D337FA">
        <w:rPr>
          <w:szCs w:val="24"/>
        </w:rPr>
        <w:t>решать</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задачи</w:t>
      </w:r>
      <w:r w:rsidR="006C680D" w:rsidRPr="00D337FA">
        <w:rPr>
          <w:szCs w:val="24"/>
        </w:rPr>
        <w:t xml:space="preserve"> </w:t>
      </w:r>
      <w:r w:rsidRPr="00D337FA">
        <w:rPr>
          <w:szCs w:val="24"/>
        </w:rPr>
        <w:t>в</w:t>
      </w:r>
      <w:r w:rsidR="006C680D" w:rsidRPr="00D337FA">
        <w:rPr>
          <w:szCs w:val="24"/>
        </w:rPr>
        <w:t xml:space="preserve"> </w:t>
      </w:r>
      <w:r w:rsidRPr="00D337FA">
        <w:rPr>
          <w:szCs w:val="24"/>
        </w:rPr>
        <w:t>заданной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ограничена</w:t>
      </w:r>
      <w:r w:rsidR="006C680D" w:rsidRPr="00D337FA">
        <w:rPr>
          <w:szCs w:val="24"/>
        </w:rPr>
        <w:t xml:space="preserve"> </w:t>
      </w:r>
      <w:r w:rsidRPr="00D337FA">
        <w:rPr>
          <w:szCs w:val="24"/>
        </w:rPr>
        <w:t>объектом</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кроме</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включенные</w:t>
      </w:r>
      <w:r w:rsidR="006C680D" w:rsidRPr="00D337FA">
        <w:rPr>
          <w:szCs w:val="24"/>
        </w:rPr>
        <w:t xml:space="preserve"> </w:t>
      </w:r>
      <w:r w:rsidRPr="00D337FA">
        <w:rPr>
          <w:szCs w:val="24"/>
        </w:rPr>
        <w:t>в</w:t>
      </w:r>
      <w:r w:rsidR="006C680D" w:rsidRPr="00D337FA">
        <w:rPr>
          <w:szCs w:val="24"/>
        </w:rPr>
        <w:t xml:space="preserve"> </w:t>
      </w:r>
      <w:r w:rsidRPr="00D337FA">
        <w:rPr>
          <w:szCs w:val="24"/>
        </w:rPr>
        <w:t>нее,</w:t>
      </w:r>
      <w:r w:rsidR="006C680D" w:rsidRPr="00D337FA">
        <w:rPr>
          <w:szCs w:val="24"/>
        </w:rPr>
        <w:t xml:space="preserve"> </w:t>
      </w:r>
      <w:r w:rsidRPr="00D337FA">
        <w:rPr>
          <w:szCs w:val="24"/>
        </w:rPr>
        <w:t>учитывать</w:t>
      </w:r>
      <w:r w:rsidR="006C680D" w:rsidRPr="00D337FA">
        <w:rPr>
          <w:szCs w:val="24"/>
        </w:rPr>
        <w:t xml:space="preserve"> </w:t>
      </w:r>
      <w:r w:rsidRPr="00D337FA">
        <w:rPr>
          <w:szCs w:val="24"/>
        </w:rPr>
        <w:t>особенности</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предлагается</w:t>
      </w:r>
      <w:r w:rsidR="006C680D" w:rsidRPr="00D337FA">
        <w:rPr>
          <w:szCs w:val="24"/>
        </w:rPr>
        <w:t xml:space="preserve"> </w:t>
      </w:r>
      <w:r w:rsidRPr="00D337FA">
        <w:rPr>
          <w:szCs w:val="24"/>
        </w:rPr>
        <w:t>ее</w:t>
      </w:r>
      <w:r w:rsidR="006C680D" w:rsidRPr="00D337FA">
        <w:rPr>
          <w:szCs w:val="24"/>
        </w:rPr>
        <w:t xml:space="preserve"> </w:t>
      </w:r>
      <w:r w:rsidRPr="00D337FA">
        <w:rPr>
          <w:szCs w:val="24"/>
        </w:rPr>
        <w:t>реализация</w:t>
      </w:r>
      <w:r w:rsidR="006C680D" w:rsidRPr="00D337FA">
        <w:rPr>
          <w:szCs w:val="24"/>
        </w:rPr>
        <w:t xml:space="preserve"> </w:t>
      </w:r>
      <w:r w:rsidRPr="00D337FA">
        <w:rPr>
          <w:szCs w:val="24"/>
        </w:rPr>
        <w:t>посредством</w:t>
      </w:r>
      <w:r w:rsidR="006C680D" w:rsidRPr="00D337FA">
        <w:rPr>
          <w:szCs w:val="24"/>
        </w:rPr>
        <w:t xml:space="preserve"> </w:t>
      </w:r>
      <w:r w:rsidRPr="00D337FA">
        <w:rPr>
          <w:szCs w:val="24"/>
        </w:rPr>
        <w:t>учета</w:t>
      </w:r>
      <w:r w:rsidR="006C680D" w:rsidRPr="00D337FA">
        <w:rPr>
          <w:szCs w:val="24"/>
        </w:rPr>
        <w:t xml:space="preserve"> </w:t>
      </w:r>
      <w:r w:rsidRPr="00D337FA">
        <w:rPr>
          <w:szCs w:val="24"/>
        </w:rPr>
        <w:t>характерных</w:t>
      </w:r>
      <w:r w:rsidR="006C680D" w:rsidRPr="00D337FA">
        <w:rPr>
          <w:szCs w:val="24"/>
        </w:rPr>
        <w:t xml:space="preserve"> </w:t>
      </w:r>
      <w:r w:rsidRPr="00D337FA">
        <w:rPr>
          <w:szCs w:val="24"/>
        </w:rPr>
        <w:t>особенностей,</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несмотря</w:t>
      </w:r>
      <w:r w:rsidR="006C680D" w:rsidRPr="00D337FA">
        <w:rPr>
          <w:szCs w:val="24"/>
        </w:rPr>
        <w:t xml:space="preserve"> </w:t>
      </w:r>
      <w:r w:rsidRPr="00D337FA">
        <w:rPr>
          <w:szCs w:val="24"/>
        </w:rPr>
        <w:t>на</w:t>
      </w:r>
      <w:r w:rsidR="006C680D" w:rsidRPr="00D337FA">
        <w:rPr>
          <w:szCs w:val="24"/>
        </w:rPr>
        <w:t xml:space="preserve"> </w:t>
      </w:r>
      <w:r w:rsidRPr="00D337FA">
        <w:rPr>
          <w:szCs w:val="24"/>
        </w:rPr>
        <w:t>теоретическую</w:t>
      </w:r>
      <w:r w:rsidR="006C680D" w:rsidRPr="00D337FA">
        <w:rPr>
          <w:szCs w:val="24"/>
        </w:rPr>
        <w:t xml:space="preserve"> </w:t>
      </w:r>
      <w:r w:rsidRPr="00D337FA">
        <w:rPr>
          <w:szCs w:val="24"/>
        </w:rPr>
        <w:t>базу</w:t>
      </w:r>
      <w:r w:rsidR="006C680D" w:rsidRPr="00D337FA">
        <w:rPr>
          <w:szCs w:val="24"/>
        </w:rPr>
        <w:t xml:space="preserve"> </w:t>
      </w:r>
      <w:r w:rsidRPr="00D337FA">
        <w:rPr>
          <w:szCs w:val="24"/>
        </w:rPr>
        <w:t>понятно</w:t>
      </w:r>
      <w:r w:rsidR="006C680D" w:rsidRPr="00D337FA">
        <w:rPr>
          <w:szCs w:val="24"/>
        </w:rPr>
        <w:t xml:space="preserve"> </w:t>
      </w:r>
      <w:r w:rsidRPr="00D337FA">
        <w:rPr>
          <w:szCs w:val="24"/>
        </w:rPr>
        <w:t>и</w:t>
      </w:r>
      <w:r w:rsidR="006C680D" w:rsidRPr="00D337FA">
        <w:rPr>
          <w:szCs w:val="24"/>
        </w:rPr>
        <w:t xml:space="preserve"> </w:t>
      </w:r>
      <w:r w:rsidRPr="00D337FA">
        <w:rPr>
          <w:szCs w:val="24"/>
        </w:rPr>
        <w:t>легко</w:t>
      </w:r>
      <w:r w:rsidR="006C680D" w:rsidRPr="00D337FA">
        <w:rPr>
          <w:szCs w:val="24"/>
        </w:rPr>
        <w:t xml:space="preserve"> </w:t>
      </w:r>
      <w:r w:rsidRPr="00D337FA">
        <w:rPr>
          <w:szCs w:val="24"/>
        </w:rPr>
        <w:t>применима</w:t>
      </w:r>
      <w:r w:rsidR="006C680D" w:rsidRPr="00D337FA">
        <w:rPr>
          <w:szCs w:val="24"/>
        </w:rPr>
        <w:t xml:space="preserve"> </w:t>
      </w:r>
      <w:r w:rsidRPr="00D337FA">
        <w:rPr>
          <w:szCs w:val="24"/>
        </w:rPr>
        <w:t>в</w:t>
      </w:r>
      <w:r w:rsidR="006C680D" w:rsidRPr="00D337FA">
        <w:rPr>
          <w:szCs w:val="24"/>
        </w:rPr>
        <w:t xml:space="preserve"> </w:t>
      </w:r>
      <w:r w:rsidRPr="00D337FA">
        <w:rPr>
          <w:szCs w:val="24"/>
        </w:rPr>
        <w:t>практической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Современная</w:t>
      </w:r>
      <w:r w:rsidR="006C680D" w:rsidRPr="00D337FA">
        <w:rPr>
          <w:szCs w:val="24"/>
        </w:rPr>
        <w:t xml:space="preserve"> </w:t>
      </w:r>
      <w:r w:rsidRPr="00D337FA">
        <w:rPr>
          <w:szCs w:val="24"/>
        </w:rPr>
        <w:t>управленческая</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быть</w:t>
      </w:r>
      <w:r w:rsidR="006C680D" w:rsidRPr="00D337FA">
        <w:rPr>
          <w:szCs w:val="24"/>
        </w:rPr>
        <w:t xml:space="preserve"> </w:t>
      </w:r>
      <w:r w:rsidRPr="00D337FA">
        <w:rPr>
          <w:szCs w:val="24"/>
        </w:rPr>
        <w:t>направлена</w:t>
      </w:r>
      <w:r w:rsidR="006C680D" w:rsidRPr="00D337FA">
        <w:rPr>
          <w:szCs w:val="24"/>
        </w:rPr>
        <w:t xml:space="preserve"> </w:t>
      </w:r>
      <w:r w:rsidRPr="00D337FA">
        <w:rPr>
          <w:szCs w:val="24"/>
        </w:rPr>
        <w:t>на</w:t>
      </w:r>
      <w:r w:rsidR="006C680D" w:rsidRPr="00D337FA">
        <w:rPr>
          <w:szCs w:val="24"/>
        </w:rPr>
        <w:t xml:space="preserve"> </w:t>
      </w:r>
      <w:r w:rsidRPr="00D337FA">
        <w:rPr>
          <w:szCs w:val="24"/>
        </w:rPr>
        <w:t>получение</w:t>
      </w:r>
      <w:r w:rsidR="006C680D" w:rsidRPr="00D337FA">
        <w:rPr>
          <w:szCs w:val="24"/>
        </w:rPr>
        <w:t xml:space="preserve"> </w:t>
      </w:r>
      <w:r w:rsidRPr="00D337FA">
        <w:rPr>
          <w:szCs w:val="24"/>
        </w:rPr>
        <w:t>необходимых</w:t>
      </w:r>
      <w:r w:rsidR="006C680D" w:rsidRPr="00D337FA">
        <w:rPr>
          <w:szCs w:val="24"/>
        </w:rPr>
        <w:t xml:space="preserve"> </w:t>
      </w:r>
      <w:r w:rsidRPr="00D337FA">
        <w:rPr>
          <w:szCs w:val="24"/>
        </w:rPr>
        <w:t>знаний,</w:t>
      </w:r>
      <w:r w:rsidR="006C680D" w:rsidRPr="00D337FA">
        <w:rPr>
          <w:szCs w:val="24"/>
        </w:rPr>
        <w:t xml:space="preserve"> </w:t>
      </w:r>
      <w:r w:rsidRPr="00D337FA">
        <w:rPr>
          <w:szCs w:val="24"/>
        </w:rPr>
        <w:t>синтезирование</w:t>
      </w:r>
      <w:r w:rsidR="006C680D" w:rsidRPr="00D337FA">
        <w:rPr>
          <w:szCs w:val="24"/>
        </w:rPr>
        <w:t xml:space="preserve"> </w:t>
      </w:r>
      <w:r w:rsidRPr="00D337FA">
        <w:rPr>
          <w:szCs w:val="24"/>
        </w:rPr>
        <w:t>этих</w:t>
      </w:r>
      <w:r w:rsidR="006C680D" w:rsidRPr="00D337FA">
        <w:rPr>
          <w:szCs w:val="24"/>
        </w:rPr>
        <w:t xml:space="preserve"> </w:t>
      </w:r>
      <w:r w:rsidRPr="00D337FA">
        <w:rPr>
          <w:szCs w:val="24"/>
        </w:rPr>
        <w:t>знаний,</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использование</w:t>
      </w:r>
      <w:r w:rsidR="006C680D" w:rsidRPr="00D337FA">
        <w:rPr>
          <w:szCs w:val="24"/>
        </w:rPr>
        <w:t xml:space="preserve"> </w:t>
      </w:r>
      <w:r w:rsidRPr="00D337FA">
        <w:rPr>
          <w:szCs w:val="24"/>
        </w:rPr>
        <w:t>их</w:t>
      </w:r>
      <w:r w:rsidR="006C680D" w:rsidRPr="00D337FA">
        <w:rPr>
          <w:szCs w:val="24"/>
        </w:rPr>
        <w:t xml:space="preserve"> </w:t>
      </w:r>
      <w:r w:rsidRPr="00D337FA">
        <w:rPr>
          <w:szCs w:val="24"/>
        </w:rPr>
        <w:t>для</w:t>
      </w:r>
      <w:r w:rsidR="006C680D" w:rsidRPr="00D337FA">
        <w:rPr>
          <w:szCs w:val="24"/>
        </w:rPr>
        <w:t xml:space="preserve"> </w:t>
      </w:r>
      <w:r w:rsidRPr="00D337FA">
        <w:rPr>
          <w:szCs w:val="24"/>
        </w:rPr>
        <w:t>объяснения</w:t>
      </w:r>
      <w:r w:rsidR="006C680D" w:rsidRPr="00D337FA">
        <w:rPr>
          <w:szCs w:val="24"/>
        </w:rPr>
        <w:t xml:space="preserve"> </w:t>
      </w:r>
      <w:r w:rsidRPr="00D337FA">
        <w:rPr>
          <w:szCs w:val="24"/>
        </w:rPr>
        <w:t>происходящего</w:t>
      </w:r>
      <w:r w:rsidR="006C680D" w:rsidRPr="00D337FA">
        <w:rPr>
          <w:szCs w:val="24"/>
        </w:rPr>
        <w:t xml:space="preserve"> </w:t>
      </w:r>
      <w:r w:rsidRPr="00D337FA">
        <w:rPr>
          <w:szCs w:val="24"/>
        </w:rPr>
        <w:t>с</w:t>
      </w:r>
      <w:r w:rsidR="006C680D" w:rsidRPr="00D337FA">
        <w:rPr>
          <w:szCs w:val="24"/>
        </w:rPr>
        <w:t xml:space="preserve"> </w:t>
      </w:r>
      <w:r w:rsidRPr="00D337FA">
        <w:rPr>
          <w:szCs w:val="24"/>
        </w:rPr>
        <w:t>целью</w:t>
      </w:r>
      <w:r w:rsidR="006C680D" w:rsidRPr="00D337FA">
        <w:rPr>
          <w:szCs w:val="24"/>
        </w:rPr>
        <w:t xml:space="preserve"> </w:t>
      </w:r>
      <w:r w:rsidRPr="00D337FA">
        <w:rPr>
          <w:szCs w:val="24"/>
        </w:rPr>
        <w:t>прогнозирования,</w:t>
      </w:r>
      <w:r w:rsidR="006C680D" w:rsidRPr="00D337FA">
        <w:rPr>
          <w:szCs w:val="24"/>
        </w:rPr>
        <w:t xml:space="preserve"> </w:t>
      </w:r>
      <w:r w:rsidRPr="00D337FA">
        <w:rPr>
          <w:szCs w:val="24"/>
        </w:rPr>
        <w:t>планирования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Причем</w:t>
      </w:r>
      <w:r w:rsidR="006C680D" w:rsidRPr="00D337FA">
        <w:rPr>
          <w:szCs w:val="24"/>
        </w:rPr>
        <w:t xml:space="preserve"> </w:t>
      </w:r>
      <w:r w:rsidRPr="00D337FA">
        <w:rPr>
          <w:szCs w:val="24"/>
        </w:rPr>
        <w:t>это</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быть</w:t>
      </w:r>
      <w:r w:rsidR="006C680D" w:rsidRPr="00D337FA">
        <w:rPr>
          <w:szCs w:val="24"/>
        </w:rPr>
        <w:t xml:space="preserve"> </w:t>
      </w:r>
      <w:r w:rsidRPr="00D337FA">
        <w:rPr>
          <w:szCs w:val="24"/>
        </w:rPr>
        <w:t>не</w:t>
      </w:r>
      <w:r w:rsidR="006C680D" w:rsidRPr="00D337FA">
        <w:rPr>
          <w:szCs w:val="24"/>
        </w:rPr>
        <w:t xml:space="preserve"> </w:t>
      </w:r>
      <w:r w:rsidRPr="00D337FA">
        <w:rPr>
          <w:szCs w:val="24"/>
        </w:rPr>
        <w:t>шаблоны</w:t>
      </w:r>
      <w:r w:rsidR="006C680D" w:rsidRPr="00D337FA">
        <w:rPr>
          <w:szCs w:val="24"/>
        </w:rPr>
        <w:t xml:space="preserve"> </w:t>
      </w:r>
      <w:r w:rsidRPr="00D337FA">
        <w:rPr>
          <w:szCs w:val="24"/>
        </w:rPr>
        <w:t>для</w:t>
      </w:r>
      <w:r w:rsidR="006C680D" w:rsidRPr="00D337FA">
        <w:rPr>
          <w:szCs w:val="24"/>
        </w:rPr>
        <w:t xml:space="preserve"> </w:t>
      </w:r>
      <w:r w:rsidRPr="00D337FA">
        <w:rPr>
          <w:szCs w:val="24"/>
        </w:rPr>
        <w:t>конкретных</w:t>
      </w:r>
      <w:r w:rsidR="006C680D" w:rsidRPr="00D337FA">
        <w:rPr>
          <w:szCs w:val="24"/>
        </w:rPr>
        <w:t xml:space="preserve"> </w:t>
      </w:r>
      <w:r w:rsidRPr="00D337FA">
        <w:rPr>
          <w:szCs w:val="24"/>
        </w:rPr>
        <w:t>ситуаций,</w:t>
      </w:r>
      <w:r w:rsidR="006C680D" w:rsidRPr="00D337FA">
        <w:rPr>
          <w:szCs w:val="24"/>
        </w:rPr>
        <w:t xml:space="preserve"> </w:t>
      </w:r>
      <w:r w:rsidRPr="00D337FA">
        <w:rPr>
          <w:szCs w:val="24"/>
        </w:rPr>
        <w:t>такой</w:t>
      </w:r>
      <w:r w:rsidR="006C680D" w:rsidRPr="00D337FA">
        <w:rPr>
          <w:szCs w:val="24"/>
        </w:rPr>
        <w:t xml:space="preserve"> </w:t>
      </w:r>
      <w:r w:rsidRPr="00D337FA">
        <w:rPr>
          <w:szCs w:val="24"/>
        </w:rPr>
        <w:t>вариант</w:t>
      </w:r>
      <w:r w:rsidR="006C680D" w:rsidRPr="00D337FA">
        <w:rPr>
          <w:szCs w:val="24"/>
        </w:rPr>
        <w:t xml:space="preserve"> </w:t>
      </w:r>
      <w:r w:rsidRPr="00D337FA">
        <w:rPr>
          <w:szCs w:val="24"/>
        </w:rPr>
        <w:t>не</w:t>
      </w:r>
      <w:r w:rsidR="006C680D" w:rsidRPr="00D337FA">
        <w:rPr>
          <w:szCs w:val="24"/>
        </w:rPr>
        <w:t xml:space="preserve"> </w:t>
      </w:r>
      <w:r w:rsidRPr="00D337FA">
        <w:rPr>
          <w:szCs w:val="24"/>
        </w:rPr>
        <w:t>подходит</w:t>
      </w:r>
      <w:r w:rsidR="006C680D" w:rsidRPr="00D337FA">
        <w:rPr>
          <w:szCs w:val="24"/>
        </w:rPr>
        <w:t xml:space="preserve"> </w:t>
      </w:r>
      <w:r w:rsidRPr="00D337FA">
        <w:rPr>
          <w:szCs w:val="24"/>
        </w:rPr>
        <w:t>в</w:t>
      </w:r>
      <w:r w:rsidR="006C680D" w:rsidRPr="00D337FA">
        <w:rPr>
          <w:szCs w:val="24"/>
        </w:rPr>
        <w:t xml:space="preserve"> </w:t>
      </w:r>
      <w:r w:rsidRPr="00D337FA">
        <w:rPr>
          <w:szCs w:val="24"/>
        </w:rPr>
        <w:t>силу</w:t>
      </w:r>
      <w:r w:rsidR="006C680D" w:rsidRPr="00D337FA">
        <w:rPr>
          <w:szCs w:val="24"/>
        </w:rPr>
        <w:t xml:space="preserve"> </w:t>
      </w:r>
      <w:r w:rsidRPr="00D337FA">
        <w:rPr>
          <w:szCs w:val="24"/>
        </w:rPr>
        <w:t>сложности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противоречивости</w:t>
      </w:r>
      <w:r w:rsidR="006C680D" w:rsidRPr="00D337FA">
        <w:rPr>
          <w:szCs w:val="24"/>
        </w:rPr>
        <w:t xml:space="preserve"> </w:t>
      </w:r>
      <w:r w:rsidRPr="00D337FA">
        <w:rPr>
          <w:szCs w:val="24"/>
        </w:rPr>
        <w:t>современных</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а</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алгоритм</w:t>
      </w:r>
      <w:r w:rsidR="006C680D" w:rsidRPr="00D337FA">
        <w:rPr>
          <w:szCs w:val="24"/>
        </w:rPr>
        <w:t xml:space="preserve"> </w:t>
      </w:r>
      <w:r w:rsidRPr="00D337FA">
        <w:rPr>
          <w:szCs w:val="24"/>
        </w:rPr>
        <w:t>осознания</w:t>
      </w:r>
      <w:r w:rsidR="006C680D" w:rsidRPr="00D337FA">
        <w:rPr>
          <w:szCs w:val="24"/>
        </w:rPr>
        <w:t xml:space="preserve"> </w:t>
      </w:r>
      <w:r w:rsidRPr="00D337FA">
        <w:rPr>
          <w:szCs w:val="24"/>
        </w:rPr>
        <w:t>ситуации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принятия</w:t>
      </w:r>
      <w:r w:rsidR="006C680D" w:rsidRPr="00D337FA">
        <w:rPr>
          <w:szCs w:val="24"/>
        </w:rPr>
        <w:t xml:space="preserve"> </w:t>
      </w:r>
      <w:r w:rsidRPr="00D337FA">
        <w:rPr>
          <w:szCs w:val="24"/>
        </w:rPr>
        <w:t>верного</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с</w:t>
      </w:r>
      <w:r w:rsidR="006C680D" w:rsidRPr="00D337FA">
        <w:rPr>
          <w:szCs w:val="24"/>
        </w:rPr>
        <w:t xml:space="preserve"> </w:t>
      </w:r>
      <w:r w:rsidRPr="00D337FA">
        <w:rPr>
          <w:szCs w:val="24"/>
        </w:rPr>
        <w:t>использованием</w:t>
      </w:r>
      <w:r w:rsidR="006C680D" w:rsidRPr="00D337FA">
        <w:rPr>
          <w:szCs w:val="24"/>
        </w:rPr>
        <w:t xml:space="preserve"> </w:t>
      </w:r>
      <w:r w:rsidRPr="00D337FA">
        <w:rPr>
          <w:szCs w:val="24"/>
        </w:rPr>
        <w:t>актуальных</w:t>
      </w:r>
      <w:r w:rsidR="006C680D" w:rsidRPr="00D337FA">
        <w:rPr>
          <w:szCs w:val="24"/>
        </w:rPr>
        <w:t xml:space="preserve"> </w:t>
      </w:r>
      <w:r w:rsidRPr="00D337FA">
        <w:rPr>
          <w:szCs w:val="24"/>
        </w:rPr>
        <w:t>и</w:t>
      </w:r>
      <w:r w:rsidR="006C680D" w:rsidRPr="00D337FA">
        <w:rPr>
          <w:szCs w:val="24"/>
        </w:rPr>
        <w:t xml:space="preserve"> </w:t>
      </w:r>
      <w:r w:rsidRPr="00D337FA">
        <w:rPr>
          <w:szCs w:val="24"/>
        </w:rPr>
        <w:t>универсальных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[4,</w:t>
      </w:r>
      <w:r w:rsidR="006C680D" w:rsidRPr="00D337FA">
        <w:rPr>
          <w:szCs w:val="24"/>
        </w:rPr>
        <w:t xml:space="preserve"> </w:t>
      </w:r>
      <w:r w:rsidRPr="00D337FA">
        <w:rPr>
          <w:szCs w:val="24"/>
        </w:rPr>
        <w:t>5]</w:t>
      </w:r>
      <w:r w:rsidR="0002772A" w:rsidRPr="00D337FA">
        <w:rPr>
          <w:szCs w:val="24"/>
        </w:rPr>
        <w:t>.</w:t>
      </w:r>
    </w:p>
    <w:p w:rsidR="00C03F09" w:rsidRPr="00D337FA" w:rsidRDefault="00C03F09" w:rsidP="00C03F09">
      <w:pPr>
        <w:ind w:firstLine="142"/>
        <w:rPr>
          <w:szCs w:val="24"/>
        </w:rPr>
      </w:pPr>
      <w:r w:rsidRPr="00D337FA">
        <w:rPr>
          <w:szCs w:val="24"/>
        </w:rPr>
        <w:t>Понятие</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не</w:t>
      </w:r>
      <w:r w:rsidR="006C680D" w:rsidRPr="00D337FA">
        <w:rPr>
          <w:szCs w:val="24"/>
        </w:rPr>
        <w:t xml:space="preserve"> </w:t>
      </w:r>
      <w:r w:rsidRPr="00D337FA">
        <w:rPr>
          <w:szCs w:val="24"/>
        </w:rPr>
        <w:t>ново.</w:t>
      </w:r>
      <w:r w:rsidR="006C680D" w:rsidRPr="00D337FA">
        <w:rPr>
          <w:szCs w:val="24"/>
        </w:rPr>
        <w:t xml:space="preserve"> </w:t>
      </w:r>
      <w:r w:rsidRPr="00D337FA">
        <w:rPr>
          <w:szCs w:val="24"/>
        </w:rPr>
        <w:t>Существующие</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рассматривают</w:t>
      </w:r>
      <w:r w:rsidR="006C680D" w:rsidRPr="00D337FA">
        <w:rPr>
          <w:szCs w:val="24"/>
        </w:rPr>
        <w:t xml:space="preserve"> </w:t>
      </w:r>
      <w:r w:rsidRPr="00D337FA">
        <w:rPr>
          <w:szCs w:val="24"/>
        </w:rPr>
        <w:t>отдельно</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применяются</w:t>
      </w:r>
      <w:r w:rsidR="006C680D" w:rsidRPr="00D337FA">
        <w:rPr>
          <w:szCs w:val="24"/>
        </w:rPr>
        <w:t xml:space="preserve"> </w:t>
      </w:r>
      <w:r w:rsidRPr="00D337FA">
        <w:rPr>
          <w:szCs w:val="24"/>
        </w:rPr>
        <w:t>при</w:t>
      </w:r>
      <w:r w:rsidR="006C680D" w:rsidRPr="00D337FA">
        <w:rPr>
          <w:szCs w:val="24"/>
        </w:rPr>
        <w:t xml:space="preserve"> </w:t>
      </w:r>
      <w:r w:rsidRPr="00D337FA">
        <w:rPr>
          <w:szCs w:val="24"/>
        </w:rPr>
        <w:t>осуществлении</w:t>
      </w:r>
      <w:r w:rsidR="006C680D" w:rsidRPr="00D337FA">
        <w:rPr>
          <w:szCs w:val="24"/>
        </w:rPr>
        <w:t xml:space="preserve"> </w:t>
      </w:r>
      <w:r w:rsidRPr="00D337FA">
        <w:rPr>
          <w:szCs w:val="24"/>
        </w:rPr>
        <w:t>управленческой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подходы,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позволяют</w:t>
      </w:r>
      <w:r w:rsidR="006C680D" w:rsidRPr="00D337FA">
        <w:rPr>
          <w:szCs w:val="24"/>
        </w:rPr>
        <w:t xml:space="preserve"> </w:t>
      </w:r>
      <w:r w:rsidRPr="00D337FA">
        <w:rPr>
          <w:szCs w:val="24"/>
        </w:rPr>
        <w:t>рассматривать</w:t>
      </w:r>
      <w:r w:rsidR="006C680D" w:rsidRPr="00D337FA">
        <w:rPr>
          <w:szCs w:val="24"/>
        </w:rPr>
        <w:t xml:space="preserve"> </w:t>
      </w:r>
      <w:r w:rsidRPr="00D337FA">
        <w:rPr>
          <w:szCs w:val="24"/>
        </w:rPr>
        <w:t>управленческую</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с</w:t>
      </w:r>
      <w:r w:rsidR="006C680D" w:rsidRPr="00D337FA">
        <w:rPr>
          <w:szCs w:val="24"/>
        </w:rPr>
        <w:t xml:space="preserve"> </w:t>
      </w:r>
      <w:r w:rsidRPr="00D337FA">
        <w:rPr>
          <w:szCs w:val="24"/>
        </w:rPr>
        <w:t>разных</w:t>
      </w:r>
      <w:r w:rsidR="006C680D" w:rsidRPr="00D337FA">
        <w:rPr>
          <w:szCs w:val="24"/>
        </w:rPr>
        <w:t xml:space="preserve"> </w:t>
      </w:r>
      <w:r w:rsidRPr="00D337FA">
        <w:rPr>
          <w:szCs w:val="24"/>
        </w:rPr>
        <w:t>сторон,</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они</w:t>
      </w:r>
      <w:r w:rsidR="006C680D" w:rsidRPr="00D337FA">
        <w:rPr>
          <w:szCs w:val="24"/>
        </w:rPr>
        <w:t xml:space="preserve"> </w:t>
      </w:r>
      <w:r w:rsidRPr="00D337FA">
        <w:rPr>
          <w:szCs w:val="24"/>
        </w:rPr>
        <w:t>либо</w:t>
      </w:r>
      <w:r w:rsidR="006C680D" w:rsidRPr="00D337FA">
        <w:rPr>
          <w:szCs w:val="24"/>
        </w:rPr>
        <w:t xml:space="preserve"> </w:t>
      </w:r>
      <w:r w:rsidRPr="00D337FA">
        <w:rPr>
          <w:szCs w:val="24"/>
        </w:rPr>
        <w:t>не</w:t>
      </w:r>
      <w:r w:rsidR="006C680D" w:rsidRPr="00D337FA">
        <w:rPr>
          <w:szCs w:val="24"/>
        </w:rPr>
        <w:t xml:space="preserve"> </w:t>
      </w:r>
      <w:r w:rsidRPr="00D337FA">
        <w:rPr>
          <w:szCs w:val="24"/>
        </w:rPr>
        <w:t>представляют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единую</w:t>
      </w:r>
      <w:r w:rsidR="006C680D" w:rsidRPr="00D337FA">
        <w:rPr>
          <w:szCs w:val="24"/>
        </w:rPr>
        <w:t xml:space="preserve"> </w:t>
      </w:r>
      <w:r w:rsidRPr="00D337FA">
        <w:rPr>
          <w:szCs w:val="24"/>
        </w:rPr>
        <w:t>систему,</w:t>
      </w:r>
      <w:r w:rsidR="006C680D" w:rsidRPr="00D337FA">
        <w:rPr>
          <w:szCs w:val="24"/>
        </w:rPr>
        <w:t xml:space="preserve"> </w:t>
      </w:r>
      <w:r w:rsidRPr="00D337FA">
        <w:rPr>
          <w:szCs w:val="24"/>
        </w:rPr>
        <w:t>предусматривающую</w:t>
      </w:r>
      <w:r w:rsidR="006C680D" w:rsidRPr="00D337FA">
        <w:rPr>
          <w:szCs w:val="24"/>
        </w:rPr>
        <w:t xml:space="preserve"> </w:t>
      </w:r>
      <w:r w:rsidRPr="00D337FA">
        <w:rPr>
          <w:szCs w:val="24"/>
        </w:rPr>
        <w:t>позволяющую</w:t>
      </w:r>
      <w:r w:rsidR="006C680D" w:rsidRPr="00D337FA">
        <w:rPr>
          <w:szCs w:val="24"/>
        </w:rPr>
        <w:t xml:space="preserve"> </w:t>
      </w:r>
      <w:r w:rsidRPr="00D337FA">
        <w:rPr>
          <w:szCs w:val="24"/>
        </w:rPr>
        <w:t>рассматривать</w:t>
      </w:r>
      <w:r w:rsidR="006C680D" w:rsidRPr="00D337FA">
        <w:rPr>
          <w:szCs w:val="24"/>
        </w:rPr>
        <w:t xml:space="preserve"> </w:t>
      </w:r>
      <w:r w:rsidRPr="00D337FA">
        <w:rPr>
          <w:szCs w:val="24"/>
        </w:rPr>
        <w:t>объект</w:t>
      </w:r>
      <w:r w:rsidR="006C680D" w:rsidRPr="00D337FA">
        <w:rPr>
          <w:szCs w:val="24"/>
        </w:rPr>
        <w:t xml:space="preserve"> </w:t>
      </w:r>
      <w:r w:rsidRPr="00D337FA">
        <w:rPr>
          <w:szCs w:val="24"/>
        </w:rPr>
        <w:t>с</w:t>
      </w:r>
      <w:r w:rsidR="006C680D" w:rsidRPr="00D337FA">
        <w:rPr>
          <w:szCs w:val="24"/>
        </w:rPr>
        <w:t xml:space="preserve"> </w:t>
      </w:r>
      <w:r w:rsidRPr="00D337FA">
        <w:rPr>
          <w:szCs w:val="24"/>
        </w:rPr>
        <w:t>разных</w:t>
      </w:r>
      <w:r w:rsidR="006C680D" w:rsidRPr="00D337FA">
        <w:rPr>
          <w:szCs w:val="24"/>
        </w:rPr>
        <w:t xml:space="preserve"> </w:t>
      </w:r>
      <w:r w:rsidRPr="00D337FA">
        <w:rPr>
          <w:szCs w:val="24"/>
        </w:rPr>
        <w:t>сторон</w:t>
      </w:r>
      <w:r w:rsidR="006C680D" w:rsidRPr="00D337FA">
        <w:rPr>
          <w:szCs w:val="24"/>
        </w:rPr>
        <w:t xml:space="preserve"> </w:t>
      </w:r>
      <w:r w:rsidRPr="00D337FA">
        <w:rPr>
          <w:szCs w:val="24"/>
        </w:rPr>
        <w:t>и</w:t>
      </w:r>
      <w:r w:rsidR="006C680D" w:rsidRPr="00D337FA">
        <w:rPr>
          <w:szCs w:val="24"/>
        </w:rPr>
        <w:t xml:space="preserve"> </w:t>
      </w:r>
      <w:r w:rsidRPr="00D337FA">
        <w:rPr>
          <w:szCs w:val="24"/>
        </w:rPr>
        <w:t>решать</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управленческие</w:t>
      </w:r>
      <w:r w:rsidR="006C680D" w:rsidRPr="00D337FA">
        <w:rPr>
          <w:szCs w:val="24"/>
        </w:rPr>
        <w:t xml:space="preserve"> </w:t>
      </w:r>
      <w:r w:rsidRPr="00D337FA">
        <w:rPr>
          <w:szCs w:val="24"/>
        </w:rPr>
        <w:t>задачи</w:t>
      </w:r>
      <w:r w:rsidR="006C680D" w:rsidRPr="00D337FA">
        <w:rPr>
          <w:szCs w:val="24"/>
        </w:rPr>
        <w:t xml:space="preserve"> </w:t>
      </w:r>
      <w:r w:rsidRPr="00D337FA">
        <w:rPr>
          <w:szCs w:val="24"/>
        </w:rPr>
        <w:t>в</w:t>
      </w:r>
      <w:r w:rsidR="006C680D" w:rsidRPr="00D337FA">
        <w:rPr>
          <w:szCs w:val="24"/>
        </w:rPr>
        <w:t xml:space="preserve"> </w:t>
      </w:r>
      <w:r w:rsidRPr="00D337FA">
        <w:rPr>
          <w:szCs w:val="24"/>
        </w:rPr>
        <w:t>заданной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с</w:t>
      </w:r>
      <w:r w:rsidR="006C680D" w:rsidRPr="00D337FA">
        <w:rPr>
          <w:szCs w:val="24"/>
        </w:rPr>
        <w:t xml:space="preserve"> </w:t>
      </w:r>
      <w:r w:rsidRPr="00D337FA">
        <w:rPr>
          <w:szCs w:val="24"/>
        </w:rPr>
        <w:t>учетом</w:t>
      </w:r>
      <w:r w:rsidR="006C680D" w:rsidRPr="00D337FA">
        <w:rPr>
          <w:szCs w:val="24"/>
        </w:rPr>
        <w:t xml:space="preserve"> </w:t>
      </w:r>
      <w:r w:rsidRPr="00D337FA">
        <w:rPr>
          <w:szCs w:val="24"/>
        </w:rPr>
        <w:t>соответствующих</w:t>
      </w:r>
      <w:r w:rsidR="006C680D" w:rsidRPr="00D337FA">
        <w:rPr>
          <w:szCs w:val="24"/>
        </w:rPr>
        <w:t xml:space="preserve"> </w:t>
      </w:r>
      <w:r w:rsidRPr="00D337FA">
        <w:rPr>
          <w:szCs w:val="24"/>
        </w:rPr>
        <w:t>принципов</w:t>
      </w:r>
      <w:r w:rsidR="006C680D" w:rsidRPr="00D337FA">
        <w:rPr>
          <w:szCs w:val="24"/>
        </w:rPr>
        <w:t xml:space="preserve"> </w:t>
      </w:r>
      <w:r w:rsidRPr="00D337FA">
        <w:rPr>
          <w:szCs w:val="24"/>
        </w:rPr>
        <w:t>и</w:t>
      </w:r>
      <w:r w:rsidR="006C680D" w:rsidRPr="00D337FA">
        <w:rPr>
          <w:szCs w:val="24"/>
        </w:rPr>
        <w:t xml:space="preserve"> </w:t>
      </w:r>
      <w:r w:rsidRPr="00D337FA">
        <w:rPr>
          <w:szCs w:val="24"/>
        </w:rPr>
        <w:t>учитывающую</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инноваций,</w:t>
      </w:r>
      <w:r w:rsidR="006C680D" w:rsidRPr="00D337FA">
        <w:rPr>
          <w:szCs w:val="24"/>
        </w:rPr>
        <w:t xml:space="preserve"> </w:t>
      </w:r>
      <w:r w:rsidRPr="00D337FA">
        <w:rPr>
          <w:szCs w:val="24"/>
        </w:rPr>
        <w:t>либо</w:t>
      </w:r>
      <w:r w:rsidR="006C680D" w:rsidRPr="00D337FA">
        <w:rPr>
          <w:szCs w:val="24"/>
        </w:rPr>
        <w:t xml:space="preserve"> </w:t>
      </w:r>
      <w:r w:rsidRPr="00D337FA">
        <w:rPr>
          <w:szCs w:val="24"/>
        </w:rPr>
        <w:t>носят</w:t>
      </w:r>
      <w:r w:rsidR="006C680D" w:rsidRPr="00D337FA">
        <w:rPr>
          <w:szCs w:val="24"/>
        </w:rPr>
        <w:t xml:space="preserve"> </w:t>
      </w:r>
      <w:r w:rsidRPr="00D337FA">
        <w:rPr>
          <w:szCs w:val="24"/>
        </w:rPr>
        <w:t>узконаправленный</w:t>
      </w:r>
      <w:r w:rsidR="006C680D" w:rsidRPr="00D337FA">
        <w:rPr>
          <w:szCs w:val="24"/>
        </w:rPr>
        <w:t xml:space="preserve"> </w:t>
      </w:r>
      <w:r w:rsidRPr="00D337FA">
        <w:rPr>
          <w:szCs w:val="24"/>
        </w:rPr>
        <w:t>характер</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предназначены</w:t>
      </w:r>
      <w:r w:rsidR="006C680D" w:rsidRPr="00D337FA">
        <w:rPr>
          <w:szCs w:val="24"/>
        </w:rPr>
        <w:t xml:space="preserve"> </w:t>
      </w:r>
      <w:r w:rsidRPr="00D337FA">
        <w:rPr>
          <w:szCs w:val="24"/>
        </w:rPr>
        <w:t>для</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конкретных</w:t>
      </w:r>
      <w:r w:rsidR="006C680D" w:rsidRPr="00D337FA">
        <w:rPr>
          <w:szCs w:val="24"/>
        </w:rPr>
        <w:t xml:space="preserve"> </w:t>
      </w:r>
      <w:r w:rsidRPr="00D337FA">
        <w:rPr>
          <w:szCs w:val="24"/>
        </w:rPr>
        <w:t>задач</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p>
    <w:p w:rsidR="00C03F09" w:rsidRPr="00D337FA" w:rsidRDefault="00C03F09" w:rsidP="00C03F09">
      <w:pPr>
        <w:ind w:firstLine="142"/>
        <w:rPr>
          <w:szCs w:val="24"/>
        </w:rPr>
      </w:pPr>
      <w:r w:rsidRPr="00D337FA">
        <w:rPr>
          <w:szCs w:val="24"/>
        </w:rPr>
        <w:t>Структура</w:t>
      </w:r>
      <w:r w:rsidR="006C680D" w:rsidRPr="00D337FA">
        <w:rPr>
          <w:szCs w:val="24"/>
        </w:rPr>
        <w:t xml:space="preserve"> </w:t>
      </w:r>
      <w:r w:rsidRPr="00D337FA">
        <w:rPr>
          <w:szCs w:val="24"/>
        </w:rPr>
        <w:t>предлагаемой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соответствует</w:t>
      </w:r>
      <w:r w:rsidR="006C680D" w:rsidRPr="00D337FA">
        <w:rPr>
          <w:szCs w:val="24"/>
        </w:rPr>
        <w:t xml:space="preserve"> </w:t>
      </w:r>
      <w:r w:rsidRPr="00D337FA">
        <w:rPr>
          <w:szCs w:val="24"/>
        </w:rPr>
        <w:t>предложенной</w:t>
      </w:r>
      <w:r w:rsidR="006C680D" w:rsidRPr="00D337FA">
        <w:rPr>
          <w:szCs w:val="24"/>
        </w:rPr>
        <w:t xml:space="preserve"> </w:t>
      </w:r>
      <w:r w:rsidRPr="00D337FA">
        <w:rPr>
          <w:szCs w:val="24"/>
        </w:rPr>
        <w:t>в</w:t>
      </w:r>
      <w:r w:rsidR="006C680D" w:rsidRPr="00D337FA">
        <w:rPr>
          <w:szCs w:val="24"/>
        </w:rPr>
        <w:t xml:space="preserve"> </w:t>
      </w:r>
      <w:r w:rsidRPr="00D337FA">
        <w:rPr>
          <w:szCs w:val="24"/>
        </w:rPr>
        <w:t>[16]</w:t>
      </w:r>
      <w:r w:rsidR="006C680D" w:rsidRPr="00D337FA">
        <w:rPr>
          <w:szCs w:val="24"/>
        </w:rPr>
        <w:t xml:space="preserve"> </w:t>
      </w:r>
      <w:r w:rsidRPr="00D337FA">
        <w:rPr>
          <w:szCs w:val="24"/>
        </w:rPr>
        <w:t>и</w:t>
      </w:r>
      <w:r w:rsidR="006C680D" w:rsidRPr="00D337FA">
        <w:rPr>
          <w:szCs w:val="24"/>
        </w:rPr>
        <w:t xml:space="preserve"> </w:t>
      </w:r>
      <w:r w:rsidRPr="00D337FA">
        <w:rPr>
          <w:szCs w:val="24"/>
        </w:rPr>
        <w:t>состоит</w:t>
      </w:r>
      <w:r w:rsidR="006C680D" w:rsidRPr="00D337FA">
        <w:rPr>
          <w:szCs w:val="24"/>
        </w:rPr>
        <w:t xml:space="preserve"> </w:t>
      </w:r>
      <w:r w:rsidRPr="00D337FA">
        <w:rPr>
          <w:szCs w:val="24"/>
        </w:rPr>
        <w:t>из</w:t>
      </w:r>
      <w:r w:rsidR="006C680D" w:rsidRPr="00D337FA">
        <w:rPr>
          <w:szCs w:val="24"/>
        </w:rPr>
        <w:t xml:space="preserve"> </w:t>
      </w:r>
      <w:r w:rsidRPr="00D337FA">
        <w:rPr>
          <w:szCs w:val="24"/>
        </w:rPr>
        <w:t>трех</w:t>
      </w:r>
      <w:r w:rsidR="006C680D" w:rsidRPr="00D337FA">
        <w:rPr>
          <w:szCs w:val="24"/>
        </w:rPr>
        <w:t xml:space="preserve"> </w:t>
      </w:r>
      <w:r w:rsidRPr="00D337FA">
        <w:rPr>
          <w:szCs w:val="24"/>
        </w:rPr>
        <w:t>основных</w:t>
      </w:r>
      <w:r w:rsidR="006C680D" w:rsidRPr="00D337FA">
        <w:rPr>
          <w:szCs w:val="24"/>
        </w:rPr>
        <w:t xml:space="preserve"> </w:t>
      </w:r>
      <w:r w:rsidRPr="00D337FA">
        <w:rPr>
          <w:szCs w:val="24"/>
        </w:rPr>
        <w:t>блоков:</w:t>
      </w:r>
      <w:r w:rsidR="006C680D" w:rsidRPr="00D337FA">
        <w:rPr>
          <w:szCs w:val="24"/>
        </w:rPr>
        <w:t xml:space="preserve"> </w:t>
      </w:r>
      <w:r w:rsidRPr="00D337FA">
        <w:rPr>
          <w:szCs w:val="24"/>
        </w:rPr>
        <w:t>характеристика</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и</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lastRenderedPageBreak/>
        <w:t>которые</w:t>
      </w:r>
      <w:r w:rsidR="006C680D" w:rsidRPr="00D337FA">
        <w:rPr>
          <w:szCs w:val="24"/>
        </w:rPr>
        <w:t xml:space="preserve"> </w:t>
      </w:r>
      <w:r w:rsidRPr="00D337FA">
        <w:rPr>
          <w:szCs w:val="24"/>
        </w:rPr>
        <w:t>в</w:t>
      </w:r>
      <w:r w:rsidR="006C680D" w:rsidRPr="00D337FA">
        <w:rPr>
          <w:szCs w:val="24"/>
        </w:rPr>
        <w:t xml:space="preserve"> </w:t>
      </w:r>
      <w:r w:rsidRPr="00D337FA">
        <w:rPr>
          <w:szCs w:val="24"/>
        </w:rPr>
        <w:t>данном</w:t>
      </w:r>
      <w:r w:rsidR="006C680D" w:rsidRPr="00D337FA">
        <w:rPr>
          <w:szCs w:val="24"/>
        </w:rPr>
        <w:t xml:space="preserve"> </w:t>
      </w:r>
      <w:r w:rsidRPr="00D337FA">
        <w:rPr>
          <w:szCs w:val="24"/>
        </w:rPr>
        <w:t>случае</w:t>
      </w:r>
      <w:r w:rsidR="006C680D" w:rsidRPr="00D337FA">
        <w:rPr>
          <w:szCs w:val="24"/>
        </w:rPr>
        <w:t xml:space="preserve"> </w:t>
      </w:r>
      <w:r w:rsidRPr="00D337FA">
        <w:rPr>
          <w:szCs w:val="24"/>
        </w:rPr>
        <w:t>представляют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концепцию</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логическая</w:t>
      </w:r>
      <w:r w:rsidR="006C680D" w:rsidRPr="00D337FA">
        <w:rPr>
          <w:szCs w:val="24"/>
        </w:rPr>
        <w:t xml:space="preserve"> </w:t>
      </w:r>
      <w:r w:rsidRPr="00D337FA">
        <w:rPr>
          <w:szCs w:val="24"/>
        </w:rPr>
        <w:t>структура</w:t>
      </w:r>
      <w:r w:rsidR="006C680D" w:rsidRPr="00D337FA">
        <w:rPr>
          <w:szCs w:val="24"/>
        </w:rPr>
        <w:t xml:space="preserve"> </w:t>
      </w:r>
      <w:r w:rsidRPr="00D337FA">
        <w:rPr>
          <w:szCs w:val="24"/>
        </w:rPr>
        <w:t>(субъект,</w:t>
      </w:r>
      <w:r w:rsidR="006C680D" w:rsidRPr="00D337FA">
        <w:rPr>
          <w:szCs w:val="24"/>
        </w:rPr>
        <w:t xml:space="preserve"> </w:t>
      </w:r>
      <w:r w:rsidRPr="00D337FA">
        <w:rPr>
          <w:szCs w:val="24"/>
        </w:rPr>
        <w:t>объект,</w:t>
      </w:r>
      <w:r w:rsidR="006C680D" w:rsidRPr="00D337FA">
        <w:rPr>
          <w:szCs w:val="24"/>
        </w:rPr>
        <w:t xml:space="preserve"> </w:t>
      </w:r>
      <w:r w:rsidRPr="00D337FA">
        <w:rPr>
          <w:szCs w:val="24"/>
        </w:rPr>
        <w:t>предмет,</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подходы)</w:t>
      </w:r>
      <w:r w:rsidR="006C680D" w:rsidRPr="00D337FA">
        <w:rPr>
          <w:szCs w:val="24"/>
        </w:rPr>
        <w:t xml:space="preserve"> </w:t>
      </w:r>
      <w:r w:rsidRPr="00D337FA">
        <w:rPr>
          <w:szCs w:val="24"/>
        </w:rPr>
        <w:t>и</w:t>
      </w:r>
      <w:r w:rsidR="006C680D" w:rsidRPr="00D337FA">
        <w:rPr>
          <w:szCs w:val="24"/>
        </w:rPr>
        <w:t xml:space="preserve"> </w:t>
      </w:r>
      <w:r w:rsidRPr="00D337FA">
        <w:rPr>
          <w:szCs w:val="24"/>
        </w:rPr>
        <w:t>временнáя</w:t>
      </w:r>
      <w:r w:rsidR="006C680D" w:rsidRPr="00D337FA">
        <w:rPr>
          <w:szCs w:val="24"/>
        </w:rPr>
        <w:t xml:space="preserve"> </w:t>
      </w:r>
      <w:r w:rsidRPr="00D337FA">
        <w:rPr>
          <w:szCs w:val="24"/>
        </w:rPr>
        <w:t>структура</w:t>
      </w:r>
      <w:r w:rsidR="006C680D" w:rsidRPr="00D337FA">
        <w:rPr>
          <w:szCs w:val="24"/>
        </w:rPr>
        <w:t xml:space="preserve"> </w:t>
      </w:r>
      <w:r w:rsidRPr="00D337FA">
        <w:rPr>
          <w:szCs w:val="24"/>
        </w:rPr>
        <w:t>(стадии</w:t>
      </w:r>
      <w:r w:rsidR="006C680D" w:rsidRPr="00D337FA">
        <w:rPr>
          <w:szCs w:val="24"/>
        </w:rPr>
        <w:t xml:space="preserve"> </w:t>
      </w:r>
      <w:r w:rsidRPr="00D337FA">
        <w:rPr>
          <w:szCs w:val="24"/>
        </w:rPr>
        <w:t>и</w:t>
      </w:r>
      <w:r w:rsidR="006C680D" w:rsidRPr="00D337FA">
        <w:rPr>
          <w:szCs w:val="24"/>
        </w:rPr>
        <w:t xml:space="preserve"> </w:t>
      </w:r>
      <w:r w:rsidRPr="00D337FA">
        <w:rPr>
          <w:szCs w:val="24"/>
        </w:rPr>
        <w:t>этапы).</w:t>
      </w:r>
      <w:r w:rsidR="006C680D" w:rsidRPr="00D337FA">
        <w:rPr>
          <w:szCs w:val="24"/>
        </w:rPr>
        <w:t xml:space="preserve"> </w:t>
      </w:r>
      <w:r w:rsidRPr="00D337FA">
        <w:rPr>
          <w:szCs w:val="24"/>
        </w:rPr>
        <w:t>Выбор</w:t>
      </w:r>
      <w:r w:rsidR="006C680D" w:rsidRPr="00D337FA">
        <w:rPr>
          <w:szCs w:val="24"/>
        </w:rPr>
        <w:t xml:space="preserve"> </w:t>
      </w:r>
      <w:r w:rsidRPr="00D337FA">
        <w:rPr>
          <w:szCs w:val="24"/>
        </w:rPr>
        <w:t>данной</w:t>
      </w:r>
      <w:r w:rsidR="006C680D" w:rsidRPr="00D337FA">
        <w:rPr>
          <w:szCs w:val="24"/>
        </w:rPr>
        <w:t xml:space="preserve"> </w:t>
      </w:r>
      <w:r w:rsidRPr="00D337FA">
        <w:rPr>
          <w:szCs w:val="24"/>
        </w:rPr>
        <w:t>структуры</w:t>
      </w:r>
      <w:r w:rsidR="006C680D" w:rsidRPr="00D337FA">
        <w:rPr>
          <w:szCs w:val="24"/>
        </w:rPr>
        <w:t xml:space="preserve"> </w:t>
      </w:r>
      <w:r w:rsidRPr="00D337FA">
        <w:rPr>
          <w:szCs w:val="24"/>
        </w:rPr>
        <w:t>объясняется</w:t>
      </w:r>
      <w:r w:rsidR="006C680D" w:rsidRPr="00D337FA">
        <w:rPr>
          <w:szCs w:val="24"/>
        </w:rPr>
        <w:t xml:space="preserve"> </w:t>
      </w:r>
      <w:r w:rsidRPr="00D337FA">
        <w:rPr>
          <w:szCs w:val="24"/>
        </w:rPr>
        <w:t>тем,</w:t>
      </w:r>
      <w:r w:rsidR="006C680D" w:rsidRPr="00D337FA">
        <w:rPr>
          <w:szCs w:val="24"/>
        </w:rPr>
        <w:t xml:space="preserve"> </w:t>
      </w:r>
      <w:r w:rsidRPr="00D337FA">
        <w:rPr>
          <w:szCs w:val="24"/>
        </w:rPr>
        <w:t>что</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в</w:t>
      </w:r>
      <w:r w:rsidR="006C680D" w:rsidRPr="00D337FA">
        <w:rPr>
          <w:szCs w:val="24"/>
        </w:rPr>
        <w:t xml:space="preserve"> </w:t>
      </w:r>
      <w:r w:rsidRPr="00D337FA">
        <w:rPr>
          <w:szCs w:val="24"/>
        </w:rPr>
        <w:t>таком</w:t>
      </w:r>
      <w:r w:rsidR="006C680D" w:rsidRPr="00D337FA">
        <w:rPr>
          <w:szCs w:val="24"/>
        </w:rPr>
        <w:t xml:space="preserve"> </w:t>
      </w:r>
      <w:r w:rsidRPr="00D337FA">
        <w:rPr>
          <w:szCs w:val="24"/>
        </w:rPr>
        <w:t>случае</w:t>
      </w:r>
      <w:r w:rsidR="006C680D" w:rsidRPr="00D337FA">
        <w:rPr>
          <w:szCs w:val="24"/>
        </w:rPr>
        <w:t xml:space="preserve"> </w:t>
      </w:r>
      <w:r w:rsidRPr="00D337FA">
        <w:rPr>
          <w:szCs w:val="24"/>
        </w:rPr>
        <w:t>становится</w:t>
      </w:r>
      <w:r w:rsidR="006C680D" w:rsidRPr="00D337FA">
        <w:rPr>
          <w:szCs w:val="24"/>
        </w:rPr>
        <w:t xml:space="preserve"> </w:t>
      </w:r>
      <w:r w:rsidRPr="00D337FA">
        <w:rPr>
          <w:szCs w:val="24"/>
        </w:rPr>
        <w:t>универсальной</w:t>
      </w:r>
      <w:r w:rsidR="006C680D" w:rsidRPr="00D337FA">
        <w:rPr>
          <w:szCs w:val="24"/>
        </w:rPr>
        <w:t xml:space="preserve"> </w:t>
      </w:r>
      <w:r w:rsidRPr="00D337FA">
        <w:rPr>
          <w:szCs w:val="24"/>
        </w:rPr>
        <w:t>для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большинством</w:t>
      </w:r>
      <w:r w:rsidR="006C680D" w:rsidRPr="00D337FA">
        <w:rPr>
          <w:szCs w:val="24"/>
        </w:rPr>
        <w:t xml:space="preserve"> </w:t>
      </w:r>
      <w:r w:rsidRPr="00D337FA">
        <w:rPr>
          <w:szCs w:val="24"/>
        </w:rPr>
        <w:t>видов</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внутри</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Изменятся</w:t>
      </w:r>
      <w:r w:rsidR="006C680D" w:rsidRPr="00D337FA">
        <w:rPr>
          <w:szCs w:val="24"/>
        </w:rPr>
        <w:t xml:space="preserve"> </w:t>
      </w:r>
      <w:r w:rsidRPr="00D337FA">
        <w:rPr>
          <w:szCs w:val="24"/>
        </w:rPr>
        <w:t>характеристики</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и</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разными</w:t>
      </w:r>
      <w:r w:rsidR="006C680D" w:rsidRPr="00D337FA">
        <w:rPr>
          <w:szCs w:val="24"/>
        </w:rPr>
        <w:t xml:space="preserve"> </w:t>
      </w:r>
      <w:r w:rsidRPr="00D337FA">
        <w:rPr>
          <w:szCs w:val="24"/>
        </w:rPr>
        <w:t>для</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ее</w:t>
      </w:r>
      <w:r w:rsidR="006C680D" w:rsidRPr="00D337FA">
        <w:rPr>
          <w:szCs w:val="24"/>
        </w:rPr>
        <w:t xml:space="preserve"> </w:t>
      </w:r>
      <w:r w:rsidRPr="00D337FA">
        <w:rPr>
          <w:szCs w:val="24"/>
        </w:rPr>
        <w:t>видов),</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объект,</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входит</w:t>
      </w:r>
      <w:r w:rsidR="006C680D" w:rsidRPr="00D337FA">
        <w:rPr>
          <w:szCs w:val="24"/>
        </w:rPr>
        <w:t xml:space="preserve"> </w:t>
      </w:r>
      <w:r w:rsidRPr="00D337FA">
        <w:rPr>
          <w:szCs w:val="24"/>
        </w:rPr>
        <w:t>в</w:t>
      </w:r>
      <w:r w:rsidR="006C680D" w:rsidRPr="00D337FA">
        <w:rPr>
          <w:szCs w:val="24"/>
        </w:rPr>
        <w:t xml:space="preserve"> </w:t>
      </w:r>
      <w:r w:rsidRPr="00D337FA">
        <w:rPr>
          <w:szCs w:val="24"/>
        </w:rPr>
        <w:t>логическую</w:t>
      </w:r>
      <w:r w:rsidR="006C680D" w:rsidRPr="00D337FA">
        <w:rPr>
          <w:szCs w:val="24"/>
        </w:rPr>
        <w:t xml:space="preserve"> </w:t>
      </w:r>
      <w:r w:rsidRPr="00D337FA">
        <w:rPr>
          <w:szCs w:val="24"/>
        </w:rPr>
        <w:t>структуру.</w:t>
      </w:r>
      <w:r w:rsidR="006C680D" w:rsidRPr="00D337FA">
        <w:rPr>
          <w:szCs w:val="24"/>
        </w:rPr>
        <w:t xml:space="preserve"> </w:t>
      </w:r>
      <w:r w:rsidRPr="00D337FA">
        <w:rPr>
          <w:szCs w:val="24"/>
        </w:rPr>
        <w:t>Все</w:t>
      </w:r>
      <w:r w:rsidR="006C680D" w:rsidRPr="00D337FA">
        <w:rPr>
          <w:szCs w:val="24"/>
        </w:rPr>
        <w:t xml:space="preserve"> </w:t>
      </w:r>
      <w:r w:rsidRPr="00D337FA">
        <w:rPr>
          <w:szCs w:val="24"/>
        </w:rPr>
        <w:t>остальное</w:t>
      </w:r>
      <w:r w:rsidR="006C680D" w:rsidRPr="00D337FA">
        <w:rPr>
          <w:szCs w:val="24"/>
        </w:rPr>
        <w:t xml:space="preserve"> </w:t>
      </w:r>
      <w:r w:rsidRPr="00D337FA">
        <w:rPr>
          <w:szCs w:val="24"/>
        </w:rPr>
        <w:t>либо</w:t>
      </w:r>
      <w:r w:rsidR="006C680D" w:rsidRPr="00D337FA">
        <w:rPr>
          <w:szCs w:val="24"/>
        </w:rPr>
        <w:t xml:space="preserve"> </w:t>
      </w:r>
      <w:r w:rsidRPr="00D337FA">
        <w:rPr>
          <w:szCs w:val="24"/>
        </w:rPr>
        <w:t>останется</w:t>
      </w:r>
      <w:r w:rsidR="006C680D" w:rsidRPr="00D337FA">
        <w:rPr>
          <w:szCs w:val="24"/>
        </w:rPr>
        <w:t xml:space="preserve"> </w:t>
      </w:r>
      <w:r w:rsidRPr="00D337FA">
        <w:rPr>
          <w:szCs w:val="24"/>
        </w:rPr>
        <w:t>неизменным</w:t>
      </w:r>
      <w:r w:rsidR="006C680D" w:rsidRPr="00D337FA">
        <w:rPr>
          <w:szCs w:val="24"/>
        </w:rPr>
        <w:t xml:space="preserve"> </w:t>
      </w:r>
      <w:r w:rsidRPr="00D337FA">
        <w:rPr>
          <w:szCs w:val="24"/>
        </w:rPr>
        <w:t>(набор</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и</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либо</w:t>
      </w:r>
      <w:r w:rsidR="006C680D" w:rsidRPr="00D337FA">
        <w:rPr>
          <w:szCs w:val="24"/>
        </w:rPr>
        <w:t xml:space="preserve"> </w:t>
      </w:r>
      <w:r w:rsidRPr="00D337FA">
        <w:rPr>
          <w:szCs w:val="24"/>
        </w:rPr>
        <w:t>итак</w:t>
      </w:r>
      <w:r w:rsidR="006C680D" w:rsidRPr="00D337FA">
        <w:rPr>
          <w:szCs w:val="24"/>
        </w:rPr>
        <w:t xml:space="preserve"> </w:t>
      </w:r>
      <w:r w:rsidRPr="00D337FA">
        <w:rPr>
          <w:szCs w:val="24"/>
        </w:rPr>
        <w:t>варьируется</w:t>
      </w:r>
      <w:r w:rsidR="006C680D" w:rsidRPr="00D337FA">
        <w:rPr>
          <w:szCs w:val="24"/>
        </w:rPr>
        <w:t xml:space="preserve"> </w:t>
      </w:r>
      <w:r w:rsidRPr="00D337FA">
        <w:rPr>
          <w:szCs w:val="24"/>
        </w:rPr>
        <w:t>внутри</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(субъект</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предмет,</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предлагаемые</w:t>
      </w:r>
      <w:r w:rsidR="006C680D" w:rsidRPr="00D337FA">
        <w:rPr>
          <w:szCs w:val="24"/>
        </w:rPr>
        <w:t xml:space="preserve"> </w:t>
      </w:r>
      <w:r w:rsidRPr="00D337FA">
        <w:rPr>
          <w:szCs w:val="24"/>
        </w:rPr>
        <w:t>конкретные</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и</w:t>
      </w:r>
      <w:r w:rsidR="006C680D" w:rsidRPr="00D337FA">
        <w:rPr>
          <w:szCs w:val="24"/>
        </w:rPr>
        <w:t xml:space="preserve"> </w:t>
      </w:r>
      <w:r w:rsidRPr="00D337FA">
        <w:rPr>
          <w:szCs w:val="24"/>
        </w:rPr>
        <w:t>способы)</w:t>
      </w:r>
    </w:p>
    <w:p w:rsidR="00C03F09" w:rsidRPr="00D337FA" w:rsidRDefault="00C03F09" w:rsidP="00C03F09">
      <w:pPr>
        <w:ind w:firstLine="142"/>
        <w:rPr>
          <w:szCs w:val="24"/>
        </w:rPr>
      </w:pPr>
      <w:r w:rsidRPr="00D337FA">
        <w:rPr>
          <w:szCs w:val="24"/>
        </w:rPr>
        <w:t>Объектом</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инновационная</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под</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предлагается</w:t>
      </w:r>
      <w:r w:rsidR="006C680D" w:rsidRPr="00D337FA">
        <w:rPr>
          <w:szCs w:val="24"/>
        </w:rPr>
        <w:t xml:space="preserve"> </w:t>
      </w:r>
      <w:r w:rsidRPr="00D337FA">
        <w:rPr>
          <w:szCs w:val="24"/>
        </w:rPr>
        <w:t>понимать</w:t>
      </w:r>
      <w:r w:rsidR="006C680D" w:rsidRPr="00D337FA">
        <w:rPr>
          <w:szCs w:val="24"/>
        </w:rPr>
        <w:t xml:space="preserve"> </w:t>
      </w:r>
      <w:r w:rsidRPr="00D337FA">
        <w:rPr>
          <w:szCs w:val="24"/>
        </w:rPr>
        <w:t>совокупность</w:t>
      </w:r>
      <w:r w:rsidR="006C680D" w:rsidRPr="00D337FA">
        <w:rPr>
          <w:szCs w:val="24"/>
        </w:rPr>
        <w:t xml:space="preserve"> </w:t>
      </w:r>
      <w:r w:rsidRPr="00D337FA">
        <w:rPr>
          <w:szCs w:val="24"/>
        </w:rPr>
        <w:t>взаимосвязанных</w:t>
      </w:r>
      <w:r w:rsidR="006C680D" w:rsidRPr="00D337FA">
        <w:rPr>
          <w:szCs w:val="24"/>
        </w:rPr>
        <w:t xml:space="preserve"> </w:t>
      </w:r>
      <w:r w:rsidRPr="00D337FA">
        <w:rPr>
          <w:szCs w:val="24"/>
        </w:rPr>
        <w:t>работ</w:t>
      </w:r>
      <w:r w:rsidR="006C680D" w:rsidRPr="00D337FA">
        <w:rPr>
          <w:szCs w:val="24"/>
        </w:rPr>
        <w:t xml:space="preserve"> </w:t>
      </w:r>
      <w:r w:rsidRPr="00D337FA">
        <w:rPr>
          <w:szCs w:val="24"/>
        </w:rPr>
        <w:t>различного</w:t>
      </w:r>
      <w:r w:rsidR="006C680D" w:rsidRPr="00D337FA">
        <w:rPr>
          <w:szCs w:val="24"/>
        </w:rPr>
        <w:t xml:space="preserve"> </w:t>
      </w:r>
      <w:r w:rsidRPr="00D337FA">
        <w:rPr>
          <w:szCs w:val="24"/>
        </w:rPr>
        <w:t>характера,</w:t>
      </w:r>
      <w:r w:rsidR="006C680D" w:rsidRPr="00D337FA">
        <w:rPr>
          <w:szCs w:val="24"/>
        </w:rPr>
        <w:t xml:space="preserve"> </w:t>
      </w:r>
      <w:r w:rsidRPr="00D337FA">
        <w:rPr>
          <w:szCs w:val="24"/>
        </w:rPr>
        <w:t>направленную</w:t>
      </w:r>
      <w:r w:rsidR="006C680D" w:rsidRPr="00D337FA">
        <w:rPr>
          <w:szCs w:val="24"/>
        </w:rPr>
        <w:t xml:space="preserve"> </w:t>
      </w:r>
      <w:r w:rsidRPr="00D337FA">
        <w:rPr>
          <w:szCs w:val="24"/>
        </w:rPr>
        <w:t>на</w:t>
      </w:r>
      <w:r w:rsidR="006C680D" w:rsidRPr="00D337FA">
        <w:rPr>
          <w:szCs w:val="24"/>
        </w:rPr>
        <w:t xml:space="preserve"> </w:t>
      </w:r>
      <w:r w:rsidRPr="00D337FA">
        <w:rPr>
          <w:szCs w:val="24"/>
        </w:rPr>
        <w:t>создание</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видов</w:t>
      </w:r>
      <w:r w:rsidR="006C680D" w:rsidRPr="00D337FA">
        <w:rPr>
          <w:szCs w:val="24"/>
        </w:rPr>
        <w:t xml:space="preserve"> </w:t>
      </w:r>
      <w:r w:rsidRPr="00D337FA">
        <w:rPr>
          <w:szCs w:val="24"/>
        </w:rPr>
        <w:t>инноваций</w:t>
      </w:r>
      <w:r w:rsidR="006C680D" w:rsidRPr="00D337FA">
        <w:rPr>
          <w:szCs w:val="24"/>
        </w:rPr>
        <w:t xml:space="preserve"> </w:t>
      </w:r>
      <w:r w:rsidRPr="00D337FA">
        <w:rPr>
          <w:szCs w:val="24"/>
        </w:rPr>
        <w:t>и</w:t>
      </w:r>
      <w:r w:rsidR="006C680D" w:rsidRPr="00D337FA">
        <w:rPr>
          <w:szCs w:val="24"/>
        </w:rPr>
        <w:t xml:space="preserve"> </w:t>
      </w:r>
      <w:r w:rsidRPr="00D337FA">
        <w:rPr>
          <w:szCs w:val="24"/>
        </w:rPr>
        <w:t>их</w:t>
      </w:r>
      <w:r w:rsidR="006C680D" w:rsidRPr="00D337FA">
        <w:rPr>
          <w:szCs w:val="24"/>
        </w:rPr>
        <w:t xml:space="preserve"> </w:t>
      </w:r>
      <w:r w:rsidRPr="00D337FA">
        <w:rPr>
          <w:szCs w:val="24"/>
        </w:rPr>
        <w:t>практическую</w:t>
      </w:r>
      <w:r w:rsidR="006C680D" w:rsidRPr="00D337FA">
        <w:rPr>
          <w:szCs w:val="24"/>
        </w:rPr>
        <w:t xml:space="preserve"> </w:t>
      </w:r>
      <w:r w:rsidRPr="00D337FA">
        <w:rPr>
          <w:szCs w:val="24"/>
        </w:rPr>
        <w:t>реализацию</w:t>
      </w:r>
      <w:r w:rsidR="006C680D" w:rsidRPr="00D337FA">
        <w:rPr>
          <w:szCs w:val="24"/>
        </w:rPr>
        <w:t xml:space="preserve"> </w:t>
      </w:r>
      <w:r w:rsidRPr="00D337FA">
        <w:rPr>
          <w:szCs w:val="24"/>
        </w:rPr>
        <w:t>в</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рыночных</w:t>
      </w:r>
      <w:r w:rsidR="006C680D" w:rsidRPr="00D337FA">
        <w:rPr>
          <w:szCs w:val="24"/>
        </w:rPr>
        <w:t xml:space="preserve"> </w:t>
      </w:r>
      <w:r w:rsidRPr="00D337FA">
        <w:rPr>
          <w:szCs w:val="24"/>
        </w:rPr>
        <w:t>отношений</w:t>
      </w:r>
      <w:r w:rsidR="006C680D" w:rsidRPr="00D337FA">
        <w:rPr>
          <w:szCs w:val="24"/>
        </w:rPr>
        <w:t xml:space="preserve"> </w:t>
      </w:r>
      <w:r w:rsidRPr="00D337FA">
        <w:rPr>
          <w:szCs w:val="24"/>
        </w:rPr>
        <w:t>[14]</w:t>
      </w:r>
      <w:r w:rsidR="0002772A" w:rsidRPr="00D337FA">
        <w:rPr>
          <w:szCs w:val="24"/>
        </w:rPr>
        <w:t>.</w:t>
      </w:r>
      <w:r w:rsidR="006C680D" w:rsidRPr="00D337FA">
        <w:rPr>
          <w:szCs w:val="24"/>
        </w:rPr>
        <w:t xml:space="preserve"> </w:t>
      </w:r>
      <w:r w:rsidRPr="00D337FA">
        <w:rPr>
          <w:szCs w:val="24"/>
        </w:rPr>
        <w:t>В</w:t>
      </w:r>
      <w:r w:rsidR="006C680D" w:rsidRPr="00D337FA">
        <w:rPr>
          <w:szCs w:val="24"/>
        </w:rPr>
        <w:t xml:space="preserve"> </w:t>
      </w:r>
      <w:r w:rsidRPr="00D337FA">
        <w:rPr>
          <w:szCs w:val="24"/>
        </w:rPr>
        <w:t>таком</w:t>
      </w:r>
      <w:r w:rsidR="006C680D" w:rsidRPr="00D337FA">
        <w:rPr>
          <w:szCs w:val="24"/>
        </w:rPr>
        <w:t xml:space="preserve"> </w:t>
      </w:r>
      <w:r w:rsidRPr="00D337FA">
        <w:rPr>
          <w:szCs w:val="24"/>
        </w:rPr>
        <w:t>случае</w:t>
      </w:r>
      <w:r w:rsidR="006C680D" w:rsidRPr="00D337FA">
        <w:rPr>
          <w:szCs w:val="24"/>
        </w:rPr>
        <w:t xml:space="preserve"> </w:t>
      </w:r>
      <w:r w:rsidRPr="00D337FA">
        <w:rPr>
          <w:szCs w:val="24"/>
        </w:rPr>
        <w:t>она</w:t>
      </w:r>
      <w:r w:rsidR="006C680D" w:rsidRPr="00D337FA">
        <w:rPr>
          <w:szCs w:val="24"/>
        </w:rPr>
        <w:t xml:space="preserve"> </w:t>
      </w:r>
      <w:r w:rsidRPr="00D337FA">
        <w:rPr>
          <w:szCs w:val="24"/>
        </w:rPr>
        <w:t>выступает</w:t>
      </w:r>
      <w:r w:rsidR="006C680D" w:rsidRPr="00D337FA">
        <w:rPr>
          <w:szCs w:val="24"/>
        </w:rPr>
        <w:t xml:space="preserve"> </w:t>
      </w:r>
      <w:r w:rsidRPr="00D337FA">
        <w:rPr>
          <w:szCs w:val="24"/>
        </w:rPr>
        <w:t>в</w:t>
      </w:r>
      <w:r w:rsidR="006C680D" w:rsidRPr="00D337FA">
        <w:rPr>
          <w:szCs w:val="24"/>
        </w:rPr>
        <w:t xml:space="preserve"> </w:t>
      </w:r>
      <w:r w:rsidRPr="00D337FA">
        <w:rPr>
          <w:szCs w:val="24"/>
        </w:rPr>
        <w:t>качестве</w:t>
      </w:r>
      <w:r w:rsidR="006C680D" w:rsidRPr="00D337FA">
        <w:rPr>
          <w:szCs w:val="24"/>
        </w:rPr>
        <w:t xml:space="preserve"> </w:t>
      </w:r>
      <w:r w:rsidRPr="00D337FA">
        <w:rPr>
          <w:szCs w:val="24"/>
        </w:rPr>
        <w:t>определенной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управляемой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Она</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быть</w:t>
      </w:r>
      <w:r w:rsidR="006C680D" w:rsidRPr="00D337FA">
        <w:rPr>
          <w:szCs w:val="24"/>
        </w:rPr>
        <w:t xml:space="preserve"> </w:t>
      </w:r>
      <w:r w:rsidRPr="00D337FA">
        <w:rPr>
          <w:szCs w:val="24"/>
        </w:rPr>
        <w:t>описана</w:t>
      </w:r>
      <w:r w:rsidR="006C680D" w:rsidRPr="00D337FA">
        <w:rPr>
          <w:szCs w:val="24"/>
        </w:rPr>
        <w:t xml:space="preserve"> </w:t>
      </w:r>
      <w:r w:rsidRPr="00D337FA">
        <w:rPr>
          <w:szCs w:val="24"/>
        </w:rPr>
        <w:t>по-разному,</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рассматриваться</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призму</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Но</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она</w:t>
      </w:r>
      <w:r w:rsidR="006C680D" w:rsidRPr="00D337FA">
        <w:rPr>
          <w:szCs w:val="24"/>
        </w:rPr>
        <w:t xml:space="preserve"> </w:t>
      </w:r>
      <w:r w:rsidRPr="00D337FA">
        <w:rPr>
          <w:szCs w:val="24"/>
        </w:rPr>
        <w:t>ограничивает</w:t>
      </w:r>
      <w:r w:rsidR="006C680D" w:rsidRPr="00D337FA">
        <w:rPr>
          <w:szCs w:val="24"/>
        </w:rPr>
        <w:t xml:space="preserve"> </w:t>
      </w:r>
      <w:r w:rsidRPr="00D337FA">
        <w:rPr>
          <w:szCs w:val="24"/>
        </w:rPr>
        <w:t>круг</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определяя</w:t>
      </w:r>
      <w:r w:rsidR="006C680D" w:rsidRPr="00D337FA">
        <w:rPr>
          <w:szCs w:val="24"/>
        </w:rPr>
        <w:t xml:space="preserve"> </w:t>
      </w:r>
      <w:r w:rsidRPr="00D337FA">
        <w:rPr>
          <w:szCs w:val="24"/>
        </w:rPr>
        <w:t>границы</w:t>
      </w:r>
      <w:r w:rsidR="006C680D" w:rsidRPr="00D337FA">
        <w:rPr>
          <w:szCs w:val="24"/>
        </w:rPr>
        <w:t xml:space="preserve"> </w:t>
      </w:r>
      <w:r w:rsidRPr="00D337FA">
        <w:rPr>
          <w:szCs w:val="24"/>
        </w:rPr>
        <w:t>методологии.</w:t>
      </w:r>
      <w:r w:rsidR="006C680D" w:rsidRPr="00D337FA">
        <w:rPr>
          <w:szCs w:val="24"/>
        </w:rPr>
        <w:t xml:space="preserve"> </w:t>
      </w:r>
    </w:p>
    <w:p w:rsidR="00C03F09" w:rsidRPr="00D337FA" w:rsidRDefault="00C03F09" w:rsidP="00C03F09">
      <w:pPr>
        <w:ind w:firstLine="142"/>
        <w:rPr>
          <w:szCs w:val="24"/>
        </w:rPr>
      </w:pPr>
      <w:r w:rsidRPr="00D337FA">
        <w:rPr>
          <w:szCs w:val="24"/>
        </w:rPr>
        <w:t>Данный</w:t>
      </w:r>
      <w:r w:rsidR="006C680D" w:rsidRPr="00D337FA">
        <w:rPr>
          <w:szCs w:val="24"/>
        </w:rPr>
        <w:t xml:space="preserve"> </w:t>
      </w:r>
      <w:r w:rsidRPr="00D337FA">
        <w:rPr>
          <w:szCs w:val="24"/>
        </w:rPr>
        <w:t>объект</w:t>
      </w:r>
      <w:r w:rsidR="006C680D" w:rsidRPr="00D337FA">
        <w:rPr>
          <w:szCs w:val="24"/>
        </w:rPr>
        <w:t xml:space="preserve"> </w:t>
      </w:r>
      <w:r w:rsidRPr="00D337FA">
        <w:rPr>
          <w:szCs w:val="24"/>
        </w:rPr>
        <w:t>рассматривается</w:t>
      </w:r>
      <w:r w:rsidR="006C680D" w:rsidRPr="00D337FA">
        <w:rPr>
          <w:szCs w:val="24"/>
        </w:rPr>
        <w:t xml:space="preserve"> </w:t>
      </w:r>
      <w:r w:rsidRPr="00D337FA">
        <w:rPr>
          <w:szCs w:val="24"/>
        </w:rPr>
        <w:t>субъектом</w:t>
      </w:r>
      <w:r w:rsidR="006C680D" w:rsidRPr="00D337FA">
        <w:rPr>
          <w:szCs w:val="24"/>
        </w:rPr>
        <w:t xml:space="preserve"> </w:t>
      </w:r>
      <w:r w:rsidRPr="00D337FA">
        <w:rPr>
          <w:szCs w:val="24"/>
        </w:rPr>
        <w:t>с</w:t>
      </w:r>
      <w:r w:rsidR="006C680D" w:rsidRPr="00D337FA">
        <w:rPr>
          <w:szCs w:val="24"/>
        </w:rPr>
        <w:t xml:space="preserve"> </w:t>
      </w:r>
      <w:r w:rsidRPr="00D337FA">
        <w:rPr>
          <w:szCs w:val="24"/>
        </w:rPr>
        <w:t>разных</w:t>
      </w:r>
      <w:r w:rsidR="006C680D" w:rsidRPr="00D337FA">
        <w:rPr>
          <w:szCs w:val="24"/>
        </w:rPr>
        <w:t xml:space="preserve"> </w:t>
      </w:r>
      <w:r w:rsidRPr="00D337FA">
        <w:rPr>
          <w:szCs w:val="24"/>
        </w:rPr>
        <w:t>сторон</w:t>
      </w:r>
      <w:r w:rsidR="006C680D" w:rsidRPr="00D337FA">
        <w:rPr>
          <w:szCs w:val="24"/>
        </w:rPr>
        <w:t xml:space="preserve"> </w:t>
      </w:r>
      <w:r w:rsidRPr="00D337FA">
        <w:rPr>
          <w:szCs w:val="24"/>
        </w:rPr>
        <w:t>исходя</w:t>
      </w:r>
      <w:r w:rsidR="006C680D" w:rsidRPr="00D337FA">
        <w:rPr>
          <w:szCs w:val="24"/>
        </w:rPr>
        <w:t xml:space="preserve"> </w:t>
      </w:r>
      <w:r w:rsidRPr="00D337FA">
        <w:rPr>
          <w:szCs w:val="24"/>
        </w:rPr>
        <w:t>из</w:t>
      </w:r>
      <w:r w:rsidR="006C680D" w:rsidRPr="00D337FA">
        <w:rPr>
          <w:szCs w:val="24"/>
        </w:rPr>
        <w:t xml:space="preserve"> </w:t>
      </w:r>
      <w:r w:rsidRPr="00D337FA">
        <w:rPr>
          <w:szCs w:val="24"/>
        </w:rPr>
        <w:t>его</w:t>
      </w:r>
      <w:r w:rsidR="006C680D" w:rsidRPr="00D337FA">
        <w:rPr>
          <w:szCs w:val="24"/>
        </w:rPr>
        <w:t xml:space="preserve"> </w:t>
      </w:r>
      <w:r w:rsidRPr="00D337FA">
        <w:rPr>
          <w:szCs w:val="24"/>
        </w:rPr>
        <w:t>задач.</w:t>
      </w:r>
      <w:r w:rsidR="006C680D" w:rsidRPr="00D337FA">
        <w:rPr>
          <w:szCs w:val="24"/>
        </w:rPr>
        <w:t xml:space="preserve"> </w:t>
      </w:r>
      <w:r w:rsidRPr="00D337FA">
        <w:rPr>
          <w:szCs w:val="24"/>
        </w:rPr>
        <w:t>Субъект</w:t>
      </w:r>
      <w:r w:rsidR="006C680D" w:rsidRPr="00D337FA">
        <w:rPr>
          <w:szCs w:val="24"/>
        </w:rPr>
        <w:t xml:space="preserve"> </w:t>
      </w:r>
      <w:r w:rsidRPr="00D337FA">
        <w:rPr>
          <w:szCs w:val="24"/>
        </w:rPr>
        <w:t>представляет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лицо</w:t>
      </w:r>
      <w:r w:rsidR="006C680D" w:rsidRPr="00D337FA">
        <w:rPr>
          <w:szCs w:val="24"/>
        </w:rPr>
        <w:t xml:space="preserve"> </w:t>
      </w:r>
      <w:r w:rsidRPr="00D337FA">
        <w:rPr>
          <w:szCs w:val="24"/>
        </w:rPr>
        <w:t>или</w:t>
      </w:r>
      <w:r w:rsidR="006C680D" w:rsidRPr="00D337FA">
        <w:rPr>
          <w:szCs w:val="24"/>
        </w:rPr>
        <w:t xml:space="preserve"> </w:t>
      </w:r>
      <w:r w:rsidRPr="00D337FA">
        <w:rPr>
          <w:szCs w:val="24"/>
        </w:rPr>
        <w:t>группу</w:t>
      </w:r>
      <w:r w:rsidR="006C680D" w:rsidRPr="00D337FA">
        <w:rPr>
          <w:szCs w:val="24"/>
        </w:rPr>
        <w:t xml:space="preserve"> </w:t>
      </w:r>
      <w:r w:rsidRPr="00D337FA">
        <w:rPr>
          <w:szCs w:val="24"/>
        </w:rPr>
        <w:t>лиц,</w:t>
      </w:r>
      <w:r w:rsidR="006C680D" w:rsidRPr="00D337FA">
        <w:rPr>
          <w:szCs w:val="24"/>
        </w:rPr>
        <w:t xml:space="preserve"> </w:t>
      </w:r>
      <w:r w:rsidRPr="00D337FA">
        <w:rPr>
          <w:szCs w:val="24"/>
        </w:rPr>
        <w:t>осуществляющих</w:t>
      </w:r>
      <w:r w:rsidR="006C680D" w:rsidRPr="00D337FA">
        <w:rPr>
          <w:szCs w:val="24"/>
        </w:rPr>
        <w:t xml:space="preserve"> </w:t>
      </w:r>
      <w:r w:rsidRPr="00D337FA">
        <w:rPr>
          <w:szCs w:val="24"/>
        </w:rPr>
        <w:t>управленческие</w:t>
      </w:r>
      <w:r w:rsidR="006C680D" w:rsidRPr="00D337FA">
        <w:rPr>
          <w:szCs w:val="24"/>
        </w:rPr>
        <w:t xml:space="preserve"> </w:t>
      </w:r>
      <w:r w:rsidRPr="00D337FA">
        <w:rPr>
          <w:szCs w:val="24"/>
        </w:rPr>
        <w:t>действия,</w:t>
      </w:r>
      <w:r w:rsidR="006C680D" w:rsidRPr="00D337FA">
        <w:rPr>
          <w:szCs w:val="24"/>
        </w:rPr>
        <w:t xml:space="preserve"> </w:t>
      </w:r>
      <w:r w:rsidRPr="00D337FA">
        <w:rPr>
          <w:szCs w:val="24"/>
        </w:rPr>
        <w:t>направленные</w:t>
      </w:r>
      <w:r w:rsidR="006C680D" w:rsidRPr="00D337FA">
        <w:rPr>
          <w:szCs w:val="24"/>
        </w:rPr>
        <w:t xml:space="preserve"> </w:t>
      </w:r>
      <w:r w:rsidRPr="00D337FA">
        <w:rPr>
          <w:szCs w:val="24"/>
        </w:rPr>
        <w:t>на</w:t>
      </w:r>
      <w:r w:rsidR="006C680D" w:rsidRPr="00D337FA">
        <w:rPr>
          <w:szCs w:val="24"/>
        </w:rPr>
        <w:t xml:space="preserve"> </w:t>
      </w:r>
      <w:r w:rsidRPr="00D337FA">
        <w:rPr>
          <w:szCs w:val="24"/>
        </w:rPr>
        <w:t>объект</w:t>
      </w:r>
      <w:r w:rsidR="006C680D" w:rsidRPr="00D337FA">
        <w:rPr>
          <w:szCs w:val="24"/>
        </w:rPr>
        <w:t xml:space="preserve"> </w:t>
      </w:r>
      <w:r w:rsidRPr="00D337FA">
        <w:rPr>
          <w:szCs w:val="24"/>
        </w:rPr>
        <w:t>(инновационную</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Таким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субъект</w:t>
      </w:r>
      <w:r w:rsidR="006C680D" w:rsidRPr="00D337FA">
        <w:rPr>
          <w:szCs w:val="24"/>
        </w:rPr>
        <w:t xml:space="preserve"> </w:t>
      </w:r>
      <w:r w:rsidRPr="00D337FA">
        <w:rPr>
          <w:szCs w:val="24"/>
        </w:rPr>
        <w:t>формирует</w:t>
      </w:r>
      <w:r w:rsidR="006C680D" w:rsidRPr="00D337FA">
        <w:rPr>
          <w:szCs w:val="24"/>
        </w:rPr>
        <w:t xml:space="preserve"> </w:t>
      </w:r>
      <w:r w:rsidRPr="00D337FA">
        <w:rPr>
          <w:szCs w:val="24"/>
        </w:rPr>
        <w:t>цель,</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и</w:t>
      </w:r>
      <w:r w:rsidR="006C680D" w:rsidRPr="00D337FA">
        <w:rPr>
          <w:szCs w:val="24"/>
        </w:rPr>
        <w:t xml:space="preserve"> </w:t>
      </w:r>
      <w:r w:rsidRPr="00D337FA">
        <w:rPr>
          <w:szCs w:val="24"/>
        </w:rPr>
        <w:t>определяет</w:t>
      </w:r>
      <w:r w:rsidR="006C680D" w:rsidRPr="00D337FA">
        <w:rPr>
          <w:szCs w:val="24"/>
        </w:rPr>
        <w:t xml:space="preserve"> </w:t>
      </w:r>
      <w:r w:rsidRPr="00D337FA">
        <w:rPr>
          <w:szCs w:val="24"/>
        </w:rPr>
        <w:t>комбинацию</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и</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будут</w:t>
      </w:r>
      <w:r w:rsidR="006C680D" w:rsidRPr="00D337FA">
        <w:rPr>
          <w:szCs w:val="24"/>
        </w:rPr>
        <w:t xml:space="preserve"> </w:t>
      </w:r>
      <w:r w:rsidRPr="00D337FA">
        <w:rPr>
          <w:szCs w:val="24"/>
        </w:rPr>
        <w:t>использованы</w:t>
      </w:r>
      <w:r w:rsidR="006C680D" w:rsidRPr="00D337FA">
        <w:rPr>
          <w:szCs w:val="24"/>
        </w:rPr>
        <w:t xml:space="preserve"> </w:t>
      </w:r>
      <w:r w:rsidRPr="00D337FA">
        <w:rPr>
          <w:szCs w:val="24"/>
        </w:rPr>
        <w:t>для</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практической</w:t>
      </w:r>
      <w:r w:rsidR="006C680D" w:rsidRPr="00D337FA">
        <w:rPr>
          <w:szCs w:val="24"/>
        </w:rPr>
        <w:t xml:space="preserve"> </w:t>
      </w:r>
      <w:r w:rsidRPr="00D337FA">
        <w:rPr>
          <w:szCs w:val="24"/>
        </w:rPr>
        <w:t>задачи.</w:t>
      </w:r>
      <w:r w:rsidR="006C680D" w:rsidRPr="00D337FA">
        <w:rPr>
          <w:szCs w:val="24"/>
        </w:rPr>
        <w:t xml:space="preserve"> </w:t>
      </w:r>
      <w:r w:rsidRPr="00D337FA">
        <w:rPr>
          <w:szCs w:val="24"/>
        </w:rPr>
        <w:t>Но</w:t>
      </w:r>
      <w:r w:rsidR="006C680D" w:rsidRPr="00D337FA">
        <w:rPr>
          <w:szCs w:val="24"/>
        </w:rPr>
        <w:t xml:space="preserve"> </w:t>
      </w:r>
      <w:r w:rsidRPr="00D337FA">
        <w:rPr>
          <w:szCs w:val="24"/>
        </w:rPr>
        <w:t>цель</w:t>
      </w:r>
      <w:r w:rsidR="006C680D" w:rsidRPr="00D337FA">
        <w:rPr>
          <w:szCs w:val="24"/>
        </w:rPr>
        <w:t xml:space="preserve"> </w:t>
      </w:r>
      <w:r w:rsidRPr="00D337FA">
        <w:rPr>
          <w:szCs w:val="24"/>
        </w:rPr>
        <w:t>и</w:t>
      </w:r>
      <w:r w:rsidR="006C680D" w:rsidRPr="00D337FA">
        <w:rPr>
          <w:szCs w:val="24"/>
        </w:rPr>
        <w:t xml:space="preserve"> </w:t>
      </w:r>
      <w:r w:rsidRPr="00D337FA">
        <w:rPr>
          <w:szCs w:val="24"/>
        </w:rPr>
        <w:t>задачи</w:t>
      </w:r>
      <w:r w:rsidR="006C680D" w:rsidRPr="00D337FA">
        <w:rPr>
          <w:szCs w:val="24"/>
        </w:rPr>
        <w:t xml:space="preserve"> </w:t>
      </w:r>
      <w:r w:rsidRPr="00D337FA">
        <w:rPr>
          <w:szCs w:val="24"/>
        </w:rPr>
        <w:t>субъекта</w:t>
      </w:r>
      <w:r w:rsidR="006C680D" w:rsidRPr="00D337FA">
        <w:rPr>
          <w:szCs w:val="24"/>
        </w:rPr>
        <w:t xml:space="preserve"> </w:t>
      </w:r>
      <w:r w:rsidRPr="00D337FA">
        <w:rPr>
          <w:szCs w:val="24"/>
        </w:rPr>
        <w:t>ограничиваются</w:t>
      </w:r>
      <w:r w:rsidR="006C680D" w:rsidRPr="00D337FA">
        <w:rPr>
          <w:szCs w:val="24"/>
        </w:rPr>
        <w:t xml:space="preserve"> </w:t>
      </w:r>
      <w:r w:rsidRPr="00D337FA">
        <w:rPr>
          <w:szCs w:val="24"/>
        </w:rPr>
        <w:t>объектом,</w:t>
      </w:r>
      <w:r w:rsidR="006C680D" w:rsidRPr="00D337FA">
        <w:rPr>
          <w:szCs w:val="24"/>
        </w:rPr>
        <w:t xml:space="preserve"> </w:t>
      </w:r>
      <w:r w:rsidRPr="00D337FA">
        <w:rPr>
          <w:szCs w:val="24"/>
        </w:rPr>
        <w:t>определяющим</w:t>
      </w:r>
      <w:r w:rsidR="006C680D" w:rsidRPr="00D337FA">
        <w:rPr>
          <w:szCs w:val="24"/>
        </w:rPr>
        <w:t xml:space="preserve"> </w:t>
      </w:r>
      <w:r w:rsidRPr="00D337FA">
        <w:rPr>
          <w:szCs w:val="24"/>
        </w:rPr>
        <w:t>пределы</w:t>
      </w:r>
      <w:r w:rsidR="006C680D" w:rsidRPr="00D337FA">
        <w:rPr>
          <w:szCs w:val="24"/>
        </w:rPr>
        <w:t xml:space="preserve"> </w:t>
      </w:r>
      <w:r w:rsidRPr="00D337FA">
        <w:rPr>
          <w:szCs w:val="24"/>
        </w:rPr>
        <w:t>управленческих</w:t>
      </w:r>
      <w:r w:rsidR="006C680D" w:rsidRPr="00D337FA">
        <w:rPr>
          <w:szCs w:val="24"/>
        </w:rPr>
        <w:t xml:space="preserve"> </w:t>
      </w:r>
      <w:r w:rsidRPr="00D337FA">
        <w:rPr>
          <w:szCs w:val="24"/>
        </w:rPr>
        <w:t>воздействия,</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их</w:t>
      </w:r>
      <w:r w:rsidR="006C680D" w:rsidRPr="00D337FA">
        <w:rPr>
          <w:szCs w:val="24"/>
        </w:rPr>
        <w:t xml:space="preserve"> </w:t>
      </w:r>
      <w:r w:rsidRPr="00D337FA">
        <w:rPr>
          <w:szCs w:val="24"/>
        </w:rPr>
        <w:t>осуществления.</w:t>
      </w:r>
      <w:r w:rsidR="006C680D" w:rsidRPr="00D337FA">
        <w:rPr>
          <w:szCs w:val="24"/>
        </w:rPr>
        <w:t xml:space="preserve"> </w:t>
      </w:r>
    </w:p>
    <w:p w:rsidR="00C03F09" w:rsidRPr="00D337FA" w:rsidRDefault="00C03F09" w:rsidP="00C03F09">
      <w:pPr>
        <w:ind w:firstLine="142"/>
        <w:rPr>
          <w:szCs w:val="24"/>
        </w:rPr>
      </w:pPr>
      <w:r w:rsidRPr="00D337FA">
        <w:rPr>
          <w:szCs w:val="24"/>
        </w:rPr>
        <w:t>Условия</w:t>
      </w:r>
      <w:r w:rsidR="006C680D" w:rsidRPr="00D337FA">
        <w:rPr>
          <w:szCs w:val="24"/>
        </w:rPr>
        <w:t xml:space="preserve"> </w:t>
      </w:r>
      <w:r w:rsidRPr="00D337FA">
        <w:rPr>
          <w:szCs w:val="24"/>
        </w:rPr>
        <w:t>и</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формируют</w:t>
      </w:r>
      <w:r w:rsidR="006C680D" w:rsidRPr="00D337FA">
        <w:rPr>
          <w:szCs w:val="24"/>
        </w:rPr>
        <w:t xml:space="preserve"> </w:t>
      </w:r>
      <w:r w:rsidRPr="00D337FA">
        <w:rPr>
          <w:szCs w:val="24"/>
        </w:rPr>
        <w:t>концепцию</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в</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отражается</w:t>
      </w:r>
      <w:r w:rsidR="006C680D" w:rsidRPr="00D337FA">
        <w:rPr>
          <w:szCs w:val="24"/>
        </w:rPr>
        <w:t xml:space="preserve"> </w:t>
      </w:r>
      <w:r w:rsidRPr="00D337FA">
        <w:rPr>
          <w:szCs w:val="24"/>
        </w:rPr>
        <w:t>понимание</w:t>
      </w:r>
      <w:r w:rsidR="006C680D" w:rsidRPr="00D337FA">
        <w:rPr>
          <w:szCs w:val="24"/>
        </w:rPr>
        <w:t xml:space="preserve"> </w:t>
      </w:r>
      <w:r w:rsidRPr="00D337FA">
        <w:rPr>
          <w:szCs w:val="24"/>
        </w:rPr>
        <w:t>субъектом</w:t>
      </w:r>
      <w:r w:rsidR="006C680D" w:rsidRPr="00D337FA">
        <w:rPr>
          <w:szCs w:val="24"/>
        </w:rPr>
        <w:t xml:space="preserve"> </w:t>
      </w:r>
      <w:r w:rsidRPr="00D337FA">
        <w:rPr>
          <w:szCs w:val="24"/>
        </w:rPr>
        <w:t>управ</w:t>
      </w:r>
      <w:r w:rsidRPr="00D337FA">
        <w:rPr>
          <w:szCs w:val="24"/>
        </w:rPr>
        <w:lastRenderedPageBreak/>
        <w:t>ления</w:t>
      </w:r>
      <w:r w:rsidR="006C680D" w:rsidRPr="00D337FA">
        <w:rPr>
          <w:szCs w:val="24"/>
        </w:rPr>
        <w:t xml:space="preserve"> </w:t>
      </w:r>
      <w:r w:rsidRPr="00D337FA">
        <w:rPr>
          <w:szCs w:val="24"/>
        </w:rPr>
        <w:t>своей</w:t>
      </w:r>
      <w:r w:rsidR="006C680D" w:rsidRPr="00D337FA">
        <w:rPr>
          <w:szCs w:val="24"/>
        </w:rPr>
        <w:t xml:space="preserve"> </w:t>
      </w:r>
      <w:r w:rsidRPr="00D337FA">
        <w:rPr>
          <w:szCs w:val="24"/>
        </w:rPr>
        <w:t>управленческой</w:t>
      </w:r>
      <w:r w:rsidR="006C680D" w:rsidRPr="00D337FA">
        <w:rPr>
          <w:szCs w:val="24"/>
        </w:rPr>
        <w:t xml:space="preserve"> </w:t>
      </w:r>
      <w:r w:rsidRPr="00D337FA">
        <w:rPr>
          <w:szCs w:val="24"/>
        </w:rPr>
        <w:t>ролей</w:t>
      </w:r>
      <w:r w:rsidR="006C680D" w:rsidRPr="00D337FA">
        <w:rPr>
          <w:szCs w:val="24"/>
        </w:rPr>
        <w:t xml:space="preserve"> </w:t>
      </w:r>
      <w:r w:rsidRPr="00D337FA">
        <w:rPr>
          <w:szCs w:val="24"/>
        </w:rPr>
        <w:t>и</w:t>
      </w:r>
      <w:r w:rsidR="006C680D" w:rsidRPr="00D337FA">
        <w:rPr>
          <w:szCs w:val="24"/>
        </w:rPr>
        <w:t xml:space="preserve"> </w:t>
      </w:r>
      <w:r w:rsidRPr="00D337FA">
        <w:rPr>
          <w:szCs w:val="24"/>
        </w:rPr>
        <w:t>функций,</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имеющиеся</w:t>
      </w:r>
      <w:r w:rsidR="006C680D" w:rsidRPr="00D337FA">
        <w:rPr>
          <w:szCs w:val="24"/>
        </w:rPr>
        <w:t xml:space="preserve"> </w:t>
      </w:r>
      <w:r w:rsidRPr="00D337FA">
        <w:rPr>
          <w:szCs w:val="24"/>
        </w:rPr>
        <w:t>установки,</w:t>
      </w:r>
      <w:r w:rsidR="006C680D" w:rsidRPr="00D337FA">
        <w:rPr>
          <w:szCs w:val="24"/>
        </w:rPr>
        <w:t xml:space="preserve"> </w:t>
      </w:r>
      <w:r w:rsidRPr="00D337FA">
        <w:rPr>
          <w:szCs w:val="24"/>
        </w:rPr>
        <w:t>сформированные</w:t>
      </w:r>
      <w:r w:rsidR="006C680D" w:rsidRPr="00D337FA">
        <w:rPr>
          <w:szCs w:val="24"/>
        </w:rPr>
        <w:t xml:space="preserve"> </w:t>
      </w:r>
      <w:r w:rsidRPr="00D337FA">
        <w:rPr>
          <w:szCs w:val="24"/>
        </w:rPr>
        <w:t>под</w:t>
      </w:r>
      <w:r w:rsidR="006C680D" w:rsidRPr="00D337FA">
        <w:rPr>
          <w:szCs w:val="24"/>
        </w:rPr>
        <w:t xml:space="preserve"> </w:t>
      </w:r>
      <w:r w:rsidRPr="00D337FA">
        <w:rPr>
          <w:szCs w:val="24"/>
        </w:rPr>
        <w:t>влиянием</w:t>
      </w:r>
      <w:r w:rsidR="006C680D" w:rsidRPr="00D337FA">
        <w:rPr>
          <w:szCs w:val="24"/>
        </w:rPr>
        <w:t xml:space="preserve"> </w:t>
      </w:r>
      <w:r w:rsidRPr="00D337FA">
        <w:rPr>
          <w:szCs w:val="24"/>
        </w:rPr>
        <w:t>внешней</w:t>
      </w:r>
      <w:r w:rsidR="006C680D" w:rsidRPr="00D337FA">
        <w:rPr>
          <w:szCs w:val="24"/>
        </w:rPr>
        <w:t xml:space="preserve"> </w:t>
      </w:r>
      <w:r w:rsidRPr="00D337FA">
        <w:rPr>
          <w:szCs w:val="24"/>
        </w:rPr>
        <w:t>среды</w:t>
      </w:r>
      <w:r w:rsidR="006C680D" w:rsidRPr="00D337FA">
        <w:rPr>
          <w:szCs w:val="24"/>
        </w:rPr>
        <w:t xml:space="preserve"> </w:t>
      </w:r>
      <w:r w:rsidRPr="00D337FA">
        <w:rPr>
          <w:szCs w:val="24"/>
        </w:rPr>
        <w:t>и</w:t>
      </w:r>
      <w:r w:rsidR="006C680D" w:rsidRPr="00D337FA">
        <w:rPr>
          <w:szCs w:val="24"/>
        </w:rPr>
        <w:t xml:space="preserve"> </w:t>
      </w:r>
      <w:r w:rsidRPr="00D337FA">
        <w:rPr>
          <w:szCs w:val="24"/>
        </w:rPr>
        <w:t>особенностей</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все</w:t>
      </w:r>
      <w:r w:rsidR="006C680D" w:rsidRPr="00D337FA">
        <w:rPr>
          <w:szCs w:val="24"/>
        </w:rPr>
        <w:t xml:space="preserve"> </w:t>
      </w:r>
      <w:r w:rsidRPr="00D337FA">
        <w:rPr>
          <w:szCs w:val="24"/>
        </w:rPr>
        <w:t>большее</w:t>
      </w:r>
      <w:r w:rsidR="006C680D" w:rsidRPr="00D337FA">
        <w:rPr>
          <w:szCs w:val="24"/>
        </w:rPr>
        <w:t xml:space="preserve"> </w:t>
      </w:r>
      <w:r w:rsidRPr="00D337FA">
        <w:rPr>
          <w:szCs w:val="24"/>
        </w:rPr>
        <w:t>влияние</w:t>
      </w:r>
      <w:r w:rsidR="006C680D" w:rsidRPr="00D337FA">
        <w:rPr>
          <w:szCs w:val="24"/>
        </w:rPr>
        <w:t xml:space="preserve"> </w:t>
      </w:r>
      <w:r w:rsidRPr="00D337FA">
        <w:rPr>
          <w:szCs w:val="24"/>
        </w:rPr>
        <w:t>на</w:t>
      </w:r>
      <w:r w:rsidR="006C680D" w:rsidRPr="00D337FA">
        <w:rPr>
          <w:szCs w:val="24"/>
        </w:rPr>
        <w:t xml:space="preserve"> </w:t>
      </w:r>
      <w:r w:rsidRPr="00D337FA">
        <w:rPr>
          <w:szCs w:val="24"/>
        </w:rPr>
        <w:t>все</w:t>
      </w:r>
      <w:r w:rsidR="006C680D" w:rsidRPr="00D337FA">
        <w:rPr>
          <w:szCs w:val="24"/>
        </w:rPr>
        <w:t xml:space="preserve"> </w:t>
      </w:r>
      <w:r w:rsidRPr="00D337FA">
        <w:rPr>
          <w:szCs w:val="24"/>
        </w:rPr>
        <w:t>виды</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оказывает</w:t>
      </w:r>
      <w:r w:rsidR="006C680D" w:rsidRPr="00D337FA">
        <w:rPr>
          <w:szCs w:val="24"/>
        </w:rPr>
        <w:t xml:space="preserve"> </w:t>
      </w:r>
      <w:r w:rsidRPr="00D337FA">
        <w:rPr>
          <w:szCs w:val="24"/>
        </w:rPr>
        <w:t>цифровизация,</w:t>
      </w:r>
      <w:r w:rsidR="006C680D" w:rsidRPr="00D337FA">
        <w:rPr>
          <w:szCs w:val="24"/>
        </w:rPr>
        <w:t xml:space="preserve"> </w:t>
      </w:r>
      <w:r w:rsidRPr="00D337FA">
        <w:rPr>
          <w:szCs w:val="24"/>
        </w:rPr>
        <w:t>основанная</w:t>
      </w:r>
      <w:r w:rsidR="006C680D" w:rsidRPr="00D337FA">
        <w:rPr>
          <w:szCs w:val="24"/>
        </w:rPr>
        <w:t xml:space="preserve"> </w:t>
      </w:r>
      <w:r w:rsidRPr="00D337FA">
        <w:rPr>
          <w:szCs w:val="24"/>
        </w:rPr>
        <w:t>на</w:t>
      </w:r>
      <w:r w:rsidR="006C680D" w:rsidRPr="00D337FA">
        <w:rPr>
          <w:szCs w:val="24"/>
        </w:rPr>
        <w:t xml:space="preserve"> </w:t>
      </w:r>
      <w:r w:rsidRPr="00D337FA">
        <w:rPr>
          <w:szCs w:val="24"/>
        </w:rPr>
        <w:t>идеях,</w:t>
      </w:r>
      <w:r w:rsidR="006C680D" w:rsidRPr="00D337FA">
        <w:rPr>
          <w:szCs w:val="24"/>
        </w:rPr>
        <w:t xml:space="preserve"> </w:t>
      </w:r>
      <w:r w:rsidRPr="00D337FA">
        <w:rPr>
          <w:szCs w:val="24"/>
        </w:rPr>
        <w:t>выдвинутых</w:t>
      </w:r>
      <w:r w:rsidR="006C680D" w:rsidRPr="00D337FA">
        <w:rPr>
          <w:szCs w:val="24"/>
        </w:rPr>
        <w:t xml:space="preserve"> </w:t>
      </w:r>
      <w:r w:rsidRPr="00D337FA">
        <w:rPr>
          <w:szCs w:val="24"/>
        </w:rPr>
        <w:t>К.</w:t>
      </w:r>
      <w:r w:rsidR="006C680D" w:rsidRPr="00D337FA">
        <w:rPr>
          <w:szCs w:val="24"/>
        </w:rPr>
        <w:t xml:space="preserve"> </w:t>
      </w:r>
      <w:r w:rsidRPr="00D337FA">
        <w:rPr>
          <w:szCs w:val="24"/>
        </w:rPr>
        <w:t>Швабом</w:t>
      </w:r>
      <w:r w:rsidR="006C680D" w:rsidRPr="00D337FA">
        <w:rPr>
          <w:szCs w:val="24"/>
        </w:rPr>
        <w:t xml:space="preserve"> </w:t>
      </w:r>
      <w:r w:rsidRPr="00D337FA">
        <w:rPr>
          <w:szCs w:val="24"/>
        </w:rPr>
        <w:t>и</w:t>
      </w:r>
      <w:r w:rsidR="006C680D" w:rsidRPr="00D337FA">
        <w:rPr>
          <w:szCs w:val="24"/>
        </w:rPr>
        <w:t xml:space="preserve"> </w:t>
      </w:r>
      <w:r w:rsidRPr="00D337FA">
        <w:rPr>
          <w:szCs w:val="24"/>
        </w:rPr>
        <w:t>сконцентрированных</w:t>
      </w:r>
      <w:r w:rsidR="006C680D" w:rsidRPr="00D337FA">
        <w:rPr>
          <w:szCs w:val="24"/>
        </w:rPr>
        <w:t xml:space="preserve"> </w:t>
      </w:r>
      <w:r w:rsidRPr="00D337FA">
        <w:rPr>
          <w:szCs w:val="24"/>
        </w:rPr>
        <w:t>в</w:t>
      </w:r>
      <w:r w:rsidR="006C680D" w:rsidRPr="00D337FA">
        <w:rPr>
          <w:szCs w:val="24"/>
        </w:rPr>
        <w:t xml:space="preserve"> </w:t>
      </w:r>
      <w:r w:rsidRPr="00D337FA">
        <w:rPr>
          <w:szCs w:val="24"/>
        </w:rPr>
        <w:t>термине</w:t>
      </w:r>
      <w:r w:rsidR="006C680D" w:rsidRPr="00D337FA">
        <w:rPr>
          <w:szCs w:val="24"/>
        </w:rPr>
        <w:t xml:space="preserve"> </w:t>
      </w:r>
      <w:r w:rsidRPr="00D337FA">
        <w:rPr>
          <w:szCs w:val="24"/>
        </w:rPr>
        <w:t>«Промышленность</w:t>
      </w:r>
      <w:r w:rsidR="006C680D" w:rsidRPr="00D337FA">
        <w:rPr>
          <w:szCs w:val="24"/>
        </w:rPr>
        <w:t xml:space="preserve"> </w:t>
      </w:r>
      <w:r w:rsidRPr="00D337FA">
        <w:rPr>
          <w:szCs w:val="24"/>
        </w:rPr>
        <w:t>4.0»,</w:t>
      </w:r>
      <w:r w:rsidR="006C680D" w:rsidRPr="00D337FA">
        <w:rPr>
          <w:szCs w:val="24"/>
        </w:rPr>
        <w:t xml:space="preserve"> </w:t>
      </w:r>
      <w:r w:rsidRPr="00D337FA">
        <w:rPr>
          <w:szCs w:val="24"/>
        </w:rPr>
        <w:t>поэтому</w:t>
      </w:r>
      <w:r w:rsidR="006C680D" w:rsidRPr="00D337FA">
        <w:rPr>
          <w:szCs w:val="24"/>
        </w:rPr>
        <w:t xml:space="preserve"> </w:t>
      </w:r>
      <w:r w:rsidRPr="00D337FA">
        <w:rPr>
          <w:szCs w:val="24"/>
        </w:rPr>
        <w:t>появляются</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концепции,</w:t>
      </w:r>
      <w:r w:rsidR="006C680D" w:rsidRPr="00D337FA">
        <w:rPr>
          <w:szCs w:val="24"/>
        </w:rPr>
        <w:t xml:space="preserve"> </w:t>
      </w:r>
      <w:r w:rsidRPr="00D337FA">
        <w:rPr>
          <w:szCs w:val="24"/>
        </w:rPr>
        <w:t>как</w:t>
      </w:r>
      <w:r w:rsidR="006C680D" w:rsidRPr="00D337FA">
        <w:rPr>
          <w:szCs w:val="24"/>
        </w:rPr>
        <w:t xml:space="preserve"> </w:t>
      </w:r>
      <w:r w:rsidRPr="00D337FA">
        <w:rPr>
          <w:szCs w:val="24"/>
        </w:rPr>
        <w:t>Менеджмент</w:t>
      </w:r>
      <w:r w:rsidR="006C680D" w:rsidRPr="00D337FA">
        <w:rPr>
          <w:szCs w:val="24"/>
        </w:rPr>
        <w:t xml:space="preserve"> </w:t>
      </w:r>
      <w:r w:rsidRPr="00D337FA">
        <w:rPr>
          <w:szCs w:val="24"/>
        </w:rPr>
        <w:t>4.0,</w:t>
      </w:r>
      <w:r w:rsidR="006C680D" w:rsidRPr="00D337FA">
        <w:rPr>
          <w:szCs w:val="24"/>
        </w:rPr>
        <w:t xml:space="preserve"> </w:t>
      </w:r>
      <w:r w:rsidRPr="00D337FA">
        <w:rPr>
          <w:szCs w:val="24"/>
        </w:rPr>
        <w:t>основанные</w:t>
      </w:r>
      <w:r w:rsidR="006C680D" w:rsidRPr="00D337FA">
        <w:rPr>
          <w:szCs w:val="24"/>
        </w:rPr>
        <w:t xml:space="preserve"> </w:t>
      </w:r>
      <w:r w:rsidRPr="00D337FA">
        <w:rPr>
          <w:szCs w:val="24"/>
        </w:rPr>
        <w:t>на</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А</w:t>
      </w:r>
      <w:r w:rsidR="006C680D" w:rsidRPr="00D337FA">
        <w:rPr>
          <w:szCs w:val="24"/>
        </w:rPr>
        <w:t xml:space="preserve"> </w:t>
      </w:r>
      <w:r w:rsidRPr="00D337FA">
        <w:rPr>
          <w:szCs w:val="24"/>
        </w:rPr>
        <w:t>значит</w:t>
      </w:r>
      <w:r w:rsidR="006C680D" w:rsidRPr="00D337FA">
        <w:rPr>
          <w:szCs w:val="24"/>
        </w:rPr>
        <w:t xml:space="preserve"> </w:t>
      </w:r>
      <w:r w:rsidRPr="00D337FA">
        <w:rPr>
          <w:szCs w:val="24"/>
        </w:rPr>
        <w:t>и</w:t>
      </w:r>
      <w:r w:rsidR="006C680D" w:rsidRPr="00D337FA">
        <w:rPr>
          <w:szCs w:val="24"/>
        </w:rPr>
        <w:t xml:space="preserve"> </w:t>
      </w:r>
      <w:r w:rsidRPr="00D337FA">
        <w:rPr>
          <w:szCs w:val="24"/>
        </w:rPr>
        <w:t>в</w:t>
      </w:r>
      <w:r w:rsidR="006C680D" w:rsidRPr="00D337FA">
        <w:rPr>
          <w:szCs w:val="24"/>
        </w:rPr>
        <w:t xml:space="preserve"> </w:t>
      </w:r>
      <w:r w:rsidRPr="00D337FA">
        <w:rPr>
          <w:szCs w:val="24"/>
        </w:rPr>
        <w:t>концепции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должны</w:t>
      </w:r>
      <w:r w:rsidR="006C680D" w:rsidRPr="00D337FA">
        <w:rPr>
          <w:szCs w:val="24"/>
        </w:rPr>
        <w:t xml:space="preserve"> </w:t>
      </w:r>
      <w:r w:rsidRPr="00D337FA">
        <w:rPr>
          <w:szCs w:val="24"/>
        </w:rPr>
        <w:t>найти</w:t>
      </w:r>
      <w:r w:rsidR="006C680D" w:rsidRPr="00D337FA">
        <w:rPr>
          <w:szCs w:val="24"/>
        </w:rPr>
        <w:t xml:space="preserve"> </w:t>
      </w:r>
      <w:r w:rsidRPr="00D337FA">
        <w:rPr>
          <w:szCs w:val="24"/>
        </w:rPr>
        <w:t>отражение</w:t>
      </w:r>
      <w:r w:rsidR="006C680D" w:rsidRPr="00D337FA">
        <w:rPr>
          <w:szCs w:val="24"/>
        </w:rPr>
        <w:t xml:space="preserve"> </w:t>
      </w:r>
      <w:r w:rsidRPr="00D337FA">
        <w:rPr>
          <w:szCs w:val="24"/>
        </w:rPr>
        <w:t>[2,</w:t>
      </w:r>
      <w:r w:rsidR="006C680D" w:rsidRPr="00D337FA">
        <w:rPr>
          <w:szCs w:val="24"/>
        </w:rPr>
        <w:t xml:space="preserve"> </w:t>
      </w:r>
      <w:r w:rsidRPr="00D337FA">
        <w:rPr>
          <w:szCs w:val="24"/>
        </w:rPr>
        <w:t>19]</w:t>
      </w:r>
      <w:r w:rsidR="0002772A" w:rsidRPr="00D337FA">
        <w:rPr>
          <w:szCs w:val="24"/>
        </w:rPr>
        <w:t>.</w:t>
      </w:r>
    </w:p>
    <w:p w:rsidR="00C03F09" w:rsidRPr="00D337FA" w:rsidRDefault="00C03F09" w:rsidP="00C03F09">
      <w:pPr>
        <w:ind w:firstLine="142"/>
        <w:rPr>
          <w:szCs w:val="24"/>
        </w:rPr>
      </w:pPr>
      <w:r w:rsidRPr="00D337FA">
        <w:rPr>
          <w:szCs w:val="24"/>
        </w:rPr>
        <w:t>Условия</w:t>
      </w:r>
      <w:r w:rsidR="006C680D" w:rsidRPr="00D337FA">
        <w:rPr>
          <w:szCs w:val="24"/>
        </w:rPr>
        <w:t xml:space="preserve"> </w:t>
      </w:r>
      <w:r w:rsidRPr="00D337FA">
        <w:rPr>
          <w:szCs w:val="24"/>
        </w:rPr>
        <w:t>как</w:t>
      </w:r>
      <w:r w:rsidR="006C680D" w:rsidRPr="00D337FA">
        <w:rPr>
          <w:szCs w:val="24"/>
        </w:rPr>
        <w:t xml:space="preserve"> </w:t>
      </w:r>
      <w:r w:rsidRPr="00D337FA">
        <w:rPr>
          <w:szCs w:val="24"/>
        </w:rPr>
        <w:t>часть</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представляют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характеристику</w:t>
      </w:r>
      <w:r w:rsidR="006C680D" w:rsidRPr="00D337FA">
        <w:rPr>
          <w:szCs w:val="24"/>
        </w:rPr>
        <w:t xml:space="preserve"> </w:t>
      </w:r>
      <w:r w:rsidRPr="00D337FA">
        <w:rPr>
          <w:szCs w:val="24"/>
        </w:rPr>
        <w:t>среды,</w:t>
      </w:r>
      <w:r w:rsidR="006C680D" w:rsidRPr="00D337FA">
        <w:rPr>
          <w:szCs w:val="24"/>
        </w:rPr>
        <w:t xml:space="preserve"> </w:t>
      </w:r>
      <w:r w:rsidRPr="00D337FA">
        <w:rPr>
          <w:szCs w:val="24"/>
        </w:rPr>
        <w:t>внешней</w:t>
      </w:r>
      <w:r w:rsidR="006C680D" w:rsidRPr="00D337FA">
        <w:rPr>
          <w:szCs w:val="24"/>
        </w:rPr>
        <w:t xml:space="preserve"> </w:t>
      </w:r>
      <w:r w:rsidRPr="00D337FA">
        <w:rPr>
          <w:szCs w:val="24"/>
        </w:rPr>
        <w:t>для</w:t>
      </w:r>
      <w:r w:rsidR="006C680D" w:rsidRPr="00D337FA">
        <w:rPr>
          <w:szCs w:val="24"/>
        </w:rPr>
        <w:t xml:space="preserve"> </w:t>
      </w:r>
      <w:r w:rsidRPr="00D337FA">
        <w:rPr>
          <w:szCs w:val="24"/>
        </w:rPr>
        <w:t>предмета</w:t>
      </w:r>
      <w:r w:rsidR="006C680D" w:rsidRPr="00D337FA">
        <w:rPr>
          <w:szCs w:val="24"/>
        </w:rPr>
        <w:t xml:space="preserve"> </w:t>
      </w:r>
      <w:r w:rsidRPr="00D337FA">
        <w:rPr>
          <w:szCs w:val="24"/>
        </w:rPr>
        <w:t>управленческой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Они</w:t>
      </w:r>
      <w:r w:rsidR="006C680D" w:rsidRPr="00D337FA">
        <w:rPr>
          <w:szCs w:val="24"/>
        </w:rPr>
        <w:t xml:space="preserve"> </w:t>
      </w:r>
      <w:r w:rsidRPr="00D337FA">
        <w:rPr>
          <w:szCs w:val="24"/>
        </w:rPr>
        <w:t>составляют</w:t>
      </w:r>
      <w:r w:rsidR="006C680D" w:rsidRPr="00D337FA">
        <w:rPr>
          <w:szCs w:val="24"/>
        </w:rPr>
        <w:t xml:space="preserve"> </w:t>
      </w:r>
      <w:r w:rsidRPr="00D337FA">
        <w:rPr>
          <w:szCs w:val="24"/>
        </w:rPr>
        <w:t>окружение,</w:t>
      </w:r>
      <w:r w:rsidR="006C680D" w:rsidRPr="00D337FA">
        <w:rPr>
          <w:szCs w:val="24"/>
        </w:rPr>
        <w:t xml:space="preserve"> </w:t>
      </w:r>
      <w:r w:rsidRPr="00D337FA">
        <w:rPr>
          <w:szCs w:val="24"/>
        </w:rPr>
        <w:t>в</w:t>
      </w:r>
      <w:r w:rsidR="006C680D" w:rsidRPr="00D337FA">
        <w:rPr>
          <w:szCs w:val="24"/>
        </w:rPr>
        <w:t xml:space="preserve"> </w:t>
      </w:r>
      <w:r w:rsidRPr="00D337FA">
        <w:rPr>
          <w:szCs w:val="24"/>
        </w:rPr>
        <w:t>котором</w:t>
      </w:r>
      <w:r w:rsidR="006C680D" w:rsidRPr="00D337FA">
        <w:rPr>
          <w:szCs w:val="24"/>
        </w:rPr>
        <w:t xml:space="preserve"> </w:t>
      </w:r>
      <w:r w:rsidRPr="00D337FA">
        <w:rPr>
          <w:szCs w:val="24"/>
        </w:rPr>
        <w:t>происходят</w:t>
      </w:r>
      <w:r w:rsidR="006C680D" w:rsidRPr="00D337FA">
        <w:rPr>
          <w:szCs w:val="24"/>
        </w:rPr>
        <w:t xml:space="preserve"> </w:t>
      </w:r>
      <w:r w:rsidRPr="00D337FA">
        <w:rPr>
          <w:szCs w:val="24"/>
        </w:rPr>
        <w:t>различные</w:t>
      </w:r>
      <w:r w:rsidR="006C680D" w:rsidRPr="00D337FA">
        <w:rPr>
          <w:szCs w:val="24"/>
        </w:rPr>
        <w:t xml:space="preserve"> </w:t>
      </w:r>
      <w:r w:rsidRPr="00D337FA">
        <w:rPr>
          <w:szCs w:val="24"/>
        </w:rPr>
        <w:t>процессы,</w:t>
      </w:r>
      <w:r w:rsidR="006C680D" w:rsidRPr="00D337FA">
        <w:rPr>
          <w:szCs w:val="24"/>
        </w:rPr>
        <w:t xml:space="preserve"> </w:t>
      </w:r>
      <w:r w:rsidRPr="00D337FA">
        <w:rPr>
          <w:szCs w:val="24"/>
        </w:rPr>
        <w:t>касающиеся</w:t>
      </w:r>
      <w:r w:rsidR="006C680D" w:rsidRPr="00D337FA">
        <w:rPr>
          <w:szCs w:val="24"/>
        </w:rPr>
        <w:t xml:space="preserve"> </w:t>
      </w:r>
      <w:r w:rsidRPr="00D337FA">
        <w:rPr>
          <w:szCs w:val="24"/>
        </w:rPr>
        <w:t>объекта,</w:t>
      </w:r>
      <w:r w:rsidR="006C680D" w:rsidRPr="00D337FA">
        <w:rPr>
          <w:szCs w:val="24"/>
        </w:rPr>
        <w:t xml:space="preserve"> </w:t>
      </w:r>
      <w:r w:rsidRPr="00D337FA">
        <w:rPr>
          <w:szCs w:val="24"/>
        </w:rPr>
        <w:t>но</w:t>
      </w:r>
      <w:r w:rsidR="006C680D" w:rsidRPr="00D337FA">
        <w:rPr>
          <w:szCs w:val="24"/>
        </w:rPr>
        <w:t xml:space="preserve"> </w:t>
      </w:r>
      <w:r w:rsidRPr="00D337FA">
        <w:rPr>
          <w:szCs w:val="24"/>
        </w:rPr>
        <w:t>не</w:t>
      </w:r>
      <w:r w:rsidR="006C680D" w:rsidRPr="00D337FA">
        <w:rPr>
          <w:szCs w:val="24"/>
        </w:rPr>
        <w:t xml:space="preserve"> </w:t>
      </w:r>
      <w:r w:rsidRPr="00D337FA">
        <w:rPr>
          <w:szCs w:val="24"/>
        </w:rPr>
        <w:t>являющиеся</w:t>
      </w:r>
      <w:r w:rsidR="006C680D" w:rsidRPr="00D337FA">
        <w:rPr>
          <w:szCs w:val="24"/>
        </w:rPr>
        <w:t xml:space="preserve"> </w:t>
      </w:r>
      <w:r w:rsidRPr="00D337FA">
        <w:rPr>
          <w:szCs w:val="24"/>
        </w:rPr>
        <w:t>причиной</w:t>
      </w:r>
      <w:r w:rsidR="006C680D" w:rsidRPr="00D337FA">
        <w:rPr>
          <w:szCs w:val="24"/>
        </w:rPr>
        <w:t xml:space="preserve"> </w:t>
      </w:r>
      <w:r w:rsidRPr="00D337FA">
        <w:rPr>
          <w:szCs w:val="24"/>
        </w:rPr>
        <w:t>этих</w:t>
      </w:r>
      <w:r w:rsidR="006C680D" w:rsidRPr="00D337FA">
        <w:rPr>
          <w:szCs w:val="24"/>
        </w:rPr>
        <w:t xml:space="preserve"> </w:t>
      </w:r>
      <w:r w:rsidRPr="00D337FA">
        <w:rPr>
          <w:szCs w:val="24"/>
        </w:rPr>
        <w:t>явлений.</w:t>
      </w:r>
      <w:r w:rsidR="006C680D" w:rsidRPr="00D337FA">
        <w:rPr>
          <w:szCs w:val="24"/>
        </w:rPr>
        <w:t xml:space="preserve"> </w:t>
      </w:r>
      <w:r w:rsidRPr="00D337FA">
        <w:rPr>
          <w:szCs w:val="24"/>
        </w:rPr>
        <w:t>В</w:t>
      </w:r>
      <w:r w:rsidR="006C680D" w:rsidRPr="00D337FA">
        <w:rPr>
          <w:szCs w:val="24"/>
        </w:rPr>
        <w:t xml:space="preserve"> </w:t>
      </w:r>
      <w:r w:rsidRPr="00D337FA">
        <w:rPr>
          <w:szCs w:val="24"/>
        </w:rPr>
        <w:t>качестве</w:t>
      </w:r>
      <w:r w:rsidR="006C680D" w:rsidRPr="00D337FA">
        <w:rPr>
          <w:szCs w:val="24"/>
        </w:rPr>
        <w:t xml:space="preserve"> </w:t>
      </w:r>
      <w:r w:rsidRPr="00D337FA">
        <w:rPr>
          <w:szCs w:val="24"/>
        </w:rPr>
        <w:t>конкретных</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предлагаемой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привести</w:t>
      </w:r>
      <w:r w:rsidR="006C680D" w:rsidRPr="00D337FA">
        <w:rPr>
          <w:szCs w:val="24"/>
        </w:rPr>
        <w:t xml:space="preserve"> </w:t>
      </w:r>
      <w:r w:rsidRPr="00D337FA">
        <w:rPr>
          <w:szCs w:val="24"/>
        </w:rPr>
        <w:t>следующие:</w:t>
      </w:r>
      <w:r w:rsidR="006C680D" w:rsidRPr="00D337FA">
        <w:rPr>
          <w:szCs w:val="24"/>
        </w:rPr>
        <w:t xml:space="preserve"> </w:t>
      </w:r>
      <w:r w:rsidRPr="00D337FA">
        <w:rPr>
          <w:szCs w:val="24"/>
        </w:rPr>
        <w:t>неопределенность</w:t>
      </w:r>
      <w:r w:rsidR="006C680D" w:rsidRPr="00D337FA">
        <w:rPr>
          <w:szCs w:val="24"/>
        </w:rPr>
        <w:t xml:space="preserve"> </w:t>
      </w:r>
      <w:r w:rsidRPr="00D337FA">
        <w:rPr>
          <w:szCs w:val="24"/>
        </w:rPr>
        <w:t>и</w:t>
      </w:r>
      <w:r w:rsidR="006C680D" w:rsidRPr="00D337FA">
        <w:rPr>
          <w:szCs w:val="24"/>
        </w:rPr>
        <w:t xml:space="preserve"> </w:t>
      </w:r>
      <w:r w:rsidRPr="00D337FA">
        <w:rPr>
          <w:szCs w:val="24"/>
        </w:rPr>
        <w:t>вероятностный</w:t>
      </w:r>
      <w:r w:rsidR="006C680D" w:rsidRPr="00D337FA">
        <w:rPr>
          <w:szCs w:val="24"/>
        </w:rPr>
        <w:t xml:space="preserve"> </w:t>
      </w:r>
      <w:r w:rsidRPr="00D337FA">
        <w:rPr>
          <w:szCs w:val="24"/>
        </w:rPr>
        <w:t>характер,</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низкая</w:t>
      </w:r>
      <w:r w:rsidR="006C680D" w:rsidRPr="00D337FA">
        <w:rPr>
          <w:szCs w:val="24"/>
        </w:rPr>
        <w:t xml:space="preserve"> </w:t>
      </w:r>
      <w:r w:rsidRPr="00D337FA">
        <w:rPr>
          <w:szCs w:val="24"/>
        </w:rPr>
        <w:t>предсказуемость</w:t>
      </w:r>
      <w:r w:rsidR="006C680D" w:rsidRPr="00D337FA">
        <w:rPr>
          <w:szCs w:val="24"/>
        </w:rPr>
        <w:t xml:space="preserve"> </w:t>
      </w:r>
      <w:r w:rsidRPr="00D337FA">
        <w:rPr>
          <w:szCs w:val="24"/>
        </w:rPr>
        <w:t>результатов;</w:t>
      </w:r>
      <w:r w:rsidR="006C680D" w:rsidRPr="00D337FA">
        <w:rPr>
          <w:szCs w:val="24"/>
        </w:rPr>
        <w:t xml:space="preserve"> </w:t>
      </w:r>
      <w:r w:rsidRPr="00D337FA">
        <w:rPr>
          <w:szCs w:val="24"/>
        </w:rPr>
        <w:t>экономическая</w:t>
      </w:r>
      <w:r w:rsidR="006C680D" w:rsidRPr="00D337FA">
        <w:rPr>
          <w:szCs w:val="24"/>
        </w:rPr>
        <w:t xml:space="preserve"> </w:t>
      </w:r>
      <w:r w:rsidRPr="00D337FA">
        <w:rPr>
          <w:szCs w:val="24"/>
        </w:rPr>
        <w:t>рискованность;</w:t>
      </w:r>
      <w:r w:rsidR="006C680D" w:rsidRPr="00D337FA">
        <w:rPr>
          <w:szCs w:val="24"/>
        </w:rPr>
        <w:t xml:space="preserve"> </w:t>
      </w:r>
      <w:r w:rsidRPr="00D337FA">
        <w:rPr>
          <w:szCs w:val="24"/>
        </w:rPr>
        <w:t>высокое</w:t>
      </w:r>
      <w:r w:rsidR="006C680D" w:rsidRPr="00D337FA">
        <w:rPr>
          <w:szCs w:val="24"/>
        </w:rPr>
        <w:t xml:space="preserve"> </w:t>
      </w:r>
      <w:r w:rsidRPr="00D337FA">
        <w:rPr>
          <w:szCs w:val="24"/>
        </w:rPr>
        <w:t>значение</w:t>
      </w:r>
      <w:r w:rsidR="006C680D" w:rsidRPr="00D337FA">
        <w:rPr>
          <w:szCs w:val="24"/>
        </w:rPr>
        <w:t xml:space="preserve"> </w:t>
      </w:r>
      <w:r w:rsidRPr="00D337FA">
        <w:rPr>
          <w:szCs w:val="24"/>
        </w:rPr>
        <w:t>человеческих</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продолжительность</w:t>
      </w:r>
      <w:r w:rsidR="006C680D" w:rsidRPr="00D337FA">
        <w:rPr>
          <w:szCs w:val="24"/>
        </w:rPr>
        <w:t xml:space="preserve"> </w:t>
      </w:r>
      <w:r w:rsidRPr="00D337FA">
        <w:rPr>
          <w:szCs w:val="24"/>
        </w:rPr>
        <w:t>инновационного</w:t>
      </w:r>
      <w:r w:rsidR="006C680D" w:rsidRPr="00D337FA">
        <w:rPr>
          <w:szCs w:val="24"/>
        </w:rPr>
        <w:t xml:space="preserve"> </w:t>
      </w:r>
      <w:r w:rsidRPr="00D337FA">
        <w:rPr>
          <w:szCs w:val="24"/>
        </w:rPr>
        <w:t>процесса</w:t>
      </w:r>
      <w:r w:rsidR="006C680D" w:rsidRPr="00D337FA">
        <w:rPr>
          <w:szCs w:val="24"/>
        </w:rPr>
        <w:t xml:space="preserve"> </w:t>
      </w:r>
      <w:r w:rsidRPr="00D337FA">
        <w:rPr>
          <w:szCs w:val="24"/>
        </w:rPr>
        <w:t>и</w:t>
      </w:r>
      <w:r w:rsidR="006C680D" w:rsidRPr="00D337FA">
        <w:rPr>
          <w:szCs w:val="24"/>
        </w:rPr>
        <w:t xml:space="preserve"> </w:t>
      </w:r>
      <w:r w:rsidRPr="00D337FA">
        <w:rPr>
          <w:szCs w:val="24"/>
        </w:rPr>
        <w:t>длительный</w:t>
      </w:r>
      <w:r w:rsidR="006C680D" w:rsidRPr="00D337FA">
        <w:rPr>
          <w:szCs w:val="24"/>
        </w:rPr>
        <w:t xml:space="preserve"> </w:t>
      </w:r>
      <w:r w:rsidRPr="00D337FA">
        <w:rPr>
          <w:szCs w:val="24"/>
        </w:rPr>
        <w:t>срок</w:t>
      </w:r>
      <w:r w:rsidR="006C680D" w:rsidRPr="00D337FA">
        <w:rPr>
          <w:szCs w:val="24"/>
        </w:rPr>
        <w:t xml:space="preserve"> </w:t>
      </w:r>
      <w:r w:rsidRPr="00D337FA">
        <w:rPr>
          <w:szCs w:val="24"/>
        </w:rPr>
        <w:t>окупаемости.</w:t>
      </w:r>
    </w:p>
    <w:p w:rsidR="00C03F09" w:rsidRPr="00D337FA" w:rsidRDefault="00C03F09" w:rsidP="00C03F09">
      <w:pPr>
        <w:ind w:firstLine="142"/>
        <w:rPr>
          <w:szCs w:val="24"/>
        </w:rPr>
      </w:pPr>
      <w:r w:rsidRPr="00D337FA">
        <w:rPr>
          <w:szCs w:val="24"/>
        </w:rPr>
        <w:t>Принцип</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одной</w:t>
      </w:r>
      <w:r w:rsidR="006C680D" w:rsidRPr="00D337FA">
        <w:rPr>
          <w:szCs w:val="24"/>
        </w:rPr>
        <w:t xml:space="preserve"> </w:t>
      </w:r>
      <w:r w:rsidRPr="00D337FA">
        <w:rPr>
          <w:szCs w:val="24"/>
        </w:rPr>
        <w:t>из</w:t>
      </w:r>
      <w:r w:rsidR="006C680D" w:rsidRPr="00D337FA">
        <w:rPr>
          <w:szCs w:val="24"/>
        </w:rPr>
        <w:t xml:space="preserve"> </w:t>
      </w:r>
      <w:r w:rsidRPr="00D337FA">
        <w:rPr>
          <w:szCs w:val="24"/>
        </w:rPr>
        <w:t>фундаментальных</w:t>
      </w:r>
      <w:r w:rsidR="006C680D" w:rsidRPr="00D337FA">
        <w:rPr>
          <w:szCs w:val="24"/>
        </w:rPr>
        <w:t xml:space="preserve"> </w:t>
      </w:r>
      <w:r w:rsidRPr="00D337FA">
        <w:rPr>
          <w:szCs w:val="24"/>
        </w:rPr>
        <w:t>категорий</w:t>
      </w:r>
      <w:r w:rsidR="006C680D" w:rsidRPr="00D337FA">
        <w:rPr>
          <w:szCs w:val="24"/>
        </w:rPr>
        <w:t xml:space="preserve"> </w:t>
      </w:r>
      <w:r w:rsidRPr="00D337FA">
        <w:rPr>
          <w:szCs w:val="24"/>
        </w:rPr>
        <w:t>научного</w:t>
      </w:r>
      <w:r w:rsidR="006C680D" w:rsidRPr="00D337FA">
        <w:rPr>
          <w:szCs w:val="24"/>
        </w:rPr>
        <w:t xml:space="preserve"> </w:t>
      </w:r>
      <w:r w:rsidRPr="00D337FA">
        <w:rPr>
          <w:szCs w:val="24"/>
        </w:rPr>
        <w:t>познания.</w:t>
      </w:r>
      <w:r w:rsidR="006C680D" w:rsidRPr="00D337FA">
        <w:rPr>
          <w:szCs w:val="24"/>
        </w:rPr>
        <w:t xml:space="preserve"> </w:t>
      </w:r>
      <w:r w:rsidRPr="00D337FA">
        <w:rPr>
          <w:szCs w:val="24"/>
        </w:rPr>
        <w:t>Важность</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формирования</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научного</w:t>
      </w:r>
      <w:r w:rsidR="006C680D" w:rsidRPr="00D337FA">
        <w:rPr>
          <w:szCs w:val="24"/>
        </w:rPr>
        <w:t xml:space="preserve"> </w:t>
      </w:r>
      <w:r w:rsidRPr="00D337FA">
        <w:rPr>
          <w:szCs w:val="24"/>
        </w:rPr>
        <w:t>знания</w:t>
      </w:r>
      <w:r w:rsidR="006C680D" w:rsidRPr="00D337FA">
        <w:rPr>
          <w:szCs w:val="24"/>
        </w:rPr>
        <w:t xml:space="preserve"> </w:t>
      </w:r>
      <w:r w:rsidRPr="00D337FA">
        <w:rPr>
          <w:szCs w:val="24"/>
        </w:rPr>
        <w:t>отмечал</w:t>
      </w:r>
      <w:r w:rsidR="006C680D" w:rsidRPr="00D337FA">
        <w:rPr>
          <w:szCs w:val="24"/>
        </w:rPr>
        <w:t xml:space="preserve"> </w:t>
      </w:r>
      <w:r w:rsidRPr="00D337FA">
        <w:rPr>
          <w:szCs w:val="24"/>
        </w:rPr>
        <w:t>еще</w:t>
      </w:r>
      <w:r w:rsidR="006C680D" w:rsidRPr="00D337FA">
        <w:rPr>
          <w:szCs w:val="24"/>
        </w:rPr>
        <w:t xml:space="preserve"> </w:t>
      </w:r>
      <w:r w:rsidRPr="00D337FA">
        <w:rPr>
          <w:szCs w:val="24"/>
        </w:rPr>
        <w:t>И.</w:t>
      </w:r>
      <w:r w:rsidR="006C680D" w:rsidRPr="00D337FA">
        <w:rPr>
          <w:szCs w:val="24"/>
        </w:rPr>
        <w:t xml:space="preserve"> </w:t>
      </w:r>
      <w:r w:rsidRPr="00D337FA">
        <w:rPr>
          <w:szCs w:val="24"/>
        </w:rPr>
        <w:t>Кант,</w:t>
      </w:r>
      <w:r w:rsidR="006C680D" w:rsidRPr="00D337FA">
        <w:rPr>
          <w:szCs w:val="24"/>
        </w:rPr>
        <w:t xml:space="preserve"> </w:t>
      </w:r>
      <w:r w:rsidRPr="00D337FA">
        <w:rPr>
          <w:szCs w:val="24"/>
        </w:rPr>
        <w:t>выделяя</w:t>
      </w:r>
      <w:r w:rsidR="006C680D" w:rsidRPr="00D337FA">
        <w:rPr>
          <w:szCs w:val="24"/>
        </w:rPr>
        <w:t xml:space="preserve"> </w:t>
      </w:r>
      <w:r w:rsidRPr="00D337FA">
        <w:rPr>
          <w:szCs w:val="24"/>
        </w:rPr>
        <w:t>«всеобщий</w:t>
      </w:r>
      <w:r w:rsidR="006C680D" w:rsidRPr="00D337FA">
        <w:rPr>
          <w:szCs w:val="24"/>
        </w:rPr>
        <w:t xml:space="preserve"> </w:t>
      </w:r>
      <w:r w:rsidRPr="00D337FA">
        <w:rPr>
          <w:szCs w:val="24"/>
        </w:rPr>
        <w:t>принцип»,</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должен</w:t>
      </w:r>
      <w:r w:rsidR="006C680D" w:rsidRPr="00D337FA">
        <w:rPr>
          <w:szCs w:val="24"/>
        </w:rPr>
        <w:t xml:space="preserve"> </w:t>
      </w:r>
      <w:r w:rsidRPr="00D337FA">
        <w:rPr>
          <w:szCs w:val="24"/>
        </w:rPr>
        <w:t>являться</w:t>
      </w:r>
      <w:r w:rsidR="006C680D" w:rsidRPr="00D337FA">
        <w:rPr>
          <w:szCs w:val="24"/>
        </w:rPr>
        <w:t xml:space="preserve"> </w:t>
      </w:r>
      <w:r w:rsidRPr="00D337FA">
        <w:rPr>
          <w:szCs w:val="24"/>
        </w:rPr>
        <w:t>основой</w:t>
      </w:r>
      <w:r w:rsidR="006C680D" w:rsidRPr="00D337FA">
        <w:rPr>
          <w:szCs w:val="24"/>
        </w:rPr>
        <w:t xml:space="preserve"> </w:t>
      </w:r>
      <w:r w:rsidRPr="00D337FA">
        <w:rPr>
          <w:szCs w:val="24"/>
        </w:rPr>
        <w:t>любой</w:t>
      </w:r>
      <w:r w:rsidR="006C680D" w:rsidRPr="00D337FA">
        <w:rPr>
          <w:szCs w:val="24"/>
        </w:rPr>
        <w:t xml:space="preserve"> </w:t>
      </w:r>
      <w:r w:rsidRPr="00D337FA">
        <w:rPr>
          <w:szCs w:val="24"/>
        </w:rPr>
        <w:t>истинной</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Поэтому</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представляются</w:t>
      </w:r>
      <w:r w:rsidR="006C680D" w:rsidRPr="00D337FA">
        <w:rPr>
          <w:szCs w:val="24"/>
        </w:rPr>
        <w:t xml:space="preserve"> </w:t>
      </w:r>
      <w:r w:rsidRPr="00D337FA">
        <w:rPr>
          <w:szCs w:val="24"/>
        </w:rPr>
        <w:t>обоснованием</w:t>
      </w:r>
      <w:r w:rsidR="006C680D" w:rsidRPr="00D337FA">
        <w:rPr>
          <w:szCs w:val="24"/>
        </w:rPr>
        <w:t xml:space="preserve"> </w:t>
      </w:r>
      <w:r w:rsidRPr="00D337FA">
        <w:rPr>
          <w:szCs w:val="24"/>
        </w:rPr>
        <w:t>или</w:t>
      </w:r>
      <w:r w:rsidR="006C680D" w:rsidRPr="00D337FA">
        <w:rPr>
          <w:szCs w:val="24"/>
        </w:rPr>
        <w:t xml:space="preserve"> </w:t>
      </w:r>
      <w:r w:rsidRPr="00D337FA">
        <w:rPr>
          <w:szCs w:val="24"/>
        </w:rPr>
        <w:t>обобщающим</w:t>
      </w:r>
      <w:r w:rsidR="006C680D" w:rsidRPr="00D337FA">
        <w:rPr>
          <w:szCs w:val="24"/>
        </w:rPr>
        <w:t xml:space="preserve"> </w:t>
      </w:r>
      <w:r w:rsidRPr="00D337FA">
        <w:rPr>
          <w:szCs w:val="24"/>
        </w:rPr>
        <w:t>положением,</w:t>
      </w:r>
      <w:r w:rsidR="006C680D" w:rsidRPr="00D337FA">
        <w:rPr>
          <w:szCs w:val="24"/>
        </w:rPr>
        <w:t xml:space="preserve"> </w:t>
      </w:r>
      <w:r w:rsidRPr="00D337FA">
        <w:rPr>
          <w:szCs w:val="24"/>
        </w:rPr>
        <w:t>которое</w:t>
      </w:r>
      <w:r w:rsidR="006C680D" w:rsidRPr="00D337FA">
        <w:rPr>
          <w:szCs w:val="24"/>
        </w:rPr>
        <w:t xml:space="preserve"> </w:t>
      </w:r>
      <w:r w:rsidRPr="00D337FA">
        <w:rPr>
          <w:szCs w:val="24"/>
        </w:rPr>
        <w:t>охватывает</w:t>
      </w:r>
      <w:r w:rsidR="006C680D" w:rsidRPr="00D337FA">
        <w:rPr>
          <w:szCs w:val="24"/>
        </w:rPr>
        <w:t xml:space="preserve"> </w:t>
      </w:r>
      <w:r w:rsidRPr="00D337FA">
        <w:rPr>
          <w:szCs w:val="24"/>
        </w:rPr>
        <w:t>все</w:t>
      </w:r>
      <w:r w:rsidR="006C680D" w:rsidRPr="00D337FA">
        <w:rPr>
          <w:szCs w:val="24"/>
        </w:rPr>
        <w:t xml:space="preserve"> </w:t>
      </w:r>
      <w:r w:rsidRPr="00D337FA">
        <w:rPr>
          <w:szCs w:val="24"/>
        </w:rPr>
        <w:t>процессы</w:t>
      </w:r>
      <w:r w:rsidR="006C680D" w:rsidRPr="00D337FA">
        <w:rPr>
          <w:szCs w:val="24"/>
        </w:rPr>
        <w:t xml:space="preserve"> </w:t>
      </w:r>
      <w:r w:rsidRPr="00D337FA">
        <w:rPr>
          <w:szCs w:val="24"/>
        </w:rPr>
        <w:t>и</w:t>
      </w:r>
      <w:r w:rsidR="006C680D" w:rsidRPr="00D337FA">
        <w:rPr>
          <w:szCs w:val="24"/>
        </w:rPr>
        <w:t xml:space="preserve"> </w:t>
      </w:r>
      <w:r w:rsidRPr="00D337FA">
        <w:rPr>
          <w:szCs w:val="24"/>
        </w:rPr>
        <w:t>явления</w:t>
      </w:r>
      <w:r w:rsidR="006C680D" w:rsidRPr="00D337FA">
        <w:rPr>
          <w:szCs w:val="24"/>
        </w:rPr>
        <w:t xml:space="preserve"> </w:t>
      </w:r>
      <w:r w:rsidRPr="00D337FA">
        <w:rPr>
          <w:szCs w:val="24"/>
        </w:rPr>
        <w:t>определенной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Они,</w:t>
      </w:r>
      <w:r w:rsidR="006C680D" w:rsidRPr="00D337FA">
        <w:rPr>
          <w:szCs w:val="24"/>
        </w:rPr>
        <w:t xml:space="preserve"> </w:t>
      </w:r>
      <w:r w:rsidRPr="00D337FA">
        <w:rPr>
          <w:szCs w:val="24"/>
        </w:rPr>
        <w:t>выступая</w:t>
      </w:r>
      <w:r w:rsidR="006C680D" w:rsidRPr="00D337FA">
        <w:rPr>
          <w:szCs w:val="24"/>
        </w:rPr>
        <w:t xml:space="preserve"> </w:t>
      </w:r>
      <w:r w:rsidRPr="00D337FA">
        <w:rPr>
          <w:szCs w:val="24"/>
        </w:rPr>
        <w:t>в</w:t>
      </w:r>
      <w:r w:rsidR="006C680D" w:rsidRPr="00D337FA">
        <w:rPr>
          <w:szCs w:val="24"/>
        </w:rPr>
        <w:t xml:space="preserve"> </w:t>
      </w:r>
      <w:r w:rsidRPr="00D337FA">
        <w:rPr>
          <w:szCs w:val="24"/>
        </w:rPr>
        <w:t>качестве</w:t>
      </w:r>
      <w:r w:rsidR="006C680D" w:rsidRPr="00D337FA">
        <w:rPr>
          <w:szCs w:val="24"/>
        </w:rPr>
        <w:t xml:space="preserve"> </w:t>
      </w:r>
      <w:r w:rsidRPr="00D337FA">
        <w:rPr>
          <w:szCs w:val="24"/>
        </w:rPr>
        <w:t>некого</w:t>
      </w:r>
      <w:r w:rsidR="006C680D" w:rsidRPr="00D337FA">
        <w:rPr>
          <w:szCs w:val="24"/>
        </w:rPr>
        <w:t xml:space="preserve"> </w:t>
      </w:r>
      <w:r w:rsidRPr="00D337FA">
        <w:rPr>
          <w:szCs w:val="24"/>
        </w:rPr>
        <w:t>идентификатора</w:t>
      </w:r>
      <w:r w:rsidR="006C680D" w:rsidRPr="00D337FA">
        <w:rPr>
          <w:szCs w:val="24"/>
        </w:rPr>
        <w:t xml:space="preserve"> </w:t>
      </w:r>
      <w:r w:rsidRPr="00D337FA">
        <w:rPr>
          <w:szCs w:val="24"/>
        </w:rPr>
        <w:t>объекта</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создают</w:t>
      </w:r>
      <w:r w:rsidR="006C680D" w:rsidRPr="00D337FA">
        <w:rPr>
          <w:szCs w:val="24"/>
        </w:rPr>
        <w:t xml:space="preserve"> </w:t>
      </w:r>
      <w:r w:rsidRPr="00D337FA">
        <w:rPr>
          <w:szCs w:val="24"/>
        </w:rPr>
        <w:t>канву</w:t>
      </w:r>
      <w:r w:rsidR="006C680D" w:rsidRPr="00D337FA">
        <w:rPr>
          <w:szCs w:val="24"/>
        </w:rPr>
        <w:t xml:space="preserve"> </w:t>
      </w:r>
      <w:r w:rsidRPr="00D337FA">
        <w:rPr>
          <w:szCs w:val="24"/>
        </w:rPr>
        <w:t>взаимоотношений,</w:t>
      </w:r>
      <w:r w:rsidR="006C680D" w:rsidRPr="00D337FA">
        <w:rPr>
          <w:szCs w:val="24"/>
        </w:rPr>
        <w:t xml:space="preserve"> </w:t>
      </w:r>
      <w:r w:rsidRPr="00D337FA">
        <w:rPr>
          <w:szCs w:val="24"/>
        </w:rPr>
        <w:t>возникающих</w:t>
      </w:r>
      <w:r w:rsidR="006C680D" w:rsidRPr="00D337FA">
        <w:rPr>
          <w:szCs w:val="24"/>
        </w:rPr>
        <w:t xml:space="preserve"> </w:t>
      </w:r>
      <w:r w:rsidRPr="00D337FA">
        <w:rPr>
          <w:szCs w:val="24"/>
        </w:rPr>
        <w:t>в</w:t>
      </w:r>
      <w:r w:rsidR="006C680D" w:rsidRPr="00D337FA">
        <w:rPr>
          <w:szCs w:val="24"/>
        </w:rPr>
        <w:t xml:space="preserve"> </w:t>
      </w:r>
      <w:r w:rsidRPr="00D337FA">
        <w:rPr>
          <w:szCs w:val="24"/>
        </w:rPr>
        <w:t>ходе</w:t>
      </w:r>
      <w:r w:rsidR="006C680D" w:rsidRPr="00D337FA">
        <w:rPr>
          <w:szCs w:val="24"/>
        </w:rPr>
        <w:t xml:space="preserve"> </w:t>
      </w:r>
      <w:r w:rsidRPr="00D337FA">
        <w:rPr>
          <w:szCs w:val="24"/>
        </w:rPr>
        <w:t>осуществления</w:t>
      </w:r>
      <w:r w:rsidR="006C680D" w:rsidRPr="00D337FA">
        <w:rPr>
          <w:szCs w:val="24"/>
        </w:rPr>
        <w:t xml:space="preserve"> </w:t>
      </w:r>
      <w:r w:rsidRPr="00D337FA">
        <w:rPr>
          <w:szCs w:val="24"/>
        </w:rPr>
        <w:t>исследуемой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формируют</w:t>
      </w:r>
      <w:r w:rsidR="006C680D" w:rsidRPr="00D337FA">
        <w:rPr>
          <w:szCs w:val="24"/>
        </w:rPr>
        <w:t xml:space="preserve"> </w:t>
      </w:r>
      <w:r w:rsidRPr="00D337FA">
        <w:rPr>
          <w:szCs w:val="24"/>
        </w:rPr>
        <w:t>представления</w:t>
      </w:r>
      <w:r w:rsidR="006C680D" w:rsidRPr="00D337FA">
        <w:rPr>
          <w:szCs w:val="24"/>
        </w:rPr>
        <w:t xml:space="preserve"> </w:t>
      </w:r>
      <w:r w:rsidRPr="00D337FA">
        <w:rPr>
          <w:szCs w:val="24"/>
        </w:rPr>
        <w:t>о</w:t>
      </w:r>
      <w:r w:rsidR="006C680D" w:rsidRPr="00D337FA">
        <w:rPr>
          <w:szCs w:val="24"/>
        </w:rPr>
        <w:t xml:space="preserve"> </w:t>
      </w:r>
      <w:r w:rsidRPr="00D337FA">
        <w:rPr>
          <w:szCs w:val="24"/>
        </w:rPr>
        <w:t>взаимосвязи</w:t>
      </w:r>
      <w:r w:rsidR="006C680D" w:rsidRPr="00D337FA">
        <w:rPr>
          <w:szCs w:val="24"/>
        </w:rPr>
        <w:t xml:space="preserve"> </w:t>
      </w:r>
      <w:r w:rsidRPr="00D337FA">
        <w:rPr>
          <w:szCs w:val="24"/>
        </w:rPr>
        <w:t>отдельных</w:t>
      </w:r>
      <w:r w:rsidR="006C680D" w:rsidRPr="00D337FA">
        <w:rPr>
          <w:szCs w:val="24"/>
        </w:rPr>
        <w:t xml:space="preserve"> </w:t>
      </w:r>
      <w:r w:rsidRPr="00D337FA">
        <w:rPr>
          <w:szCs w:val="24"/>
        </w:rPr>
        <w:t>элементов.</w:t>
      </w:r>
      <w:r w:rsidR="006C680D" w:rsidRPr="00D337FA">
        <w:rPr>
          <w:szCs w:val="24"/>
        </w:rPr>
        <w:t xml:space="preserve"> </w:t>
      </w:r>
      <w:r w:rsidRPr="00D337FA">
        <w:rPr>
          <w:szCs w:val="24"/>
        </w:rPr>
        <w:t>Важно</w:t>
      </w:r>
      <w:r w:rsidR="006C680D" w:rsidRPr="00D337FA">
        <w:rPr>
          <w:szCs w:val="24"/>
        </w:rPr>
        <w:t xml:space="preserve"> </w:t>
      </w:r>
      <w:r w:rsidRPr="00D337FA">
        <w:rPr>
          <w:szCs w:val="24"/>
        </w:rPr>
        <w:t>отметить</w:t>
      </w:r>
      <w:r w:rsidR="006C680D" w:rsidRPr="00D337FA">
        <w:rPr>
          <w:szCs w:val="24"/>
        </w:rPr>
        <w:t xml:space="preserve"> </w:t>
      </w:r>
      <w:r w:rsidRPr="00D337FA">
        <w:rPr>
          <w:szCs w:val="24"/>
        </w:rPr>
        <w:t>практическую</w:t>
      </w:r>
      <w:r w:rsidR="006C680D" w:rsidRPr="00D337FA">
        <w:rPr>
          <w:szCs w:val="24"/>
        </w:rPr>
        <w:t xml:space="preserve"> </w:t>
      </w:r>
      <w:r w:rsidRPr="00D337FA">
        <w:rPr>
          <w:szCs w:val="24"/>
        </w:rPr>
        <w:t>основу</w:t>
      </w:r>
      <w:r w:rsidR="006C680D" w:rsidRPr="00D337FA">
        <w:rPr>
          <w:szCs w:val="24"/>
        </w:rPr>
        <w:t xml:space="preserve"> </w:t>
      </w:r>
      <w:r w:rsidRPr="00D337FA">
        <w:rPr>
          <w:szCs w:val="24"/>
        </w:rPr>
        <w:t>принципа,</w:t>
      </w:r>
      <w:r w:rsidR="006C680D" w:rsidRPr="00D337FA">
        <w:rPr>
          <w:szCs w:val="24"/>
        </w:rPr>
        <w:t xml:space="preserve"> </w:t>
      </w:r>
      <w:r w:rsidRPr="00D337FA">
        <w:rPr>
          <w:szCs w:val="24"/>
        </w:rPr>
        <w:t>так</w:t>
      </w:r>
      <w:r w:rsidR="006C680D" w:rsidRPr="00D337FA">
        <w:rPr>
          <w:szCs w:val="24"/>
        </w:rPr>
        <w:t xml:space="preserve"> </w:t>
      </w:r>
      <w:r w:rsidRPr="00D337FA">
        <w:rPr>
          <w:szCs w:val="24"/>
        </w:rPr>
        <w:t>как</w:t>
      </w:r>
      <w:r w:rsidR="006C680D" w:rsidRPr="00D337FA">
        <w:rPr>
          <w:szCs w:val="24"/>
        </w:rPr>
        <w:t xml:space="preserve"> </w:t>
      </w:r>
      <w:r w:rsidRPr="00D337FA">
        <w:rPr>
          <w:szCs w:val="24"/>
        </w:rPr>
        <w:t>он</w:t>
      </w:r>
      <w:r w:rsidR="006C680D" w:rsidRPr="00D337FA">
        <w:rPr>
          <w:szCs w:val="24"/>
        </w:rPr>
        <w:t xml:space="preserve"> </w:t>
      </w:r>
      <w:r w:rsidRPr="00D337FA">
        <w:rPr>
          <w:szCs w:val="24"/>
        </w:rPr>
        <w:t>формируется</w:t>
      </w:r>
      <w:r w:rsidR="006C680D" w:rsidRPr="00D337FA">
        <w:rPr>
          <w:szCs w:val="24"/>
        </w:rPr>
        <w:t xml:space="preserve"> </w:t>
      </w:r>
      <w:r w:rsidRPr="00D337FA">
        <w:rPr>
          <w:szCs w:val="24"/>
        </w:rPr>
        <w:t>под</w:t>
      </w:r>
      <w:r w:rsidR="006C680D" w:rsidRPr="00D337FA">
        <w:rPr>
          <w:szCs w:val="24"/>
        </w:rPr>
        <w:t xml:space="preserve"> </w:t>
      </w:r>
      <w:r w:rsidRPr="00D337FA">
        <w:rPr>
          <w:szCs w:val="24"/>
        </w:rPr>
        <w:t>влиянием</w:t>
      </w:r>
      <w:r w:rsidR="006C680D" w:rsidRPr="00D337FA">
        <w:rPr>
          <w:szCs w:val="24"/>
        </w:rPr>
        <w:t xml:space="preserve"> </w:t>
      </w:r>
      <w:r w:rsidRPr="00D337FA">
        <w:rPr>
          <w:szCs w:val="24"/>
        </w:rPr>
        <w:t>опыта,</w:t>
      </w:r>
      <w:r w:rsidR="006C680D" w:rsidRPr="00D337FA">
        <w:rPr>
          <w:szCs w:val="24"/>
        </w:rPr>
        <w:t xml:space="preserve"> </w:t>
      </w:r>
      <w:r w:rsidRPr="00D337FA">
        <w:rPr>
          <w:szCs w:val="24"/>
        </w:rPr>
        <w:t>практической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То</w:t>
      </w:r>
      <w:r w:rsidR="006C680D" w:rsidRPr="00D337FA">
        <w:rPr>
          <w:szCs w:val="24"/>
        </w:rPr>
        <w:t xml:space="preserve"> </w:t>
      </w:r>
      <w:r w:rsidRPr="00D337FA">
        <w:rPr>
          <w:szCs w:val="24"/>
        </w:rPr>
        <w:t>есть</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сказать,</w:t>
      </w:r>
      <w:r w:rsidR="006C680D" w:rsidRPr="00D337FA">
        <w:rPr>
          <w:szCs w:val="24"/>
        </w:rPr>
        <w:t xml:space="preserve"> </w:t>
      </w:r>
      <w:r w:rsidRPr="00D337FA">
        <w:rPr>
          <w:szCs w:val="24"/>
        </w:rPr>
        <w:t>что</w:t>
      </w:r>
      <w:r w:rsidR="006C680D" w:rsidRPr="00D337FA">
        <w:rPr>
          <w:szCs w:val="24"/>
        </w:rPr>
        <w:t xml:space="preserve"> </w:t>
      </w:r>
      <w:r w:rsidRPr="00D337FA">
        <w:rPr>
          <w:szCs w:val="24"/>
        </w:rPr>
        <w:lastRenderedPageBreak/>
        <w:t>принципы</w:t>
      </w:r>
      <w:r w:rsidR="006C680D" w:rsidRPr="00D337FA">
        <w:rPr>
          <w:szCs w:val="24"/>
        </w:rPr>
        <w:t xml:space="preserve"> </w:t>
      </w:r>
      <w:r w:rsidRPr="00D337FA">
        <w:rPr>
          <w:szCs w:val="24"/>
        </w:rPr>
        <w:t>и</w:t>
      </w:r>
      <w:r w:rsidR="006C680D" w:rsidRPr="00D337FA">
        <w:rPr>
          <w:szCs w:val="24"/>
        </w:rPr>
        <w:t xml:space="preserve"> </w:t>
      </w:r>
      <w:r w:rsidRPr="00D337FA">
        <w:rPr>
          <w:szCs w:val="24"/>
        </w:rPr>
        <w:t>основа</w:t>
      </w:r>
      <w:r w:rsidR="006C680D" w:rsidRPr="00D337FA">
        <w:rPr>
          <w:szCs w:val="24"/>
        </w:rPr>
        <w:t xml:space="preserve"> </w:t>
      </w:r>
      <w:r w:rsidRPr="00D337FA">
        <w:rPr>
          <w:szCs w:val="24"/>
        </w:rPr>
        <w:t>научного</w:t>
      </w:r>
      <w:r w:rsidR="006C680D" w:rsidRPr="00D337FA">
        <w:rPr>
          <w:szCs w:val="24"/>
        </w:rPr>
        <w:t xml:space="preserve"> </w:t>
      </w:r>
      <w:r w:rsidRPr="00D337FA">
        <w:rPr>
          <w:szCs w:val="24"/>
        </w:rPr>
        <w:t>знания,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основа</w:t>
      </w:r>
      <w:r w:rsidR="006C680D" w:rsidRPr="00D337FA">
        <w:rPr>
          <w:szCs w:val="24"/>
        </w:rPr>
        <w:t xml:space="preserve"> </w:t>
      </w:r>
      <w:r w:rsidRPr="00D337FA">
        <w:rPr>
          <w:szCs w:val="24"/>
        </w:rPr>
        <w:t>практических</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применяемых</w:t>
      </w:r>
      <w:r w:rsidR="006C680D" w:rsidRPr="00D337FA">
        <w:rPr>
          <w:szCs w:val="24"/>
        </w:rPr>
        <w:t xml:space="preserve"> </w:t>
      </w:r>
      <w:r w:rsidRPr="00D337FA">
        <w:rPr>
          <w:szCs w:val="24"/>
        </w:rPr>
        <w:t>в</w:t>
      </w:r>
      <w:r w:rsidR="006C680D" w:rsidRPr="00D337FA">
        <w:rPr>
          <w:szCs w:val="24"/>
        </w:rPr>
        <w:t xml:space="preserve"> </w:t>
      </w:r>
      <w:r w:rsidRPr="00D337FA">
        <w:rPr>
          <w:szCs w:val="24"/>
        </w:rPr>
        <w:t>определенной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Весьма</w:t>
      </w:r>
      <w:r w:rsidR="006C680D" w:rsidRPr="00D337FA">
        <w:rPr>
          <w:szCs w:val="24"/>
        </w:rPr>
        <w:t xml:space="preserve"> </w:t>
      </w:r>
      <w:r w:rsidRPr="00D337FA">
        <w:rPr>
          <w:szCs w:val="24"/>
        </w:rPr>
        <w:t>велико</w:t>
      </w:r>
      <w:r w:rsidR="006C680D" w:rsidRPr="00D337FA">
        <w:rPr>
          <w:szCs w:val="24"/>
        </w:rPr>
        <w:t xml:space="preserve"> </w:t>
      </w:r>
      <w:r w:rsidRPr="00D337FA">
        <w:rPr>
          <w:szCs w:val="24"/>
        </w:rPr>
        <w:t>значение</w:t>
      </w:r>
      <w:r w:rsidR="006C680D" w:rsidRPr="00D337FA">
        <w:rPr>
          <w:szCs w:val="24"/>
        </w:rPr>
        <w:t xml:space="preserve"> </w:t>
      </w:r>
      <w:r w:rsidRPr="00D337FA">
        <w:rPr>
          <w:szCs w:val="24"/>
        </w:rPr>
        <w:t>рассматриваемой</w:t>
      </w:r>
      <w:r w:rsidR="006C680D" w:rsidRPr="00D337FA">
        <w:rPr>
          <w:szCs w:val="24"/>
        </w:rPr>
        <w:t xml:space="preserve"> </w:t>
      </w:r>
      <w:r w:rsidRPr="00D337FA">
        <w:rPr>
          <w:szCs w:val="24"/>
        </w:rPr>
        <w:t>категории</w:t>
      </w:r>
      <w:r w:rsidR="006C680D" w:rsidRPr="00D337FA">
        <w:rPr>
          <w:szCs w:val="24"/>
        </w:rPr>
        <w:t xml:space="preserve"> </w:t>
      </w:r>
      <w:r w:rsidRPr="00D337FA">
        <w:rPr>
          <w:szCs w:val="24"/>
        </w:rPr>
        <w:t>в</w:t>
      </w:r>
      <w:r w:rsidR="006C680D" w:rsidRPr="00D337FA">
        <w:rPr>
          <w:szCs w:val="24"/>
        </w:rPr>
        <w:t xml:space="preserve"> </w:t>
      </w:r>
      <w:r w:rsidRPr="00D337FA">
        <w:rPr>
          <w:szCs w:val="24"/>
        </w:rPr>
        <w:t>общественных</w:t>
      </w:r>
      <w:r w:rsidR="006C680D" w:rsidRPr="00D337FA">
        <w:rPr>
          <w:szCs w:val="24"/>
        </w:rPr>
        <w:t xml:space="preserve"> </w:t>
      </w:r>
      <w:r w:rsidRPr="00D337FA">
        <w:rPr>
          <w:szCs w:val="24"/>
        </w:rPr>
        <w:t>науках.</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аккумулируют</w:t>
      </w:r>
      <w:r w:rsidR="006C680D" w:rsidRPr="00D337FA">
        <w:rPr>
          <w:szCs w:val="24"/>
        </w:rPr>
        <w:t xml:space="preserve"> </w:t>
      </w:r>
      <w:r w:rsidRPr="00D337FA">
        <w:rPr>
          <w:szCs w:val="24"/>
        </w:rPr>
        <w:t>в</w:t>
      </w:r>
      <w:r w:rsidR="006C680D" w:rsidRPr="00D337FA">
        <w:rPr>
          <w:szCs w:val="24"/>
        </w:rPr>
        <w:t xml:space="preserve"> </w:t>
      </w:r>
      <w:r w:rsidRPr="00D337FA">
        <w:rPr>
          <w:szCs w:val="24"/>
        </w:rPr>
        <w:t>себе</w:t>
      </w:r>
      <w:r w:rsidR="006C680D" w:rsidRPr="00D337FA">
        <w:rPr>
          <w:szCs w:val="24"/>
        </w:rPr>
        <w:t xml:space="preserve"> </w:t>
      </w:r>
      <w:r w:rsidRPr="00D337FA">
        <w:rPr>
          <w:szCs w:val="24"/>
        </w:rPr>
        <w:t>основные</w:t>
      </w:r>
      <w:r w:rsidR="006C680D" w:rsidRPr="00D337FA">
        <w:rPr>
          <w:szCs w:val="24"/>
        </w:rPr>
        <w:t xml:space="preserve"> </w:t>
      </w:r>
      <w:r w:rsidRPr="00D337FA">
        <w:rPr>
          <w:szCs w:val="24"/>
        </w:rPr>
        <w:t>закономерности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законы,</w:t>
      </w:r>
      <w:r w:rsidR="006C680D" w:rsidRPr="00D337FA">
        <w:rPr>
          <w:szCs w:val="24"/>
        </w:rPr>
        <w:t xml:space="preserve"> </w:t>
      </w:r>
      <w:r w:rsidRPr="00D337FA">
        <w:rPr>
          <w:szCs w:val="24"/>
        </w:rPr>
        <w:t>действующие</w:t>
      </w:r>
      <w:r w:rsidR="006C680D" w:rsidRPr="00D337FA">
        <w:rPr>
          <w:szCs w:val="24"/>
        </w:rPr>
        <w:t xml:space="preserve"> </w:t>
      </w:r>
      <w:r w:rsidRPr="00D337FA">
        <w:rPr>
          <w:szCs w:val="24"/>
        </w:rPr>
        <w:t>в</w:t>
      </w:r>
      <w:r w:rsidR="006C680D" w:rsidRPr="00D337FA">
        <w:rPr>
          <w:szCs w:val="24"/>
        </w:rPr>
        <w:t xml:space="preserve"> </w:t>
      </w:r>
      <w:r w:rsidRPr="00D337FA">
        <w:rPr>
          <w:szCs w:val="24"/>
        </w:rPr>
        <w:t>соответствующей</w:t>
      </w:r>
      <w:r w:rsidR="006C680D" w:rsidRPr="00D337FA">
        <w:rPr>
          <w:szCs w:val="24"/>
        </w:rPr>
        <w:t xml:space="preserve"> </w:t>
      </w:r>
      <w:r w:rsidRPr="00D337FA">
        <w:rPr>
          <w:szCs w:val="24"/>
        </w:rPr>
        <w:t>сфере.</w:t>
      </w:r>
      <w:r w:rsidR="006C680D" w:rsidRPr="00D337FA">
        <w:rPr>
          <w:szCs w:val="24"/>
        </w:rPr>
        <w:t xml:space="preserve"> </w:t>
      </w:r>
      <w:r w:rsidRPr="00D337FA">
        <w:rPr>
          <w:szCs w:val="24"/>
        </w:rPr>
        <w:t>Выявление</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формулирование</w:t>
      </w:r>
      <w:r w:rsidR="006C680D" w:rsidRPr="00D337FA">
        <w:rPr>
          <w:szCs w:val="24"/>
        </w:rPr>
        <w:t xml:space="preserve"> </w:t>
      </w:r>
      <w:r w:rsidRPr="00D337FA">
        <w:rPr>
          <w:szCs w:val="24"/>
        </w:rPr>
        <w:t>принципов</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являться</w:t>
      </w:r>
      <w:r w:rsidR="006C680D" w:rsidRPr="00D337FA">
        <w:rPr>
          <w:szCs w:val="24"/>
        </w:rPr>
        <w:t xml:space="preserve"> </w:t>
      </w:r>
      <w:r w:rsidRPr="00D337FA">
        <w:rPr>
          <w:szCs w:val="24"/>
        </w:rPr>
        <w:t>результатом</w:t>
      </w:r>
      <w:r w:rsidR="006C680D" w:rsidRPr="00D337FA">
        <w:rPr>
          <w:szCs w:val="24"/>
        </w:rPr>
        <w:t xml:space="preserve"> </w:t>
      </w:r>
      <w:r w:rsidRPr="00D337FA">
        <w:rPr>
          <w:szCs w:val="24"/>
        </w:rPr>
        <w:t>исследований</w:t>
      </w:r>
      <w:r w:rsidR="006C680D" w:rsidRPr="00D337FA">
        <w:rPr>
          <w:szCs w:val="24"/>
        </w:rPr>
        <w:t xml:space="preserve"> </w:t>
      </w:r>
      <w:r w:rsidRPr="00D337FA">
        <w:rPr>
          <w:szCs w:val="24"/>
        </w:rPr>
        <w:t>в</w:t>
      </w:r>
      <w:r w:rsidR="006C680D" w:rsidRPr="00D337FA">
        <w:rPr>
          <w:szCs w:val="24"/>
        </w:rPr>
        <w:t xml:space="preserve"> </w:t>
      </w:r>
      <w:r w:rsidRPr="00D337FA">
        <w:rPr>
          <w:szCs w:val="24"/>
        </w:rPr>
        <w:t>выбранной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[1]</w:t>
      </w:r>
      <w:r w:rsidR="0002772A" w:rsidRPr="00D337FA">
        <w:rPr>
          <w:szCs w:val="24"/>
        </w:rPr>
        <w:t>.</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выступают</w:t>
      </w:r>
      <w:r w:rsidR="006C680D" w:rsidRPr="00D337FA">
        <w:rPr>
          <w:szCs w:val="24"/>
        </w:rPr>
        <w:t xml:space="preserve"> </w:t>
      </w:r>
      <w:r w:rsidRPr="00D337FA">
        <w:rPr>
          <w:szCs w:val="24"/>
        </w:rPr>
        <w:t>гранями</w:t>
      </w:r>
      <w:r w:rsidR="006C680D" w:rsidRPr="00D337FA">
        <w:rPr>
          <w:szCs w:val="24"/>
        </w:rPr>
        <w:t xml:space="preserve"> </w:t>
      </w:r>
      <w:r w:rsidRPr="00D337FA">
        <w:rPr>
          <w:szCs w:val="24"/>
        </w:rPr>
        <w:t>использования</w:t>
      </w:r>
      <w:r w:rsidR="006C680D" w:rsidRPr="00D337FA">
        <w:rPr>
          <w:szCs w:val="24"/>
        </w:rPr>
        <w:t xml:space="preserve"> </w:t>
      </w:r>
      <w:r w:rsidRPr="00D337FA">
        <w:rPr>
          <w:szCs w:val="24"/>
        </w:rPr>
        <w:t>определенных</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своего</w:t>
      </w:r>
      <w:r w:rsidR="006C680D" w:rsidRPr="00D337FA">
        <w:rPr>
          <w:szCs w:val="24"/>
        </w:rPr>
        <w:t xml:space="preserve"> </w:t>
      </w:r>
      <w:r w:rsidRPr="00D337FA">
        <w:rPr>
          <w:szCs w:val="24"/>
        </w:rPr>
        <w:t>рода</w:t>
      </w:r>
      <w:r w:rsidR="006C680D" w:rsidRPr="00D337FA">
        <w:rPr>
          <w:szCs w:val="24"/>
        </w:rPr>
        <w:t xml:space="preserve"> </w:t>
      </w:r>
      <w:r w:rsidRPr="00D337FA">
        <w:rPr>
          <w:szCs w:val="24"/>
        </w:rPr>
        <w:t>ограничениями,</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на</w:t>
      </w:r>
      <w:r w:rsidR="006C680D" w:rsidRPr="00D337FA">
        <w:rPr>
          <w:szCs w:val="24"/>
        </w:rPr>
        <w:t xml:space="preserve"> </w:t>
      </w:r>
      <w:r w:rsidRPr="00D337FA">
        <w:rPr>
          <w:szCs w:val="24"/>
        </w:rPr>
        <w:t>них</w:t>
      </w:r>
      <w:r w:rsidR="006C680D" w:rsidRPr="00D337FA">
        <w:rPr>
          <w:szCs w:val="24"/>
        </w:rPr>
        <w:t xml:space="preserve"> </w:t>
      </w:r>
      <w:r w:rsidRPr="00D337FA">
        <w:rPr>
          <w:szCs w:val="24"/>
        </w:rPr>
        <w:t>накладываются.</w:t>
      </w:r>
    </w:p>
    <w:p w:rsidR="00C03F09" w:rsidRPr="00D337FA" w:rsidRDefault="00C03F09" w:rsidP="00C03F09">
      <w:pPr>
        <w:ind w:firstLine="142"/>
        <w:rPr>
          <w:szCs w:val="24"/>
        </w:rPr>
      </w:pPr>
      <w:r w:rsidRPr="00D337FA">
        <w:rPr>
          <w:szCs w:val="24"/>
        </w:rPr>
        <w:t>Предмет</w:t>
      </w:r>
      <w:r w:rsidR="006C680D" w:rsidRPr="00D337FA">
        <w:rPr>
          <w:szCs w:val="24"/>
        </w:rPr>
        <w:t xml:space="preserve"> </w:t>
      </w:r>
      <w:r w:rsidRPr="00D337FA">
        <w:rPr>
          <w:szCs w:val="24"/>
        </w:rPr>
        <w:t>определяет</w:t>
      </w:r>
      <w:r w:rsidR="006C680D" w:rsidRPr="00D337FA">
        <w:rPr>
          <w:szCs w:val="24"/>
        </w:rPr>
        <w:t xml:space="preserve"> </w:t>
      </w:r>
      <w:r w:rsidRPr="00D337FA">
        <w:rPr>
          <w:szCs w:val="24"/>
        </w:rPr>
        <w:t>конкретные</w:t>
      </w:r>
      <w:r w:rsidR="006C680D" w:rsidRPr="00D337FA">
        <w:rPr>
          <w:szCs w:val="24"/>
        </w:rPr>
        <w:t xml:space="preserve"> </w:t>
      </w:r>
      <w:r w:rsidRPr="00D337FA">
        <w:rPr>
          <w:szCs w:val="24"/>
        </w:rPr>
        <w:t>свойства</w:t>
      </w:r>
      <w:r w:rsidR="006C680D" w:rsidRPr="00D337FA">
        <w:rPr>
          <w:szCs w:val="24"/>
        </w:rPr>
        <w:t xml:space="preserve"> </w:t>
      </w:r>
      <w:r w:rsidRPr="00D337FA">
        <w:rPr>
          <w:szCs w:val="24"/>
        </w:rPr>
        <w:t>и</w:t>
      </w:r>
      <w:r w:rsidR="006C680D" w:rsidRPr="00D337FA">
        <w:rPr>
          <w:szCs w:val="24"/>
        </w:rPr>
        <w:t xml:space="preserve"> </w:t>
      </w:r>
      <w:r w:rsidRPr="00D337FA">
        <w:rPr>
          <w:szCs w:val="24"/>
        </w:rPr>
        <w:t>стороны</w:t>
      </w:r>
      <w:r w:rsidR="006C680D" w:rsidRPr="00D337FA">
        <w:rPr>
          <w:szCs w:val="24"/>
        </w:rPr>
        <w:t xml:space="preserve"> </w:t>
      </w:r>
      <w:r w:rsidRPr="00D337FA">
        <w:rPr>
          <w:szCs w:val="24"/>
        </w:rPr>
        <w:t>объекта</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или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(как</w:t>
      </w:r>
      <w:r w:rsidR="006C680D" w:rsidRPr="00D337FA">
        <w:rPr>
          <w:szCs w:val="24"/>
        </w:rPr>
        <w:t xml:space="preserve"> </w:t>
      </w:r>
      <w:r w:rsidRPr="00D337FA">
        <w:rPr>
          <w:szCs w:val="24"/>
        </w:rPr>
        <w:t>в</w:t>
      </w:r>
      <w:r w:rsidR="006C680D" w:rsidRPr="00D337FA">
        <w:rPr>
          <w:szCs w:val="24"/>
        </w:rPr>
        <w:t xml:space="preserve"> </w:t>
      </w:r>
      <w:r w:rsidRPr="00D337FA">
        <w:rPr>
          <w:szCs w:val="24"/>
        </w:rPr>
        <w:t>данном</w:t>
      </w:r>
      <w:r w:rsidR="006C680D" w:rsidRPr="00D337FA">
        <w:rPr>
          <w:szCs w:val="24"/>
        </w:rPr>
        <w:t xml:space="preserve"> </w:t>
      </w:r>
      <w:r w:rsidRPr="00D337FA">
        <w:rPr>
          <w:szCs w:val="24"/>
        </w:rPr>
        <w:t>случае),</w:t>
      </w:r>
      <w:r w:rsidR="006C680D" w:rsidRPr="00D337FA">
        <w:rPr>
          <w:szCs w:val="24"/>
        </w:rPr>
        <w:t xml:space="preserve"> </w:t>
      </w:r>
      <w:r w:rsidRPr="00D337FA">
        <w:rPr>
          <w:szCs w:val="24"/>
        </w:rPr>
        <w:t>возможно</w:t>
      </w:r>
      <w:r w:rsidR="006C680D" w:rsidRPr="00D337FA">
        <w:rPr>
          <w:szCs w:val="24"/>
        </w:rPr>
        <w:t xml:space="preserve"> </w:t>
      </w:r>
      <w:r w:rsidRPr="00D337FA">
        <w:rPr>
          <w:szCs w:val="24"/>
        </w:rPr>
        <w:t>определенные</w:t>
      </w:r>
      <w:r w:rsidR="006C680D" w:rsidRPr="00D337FA">
        <w:rPr>
          <w:szCs w:val="24"/>
        </w:rPr>
        <w:t xml:space="preserve"> </w:t>
      </w:r>
      <w:r w:rsidRPr="00D337FA">
        <w:rPr>
          <w:szCs w:val="24"/>
        </w:rPr>
        <w:t>отношения,</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у</w:t>
      </w:r>
      <w:r w:rsidR="006C680D" w:rsidRPr="00D337FA">
        <w:rPr>
          <w:szCs w:val="24"/>
        </w:rPr>
        <w:t xml:space="preserve"> </w:t>
      </w:r>
      <w:r w:rsidRPr="00D337FA">
        <w:rPr>
          <w:szCs w:val="24"/>
        </w:rPr>
        <w:t>объекта</w:t>
      </w:r>
      <w:r w:rsidR="006C680D" w:rsidRPr="00D337FA">
        <w:rPr>
          <w:szCs w:val="24"/>
        </w:rPr>
        <w:t xml:space="preserve"> </w:t>
      </w:r>
      <w:r w:rsidRPr="00D337FA">
        <w:rPr>
          <w:szCs w:val="24"/>
        </w:rPr>
        <w:t>возникают.</w:t>
      </w:r>
      <w:r w:rsidR="006C680D" w:rsidRPr="00D337FA">
        <w:rPr>
          <w:szCs w:val="24"/>
        </w:rPr>
        <w:t xml:space="preserve"> </w:t>
      </w:r>
      <w:r w:rsidRPr="00D337FA">
        <w:rPr>
          <w:szCs w:val="24"/>
        </w:rPr>
        <w:t>Предмет</w:t>
      </w:r>
      <w:r w:rsidR="006C680D" w:rsidRPr="00D337FA">
        <w:rPr>
          <w:szCs w:val="24"/>
        </w:rPr>
        <w:t xml:space="preserve"> </w:t>
      </w:r>
      <w:r w:rsidRPr="00D337FA">
        <w:rPr>
          <w:szCs w:val="24"/>
        </w:rPr>
        <w:t>обусловливается</w:t>
      </w:r>
      <w:r w:rsidR="006C680D" w:rsidRPr="00D337FA">
        <w:rPr>
          <w:szCs w:val="24"/>
        </w:rPr>
        <w:t xml:space="preserve"> </w:t>
      </w:r>
      <w:r w:rsidRPr="00D337FA">
        <w:rPr>
          <w:szCs w:val="24"/>
        </w:rPr>
        <w:t>проблемой,</w:t>
      </w:r>
      <w:r w:rsidR="006C680D" w:rsidRPr="00D337FA">
        <w:rPr>
          <w:szCs w:val="24"/>
        </w:rPr>
        <w:t xml:space="preserve"> </w:t>
      </w:r>
      <w:r w:rsidRPr="00D337FA">
        <w:rPr>
          <w:szCs w:val="24"/>
        </w:rPr>
        <w:t>которую</w:t>
      </w:r>
      <w:r w:rsidR="006C680D" w:rsidRPr="00D337FA">
        <w:rPr>
          <w:szCs w:val="24"/>
        </w:rPr>
        <w:t xml:space="preserve"> </w:t>
      </w:r>
      <w:r w:rsidRPr="00D337FA">
        <w:rPr>
          <w:szCs w:val="24"/>
        </w:rPr>
        <w:t>необходимо</w:t>
      </w:r>
      <w:r w:rsidR="006C680D" w:rsidRPr="00D337FA">
        <w:rPr>
          <w:szCs w:val="24"/>
        </w:rPr>
        <w:t xml:space="preserve"> </w:t>
      </w:r>
      <w:r w:rsidRPr="00D337FA">
        <w:rPr>
          <w:szCs w:val="24"/>
        </w:rPr>
        <w:t>решить</w:t>
      </w:r>
      <w:r w:rsidR="006C680D" w:rsidRPr="00D337FA">
        <w:rPr>
          <w:szCs w:val="24"/>
        </w:rPr>
        <w:t xml:space="preserve"> </w:t>
      </w:r>
      <w:r w:rsidRPr="00D337FA">
        <w:rPr>
          <w:szCs w:val="24"/>
        </w:rPr>
        <w:t>или</w:t>
      </w:r>
      <w:r w:rsidR="006C680D" w:rsidRPr="00D337FA">
        <w:rPr>
          <w:szCs w:val="24"/>
        </w:rPr>
        <w:t xml:space="preserve"> </w:t>
      </w:r>
      <w:r w:rsidRPr="00D337FA">
        <w:rPr>
          <w:szCs w:val="24"/>
        </w:rPr>
        <w:t>целью,</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необходимо</w:t>
      </w:r>
      <w:r w:rsidR="006C680D" w:rsidRPr="00D337FA">
        <w:rPr>
          <w:szCs w:val="24"/>
        </w:rPr>
        <w:t xml:space="preserve"> </w:t>
      </w:r>
      <w:r w:rsidRPr="00D337FA">
        <w:rPr>
          <w:szCs w:val="24"/>
        </w:rPr>
        <w:t>достичь.</w:t>
      </w:r>
      <w:r w:rsidR="006C680D" w:rsidRPr="00D337FA">
        <w:rPr>
          <w:szCs w:val="24"/>
        </w:rPr>
        <w:t xml:space="preserve"> </w:t>
      </w:r>
      <w:r w:rsidRPr="00D337FA">
        <w:rPr>
          <w:szCs w:val="24"/>
        </w:rPr>
        <w:t>То</w:t>
      </w:r>
      <w:r w:rsidR="006C680D" w:rsidRPr="00D337FA">
        <w:rPr>
          <w:szCs w:val="24"/>
        </w:rPr>
        <w:t xml:space="preserve"> </w:t>
      </w:r>
      <w:r w:rsidRPr="00D337FA">
        <w:rPr>
          <w:szCs w:val="24"/>
        </w:rPr>
        <w:t>есть</w:t>
      </w:r>
      <w:r w:rsidR="006C680D" w:rsidRPr="00D337FA">
        <w:rPr>
          <w:szCs w:val="24"/>
        </w:rPr>
        <w:t xml:space="preserve"> </w:t>
      </w:r>
      <w:r w:rsidRPr="00D337FA">
        <w:rPr>
          <w:szCs w:val="24"/>
        </w:rPr>
        <w:t>предмет</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восприятие</w:t>
      </w:r>
      <w:r w:rsidR="006C680D" w:rsidRPr="00D337FA">
        <w:rPr>
          <w:szCs w:val="24"/>
        </w:rPr>
        <w:t xml:space="preserve"> </w:t>
      </w:r>
      <w:r w:rsidRPr="00D337FA">
        <w:rPr>
          <w:szCs w:val="24"/>
        </w:rPr>
        <w:t>объекта</w:t>
      </w:r>
      <w:r w:rsidR="006C680D" w:rsidRPr="00D337FA">
        <w:rPr>
          <w:szCs w:val="24"/>
        </w:rPr>
        <w:t xml:space="preserve"> </w:t>
      </w:r>
      <w:r w:rsidRPr="00D337FA">
        <w:rPr>
          <w:szCs w:val="24"/>
        </w:rPr>
        <w:t>субъектом</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призму</w:t>
      </w:r>
      <w:r w:rsidR="006C680D" w:rsidRPr="00D337FA">
        <w:rPr>
          <w:szCs w:val="24"/>
        </w:rPr>
        <w:t xml:space="preserve"> </w:t>
      </w:r>
      <w:r w:rsidRPr="00D337FA">
        <w:rPr>
          <w:szCs w:val="24"/>
        </w:rPr>
        <w:t>Данный</w:t>
      </w:r>
      <w:r w:rsidR="006C680D" w:rsidRPr="00D337FA">
        <w:rPr>
          <w:szCs w:val="24"/>
        </w:rPr>
        <w:t xml:space="preserve"> </w:t>
      </w:r>
      <w:r w:rsidRPr="00D337FA">
        <w:rPr>
          <w:szCs w:val="24"/>
        </w:rPr>
        <w:t>элемент</w:t>
      </w:r>
      <w:r w:rsidR="006C680D" w:rsidRPr="00D337FA">
        <w:rPr>
          <w:szCs w:val="24"/>
        </w:rPr>
        <w:t xml:space="preserve"> </w:t>
      </w:r>
      <w:r w:rsidRPr="00D337FA">
        <w:rPr>
          <w:szCs w:val="24"/>
        </w:rPr>
        <w:t>структуры</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во</w:t>
      </w:r>
      <w:r w:rsidR="006C680D" w:rsidRPr="00D337FA">
        <w:rPr>
          <w:szCs w:val="24"/>
        </w:rPr>
        <w:t xml:space="preserve"> </w:t>
      </w:r>
      <w:r w:rsidRPr="00D337FA">
        <w:rPr>
          <w:szCs w:val="24"/>
        </w:rPr>
        <w:t>многом</w:t>
      </w:r>
      <w:r w:rsidR="006C680D" w:rsidRPr="00D337FA">
        <w:rPr>
          <w:szCs w:val="24"/>
        </w:rPr>
        <w:t xml:space="preserve"> </w:t>
      </w:r>
      <w:r w:rsidRPr="00D337FA">
        <w:rPr>
          <w:szCs w:val="24"/>
        </w:rPr>
        <w:t>определяет</w:t>
      </w:r>
      <w:r w:rsidR="006C680D" w:rsidRPr="00D337FA">
        <w:rPr>
          <w:szCs w:val="24"/>
        </w:rPr>
        <w:t xml:space="preserve"> </w:t>
      </w:r>
      <w:r w:rsidRPr="00D337FA">
        <w:rPr>
          <w:szCs w:val="24"/>
        </w:rPr>
        <w:t>набор</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из</w:t>
      </w:r>
      <w:r w:rsidR="006C680D" w:rsidRPr="00D337FA">
        <w:rPr>
          <w:szCs w:val="24"/>
        </w:rPr>
        <w:t xml:space="preserve"> </w:t>
      </w:r>
      <w:r w:rsidRPr="00D337FA">
        <w:rPr>
          <w:szCs w:val="24"/>
        </w:rPr>
        <w:t>которых</w:t>
      </w:r>
      <w:r w:rsidR="006C680D" w:rsidRPr="00D337FA">
        <w:rPr>
          <w:szCs w:val="24"/>
        </w:rPr>
        <w:t xml:space="preserve"> </w:t>
      </w:r>
      <w:r w:rsidRPr="00D337FA">
        <w:rPr>
          <w:szCs w:val="24"/>
        </w:rPr>
        <w:t>формируются</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и</w:t>
      </w:r>
      <w:r w:rsidR="006C680D" w:rsidRPr="00D337FA">
        <w:rPr>
          <w:szCs w:val="24"/>
        </w:rPr>
        <w:t xml:space="preserve"> </w:t>
      </w:r>
      <w:r w:rsidRPr="00D337FA">
        <w:rPr>
          <w:szCs w:val="24"/>
        </w:rPr>
        <w:t>способы</w:t>
      </w:r>
      <w:r w:rsidR="006C680D" w:rsidRPr="00D337FA">
        <w:rPr>
          <w:szCs w:val="24"/>
        </w:rPr>
        <w:t xml:space="preserve"> </w:t>
      </w:r>
      <w:r w:rsidRPr="00D337FA">
        <w:rPr>
          <w:szCs w:val="24"/>
        </w:rPr>
        <w:t>на</w:t>
      </w:r>
      <w:r w:rsidR="006C680D" w:rsidRPr="00D337FA">
        <w:rPr>
          <w:szCs w:val="24"/>
        </w:rPr>
        <w:t xml:space="preserve"> </w:t>
      </w:r>
      <w:r w:rsidRPr="00D337FA">
        <w:rPr>
          <w:szCs w:val="24"/>
        </w:rPr>
        <w:t>эмпирическом</w:t>
      </w:r>
      <w:r w:rsidR="006C680D" w:rsidRPr="00D337FA">
        <w:rPr>
          <w:szCs w:val="24"/>
        </w:rPr>
        <w:t xml:space="preserve"> </w:t>
      </w:r>
      <w:r w:rsidRPr="00D337FA">
        <w:rPr>
          <w:szCs w:val="24"/>
        </w:rPr>
        <w:t>уровне.</w:t>
      </w:r>
    </w:p>
    <w:p w:rsidR="00EC45F1" w:rsidRPr="00D337FA" w:rsidRDefault="00C03F09" w:rsidP="00C03F09">
      <w:pPr>
        <w:ind w:firstLine="142"/>
        <w:rPr>
          <w:szCs w:val="24"/>
        </w:rPr>
      </w:pPr>
      <w:r w:rsidRPr="00D337FA">
        <w:rPr>
          <w:szCs w:val="24"/>
        </w:rPr>
        <w:t>Следующим</w:t>
      </w:r>
      <w:r w:rsidR="006C680D" w:rsidRPr="00D337FA">
        <w:rPr>
          <w:szCs w:val="24"/>
        </w:rPr>
        <w:t xml:space="preserve"> </w:t>
      </w:r>
      <w:r w:rsidRPr="00D337FA">
        <w:rPr>
          <w:szCs w:val="24"/>
        </w:rPr>
        <w:t>блоком</w:t>
      </w:r>
      <w:r w:rsidR="006C680D" w:rsidRPr="00D337FA">
        <w:rPr>
          <w:szCs w:val="24"/>
        </w:rPr>
        <w:t xml:space="preserve"> </w:t>
      </w:r>
      <w:r w:rsidRPr="00D337FA">
        <w:rPr>
          <w:szCs w:val="24"/>
        </w:rPr>
        <w:t>логической</w:t>
      </w:r>
      <w:r w:rsidR="006C680D" w:rsidRPr="00D337FA">
        <w:rPr>
          <w:szCs w:val="24"/>
        </w:rPr>
        <w:t xml:space="preserve"> </w:t>
      </w:r>
      <w:r w:rsidRPr="00D337FA">
        <w:rPr>
          <w:szCs w:val="24"/>
        </w:rPr>
        <w:t>структуры</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выделить</w:t>
      </w:r>
      <w:r w:rsidR="006C680D" w:rsidRPr="00D337FA">
        <w:rPr>
          <w:szCs w:val="24"/>
        </w:rPr>
        <w:t xml:space="preserve"> </w:t>
      </w:r>
      <w:r w:rsidRPr="00D337FA">
        <w:rPr>
          <w:szCs w:val="24"/>
        </w:rPr>
        <w:t>блок,</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включает</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и</w:t>
      </w:r>
      <w:r w:rsidR="006C680D" w:rsidRPr="00D337FA">
        <w:rPr>
          <w:szCs w:val="24"/>
        </w:rPr>
        <w:t xml:space="preserve"> </w:t>
      </w:r>
      <w:r w:rsidRPr="00D337FA">
        <w:rPr>
          <w:szCs w:val="24"/>
        </w:rPr>
        <w:t>подходы,</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менеджмента.</w:t>
      </w:r>
      <w:r w:rsidR="006C680D" w:rsidRPr="00D337FA">
        <w:rPr>
          <w:szCs w:val="24"/>
        </w:rPr>
        <w:t xml:space="preserve"> </w:t>
      </w:r>
      <w:r w:rsidRPr="00D337FA">
        <w:rPr>
          <w:szCs w:val="24"/>
        </w:rPr>
        <w:t>В</w:t>
      </w:r>
      <w:r w:rsidR="006C680D" w:rsidRPr="00D337FA">
        <w:rPr>
          <w:szCs w:val="24"/>
        </w:rPr>
        <w:t xml:space="preserve"> </w:t>
      </w:r>
      <w:r w:rsidRPr="00D337FA">
        <w:rPr>
          <w:szCs w:val="24"/>
        </w:rPr>
        <w:t>настоящее</w:t>
      </w:r>
      <w:r w:rsidR="006C680D" w:rsidRPr="00D337FA">
        <w:rPr>
          <w:szCs w:val="24"/>
        </w:rPr>
        <w:t xml:space="preserve"> </w:t>
      </w:r>
      <w:r w:rsidRPr="00D337FA">
        <w:rPr>
          <w:szCs w:val="24"/>
        </w:rPr>
        <w:t>время</w:t>
      </w:r>
      <w:r w:rsidR="006C680D" w:rsidRPr="00D337FA">
        <w:rPr>
          <w:szCs w:val="24"/>
        </w:rPr>
        <w:t xml:space="preserve"> </w:t>
      </w:r>
      <w:r w:rsidRPr="00D337FA">
        <w:rPr>
          <w:szCs w:val="24"/>
        </w:rPr>
        <w:t>уже</w:t>
      </w:r>
      <w:r w:rsidR="006C680D" w:rsidRPr="00D337FA">
        <w:rPr>
          <w:szCs w:val="24"/>
        </w:rPr>
        <w:t xml:space="preserve"> </w:t>
      </w:r>
      <w:r w:rsidRPr="00D337FA">
        <w:rPr>
          <w:szCs w:val="24"/>
        </w:rPr>
        <w:t>сформировано</w:t>
      </w:r>
      <w:r w:rsidR="006C680D" w:rsidRPr="00D337FA">
        <w:rPr>
          <w:szCs w:val="24"/>
        </w:rPr>
        <w:t xml:space="preserve"> </w:t>
      </w:r>
      <w:r w:rsidRPr="00D337FA">
        <w:rPr>
          <w:szCs w:val="24"/>
        </w:rPr>
        <w:t>большое</w:t>
      </w:r>
      <w:r w:rsidR="006C680D" w:rsidRPr="00D337FA">
        <w:rPr>
          <w:szCs w:val="24"/>
        </w:rPr>
        <w:t xml:space="preserve"> </w:t>
      </w:r>
      <w:r w:rsidRPr="00D337FA">
        <w:rPr>
          <w:szCs w:val="24"/>
        </w:rPr>
        <w:t>количество</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и</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к</w:t>
      </w:r>
      <w:r w:rsidR="006C680D" w:rsidRPr="00D337FA">
        <w:rPr>
          <w:szCs w:val="24"/>
        </w:rPr>
        <w:t xml:space="preserve"> </w:t>
      </w:r>
      <w:r w:rsidRPr="00D337FA">
        <w:rPr>
          <w:szCs w:val="24"/>
        </w:rPr>
        <w:t>управлению</w:t>
      </w:r>
      <w:r w:rsidR="006C680D" w:rsidRPr="00D337FA">
        <w:rPr>
          <w:szCs w:val="24"/>
        </w:rPr>
        <w:t xml:space="preserve"> </w:t>
      </w:r>
      <w:r w:rsidRPr="00D337FA">
        <w:rPr>
          <w:szCs w:val="24"/>
        </w:rPr>
        <w:t>в</w:t>
      </w:r>
      <w:r w:rsidR="006C680D" w:rsidRPr="00D337FA">
        <w:rPr>
          <w:szCs w:val="24"/>
        </w:rPr>
        <w:t xml:space="preserve"> </w:t>
      </w:r>
      <w:r w:rsidRPr="00D337FA">
        <w:rPr>
          <w:szCs w:val="24"/>
        </w:rPr>
        <w:t>целом</w:t>
      </w:r>
      <w:r w:rsidR="006C680D" w:rsidRPr="00D337FA">
        <w:rPr>
          <w:szCs w:val="24"/>
        </w:rPr>
        <w:t xml:space="preserve"> </w:t>
      </w:r>
      <w:r w:rsidRPr="00D337FA">
        <w:rPr>
          <w:szCs w:val="24"/>
        </w:rPr>
        <w:t>и</w:t>
      </w:r>
      <w:r w:rsidR="006C680D" w:rsidRPr="00D337FA">
        <w:rPr>
          <w:szCs w:val="24"/>
        </w:rPr>
        <w:t xml:space="preserve"> </w:t>
      </w:r>
      <w:r w:rsidRPr="00D337FA">
        <w:rPr>
          <w:szCs w:val="24"/>
        </w:rPr>
        <w:t>применительно</w:t>
      </w:r>
      <w:r w:rsidR="006C680D" w:rsidRPr="00D337FA">
        <w:rPr>
          <w:szCs w:val="24"/>
        </w:rPr>
        <w:t xml:space="preserve"> </w:t>
      </w:r>
      <w:r w:rsidRPr="00D337FA">
        <w:rPr>
          <w:szCs w:val="24"/>
        </w:rPr>
        <w:t>к</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в</w:t>
      </w:r>
      <w:r w:rsidR="006C680D" w:rsidRPr="00D337FA">
        <w:rPr>
          <w:szCs w:val="24"/>
        </w:rPr>
        <w:t xml:space="preserve"> </w:t>
      </w:r>
      <w:r w:rsidRPr="00D337FA">
        <w:rPr>
          <w:szCs w:val="24"/>
        </w:rPr>
        <w:t>частности.</w:t>
      </w:r>
      <w:r w:rsidR="006C680D" w:rsidRPr="00D337FA">
        <w:rPr>
          <w:szCs w:val="24"/>
        </w:rPr>
        <w:t xml:space="preserve"> </w:t>
      </w:r>
      <w:r w:rsidRPr="00D337FA">
        <w:rPr>
          <w:szCs w:val="24"/>
        </w:rPr>
        <w:t>являются</w:t>
      </w:r>
      <w:r w:rsidR="006C680D" w:rsidRPr="00D337FA">
        <w:rPr>
          <w:szCs w:val="24"/>
        </w:rPr>
        <w:t xml:space="preserve"> </w:t>
      </w:r>
      <w:r w:rsidRPr="00D337FA">
        <w:rPr>
          <w:szCs w:val="24"/>
        </w:rPr>
        <w:t>подходы.</w:t>
      </w:r>
      <w:r w:rsidR="006C680D" w:rsidRPr="00D337FA">
        <w:rPr>
          <w:szCs w:val="24"/>
        </w:rPr>
        <w:t xml:space="preserve"> </w:t>
      </w:r>
      <w:r w:rsidRPr="00D337FA">
        <w:rPr>
          <w:szCs w:val="24"/>
        </w:rPr>
        <w:t>Но</w:t>
      </w:r>
      <w:r w:rsidR="006C680D" w:rsidRPr="00D337FA">
        <w:rPr>
          <w:szCs w:val="24"/>
        </w:rPr>
        <w:t xml:space="preserve"> </w:t>
      </w:r>
      <w:r w:rsidRPr="00D337FA">
        <w:rPr>
          <w:szCs w:val="24"/>
        </w:rPr>
        <w:t>серьезные</w:t>
      </w:r>
      <w:r w:rsidR="006C680D" w:rsidRPr="00D337FA">
        <w:rPr>
          <w:szCs w:val="24"/>
        </w:rPr>
        <w:t xml:space="preserve"> </w:t>
      </w:r>
      <w:r w:rsidRPr="00D337FA">
        <w:rPr>
          <w:szCs w:val="24"/>
        </w:rPr>
        <w:t>изменения</w:t>
      </w:r>
      <w:r w:rsidR="006C680D" w:rsidRPr="00D337FA">
        <w:rPr>
          <w:szCs w:val="24"/>
        </w:rPr>
        <w:t xml:space="preserve"> </w:t>
      </w:r>
      <w:r w:rsidRPr="00D337FA">
        <w:rPr>
          <w:szCs w:val="24"/>
        </w:rPr>
        <w:t>управленческая</w:t>
      </w:r>
      <w:r w:rsidR="006C680D" w:rsidRPr="00D337FA">
        <w:rPr>
          <w:szCs w:val="24"/>
        </w:rPr>
        <w:t xml:space="preserve"> </w:t>
      </w:r>
      <w:r w:rsidRPr="00D337FA">
        <w:rPr>
          <w:szCs w:val="24"/>
        </w:rPr>
        <w:t>парадигма</w:t>
      </w:r>
      <w:r w:rsidR="006C680D" w:rsidRPr="00D337FA">
        <w:rPr>
          <w:szCs w:val="24"/>
        </w:rPr>
        <w:t xml:space="preserve"> </w:t>
      </w:r>
      <w:r w:rsidRPr="00D337FA">
        <w:rPr>
          <w:szCs w:val="24"/>
        </w:rPr>
        <w:t>претерпевает</w:t>
      </w:r>
      <w:r w:rsidR="006C680D" w:rsidRPr="00D337FA">
        <w:rPr>
          <w:szCs w:val="24"/>
        </w:rPr>
        <w:t xml:space="preserve"> </w:t>
      </w:r>
      <w:r w:rsidRPr="00D337FA">
        <w:rPr>
          <w:szCs w:val="24"/>
        </w:rPr>
        <w:t>в</w:t>
      </w:r>
      <w:r w:rsidR="006C680D" w:rsidRPr="00D337FA">
        <w:rPr>
          <w:szCs w:val="24"/>
        </w:rPr>
        <w:t xml:space="preserve"> </w:t>
      </w:r>
      <w:r w:rsidRPr="00D337FA">
        <w:rPr>
          <w:szCs w:val="24"/>
        </w:rPr>
        <w:t>связи</w:t>
      </w:r>
      <w:r w:rsidR="006C680D" w:rsidRPr="00D337FA">
        <w:rPr>
          <w:szCs w:val="24"/>
        </w:rPr>
        <w:t xml:space="preserve"> </w:t>
      </w:r>
      <w:r w:rsidRPr="00D337FA">
        <w:rPr>
          <w:szCs w:val="24"/>
        </w:rPr>
        <w:t>с</w:t>
      </w:r>
      <w:r w:rsidR="006C680D" w:rsidRPr="00D337FA">
        <w:rPr>
          <w:szCs w:val="24"/>
        </w:rPr>
        <w:t xml:space="preserve"> </w:t>
      </w:r>
      <w:r w:rsidRPr="00D337FA">
        <w:rPr>
          <w:szCs w:val="24"/>
        </w:rPr>
        <w:t>развитием</w:t>
      </w:r>
      <w:r w:rsidR="006C680D" w:rsidRPr="00D337FA">
        <w:rPr>
          <w:szCs w:val="24"/>
        </w:rPr>
        <w:t xml:space="preserve"> </w:t>
      </w:r>
      <w:r w:rsidRPr="00D337FA">
        <w:rPr>
          <w:szCs w:val="24"/>
        </w:rPr>
        <w:t>технологий,</w:t>
      </w:r>
      <w:r w:rsidR="006C680D" w:rsidRPr="00D337FA">
        <w:rPr>
          <w:szCs w:val="24"/>
        </w:rPr>
        <w:t xml:space="preserve"> </w:t>
      </w:r>
      <w:r w:rsidRPr="00D337FA">
        <w:rPr>
          <w:szCs w:val="24"/>
        </w:rPr>
        <w:t>с</w:t>
      </w:r>
      <w:r w:rsidR="006C680D" w:rsidRPr="00D337FA">
        <w:rPr>
          <w:szCs w:val="24"/>
        </w:rPr>
        <w:t xml:space="preserve"> </w:t>
      </w:r>
      <w:r w:rsidRPr="00D337FA">
        <w:rPr>
          <w:szCs w:val="24"/>
        </w:rPr>
        <w:t>активным</w:t>
      </w:r>
      <w:r w:rsidR="006C680D" w:rsidRPr="00D337FA">
        <w:rPr>
          <w:szCs w:val="24"/>
        </w:rPr>
        <w:t xml:space="preserve"> </w:t>
      </w:r>
      <w:r w:rsidRPr="00D337FA">
        <w:rPr>
          <w:szCs w:val="24"/>
        </w:rPr>
        <w:t>применением</w:t>
      </w:r>
      <w:r w:rsidR="006C680D" w:rsidRPr="00D337FA">
        <w:rPr>
          <w:szCs w:val="24"/>
        </w:rPr>
        <w:t xml:space="preserve"> </w:t>
      </w:r>
      <w:r w:rsidRPr="00D337FA">
        <w:rPr>
          <w:szCs w:val="24"/>
        </w:rPr>
        <w:t>и</w:t>
      </w:r>
      <w:r w:rsidR="006C680D" w:rsidRPr="00D337FA">
        <w:rPr>
          <w:szCs w:val="24"/>
        </w:rPr>
        <w:t xml:space="preserve"> </w:t>
      </w:r>
      <w:r w:rsidRPr="00D337FA">
        <w:rPr>
          <w:szCs w:val="24"/>
        </w:rPr>
        <w:t>распространением</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искусственного</w:t>
      </w:r>
      <w:r w:rsidR="006C680D" w:rsidRPr="00D337FA">
        <w:rPr>
          <w:szCs w:val="24"/>
        </w:rPr>
        <w:t xml:space="preserve"> </w:t>
      </w:r>
      <w:r w:rsidRPr="00D337FA">
        <w:rPr>
          <w:szCs w:val="24"/>
        </w:rPr>
        <w:t>интеллекта,</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стали</w:t>
      </w:r>
      <w:r w:rsidR="006C680D" w:rsidRPr="00D337FA">
        <w:rPr>
          <w:szCs w:val="24"/>
        </w:rPr>
        <w:t xml:space="preserve"> </w:t>
      </w:r>
      <w:r w:rsidRPr="00D337FA">
        <w:rPr>
          <w:szCs w:val="24"/>
        </w:rPr>
        <w:t>ключевым</w:t>
      </w:r>
      <w:r w:rsidR="006C680D" w:rsidRPr="00D337FA">
        <w:rPr>
          <w:szCs w:val="24"/>
        </w:rPr>
        <w:t xml:space="preserve"> </w:t>
      </w:r>
      <w:r w:rsidRPr="00D337FA">
        <w:rPr>
          <w:szCs w:val="24"/>
        </w:rPr>
        <w:t>фактором</w:t>
      </w:r>
      <w:r w:rsidR="006C680D" w:rsidRPr="00D337FA">
        <w:rPr>
          <w:szCs w:val="24"/>
        </w:rPr>
        <w:t xml:space="preserve"> </w:t>
      </w:r>
      <w:r w:rsidRPr="00D337FA">
        <w:rPr>
          <w:szCs w:val="24"/>
        </w:rPr>
        <w:t>современной</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предприятиями.</w:t>
      </w:r>
      <w:r w:rsidR="006C680D" w:rsidRPr="00D337FA">
        <w:rPr>
          <w:szCs w:val="24"/>
        </w:rPr>
        <w:t xml:space="preserve"> </w:t>
      </w:r>
      <w:r w:rsidRPr="00D337FA">
        <w:rPr>
          <w:szCs w:val="24"/>
        </w:rPr>
        <w:t>Эти</w:t>
      </w:r>
      <w:r w:rsidR="006C680D" w:rsidRPr="00D337FA">
        <w:rPr>
          <w:szCs w:val="24"/>
        </w:rPr>
        <w:t xml:space="preserve"> </w:t>
      </w:r>
      <w:r w:rsidRPr="00D337FA">
        <w:rPr>
          <w:szCs w:val="24"/>
        </w:rPr>
        <w:t>технологии</w:t>
      </w:r>
      <w:r w:rsidR="006C680D" w:rsidRPr="00D337FA">
        <w:rPr>
          <w:szCs w:val="24"/>
        </w:rPr>
        <w:t xml:space="preserve"> </w:t>
      </w:r>
      <w:r w:rsidRPr="00D337FA">
        <w:rPr>
          <w:szCs w:val="24"/>
        </w:rPr>
        <w:t>позволяют,</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проводить</w:t>
      </w:r>
      <w:r w:rsidR="006C680D" w:rsidRPr="00D337FA">
        <w:rPr>
          <w:szCs w:val="24"/>
        </w:rPr>
        <w:t xml:space="preserve"> </w:t>
      </w:r>
      <w:r w:rsidRPr="00D337FA">
        <w:rPr>
          <w:szCs w:val="24"/>
        </w:rPr>
        <w:t>более</w:t>
      </w:r>
      <w:r w:rsidR="006C680D" w:rsidRPr="00D337FA">
        <w:rPr>
          <w:szCs w:val="24"/>
        </w:rPr>
        <w:t xml:space="preserve"> </w:t>
      </w:r>
      <w:r w:rsidRPr="00D337FA">
        <w:rPr>
          <w:szCs w:val="24"/>
        </w:rPr>
        <w:t>глубокий</w:t>
      </w:r>
      <w:r w:rsidR="006C680D" w:rsidRPr="00D337FA">
        <w:rPr>
          <w:szCs w:val="24"/>
        </w:rPr>
        <w:t xml:space="preserve"> </w:t>
      </w:r>
      <w:r w:rsidRPr="00D337FA">
        <w:rPr>
          <w:szCs w:val="24"/>
        </w:rPr>
        <w:t>и</w:t>
      </w:r>
      <w:r w:rsidR="006C680D" w:rsidRPr="00D337FA">
        <w:rPr>
          <w:szCs w:val="24"/>
        </w:rPr>
        <w:t xml:space="preserve"> </w:t>
      </w:r>
      <w:r w:rsidRPr="00D337FA">
        <w:rPr>
          <w:szCs w:val="24"/>
        </w:rPr>
        <w:t>точный</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для</w:t>
      </w:r>
      <w:r w:rsidR="006C680D" w:rsidRPr="00D337FA">
        <w:rPr>
          <w:szCs w:val="24"/>
        </w:rPr>
        <w:t xml:space="preserve"> </w:t>
      </w:r>
      <w:r w:rsidRPr="00D337FA">
        <w:rPr>
          <w:szCs w:val="24"/>
        </w:rPr>
        <w:t>выявления</w:t>
      </w:r>
      <w:r w:rsidR="006C680D" w:rsidRPr="00D337FA">
        <w:rPr>
          <w:szCs w:val="24"/>
        </w:rPr>
        <w:t xml:space="preserve"> </w:t>
      </w:r>
      <w:r w:rsidRPr="00D337FA">
        <w:rPr>
          <w:szCs w:val="24"/>
        </w:rPr>
        <w:t>новых</w:t>
      </w:r>
      <w:r w:rsidR="006C680D" w:rsidRPr="00D337FA">
        <w:rPr>
          <w:szCs w:val="24"/>
        </w:rPr>
        <w:t xml:space="preserve"> </w:t>
      </w:r>
      <w:r w:rsidRPr="00D337FA">
        <w:rPr>
          <w:szCs w:val="24"/>
        </w:rPr>
        <w:t>возможностей</w:t>
      </w:r>
      <w:r w:rsidR="006C680D" w:rsidRPr="00D337FA">
        <w:rPr>
          <w:szCs w:val="24"/>
        </w:rPr>
        <w:t xml:space="preserve"> </w:t>
      </w:r>
      <w:r w:rsidRPr="00D337FA">
        <w:rPr>
          <w:szCs w:val="24"/>
        </w:rPr>
        <w:t>для</w:t>
      </w:r>
      <w:r w:rsidR="006C680D" w:rsidRPr="00D337FA">
        <w:rPr>
          <w:szCs w:val="24"/>
        </w:rPr>
        <w:t xml:space="preserve"> </w:t>
      </w:r>
      <w:r w:rsidRPr="00D337FA">
        <w:rPr>
          <w:szCs w:val="24"/>
        </w:rPr>
        <w:t>инноваций,</w:t>
      </w:r>
      <w:r w:rsidR="006C680D" w:rsidRPr="00D337FA">
        <w:rPr>
          <w:szCs w:val="24"/>
        </w:rPr>
        <w:t xml:space="preserve"> </w:t>
      </w:r>
      <w:r w:rsidRPr="00D337FA">
        <w:rPr>
          <w:szCs w:val="24"/>
        </w:rPr>
        <w:t>автоматизировать</w:t>
      </w:r>
      <w:r w:rsidR="006C680D" w:rsidRPr="00D337FA">
        <w:rPr>
          <w:szCs w:val="24"/>
        </w:rPr>
        <w:t xml:space="preserve"> </w:t>
      </w:r>
      <w:r w:rsidRPr="00D337FA">
        <w:rPr>
          <w:szCs w:val="24"/>
        </w:rPr>
        <w:t>процессы</w:t>
      </w:r>
      <w:r w:rsidR="006C680D" w:rsidRPr="00D337FA">
        <w:rPr>
          <w:szCs w:val="24"/>
        </w:rPr>
        <w:t xml:space="preserve"> </w:t>
      </w:r>
      <w:r w:rsidRPr="00D337FA">
        <w:rPr>
          <w:szCs w:val="24"/>
        </w:rPr>
        <w:t>идентификации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оценки</w:t>
      </w:r>
      <w:r w:rsidR="006C680D" w:rsidRPr="00D337FA">
        <w:rPr>
          <w:szCs w:val="24"/>
        </w:rPr>
        <w:t xml:space="preserve"> </w:t>
      </w:r>
      <w:r w:rsidRPr="00D337FA">
        <w:rPr>
          <w:szCs w:val="24"/>
        </w:rPr>
        <w:t>идей,</w:t>
      </w:r>
      <w:r w:rsidR="006C680D" w:rsidRPr="00D337FA">
        <w:rPr>
          <w:szCs w:val="24"/>
        </w:rPr>
        <w:t xml:space="preserve"> </w:t>
      </w:r>
      <w:r w:rsidRPr="00D337FA">
        <w:rPr>
          <w:szCs w:val="24"/>
        </w:rPr>
        <w:t>улучшить</w:t>
      </w:r>
      <w:r w:rsidR="006C680D" w:rsidRPr="00D337FA">
        <w:rPr>
          <w:szCs w:val="24"/>
        </w:rPr>
        <w:t xml:space="preserve"> </w:t>
      </w:r>
      <w:r w:rsidRPr="00D337FA">
        <w:rPr>
          <w:szCs w:val="24"/>
        </w:rPr>
        <w:t>коммуникации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сотрудничество</w:t>
      </w:r>
      <w:r w:rsidR="006C680D" w:rsidRPr="00D337FA">
        <w:rPr>
          <w:szCs w:val="24"/>
        </w:rPr>
        <w:t xml:space="preserve"> </w:t>
      </w:r>
      <w:r w:rsidRPr="00D337FA">
        <w:rPr>
          <w:szCs w:val="24"/>
        </w:rPr>
        <w:t>внутри</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[7,</w:t>
      </w:r>
      <w:r w:rsidR="006C680D" w:rsidRPr="00D337FA">
        <w:rPr>
          <w:szCs w:val="24"/>
        </w:rPr>
        <w:t xml:space="preserve"> </w:t>
      </w:r>
      <w:r w:rsidRPr="00D337FA">
        <w:rPr>
          <w:szCs w:val="24"/>
        </w:rPr>
        <w:t>8]</w:t>
      </w:r>
      <w:r w:rsidR="0002772A" w:rsidRPr="00D337FA">
        <w:rPr>
          <w:szCs w:val="24"/>
        </w:rPr>
        <w:t>.</w:t>
      </w:r>
    </w:p>
    <w:p w:rsidR="00C03F09" w:rsidRPr="00D337FA" w:rsidRDefault="00C03F09" w:rsidP="00C03F09">
      <w:pPr>
        <w:ind w:firstLine="142"/>
        <w:rPr>
          <w:szCs w:val="24"/>
        </w:rPr>
      </w:pPr>
      <w:r w:rsidRPr="00D337FA">
        <w:rPr>
          <w:szCs w:val="24"/>
        </w:rPr>
        <w:lastRenderedPageBreak/>
        <w:t>В</w:t>
      </w:r>
      <w:r w:rsidR="006C680D" w:rsidRPr="00D337FA">
        <w:rPr>
          <w:szCs w:val="24"/>
        </w:rPr>
        <w:t xml:space="preserve"> </w:t>
      </w:r>
      <w:r w:rsidRPr="00D337FA">
        <w:rPr>
          <w:szCs w:val="24"/>
        </w:rPr>
        <w:t>20</w:t>
      </w:r>
      <w:r w:rsidR="006C680D" w:rsidRPr="00D337FA">
        <w:rPr>
          <w:szCs w:val="24"/>
        </w:rPr>
        <w:t xml:space="preserve"> </w:t>
      </w:r>
      <w:r w:rsidRPr="00D337FA">
        <w:rPr>
          <w:szCs w:val="24"/>
        </w:rPr>
        <w:t>веке</w:t>
      </w:r>
      <w:r w:rsidR="006C680D" w:rsidRPr="00D337FA">
        <w:rPr>
          <w:szCs w:val="24"/>
        </w:rPr>
        <w:t xml:space="preserve"> </w:t>
      </w:r>
      <w:r w:rsidRPr="00D337FA">
        <w:rPr>
          <w:szCs w:val="24"/>
        </w:rPr>
        <w:t>широкое</w:t>
      </w:r>
      <w:r w:rsidR="006C680D" w:rsidRPr="00D337FA">
        <w:rPr>
          <w:szCs w:val="24"/>
        </w:rPr>
        <w:t xml:space="preserve"> </w:t>
      </w:r>
      <w:r w:rsidRPr="00D337FA">
        <w:rPr>
          <w:szCs w:val="24"/>
        </w:rPr>
        <w:t>применение</w:t>
      </w:r>
      <w:r w:rsidR="006C680D" w:rsidRPr="00D337FA">
        <w:rPr>
          <w:szCs w:val="24"/>
        </w:rPr>
        <w:t xml:space="preserve"> </w:t>
      </w:r>
      <w:r w:rsidRPr="00D337FA">
        <w:rPr>
          <w:szCs w:val="24"/>
        </w:rPr>
        <w:t>в</w:t>
      </w:r>
      <w:r w:rsidR="006C680D" w:rsidRPr="00D337FA">
        <w:rPr>
          <w:szCs w:val="24"/>
        </w:rPr>
        <w:t xml:space="preserve"> </w:t>
      </w:r>
      <w:r w:rsidRPr="00D337FA">
        <w:rPr>
          <w:szCs w:val="24"/>
        </w:rPr>
        <w:t>экономике</w:t>
      </w:r>
      <w:r w:rsidR="006C680D" w:rsidRPr="00D337FA">
        <w:rPr>
          <w:szCs w:val="24"/>
        </w:rPr>
        <w:t xml:space="preserve"> </w:t>
      </w:r>
      <w:r w:rsidRPr="00D337FA">
        <w:rPr>
          <w:szCs w:val="24"/>
        </w:rPr>
        <w:t>получил</w:t>
      </w:r>
      <w:r w:rsidR="006C680D" w:rsidRPr="00D337FA">
        <w:rPr>
          <w:szCs w:val="24"/>
        </w:rPr>
        <w:t xml:space="preserve"> </w:t>
      </w:r>
      <w:r w:rsidRPr="00D337FA">
        <w:rPr>
          <w:szCs w:val="24"/>
        </w:rPr>
        <w:t>системный</w:t>
      </w:r>
      <w:r w:rsidR="006C680D" w:rsidRPr="00D337FA">
        <w:rPr>
          <w:szCs w:val="24"/>
        </w:rPr>
        <w:t xml:space="preserve"> </w:t>
      </w:r>
      <w:r w:rsidRPr="00D337FA">
        <w:rPr>
          <w:szCs w:val="24"/>
        </w:rPr>
        <w:t>подход.</w:t>
      </w:r>
      <w:r w:rsidR="006C680D" w:rsidRPr="00D337FA">
        <w:rPr>
          <w:szCs w:val="24"/>
        </w:rPr>
        <w:t xml:space="preserve"> </w:t>
      </w:r>
      <w:r w:rsidRPr="00D337FA">
        <w:rPr>
          <w:szCs w:val="24"/>
        </w:rPr>
        <w:t>Свое</w:t>
      </w:r>
      <w:r w:rsidR="006C680D" w:rsidRPr="00D337FA">
        <w:rPr>
          <w:szCs w:val="24"/>
        </w:rPr>
        <w:t xml:space="preserve"> </w:t>
      </w:r>
      <w:r w:rsidRPr="00D337FA">
        <w:rPr>
          <w:szCs w:val="24"/>
        </w:rPr>
        <w:t>начало</w:t>
      </w:r>
      <w:r w:rsidR="006C680D" w:rsidRPr="00D337FA">
        <w:rPr>
          <w:szCs w:val="24"/>
        </w:rPr>
        <w:t xml:space="preserve"> </w:t>
      </w:r>
      <w:r w:rsidRPr="00D337FA">
        <w:rPr>
          <w:szCs w:val="24"/>
        </w:rPr>
        <w:t>как</w:t>
      </w:r>
      <w:r w:rsidR="006C680D" w:rsidRPr="00D337FA">
        <w:rPr>
          <w:szCs w:val="24"/>
        </w:rPr>
        <w:t xml:space="preserve"> </w:t>
      </w:r>
      <w:r w:rsidRPr="00D337FA">
        <w:rPr>
          <w:szCs w:val="24"/>
        </w:rPr>
        <w:t>сформированного</w:t>
      </w:r>
      <w:r w:rsidR="006C680D" w:rsidRPr="00D337FA">
        <w:rPr>
          <w:szCs w:val="24"/>
        </w:rPr>
        <w:t xml:space="preserve"> </w:t>
      </w:r>
      <w:r w:rsidRPr="00D337FA">
        <w:rPr>
          <w:szCs w:val="24"/>
        </w:rPr>
        <w:t>подхода</w:t>
      </w:r>
      <w:r w:rsidR="006C680D" w:rsidRPr="00D337FA">
        <w:rPr>
          <w:szCs w:val="24"/>
        </w:rPr>
        <w:t xml:space="preserve"> </w:t>
      </w:r>
      <w:r w:rsidRPr="00D337FA">
        <w:rPr>
          <w:szCs w:val="24"/>
        </w:rPr>
        <w:t>к</w:t>
      </w:r>
      <w:r w:rsidR="006C680D" w:rsidRPr="00D337FA">
        <w:rPr>
          <w:szCs w:val="24"/>
        </w:rPr>
        <w:t xml:space="preserve"> </w:t>
      </w:r>
      <w:r w:rsidRPr="00D337FA">
        <w:rPr>
          <w:szCs w:val="24"/>
        </w:rPr>
        <w:t>научным</w:t>
      </w:r>
      <w:r w:rsidR="006C680D" w:rsidRPr="00D337FA">
        <w:rPr>
          <w:szCs w:val="24"/>
        </w:rPr>
        <w:t xml:space="preserve"> </w:t>
      </w:r>
      <w:r w:rsidRPr="00D337FA">
        <w:rPr>
          <w:szCs w:val="24"/>
        </w:rPr>
        <w:t>исследованиям</w:t>
      </w:r>
      <w:r w:rsidR="006C680D" w:rsidRPr="00D337FA">
        <w:rPr>
          <w:szCs w:val="24"/>
        </w:rPr>
        <w:t xml:space="preserve"> </w:t>
      </w:r>
      <w:r w:rsidRPr="00D337FA">
        <w:rPr>
          <w:szCs w:val="24"/>
        </w:rPr>
        <w:t>он</w:t>
      </w:r>
      <w:r w:rsidR="006C680D" w:rsidRPr="00D337FA">
        <w:rPr>
          <w:szCs w:val="24"/>
        </w:rPr>
        <w:t xml:space="preserve"> </w:t>
      </w:r>
      <w:r w:rsidRPr="00D337FA">
        <w:rPr>
          <w:szCs w:val="24"/>
        </w:rPr>
        <w:t>берет</w:t>
      </w:r>
      <w:r w:rsidR="006C680D" w:rsidRPr="00D337FA">
        <w:rPr>
          <w:szCs w:val="24"/>
        </w:rPr>
        <w:t xml:space="preserve"> </w:t>
      </w:r>
      <w:r w:rsidRPr="00D337FA">
        <w:rPr>
          <w:szCs w:val="24"/>
        </w:rPr>
        <w:t>из</w:t>
      </w:r>
      <w:r w:rsidR="006C680D" w:rsidRPr="00D337FA">
        <w:rPr>
          <w:szCs w:val="24"/>
        </w:rPr>
        <w:t xml:space="preserve"> </w:t>
      </w:r>
      <w:r w:rsidRPr="00D337FA">
        <w:rPr>
          <w:szCs w:val="24"/>
        </w:rPr>
        <w:t>общей</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которая</w:t>
      </w:r>
      <w:r w:rsidR="006C680D" w:rsidRPr="00D337FA">
        <w:rPr>
          <w:szCs w:val="24"/>
        </w:rPr>
        <w:t xml:space="preserve"> </w:t>
      </w:r>
      <w:r w:rsidRPr="00D337FA">
        <w:rPr>
          <w:szCs w:val="24"/>
        </w:rPr>
        <w:t>обобщает</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системного</w:t>
      </w:r>
      <w:r w:rsidR="006C680D" w:rsidRPr="00D337FA">
        <w:rPr>
          <w:szCs w:val="24"/>
        </w:rPr>
        <w:t xml:space="preserve"> </w:t>
      </w:r>
      <w:r w:rsidRPr="00D337FA">
        <w:rPr>
          <w:szCs w:val="24"/>
        </w:rPr>
        <w:t>подхода.</w:t>
      </w:r>
      <w:r w:rsidR="006C680D" w:rsidRPr="00D337FA">
        <w:rPr>
          <w:szCs w:val="24"/>
        </w:rPr>
        <w:t xml:space="preserve"> </w:t>
      </w:r>
      <w:r w:rsidRPr="00D337FA">
        <w:rPr>
          <w:szCs w:val="24"/>
        </w:rPr>
        <w:t>Автором</w:t>
      </w:r>
      <w:r w:rsidR="006C680D" w:rsidRPr="00D337FA">
        <w:rPr>
          <w:szCs w:val="24"/>
        </w:rPr>
        <w:t xml:space="preserve"> </w:t>
      </w:r>
      <w:r w:rsidRPr="00D337FA">
        <w:rPr>
          <w:szCs w:val="24"/>
        </w:rPr>
        <w:t>данной</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считается</w:t>
      </w:r>
      <w:r w:rsidR="006C680D" w:rsidRPr="00D337FA">
        <w:rPr>
          <w:szCs w:val="24"/>
        </w:rPr>
        <w:t xml:space="preserve"> </w:t>
      </w:r>
      <w:r w:rsidRPr="00D337FA">
        <w:rPr>
          <w:szCs w:val="24"/>
        </w:rPr>
        <w:t>австрийский</w:t>
      </w:r>
      <w:r w:rsidR="006C680D" w:rsidRPr="00D337FA">
        <w:rPr>
          <w:szCs w:val="24"/>
        </w:rPr>
        <w:t xml:space="preserve"> </w:t>
      </w:r>
      <w:r w:rsidRPr="00D337FA">
        <w:rPr>
          <w:szCs w:val="24"/>
        </w:rPr>
        <w:t>биолог</w:t>
      </w:r>
      <w:r w:rsidR="006C680D" w:rsidRPr="00D337FA">
        <w:rPr>
          <w:szCs w:val="24"/>
        </w:rPr>
        <w:t xml:space="preserve"> </w:t>
      </w:r>
      <w:r w:rsidRPr="00D337FA">
        <w:rPr>
          <w:szCs w:val="24"/>
        </w:rPr>
        <w:t>Карл</w:t>
      </w:r>
      <w:r w:rsidR="006C680D" w:rsidRPr="00D337FA">
        <w:rPr>
          <w:szCs w:val="24"/>
        </w:rPr>
        <w:t xml:space="preserve"> </w:t>
      </w:r>
      <w:r w:rsidRPr="00D337FA">
        <w:rPr>
          <w:szCs w:val="24"/>
        </w:rPr>
        <w:t>Людвиг</w:t>
      </w:r>
      <w:r w:rsidR="006C680D" w:rsidRPr="00D337FA">
        <w:rPr>
          <w:szCs w:val="24"/>
        </w:rPr>
        <w:t xml:space="preserve"> </w:t>
      </w:r>
      <w:r w:rsidRPr="00D337FA">
        <w:rPr>
          <w:szCs w:val="24"/>
        </w:rPr>
        <w:t>фон</w:t>
      </w:r>
      <w:r w:rsidR="006C680D" w:rsidRPr="00D337FA">
        <w:rPr>
          <w:szCs w:val="24"/>
        </w:rPr>
        <w:t xml:space="preserve"> </w:t>
      </w:r>
      <w:r w:rsidRPr="00D337FA">
        <w:rPr>
          <w:szCs w:val="24"/>
        </w:rPr>
        <w:t>Берталанфи,</w:t>
      </w:r>
      <w:r w:rsidR="006C680D" w:rsidRPr="00D337FA">
        <w:rPr>
          <w:szCs w:val="24"/>
        </w:rPr>
        <w:t xml:space="preserve"> </w:t>
      </w:r>
      <w:r w:rsidRPr="00D337FA">
        <w:rPr>
          <w:szCs w:val="24"/>
        </w:rPr>
        <w:t>который</w:t>
      </w:r>
      <w:r w:rsidR="006C680D" w:rsidRPr="00D337FA">
        <w:rPr>
          <w:szCs w:val="24"/>
        </w:rPr>
        <w:t xml:space="preserve"> </w:t>
      </w:r>
      <w:r w:rsidRPr="00D337FA">
        <w:rPr>
          <w:szCs w:val="24"/>
        </w:rPr>
        <w:t>с</w:t>
      </w:r>
      <w:r w:rsidR="006C680D" w:rsidRPr="00D337FA">
        <w:rPr>
          <w:szCs w:val="24"/>
        </w:rPr>
        <w:t xml:space="preserve"> </w:t>
      </w:r>
      <w:r w:rsidRPr="00D337FA">
        <w:rPr>
          <w:szCs w:val="24"/>
        </w:rPr>
        <w:t>1945</w:t>
      </w:r>
      <w:r w:rsidR="006C680D" w:rsidRPr="00D337FA">
        <w:rPr>
          <w:szCs w:val="24"/>
        </w:rPr>
        <w:t xml:space="preserve"> </w:t>
      </w:r>
      <w:r w:rsidRPr="00D337FA">
        <w:rPr>
          <w:szCs w:val="24"/>
        </w:rPr>
        <w:t>по</w:t>
      </w:r>
      <w:r w:rsidR="006C680D" w:rsidRPr="00D337FA">
        <w:rPr>
          <w:szCs w:val="24"/>
        </w:rPr>
        <w:t xml:space="preserve"> </w:t>
      </w:r>
      <w:r w:rsidRPr="00D337FA">
        <w:rPr>
          <w:szCs w:val="24"/>
        </w:rPr>
        <w:t>1951</w:t>
      </w:r>
      <w:r w:rsidR="006C680D" w:rsidRPr="00D337FA">
        <w:rPr>
          <w:szCs w:val="24"/>
        </w:rPr>
        <w:t xml:space="preserve"> </w:t>
      </w:r>
      <w:r w:rsidRPr="00D337FA">
        <w:rPr>
          <w:szCs w:val="24"/>
        </w:rPr>
        <w:t>год</w:t>
      </w:r>
      <w:r w:rsidR="006C680D" w:rsidRPr="00D337FA">
        <w:rPr>
          <w:szCs w:val="24"/>
        </w:rPr>
        <w:t xml:space="preserve"> </w:t>
      </w:r>
      <w:r w:rsidRPr="00D337FA">
        <w:rPr>
          <w:szCs w:val="24"/>
        </w:rPr>
        <w:t>начал</w:t>
      </w:r>
      <w:r w:rsidR="006C680D" w:rsidRPr="00D337FA">
        <w:rPr>
          <w:szCs w:val="24"/>
        </w:rPr>
        <w:t xml:space="preserve"> </w:t>
      </w:r>
      <w:r w:rsidRPr="00D337FA">
        <w:rPr>
          <w:szCs w:val="24"/>
        </w:rPr>
        <w:t>публиковать</w:t>
      </w:r>
      <w:r w:rsidR="006C680D" w:rsidRPr="00D337FA">
        <w:rPr>
          <w:szCs w:val="24"/>
        </w:rPr>
        <w:t xml:space="preserve"> </w:t>
      </w:r>
      <w:r w:rsidRPr="00D337FA">
        <w:rPr>
          <w:szCs w:val="24"/>
        </w:rPr>
        <w:t>статьи</w:t>
      </w:r>
      <w:r w:rsidR="006C680D" w:rsidRPr="00D337FA">
        <w:rPr>
          <w:szCs w:val="24"/>
        </w:rPr>
        <w:t xml:space="preserve"> </w:t>
      </w:r>
      <w:r w:rsidRPr="00D337FA">
        <w:rPr>
          <w:szCs w:val="24"/>
        </w:rPr>
        <w:t>с</w:t>
      </w:r>
      <w:r w:rsidR="006C680D" w:rsidRPr="00D337FA">
        <w:rPr>
          <w:szCs w:val="24"/>
        </w:rPr>
        <w:t xml:space="preserve"> </w:t>
      </w:r>
      <w:r w:rsidRPr="00D337FA">
        <w:rPr>
          <w:szCs w:val="24"/>
        </w:rPr>
        <w:t>основными</w:t>
      </w:r>
      <w:r w:rsidR="006C680D" w:rsidRPr="00D337FA">
        <w:rPr>
          <w:szCs w:val="24"/>
        </w:rPr>
        <w:t xml:space="preserve"> </w:t>
      </w:r>
      <w:r w:rsidRPr="00D337FA">
        <w:rPr>
          <w:szCs w:val="24"/>
        </w:rPr>
        <w:t>положениями</w:t>
      </w:r>
      <w:r w:rsidR="006C680D" w:rsidRPr="00D337FA">
        <w:rPr>
          <w:szCs w:val="24"/>
        </w:rPr>
        <w:t xml:space="preserve"> </w:t>
      </w:r>
      <w:r w:rsidRPr="00D337FA">
        <w:rPr>
          <w:szCs w:val="24"/>
        </w:rPr>
        <w:t>данной</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Хотя</w:t>
      </w:r>
      <w:r w:rsidR="006C680D" w:rsidRPr="00D337FA">
        <w:rPr>
          <w:szCs w:val="24"/>
        </w:rPr>
        <w:t xml:space="preserve"> </w:t>
      </w:r>
      <w:r w:rsidRPr="00D337FA">
        <w:rPr>
          <w:szCs w:val="24"/>
        </w:rPr>
        <w:t>предпосылки</w:t>
      </w:r>
      <w:r w:rsidR="006C680D" w:rsidRPr="00D337FA">
        <w:rPr>
          <w:szCs w:val="24"/>
        </w:rPr>
        <w:t xml:space="preserve"> </w:t>
      </w:r>
      <w:r w:rsidRPr="00D337FA">
        <w:rPr>
          <w:szCs w:val="24"/>
        </w:rPr>
        <w:t>для</w:t>
      </w:r>
      <w:r w:rsidR="006C680D" w:rsidRPr="00D337FA">
        <w:rPr>
          <w:szCs w:val="24"/>
        </w:rPr>
        <w:t xml:space="preserve"> </w:t>
      </w:r>
      <w:r w:rsidRPr="00D337FA">
        <w:rPr>
          <w:szCs w:val="24"/>
        </w:rPr>
        <w:t>формирования</w:t>
      </w:r>
      <w:r w:rsidR="006C680D" w:rsidRPr="00D337FA">
        <w:rPr>
          <w:szCs w:val="24"/>
        </w:rPr>
        <w:t xml:space="preserve"> </w:t>
      </w:r>
      <w:r w:rsidRPr="00D337FA">
        <w:rPr>
          <w:szCs w:val="24"/>
        </w:rPr>
        <w:t>общей</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были</w:t>
      </w:r>
      <w:r w:rsidR="006C680D" w:rsidRPr="00D337FA">
        <w:rPr>
          <w:szCs w:val="24"/>
        </w:rPr>
        <w:t xml:space="preserve"> </w:t>
      </w:r>
      <w:r w:rsidRPr="00D337FA">
        <w:rPr>
          <w:szCs w:val="24"/>
        </w:rPr>
        <w:t>опубликованы</w:t>
      </w:r>
      <w:r w:rsidR="006C680D" w:rsidRPr="00D337FA">
        <w:rPr>
          <w:szCs w:val="24"/>
        </w:rPr>
        <w:t xml:space="preserve"> </w:t>
      </w:r>
      <w:r w:rsidRPr="00D337FA">
        <w:rPr>
          <w:szCs w:val="24"/>
        </w:rPr>
        <w:t>еще</w:t>
      </w:r>
      <w:r w:rsidR="006C680D" w:rsidRPr="00D337FA">
        <w:rPr>
          <w:szCs w:val="24"/>
        </w:rPr>
        <w:t xml:space="preserve"> </w:t>
      </w:r>
      <w:r w:rsidRPr="00D337FA">
        <w:rPr>
          <w:szCs w:val="24"/>
        </w:rPr>
        <w:t>в</w:t>
      </w:r>
      <w:r w:rsidR="006C680D" w:rsidRPr="00D337FA">
        <w:rPr>
          <w:szCs w:val="24"/>
        </w:rPr>
        <w:t xml:space="preserve"> </w:t>
      </w:r>
      <w:r w:rsidRPr="00D337FA">
        <w:rPr>
          <w:szCs w:val="24"/>
        </w:rPr>
        <w:t>1922</w:t>
      </w:r>
      <w:r w:rsidR="006C680D" w:rsidRPr="00D337FA">
        <w:rPr>
          <w:szCs w:val="24"/>
        </w:rPr>
        <w:t xml:space="preserve"> </w:t>
      </w:r>
      <w:r w:rsidRPr="00D337FA">
        <w:rPr>
          <w:szCs w:val="24"/>
        </w:rPr>
        <w:t>году</w:t>
      </w:r>
      <w:r w:rsidR="006C680D" w:rsidRPr="00D337FA">
        <w:rPr>
          <w:szCs w:val="24"/>
        </w:rPr>
        <w:t xml:space="preserve"> </w:t>
      </w:r>
      <w:r w:rsidRPr="00D337FA">
        <w:rPr>
          <w:szCs w:val="24"/>
        </w:rPr>
        <w:t>в</w:t>
      </w:r>
      <w:r w:rsidR="006C680D" w:rsidRPr="00D337FA">
        <w:rPr>
          <w:szCs w:val="24"/>
        </w:rPr>
        <w:t xml:space="preserve"> </w:t>
      </w:r>
      <w:r w:rsidRPr="00D337FA">
        <w:rPr>
          <w:szCs w:val="24"/>
        </w:rPr>
        <w:t>трехтомном</w:t>
      </w:r>
      <w:r w:rsidR="006C680D" w:rsidRPr="00D337FA">
        <w:rPr>
          <w:szCs w:val="24"/>
        </w:rPr>
        <w:t xml:space="preserve"> </w:t>
      </w:r>
      <w:r w:rsidRPr="00D337FA">
        <w:rPr>
          <w:szCs w:val="24"/>
        </w:rPr>
        <w:t>труде</w:t>
      </w:r>
      <w:r w:rsidR="006C680D" w:rsidRPr="00D337FA">
        <w:rPr>
          <w:szCs w:val="24"/>
        </w:rPr>
        <w:t xml:space="preserve"> </w:t>
      </w:r>
      <w:r w:rsidRPr="00D337FA">
        <w:rPr>
          <w:szCs w:val="24"/>
        </w:rPr>
        <w:t>«Тектология:</w:t>
      </w:r>
      <w:r w:rsidR="006C680D" w:rsidRPr="00D337FA">
        <w:rPr>
          <w:szCs w:val="24"/>
        </w:rPr>
        <w:t xml:space="preserve"> </w:t>
      </w:r>
      <w:r w:rsidRPr="00D337FA">
        <w:rPr>
          <w:szCs w:val="24"/>
        </w:rPr>
        <w:t>всеобщая</w:t>
      </w:r>
      <w:r w:rsidR="006C680D" w:rsidRPr="00D337FA">
        <w:rPr>
          <w:szCs w:val="24"/>
        </w:rPr>
        <w:t xml:space="preserve"> </w:t>
      </w:r>
      <w:r w:rsidRPr="00D337FA">
        <w:rPr>
          <w:szCs w:val="24"/>
        </w:rPr>
        <w:t>организационная</w:t>
      </w:r>
      <w:r w:rsidR="006C680D" w:rsidRPr="00D337FA">
        <w:rPr>
          <w:szCs w:val="24"/>
        </w:rPr>
        <w:t xml:space="preserve"> </w:t>
      </w:r>
      <w:r w:rsidRPr="00D337FA">
        <w:rPr>
          <w:szCs w:val="24"/>
        </w:rPr>
        <w:t>наука»</w:t>
      </w:r>
      <w:r w:rsidR="006C680D" w:rsidRPr="00D337FA">
        <w:rPr>
          <w:szCs w:val="24"/>
        </w:rPr>
        <w:t xml:space="preserve"> </w:t>
      </w:r>
      <w:r w:rsidRPr="00D337FA">
        <w:rPr>
          <w:szCs w:val="24"/>
        </w:rPr>
        <w:t>советским</w:t>
      </w:r>
      <w:r w:rsidR="006C680D" w:rsidRPr="00D337FA">
        <w:rPr>
          <w:szCs w:val="24"/>
        </w:rPr>
        <w:t xml:space="preserve"> </w:t>
      </w:r>
      <w:r w:rsidRPr="00D337FA">
        <w:rPr>
          <w:szCs w:val="24"/>
        </w:rPr>
        <w:t>философом</w:t>
      </w:r>
      <w:r w:rsidR="006C680D" w:rsidRPr="00D337FA">
        <w:rPr>
          <w:szCs w:val="24"/>
        </w:rPr>
        <w:t xml:space="preserve"> </w:t>
      </w:r>
      <w:r w:rsidRPr="00D337FA">
        <w:rPr>
          <w:szCs w:val="24"/>
        </w:rPr>
        <w:t>Александром</w:t>
      </w:r>
      <w:r w:rsidR="006C680D" w:rsidRPr="00D337FA">
        <w:rPr>
          <w:szCs w:val="24"/>
        </w:rPr>
        <w:t xml:space="preserve"> </w:t>
      </w:r>
      <w:r w:rsidRPr="00D337FA">
        <w:rPr>
          <w:szCs w:val="24"/>
        </w:rPr>
        <w:t>Богдановым.</w:t>
      </w:r>
      <w:r w:rsidR="006C680D" w:rsidRPr="00D337FA">
        <w:rPr>
          <w:szCs w:val="24"/>
        </w:rPr>
        <w:t xml:space="preserve"> </w:t>
      </w:r>
      <w:r w:rsidRPr="00D337FA">
        <w:rPr>
          <w:szCs w:val="24"/>
        </w:rPr>
        <w:t>Однако</w:t>
      </w:r>
      <w:r w:rsidR="006C680D" w:rsidRPr="00D337FA">
        <w:rPr>
          <w:szCs w:val="24"/>
        </w:rPr>
        <w:t xml:space="preserve"> </w:t>
      </w:r>
      <w:r w:rsidRPr="00D337FA">
        <w:rPr>
          <w:szCs w:val="24"/>
        </w:rPr>
        <w:t>проникновение</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подхода</w:t>
      </w:r>
      <w:r w:rsidR="006C680D" w:rsidRPr="00D337FA">
        <w:rPr>
          <w:szCs w:val="24"/>
        </w:rPr>
        <w:t xml:space="preserve"> </w:t>
      </w:r>
      <w:r w:rsidRPr="00D337FA">
        <w:rPr>
          <w:szCs w:val="24"/>
        </w:rPr>
        <w:t>в</w:t>
      </w:r>
      <w:r w:rsidR="006C680D" w:rsidRPr="00D337FA">
        <w:rPr>
          <w:szCs w:val="24"/>
        </w:rPr>
        <w:t xml:space="preserve"> </w:t>
      </w:r>
      <w:r w:rsidRPr="00D337FA">
        <w:rPr>
          <w:szCs w:val="24"/>
        </w:rPr>
        <w:t>экономику</w:t>
      </w:r>
      <w:r w:rsidR="006C680D" w:rsidRPr="00D337FA">
        <w:rPr>
          <w:szCs w:val="24"/>
        </w:rPr>
        <w:t xml:space="preserve"> </w:t>
      </w:r>
      <w:r w:rsidRPr="00D337FA">
        <w:rPr>
          <w:szCs w:val="24"/>
        </w:rPr>
        <w:t>(на</w:t>
      </w:r>
      <w:r w:rsidR="006C680D" w:rsidRPr="00D337FA">
        <w:rPr>
          <w:szCs w:val="24"/>
        </w:rPr>
        <w:t xml:space="preserve"> </w:t>
      </w:r>
      <w:r w:rsidRPr="00D337FA">
        <w:rPr>
          <w:szCs w:val="24"/>
        </w:rPr>
        <w:t>макро</w:t>
      </w:r>
      <w:r w:rsidR="0002772A" w:rsidRPr="00D337FA">
        <w:rPr>
          <w:szCs w:val="24"/>
        </w:rPr>
        <w:t>-</w:t>
      </w:r>
      <w:r w:rsidR="006C680D" w:rsidRPr="00D337FA">
        <w:rPr>
          <w:szCs w:val="24"/>
        </w:rPr>
        <w:t xml:space="preserve"> </w:t>
      </w:r>
      <w:r w:rsidRPr="00D337FA">
        <w:rPr>
          <w:szCs w:val="24"/>
        </w:rPr>
        <w:t>и</w:t>
      </w:r>
      <w:r w:rsidR="006C680D" w:rsidRPr="00D337FA">
        <w:rPr>
          <w:szCs w:val="24"/>
        </w:rPr>
        <w:t xml:space="preserve"> </w:t>
      </w:r>
      <w:r w:rsidRPr="00D337FA">
        <w:rPr>
          <w:szCs w:val="24"/>
        </w:rPr>
        <w:t>микроуровне)</w:t>
      </w:r>
      <w:r w:rsidR="006C680D" w:rsidRPr="00D337FA">
        <w:rPr>
          <w:szCs w:val="24"/>
        </w:rPr>
        <w:t xml:space="preserve"> </w:t>
      </w:r>
      <w:r w:rsidRPr="00D337FA">
        <w:rPr>
          <w:szCs w:val="24"/>
        </w:rPr>
        <w:t>и</w:t>
      </w:r>
      <w:r w:rsidR="006C680D" w:rsidRPr="00D337FA">
        <w:rPr>
          <w:szCs w:val="24"/>
        </w:rPr>
        <w:t xml:space="preserve"> </w:t>
      </w:r>
      <w:r w:rsidRPr="00D337FA">
        <w:rPr>
          <w:szCs w:val="24"/>
        </w:rPr>
        <w:t>управление</w:t>
      </w:r>
      <w:r w:rsidR="006C680D" w:rsidRPr="00D337FA">
        <w:rPr>
          <w:szCs w:val="24"/>
        </w:rPr>
        <w:t xml:space="preserve"> </w:t>
      </w:r>
      <w:r w:rsidRPr="00D337FA">
        <w:rPr>
          <w:szCs w:val="24"/>
        </w:rPr>
        <w:t>стало</w:t>
      </w:r>
      <w:r w:rsidR="006C680D" w:rsidRPr="00D337FA">
        <w:rPr>
          <w:szCs w:val="24"/>
        </w:rPr>
        <w:t xml:space="preserve"> </w:t>
      </w:r>
      <w:r w:rsidRPr="00D337FA">
        <w:rPr>
          <w:szCs w:val="24"/>
        </w:rPr>
        <w:t>длительным</w:t>
      </w:r>
      <w:r w:rsidR="006C680D" w:rsidRPr="00D337FA">
        <w:rPr>
          <w:szCs w:val="24"/>
        </w:rPr>
        <w:t xml:space="preserve"> </w:t>
      </w:r>
      <w:r w:rsidRPr="00D337FA">
        <w:rPr>
          <w:szCs w:val="24"/>
        </w:rPr>
        <w:t>процессом.</w:t>
      </w:r>
      <w:r w:rsidR="006C680D" w:rsidRPr="00D337FA">
        <w:rPr>
          <w:szCs w:val="24"/>
        </w:rPr>
        <w:t xml:space="preserve"> </w:t>
      </w:r>
      <w:r w:rsidRPr="00D337FA">
        <w:rPr>
          <w:szCs w:val="24"/>
        </w:rPr>
        <w:t>Лишь</w:t>
      </w:r>
      <w:r w:rsidR="006C680D" w:rsidRPr="00D337FA">
        <w:rPr>
          <w:szCs w:val="24"/>
        </w:rPr>
        <w:t xml:space="preserve"> </w:t>
      </w:r>
      <w:r w:rsidRPr="00D337FA">
        <w:rPr>
          <w:szCs w:val="24"/>
        </w:rPr>
        <w:t>с</w:t>
      </w:r>
      <w:r w:rsidR="006C680D" w:rsidRPr="00D337FA">
        <w:rPr>
          <w:szCs w:val="24"/>
        </w:rPr>
        <w:t xml:space="preserve"> </w:t>
      </w:r>
      <w:r w:rsidRPr="00D337FA">
        <w:rPr>
          <w:szCs w:val="24"/>
        </w:rPr>
        <w:t>начала</w:t>
      </w:r>
      <w:r w:rsidR="006C680D" w:rsidRPr="00D337FA">
        <w:rPr>
          <w:szCs w:val="24"/>
        </w:rPr>
        <w:t xml:space="preserve"> </w:t>
      </w:r>
      <w:r w:rsidRPr="00D337FA">
        <w:rPr>
          <w:szCs w:val="24"/>
        </w:rPr>
        <w:t>2000-х</w:t>
      </w:r>
      <w:r w:rsidR="006C680D" w:rsidRPr="00D337FA">
        <w:rPr>
          <w:szCs w:val="24"/>
        </w:rPr>
        <w:t xml:space="preserve"> </w:t>
      </w:r>
      <w:r w:rsidRPr="00D337FA">
        <w:rPr>
          <w:szCs w:val="24"/>
        </w:rPr>
        <w:t>годов</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говорить</w:t>
      </w:r>
      <w:r w:rsidR="006C680D" w:rsidRPr="00D337FA">
        <w:rPr>
          <w:szCs w:val="24"/>
        </w:rPr>
        <w:t xml:space="preserve"> </w:t>
      </w:r>
      <w:r w:rsidRPr="00D337FA">
        <w:rPr>
          <w:szCs w:val="24"/>
        </w:rPr>
        <w:t>о</w:t>
      </w:r>
      <w:r w:rsidR="006C680D" w:rsidRPr="00D337FA">
        <w:rPr>
          <w:szCs w:val="24"/>
        </w:rPr>
        <w:t xml:space="preserve"> </w:t>
      </w:r>
      <w:r w:rsidRPr="00D337FA">
        <w:rPr>
          <w:szCs w:val="24"/>
        </w:rPr>
        <w:t>полноценном</w:t>
      </w:r>
      <w:r w:rsidR="006C680D" w:rsidRPr="00D337FA">
        <w:rPr>
          <w:szCs w:val="24"/>
        </w:rPr>
        <w:t xml:space="preserve"> </w:t>
      </w:r>
      <w:r w:rsidRPr="00D337FA">
        <w:rPr>
          <w:szCs w:val="24"/>
        </w:rPr>
        <w:t>применении</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систем</w:t>
      </w:r>
      <w:r w:rsidR="006C680D" w:rsidRPr="00D337FA">
        <w:rPr>
          <w:szCs w:val="24"/>
        </w:rPr>
        <w:t xml:space="preserve"> </w:t>
      </w:r>
      <w:r w:rsidRPr="00D337FA">
        <w:rPr>
          <w:szCs w:val="24"/>
        </w:rPr>
        <w:t>в</w:t>
      </w:r>
      <w:r w:rsidR="006C680D" w:rsidRPr="00D337FA">
        <w:rPr>
          <w:szCs w:val="24"/>
        </w:rPr>
        <w:t xml:space="preserve"> </w:t>
      </w:r>
      <w:r w:rsidRPr="00D337FA">
        <w:rPr>
          <w:szCs w:val="24"/>
        </w:rPr>
        <w:t>экономике,</w:t>
      </w:r>
      <w:r w:rsidR="006C680D" w:rsidRPr="00D337FA">
        <w:rPr>
          <w:szCs w:val="24"/>
        </w:rPr>
        <w:t xml:space="preserve"> </w:t>
      </w:r>
      <w:r w:rsidRPr="00D337FA">
        <w:rPr>
          <w:szCs w:val="24"/>
        </w:rPr>
        <w:t>которое</w:t>
      </w:r>
      <w:r w:rsidR="006C680D" w:rsidRPr="00D337FA">
        <w:rPr>
          <w:szCs w:val="24"/>
        </w:rPr>
        <w:t xml:space="preserve"> </w:t>
      </w:r>
      <w:r w:rsidRPr="00D337FA">
        <w:rPr>
          <w:szCs w:val="24"/>
        </w:rPr>
        <w:t>началось</w:t>
      </w:r>
      <w:r w:rsidR="006C680D" w:rsidRPr="00D337FA">
        <w:rPr>
          <w:szCs w:val="24"/>
        </w:rPr>
        <w:t xml:space="preserve"> </w:t>
      </w:r>
      <w:r w:rsidRPr="00D337FA">
        <w:rPr>
          <w:szCs w:val="24"/>
        </w:rPr>
        <w:t>с</w:t>
      </w:r>
      <w:r w:rsidR="006C680D" w:rsidRPr="00D337FA">
        <w:rPr>
          <w:szCs w:val="24"/>
        </w:rPr>
        <w:t xml:space="preserve"> </w:t>
      </w:r>
      <w:r w:rsidRPr="00D337FA">
        <w:rPr>
          <w:szCs w:val="24"/>
        </w:rPr>
        <w:t>работ</w:t>
      </w:r>
      <w:r w:rsidR="006C680D" w:rsidRPr="00D337FA">
        <w:rPr>
          <w:szCs w:val="24"/>
        </w:rPr>
        <w:t xml:space="preserve"> </w:t>
      </w:r>
      <w:r w:rsidRPr="00D337FA">
        <w:rPr>
          <w:szCs w:val="24"/>
        </w:rPr>
        <w:t>венгерского</w:t>
      </w:r>
      <w:r w:rsidR="006C680D" w:rsidRPr="00D337FA">
        <w:rPr>
          <w:szCs w:val="24"/>
        </w:rPr>
        <w:t xml:space="preserve"> </w:t>
      </w:r>
      <w:r w:rsidRPr="00D337FA">
        <w:rPr>
          <w:szCs w:val="24"/>
        </w:rPr>
        <w:t>экономиста</w:t>
      </w:r>
      <w:r w:rsidR="006C680D" w:rsidRPr="00D337FA">
        <w:rPr>
          <w:szCs w:val="24"/>
        </w:rPr>
        <w:t xml:space="preserve"> </w:t>
      </w:r>
      <w:r w:rsidRPr="00D337FA">
        <w:rPr>
          <w:szCs w:val="24"/>
        </w:rPr>
        <w:t>Яноша</w:t>
      </w:r>
      <w:r w:rsidR="006C680D" w:rsidRPr="00D337FA">
        <w:rPr>
          <w:szCs w:val="24"/>
        </w:rPr>
        <w:t xml:space="preserve"> </w:t>
      </w:r>
      <w:r w:rsidRPr="00D337FA">
        <w:rPr>
          <w:szCs w:val="24"/>
        </w:rPr>
        <w:t>Корнаи</w:t>
      </w:r>
      <w:r w:rsidR="006C680D" w:rsidRPr="00D337FA">
        <w:rPr>
          <w:szCs w:val="24"/>
        </w:rPr>
        <w:t xml:space="preserve"> </w:t>
      </w:r>
      <w:r w:rsidRPr="00D337FA">
        <w:rPr>
          <w:szCs w:val="24"/>
        </w:rPr>
        <w:t>и</w:t>
      </w:r>
      <w:r w:rsidR="006C680D" w:rsidRPr="00D337FA">
        <w:rPr>
          <w:szCs w:val="24"/>
        </w:rPr>
        <w:t xml:space="preserve"> </w:t>
      </w:r>
      <w:r w:rsidRPr="00D337FA">
        <w:rPr>
          <w:szCs w:val="24"/>
        </w:rPr>
        <w:t>было</w:t>
      </w:r>
      <w:r w:rsidR="006C680D" w:rsidRPr="00D337FA">
        <w:rPr>
          <w:szCs w:val="24"/>
        </w:rPr>
        <w:t xml:space="preserve"> </w:t>
      </w:r>
      <w:r w:rsidRPr="00D337FA">
        <w:rPr>
          <w:szCs w:val="24"/>
        </w:rPr>
        <w:t>приложено</w:t>
      </w:r>
      <w:r w:rsidR="006C680D" w:rsidRPr="00D337FA">
        <w:rPr>
          <w:szCs w:val="24"/>
        </w:rPr>
        <w:t xml:space="preserve"> </w:t>
      </w:r>
      <w:r w:rsidRPr="00D337FA">
        <w:rPr>
          <w:szCs w:val="24"/>
        </w:rPr>
        <w:t>к</w:t>
      </w:r>
      <w:r w:rsidR="006C680D" w:rsidRPr="00D337FA">
        <w:rPr>
          <w:szCs w:val="24"/>
        </w:rPr>
        <w:t xml:space="preserve"> </w:t>
      </w:r>
      <w:r w:rsidRPr="00D337FA">
        <w:rPr>
          <w:szCs w:val="24"/>
        </w:rPr>
        <w:t>развитию</w:t>
      </w:r>
      <w:r w:rsidR="006C680D" w:rsidRPr="00D337FA">
        <w:rPr>
          <w:szCs w:val="24"/>
        </w:rPr>
        <w:t xml:space="preserve"> </w:t>
      </w:r>
      <w:r w:rsidRPr="00D337FA">
        <w:rPr>
          <w:szCs w:val="24"/>
        </w:rPr>
        <w:t>теории</w:t>
      </w:r>
      <w:r w:rsidR="006C680D" w:rsidRPr="00D337FA">
        <w:rPr>
          <w:szCs w:val="24"/>
        </w:rPr>
        <w:t xml:space="preserve"> </w:t>
      </w:r>
      <w:r w:rsidRPr="00D337FA">
        <w:rPr>
          <w:szCs w:val="24"/>
        </w:rPr>
        <w:t>фирм</w:t>
      </w:r>
      <w:r w:rsidR="006C680D" w:rsidRPr="00D337FA">
        <w:rPr>
          <w:szCs w:val="24"/>
        </w:rPr>
        <w:t xml:space="preserve"> </w:t>
      </w:r>
      <w:r w:rsidRPr="00D337FA">
        <w:rPr>
          <w:szCs w:val="24"/>
        </w:rPr>
        <w:t>в</w:t>
      </w:r>
      <w:r w:rsidR="006C680D" w:rsidRPr="00D337FA">
        <w:rPr>
          <w:szCs w:val="24"/>
        </w:rPr>
        <w:t xml:space="preserve"> </w:t>
      </w:r>
      <w:r w:rsidRPr="00D337FA">
        <w:rPr>
          <w:szCs w:val="24"/>
        </w:rPr>
        <w:t>работах</w:t>
      </w:r>
      <w:r w:rsidR="006C680D" w:rsidRPr="00D337FA">
        <w:rPr>
          <w:szCs w:val="24"/>
        </w:rPr>
        <w:t xml:space="preserve"> </w:t>
      </w:r>
      <w:r w:rsidRPr="00D337FA">
        <w:rPr>
          <w:szCs w:val="24"/>
        </w:rPr>
        <w:t>2002</w:t>
      </w:r>
      <w:r w:rsidR="006C680D" w:rsidRPr="00D337FA">
        <w:rPr>
          <w:szCs w:val="24"/>
        </w:rPr>
        <w:t xml:space="preserve"> </w:t>
      </w:r>
      <w:r w:rsidRPr="00D337FA">
        <w:rPr>
          <w:szCs w:val="24"/>
        </w:rPr>
        <w:t>и</w:t>
      </w:r>
      <w:r w:rsidR="006C680D" w:rsidRPr="00D337FA">
        <w:rPr>
          <w:szCs w:val="24"/>
        </w:rPr>
        <w:t xml:space="preserve"> </w:t>
      </w:r>
      <w:r w:rsidRPr="00D337FA">
        <w:rPr>
          <w:szCs w:val="24"/>
        </w:rPr>
        <w:t>2003</w:t>
      </w:r>
      <w:r w:rsidR="006C680D" w:rsidRPr="00D337FA">
        <w:rPr>
          <w:szCs w:val="24"/>
        </w:rPr>
        <w:t xml:space="preserve"> </w:t>
      </w:r>
      <w:r w:rsidRPr="00D337FA">
        <w:rPr>
          <w:szCs w:val="24"/>
        </w:rPr>
        <w:t>годов</w:t>
      </w:r>
      <w:r w:rsidR="006C680D" w:rsidRPr="00D337FA">
        <w:rPr>
          <w:szCs w:val="24"/>
        </w:rPr>
        <w:t xml:space="preserve"> </w:t>
      </w:r>
      <w:r w:rsidRPr="00D337FA">
        <w:rPr>
          <w:szCs w:val="24"/>
        </w:rPr>
        <w:t>российского</w:t>
      </w:r>
      <w:r w:rsidR="006C680D" w:rsidRPr="00D337FA">
        <w:rPr>
          <w:szCs w:val="24"/>
        </w:rPr>
        <w:t xml:space="preserve"> </w:t>
      </w:r>
      <w:r w:rsidRPr="00D337FA">
        <w:rPr>
          <w:szCs w:val="24"/>
        </w:rPr>
        <w:t>ученого</w:t>
      </w:r>
      <w:r w:rsidR="006C680D" w:rsidRPr="00D337FA">
        <w:rPr>
          <w:szCs w:val="24"/>
        </w:rPr>
        <w:t xml:space="preserve"> </w:t>
      </w:r>
      <w:r w:rsidRPr="00D337FA">
        <w:rPr>
          <w:szCs w:val="24"/>
        </w:rPr>
        <w:t>Георгия</w:t>
      </w:r>
      <w:r w:rsidR="006C680D" w:rsidRPr="00D337FA">
        <w:rPr>
          <w:szCs w:val="24"/>
        </w:rPr>
        <w:t xml:space="preserve"> </w:t>
      </w:r>
      <w:r w:rsidRPr="00D337FA">
        <w:rPr>
          <w:szCs w:val="24"/>
        </w:rPr>
        <w:t>Борисовича</w:t>
      </w:r>
      <w:r w:rsidR="006C680D" w:rsidRPr="00D337FA">
        <w:rPr>
          <w:szCs w:val="24"/>
        </w:rPr>
        <w:t xml:space="preserve"> </w:t>
      </w:r>
      <w:r w:rsidRPr="00D337FA">
        <w:rPr>
          <w:szCs w:val="24"/>
        </w:rPr>
        <w:t>Клейнера.</w:t>
      </w:r>
      <w:r w:rsidR="006C680D" w:rsidRPr="00D337FA">
        <w:rPr>
          <w:szCs w:val="24"/>
        </w:rPr>
        <w:t xml:space="preserve"> </w:t>
      </w:r>
      <w:r w:rsidRPr="00D337FA">
        <w:rPr>
          <w:szCs w:val="24"/>
        </w:rPr>
        <w:t>В</w:t>
      </w:r>
      <w:r w:rsidR="006C680D" w:rsidRPr="00D337FA">
        <w:rPr>
          <w:szCs w:val="24"/>
        </w:rPr>
        <w:t xml:space="preserve"> </w:t>
      </w:r>
      <w:r w:rsidRPr="00D337FA">
        <w:rPr>
          <w:szCs w:val="24"/>
        </w:rPr>
        <w:t>его</w:t>
      </w:r>
      <w:r w:rsidR="006C680D" w:rsidRPr="00D337FA">
        <w:rPr>
          <w:szCs w:val="24"/>
        </w:rPr>
        <w:t xml:space="preserve"> </w:t>
      </w:r>
      <w:r w:rsidRPr="00D337FA">
        <w:rPr>
          <w:szCs w:val="24"/>
        </w:rPr>
        <w:t>работах</w:t>
      </w:r>
      <w:r w:rsidR="006C680D" w:rsidRPr="00D337FA">
        <w:rPr>
          <w:szCs w:val="24"/>
        </w:rPr>
        <w:t xml:space="preserve"> </w:t>
      </w:r>
      <w:r w:rsidRPr="00D337FA">
        <w:rPr>
          <w:szCs w:val="24"/>
        </w:rPr>
        <w:t>понятие</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адаптируется</w:t>
      </w:r>
      <w:r w:rsidR="006C680D" w:rsidRPr="00D337FA">
        <w:rPr>
          <w:szCs w:val="24"/>
        </w:rPr>
        <w:t xml:space="preserve"> </w:t>
      </w:r>
      <w:r w:rsidRPr="00D337FA">
        <w:rPr>
          <w:szCs w:val="24"/>
        </w:rPr>
        <w:t>под</w:t>
      </w:r>
      <w:r w:rsidR="006C680D" w:rsidRPr="00D337FA">
        <w:rPr>
          <w:szCs w:val="24"/>
        </w:rPr>
        <w:t xml:space="preserve"> </w:t>
      </w:r>
      <w:r w:rsidRPr="00D337FA">
        <w:rPr>
          <w:szCs w:val="24"/>
        </w:rPr>
        <w:t>функционирование</w:t>
      </w:r>
      <w:r w:rsidR="006C680D" w:rsidRPr="00D337FA">
        <w:rPr>
          <w:szCs w:val="24"/>
        </w:rPr>
        <w:t xml:space="preserve"> </w:t>
      </w:r>
      <w:r w:rsidRPr="00D337FA">
        <w:rPr>
          <w:szCs w:val="24"/>
        </w:rPr>
        <w:t>предприятий</w:t>
      </w:r>
      <w:r w:rsidR="006C680D" w:rsidRPr="00D337FA">
        <w:rPr>
          <w:szCs w:val="24"/>
        </w:rPr>
        <w:t xml:space="preserve"> </w:t>
      </w:r>
      <w:r w:rsidRPr="00D337FA">
        <w:rPr>
          <w:szCs w:val="24"/>
        </w:rPr>
        <w:t>и</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встреть</w:t>
      </w:r>
      <w:r w:rsidR="006C680D" w:rsidRPr="00D337FA">
        <w:rPr>
          <w:szCs w:val="24"/>
        </w:rPr>
        <w:t xml:space="preserve"> </w:t>
      </w:r>
      <w:r w:rsidRPr="00D337FA">
        <w:rPr>
          <w:szCs w:val="24"/>
        </w:rPr>
        <w:t>такое</w:t>
      </w:r>
      <w:r w:rsidR="006C680D" w:rsidRPr="00D337FA">
        <w:rPr>
          <w:szCs w:val="24"/>
        </w:rPr>
        <w:t xml:space="preserve"> </w:t>
      </w:r>
      <w:r w:rsidRPr="00D337FA">
        <w:rPr>
          <w:szCs w:val="24"/>
        </w:rPr>
        <w:t>определение:</w:t>
      </w:r>
      <w:r w:rsidR="006C680D" w:rsidRPr="00D337FA">
        <w:rPr>
          <w:szCs w:val="24"/>
        </w:rPr>
        <w:t xml:space="preserve"> </w:t>
      </w:r>
      <w:r w:rsidRPr="00D337FA">
        <w:rPr>
          <w:szCs w:val="24"/>
        </w:rPr>
        <w:t>«относительно</w:t>
      </w:r>
      <w:r w:rsidR="006C680D" w:rsidRPr="00D337FA">
        <w:rPr>
          <w:szCs w:val="24"/>
        </w:rPr>
        <w:t xml:space="preserve"> </w:t>
      </w:r>
      <w:r w:rsidRPr="00D337FA">
        <w:rPr>
          <w:szCs w:val="24"/>
        </w:rPr>
        <w:t>автономная</w:t>
      </w:r>
      <w:r w:rsidR="006C680D" w:rsidRPr="00D337FA">
        <w:rPr>
          <w:szCs w:val="24"/>
        </w:rPr>
        <w:t xml:space="preserve"> </w:t>
      </w:r>
      <w:r w:rsidRPr="00D337FA">
        <w:rPr>
          <w:szCs w:val="24"/>
        </w:rPr>
        <w:t>и</w:t>
      </w:r>
      <w:r w:rsidR="006C680D" w:rsidRPr="00D337FA">
        <w:rPr>
          <w:szCs w:val="24"/>
        </w:rPr>
        <w:t xml:space="preserve"> </w:t>
      </w:r>
      <w:r w:rsidRPr="00D337FA">
        <w:rPr>
          <w:szCs w:val="24"/>
        </w:rPr>
        <w:t>устойчивая</w:t>
      </w:r>
      <w:r w:rsidR="006C680D" w:rsidRPr="00D337FA">
        <w:rPr>
          <w:szCs w:val="24"/>
        </w:rPr>
        <w:t xml:space="preserve"> </w:t>
      </w:r>
      <w:r w:rsidRPr="00D337FA">
        <w:rPr>
          <w:szCs w:val="24"/>
        </w:rPr>
        <w:t>во</w:t>
      </w:r>
      <w:r w:rsidR="006C680D" w:rsidRPr="00D337FA">
        <w:rPr>
          <w:szCs w:val="24"/>
        </w:rPr>
        <w:t xml:space="preserve"> </w:t>
      </w:r>
      <w:r w:rsidRPr="00D337FA">
        <w:rPr>
          <w:szCs w:val="24"/>
        </w:rPr>
        <w:t>времени</w:t>
      </w:r>
      <w:r w:rsidR="006C680D" w:rsidRPr="00D337FA">
        <w:rPr>
          <w:szCs w:val="24"/>
        </w:rPr>
        <w:t xml:space="preserve"> </w:t>
      </w:r>
      <w:r w:rsidRPr="00D337FA">
        <w:rPr>
          <w:szCs w:val="24"/>
        </w:rPr>
        <w:t>и</w:t>
      </w:r>
      <w:r w:rsidR="006C680D" w:rsidRPr="00D337FA">
        <w:rPr>
          <w:szCs w:val="24"/>
        </w:rPr>
        <w:t xml:space="preserve"> </w:t>
      </w:r>
      <w:r w:rsidRPr="00D337FA">
        <w:rPr>
          <w:szCs w:val="24"/>
        </w:rPr>
        <w:t>пространстве</w:t>
      </w:r>
      <w:r w:rsidR="006C680D" w:rsidRPr="00D337FA">
        <w:rPr>
          <w:szCs w:val="24"/>
        </w:rPr>
        <w:t xml:space="preserve"> </w:t>
      </w:r>
      <w:r w:rsidRPr="00D337FA">
        <w:rPr>
          <w:szCs w:val="24"/>
        </w:rPr>
        <w:t>часть</w:t>
      </w:r>
      <w:r w:rsidR="006C680D" w:rsidRPr="00D337FA">
        <w:rPr>
          <w:szCs w:val="24"/>
        </w:rPr>
        <w:t xml:space="preserve"> </w:t>
      </w:r>
      <w:r w:rsidRPr="00D337FA">
        <w:rPr>
          <w:szCs w:val="24"/>
        </w:rPr>
        <w:t>окружающего</w:t>
      </w:r>
      <w:r w:rsidR="006C680D" w:rsidRPr="00D337FA">
        <w:rPr>
          <w:szCs w:val="24"/>
        </w:rPr>
        <w:t xml:space="preserve"> </w:t>
      </w:r>
      <w:r w:rsidRPr="00D337FA">
        <w:rPr>
          <w:szCs w:val="24"/>
        </w:rPr>
        <w:t>мира,</w:t>
      </w:r>
      <w:r w:rsidR="006C680D" w:rsidRPr="00D337FA">
        <w:rPr>
          <w:szCs w:val="24"/>
        </w:rPr>
        <w:t xml:space="preserve"> </w:t>
      </w:r>
      <w:r w:rsidRPr="00D337FA">
        <w:rPr>
          <w:szCs w:val="24"/>
        </w:rPr>
        <w:t>обладающая</w:t>
      </w:r>
      <w:r w:rsidR="006C680D" w:rsidRPr="00D337FA">
        <w:rPr>
          <w:szCs w:val="24"/>
        </w:rPr>
        <w:t xml:space="preserve"> </w:t>
      </w:r>
      <w:r w:rsidRPr="00D337FA">
        <w:rPr>
          <w:szCs w:val="24"/>
        </w:rPr>
        <w:t>одновременно</w:t>
      </w:r>
      <w:r w:rsidR="006C680D" w:rsidRPr="00D337FA">
        <w:rPr>
          <w:szCs w:val="24"/>
        </w:rPr>
        <w:t xml:space="preserve"> </w:t>
      </w:r>
      <w:r w:rsidRPr="00D337FA">
        <w:rPr>
          <w:szCs w:val="24"/>
        </w:rPr>
        <w:t>свойствами</w:t>
      </w:r>
      <w:r w:rsidR="006C680D" w:rsidRPr="00D337FA">
        <w:rPr>
          <w:szCs w:val="24"/>
        </w:rPr>
        <w:t xml:space="preserve"> </w:t>
      </w:r>
      <w:r w:rsidRPr="00D337FA">
        <w:rPr>
          <w:szCs w:val="24"/>
        </w:rPr>
        <w:t>внешней</w:t>
      </w:r>
      <w:r w:rsidR="006C680D" w:rsidRPr="00D337FA">
        <w:rPr>
          <w:szCs w:val="24"/>
        </w:rPr>
        <w:t xml:space="preserve"> </w:t>
      </w:r>
      <w:r w:rsidRPr="00D337FA">
        <w:rPr>
          <w:szCs w:val="24"/>
        </w:rPr>
        <w:t>целостности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внутреннего</w:t>
      </w:r>
      <w:r w:rsidR="006C680D" w:rsidRPr="00D337FA">
        <w:rPr>
          <w:szCs w:val="24"/>
        </w:rPr>
        <w:t xml:space="preserve"> </w:t>
      </w:r>
      <w:r w:rsidRPr="00D337FA">
        <w:rPr>
          <w:szCs w:val="24"/>
        </w:rPr>
        <w:t>многообразия».</w:t>
      </w:r>
      <w:r w:rsidR="006C680D" w:rsidRPr="00D337FA">
        <w:rPr>
          <w:szCs w:val="24"/>
        </w:rPr>
        <w:t xml:space="preserve"> </w:t>
      </w:r>
      <w:r w:rsidRPr="00D337FA">
        <w:rPr>
          <w:szCs w:val="24"/>
        </w:rPr>
        <w:t>И</w:t>
      </w:r>
      <w:r w:rsidR="006C680D" w:rsidRPr="00D337FA">
        <w:rPr>
          <w:szCs w:val="24"/>
        </w:rPr>
        <w:t xml:space="preserve"> </w:t>
      </w:r>
      <w:r w:rsidRPr="00D337FA">
        <w:rPr>
          <w:szCs w:val="24"/>
        </w:rPr>
        <w:t>этот</w:t>
      </w:r>
      <w:r w:rsidR="006C680D" w:rsidRPr="00D337FA">
        <w:rPr>
          <w:szCs w:val="24"/>
        </w:rPr>
        <w:t xml:space="preserve"> </w:t>
      </w:r>
      <w:r w:rsidRPr="00D337FA">
        <w:rPr>
          <w:szCs w:val="24"/>
        </w:rPr>
        <w:t>подход</w:t>
      </w:r>
      <w:r w:rsidR="006C680D" w:rsidRPr="00D337FA">
        <w:rPr>
          <w:szCs w:val="24"/>
        </w:rPr>
        <w:t xml:space="preserve"> </w:t>
      </w:r>
      <w:r w:rsidRPr="00D337FA">
        <w:rPr>
          <w:szCs w:val="24"/>
        </w:rPr>
        <w:t>составляет</w:t>
      </w:r>
      <w:r w:rsidR="006C680D" w:rsidRPr="00D337FA">
        <w:rPr>
          <w:szCs w:val="24"/>
        </w:rPr>
        <w:t xml:space="preserve"> </w:t>
      </w:r>
      <w:r w:rsidRPr="00D337FA">
        <w:rPr>
          <w:szCs w:val="24"/>
        </w:rPr>
        <w:t>основу</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но</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выделяются</w:t>
      </w:r>
      <w:r w:rsidR="006C680D" w:rsidRPr="00D337FA">
        <w:rPr>
          <w:szCs w:val="24"/>
        </w:rPr>
        <w:t xml:space="preserve"> </w:t>
      </w:r>
      <w:r w:rsidRPr="00D337FA">
        <w:rPr>
          <w:szCs w:val="24"/>
        </w:rPr>
        <w:t>процессный</w:t>
      </w:r>
      <w:r w:rsidR="006C680D" w:rsidRPr="00D337FA">
        <w:rPr>
          <w:szCs w:val="24"/>
        </w:rPr>
        <w:t xml:space="preserve"> </w:t>
      </w:r>
      <w:r w:rsidRPr="00D337FA">
        <w:rPr>
          <w:szCs w:val="24"/>
        </w:rPr>
        <w:t>и</w:t>
      </w:r>
      <w:r w:rsidR="006C680D" w:rsidRPr="00D337FA">
        <w:rPr>
          <w:szCs w:val="24"/>
        </w:rPr>
        <w:t xml:space="preserve"> </w:t>
      </w:r>
      <w:r w:rsidRPr="00D337FA">
        <w:rPr>
          <w:szCs w:val="24"/>
        </w:rPr>
        <w:t>функциональный</w:t>
      </w:r>
      <w:r w:rsidR="006C680D" w:rsidRPr="00D337FA">
        <w:rPr>
          <w:szCs w:val="24"/>
        </w:rPr>
        <w:t xml:space="preserve"> </w:t>
      </w:r>
      <w:r w:rsidRPr="00D337FA">
        <w:rPr>
          <w:szCs w:val="24"/>
        </w:rPr>
        <w:t>подходы,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в</w:t>
      </w:r>
      <w:r w:rsidR="006C680D" w:rsidRPr="00D337FA">
        <w:rPr>
          <w:szCs w:val="24"/>
        </w:rPr>
        <w:t xml:space="preserve"> </w:t>
      </w:r>
      <w:r w:rsidRPr="00D337FA">
        <w:rPr>
          <w:szCs w:val="24"/>
        </w:rPr>
        <w:t>совокупности</w:t>
      </w:r>
      <w:r w:rsidR="006C680D" w:rsidRPr="00D337FA">
        <w:rPr>
          <w:szCs w:val="24"/>
        </w:rPr>
        <w:t xml:space="preserve"> </w:t>
      </w:r>
      <w:r w:rsidRPr="00D337FA">
        <w:rPr>
          <w:szCs w:val="24"/>
        </w:rPr>
        <w:t>формируют,</w:t>
      </w:r>
      <w:r w:rsidR="006C680D" w:rsidRPr="00D337FA">
        <w:rPr>
          <w:szCs w:val="24"/>
        </w:rPr>
        <w:t xml:space="preserve"> </w:t>
      </w:r>
      <w:r w:rsidRPr="00D337FA">
        <w:rPr>
          <w:szCs w:val="24"/>
        </w:rPr>
        <w:t>по</w:t>
      </w:r>
      <w:r w:rsidR="006C680D" w:rsidRPr="00D337FA">
        <w:rPr>
          <w:szCs w:val="24"/>
        </w:rPr>
        <w:t xml:space="preserve"> </w:t>
      </w:r>
      <w:r w:rsidRPr="00D337FA">
        <w:rPr>
          <w:szCs w:val="24"/>
        </w:rPr>
        <w:t>мнению</w:t>
      </w:r>
      <w:r w:rsidR="006C680D" w:rsidRPr="00D337FA">
        <w:rPr>
          <w:szCs w:val="24"/>
        </w:rPr>
        <w:t xml:space="preserve"> </w:t>
      </w:r>
      <w:r w:rsidRPr="00D337FA">
        <w:rPr>
          <w:szCs w:val="24"/>
        </w:rPr>
        <w:t>автора,</w:t>
      </w:r>
      <w:r w:rsidR="006C680D" w:rsidRPr="00D337FA">
        <w:rPr>
          <w:szCs w:val="24"/>
        </w:rPr>
        <w:t xml:space="preserve"> </w:t>
      </w:r>
      <w:r w:rsidRPr="00D337FA">
        <w:rPr>
          <w:szCs w:val="24"/>
        </w:rPr>
        <w:t>интегрированный</w:t>
      </w:r>
      <w:r w:rsidR="006C680D" w:rsidRPr="00D337FA">
        <w:rPr>
          <w:szCs w:val="24"/>
        </w:rPr>
        <w:t xml:space="preserve"> </w:t>
      </w:r>
      <w:r w:rsidRPr="00D337FA">
        <w:rPr>
          <w:szCs w:val="24"/>
        </w:rPr>
        <w:t>подход</w:t>
      </w:r>
      <w:r w:rsidR="006C680D" w:rsidRPr="00D337FA">
        <w:rPr>
          <w:szCs w:val="24"/>
        </w:rPr>
        <w:t xml:space="preserve"> </w:t>
      </w:r>
      <w:r w:rsidRPr="00D337FA">
        <w:rPr>
          <w:szCs w:val="24"/>
        </w:rPr>
        <w:t>к</w:t>
      </w:r>
      <w:r w:rsidR="006C680D" w:rsidRPr="00D337FA">
        <w:rPr>
          <w:szCs w:val="24"/>
        </w:rPr>
        <w:t xml:space="preserve"> </w:t>
      </w:r>
      <w:r w:rsidRPr="00D337FA">
        <w:rPr>
          <w:szCs w:val="24"/>
        </w:rPr>
        <w:t>управлению</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[13]</w:t>
      </w:r>
      <w:r w:rsidR="0002772A" w:rsidRPr="00D337FA">
        <w:rPr>
          <w:szCs w:val="24"/>
        </w:rPr>
        <w:t>.</w:t>
      </w:r>
    </w:p>
    <w:p w:rsidR="00C03F09" w:rsidRPr="00D337FA" w:rsidRDefault="00C03F09" w:rsidP="00C03F09">
      <w:pPr>
        <w:ind w:firstLine="142"/>
        <w:rPr>
          <w:szCs w:val="24"/>
        </w:rPr>
      </w:pPr>
      <w:r w:rsidRPr="00D337FA">
        <w:rPr>
          <w:szCs w:val="24"/>
        </w:rPr>
        <w:t>Методы.</w:t>
      </w:r>
      <w:r w:rsidR="006C680D" w:rsidRPr="00D337FA">
        <w:rPr>
          <w:szCs w:val="24"/>
        </w:rPr>
        <w:t xml:space="preserve"> </w:t>
      </w:r>
      <w:r w:rsidRPr="00D337FA">
        <w:rPr>
          <w:szCs w:val="24"/>
        </w:rPr>
        <w:t>Философские</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включают</w:t>
      </w:r>
      <w:r w:rsidR="006C680D" w:rsidRPr="00D337FA">
        <w:rPr>
          <w:szCs w:val="24"/>
        </w:rPr>
        <w:t xml:space="preserve"> </w:t>
      </w:r>
      <w:r w:rsidRPr="00D337FA">
        <w:rPr>
          <w:szCs w:val="24"/>
        </w:rPr>
        <w:t>диалектику</w:t>
      </w:r>
      <w:r w:rsidR="006C680D" w:rsidRPr="00D337FA">
        <w:rPr>
          <w:szCs w:val="24"/>
        </w:rPr>
        <w:t xml:space="preserve"> </w:t>
      </w:r>
      <w:r w:rsidRPr="00D337FA">
        <w:rPr>
          <w:szCs w:val="24"/>
        </w:rPr>
        <w:t>и</w:t>
      </w:r>
      <w:r w:rsidR="006C680D" w:rsidRPr="00D337FA">
        <w:rPr>
          <w:szCs w:val="24"/>
        </w:rPr>
        <w:t xml:space="preserve"> </w:t>
      </w:r>
      <w:r w:rsidRPr="00D337FA">
        <w:rPr>
          <w:szCs w:val="24"/>
        </w:rPr>
        <w:t>метафизику.</w:t>
      </w:r>
      <w:r w:rsidR="006C680D" w:rsidRPr="00D337FA">
        <w:rPr>
          <w:szCs w:val="24"/>
        </w:rPr>
        <w:t xml:space="preserve"> </w:t>
      </w:r>
      <w:r w:rsidRPr="00D337FA">
        <w:rPr>
          <w:szCs w:val="24"/>
        </w:rPr>
        <w:t>Уровнем</w:t>
      </w:r>
      <w:r w:rsidR="006C680D" w:rsidRPr="00D337FA">
        <w:rPr>
          <w:szCs w:val="24"/>
        </w:rPr>
        <w:t xml:space="preserve"> </w:t>
      </w:r>
      <w:r w:rsidRPr="00D337FA">
        <w:rPr>
          <w:szCs w:val="24"/>
        </w:rPr>
        <w:t>ниже</w:t>
      </w:r>
      <w:r w:rsidR="006C680D" w:rsidRPr="00D337FA">
        <w:rPr>
          <w:szCs w:val="24"/>
        </w:rPr>
        <w:t xml:space="preserve"> </w:t>
      </w:r>
      <w:r w:rsidRPr="00D337FA">
        <w:rPr>
          <w:szCs w:val="24"/>
        </w:rPr>
        <w:t>находятся</w:t>
      </w:r>
      <w:r w:rsidR="006C680D" w:rsidRPr="00D337FA">
        <w:rPr>
          <w:szCs w:val="24"/>
        </w:rPr>
        <w:t xml:space="preserve"> </w:t>
      </w:r>
      <w:r w:rsidRPr="00D337FA">
        <w:rPr>
          <w:szCs w:val="24"/>
        </w:rPr>
        <w:t>логические</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без</w:t>
      </w:r>
      <w:r w:rsidR="006C680D" w:rsidRPr="00D337FA">
        <w:rPr>
          <w:szCs w:val="24"/>
        </w:rPr>
        <w:t xml:space="preserve"> </w:t>
      </w:r>
      <w:r w:rsidRPr="00D337FA">
        <w:rPr>
          <w:szCs w:val="24"/>
        </w:rPr>
        <w:t>которых</w:t>
      </w:r>
      <w:r w:rsidR="006C680D" w:rsidRPr="00D337FA">
        <w:rPr>
          <w:szCs w:val="24"/>
        </w:rPr>
        <w:t xml:space="preserve"> </w:t>
      </w:r>
      <w:r w:rsidRPr="00D337FA">
        <w:rPr>
          <w:szCs w:val="24"/>
        </w:rPr>
        <w:t>невозможна</w:t>
      </w:r>
      <w:r w:rsidR="006C680D" w:rsidRPr="00D337FA">
        <w:rPr>
          <w:szCs w:val="24"/>
        </w:rPr>
        <w:t xml:space="preserve"> </w:t>
      </w:r>
      <w:r w:rsidRPr="00D337FA">
        <w:rPr>
          <w:szCs w:val="24"/>
        </w:rPr>
        <w:t>любая</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w:t>
      </w:r>
      <w:r w:rsidR="006C680D" w:rsidRPr="00D337FA">
        <w:rPr>
          <w:szCs w:val="24"/>
        </w:rPr>
        <w:t xml:space="preserve"> </w:t>
      </w:r>
      <w:r w:rsidRPr="00D337FA">
        <w:rPr>
          <w:szCs w:val="24"/>
        </w:rPr>
        <w:t>синтез,</w:t>
      </w:r>
      <w:r w:rsidR="006C680D" w:rsidRPr="00D337FA">
        <w:rPr>
          <w:szCs w:val="24"/>
        </w:rPr>
        <w:t xml:space="preserve"> </w:t>
      </w:r>
      <w:r w:rsidRPr="00D337FA">
        <w:rPr>
          <w:szCs w:val="24"/>
        </w:rPr>
        <w:t>анализ</w:t>
      </w:r>
      <w:r w:rsidR="006C680D" w:rsidRPr="00D337FA">
        <w:rPr>
          <w:szCs w:val="24"/>
        </w:rPr>
        <w:t xml:space="preserve"> </w:t>
      </w:r>
      <w:r w:rsidRPr="00D337FA">
        <w:rPr>
          <w:szCs w:val="24"/>
        </w:rPr>
        <w:t>и</w:t>
      </w:r>
      <w:r w:rsidR="006C680D" w:rsidRPr="00D337FA">
        <w:rPr>
          <w:szCs w:val="24"/>
        </w:rPr>
        <w:t xml:space="preserve"> </w:t>
      </w:r>
      <w:r w:rsidRPr="00D337FA">
        <w:rPr>
          <w:szCs w:val="24"/>
        </w:rPr>
        <w:t>т.д.</w:t>
      </w:r>
      <w:r w:rsidR="006C680D" w:rsidRPr="00D337FA">
        <w:rPr>
          <w:szCs w:val="24"/>
        </w:rPr>
        <w:t xml:space="preserve"> </w:t>
      </w:r>
      <w:r w:rsidRPr="00D337FA">
        <w:rPr>
          <w:szCs w:val="24"/>
        </w:rPr>
        <w:t>К</w:t>
      </w:r>
      <w:r w:rsidR="006C680D" w:rsidRPr="00D337FA">
        <w:rPr>
          <w:szCs w:val="24"/>
        </w:rPr>
        <w:t xml:space="preserve"> </w:t>
      </w:r>
      <w:r w:rsidRPr="00D337FA">
        <w:rPr>
          <w:szCs w:val="24"/>
        </w:rPr>
        <w:t>специальным</w:t>
      </w:r>
      <w:r w:rsidR="006C680D" w:rsidRPr="00D337FA">
        <w:rPr>
          <w:szCs w:val="24"/>
        </w:rPr>
        <w:t xml:space="preserve"> </w:t>
      </w:r>
      <w:r w:rsidRPr="00D337FA">
        <w:rPr>
          <w:szCs w:val="24"/>
        </w:rPr>
        <w:t>методам</w:t>
      </w:r>
      <w:r w:rsidR="006C680D" w:rsidRPr="00D337FA">
        <w:rPr>
          <w:szCs w:val="24"/>
        </w:rPr>
        <w:t xml:space="preserve"> </w:t>
      </w:r>
      <w:r w:rsidRPr="00D337FA">
        <w:rPr>
          <w:szCs w:val="24"/>
        </w:rPr>
        <w:t>в</w:t>
      </w:r>
      <w:r w:rsidR="006C680D" w:rsidRPr="00D337FA">
        <w:rPr>
          <w:szCs w:val="24"/>
        </w:rPr>
        <w:t xml:space="preserve"> </w:t>
      </w:r>
      <w:r w:rsidRPr="00D337FA">
        <w:rPr>
          <w:szCs w:val="24"/>
        </w:rPr>
        <w:t>данной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отнести</w:t>
      </w:r>
      <w:r w:rsidR="006C680D" w:rsidRPr="00D337FA">
        <w:rPr>
          <w:szCs w:val="24"/>
        </w:rPr>
        <w:t xml:space="preserve"> </w:t>
      </w:r>
      <w:r w:rsidRPr="00D337FA">
        <w:rPr>
          <w:szCs w:val="24"/>
        </w:rPr>
        <w:t>управленческие</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искусственного</w:t>
      </w:r>
      <w:r w:rsidR="006C680D" w:rsidRPr="00D337FA">
        <w:rPr>
          <w:szCs w:val="24"/>
        </w:rPr>
        <w:t xml:space="preserve"> </w:t>
      </w:r>
      <w:r w:rsidRPr="00D337FA">
        <w:rPr>
          <w:szCs w:val="24"/>
        </w:rPr>
        <w:t>интеллекта,</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в</w:t>
      </w:r>
      <w:r w:rsidR="006C680D" w:rsidRPr="00D337FA">
        <w:rPr>
          <w:szCs w:val="24"/>
        </w:rPr>
        <w:t xml:space="preserve"> </w:t>
      </w:r>
      <w:r w:rsidRPr="00D337FA">
        <w:rPr>
          <w:szCs w:val="24"/>
        </w:rPr>
        <w:t>комбинации</w:t>
      </w:r>
      <w:r w:rsidR="006C680D" w:rsidRPr="00D337FA">
        <w:rPr>
          <w:szCs w:val="24"/>
        </w:rPr>
        <w:t xml:space="preserve"> </w:t>
      </w:r>
      <w:r w:rsidRPr="00D337FA">
        <w:rPr>
          <w:szCs w:val="24"/>
        </w:rPr>
        <w:t>с</w:t>
      </w:r>
      <w:r w:rsidR="006C680D" w:rsidRPr="00D337FA">
        <w:rPr>
          <w:szCs w:val="24"/>
        </w:rPr>
        <w:t xml:space="preserve"> </w:t>
      </w:r>
      <w:r w:rsidRPr="00D337FA">
        <w:rPr>
          <w:szCs w:val="24"/>
        </w:rPr>
        <w:t>управленческими</w:t>
      </w:r>
      <w:r w:rsidR="006C680D" w:rsidRPr="00D337FA">
        <w:rPr>
          <w:szCs w:val="24"/>
        </w:rPr>
        <w:t xml:space="preserve"> </w:t>
      </w:r>
      <w:r w:rsidRPr="00D337FA">
        <w:rPr>
          <w:szCs w:val="24"/>
        </w:rPr>
        <w:t>методами</w:t>
      </w:r>
      <w:r w:rsidR="006C680D" w:rsidRPr="00D337FA">
        <w:rPr>
          <w:szCs w:val="24"/>
        </w:rPr>
        <w:t xml:space="preserve"> </w:t>
      </w:r>
      <w:r w:rsidRPr="00D337FA">
        <w:rPr>
          <w:szCs w:val="24"/>
        </w:rPr>
        <w:lastRenderedPageBreak/>
        <w:t>позволяют</w:t>
      </w:r>
      <w:r w:rsidR="006C680D" w:rsidRPr="00D337FA">
        <w:rPr>
          <w:szCs w:val="24"/>
        </w:rPr>
        <w:t xml:space="preserve"> </w:t>
      </w:r>
      <w:r w:rsidRPr="00D337FA">
        <w:rPr>
          <w:szCs w:val="24"/>
        </w:rPr>
        <w:t>повысить</w:t>
      </w:r>
      <w:r w:rsidR="006C680D" w:rsidRPr="00D337FA">
        <w:rPr>
          <w:szCs w:val="24"/>
        </w:rPr>
        <w:t xml:space="preserve"> </w:t>
      </w:r>
      <w:r w:rsidRPr="00D337FA">
        <w:rPr>
          <w:szCs w:val="24"/>
        </w:rPr>
        <w:t>эффективность</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деятельности.</w:t>
      </w:r>
    </w:p>
    <w:p w:rsidR="00C03F09" w:rsidRPr="00D337FA" w:rsidRDefault="00C03F09" w:rsidP="00C03F09">
      <w:pPr>
        <w:ind w:firstLine="142"/>
        <w:rPr>
          <w:szCs w:val="24"/>
        </w:rPr>
      </w:pPr>
      <w:r w:rsidRPr="00D337FA">
        <w:rPr>
          <w:szCs w:val="24"/>
        </w:rPr>
        <w:t>Важной</w:t>
      </w:r>
      <w:r w:rsidR="006C680D" w:rsidRPr="00D337FA">
        <w:rPr>
          <w:szCs w:val="24"/>
        </w:rPr>
        <w:t xml:space="preserve"> </w:t>
      </w:r>
      <w:r w:rsidRPr="00D337FA">
        <w:rPr>
          <w:szCs w:val="24"/>
        </w:rPr>
        <w:t>составляющей</w:t>
      </w:r>
      <w:r w:rsidR="006C680D" w:rsidRPr="00D337FA">
        <w:rPr>
          <w:szCs w:val="24"/>
        </w:rPr>
        <w:t xml:space="preserve"> </w:t>
      </w:r>
      <w:r w:rsidRPr="00D337FA">
        <w:rPr>
          <w:szCs w:val="24"/>
        </w:rPr>
        <w:t>любой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понятийный</w:t>
      </w:r>
      <w:r w:rsidR="006C680D" w:rsidRPr="00D337FA">
        <w:rPr>
          <w:szCs w:val="24"/>
        </w:rPr>
        <w:t xml:space="preserve"> </w:t>
      </w:r>
      <w:r w:rsidRPr="00D337FA">
        <w:rPr>
          <w:szCs w:val="24"/>
        </w:rPr>
        <w:t>аппарат.</w:t>
      </w:r>
      <w:r w:rsidR="006C680D" w:rsidRPr="00D337FA">
        <w:rPr>
          <w:szCs w:val="24"/>
        </w:rPr>
        <w:t xml:space="preserve"> </w:t>
      </w:r>
      <w:r w:rsidRPr="00D337FA">
        <w:rPr>
          <w:szCs w:val="24"/>
        </w:rPr>
        <w:t>Понятие</w:t>
      </w:r>
      <w:r w:rsidR="006C680D" w:rsidRPr="00D337FA">
        <w:rPr>
          <w:szCs w:val="24"/>
        </w:rPr>
        <w:t xml:space="preserve"> </w:t>
      </w:r>
      <w:r w:rsidRPr="00D337FA">
        <w:rPr>
          <w:szCs w:val="24"/>
        </w:rPr>
        <w:t>–</w:t>
      </w:r>
      <w:r w:rsidR="006C680D" w:rsidRPr="00D337FA">
        <w:rPr>
          <w:szCs w:val="24"/>
        </w:rPr>
        <w:t xml:space="preserve"> </w:t>
      </w:r>
      <w:r w:rsidRPr="00D337FA">
        <w:rPr>
          <w:szCs w:val="24"/>
        </w:rPr>
        <w:t>это</w:t>
      </w:r>
      <w:r w:rsidR="006C680D" w:rsidRPr="00D337FA">
        <w:rPr>
          <w:szCs w:val="24"/>
        </w:rPr>
        <w:t xml:space="preserve"> </w:t>
      </w:r>
      <w:r w:rsidRPr="00D337FA">
        <w:rPr>
          <w:szCs w:val="24"/>
        </w:rPr>
        <w:t>одна</w:t>
      </w:r>
      <w:r w:rsidR="006C680D" w:rsidRPr="00D337FA">
        <w:rPr>
          <w:szCs w:val="24"/>
        </w:rPr>
        <w:t xml:space="preserve"> </w:t>
      </w:r>
      <w:r w:rsidRPr="00D337FA">
        <w:rPr>
          <w:szCs w:val="24"/>
        </w:rPr>
        <w:t>из</w:t>
      </w:r>
      <w:r w:rsidR="006C680D" w:rsidRPr="00D337FA">
        <w:rPr>
          <w:szCs w:val="24"/>
        </w:rPr>
        <w:t xml:space="preserve"> </w:t>
      </w:r>
      <w:r w:rsidRPr="00D337FA">
        <w:rPr>
          <w:szCs w:val="24"/>
        </w:rPr>
        <w:t>форм</w:t>
      </w:r>
      <w:r w:rsidR="006C680D" w:rsidRPr="00D337FA">
        <w:rPr>
          <w:szCs w:val="24"/>
        </w:rPr>
        <w:t xml:space="preserve"> </w:t>
      </w:r>
      <w:r w:rsidRPr="00D337FA">
        <w:rPr>
          <w:szCs w:val="24"/>
        </w:rPr>
        <w:t>отражения</w:t>
      </w:r>
      <w:r w:rsidR="006C680D" w:rsidRPr="00D337FA">
        <w:rPr>
          <w:szCs w:val="24"/>
        </w:rPr>
        <w:t xml:space="preserve"> </w:t>
      </w:r>
      <w:r w:rsidRPr="00D337FA">
        <w:rPr>
          <w:szCs w:val="24"/>
        </w:rPr>
        <w:t>мира</w:t>
      </w:r>
      <w:r w:rsidR="006C680D" w:rsidRPr="00D337FA">
        <w:rPr>
          <w:szCs w:val="24"/>
        </w:rPr>
        <w:t xml:space="preserve"> </w:t>
      </w:r>
      <w:r w:rsidRPr="00D337FA">
        <w:rPr>
          <w:szCs w:val="24"/>
        </w:rPr>
        <w:t>на</w:t>
      </w:r>
      <w:r w:rsidR="006C680D" w:rsidRPr="00D337FA">
        <w:rPr>
          <w:szCs w:val="24"/>
        </w:rPr>
        <w:t xml:space="preserve"> </w:t>
      </w:r>
      <w:r w:rsidRPr="00D337FA">
        <w:rPr>
          <w:szCs w:val="24"/>
        </w:rPr>
        <w:t>ступени</w:t>
      </w:r>
      <w:r w:rsidR="006C680D" w:rsidRPr="00D337FA">
        <w:rPr>
          <w:szCs w:val="24"/>
        </w:rPr>
        <w:t xml:space="preserve"> </w:t>
      </w:r>
      <w:r w:rsidRPr="00D337FA">
        <w:rPr>
          <w:szCs w:val="24"/>
        </w:rPr>
        <w:t>познания,</w:t>
      </w:r>
      <w:r w:rsidR="006C680D" w:rsidRPr="00D337FA">
        <w:rPr>
          <w:szCs w:val="24"/>
        </w:rPr>
        <w:t xml:space="preserve"> </w:t>
      </w:r>
      <w:r w:rsidRPr="00D337FA">
        <w:rPr>
          <w:szCs w:val="24"/>
        </w:rPr>
        <w:t>связанной</w:t>
      </w:r>
      <w:r w:rsidR="006C680D" w:rsidRPr="00D337FA">
        <w:rPr>
          <w:szCs w:val="24"/>
        </w:rPr>
        <w:t xml:space="preserve"> </w:t>
      </w:r>
      <w:r w:rsidRPr="00D337FA">
        <w:rPr>
          <w:szCs w:val="24"/>
        </w:rPr>
        <w:t>с</w:t>
      </w:r>
      <w:r w:rsidR="006C680D" w:rsidRPr="00D337FA">
        <w:rPr>
          <w:szCs w:val="24"/>
        </w:rPr>
        <w:t xml:space="preserve"> </w:t>
      </w:r>
      <w:r w:rsidRPr="00D337FA">
        <w:rPr>
          <w:szCs w:val="24"/>
        </w:rPr>
        <w:t>применением</w:t>
      </w:r>
      <w:r w:rsidR="006C680D" w:rsidRPr="00D337FA">
        <w:rPr>
          <w:szCs w:val="24"/>
        </w:rPr>
        <w:t xml:space="preserve"> </w:t>
      </w:r>
      <w:r w:rsidRPr="00D337FA">
        <w:rPr>
          <w:szCs w:val="24"/>
        </w:rPr>
        <w:t>языка,</w:t>
      </w:r>
      <w:r w:rsidR="006C680D" w:rsidRPr="00D337FA">
        <w:rPr>
          <w:szCs w:val="24"/>
        </w:rPr>
        <w:t xml:space="preserve"> </w:t>
      </w:r>
      <w:r w:rsidRPr="00D337FA">
        <w:rPr>
          <w:szCs w:val="24"/>
        </w:rPr>
        <w:t>форма</w:t>
      </w:r>
      <w:r w:rsidR="006C680D" w:rsidRPr="00D337FA">
        <w:rPr>
          <w:szCs w:val="24"/>
        </w:rPr>
        <w:t xml:space="preserve"> </w:t>
      </w:r>
      <w:r w:rsidRPr="00D337FA">
        <w:rPr>
          <w:szCs w:val="24"/>
        </w:rPr>
        <w:t>обобщения</w:t>
      </w:r>
      <w:r w:rsidR="006C680D" w:rsidRPr="00D337FA">
        <w:rPr>
          <w:szCs w:val="24"/>
        </w:rPr>
        <w:t xml:space="preserve"> </w:t>
      </w:r>
      <w:r w:rsidRPr="00D337FA">
        <w:rPr>
          <w:szCs w:val="24"/>
        </w:rPr>
        <w:t>предметов</w:t>
      </w:r>
      <w:r w:rsidR="006C680D" w:rsidRPr="00D337FA">
        <w:rPr>
          <w:szCs w:val="24"/>
        </w:rPr>
        <w:t xml:space="preserve"> </w:t>
      </w:r>
      <w:r w:rsidRPr="00D337FA">
        <w:rPr>
          <w:szCs w:val="24"/>
        </w:rPr>
        <w:t>и</w:t>
      </w:r>
      <w:r w:rsidR="006C680D" w:rsidRPr="00D337FA">
        <w:rPr>
          <w:szCs w:val="24"/>
        </w:rPr>
        <w:t xml:space="preserve"> </w:t>
      </w:r>
      <w:r w:rsidRPr="00D337FA">
        <w:rPr>
          <w:szCs w:val="24"/>
        </w:rPr>
        <w:t>явлений</w:t>
      </w:r>
      <w:r w:rsidR="006C680D" w:rsidRPr="00D337FA">
        <w:rPr>
          <w:szCs w:val="24"/>
        </w:rPr>
        <w:t xml:space="preserve"> </w:t>
      </w:r>
      <w:r w:rsidRPr="00D337FA">
        <w:rPr>
          <w:szCs w:val="24"/>
        </w:rPr>
        <w:t>[21]</w:t>
      </w:r>
      <w:r w:rsidR="0002772A" w:rsidRPr="00D337FA">
        <w:rPr>
          <w:szCs w:val="24"/>
        </w:rPr>
        <w:t>.</w:t>
      </w:r>
      <w:r w:rsidR="006C680D" w:rsidRPr="00D337FA">
        <w:rPr>
          <w:szCs w:val="24"/>
        </w:rPr>
        <w:t xml:space="preserve"> </w:t>
      </w:r>
      <w:r w:rsidRPr="00D337FA">
        <w:rPr>
          <w:szCs w:val="24"/>
        </w:rPr>
        <w:t>Введение</w:t>
      </w:r>
      <w:r w:rsidR="006C680D" w:rsidRPr="00D337FA">
        <w:rPr>
          <w:szCs w:val="24"/>
        </w:rPr>
        <w:t xml:space="preserve"> </w:t>
      </w:r>
      <w:r w:rsidRPr="00D337FA">
        <w:rPr>
          <w:szCs w:val="24"/>
        </w:rPr>
        <w:t>единой</w:t>
      </w:r>
      <w:r w:rsidR="006C680D" w:rsidRPr="00D337FA">
        <w:rPr>
          <w:szCs w:val="24"/>
        </w:rPr>
        <w:t xml:space="preserve"> </w:t>
      </w:r>
      <w:r w:rsidRPr="00D337FA">
        <w:rPr>
          <w:szCs w:val="24"/>
        </w:rPr>
        <w:t>трактовки</w:t>
      </w:r>
      <w:r w:rsidR="006C680D" w:rsidRPr="00D337FA">
        <w:rPr>
          <w:szCs w:val="24"/>
        </w:rPr>
        <w:t xml:space="preserve"> </w:t>
      </w:r>
      <w:r w:rsidRPr="00D337FA">
        <w:rPr>
          <w:szCs w:val="24"/>
        </w:rPr>
        <w:t>и</w:t>
      </w:r>
      <w:r w:rsidR="006C680D" w:rsidRPr="00D337FA">
        <w:rPr>
          <w:szCs w:val="24"/>
        </w:rPr>
        <w:t xml:space="preserve"> </w:t>
      </w:r>
      <w:r w:rsidRPr="00D337FA">
        <w:rPr>
          <w:szCs w:val="24"/>
        </w:rPr>
        <w:t>понимания</w:t>
      </w:r>
      <w:r w:rsidR="006C680D" w:rsidRPr="00D337FA">
        <w:rPr>
          <w:szCs w:val="24"/>
        </w:rPr>
        <w:t xml:space="preserve"> </w:t>
      </w:r>
      <w:r w:rsidRPr="00D337FA">
        <w:rPr>
          <w:szCs w:val="24"/>
        </w:rPr>
        <w:t>основных</w:t>
      </w:r>
      <w:r w:rsidR="006C680D" w:rsidRPr="00D337FA">
        <w:rPr>
          <w:szCs w:val="24"/>
        </w:rPr>
        <w:t xml:space="preserve"> </w:t>
      </w:r>
      <w:r w:rsidRPr="00D337FA">
        <w:rPr>
          <w:szCs w:val="24"/>
        </w:rPr>
        <w:t>терминов</w:t>
      </w:r>
      <w:r w:rsidR="006C680D" w:rsidRPr="00D337FA">
        <w:rPr>
          <w:szCs w:val="24"/>
        </w:rPr>
        <w:t xml:space="preserve"> </w:t>
      </w:r>
      <w:r w:rsidRPr="00D337FA">
        <w:rPr>
          <w:szCs w:val="24"/>
        </w:rPr>
        <w:t>и</w:t>
      </w:r>
      <w:r w:rsidR="006C680D" w:rsidRPr="00D337FA">
        <w:rPr>
          <w:szCs w:val="24"/>
        </w:rPr>
        <w:t xml:space="preserve"> </w:t>
      </w:r>
      <w:r w:rsidRPr="00D337FA">
        <w:rPr>
          <w:szCs w:val="24"/>
        </w:rPr>
        <w:t>понятий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необходимо,</w:t>
      </w:r>
      <w:r w:rsidR="006C680D" w:rsidRPr="00D337FA">
        <w:rPr>
          <w:szCs w:val="24"/>
        </w:rPr>
        <w:t xml:space="preserve"> </w:t>
      </w:r>
      <w:r w:rsidRPr="00D337FA">
        <w:rPr>
          <w:szCs w:val="24"/>
        </w:rPr>
        <w:t>так</w:t>
      </w:r>
      <w:r w:rsidR="006C680D" w:rsidRPr="00D337FA">
        <w:rPr>
          <w:szCs w:val="24"/>
        </w:rPr>
        <w:t xml:space="preserve"> </w:t>
      </w:r>
      <w:r w:rsidRPr="00D337FA">
        <w:rPr>
          <w:szCs w:val="24"/>
        </w:rPr>
        <w:t>как</w:t>
      </w:r>
      <w:r w:rsidR="006C680D" w:rsidRPr="00D337FA">
        <w:rPr>
          <w:szCs w:val="24"/>
        </w:rPr>
        <w:t xml:space="preserve"> </w:t>
      </w:r>
      <w:r w:rsidRPr="00D337FA">
        <w:rPr>
          <w:szCs w:val="24"/>
        </w:rPr>
        <w:t>невозможно</w:t>
      </w:r>
      <w:r w:rsidR="006C680D" w:rsidRPr="00D337FA">
        <w:rPr>
          <w:szCs w:val="24"/>
        </w:rPr>
        <w:t xml:space="preserve"> </w:t>
      </w:r>
      <w:r w:rsidRPr="00D337FA">
        <w:rPr>
          <w:szCs w:val="24"/>
        </w:rPr>
        <w:t>понять</w:t>
      </w:r>
      <w:r w:rsidR="006C680D" w:rsidRPr="00D337FA">
        <w:rPr>
          <w:szCs w:val="24"/>
        </w:rPr>
        <w:t xml:space="preserve"> </w:t>
      </w:r>
      <w:r w:rsidRPr="00D337FA">
        <w:rPr>
          <w:szCs w:val="24"/>
        </w:rPr>
        <w:t>смысл</w:t>
      </w:r>
      <w:r w:rsidR="006C680D" w:rsidRPr="00D337FA">
        <w:rPr>
          <w:szCs w:val="24"/>
        </w:rPr>
        <w:t xml:space="preserve"> </w:t>
      </w:r>
      <w:r w:rsidRPr="00D337FA">
        <w:rPr>
          <w:szCs w:val="24"/>
        </w:rPr>
        <w:t>явлений,</w:t>
      </w:r>
      <w:r w:rsidR="006C680D" w:rsidRPr="00D337FA">
        <w:rPr>
          <w:szCs w:val="24"/>
        </w:rPr>
        <w:t xml:space="preserve"> </w:t>
      </w:r>
      <w:r w:rsidRPr="00D337FA">
        <w:rPr>
          <w:szCs w:val="24"/>
        </w:rPr>
        <w:t>вникнуть</w:t>
      </w:r>
      <w:r w:rsidR="006C680D" w:rsidRPr="00D337FA">
        <w:rPr>
          <w:szCs w:val="24"/>
        </w:rPr>
        <w:t xml:space="preserve"> </w:t>
      </w:r>
      <w:r w:rsidRPr="00D337FA">
        <w:rPr>
          <w:szCs w:val="24"/>
        </w:rPr>
        <w:t>в</w:t>
      </w:r>
      <w:r w:rsidR="006C680D" w:rsidRPr="00D337FA">
        <w:rPr>
          <w:szCs w:val="24"/>
        </w:rPr>
        <w:t xml:space="preserve"> </w:t>
      </w:r>
      <w:r w:rsidRPr="00D337FA">
        <w:rPr>
          <w:szCs w:val="24"/>
        </w:rPr>
        <w:t>проблему,</w:t>
      </w:r>
      <w:r w:rsidR="006C680D" w:rsidRPr="00D337FA">
        <w:rPr>
          <w:szCs w:val="24"/>
        </w:rPr>
        <w:t xml:space="preserve"> </w:t>
      </w:r>
      <w:r w:rsidRPr="00D337FA">
        <w:rPr>
          <w:szCs w:val="24"/>
        </w:rPr>
        <w:t>получая</w:t>
      </w:r>
      <w:r w:rsidR="006C680D" w:rsidRPr="00D337FA">
        <w:rPr>
          <w:szCs w:val="24"/>
        </w:rPr>
        <w:t xml:space="preserve"> </w:t>
      </w:r>
      <w:r w:rsidRPr="00D337FA">
        <w:rPr>
          <w:szCs w:val="24"/>
        </w:rPr>
        <w:t>информацию</w:t>
      </w:r>
      <w:r w:rsidR="006C680D" w:rsidRPr="00D337FA">
        <w:rPr>
          <w:szCs w:val="24"/>
        </w:rPr>
        <w:t xml:space="preserve"> </w:t>
      </w:r>
      <w:r w:rsidRPr="00D337FA">
        <w:rPr>
          <w:szCs w:val="24"/>
        </w:rPr>
        <w:t>из</w:t>
      </w:r>
      <w:r w:rsidR="006C680D" w:rsidRPr="00D337FA">
        <w:rPr>
          <w:szCs w:val="24"/>
        </w:rPr>
        <w:t xml:space="preserve"> </w:t>
      </w:r>
      <w:r w:rsidRPr="00D337FA">
        <w:rPr>
          <w:szCs w:val="24"/>
        </w:rPr>
        <w:t>разных</w:t>
      </w:r>
      <w:r w:rsidR="006C680D" w:rsidRPr="00D337FA">
        <w:rPr>
          <w:szCs w:val="24"/>
        </w:rPr>
        <w:t xml:space="preserve"> </w:t>
      </w:r>
      <w:r w:rsidRPr="00D337FA">
        <w:rPr>
          <w:szCs w:val="24"/>
        </w:rPr>
        <w:t>источников</w:t>
      </w:r>
      <w:r w:rsidR="006C680D" w:rsidRPr="00D337FA">
        <w:rPr>
          <w:szCs w:val="24"/>
        </w:rPr>
        <w:t xml:space="preserve"> </w:t>
      </w:r>
      <w:r w:rsidRPr="00D337FA">
        <w:rPr>
          <w:szCs w:val="24"/>
        </w:rPr>
        <w:t>при</w:t>
      </w:r>
      <w:r w:rsidR="006C680D" w:rsidRPr="00D337FA">
        <w:rPr>
          <w:szCs w:val="24"/>
        </w:rPr>
        <w:t xml:space="preserve"> </w:t>
      </w:r>
      <w:r w:rsidRPr="00D337FA">
        <w:rPr>
          <w:szCs w:val="24"/>
        </w:rPr>
        <w:t>наличии</w:t>
      </w:r>
      <w:r w:rsidR="006C680D" w:rsidRPr="00D337FA">
        <w:rPr>
          <w:szCs w:val="24"/>
        </w:rPr>
        <w:t xml:space="preserve"> </w:t>
      </w:r>
      <w:r w:rsidRPr="00D337FA">
        <w:rPr>
          <w:szCs w:val="24"/>
        </w:rPr>
        <w:t>различных</w:t>
      </w:r>
      <w:r w:rsidR="006C680D" w:rsidRPr="00D337FA">
        <w:rPr>
          <w:szCs w:val="24"/>
        </w:rPr>
        <w:t xml:space="preserve"> </w:t>
      </w:r>
      <w:r w:rsidRPr="00D337FA">
        <w:rPr>
          <w:szCs w:val="24"/>
        </w:rPr>
        <w:t>терминов</w:t>
      </w:r>
      <w:r w:rsidR="006C680D" w:rsidRPr="00D337FA">
        <w:rPr>
          <w:szCs w:val="24"/>
        </w:rPr>
        <w:t xml:space="preserve"> </w:t>
      </w:r>
      <w:r w:rsidRPr="00D337FA">
        <w:rPr>
          <w:szCs w:val="24"/>
        </w:rPr>
        <w:t>и</w:t>
      </w:r>
      <w:r w:rsidR="006C680D" w:rsidRPr="00D337FA">
        <w:rPr>
          <w:szCs w:val="24"/>
        </w:rPr>
        <w:t xml:space="preserve"> </w:t>
      </w:r>
      <w:r w:rsidRPr="00D337FA">
        <w:rPr>
          <w:szCs w:val="24"/>
        </w:rPr>
        <w:t>трактовок.</w:t>
      </w:r>
      <w:r w:rsidR="006C680D" w:rsidRPr="00D337FA">
        <w:rPr>
          <w:szCs w:val="24"/>
        </w:rPr>
        <w:t xml:space="preserve"> </w:t>
      </w:r>
      <w:r w:rsidRPr="00D337FA">
        <w:rPr>
          <w:szCs w:val="24"/>
        </w:rPr>
        <w:t>В</w:t>
      </w:r>
      <w:r w:rsidR="006C680D" w:rsidRPr="00D337FA">
        <w:rPr>
          <w:szCs w:val="24"/>
        </w:rPr>
        <w:t xml:space="preserve"> </w:t>
      </w:r>
      <w:r w:rsidRPr="00D337FA">
        <w:rPr>
          <w:szCs w:val="24"/>
        </w:rPr>
        <w:t>связи</w:t>
      </w:r>
      <w:r w:rsidR="006C680D" w:rsidRPr="00D337FA">
        <w:rPr>
          <w:szCs w:val="24"/>
        </w:rPr>
        <w:t xml:space="preserve"> </w:t>
      </w:r>
      <w:r w:rsidRPr="00D337FA">
        <w:rPr>
          <w:szCs w:val="24"/>
        </w:rPr>
        <w:t>с</w:t>
      </w:r>
      <w:r w:rsidR="006C680D" w:rsidRPr="00D337FA">
        <w:rPr>
          <w:szCs w:val="24"/>
        </w:rPr>
        <w:t xml:space="preserve"> </w:t>
      </w:r>
      <w:r w:rsidRPr="00D337FA">
        <w:rPr>
          <w:szCs w:val="24"/>
        </w:rPr>
        <w:t>этим</w:t>
      </w:r>
      <w:r w:rsidR="006C680D" w:rsidRPr="00D337FA">
        <w:rPr>
          <w:szCs w:val="24"/>
        </w:rPr>
        <w:t xml:space="preserve"> </w:t>
      </w:r>
      <w:r w:rsidRPr="00D337FA">
        <w:rPr>
          <w:szCs w:val="24"/>
        </w:rPr>
        <w:t>формирование</w:t>
      </w:r>
      <w:r w:rsidR="006C680D" w:rsidRPr="00D337FA">
        <w:rPr>
          <w:szCs w:val="24"/>
        </w:rPr>
        <w:t xml:space="preserve"> </w:t>
      </w:r>
      <w:r w:rsidRPr="00D337FA">
        <w:rPr>
          <w:szCs w:val="24"/>
        </w:rPr>
        <w:t>понятийного</w:t>
      </w:r>
      <w:r w:rsidR="006C680D" w:rsidRPr="00D337FA">
        <w:rPr>
          <w:szCs w:val="24"/>
        </w:rPr>
        <w:t xml:space="preserve"> </w:t>
      </w:r>
      <w:r w:rsidRPr="00D337FA">
        <w:rPr>
          <w:szCs w:val="24"/>
        </w:rPr>
        <w:t>аппарата</w:t>
      </w:r>
      <w:r w:rsidR="006C680D" w:rsidRPr="00D337FA">
        <w:rPr>
          <w:szCs w:val="24"/>
        </w:rPr>
        <w:t xml:space="preserve"> </w:t>
      </w:r>
      <w:r w:rsidRPr="00D337FA">
        <w:rPr>
          <w:szCs w:val="24"/>
        </w:rPr>
        <w:t>должно</w:t>
      </w:r>
      <w:r w:rsidR="006C680D" w:rsidRPr="00D337FA">
        <w:rPr>
          <w:szCs w:val="24"/>
        </w:rPr>
        <w:t xml:space="preserve"> </w:t>
      </w:r>
      <w:r w:rsidRPr="00D337FA">
        <w:rPr>
          <w:szCs w:val="24"/>
        </w:rPr>
        <w:t>быть</w:t>
      </w:r>
      <w:r w:rsidR="006C680D" w:rsidRPr="00D337FA">
        <w:rPr>
          <w:szCs w:val="24"/>
        </w:rPr>
        <w:t xml:space="preserve"> </w:t>
      </w:r>
      <w:r w:rsidRPr="00D337FA">
        <w:rPr>
          <w:szCs w:val="24"/>
        </w:rPr>
        <w:t>направлено</w:t>
      </w:r>
      <w:r w:rsidR="006C680D" w:rsidRPr="00D337FA">
        <w:rPr>
          <w:szCs w:val="24"/>
        </w:rPr>
        <w:t xml:space="preserve"> </w:t>
      </w:r>
      <w:r w:rsidRPr="00D337FA">
        <w:rPr>
          <w:szCs w:val="24"/>
        </w:rPr>
        <w:t>на</w:t>
      </w:r>
      <w:r w:rsidR="006C680D" w:rsidRPr="00D337FA">
        <w:rPr>
          <w:szCs w:val="24"/>
        </w:rPr>
        <w:t xml:space="preserve"> </w:t>
      </w:r>
      <w:r w:rsidRPr="00D337FA">
        <w:rPr>
          <w:szCs w:val="24"/>
        </w:rPr>
        <w:t>исключение</w:t>
      </w:r>
      <w:r w:rsidR="006C680D" w:rsidRPr="00D337FA">
        <w:rPr>
          <w:szCs w:val="24"/>
        </w:rPr>
        <w:t xml:space="preserve"> </w:t>
      </w:r>
      <w:r w:rsidRPr="00D337FA">
        <w:rPr>
          <w:szCs w:val="24"/>
        </w:rPr>
        <w:t>разных</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к</w:t>
      </w:r>
      <w:r w:rsidR="006C680D" w:rsidRPr="00D337FA">
        <w:rPr>
          <w:szCs w:val="24"/>
        </w:rPr>
        <w:t xml:space="preserve"> </w:t>
      </w:r>
      <w:r w:rsidRPr="00D337FA">
        <w:rPr>
          <w:szCs w:val="24"/>
        </w:rPr>
        <w:t>пониманию</w:t>
      </w:r>
      <w:r w:rsidR="006C680D" w:rsidRPr="00D337FA">
        <w:rPr>
          <w:szCs w:val="24"/>
        </w:rPr>
        <w:t xml:space="preserve"> </w:t>
      </w:r>
      <w:r w:rsidRPr="00D337FA">
        <w:rPr>
          <w:szCs w:val="24"/>
        </w:rPr>
        <w:t>базы,</w:t>
      </w:r>
      <w:r w:rsidR="006C680D" w:rsidRPr="00D337FA">
        <w:rPr>
          <w:szCs w:val="24"/>
        </w:rPr>
        <w:t xml:space="preserve"> </w:t>
      </w:r>
      <w:r w:rsidRPr="00D337FA">
        <w:rPr>
          <w:szCs w:val="24"/>
        </w:rPr>
        <w:t>на</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строится</w:t>
      </w:r>
      <w:r w:rsidR="006C680D" w:rsidRPr="00D337FA">
        <w:rPr>
          <w:szCs w:val="24"/>
        </w:rPr>
        <w:t xml:space="preserve"> </w:t>
      </w:r>
      <w:r w:rsidRPr="00D337FA">
        <w:rPr>
          <w:szCs w:val="24"/>
        </w:rPr>
        <w:t>вся</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формированию</w:t>
      </w:r>
      <w:r w:rsidR="006C680D" w:rsidRPr="00D337FA">
        <w:rPr>
          <w:szCs w:val="24"/>
        </w:rPr>
        <w:t xml:space="preserve"> </w:t>
      </w:r>
      <w:r w:rsidRPr="00D337FA">
        <w:rPr>
          <w:szCs w:val="24"/>
        </w:rPr>
        <w:t>единства</w:t>
      </w:r>
      <w:r w:rsidR="006C680D" w:rsidRPr="00D337FA">
        <w:rPr>
          <w:szCs w:val="24"/>
        </w:rPr>
        <w:t xml:space="preserve"> </w:t>
      </w:r>
      <w:r w:rsidRPr="00D337FA">
        <w:rPr>
          <w:szCs w:val="24"/>
        </w:rPr>
        <w:t>трактовок.</w:t>
      </w:r>
      <w:r w:rsidR="006C680D" w:rsidRPr="00D337FA">
        <w:rPr>
          <w:szCs w:val="24"/>
        </w:rPr>
        <w:t xml:space="preserve"> </w:t>
      </w:r>
      <w:r w:rsidRPr="00D337FA">
        <w:rPr>
          <w:szCs w:val="24"/>
        </w:rPr>
        <w:t>В</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должны</w:t>
      </w:r>
      <w:r w:rsidR="006C680D" w:rsidRPr="00D337FA">
        <w:rPr>
          <w:szCs w:val="24"/>
        </w:rPr>
        <w:t xml:space="preserve"> </w:t>
      </w:r>
      <w:r w:rsidRPr="00D337FA">
        <w:rPr>
          <w:szCs w:val="24"/>
        </w:rPr>
        <w:t>быть</w:t>
      </w:r>
      <w:r w:rsidR="006C680D" w:rsidRPr="00D337FA">
        <w:rPr>
          <w:szCs w:val="24"/>
        </w:rPr>
        <w:t xml:space="preserve"> </w:t>
      </w:r>
      <w:r w:rsidRPr="00D337FA">
        <w:rPr>
          <w:szCs w:val="24"/>
        </w:rPr>
        <w:t>четко</w:t>
      </w:r>
      <w:r w:rsidR="006C680D" w:rsidRPr="00D337FA">
        <w:rPr>
          <w:szCs w:val="24"/>
        </w:rPr>
        <w:t xml:space="preserve"> </w:t>
      </w:r>
      <w:r w:rsidRPr="00D337FA">
        <w:rPr>
          <w:szCs w:val="24"/>
        </w:rPr>
        <w:t>закреплены</w:t>
      </w:r>
      <w:r w:rsidR="006C680D" w:rsidRPr="00D337FA">
        <w:rPr>
          <w:szCs w:val="24"/>
        </w:rPr>
        <w:t xml:space="preserve"> </w:t>
      </w:r>
      <w:r w:rsidRPr="00D337FA">
        <w:rPr>
          <w:szCs w:val="24"/>
        </w:rPr>
        <w:t>такие</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как</w:t>
      </w:r>
      <w:r w:rsidR="006C680D" w:rsidRPr="00D337FA">
        <w:rPr>
          <w:szCs w:val="24"/>
        </w:rPr>
        <w:t xml:space="preserve"> </w:t>
      </w:r>
      <w:r w:rsidRPr="00D337FA">
        <w:rPr>
          <w:szCs w:val="24"/>
        </w:rPr>
        <w:t>инновации,</w:t>
      </w:r>
      <w:r w:rsidR="006C680D" w:rsidRPr="00D337FA">
        <w:rPr>
          <w:szCs w:val="24"/>
        </w:rPr>
        <w:t xml:space="preserve"> </w:t>
      </w:r>
      <w:r w:rsidRPr="00D337FA">
        <w:rPr>
          <w:szCs w:val="24"/>
        </w:rPr>
        <w:t>инновационный</w:t>
      </w:r>
      <w:r w:rsidR="006C680D" w:rsidRPr="00D337FA">
        <w:rPr>
          <w:szCs w:val="24"/>
        </w:rPr>
        <w:t xml:space="preserve"> </w:t>
      </w:r>
      <w:r w:rsidRPr="00D337FA">
        <w:rPr>
          <w:szCs w:val="24"/>
        </w:rPr>
        <w:t>процесс,</w:t>
      </w:r>
      <w:r w:rsidR="006C680D" w:rsidRPr="00D337FA">
        <w:rPr>
          <w:szCs w:val="24"/>
        </w:rPr>
        <w:t xml:space="preserve"> </w:t>
      </w:r>
      <w:r w:rsidRPr="00D337FA">
        <w:rPr>
          <w:szCs w:val="24"/>
        </w:rPr>
        <w:t>управление</w:t>
      </w:r>
      <w:r w:rsidR="006C680D" w:rsidRPr="00D337FA">
        <w:rPr>
          <w:szCs w:val="24"/>
        </w:rPr>
        <w:t xml:space="preserve"> </w:t>
      </w:r>
      <w:r w:rsidRPr="00D337FA">
        <w:rPr>
          <w:szCs w:val="24"/>
        </w:rPr>
        <w:t>инновациями</w:t>
      </w:r>
      <w:r w:rsidR="006C680D" w:rsidRPr="00D337FA">
        <w:rPr>
          <w:szCs w:val="24"/>
        </w:rPr>
        <w:t xml:space="preserve"> </w:t>
      </w:r>
      <w:r w:rsidRPr="00D337FA">
        <w:rPr>
          <w:szCs w:val="24"/>
        </w:rPr>
        <w:t>и</w:t>
      </w:r>
      <w:r w:rsidR="006C680D" w:rsidRPr="00D337FA">
        <w:rPr>
          <w:szCs w:val="24"/>
        </w:rPr>
        <w:t xml:space="preserve"> </w:t>
      </w:r>
      <w:r w:rsidRPr="00D337FA">
        <w:rPr>
          <w:szCs w:val="24"/>
        </w:rPr>
        <w:t>т.д.</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эти</w:t>
      </w:r>
      <w:r w:rsidR="006C680D" w:rsidRPr="00D337FA">
        <w:rPr>
          <w:szCs w:val="24"/>
        </w:rPr>
        <w:t xml:space="preserve"> </w:t>
      </w:r>
      <w:r w:rsidRPr="00D337FA">
        <w:rPr>
          <w:szCs w:val="24"/>
        </w:rPr>
        <w:t>понятия</w:t>
      </w:r>
      <w:r w:rsidR="006C680D" w:rsidRPr="00D337FA">
        <w:rPr>
          <w:szCs w:val="24"/>
        </w:rPr>
        <w:t xml:space="preserve"> </w:t>
      </w:r>
      <w:r w:rsidRPr="00D337FA">
        <w:rPr>
          <w:szCs w:val="24"/>
        </w:rPr>
        <w:t>содержат</w:t>
      </w:r>
      <w:r w:rsidR="006C680D" w:rsidRPr="00D337FA">
        <w:rPr>
          <w:szCs w:val="24"/>
        </w:rPr>
        <w:t xml:space="preserve"> </w:t>
      </w:r>
      <w:r w:rsidRPr="00D337FA">
        <w:rPr>
          <w:szCs w:val="24"/>
        </w:rPr>
        <w:t>признаки,</w:t>
      </w:r>
      <w:r w:rsidR="006C680D" w:rsidRPr="00D337FA">
        <w:rPr>
          <w:szCs w:val="24"/>
        </w:rPr>
        <w:t xml:space="preserve"> </w:t>
      </w:r>
      <w:r w:rsidRPr="00D337FA">
        <w:rPr>
          <w:szCs w:val="24"/>
        </w:rPr>
        <w:t>по</w:t>
      </w:r>
      <w:r w:rsidR="006C680D" w:rsidRPr="00D337FA">
        <w:rPr>
          <w:szCs w:val="24"/>
        </w:rPr>
        <w:t xml:space="preserve"> </w:t>
      </w:r>
      <w:r w:rsidRPr="00D337FA">
        <w:rPr>
          <w:szCs w:val="24"/>
        </w:rPr>
        <w:t>которым</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идентифицировать</w:t>
      </w:r>
      <w:r w:rsidR="006C680D" w:rsidRPr="00D337FA">
        <w:rPr>
          <w:szCs w:val="24"/>
        </w:rPr>
        <w:t xml:space="preserve"> </w:t>
      </w:r>
      <w:r w:rsidRPr="00D337FA">
        <w:rPr>
          <w:szCs w:val="24"/>
        </w:rPr>
        <w:t>элементы</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Большинство</w:t>
      </w:r>
      <w:r w:rsidR="006C680D" w:rsidRPr="00D337FA">
        <w:rPr>
          <w:szCs w:val="24"/>
        </w:rPr>
        <w:t xml:space="preserve"> </w:t>
      </w:r>
      <w:r w:rsidRPr="00D337FA">
        <w:rPr>
          <w:szCs w:val="24"/>
        </w:rPr>
        <w:t>понятий</w:t>
      </w:r>
      <w:r w:rsidR="006C680D" w:rsidRPr="00D337FA">
        <w:rPr>
          <w:szCs w:val="24"/>
        </w:rPr>
        <w:t xml:space="preserve"> </w:t>
      </w:r>
      <w:r w:rsidRPr="00D337FA">
        <w:rPr>
          <w:szCs w:val="24"/>
        </w:rPr>
        <w:t>с</w:t>
      </w:r>
      <w:r w:rsidR="006C680D" w:rsidRPr="00D337FA">
        <w:rPr>
          <w:szCs w:val="24"/>
        </w:rPr>
        <w:t xml:space="preserve"> </w:t>
      </w:r>
      <w:r w:rsidRPr="00D337FA">
        <w:rPr>
          <w:szCs w:val="24"/>
        </w:rPr>
        <w:t>точки</w:t>
      </w:r>
      <w:r w:rsidR="006C680D" w:rsidRPr="00D337FA">
        <w:rPr>
          <w:szCs w:val="24"/>
        </w:rPr>
        <w:t xml:space="preserve"> </w:t>
      </w:r>
      <w:r w:rsidRPr="00D337FA">
        <w:rPr>
          <w:szCs w:val="24"/>
        </w:rPr>
        <w:t>зрения</w:t>
      </w:r>
      <w:r w:rsidR="006C680D" w:rsidRPr="00D337FA">
        <w:rPr>
          <w:szCs w:val="24"/>
        </w:rPr>
        <w:t xml:space="preserve"> </w:t>
      </w:r>
      <w:r w:rsidRPr="00D337FA">
        <w:rPr>
          <w:szCs w:val="24"/>
        </w:rPr>
        <w:t>философии</w:t>
      </w:r>
      <w:r w:rsidR="006C680D" w:rsidRPr="00D337FA">
        <w:rPr>
          <w:szCs w:val="24"/>
        </w:rPr>
        <w:t xml:space="preserve"> </w:t>
      </w:r>
      <w:r w:rsidRPr="00D337FA">
        <w:rPr>
          <w:szCs w:val="24"/>
        </w:rPr>
        <w:t>науки</w:t>
      </w:r>
      <w:r w:rsidR="006C680D" w:rsidRPr="00D337FA">
        <w:rPr>
          <w:szCs w:val="24"/>
        </w:rPr>
        <w:t xml:space="preserve"> </w:t>
      </w:r>
      <w:r w:rsidRPr="00D337FA">
        <w:rPr>
          <w:szCs w:val="24"/>
        </w:rPr>
        <w:t>являются</w:t>
      </w:r>
      <w:r w:rsidR="006C680D" w:rsidRPr="00D337FA">
        <w:rPr>
          <w:szCs w:val="24"/>
        </w:rPr>
        <w:t xml:space="preserve"> </w:t>
      </w:r>
      <w:r w:rsidRPr="00D337FA">
        <w:rPr>
          <w:szCs w:val="24"/>
        </w:rPr>
        <w:t>не</w:t>
      </w:r>
      <w:r w:rsidR="006C680D" w:rsidRPr="00D337FA">
        <w:rPr>
          <w:szCs w:val="24"/>
        </w:rPr>
        <w:t xml:space="preserve"> </w:t>
      </w:r>
      <w:r w:rsidRPr="00D337FA">
        <w:rPr>
          <w:szCs w:val="24"/>
        </w:rPr>
        <w:t>универсальными</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«инновационный</w:t>
      </w:r>
      <w:r w:rsidR="006C680D" w:rsidRPr="00D337FA">
        <w:rPr>
          <w:szCs w:val="24"/>
        </w:rPr>
        <w:t xml:space="preserve"> </w:t>
      </w:r>
      <w:r w:rsidRPr="00D337FA">
        <w:rPr>
          <w:szCs w:val="24"/>
        </w:rPr>
        <w:t>процесс»</w:t>
      </w:r>
      <w:r w:rsidR="006C680D" w:rsidRPr="00D337FA">
        <w:rPr>
          <w:szCs w:val="24"/>
        </w:rPr>
        <w:t xml:space="preserve"> </w:t>
      </w:r>
      <w:r w:rsidRPr="00D337FA">
        <w:rPr>
          <w:szCs w:val="24"/>
        </w:rPr>
        <w:t>нельзя</w:t>
      </w:r>
      <w:r w:rsidR="006C680D" w:rsidRPr="00D337FA">
        <w:rPr>
          <w:szCs w:val="24"/>
        </w:rPr>
        <w:t xml:space="preserve"> </w:t>
      </w:r>
      <w:r w:rsidRPr="00D337FA">
        <w:rPr>
          <w:szCs w:val="24"/>
        </w:rPr>
        <w:t>оценить</w:t>
      </w:r>
      <w:r w:rsidR="006C680D" w:rsidRPr="00D337FA">
        <w:rPr>
          <w:szCs w:val="24"/>
        </w:rPr>
        <w:t xml:space="preserve"> </w:t>
      </w:r>
      <w:r w:rsidRPr="00D337FA">
        <w:rPr>
          <w:szCs w:val="24"/>
        </w:rPr>
        <w:t>как</w:t>
      </w:r>
      <w:r w:rsidR="006C680D" w:rsidRPr="00D337FA">
        <w:rPr>
          <w:szCs w:val="24"/>
        </w:rPr>
        <w:t xml:space="preserve"> </w:t>
      </w:r>
      <w:r w:rsidRPr="00D337FA">
        <w:rPr>
          <w:szCs w:val="24"/>
        </w:rPr>
        <w:t>универсальное,</w:t>
      </w:r>
      <w:r w:rsidR="006C680D" w:rsidRPr="00D337FA">
        <w:rPr>
          <w:szCs w:val="24"/>
        </w:rPr>
        <w:t xml:space="preserve"> </w:t>
      </w:r>
      <w:r w:rsidRPr="00D337FA">
        <w:rPr>
          <w:szCs w:val="24"/>
        </w:rPr>
        <w:t>так</w:t>
      </w:r>
      <w:r w:rsidR="006C680D" w:rsidRPr="00D337FA">
        <w:rPr>
          <w:szCs w:val="24"/>
        </w:rPr>
        <w:t xml:space="preserve"> </w:t>
      </w:r>
      <w:r w:rsidRPr="00D337FA">
        <w:rPr>
          <w:szCs w:val="24"/>
        </w:rPr>
        <w:t>как</w:t>
      </w:r>
      <w:r w:rsidR="006C680D" w:rsidRPr="00D337FA">
        <w:rPr>
          <w:szCs w:val="24"/>
        </w:rPr>
        <w:t xml:space="preserve"> </w:t>
      </w:r>
      <w:r w:rsidRPr="00D337FA">
        <w:rPr>
          <w:szCs w:val="24"/>
        </w:rPr>
        <w:t>не</w:t>
      </w:r>
      <w:r w:rsidR="006C680D" w:rsidRPr="00D337FA">
        <w:rPr>
          <w:szCs w:val="24"/>
        </w:rPr>
        <w:t xml:space="preserve"> </w:t>
      </w:r>
      <w:r w:rsidRPr="00D337FA">
        <w:rPr>
          <w:szCs w:val="24"/>
        </w:rPr>
        <w:t>все</w:t>
      </w:r>
      <w:r w:rsidR="006C680D" w:rsidRPr="00D337FA">
        <w:rPr>
          <w:szCs w:val="24"/>
        </w:rPr>
        <w:t xml:space="preserve"> </w:t>
      </w:r>
      <w:r w:rsidRPr="00D337FA">
        <w:rPr>
          <w:szCs w:val="24"/>
        </w:rPr>
        <w:t>процессы</w:t>
      </w:r>
      <w:r w:rsidR="006C680D" w:rsidRPr="00D337FA">
        <w:rPr>
          <w:szCs w:val="24"/>
        </w:rPr>
        <w:t xml:space="preserve"> </w:t>
      </w:r>
      <w:r w:rsidRPr="00D337FA">
        <w:rPr>
          <w:szCs w:val="24"/>
        </w:rPr>
        <w:t>создания</w:t>
      </w:r>
      <w:r w:rsidR="006C680D" w:rsidRPr="00D337FA">
        <w:rPr>
          <w:szCs w:val="24"/>
        </w:rPr>
        <w:t xml:space="preserve"> </w:t>
      </w:r>
      <w:r w:rsidRPr="00D337FA">
        <w:rPr>
          <w:szCs w:val="24"/>
        </w:rPr>
        <w:t>продукта</w:t>
      </w:r>
      <w:r w:rsidR="006C680D" w:rsidRPr="00D337FA">
        <w:rPr>
          <w:szCs w:val="24"/>
        </w:rPr>
        <w:t xml:space="preserve"> </w:t>
      </w:r>
      <w:r w:rsidRPr="00D337FA">
        <w:rPr>
          <w:szCs w:val="24"/>
        </w:rPr>
        <w:t>или</w:t>
      </w:r>
      <w:r w:rsidR="006C680D" w:rsidRPr="00D337FA">
        <w:rPr>
          <w:szCs w:val="24"/>
        </w:rPr>
        <w:t xml:space="preserve"> </w:t>
      </w:r>
      <w:r w:rsidRPr="00D337FA">
        <w:rPr>
          <w:szCs w:val="24"/>
        </w:rPr>
        <w:t>услуги</w:t>
      </w:r>
      <w:r w:rsidR="006C680D" w:rsidRPr="00D337FA">
        <w:rPr>
          <w:szCs w:val="24"/>
        </w:rPr>
        <w:t xml:space="preserve"> </w:t>
      </w:r>
      <w:r w:rsidRPr="00D337FA">
        <w:rPr>
          <w:szCs w:val="24"/>
        </w:rPr>
        <w:t>являются</w:t>
      </w:r>
      <w:r w:rsidR="006C680D" w:rsidRPr="00D337FA">
        <w:rPr>
          <w:szCs w:val="24"/>
        </w:rPr>
        <w:t xml:space="preserve"> </w:t>
      </w:r>
      <w:r w:rsidRPr="00D337FA">
        <w:rPr>
          <w:szCs w:val="24"/>
        </w:rPr>
        <w:t>инновационными),</w:t>
      </w:r>
      <w:r w:rsidR="006C680D" w:rsidRPr="00D337FA">
        <w:rPr>
          <w:szCs w:val="24"/>
        </w:rPr>
        <w:t xml:space="preserve"> </w:t>
      </w:r>
      <w:r w:rsidRPr="00D337FA">
        <w:rPr>
          <w:szCs w:val="24"/>
        </w:rPr>
        <w:t>но</w:t>
      </w:r>
      <w:r w:rsidR="006C680D" w:rsidRPr="00D337FA">
        <w:rPr>
          <w:szCs w:val="24"/>
        </w:rPr>
        <w:t xml:space="preserve"> </w:t>
      </w:r>
      <w:r w:rsidRPr="00D337FA">
        <w:rPr>
          <w:szCs w:val="24"/>
        </w:rPr>
        <w:t>есть</w:t>
      </w:r>
      <w:r w:rsidR="006C680D" w:rsidRPr="00D337FA">
        <w:rPr>
          <w:szCs w:val="24"/>
        </w:rPr>
        <w:t xml:space="preserve"> </w:t>
      </w:r>
      <w:r w:rsidRPr="00D337FA">
        <w:rPr>
          <w:szCs w:val="24"/>
        </w:rPr>
        <w:t>и</w:t>
      </w:r>
      <w:r w:rsidR="006C680D" w:rsidRPr="00D337FA">
        <w:rPr>
          <w:szCs w:val="24"/>
        </w:rPr>
        <w:t xml:space="preserve"> </w:t>
      </w:r>
      <w:r w:rsidRPr="00D337FA">
        <w:rPr>
          <w:szCs w:val="24"/>
        </w:rPr>
        <w:t>универсальные</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«управление</w:t>
      </w:r>
      <w:r w:rsidR="006C680D" w:rsidRPr="00D337FA">
        <w:rPr>
          <w:szCs w:val="24"/>
        </w:rPr>
        <w:t xml:space="preserve"> </w:t>
      </w:r>
      <w:r w:rsidRPr="00D337FA">
        <w:rPr>
          <w:szCs w:val="24"/>
        </w:rPr>
        <w:t>инновациями»</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оценить</w:t>
      </w:r>
      <w:r w:rsidR="006C680D" w:rsidRPr="00D337FA">
        <w:rPr>
          <w:szCs w:val="24"/>
        </w:rPr>
        <w:t xml:space="preserve"> </w:t>
      </w:r>
      <w:r w:rsidRPr="00D337FA">
        <w:rPr>
          <w:szCs w:val="24"/>
        </w:rPr>
        <w:t>как</w:t>
      </w:r>
      <w:r w:rsidR="006C680D" w:rsidRPr="00D337FA">
        <w:rPr>
          <w:szCs w:val="24"/>
        </w:rPr>
        <w:t xml:space="preserve"> </w:t>
      </w:r>
      <w:r w:rsidRPr="00D337FA">
        <w:rPr>
          <w:szCs w:val="24"/>
        </w:rPr>
        <w:t>универсальное,</w:t>
      </w:r>
      <w:r w:rsidR="006C680D" w:rsidRPr="00D337FA">
        <w:rPr>
          <w:szCs w:val="24"/>
        </w:rPr>
        <w:t xml:space="preserve"> </w:t>
      </w:r>
      <w:r w:rsidRPr="00D337FA">
        <w:rPr>
          <w:szCs w:val="24"/>
        </w:rPr>
        <w:t>так</w:t>
      </w:r>
      <w:r w:rsidR="006C680D" w:rsidRPr="00D337FA">
        <w:rPr>
          <w:szCs w:val="24"/>
        </w:rPr>
        <w:t xml:space="preserve"> </w:t>
      </w:r>
      <w:r w:rsidRPr="00D337FA">
        <w:rPr>
          <w:szCs w:val="24"/>
        </w:rPr>
        <w:t>как</w:t>
      </w:r>
      <w:r w:rsidR="006C680D" w:rsidRPr="00D337FA">
        <w:rPr>
          <w:szCs w:val="24"/>
        </w:rPr>
        <w:t xml:space="preserve"> </w:t>
      </w:r>
      <w:r w:rsidRPr="00D337FA">
        <w:rPr>
          <w:szCs w:val="24"/>
        </w:rPr>
        <w:t>любыми</w:t>
      </w:r>
      <w:r w:rsidR="006C680D" w:rsidRPr="00D337FA">
        <w:rPr>
          <w:szCs w:val="24"/>
        </w:rPr>
        <w:t xml:space="preserve"> </w:t>
      </w:r>
      <w:r w:rsidRPr="00D337FA">
        <w:rPr>
          <w:szCs w:val="24"/>
        </w:rPr>
        <w:t>инновациями</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и</w:t>
      </w:r>
      <w:r w:rsidR="006C680D" w:rsidRPr="00D337FA">
        <w:rPr>
          <w:szCs w:val="24"/>
        </w:rPr>
        <w:t xml:space="preserve"> </w:t>
      </w:r>
      <w:r w:rsidRPr="00D337FA">
        <w:rPr>
          <w:szCs w:val="24"/>
        </w:rPr>
        <w:t>нужно</w:t>
      </w:r>
      <w:r w:rsidR="006C680D" w:rsidRPr="00D337FA">
        <w:rPr>
          <w:szCs w:val="24"/>
        </w:rPr>
        <w:t xml:space="preserve"> </w:t>
      </w:r>
      <w:r w:rsidRPr="00D337FA">
        <w:rPr>
          <w:szCs w:val="24"/>
        </w:rPr>
        <w:t>управлять).</w:t>
      </w:r>
      <w:r w:rsidR="006C680D" w:rsidRPr="00D337FA">
        <w:rPr>
          <w:szCs w:val="24"/>
        </w:rPr>
        <w:t xml:space="preserve"> </w:t>
      </w:r>
      <w:r w:rsidRPr="00D337FA">
        <w:rPr>
          <w:szCs w:val="24"/>
        </w:rPr>
        <w:t>Но</w:t>
      </w:r>
      <w:r w:rsidR="006C680D" w:rsidRPr="00D337FA">
        <w:rPr>
          <w:szCs w:val="24"/>
        </w:rPr>
        <w:t xml:space="preserve"> </w:t>
      </w:r>
      <w:r w:rsidRPr="00D337FA">
        <w:rPr>
          <w:szCs w:val="24"/>
        </w:rPr>
        <w:t>если</w:t>
      </w:r>
      <w:r w:rsidR="006C680D" w:rsidRPr="00D337FA">
        <w:rPr>
          <w:szCs w:val="24"/>
        </w:rPr>
        <w:t xml:space="preserve"> </w:t>
      </w:r>
      <w:r w:rsidRPr="00D337FA">
        <w:rPr>
          <w:szCs w:val="24"/>
        </w:rPr>
        <w:t>рассматривать</w:t>
      </w:r>
      <w:r w:rsidR="006C680D" w:rsidRPr="00D337FA">
        <w:rPr>
          <w:szCs w:val="24"/>
        </w:rPr>
        <w:t xml:space="preserve"> </w:t>
      </w:r>
      <w:r w:rsidRPr="00D337FA">
        <w:rPr>
          <w:szCs w:val="24"/>
        </w:rPr>
        <w:t>их</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призму</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и</w:t>
      </w:r>
      <w:r w:rsidR="006C680D" w:rsidRPr="00D337FA">
        <w:rPr>
          <w:szCs w:val="24"/>
        </w:rPr>
        <w:t xml:space="preserve"> </w:t>
      </w:r>
      <w:r w:rsidRPr="00D337FA">
        <w:rPr>
          <w:szCs w:val="24"/>
        </w:rPr>
        <w:t>объекта,</w:t>
      </w:r>
      <w:r w:rsidR="006C680D" w:rsidRPr="00D337FA">
        <w:rPr>
          <w:szCs w:val="24"/>
        </w:rPr>
        <w:t xml:space="preserve"> </w:t>
      </w:r>
      <w:r w:rsidRPr="00D337FA">
        <w:rPr>
          <w:szCs w:val="24"/>
        </w:rPr>
        <w:t>то</w:t>
      </w:r>
      <w:r w:rsidR="006C680D" w:rsidRPr="00D337FA">
        <w:rPr>
          <w:szCs w:val="24"/>
        </w:rPr>
        <w:t xml:space="preserve"> </w:t>
      </w:r>
      <w:r w:rsidRPr="00D337FA">
        <w:rPr>
          <w:szCs w:val="24"/>
        </w:rPr>
        <w:t>часть</w:t>
      </w:r>
      <w:r w:rsidR="006C680D" w:rsidRPr="00D337FA">
        <w:rPr>
          <w:szCs w:val="24"/>
        </w:rPr>
        <w:t xml:space="preserve"> </w:t>
      </w:r>
      <w:r w:rsidRPr="00D337FA">
        <w:rPr>
          <w:szCs w:val="24"/>
        </w:rPr>
        <w:t>из</w:t>
      </w:r>
      <w:r w:rsidR="006C680D" w:rsidRPr="00D337FA">
        <w:rPr>
          <w:szCs w:val="24"/>
        </w:rPr>
        <w:t xml:space="preserve"> </w:t>
      </w:r>
      <w:r w:rsidRPr="00D337FA">
        <w:rPr>
          <w:szCs w:val="24"/>
        </w:rPr>
        <w:t>них</w:t>
      </w:r>
      <w:r w:rsidR="006C680D" w:rsidRPr="00D337FA">
        <w:rPr>
          <w:szCs w:val="24"/>
        </w:rPr>
        <w:t xml:space="preserve"> </w:t>
      </w:r>
      <w:r w:rsidRPr="00D337FA">
        <w:rPr>
          <w:szCs w:val="24"/>
        </w:rPr>
        <w:t>становятся</w:t>
      </w:r>
      <w:r w:rsidR="006C680D" w:rsidRPr="00D337FA">
        <w:rPr>
          <w:szCs w:val="24"/>
        </w:rPr>
        <w:t xml:space="preserve"> </w:t>
      </w:r>
      <w:r w:rsidRPr="00D337FA">
        <w:rPr>
          <w:szCs w:val="24"/>
        </w:rPr>
        <w:t>универсальными</w:t>
      </w:r>
      <w:r w:rsidR="006C680D" w:rsidRPr="00D337FA">
        <w:rPr>
          <w:szCs w:val="24"/>
        </w:rPr>
        <w:t xml:space="preserve"> </w:t>
      </w:r>
      <w:r w:rsidRPr="00D337FA">
        <w:rPr>
          <w:szCs w:val="24"/>
        </w:rPr>
        <w:t>для</w:t>
      </w:r>
      <w:r w:rsidR="006C680D" w:rsidRPr="00D337FA">
        <w:rPr>
          <w:szCs w:val="24"/>
        </w:rPr>
        <w:t xml:space="preserve"> </w:t>
      </w:r>
      <w:r w:rsidRPr="00D337FA">
        <w:rPr>
          <w:szCs w:val="24"/>
        </w:rPr>
        <w:t>данной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[12]</w:t>
      </w:r>
      <w:r w:rsidR="0002772A" w:rsidRPr="00D337FA">
        <w:rPr>
          <w:szCs w:val="24"/>
        </w:rPr>
        <w:t>.</w:t>
      </w:r>
    </w:p>
    <w:p w:rsidR="00C03F09" w:rsidRPr="00D337FA" w:rsidRDefault="00C03F09" w:rsidP="00C03F09">
      <w:pPr>
        <w:ind w:firstLine="142"/>
        <w:rPr>
          <w:szCs w:val="24"/>
        </w:rPr>
      </w:pPr>
      <w:r w:rsidRPr="00D337FA">
        <w:rPr>
          <w:szCs w:val="24"/>
        </w:rPr>
        <w:t>Переход</w:t>
      </w:r>
      <w:r w:rsidR="006C680D" w:rsidRPr="00D337FA">
        <w:rPr>
          <w:szCs w:val="24"/>
        </w:rPr>
        <w:t xml:space="preserve"> </w:t>
      </w:r>
      <w:r w:rsidRPr="00D337FA">
        <w:rPr>
          <w:szCs w:val="24"/>
        </w:rPr>
        <w:t>к</w:t>
      </w:r>
      <w:r w:rsidR="006C680D" w:rsidRPr="00D337FA">
        <w:rPr>
          <w:szCs w:val="24"/>
        </w:rPr>
        <w:t xml:space="preserve"> </w:t>
      </w:r>
      <w:r w:rsidRPr="00D337FA">
        <w:rPr>
          <w:szCs w:val="24"/>
        </w:rPr>
        <w:t>эмпирическому</w:t>
      </w:r>
      <w:r w:rsidR="006C680D" w:rsidRPr="00D337FA">
        <w:rPr>
          <w:szCs w:val="24"/>
        </w:rPr>
        <w:t xml:space="preserve"> </w:t>
      </w:r>
      <w:r w:rsidRPr="00D337FA">
        <w:rPr>
          <w:szCs w:val="24"/>
        </w:rPr>
        <w:t>уровню</w:t>
      </w:r>
      <w:r w:rsidR="006C680D" w:rsidRPr="00D337FA">
        <w:rPr>
          <w:szCs w:val="24"/>
        </w:rPr>
        <w:t xml:space="preserve"> </w:t>
      </w:r>
      <w:r w:rsidRPr="00D337FA">
        <w:rPr>
          <w:szCs w:val="24"/>
        </w:rPr>
        <w:t>сопровождается</w:t>
      </w:r>
      <w:r w:rsidR="006C680D" w:rsidRPr="00D337FA">
        <w:rPr>
          <w:szCs w:val="24"/>
        </w:rPr>
        <w:t xml:space="preserve"> </w:t>
      </w:r>
      <w:r w:rsidRPr="00D337FA">
        <w:rPr>
          <w:szCs w:val="24"/>
        </w:rPr>
        <w:t>влиянием</w:t>
      </w:r>
      <w:r w:rsidR="006C680D" w:rsidRPr="00D337FA">
        <w:rPr>
          <w:szCs w:val="24"/>
        </w:rPr>
        <w:t xml:space="preserve"> </w:t>
      </w:r>
      <w:r w:rsidRPr="00D337FA">
        <w:rPr>
          <w:szCs w:val="24"/>
        </w:rPr>
        <w:t>временной</w:t>
      </w:r>
      <w:r w:rsidR="006C680D" w:rsidRPr="00D337FA">
        <w:rPr>
          <w:szCs w:val="24"/>
        </w:rPr>
        <w:t xml:space="preserve"> </w:t>
      </w:r>
      <w:r w:rsidRPr="00D337FA">
        <w:rPr>
          <w:szCs w:val="24"/>
        </w:rPr>
        <w:t>структуры</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Временная</w:t>
      </w:r>
      <w:r w:rsidR="006C680D" w:rsidRPr="00D337FA">
        <w:rPr>
          <w:szCs w:val="24"/>
        </w:rPr>
        <w:t xml:space="preserve"> </w:t>
      </w:r>
      <w:r w:rsidRPr="00D337FA">
        <w:rPr>
          <w:szCs w:val="24"/>
        </w:rPr>
        <w:t>структура</w:t>
      </w:r>
      <w:r w:rsidR="006C680D" w:rsidRPr="00D337FA">
        <w:rPr>
          <w:szCs w:val="24"/>
        </w:rPr>
        <w:t xml:space="preserve"> </w:t>
      </w:r>
      <w:r w:rsidRPr="00D337FA">
        <w:rPr>
          <w:szCs w:val="24"/>
        </w:rPr>
        <w:t>формируется</w:t>
      </w:r>
      <w:r w:rsidR="006C680D" w:rsidRPr="00D337FA">
        <w:rPr>
          <w:szCs w:val="24"/>
        </w:rPr>
        <w:t xml:space="preserve"> </w:t>
      </w:r>
      <w:r w:rsidRPr="00D337FA">
        <w:rPr>
          <w:szCs w:val="24"/>
        </w:rPr>
        <w:t>набором</w:t>
      </w:r>
      <w:r w:rsidR="006C680D" w:rsidRPr="00D337FA">
        <w:rPr>
          <w:szCs w:val="24"/>
        </w:rPr>
        <w:t xml:space="preserve"> </w:t>
      </w:r>
      <w:r w:rsidRPr="00D337FA">
        <w:rPr>
          <w:szCs w:val="24"/>
        </w:rPr>
        <w:t>последовательных</w:t>
      </w:r>
      <w:r w:rsidR="006C680D" w:rsidRPr="00D337FA">
        <w:rPr>
          <w:szCs w:val="24"/>
        </w:rPr>
        <w:t xml:space="preserve"> </w:t>
      </w:r>
      <w:r w:rsidRPr="00D337FA">
        <w:rPr>
          <w:szCs w:val="24"/>
        </w:rPr>
        <w:t>этапов</w:t>
      </w:r>
      <w:r w:rsidR="006C680D" w:rsidRPr="00D337FA">
        <w:rPr>
          <w:szCs w:val="24"/>
        </w:rPr>
        <w:t xml:space="preserve"> </w:t>
      </w:r>
      <w:r w:rsidRPr="00D337FA">
        <w:rPr>
          <w:szCs w:val="24"/>
        </w:rPr>
        <w:t>или</w:t>
      </w:r>
      <w:r w:rsidR="006C680D" w:rsidRPr="00D337FA">
        <w:rPr>
          <w:szCs w:val="24"/>
        </w:rPr>
        <w:t xml:space="preserve"> </w:t>
      </w:r>
      <w:r w:rsidRPr="00D337FA">
        <w:rPr>
          <w:szCs w:val="24"/>
        </w:rPr>
        <w:t>стадий</w:t>
      </w:r>
      <w:r w:rsidR="006C680D" w:rsidRPr="00D337FA">
        <w:rPr>
          <w:szCs w:val="24"/>
        </w:rPr>
        <w:t xml:space="preserve"> </w:t>
      </w:r>
      <w:r w:rsidRPr="00D337FA">
        <w:rPr>
          <w:szCs w:val="24"/>
        </w:rPr>
        <w:t>и</w:t>
      </w:r>
      <w:r w:rsidR="006C680D" w:rsidRPr="00D337FA">
        <w:rPr>
          <w:szCs w:val="24"/>
        </w:rPr>
        <w:t xml:space="preserve"> </w:t>
      </w:r>
      <w:r w:rsidRPr="00D337FA">
        <w:rPr>
          <w:szCs w:val="24"/>
        </w:rPr>
        <w:t>должна</w:t>
      </w:r>
      <w:r w:rsidR="006C680D" w:rsidRPr="00D337FA">
        <w:rPr>
          <w:szCs w:val="24"/>
        </w:rPr>
        <w:t xml:space="preserve"> </w:t>
      </w:r>
      <w:r w:rsidRPr="00D337FA">
        <w:rPr>
          <w:szCs w:val="24"/>
        </w:rPr>
        <w:t>независимо</w:t>
      </w:r>
      <w:r w:rsidR="006C680D" w:rsidRPr="00D337FA">
        <w:rPr>
          <w:szCs w:val="24"/>
        </w:rPr>
        <w:t xml:space="preserve"> </w:t>
      </w:r>
      <w:r w:rsidRPr="00D337FA">
        <w:rPr>
          <w:szCs w:val="24"/>
        </w:rPr>
        <w:t>от</w:t>
      </w:r>
      <w:r w:rsidR="006C680D" w:rsidRPr="00D337FA">
        <w:rPr>
          <w:szCs w:val="24"/>
        </w:rPr>
        <w:t xml:space="preserve"> </w:t>
      </w:r>
      <w:r w:rsidRPr="00D337FA">
        <w:rPr>
          <w:szCs w:val="24"/>
        </w:rPr>
        <w:t>выбранного</w:t>
      </w:r>
      <w:r w:rsidR="006C680D" w:rsidRPr="00D337FA">
        <w:rPr>
          <w:szCs w:val="24"/>
        </w:rPr>
        <w:t xml:space="preserve"> </w:t>
      </w:r>
      <w:r w:rsidRPr="00D337FA">
        <w:rPr>
          <w:szCs w:val="24"/>
        </w:rPr>
        <w:t>объекта</w:t>
      </w:r>
      <w:r w:rsidR="006C680D" w:rsidRPr="00D337FA">
        <w:rPr>
          <w:szCs w:val="24"/>
        </w:rPr>
        <w:t xml:space="preserve"> </w:t>
      </w:r>
      <w:r w:rsidRPr="00D337FA">
        <w:rPr>
          <w:szCs w:val="24"/>
        </w:rPr>
        <w:t>быть</w:t>
      </w:r>
      <w:r w:rsidR="006C680D" w:rsidRPr="00D337FA">
        <w:rPr>
          <w:szCs w:val="24"/>
        </w:rPr>
        <w:t xml:space="preserve"> </w:t>
      </w:r>
      <w:r w:rsidRPr="00D337FA">
        <w:rPr>
          <w:szCs w:val="24"/>
        </w:rPr>
        <w:t>универсальной,</w:t>
      </w:r>
      <w:r w:rsidR="006C680D" w:rsidRPr="00D337FA">
        <w:rPr>
          <w:szCs w:val="24"/>
        </w:rPr>
        <w:t xml:space="preserve"> </w:t>
      </w:r>
      <w:r w:rsidRPr="00D337FA">
        <w:rPr>
          <w:szCs w:val="24"/>
        </w:rPr>
        <w:t>то</w:t>
      </w:r>
      <w:r w:rsidR="006C680D" w:rsidRPr="00D337FA">
        <w:rPr>
          <w:szCs w:val="24"/>
        </w:rPr>
        <w:t xml:space="preserve"> </w:t>
      </w:r>
      <w:r w:rsidRPr="00D337FA">
        <w:rPr>
          <w:szCs w:val="24"/>
        </w:rPr>
        <w:t>есть</w:t>
      </w:r>
      <w:r w:rsidR="006C680D" w:rsidRPr="00D337FA">
        <w:rPr>
          <w:szCs w:val="24"/>
        </w:rPr>
        <w:t xml:space="preserve"> </w:t>
      </w:r>
      <w:r w:rsidRPr="00D337FA">
        <w:rPr>
          <w:szCs w:val="24"/>
        </w:rPr>
        <w:t>состоять</w:t>
      </w:r>
      <w:r w:rsidR="006C680D" w:rsidRPr="00D337FA">
        <w:rPr>
          <w:szCs w:val="24"/>
        </w:rPr>
        <w:t xml:space="preserve"> </w:t>
      </w:r>
      <w:r w:rsidRPr="00D337FA">
        <w:rPr>
          <w:szCs w:val="24"/>
        </w:rPr>
        <w:t>из</w:t>
      </w:r>
      <w:r w:rsidR="006C680D" w:rsidRPr="00D337FA">
        <w:rPr>
          <w:szCs w:val="24"/>
        </w:rPr>
        <w:t xml:space="preserve"> </w:t>
      </w:r>
      <w:r w:rsidRPr="00D337FA">
        <w:rPr>
          <w:szCs w:val="24"/>
        </w:rPr>
        <w:t>трех</w:t>
      </w:r>
      <w:r w:rsidR="006C680D" w:rsidRPr="00D337FA">
        <w:rPr>
          <w:szCs w:val="24"/>
        </w:rPr>
        <w:t xml:space="preserve"> </w:t>
      </w:r>
      <w:r w:rsidRPr="00D337FA">
        <w:rPr>
          <w:szCs w:val="24"/>
        </w:rPr>
        <w:t>этапов:</w:t>
      </w:r>
      <w:r w:rsidR="006C680D" w:rsidRPr="00D337FA">
        <w:rPr>
          <w:szCs w:val="24"/>
        </w:rPr>
        <w:t xml:space="preserve"> </w:t>
      </w:r>
      <w:r w:rsidRPr="00D337FA">
        <w:rPr>
          <w:szCs w:val="24"/>
        </w:rPr>
        <w:t>фаза</w:t>
      </w:r>
      <w:r w:rsidR="006C680D" w:rsidRPr="00D337FA">
        <w:rPr>
          <w:szCs w:val="24"/>
        </w:rPr>
        <w:t xml:space="preserve"> </w:t>
      </w:r>
      <w:r w:rsidRPr="00D337FA">
        <w:rPr>
          <w:szCs w:val="24"/>
        </w:rPr>
        <w:t>проектирования</w:t>
      </w:r>
      <w:r w:rsidR="006C680D" w:rsidRPr="00D337FA">
        <w:rPr>
          <w:szCs w:val="24"/>
        </w:rPr>
        <w:t xml:space="preserve"> </w:t>
      </w:r>
      <w:r w:rsidRPr="00D337FA">
        <w:rPr>
          <w:szCs w:val="24"/>
        </w:rPr>
        <w:t>(разработка</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и</w:t>
      </w:r>
      <w:r w:rsidR="006C680D" w:rsidRPr="00D337FA">
        <w:rPr>
          <w:szCs w:val="24"/>
        </w:rPr>
        <w:t xml:space="preserve"> </w:t>
      </w:r>
      <w:r w:rsidRPr="00D337FA">
        <w:rPr>
          <w:szCs w:val="24"/>
        </w:rPr>
        <w:t>плана</w:t>
      </w:r>
      <w:r w:rsidR="006C680D" w:rsidRPr="00D337FA">
        <w:rPr>
          <w:szCs w:val="24"/>
        </w:rPr>
        <w:t xml:space="preserve"> </w:t>
      </w:r>
      <w:r w:rsidRPr="00D337FA">
        <w:rPr>
          <w:szCs w:val="24"/>
        </w:rPr>
        <w:t>действий),</w:t>
      </w:r>
      <w:r w:rsidR="006C680D" w:rsidRPr="00D337FA">
        <w:rPr>
          <w:szCs w:val="24"/>
        </w:rPr>
        <w:t xml:space="preserve"> </w:t>
      </w:r>
      <w:r w:rsidRPr="00D337FA">
        <w:rPr>
          <w:szCs w:val="24"/>
        </w:rPr>
        <w:t>технологическая</w:t>
      </w:r>
      <w:r w:rsidR="006C680D" w:rsidRPr="00D337FA">
        <w:rPr>
          <w:szCs w:val="24"/>
        </w:rPr>
        <w:t xml:space="preserve"> </w:t>
      </w:r>
      <w:r w:rsidRPr="00D337FA">
        <w:rPr>
          <w:szCs w:val="24"/>
        </w:rPr>
        <w:t>фаза</w:t>
      </w:r>
      <w:r w:rsidR="006C680D" w:rsidRPr="00D337FA">
        <w:rPr>
          <w:szCs w:val="24"/>
        </w:rPr>
        <w:t xml:space="preserve"> </w:t>
      </w:r>
      <w:r w:rsidRPr="00D337FA">
        <w:rPr>
          <w:szCs w:val="24"/>
        </w:rPr>
        <w:t>(реализация),</w:t>
      </w:r>
      <w:r w:rsidR="006C680D" w:rsidRPr="00D337FA">
        <w:rPr>
          <w:szCs w:val="24"/>
        </w:rPr>
        <w:t xml:space="preserve"> </w:t>
      </w:r>
      <w:r w:rsidRPr="00D337FA">
        <w:rPr>
          <w:szCs w:val="24"/>
        </w:rPr>
        <w:t>рефлексивная</w:t>
      </w:r>
      <w:r w:rsidR="006C680D" w:rsidRPr="00D337FA">
        <w:rPr>
          <w:szCs w:val="24"/>
        </w:rPr>
        <w:t xml:space="preserve"> </w:t>
      </w:r>
      <w:r w:rsidRPr="00D337FA">
        <w:rPr>
          <w:szCs w:val="24"/>
        </w:rPr>
        <w:t>фаза</w:t>
      </w:r>
      <w:r w:rsidR="006C680D" w:rsidRPr="00D337FA">
        <w:rPr>
          <w:szCs w:val="24"/>
        </w:rPr>
        <w:t xml:space="preserve"> </w:t>
      </w:r>
      <w:r w:rsidRPr="00D337FA">
        <w:rPr>
          <w:szCs w:val="24"/>
        </w:rPr>
        <w:t>(оценка</w:t>
      </w:r>
      <w:r w:rsidR="006C680D" w:rsidRPr="00D337FA">
        <w:rPr>
          <w:szCs w:val="24"/>
        </w:rPr>
        <w:t xml:space="preserve"> </w:t>
      </w:r>
      <w:r w:rsidRPr="00D337FA">
        <w:rPr>
          <w:szCs w:val="24"/>
        </w:rPr>
        <w:t>состояния</w:t>
      </w:r>
      <w:r w:rsidR="006C680D" w:rsidRPr="00D337FA">
        <w:rPr>
          <w:szCs w:val="24"/>
        </w:rPr>
        <w:t xml:space="preserve"> </w:t>
      </w:r>
      <w:r w:rsidRPr="00D337FA">
        <w:rPr>
          <w:szCs w:val="24"/>
        </w:rPr>
        <w:t>и</w:t>
      </w:r>
      <w:r w:rsidR="006C680D" w:rsidRPr="00D337FA">
        <w:rPr>
          <w:szCs w:val="24"/>
        </w:rPr>
        <w:t xml:space="preserve"> </w:t>
      </w:r>
      <w:r w:rsidRPr="00D337FA">
        <w:rPr>
          <w:szCs w:val="24"/>
        </w:rPr>
        <w:t>при</w:t>
      </w:r>
      <w:r w:rsidR="006C680D" w:rsidRPr="00D337FA">
        <w:rPr>
          <w:szCs w:val="24"/>
        </w:rPr>
        <w:t xml:space="preserve"> </w:t>
      </w:r>
      <w:r w:rsidRPr="00D337FA">
        <w:rPr>
          <w:szCs w:val="24"/>
        </w:rPr>
        <w:t>необходимости</w:t>
      </w:r>
      <w:r w:rsidR="006C680D" w:rsidRPr="00D337FA">
        <w:rPr>
          <w:szCs w:val="24"/>
        </w:rPr>
        <w:t xml:space="preserve"> </w:t>
      </w:r>
      <w:r w:rsidRPr="00D337FA">
        <w:rPr>
          <w:szCs w:val="24"/>
        </w:rPr>
        <w:t>осуществление</w:t>
      </w:r>
      <w:r w:rsidR="006C680D" w:rsidRPr="00D337FA">
        <w:rPr>
          <w:szCs w:val="24"/>
        </w:rPr>
        <w:t xml:space="preserve"> </w:t>
      </w:r>
      <w:r w:rsidRPr="00D337FA">
        <w:rPr>
          <w:szCs w:val="24"/>
        </w:rPr>
        <w:t>кор</w:t>
      </w:r>
      <w:r w:rsidRPr="00D337FA">
        <w:rPr>
          <w:szCs w:val="24"/>
        </w:rPr>
        <w:lastRenderedPageBreak/>
        <w:t>ректирующих</w:t>
      </w:r>
      <w:r w:rsidR="006C680D" w:rsidRPr="00D337FA">
        <w:rPr>
          <w:szCs w:val="24"/>
        </w:rPr>
        <w:t xml:space="preserve"> </w:t>
      </w:r>
      <w:r w:rsidRPr="00D337FA">
        <w:rPr>
          <w:szCs w:val="24"/>
        </w:rPr>
        <w:t>действия)</w:t>
      </w:r>
      <w:r w:rsidR="006C680D" w:rsidRPr="00D337FA">
        <w:rPr>
          <w:szCs w:val="24"/>
        </w:rPr>
        <w:t xml:space="preserve"> </w:t>
      </w:r>
      <w:r w:rsidRPr="00D337FA">
        <w:rPr>
          <w:szCs w:val="24"/>
        </w:rPr>
        <w:t>[16]</w:t>
      </w:r>
      <w:r w:rsidR="0002772A" w:rsidRPr="00D337FA">
        <w:rPr>
          <w:szCs w:val="24"/>
        </w:rPr>
        <w:t>.</w:t>
      </w:r>
      <w:r w:rsidR="006C680D" w:rsidRPr="00D337FA">
        <w:rPr>
          <w:szCs w:val="24"/>
        </w:rPr>
        <w:t xml:space="preserve"> </w:t>
      </w:r>
      <w:r w:rsidRPr="00D337FA">
        <w:rPr>
          <w:szCs w:val="24"/>
        </w:rPr>
        <w:t>С</w:t>
      </w:r>
      <w:r w:rsidR="006C680D" w:rsidRPr="00D337FA">
        <w:rPr>
          <w:szCs w:val="24"/>
        </w:rPr>
        <w:t xml:space="preserve"> </w:t>
      </w:r>
      <w:r w:rsidRPr="00D337FA">
        <w:rPr>
          <w:szCs w:val="24"/>
        </w:rPr>
        <w:t>учетом</w:t>
      </w:r>
      <w:r w:rsidR="006C680D" w:rsidRPr="00D337FA">
        <w:rPr>
          <w:szCs w:val="24"/>
        </w:rPr>
        <w:t xml:space="preserve"> </w:t>
      </w:r>
      <w:r w:rsidRPr="00D337FA">
        <w:rPr>
          <w:szCs w:val="24"/>
        </w:rPr>
        <w:t>того,</w:t>
      </w:r>
      <w:r w:rsidR="006C680D" w:rsidRPr="00D337FA">
        <w:rPr>
          <w:szCs w:val="24"/>
        </w:rPr>
        <w:t xml:space="preserve"> </w:t>
      </w:r>
      <w:r w:rsidRPr="00D337FA">
        <w:rPr>
          <w:szCs w:val="24"/>
        </w:rPr>
        <w:t>что</w:t>
      </w:r>
      <w:r w:rsidR="006C680D" w:rsidRPr="00D337FA">
        <w:rPr>
          <w:szCs w:val="24"/>
        </w:rPr>
        <w:t xml:space="preserve"> </w:t>
      </w:r>
      <w:r w:rsidRPr="00D337FA">
        <w:rPr>
          <w:szCs w:val="24"/>
        </w:rPr>
        <w:t>предлагается</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то</w:t>
      </w:r>
      <w:r w:rsidR="006C680D" w:rsidRPr="00D337FA">
        <w:rPr>
          <w:szCs w:val="24"/>
        </w:rPr>
        <w:t xml:space="preserve"> </w:t>
      </w:r>
      <w:r w:rsidRPr="00D337FA">
        <w:rPr>
          <w:szCs w:val="24"/>
        </w:rPr>
        <w:t>полностью</w:t>
      </w:r>
      <w:r w:rsidR="006C680D" w:rsidRPr="00D337FA">
        <w:rPr>
          <w:szCs w:val="24"/>
        </w:rPr>
        <w:t xml:space="preserve"> </w:t>
      </w:r>
      <w:r w:rsidRPr="00D337FA">
        <w:rPr>
          <w:szCs w:val="24"/>
        </w:rPr>
        <w:t>соответствует</w:t>
      </w:r>
      <w:r w:rsidR="006C680D" w:rsidRPr="00D337FA">
        <w:rPr>
          <w:szCs w:val="24"/>
        </w:rPr>
        <w:t xml:space="preserve"> </w:t>
      </w:r>
      <w:r w:rsidRPr="00D337FA">
        <w:rPr>
          <w:szCs w:val="24"/>
        </w:rPr>
        <w:t>этим</w:t>
      </w:r>
      <w:r w:rsidR="006C680D" w:rsidRPr="00D337FA">
        <w:rPr>
          <w:szCs w:val="24"/>
        </w:rPr>
        <w:t xml:space="preserve"> </w:t>
      </w:r>
      <w:r w:rsidRPr="00D337FA">
        <w:rPr>
          <w:szCs w:val="24"/>
        </w:rPr>
        <w:t>этапам,</w:t>
      </w:r>
      <w:r w:rsidR="006C680D" w:rsidRPr="00D337FA">
        <w:rPr>
          <w:szCs w:val="24"/>
        </w:rPr>
        <w:t xml:space="preserve"> </w:t>
      </w:r>
      <w:r w:rsidRPr="00D337FA">
        <w:rPr>
          <w:szCs w:val="24"/>
        </w:rPr>
        <w:t>а</w:t>
      </w:r>
      <w:r w:rsidR="006C680D" w:rsidRPr="00D337FA">
        <w:rPr>
          <w:szCs w:val="24"/>
        </w:rPr>
        <w:t xml:space="preserve"> </w:t>
      </w:r>
      <w:r w:rsidRPr="00D337FA">
        <w:rPr>
          <w:szCs w:val="24"/>
        </w:rPr>
        <w:t>соответственно</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быть</w:t>
      </w:r>
      <w:r w:rsidR="006C680D" w:rsidRPr="00D337FA">
        <w:rPr>
          <w:szCs w:val="24"/>
        </w:rPr>
        <w:t xml:space="preserve"> </w:t>
      </w:r>
      <w:r w:rsidRPr="00D337FA">
        <w:rPr>
          <w:szCs w:val="24"/>
        </w:rPr>
        <w:t>использован</w:t>
      </w:r>
      <w:r w:rsidR="006C680D" w:rsidRPr="00D337FA">
        <w:rPr>
          <w:szCs w:val="24"/>
        </w:rPr>
        <w:t xml:space="preserve"> </w:t>
      </w:r>
      <w:r w:rsidRPr="00D337FA">
        <w:rPr>
          <w:szCs w:val="24"/>
        </w:rPr>
        <w:t>в</w:t>
      </w:r>
      <w:r w:rsidR="006C680D" w:rsidRPr="00D337FA">
        <w:rPr>
          <w:szCs w:val="24"/>
        </w:rPr>
        <w:t xml:space="preserve"> </w:t>
      </w:r>
      <w:r w:rsidRPr="00D337FA">
        <w:rPr>
          <w:szCs w:val="24"/>
        </w:rPr>
        <w:t>качестве</w:t>
      </w:r>
      <w:r w:rsidR="006C680D" w:rsidRPr="00D337FA">
        <w:rPr>
          <w:szCs w:val="24"/>
        </w:rPr>
        <w:t xml:space="preserve"> </w:t>
      </w:r>
      <w:r w:rsidRPr="00D337FA">
        <w:rPr>
          <w:szCs w:val="24"/>
        </w:rPr>
        <w:t>временной</w:t>
      </w:r>
      <w:r w:rsidR="006C680D" w:rsidRPr="00D337FA">
        <w:rPr>
          <w:szCs w:val="24"/>
        </w:rPr>
        <w:t xml:space="preserve"> </w:t>
      </w:r>
      <w:r w:rsidRPr="00D337FA">
        <w:rPr>
          <w:szCs w:val="24"/>
        </w:rPr>
        <w:t>структуры,</w:t>
      </w:r>
      <w:r w:rsidR="006C680D" w:rsidRPr="00D337FA">
        <w:rPr>
          <w:szCs w:val="24"/>
        </w:rPr>
        <w:t xml:space="preserve"> </w:t>
      </w:r>
      <w:r w:rsidRPr="00D337FA">
        <w:rPr>
          <w:szCs w:val="24"/>
        </w:rPr>
        <w:t>такой</w:t>
      </w:r>
      <w:r w:rsidR="006C680D" w:rsidRPr="00D337FA">
        <w:rPr>
          <w:szCs w:val="24"/>
        </w:rPr>
        <w:t xml:space="preserve"> </w:t>
      </w:r>
      <w:r w:rsidRPr="00D337FA">
        <w:rPr>
          <w:szCs w:val="24"/>
        </w:rPr>
        <w:t>инструмент</w:t>
      </w:r>
      <w:r w:rsidR="006C680D" w:rsidRPr="00D337FA">
        <w:rPr>
          <w:szCs w:val="24"/>
        </w:rPr>
        <w:t xml:space="preserve"> </w:t>
      </w:r>
      <w:r w:rsidRPr="00D337FA">
        <w:rPr>
          <w:szCs w:val="24"/>
        </w:rPr>
        <w:t>как</w:t>
      </w:r>
      <w:r w:rsidR="006C680D" w:rsidRPr="00D337FA">
        <w:rPr>
          <w:szCs w:val="24"/>
        </w:rPr>
        <w:t xml:space="preserve"> </w:t>
      </w:r>
      <w:r w:rsidRPr="00D337FA">
        <w:rPr>
          <w:szCs w:val="24"/>
        </w:rPr>
        <w:t>цикл</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(контур</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В</w:t>
      </w:r>
      <w:r w:rsidR="006C680D" w:rsidRPr="00D337FA">
        <w:rPr>
          <w:szCs w:val="24"/>
        </w:rPr>
        <w:t xml:space="preserve"> </w:t>
      </w:r>
      <w:r w:rsidRPr="00D337FA">
        <w:rPr>
          <w:szCs w:val="24"/>
        </w:rPr>
        <w:t>классическом</w:t>
      </w:r>
      <w:r w:rsidR="006C680D" w:rsidRPr="00D337FA">
        <w:rPr>
          <w:szCs w:val="24"/>
        </w:rPr>
        <w:t xml:space="preserve"> </w:t>
      </w:r>
      <w:r w:rsidRPr="00D337FA">
        <w:rPr>
          <w:szCs w:val="24"/>
        </w:rPr>
        <w:t>варианте</w:t>
      </w:r>
      <w:r w:rsidR="006C680D" w:rsidRPr="00D337FA">
        <w:rPr>
          <w:szCs w:val="24"/>
        </w:rPr>
        <w:t xml:space="preserve"> </w:t>
      </w:r>
      <w:r w:rsidRPr="00D337FA">
        <w:rPr>
          <w:szCs w:val="24"/>
        </w:rPr>
        <w:t>он</w:t>
      </w:r>
      <w:r w:rsidR="006C680D" w:rsidRPr="00D337FA">
        <w:rPr>
          <w:szCs w:val="24"/>
        </w:rPr>
        <w:t xml:space="preserve"> </w:t>
      </w:r>
      <w:r w:rsidRPr="00D337FA">
        <w:rPr>
          <w:szCs w:val="24"/>
        </w:rPr>
        <w:t>включает</w:t>
      </w:r>
      <w:r w:rsidR="006C680D" w:rsidRPr="00D337FA">
        <w:rPr>
          <w:szCs w:val="24"/>
        </w:rPr>
        <w:t xml:space="preserve"> </w:t>
      </w:r>
      <w:r w:rsidRPr="00D337FA">
        <w:rPr>
          <w:szCs w:val="24"/>
        </w:rPr>
        <w:t>4</w:t>
      </w:r>
      <w:r w:rsidR="006C680D" w:rsidRPr="00D337FA">
        <w:rPr>
          <w:szCs w:val="24"/>
        </w:rPr>
        <w:t xml:space="preserve"> </w:t>
      </w:r>
      <w:r w:rsidRPr="00D337FA">
        <w:rPr>
          <w:szCs w:val="24"/>
        </w:rPr>
        <w:t>фазы:</w:t>
      </w:r>
      <w:r w:rsidR="006C680D" w:rsidRPr="00D337FA">
        <w:rPr>
          <w:szCs w:val="24"/>
        </w:rPr>
        <w:t xml:space="preserve"> </w:t>
      </w:r>
      <w:r w:rsidRPr="00D337FA">
        <w:rPr>
          <w:szCs w:val="24"/>
        </w:rPr>
        <w:t>планирование</w:t>
      </w:r>
      <w:r w:rsidR="006C680D" w:rsidRPr="00D337FA">
        <w:rPr>
          <w:szCs w:val="24"/>
        </w:rPr>
        <w:t xml:space="preserve"> </w:t>
      </w:r>
      <w:r w:rsidRPr="00D337FA">
        <w:rPr>
          <w:szCs w:val="24"/>
        </w:rPr>
        <w:t>(</w:t>
      </w:r>
      <w:r w:rsidRPr="00D337FA">
        <w:rPr>
          <w:szCs w:val="24"/>
          <w:lang w:val="en-US"/>
        </w:rPr>
        <w:t>plan</w:t>
      </w:r>
      <w:r w:rsidRPr="00D337FA">
        <w:rPr>
          <w:szCs w:val="24"/>
        </w:rPr>
        <w:t>),</w:t>
      </w:r>
      <w:r w:rsidR="006C680D" w:rsidRPr="00D337FA">
        <w:rPr>
          <w:szCs w:val="24"/>
        </w:rPr>
        <w:t xml:space="preserve"> </w:t>
      </w:r>
      <w:r w:rsidRPr="00D337FA">
        <w:rPr>
          <w:szCs w:val="24"/>
        </w:rPr>
        <w:t>исполнение(</w:t>
      </w:r>
      <w:r w:rsidRPr="00D337FA">
        <w:rPr>
          <w:szCs w:val="24"/>
          <w:lang w:val="en-US"/>
        </w:rPr>
        <w:t>do</w:t>
      </w:r>
      <w:r w:rsidRPr="00D337FA">
        <w:rPr>
          <w:szCs w:val="24"/>
        </w:rPr>
        <w:t>),</w:t>
      </w:r>
      <w:r w:rsidR="006C680D" w:rsidRPr="00D337FA">
        <w:rPr>
          <w:szCs w:val="24"/>
        </w:rPr>
        <w:t xml:space="preserve"> </w:t>
      </w:r>
      <w:r w:rsidRPr="00D337FA">
        <w:rPr>
          <w:szCs w:val="24"/>
        </w:rPr>
        <w:t>проверка</w:t>
      </w:r>
      <w:r w:rsidR="006C680D" w:rsidRPr="00D337FA">
        <w:rPr>
          <w:szCs w:val="24"/>
        </w:rPr>
        <w:t xml:space="preserve"> </w:t>
      </w:r>
      <w:r w:rsidRPr="00D337FA">
        <w:rPr>
          <w:szCs w:val="24"/>
        </w:rPr>
        <w:t>(</w:t>
      </w:r>
      <w:r w:rsidRPr="00D337FA">
        <w:rPr>
          <w:szCs w:val="24"/>
          <w:lang w:val="en-US"/>
        </w:rPr>
        <w:t>check</w:t>
      </w:r>
      <w:r w:rsidRPr="00D337FA">
        <w:rPr>
          <w:szCs w:val="24"/>
        </w:rPr>
        <w:t>),</w:t>
      </w:r>
      <w:r w:rsidR="006C680D" w:rsidRPr="00D337FA">
        <w:rPr>
          <w:szCs w:val="24"/>
        </w:rPr>
        <w:t xml:space="preserve"> </w:t>
      </w:r>
      <w:r w:rsidRPr="00D337FA">
        <w:rPr>
          <w:szCs w:val="24"/>
        </w:rPr>
        <w:t>действие</w:t>
      </w:r>
      <w:r w:rsidR="006C680D" w:rsidRPr="00D337FA">
        <w:rPr>
          <w:szCs w:val="24"/>
        </w:rPr>
        <w:t xml:space="preserve"> </w:t>
      </w:r>
      <w:r w:rsidRPr="00D337FA">
        <w:rPr>
          <w:szCs w:val="24"/>
        </w:rPr>
        <w:t>(</w:t>
      </w:r>
      <w:r w:rsidRPr="00D337FA">
        <w:rPr>
          <w:szCs w:val="24"/>
          <w:lang w:val="en-US"/>
        </w:rPr>
        <w:t>Act</w:t>
      </w:r>
      <w:r w:rsidRPr="00D337FA">
        <w:rPr>
          <w:szCs w:val="24"/>
        </w:rPr>
        <w:t>).</w:t>
      </w:r>
      <w:r w:rsidR="006C680D" w:rsidRPr="00D337FA">
        <w:rPr>
          <w:szCs w:val="24"/>
        </w:rPr>
        <w:t xml:space="preserve"> </w:t>
      </w:r>
      <w:r w:rsidRPr="00D337FA">
        <w:rPr>
          <w:szCs w:val="24"/>
        </w:rPr>
        <w:t>То</w:t>
      </w:r>
      <w:r w:rsidR="006C680D" w:rsidRPr="00D337FA">
        <w:rPr>
          <w:szCs w:val="24"/>
        </w:rPr>
        <w:t xml:space="preserve"> </w:t>
      </w:r>
      <w:r w:rsidRPr="00D337FA">
        <w:rPr>
          <w:szCs w:val="24"/>
        </w:rPr>
        <w:t>есть</w:t>
      </w:r>
      <w:r w:rsidR="006C680D" w:rsidRPr="00D337FA">
        <w:rPr>
          <w:szCs w:val="24"/>
        </w:rPr>
        <w:t xml:space="preserve"> </w:t>
      </w:r>
      <w:r w:rsidRPr="00D337FA">
        <w:rPr>
          <w:szCs w:val="24"/>
        </w:rPr>
        <w:t>алгоритм</w:t>
      </w:r>
      <w:r w:rsidR="006C680D" w:rsidRPr="00D337FA">
        <w:rPr>
          <w:szCs w:val="24"/>
        </w:rPr>
        <w:t xml:space="preserve"> </w:t>
      </w:r>
      <w:r w:rsidRPr="00D337FA">
        <w:rPr>
          <w:szCs w:val="24"/>
        </w:rPr>
        <w:t>цикла</w:t>
      </w:r>
      <w:r w:rsidR="006C680D" w:rsidRPr="00D337FA">
        <w:rPr>
          <w:szCs w:val="24"/>
        </w:rPr>
        <w:t xml:space="preserve"> </w:t>
      </w:r>
      <w:r w:rsidRPr="00D337FA">
        <w:rPr>
          <w:szCs w:val="24"/>
          <w:lang w:val="en-US"/>
        </w:rPr>
        <w:t>PDCA</w:t>
      </w:r>
      <w:r w:rsidR="006C680D" w:rsidRPr="00D337FA">
        <w:rPr>
          <w:szCs w:val="24"/>
        </w:rPr>
        <w:t xml:space="preserve"> </w:t>
      </w:r>
      <w:r w:rsidRPr="00D337FA">
        <w:rPr>
          <w:szCs w:val="24"/>
        </w:rPr>
        <w:t>(по</w:t>
      </w:r>
      <w:r w:rsidR="006C680D" w:rsidRPr="00D337FA">
        <w:rPr>
          <w:szCs w:val="24"/>
        </w:rPr>
        <w:t xml:space="preserve"> </w:t>
      </w:r>
      <w:r w:rsidRPr="00D337FA">
        <w:rPr>
          <w:szCs w:val="24"/>
        </w:rPr>
        <w:t>первым</w:t>
      </w:r>
      <w:r w:rsidR="006C680D" w:rsidRPr="00D337FA">
        <w:rPr>
          <w:szCs w:val="24"/>
        </w:rPr>
        <w:t xml:space="preserve"> </w:t>
      </w:r>
      <w:r w:rsidRPr="00D337FA">
        <w:rPr>
          <w:szCs w:val="24"/>
        </w:rPr>
        <w:t>буквам</w:t>
      </w:r>
      <w:r w:rsidR="006C680D" w:rsidRPr="00D337FA">
        <w:rPr>
          <w:szCs w:val="24"/>
        </w:rPr>
        <w:t xml:space="preserve"> </w:t>
      </w:r>
      <w:r w:rsidRPr="00D337FA">
        <w:rPr>
          <w:szCs w:val="24"/>
        </w:rPr>
        <w:t>этапов)</w:t>
      </w:r>
      <w:r w:rsidR="006C680D" w:rsidRPr="00D337FA">
        <w:rPr>
          <w:szCs w:val="24"/>
        </w:rPr>
        <w:t xml:space="preserve"> </w:t>
      </w:r>
      <w:r w:rsidRPr="00D337FA">
        <w:rPr>
          <w:szCs w:val="24"/>
        </w:rPr>
        <w:t>выглядит</w:t>
      </w:r>
      <w:r w:rsidR="006C680D" w:rsidRPr="00D337FA">
        <w:rPr>
          <w:szCs w:val="24"/>
        </w:rPr>
        <w:t xml:space="preserve"> </w:t>
      </w:r>
      <w:r w:rsidRPr="00D337FA">
        <w:rPr>
          <w:szCs w:val="24"/>
        </w:rPr>
        <w:t>следующим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После</w:t>
      </w:r>
      <w:r w:rsidR="006C680D" w:rsidRPr="00D337FA">
        <w:rPr>
          <w:szCs w:val="24"/>
        </w:rPr>
        <w:t xml:space="preserve"> </w:t>
      </w:r>
      <w:r w:rsidRPr="00D337FA">
        <w:rPr>
          <w:szCs w:val="24"/>
        </w:rPr>
        <w:t>поставной</w:t>
      </w:r>
      <w:r w:rsidR="006C680D" w:rsidRPr="00D337FA">
        <w:rPr>
          <w:szCs w:val="24"/>
        </w:rPr>
        <w:t xml:space="preserve"> </w:t>
      </w:r>
      <w:r w:rsidRPr="00D337FA">
        <w:rPr>
          <w:szCs w:val="24"/>
        </w:rPr>
        <w:t>целей</w:t>
      </w:r>
      <w:r w:rsidR="006C680D" w:rsidRPr="00D337FA">
        <w:rPr>
          <w:szCs w:val="24"/>
        </w:rPr>
        <w:t xml:space="preserve"> </w:t>
      </w:r>
      <w:r w:rsidRPr="00D337FA">
        <w:rPr>
          <w:szCs w:val="24"/>
        </w:rPr>
        <w:t>и</w:t>
      </w:r>
      <w:r w:rsidR="006C680D" w:rsidRPr="00D337FA">
        <w:rPr>
          <w:szCs w:val="24"/>
        </w:rPr>
        <w:t xml:space="preserve"> </w:t>
      </w:r>
      <w:r w:rsidRPr="00D337FA">
        <w:rPr>
          <w:szCs w:val="24"/>
        </w:rPr>
        <w:t>необходимых</w:t>
      </w:r>
      <w:r w:rsidR="006C680D" w:rsidRPr="00D337FA">
        <w:rPr>
          <w:szCs w:val="24"/>
        </w:rPr>
        <w:t xml:space="preserve"> </w:t>
      </w:r>
      <w:r w:rsidRPr="00D337FA">
        <w:rPr>
          <w:szCs w:val="24"/>
        </w:rPr>
        <w:t>ресурсов</w:t>
      </w:r>
      <w:r w:rsidR="006C680D" w:rsidRPr="00D337FA">
        <w:rPr>
          <w:szCs w:val="24"/>
        </w:rPr>
        <w:t xml:space="preserve"> </w:t>
      </w:r>
      <w:r w:rsidRPr="00D337FA">
        <w:rPr>
          <w:szCs w:val="24"/>
        </w:rPr>
        <w:t>планируются</w:t>
      </w:r>
      <w:r w:rsidR="006C680D" w:rsidRPr="00D337FA">
        <w:rPr>
          <w:szCs w:val="24"/>
        </w:rPr>
        <w:t xml:space="preserve"> </w:t>
      </w:r>
      <w:r w:rsidRPr="00D337FA">
        <w:rPr>
          <w:szCs w:val="24"/>
        </w:rPr>
        <w:t>некоторые</w:t>
      </w:r>
      <w:r w:rsidR="006C680D" w:rsidRPr="00D337FA">
        <w:rPr>
          <w:szCs w:val="24"/>
        </w:rPr>
        <w:t xml:space="preserve"> </w:t>
      </w:r>
      <w:r w:rsidRPr="00D337FA">
        <w:rPr>
          <w:szCs w:val="24"/>
        </w:rPr>
        <w:t>действия,</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реализуются</w:t>
      </w:r>
      <w:r w:rsidR="006C680D" w:rsidRPr="00D337FA">
        <w:rPr>
          <w:szCs w:val="24"/>
        </w:rPr>
        <w:t xml:space="preserve"> </w:t>
      </w:r>
      <w:r w:rsidRPr="00D337FA">
        <w:rPr>
          <w:szCs w:val="24"/>
        </w:rPr>
        <w:t>на</w:t>
      </w:r>
      <w:r w:rsidR="006C680D" w:rsidRPr="00D337FA">
        <w:rPr>
          <w:szCs w:val="24"/>
        </w:rPr>
        <w:t xml:space="preserve"> </w:t>
      </w:r>
      <w:r w:rsidRPr="00D337FA">
        <w:rPr>
          <w:szCs w:val="24"/>
        </w:rPr>
        <w:t>следующем</w:t>
      </w:r>
      <w:r w:rsidR="006C680D" w:rsidRPr="00D337FA">
        <w:rPr>
          <w:szCs w:val="24"/>
        </w:rPr>
        <w:t xml:space="preserve"> </w:t>
      </w:r>
      <w:r w:rsidRPr="00D337FA">
        <w:rPr>
          <w:szCs w:val="24"/>
        </w:rPr>
        <w:t>этапе.</w:t>
      </w:r>
      <w:r w:rsidR="006C680D" w:rsidRPr="00D337FA">
        <w:rPr>
          <w:szCs w:val="24"/>
        </w:rPr>
        <w:t xml:space="preserve"> </w:t>
      </w:r>
      <w:r w:rsidRPr="00D337FA">
        <w:rPr>
          <w:szCs w:val="24"/>
        </w:rPr>
        <w:t>Третий</w:t>
      </w:r>
      <w:r w:rsidR="006C680D" w:rsidRPr="00D337FA">
        <w:rPr>
          <w:szCs w:val="24"/>
        </w:rPr>
        <w:t xml:space="preserve"> </w:t>
      </w:r>
      <w:r w:rsidRPr="00D337FA">
        <w:rPr>
          <w:szCs w:val="24"/>
        </w:rPr>
        <w:t>этап</w:t>
      </w:r>
      <w:r w:rsidR="006C680D" w:rsidRPr="00D337FA">
        <w:rPr>
          <w:szCs w:val="24"/>
        </w:rPr>
        <w:t xml:space="preserve"> </w:t>
      </w:r>
      <w:r w:rsidRPr="00D337FA">
        <w:rPr>
          <w:szCs w:val="24"/>
        </w:rPr>
        <w:t>направлен</w:t>
      </w:r>
      <w:r w:rsidR="006C680D" w:rsidRPr="00D337FA">
        <w:rPr>
          <w:szCs w:val="24"/>
        </w:rPr>
        <w:t xml:space="preserve"> </w:t>
      </w:r>
      <w:r w:rsidRPr="00D337FA">
        <w:rPr>
          <w:szCs w:val="24"/>
        </w:rPr>
        <w:t>на</w:t>
      </w:r>
      <w:r w:rsidR="006C680D" w:rsidRPr="00D337FA">
        <w:rPr>
          <w:szCs w:val="24"/>
        </w:rPr>
        <w:t xml:space="preserve"> </w:t>
      </w:r>
      <w:r w:rsidRPr="00D337FA">
        <w:rPr>
          <w:szCs w:val="24"/>
        </w:rPr>
        <w:t>сопоставление</w:t>
      </w:r>
      <w:r w:rsidR="006C680D" w:rsidRPr="00D337FA">
        <w:rPr>
          <w:szCs w:val="24"/>
        </w:rPr>
        <w:t xml:space="preserve"> </w:t>
      </w:r>
      <w:r w:rsidRPr="00D337FA">
        <w:rPr>
          <w:szCs w:val="24"/>
        </w:rPr>
        <w:t>результатов</w:t>
      </w:r>
      <w:r w:rsidR="006C680D" w:rsidRPr="00D337FA">
        <w:rPr>
          <w:szCs w:val="24"/>
        </w:rPr>
        <w:t xml:space="preserve"> </w:t>
      </w:r>
      <w:r w:rsidRPr="00D337FA">
        <w:rPr>
          <w:szCs w:val="24"/>
        </w:rPr>
        <w:t>с</w:t>
      </w:r>
      <w:r w:rsidR="006C680D" w:rsidRPr="00D337FA">
        <w:rPr>
          <w:szCs w:val="24"/>
        </w:rPr>
        <w:t xml:space="preserve"> </w:t>
      </w:r>
      <w:r w:rsidRPr="00D337FA">
        <w:rPr>
          <w:szCs w:val="24"/>
        </w:rPr>
        <w:t>критериями,</w:t>
      </w:r>
      <w:r w:rsidR="006C680D" w:rsidRPr="00D337FA">
        <w:rPr>
          <w:szCs w:val="24"/>
        </w:rPr>
        <w:t xml:space="preserve"> </w:t>
      </w:r>
      <w:r w:rsidRPr="00D337FA">
        <w:rPr>
          <w:szCs w:val="24"/>
        </w:rPr>
        <w:t>определяющими</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достижения</w:t>
      </w:r>
      <w:r w:rsidR="006C680D" w:rsidRPr="00D337FA">
        <w:rPr>
          <w:szCs w:val="24"/>
        </w:rPr>
        <w:t xml:space="preserve"> </w:t>
      </w:r>
      <w:r w:rsidRPr="00D337FA">
        <w:rPr>
          <w:szCs w:val="24"/>
        </w:rPr>
        <w:t>поставленных</w:t>
      </w:r>
      <w:r w:rsidR="006C680D" w:rsidRPr="00D337FA">
        <w:rPr>
          <w:szCs w:val="24"/>
        </w:rPr>
        <w:t xml:space="preserve"> </w:t>
      </w:r>
      <w:r w:rsidRPr="00D337FA">
        <w:rPr>
          <w:szCs w:val="24"/>
        </w:rPr>
        <w:t>целей.</w:t>
      </w:r>
      <w:r w:rsidR="006C680D" w:rsidRPr="00D337FA">
        <w:rPr>
          <w:szCs w:val="24"/>
        </w:rPr>
        <w:t xml:space="preserve"> </w:t>
      </w:r>
      <w:r w:rsidRPr="00D337FA">
        <w:rPr>
          <w:szCs w:val="24"/>
        </w:rPr>
        <w:t>На</w:t>
      </w:r>
      <w:r w:rsidR="006C680D" w:rsidRPr="00D337FA">
        <w:rPr>
          <w:szCs w:val="24"/>
        </w:rPr>
        <w:t xml:space="preserve"> </w:t>
      </w:r>
      <w:r w:rsidRPr="00D337FA">
        <w:rPr>
          <w:szCs w:val="24"/>
        </w:rPr>
        <w:t>последнем</w:t>
      </w:r>
      <w:r w:rsidR="006C680D" w:rsidRPr="00D337FA">
        <w:rPr>
          <w:szCs w:val="24"/>
        </w:rPr>
        <w:t xml:space="preserve"> </w:t>
      </w:r>
      <w:r w:rsidRPr="00D337FA">
        <w:rPr>
          <w:szCs w:val="24"/>
        </w:rPr>
        <w:t>этапе</w:t>
      </w:r>
      <w:r w:rsidR="006C680D" w:rsidRPr="00D337FA">
        <w:rPr>
          <w:szCs w:val="24"/>
        </w:rPr>
        <w:t xml:space="preserve"> </w:t>
      </w:r>
      <w:r w:rsidRPr="00D337FA">
        <w:rPr>
          <w:szCs w:val="24"/>
        </w:rPr>
        <w:t>по</w:t>
      </w:r>
      <w:r w:rsidR="006C680D" w:rsidRPr="00D337FA">
        <w:rPr>
          <w:szCs w:val="24"/>
        </w:rPr>
        <w:t xml:space="preserve"> </w:t>
      </w:r>
      <w:r w:rsidRPr="00D337FA">
        <w:rPr>
          <w:szCs w:val="24"/>
        </w:rPr>
        <w:t>результатам</w:t>
      </w:r>
      <w:r w:rsidR="006C680D" w:rsidRPr="00D337FA">
        <w:rPr>
          <w:szCs w:val="24"/>
        </w:rPr>
        <w:t xml:space="preserve"> </w:t>
      </w:r>
      <w:r w:rsidRPr="00D337FA">
        <w:rPr>
          <w:szCs w:val="24"/>
        </w:rPr>
        <w:t>проверки</w:t>
      </w:r>
      <w:r w:rsidR="006C680D" w:rsidRPr="00D337FA">
        <w:rPr>
          <w:szCs w:val="24"/>
        </w:rPr>
        <w:t xml:space="preserve"> </w:t>
      </w:r>
      <w:r w:rsidRPr="00D337FA">
        <w:rPr>
          <w:szCs w:val="24"/>
        </w:rPr>
        <w:t>выполняются</w:t>
      </w:r>
      <w:r w:rsidR="006C680D" w:rsidRPr="00D337FA">
        <w:rPr>
          <w:szCs w:val="24"/>
        </w:rPr>
        <w:t xml:space="preserve"> </w:t>
      </w:r>
      <w:r w:rsidRPr="00D337FA">
        <w:rPr>
          <w:szCs w:val="24"/>
        </w:rPr>
        <w:t>корректирующие</w:t>
      </w:r>
      <w:r w:rsidR="006C680D" w:rsidRPr="00D337FA">
        <w:rPr>
          <w:szCs w:val="24"/>
        </w:rPr>
        <w:t xml:space="preserve"> </w:t>
      </w:r>
      <w:r w:rsidRPr="00D337FA">
        <w:rPr>
          <w:szCs w:val="24"/>
        </w:rPr>
        <w:t>действия</w:t>
      </w:r>
      <w:r w:rsidR="006C680D" w:rsidRPr="00D337FA">
        <w:rPr>
          <w:szCs w:val="24"/>
        </w:rPr>
        <w:t xml:space="preserve"> </w:t>
      </w:r>
      <w:r w:rsidRPr="00D337FA">
        <w:rPr>
          <w:szCs w:val="24"/>
        </w:rPr>
        <w:t>и</w:t>
      </w:r>
      <w:r w:rsidR="006C680D" w:rsidRPr="00D337FA">
        <w:rPr>
          <w:szCs w:val="24"/>
        </w:rPr>
        <w:t xml:space="preserve"> </w:t>
      </w:r>
      <w:r w:rsidRPr="00D337FA">
        <w:rPr>
          <w:szCs w:val="24"/>
        </w:rPr>
        <w:t>принимаются</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о</w:t>
      </w:r>
      <w:r w:rsidR="006C680D" w:rsidRPr="00D337FA">
        <w:rPr>
          <w:szCs w:val="24"/>
        </w:rPr>
        <w:t xml:space="preserve"> </w:t>
      </w:r>
      <w:r w:rsidRPr="00D337FA">
        <w:rPr>
          <w:szCs w:val="24"/>
        </w:rPr>
        <w:t>дальнейшем</w:t>
      </w:r>
      <w:r w:rsidR="006C680D" w:rsidRPr="00D337FA">
        <w:rPr>
          <w:szCs w:val="24"/>
        </w:rPr>
        <w:t xml:space="preserve"> </w:t>
      </w:r>
      <w:r w:rsidRPr="00D337FA">
        <w:rPr>
          <w:szCs w:val="24"/>
        </w:rPr>
        <w:t>развитии.</w:t>
      </w:r>
      <w:r w:rsidR="006C680D" w:rsidRPr="00D337FA">
        <w:rPr>
          <w:szCs w:val="24"/>
        </w:rPr>
        <w:t xml:space="preserve"> </w:t>
      </w:r>
      <w:r w:rsidRPr="00D337FA">
        <w:rPr>
          <w:szCs w:val="24"/>
        </w:rPr>
        <w:t>Поэтому</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считать</w:t>
      </w:r>
      <w:r w:rsidR="006C680D" w:rsidRPr="00D337FA">
        <w:rPr>
          <w:szCs w:val="24"/>
        </w:rPr>
        <w:t xml:space="preserve"> </w:t>
      </w:r>
      <w:r w:rsidRPr="00D337FA">
        <w:rPr>
          <w:szCs w:val="24"/>
        </w:rPr>
        <w:t>этот</w:t>
      </w:r>
      <w:r w:rsidR="006C680D" w:rsidRPr="00D337FA">
        <w:rPr>
          <w:szCs w:val="24"/>
        </w:rPr>
        <w:t xml:space="preserve"> </w:t>
      </w:r>
      <w:r w:rsidRPr="00D337FA">
        <w:rPr>
          <w:szCs w:val="24"/>
        </w:rPr>
        <w:t>цикл</w:t>
      </w:r>
      <w:r w:rsidR="006C680D" w:rsidRPr="00D337FA">
        <w:rPr>
          <w:szCs w:val="24"/>
        </w:rPr>
        <w:t xml:space="preserve"> </w:t>
      </w:r>
      <w:r w:rsidRPr="00D337FA">
        <w:rPr>
          <w:szCs w:val="24"/>
        </w:rPr>
        <w:t>не</w:t>
      </w:r>
      <w:r w:rsidR="006C680D" w:rsidRPr="00D337FA">
        <w:rPr>
          <w:szCs w:val="24"/>
        </w:rPr>
        <w:t xml:space="preserve"> </w:t>
      </w:r>
      <w:r w:rsidRPr="00D337FA">
        <w:rPr>
          <w:szCs w:val="24"/>
        </w:rPr>
        <w:t>замкнутым,</w:t>
      </w:r>
      <w:r w:rsidR="006C680D" w:rsidRPr="00D337FA">
        <w:rPr>
          <w:szCs w:val="24"/>
        </w:rPr>
        <w:t xml:space="preserve"> </w:t>
      </w:r>
      <w:r w:rsidRPr="00D337FA">
        <w:rPr>
          <w:szCs w:val="24"/>
        </w:rPr>
        <w:t>а</w:t>
      </w:r>
      <w:r w:rsidR="006C680D" w:rsidRPr="00D337FA">
        <w:rPr>
          <w:szCs w:val="24"/>
        </w:rPr>
        <w:t xml:space="preserve"> </w:t>
      </w:r>
      <w:r w:rsidRPr="00D337FA">
        <w:rPr>
          <w:szCs w:val="24"/>
        </w:rPr>
        <w:t>двигающимся</w:t>
      </w:r>
      <w:r w:rsidR="006C680D" w:rsidRPr="00D337FA">
        <w:rPr>
          <w:szCs w:val="24"/>
        </w:rPr>
        <w:t xml:space="preserve"> </w:t>
      </w:r>
      <w:r w:rsidRPr="00D337FA">
        <w:rPr>
          <w:szCs w:val="24"/>
        </w:rPr>
        <w:t>по</w:t>
      </w:r>
      <w:r w:rsidR="006C680D" w:rsidRPr="00D337FA">
        <w:rPr>
          <w:szCs w:val="24"/>
        </w:rPr>
        <w:t xml:space="preserve"> </w:t>
      </w:r>
      <w:r w:rsidRPr="00D337FA">
        <w:rPr>
          <w:szCs w:val="24"/>
        </w:rPr>
        <w:t>спирали.</w:t>
      </w:r>
      <w:r w:rsidR="006C680D" w:rsidRPr="00D337FA">
        <w:rPr>
          <w:szCs w:val="24"/>
        </w:rPr>
        <w:t xml:space="preserve"> </w:t>
      </w:r>
      <w:r w:rsidRPr="00D337FA">
        <w:rPr>
          <w:szCs w:val="24"/>
        </w:rPr>
        <w:t>Применение</w:t>
      </w:r>
      <w:r w:rsidR="006C680D" w:rsidRPr="00D337FA">
        <w:rPr>
          <w:szCs w:val="24"/>
        </w:rPr>
        <w:t xml:space="preserve"> </w:t>
      </w:r>
      <w:r w:rsidRPr="00D337FA">
        <w:rPr>
          <w:szCs w:val="24"/>
        </w:rPr>
        <w:t>данного</w:t>
      </w:r>
      <w:r w:rsidR="006C680D" w:rsidRPr="00D337FA">
        <w:rPr>
          <w:szCs w:val="24"/>
        </w:rPr>
        <w:t xml:space="preserve"> </w:t>
      </w:r>
      <w:r w:rsidRPr="00D337FA">
        <w:rPr>
          <w:szCs w:val="24"/>
        </w:rPr>
        <w:t>цикла</w:t>
      </w:r>
      <w:r w:rsidR="006C680D" w:rsidRPr="00D337FA">
        <w:rPr>
          <w:szCs w:val="24"/>
        </w:rPr>
        <w:t xml:space="preserve"> </w:t>
      </w:r>
      <w:r w:rsidRPr="00D337FA">
        <w:rPr>
          <w:szCs w:val="24"/>
        </w:rPr>
        <w:t>в</w:t>
      </w:r>
      <w:r w:rsidR="006C680D" w:rsidRPr="00D337FA">
        <w:rPr>
          <w:szCs w:val="24"/>
        </w:rPr>
        <w:t xml:space="preserve"> </w:t>
      </w:r>
      <w:r w:rsidRPr="00D337FA">
        <w:rPr>
          <w:szCs w:val="24"/>
        </w:rPr>
        <w:t>управлении</w:t>
      </w:r>
      <w:r w:rsidR="006C680D" w:rsidRPr="00D337FA">
        <w:rPr>
          <w:szCs w:val="24"/>
        </w:rPr>
        <w:t xml:space="preserve"> </w:t>
      </w:r>
      <w:r w:rsidRPr="00D337FA">
        <w:rPr>
          <w:szCs w:val="24"/>
        </w:rPr>
        <w:t>способствует</w:t>
      </w:r>
      <w:r w:rsidR="006C680D" w:rsidRPr="00D337FA">
        <w:rPr>
          <w:szCs w:val="24"/>
        </w:rPr>
        <w:t xml:space="preserve"> </w:t>
      </w:r>
      <w:r w:rsidRPr="00D337FA">
        <w:rPr>
          <w:szCs w:val="24"/>
        </w:rPr>
        <w:t>адаптивности,</w:t>
      </w:r>
      <w:r w:rsidR="006C680D" w:rsidRPr="00D337FA">
        <w:rPr>
          <w:szCs w:val="24"/>
        </w:rPr>
        <w:t xml:space="preserve"> </w:t>
      </w:r>
      <w:r w:rsidRPr="00D337FA">
        <w:rPr>
          <w:szCs w:val="24"/>
        </w:rPr>
        <w:t>что</w:t>
      </w:r>
      <w:r w:rsidR="006C680D" w:rsidRPr="00D337FA">
        <w:rPr>
          <w:szCs w:val="24"/>
        </w:rPr>
        <w:t xml:space="preserve"> </w:t>
      </w:r>
      <w:r w:rsidRPr="00D337FA">
        <w:rPr>
          <w:szCs w:val="24"/>
        </w:rPr>
        <w:t>особенно</w:t>
      </w:r>
      <w:r w:rsidR="006C680D" w:rsidRPr="00D337FA">
        <w:rPr>
          <w:szCs w:val="24"/>
        </w:rPr>
        <w:t xml:space="preserve"> </w:t>
      </w:r>
      <w:r w:rsidRPr="00D337FA">
        <w:rPr>
          <w:szCs w:val="24"/>
        </w:rPr>
        <w:t>важно</w:t>
      </w:r>
      <w:r w:rsidR="006C680D" w:rsidRPr="00D337FA">
        <w:rPr>
          <w:szCs w:val="24"/>
        </w:rPr>
        <w:t xml:space="preserve"> </w:t>
      </w:r>
      <w:r w:rsidRPr="00D337FA">
        <w:rPr>
          <w:szCs w:val="24"/>
        </w:rPr>
        <w:t>для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системы</w:t>
      </w:r>
      <w:r w:rsidR="006C680D" w:rsidRPr="00D337FA">
        <w:rPr>
          <w:szCs w:val="24"/>
        </w:rPr>
        <w:t xml:space="preserve"> </w:t>
      </w:r>
      <w:r w:rsidRPr="00D337FA">
        <w:rPr>
          <w:szCs w:val="24"/>
        </w:rPr>
        <w:t>предприятия.</w:t>
      </w:r>
      <w:r w:rsidR="006C680D" w:rsidRPr="00D337FA">
        <w:rPr>
          <w:szCs w:val="24"/>
        </w:rPr>
        <w:t xml:space="preserve"> </w:t>
      </w:r>
      <w:r w:rsidRPr="00D337FA">
        <w:rPr>
          <w:szCs w:val="24"/>
        </w:rPr>
        <w:t>Так</w:t>
      </w:r>
      <w:r w:rsidR="006C680D" w:rsidRPr="00D337FA">
        <w:rPr>
          <w:szCs w:val="24"/>
        </w:rPr>
        <w:t xml:space="preserve"> </w:t>
      </w:r>
      <w:r w:rsidRPr="00D337FA">
        <w:rPr>
          <w:szCs w:val="24"/>
        </w:rPr>
        <w:t>как</w:t>
      </w:r>
      <w:r w:rsidR="006C680D" w:rsidRPr="00D337FA">
        <w:rPr>
          <w:szCs w:val="24"/>
        </w:rPr>
        <w:t xml:space="preserve"> </w:t>
      </w:r>
      <w:r w:rsidRPr="00D337FA">
        <w:rPr>
          <w:szCs w:val="24"/>
        </w:rPr>
        <w:t>она</w:t>
      </w:r>
      <w:r w:rsidR="006C680D" w:rsidRPr="00D337FA">
        <w:rPr>
          <w:szCs w:val="24"/>
        </w:rPr>
        <w:t xml:space="preserve"> </w:t>
      </w:r>
      <w:r w:rsidRPr="00D337FA">
        <w:rPr>
          <w:szCs w:val="24"/>
        </w:rPr>
        <w:t>изначально</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высоко</w:t>
      </w:r>
      <w:r w:rsidR="006C680D" w:rsidRPr="00D337FA">
        <w:rPr>
          <w:szCs w:val="24"/>
        </w:rPr>
        <w:t xml:space="preserve"> </w:t>
      </w:r>
      <w:r w:rsidRPr="00D337FA">
        <w:rPr>
          <w:szCs w:val="24"/>
        </w:rPr>
        <w:t>неопределенной,</w:t>
      </w:r>
      <w:r w:rsidR="006C680D" w:rsidRPr="00D337FA">
        <w:rPr>
          <w:szCs w:val="24"/>
        </w:rPr>
        <w:t xml:space="preserve"> </w:t>
      </w:r>
      <w:r w:rsidRPr="00D337FA">
        <w:rPr>
          <w:szCs w:val="24"/>
        </w:rPr>
        <w:t>то</w:t>
      </w:r>
      <w:r w:rsidR="006C680D" w:rsidRPr="00D337FA">
        <w:rPr>
          <w:szCs w:val="24"/>
        </w:rPr>
        <w:t xml:space="preserve"> </w:t>
      </w:r>
      <w:r w:rsidRPr="00D337FA">
        <w:rPr>
          <w:szCs w:val="24"/>
        </w:rPr>
        <w:t>малейшие</w:t>
      </w:r>
      <w:r w:rsidR="006C680D" w:rsidRPr="00D337FA">
        <w:rPr>
          <w:szCs w:val="24"/>
        </w:rPr>
        <w:t xml:space="preserve"> </w:t>
      </w:r>
      <w:r w:rsidRPr="00D337FA">
        <w:rPr>
          <w:szCs w:val="24"/>
        </w:rPr>
        <w:t>изменения</w:t>
      </w:r>
      <w:r w:rsidR="006C680D" w:rsidRPr="00D337FA">
        <w:rPr>
          <w:szCs w:val="24"/>
        </w:rPr>
        <w:t xml:space="preserve"> </w:t>
      </w:r>
      <w:r w:rsidRPr="00D337FA">
        <w:rPr>
          <w:szCs w:val="24"/>
        </w:rPr>
        <w:t>во</w:t>
      </w:r>
      <w:r w:rsidR="006C680D" w:rsidRPr="00D337FA">
        <w:rPr>
          <w:szCs w:val="24"/>
        </w:rPr>
        <w:t xml:space="preserve"> </w:t>
      </w:r>
      <w:r w:rsidRPr="00D337FA">
        <w:rPr>
          <w:szCs w:val="24"/>
        </w:rPr>
        <w:t>внешней</w:t>
      </w:r>
      <w:r w:rsidR="006C680D" w:rsidRPr="00D337FA">
        <w:rPr>
          <w:szCs w:val="24"/>
        </w:rPr>
        <w:t xml:space="preserve"> </w:t>
      </w:r>
      <w:r w:rsidRPr="00D337FA">
        <w:rPr>
          <w:szCs w:val="24"/>
        </w:rPr>
        <w:t>среде</w:t>
      </w:r>
      <w:r w:rsidR="006C680D" w:rsidRPr="00D337FA">
        <w:rPr>
          <w:szCs w:val="24"/>
        </w:rPr>
        <w:t xml:space="preserve"> </w:t>
      </w:r>
      <w:r w:rsidRPr="00D337FA">
        <w:rPr>
          <w:szCs w:val="24"/>
        </w:rPr>
        <w:t>могут</w:t>
      </w:r>
      <w:r w:rsidR="006C680D" w:rsidRPr="00D337FA">
        <w:rPr>
          <w:szCs w:val="24"/>
        </w:rPr>
        <w:t xml:space="preserve"> </w:t>
      </w:r>
      <w:r w:rsidRPr="00D337FA">
        <w:rPr>
          <w:szCs w:val="24"/>
        </w:rPr>
        <w:t>вывести</w:t>
      </w:r>
      <w:r w:rsidR="006C680D" w:rsidRPr="00D337FA">
        <w:rPr>
          <w:szCs w:val="24"/>
        </w:rPr>
        <w:t xml:space="preserve"> </w:t>
      </w:r>
      <w:r w:rsidRPr="00D337FA">
        <w:rPr>
          <w:szCs w:val="24"/>
        </w:rPr>
        <w:t>ее</w:t>
      </w:r>
      <w:r w:rsidR="006C680D" w:rsidRPr="00D337FA">
        <w:rPr>
          <w:szCs w:val="24"/>
        </w:rPr>
        <w:t xml:space="preserve"> </w:t>
      </w:r>
      <w:r w:rsidRPr="00D337FA">
        <w:rPr>
          <w:szCs w:val="24"/>
        </w:rPr>
        <w:t>из</w:t>
      </w:r>
      <w:r w:rsidR="006C680D" w:rsidRPr="00D337FA">
        <w:rPr>
          <w:szCs w:val="24"/>
        </w:rPr>
        <w:t xml:space="preserve"> </w:t>
      </w:r>
      <w:r w:rsidRPr="00D337FA">
        <w:rPr>
          <w:szCs w:val="24"/>
        </w:rPr>
        <w:t>состояния</w:t>
      </w:r>
      <w:r w:rsidR="006C680D" w:rsidRPr="00D337FA">
        <w:rPr>
          <w:szCs w:val="24"/>
        </w:rPr>
        <w:t xml:space="preserve"> </w:t>
      </w:r>
      <w:r w:rsidRPr="00D337FA">
        <w:rPr>
          <w:szCs w:val="24"/>
        </w:rPr>
        <w:t>равновесия.</w:t>
      </w:r>
    </w:p>
    <w:p w:rsidR="00C03F09" w:rsidRPr="00D337FA" w:rsidRDefault="00C03F09" w:rsidP="00C03F09">
      <w:pPr>
        <w:ind w:firstLine="142"/>
        <w:rPr>
          <w:szCs w:val="24"/>
        </w:rPr>
      </w:pPr>
      <w:r w:rsidRPr="00D337FA">
        <w:rPr>
          <w:szCs w:val="24"/>
        </w:rPr>
        <w:t>Эмпирический</w:t>
      </w:r>
      <w:r w:rsidR="006C680D" w:rsidRPr="00D337FA">
        <w:rPr>
          <w:szCs w:val="24"/>
        </w:rPr>
        <w:t xml:space="preserve"> </w:t>
      </w:r>
      <w:r w:rsidRPr="00D337FA">
        <w:rPr>
          <w:szCs w:val="24"/>
        </w:rPr>
        <w:t>уровень</w:t>
      </w:r>
      <w:r w:rsidR="006C680D" w:rsidRPr="00D337FA">
        <w:rPr>
          <w:szCs w:val="24"/>
        </w:rPr>
        <w:t xml:space="preserve"> </w:t>
      </w:r>
      <w:r w:rsidRPr="00D337FA">
        <w:rPr>
          <w:szCs w:val="24"/>
        </w:rPr>
        <w:t>образовывают</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способы,</w:t>
      </w:r>
      <w:r w:rsidR="006C680D" w:rsidRPr="00D337FA">
        <w:rPr>
          <w:szCs w:val="24"/>
        </w:rPr>
        <w:t xml:space="preserve"> </w:t>
      </w:r>
      <w:r w:rsidRPr="00D337FA">
        <w:rPr>
          <w:szCs w:val="24"/>
        </w:rPr>
        <w:t>средства</w:t>
      </w:r>
      <w:r w:rsidR="006C680D" w:rsidRPr="00D337FA">
        <w:rPr>
          <w:szCs w:val="24"/>
        </w:rPr>
        <w:t xml:space="preserve"> </w:t>
      </w:r>
      <w:r w:rsidRPr="00D337FA">
        <w:rPr>
          <w:szCs w:val="24"/>
        </w:rPr>
        <w:t>и</w:t>
      </w:r>
      <w:r w:rsidR="006C680D" w:rsidRPr="00D337FA">
        <w:rPr>
          <w:szCs w:val="24"/>
        </w:rPr>
        <w:t xml:space="preserve"> </w:t>
      </w:r>
      <w:r w:rsidRPr="00D337FA">
        <w:rPr>
          <w:szCs w:val="24"/>
        </w:rPr>
        <w:t>инструменты,</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используются</w:t>
      </w:r>
      <w:r w:rsidR="006C680D" w:rsidRPr="00D337FA">
        <w:rPr>
          <w:szCs w:val="24"/>
        </w:rPr>
        <w:t xml:space="preserve"> </w:t>
      </w:r>
      <w:r w:rsidRPr="00D337FA">
        <w:rPr>
          <w:szCs w:val="24"/>
        </w:rPr>
        <w:t>для</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lastRenderedPageBreak/>
        <w:t>конкретных</w:t>
      </w:r>
      <w:r w:rsidR="006C680D" w:rsidRPr="00D337FA">
        <w:rPr>
          <w:szCs w:val="24"/>
        </w:rPr>
        <w:t xml:space="preserve"> </w:t>
      </w:r>
      <w:r w:rsidRPr="00D337FA">
        <w:rPr>
          <w:szCs w:val="24"/>
        </w:rPr>
        <w:t>задач</w:t>
      </w:r>
      <w:r w:rsidR="006C680D" w:rsidRPr="00D337FA">
        <w:rPr>
          <w:szCs w:val="24"/>
        </w:rPr>
        <w:t xml:space="preserve"> </w:t>
      </w:r>
      <w:r w:rsidRPr="00D337FA">
        <w:rPr>
          <w:szCs w:val="24"/>
        </w:rPr>
        <w:t>в</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ограниченной</w:t>
      </w:r>
      <w:r w:rsidR="006C680D" w:rsidRPr="00D337FA">
        <w:rPr>
          <w:szCs w:val="24"/>
        </w:rPr>
        <w:t xml:space="preserve"> </w:t>
      </w:r>
      <w:r w:rsidRPr="00D337FA">
        <w:rPr>
          <w:szCs w:val="24"/>
        </w:rPr>
        <w:t>объектом</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предметом</w:t>
      </w:r>
      <w:r w:rsidR="006C680D" w:rsidRPr="00D337FA">
        <w:rPr>
          <w:szCs w:val="24"/>
        </w:rPr>
        <w:t xml:space="preserve"> </w:t>
      </w:r>
      <w:r w:rsidRPr="00D337FA">
        <w:rPr>
          <w:szCs w:val="24"/>
        </w:rPr>
        <w:t>исследования,</w:t>
      </w:r>
      <w:r w:rsidR="006C680D" w:rsidRPr="00D337FA">
        <w:rPr>
          <w:szCs w:val="24"/>
        </w:rPr>
        <w:t xml:space="preserve"> </w:t>
      </w:r>
      <w:r w:rsidRPr="00D337FA">
        <w:rPr>
          <w:szCs w:val="24"/>
        </w:rPr>
        <w:t>и</w:t>
      </w:r>
      <w:r w:rsidR="006C680D" w:rsidRPr="00D337FA">
        <w:rPr>
          <w:szCs w:val="24"/>
        </w:rPr>
        <w:t xml:space="preserve"> </w:t>
      </w:r>
      <w:r w:rsidRPr="00D337FA">
        <w:rPr>
          <w:szCs w:val="24"/>
        </w:rPr>
        <w:t>строго</w:t>
      </w:r>
      <w:r w:rsidR="006C680D" w:rsidRPr="00D337FA">
        <w:rPr>
          <w:szCs w:val="24"/>
        </w:rPr>
        <w:t xml:space="preserve"> </w:t>
      </w:r>
      <w:r w:rsidRPr="00D337FA">
        <w:rPr>
          <w:szCs w:val="24"/>
        </w:rPr>
        <w:t>определенной</w:t>
      </w:r>
      <w:r w:rsidR="006C680D" w:rsidRPr="00D337FA">
        <w:rPr>
          <w:szCs w:val="24"/>
        </w:rPr>
        <w:t xml:space="preserve"> </w:t>
      </w:r>
      <w:r w:rsidRPr="00D337FA">
        <w:rPr>
          <w:szCs w:val="24"/>
        </w:rPr>
        <w:t>субъектом,</w:t>
      </w:r>
      <w:r w:rsidR="006C680D" w:rsidRPr="00D337FA">
        <w:rPr>
          <w:szCs w:val="24"/>
        </w:rPr>
        <w:t xml:space="preserve"> </w:t>
      </w:r>
      <w:r w:rsidRPr="00D337FA">
        <w:rPr>
          <w:szCs w:val="24"/>
        </w:rPr>
        <w:t>а</w:t>
      </w:r>
      <w:r w:rsidR="006C680D" w:rsidRPr="00D337FA">
        <w:rPr>
          <w:szCs w:val="24"/>
        </w:rPr>
        <w:t xml:space="preserve"> </w:t>
      </w:r>
      <w:r w:rsidRPr="00D337FA">
        <w:rPr>
          <w:szCs w:val="24"/>
        </w:rPr>
        <w:t>точнее</w:t>
      </w:r>
      <w:r w:rsidR="006C680D" w:rsidRPr="00D337FA">
        <w:rPr>
          <w:szCs w:val="24"/>
        </w:rPr>
        <w:t xml:space="preserve"> </w:t>
      </w:r>
      <w:r w:rsidRPr="00D337FA">
        <w:rPr>
          <w:szCs w:val="24"/>
        </w:rPr>
        <w:t>целями,</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им</w:t>
      </w:r>
      <w:r w:rsidR="006C680D" w:rsidRPr="00D337FA">
        <w:rPr>
          <w:szCs w:val="24"/>
        </w:rPr>
        <w:t xml:space="preserve"> </w:t>
      </w:r>
      <w:r w:rsidRPr="00D337FA">
        <w:rPr>
          <w:szCs w:val="24"/>
        </w:rPr>
        <w:t>поставлены.</w:t>
      </w:r>
      <w:r w:rsidR="006C680D" w:rsidRPr="00D337FA">
        <w:rPr>
          <w:szCs w:val="24"/>
        </w:rPr>
        <w:t xml:space="preserve"> </w:t>
      </w:r>
      <w:r w:rsidRPr="00D337FA">
        <w:rPr>
          <w:szCs w:val="24"/>
        </w:rPr>
        <w:t>Например,</w:t>
      </w:r>
      <w:r w:rsidR="006C680D" w:rsidRPr="00D337FA">
        <w:rPr>
          <w:szCs w:val="24"/>
        </w:rPr>
        <w:t xml:space="preserve"> </w:t>
      </w:r>
      <w:r w:rsidRPr="00D337FA">
        <w:rPr>
          <w:szCs w:val="24"/>
        </w:rPr>
        <w:t>методика</w:t>
      </w:r>
      <w:r w:rsidR="006C680D" w:rsidRPr="00D337FA">
        <w:rPr>
          <w:szCs w:val="24"/>
        </w:rPr>
        <w:t xml:space="preserve"> </w:t>
      </w:r>
      <w:r w:rsidRPr="00D337FA">
        <w:rPr>
          <w:szCs w:val="24"/>
        </w:rPr>
        <w:t>отбора</w:t>
      </w:r>
      <w:r w:rsidR="006C680D" w:rsidRPr="00D337FA">
        <w:rPr>
          <w:szCs w:val="24"/>
        </w:rPr>
        <w:t xml:space="preserve"> </w:t>
      </w:r>
      <w:r w:rsidRPr="00D337FA">
        <w:rPr>
          <w:szCs w:val="24"/>
        </w:rPr>
        <w:t>персонала</w:t>
      </w:r>
      <w:r w:rsidR="006C680D" w:rsidRPr="00D337FA">
        <w:rPr>
          <w:szCs w:val="24"/>
        </w:rPr>
        <w:t xml:space="preserve"> </w:t>
      </w:r>
      <w:r w:rsidRPr="00D337FA">
        <w:rPr>
          <w:szCs w:val="24"/>
        </w:rPr>
        <w:t>для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деятельности,</w:t>
      </w:r>
      <w:r w:rsidR="006C680D" w:rsidRPr="00D337FA">
        <w:rPr>
          <w:szCs w:val="24"/>
        </w:rPr>
        <w:t xml:space="preserve"> </w:t>
      </w:r>
      <w:r w:rsidRPr="00D337FA">
        <w:rPr>
          <w:szCs w:val="24"/>
        </w:rPr>
        <w:t>или</w:t>
      </w:r>
      <w:r w:rsidR="006C680D" w:rsidRPr="00D337FA">
        <w:rPr>
          <w:szCs w:val="24"/>
        </w:rPr>
        <w:t xml:space="preserve"> </w:t>
      </w:r>
      <w:r w:rsidRPr="00D337FA">
        <w:rPr>
          <w:szCs w:val="24"/>
        </w:rPr>
        <w:t>методика</w:t>
      </w:r>
      <w:r w:rsidR="006C680D" w:rsidRPr="00D337FA">
        <w:rPr>
          <w:szCs w:val="24"/>
        </w:rPr>
        <w:t xml:space="preserve"> </w:t>
      </w:r>
      <w:r w:rsidRPr="00D337FA">
        <w:rPr>
          <w:szCs w:val="24"/>
        </w:rPr>
        <w:t>взаимодействия</w:t>
      </w:r>
      <w:r w:rsidR="006C680D" w:rsidRPr="00D337FA">
        <w:rPr>
          <w:szCs w:val="24"/>
        </w:rPr>
        <w:t xml:space="preserve"> </w:t>
      </w:r>
      <w:r w:rsidRPr="00D337FA">
        <w:rPr>
          <w:szCs w:val="24"/>
        </w:rPr>
        <w:t>с</w:t>
      </w:r>
      <w:r w:rsidR="006C680D" w:rsidRPr="00D337FA">
        <w:rPr>
          <w:szCs w:val="24"/>
        </w:rPr>
        <w:t xml:space="preserve"> </w:t>
      </w:r>
      <w:r w:rsidRPr="00D337FA">
        <w:rPr>
          <w:szCs w:val="24"/>
        </w:rPr>
        <w:t>внешней</w:t>
      </w:r>
      <w:r w:rsidR="006C680D" w:rsidRPr="00D337FA">
        <w:rPr>
          <w:szCs w:val="24"/>
        </w:rPr>
        <w:t xml:space="preserve"> </w:t>
      </w:r>
      <w:r w:rsidRPr="00D337FA">
        <w:rPr>
          <w:szCs w:val="24"/>
        </w:rPr>
        <w:t>средой.</w:t>
      </w:r>
      <w:r w:rsidR="006C680D" w:rsidRPr="00D337FA">
        <w:rPr>
          <w:szCs w:val="24"/>
        </w:rPr>
        <w:t xml:space="preserve"> </w:t>
      </w:r>
      <w:r w:rsidRPr="00D337FA">
        <w:rPr>
          <w:szCs w:val="24"/>
        </w:rPr>
        <w:t>Методика</w:t>
      </w:r>
      <w:r w:rsidR="006C680D" w:rsidRPr="00D337FA">
        <w:rPr>
          <w:szCs w:val="24"/>
        </w:rPr>
        <w:t xml:space="preserve"> </w:t>
      </w:r>
      <w:r w:rsidRPr="00D337FA">
        <w:rPr>
          <w:szCs w:val="24"/>
        </w:rPr>
        <w:t>представляет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последовательность</w:t>
      </w:r>
      <w:r w:rsidR="006C680D" w:rsidRPr="00D337FA">
        <w:rPr>
          <w:szCs w:val="24"/>
        </w:rPr>
        <w:t xml:space="preserve"> </w:t>
      </w:r>
      <w:r w:rsidRPr="00D337FA">
        <w:rPr>
          <w:szCs w:val="24"/>
        </w:rPr>
        <w:t>шагов,</w:t>
      </w:r>
      <w:r w:rsidR="006C680D" w:rsidRPr="00D337FA">
        <w:rPr>
          <w:szCs w:val="24"/>
        </w:rPr>
        <w:t xml:space="preserve"> </w:t>
      </w:r>
      <w:r w:rsidRPr="00D337FA">
        <w:rPr>
          <w:szCs w:val="24"/>
        </w:rPr>
        <w:t>ведущих</w:t>
      </w:r>
      <w:r w:rsidR="006C680D" w:rsidRPr="00D337FA">
        <w:rPr>
          <w:szCs w:val="24"/>
        </w:rPr>
        <w:t xml:space="preserve"> </w:t>
      </w:r>
      <w:r w:rsidRPr="00D337FA">
        <w:rPr>
          <w:szCs w:val="24"/>
        </w:rPr>
        <w:t>к</w:t>
      </w:r>
      <w:r w:rsidR="006C680D" w:rsidRPr="00D337FA">
        <w:rPr>
          <w:szCs w:val="24"/>
        </w:rPr>
        <w:t xml:space="preserve"> </w:t>
      </w:r>
      <w:r w:rsidRPr="00D337FA">
        <w:rPr>
          <w:szCs w:val="24"/>
        </w:rPr>
        <w:t>решению</w:t>
      </w:r>
      <w:r w:rsidR="006C680D" w:rsidRPr="00D337FA">
        <w:rPr>
          <w:szCs w:val="24"/>
        </w:rPr>
        <w:t xml:space="preserve"> </w:t>
      </w:r>
      <w:r w:rsidRPr="00D337FA">
        <w:rPr>
          <w:szCs w:val="24"/>
        </w:rPr>
        <w:t>поставленной,</w:t>
      </w:r>
      <w:r w:rsidR="006C680D" w:rsidRPr="00D337FA">
        <w:rPr>
          <w:szCs w:val="24"/>
        </w:rPr>
        <w:t xml:space="preserve"> </w:t>
      </w:r>
      <w:r w:rsidRPr="00D337FA">
        <w:rPr>
          <w:szCs w:val="24"/>
        </w:rPr>
        <w:t>и</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состоять</w:t>
      </w:r>
      <w:r w:rsidR="006C680D" w:rsidRPr="00D337FA">
        <w:rPr>
          <w:szCs w:val="24"/>
        </w:rPr>
        <w:t xml:space="preserve"> </w:t>
      </w:r>
      <w:r w:rsidRPr="00D337FA">
        <w:rPr>
          <w:szCs w:val="24"/>
        </w:rPr>
        <w:t>из</w:t>
      </w:r>
      <w:r w:rsidR="006C680D" w:rsidRPr="00D337FA">
        <w:rPr>
          <w:szCs w:val="24"/>
        </w:rPr>
        <w:t xml:space="preserve"> </w:t>
      </w:r>
      <w:r w:rsidRPr="00D337FA">
        <w:rPr>
          <w:szCs w:val="24"/>
        </w:rPr>
        <w:t>набора</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лучшим</w:t>
      </w:r>
      <w:r w:rsidR="006C680D" w:rsidRPr="00D337FA">
        <w:rPr>
          <w:szCs w:val="24"/>
        </w:rPr>
        <w:t xml:space="preserve"> </w:t>
      </w:r>
      <w:r w:rsidRPr="00D337FA">
        <w:rPr>
          <w:szCs w:val="24"/>
        </w:rPr>
        <w:t>образом</w:t>
      </w:r>
      <w:r w:rsidR="006C680D" w:rsidRPr="00D337FA">
        <w:rPr>
          <w:szCs w:val="24"/>
        </w:rPr>
        <w:t xml:space="preserve"> </w:t>
      </w:r>
      <w:r w:rsidRPr="00D337FA">
        <w:rPr>
          <w:szCs w:val="24"/>
        </w:rPr>
        <w:t>для</w:t>
      </w:r>
      <w:r w:rsidR="006C680D" w:rsidRPr="00D337FA">
        <w:rPr>
          <w:szCs w:val="24"/>
        </w:rPr>
        <w:t xml:space="preserve"> </w:t>
      </w:r>
      <w:r w:rsidRPr="00D337FA">
        <w:rPr>
          <w:szCs w:val="24"/>
        </w:rPr>
        <w:t>этого</w:t>
      </w:r>
      <w:r w:rsidR="006C680D" w:rsidRPr="00D337FA">
        <w:rPr>
          <w:szCs w:val="24"/>
        </w:rPr>
        <w:t xml:space="preserve"> </w:t>
      </w:r>
      <w:r w:rsidRPr="00D337FA">
        <w:rPr>
          <w:szCs w:val="24"/>
        </w:rPr>
        <w:t>подходящих.</w:t>
      </w:r>
      <w:r w:rsidR="006C680D" w:rsidRPr="00D337FA">
        <w:rPr>
          <w:szCs w:val="24"/>
        </w:rPr>
        <w:t xml:space="preserve"> </w:t>
      </w:r>
      <w:r w:rsidRPr="00D337FA">
        <w:rPr>
          <w:szCs w:val="24"/>
        </w:rPr>
        <w:t>Способом</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назвать</w:t>
      </w:r>
      <w:r w:rsidR="006C680D" w:rsidRPr="00D337FA">
        <w:rPr>
          <w:szCs w:val="24"/>
        </w:rPr>
        <w:t xml:space="preserve"> </w:t>
      </w:r>
      <w:r w:rsidRPr="00D337FA">
        <w:rPr>
          <w:szCs w:val="24"/>
        </w:rPr>
        <w:t>технологию</w:t>
      </w:r>
      <w:r w:rsidR="006C680D" w:rsidRPr="00D337FA">
        <w:rPr>
          <w:szCs w:val="24"/>
        </w:rPr>
        <w:t xml:space="preserve"> </w:t>
      </w:r>
      <w:r w:rsidRPr="00D337FA">
        <w:rPr>
          <w:szCs w:val="24"/>
        </w:rPr>
        <w:t>применения</w:t>
      </w:r>
      <w:r w:rsidR="006C680D" w:rsidRPr="00D337FA">
        <w:rPr>
          <w:szCs w:val="24"/>
        </w:rPr>
        <w:t xml:space="preserve"> </w:t>
      </w:r>
      <w:r w:rsidRPr="00D337FA">
        <w:rPr>
          <w:szCs w:val="24"/>
        </w:rPr>
        <w:t>конкретного</w:t>
      </w:r>
      <w:r w:rsidR="006C680D" w:rsidRPr="00D337FA">
        <w:rPr>
          <w:szCs w:val="24"/>
        </w:rPr>
        <w:t xml:space="preserve"> </w:t>
      </w:r>
      <w:r w:rsidRPr="00D337FA">
        <w:rPr>
          <w:szCs w:val="24"/>
        </w:rPr>
        <w:t>метода.</w:t>
      </w:r>
    </w:p>
    <w:p w:rsidR="00C03F09" w:rsidRPr="00D337FA" w:rsidRDefault="00C03F09" w:rsidP="00C03F09">
      <w:pPr>
        <w:ind w:firstLine="142"/>
        <w:rPr>
          <w:szCs w:val="24"/>
        </w:rPr>
      </w:pPr>
      <w:r w:rsidRPr="00D337FA">
        <w:rPr>
          <w:szCs w:val="24"/>
        </w:rPr>
        <w:t>Все</w:t>
      </w:r>
      <w:r w:rsidR="006C680D" w:rsidRPr="00D337FA">
        <w:rPr>
          <w:szCs w:val="24"/>
        </w:rPr>
        <w:t xml:space="preserve"> </w:t>
      </w:r>
      <w:r w:rsidRPr="00D337FA">
        <w:rPr>
          <w:szCs w:val="24"/>
        </w:rPr>
        <w:t>рассмотренные</w:t>
      </w:r>
      <w:r w:rsidR="006C680D" w:rsidRPr="00D337FA">
        <w:rPr>
          <w:szCs w:val="24"/>
        </w:rPr>
        <w:t xml:space="preserve"> </w:t>
      </w:r>
      <w:r w:rsidRPr="00D337FA">
        <w:rPr>
          <w:szCs w:val="24"/>
        </w:rPr>
        <w:t>блоки</w:t>
      </w:r>
      <w:r w:rsidR="006C680D" w:rsidRPr="00D337FA">
        <w:rPr>
          <w:szCs w:val="24"/>
        </w:rPr>
        <w:t xml:space="preserve"> </w:t>
      </w:r>
      <w:r w:rsidRPr="00D337FA">
        <w:rPr>
          <w:szCs w:val="24"/>
        </w:rPr>
        <w:t>объединяет</w:t>
      </w:r>
      <w:r w:rsidR="006C680D" w:rsidRPr="00D337FA">
        <w:rPr>
          <w:szCs w:val="24"/>
        </w:rPr>
        <w:t xml:space="preserve"> </w:t>
      </w:r>
      <w:r w:rsidRPr="00D337FA">
        <w:rPr>
          <w:szCs w:val="24"/>
        </w:rPr>
        <w:t>парадигма</w:t>
      </w:r>
      <w:r w:rsidR="006C680D" w:rsidRPr="00D337FA">
        <w:rPr>
          <w:szCs w:val="24"/>
        </w:rPr>
        <w:t xml:space="preserve"> </w:t>
      </w:r>
      <w:r w:rsidR="008A5AE7">
        <w:rPr>
          <w:szCs w:val="24"/>
        </w:rPr>
        <w:t>–</w:t>
      </w:r>
      <w:r w:rsidR="006C680D" w:rsidRPr="00D337FA">
        <w:rPr>
          <w:szCs w:val="24"/>
        </w:rPr>
        <w:t xml:space="preserve"> </w:t>
      </w:r>
      <w:r w:rsidRPr="00D337FA">
        <w:rPr>
          <w:szCs w:val="24"/>
        </w:rPr>
        <w:t>понятие,</w:t>
      </w:r>
      <w:r w:rsidR="006C680D" w:rsidRPr="00D337FA">
        <w:rPr>
          <w:szCs w:val="24"/>
        </w:rPr>
        <w:t xml:space="preserve"> </w:t>
      </w:r>
      <w:r w:rsidRPr="00D337FA">
        <w:rPr>
          <w:szCs w:val="24"/>
        </w:rPr>
        <w:t>введенное</w:t>
      </w:r>
      <w:r w:rsidR="006C680D" w:rsidRPr="00D337FA">
        <w:rPr>
          <w:szCs w:val="24"/>
        </w:rPr>
        <w:t xml:space="preserve"> </w:t>
      </w:r>
      <w:r w:rsidRPr="00D337FA">
        <w:rPr>
          <w:szCs w:val="24"/>
        </w:rPr>
        <w:t>в</w:t>
      </w:r>
      <w:r w:rsidR="006C680D" w:rsidRPr="00D337FA">
        <w:rPr>
          <w:szCs w:val="24"/>
        </w:rPr>
        <w:t xml:space="preserve"> </w:t>
      </w:r>
      <w:r w:rsidRPr="00D337FA">
        <w:rPr>
          <w:szCs w:val="24"/>
        </w:rPr>
        <w:t>научный</w:t>
      </w:r>
      <w:r w:rsidR="006C680D" w:rsidRPr="00D337FA">
        <w:rPr>
          <w:szCs w:val="24"/>
        </w:rPr>
        <w:t xml:space="preserve"> </w:t>
      </w:r>
      <w:r w:rsidRPr="00D337FA">
        <w:rPr>
          <w:szCs w:val="24"/>
        </w:rPr>
        <w:t>обиход</w:t>
      </w:r>
      <w:r w:rsidR="006C680D" w:rsidRPr="00D337FA">
        <w:rPr>
          <w:szCs w:val="24"/>
        </w:rPr>
        <w:t xml:space="preserve"> </w:t>
      </w:r>
      <w:r w:rsidRPr="00D337FA">
        <w:rPr>
          <w:szCs w:val="24"/>
        </w:rPr>
        <w:t>Томасом</w:t>
      </w:r>
      <w:r w:rsidR="006C680D" w:rsidRPr="00D337FA">
        <w:rPr>
          <w:szCs w:val="24"/>
        </w:rPr>
        <w:t xml:space="preserve"> </w:t>
      </w:r>
      <w:r w:rsidRPr="00D337FA">
        <w:rPr>
          <w:szCs w:val="24"/>
        </w:rPr>
        <w:t>Куном</w:t>
      </w:r>
      <w:r w:rsidR="006C680D" w:rsidRPr="00D337FA">
        <w:rPr>
          <w:szCs w:val="24"/>
        </w:rPr>
        <w:t xml:space="preserve"> </w:t>
      </w:r>
      <w:r w:rsidRPr="00D337FA">
        <w:rPr>
          <w:szCs w:val="24"/>
        </w:rPr>
        <w:t>и</w:t>
      </w:r>
      <w:r w:rsidR="006C680D" w:rsidRPr="00D337FA">
        <w:rPr>
          <w:szCs w:val="24"/>
        </w:rPr>
        <w:t xml:space="preserve"> </w:t>
      </w:r>
      <w:r w:rsidRPr="00D337FA">
        <w:rPr>
          <w:szCs w:val="24"/>
        </w:rPr>
        <w:t>определяемая</w:t>
      </w:r>
      <w:r w:rsidR="006C680D" w:rsidRPr="00D337FA">
        <w:rPr>
          <w:szCs w:val="24"/>
        </w:rPr>
        <w:t xml:space="preserve"> </w:t>
      </w:r>
      <w:r w:rsidRPr="00D337FA">
        <w:rPr>
          <w:szCs w:val="24"/>
        </w:rPr>
        <w:t>как</w:t>
      </w:r>
      <w:r w:rsidR="006C680D" w:rsidRPr="00D337FA">
        <w:rPr>
          <w:szCs w:val="24"/>
        </w:rPr>
        <w:t xml:space="preserve"> </w:t>
      </w:r>
      <w:r w:rsidRPr="00D337FA">
        <w:rPr>
          <w:szCs w:val="24"/>
        </w:rPr>
        <w:t>признанные</w:t>
      </w:r>
      <w:r w:rsidR="006C680D" w:rsidRPr="00D337FA">
        <w:rPr>
          <w:szCs w:val="24"/>
        </w:rPr>
        <w:t xml:space="preserve"> </w:t>
      </w:r>
      <w:r w:rsidRPr="00D337FA">
        <w:rPr>
          <w:szCs w:val="24"/>
        </w:rPr>
        <w:t>всеми</w:t>
      </w:r>
      <w:r w:rsidR="006C680D" w:rsidRPr="00D337FA">
        <w:rPr>
          <w:szCs w:val="24"/>
        </w:rPr>
        <w:t xml:space="preserve"> </w:t>
      </w:r>
      <w:r w:rsidRPr="00D337FA">
        <w:rPr>
          <w:szCs w:val="24"/>
        </w:rPr>
        <w:t>научные</w:t>
      </w:r>
      <w:r w:rsidR="006C680D" w:rsidRPr="00D337FA">
        <w:rPr>
          <w:szCs w:val="24"/>
        </w:rPr>
        <w:t xml:space="preserve"> </w:t>
      </w:r>
      <w:r w:rsidRPr="00D337FA">
        <w:rPr>
          <w:szCs w:val="24"/>
        </w:rPr>
        <w:t>достижения,</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в</w:t>
      </w:r>
      <w:r w:rsidR="006C680D" w:rsidRPr="00D337FA">
        <w:rPr>
          <w:szCs w:val="24"/>
        </w:rPr>
        <w:t xml:space="preserve"> </w:t>
      </w:r>
      <w:r w:rsidRPr="00D337FA">
        <w:rPr>
          <w:szCs w:val="24"/>
        </w:rPr>
        <w:t>течение</w:t>
      </w:r>
      <w:r w:rsidR="006C680D" w:rsidRPr="00D337FA">
        <w:rPr>
          <w:szCs w:val="24"/>
        </w:rPr>
        <w:t xml:space="preserve"> </w:t>
      </w:r>
      <w:r w:rsidRPr="00D337FA">
        <w:rPr>
          <w:szCs w:val="24"/>
        </w:rPr>
        <w:t>определенного</w:t>
      </w:r>
      <w:r w:rsidR="006C680D" w:rsidRPr="00D337FA">
        <w:rPr>
          <w:szCs w:val="24"/>
        </w:rPr>
        <w:t xml:space="preserve"> </w:t>
      </w:r>
      <w:r w:rsidRPr="00D337FA">
        <w:rPr>
          <w:szCs w:val="24"/>
        </w:rPr>
        <w:t>времени</w:t>
      </w:r>
      <w:r w:rsidR="006C680D" w:rsidRPr="00D337FA">
        <w:rPr>
          <w:szCs w:val="24"/>
        </w:rPr>
        <w:t xml:space="preserve"> </w:t>
      </w:r>
      <w:r w:rsidRPr="00D337FA">
        <w:rPr>
          <w:szCs w:val="24"/>
        </w:rPr>
        <w:t>дают</w:t>
      </w:r>
      <w:r w:rsidR="006C680D" w:rsidRPr="00D337FA">
        <w:rPr>
          <w:szCs w:val="24"/>
        </w:rPr>
        <w:t xml:space="preserve"> </w:t>
      </w:r>
      <w:r w:rsidRPr="00D337FA">
        <w:rPr>
          <w:szCs w:val="24"/>
        </w:rPr>
        <w:t>научному</w:t>
      </w:r>
      <w:r w:rsidR="006C680D" w:rsidRPr="00D337FA">
        <w:rPr>
          <w:szCs w:val="24"/>
        </w:rPr>
        <w:t xml:space="preserve"> </w:t>
      </w:r>
      <w:r w:rsidRPr="00D337FA">
        <w:rPr>
          <w:szCs w:val="24"/>
        </w:rPr>
        <w:t>сообществу</w:t>
      </w:r>
      <w:r w:rsidR="006C680D" w:rsidRPr="00D337FA">
        <w:rPr>
          <w:szCs w:val="24"/>
        </w:rPr>
        <w:t xml:space="preserve"> </w:t>
      </w:r>
      <w:r w:rsidRPr="00D337FA">
        <w:rPr>
          <w:szCs w:val="24"/>
        </w:rPr>
        <w:t>модель</w:t>
      </w:r>
      <w:r w:rsidR="006C680D" w:rsidRPr="00D337FA">
        <w:rPr>
          <w:szCs w:val="24"/>
        </w:rPr>
        <w:t xml:space="preserve"> </w:t>
      </w:r>
      <w:r w:rsidRPr="00D337FA">
        <w:rPr>
          <w:szCs w:val="24"/>
        </w:rPr>
        <w:t>постановки</w:t>
      </w:r>
      <w:r w:rsidR="006C680D" w:rsidRPr="00D337FA">
        <w:rPr>
          <w:szCs w:val="24"/>
        </w:rPr>
        <w:t xml:space="preserve"> </w:t>
      </w:r>
      <w:r w:rsidRPr="00D337FA">
        <w:rPr>
          <w:szCs w:val="24"/>
        </w:rPr>
        <w:t>проблем</w:t>
      </w:r>
      <w:r w:rsidR="006C680D" w:rsidRPr="00D337FA">
        <w:rPr>
          <w:szCs w:val="24"/>
        </w:rPr>
        <w:t xml:space="preserve"> </w:t>
      </w:r>
      <w:r w:rsidRPr="00D337FA">
        <w:rPr>
          <w:szCs w:val="24"/>
        </w:rPr>
        <w:t>и</w:t>
      </w:r>
      <w:r w:rsidR="006C680D" w:rsidRPr="00D337FA">
        <w:rPr>
          <w:szCs w:val="24"/>
        </w:rPr>
        <w:t xml:space="preserve"> </w:t>
      </w:r>
      <w:r w:rsidRPr="00D337FA">
        <w:rPr>
          <w:szCs w:val="24"/>
        </w:rPr>
        <w:t>их</w:t>
      </w:r>
      <w:r w:rsidR="006C680D" w:rsidRPr="00D337FA">
        <w:rPr>
          <w:szCs w:val="24"/>
        </w:rPr>
        <w:t xml:space="preserve"> </w:t>
      </w:r>
      <w:r w:rsidRPr="00D337FA">
        <w:rPr>
          <w:szCs w:val="24"/>
        </w:rPr>
        <w:t>решений.</w:t>
      </w:r>
      <w:r w:rsidR="006C680D" w:rsidRPr="00D337FA">
        <w:rPr>
          <w:szCs w:val="24"/>
        </w:rPr>
        <w:t xml:space="preserve"> </w:t>
      </w:r>
      <w:r w:rsidRPr="00D337FA">
        <w:rPr>
          <w:szCs w:val="24"/>
        </w:rPr>
        <w:t>Именно</w:t>
      </w:r>
      <w:r w:rsidR="006C680D" w:rsidRPr="00D337FA">
        <w:rPr>
          <w:szCs w:val="24"/>
        </w:rPr>
        <w:t xml:space="preserve"> </w:t>
      </w:r>
      <w:r w:rsidRPr="00D337FA">
        <w:rPr>
          <w:szCs w:val="24"/>
        </w:rPr>
        <w:t>она</w:t>
      </w:r>
      <w:r w:rsidR="006C680D" w:rsidRPr="00D337FA">
        <w:rPr>
          <w:szCs w:val="24"/>
        </w:rPr>
        <w:t xml:space="preserve"> </w:t>
      </w:r>
      <w:r w:rsidRPr="00D337FA">
        <w:rPr>
          <w:szCs w:val="24"/>
        </w:rPr>
        <w:t>лежит</w:t>
      </w:r>
      <w:r w:rsidR="006C680D" w:rsidRPr="00D337FA">
        <w:rPr>
          <w:szCs w:val="24"/>
        </w:rPr>
        <w:t xml:space="preserve"> </w:t>
      </w:r>
      <w:r w:rsidRPr="00D337FA">
        <w:rPr>
          <w:szCs w:val="24"/>
        </w:rPr>
        <w:t>в</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составных</w:t>
      </w:r>
      <w:r w:rsidR="006C680D" w:rsidRPr="00D337FA">
        <w:rPr>
          <w:szCs w:val="24"/>
        </w:rPr>
        <w:t xml:space="preserve"> </w:t>
      </w:r>
      <w:r w:rsidRPr="00D337FA">
        <w:rPr>
          <w:szCs w:val="24"/>
        </w:rPr>
        <w:t>частей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так</w:t>
      </w:r>
      <w:r w:rsidR="006C680D" w:rsidRPr="00D337FA">
        <w:rPr>
          <w:szCs w:val="24"/>
        </w:rPr>
        <w:t xml:space="preserve"> </w:t>
      </w:r>
      <w:r w:rsidRPr="00D337FA">
        <w:rPr>
          <w:szCs w:val="24"/>
        </w:rPr>
        <w:t>как</w:t>
      </w:r>
      <w:r w:rsidR="006C680D" w:rsidRPr="00D337FA">
        <w:rPr>
          <w:szCs w:val="24"/>
        </w:rPr>
        <w:t xml:space="preserve"> </w:t>
      </w:r>
      <w:r w:rsidRPr="00D337FA">
        <w:rPr>
          <w:szCs w:val="24"/>
        </w:rPr>
        <w:t>концентрирует</w:t>
      </w:r>
      <w:r w:rsidR="006C680D" w:rsidRPr="00D337FA">
        <w:rPr>
          <w:szCs w:val="24"/>
        </w:rPr>
        <w:t xml:space="preserve"> </w:t>
      </w:r>
      <w:r w:rsidRPr="00D337FA">
        <w:rPr>
          <w:szCs w:val="24"/>
        </w:rPr>
        <w:t>в</w:t>
      </w:r>
      <w:r w:rsidR="006C680D" w:rsidRPr="00D337FA">
        <w:rPr>
          <w:szCs w:val="24"/>
        </w:rPr>
        <w:t xml:space="preserve"> </w:t>
      </w:r>
      <w:r w:rsidRPr="00D337FA">
        <w:rPr>
          <w:szCs w:val="24"/>
        </w:rPr>
        <w:t>себе</w:t>
      </w:r>
      <w:r w:rsidR="006C680D" w:rsidRPr="00D337FA">
        <w:rPr>
          <w:szCs w:val="24"/>
        </w:rPr>
        <w:t xml:space="preserve"> </w:t>
      </w:r>
      <w:r w:rsidRPr="00D337FA">
        <w:rPr>
          <w:szCs w:val="24"/>
        </w:rPr>
        <w:t>все</w:t>
      </w:r>
      <w:r w:rsidR="006C680D" w:rsidRPr="00D337FA">
        <w:rPr>
          <w:szCs w:val="24"/>
        </w:rPr>
        <w:t xml:space="preserve"> </w:t>
      </w:r>
      <w:r w:rsidRPr="00D337FA">
        <w:rPr>
          <w:szCs w:val="24"/>
        </w:rPr>
        <w:t>фундаментальные</w:t>
      </w:r>
      <w:r w:rsidR="006C680D" w:rsidRPr="00D337FA">
        <w:rPr>
          <w:szCs w:val="24"/>
        </w:rPr>
        <w:t xml:space="preserve"> </w:t>
      </w:r>
      <w:r w:rsidRPr="00D337FA">
        <w:rPr>
          <w:szCs w:val="24"/>
        </w:rPr>
        <w:t>основы</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которые</w:t>
      </w:r>
      <w:r w:rsidR="006C680D" w:rsidRPr="00D337FA">
        <w:rPr>
          <w:szCs w:val="24"/>
        </w:rPr>
        <w:t xml:space="preserve"> </w:t>
      </w:r>
      <w:r w:rsidRPr="00D337FA">
        <w:rPr>
          <w:szCs w:val="24"/>
        </w:rPr>
        <w:t>формируются</w:t>
      </w:r>
      <w:r w:rsidR="006C680D" w:rsidRPr="00D337FA">
        <w:rPr>
          <w:szCs w:val="24"/>
        </w:rPr>
        <w:t xml:space="preserve"> </w:t>
      </w:r>
      <w:r w:rsidRPr="00D337FA">
        <w:rPr>
          <w:szCs w:val="24"/>
        </w:rPr>
        <w:t>под</w:t>
      </w:r>
      <w:r w:rsidR="006C680D" w:rsidRPr="00D337FA">
        <w:rPr>
          <w:szCs w:val="24"/>
        </w:rPr>
        <w:t xml:space="preserve"> </w:t>
      </w:r>
      <w:r w:rsidRPr="00D337FA">
        <w:rPr>
          <w:szCs w:val="24"/>
        </w:rPr>
        <w:t>влиянием</w:t>
      </w:r>
      <w:r w:rsidR="006C680D" w:rsidRPr="00D337FA">
        <w:rPr>
          <w:szCs w:val="24"/>
        </w:rPr>
        <w:t xml:space="preserve"> </w:t>
      </w:r>
      <w:r w:rsidRPr="00D337FA">
        <w:rPr>
          <w:szCs w:val="24"/>
        </w:rPr>
        <w:t>исторических</w:t>
      </w:r>
      <w:r w:rsidR="006C680D" w:rsidRPr="00D337FA">
        <w:rPr>
          <w:szCs w:val="24"/>
        </w:rPr>
        <w:t xml:space="preserve"> </w:t>
      </w:r>
      <w:r w:rsidRPr="00D337FA">
        <w:rPr>
          <w:szCs w:val="24"/>
        </w:rPr>
        <w:t>событий,</w:t>
      </w:r>
      <w:r w:rsidR="006C680D" w:rsidRPr="00D337FA">
        <w:rPr>
          <w:szCs w:val="24"/>
        </w:rPr>
        <w:t xml:space="preserve"> </w:t>
      </w:r>
      <w:r w:rsidRPr="00D337FA">
        <w:rPr>
          <w:szCs w:val="24"/>
        </w:rPr>
        <w:t>изменения</w:t>
      </w:r>
      <w:r w:rsidR="006C680D" w:rsidRPr="00D337FA">
        <w:rPr>
          <w:szCs w:val="24"/>
        </w:rPr>
        <w:t xml:space="preserve"> </w:t>
      </w:r>
      <w:r w:rsidRPr="00D337FA">
        <w:rPr>
          <w:szCs w:val="24"/>
        </w:rPr>
        <w:t>отношения</w:t>
      </w:r>
      <w:r w:rsidR="006C680D" w:rsidRPr="00D337FA">
        <w:rPr>
          <w:szCs w:val="24"/>
        </w:rPr>
        <w:t xml:space="preserve"> </w:t>
      </w:r>
      <w:r w:rsidRPr="00D337FA">
        <w:rPr>
          <w:szCs w:val="24"/>
        </w:rPr>
        <w:t>к</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рынку</w:t>
      </w:r>
      <w:r w:rsidR="006C680D" w:rsidRPr="00D337FA">
        <w:rPr>
          <w:szCs w:val="24"/>
        </w:rPr>
        <w:t xml:space="preserve"> </w:t>
      </w:r>
      <w:r w:rsidRPr="00D337FA">
        <w:rPr>
          <w:szCs w:val="24"/>
        </w:rPr>
        <w:t>[10]</w:t>
      </w:r>
      <w:r w:rsidR="0002772A" w:rsidRPr="00D337FA">
        <w:rPr>
          <w:szCs w:val="24"/>
        </w:rPr>
        <w:t>.</w:t>
      </w:r>
    </w:p>
    <w:p w:rsidR="0002772A" w:rsidRPr="00D337FA" w:rsidRDefault="0002772A" w:rsidP="00C03F09">
      <w:pPr>
        <w:ind w:firstLine="142"/>
        <w:rPr>
          <w:szCs w:val="24"/>
        </w:rPr>
      </w:pPr>
    </w:p>
    <w:p w:rsidR="00C03F09" w:rsidRPr="00D337FA" w:rsidRDefault="00C03F09" w:rsidP="00C03F09">
      <w:pPr>
        <w:ind w:firstLine="142"/>
        <w:rPr>
          <w:b/>
          <w:szCs w:val="24"/>
        </w:rPr>
      </w:pPr>
      <w:r w:rsidRPr="00D337FA">
        <w:rPr>
          <w:b/>
          <w:szCs w:val="24"/>
        </w:rPr>
        <w:t>Результаты</w:t>
      </w:r>
    </w:p>
    <w:p w:rsidR="006E52B9" w:rsidRPr="00D337FA" w:rsidRDefault="00C03F09" w:rsidP="00C03F09">
      <w:pPr>
        <w:pStyle w:val="aff5"/>
        <w:shd w:val="clear" w:color="auto" w:fill="FFFFFF"/>
        <w:spacing w:before="0" w:beforeAutospacing="0" w:after="0" w:afterAutospacing="0"/>
        <w:ind w:firstLine="142"/>
        <w:jc w:val="both"/>
        <w:rPr>
          <w:sz w:val="28"/>
          <w:szCs w:val="28"/>
        </w:rPr>
      </w:pPr>
      <w:r w:rsidRPr="00D337FA">
        <w:rPr>
          <w:rFonts w:eastAsia="Calibri"/>
          <w:lang w:eastAsia="en-US"/>
        </w:rPr>
        <w:t>Объединив</w:t>
      </w:r>
      <w:r w:rsidR="006C680D" w:rsidRPr="00D337FA">
        <w:rPr>
          <w:rFonts w:eastAsia="Calibri"/>
          <w:lang w:eastAsia="en-US"/>
        </w:rPr>
        <w:t xml:space="preserve"> </w:t>
      </w:r>
      <w:r w:rsidRPr="00D337FA">
        <w:rPr>
          <w:rFonts w:eastAsia="Calibri"/>
          <w:lang w:eastAsia="en-US"/>
        </w:rPr>
        <w:t>рассмотренные</w:t>
      </w:r>
      <w:r w:rsidR="006C680D" w:rsidRPr="00D337FA">
        <w:rPr>
          <w:rFonts w:eastAsia="Calibri"/>
          <w:lang w:eastAsia="en-US"/>
        </w:rPr>
        <w:t xml:space="preserve"> </w:t>
      </w:r>
      <w:r w:rsidRPr="00D337FA">
        <w:rPr>
          <w:rFonts w:eastAsia="Calibri"/>
          <w:lang w:eastAsia="en-US"/>
        </w:rPr>
        <w:t>элементы</w:t>
      </w:r>
      <w:r w:rsidR="006C680D" w:rsidRPr="00D337FA">
        <w:rPr>
          <w:rFonts w:eastAsia="Calibri"/>
          <w:lang w:eastAsia="en-US"/>
        </w:rPr>
        <w:t xml:space="preserve"> </w:t>
      </w:r>
      <w:r w:rsidRPr="00D337FA">
        <w:rPr>
          <w:rFonts w:eastAsia="Calibri"/>
          <w:lang w:eastAsia="en-US"/>
        </w:rPr>
        <w:t>можно</w:t>
      </w:r>
      <w:r w:rsidR="006C680D" w:rsidRPr="00D337FA">
        <w:rPr>
          <w:rFonts w:eastAsia="Calibri"/>
          <w:lang w:eastAsia="en-US"/>
        </w:rPr>
        <w:t xml:space="preserve"> </w:t>
      </w:r>
      <w:r w:rsidRPr="00D337FA">
        <w:rPr>
          <w:rFonts w:eastAsia="Calibri"/>
          <w:lang w:eastAsia="en-US"/>
        </w:rPr>
        <w:t>наглядно</w:t>
      </w:r>
      <w:r w:rsidR="006C680D" w:rsidRPr="00D337FA">
        <w:rPr>
          <w:rFonts w:eastAsia="Calibri"/>
          <w:lang w:eastAsia="en-US"/>
        </w:rPr>
        <w:t xml:space="preserve"> </w:t>
      </w:r>
      <w:r w:rsidRPr="00D337FA">
        <w:rPr>
          <w:rFonts w:eastAsia="Calibri"/>
          <w:lang w:eastAsia="en-US"/>
        </w:rPr>
        <w:t>представить</w:t>
      </w:r>
      <w:r w:rsidR="006C680D" w:rsidRPr="00D337FA">
        <w:rPr>
          <w:rFonts w:eastAsia="Calibri"/>
          <w:lang w:eastAsia="en-US"/>
        </w:rPr>
        <w:t xml:space="preserve"> </w:t>
      </w:r>
      <w:r w:rsidRPr="00D337FA">
        <w:rPr>
          <w:rFonts w:eastAsia="Calibri"/>
          <w:lang w:eastAsia="en-US"/>
        </w:rPr>
        <w:t>методологию</w:t>
      </w:r>
      <w:r w:rsidR="006C680D" w:rsidRPr="00D337FA">
        <w:rPr>
          <w:rFonts w:eastAsia="Calibri"/>
          <w:lang w:eastAsia="en-US"/>
        </w:rPr>
        <w:t xml:space="preserve"> </w:t>
      </w:r>
      <w:r w:rsidRPr="00D337FA">
        <w:rPr>
          <w:rFonts w:eastAsia="Calibri"/>
          <w:lang w:eastAsia="en-US"/>
        </w:rPr>
        <w:t>управления</w:t>
      </w:r>
      <w:r w:rsidR="006C680D" w:rsidRPr="00D337FA">
        <w:rPr>
          <w:rFonts w:eastAsia="Calibri"/>
          <w:lang w:eastAsia="en-US"/>
        </w:rPr>
        <w:t xml:space="preserve"> </w:t>
      </w:r>
      <w:r w:rsidRPr="00D337FA">
        <w:rPr>
          <w:rFonts w:eastAsia="Calibri"/>
          <w:lang w:eastAsia="en-US"/>
        </w:rPr>
        <w:t>инновационной</w:t>
      </w:r>
      <w:r w:rsidR="006C680D" w:rsidRPr="00D337FA">
        <w:rPr>
          <w:rFonts w:eastAsia="Calibri"/>
          <w:lang w:eastAsia="en-US"/>
        </w:rPr>
        <w:t xml:space="preserve"> </w:t>
      </w:r>
      <w:r w:rsidRPr="00D337FA">
        <w:rPr>
          <w:rFonts w:eastAsia="Calibri"/>
          <w:lang w:eastAsia="en-US"/>
        </w:rPr>
        <w:t>деятельностью</w:t>
      </w:r>
      <w:r w:rsidR="006C680D" w:rsidRPr="00D337FA">
        <w:rPr>
          <w:rFonts w:eastAsia="Calibri"/>
          <w:lang w:eastAsia="en-US"/>
        </w:rPr>
        <w:t xml:space="preserve"> </w:t>
      </w:r>
      <w:r w:rsidRPr="00D337FA">
        <w:rPr>
          <w:rFonts w:eastAsia="Calibri"/>
          <w:lang w:eastAsia="en-US"/>
        </w:rPr>
        <w:t>в</w:t>
      </w:r>
      <w:r w:rsidR="006C680D" w:rsidRPr="00D337FA">
        <w:rPr>
          <w:rFonts w:eastAsia="Calibri"/>
          <w:lang w:eastAsia="en-US"/>
        </w:rPr>
        <w:t xml:space="preserve"> </w:t>
      </w:r>
      <w:r w:rsidRPr="00D337FA">
        <w:rPr>
          <w:rFonts w:eastAsia="Calibri"/>
          <w:lang w:eastAsia="en-US"/>
        </w:rPr>
        <w:t>виде</w:t>
      </w:r>
      <w:r w:rsidR="006C680D" w:rsidRPr="00D337FA">
        <w:rPr>
          <w:rFonts w:eastAsia="Calibri"/>
          <w:lang w:eastAsia="en-US"/>
        </w:rPr>
        <w:t xml:space="preserve"> </w:t>
      </w:r>
      <w:r w:rsidRPr="00D337FA">
        <w:rPr>
          <w:rFonts w:eastAsia="Calibri"/>
          <w:lang w:eastAsia="en-US"/>
        </w:rPr>
        <w:t>схемы</w:t>
      </w:r>
      <w:r w:rsidR="006C680D" w:rsidRPr="00D337FA">
        <w:rPr>
          <w:rFonts w:eastAsia="Calibri"/>
          <w:lang w:eastAsia="en-US"/>
        </w:rPr>
        <w:t xml:space="preserve"> </w:t>
      </w:r>
      <w:r w:rsidRPr="00D337FA">
        <w:rPr>
          <w:rFonts w:eastAsia="Calibri"/>
          <w:lang w:eastAsia="en-US"/>
        </w:rPr>
        <w:t>(рисунок).</w:t>
      </w:r>
      <w:r w:rsidR="006C680D" w:rsidRPr="00D337FA">
        <w:rPr>
          <w:rFonts w:eastAsia="Calibri"/>
          <w:lang w:eastAsia="en-US"/>
        </w:rPr>
        <w:t xml:space="preserve"> </w:t>
      </w:r>
    </w:p>
    <w:p w:rsidR="006E52B9" w:rsidRPr="00D337FA" w:rsidRDefault="006E52B9" w:rsidP="00847021">
      <w:pPr>
        <w:ind w:firstLine="142"/>
        <w:rPr>
          <w:i/>
          <w:szCs w:val="24"/>
        </w:rPr>
        <w:sectPr w:rsidR="006E52B9" w:rsidRPr="00D337FA" w:rsidSect="006E52B9">
          <w:footnotePr>
            <w:numRestart w:val="eachPage"/>
          </w:footnotePr>
          <w:type w:val="continuous"/>
          <w:pgSz w:w="11907" w:h="16840" w:code="9"/>
          <w:pgMar w:top="1418" w:right="1134" w:bottom="1418" w:left="1134" w:header="1021" w:footer="1021" w:gutter="0"/>
          <w:cols w:num="2" w:space="708"/>
          <w:docGrid w:linePitch="360"/>
        </w:sectPr>
      </w:pPr>
    </w:p>
    <w:p w:rsidR="00230516" w:rsidRPr="00D337FA" w:rsidRDefault="00EC45F1" w:rsidP="00847021">
      <w:pPr>
        <w:ind w:firstLine="142"/>
        <w:rPr>
          <w:i/>
          <w:szCs w:val="24"/>
        </w:rPr>
      </w:pPr>
      <w:r w:rsidRPr="00D337FA">
        <w:rPr>
          <w:noProof/>
          <w:lang w:eastAsia="ru-RU"/>
        </w:rPr>
        <w:lastRenderedPageBreak/>
        <w:drawing>
          <wp:inline distT="0" distB="0" distL="0" distR="0" wp14:anchorId="640CE02C" wp14:editId="5D00D56B">
            <wp:extent cx="6120765" cy="26822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етодология1_page-0001.jpg"/>
                    <pic:cNvPicPr/>
                  </pic:nvPicPr>
                  <pic:blipFill rotWithShape="1">
                    <a:blip r:embed="rId32">
                      <a:extLst>
                        <a:ext uri="{28A0092B-C50C-407E-A947-70E740481C1C}">
                          <a14:useLocalDpi xmlns:a14="http://schemas.microsoft.com/office/drawing/2010/main" val="0"/>
                        </a:ext>
                      </a:extLst>
                    </a:blip>
                    <a:srcRect l="4081" t="7439" r="5502" b="40867"/>
                    <a:stretch/>
                  </pic:blipFill>
                  <pic:spPr bwMode="auto">
                    <a:xfrm>
                      <a:off x="0" y="0"/>
                      <a:ext cx="6120765" cy="2682240"/>
                    </a:xfrm>
                    <a:prstGeom prst="rect">
                      <a:avLst/>
                    </a:prstGeom>
                    <a:ln>
                      <a:noFill/>
                    </a:ln>
                    <a:extLst>
                      <a:ext uri="{53640926-AAD7-44D8-BBD7-CCE9431645EC}">
                        <a14:shadowObscured xmlns:a14="http://schemas.microsoft.com/office/drawing/2010/main"/>
                      </a:ext>
                    </a:extLst>
                  </pic:spPr>
                </pic:pic>
              </a:graphicData>
            </a:graphic>
          </wp:inline>
        </w:drawing>
      </w:r>
    </w:p>
    <w:p w:rsidR="0002772A" w:rsidRPr="00D337FA" w:rsidRDefault="0002772A" w:rsidP="0002772A">
      <w:pPr>
        <w:pStyle w:val="aff5"/>
        <w:shd w:val="clear" w:color="auto" w:fill="FFFFFF"/>
        <w:spacing w:before="0" w:beforeAutospacing="0" w:after="0" w:afterAutospacing="0"/>
        <w:jc w:val="center"/>
        <w:rPr>
          <w:rFonts w:ascii="Arial" w:hAnsi="Arial" w:cs="Arial"/>
          <w:i/>
          <w:sz w:val="22"/>
          <w:szCs w:val="22"/>
        </w:rPr>
      </w:pPr>
      <w:r w:rsidRPr="00D337FA">
        <w:rPr>
          <w:rFonts w:ascii="Arial" w:hAnsi="Arial" w:cs="Arial"/>
          <w:i/>
          <w:sz w:val="22"/>
          <w:szCs w:val="22"/>
        </w:rPr>
        <w:t>Методология</w:t>
      </w:r>
      <w:r w:rsidR="006C680D" w:rsidRPr="00D337FA">
        <w:rPr>
          <w:rFonts w:ascii="Arial" w:hAnsi="Arial" w:cs="Arial"/>
          <w:i/>
          <w:sz w:val="22"/>
          <w:szCs w:val="22"/>
        </w:rPr>
        <w:t xml:space="preserve"> </w:t>
      </w:r>
      <w:r w:rsidRPr="00D337FA">
        <w:rPr>
          <w:rFonts w:ascii="Arial" w:hAnsi="Arial" w:cs="Arial"/>
          <w:i/>
          <w:sz w:val="22"/>
          <w:szCs w:val="22"/>
        </w:rPr>
        <w:t>управления</w:t>
      </w:r>
      <w:r w:rsidR="006C680D" w:rsidRPr="00D337FA">
        <w:rPr>
          <w:rFonts w:ascii="Arial" w:hAnsi="Arial" w:cs="Arial"/>
          <w:i/>
          <w:sz w:val="22"/>
          <w:szCs w:val="22"/>
        </w:rPr>
        <w:t xml:space="preserve"> </w:t>
      </w:r>
      <w:r w:rsidRPr="00D337FA">
        <w:rPr>
          <w:rFonts w:ascii="Arial" w:hAnsi="Arial" w:cs="Arial"/>
          <w:i/>
          <w:sz w:val="22"/>
          <w:szCs w:val="22"/>
        </w:rPr>
        <w:t>инновационной</w:t>
      </w:r>
      <w:r w:rsidR="006C680D" w:rsidRPr="00D337FA">
        <w:rPr>
          <w:rFonts w:ascii="Arial" w:hAnsi="Arial" w:cs="Arial"/>
          <w:i/>
          <w:sz w:val="22"/>
          <w:szCs w:val="22"/>
        </w:rPr>
        <w:t xml:space="preserve"> </w:t>
      </w:r>
      <w:r w:rsidRPr="00D337FA">
        <w:rPr>
          <w:rFonts w:ascii="Arial" w:hAnsi="Arial" w:cs="Arial"/>
          <w:i/>
          <w:sz w:val="22"/>
          <w:szCs w:val="22"/>
        </w:rPr>
        <w:t>деятельностью</w:t>
      </w:r>
      <w:r w:rsidR="006C680D" w:rsidRPr="00D337FA">
        <w:rPr>
          <w:rFonts w:ascii="Arial" w:hAnsi="Arial" w:cs="Arial"/>
          <w:i/>
          <w:sz w:val="22"/>
          <w:szCs w:val="22"/>
        </w:rPr>
        <w:t xml:space="preserve"> </w:t>
      </w:r>
    </w:p>
    <w:p w:rsidR="006E52B9" w:rsidRPr="00D337FA" w:rsidRDefault="0002772A" w:rsidP="006E52B9">
      <w:pPr>
        <w:pStyle w:val="aff5"/>
        <w:shd w:val="clear" w:color="auto" w:fill="FFFFFF"/>
        <w:spacing w:before="0" w:beforeAutospacing="0" w:after="0" w:afterAutospacing="0"/>
        <w:jc w:val="center"/>
        <w:rPr>
          <w:rFonts w:ascii="Arial" w:hAnsi="Arial" w:cs="Arial"/>
          <w:b/>
          <w:i/>
          <w:sz w:val="22"/>
          <w:szCs w:val="22"/>
        </w:rPr>
      </w:pPr>
      <w:r w:rsidRPr="00D337FA">
        <w:rPr>
          <w:rFonts w:ascii="Arial" w:hAnsi="Arial" w:cs="Arial"/>
          <w:i/>
          <w:sz w:val="18"/>
          <w:szCs w:val="18"/>
        </w:rPr>
        <w:t>Источник:</w:t>
      </w:r>
      <w:r w:rsidR="006C680D" w:rsidRPr="00D337FA">
        <w:rPr>
          <w:rFonts w:ascii="Arial" w:hAnsi="Arial" w:cs="Arial"/>
          <w:i/>
          <w:sz w:val="18"/>
          <w:szCs w:val="18"/>
        </w:rPr>
        <w:t xml:space="preserve"> </w:t>
      </w:r>
      <w:r w:rsidRPr="00D337FA">
        <w:rPr>
          <w:rFonts w:ascii="Arial" w:hAnsi="Arial" w:cs="Arial"/>
          <w:i/>
          <w:sz w:val="18"/>
          <w:szCs w:val="18"/>
        </w:rPr>
        <w:t>составлено</w:t>
      </w:r>
      <w:r w:rsidR="006C680D" w:rsidRPr="00D337FA">
        <w:rPr>
          <w:rFonts w:ascii="Arial" w:hAnsi="Arial" w:cs="Arial"/>
          <w:i/>
          <w:sz w:val="18"/>
          <w:szCs w:val="18"/>
        </w:rPr>
        <w:t xml:space="preserve"> </w:t>
      </w:r>
      <w:r w:rsidRPr="00D337FA">
        <w:rPr>
          <w:rFonts w:ascii="Arial" w:hAnsi="Arial" w:cs="Arial"/>
          <w:i/>
          <w:sz w:val="18"/>
          <w:szCs w:val="18"/>
        </w:rPr>
        <w:t>автором</w:t>
      </w:r>
    </w:p>
    <w:p w:rsidR="006E52B9" w:rsidRPr="00D337FA" w:rsidRDefault="006E52B9" w:rsidP="00847021">
      <w:pPr>
        <w:ind w:firstLine="142"/>
        <w:rPr>
          <w:szCs w:val="24"/>
        </w:rPr>
        <w:sectPr w:rsidR="006E52B9"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EC45F1" w:rsidRPr="00D337FA" w:rsidRDefault="00EC45F1" w:rsidP="0002772A">
      <w:pPr>
        <w:ind w:firstLine="284"/>
      </w:pPr>
      <w:r w:rsidRPr="00D337FA">
        <w:rPr>
          <w:szCs w:val="24"/>
        </w:rPr>
        <w:lastRenderedPageBreak/>
        <w:t>На</w:t>
      </w:r>
      <w:r w:rsidR="006C680D" w:rsidRPr="00D337FA">
        <w:rPr>
          <w:szCs w:val="24"/>
        </w:rPr>
        <w:t xml:space="preserve"> </w:t>
      </w:r>
      <w:r w:rsidRPr="00D337FA">
        <w:rPr>
          <w:szCs w:val="24"/>
        </w:rPr>
        <w:t>рисунке</w:t>
      </w:r>
      <w:r w:rsidR="006C680D" w:rsidRPr="00D337FA">
        <w:rPr>
          <w:szCs w:val="24"/>
        </w:rPr>
        <w:t xml:space="preserve"> </w:t>
      </w:r>
      <w:r w:rsidRPr="00D337FA">
        <w:rPr>
          <w:szCs w:val="24"/>
        </w:rPr>
        <w:t>можно</w:t>
      </w:r>
      <w:r w:rsidR="006C680D" w:rsidRPr="00D337FA">
        <w:rPr>
          <w:szCs w:val="24"/>
        </w:rPr>
        <w:t xml:space="preserve"> </w:t>
      </w:r>
      <w:r w:rsidRPr="00D337FA">
        <w:rPr>
          <w:szCs w:val="24"/>
        </w:rPr>
        <w:t>стрелками</w:t>
      </w:r>
      <w:r w:rsidR="006C680D" w:rsidRPr="00D337FA">
        <w:rPr>
          <w:szCs w:val="24"/>
        </w:rPr>
        <w:t xml:space="preserve"> </w:t>
      </w:r>
      <w:r w:rsidRPr="00D337FA">
        <w:rPr>
          <w:szCs w:val="24"/>
        </w:rPr>
        <w:t>показано</w:t>
      </w:r>
      <w:r w:rsidR="006C680D" w:rsidRPr="00D337FA">
        <w:rPr>
          <w:szCs w:val="24"/>
        </w:rPr>
        <w:t xml:space="preserve"> </w:t>
      </w:r>
      <w:r w:rsidRPr="00D337FA">
        <w:rPr>
          <w:szCs w:val="24"/>
        </w:rPr>
        <w:t>применение</w:t>
      </w:r>
      <w:r w:rsidR="006C680D" w:rsidRPr="00D337FA">
        <w:rPr>
          <w:szCs w:val="24"/>
        </w:rPr>
        <w:t xml:space="preserve"> </w:t>
      </w:r>
      <w:r w:rsidRPr="00D337FA">
        <w:rPr>
          <w:szCs w:val="24"/>
        </w:rPr>
        <w:t>предложенной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в</w:t>
      </w:r>
      <w:r w:rsidR="006C680D" w:rsidRPr="00D337FA">
        <w:rPr>
          <w:szCs w:val="24"/>
        </w:rPr>
        <w:t xml:space="preserve"> </w:t>
      </w:r>
      <w:r w:rsidRPr="00D337FA">
        <w:rPr>
          <w:szCs w:val="24"/>
        </w:rPr>
        <w:t>рамках</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субъект,</w:t>
      </w:r>
      <w:r w:rsidR="006C680D" w:rsidRPr="00D337FA">
        <w:rPr>
          <w:szCs w:val="24"/>
        </w:rPr>
        <w:t xml:space="preserve"> </w:t>
      </w:r>
      <w:r w:rsidRPr="00D337FA">
        <w:rPr>
          <w:szCs w:val="24"/>
        </w:rPr>
        <w:t>имея</w:t>
      </w:r>
      <w:r w:rsidR="006C680D" w:rsidRPr="00D337FA">
        <w:rPr>
          <w:szCs w:val="24"/>
        </w:rPr>
        <w:t xml:space="preserve"> </w:t>
      </w:r>
      <w:r w:rsidRPr="00D337FA">
        <w:rPr>
          <w:szCs w:val="24"/>
        </w:rPr>
        <w:t>определенную</w:t>
      </w:r>
      <w:r w:rsidR="006C680D" w:rsidRPr="00D337FA">
        <w:rPr>
          <w:szCs w:val="24"/>
        </w:rPr>
        <w:t xml:space="preserve"> </w:t>
      </w:r>
      <w:r w:rsidRPr="00D337FA">
        <w:rPr>
          <w:szCs w:val="24"/>
        </w:rPr>
        <w:t>цель,</w:t>
      </w:r>
      <w:r w:rsidR="006C680D" w:rsidRPr="00D337FA">
        <w:rPr>
          <w:szCs w:val="24"/>
        </w:rPr>
        <w:t xml:space="preserve"> </w:t>
      </w:r>
      <w:r w:rsidRPr="00D337FA">
        <w:rPr>
          <w:szCs w:val="24"/>
        </w:rPr>
        <w:t>под</w:t>
      </w:r>
      <w:r w:rsidR="006C680D" w:rsidRPr="00D337FA">
        <w:rPr>
          <w:szCs w:val="24"/>
        </w:rPr>
        <w:t xml:space="preserve"> </w:t>
      </w:r>
      <w:r w:rsidRPr="00D337FA">
        <w:rPr>
          <w:szCs w:val="24"/>
        </w:rPr>
        <w:t>влиянием</w:t>
      </w:r>
      <w:r w:rsidR="006C680D" w:rsidRPr="00D337FA">
        <w:rPr>
          <w:szCs w:val="24"/>
        </w:rPr>
        <w:t xml:space="preserve"> </w:t>
      </w:r>
      <w:r w:rsidRPr="00D337FA">
        <w:rPr>
          <w:szCs w:val="24"/>
        </w:rPr>
        <w:t>условий</w:t>
      </w:r>
      <w:r w:rsidR="006C680D" w:rsidRPr="00D337FA">
        <w:rPr>
          <w:szCs w:val="24"/>
        </w:rPr>
        <w:t xml:space="preserve"> </w:t>
      </w:r>
      <w:r w:rsidRPr="00D337FA">
        <w:rPr>
          <w:szCs w:val="24"/>
        </w:rPr>
        <w:t>выбирает</w:t>
      </w:r>
      <w:r w:rsidR="006C680D" w:rsidRPr="00D337FA">
        <w:rPr>
          <w:szCs w:val="24"/>
        </w:rPr>
        <w:t xml:space="preserve"> </w:t>
      </w:r>
      <w:r w:rsidRPr="00D337FA">
        <w:rPr>
          <w:szCs w:val="24"/>
        </w:rPr>
        <w:t>объект</w:t>
      </w:r>
      <w:r w:rsidR="006C680D" w:rsidRPr="00D337FA">
        <w:rPr>
          <w:szCs w:val="24"/>
        </w:rPr>
        <w:t xml:space="preserve"> </w:t>
      </w:r>
      <w:r w:rsidRPr="00D337FA">
        <w:rPr>
          <w:szCs w:val="24"/>
        </w:rPr>
        <w:t>и</w:t>
      </w:r>
      <w:r w:rsidR="006C680D" w:rsidRPr="00D337FA">
        <w:rPr>
          <w:szCs w:val="24"/>
        </w:rPr>
        <w:t xml:space="preserve"> </w:t>
      </w:r>
      <w:r w:rsidRPr="00D337FA">
        <w:rPr>
          <w:szCs w:val="24"/>
        </w:rPr>
        <w:t>предмет</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а</w:t>
      </w:r>
      <w:r w:rsidR="006C680D" w:rsidRPr="00D337FA">
        <w:rPr>
          <w:szCs w:val="24"/>
        </w:rPr>
        <w:t xml:space="preserve"> </w:t>
      </w:r>
      <w:r w:rsidRPr="00D337FA">
        <w:rPr>
          <w:szCs w:val="24"/>
        </w:rPr>
        <w:t>затем</w:t>
      </w:r>
      <w:r w:rsidR="006C680D" w:rsidRPr="00D337FA">
        <w:rPr>
          <w:szCs w:val="24"/>
        </w:rPr>
        <w:t xml:space="preserve"> </w:t>
      </w:r>
      <w:r w:rsidRPr="00D337FA">
        <w:rPr>
          <w:szCs w:val="24"/>
        </w:rPr>
        <w:t>опираясь</w:t>
      </w:r>
      <w:r w:rsidR="006C680D" w:rsidRPr="00D337FA">
        <w:rPr>
          <w:szCs w:val="24"/>
        </w:rPr>
        <w:t xml:space="preserve"> </w:t>
      </w:r>
      <w:r w:rsidRPr="00D337FA">
        <w:rPr>
          <w:szCs w:val="24"/>
        </w:rPr>
        <w:t>на</w:t>
      </w:r>
      <w:r w:rsidR="006C680D" w:rsidRPr="00D337FA">
        <w:rPr>
          <w:szCs w:val="24"/>
        </w:rPr>
        <w:t xml:space="preserve"> </w:t>
      </w:r>
      <w:r w:rsidRPr="00D337FA">
        <w:rPr>
          <w:szCs w:val="24"/>
        </w:rPr>
        <w:t>теоретическую</w:t>
      </w:r>
      <w:r w:rsidR="006C680D" w:rsidRPr="00D337FA">
        <w:rPr>
          <w:szCs w:val="24"/>
        </w:rPr>
        <w:t xml:space="preserve"> </w:t>
      </w:r>
      <w:r w:rsidRPr="00D337FA">
        <w:rPr>
          <w:szCs w:val="24"/>
        </w:rPr>
        <w:t>базу</w:t>
      </w:r>
      <w:r w:rsidR="006C680D" w:rsidRPr="00D337FA">
        <w:rPr>
          <w:szCs w:val="24"/>
        </w:rPr>
        <w:t xml:space="preserve"> </w:t>
      </w:r>
      <w:r w:rsidRPr="00D337FA">
        <w:rPr>
          <w:szCs w:val="24"/>
        </w:rPr>
        <w:t>в</w:t>
      </w:r>
      <w:r w:rsidR="006C680D" w:rsidRPr="00D337FA">
        <w:rPr>
          <w:szCs w:val="24"/>
        </w:rPr>
        <w:t xml:space="preserve"> </w:t>
      </w:r>
      <w:r w:rsidRPr="00D337FA">
        <w:rPr>
          <w:szCs w:val="24"/>
        </w:rPr>
        <w:t>виде</w:t>
      </w:r>
      <w:r w:rsidR="006C680D" w:rsidRPr="00D337FA">
        <w:rPr>
          <w:szCs w:val="24"/>
        </w:rPr>
        <w:t xml:space="preserve"> </w:t>
      </w:r>
      <w:r w:rsidRPr="00D337FA">
        <w:rPr>
          <w:szCs w:val="24"/>
        </w:rPr>
        <w:t>подходов,</w:t>
      </w:r>
      <w:r w:rsidR="006C680D" w:rsidRPr="00D337FA">
        <w:rPr>
          <w:szCs w:val="24"/>
        </w:rPr>
        <w:t xml:space="preserve"> </w:t>
      </w:r>
      <w:r w:rsidRPr="00D337FA">
        <w:rPr>
          <w:szCs w:val="24"/>
        </w:rPr>
        <w:t>методов</w:t>
      </w:r>
      <w:r w:rsidR="006C680D" w:rsidRPr="00D337FA">
        <w:rPr>
          <w:szCs w:val="24"/>
        </w:rPr>
        <w:t xml:space="preserve"> </w:t>
      </w:r>
      <w:r w:rsidRPr="00D337FA">
        <w:rPr>
          <w:szCs w:val="24"/>
        </w:rPr>
        <w:t>и</w:t>
      </w:r>
      <w:r w:rsidR="006C680D" w:rsidRPr="00D337FA">
        <w:rPr>
          <w:szCs w:val="24"/>
        </w:rPr>
        <w:t xml:space="preserve"> </w:t>
      </w:r>
      <w:r w:rsidRPr="00D337FA">
        <w:rPr>
          <w:szCs w:val="24"/>
        </w:rPr>
        <w:t>понятий,</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призму</w:t>
      </w:r>
      <w:r w:rsidR="006C680D" w:rsidRPr="00D337FA">
        <w:rPr>
          <w:szCs w:val="24"/>
        </w:rPr>
        <w:t xml:space="preserve"> </w:t>
      </w:r>
      <w:r w:rsidRPr="00D337FA">
        <w:rPr>
          <w:szCs w:val="24"/>
        </w:rPr>
        <w:t>принципов</w:t>
      </w:r>
      <w:r w:rsidR="006C680D" w:rsidRPr="00D337FA">
        <w:rPr>
          <w:szCs w:val="24"/>
        </w:rPr>
        <w:t xml:space="preserve"> </w:t>
      </w:r>
      <w:r w:rsidRPr="00D337FA">
        <w:rPr>
          <w:szCs w:val="24"/>
        </w:rPr>
        <w:t>и</w:t>
      </w:r>
      <w:r w:rsidR="006C680D" w:rsidRPr="00D337FA">
        <w:rPr>
          <w:szCs w:val="24"/>
        </w:rPr>
        <w:t xml:space="preserve"> </w:t>
      </w:r>
      <w:r w:rsidRPr="00D337FA">
        <w:rPr>
          <w:szCs w:val="24"/>
        </w:rPr>
        <w:t>с</w:t>
      </w:r>
      <w:r w:rsidR="006C680D" w:rsidRPr="00D337FA">
        <w:rPr>
          <w:szCs w:val="24"/>
        </w:rPr>
        <w:t xml:space="preserve"> </w:t>
      </w:r>
      <w:r w:rsidRPr="00D337FA">
        <w:rPr>
          <w:szCs w:val="24"/>
        </w:rPr>
        <w:t>учетом</w:t>
      </w:r>
      <w:r w:rsidR="006C680D" w:rsidRPr="00D337FA">
        <w:rPr>
          <w:szCs w:val="24"/>
        </w:rPr>
        <w:t xml:space="preserve"> </w:t>
      </w:r>
      <w:r w:rsidRPr="00D337FA">
        <w:rPr>
          <w:szCs w:val="24"/>
        </w:rPr>
        <w:t>управленческого</w:t>
      </w:r>
      <w:r w:rsidR="006C680D" w:rsidRPr="00D337FA">
        <w:rPr>
          <w:szCs w:val="24"/>
        </w:rPr>
        <w:t xml:space="preserve"> </w:t>
      </w:r>
      <w:r w:rsidRPr="00D337FA">
        <w:rPr>
          <w:szCs w:val="24"/>
        </w:rPr>
        <w:t>цикла</w:t>
      </w:r>
      <w:r w:rsidR="006C680D" w:rsidRPr="00D337FA">
        <w:rPr>
          <w:szCs w:val="24"/>
        </w:rPr>
        <w:t xml:space="preserve"> </w:t>
      </w:r>
      <w:r w:rsidRPr="00D337FA">
        <w:rPr>
          <w:szCs w:val="24"/>
        </w:rPr>
        <w:t>формирует</w:t>
      </w:r>
      <w:r w:rsidR="006C680D" w:rsidRPr="00D337FA">
        <w:rPr>
          <w:szCs w:val="24"/>
        </w:rPr>
        <w:t xml:space="preserve"> </w:t>
      </w:r>
      <w:r w:rsidRPr="00D337FA">
        <w:rPr>
          <w:szCs w:val="24"/>
        </w:rPr>
        <w:t>конкретный</w:t>
      </w:r>
      <w:r w:rsidR="006C680D" w:rsidRPr="00D337FA">
        <w:rPr>
          <w:szCs w:val="24"/>
        </w:rPr>
        <w:t xml:space="preserve"> </w:t>
      </w:r>
      <w:r w:rsidRPr="00D337FA">
        <w:rPr>
          <w:szCs w:val="24"/>
        </w:rPr>
        <w:t>набор</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для</w:t>
      </w:r>
      <w:r w:rsidR="006C680D" w:rsidRPr="00D337FA">
        <w:rPr>
          <w:szCs w:val="24"/>
        </w:rPr>
        <w:t xml:space="preserve"> </w:t>
      </w:r>
      <w:r w:rsidRPr="00D337FA">
        <w:rPr>
          <w:szCs w:val="24"/>
        </w:rPr>
        <w:t>достижения</w:t>
      </w:r>
      <w:r w:rsidR="006C680D" w:rsidRPr="00D337FA">
        <w:rPr>
          <w:szCs w:val="24"/>
        </w:rPr>
        <w:t xml:space="preserve"> </w:t>
      </w:r>
      <w:r w:rsidRPr="00D337FA">
        <w:rPr>
          <w:szCs w:val="24"/>
        </w:rPr>
        <w:t>поставленной</w:t>
      </w:r>
      <w:r w:rsidR="006C680D" w:rsidRPr="00D337FA">
        <w:rPr>
          <w:szCs w:val="24"/>
        </w:rPr>
        <w:t xml:space="preserve"> </w:t>
      </w:r>
      <w:r w:rsidRPr="00D337FA">
        <w:rPr>
          <w:szCs w:val="24"/>
        </w:rPr>
        <w:t>ранее</w:t>
      </w:r>
      <w:r w:rsidR="006C680D" w:rsidRPr="00D337FA">
        <w:rPr>
          <w:szCs w:val="24"/>
        </w:rPr>
        <w:t xml:space="preserve"> </w:t>
      </w:r>
      <w:r w:rsidRPr="00D337FA">
        <w:rPr>
          <w:szCs w:val="24"/>
        </w:rPr>
        <w:t>практической</w:t>
      </w:r>
      <w:r w:rsidR="006C680D" w:rsidRPr="00D337FA">
        <w:rPr>
          <w:szCs w:val="24"/>
        </w:rPr>
        <w:t xml:space="preserve"> </w:t>
      </w:r>
      <w:r w:rsidRPr="00D337FA">
        <w:rPr>
          <w:szCs w:val="24"/>
        </w:rPr>
        <w:t>цели</w:t>
      </w:r>
      <w:r w:rsidRPr="00D337FA">
        <w:t>.</w:t>
      </w:r>
    </w:p>
    <w:p w:rsidR="00EC45F1" w:rsidRPr="00D337FA" w:rsidRDefault="00EC45F1" w:rsidP="0002772A">
      <w:pPr>
        <w:ind w:firstLine="284"/>
      </w:pPr>
    </w:p>
    <w:p w:rsidR="0002772A" w:rsidRPr="00D337FA" w:rsidRDefault="0002772A" w:rsidP="0002772A">
      <w:pPr>
        <w:ind w:firstLine="284"/>
        <w:rPr>
          <w:b/>
          <w:szCs w:val="24"/>
        </w:rPr>
      </w:pPr>
      <w:r w:rsidRPr="00D337FA">
        <w:rPr>
          <w:b/>
          <w:szCs w:val="24"/>
        </w:rPr>
        <w:t>Заключение</w:t>
      </w:r>
    </w:p>
    <w:p w:rsidR="00230516" w:rsidRDefault="0002772A" w:rsidP="0002772A">
      <w:pPr>
        <w:ind w:firstLine="284"/>
        <w:rPr>
          <w:szCs w:val="24"/>
        </w:rPr>
      </w:pPr>
      <w:r w:rsidRPr="00D337FA">
        <w:rPr>
          <w:szCs w:val="24"/>
        </w:rPr>
        <w:t>Предложенная</w:t>
      </w:r>
      <w:r w:rsidR="006C680D" w:rsidRPr="00D337FA">
        <w:rPr>
          <w:szCs w:val="24"/>
        </w:rPr>
        <w:t xml:space="preserve"> </w:t>
      </w:r>
      <w:r w:rsidRPr="00D337FA">
        <w:rPr>
          <w:szCs w:val="24"/>
        </w:rPr>
        <w:t>методология</w:t>
      </w:r>
      <w:r w:rsidR="006C680D" w:rsidRPr="00D337FA">
        <w:rPr>
          <w:szCs w:val="24"/>
        </w:rPr>
        <w:t xml:space="preserve"> </w:t>
      </w:r>
      <w:r w:rsidRPr="00D337FA">
        <w:rPr>
          <w:szCs w:val="24"/>
        </w:rPr>
        <w:t>позволяет</w:t>
      </w:r>
      <w:r w:rsidR="006C680D" w:rsidRPr="00D337FA">
        <w:rPr>
          <w:szCs w:val="24"/>
        </w:rPr>
        <w:t xml:space="preserve"> </w:t>
      </w:r>
      <w:r w:rsidRPr="00D337FA">
        <w:rPr>
          <w:szCs w:val="24"/>
        </w:rPr>
        <w:t>как</w:t>
      </w:r>
      <w:r w:rsidR="006C680D" w:rsidRPr="00D337FA">
        <w:rPr>
          <w:szCs w:val="24"/>
        </w:rPr>
        <w:t xml:space="preserve"> </w:t>
      </w:r>
      <w:r w:rsidRPr="00D337FA">
        <w:rPr>
          <w:szCs w:val="24"/>
        </w:rPr>
        <w:t>конструктор</w:t>
      </w:r>
      <w:r w:rsidR="006C680D" w:rsidRPr="00D337FA">
        <w:rPr>
          <w:szCs w:val="24"/>
        </w:rPr>
        <w:t xml:space="preserve"> </w:t>
      </w:r>
      <w:r w:rsidRPr="00D337FA">
        <w:rPr>
          <w:szCs w:val="24"/>
        </w:rPr>
        <w:t>формировать</w:t>
      </w:r>
      <w:r w:rsidR="006C680D" w:rsidRPr="00D337FA">
        <w:rPr>
          <w:szCs w:val="24"/>
        </w:rPr>
        <w:t xml:space="preserve"> </w:t>
      </w:r>
      <w:r w:rsidRPr="00D337FA">
        <w:rPr>
          <w:szCs w:val="24"/>
        </w:rPr>
        <w:t>методики</w:t>
      </w:r>
      <w:r w:rsidR="006C680D" w:rsidRPr="00D337FA">
        <w:rPr>
          <w:szCs w:val="24"/>
        </w:rPr>
        <w:t xml:space="preserve"> </w:t>
      </w:r>
      <w:r w:rsidRPr="00D337FA">
        <w:rPr>
          <w:szCs w:val="24"/>
        </w:rPr>
        <w:t>и</w:t>
      </w:r>
      <w:r w:rsidR="006C680D" w:rsidRPr="00D337FA">
        <w:rPr>
          <w:szCs w:val="24"/>
        </w:rPr>
        <w:t xml:space="preserve"> </w:t>
      </w:r>
      <w:r w:rsidRPr="00D337FA">
        <w:rPr>
          <w:szCs w:val="24"/>
        </w:rPr>
        <w:lastRenderedPageBreak/>
        <w:t>выбирать</w:t>
      </w:r>
      <w:r w:rsidR="006C680D" w:rsidRPr="00D337FA">
        <w:rPr>
          <w:szCs w:val="24"/>
        </w:rPr>
        <w:t xml:space="preserve"> </w:t>
      </w:r>
      <w:r w:rsidRPr="00D337FA">
        <w:rPr>
          <w:szCs w:val="24"/>
        </w:rPr>
        <w:t>способы</w:t>
      </w:r>
      <w:r w:rsidR="006C680D" w:rsidRPr="00D337FA">
        <w:rPr>
          <w:szCs w:val="24"/>
        </w:rPr>
        <w:t xml:space="preserve"> </w:t>
      </w:r>
      <w:r w:rsidRPr="00D337FA">
        <w:rPr>
          <w:szCs w:val="24"/>
        </w:rPr>
        <w:t>решения</w:t>
      </w:r>
      <w:r w:rsidR="006C680D" w:rsidRPr="00D337FA">
        <w:rPr>
          <w:szCs w:val="24"/>
        </w:rPr>
        <w:t xml:space="preserve"> </w:t>
      </w:r>
      <w:r w:rsidRPr="00D337FA">
        <w:rPr>
          <w:szCs w:val="24"/>
        </w:rPr>
        <w:t>определенных</w:t>
      </w:r>
      <w:r w:rsidR="006C680D" w:rsidRPr="00D337FA">
        <w:rPr>
          <w:szCs w:val="24"/>
        </w:rPr>
        <w:t xml:space="preserve"> </w:t>
      </w:r>
      <w:r w:rsidRPr="00D337FA">
        <w:rPr>
          <w:szCs w:val="24"/>
        </w:rPr>
        <w:t>управленческих</w:t>
      </w:r>
      <w:r w:rsidR="006C680D" w:rsidRPr="00D337FA">
        <w:rPr>
          <w:szCs w:val="24"/>
        </w:rPr>
        <w:t xml:space="preserve"> </w:t>
      </w:r>
      <w:r w:rsidRPr="00D337FA">
        <w:rPr>
          <w:szCs w:val="24"/>
        </w:rPr>
        <w:t>задач,</w:t>
      </w:r>
      <w:r w:rsidR="006C680D" w:rsidRPr="00D337FA">
        <w:rPr>
          <w:szCs w:val="24"/>
        </w:rPr>
        <w:t xml:space="preserve"> </w:t>
      </w:r>
      <w:r w:rsidRPr="00D337FA">
        <w:rPr>
          <w:szCs w:val="24"/>
        </w:rPr>
        <w:t>соответствующих</w:t>
      </w:r>
      <w:r w:rsidR="006C680D" w:rsidRPr="00D337FA">
        <w:rPr>
          <w:szCs w:val="24"/>
        </w:rPr>
        <w:t xml:space="preserve"> </w:t>
      </w:r>
      <w:r w:rsidRPr="00D337FA">
        <w:rPr>
          <w:szCs w:val="24"/>
        </w:rPr>
        <w:t>целям</w:t>
      </w:r>
      <w:r w:rsidR="006C680D" w:rsidRPr="00D337FA">
        <w:rPr>
          <w:szCs w:val="24"/>
        </w:rPr>
        <w:t xml:space="preserve"> </w:t>
      </w:r>
      <w:r w:rsidRPr="00D337FA">
        <w:rPr>
          <w:szCs w:val="24"/>
        </w:rPr>
        <w:t>субъекта</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В</w:t>
      </w:r>
      <w:r w:rsidR="006C680D" w:rsidRPr="00D337FA">
        <w:rPr>
          <w:szCs w:val="24"/>
        </w:rPr>
        <w:t xml:space="preserve"> </w:t>
      </w:r>
      <w:r w:rsidRPr="00D337FA">
        <w:rPr>
          <w:szCs w:val="24"/>
        </w:rPr>
        <w:t>предлагаемой</w:t>
      </w:r>
      <w:r w:rsidR="006C680D" w:rsidRPr="00D337FA">
        <w:rPr>
          <w:szCs w:val="24"/>
        </w:rPr>
        <w:t xml:space="preserve"> </w:t>
      </w:r>
      <w:r w:rsidRPr="00D337FA">
        <w:rPr>
          <w:szCs w:val="24"/>
        </w:rPr>
        <w:t>методологии</w:t>
      </w:r>
      <w:r w:rsidR="006C680D" w:rsidRPr="00D337FA">
        <w:rPr>
          <w:szCs w:val="24"/>
        </w:rPr>
        <w:t xml:space="preserve"> </w:t>
      </w:r>
      <w:r w:rsidRPr="00D337FA">
        <w:rPr>
          <w:szCs w:val="24"/>
        </w:rPr>
        <w:t>объектом</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инновационная</w:t>
      </w:r>
      <w:r w:rsidR="006C680D" w:rsidRPr="00D337FA">
        <w:rPr>
          <w:szCs w:val="24"/>
        </w:rPr>
        <w:t xml:space="preserve"> </w:t>
      </w:r>
      <w:r w:rsidRPr="00D337FA">
        <w:rPr>
          <w:szCs w:val="24"/>
        </w:rPr>
        <w:t>деятельность.</w:t>
      </w:r>
      <w:r w:rsidR="006C680D" w:rsidRPr="00D337FA">
        <w:rPr>
          <w:szCs w:val="24"/>
        </w:rPr>
        <w:t xml:space="preserve"> </w:t>
      </w:r>
      <w:r w:rsidRPr="00D337FA">
        <w:rPr>
          <w:szCs w:val="24"/>
        </w:rPr>
        <w:t>Собранные</w:t>
      </w:r>
      <w:r w:rsidR="006C680D" w:rsidRPr="00D337FA">
        <w:rPr>
          <w:szCs w:val="24"/>
        </w:rPr>
        <w:t xml:space="preserve"> </w:t>
      </w:r>
      <w:r w:rsidRPr="00D337FA">
        <w:rPr>
          <w:szCs w:val="24"/>
        </w:rPr>
        <w:t>в</w:t>
      </w:r>
      <w:r w:rsidR="006C680D" w:rsidRPr="00D337FA">
        <w:rPr>
          <w:szCs w:val="24"/>
        </w:rPr>
        <w:t xml:space="preserve"> </w:t>
      </w:r>
      <w:r w:rsidRPr="00D337FA">
        <w:rPr>
          <w:szCs w:val="24"/>
        </w:rPr>
        <w:t>единую</w:t>
      </w:r>
      <w:r w:rsidR="006C680D" w:rsidRPr="00D337FA">
        <w:rPr>
          <w:szCs w:val="24"/>
        </w:rPr>
        <w:t xml:space="preserve"> </w:t>
      </w:r>
      <w:r w:rsidRPr="00D337FA">
        <w:rPr>
          <w:szCs w:val="24"/>
        </w:rPr>
        <w:t>систему</w:t>
      </w:r>
      <w:r w:rsidR="006C680D" w:rsidRPr="00D337FA">
        <w:rPr>
          <w:szCs w:val="24"/>
        </w:rPr>
        <w:t xml:space="preserve"> </w:t>
      </w:r>
      <w:r w:rsidRPr="00D337FA">
        <w:rPr>
          <w:szCs w:val="24"/>
        </w:rPr>
        <w:t>методы</w:t>
      </w:r>
      <w:r w:rsidR="006C680D" w:rsidRPr="00D337FA">
        <w:rPr>
          <w:szCs w:val="24"/>
        </w:rPr>
        <w:t xml:space="preserve"> </w:t>
      </w:r>
      <w:r w:rsidRPr="00D337FA">
        <w:rPr>
          <w:szCs w:val="24"/>
        </w:rPr>
        <w:t>и</w:t>
      </w:r>
      <w:r w:rsidR="006C680D" w:rsidRPr="00D337FA">
        <w:rPr>
          <w:szCs w:val="24"/>
        </w:rPr>
        <w:t xml:space="preserve"> </w:t>
      </w:r>
      <w:r w:rsidRPr="00D337FA">
        <w:rPr>
          <w:szCs w:val="24"/>
        </w:rPr>
        <w:t>подходы,</w:t>
      </w:r>
      <w:r w:rsidR="006C680D" w:rsidRPr="00D337FA">
        <w:rPr>
          <w:szCs w:val="24"/>
        </w:rPr>
        <w:t xml:space="preserve"> </w:t>
      </w:r>
      <w:r w:rsidRPr="00D337FA">
        <w:rPr>
          <w:szCs w:val="24"/>
        </w:rPr>
        <w:t>сформулированные</w:t>
      </w:r>
      <w:r w:rsidR="006C680D" w:rsidRPr="00D337FA">
        <w:rPr>
          <w:szCs w:val="24"/>
        </w:rPr>
        <w:t xml:space="preserve"> </w:t>
      </w:r>
      <w:r w:rsidRPr="00D337FA">
        <w:rPr>
          <w:szCs w:val="24"/>
        </w:rPr>
        <w:t>основные</w:t>
      </w:r>
      <w:r w:rsidR="006C680D" w:rsidRPr="00D337FA">
        <w:rPr>
          <w:szCs w:val="24"/>
        </w:rPr>
        <w:t xml:space="preserve"> </w:t>
      </w:r>
      <w:r w:rsidRPr="00D337FA">
        <w:rPr>
          <w:szCs w:val="24"/>
        </w:rPr>
        <w:t>принципы</w:t>
      </w:r>
      <w:r w:rsidR="006C680D" w:rsidRPr="00D337FA">
        <w:rPr>
          <w:szCs w:val="24"/>
        </w:rPr>
        <w:t xml:space="preserve"> </w:t>
      </w:r>
      <w:r w:rsidRPr="00D337FA">
        <w:rPr>
          <w:szCs w:val="24"/>
        </w:rPr>
        <w:t>и</w:t>
      </w:r>
      <w:r w:rsidR="006C680D" w:rsidRPr="00D337FA">
        <w:rPr>
          <w:szCs w:val="24"/>
        </w:rPr>
        <w:t xml:space="preserve"> </w:t>
      </w:r>
      <w:r w:rsidRPr="00D337FA">
        <w:rPr>
          <w:szCs w:val="24"/>
        </w:rPr>
        <w:t>выделенные</w:t>
      </w:r>
      <w:r w:rsidR="006C680D" w:rsidRPr="00D337FA">
        <w:rPr>
          <w:szCs w:val="24"/>
        </w:rPr>
        <w:t xml:space="preserve"> </w:t>
      </w:r>
      <w:r w:rsidRPr="00D337FA">
        <w:rPr>
          <w:szCs w:val="24"/>
        </w:rPr>
        <w:t>условия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инновационной</w:t>
      </w:r>
      <w:r w:rsidR="006C680D" w:rsidRPr="00D337FA">
        <w:rPr>
          <w:szCs w:val="24"/>
        </w:rPr>
        <w:t xml:space="preserve"> </w:t>
      </w:r>
      <w:r w:rsidRPr="00D337FA">
        <w:rPr>
          <w:szCs w:val="24"/>
        </w:rPr>
        <w:t>деятельностью,</w:t>
      </w:r>
      <w:r w:rsidR="006C680D" w:rsidRPr="00D337FA">
        <w:rPr>
          <w:szCs w:val="24"/>
        </w:rPr>
        <w:t xml:space="preserve"> </w:t>
      </w:r>
      <w:r w:rsidRPr="00D337FA">
        <w:rPr>
          <w:szCs w:val="24"/>
        </w:rPr>
        <w:t>обеспечивают</w:t>
      </w:r>
      <w:r w:rsidR="006C680D" w:rsidRPr="00D337FA">
        <w:rPr>
          <w:szCs w:val="24"/>
        </w:rPr>
        <w:t xml:space="preserve"> </w:t>
      </w:r>
      <w:r w:rsidRPr="00D337FA">
        <w:rPr>
          <w:szCs w:val="24"/>
        </w:rPr>
        <w:t>полноценное</w:t>
      </w:r>
      <w:r w:rsidR="006C680D" w:rsidRPr="00D337FA">
        <w:rPr>
          <w:szCs w:val="24"/>
        </w:rPr>
        <w:t xml:space="preserve"> </w:t>
      </w:r>
      <w:r w:rsidRPr="00D337FA">
        <w:rPr>
          <w:szCs w:val="24"/>
        </w:rPr>
        <w:t>и</w:t>
      </w:r>
      <w:r w:rsidR="006C680D" w:rsidRPr="00D337FA">
        <w:rPr>
          <w:szCs w:val="24"/>
        </w:rPr>
        <w:t xml:space="preserve"> </w:t>
      </w:r>
      <w:r w:rsidRPr="00D337FA">
        <w:rPr>
          <w:szCs w:val="24"/>
        </w:rPr>
        <w:t>всеобъемлющее</w:t>
      </w:r>
      <w:r w:rsidR="006C680D" w:rsidRPr="00D337FA">
        <w:rPr>
          <w:szCs w:val="24"/>
        </w:rPr>
        <w:t xml:space="preserve"> </w:t>
      </w:r>
      <w:r w:rsidRPr="00D337FA">
        <w:rPr>
          <w:szCs w:val="24"/>
        </w:rPr>
        <w:t>рассмотрение</w:t>
      </w:r>
      <w:r w:rsidR="006C680D" w:rsidRPr="00D337FA">
        <w:rPr>
          <w:szCs w:val="24"/>
        </w:rPr>
        <w:t xml:space="preserve"> </w:t>
      </w:r>
      <w:r w:rsidRPr="00D337FA">
        <w:rPr>
          <w:szCs w:val="24"/>
        </w:rPr>
        <w:t>существующей</w:t>
      </w:r>
      <w:r w:rsidR="006C680D" w:rsidRPr="00D337FA">
        <w:rPr>
          <w:szCs w:val="24"/>
        </w:rPr>
        <w:t xml:space="preserve"> </w:t>
      </w:r>
      <w:r w:rsidRPr="00D337FA">
        <w:rPr>
          <w:szCs w:val="24"/>
        </w:rPr>
        <w:t>какой-либо</w:t>
      </w:r>
      <w:r w:rsidR="006C680D" w:rsidRPr="00D337FA">
        <w:rPr>
          <w:szCs w:val="24"/>
        </w:rPr>
        <w:t xml:space="preserve"> </w:t>
      </w:r>
      <w:r w:rsidRPr="00D337FA">
        <w:rPr>
          <w:szCs w:val="24"/>
        </w:rPr>
        <w:t>конкретной</w:t>
      </w:r>
      <w:r w:rsidR="006C680D" w:rsidRPr="00D337FA">
        <w:rPr>
          <w:szCs w:val="24"/>
        </w:rPr>
        <w:t xml:space="preserve"> </w:t>
      </w:r>
      <w:r w:rsidRPr="00D337FA">
        <w:rPr>
          <w:szCs w:val="24"/>
        </w:rPr>
        <w:t>проблемы</w:t>
      </w:r>
      <w:r w:rsidR="006C680D" w:rsidRPr="00D337FA">
        <w:rPr>
          <w:szCs w:val="24"/>
        </w:rPr>
        <w:t xml:space="preserve"> </w:t>
      </w:r>
      <w:r w:rsidRPr="00D337FA">
        <w:rPr>
          <w:szCs w:val="24"/>
        </w:rPr>
        <w:t>в</w:t>
      </w:r>
      <w:r w:rsidR="006C680D" w:rsidRPr="00D337FA">
        <w:rPr>
          <w:szCs w:val="24"/>
        </w:rPr>
        <w:t xml:space="preserve"> </w:t>
      </w:r>
      <w:r w:rsidRPr="00D337FA">
        <w:rPr>
          <w:szCs w:val="24"/>
        </w:rPr>
        <w:t>исследуемой</w:t>
      </w:r>
      <w:r w:rsidR="006C680D" w:rsidRPr="00D337FA">
        <w:rPr>
          <w:szCs w:val="24"/>
        </w:rPr>
        <w:t xml:space="preserve"> </w:t>
      </w:r>
      <w:r w:rsidRPr="00D337FA">
        <w:rPr>
          <w:szCs w:val="24"/>
        </w:rPr>
        <w:t>области</w:t>
      </w:r>
      <w:r w:rsidR="006C680D" w:rsidRPr="00D337FA">
        <w:rPr>
          <w:szCs w:val="24"/>
        </w:rPr>
        <w:t xml:space="preserve"> </w:t>
      </w:r>
      <w:r w:rsidRPr="00D337FA">
        <w:rPr>
          <w:szCs w:val="24"/>
        </w:rPr>
        <w:t>и</w:t>
      </w:r>
      <w:r w:rsidR="006C680D" w:rsidRPr="00D337FA">
        <w:rPr>
          <w:szCs w:val="24"/>
        </w:rPr>
        <w:t xml:space="preserve"> </w:t>
      </w:r>
      <w:r w:rsidRPr="00D337FA">
        <w:rPr>
          <w:szCs w:val="24"/>
        </w:rPr>
        <w:t>поиск</w:t>
      </w:r>
      <w:r w:rsidR="006C680D" w:rsidRPr="00D337FA">
        <w:rPr>
          <w:szCs w:val="24"/>
        </w:rPr>
        <w:t xml:space="preserve"> </w:t>
      </w:r>
      <w:r w:rsidRPr="00D337FA">
        <w:rPr>
          <w:szCs w:val="24"/>
        </w:rPr>
        <w:t>наилучших</w:t>
      </w:r>
      <w:r w:rsidR="006C680D" w:rsidRPr="00D337FA">
        <w:rPr>
          <w:szCs w:val="24"/>
        </w:rPr>
        <w:t xml:space="preserve"> </w:t>
      </w:r>
      <w:r w:rsidRPr="00D337FA">
        <w:rPr>
          <w:szCs w:val="24"/>
        </w:rPr>
        <w:t>вариантов</w:t>
      </w:r>
      <w:r w:rsidR="006C680D" w:rsidRPr="00D337FA">
        <w:rPr>
          <w:szCs w:val="24"/>
        </w:rPr>
        <w:t xml:space="preserve"> </w:t>
      </w:r>
      <w:r w:rsidRPr="00D337FA">
        <w:rPr>
          <w:szCs w:val="24"/>
        </w:rPr>
        <w:t>ее</w:t>
      </w:r>
      <w:r w:rsidR="006C680D" w:rsidRPr="00D337FA">
        <w:rPr>
          <w:szCs w:val="24"/>
        </w:rPr>
        <w:t xml:space="preserve"> </w:t>
      </w:r>
      <w:r w:rsidRPr="00D337FA">
        <w:rPr>
          <w:szCs w:val="24"/>
        </w:rPr>
        <w:t>разрешения.</w:t>
      </w:r>
    </w:p>
    <w:p w:rsidR="00255200" w:rsidRDefault="00255200" w:rsidP="0002772A">
      <w:pPr>
        <w:ind w:firstLine="284"/>
        <w:rPr>
          <w:szCs w:val="24"/>
        </w:rPr>
      </w:pPr>
    </w:p>
    <w:p w:rsidR="00255200" w:rsidRPr="00D337FA" w:rsidRDefault="00255200" w:rsidP="0002772A">
      <w:pPr>
        <w:ind w:firstLine="284"/>
        <w:rPr>
          <w:szCs w:val="24"/>
        </w:rPr>
      </w:pPr>
    </w:p>
    <w:p w:rsidR="006E52B9" w:rsidRPr="00D337FA" w:rsidRDefault="006E52B9" w:rsidP="007F0B79">
      <w:pPr>
        <w:ind w:firstLine="284"/>
        <w:rPr>
          <w:i/>
          <w:szCs w:val="24"/>
        </w:rPr>
        <w:sectPr w:rsidR="006E52B9" w:rsidRPr="00D337FA" w:rsidSect="006E52B9">
          <w:footnotePr>
            <w:numRestart w:val="eachPage"/>
          </w:footnotePr>
          <w:type w:val="continuous"/>
          <w:pgSz w:w="11907" w:h="16840" w:code="9"/>
          <w:pgMar w:top="1418" w:right="1134" w:bottom="1418" w:left="1134" w:header="1021" w:footer="1021" w:gutter="0"/>
          <w:cols w:num="2" w:space="708"/>
          <w:docGrid w:linePitch="360"/>
        </w:sectPr>
      </w:pPr>
    </w:p>
    <w:p w:rsidR="00230516" w:rsidRPr="00D337FA" w:rsidRDefault="00230516" w:rsidP="007F0B79">
      <w:pPr>
        <w:ind w:firstLine="284"/>
        <w:rPr>
          <w:i/>
          <w:szCs w:val="24"/>
        </w:rPr>
      </w:pPr>
    </w:p>
    <w:p w:rsidR="006E52B9" w:rsidRPr="00D337FA" w:rsidRDefault="006E52B9" w:rsidP="007517A2">
      <w:pPr>
        <w:ind w:firstLine="142"/>
        <w:jc w:val="center"/>
        <w:rPr>
          <w:b/>
          <w:szCs w:val="24"/>
        </w:rPr>
      </w:pPr>
      <w:r w:rsidRPr="00D337FA">
        <w:rPr>
          <w:b/>
          <w:szCs w:val="24"/>
        </w:rPr>
        <w:t>ЛИТЕРАТУР</w:t>
      </w:r>
      <w:r w:rsidR="007F0B79" w:rsidRPr="00D337FA">
        <w:rPr>
          <w:b/>
          <w:szCs w:val="24"/>
        </w:rPr>
        <w:t>А</w:t>
      </w:r>
    </w:p>
    <w:p w:rsidR="0002772A" w:rsidRPr="00D337FA" w:rsidRDefault="0002772A" w:rsidP="0002772A">
      <w:pPr>
        <w:ind w:firstLine="284"/>
        <w:rPr>
          <w:i/>
          <w:szCs w:val="24"/>
          <w:lang w:val="en-US"/>
        </w:rPr>
      </w:pPr>
      <w:r w:rsidRPr="00D337FA">
        <w:rPr>
          <w:i/>
          <w:szCs w:val="24"/>
        </w:rPr>
        <w:t>1.</w:t>
      </w:r>
      <w:r w:rsidRPr="00D337FA">
        <w:rPr>
          <w:i/>
          <w:szCs w:val="24"/>
        </w:rPr>
        <w:tab/>
        <w:t>Аникушин</w:t>
      </w:r>
      <w:r w:rsidR="006C680D" w:rsidRPr="00D337FA">
        <w:rPr>
          <w:i/>
          <w:szCs w:val="24"/>
        </w:rPr>
        <w:t xml:space="preserve"> </w:t>
      </w:r>
      <w:r w:rsidRPr="00D337FA">
        <w:rPr>
          <w:i/>
          <w:szCs w:val="24"/>
        </w:rPr>
        <w:t>С.В.,</w:t>
      </w:r>
      <w:r w:rsidR="006C680D" w:rsidRPr="00D337FA">
        <w:rPr>
          <w:i/>
          <w:szCs w:val="24"/>
        </w:rPr>
        <w:t xml:space="preserve"> </w:t>
      </w:r>
      <w:r w:rsidRPr="00D337FA">
        <w:rPr>
          <w:i/>
          <w:szCs w:val="24"/>
        </w:rPr>
        <w:t>Лысенков</w:t>
      </w:r>
      <w:r w:rsidR="006C680D" w:rsidRPr="00D337FA">
        <w:rPr>
          <w:i/>
          <w:szCs w:val="24"/>
        </w:rPr>
        <w:t xml:space="preserve"> </w:t>
      </w:r>
      <w:r w:rsidRPr="00D337FA">
        <w:rPr>
          <w:i/>
          <w:szCs w:val="24"/>
        </w:rPr>
        <w:t>С.Г.</w:t>
      </w:r>
      <w:r w:rsidR="006C680D" w:rsidRPr="00D337FA">
        <w:rPr>
          <w:i/>
          <w:szCs w:val="24"/>
        </w:rPr>
        <w:t xml:space="preserve"> </w:t>
      </w:r>
      <w:r w:rsidRPr="00D337FA">
        <w:rPr>
          <w:i/>
          <w:szCs w:val="24"/>
        </w:rPr>
        <w:t>Теоретико-философские</w:t>
      </w:r>
      <w:r w:rsidR="006C680D" w:rsidRPr="00D337FA">
        <w:rPr>
          <w:i/>
          <w:szCs w:val="24"/>
        </w:rPr>
        <w:t xml:space="preserve"> </w:t>
      </w:r>
      <w:r w:rsidRPr="00D337FA">
        <w:rPr>
          <w:i/>
          <w:szCs w:val="24"/>
        </w:rPr>
        <w:t>аспекты</w:t>
      </w:r>
      <w:r w:rsidR="006C680D" w:rsidRPr="00D337FA">
        <w:rPr>
          <w:i/>
          <w:szCs w:val="24"/>
        </w:rPr>
        <w:t xml:space="preserve"> </w:t>
      </w:r>
      <w:r w:rsidRPr="00D337FA">
        <w:rPr>
          <w:i/>
          <w:szCs w:val="24"/>
        </w:rPr>
        <w:t>понимания</w:t>
      </w:r>
      <w:r w:rsidR="006C680D" w:rsidRPr="00D337FA">
        <w:rPr>
          <w:i/>
          <w:szCs w:val="24"/>
        </w:rPr>
        <w:t xml:space="preserve"> </w:t>
      </w:r>
      <w:r w:rsidRPr="00D337FA">
        <w:rPr>
          <w:i/>
          <w:szCs w:val="24"/>
        </w:rPr>
        <w:t>категории</w:t>
      </w:r>
      <w:r w:rsidR="006C680D" w:rsidRPr="00D337FA">
        <w:rPr>
          <w:i/>
          <w:szCs w:val="24"/>
        </w:rPr>
        <w:t xml:space="preserve"> </w:t>
      </w:r>
      <w:r w:rsidRPr="00D337FA">
        <w:rPr>
          <w:i/>
          <w:szCs w:val="24"/>
        </w:rPr>
        <w:t>«Принцип»</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Вестник</w:t>
      </w:r>
      <w:r w:rsidR="006C680D" w:rsidRPr="00D337FA">
        <w:rPr>
          <w:i/>
          <w:szCs w:val="24"/>
        </w:rPr>
        <w:t xml:space="preserve"> </w:t>
      </w:r>
      <w:r w:rsidRPr="00D337FA">
        <w:rPr>
          <w:i/>
          <w:szCs w:val="24"/>
        </w:rPr>
        <w:t>Санкт-Петербургского</w:t>
      </w:r>
      <w:r w:rsidR="006C680D" w:rsidRPr="00D337FA">
        <w:rPr>
          <w:i/>
          <w:szCs w:val="24"/>
        </w:rPr>
        <w:t xml:space="preserve"> </w:t>
      </w:r>
      <w:r w:rsidRPr="00D337FA">
        <w:rPr>
          <w:i/>
          <w:szCs w:val="24"/>
        </w:rPr>
        <w:t>университета</w:t>
      </w:r>
      <w:r w:rsidR="006C680D" w:rsidRPr="00D337FA">
        <w:rPr>
          <w:i/>
          <w:szCs w:val="24"/>
        </w:rPr>
        <w:t xml:space="preserve"> </w:t>
      </w:r>
      <w:r w:rsidRPr="00D337FA">
        <w:rPr>
          <w:i/>
          <w:szCs w:val="24"/>
        </w:rPr>
        <w:t>МВД</w:t>
      </w:r>
      <w:r w:rsidR="006C680D" w:rsidRPr="00D337FA">
        <w:rPr>
          <w:i/>
          <w:szCs w:val="24"/>
        </w:rPr>
        <w:t xml:space="preserve"> </w:t>
      </w:r>
      <w:r w:rsidRPr="00D337FA">
        <w:rPr>
          <w:i/>
          <w:szCs w:val="24"/>
        </w:rPr>
        <w:t>России.</w:t>
      </w:r>
      <w:r w:rsidR="006C680D" w:rsidRPr="00D337FA">
        <w:rPr>
          <w:i/>
          <w:szCs w:val="24"/>
        </w:rPr>
        <w:t xml:space="preserve"> </w:t>
      </w:r>
      <w:r w:rsidRPr="00D337FA">
        <w:rPr>
          <w:i/>
          <w:szCs w:val="24"/>
          <w:lang w:val="en-US"/>
        </w:rPr>
        <w:t>2014.</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(62).</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https://cyberleninka.ru/article/n/teoretiko-filosofskie-aspekty-ponimaniya-kategorii-printsip</w:t>
      </w:r>
    </w:p>
    <w:p w:rsidR="0002772A" w:rsidRPr="007C1C9B" w:rsidRDefault="0002772A" w:rsidP="0002772A">
      <w:pPr>
        <w:ind w:firstLine="284"/>
        <w:rPr>
          <w:i/>
          <w:szCs w:val="24"/>
        </w:rPr>
      </w:pPr>
      <w:r w:rsidRPr="00D337FA">
        <w:rPr>
          <w:i/>
          <w:szCs w:val="24"/>
        </w:rPr>
        <w:t>2.</w:t>
      </w:r>
      <w:r w:rsidRPr="00D337FA">
        <w:rPr>
          <w:i/>
          <w:szCs w:val="24"/>
        </w:rPr>
        <w:tab/>
        <w:t>Биктагирова</w:t>
      </w:r>
      <w:r w:rsidR="006C680D" w:rsidRPr="00D337FA">
        <w:rPr>
          <w:i/>
          <w:szCs w:val="24"/>
        </w:rPr>
        <w:t xml:space="preserve"> </w:t>
      </w:r>
      <w:r w:rsidRPr="00D337FA">
        <w:rPr>
          <w:i/>
          <w:szCs w:val="24"/>
        </w:rPr>
        <w:t>А.Р.,</w:t>
      </w:r>
      <w:r w:rsidR="006C680D" w:rsidRPr="00D337FA">
        <w:rPr>
          <w:i/>
          <w:szCs w:val="24"/>
        </w:rPr>
        <w:t xml:space="preserve"> </w:t>
      </w:r>
      <w:r w:rsidRPr="00D337FA">
        <w:rPr>
          <w:i/>
          <w:szCs w:val="24"/>
        </w:rPr>
        <w:t>Хисматуллин</w:t>
      </w:r>
      <w:r w:rsidR="006C680D" w:rsidRPr="00D337FA">
        <w:rPr>
          <w:i/>
          <w:szCs w:val="24"/>
        </w:rPr>
        <w:t xml:space="preserve"> </w:t>
      </w:r>
      <w:r w:rsidRPr="00D337FA">
        <w:rPr>
          <w:i/>
          <w:szCs w:val="24"/>
        </w:rPr>
        <w:t>А.Р.</w:t>
      </w:r>
      <w:r w:rsidR="006C680D" w:rsidRPr="00D337FA">
        <w:rPr>
          <w:i/>
          <w:szCs w:val="24"/>
        </w:rPr>
        <w:t xml:space="preserve"> </w:t>
      </w:r>
      <w:r w:rsidRPr="00D337FA">
        <w:rPr>
          <w:i/>
          <w:szCs w:val="24"/>
        </w:rPr>
        <w:t>Концепции</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на</w:t>
      </w:r>
      <w:r w:rsidR="006C680D" w:rsidRPr="00D337FA">
        <w:rPr>
          <w:i/>
          <w:szCs w:val="24"/>
        </w:rPr>
        <w:t xml:space="preserve"> </w:t>
      </w:r>
      <w:r w:rsidRPr="00D337FA">
        <w:rPr>
          <w:i/>
          <w:szCs w:val="24"/>
        </w:rPr>
        <w:t>современном</w:t>
      </w:r>
      <w:r w:rsidR="006C680D" w:rsidRPr="00D337FA">
        <w:rPr>
          <w:i/>
          <w:szCs w:val="24"/>
        </w:rPr>
        <w:t xml:space="preserve"> </w:t>
      </w:r>
      <w:r w:rsidRPr="00D337FA">
        <w:rPr>
          <w:i/>
          <w:szCs w:val="24"/>
        </w:rPr>
        <w:t>предприятии:</w:t>
      </w:r>
      <w:r w:rsidR="006C680D" w:rsidRPr="00D337FA">
        <w:rPr>
          <w:i/>
          <w:szCs w:val="24"/>
        </w:rPr>
        <w:t xml:space="preserve"> </w:t>
      </w:r>
      <w:r w:rsidRPr="00D337FA">
        <w:rPr>
          <w:i/>
          <w:szCs w:val="24"/>
        </w:rPr>
        <w:t>условия</w:t>
      </w:r>
      <w:r w:rsidR="006C680D" w:rsidRPr="00D337FA">
        <w:rPr>
          <w:i/>
          <w:szCs w:val="24"/>
        </w:rPr>
        <w:t xml:space="preserve"> </w:t>
      </w:r>
      <w:r w:rsidRPr="00D337FA">
        <w:rPr>
          <w:i/>
          <w:szCs w:val="24"/>
        </w:rPr>
        <w:t>эффективности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реализации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Вестник</w:t>
      </w:r>
      <w:r w:rsidR="006C680D" w:rsidRPr="00D337FA">
        <w:rPr>
          <w:i/>
          <w:szCs w:val="24"/>
        </w:rPr>
        <w:t xml:space="preserve"> </w:t>
      </w:r>
      <w:r w:rsidRPr="00D337FA">
        <w:rPr>
          <w:i/>
          <w:szCs w:val="24"/>
        </w:rPr>
        <w:t>Башкирского</w:t>
      </w:r>
      <w:r w:rsidR="006C680D" w:rsidRPr="00D337FA">
        <w:rPr>
          <w:i/>
          <w:szCs w:val="24"/>
        </w:rPr>
        <w:t xml:space="preserve"> </w:t>
      </w:r>
      <w:r w:rsidRPr="00D337FA">
        <w:rPr>
          <w:i/>
          <w:szCs w:val="24"/>
        </w:rPr>
        <w:t>государственного</w:t>
      </w:r>
      <w:r w:rsidR="006C680D" w:rsidRPr="00D337FA">
        <w:rPr>
          <w:i/>
          <w:szCs w:val="24"/>
        </w:rPr>
        <w:t xml:space="preserve"> </w:t>
      </w:r>
      <w:r w:rsidRPr="00D337FA">
        <w:rPr>
          <w:i/>
          <w:szCs w:val="24"/>
        </w:rPr>
        <w:t>педагогического</w:t>
      </w:r>
      <w:r w:rsidR="006C680D" w:rsidRPr="00D337FA">
        <w:rPr>
          <w:i/>
          <w:szCs w:val="24"/>
        </w:rPr>
        <w:t xml:space="preserve"> </w:t>
      </w:r>
      <w:r w:rsidRPr="00D337FA">
        <w:rPr>
          <w:i/>
          <w:szCs w:val="24"/>
        </w:rPr>
        <w:t>университета</w:t>
      </w:r>
      <w:r w:rsidR="006C680D" w:rsidRPr="00D337FA">
        <w:rPr>
          <w:i/>
          <w:szCs w:val="24"/>
        </w:rPr>
        <w:t xml:space="preserve"> </w:t>
      </w:r>
      <w:r w:rsidRPr="00D337FA">
        <w:rPr>
          <w:i/>
          <w:szCs w:val="24"/>
        </w:rPr>
        <w:t>им.</w:t>
      </w:r>
      <w:r w:rsidR="006C680D" w:rsidRPr="00D337FA">
        <w:rPr>
          <w:i/>
          <w:szCs w:val="24"/>
        </w:rPr>
        <w:t xml:space="preserve"> </w:t>
      </w:r>
      <w:r w:rsidRPr="00D337FA">
        <w:rPr>
          <w:i/>
          <w:szCs w:val="24"/>
        </w:rPr>
        <w:t>М.</w:t>
      </w:r>
      <w:r w:rsidR="006C680D" w:rsidRPr="00D337FA">
        <w:rPr>
          <w:i/>
          <w:szCs w:val="24"/>
        </w:rPr>
        <w:t xml:space="preserve"> </w:t>
      </w:r>
      <w:r w:rsidRPr="00D337FA">
        <w:rPr>
          <w:i/>
          <w:szCs w:val="24"/>
        </w:rPr>
        <w:t>Акмуллы.</w:t>
      </w:r>
      <w:r w:rsidR="006C680D" w:rsidRPr="00D337FA">
        <w:rPr>
          <w:i/>
          <w:szCs w:val="24"/>
        </w:rPr>
        <w:t xml:space="preserve"> </w:t>
      </w:r>
      <w:r w:rsidRPr="00D337FA">
        <w:rPr>
          <w:i/>
          <w:szCs w:val="24"/>
        </w:rPr>
        <w:t>2019.</w:t>
      </w:r>
      <w:r w:rsidR="006C680D" w:rsidRPr="00D337FA">
        <w:rPr>
          <w:i/>
          <w:szCs w:val="24"/>
        </w:rPr>
        <w:t xml:space="preserve"> </w:t>
      </w:r>
      <w:r w:rsidRPr="00D337FA">
        <w:rPr>
          <w:i/>
          <w:szCs w:val="24"/>
        </w:rPr>
        <w:t>№1</w:t>
      </w:r>
      <w:r w:rsidR="006C680D" w:rsidRPr="00D337FA">
        <w:rPr>
          <w:i/>
          <w:szCs w:val="24"/>
        </w:rPr>
        <w:t xml:space="preserve"> </w:t>
      </w:r>
      <w:r w:rsidRPr="00D337FA">
        <w:rPr>
          <w:i/>
          <w:szCs w:val="24"/>
        </w:rPr>
        <w:t>(49).</w:t>
      </w:r>
      <w:r w:rsidR="006C680D" w:rsidRPr="00D337FA">
        <w:rPr>
          <w:i/>
          <w:szCs w:val="24"/>
        </w:rPr>
        <w:t xml:space="preserve"> </w:t>
      </w:r>
      <w:r w:rsidRPr="00D337FA">
        <w:rPr>
          <w:i/>
          <w:szCs w:val="24"/>
          <w:lang w:val="en-US"/>
        </w:rPr>
        <w:t>URL</w:t>
      </w:r>
      <w:r w:rsidRPr="007C1C9B">
        <w:rPr>
          <w:i/>
          <w:szCs w:val="24"/>
        </w:rPr>
        <w:t>:</w:t>
      </w:r>
      <w:r w:rsidR="006C680D" w:rsidRPr="007C1C9B">
        <w:rPr>
          <w:i/>
          <w:szCs w:val="24"/>
        </w:rPr>
        <w:t xml:space="preserve"> </w:t>
      </w:r>
      <w:r w:rsidRPr="00D337FA">
        <w:rPr>
          <w:i/>
          <w:szCs w:val="24"/>
          <w:lang w:val="en-US"/>
        </w:rPr>
        <w:t>https</w:t>
      </w:r>
      <w:r w:rsidRPr="007C1C9B">
        <w:rPr>
          <w:i/>
          <w:szCs w:val="24"/>
        </w:rPr>
        <w:t>://</w:t>
      </w:r>
      <w:r w:rsidRPr="00D337FA">
        <w:rPr>
          <w:i/>
          <w:szCs w:val="24"/>
          <w:lang w:val="en-US"/>
        </w:rPr>
        <w:t>cyberleninka</w:t>
      </w:r>
      <w:r w:rsidRPr="007C1C9B">
        <w:rPr>
          <w:i/>
          <w:szCs w:val="24"/>
        </w:rPr>
        <w:t>.</w:t>
      </w:r>
      <w:r w:rsidRPr="00D337FA">
        <w:rPr>
          <w:i/>
          <w:szCs w:val="24"/>
          <w:lang w:val="en-US"/>
        </w:rPr>
        <w:t>ru</w:t>
      </w:r>
      <w:r w:rsidRPr="007C1C9B">
        <w:rPr>
          <w:i/>
          <w:szCs w:val="24"/>
        </w:rPr>
        <w:t>/</w:t>
      </w:r>
      <w:r w:rsidRPr="00D337FA">
        <w:rPr>
          <w:i/>
          <w:szCs w:val="24"/>
          <w:lang w:val="en-US"/>
        </w:rPr>
        <w:t>article</w:t>
      </w:r>
      <w:r w:rsidRPr="007C1C9B">
        <w:rPr>
          <w:i/>
          <w:szCs w:val="24"/>
        </w:rPr>
        <w:t>/</w:t>
      </w:r>
      <w:r w:rsidRPr="00D337FA">
        <w:rPr>
          <w:i/>
          <w:szCs w:val="24"/>
          <w:lang w:val="en-US"/>
        </w:rPr>
        <w:t>n</w:t>
      </w:r>
      <w:r w:rsidRPr="007C1C9B">
        <w:rPr>
          <w:i/>
          <w:szCs w:val="24"/>
        </w:rPr>
        <w:t>/</w:t>
      </w:r>
      <w:r w:rsidRPr="00D337FA">
        <w:rPr>
          <w:i/>
          <w:szCs w:val="24"/>
          <w:lang w:val="en-US"/>
        </w:rPr>
        <w:t>kontseptsii</w:t>
      </w:r>
      <w:r w:rsidRPr="007C1C9B">
        <w:rPr>
          <w:i/>
          <w:szCs w:val="24"/>
        </w:rPr>
        <w:t>-</w:t>
      </w:r>
      <w:r w:rsidRPr="00D337FA">
        <w:rPr>
          <w:i/>
          <w:szCs w:val="24"/>
          <w:lang w:val="en-US"/>
        </w:rPr>
        <w:t>upravleniya</w:t>
      </w:r>
      <w:r w:rsidRPr="007C1C9B">
        <w:rPr>
          <w:i/>
          <w:szCs w:val="24"/>
        </w:rPr>
        <w:t>-</w:t>
      </w:r>
      <w:r w:rsidRPr="00D337FA">
        <w:rPr>
          <w:i/>
          <w:szCs w:val="24"/>
          <w:lang w:val="en-US"/>
        </w:rPr>
        <w:t>na</w:t>
      </w:r>
      <w:r w:rsidRPr="007C1C9B">
        <w:rPr>
          <w:i/>
          <w:szCs w:val="24"/>
        </w:rPr>
        <w:t>-</w:t>
      </w:r>
      <w:r w:rsidRPr="00D337FA">
        <w:rPr>
          <w:i/>
          <w:szCs w:val="24"/>
          <w:lang w:val="en-US"/>
        </w:rPr>
        <w:t>sovremennom</w:t>
      </w:r>
      <w:r w:rsidRPr="007C1C9B">
        <w:rPr>
          <w:i/>
          <w:szCs w:val="24"/>
        </w:rPr>
        <w:t>-</w:t>
      </w:r>
      <w:r w:rsidRPr="00D337FA">
        <w:rPr>
          <w:i/>
          <w:szCs w:val="24"/>
          <w:lang w:val="en-US"/>
        </w:rPr>
        <w:t>predpriyatii</w:t>
      </w:r>
      <w:r w:rsidRPr="007C1C9B">
        <w:rPr>
          <w:i/>
          <w:szCs w:val="24"/>
        </w:rPr>
        <w:t>-</w:t>
      </w:r>
      <w:r w:rsidRPr="00D337FA">
        <w:rPr>
          <w:i/>
          <w:szCs w:val="24"/>
          <w:lang w:val="en-US"/>
        </w:rPr>
        <w:t>usloviya</w:t>
      </w:r>
      <w:r w:rsidRPr="007C1C9B">
        <w:rPr>
          <w:i/>
          <w:szCs w:val="24"/>
        </w:rPr>
        <w:t>-</w:t>
      </w:r>
      <w:r w:rsidRPr="00D337FA">
        <w:rPr>
          <w:i/>
          <w:szCs w:val="24"/>
          <w:lang w:val="en-US"/>
        </w:rPr>
        <w:t>effektivnosti</w:t>
      </w:r>
      <w:r w:rsidRPr="007C1C9B">
        <w:rPr>
          <w:i/>
          <w:szCs w:val="24"/>
        </w:rPr>
        <w:t>-</w:t>
      </w:r>
      <w:r w:rsidRPr="00D337FA">
        <w:rPr>
          <w:i/>
          <w:szCs w:val="24"/>
          <w:lang w:val="en-US"/>
        </w:rPr>
        <w:t>i</w:t>
      </w:r>
      <w:r w:rsidRPr="007C1C9B">
        <w:rPr>
          <w:i/>
          <w:szCs w:val="24"/>
        </w:rPr>
        <w:t>-</w:t>
      </w:r>
      <w:r w:rsidRPr="00D337FA">
        <w:rPr>
          <w:i/>
          <w:szCs w:val="24"/>
          <w:lang w:val="en-US"/>
        </w:rPr>
        <w:t>problemy</w:t>
      </w:r>
      <w:r w:rsidRPr="007C1C9B">
        <w:rPr>
          <w:i/>
          <w:szCs w:val="24"/>
        </w:rPr>
        <w:t>-</w:t>
      </w:r>
      <w:r w:rsidRPr="00D337FA">
        <w:rPr>
          <w:i/>
          <w:szCs w:val="24"/>
          <w:lang w:val="en-US"/>
        </w:rPr>
        <w:t>realizatsii</w:t>
      </w:r>
      <w:r w:rsidRPr="007C1C9B">
        <w:rPr>
          <w:i/>
          <w:szCs w:val="24"/>
        </w:rPr>
        <w:t>.</w:t>
      </w:r>
    </w:p>
    <w:p w:rsidR="0002772A" w:rsidRPr="00D337FA" w:rsidRDefault="0002772A" w:rsidP="0002772A">
      <w:pPr>
        <w:ind w:firstLine="284"/>
        <w:rPr>
          <w:i/>
          <w:szCs w:val="24"/>
          <w:lang w:val="en-US"/>
        </w:rPr>
      </w:pPr>
      <w:r w:rsidRPr="00D337FA">
        <w:rPr>
          <w:i/>
          <w:szCs w:val="24"/>
        </w:rPr>
        <w:t>3.</w:t>
      </w:r>
      <w:r w:rsidRPr="00D337FA">
        <w:rPr>
          <w:i/>
          <w:szCs w:val="24"/>
        </w:rPr>
        <w:tab/>
        <w:t>Власов</w:t>
      </w:r>
      <w:r w:rsidR="006C680D" w:rsidRPr="00D337FA">
        <w:rPr>
          <w:i/>
          <w:szCs w:val="24"/>
        </w:rPr>
        <w:t xml:space="preserve"> </w:t>
      </w:r>
      <w:r w:rsidRPr="00D337FA">
        <w:rPr>
          <w:i/>
          <w:szCs w:val="24"/>
        </w:rPr>
        <w:t>Д.В.</w:t>
      </w:r>
      <w:r w:rsidR="006C680D" w:rsidRPr="00D337FA">
        <w:rPr>
          <w:i/>
          <w:szCs w:val="24"/>
        </w:rPr>
        <w:t xml:space="preserve"> </w:t>
      </w:r>
      <w:r w:rsidRPr="00D337FA">
        <w:rPr>
          <w:i/>
          <w:szCs w:val="24"/>
        </w:rPr>
        <w:t>Понятие</w:t>
      </w:r>
      <w:r w:rsidR="006C680D" w:rsidRPr="00D337FA">
        <w:rPr>
          <w:i/>
          <w:szCs w:val="24"/>
        </w:rPr>
        <w:t xml:space="preserve"> </w:t>
      </w:r>
      <w:r w:rsidRPr="00D337FA">
        <w:rPr>
          <w:i/>
          <w:szCs w:val="24"/>
        </w:rPr>
        <w:t>как</w:t>
      </w:r>
      <w:r w:rsidR="006C680D" w:rsidRPr="00D337FA">
        <w:rPr>
          <w:i/>
          <w:szCs w:val="24"/>
        </w:rPr>
        <w:t xml:space="preserve"> </w:t>
      </w:r>
      <w:r w:rsidRPr="00D337FA">
        <w:rPr>
          <w:i/>
          <w:szCs w:val="24"/>
        </w:rPr>
        <w:t>форма</w:t>
      </w:r>
      <w:r w:rsidR="006C680D" w:rsidRPr="00D337FA">
        <w:rPr>
          <w:i/>
          <w:szCs w:val="24"/>
        </w:rPr>
        <w:t xml:space="preserve"> </w:t>
      </w:r>
      <w:r w:rsidRPr="00D337FA">
        <w:rPr>
          <w:i/>
          <w:szCs w:val="24"/>
        </w:rPr>
        <w:t>мысли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проблема</w:t>
      </w:r>
      <w:r w:rsidR="006C680D" w:rsidRPr="00D337FA">
        <w:rPr>
          <w:i/>
          <w:szCs w:val="24"/>
        </w:rPr>
        <w:t xml:space="preserve"> </w:t>
      </w:r>
      <w:r w:rsidRPr="00D337FA">
        <w:rPr>
          <w:i/>
          <w:szCs w:val="24"/>
        </w:rPr>
        <w:t>онтологического</w:t>
      </w:r>
      <w:r w:rsidR="006C680D" w:rsidRPr="00D337FA">
        <w:rPr>
          <w:i/>
          <w:szCs w:val="24"/>
        </w:rPr>
        <w:t xml:space="preserve"> </w:t>
      </w:r>
      <w:r w:rsidRPr="00D337FA">
        <w:rPr>
          <w:i/>
          <w:szCs w:val="24"/>
        </w:rPr>
        <w:t>статуса</w:t>
      </w:r>
      <w:r w:rsidR="006C680D" w:rsidRPr="00D337FA">
        <w:rPr>
          <w:i/>
          <w:szCs w:val="24"/>
        </w:rPr>
        <w:t xml:space="preserve"> </w:t>
      </w:r>
      <w:r w:rsidRPr="00D337FA">
        <w:rPr>
          <w:i/>
          <w:szCs w:val="24"/>
        </w:rPr>
        <w:t>признаков</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Философия</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общество.</w:t>
      </w:r>
      <w:r w:rsidR="006C680D" w:rsidRPr="00D337FA">
        <w:rPr>
          <w:i/>
          <w:szCs w:val="24"/>
        </w:rPr>
        <w:t xml:space="preserve"> </w:t>
      </w:r>
      <w:r w:rsidRPr="00D337FA">
        <w:rPr>
          <w:i/>
          <w:szCs w:val="24"/>
          <w:lang w:val="en-US"/>
        </w:rPr>
        <w:t>2009.</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https://cyberleninka.ru/article/n/ponyatie-kak-forma-mysli-i-problema-ontologicheskogo-statusa-priznakov</w:t>
      </w:r>
      <w:r w:rsidR="006C680D" w:rsidRPr="00D337FA">
        <w:rPr>
          <w:i/>
          <w:szCs w:val="24"/>
          <w:lang w:val="en-US"/>
        </w:rPr>
        <w:t xml:space="preserve"> </w:t>
      </w:r>
    </w:p>
    <w:p w:rsidR="0002772A" w:rsidRPr="00D337FA" w:rsidRDefault="0002772A" w:rsidP="0002772A">
      <w:pPr>
        <w:ind w:firstLine="284"/>
        <w:rPr>
          <w:i/>
          <w:szCs w:val="24"/>
          <w:lang w:val="en-US"/>
        </w:rPr>
      </w:pPr>
      <w:r w:rsidRPr="00D337FA">
        <w:rPr>
          <w:i/>
          <w:szCs w:val="24"/>
        </w:rPr>
        <w:t>4.</w:t>
      </w:r>
      <w:r w:rsidRPr="00D337FA">
        <w:rPr>
          <w:i/>
          <w:szCs w:val="24"/>
        </w:rPr>
        <w:tab/>
        <w:t>Герасимов</w:t>
      </w:r>
      <w:r w:rsidR="006C680D" w:rsidRPr="00D337FA">
        <w:rPr>
          <w:i/>
          <w:szCs w:val="24"/>
        </w:rPr>
        <w:t xml:space="preserve"> </w:t>
      </w:r>
      <w:r w:rsidRPr="00D337FA">
        <w:rPr>
          <w:i/>
          <w:szCs w:val="24"/>
        </w:rPr>
        <w:t>Б.</w:t>
      </w:r>
      <w:r w:rsidR="006C680D" w:rsidRPr="00D337FA">
        <w:rPr>
          <w:i/>
          <w:szCs w:val="24"/>
        </w:rPr>
        <w:t xml:space="preserve"> </w:t>
      </w:r>
      <w:r w:rsidRPr="00D337FA">
        <w:rPr>
          <w:i/>
          <w:szCs w:val="24"/>
        </w:rPr>
        <w:t>Н.</w:t>
      </w:r>
      <w:r w:rsidR="006C680D" w:rsidRPr="00D337FA">
        <w:rPr>
          <w:i/>
          <w:szCs w:val="24"/>
        </w:rPr>
        <w:t xml:space="preserve"> </w:t>
      </w:r>
      <w:r w:rsidRPr="00D337FA">
        <w:rPr>
          <w:i/>
          <w:szCs w:val="24"/>
        </w:rPr>
        <w:t>Методология</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основания,</w:t>
      </w:r>
      <w:r w:rsidR="006C680D" w:rsidRPr="00D337FA">
        <w:rPr>
          <w:i/>
          <w:szCs w:val="24"/>
        </w:rPr>
        <w:t xml:space="preserve"> </w:t>
      </w:r>
      <w:r w:rsidRPr="00D337FA">
        <w:rPr>
          <w:i/>
          <w:szCs w:val="24"/>
        </w:rPr>
        <w:t>предпосылки,</w:t>
      </w:r>
      <w:r w:rsidR="006C680D" w:rsidRPr="00D337FA">
        <w:rPr>
          <w:i/>
          <w:szCs w:val="24"/>
        </w:rPr>
        <w:t xml:space="preserve"> </w:t>
      </w:r>
      <w:r w:rsidRPr="00D337FA">
        <w:rPr>
          <w:i/>
          <w:szCs w:val="24"/>
        </w:rPr>
        <w:t>содержание</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Экономика</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бизнес:</w:t>
      </w:r>
      <w:r w:rsidR="006C680D" w:rsidRPr="00D337FA">
        <w:rPr>
          <w:i/>
          <w:szCs w:val="24"/>
        </w:rPr>
        <w:t xml:space="preserve"> </w:t>
      </w:r>
      <w:r w:rsidRPr="00D337FA">
        <w:rPr>
          <w:i/>
          <w:szCs w:val="24"/>
        </w:rPr>
        <w:t>теория</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практика.</w:t>
      </w:r>
      <w:r w:rsidR="006C680D" w:rsidRPr="00D337FA">
        <w:rPr>
          <w:i/>
          <w:szCs w:val="24"/>
        </w:rPr>
        <w:t xml:space="preserve"> </w:t>
      </w:r>
      <w:r w:rsidRPr="00D337FA">
        <w:rPr>
          <w:i/>
          <w:szCs w:val="24"/>
          <w:lang w:val="en-US"/>
        </w:rPr>
        <w:t>2016.</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12.</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https://cyberleninka.ru/article/n/metodologiya-upravleniya-osnovaniya-predposylki-soderzhanie</w:t>
      </w:r>
    </w:p>
    <w:p w:rsidR="0002772A" w:rsidRPr="00D337FA" w:rsidRDefault="0002772A" w:rsidP="0002772A">
      <w:pPr>
        <w:ind w:firstLine="284"/>
        <w:rPr>
          <w:i/>
          <w:szCs w:val="24"/>
          <w:lang w:val="en-US"/>
        </w:rPr>
      </w:pPr>
      <w:r w:rsidRPr="00D337FA">
        <w:rPr>
          <w:i/>
          <w:szCs w:val="24"/>
        </w:rPr>
        <w:t>5.</w:t>
      </w:r>
      <w:r w:rsidRPr="00D337FA">
        <w:rPr>
          <w:i/>
          <w:szCs w:val="24"/>
        </w:rPr>
        <w:tab/>
        <w:t>Герасимов</w:t>
      </w:r>
      <w:r w:rsidR="006C680D" w:rsidRPr="00D337FA">
        <w:rPr>
          <w:i/>
          <w:szCs w:val="24"/>
        </w:rPr>
        <w:t xml:space="preserve"> </w:t>
      </w:r>
      <w:r w:rsidRPr="00D337FA">
        <w:rPr>
          <w:i/>
          <w:szCs w:val="24"/>
        </w:rPr>
        <w:t>Б.</w:t>
      </w:r>
      <w:r w:rsidR="006C680D" w:rsidRPr="00D337FA">
        <w:rPr>
          <w:i/>
          <w:szCs w:val="24"/>
        </w:rPr>
        <w:t xml:space="preserve"> </w:t>
      </w:r>
      <w:r w:rsidRPr="00D337FA">
        <w:rPr>
          <w:i/>
          <w:szCs w:val="24"/>
        </w:rPr>
        <w:t>Н.,</w:t>
      </w:r>
      <w:r w:rsidR="006C680D" w:rsidRPr="00D337FA">
        <w:rPr>
          <w:i/>
          <w:szCs w:val="24"/>
        </w:rPr>
        <w:t xml:space="preserve"> </w:t>
      </w:r>
      <w:r w:rsidRPr="00D337FA">
        <w:rPr>
          <w:i/>
          <w:szCs w:val="24"/>
        </w:rPr>
        <w:t>Шимельфениг</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Методология</w:t>
      </w:r>
      <w:r w:rsidR="006C680D" w:rsidRPr="00D337FA">
        <w:rPr>
          <w:i/>
          <w:szCs w:val="24"/>
        </w:rPr>
        <w:t xml:space="preserve"> </w:t>
      </w:r>
      <w:r w:rsidRPr="00D337FA">
        <w:rPr>
          <w:i/>
          <w:szCs w:val="24"/>
        </w:rPr>
        <w:t>менеджмента,</w:t>
      </w:r>
      <w:r w:rsidR="006C680D" w:rsidRPr="00D337FA">
        <w:rPr>
          <w:i/>
          <w:szCs w:val="24"/>
        </w:rPr>
        <w:t xml:space="preserve"> </w:t>
      </w:r>
      <w:r w:rsidRPr="00D337FA">
        <w:rPr>
          <w:i/>
          <w:szCs w:val="24"/>
        </w:rPr>
        <w:t>как</w:t>
      </w:r>
      <w:r w:rsidR="006C680D" w:rsidRPr="00D337FA">
        <w:rPr>
          <w:i/>
          <w:szCs w:val="24"/>
        </w:rPr>
        <w:t xml:space="preserve"> </w:t>
      </w:r>
      <w:r w:rsidRPr="00D337FA">
        <w:rPr>
          <w:i/>
          <w:szCs w:val="24"/>
        </w:rPr>
        <w:t>зеркало</w:t>
      </w:r>
      <w:r w:rsidR="006C680D" w:rsidRPr="00D337FA">
        <w:rPr>
          <w:i/>
          <w:szCs w:val="24"/>
        </w:rPr>
        <w:t xml:space="preserve"> </w:t>
      </w:r>
      <w:r w:rsidRPr="00D337FA">
        <w:rPr>
          <w:i/>
          <w:szCs w:val="24"/>
        </w:rPr>
        <w:t>субъектности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социальности</w:t>
      </w:r>
      <w:r w:rsidR="006C680D" w:rsidRPr="00D337FA">
        <w:rPr>
          <w:i/>
          <w:szCs w:val="24"/>
        </w:rPr>
        <w:t xml:space="preserve"> </w:t>
      </w:r>
      <w:r w:rsidRPr="00D337FA">
        <w:rPr>
          <w:i/>
          <w:szCs w:val="24"/>
        </w:rPr>
        <w:t>окружающего</w:t>
      </w:r>
      <w:r w:rsidR="006C680D" w:rsidRPr="00D337FA">
        <w:rPr>
          <w:i/>
          <w:szCs w:val="24"/>
        </w:rPr>
        <w:t xml:space="preserve"> </w:t>
      </w:r>
      <w:r w:rsidRPr="00D337FA">
        <w:rPr>
          <w:i/>
          <w:szCs w:val="24"/>
        </w:rPr>
        <w:t>мира</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Международный</w:t>
      </w:r>
      <w:r w:rsidR="006C680D" w:rsidRPr="00D337FA">
        <w:rPr>
          <w:i/>
          <w:szCs w:val="24"/>
        </w:rPr>
        <w:t xml:space="preserve"> </w:t>
      </w:r>
      <w:r w:rsidRPr="00D337FA">
        <w:rPr>
          <w:i/>
          <w:szCs w:val="24"/>
        </w:rPr>
        <w:t>журнал</w:t>
      </w:r>
      <w:r w:rsidR="006C680D" w:rsidRPr="00D337FA">
        <w:rPr>
          <w:i/>
          <w:szCs w:val="24"/>
        </w:rPr>
        <w:t xml:space="preserve"> </w:t>
      </w:r>
      <w:r w:rsidRPr="00D337FA">
        <w:rPr>
          <w:i/>
          <w:szCs w:val="24"/>
        </w:rPr>
        <w:t>гуманитарных</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естественных</w:t>
      </w:r>
      <w:r w:rsidR="006C680D" w:rsidRPr="00D337FA">
        <w:rPr>
          <w:i/>
          <w:szCs w:val="24"/>
        </w:rPr>
        <w:t xml:space="preserve"> </w:t>
      </w:r>
      <w:r w:rsidRPr="00D337FA">
        <w:rPr>
          <w:i/>
          <w:szCs w:val="24"/>
        </w:rPr>
        <w:t>наук.</w:t>
      </w:r>
      <w:r w:rsidR="006C680D" w:rsidRPr="00D337FA">
        <w:rPr>
          <w:i/>
          <w:szCs w:val="24"/>
        </w:rPr>
        <w:t xml:space="preserve"> </w:t>
      </w:r>
      <w:r w:rsidRPr="00D337FA">
        <w:rPr>
          <w:i/>
          <w:szCs w:val="24"/>
          <w:lang w:val="en-US"/>
        </w:rPr>
        <w:t>2016.</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https://cyberleninka.ru/article/n/metodologiya-menedzhmenta-kak-zerkalo-subektnosti-i-sotsialnosti-okruzhayuschego-mira</w:t>
      </w:r>
      <w:r w:rsidR="006C680D" w:rsidRPr="00D337FA">
        <w:rPr>
          <w:i/>
          <w:szCs w:val="24"/>
          <w:lang w:val="en-US"/>
        </w:rPr>
        <w:t xml:space="preserve"> </w:t>
      </w:r>
    </w:p>
    <w:p w:rsidR="0002772A" w:rsidRPr="00D337FA" w:rsidRDefault="0002772A" w:rsidP="0002772A">
      <w:pPr>
        <w:ind w:firstLine="284"/>
        <w:rPr>
          <w:i/>
          <w:szCs w:val="24"/>
          <w:lang w:val="en-US"/>
        </w:rPr>
      </w:pPr>
      <w:r w:rsidRPr="00D337FA">
        <w:rPr>
          <w:i/>
          <w:szCs w:val="24"/>
        </w:rPr>
        <w:t>6.</w:t>
      </w:r>
      <w:r w:rsidRPr="00D337FA">
        <w:rPr>
          <w:i/>
          <w:szCs w:val="24"/>
        </w:rPr>
        <w:tab/>
        <w:t>Горб</w:t>
      </w:r>
      <w:r w:rsidR="006C680D" w:rsidRPr="00D337FA">
        <w:rPr>
          <w:i/>
          <w:szCs w:val="24"/>
        </w:rPr>
        <w:t xml:space="preserve"> </w:t>
      </w:r>
      <w:r w:rsidRPr="00D337FA">
        <w:rPr>
          <w:i/>
          <w:szCs w:val="24"/>
        </w:rPr>
        <w:t>В.Г.</w:t>
      </w:r>
      <w:r w:rsidR="006C680D" w:rsidRPr="00D337FA">
        <w:rPr>
          <w:i/>
          <w:szCs w:val="24"/>
        </w:rPr>
        <w:t xml:space="preserve"> </w:t>
      </w:r>
      <w:r w:rsidRPr="00D337FA">
        <w:rPr>
          <w:i/>
          <w:szCs w:val="24"/>
        </w:rPr>
        <w:t>Концептуальный</w:t>
      </w:r>
      <w:r w:rsidR="006C680D" w:rsidRPr="00D337FA">
        <w:rPr>
          <w:i/>
          <w:szCs w:val="24"/>
        </w:rPr>
        <w:t xml:space="preserve"> </w:t>
      </w:r>
      <w:r w:rsidRPr="00D337FA">
        <w:rPr>
          <w:i/>
          <w:szCs w:val="24"/>
        </w:rPr>
        <w:t>подход</w:t>
      </w:r>
      <w:r w:rsidR="006C680D" w:rsidRPr="00D337FA">
        <w:rPr>
          <w:i/>
          <w:szCs w:val="24"/>
        </w:rPr>
        <w:t xml:space="preserve"> </w:t>
      </w:r>
      <w:r w:rsidRPr="00D337FA">
        <w:rPr>
          <w:i/>
          <w:szCs w:val="24"/>
        </w:rPr>
        <w:t>к</w:t>
      </w:r>
      <w:r w:rsidR="006C680D" w:rsidRPr="00D337FA">
        <w:rPr>
          <w:i/>
          <w:szCs w:val="24"/>
        </w:rPr>
        <w:t xml:space="preserve"> </w:t>
      </w:r>
      <w:r w:rsidRPr="00D337FA">
        <w:rPr>
          <w:i/>
          <w:szCs w:val="24"/>
        </w:rPr>
        <w:t>определению</w:t>
      </w:r>
      <w:r w:rsidR="006C680D" w:rsidRPr="00D337FA">
        <w:rPr>
          <w:i/>
          <w:szCs w:val="24"/>
        </w:rPr>
        <w:t xml:space="preserve"> </w:t>
      </w:r>
      <w:r w:rsidRPr="00D337FA">
        <w:rPr>
          <w:i/>
          <w:szCs w:val="24"/>
        </w:rPr>
        <w:t>теоретических</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методологических</w:t>
      </w:r>
      <w:r w:rsidR="006C680D" w:rsidRPr="00D337FA">
        <w:rPr>
          <w:i/>
          <w:szCs w:val="24"/>
        </w:rPr>
        <w:t xml:space="preserve"> </w:t>
      </w:r>
      <w:r w:rsidRPr="00D337FA">
        <w:rPr>
          <w:i/>
          <w:szCs w:val="24"/>
        </w:rPr>
        <w:t>основ</w:t>
      </w:r>
      <w:r w:rsidR="006C680D" w:rsidRPr="00D337FA">
        <w:rPr>
          <w:i/>
          <w:szCs w:val="24"/>
        </w:rPr>
        <w:t xml:space="preserve"> </w:t>
      </w:r>
      <w:r w:rsidRPr="00D337FA">
        <w:rPr>
          <w:i/>
          <w:szCs w:val="24"/>
        </w:rPr>
        <w:t>научно-педагогического</w:t>
      </w:r>
      <w:r w:rsidR="006C680D" w:rsidRPr="00D337FA">
        <w:rPr>
          <w:i/>
          <w:szCs w:val="24"/>
        </w:rPr>
        <w:t xml:space="preserve"> </w:t>
      </w:r>
      <w:r w:rsidRPr="00D337FA">
        <w:rPr>
          <w:i/>
          <w:szCs w:val="24"/>
        </w:rPr>
        <w:t>исследования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Образование</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наука.</w:t>
      </w:r>
      <w:r w:rsidR="006C680D" w:rsidRPr="00D337FA">
        <w:rPr>
          <w:i/>
          <w:szCs w:val="24"/>
        </w:rPr>
        <w:t xml:space="preserve"> </w:t>
      </w:r>
      <w:r w:rsidRPr="00D337FA">
        <w:rPr>
          <w:i/>
          <w:szCs w:val="24"/>
          <w:lang w:val="en-US"/>
        </w:rPr>
        <w:t>2007.</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https://cyberleninka.ru/article/n/kontseptualnyy-podhod-k-opredeleniyu-teoreticheskih-i-metodologicheskih-osnov-nauchno-pedagogicheskogo-issledovaniya</w:t>
      </w:r>
      <w:r w:rsidR="006C680D" w:rsidRPr="00D337FA">
        <w:rPr>
          <w:i/>
          <w:szCs w:val="24"/>
          <w:lang w:val="en-US"/>
        </w:rPr>
        <w:t xml:space="preserve"> </w:t>
      </w:r>
    </w:p>
    <w:p w:rsidR="0002772A" w:rsidRPr="00D337FA" w:rsidRDefault="0002772A" w:rsidP="0002772A">
      <w:pPr>
        <w:ind w:firstLine="284"/>
        <w:rPr>
          <w:i/>
          <w:szCs w:val="24"/>
        </w:rPr>
      </w:pPr>
      <w:r w:rsidRPr="00D337FA">
        <w:rPr>
          <w:i/>
          <w:szCs w:val="24"/>
        </w:rPr>
        <w:t>7.</w:t>
      </w:r>
      <w:r w:rsidRPr="00D337FA">
        <w:rPr>
          <w:i/>
          <w:szCs w:val="24"/>
        </w:rPr>
        <w:tab/>
        <w:t>Домовач</w:t>
      </w:r>
      <w:r w:rsidR="006C680D" w:rsidRPr="00D337FA">
        <w:rPr>
          <w:i/>
          <w:szCs w:val="24"/>
        </w:rPr>
        <w:t xml:space="preserve"> </w:t>
      </w:r>
      <w:r w:rsidRPr="00D337FA">
        <w:rPr>
          <w:i/>
          <w:szCs w:val="24"/>
        </w:rPr>
        <w:t>З.В.</w:t>
      </w:r>
      <w:r w:rsidR="006C680D" w:rsidRPr="00D337FA">
        <w:rPr>
          <w:i/>
          <w:szCs w:val="24"/>
        </w:rPr>
        <w:t xml:space="preserve"> </w:t>
      </w:r>
      <w:r w:rsidRPr="00D337FA">
        <w:rPr>
          <w:i/>
          <w:szCs w:val="24"/>
        </w:rPr>
        <w:t>Современная</w:t>
      </w:r>
      <w:r w:rsidR="006C680D" w:rsidRPr="00D337FA">
        <w:rPr>
          <w:i/>
          <w:szCs w:val="24"/>
        </w:rPr>
        <w:t xml:space="preserve"> </w:t>
      </w:r>
      <w:r w:rsidRPr="00D337FA">
        <w:rPr>
          <w:i/>
          <w:szCs w:val="24"/>
        </w:rPr>
        <w:t>управленческая</w:t>
      </w:r>
      <w:r w:rsidR="006C680D" w:rsidRPr="00D337FA">
        <w:rPr>
          <w:i/>
          <w:szCs w:val="24"/>
        </w:rPr>
        <w:t xml:space="preserve"> </w:t>
      </w:r>
      <w:r w:rsidRPr="00D337FA">
        <w:rPr>
          <w:i/>
          <w:szCs w:val="24"/>
        </w:rPr>
        <w:t>парадигма</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Прикладные</w:t>
      </w:r>
      <w:r w:rsidR="006C680D" w:rsidRPr="00D337FA">
        <w:rPr>
          <w:i/>
          <w:szCs w:val="24"/>
        </w:rPr>
        <w:t xml:space="preserve"> </w:t>
      </w:r>
      <w:r w:rsidRPr="00D337FA">
        <w:rPr>
          <w:i/>
          <w:szCs w:val="24"/>
        </w:rPr>
        <w:t>экономические</w:t>
      </w:r>
      <w:r w:rsidR="006C680D" w:rsidRPr="00D337FA">
        <w:rPr>
          <w:i/>
          <w:szCs w:val="24"/>
        </w:rPr>
        <w:t xml:space="preserve"> </w:t>
      </w:r>
      <w:r w:rsidRPr="00D337FA">
        <w:rPr>
          <w:i/>
          <w:szCs w:val="24"/>
        </w:rPr>
        <w:t>исследования.</w:t>
      </w:r>
      <w:r w:rsidR="006C680D" w:rsidRPr="00D337FA">
        <w:rPr>
          <w:i/>
          <w:szCs w:val="24"/>
        </w:rPr>
        <w:t xml:space="preserve"> </w:t>
      </w:r>
      <w:r w:rsidRPr="00D337FA">
        <w:rPr>
          <w:i/>
          <w:szCs w:val="24"/>
        </w:rPr>
        <w:t>2021.</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1</w:t>
      </w:r>
      <w:r w:rsidR="006C680D" w:rsidRPr="00D337FA">
        <w:rPr>
          <w:i/>
          <w:szCs w:val="24"/>
        </w:rPr>
        <w:t xml:space="preserve"> </w:t>
      </w:r>
      <w:r w:rsidRPr="00D337FA">
        <w:rPr>
          <w:i/>
          <w:szCs w:val="24"/>
        </w:rPr>
        <w:t>(41).</w:t>
      </w:r>
      <w:r w:rsidR="006C680D" w:rsidRPr="00D337FA">
        <w:rPr>
          <w:i/>
          <w:szCs w:val="24"/>
        </w:rPr>
        <w:t xml:space="preserve"> </w:t>
      </w:r>
      <w:r w:rsidRPr="00D337FA">
        <w:rPr>
          <w:i/>
          <w:szCs w:val="24"/>
        </w:rPr>
        <w:t>URL:</w:t>
      </w:r>
      <w:r w:rsidR="006C680D" w:rsidRPr="00D337FA">
        <w:rPr>
          <w:i/>
          <w:szCs w:val="24"/>
        </w:rPr>
        <w:t xml:space="preserve"> </w:t>
      </w:r>
      <w:r w:rsidRPr="00D337FA">
        <w:rPr>
          <w:i/>
          <w:szCs w:val="24"/>
        </w:rPr>
        <w:t>https://cyberleninka.ru/article/n/sovremennaya-upravlencheskaya-paradigma.</w:t>
      </w:r>
    </w:p>
    <w:p w:rsidR="0002772A" w:rsidRPr="00D337FA" w:rsidRDefault="0002772A" w:rsidP="0002772A">
      <w:pPr>
        <w:ind w:firstLine="284"/>
        <w:rPr>
          <w:i/>
          <w:szCs w:val="24"/>
        </w:rPr>
      </w:pPr>
      <w:r w:rsidRPr="00D337FA">
        <w:rPr>
          <w:i/>
          <w:szCs w:val="24"/>
        </w:rPr>
        <w:t>8.</w:t>
      </w:r>
      <w:r w:rsidRPr="00D337FA">
        <w:rPr>
          <w:i/>
          <w:szCs w:val="24"/>
        </w:rPr>
        <w:tab/>
        <w:t>Дороговцева</w:t>
      </w:r>
      <w:r w:rsidR="006C680D" w:rsidRPr="00D337FA">
        <w:rPr>
          <w:i/>
          <w:szCs w:val="24"/>
        </w:rPr>
        <w:t xml:space="preserve"> </w:t>
      </w:r>
      <w:r w:rsidRPr="00D337FA">
        <w:rPr>
          <w:i/>
          <w:szCs w:val="24"/>
        </w:rPr>
        <w:t>А.</w:t>
      </w:r>
      <w:r w:rsidR="006C680D" w:rsidRPr="00D337FA">
        <w:rPr>
          <w:i/>
          <w:szCs w:val="24"/>
        </w:rPr>
        <w:t xml:space="preserve"> </w:t>
      </w:r>
      <w:r w:rsidRPr="00D337FA">
        <w:rPr>
          <w:i/>
          <w:szCs w:val="24"/>
        </w:rPr>
        <w:t>А.</w:t>
      </w:r>
      <w:r w:rsidR="006C680D" w:rsidRPr="00D337FA">
        <w:rPr>
          <w:i/>
          <w:szCs w:val="24"/>
        </w:rPr>
        <w:t xml:space="preserve"> </w:t>
      </w:r>
      <w:r w:rsidRPr="00D337FA">
        <w:rPr>
          <w:i/>
          <w:szCs w:val="24"/>
        </w:rPr>
        <w:t>Овчаренко</w:t>
      </w:r>
      <w:r w:rsidR="006C680D" w:rsidRPr="00D337FA">
        <w:rPr>
          <w:i/>
          <w:szCs w:val="24"/>
        </w:rPr>
        <w:t xml:space="preserve"> </w:t>
      </w:r>
      <w:r w:rsidRPr="00D337FA">
        <w:rPr>
          <w:i/>
          <w:szCs w:val="24"/>
        </w:rPr>
        <w:t>Н.К.</w:t>
      </w:r>
      <w:r w:rsidR="006C680D" w:rsidRPr="00D337FA">
        <w:rPr>
          <w:i/>
          <w:szCs w:val="24"/>
        </w:rPr>
        <w:t xml:space="preserve"> </w:t>
      </w:r>
      <w:r w:rsidRPr="00D337FA">
        <w:rPr>
          <w:i/>
          <w:szCs w:val="24"/>
        </w:rPr>
        <w:t>Искусственный</w:t>
      </w:r>
      <w:r w:rsidR="006C680D" w:rsidRPr="00D337FA">
        <w:rPr>
          <w:i/>
          <w:szCs w:val="24"/>
        </w:rPr>
        <w:t xml:space="preserve"> </w:t>
      </w:r>
      <w:r w:rsidRPr="00D337FA">
        <w:rPr>
          <w:i/>
          <w:szCs w:val="24"/>
        </w:rPr>
        <w:t>интеллект</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системе</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предприятием:</w:t>
      </w:r>
      <w:r w:rsidR="006C680D" w:rsidRPr="00D337FA">
        <w:rPr>
          <w:i/>
          <w:szCs w:val="24"/>
        </w:rPr>
        <w:t xml:space="preserve"> </w:t>
      </w:r>
      <w:r w:rsidRPr="00D337FA">
        <w:rPr>
          <w:i/>
          <w:szCs w:val="24"/>
        </w:rPr>
        <w:t>эволюция,</w:t>
      </w:r>
      <w:r w:rsidR="006C680D" w:rsidRPr="00D337FA">
        <w:rPr>
          <w:i/>
          <w:szCs w:val="24"/>
        </w:rPr>
        <w:t xml:space="preserve"> </w:t>
      </w:r>
      <w:r w:rsidRPr="00D337FA">
        <w:rPr>
          <w:i/>
          <w:szCs w:val="24"/>
        </w:rPr>
        <w:t>инновации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перспективы</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Экономика,</w:t>
      </w:r>
      <w:r w:rsidR="006C680D" w:rsidRPr="00D337FA">
        <w:rPr>
          <w:i/>
          <w:szCs w:val="24"/>
        </w:rPr>
        <w:t xml:space="preserve"> </w:t>
      </w:r>
      <w:r w:rsidRPr="00D337FA">
        <w:rPr>
          <w:i/>
          <w:szCs w:val="24"/>
        </w:rPr>
        <w:t>предпринимательство</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право.</w:t>
      </w:r>
      <w:r w:rsidR="006C680D" w:rsidRPr="00D337FA">
        <w:rPr>
          <w:i/>
          <w:szCs w:val="24"/>
        </w:rPr>
        <w:t xml:space="preserve"> </w:t>
      </w:r>
      <w:r w:rsidRPr="00D337FA">
        <w:rPr>
          <w:i/>
          <w:szCs w:val="24"/>
        </w:rPr>
        <w:t>2024.</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14.</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11.</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6259-6272.</w:t>
      </w:r>
    </w:p>
    <w:p w:rsidR="0002772A" w:rsidRPr="00D337FA" w:rsidRDefault="0002772A" w:rsidP="0002772A">
      <w:pPr>
        <w:ind w:firstLine="284"/>
        <w:rPr>
          <w:i/>
          <w:szCs w:val="24"/>
        </w:rPr>
      </w:pPr>
      <w:r w:rsidRPr="00D337FA">
        <w:rPr>
          <w:i/>
          <w:szCs w:val="24"/>
        </w:rPr>
        <w:t>9.</w:t>
      </w:r>
      <w:r w:rsidRPr="00D337FA">
        <w:rPr>
          <w:i/>
          <w:szCs w:val="24"/>
        </w:rPr>
        <w:tab/>
        <w:t>Зеленов</w:t>
      </w:r>
      <w:r w:rsidR="006C680D" w:rsidRPr="00D337FA">
        <w:rPr>
          <w:i/>
          <w:szCs w:val="24"/>
        </w:rPr>
        <w:t xml:space="preserve"> </w:t>
      </w:r>
      <w:r w:rsidRPr="00D337FA">
        <w:rPr>
          <w:i/>
          <w:szCs w:val="24"/>
        </w:rPr>
        <w:t>Л.</w:t>
      </w:r>
      <w:r w:rsidR="006C680D" w:rsidRPr="00D337FA">
        <w:rPr>
          <w:i/>
          <w:szCs w:val="24"/>
        </w:rPr>
        <w:t xml:space="preserve"> </w:t>
      </w:r>
      <w:r w:rsidRPr="00D337FA">
        <w:rPr>
          <w:i/>
          <w:szCs w:val="24"/>
        </w:rPr>
        <w:t>А.</w:t>
      </w:r>
      <w:r w:rsidR="006C680D" w:rsidRPr="00D337FA">
        <w:rPr>
          <w:i/>
          <w:szCs w:val="24"/>
        </w:rPr>
        <w:t xml:space="preserve"> </w:t>
      </w:r>
      <w:r w:rsidRPr="00D337FA">
        <w:rPr>
          <w:i/>
          <w:szCs w:val="24"/>
        </w:rPr>
        <w:t>Понятие</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структура</w:t>
      </w:r>
      <w:r w:rsidR="006C680D" w:rsidRPr="00D337FA">
        <w:rPr>
          <w:i/>
          <w:szCs w:val="24"/>
        </w:rPr>
        <w:t xml:space="preserve"> </w:t>
      </w:r>
      <w:r w:rsidRPr="00D337FA">
        <w:rPr>
          <w:i/>
          <w:szCs w:val="24"/>
        </w:rPr>
        <w:t>методологии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Научные</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водного</w:t>
      </w:r>
      <w:r w:rsidR="006C680D" w:rsidRPr="00D337FA">
        <w:rPr>
          <w:i/>
          <w:szCs w:val="24"/>
        </w:rPr>
        <w:t xml:space="preserve"> </w:t>
      </w:r>
      <w:r w:rsidRPr="00D337FA">
        <w:rPr>
          <w:i/>
          <w:szCs w:val="24"/>
        </w:rPr>
        <w:t>транспорта.</w:t>
      </w:r>
      <w:r w:rsidR="006C680D" w:rsidRPr="00D337FA">
        <w:rPr>
          <w:i/>
          <w:szCs w:val="24"/>
        </w:rPr>
        <w:t xml:space="preserve"> </w:t>
      </w:r>
      <w:r w:rsidRPr="00D337FA">
        <w:rPr>
          <w:i/>
          <w:szCs w:val="24"/>
        </w:rPr>
        <w:t>2017.</w:t>
      </w:r>
      <w:r w:rsidR="006C680D" w:rsidRPr="00D337FA">
        <w:rPr>
          <w:i/>
          <w:szCs w:val="24"/>
        </w:rPr>
        <w:t xml:space="preserve"> </w:t>
      </w:r>
      <w:r w:rsidRPr="00D337FA">
        <w:rPr>
          <w:i/>
          <w:szCs w:val="24"/>
        </w:rPr>
        <w:t>№51.</w:t>
      </w:r>
      <w:r w:rsidR="006C680D" w:rsidRPr="00D337FA">
        <w:rPr>
          <w:i/>
          <w:szCs w:val="24"/>
        </w:rPr>
        <w:t xml:space="preserve"> </w:t>
      </w:r>
      <w:r w:rsidRPr="00D337FA">
        <w:rPr>
          <w:i/>
          <w:szCs w:val="24"/>
        </w:rPr>
        <w:t>URL:</w:t>
      </w:r>
      <w:r w:rsidR="006C680D" w:rsidRPr="00D337FA">
        <w:rPr>
          <w:i/>
          <w:szCs w:val="24"/>
        </w:rPr>
        <w:t xml:space="preserve"> </w:t>
      </w:r>
      <w:r w:rsidRPr="00D337FA">
        <w:rPr>
          <w:i/>
          <w:szCs w:val="24"/>
        </w:rPr>
        <w:t>https://cyberleninka.ru/article/n/ponyatie-i-struktura-metodologii</w:t>
      </w:r>
    </w:p>
    <w:p w:rsidR="0002772A" w:rsidRPr="00D337FA" w:rsidRDefault="0002772A" w:rsidP="0002772A">
      <w:pPr>
        <w:ind w:firstLine="284"/>
        <w:rPr>
          <w:i/>
          <w:szCs w:val="24"/>
        </w:rPr>
      </w:pPr>
      <w:r w:rsidRPr="00D337FA">
        <w:rPr>
          <w:i/>
          <w:szCs w:val="24"/>
        </w:rPr>
        <w:t>10.</w:t>
      </w:r>
      <w:r w:rsidRPr="00D337FA">
        <w:rPr>
          <w:i/>
          <w:szCs w:val="24"/>
        </w:rPr>
        <w:tab/>
        <w:t>Кун</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Структура</w:t>
      </w:r>
      <w:r w:rsidR="006C680D" w:rsidRPr="00D337FA">
        <w:rPr>
          <w:i/>
          <w:szCs w:val="24"/>
        </w:rPr>
        <w:t xml:space="preserve"> </w:t>
      </w:r>
      <w:r w:rsidRPr="00D337FA">
        <w:rPr>
          <w:i/>
          <w:szCs w:val="24"/>
        </w:rPr>
        <w:t>научных</w:t>
      </w:r>
      <w:r w:rsidR="006C680D" w:rsidRPr="00D337FA">
        <w:rPr>
          <w:i/>
          <w:szCs w:val="24"/>
        </w:rPr>
        <w:t xml:space="preserve"> </w:t>
      </w:r>
      <w:r w:rsidRPr="00D337FA">
        <w:rPr>
          <w:i/>
          <w:szCs w:val="24"/>
        </w:rPr>
        <w:t>революций.</w:t>
      </w:r>
      <w:r w:rsidR="006C680D" w:rsidRPr="00D337FA">
        <w:rPr>
          <w:i/>
          <w:szCs w:val="24"/>
        </w:rPr>
        <w:t xml:space="preserve"> </w:t>
      </w:r>
      <w:r w:rsidR="00255200">
        <w:rPr>
          <w:i/>
          <w:szCs w:val="24"/>
        </w:rPr>
        <w:t>–</w:t>
      </w:r>
      <w:r w:rsidR="006C680D" w:rsidRPr="00D337FA">
        <w:rPr>
          <w:i/>
          <w:szCs w:val="24"/>
        </w:rPr>
        <w:t xml:space="preserve"> </w:t>
      </w:r>
      <w:r w:rsidRPr="00D337FA">
        <w:rPr>
          <w:i/>
          <w:szCs w:val="24"/>
        </w:rPr>
        <w:t>М.:</w:t>
      </w:r>
      <w:r w:rsidR="006C680D" w:rsidRPr="00D337FA">
        <w:rPr>
          <w:i/>
          <w:szCs w:val="24"/>
        </w:rPr>
        <w:t xml:space="preserve"> </w:t>
      </w:r>
      <w:r w:rsidRPr="00D337FA">
        <w:rPr>
          <w:i/>
          <w:szCs w:val="24"/>
        </w:rPr>
        <w:t>АСТ:</w:t>
      </w:r>
      <w:r w:rsidR="006C680D" w:rsidRPr="00D337FA">
        <w:rPr>
          <w:i/>
          <w:szCs w:val="24"/>
        </w:rPr>
        <w:t xml:space="preserve"> </w:t>
      </w:r>
      <w:r w:rsidRPr="00D337FA">
        <w:rPr>
          <w:i/>
          <w:szCs w:val="24"/>
        </w:rPr>
        <w:t>АСТ</w:t>
      </w:r>
      <w:r w:rsidR="006C680D" w:rsidRPr="00D337FA">
        <w:rPr>
          <w:i/>
          <w:szCs w:val="24"/>
        </w:rPr>
        <w:t xml:space="preserve"> </w:t>
      </w:r>
      <w:r w:rsidRPr="00D337FA">
        <w:rPr>
          <w:i/>
          <w:szCs w:val="24"/>
        </w:rPr>
        <w:t>МОСКВА,</w:t>
      </w:r>
      <w:r w:rsidR="006C680D" w:rsidRPr="00D337FA">
        <w:rPr>
          <w:i/>
          <w:szCs w:val="24"/>
        </w:rPr>
        <w:t xml:space="preserve"> </w:t>
      </w:r>
      <w:r w:rsidRPr="00D337FA">
        <w:rPr>
          <w:i/>
          <w:szCs w:val="24"/>
        </w:rPr>
        <w:t>2009.</w:t>
      </w:r>
      <w:r w:rsidR="006C680D" w:rsidRPr="00D337FA">
        <w:rPr>
          <w:i/>
          <w:szCs w:val="24"/>
        </w:rPr>
        <w:t xml:space="preserve"> </w:t>
      </w:r>
      <w:r w:rsidRPr="00D337FA">
        <w:rPr>
          <w:i/>
          <w:szCs w:val="24"/>
        </w:rPr>
        <w:t>317</w:t>
      </w:r>
      <w:r w:rsidR="006C680D" w:rsidRPr="00D337FA">
        <w:rPr>
          <w:i/>
          <w:szCs w:val="24"/>
        </w:rPr>
        <w:t xml:space="preserve"> </w:t>
      </w:r>
      <w:r w:rsidRPr="00D337FA">
        <w:rPr>
          <w:i/>
          <w:szCs w:val="24"/>
        </w:rPr>
        <w:t>с.</w:t>
      </w:r>
    </w:p>
    <w:p w:rsidR="0002772A" w:rsidRPr="00D337FA" w:rsidRDefault="0002772A" w:rsidP="0002772A">
      <w:pPr>
        <w:ind w:firstLine="284"/>
        <w:rPr>
          <w:i/>
          <w:szCs w:val="24"/>
        </w:rPr>
      </w:pPr>
      <w:r w:rsidRPr="00D337FA">
        <w:rPr>
          <w:i/>
          <w:szCs w:val="24"/>
        </w:rPr>
        <w:lastRenderedPageBreak/>
        <w:t>11.</w:t>
      </w:r>
      <w:r w:rsidRPr="00D337FA">
        <w:rPr>
          <w:i/>
          <w:szCs w:val="24"/>
        </w:rPr>
        <w:tab/>
        <w:t>Манушин</w:t>
      </w:r>
      <w:r w:rsidR="006C680D" w:rsidRPr="00D337FA">
        <w:rPr>
          <w:i/>
          <w:szCs w:val="24"/>
        </w:rPr>
        <w:t xml:space="preserve"> </w:t>
      </w:r>
      <w:r w:rsidRPr="00D337FA">
        <w:rPr>
          <w:i/>
          <w:szCs w:val="24"/>
        </w:rPr>
        <w:t>Д.</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Уточнение</w:t>
      </w:r>
      <w:r w:rsidR="006C680D" w:rsidRPr="00D337FA">
        <w:rPr>
          <w:i/>
          <w:szCs w:val="24"/>
        </w:rPr>
        <w:t xml:space="preserve"> </w:t>
      </w:r>
      <w:r w:rsidRPr="00D337FA">
        <w:rPr>
          <w:i/>
          <w:szCs w:val="24"/>
        </w:rPr>
        <w:t>понятия</w:t>
      </w:r>
      <w:r w:rsidR="006C680D" w:rsidRPr="00D337FA">
        <w:rPr>
          <w:i/>
          <w:szCs w:val="24"/>
        </w:rPr>
        <w:t xml:space="preserve"> </w:t>
      </w:r>
      <w:r w:rsidRPr="00D337FA">
        <w:rPr>
          <w:i/>
          <w:szCs w:val="24"/>
        </w:rPr>
        <w:t>«Методология»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Международный</w:t>
      </w:r>
      <w:r w:rsidR="006C680D" w:rsidRPr="00D337FA">
        <w:rPr>
          <w:i/>
          <w:szCs w:val="24"/>
        </w:rPr>
        <w:t xml:space="preserve"> </w:t>
      </w:r>
      <w:r w:rsidRPr="00D337FA">
        <w:rPr>
          <w:i/>
          <w:szCs w:val="24"/>
        </w:rPr>
        <w:t>бухгалтерский</w:t>
      </w:r>
      <w:r w:rsidR="006C680D" w:rsidRPr="00D337FA">
        <w:rPr>
          <w:i/>
          <w:szCs w:val="24"/>
        </w:rPr>
        <w:t xml:space="preserve"> </w:t>
      </w:r>
      <w:r w:rsidRPr="00D337FA">
        <w:rPr>
          <w:i/>
          <w:szCs w:val="24"/>
        </w:rPr>
        <w:t>учет.</w:t>
      </w:r>
      <w:r w:rsidR="006C680D" w:rsidRPr="00D337FA">
        <w:rPr>
          <w:i/>
          <w:szCs w:val="24"/>
        </w:rPr>
        <w:t xml:space="preserve"> </w:t>
      </w:r>
      <w:r w:rsidRPr="00D337FA">
        <w:rPr>
          <w:i/>
          <w:szCs w:val="24"/>
        </w:rPr>
        <w:t>2016.</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16</w:t>
      </w:r>
      <w:r w:rsidR="006C680D" w:rsidRPr="00D337FA">
        <w:rPr>
          <w:i/>
          <w:szCs w:val="24"/>
        </w:rPr>
        <w:t xml:space="preserve"> </w:t>
      </w:r>
      <w:r w:rsidRPr="00D337FA">
        <w:rPr>
          <w:i/>
          <w:szCs w:val="24"/>
        </w:rPr>
        <w:t>(406).</w:t>
      </w:r>
      <w:r w:rsidR="006C680D" w:rsidRPr="00D337FA">
        <w:rPr>
          <w:i/>
          <w:szCs w:val="24"/>
        </w:rPr>
        <w:t xml:space="preserve"> </w:t>
      </w:r>
      <w:r w:rsidRPr="00D337FA">
        <w:rPr>
          <w:i/>
          <w:szCs w:val="24"/>
        </w:rPr>
        <w:t>URL:</w:t>
      </w:r>
      <w:r w:rsidR="006C680D" w:rsidRPr="00D337FA">
        <w:rPr>
          <w:i/>
          <w:szCs w:val="24"/>
        </w:rPr>
        <w:t xml:space="preserve"> </w:t>
      </w:r>
      <w:r w:rsidRPr="00D337FA">
        <w:rPr>
          <w:i/>
          <w:szCs w:val="24"/>
        </w:rPr>
        <w:t>https://cyberleninka.ru/article/n/utochnenie-ponyatiya-metodologiya-1</w:t>
      </w:r>
      <w:r w:rsidR="006C680D" w:rsidRPr="00D337FA">
        <w:rPr>
          <w:i/>
          <w:szCs w:val="24"/>
        </w:rPr>
        <w:t xml:space="preserve"> </w:t>
      </w:r>
    </w:p>
    <w:p w:rsidR="0002772A" w:rsidRPr="00D337FA" w:rsidRDefault="0002772A" w:rsidP="0002772A">
      <w:pPr>
        <w:ind w:firstLine="284"/>
        <w:rPr>
          <w:i/>
          <w:szCs w:val="24"/>
          <w:lang w:val="en-US"/>
        </w:rPr>
      </w:pPr>
      <w:r w:rsidRPr="00D337FA">
        <w:rPr>
          <w:i/>
          <w:szCs w:val="24"/>
        </w:rPr>
        <w:t>12.</w:t>
      </w:r>
      <w:r w:rsidRPr="00D337FA">
        <w:rPr>
          <w:i/>
          <w:szCs w:val="24"/>
        </w:rPr>
        <w:tab/>
        <w:t>Маркин</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Учение</w:t>
      </w:r>
      <w:r w:rsidR="006C680D" w:rsidRPr="00D337FA">
        <w:rPr>
          <w:i/>
          <w:szCs w:val="24"/>
        </w:rPr>
        <w:t xml:space="preserve"> </w:t>
      </w:r>
      <w:r w:rsidRPr="00D337FA">
        <w:rPr>
          <w:i/>
          <w:szCs w:val="24"/>
        </w:rPr>
        <w:t>Е.</w:t>
      </w:r>
      <w:r w:rsidR="006C680D" w:rsidRPr="00D337FA">
        <w:rPr>
          <w:i/>
          <w:szCs w:val="24"/>
        </w:rPr>
        <w:t xml:space="preserve"> </w:t>
      </w:r>
      <w:r w:rsidRPr="00D337FA">
        <w:rPr>
          <w:i/>
          <w:szCs w:val="24"/>
        </w:rPr>
        <w:t>К.</w:t>
      </w:r>
      <w:r w:rsidR="006C680D" w:rsidRPr="00D337FA">
        <w:rPr>
          <w:i/>
          <w:szCs w:val="24"/>
        </w:rPr>
        <w:t xml:space="preserve"> </w:t>
      </w:r>
      <w:r w:rsidRPr="00D337FA">
        <w:rPr>
          <w:i/>
          <w:szCs w:val="24"/>
        </w:rPr>
        <w:t>Войшвилло</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понятии:</w:t>
      </w:r>
      <w:r w:rsidR="006C680D" w:rsidRPr="00D337FA">
        <w:rPr>
          <w:i/>
          <w:szCs w:val="24"/>
        </w:rPr>
        <w:t xml:space="preserve"> </w:t>
      </w:r>
      <w:r w:rsidRPr="00D337FA">
        <w:rPr>
          <w:i/>
          <w:szCs w:val="24"/>
        </w:rPr>
        <w:t>значение</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перспективы</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Логические</w:t>
      </w:r>
      <w:r w:rsidR="006C680D" w:rsidRPr="00D337FA">
        <w:rPr>
          <w:i/>
          <w:szCs w:val="24"/>
        </w:rPr>
        <w:t xml:space="preserve"> </w:t>
      </w:r>
      <w:r w:rsidRPr="00D337FA">
        <w:rPr>
          <w:i/>
          <w:szCs w:val="24"/>
        </w:rPr>
        <w:t>исследования.</w:t>
      </w:r>
      <w:r w:rsidR="006C680D" w:rsidRPr="00D337FA">
        <w:rPr>
          <w:i/>
          <w:szCs w:val="24"/>
        </w:rPr>
        <w:t xml:space="preserve"> </w:t>
      </w:r>
      <w:r w:rsidRPr="00D337FA">
        <w:rPr>
          <w:i/>
          <w:szCs w:val="24"/>
          <w:lang w:val="en-US"/>
        </w:rPr>
        <w:t>2014.</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20.</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https://cyberleninka.ru/article/n/uchenie-e-k-voyshvillo-o-ponyatii-znachenie-i-perspektivy</w:t>
      </w:r>
    </w:p>
    <w:p w:rsidR="0002772A" w:rsidRPr="00D337FA" w:rsidRDefault="0002772A" w:rsidP="0002772A">
      <w:pPr>
        <w:ind w:firstLine="284"/>
        <w:rPr>
          <w:i/>
          <w:szCs w:val="24"/>
        </w:rPr>
      </w:pPr>
      <w:r w:rsidRPr="00D337FA">
        <w:rPr>
          <w:i/>
          <w:szCs w:val="24"/>
        </w:rPr>
        <w:t>13.</w:t>
      </w:r>
      <w:r w:rsidRPr="00D337FA">
        <w:rPr>
          <w:i/>
          <w:szCs w:val="24"/>
        </w:rPr>
        <w:tab/>
        <w:t>Мартынова</w:t>
      </w:r>
      <w:r w:rsidR="006C680D" w:rsidRPr="00D337FA">
        <w:rPr>
          <w:i/>
          <w:szCs w:val="24"/>
        </w:rPr>
        <w:t xml:space="preserve"> </w:t>
      </w:r>
      <w:r w:rsidRPr="00D337FA">
        <w:rPr>
          <w:i/>
          <w:szCs w:val="24"/>
        </w:rPr>
        <w:t>Ю.А.</w:t>
      </w:r>
      <w:r w:rsidR="006C680D" w:rsidRPr="00D337FA">
        <w:rPr>
          <w:i/>
          <w:szCs w:val="24"/>
        </w:rPr>
        <w:t xml:space="preserve"> </w:t>
      </w:r>
      <w:r w:rsidRPr="00D337FA">
        <w:rPr>
          <w:i/>
          <w:szCs w:val="24"/>
        </w:rPr>
        <w:t>Инновационная</w:t>
      </w:r>
      <w:r w:rsidR="006C680D" w:rsidRPr="00D337FA">
        <w:rPr>
          <w:i/>
          <w:szCs w:val="24"/>
        </w:rPr>
        <w:t xml:space="preserve"> </w:t>
      </w:r>
      <w:r w:rsidRPr="00D337FA">
        <w:rPr>
          <w:i/>
          <w:szCs w:val="24"/>
        </w:rPr>
        <w:t>деятельность</w:t>
      </w:r>
      <w:r w:rsidR="006C680D" w:rsidRPr="00D337FA">
        <w:rPr>
          <w:i/>
          <w:szCs w:val="24"/>
        </w:rPr>
        <w:t xml:space="preserve"> </w:t>
      </w:r>
      <w:r w:rsidRPr="00D337FA">
        <w:rPr>
          <w:i/>
          <w:szCs w:val="24"/>
        </w:rPr>
        <w:t>предприятия</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точки</w:t>
      </w:r>
      <w:r w:rsidR="006C680D" w:rsidRPr="00D337FA">
        <w:rPr>
          <w:i/>
          <w:szCs w:val="24"/>
        </w:rPr>
        <w:t xml:space="preserve"> </w:t>
      </w:r>
      <w:r w:rsidRPr="00D337FA">
        <w:rPr>
          <w:i/>
          <w:szCs w:val="24"/>
        </w:rPr>
        <w:t>зрения</w:t>
      </w:r>
      <w:r w:rsidR="006C680D" w:rsidRPr="00D337FA">
        <w:rPr>
          <w:i/>
          <w:szCs w:val="24"/>
        </w:rPr>
        <w:t xml:space="preserve"> </w:t>
      </w:r>
      <w:r w:rsidRPr="00D337FA">
        <w:rPr>
          <w:i/>
          <w:szCs w:val="24"/>
        </w:rPr>
        <w:t>системного</w:t>
      </w:r>
      <w:r w:rsidR="006C680D" w:rsidRPr="00D337FA">
        <w:rPr>
          <w:i/>
          <w:szCs w:val="24"/>
        </w:rPr>
        <w:t xml:space="preserve"> </w:t>
      </w:r>
      <w:r w:rsidRPr="00D337FA">
        <w:rPr>
          <w:i/>
          <w:szCs w:val="24"/>
        </w:rPr>
        <w:t>подхода</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Экономика</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управление:</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решения.</w:t>
      </w:r>
      <w:r w:rsidR="006C680D" w:rsidRPr="00D337FA">
        <w:rPr>
          <w:i/>
          <w:szCs w:val="24"/>
        </w:rPr>
        <w:t xml:space="preserve"> </w:t>
      </w:r>
      <w:r w:rsidRPr="00D337FA">
        <w:rPr>
          <w:i/>
          <w:szCs w:val="24"/>
        </w:rPr>
        <w:t>2024.</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12.</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19.</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65-74.</w:t>
      </w:r>
    </w:p>
    <w:p w:rsidR="0002772A" w:rsidRPr="00D337FA" w:rsidRDefault="0002772A" w:rsidP="0002772A">
      <w:pPr>
        <w:ind w:firstLine="284"/>
        <w:rPr>
          <w:i/>
          <w:szCs w:val="24"/>
        </w:rPr>
      </w:pPr>
      <w:r w:rsidRPr="00D337FA">
        <w:rPr>
          <w:i/>
          <w:szCs w:val="24"/>
        </w:rPr>
        <w:t>14.</w:t>
      </w:r>
      <w:r w:rsidRPr="00D337FA">
        <w:rPr>
          <w:i/>
          <w:szCs w:val="24"/>
        </w:rPr>
        <w:tab/>
        <w:t>Мартынова</w:t>
      </w:r>
      <w:r w:rsidR="006C680D" w:rsidRPr="00D337FA">
        <w:rPr>
          <w:i/>
          <w:szCs w:val="24"/>
        </w:rPr>
        <w:t xml:space="preserve"> </w:t>
      </w:r>
      <w:r w:rsidRPr="00D337FA">
        <w:rPr>
          <w:i/>
          <w:szCs w:val="24"/>
        </w:rPr>
        <w:t>Ю.А.</w:t>
      </w:r>
      <w:r w:rsidR="006C680D" w:rsidRPr="00D337FA">
        <w:rPr>
          <w:i/>
          <w:szCs w:val="24"/>
        </w:rPr>
        <w:t xml:space="preserve"> </w:t>
      </w:r>
      <w:r w:rsidRPr="00D337FA">
        <w:rPr>
          <w:i/>
          <w:szCs w:val="24"/>
        </w:rPr>
        <w:t>Формирование</w:t>
      </w:r>
      <w:r w:rsidR="006C680D" w:rsidRPr="00D337FA">
        <w:rPr>
          <w:i/>
          <w:szCs w:val="24"/>
        </w:rPr>
        <w:t xml:space="preserve"> </w:t>
      </w:r>
      <w:r w:rsidRPr="00D337FA">
        <w:rPr>
          <w:i/>
          <w:szCs w:val="24"/>
        </w:rPr>
        <w:t>инновационной</w:t>
      </w:r>
      <w:r w:rsidR="006C680D" w:rsidRPr="00D337FA">
        <w:rPr>
          <w:i/>
          <w:szCs w:val="24"/>
        </w:rPr>
        <w:t xml:space="preserve"> </w:t>
      </w:r>
      <w:r w:rsidRPr="00D337FA">
        <w:rPr>
          <w:i/>
          <w:szCs w:val="24"/>
        </w:rPr>
        <w:t>программы</w:t>
      </w:r>
      <w:r w:rsidR="006C680D" w:rsidRPr="00D337FA">
        <w:rPr>
          <w:i/>
          <w:szCs w:val="24"/>
        </w:rPr>
        <w:t xml:space="preserve"> </w:t>
      </w:r>
      <w:r w:rsidRPr="00D337FA">
        <w:rPr>
          <w:i/>
          <w:szCs w:val="24"/>
        </w:rPr>
        <w:t>на</w:t>
      </w:r>
      <w:r w:rsidR="006C680D" w:rsidRPr="00D337FA">
        <w:rPr>
          <w:i/>
          <w:szCs w:val="24"/>
        </w:rPr>
        <w:t xml:space="preserve"> </w:t>
      </w:r>
      <w:r w:rsidRPr="00D337FA">
        <w:rPr>
          <w:i/>
          <w:szCs w:val="24"/>
        </w:rPr>
        <w:t>предприятии:</w:t>
      </w:r>
      <w:r w:rsidR="006C680D" w:rsidRPr="00D337FA">
        <w:rPr>
          <w:i/>
          <w:szCs w:val="24"/>
        </w:rPr>
        <w:t xml:space="preserve"> </w:t>
      </w:r>
      <w:r w:rsidRPr="00D337FA">
        <w:rPr>
          <w:i/>
          <w:szCs w:val="24"/>
        </w:rPr>
        <w:t>монография.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СПб.:</w:t>
      </w:r>
      <w:r w:rsidR="006C680D" w:rsidRPr="00D337FA">
        <w:rPr>
          <w:i/>
          <w:szCs w:val="24"/>
        </w:rPr>
        <w:t xml:space="preserve"> </w:t>
      </w:r>
      <w:r w:rsidRPr="00D337FA">
        <w:rPr>
          <w:i/>
          <w:szCs w:val="24"/>
        </w:rPr>
        <w:t>ГУАП,</w:t>
      </w:r>
      <w:r w:rsidR="006C680D" w:rsidRPr="00D337FA">
        <w:rPr>
          <w:i/>
          <w:szCs w:val="24"/>
        </w:rPr>
        <w:t xml:space="preserve"> </w:t>
      </w:r>
      <w:r w:rsidRPr="00D337FA">
        <w:rPr>
          <w:i/>
          <w:szCs w:val="24"/>
        </w:rPr>
        <w:t>2008.</w:t>
      </w:r>
    </w:p>
    <w:p w:rsidR="0002772A" w:rsidRPr="00D337FA" w:rsidRDefault="0002772A" w:rsidP="0002772A">
      <w:pPr>
        <w:ind w:firstLine="284"/>
        <w:rPr>
          <w:i/>
          <w:szCs w:val="24"/>
        </w:rPr>
      </w:pPr>
      <w:r w:rsidRPr="00D337FA">
        <w:rPr>
          <w:i/>
          <w:szCs w:val="24"/>
        </w:rPr>
        <w:t>15.</w:t>
      </w:r>
      <w:r w:rsidRPr="00D337FA">
        <w:rPr>
          <w:i/>
          <w:szCs w:val="24"/>
        </w:rPr>
        <w:tab/>
        <w:t>Нечеухина</w:t>
      </w:r>
      <w:r w:rsidR="006C680D" w:rsidRPr="00D337FA">
        <w:rPr>
          <w:i/>
          <w:szCs w:val="24"/>
        </w:rPr>
        <w:t xml:space="preserve"> </w:t>
      </w:r>
      <w:r w:rsidRPr="00D337FA">
        <w:rPr>
          <w:i/>
          <w:szCs w:val="24"/>
        </w:rPr>
        <w:t>Н.С.,</w:t>
      </w:r>
      <w:r w:rsidR="006C680D" w:rsidRPr="00D337FA">
        <w:rPr>
          <w:i/>
          <w:szCs w:val="24"/>
        </w:rPr>
        <w:t xml:space="preserve"> </w:t>
      </w:r>
      <w:r w:rsidRPr="00D337FA">
        <w:rPr>
          <w:i/>
          <w:szCs w:val="24"/>
        </w:rPr>
        <w:t>Мустафина</w:t>
      </w:r>
      <w:r w:rsidR="006C680D" w:rsidRPr="00D337FA">
        <w:rPr>
          <w:i/>
          <w:szCs w:val="24"/>
        </w:rPr>
        <w:t xml:space="preserve"> </w:t>
      </w:r>
      <w:r w:rsidRPr="00D337FA">
        <w:rPr>
          <w:i/>
          <w:szCs w:val="24"/>
        </w:rPr>
        <w:t>О.В.</w:t>
      </w:r>
      <w:r w:rsidR="006C680D" w:rsidRPr="00D337FA">
        <w:rPr>
          <w:i/>
          <w:szCs w:val="24"/>
        </w:rPr>
        <w:t xml:space="preserve"> </w:t>
      </w:r>
      <w:r w:rsidRPr="00D337FA">
        <w:rPr>
          <w:i/>
          <w:szCs w:val="24"/>
        </w:rPr>
        <w:t>Развитие</w:t>
      </w:r>
      <w:r w:rsidR="006C680D" w:rsidRPr="00D337FA">
        <w:rPr>
          <w:i/>
          <w:szCs w:val="24"/>
        </w:rPr>
        <w:t xml:space="preserve"> </w:t>
      </w:r>
      <w:r w:rsidRPr="00D337FA">
        <w:rPr>
          <w:i/>
          <w:szCs w:val="24"/>
        </w:rPr>
        <w:t>теории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методологии</w:t>
      </w:r>
      <w:r w:rsidR="006C680D" w:rsidRPr="00D337FA">
        <w:rPr>
          <w:i/>
          <w:szCs w:val="24"/>
        </w:rPr>
        <w:t xml:space="preserve"> </w:t>
      </w:r>
      <w:r w:rsidRPr="00D337FA">
        <w:rPr>
          <w:i/>
          <w:szCs w:val="24"/>
        </w:rPr>
        <w:t>управленческого</w:t>
      </w:r>
      <w:r w:rsidR="006C680D" w:rsidRPr="00D337FA">
        <w:rPr>
          <w:i/>
          <w:szCs w:val="24"/>
        </w:rPr>
        <w:t xml:space="preserve"> </w:t>
      </w:r>
      <w:r w:rsidRPr="00D337FA">
        <w:rPr>
          <w:i/>
          <w:szCs w:val="24"/>
        </w:rPr>
        <w:t>учета</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учетно-аналитическом</w:t>
      </w:r>
      <w:r w:rsidR="006C680D" w:rsidRPr="00D337FA">
        <w:rPr>
          <w:i/>
          <w:szCs w:val="24"/>
        </w:rPr>
        <w:t xml:space="preserve"> </w:t>
      </w:r>
      <w:r w:rsidRPr="00D337FA">
        <w:rPr>
          <w:i/>
          <w:szCs w:val="24"/>
        </w:rPr>
        <w:t>обеспечении</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Вестник</w:t>
      </w:r>
      <w:r w:rsidR="006C680D" w:rsidRPr="00D337FA">
        <w:rPr>
          <w:i/>
          <w:szCs w:val="24"/>
        </w:rPr>
        <w:t xml:space="preserve"> </w:t>
      </w:r>
      <w:r w:rsidRPr="00D337FA">
        <w:rPr>
          <w:i/>
          <w:szCs w:val="24"/>
        </w:rPr>
        <w:t>ЮУрГУ.</w:t>
      </w:r>
      <w:r w:rsidR="006C680D" w:rsidRPr="00D337FA">
        <w:rPr>
          <w:i/>
          <w:szCs w:val="24"/>
        </w:rPr>
        <w:t xml:space="preserve"> </w:t>
      </w:r>
      <w:r w:rsidRPr="00D337FA">
        <w:rPr>
          <w:i/>
          <w:szCs w:val="24"/>
        </w:rPr>
        <w:t>Серия:</w:t>
      </w:r>
      <w:r w:rsidR="006C680D" w:rsidRPr="00D337FA">
        <w:rPr>
          <w:i/>
          <w:szCs w:val="24"/>
        </w:rPr>
        <w:t xml:space="preserve"> </w:t>
      </w:r>
      <w:r w:rsidRPr="00D337FA">
        <w:rPr>
          <w:i/>
          <w:szCs w:val="24"/>
        </w:rPr>
        <w:t>Экономика</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менеджмент.</w:t>
      </w:r>
      <w:r w:rsidR="006C680D" w:rsidRPr="00D337FA">
        <w:rPr>
          <w:i/>
          <w:szCs w:val="24"/>
        </w:rPr>
        <w:t xml:space="preserve"> </w:t>
      </w:r>
      <w:r w:rsidRPr="00D337FA">
        <w:rPr>
          <w:i/>
          <w:szCs w:val="24"/>
        </w:rPr>
        <w:t>2019.</w:t>
      </w:r>
      <w:r w:rsidR="006C680D" w:rsidRPr="00D337FA">
        <w:rPr>
          <w:i/>
          <w:szCs w:val="24"/>
        </w:rPr>
        <w:t xml:space="preserve"> </w:t>
      </w:r>
      <w:r w:rsidRPr="00D337FA">
        <w:rPr>
          <w:i/>
          <w:szCs w:val="24"/>
        </w:rPr>
        <w:t>№2.</w:t>
      </w:r>
      <w:r w:rsidR="006C680D" w:rsidRPr="00D337FA">
        <w:rPr>
          <w:i/>
          <w:szCs w:val="24"/>
        </w:rPr>
        <w:t xml:space="preserve"> </w:t>
      </w:r>
      <w:r w:rsidRPr="00D337FA">
        <w:rPr>
          <w:i/>
          <w:szCs w:val="24"/>
        </w:rPr>
        <w:t>URL:</w:t>
      </w:r>
      <w:r w:rsidR="006C680D" w:rsidRPr="00D337FA">
        <w:rPr>
          <w:i/>
          <w:szCs w:val="24"/>
        </w:rPr>
        <w:t xml:space="preserve"> </w:t>
      </w:r>
      <w:r w:rsidRPr="00D337FA">
        <w:rPr>
          <w:i/>
          <w:szCs w:val="24"/>
        </w:rPr>
        <w:t>https://cyberleninka.ru/article/n/razvitie-teorii-i-metodologii-upravlencheskogo-ucheta-v-uchetno-analiticheskom-obespechenii-upravleniya</w:t>
      </w:r>
    </w:p>
    <w:p w:rsidR="0002772A" w:rsidRPr="00D337FA" w:rsidRDefault="0002772A" w:rsidP="0002772A">
      <w:pPr>
        <w:ind w:firstLine="284"/>
        <w:rPr>
          <w:i/>
          <w:szCs w:val="24"/>
        </w:rPr>
      </w:pPr>
      <w:r w:rsidRPr="00D337FA">
        <w:rPr>
          <w:i/>
          <w:szCs w:val="24"/>
        </w:rPr>
        <w:t>16.</w:t>
      </w:r>
      <w:r w:rsidRPr="00D337FA">
        <w:rPr>
          <w:i/>
          <w:szCs w:val="24"/>
        </w:rPr>
        <w:tab/>
        <w:t>Новиков</w:t>
      </w:r>
      <w:r w:rsidR="006C680D" w:rsidRPr="00D337FA">
        <w:rPr>
          <w:i/>
          <w:szCs w:val="24"/>
        </w:rPr>
        <w:t xml:space="preserve"> </w:t>
      </w:r>
      <w:r w:rsidRPr="00D337FA">
        <w:rPr>
          <w:i/>
          <w:szCs w:val="24"/>
        </w:rPr>
        <w:t>А.М.,</w:t>
      </w:r>
      <w:r w:rsidR="006C680D" w:rsidRPr="00D337FA">
        <w:rPr>
          <w:i/>
          <w:szCs w:val="24"/>
        </w:rPr>
        <w:t xml:space="preserve"> </w:t>
      </w:r>
      <w:r w:rsidRPr="00D337FA">
        <w:rPr>
          <w:i/>
          <w:szCs w:val="24"/>
        </w:rPr>
        <w:t>Новиков</w:t>
      </w:r>
      <w:r w:rsidR="006C680D" w:rsidRPr="00D337FA">
        <w:rPr>
          <w:i/>
          <w:szCs w:val="24"/>
        </w:rPr>
        <w:t xml:space="preserve"> </w:t>
      </w:r>
      <w:r w:rsidRPr="00D337FA">
        <w:rPr>
          <w:i/>
          <w:szCs w:val="24"/>
        </w:rPr>
        <w:t>Д.А.</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предмете</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структуре</w:t>
      </w:r>
      <w:r w:rsidR="006C680D" w:rsidRPr="00D337FA">
        <w:rPr>
          <w:i/>
          <w:szCs w:val="24"/>
        </w:rPr>
        <w:t xml:space="preserve"> </w:t>
      </w:r>
      <w:r w:rsidRPr="00D337FA">
        <w:rPr>
          <w:i/>
          <w:szCs w:val="24"/>
        </w:rPr>
        <w:t>методологии.</w:t>
      </w:r>
      <w:r w:rsidR="006C680D" w:rsidRPr="00D337FA">
        <w:rPr>
          <w:i/>
          <w:szCs w:val="24"/>
        </w:rPr>
        <w:t xml:space="preserve"> </w:t>
      </w:r>
      <w:r w:rsidRPr="00D337FA">
        <w:rPr>
          <w:i/>
          <w:szCs w:val="24"/>
        </w:rPr>
        <w:t>Мир</w:t>
      </w:r>
      <w:r w:rsidR="006C680D" w:rsidRPr="00D337FA">
        <w:rPr>
          <w:i/>
          <w:szCs w:val="24"/>
        </w:rPr>
        <w:t xml:space="preserve"> </w:t>
      </w:r>
      <w:r w:rsidRPr="00D337FA">
        <w:rPr>
          <w:i/>
          <w:szCs w:val="24"/>
        </w:rPr>
        <w:t>образования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образование</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мире.</w:t>
      </w:r>
      <w:r w:rsidR="006C680D" w:rsidRPr="00D337FA">
        <w:rPr>
          <w:i/>
          <w:szCs w:val="24"/>
        </w:rPr>
        <w:t xml:space="preserve"> </w:t>
      </w:r>
      <w:r w:rsidRPr="00D337FA">
        <w:rPr>
          <w:i/>
          <w:szCs w:val="24"/>
        </w:rPr>
        <w:t>2008.</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1.</w:t>
      </w:r>
      <w:r w:rsidR="006C680D" w:rsidRPr="00D337FA">
        <w:rPr>
          <w:i/>
          <w:szCs w:val="24"/>
        </w:rPr>
        <w:t xml:space="preserve"> </w:t>
      </w:r>
      <w:r w:rsidRPr="00D337FA">
        <w:rPr>
          <w:i/>
          <w:szCs w:val="24"/>
        </w:rPr>
        <w:t>https://www.researchgate.net/publication/274390479_O_predmete_i_strukture_metodologii</w:t>
      </w:r>
    </w:p>
    <w:p w:rsidR="0002772A" w:rsidRPr="00D337FA" w:rsidRDefault="0002772A" w:rsidP="0002772A">
      <w:pPr>
        <w:ind w:firstLine="284"/>
        <w:rPr>
          <w:i/>
          <w:szCs w:val="24"/>
        </w:rPr>
      </w:pPr>
      <w:r w:rsidRPr="00D337FA">
        <w:rPr>
          <w:i/>
          <w:szCs w:val="24"/>
        </w:rPr>
        <w:t>17.</w:t>
      </w:r>
      <w:r w:rsidRPr="00D337FA">
        <w:rPr>
          <w:i/>
          <w:szCs w:val="24"/>
        </w:rPr>
        <w:tab/>
        <w:t>Новиков</w:t>
      </w:r>
      <w:r w:rsidR="006C680D" w:rsidRPr="00D337FA">
        <w:rPr>
          <w:i/>
          <w:szCs w:val="24"/>
        </w:rPr>
        <w:t xml:space="preserve"> </w:t>
      </w:r>
      <w:r w:rsidRPr="00D337FA">
        <w:rPr>
          <w:i/>
          <w:szCs w:val="24"/>
        </w:rPr>
        <w:t>Д.А.</w:t>
      </w:r>
      <w:r w:rsidR="006C680D" w:rsidRPr="00D337FA">
        <w:rPr>
          <w:i/>
          <w:szCs w:val="24"/>
        </w:rPr>
        <w:t xml:space="preserve"> </w:t>
      </w:r>
      <w:r w:rsidRPr="00D337FA">
        <w:rPr>
          <w:i/>
          <w:szCs w:val="24"/>
        </w:rPr>
        <w:t>Методология</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w:t>
      </w:r>
      <w:r w:rsidR="006C680D" w:rsidRPr="00D337FA">
        <w:rPr>
          <w:i/>
          <w:szCs w:val="24"/>
        </w:rPr>
        <w:t xml:space="preserve"> </w:t>
      </w:r>
      <w:r w:rsidRPr="00D337FA">
        <w:rPr>
          <w:i/>
          <w:szCs w:val="24"/>
        </w:rPr>
        <w:t>Либроком,</w:t>
      </w:r>
      <w:r w:rsidR="006C680D" w:rsidRPr="00D337FA">
        <w:rPr>
          <w:i/>
          <w:szCs w:val="24"/>
        </w:rPr>
        <w:t xml:space="preserve"> </w:t>
      </w:r>
      <w:r w:rsidRPr="00D337FA">
        <w:rPr>
          <w:i/>
          <w:szCs w:val="24"/>
        </w:rPr>
        <w:t>2011.</w:t>
      </w:r>
      <w:r w:rsidR="006C680D" w:rsidRPr="00D337FA">
        <w:rPr>
          <w:i/>
          <w:szCs w:val="24"/>
        </w:rPr>
        <w:t xml:space="preserve"> </w:t>
      </w:r>
      <w:r w:rsidRPr="00D337FA">
        <w:rPr>
          <w:i/>
          <w:szCs w:val="24"/>
        </w:rPr>
        <w:t>128</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(Серия</w:t>
      </w:r>
      <w:r w:rsidR="006C680D" w:rsidRPr="00D337FA">
        <w:rPr>
          <w:i/>
          <w:szCs w:val="24"/>
        </w:rPr>
        <w:t xml:space="preserve"> </w:t>
      </w:r>
      <w:r w:rsidRPr="00D337FA">
        <w:rPr>
          <w:i/>
          <w:szCs w:val="24"/>
        </w:rPr>
        <w:t>«Умное</w:t>
      </w:r>
      <w:r w:rsidR="006C680D" w:rsidRPr="00D337FA">
        <w:rPr>
          <w:i/>
          <w:szCs w:val="24"/>
        </w:rPr>
        <w:t xml:space="preserve"> </w:t>
      </w:r>
      <w:r w:rsidRPr="00D337FA">
        <w:rPr>
          <w:i/>
          <w:szCs w:val="24"/>
        </w:rPr>
        <w:t>управление»)</w:t>
      </w:r>
    </w:p>
    <w:p w:rsidR="0002772A" w:rsidRPr="00D337FA" w:rsidRDefault="0002772A" w:rsidP="0002772A">
      <w:pPr>
        <w:ind w:firstLine="284"/>
        <w:rPr>
          <w:i/>
          <w:szCs w:val="24"/>
          <w:lang w:val="en-US"/>
        </w:rPr>
      </w:pPr>
      <w:r w:rsidRPr="00D337FA">
        <w:rPr>
          <w:i/>
          <w:szCs w:val="24"/>
        </w:rPr>
        <w:t>18.</w:t>
      </w:r>
      <w:r w:rsidRPr="00D337FA">
        <w:rPr>
          <w:i/>
          <w:szCs w:val="24"/>
        </w:rPr>
        <w:tab/>
        <w:t>Орлов</w:t>
      </w:r>
      <w:r w:rsidR="006C680D" w:rsidRPr="00D337FA">
        <w:rPr>
          <w:i/>
          <w:szCs w:val="24"/>
        </w:rPr>
        <w:t xml:space="preserve"> </w:t>
      </w:r>
      <w:r w:rsidRPr="00D337FA">
        <w:rPr>
          <w:i/>
          <w:szCs w:val="24"/>
        </w:rPr>
        <w:t>А.И.</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влиянии</w:t>
      </w:r>
      <w:r w:rsidR="006C680D" w:rsidRPr="00D337FA">
        <w:rPr>
          <w:i/>
          <w:szCs w:val="24"/>
        </w:rPr>
        <w:t xml:space="preserve"> </w:t>
      </w:r>
      <w:r w:rsidRPr="00D337FA">
        <w:rPr>
          <w:i/>
          <w:szCs w:val="24"/>
        </w:rPr>
        <w:t>методологии</w:t>
      </w:r>
      <w:r w:rsidR="006C680D" w:rsidRPr="00D337FA">
        <w:rPr>
          <w:i/>
          <w:szCs w:val="24"/>
        </w:rPr>
        <w:t xml:space="preserve"> </w:t>
      </w:r>
      <w:r w:rsidRPr="00D337FA">
        <w:rPr>
          <w:i/>
          <w:szCs w:val="24"/>
        </w:rPr>
        <w:t>на</w:t>
      </w:r>
      <w:r w:rsidR="006C680D" w:rsidRPr="00D337FA">
        <w:rPr>
          <w:i/>
          <w:szCs w:val="24"/>
        </w:rPr>
        <w:t xml:space="preserve"> </w:t>
      </w:r>
      <w:r w:rsidRPr="00D337FA">
        <w:rPr>
          <w:i/>
          <w:szCs w:val="24"/>
        </w:rPr>
        <w:t>последствия</w:t>
      </w:r>
      <w:r w:rsidR="006C680D" w:rsidRPr="00D337FA">
        <w:rPr>
          <w:i/>
          <w:szCs w:val="24"/>
        </w:rPr>
        <w:t xml:space="preserve"> </w:t>
      </w:r>
      <w:r w:rsidRPr="00D337FA">
        <w:rPr>
          <w:i/>
          <w:szCs w:val="24"/>
        </w:rPr>
        <w:t>принятия</w:t>
      </w:r>
      <w:r w:rsidR="006C680D" w:rsidRPr="00D337FA">
        <w:rPr>
          <w:i/>
          <w:szCs w:val="24"/>
        </w:rPr>
        <w:t xml:space="preserve"> </w:t>
      </w:r>
      <w:r w:rsidRPr="00D337FA">
        <w:rPr>
          <w:i/>
          <w:szCs w:val="24"/>
        </w:rPr>
        <w:t>решений</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Научный</w:t>
      </w:r>
      <w:r w:rsidR="006C680D" w:rsidRPr="00D337FA">
        <w:rPr>
          <w:i/>
          <w:szCs w:val="24"/>
        </w:rPr>
        <w:t xml:space="preserve"> </w:t>
      </w:r>
      <w:r w:rsidRPr="00D337FA">
        <w:rPr>
          <w:i/>
          <w:szCs w:val="24"/>
        </w:rPr>
        <w:t>журнал</w:t>
      </w:r>
      <w:r w:rsidR="006C680D" w:rsidRPr="00D337FA">
        <w:rPr>
          <w:i/>
          <w:szCs w:val="24"/>
        </w:rPr>
        <w:t xml:space="preserve"> </w:t>
      </w:r>
      <w:r w:rsidRPr="00D337FA">
        <w:rPr>
          <w:i/>
          <w:szCs w:val="24"/>
        </w:rPr>
        <w:t>КубГАУ.</w:t>
      </w:r>
      <w:r w:rsidR="006C680D" w:rsidRPr="00D337FA">
        <w:rPr>
          <w:i/>
          <w:szCs w:val="24"/>
        </w:rPr>
        <w:t xml:space="preserve"> </w:t>
      </w:r>
      <w:r w:rsidRPr="00D337FA">
        <w:rPr>
          <w:i/>
          <w:szCs w:val="24"/>
          <w:lang w:val="en-US"/>
        </w:rPr>
        <w:t>2017.</w:t>
      </w:r>
      <w:r w:rsidR="006C680D" w:rsidRPr="00D337FA">
        <w:rPr>
          <w:i/>
          <w:szCs w:val="24"/>
          <w:lang w:val="en-US"/>
        </w:rPr>
        <w:t xml:space="preserve"> </w:t>
      </w:r>
      <w:r w:rsidRPr="00D337FA">
        <w:rPr>
          <w:i/>
          <w:szCs w:val="24"/>
          <w:lang w:val="en-US"/>
        </w:rPr>
        <w:t>№125.</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https://cyberleninka.ru/article/n/o-vliyanii-metodologii-na-posledstviya-prinyatiya-resheniy</w:t>
      </w:r>
      <w:r w:rsidR="006C680D" w:rsidRPr="00D337FA">
        <w:rPr>
          <w:i/>
          <w:szCs w:val="24"/>
          <w:lang w:val="en-US"/>
        </w:rPr>
        <w:t xml:space="preserve"> </w:t>
      </w:r>
    </w:p>
    <w:p w:rsidR="0002772A" w:rsidRPr="00D337FA" w:rsidRDefault="0002772A" w:rsidP="0002772A">
      <w:pPr>
        <w:ind w:firstLine="284"/>
        <w:rPr>
          <w:i/>
          <w:szCs w:val="24"/>
        </w:rPr>
      </w:pPr>
      <w:r w:rsidRPr="00D337FA">
        <w:rPr>
          <w:i/>
          <w:szCs w:val="24"/>
        </w:rPr>
        <w:t>19.</w:t>
      </w:r>
      <w:r w:rsidRPr="00D337FA">
        <w:rPr>
          <w:i/>
          <w:szCs w:val="24"/>
        </w:rPr>
        <w:tab/>
        <w:t>Палилов</w:t>
      </w:r>
      <w:r w:rsidR="006C680D" w:rsidRPr="00D337FA">
        <w:rPr>
          <w:i/>
          <w:szCs w:val="24"/>
        </w:rPr>
        <w:t xml:space="preserve"> </w:t>
      </w:r>
      <w:r w:rsidRPr="00D337FA">
        <w:rPr>
          <w:i/>
          <w:szCs w:val="24"/>
        </w:rPr>
        <w:t>Ф.</w:t>
      </w:r>
      <w:r w:rsidR="006C680D" w:rsidRPr="00D337FA">
        <w:rPr>
          <w:i/>
          <w:szCs w:val="24"/>
        </w:rPr>
        <w:t xml:space="preserve"> </w:t>
      </w:r>
      <w:r w:rsidRPr="00D337FA">
        <w:rPr>
          <w:i/>
          <w:szCs w:val="24"/>
        </w:rPr>
        <w:t>Б.,</w:t>
      </w:r>
      <w:r w:rsidR="006C680D" w:rsidRPr="00D337FA">
        <w:rPr>
          <w:i/>
          <w:szCs w:val="24"/>
        </w:rPr>
        <w:t xml:space="preserve"> </w:t>
      </w:r>
      <w:r w:rsidRPr="00D337FA">
        <w:rPr>
          <w:i/>
          <w:szCs w:val="24"/>
        </w:rPr>
        <w:t>Нарнова</w:t>
      </w:r>
      <w:r w:rsidR="006C680D" w:rsidRPr="00D337FA">
        <w:rPr>
          <w:i/>
          <w:szCs w:val="24"/>
        </w:rPr>
        <w:t xml:space="preserve"> </w:t>
      </w:r>
      <w:r w:rsidRPr="00D337FA">
        <w:rPr>
          <w:i/>
          <w:szCs w:val="24"/>
        </w:rPr>
        <w:t>В.Ю.</w:t>
      </w:r>
      <w:r w:rsidR="006C680D" w:rsidRPr="00D337FA">
        <w:rPr>
          <w:i/>
          <w:szCs w:val="24"/>
        </w:rPr>
        <w:t xml:space="preserve"> </w:t>
      </w:r>
      <w:r w:rsidRPr="00D337FA">
        <w:rPr>
          <w:i/>
          <w:szCs w:val="24"/>
        </w:rPr>
        <w:t>От</w:t>
      </w:r>
      <w:r w:rsidR="006C680D" w:rsidRPr="00D337FA">
        <w:rPr>
          <w:i/>
          <w:szCs w:val="24"/>
        </w:rPr>
        <w:t xml:space="preserve"> </w:t>
      </w:r>
      <w:r w:rsidRPr="00D337FA">
        <w:rPr>
          <w:i/>
          <w:szCs w:val="24"/>
        </w:rPr>
        <w:t>классической</w:t>
      </w:r>
      <w:r w:rsidR="006C680D" w:rsidRPr="00D337FA">
        <w:rPr>
          <w:i/>
          <w:szCs w:val="24"/>
        </w:rPr>
        <w:t xml:space="preserve"> </w:t>
      </w:r>
      <w:r w:rsidRPr="00D337FA">
        <w:rPr>
          <w:i/>
          <w:szCs w:val="24"/>
        </w:rPr>
        <w:t>школы</w:t>
      </w:r>
      <w:r w:rsidR="006C680D" w:rsidRPr="00D337FA">
        <w:rPr>
          <w:i/>
          <w:szCs w:val="24"/>
        </w:rPr>
        <w:t xml:space="preserve"> </w:t>
      </w:r>
      <w:r w:rsidRPr="00D337FA">
        <w:rPr>
          <w:i/>
          <w:szCs w:val="24"/>
        </w:rPr>
        <w:t>к</w:t>
      </w:r>
      <w:r w:rsidR="006C680D" w:rsidRPr="00D337FA">
        <w:rPr>
          <w:i/>
          <w:szCs w:val="24"/>
        </w:rPr>
        <w:t xml:space="preserve"> </w:t>
      </w:r>
      <w:r w:rsidRPr="00D337FA">
        <w:rPr>
          <w:i/>
          <w:szCs w:val="24"/>
        </w:rPr>
        <w:t>Менеджменту</w:t>
      </w:r>
      <w:r w:rsidR="006C680D" w:rsidRPr="00D337FA">
        <w:rPr>
          <w:i/>
          <w:szCs w:val="24"/>
        </w:rPr>
        <w:t xml:space="preserve"> </w:t>
      </w:r>
      <w:r w:rsidRPr="00D337FA">
        <w:rPr>
          <w:i/>
          <w:szCs w:val="24"/>
        </w:rPr>
        <w:t>4.0:</w:t>
      </w:r>
      <w:r w:rsidR="006C680D" w:rsidRPr="00D337FA">
        <w:rPr>
          <w:i/>
          <w:szCs w:val="24"/>
        </w:rPr>
        <w:t xml:space="preserve"> </w:t>
      </w:r>
      <w:r w:rsidRPr="00D337FA">
        <w:rPr>
          <w:i/>
          <w:szCs w:val="24"/>
        </w:rPr>
        <w:t>эволюция</w:t>
      </w:r>
      <w:r w:rsidR="006C680D" w:rsidRPr="00D337FA">
        <w:rPr>
          <w:i/>
          <w:szCs w:val="24"/>
        </w:rPr>
        <w:t xml:space="preserve"> </w:t>
      </w:r>
      <w:r w:rsidRPr="00D337FA">
        <w:rPr>
          <w:i/>
          <w:szCs w:val="24"/>
        </w:rPr>
        <w:t>идей</w:t>
      </w:r>
      <w:r w:rsidR="006C680D" w:rsidRPr="00D337FA">
        <w:rPr>
          <w:i/>
          <w:szCs w:val="24"/>
        </w:rPr>
        <w:t xml:space="preserve"> </w:t>
      </w:r>
      <w:r w:rsidRPr="00D337FA">
        <w:rPr>
          <w:i/>
          <w:szCs w:val="24"/>
        </w:rPr>
        <w:t>основных</w:t>
      </w:r>
      <w:r w:rsidR="006C680D" w:rsidRPr="00D337FA">
        <w:rPr>
          <w:i/>
          <w:szCs w:val="24"/>
        </w:rPr>
        <w:t xml:space="preserve"> </w:t>
      </w:r>
      <w:r w:rsidRPr="00D337FA">
        <w:rPr>
          <w:i/>
          <w:szCs w:val="24"/>
        </w:rPr>
        <w:t>школ</w:t>
      </w:r>
      <w:r w:rsidR="006C680D" w:rsidRPr="00D337FA">
        <w:rPr>
          <w:i/>
          <w:szCs w:val="24"/>
        </w:rPr>
        <w:t xml:space="preserve"> </w:t>
      </w:r>
      <w:r w:rsidRPr="00D337FA">
        <w:rPr>
          <w:i/>
          <w:szCs w:val="24"/>
        </w:rPr>
        <w:t>управленческой</w:t>
      </w:r>
      <w:r w:rsidR="006C680D" w:rsidRPr="00D337FA">
        <w:rPr>
          <w:i/>
          <w:szCs w:val="24"/>
        </w:rPr>
        <w:t xml:space="preserve"> </w:t>
      </w:r>
      <w:r w:rsidRPr="00D337FA">
        <w:rPr>
          <w:i/>
          <w:szCs w:val="24"/>
        </w:rPr>
        <w:t>мысли</w:t>
      </w:r>
      <w:r w:rsidR="006C680D" w:rsidRPr="00D337FA">
        <w:rPr>
          <w:i/>
          <w:szCs w:val="24"/>
        </w:rPr>
        <w:t xml:space="preserve"> </w:t>
      </w:r>
      <w:r w:rsidRPr="00D337FA">
        <w:rPr>
          <w:i/>
          <w:szCs w:val="24"/>
        </w:rPr>
        <w:t>на</w:t>
      </w:r>
      <w:r w:rsidR="006C680D" w:rsidRPr="00D337FA">
        <w:rPr>
          <w:i/>
          <w:szCs w:val="24"/>
        </w:rPr>
        <w:t xml:space="preserve"> </w:t>
      </w:r>
      <w:r w:rsidRPr="00D337FA">
        <w:rPr>
          <w:i/>
          <w:szCs w:val="24"/>
        </w:rPr>
        <w:t>пути</w:t>
      </w:r>
      <w:r w:rsidR="006C680D" w:rsidRPr="00D337FA">
        <w:rPr>
          <w:i/>
          <w:szCs w:val="24"/>
        </w:rPr>
        <w:t xml:space="preserve"> </w:t>
      </w:r>
      <w:r w:rsidRPr="00D337FA">
        <w:rPr>
          <w:i/>
          <w:szCs w:val="24"/>
        </w:rPr>
        <w:t>к</w:t>
      </w:r>
      <w:r w:rsidR="006C680D" w:rsidRPr="00D337FA">
        <w:rPr>
          <w:i/>
          <w:szCs w:val="24"/>
        </w:rPr>
        <w:t xml:space="preserve"> </w:t>
      </w:r>
      <w:r w:rsidRPr="00D337FA">
        <w:rPr>
          <w:i/>
          <w:szCs w:val="24"/>
        </w:rPr>
        <w:t>четвертой</w:t>
      </w:r>
      <w:r w:rsidR="006C680D" w:rsidRPr="00D337FA">
        <w:rPr>
          <w:i/>
          <w:szCs w:val="24"/>
        </w:rPr>
        <w:t xml:space="preserve"> </w:t>
      </w:r>
      <w:r w:rsidRPr="00D337FA">
        <w:rPr>
          <w:i/>
          <w:szCs w:val="24"/>
        </w:rPr>
        <w:t>промышленной</w:t>
      </w:r>
      <w:r w:rsidR="006C680D" w:rsidRPr="00D337FA">
        <w:rPr>
          <w:i/>
          <w:szCs w:val="24"/>
        </w:rPr>
        <w:t xml:space="preserve"> </w:t>
      </w:r>
      <w:r w:rsidRPr="00D337FA">
        <w:rPr>
          <w:i/>
          <w:szCs w:val="24"/>
        </w:rPr>
        <w:t>революции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Лидерство</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менеджмент.</w:t>
      </w:r>
      <w:r w:rsidR="006C680D" w:rsidRPr="00D337FA">
        <w:rPr>
          <w:i/>
          <w:szCs w:val="24"/>
        </w:rPr>
        <w:t xml:space="preserve"> </w:t>
      </w:r>
      <w:r w:rsidRPr="00D337FA">
        <w:rPr>
          <w:i/>
          <w:szCs w:val="24"/>
        </w:rPr>
        <w:t>2023.</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10.</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4.</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1109-1124.</w:t>
      </w:r>
      <w:r w:rsidR="006C680D" w:rsidRPr="00D337FA">
        <w:rPr>
          <w:i/>
          <w:szCs w:val="24"/>
        </w:rPr>
        <w:t xml:space="preserve"> </w:t>
      </w:r>
      <w:r w:rsidRPr="00D337FA">
        <w:rPr>
          <w:i/>
          <w:szCs w:val="24"/>
        </w:rPr>
        <w:t>DOI</w:t>
      </w:r>
      <w:r w:rsidR="006C680D" w:rsidRPr="00D337FA">
        <w:rPr>
          <w:i/>
          <w:szCs w:val="24"/>
        </w:rPr>
        <w:t xml:space="preserve"> </w:t>
      </w:r>
      <w:r w:rsidRPr="00D337FA">
        <w:rPr>
          <w:i/>
          <w:szCs w:val="24"/>
        </w:rPr>
        <w:t>10.18334/lim.10.4.119412</w:t>
      </w:r>
    </w:p>
    <w:p w:rsidR="0002772A" w:rsidRPr="00D337FA" w:rsidRDefault="0002772A" w:rsidP="0002772A">
      <w:pPr>
        <w:ind w:firstLine="284"/>
        <w:rPr>
          <w:i/>
          <w:szCs w:val="24"/>
          <w:lang w:val="en-US"/>
        </w:rPr>
      </w:pPr>
      <w:r w:rsidRPr="00D337FA">
        <w:rPr>
          <w:i/>
          <w:szCs w:val="24"/>
        </w:rPr>
        <w:t>20.</w:t>
      </w:r>
      <w:r w:rsidRPr="00D337FA">
        <w:rPr>
          <w:i/>
          <w:szCs w:val="24"/>
        </w:rPr>
        <w:tab/>
        <w:t>Райченко</w:t>
      </w:r>
      <w:r w:rsidR="006C680D" w:rsidRPr="00D337FA">
        <w:rPr>
          <w:i/>
          <w:szCs w:val="24"/>
        </w:rPr>
        <w:t xml:space="preserve"> </w:t>
      </w:r>
      <w:r w:rsidRPr="00D337FA">
        <w:rPr>
          <w:i/>
          <w:szCs w:val="24"/>
        </w:rPr>
        <w:t>А.</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соотношении</w:t>
      </w:r>
      <w:r w:rsidR="006C680D" w:rsidRPr="00D337FA">
        <w:rPr>
          <w:i/>
          <w:szCs w:val="24"/>
        </w:rPr>
        <w:t xml:space="preserve"> </w:t>
      </w:r>
      <w:r w:rsidRPr="00D337FA">
        <w:rPr>
          <w:i/>
          <w:szCs w:val="24"/>
        </w:rPr>
        <w:t>теории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методологии</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Вестник</w:t>
      </w:r>
      <w:r w:rsidR="006C680D" w:rsidRPr="00D337FA">
        <w:rPr>
          <w:i/>
          <w:szCs w:val="24"/>
        </w:rPr>
        <w:t xml:space="preserve"> </w:t>
      </w:r>
      <w:r w:rsidRPr="00D337FA">
        <w:rPr>
          <w:i/>
          <w:szCs w:val="24"/>
        </w:rPr>
        <w:t>ГУУ.</w:t>
      </w:r>
      <w:r w:rsidR="006C680D" w:rsidRPr="00D337FA">
        <w:rPr>
          <w:i/>
          <w:szCs w:val="24"/>
        </w:rPr>
        <w:t xml:space="preserve"> </w:t>
      </w:r>
      <w:r w:rsidRPr="00D337FA">
        <w:rPr>
          <w:i/>
          <w:szCs w:val="24"/>
        </w:rPr>
        <w:t>2020.</w:t>
      </w:r>
      <w:r w:rsidR="006C680D" w:rsidRPr="00D337FA">
        <w:rPr>
          <w:i/>
          <w:szCs w:val="24"/>
        </w:rPr>
        <w:t xml:space="preserve"> </w:t>
      </w:r>
      <w:r w:rsidRPr="00D337FA">
        <w:rPr>
          <w:i/>
          <w:szCs w:val="24"/>
          <w:lang w:val="en-US"/>
        </w:rPr>
        <w:t>№</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https://cyberleninka.ru/article/n/o-sootnoshenii-teorii-i-metodologii-upravleniya.</w:t>
      </w:r>
    </w:p>
    <w:p w:rsidR="006E52B9" w:rsidRPr="00D337FA" w:rsidRDefault="0002772A" w:rsidP="0002772A">
      <w:pPr>
        <w:ind w:firstLine="284"/>
        <w:rPr>
          <w:i/>
          <w:szCs w:val="24"/>
          <w:lang w:val="en-US"/>
        </w:rPr>
      </w:pPr>
      <w:r w:rsidRPr="00D337FA">
        <w:rPr>
          <w:i/>
          <w:szCs w:val="24"/>
        </w:rPr>
        <w:t>21.</w:t>
      </w:r>
      <w:r w:rsidRPr="00D337FA">
        <w:rPr>
          <w:i/>
          <w:szCs w:val="24"/>
        </w:rPr>
        <w:tab/>
        <w:t>Философский</w:t>
      </w:r>
      <w:r w:rsidR="006C680D" w:rsidRPr="00D337FA">
        <w:rPr>
          <w:i/>
          <w:szCs w:val="24"/>
        </w:rPr>
        <w:t xml:space="preserve"> </w:t>
      </w:r>
      <w:r w:rsidRPr="00D337FA">
        <w:rPr>
          <w:i/>
          <w:szCs w:val="24"/>
        </w:rPr>
        <w:t>словарь</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Под</w:t>
      </w:r>
      <w:r w:rsidR="006C680D" w:rsidRPr="00D337FA">
        <w:rPr>
          <w:i/>
          <w:szCs w:val="24"/>
        </w:rPr>
        <w:t xml:space="preserve"> </w:t>
      </w:r>
      <w:r w:rsidRPr="00D337FA">
        <w:rPr>
          <w:i/>
          <w:szCs w:val="24"/>
        </w:rPr>
        <w:t>ред.</w:t>
      </w:r>
      <w:r w:rsidR="006C680D" w:rsidRPr="00D337FA">
        <w:rPr>
          <w:i/>
          <w:szCs w:val="24"/>
        </w:rPr>
        <w:t xml:space="preserve"> </w:t>
      </w:r>
      <w:r w:rsidRPr="00D337FA">
        <w:rPr>
          <w:i/>
          <w:szCs w:val="24"/>
        </w:rPr>
        <w:t>И.Т.</w:t>
      </w:r>
      <w:r w:rsidR="006C680D" w:rsidRPr="00D337FA">
        <w:rPr>
          <w:i/>
          <w:szCs w:val="24"/>
        </w:rPr>
        <w:t xml:space="preserve"> </w:t>
      </w:r>
      <w:r w:rsidRPr="00D337FA">
        <w:rPr>
          <w:i/>
          <w:szCs w:val="24"/>
        </w:rPr>
        <w:t>Фролова.</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w:t>
      </w:r>
      <w:r w:rsidR="006C680D" w:rsidRPr="00D337FA">
        <w:rPr>
          <w:i/>
          <w:szCs w:val="24"/>
        </w:rPr>
        <w:t xml:space="preserve"> </w:t>
      </w:r>
      <w:r w:rsidRPr="00D337FA">
        <w:rPr>
          <w:i/>
          <w:szCs w:val="24"/>
        </w:rPr>
        <w:t>Политиздат,</w:t>
      </w:r>
      <w:r w:rsidR="006C680D" w:rsidRPr="00D337FA">
        <w:rPr>
          <w:i/>
          <w:szCs w:val="24"/>
        </w:rPr>
        <w:t xml:space="preserve"> </w:t>
      </w:r>
      <w:r w:rsidRPr="00D337FA">
        <w:rPr>
          <w:i/>
          <w:szCs w:val="24"/>
        </w:rPr>
        <w:t>1991.</w:t>
      </w:r>
      <w:r w:rsidR="006C680D" w:rsidRPr="00D337FA">
        <w:rPr>
          <w:i/>
          <w:szCs w:val="24"/>
        </w:rPr>
        <w:t xml:space="preserve"> </w:t>
      </w:r>
      <w:r w:rsidRPr="00D337FA">
        <w:rPr>
          <w:i/>
          <w:szCs w:val="24"/>
          <w:lang w:val="en-US"/>
        </w:rPr>
        <w:t>560</w:t>
      </w:r>
      <w:r w:rsidR="006C680D" w:rsidRPr="00D337FA">
        <w:rPr>
          <w:i/>
          <w:szCs w:val="24"/>
          <w:lang w:val="en-US"/>
        </w:rPr>
        <w:t xml:space="preserve"> </w:t>
      </w:r>
      <w:r w:rsidRPr="00D337FA">
        <w:rPr>
          <w:i/>
          <w:szCs w:val="24"/>
        </w:rPr>
        <w:t>с</w:t>
      </w:r>
      <w:r w:rsidRPr="00D337FA">
        <w:rPr>
          <w:i/>
          <w:szCs w:val="24"/>
          <w:lang w:val="en-US"/>
        </w:rPr>
        <w:t>.</w:t>
      </w:r>
    </w:p>
    <w:p w:rsidR="006E52B9" w:rsidRPr="00D337FA" w:rsidRDefault="006E52B9" w:rsidP="003802B5">
      <w:pPr>
        <w:ind w:firstLine="284"/>
        <w:rPr>
          <w:i/>
          <w:szCs w:val="24"/>
          <w:lang w:val="en-US"/>
        </w:rPr>
      </w:pPr>
    </w:p>
    <w:p w:rsidR="006E52B9" w:rsidRPr="00D337FA" w:rsidRDefault="007F0B79" w:rsidP="003802B5">
      <w:pPr>
        <w:ind w:firstLine="284"/>
        <w:jc w:val="center"/>
        <w:rPr>
          <w:b/>
          <w:szCs w:val="24"/>
          <w:lang w:val="en-US"/>
        </w:rPr>
      </w:pPr>
      <w:r w:rsidRPr="00D337FA">
        <w:rPr>
          <w:b/>
          <w:szCs w:val="24"/>
          <w:lang w:val="en-US"/>
        </w:rPr>
        <w:t>REFERENCES</w:t>
      </w:r>
    </w:p>
    <w:p w:rsidR="0002772A" w:rsidRPr="00D337FA" w:rsidRDefault="0002772A" w:rsidP="0002772A">
      <w:pPr>
        <w:ind w:firstLine="284"/>
        <w:rPr>
          <w:i/>
          <w:szCs w:val="24"/>
          <w:lang w:val="en-US"/>
        </w:rPr>
      </w:pPr>
      <w:r w:rsidRPr="00D337FA">
        <w:rPr>
          <w:i/>
          <w:szCs w:val="24"/>
          <w:lang w:val="en-US"/>
        </w:rPr>
        <w:t>1.</w:t>
      </w:r>
      <w:r w:rsidR="006C680D" w:rsidRPr="00D337FA">
        <w:rPr>
          <w:i/>
          <w:szCs w:val="24"/>
          <w:lang w:val="en-US"/>
        </w:rPr>
        <w:t xml:space="preserve"> </w:t>
      </w:r>
      <w:r w:rsidRPr="00D337FA">
        <w:rPr>
          <w:i/>
          <w:szCs w:val="24"/>
          <w:lang w:val="en-US"/>
        </w:rPr>
        <w:t>Anikushin</w:t>
      </w:r>
      <w:r w:rsidR="006C680D" w:rsidRPr="00D337FA">
        <w:rPr>
          <w:i/>
          <w:szCs w:val="24"/>
          <w:lang w:val="en-US"/>
        </w:rPr>
        <w:t xml:space="preserve"> </w:t>
      </w:r>
      <w:r w:rsidRPr="00D337FA">
        <w:rPr>
          <w:i/>
          <w:szCs w:val="24"/>
          <w:lang w:val="en-US"/>
        </w:rPr>
        <w:t>S.V.,</w:t>
      </w:r>
      <w:r w:rsidR="006C680D" w:rsidRPr="00D337FA">
        <w:rPr>
          <w:i/>
          <w:szCs w:val="24"/>
          <w:lang w:val="en-US"/>
        </w:rPr>
        <w:t xml:space="preserve"> </w:t>
      </w:r>
      <w:r w:rsidRPr="00D337FA">
        <w:rPr>
          <w:i/>
          <w:szCs w:val="24"/>
          <w:lang w:val="en-US"/>
        </w:rPr>
        <w:t>Lysenkov</w:t>
      </w:r>
      <w:r w:rsidR="006C680D" w:rsidRPr="00D337FA">
        <w:rPr>
          <w:i/>
          <w:szCs w:val="24"/>
          <w:lang w:val="en-US"/>
        </w:rPr>
        <w:t xml:space="preserve"> </w:t>
      </w:r>
      <w:r w:rsidRPr="00D337FA">
        <w:rPr>
          <w:i/>
          <w:szCs w:val="24"/>
          <w:lang w:val="en-US"/>
        </w:rPr>
        <w:t>S.G.</w:t>
      </w:r>
      <w:r w:rsidR="006C680D" w:rsidRPr="00D337FA">
        <w:rPr>
          <w:i/>
          <w:szCs w:val="24"/>
          <w:lang w:val="en-US"/>
        </w:rPr>
        <w:t xml:space="preserve"> </w:t>
      </w:r>
      <w:r w:rsidRPr="00D337FA">
        <w:rPr>
          <w:i/>
          <w:szCs w:val="24"/>
          <w:lang w:val="en-US"/>
        </w:rPr>
        <w:t>Teoretiko-filosofskie</w:t>
      </w:r>
      <w:r w:rsidR="006C680D" w:rsidRPr="00D337FA">
        <w:rPr>
          <w:i/>
          <w:szCs w:val="24"/>
          <w:lang w:val="en-US"/>
        </w:rPr>
        <w:t xml:space="preserve"> </w:t>
      </w:r>
      <w:r w:rsidRPr="00D337FA">
        <w:rPr>
          <w:i/>
          <w:szCs w:val="24"/>
          <w:lang w:val="en-US"/>
        </w:rPr>
        <w:t>aspekty</w:t>
      </w:r>
      <w:r w:rsidR="006C680D" w:rsidRPr="00D337FA">
        <w:rPr>
          <w:i/>
          <w:szCs w:val="24"/>
          <w:lang w:val="en-US"/>
        </w:rPr>
        <w:t xml:space="preserve"> </w:t>
      </w:r>
      <w:r w:rsidRPr="00D337FA">
        <w:rPr>
          <w:i/>
          <w:szCs w:val="24"/>
          <w:lang w:val="en-US"/>
        </w:rPr>
        <w:t>ponimaniya</w:t>
      </w:r>
      <w:r w:rsidR="006C680D" w:rsidRPr="00D337FA">
        <w:rPr>
          <w:i/>
          <w:szCs w:val="24"/>
          <w:lang w:val="en-US"/>
        </w:rPr>
        <w:t xml:space="preserve"> </w:t>
      </w:r>
      <w:r w:rsidRPr="00D337FA">
        <w:rPr>
          <w:i/>
          <w:szCs w:val="24"/>
          <w:lang w:val="en-US"/>
        </w:rPr>
        <w:t>kategorii</w:t>
      </w:r>
      <w:r w:rsidR="006C680D" w:rsidRPr="00D337FA">
        <w:rPr>
          <w:i/>
          <w:szCs w:val="24"/>
          <w:lang w:val="en-US"/>
        </w:rPr>
        <w:t xml:space="preserve"> </w:t>
      </w:r>
      <w:r w:rsidRPr="00D337FA">
        <w:rPr>
          <w:i/>
          <w:szCs w:val="24"/>
          <w:lang w:val="en-US"/>
        </w:rPr>
        <w:t>«Princip»</w:t>
      </w:r>
      <w:r w:rsidR="006C680D" w:rsidRPr="00D337FA">
        <w:rPr>
          <w:i/>
          <w:szCs w:val="24"/>
          <w:lang w:val="en-US"/>
        </w:rPr>
        <w:t xml:space="preserve"> </w:t>
      </w:r>
      <w:r w:rsidRPr="00D337FA">
        <w:rPr>
          <w:i/>
          <w:szCs w:val="24"/>
          <w:lang w:val="en-US"/>
        </w:rPr>
        <w:t>[Theoretical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philosophical</w:t>
      </w:r>
      <w:r w:rsidR="006C680D" w:rsidRPr="00D337FA">
        <w:rPr>
          <w:i/>
          <w:szCs w:val="24"/>
          <w:lang w:val="en-US"/>
        </w:rPr>
        <w:t xml:space="preserve"> </w:t>
      </w:r>
      <w:r w:rsidRPr="00D337FA">
        <w:rPr>
          <w:i/>
          <w:szCs w:val="24"/>
          <w:lang w:val="en-US"/>
        </w:rPr>
        <w:t>aspects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understanding</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category</w:t>
      </w:r>
      <w:r w:rsidR="006C680D" w:rsidRPr="00D337FA">
        <w:rPr>
          <w:i/>
          <w:szCs w:val="24"/>
          <w:lang w:val="en-US"/>
        </w:rPr>
        <w:t xml:space="preserve"> </w:t>
      </w:r>
      <w:r w:rsidRPr="00D337FA">
        <w:rPr>
          <w:i/>
          <w:szCs w:val="24"/>
          <w:lang w:val="en-US"/>
        </w:rPr>
        <w:t>"Principle"]</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Vestnik</w:t>
      </w:r>
      <w:r w:rsidR="006C680D" w:rsidRPr="00D337FA">
        <w:rPr>
          <w:i/>
          <w:szCs w:val="24"/>
          <w:lang w:val="en-US"/>
        </w:rPr>
        <w:t xml:space="preserve"> </w:t>
      </w:r>
      <w:r w:rsidR="00C00849" w:rsidRPr="00D337FA">
        <w:rPr>
          <w:i/>
          <w:szCs w:val="24"/>
          <w:lang w:val="en-US"/>
        </w:rPr>
        <w:t>Sankt-Peterburgskogo</w:t>
      </w:r>
      <w:r w:rsidR="006C680D" w:rsidRPr="00D337FA">
        <w:rPr>
          <w:i/>
          <w:szCs w:val="24"/>
          <w:lang w:val="en-US"/>
        </w:rPr>
        <w:t xml:space="preserve"> </w:t>
      </w:r>
      <w:r w:rsidR="00C00849" w:rsidRPr="00D337FA">
        <w:rPr>
          <w:i/>
          <w:szCs w:val="24"/>
          <w:lang w:val="en-US"/>
        </w:rPr>
        <w:t>universiteta</w:t>
      </w:r>
      <w:r w:rsidR="006C680D" w:rsidRPr="00D337FA">
        <w:rPr>
          <w:i/>
          <w:szCs w:val="24"/>
          <w:lang w:val="en-US"/>
        </w:rPr>
        <w:t xml:space="preserve"> </w:t>
      </w:r>
      <w:r w:rsidR="00C00849" w:rsidRPr="00D337FA">
        <w:rPr>
          <w:i/>
          <w:szCs w:val="24"/>
          <w:lang w:val="en-US"/>
        </w:rPr>
        <w:t>MVD</w:t>
      </w:r>
      <w:r w:rsidR="006C680D" w:rsidRPr="00D337FA">
        <w:rPr>
          <w:i/>
          <w:szCs w:val="24"/>
          <w:lang w:val="en-US"/>
        </w:rPr>
        <w:t xml:space="preserve"> </w:t>
      </w:r>
      <w:r w:rsidR="00C00849" w:rsidRPr="00D337FA">
        <w:rPr>
          <w:i/>
          <w:szCs w:val="24"/>
          <w:lang w:val="en-US"/>
        </w:rPr>
        <w:t>Rossii</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St.</w:t>
      </w:r>
      <w:r w:rsidR="006C680D" w:rsidRPr="00D337FA">
        <w:rPr>
          <w:i/>
          <w:szCs w:val="24"/>
          <w:lang w:val="en-US"/>
        </w:rPr>
        <w:t xml:space="preserve"> </w:t>
      </w:r>
      <w:r w:rsidRPr="00D337FA">
        <w:rPr>
          <w:i/>
          <w:szCs w:val="24"/>
          <w:lang w:val="en-US"/>
        </w:rPr>
        <w:t>Petersburg</w:t>
      </w:r>
      <w:r w:rsidR="006C680D" w:rsidRPr="00D337FA">
        <w:rPr>
          <w:i/>
          <w:szCs w:val="24"/>
          <w:lang w:val="en-US"/>
        </w:rPr>
        <w:t xml:space="preserve"> </w:t>
      </w:r>
      <w:r w:rsidRPr="00D337FA">
        <w:rPr>
          <w:i/>
          <w:szCs w:val="24"/>
          <w:lang w:val="en-US"/>
        </w:rPr>
        <w:t>University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Ministry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Internal</w:t>
      </w:r>
      <w:r w:rsidR="006C680D" w:rsidRPr="00D337FA">
        <w:rPr>
          <w:i/>
          <w:szCs w:val="24"/>
          <w:lang w:val="en-US"/>
        </w:rPr>
        <w:t xml:space="preserve"> </w:t>
      </w:r>
      <w:r w:rsidRPr="00D337FA">
        <w:rPr>
          <w:i/>
          <w:szCs w:val="24"/>
          <w:lang w:val="en-US"/>
        </w:rPr>
        <w:t>Affairs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Russia.</w:t>
      </w:r>
      <w:r w:rsidR="006C680D" w:rsidRPr="00D337FA">
        <w:rPr>
          <w:i/>
          <w:szCs w:val="24"/>
          <w:lang w:val="en-US"/>
        </w:rPr>
        <w:t xml:space="preserve"> </w:t>
      </w:r>
      <w:r w:rsidRPr="00D337FA">
        <w:rPr>
          <w:i/>
          <w:szCs w:val="24"/>
          <w:lang w:val="en-US"/>
        </w:rPr>
        <w:t>2014.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(62).</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https://cyberleninka.ru/article/n/teoretiko-filosofskie-aspekty-ponimaniya-kategorii-printsip</w:t>
      </w:r>
    </w:p>
    <w:p w:rsidR="0002772A" w:rsidRPr="00D337FA" w:rsidRDefault="0002772A" w:rsidP="0002772A">
      <w:pPr>
        <w:ind w:firstLine="284"/>
        <w:rPr>
          <w:i/>
          <w:szCs w:val="24"/>
          <w:lang w:val="en-US"/>
        </w:rPr>
      </w:pPr>
      <w:r w:rsidRPr="00D337FA">
        <w:rPr>
          <w:i/>
          <w:szCs w:val="24"/>
          <w:lang w:val="en-US"/>
        </w:rPr>
        <w:t>2.</w:t>
      </w:r>
      <w:r w:rsidR="006C680D" w:rsidRPr="00D337FA">
        <w:rPr>
          <w:i/>
          <w:szCs w:val="24"/>
          <w:lang w:val="en-US"/>
        </w:rPr>
        <w:t xml:space="preserve"> </w:t>
      </w:r>
      <w:r w:rsidRPr="00D337FA">
        <w:rPr>
          <w:i/>
          <w:szCs w:val="24"/>
          <w:lang w:val="en-US"/>
        </w:rPr>
        <w:t>Biktagirowa</w:t>
      </w:r>
      <w:r w:rsidR="006C680D" w:rsidRPr="00D337FA">
        <w:rPr>
          <w:i/>
          <w:szCs w:val="24"/>
          <w:lang w:val="en-US"/>
        </w:rPr>
        <w:t xml:space="preserve"> </w:t>
      </w:r>
      <w:r w:rsidRPr="00D337FA">
        <w:rPr>
          <w:i/>
          <w:szCs w:val="24"/>
          <w:lang w:val="en-US"/>
        </w:rPr>
        <w:t>A.R.,</w:t>
      </w:r>
      <w:r w:rsidR="006C680D" w:rsidRPr="00D337FA">
        <w:rPr>
          <w:i/>
          <w:szCs w:val="24"/>
          <w:lang w:val="en-US"/>
        </w:rPr>
        <w:t xml:space="preserve"> </w:t>
      </w:r>
      <w:r w:rsidRPr="00D337FA">
        <w:rPr>
          <w:i/>
          <w:szCs w:val="24"/>
          <w:lang w:val="en-US"/>
        </w:rPr>
        <w:t>Khismatullin</w:t>
      </w:r>
      <w:r w:rsidR="006C680D" w:rsidRPr="00D337FA">
        <w:rPr>
          <w:i/>
          <w:szCs w:val="24"/>
          <w:lang w:val="en-US"/>
        </w:rPr>
        <w:t xml:space="preserve"> </w:t>
      </w:r>
      <w:r w:rsidRPr="00D337FA">
        <w:rPr>
          <w:i/>
          <w:szCs w:val="24"/>
          <w:lang w:val="en-US"/>
        </w:rPr>
        <w:t>A.R.</w:t>
      </w:r>
      <w:r w:rsidR="006C680D" w:rsidRPr="00D337FA">
        <w:rPr>
          <w:i/>
          <w:szCs w:val="24"/>
          <w:lang w:val="en-US"/>
        </w:rPr>
        <w:t xml:space="preserve"> </w:t>
      </w:r>
      <w:r w:rsidR="00C00849" w:rsidRPr="00D337FA">
        <w:rPr>
          <w:i/>
          <w:szCs w:val="24"/>
          <w:lang w:val="en-US"/>
        </w:rPr>
        <w:t>Koncepcii</w:t>
      </w:r>
      <w:r w:rsidR="006C680D" w:rsidRPr="00D337FA">
        <w:rPr>
          <w:i/>
          <w:szCs w:val="24"/>
          <w:lang w:val="en-US"/>
        </w:rPr>
        <w:t xml:space="preserve"> </w:t>
      </w:r>
      <w:r w:rsidR="00C00849" w:rsidRPr="00D337FA">
        <w:rPr>
          <w:i/>
          <w:szCs w:val="24"/>
          <w:lang w:val="en-US"/>
        </w:rPr>
        <w:t>upravleniya</w:t>
      </w:r>
      <w:r w:rsidR="006C680D" w:rsidRPr="00D337FA">
        <w:rPr>
          <w:i/>
          <w:szCs w:val="24"/>
          <w:lang w:val="en-US"/>
        </w:rPr>
        <w:t xml:space="preserve"> </w:t>
      </w:r>
      <w:r w:rsidR="00C00849" w:rsidRPr="00D337FA">
        <w:rPr>
          <w:i/>
          <w:szCs w:val="24"/>
          <w:lang w:val="en-US"/>
        </w:rPr>
        <w:t>na</w:t>
      </w:r>
      <w:r w:rsidR="006C680D" w:rsidRPr="00D337FA">
        <w:rPr>
          <w:i/>
          <w:szCs w:val="24"/>
          <w:lang w:val="en-US"/>
        </w:rPr>
        <w:t xml:space="preserve"> </w:t>
      </w:r>
      <w:r w:rsidR="00C00849" w:rsidRPr="00D337FA">
        <w:rPr>
          <w:i/>
          <w:szCs w:val="24"/>
          <w:lang w:val="en-US"/>
        </w:rPr>
        <w:t>sovremennom</w:t>
      </w:r>
      <w:r w:rsidR="006C680D" w:rsidRPr="00D337FA">
        <w:rPr>
          <w:i/>
          <w:szCs w:val="24"/>
          <w:lang w:val="en-US"/>
        </w:rPr>
        <w:t xml:space="preserve"> </w:t>
      </w:r>
      <w:r w:rsidR="00C00849" w:rsidRPr="00D337FA">
        <w:rPr>
          <w:i/>
          <w:szCs w:val="24"/>
          <w:lang w:val="en-US"/>
        </w:rPr>
        <w:t>predpriyatii:</w:t>
      </w:r>
      <w:r w:rsidR="006C680D" w:rsidRPr="00D337FA">
        <w:rPr>
          <w:i/>
          <w:szCs w:val="24"/>
          <w:lang w:val="en-US"/>
        </w:rPr>
        <w:t xml:space="preserve"> </w:t>
      </w:r>
      <w:r w:rsidR="00C00849" w:rsidRPr="00D337FA">
        <w:rPr>
          <w:i/>
          <w:szCs w:val="24"/>
          <w:lang w:val="en-US"/>
        </w:rPr>
        <w:t>usloviya</w:t>
      </w:r>
      <w:r w:rsidR="006C680D" w:rsidRPr="00D337FA">
        <w:rPr>
          <w:i/>
          <w:szCs w:val="24"/>
          <w:lang w:val="en-US"/>
        </w:rPr>
        <w:t xml:space="preserve"> </w:t>
      </w:r>
      <w:r w:rsidR="00C00849" w:rsidRPr="00D337FA">
        <w:rPr>
          <w:i/>
          <w:szCs w:val="24"/>
          <w:lang w:val="en-US"/>
        </w:rPr>
        <w:t>effektivnosti</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problemy</w:t>
      </w:r>
      <w:r w:rsidR="006C680D" w:rsidRPr="00D337FA">
        <w:rPr>
          <w:i/>
          <w:szCs w:val="24"/>
          <w:lang w:val="en-US"/>
        </w:rPr>
        <w:t xml:space="preserve"> </w:t>
      </w:r>
      <w:r w:rsidR="00C00849" w:rsidRPr="00D337FA">
        <w:rPr>
          <w:i/>
          <w:szCs w:val="24"/>
          <w:lang w:val="en-US"/>
        </w:rPr>
        <w:t>realizacii</w:t>
      </w:r>
      <w:r w:rsidR="006C680D" w:rsidRPr="00D337FA">
        <w:rPr>
          <w:i/>
          <w:szCs w:val="24"/>
          <w:lang w:val="en-US"/>
        </w:rPr>
        <w:t xml:space="preserve"> </w:t>
      </w:r>
      <w:r w:rsidR="00C00849" w:rsidRPr="00D337FA">
        <w:rPr>
          <w:i/>
          <w:szCs w:val="24"/>
          <w:lang w:val="en-US"/>
        </w:rPr>
        <w:t>[</w:t>
      </w:r>
      <w:r w:rsidRPr="00D337FA">
        <w:rPr>
          <w:i/>
          <w:szCs w:val="24"/>
          <w:lang w:val="en-US"/>
        </w:rPr>
        <w:t>Management</w:t>
      </w:r>
      <w:r w:rsidR="006C680D" w:rsidRPr="00D337FA">
        <w:rPr>
          <w:i/>
          <w:szCs w:val="24"/>
          <w:lang w:val="en-US"/>
        </w:rPr>
        <w:t xml:space="preserve"> </w:t>
      </w:r>
      <w:r w:rsidRPr="00D337FA">
        <w:rPr>
          <w:i/>
          <w:szCs w:val="24"/>
          <w:lang w:val="en-US"/>
        </w:rPr>
        <w:t>concepts</w:t>
      </w:r>
      <w:r w:rsidR="006C680D" w:rsidRPr="00D337FA">
        <w:rPr>
          <w:i/>
          <w:szCs w:val="24"/>
          <w:lang w:val="en-US"/>
        </w:rPr>
        <w:t xml:space="preserve"> </w:t>
      </w:r>
      <w:r w:rsidRPr="00D337FA">
        <w:rPr>
          <w:i/>
          <w:szCs w:val="24"/>
          <w:lang w:val="en-US"/>
        </w:rPr>
        <w:t>at</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modern</w:t>
      </w:r>
      <w:r w:rsidR="006C680D" w:rsidRPr="00D337FA">
        <w:rPr>
          <w:i/>
          <w:szCs w:val="24"/>
          <w:lang w:val="en-US"/>
        </w:rPr>
        <w:t xml:space="preserve"> </w:t>
      </w:r>
      <w:r w:rsidRPr="00D337FA">
        <w:rPr>
          <w:i/>
          <w:szCs w:val="24"/>
          <w:lang w:val="en-US"/>
        </w:rPr>
        <w:t>enterprise:</w:t>
      </w:r>
      <w:r w:rsidR="006C680D" w:rsidRPr="00D337FA">
        <w:rPr>
          <w:i/>
          <w:szCs w:val="24"/>
          <w:lang w:val="en-US"/>
        </w:rPr>
        <w:t xml:space="preserve"> </w:t>
      </w:r>
      <w:r w:rsidRPr="00D337FA">
        <w:rPr>
          <w:i/>
          <w:szCs w:val="24"/>
          <w:lang w:val="en-US"/>
        </w:rPr>
        <w:t>conditions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efficiency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implementation</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Vestnik</w:t>
      </w:r>
      <w:r w:rsidR="006C680D" w:rsidRPr="00D337FA">
        <w:rPr>
          <w:i/>
          <w:szCs w:val="24"/>
          <w:lang w:val="en-US"/>
        </w:rPr>
        <w:t xml:space="preserve"> </w:t>
      </w:r>
      <w:r w:rsidR="00C00849" w:rsidRPr="00D337FA">
        <w:rPr>
          <w:i/>
          <w:szCs w:val="24"/>
          <w:lang w:val="en-US"/>
        </w:rPr>
        <w:t>Bashkirskogo</w:t>
      </w:r>
      <w:r w:rsidR="006C680D" w:rsidRPr="00D337FA">
        <w:rPr>
          <w:i/>
          <w:szCs w:val="24"/>
          <w:lang w:val="en-US"/>
        </w:rPr>
        <w:t xml:space="preserve"> </w:t>
      </w:r>
      <w:r w:rsidR="00C00849" w:rsidRPr="00D337FA">
        <w:rPr>
          <w:i/>
          <w:szCs w:val="24"/>
          <w:lang w:val="en-US"/>
        </w:rPr>
        <w:t>gosudarstvennogo</w:t>
      </w:r>
      <w:r w:rsidR="006C680D" w:rsidRPr="00D337FA">
        <w:rPr>
          <w:i/>
          <w:szCs w:val="24"/>
          <w:lang w:val="en-US"/>
        </w:rPr>
        <w:t xml:space="preserve"> </w:t>
      </w:r>
      <w:r w:rsidR="00C00849" w:rsidRPr="00D337FA">
        <w:rPr>
          <w:i/>
          <w:szCs w:val="24"/>
          <w:lang w:val="en-US"/>
        </w:rPr>
        <w:t>pedagogicheskogo</w:t>
      </w:r>
      <w:r w:rsidR="006C680D" w:rsidRPr="00D337FA">
        <w:rPr>
          <w:i/>
          <w:szCs w:val="24"/>
          <w:lang w:val="en-US"/>
        </w:rPr>
        <w:t xml:space="preserve"> </w:t>
      </w:r>
      <w:r w:rsidR="00C00849" w:rsidRPr="00D337FA">
        <w:rPr>
          <w:i/>
          <w:szCs w:val="24"/>
          <w:lang w:val="en-US"/>
        </w:rPr>
        <w:t>universiteta</w:t>
      </w:r>
      <w:r w:rsidR="006C680D" w:rsidRPr="00D337FA">
        <w:rPr>
          <w:i/>
          <w:szCs w:val="24"/>
          <w:lang w:val="en-US"/>
        </w:rPr>
        <w:t xml:space="preserve"> </w:t>
      </w:r>
      <w:r w:rsidR="00C00849" w:rsidRPr="00D337FA">
        <w:rPr>
          <w:i/>
          <w:szCs w:val="24"/>
          <w:lang w:val="en-US"/>
        </w:rPr>
        <w:t>im.</w:t>
      </w:r>
      <w:r w:rsidR="006C680D" w:rsidRPr="00D337FA">
        <w:rPr>
          <w:i/>
          <w:szCs w:val="24"/>
          <w:lang w:val="en-US"/>
        </w:rPr>
        <w:t xml:space="preserve"> </w:t>
      </w:r>
      <w:r w:rsidR="00C00849" w:rsidRPr="00D337FA">
        <w:rPr>
          <w:i/>
          <w:szCs w:val="24"/>
          <w:lang w:val="en-US"/>
        </w:rPr>
        <w:t>M.</w:t>
      </w:r>
      <w:r w:rsidR="006C680D" w:rsidRPr="00D337FA">
        <w:rPr>
          <w:i/>
          <w:szCs w:val="24"/>
          <w:lang w:val="en-US"/>
        </w:rPr>
        <w:t xml:space="preserve"> </w:t>
      </w:r>
      <w:r w:rsidR="00C00849" w:rsidRPr="00D337FA">
        <w:rPr>
          <w:i/>
          <w:szCs w:val="24"/>
          <w:lang w:val="en-US"/>
        </w:rPr>
        <w:t>Akmully</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Bashkir</w:t>
      </w:r>
      <w:r w:rsidR="006C680D" w:rsidRPr="00D337FA">
        <w:rPr>
          <w:i/>
          <w:szCs w:val="24"/>
          <w:lang w:val="en-US"/>
        </w:rPr>
        <w:t xml:space="preserve"> </w:t>
      </w:r>
      <w:r w:rsidRPr="00D337FA">
        <w:rPr>
          <w:i/>
          <w:szCs w:val="24"/>
          <w:lang w:val="en-US"/>
        </w:rPr>
        <w:t>State</w:t>
      </w:r>
      <w:r w:rsidR="006C680D" w:rsidRPr="00D337FA">
        <w:rPr>
          <w:i/>
          <w:szCs w:val="24"/>
          <w:lang w:val="en-US"/>
        </w:rPr>
        <w:t xml:space="preserve"> </w:t>
      </w:r>
      <w:r w:rsidRPr="00D337FA">
        <w:rPr>
          <w:i/>
          <w:szCs w:val="24"/>
          <w:lang w:val="en-US"/>
        </w:rPr>
        <w:t>Pedagogical</w:t>
      </w:r>
      <w:r w:rsidR="006C680D" w:rsidRPr="00D337FA">
        <w:rPr>
          <w:i/>
          <w:szCs w:val="24"/>
          <w:lang w:val="en-US"/>
        </w:rPr>
        <w:t xml:space="preserve"> </w:t>
      </w:r>
      <w:r w:rsidRPr="00D337FA">
        <w:rPr>
          <w:i/>
          <w:szCs w:val="24"/>
          <w:lang w:val="en-US"/>
        </w:rPr>
        <w:t>University</w:t>
      </w:r>
      <w:r w:rsidR="006C680D" w:rsidRPr="00D337FA">
        <w:rPr>
          <w:i/>
          <w:szCs w:val="24"/>
          <w:lang w:val="en-US"/>
        </w:rPr>
        <w:t xml:space="preserve"> </w:t>
      </w:r>
      <w:r w:rsidRPr="00D337FA">
        <w:rPr>
          <w:i/>
          <w:szCs w:val="24"/>
          <w:lang w:val="en-US"/>
        </w:rPr>
        <w:t>named</w:t>
      </w:r>
      <w:r w:rsidR="006C680D" w:rsidRPr="00D337FA">
        <w:rPr>
          <w:i/>
          <w:szCs w:val="24"/>
          <w:lang w:val="en-US"/>
        </w:rPr>
        <w:t xml:space="preserve"> </w:t>
      </w:r>
      <w:r w:rsidRPr="00D337FA">
        <w:rPr>
          <w:i/>
          <w:szCs w:val="24"/>
          <w:lang w:val="en-US"/>
        </w:rPr>
        <w:t>after</w:t>
      </w:r>
      <w:r w:rsidR="006C680D" w:rsidRPr="00D337FA">
        <w:rPr>
          <w:i/>
          <w:szCs w:val="24"/>
          <w:lang w:val="en-US"/>
        </w:rPr>
        <w:t xml:space="preserve"> </w:t>
      </w:r>
      <w:r w:rsidRPr="00D337FA">
        <w:rPr>
          <w:i/>
          <w:szCs w:val="24"/>
          <w:lang w:val="en-US"/>
        </w:rPr>
        <w:t>M.</w:t>
      </w:r>
      <w:r w:rsidR="006C680D" w:rsidRPr="00D337FA">
        <w:rPr>
          <w:i/>
          <w:szCs w:val="24"/>
          <w:lang w:val="en-US"/>
        </w:rPr>
        <w:t xml:space="preserve"> </w:t>
      </w:r>
      <w:r w:rsidRPr="00D337FA">
        <w:rPr>
          <w:i/>
          <w:szCs w:val="24"/>
          <w:lang w:val="en-US"/>
        </w:rPr>
        <w:t>Akmulla.</w:t>
      </w:r>
      <w:r w:rsidR="006C680D" w:rsidRPr="00D337FA">
        <w:rPr>
          <w:i/>
          <w:szCs w:val="24"/>
          <w:lang w:val="en-US"/>
        </w:rPr>
        <w:t xml:space="preserve"> </w:t>
      </w:r>
      <w:r w:rsidRPr="00D337FA">
        <w:rPr>
          <w:i/>
          <w:szCs w:val="24"/>
          <w:lang w:val="en-US"/>
        </w:rPr>
        <w:t>2019.</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(49).</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https://cyberleninka.ru/article/n/kontseptsii-upravleniya-na-sovremennom-predpriyatii-usloviya-effektivnosti-i-problemy-realizatsii.</w:t>
      </w:r>
    </w:p>
    <w:p w:rsidR="0002772A" w:rsidRPr="00D337FA" w:rsidRDefault="0002772A" w:rsidP="0002772A">
      <w:pPr>
        <w:ind w:firstLine="284"/>
        <w:rPr>
          <w:i/>
          <w:szCs w:val="24"/>
          <w:lang w:val="en-US"/>
        </w:rPr>
      </w:pPr>
      <w:r w:rsidRPr="00D337FA">
        <w:rPr>
          <w:i/>
          <w:szCs w:val="24"/>
          <w:lang w:val="en-US"/>
        </w:rPr>
        <w:t>3.</w:t>
      </w:r>
      <w:r w:rsidR="006C680D" w:rsidRPr="00D337FA">
        <w:rPr>
          <w:i/>
          <w:szCs w:val="24"/>
          <w:lang w:val="en-US"/>
        </w:rPr>
        <w:t xml:space="preserve"> </w:t>
      </w:r>
      <w:r w:rsidRPr="00D337FA">
        <w:rPr>
          <w:i/>
          <w:szCs w:val="24"/>
          <w:lang w:val="en-US"/>
        </w:rPr>
        <w:t>Vlasov</w:t>
      </w:r>
      <w:r w:rsidR="006C680D" w:rsidRPr="00D337FA">
        <w:rPr>
          <w:i/>
          <w:szCs w:val="24"/>
          <w:lang w:val="en-US"/>
        </w:rPr>
        <w:t xml:space="preserve"> </w:t>
      </w:r>
      <w:r w:rsidRPr="00D337FA">
        <w:rPr>
          <w:i/>
          <w:szCs w:val="24"/>
          <w:lang w:val="en-US"/>
        </w:rPr>
        <w:t>D.V.</w:t>
      </w:r>
      <w:r w:rsidR="006C680D" w:rsidRPr="00D337FA">
        <w:rPr>
          <w:i/>
          <w:szCs w:val="24"/>
          <w:lang w:val="en-US"/>
        </w:rPr>
        <w:t xml:space="preserve"> </w:t>
      </w:r>
      <w:r w:rsidR="00C00849" w:rsidRPr="00D337FA">
        <w:rPr>
          <w:i/>
          <w:szCs w:val="24"/>
          <w:lang w:val="en-US"/>
        </w:rPr>
        <w:t>Ponyatie</w:t>
      </w:r>
      <w:r w:rsidR="006C680D" w:rsidRPr="00D337FA">
        <w:rPr>
          <w:i/>
          <w:szCs w:val="24"/>
          <w:lang w:val="en-US"/>
        </w:rPr>
        <w:t xml:space="preserve"> </w:t>
      </w:r>
      <w:r w:rsidR="00C00849" w:rsidRPr="00D337FA">
        <w:rPr>
          <w:i/>
          <w:szCs w:val="24"/>
          <w:lang w:val="en-US"/>
        </w:rPr>
        <w:t>kak</w:t>
      </w:r>
      <w:r w:rsidR="006C680D" w:rsidRPr="00D337FA">
        <w:rPr>
          <w:i/>
          <w:szCs w:val="24"/>
          <w:lang w:val="en-US"/>
        </w:rPr>
        <w:t xml:space="preserve"> </w:t>
      </w:r>
      <w:r w:rsidR="00C00849" w:rsidRPr="00D337FA">
        <w:rPr>
          <w:i/>
          <w:szCs w:val="24"/>
          <w:lang w:val="en-US"/>
        </w:rPr>
        <w:t>forma</w:t>
      </w:r>
      <w:r w:rsidR="006C680D" w:rsidRPr="00D337FA">
        <w:rPr>
          <w:i/>
          <w:szCs w:val="24"/>
          <w:lang w:val="en-US"/>
        </w:rPr>
        <w:t xml:space="preserve"> </w:t>
      </w:r>
      <w:r w:rsidR="00C00849" w:rsidRPr="00D337FA">
        <w:rPr>
          <w:i/>
          <w:szCs w:val="24"/>
          <w:lang w:val="en-US"/>
        </w:rPr>
        <w:t>mysli</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problema</w:t>
      </w:r>
      <w:r w:rsidR="006C680D" w:rsidRPr="00D337FA">
        <w:rPr>
          <w:i/>
          <w:szCs w:val="24"/>
          <w:lang w:val="en-US"/>
        </w:rPr>
        <w:t xml:space="preserve"> </w:t>
      </w:r>
      <w:r w:rsidR="00C00849" w:rsidRPr="00D337FA">
        <w:rPr>
          <w:i/>
          <w:szCs w:val="24"/>
          <w:lang w:val="en-US"/>
        </w:rPr>
        <w:t>ontologicheskogo</w:t>
      </w:r>
      <w:r w:rsidR="006C680D" w:rsidRPr="00D337FA">
        <w:rPr>
          <w:i/>
          <w:szCs w:val="24"/>
          <w:lang w:val="en-US"/>
        </w:rPr>
        <w:t xml:space="preserve"> </w:t>
      </w:r>
      <w:r w:rsidR="00C00849" w:rsidRPr="00D337FA">
        <w:rPr>
          <w:i/>
          <w:szCs w:val="24"/>
          <w:lang w:val="en-US"/>
        </w:rPr>
        <w:t>statusa</w:t>
      </w:r>
      <w:r w:rsidR="006C680D" w:rsidRPr="00D337FA">
        <w:rPr>
          <w:i/>
          <w:szCs w:val="24"/>
          <w:lang w:val="en-US"/>
        </w:rPr>
        <w:t xml:space="preserve"> </w:t>
      </w:r>
      <w:r w:rsidR="00C00849" w:rsidRPr="00D337FA">
        <w:rPr>
          <w:i/>
          <w:szCs w:val="24"/>
          <w:lang w:val="en-US"/>
        </w:rPr>
        <w:t>priznakov</w:t>
      </w:r>
      <w:r w:rsidR="006C680D" w:rsidRPr="00D337FA">
        <w:rPr>
          <w:i/>
          <w:szCs w:val="24"/>
          <w:lang w:val="en-US"/>
        </w:rPr>
        <w:t xml:space="preserve"> </w:t>
      </w:r>
      <w:r w:rsidR="00C00849" w:rsidRPr="00D337FA">
        <w:rPr>
          <w:i/>
          <w:szCs w:val="24"/>
          <w:lang w:val="en-US"/>
        </w:rPr>
        <w:t>[</w:t>
      </w:r>
      <w:r w:rsidRPr="00D337FA">
        <w:rPr>
          <w:i/>
          <w:szCs w:val="24"/>
          <w:lang w:val="en-US"/>
        </w:rPr>
        <w:t>Concept</w:t>
      </w:r>
      <w:r w:rsidR="006C680D" w:rsidRPr="00D337FA">
        <w:rPr>
          <w:i/>
          <w:szCs w:val="24"/>
          <w:lang w:val="en-US"/>
        </w:rPr>
        <w:t xml:space="preserve"> </w:t>
      </w:r>
      <w:r w:rsidRPr="00D337FA">
        <w:rPr>
          <w:i/>
          <w:szCs w:val="24"/>
          <w:lang w:val="en-US"/>
        </w:rPr>
        <w:t>as</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Form</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Thought</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Problem</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Ontological</w:t>
      </w:r>
      <w:r w:rsidR="006C680D" w:rsidRPr="00D337FA">
        <w:rPr>
          <w:i/>
          <w:szCs w:val="24"/>
          <w:lang w:val="en-US"/>
        </w:rPr>
        <w:t xml:space="preserve"> </w:t>
      </w:r>
      <w:r w:rsidRPr="00D337FA">
        <w:rPr>
          <w:i/>
          <w:szCs w:val="24"/>
          <w:lang w:val="en-US"/>
        </w:rPr>
        <w:t>Status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Features</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Filosofiya</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obshchestvo</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Philosophy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Society.</w:t>
      </w:r>
      <w:r w:rsidR="006C680D" w:rsidRPr="00D337FA">
        <w:rPr>
          <w:i/>
          <w:szCs w:val="24"/>
          <w:lang w:val="en-US"/>
        </w:rPr>
        <w:t xml:space="preserve"> </w:t>
      </w:r>
      <w:r w:rsidRPr="00D337FA">
        <w:rPr>
          <w:i/>
          <w:szCs w:val="24"/>
          <w:lang w:val="en-US"/>
        </w:rPr>
        <w:t>2009.</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https://cyberleninka.ru/article/n/ponyatie-kak-forma-mysli-i-problema-ontologicheskogo-statusa-priznakov</w:t>
      </w:r>
    </w:p>
    <w:p w:rsidR="0002772A" w:rsidRPr="00D337FA" w:rsidRDefault="0002772A" w:rsidP="0002772A">
      <w:pPr>
        <w:ind w:firstLine="284"/>
        <w:rPr>
          <w:i/>
          <w:szCs w:val="24"/>
          <w:lang w:val="en-US"/>
        </w:rPr>
      </w:pPr>
      <w:r w:rsidRPr="00D337FA">
        <w:rPr>
          <w:i/>
          <w:szCs w:val="24"/>
          <w:lang w:val="en-US"/>
        </w:rPr>
        <w:t>4.</w:t>
      </w:r>
      <w:r w:rsidR="006C680D" w:rsidRPr="00D337FA">
        <w:rPr>
          <w:i/>
          <w:szCs w:val="24"/>
          <w:lang w:val="en-US"/>
        </w:rPr>
        <w:t xml:space="preserve"> </w:t>
      </w:r>
      <w:r w:rsidRPr="00D337FA">
        <w:rPr>
          <w:i/>
          <w:szCs w:val="24"/>
          <w:lang w:val="en-US"/>
        </w:rPr>
        <w:t>Gerasimov</w:t>
      </w:r>
      <w:r w:rsidR="006C680D" w:rsidRPr="00D337FA">
        <w:rPr>
          <w:i/>
          <w:szCs w:val="24"/>
          <w:lang w:val="en-US"/>
        </w:rPr>
        <w:t xml:space="preserve"> </w:t>
      </w:r>
      <w:r w:rsidRPr="00D337FA">
        <w:rPr>
          <w:i/>
          <w:szCs w:val="24"/>
          <w:lang w:val="en-US"/>
        </w:rPr>
        <w:t>B.N.</w:t>
      </w:r>
      <w:r w:rsidR="006C680D" w:rsidRPr="00D337FA">
        <w:rPr>
          <w:i/>
          <w:szCs w:val="24"/>
          <w:lang w:val="en-US"/>
        </w:rPr>
        <w:t xml:space="preserve"> </w:t>
      </w:r>
      <w:r w:rsidR="00C00849" w:rsidRPr="00D337FA">
        <w:rPr>
          <w:i/>
          <w:szCs w:val="24"/>
          <w:lang w:val="en-US"/>
        </w:rPr>
        <w:t>Metodologiya</w:t>
      </w:r>
      <w:r w:rsidR="006C680D" w:rsidRPr="00D337FA">
        <w:rPr>
          <w:i/>
          <w:szCs w:val="24"/>
          <w:lang w:val="en-US"/>
        </w:rPr>
        <w:t xml:space="preserve"> </w:t>
      </w:r>
      <w:r w:rsidR="00C00849" w:rsidRPr="00D337FA">
        <w:rPr>
          <w:i/>
          <w:szCs w:val="24"/>
          <w:lang w:val="en-US"/>
        </w:rPr>
        <w:t>upravleniya:</w:t>
      </w:r>
      <w:r w:rsidR="006C680D" w:rsidRPr="00D337FA">
        <w:rPr>
          <w:i/>
          <w:szCs w:val="24"/>
          <w:lang w:val="en-US"/>
        </w:rPr>
        <w:t xml:space="preserve"> </w:t>
      </w:r>
      <w:r w:rsidR="00C00849" w:rsidRPr="00D337FA">
        <w:rPr>
          <w:i/>
          <w:szCs w:val="24"/>
          <w:lang w:val="en-US"/>
        </w:rPr>
        <w:t>osnovaniya,</w:t>
      </w:r>
      <w:r w:rsidR="006C680D" w:rsidRPr="00D337FA">
        <w:rPr>
          <w:i/>
          <w:szCs w:val="24"/>
          <w:lang w:val="en-US"/>
        </w:rPr>
        <w:t xml:space="preserve"> </w:t>
      </w:r>
      <w:r w:rsidR="00C00849" w:rsidRPr="00D337FA">
        <w:rPr>
          <w:i/>
          <w:szCs w:val="24"/>
          <w:lang w:val="en-US"/>
        </w:rPr>
        <w:t>predposylki,</w:t>
      </w:r>
      <w:r w:rsidR="006C680D" w:rsidRPr="00D337FA">
        <w:rPr>
          <w:i/>
          <w:szCs w:val="24"/>
          <w:lang w:val="en-US"/>
        </w:rPr>
        <w:t xml:space="preserve"> </w:t>
      </w:r>
      <w:r w:rsidR="00C00849" w:rsidRPr="00D337FA">
        <w:rPr>
          <w:i/>
          <w:szCs w:val="24"/>
          <w:lang w:val="en-US"/>
        </w:rPr>
        <w:t>soderzhanie</w:t>
      </w:r>
      <w:r w:rsidR="006C680D" w:rsidRPr="00D337FA">
        <w:rPr>
          <w:i/>
          <w:szCs w:val="24"/>
          <w:lang w:val="en-US"/>
        </w:rPr>
        <w:t xml:space="preserve"> </w:t>
      </w:r>
      <w:r w:rsidR="00C00849" w:rsidRPr="00D337FA">
        <w:rPr>
          <w:i/>
          <w:szCs w:val="24"/>
          <w:lang w:val="en-US"/>
        </w:rPr>
        <w:t>[</w:t>
      </w:r>
      <w:r w:rsidRPr="00D337FA">
        <w:rPr>
          <w:i/>
          <w:szCs w:val="24"/>
          <w:lang w:val="en-US"/>
        </w:rPr>
        <w:t>Management</w:t>
      </w:r>
      <w:r w:rsidR="006C680D" w:rsidRPr="00D337FA">
        <w:rPr>
          <w:i/>
          <w:szCs w:val="24"/>
          <w:lang w:val="en-US"/>
        </w:rPr>
        <w:t xml:space="preserve"> </w:t>
      </w:r>
      <w:r w:rsidRPr="00D337FA">
        <w:rPr>
          <w:i/>
          <w:szCs w:val="24"/>
          <w:lang w:val="en-US"/>
        </w:rPr>
        <w:t>Methodology:</w:t>
      </w:r>
      <w:r w:rsidR="006C680D" w:rsidRPr="00D337FA">
        <w:rPr>
          <w:i/>
          <w:szCs w:val="24"/>
          <w:lang w:val="en-US"/>
        </w:rPr>
        <w:t xml:space="preserve"> </w:t>
      </w:r>
      <w:r w:rsidRPr="00D337FA">
        <w:rPr>
          <w:i/>
          <w:szCs w:val="24"/>
          <w:lang w:val="en-US"/>
        </w:rPr>
        <w:t>Foundations,</w:t>
      </w:r>
      <w:r w:rsidR="006C680D" w:rsidRPr="00D337FA">
        <w:rPr>
          <w:i/>
          <w:szCs w:val="24"/>
          <w:lang w:val="en-US"/>
        </w:rPr>
        <w:t xml:space="preserve"> </w:t>
      </w:r>
      <w:r w:rsidRPr="00D337FA">
        <w:rPr>
          <w:i/>
          <w:szCs w:val="24"/>
          <w:lang w:val="en-US"/>
        </w:rPr>
        <w:t>Prerequisites,</w:t>
      </w:r>
      <w:r w:rsidR="006C680D" w:rsidRPr="00D337FA">
        <w:rPr>
          <w:i/>
          <w:szCs w:val="24"/>
          <w:lang w:val="en-US"/>
        </w:rPr>
        <w:t xml:space="preserve"> </w:t>
      </w:r>
      <w:r w:rsidRPr="00D337FA">
        <w:rPr>
          <w:i/>
          <w:szCs w:val="24"/>
          <w:lang w:val="en-US"/>
        </w:rPr>
        <w:t>Content</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Ekonomika</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biznes:</w:t>
      </w:r>
      <w:r w:rsidR="006C680D" w:rsidRPr="00D337FA">
        <w:rPr>
          <w:i/>
          <w:szCs w:val="24"/>
          <w:lang w:val="en-US"/>
        </w:rPr>
        <w:t xml:space="preserve"> </w:t>
      </w:r>
      <w:r w:rsidR="00C00849" w:rsidRPr="00D337FA">
        <w:rPr>
          <w:i/>
          <w:szCs w:val="24"/>
          <w:lang w:val="en-US"/>
        </w:rPr>
        <w:t>teoriya</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praktika</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Theory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Practice.</w:t>
      </w:r>
      <w:r w:rsidR="006C680D" w:rsidRPr="00D337FA">
        <w:rPr>
          <w:i/>
          <w:szCs w:val="24"/>
          <w:lang w:val="en-US"/>
        </w:rPr>
        <w:t xml:space="preserve"> </w:t>
      </w:r>
      <w:r w:rsidRPr="00D337FA">
        <w:rPr>
          <w:i/>
          <w:szCs w:val="24"/>
          <w:lang w:val="en-US"/>
        </w:rPr>
        <w:t>2016.</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12.</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https://cyberleninka.ru/article/n/metodologiya-upravleniya-osnovaniya-predposylki-soderzhanie</w:t>
      </w:r>
    </w:p>
    <w:p w:rsidR="0002772A" w:rsidRPr="00D337FA" w:rsidRDefault="0002772A" w:rsidP="0002772A">
      <w:pPr>
        <w:ind w:firstLine="284"/>
        <w:rPr>
          <w:i/>
          <w:szCs w:val="24"/>
          <w:lang w:val="en-US"/>
        </w:rPr>
      </w:pPr>
      <w:r w:rsidRPr="00D337FA">
        <w:rPr>
          <w:i/>
          <w:szCs w:val="24"/>
          <w:lang w:val="en-US"/>
        </w:rPr>
        <w:lastRenderedPageBreak/>
        <w:t>5.</w:t>
      </w:r>
      <w:r w:rsidR="006C680D" w:rsidRPr="00D337FA">
        <w:rPr>
          <w:i/>
          <w:szCs w:val="24"/>
          <w:lang w:val="en-US"/>
        </w:rPr>
        <w:t xml:space="preserve"> </w:t>
      </w:r>
      <w:r w:rsidRPr="00D337FA">
        <w:rPr>
          <w:i/>
          <w:szCs w:val="24"/>
          <w:lang w:val="en-US"/>
        </w:rPr>
        <w:t>Gerasimov</w:t>
      </w:r>
      <w:r w:rsidR="006C680D" w:rsidRPr="00D337FA">
        <w:rPr>
          <w:i/>
          <w:szCs w:val="24"/>
          <w:lang w:val="en-US"/>
        </w:rPr>
        <w:t xml:space="preserve"> </w:t>
      </w:r>
      <w:r w:rsidRPr="00D337FA">
        <w:rPr>
          <w:i/>
          <w:szCs w:val="24"/>
          <w:lang w:val="en-US"/>
        </w:rPr>
        <w:t>B.</w:t>
      </w:r>
      <w:r w:rsidR="006C680D" w:rsidRPr="00D337FA">
        <w:rPr>
          <w:i/>
          <w:szCs w:val="24"/>
          <w:lang w:val="en-US"/>
        </w:rPr>
        <w:t xml:space="preserve"> </w:t>
      </w:r>
      <w:r w:rsidRPr="00D337FA">
        <w:rPr>
          <w:i/>
          <w:szCs w:val="24"/>
          <w:lang w:val="en-US"/>
        </w:rPr>
        <w:t>N.,</w:t>
      </w:r>
      <w:r w:rsidR="006C680D" w:rsidRPr="00D337FA">
        <w:rPr>
          <w:i/>
          <w:szCs w:val="24"/>
          <w:lang w:val="en-US"/>
        </w:rPr>
        <w:t xml:space="preserve"> </w:t>
      </w:r>
      <w:r w:rsidRPr="00D337FA">
        <w:rPr>
          <w:i/>
          <w:szCs w:val="24"/>
          <w:lang w:val="en-US"/>
        </w:rPr>
        <w:t>Shimelfenig</w:t>
      </w:r>
      <w:r w:rsidR="006C680D" w:rsidRPr="00D337FA">
        <w:rPr>
          <w:i/>
          <w:szCs w:val="24"/>
          <w:lang w:val="en-US"/>
        </w:rPr>
        <w:t xml:space="preserve"> </w:t>
      </w:r>
      <w:r w:rsidRPr="00D337FA">
        <w:rPr>
          <w:i/>
          <w:szCs w:val="24"/>
          <w:lang w:val="en-US"/>
        </w:rPr>
        <w:t>O.</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00C00849" w:rsidRPr="00D337FA">
        <w:rPr>
          <w:i/>
          <w:szCs w:val="24"/>
          <w:lang w:val="en-US"/>
        </w:rPr>
        <w:t>Metodologiya</w:t>
      </w:r>
      <w:r w:rsidR="006C680D" w:rsidRPr="00D337FA">
        <w:rPr>
          <w:i/>
          <w:szCs w:val="24"/>
          <w:lang w:val="en-US"/>
        </w:rPr>
        <w:t xml:space="preserve"> </w:t>
      </w:r>
      <w:r w:rsidR="00C00849" w:rsidRPr="00D337FA">
        <w:rPr>
          <w:i/>
          <w:szCs w:val="24"/>
          <w:lang w:val="en-US"/>
        </w:rPr>
        <w:t>menedzhmenta,</w:t>
      </w:r>
      <w:r w:rsidR="006C680D" w:rsidRPr="00D337FA">
        <w:rPr>
          <w:i/>
          <w:szCs w:val="24"/>
          <w:lang w:val="en-US"/>
        </w:rPr>
        <w:t xml:space="preserve"> </w:t>
      </w:r>
      <w:r w:rsidR="00C00849" w:rsidRPr="00D337FA">
        <w:rPr>
          <w:i/>
          <w:szCs w:val="24"/>
          <w:lang w:val="en-US"/>
        </w:rPr>
        <w:t>kak</w:t>
      </w:r>
      <w:r w:rsidR="006C680D" w:rsidRPr="00D337FA">
        <w:rPr>
          <w:i/>
          <w:szCs w:val="24"/>
          <w:lang w:val="en-US"/>
        </w:rPr>
        <w:t xml:space="preserve"> </w:t>
      </w:r>
      <w:r w:rsidR="00C00849" w:rsidRPr="00D337FA">
        <w:rPr>
          <w:i/>
          <w:szCs w:val="24"/>
          <w:lang w:val="en-US"/>
        </w:rPr>
        <w:t>zerkalo</w:t>
      </w:r>
      <w:r w:rsidR="006C680D" w:rsidRPr="00D337FA">
        <w:rPr>
          <w:i/>
          <w:szCs w:val="24"/>
          <w:lang w:val="en-US"/>
        </w:rPr>
        <w:t xml:space="preserve"> </w:t>
      </w:r>
      <w:r w:rsidR="00C00849" w:rsidRPr="00D337FA">
        <w:rPr>
          <w:i/>
          <w:szCs w:val="24"/>
          <w:lang w:val="en-US"/>
        </w:rPr>
        <w:t>sub"ektnosti</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social'nosti</w:t>
      </w:r>
      <w:r w:rsidR="006C680D" w:rsidRPr="00D337FA">
        <w:rPr>
          <w:i/>
          <w:szCs w:val="24"/>
          <w:lang w:val="en-US"/>
        </w:rPr>
        <w:t xml:space="preserve"> </w:t>
      </w:r>
      <w:r w:rsidR="00C00849" w:rsidRPr="00D337FA">
        <w:rPr>
          <w:i/>
          <w:szCs w:val="24"/>
          <w:lang w:val="en-US"/>
        </w:rPr>
        <w:t>okruzhayushchego</w:t>
      </w:r>
      <w:r w:rsidR="006C680D" w:rsidRPr="00D337FA">
        <w:rPr>
          <w:i/>
          <w:szCs w:val="24"/>
          <w:lang w:val="en-US"/>
        </w:rPr>
        <w:t xml:space="preserve"> </w:t>
      </w:r>
      <w:r w:rsidR="00C00849" w:rsidRPr="00D337FA">
        <w:rPr>
          <w:i/>
          <w:szCs w:val="24"/>
          <w:lang w:val="en-US"/>
        </w:rPr>
        <w:t>mira</w:t>
      </w:r>
      <w:r w:rsidR="006C680D" w:rsidRPr="00D337FA">
        <w:rPr>
          <w:i/>
          <w:szCs w:val="24"/>
          <w:lang w:val="en-US"/>
        </w:rPr>
        <w:t xml:space="preserve"> </w:t>
      </w:r>
      <w:r w:rsidR="00C00849" w:rsidRPr="00D337FA">
        <w:rPr>
          <w:i/>
          <w:szCs w:val="24"/>
          <w:lang w:val="en-US"/>
        </w:rPr>
        <w:t>[</w:t>
      </w:r>
      <w:r w:rsidRPr="00D337FA">
        <w:rPr>
          <w:i/>
          <w:szCs w:val="24"/>
          <w:lang w:val="en-US"/>
        </w:rPr>
        <w:t>Management</w:t>
      </w:r>
      <w:r w:rsidR="006C680D" w:rsidRPr="00D337FA">
        <w:rPr>
          <w:i/>
          <w:szCs w:val="24"/>
          <w:lang w:val="en-US"/>
        </w:rPr>
        <w:t xml:space="preserve"> </w:t>
      </w:r>
      <w:r w:rsidRPr="00D337FA">
        <w:rPr>
          <w:i/>
          <w:szCs w:val="24"/>
          <w:lang w:val="en-US"/>
        </w:rPr>
        <w:t>Methodology</w:t>
      </w:r>
      <w:r w:rsidR="006C680D" w:rsidRPr="00D337FA">
        <w:rPr>
          <w:i/>
          <w:szCs w:val="24"/>
          <w:lang w:val="en-US"/>
        </w:rPr>
        <w:t xml:space="preserve"> </w:t>
      </w:r>
      <w:r w:rsidRPr="00D337FA">
        <w:rPr>
          <w:i/>
          <w:szCs w:val="24"/>
          <w:lang w:val="en-US"/>
        </w:rPr>
        <w:t>as</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Mirror</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Subjectivity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Sociality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Surrounding</w:t>
      </w:r>
      <w:r w:rsidR="006C680D" w:rsidRPr="00D337FA">
        <w:rPr>
          <w:i/>
          <w:szCs w:val="24"/>
          <w:lang w:val="en-US"/>
        </w:rPr>
        <w:t xml:space="preserve"> </w:t>
      </w:r>
      <w:r w:rsidRPr="00D337FA">
        <w:rPr>
          <w:i/>
          <w:szCs w:val="24"/>
          <w:lang w:val="en-US"/>
        </w:rPr>
        <w:t>World</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Mezhdunarodnyj</w:t>
      </w:r>
      <w:r w:rsidR="006C680D" w:rsidRPr="00D337FA">
        <w:rPr>
          <w:i/>
          <w:szCs w:val="24"/>
          <w:lang w:val="en-US"/>
        </w:rPr>
        <w:t xml:space="preserve"> </w:t>
      </w:r>
      <w:r w:rsidR="00C00849" w:rsidRPr="00D337FA">
        <w:rPr>
          <w:i/>
          <w:szCs w:val="24"/>
          <w:lang w:val="en-US"/>
        </w:rPr>
        <w:t>zhurnal</w:t>
      </w:r>
      <w:r w:rsidR="006C680D" w:rsidRPr="00D337FA">
        <w:rPr>
          <w:i/>
          <w:szCs w:val="24"/>
          <w:lang w:val="en-US"/>
        </w:rPr>
        <w:t xml:space="preserve"> </w:t>
      </w:r>
      <w:r w:rsidR="00C00849" w:rsidRPr="00D337FA">
        <w:rPr>
          <w:i/>
          <w:szCs w:val="24"/>
          <w:lang w:val="en-US"/>
        </w:rPr>
        <w:t>gumanitarnyh</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estestvennyh</w:t>
      </w:r>
      <w:r w:rsidR="006C680D" w:rsidRPr="00D337FA">
        <w:rPr>
          <w:i/>
          <w:szCs w:val="24"/>
          <w:lang w:val="en-US"/>
        </w:rPr>
        <w:t xml:space="preserve"> </w:t>
      </w:r>
      <w:r w:rsidR="00C00849" w:rsidRPr="00D337FA">
        <w:rPr>
          <w:i/>
          <w:szCs w:val="24"/>
          <w:lang w:val="en-US"/>
        </w:rPr>
        <w:t>nauk</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International</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Humanitarian</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Natural</w:t>
      </w:r>
      <w:r w:rsidR="006C680D" w:rsidRPr="00D337FA">
        <w:rPr>
          <w:i/>
          <w:szCs w:val="24"/>
          <w:lang w:val="en-US"/>
        </w:rPr>
        <w:t xml:space="preserve"> </w:t>
      </w:r>
      <w:r w:rsidRPr="00D337FA">
        <w:rPr>
          <w:i/>
          <w:szCs w:val="24"/>
          <w:lang w:val="en-US"/>
        </w:rPr>
        <w:t>Sciences.</w:t>
      </w:r>
      <w:r w:rsidR="006C680D" w:rsidRPr="00D337FA">
        <w:rPr>
          <w:i/>
          <w:szCs w:val="24"/>
          <w:lang w:val="en-US"/>
        </w:rPr>
        <w:t xml:space="preserve"> </w:t>
      </w:r>
      <w:r w:rsidRPr="00D337FA">
        <w:rPr>
          <w:i/>
          <w:szCs w:val="24"/>
          <w:lang w:val="en-US"/>
        </w:rPr>
        <w:t>2016.</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https://cyberleninka.ru/article/n/metodologiya-menedzhmenta-kak-zerkalo-subektnosti-i-sotsialnosti-okruzhayuschego-mira</w:t>
      </w:r>
    </w:p>
    <w:p w:rsidR="0002772A" w:rsidRPr="00D337FA" w:rsidRDefault="0002772A" w:rsidP="0002772A">
      <w:pPr>
        <w:ind w:firstLine="284"/>
        <w:rPr>
          <w:i/>
          <w:szCs w:val="24"/>
          <w:lang w:val="en-US"/>
        </w:rPr>
      </w:pPr>
      <w:r w:rsidRPr="00D337FA">
        <w:rPr>
          <w:i/>
          <w:szCs w:val="24"/>
          <w:lang w:val="en-US"/>
        </w:rPr>
        <w:t>6.</w:t>
      </w:r>
      <w:r w:rsidR="006C680D" w:rsidRPr="00D337FA">
        <w:rPr>
          <w:i/>
          <w:szCs w:val="24"/>
          <w:lang w:val="en-US"/>
        </w:rPr>
        <w:t xml:space="preserve"> </w:t>
      </w:r>
      <w:r w:rsidRPr="00D337FA">
        <w:rPr>
          <w:i/>
          <w:szCs w:val="24"/>
          <w:lang w:val="en-US"/>
        </w:rPr>
        <w:t>Gorb</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Pr="00D337FA">
        <w:rPr>
          <w:i/>
          <w:szCs w:val="24"/>
          <w:lang w:val="en-US"/>
        </w:rPr>
        <w:t>G.</w:t>
      </w:r>
      <w:r w:rsidR="006C680D" w:rsidRPr="00D337FA">
        <w:rPr>
          <w:i/>
          <w:szCs w:val="24"/>
          <w:lang w:val="en-US"/>
        </w:rPr>
        <w:t xml:space="preserve"> </w:t>
      </w:r>
      <w:r w:rsidR="00C00849" w:rsidRPr="00D337FA">
        <w:rPr>
          <w:i/>
          <w:szCs w:val="24"/>
          <w:lang w:val="en-US"/>
        </w:rPr>
        <w:t>Konceptual'nyj</w:t>
      </w:r>
      <w:r w:rsidR="006C680D" w:rsidRPr="00D337FA">
        <w:rPr>
          <w:i/>
          <w:szCs w:val="24"/>
          <w:lang w:val="en-US"/>
        </w:rPr>
        <w:t xml:space="preserve"> </w:t>
      </w:r>
      <w:r w:rsidR="00C00849" w:rsidRPr="00D337FA">
        <w:rPr>
          <w:i/>
          <w:szCs w:val="24"/>
          <w:lang w:val="en-US"/>
        </w:rPr>
        <w:t>podhod</w:t>
      </w:r>
      <w:r w:rsidR="006C680D" w:rsidRPr="00D337FA">
        <w:rPr>
          <w:i/>
          <w:szCs w:val="24"/>
          <w:lang w:val="en-US"/>
        </w:rPr>
        <w:t xml:space="preserve"> </w:t>
      </w:r>
      <w:r w:rsidR="00C00849" w:rsidRPr="00D337FA">
        <w:rPr>
          <w:i/>
          <w:szCs w:val="24"/>
          <w:lang w:val="en-US"/>
        </w:rPr>
        <w:t>k</w:t>
      </w:r>
      <w:r w:rsidR="006C680D" w:rsidRPr="00D337FA">
        <w:rPr>
          <w:i/>
          <w:szCs w:val="24"/>
          <w:lang w:val="en-US"/>
        </w:rPr>
        <w:t xml:space="preserve"> </w:t>
      </w:r>
      <w:r w:rsidR="00C00849" w:rsidRPr="00D337FA">
        <w:rPr>
          <w:i/>
          <w:szCs w:val="24"/>
          <w:lang w:val="en-US"/>
        </w:rPr>
        <w:t>opredeleniyu</w:t>
      </w:r>
      <w:r w:rsidR="006C680D" w:rsidRPr="00D337FA">
        <w:rPr>
          <w:i/>
          <w:szCs w:val="24"/>
          <w:lang w:val="en-US"/>
        </w:rPr>
        <w:t xml:space="preserve"> </w:t>
      </w:r>
      <w:r w:rsidR="00C00849" w:rsidRPr="00D337FA">
        <w:rPr>
          <w:i/>
          <w:szCs w:val="24"/>
          <w:lang w:val="en-US"/>
        </w:rPr>
        <w:t>teoreticheskih</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metodologicheskih</w:t>
      </w:r>
      <w:r w:rsidR="006C680D" w:rsidRPr="00D337FA">
        <w:rPr>
          <w:i/>
          <w:szCs w:val="24"/>
          <w:lang w:val="en-US"/>
        </w:rPr>
        <w:t xml:space="preserve"> </w:t>
      </w:r>
      <w:r w:rsidR="00C00849" w:rsidRPr="00D337FA">
        <w:rPr>
          <w:i/>
          <w:szCs w:val="24"/>
          <w:lang w:val="en-US"/>
        </w:rPr>
        <w:t>osnov</w:t>
      </w:r>
      <w:r w:rsidR="006C680D" w:rsidRPr="00D337FA">
        <w:rPr>
          <w:i/>
          <w:szCs w:val="24"/>
          <w:lang w:val="en-US"/>
        </w:rPr>
        <w:t xml:space="preserve"> </w:t>
      </w:r>
      <w:r w:rsidR="00C00849" w:rsidRPr="00D337FA">
        <w:rPr>
          <w:i/>
          <w:szCs w:val="24"/>
          <w:lang w:val="en-US"/>
        </w:rPr>
        <w:t>nauchno-pedagogicheskogo</w:t>
      </w:r>
      <w:r w:rsidR="006C680D" w:rsidRPr="00D337FA">
        <w:rPr>
          <w:i/>
          <w:szCs w:val="24"/>
          <w:lang w:val="en-US"/>
        </w:rPr>
        <w:t xml:space="preserve"> </w:t>
      </w:r>
      <w:r w:rsidR="00C00849" w:rsidRPr="00D337FA">
        <w:rPr>
          <w:i/>
          <w:szCs w:val="24"/>
          <w:lang w:val="en-US"/>
        </w:rPr>
        <w:t>issledovaniya</w:t>
      </w:r>
      <w:r w:rsidR="006C680D" w:rsidRPr="00D337FA">
        <w:rPr>
          <w:i/>
          <w:szCs w:val="24"/>
          <w:lang w:val="en-US"/>
        </w:rPr>
        <w:t xml:space="preserve"> </w:t>
      </w:r>
      <w:r w:rsidR="00C00849" w:rsidRPr="00D337FA">
        <w:rPr>
          <w:i/>
          <w:szCs w:val="24"/>
          <w:lang w:val="en-US"/>
        </w:rPr>
        <w:t>[</w:t>
      </w:r>
      <w:r w:rsidRPr="00D337FA">
        <w:rPr>
          <w:i/>
          <w:szCs w:val="24"/>
          <w:lang w:val="en-US"/>
        </w:rPr>
        <w:t>Conceptual</w:t>
      </w:r>
      <w:r w:rsidR="006C680D" w:rsidRPr="00D337FA">
        <w:rPr>
          <w:i/>
          <w:szCs w:val="24"/>
          <w:lang w:val="en-US"/>
        </w:rPr>
        <w:t xml:space="preserve"> </w:t>
      </w:r>
      <w:r w:rsidRPr="00D337FA">
        <w:rPr>
          <w:i/>
          <w:szCs w:val="24"/>
          <w:lang w:val="en-US"/>
        </w:rPr>
        <w:t>Approach</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Defining</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Theoretical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Methodological</w:t>
      </w:r>
      <w:r w:rsidR="006C680D" w:rsidRPr="00D337FA">
        <w:rPr>
          <w:i/>
          <w:szCs w:val="24"/>
          <w:lang w:val="en-US"/>
        </w:rPr>
        <w:t xml:space="preserve"> </w:t>
      </w:r>
      <w:r w:rsidRPr="00D337FA">
        <w:rPr>
          <w:i/>
          <w:szCs w:val="24"/>
          <w:lang w:val="en-US"/>
        </w:rPr>
        <w:t>Foundations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Scientific</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Pedagogical</w:t>
      </w:r>
      <w:r w:rsidR="006C680D" w:rsidRPr="00D337FA">
        <w:rPr>
          <w:i/>
          <w:szCs w:val="24"/>
          <w:lang w:val="en-US"/>
        </w:rPr>
        <w:t xml:space="preserve"> </w:t>
      </w:r>
      <w:r w:rsidRPr="00D337FA">
        <w:rPr>
          <w:i/>
          <w:szCs w:val="24"/>
          <w:lang w:val="en-US"/>
        </w:rPr>
        <w:t>Research</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Obrazovanie</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nauka</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Education</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Science.</w:t>
      </w:r>
      <w:r w:rsidR="006C680D" w:rsidRPr="00D337FA">
        <w:rPr>
          <w:i/>
          <w:szCs w:val="24"/>
          <w:lang w:val="en-US"/>
        </w:rPr>
        <w:t xml:space="preserve"> </w:t>
      </w:r>
      <w:r w:rsidRPr="00D337FA">
        <w:rPr>
          <w:i/>
          <w:szCs w:val="24"/>
          <w:lang w:val="en-US"/>
        </w:rPr>
        <w:t>2007.</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https://cyberleninka.ru/article/n/kontseptualnyy-podhod-k-opredeleniyu-teoreticheskih-i-metodologicheskih-osnov-nauchno-pedagogicheskogo-issledovaniya</w:t>
      </w:r>
    </w:p>
    <w:p w:rsidR="0002772A" w:rsidRPr="00D337FA" w:rsidRDefault="0002772A" w:rsidP="0002772A">
      <w:pPr>
        <w:ind w:firstLine="284"/>
        <w:rPr>
          <w:i/>
          <w:szCs w:val="24"/>
          <w:lang w:val="en-US"/>
        </w:rPr>
      </w:pPr>
      <w:r w:rsidRPr="00D337FA">
        <w:rPr>
          <w:i/>
          <w:szCs w:val="24"/>
          <w:lang w:val="en-US"/>
        </w:rPr>
        <w:t>7.</w:t>
      </w:r>
      <w:r w:rsidR="006C680D" w:rsidRPr="00D337FA">
        <w:rPr>
          <w:i/>
          <w:szCs w:val="24"/>
          <w:lang w:val="en-US"/>
        </w:rPr>
        <w:t xml:space="preserve"> </w:t>
      </w:r>
      <w:r w:rsidRPr="00D337FA">
        <w:rPr>
          <w:i/>
          <w:szCs w:val="24"/>
          <w:lang w:val="en-US"/>
        </w:rPr>
        <w:t>Domovach</w:t>
      </w:r>
      <w:r w:rsidR="006C680D" w:rsidRPr="00D337FA">
        <w:rPr>
          <w:i/>
          <w:szCs w:val="24"/>
          <w:lang w:val="en-US"/>
        </w:rPr>
        <w:t xml:space="preserve"> </w:t>
      </w:r>
      <w:r w:rsidRPr="00D337FA">
        <w:rPr>
          <w:i/>
          <w:szCs w:val="24"/>
          <w:lang w:val="en-US"/>
        </w:rPr>
        <w:t>Z.V.</w:t>
      </w:r>
      <w:r w:rsidR="006C680D" w:rsidRPr="00D337FA">
        <w:rPr>
          <w:i/>
          <w:szCs w:val="24"/>
          <w:lang w:val="en-US"/>
        </w:rPr>
        <w:t xml:space="preserve"> </w:t>
      </w:r>
      <w:r w:rsidR="00C00849" w:rsidRPr="00D337FA">
        <w:rPr>
          <w:i/>
          <w:szCs w:val="24"/>
          <w:lang w:val="en-US"/>
        </w:rPr>
        <w:t>Sovremennaya</w:t>
      </w:r>
      <w:r w:rsidR="006C680D" w:rsidRPr="00D337FA">
        <w:rPr>
          <w:i/>
          <w:szCs w:val="24"/>
          <w:lang w:val="en-US"/>
        </w:rPr>
        <w:t xml:space="preserve"> </w:t>
      </w:r>
      <w:r w:rsidR="00C00849" w:rsidRPr="00D337FA">
        <w:rPr>
          <w:i/>
          <w:szCs w:val="24"/>
          <w:lang w:val="en-US"/>
        </w:rPr>
        <w:t>upravlencheskaya</w:t>
      </w:r>
      <w:r w:rsidR="006C680D" w:rsidRPr="00D337FA">
        <w:rPr>
          <w:i/>
          <w:szCs w:val="24"/>
          <w:lang w:val="en-US"/>
        </w:rPr>
        <w:t xml:space="preserve"> </w:t>
      </w:r>
      <w:r w:rsidR="00C00849" w:rsidRPr="00D337FA">
        <w:rPr>
          <w:i/>
          <w:szCs w:val="24"/>
          <w:lang w:val="en-US"/>
        </w:rPr>
        <w:t>paradigm</w:t>
      </w:r>
      <w:r w:rsidR="006C680D" w:rsidRPr="00D337FA">
        <w:rPr>
          <w:i/>
          <w:szCs w:val="24"/>
          <w:lang w:val="en-US"/>
        </w:rPr>
        <w:t xml:space="preserve"> </w:t>
      </w:r>
      <w:r w:rsidR="00C00849" w:rsidRPr="00D337FA">
        <w:rPr>
          <w:i/>
          <w:szCs w:val="24"/>
          <w:lang w:val="en-US"/>
        </w:rPr>
        <w:t>[</w:t>
      </w:r>
      <w:r w:rsidRPr="00D337FA">
        <w:rPr>
          <w:i/>
          <w:szCs w:val="24"/>
          <w:lang w:val="en-US"/>
        </w:rPr>
        <w:t>Modern</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Paradigm</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Prikladnye</w:t>
      </w:r>
      <w:r w:rsidR="006C680D" w:rsidRPr="00D337FA">
        <w:rPr>
          <w:i/>
          <w:szCs w:val="24"/>
          <w:lang w:val="en-US"/>
        </w:rPr>
        <w:t xml:space="preserve"> </w:t>
      </w:r>
      <w:r w:rsidR="00C00849" w:rsidRPr="00D337FA">
        <w:rPr>
          <w:i/>
          <w:szCs w:val="24"/>
          <w:lang w:val="en-US"/>
        </w:rPr>
        <w:t>ekonomicheskie</w:t>
      </w:r>
      <w:r w:rsidR="006C680D" w:rsidRPr="00D337FA">
        <w:rPr>
          <w:i/>
          <w:szCs w:val="24"/>
          <w:lang w:val="en-US"/>
        </w:rPr>
        <w:t xml:space="preserve"> </w:t>
      </w:r>
      <w:r w:rsidR="00C00849" w:rsidRPr="00D337FA">
        <w:rPr>
          <w:i/>
          <w:szCs w:val="24"/>
          <w:lang w:val="en-US"/>
        </w:rPr>
        <w:t>issledovaniya</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Applied</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Research.</w:t>
      </w:r>
      <w:r w:rsidR="006C680D" w:rsidRPr="00D337FA">
        <w:rPr>
          <w:i/>
          <w:szCs w:val="24"/>
          <w:lang w:val="en-US"/>
        </w:rPr>
        <w:t xml:space="preserve"> </w:t>
      </w:r>
      <w:r w:rsidRPr="00D337FA">
        <w:rPr>
          <w:i/>
          <w:szCs w:val="24"/>
          <w:lang w:val="en-US"/>
        </w:rPr>
        <w:t>2021.</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(41).</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https://cyberleninka.ru/article/n/sovremennaya-upravlencheskaya-paradigma.</w:t>
      </w:r>
    </w:p>
    <w:p w:rsidR="0002772A" w:rsidRPr="00D337FA" w:rsidRDefault="0002772A" w:rsidP="0002772A">
      <w:pPr>
        <w:ind w:firstLine="284"/>
        <w:rPr>
          <w:i/>
          <w:szCs w:val="24"/>
          <w:lang w:val="en-US"/>
        </w:rPr>
      </w:pPr>
      <w:r w:rsidRPr="00D337FA">
        <w:rPr>
          <w:i/>
          <w:szCs w:val="24"/>
          <w:lang w:val="en-US"/>
        </w:rPr>
        <w:t>8.</w:t>
      </w:r>
      <w:r w:rsidR="006C680D" w:rsidRPr="00D337FA">
        <w:rPr>
          <w:i/>
          <w:szCs w:val="24"/>
          <w:lang w:val="en-US"/>
        </w:rPr>
        <w:t xml:space="preserve"> </w:t>
      </w:r>
      <w:r w:rsidRPr="00D337FA">
        <w:rPr>
          <w:i/>
          <w:szCs w:val="24"/>
          <w:lang w:val="en-US"/>
        </w:rPr>
        <w:t>Dorogovtseva</w:t>
      </w:r>
      <w:r w:rsidR="006C680D" w:rsidRPr="00D337FA">
        <w:rPr>
          <w:i/>
          <w:szCs w:val="24"/>
          <w:lang w:val="en-US"/>
        </w:rPr>
        <w:t xml:space="preserve"> </w:t>
      </w:r>
      <w:r w:rsidRPr="00D337FA">
        <w:rPr>
          <w:i/>
          <w:szCs w:val="24"/>
          <w:lang w:val="en-US"/>
        </w:rPr>
        <w:t>A.A.</w:t>
      </w:r>
      <w:r w:rsidR="006C680D" w:rsidRPr="00D337FA">
        <w:rPr>
          <w:i/>
          <w:szCs w:val="24"/>
          <w:lang w:val="en-US"/>
        </w:rPr>
        <w:t xml:space="preserve"> </w:t>
      </w:r>
      <w:r w:rsidRPr="00D337FA">
        <w:rPr>
          <w:i/>
          <w:szCs w:val="24"/>
          <w:lang w:val="en-US"/>
        </w:rPr>
        <w:t>Ovcharenko</w:t>
      </w:r>
      <w:r w:rsidR="006C680D" w:rsidRPr="00D337FA">
        <w:rPr>
          <w:i/>
          <w:szCs w:val="24"/>
          <w:lang w:val="en-US"/>
        </w:rPr>
        <w:t xml:space="preserve"> </w:t>
      </w:r>
      <w:r w:rsidRPr="00D337FA">
        <w:rPr>
          <w:i/>
          <w:szCs w:val="24"/>
          <w:lang w:val="en-US"/>
        </w:rPr>
        <w:t>N.K.</w:t>
      </w:r>
      <w:r w:rsidR="006C680D" w:rsidRPr="00D337FA">
        <w:rPr>
          <w:i/>
          <w:szCs w:val="24"/>
          <w:lang w:val="en-US"/>
        </w:rPr>
        <w:t xml:space="preserve"> </w:t>
      </w:r>
      <w:r w:rsidR="00C00849" w:rsidRPr="00D337FA">
        <w:rPr>
          <w:i/>
          <w:szCs w:val="24"/>
          <w:lang w:val="en-US"/>
        </w:rPr>
        <w:t>Iskusstvennyj</w:t>
      </w:r>
      <w:r w:rsidR="006C680D" w:rsidRPr="00D337FA">
        <w:rPr>
          <w:i/>
          <w:szCs w:val="24"/>
          <w:lang w:val="en-US"/>
        </w:rPr>
        <w:t xml:space="preserve"> </w:t>
      </w:r>
      <w:r w:rsidR="00C00849" w:rsidRPr="00D337FA">
        <w:rPr>
          <w:i/>
          <w:szCs w:val="24"/>
          <w:lang w:val="en-US"/>
        </w:rPr>
        <w:t>intellekt</w:t>
      </w:r>
      <w:r w:rsidR="006C680D" w:rsidRPr="00D337FA">
        <w:rPr>
          <w:i/>
          <w:szCs w:val="24"/>
          <w:lang w:val="en-US"/>
        </w:rPr>
        <w:t xml:space="preserve"> </w:t>
      </w:r>
      <w:r w:rsidR="00C00849" w:rsidRPr="00D337FA">
        <w:rPr>
          <w:i/>
          <w:szCs w:val="24"/>
          <w:lang w:val="en-US"/>
        </w:rPr>
        <w:t>v</w:t>
      </w:r>
      <w:r w:rsidR="006C680D" w:rsidRPr="00D337FA">
        <w:rPr>
          <w:i/>
          <w:szCs w:val="24"/>
          <w:lang w:val="en-US"/>
        </w:rPr>
        <w:t xml:space="preserve"> </w:t>
      </w:r>
      <w:r w:rsidR="00C00849" w:rsidRPr="00D337FA">
        <w:rPr>
          <w:i/>
          <w:szCs w:val="24"/>
          <w:lang w:val="en-US"/>
        </w:rPr>
        <w:t>sisteme</w:t>
      </w:r>
      <w:r w:rsidR="006C680D" w:rsidRPr="00D337FA">
        <w:rPr>
          <w:i/>
          <w:szCs w:val="24"/>
          <w:lang w:val="en-US"/>
        </w:rPr>
        <w:t xml:space="preserve"> </w:t>
      </w:r>
      <w:r w:rsidR="00C00849" w:rsidRPr="00D337FA">
        <w:rPr>
          <w:i/>
          <w:szCs w:val="24"/>
          <w:lang w:val="en-US"/>
        </w:rPr>
        <w:t>upravleniya</w:t>
      </w:r>
      <w:r w:rsidR="006C680D" w:rsidRPr="00D337FA">
        <w:rPr>
          <w:i/>
          <w:szCs w:val="24"/>
          <w:lang w:val="en-US"/>
        </w:rPr>
        <w:t xml:space="preserve"> </w:t>
      </w:r>
      <w:r w:rsidR="00C00849" w:rsidRPr="00D337FA">
        <w:rPr>
          <w:i/>
          <w:szCs w:val="24"/>
          <w:lang w:val="en-US"/>
        </w:rPr>
        <w:t>predpriyatiem:</w:t>
      </w:r>
      <w:r w:rsidR="006C680D" w:rsidRPr="00D337FA">
        <w:rPr>
          <w:i/>
          <w:szCs w:val="24"/>
          <w:lang w:val="en-US"/>
        </w:rPr>
        <w:t xml:space="preserve"> </w:t>
      </w:r>
      <w:r w:rsidR="00C00849" w:rsidRPr="00D337FA">
        <w:rPr>
          <w:i/>
          <w:szCs w:val="24"/>
          <w:lang w:val="en-US"/>
        </w:rPr>
        <w:t>evolyuciya,</w:t>
      </w:r>
      <w:r w:rsidR="006C680D" w:rsidRPr="00D337FA">
        <w:rPr>
          <w:i/>
          <w:szCs w:val="24"/>
          <w:lang w:val="en-US"/>
        </w:rPr>
        <w:t xml:space="preserve"> </w:t>
      </w:r>
      <w:r w:rsidR="00C00849" w:rsidRPr="00D337FA">
        <w:rPr>
          <w:i/>
          <w:szCs w:val="24"/>
          <w:lang w:val="en-US"/>
        </w:rPr>
        <w:t>innovacii</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perspektivy</w:t>
      </w:r>
      <w:r w:rsidR="006C680D" w:rsidRPr="00D337FA">
        <w:rPr>
          <w:i/>
          <w:szCs w:val="24"/>
          <w:lang w:val="en-US"/>
        </w:rPr>
        <w:t xml:space="preserve"> </w:t>
      </w:r>
      <w:r w:rsidR="00C00849" w:rsidRPr="00D337FA">
        <w:rPr>
          <w:i/>
          <w:szCs w:val="24"/>
          <w:lang w:val="en-US"/>
        </w:rPr>
        <w:t>[</w:t>
      </w:r>
      <w:r w:rsidRPr="00D337FA">
        <w:rPr>
          <w:i/>
          <w:szCs w:val="24"/>
          <w:lang w:val="en-US"/>
        </w:rPr>
        <w:t>Artificial</w:t>
      </w:r>
      <w:r w:rsidR="006C680D" w:rsidRPr="00D337FA">
        <w:rPr>
          <w:i/>
          <w:szCs w:val="24"/>
          <w:lang w:val="en-US"/>
        </w:rPr>
        <w:t xml:space="preserve"> </w:t>
      </w:r>
      <w:r w:rsidRPr="00D337FA">
        <w:rPr>
          <w:i/>
          <w:szCs w:val="24"/>
          <w:lang w:val="en-US"/>
        </w:rPr>
        <w:t>Intelligence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Enterprise</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System:</w:t>
      </w:r>
      <w:r w:rsidR="006C680D" w:rsidRPr="00D337FA">
        <w:rPr>
          <w:i/>
          <w:szCs w:val="24"/>
          <w:lang w:val="en-US"/>
        </w:rPr>
        <w:t xml:space="preserve"> </w:t>
      </w:r>
      <w:r w:rsidRPr="00D337FA">
        <w:rPr>
          <w:i/>
          <w:szCs w:val="24"/>
          <w:lang w:val="en-US"/>
        </w:rPr>
        <w:t>Evolution,</w:t>
      </w:r>
      <w:r w:rsidR="006C680D" w:rsidRPr="00D337FA">
        <w:rPr>
          <w:i/>
          <w:szCs w:val="24"/>
          <w:lang w:val="en-US"/>
        </w:rPr>
        <w:t xml:space="preserve"> </w:t>
      </w:r>
      <w:r w:rsidRPr="00D337FA">
        <w:rPr>
          <w:i/>
          <w:szCs w:val="24"/>
          <w:lang w:val="en-US"/>
        </w:rPr>
        <w:t>Innovation,</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Prospects</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Ekonomika,</w:t>
      </w:r>
      <w:r w:rsidR="006C680D" w:rsidRPr="00D337FA">
        <w:rPr>
          <w:i/>
          <w:szCs w:val="24"/>
          <w:lang w:val="en-US"/>
        </w:rPr>
        <w:t xml:space="preserve"> </w:t>
      </w:r>
      <w:r w:rsidR="00C00849" w:rsidRPr="00D337FA">
        <w:rPr>
          <w:i/>
          <w:szCs w:val="24"/>
          <w:lang w:val="en-US"/>
        </w:rPr>
        <w:t>predprinimatel'stvo</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pravo</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Economics,</w:t>
      </w:r>
      <w:r w:rsidR="006C680D" w:rsidRPr="00D337FA">
        <w:rPr>
          <w:i/>
          <w:szCs w:val="24"/>
          <w:lang w:val="en-US"/>
        </w:rPr>
        <w:t xml:space="preserve"> </w:t>
      </w:r>
      <w:r w:rsidRPr="00D337FA">
        <w:rPr>
          <w:i/>
          <w:szCs w:val="24"/>
          <w:lang w:val="en-US"/>
        </w:rPr>
        <w:t>Entrepreneurship,</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Law.</w:t>
      </w:r>
      <w:r w:rsidR="006C680D" w:rsidRPr="00D337FA">
        <w:rPr>
          <w:i/>
          <w:szCs w:val="24"/>
          <w:lang w:val="en-US"/>
        </w:rPr>
        <w:t xml:space="preserve"> </w:t>
      </w:r>
      <w:r w:rsidRPr="00D337FA">
        <w:rPr>
          <w:i/>
          <w:szCs w:val="24"/>
          <w:lang w:val="en-US"/>
        </w:rPr>
        <w:t>2024.</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11.</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6259-6272.</w:t>
      </w:r>
    </w:p>
    <w:p w:rsidR="0002772A" w:rsidRPr="00D337FA" w:rsidRDefault="0002772A" w:rsidP="0002772A">
      <w:pPr>
        <w:ind w:firstLine="284"/>
        <w:rPr>
          <w:i/>
          <w:szCs w:val="24"/>
          <w:lang w:val="en-US"/>
        </w:rPr>
      </w:pPr>
      <w:r w:rsidRPr="00D337FA">
        <w:rPr>
          <w:i/>
          <w:szCs w:val="24"/>
          <w:lang w:val="en-US"/>
        </w:rPr>
        <w:t>9.</w:t>
      </w:r>
      <w:r w:rsidR="006C680D" w:rsidRPr="00D337FA">
        <w:rPr>
          <w:i/>
          <w:szCs w:val="24"/>
          <w:lang w:val="en-US"/>
        </w:rPr>
        <w:t xml:space="preserve"> </w:t>
      </w:r>
      <w:r w:rsidRPr="00D337FA">
        <w:rPr>
          <w:i/>
          <w:szCs w:val="24"/>
          <w:lang w:val="en-US"/>
        </w:rPr>
        <w:t>Zelenov</w:t>
      </w:r>
      <w:r w:rsidR="006C680D" w:rsidRPr="00D337FA">
        <w:rPr>
          <w:i/>
          <w:szCs w:val="24"/>
          <w:lang w:val="en-US"/>
        </w:rPr>
        <w:t xml:space="preserve"> </w:t>
      </w:r>
      <w:r w:rsidRPr="00D337FA">
        <w:rPr>
          <w:i/>
          <w:szCs w:val="24"/>
          <w:lang w:val="en-US"/>
        </w:rPr>
        <w:t>L.</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00C00849" w:rsidRPr="00D337FA">
        <w:rPr>
          <w:i/>
          <w:szCs w:val="24"/>
          <w:lang w:val="en-US"/>
        </w:rPr>
        <w:t>Ponyatie</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struktura</w:t>
      </w:r>
      <w:r w:rsidR="006C680D" w:rsidRPr="00D337FA">
        <w:rPr>
          <w:i/>
          <w:szCs w:val="24"/>
          <w:lang w:val="en-US"/>
        </w:rPr>
        <w:t xml:space="preserve"> </w:t>
      </w:r>
      <w:r w:rsidR="00C00849" w:rsidRPr="00D337FA">
        <w:rPr>
          <w:i/>
          <w:szCs w:val="24"/>
          <w:lang w:val="en-US"/>
        </w:rPr>
        <w:t>metodologii</w:t>
      </w:r>
      <w:r w:rsidR="006C680D" w:rsidRPr="00D337FA">
        <w:rPr>
          <w:i/>
          <w:szCs w:val="24"/>
          <w:lang w:val="en-US"/>
        </w:rPr>
        <w:t xml:space="preserve"> </w:t>
      </w:r>
      <w:r w:rsidR="00C00849" w:rsidRPr="00D337FA">
        <w:rPr>
          <w:i/>
          <w:szCs w:val="24"/>
          <w:lang w:val="en-US"/>
        </w:rPr>
        <w:t>[</w:t>
      </w:r>
      <w:r w:rsidRPr="00D337FA">
        <w:rPr>
          <w:i/>
          <w:szCs w:val="24"/>
          <w:lang w:val="en-US"/>
        </w:rPr>
        <w:t>Concept</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structure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methodology</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Nauchnye</w:t>
      </w:r>
      <w:r w:rsidR="006C680D" w:rsidRPr="00D337FA">
        <w:rPr>
          <w:i/>
          <w:szCs w:val="24"/>
          <w:lang w:val="en-US"/>
        </w:rPr>
        <w:t xml:space="preserve"> </w:t>
      </w:r>
      <w:r w:rsidR="00C00849" w:rsidRPr="00D337FA">
        <w:rPr>
          <w:i/>
          <w:szCs w:val="24"/>
          <w:lang w:val="en-US"/>
        </w:rPr>
        <w:t>problemy</w:t>
      </w:r>
      <w:r w:rsidR="006C680D" w:rsidRPr="00D337FA">
        <w:rPr>
          <w:i/>
          <w:szCs w:val="24"/>
          <w:lang w:val="en-US"/>
        </w:rPr>
        <w:t xml:space="preserve"> </w:t>
      </w:r>
      <w:r w:rsidR="00C00849" w:rsidRPr="00D337FA">
        <w:rPr>
          <w:i/>
          <w:szCs w:val="24"/>
          <w:lang w:val="en-US"/>
        </w:rPr>
        <w:t>vodnogo</w:t>
      </w:r>
      <w:r w:rsidR="006C680D" w:rsidRPr="00D337FA">
        <w:rPr>
          <w:i/>
          <w:szCs w:val="24"/>
          <w:lang w:val="en-US"/>
        </w:rPr>
        <w:t xml:space="preserve"> </w:t>
      </w:r>
      <w:r w:rsidR="00C00849" w:rsidRPr="00D337FA">
        <w:rPr>
          <w:i/>
          <w:szCs w:val="24"/>
          <w:lang w:val="en-US"/>
        </w:rPr>
        <w:t>transporta</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Scientific</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water</w:t>
      </w:r>
      <w:r w:rsidR="006C680D" w:rsidRPr="00D337FA">
        <w:rPr>
          <w:i/>
          <w:szCs w:val="24"/>
          <w:lang w:val="en-US"/>
        </w:rPr>
        <w:t xml:space="preserve"> </w:t>
      </w:r>
      <w:r w:rsidRPr="00D337FA">
        <w:rPr>
          <w:i/>
          <w:szCs w:val="24"/>
          <w:lang w:val="en-US"/>
        </w:rPr>
        <w:t>transport.</w:t>
      </w:r>
      <w:r w:rsidR="006C680D" w:rsidRPr="00D337FA">
        <w:rPr>
          <w:i/>
          <w:szCs w:val="24"/>
          <w:lang w:val="en-US"/>
        </w:rPr>
        <w:t xml:space="preserve"> </w:t>
      </w:r>
      <w:r w:rsidRPr="00D337FA">
        <w:rPr>
          <w:i/>
          <w:szCs w:val="24"/>
          <w:lang w:val="en-US"/>
        </w:rPr>
        <w:t>2017.</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51.</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https://cyberleninka.ru/article/n/ponyatie-i-struktura-metodologii</w:t>
      </w:r>
    </w:p>
    <w:p w:rsidR="0002772A" w:rsidRPr="00D337FA" w:rsidRDefault="0002772A" w:rsidP="0002772A">
      <w:pPr>
        <w:ind w:firstLine="284"/>
        <w:rPr>
          <w:i/>
          <w:szCs w:val="24"/>
          <w:lang w:val="en-US"/>
        </w:rPr>
      </w:pPr>
      <w:r w:rsidRPr="00D337FA">
        <w:rPr>
          <w:i/>
          <w:szCs w:val="24"/>
          <w:lang w:val="en-US"/>
        </w:rPr>
        <w:t>10.</w:t>
      </w:r>
      <w:r w:rsidR="006C680D" w:rsidRPr="00D337FA">
        <w:rPr>
          <w:i/>
          <w:szCs w:val="24"/>
          <w:lang w:val="en-US"/>
        </w:rPr>
        <w:t xml:space="preserve"> </w:t>
      </w:r>
      <w:r w:rsidRPr="00D337FA">
        <w:rPr>
          <w:i/>
          <w:szCs w:val="24"/>
          <w:lang w:val="en-US"/>
        </w:rPr>
        <w:t>Kuhn</w:t>
      </w:r>
      <w:r w:rsidR="006C680D" w:rsidRPr="00D337FA">
        <w:rPr>
          <w:i/>
          <w:szCs w:val="24"/>
          <w:lang w:val="en-US"/>
        </w:rPr>
        <w:t xml:space="preserve"> </w:t>
      </w:r>
      <w:r w:rsidRPr="00D337FA">
        <w:rPr>
          <w:i/>
          <w:szCs w:val="24"/>
          <w:lang w:val="en-US"/>
        </w:rPr>
        <w:t>T.</w:t>
      </w:r>
      <w:r w:rsidR="006C680D" w:rsidRPr="00D337FA">
        <w:rPr>
          <w:i/>
          <w:szCs w:val="24"/>
          <w:lang w:val="en-US"/>
        </w:rPr>
        <w:t xml:space="preserve"> </w:t>
      </w:r>
      <w:r w:rsidR="00C00849" w:rsidRPr="00D337FA">
        <w:rPr>
          <w:i/>
          <w:szCs w:val="24"/>
          <w:lang w:val="en-US"/>
        </w:rPr>
        <w:t>Struktura</w:t>
      </w:r>
      <w:r w:rsidR="006C680D" w:rsidRPr="00D337FA">
        <w:rPr>
          <w:i/>
          <w:szCs w:val="24"/>
          <w:lang w:val="en-US"/>
        </w:rPr>
        <w:t xml:space="preserve"> </w:t>
      </w:r>
      <w:r w:rsidR="00C00849" w:rsidRPr="00D337FA">
        <w:rPr>
          <w:i/>
          <w:szCs w:val="24"/>
          <w:lang w:val="en-US"/>
        </w:rPr>
        <w:t>nauchnyh</w:t>
      </w:r>
      <w:r w:rsidR="006C680D" w:rsidRPr="00D337FA">
        <w:rPr>
          <w:i/>
          <w:szCs w:val="24"/>
          <w:lang w:val="en-US"/>
        </w:rPr>
        <w:t xml:space="preserve"> </w:t>
      </w:r>
      <w:r w:rsidR="00C00849" w:rsidRPr="00D337FA">
        <w:rPr>
          <w:i/>
          <w:szCs w:val="24"/>
          <w:lang w:val="en-US"/>
        </w:rPr>
        <w:t>revolyucij</w:t>
      </w:r>
      <w:r w:rsidR="006C680D" w:rsidRPr="00D337FA">
        <w:rPr>
          <w:i/>
          <w:szCs w:val="24"/>
          <w:lang w:val="en-US"/>
        </w:rPr>
        <w:t xml:space="preserve"> </w:t>
      </w:r>
      <w:r w:rsidR="00C00849" w:rsidRPr="00D337FA">
        <w:rPr>
          <w:i/>
          <w:szCs w:val="24"/>
          <w:lang w:val="en-US"/>
        </w:rPr>
        <w:t>[</w:t>
      </w:r>
      <w:r w:rsidRPr="00D337FA">
        <w:rPr>
          <w:i/>
          <w:szCs w:val="24"/>
          <w:lang w:val="en-US"/>
        </w:rPr>
        <w:t>Structure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scientific</w:t>
      </w:r>
      <w:r w:rsidR="006C680D" w:rsidRPr="00D337FA">
        <w:rPr>
          <w:i/>
          <w:szCs w:val="24"/>
          <w:lang w:val="en-US"/>
        </w:rPr>
        <w:t xml:space="preserve"> </w:t>
      </w:r>
      <w:r w:rsidRPr="00D337FA">
        <w:rPr>
          <w:i/>
          <w:szCs w:val="24"/>
          <w:lang w:val="en-US"/>
        </w:rPr>
        <w:t>revolutions</w:t>
      </w:r>
      <w:r w:rsidR="00C00849" w:rsidRPr="00D337FA">
        <w:rPr>
          <w:i/>
          <w:szCs w:val="24"/>
          <w:lang w:val="en-US"/>
        </w:rPr>
        <w:t>]</w:t>
      </w:r>
      <w:r w:rsidRPr="00D337FA">
        <w:rPr>
          <w:i/>
          <w:szCs w:val="24"/>
          <w:lang w:val="en-US"/>
        </w:rPr>
        <w:t>.</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M.:</w:t>
      </w:r>
      <w:r w:rsidR="006C680D" w:rsidRPr="00D337FA">
        <w:rPr>
          <w:i/>
          <w:szCs w:val="24"/>
          <w:lang w:val="en-US"/>
        </w:rPr>
        <w:t xml:space="preserve"> </w:t>
      </w:r>
      <w:r w:rsidRPr="00D337FA">
        <w:rPr>
          <w:i/>
          <w:szCs w:val="24"/>
          <w:lang w:val="en-US"/>
        </w:rPr>
        <w:t>AST:</w:t>
      </w:r>
      <w:r w:rsidR="006C680D" w:rsidRPr="00D337FA">
        <w:rPr>
          <w:i/>
          <w:szCs w:val="24"/>
          <w:lang w:val="en-US"/>
        </w:rPr>
        <w:t xml:space="preserve"> </w:t>
      </w:r>
      <w:r w:rsidRPr="00D337FA">
        <w:rPr>
          <w:i/>
          <w:szCs w:val="24"/>
          <w:lang w:val="en-US"/>
        </w:rPr>
        <w:t>AST</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2009.</w:t>
      </w:r>
      <w:r w:rsidR="006C680D" w:rsidRPr="00D337FA">
        <w:rPr>
          <w:i/>
          <w:szCs w:val="24"/>
          <w:lang w:val="en-US"/>
        </w:rPr>
        <w:t xml:space="preserve"> </w:t>
      </w:r>
      <w:r w:rsidRPr="00D337FA">
        <w:rPr>
          <w:i/>
          <w:szCs w:val="24"/>
          <w:lang w:val="en-US"/>
        </w:rPr>
        <w:t>317</w:t>
      </w:r>
      <w:r w:rsidR="006C680D" w:rsidRPr="00D337FA">
        <w:rPr>
          <w:i/>
          <w:szCs w:val="24"/>
          <w:lang w:val="en-US"/>
        </w:rPr>
        <w:t xml:space="preserve"> </w:t>
      </w:r>
      <w:r w:rsidRPr="00D337FA">
        <w:rPr>
          <w:i/>
          <w:szCs w:val="24"/>
          <w:lang w:val="en-US"/>
        </w:rPr>
        <w:t>p.</w:t>
      </w:r>
    </w:p>
    <w:p w:rsidR="0002772A" w:rsidRPr="00D337FA" w:rsidRDefault="0002772A" w:rsidP="0002772A">
      <w:pPr>
        <w:ind w:firstLine="284"/>
        <w:rPr>
          <w:i/>
          <w:szCs w:val="24"/>
          <w:lang w:val="en-US"/>
        </w:rPr>
      </w:pPr>
      <w:r w:rsidRPr="00D337FA">
        <w:rPr>
          <w:i/>
          <w:szCs w:val="24"/>
          <w:lang w:val="en-US"/>
        </w:rPr>
        <w:t>11.</w:t>
      </w:r>
      <w:r w:rsidR="006C680D" w:rsidRPr="00D337FA">
        <w:rPr>
          <w:i/>
          <w:szCs w:val="24"/>
          <w:lang w:val="en-US"/>
        </w:rPr>
        <w:t xml:space="preserve"> </w:t>
      </w:r>
      <w:r w:rsidRPr="00D337FA">
        <w:rPr>
          <w:i/>
          <w:szCs w:val="24"/>
          <w:lang w:val="en-US"/>
        </w:rPr>
        <w:t>Manushin</w:t>
      </w:r>
      <w:r w:rsidR="006C680D" w:rsidRPr="00D337FA">
        <w:rPr>
          <w:i/>
          <w:szCs w:val="24"/>
          <w:lang w:val="en-US"/>
        </w:rPr>
        <w:t xml:space="preserve"> </w:t>
      </w:r>
      <w:r w:rsidRPr="00D337FA">
        <w:rPr>
          <w:i/>
          <w:szCs w:val="24"/>
          <w:lang w:val="en-US"/>
        </w:rPr>
        <w:t>D.</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00C00849" w:rsidRPr="00D337FA">
        <w:rPr>
          <w:i/>
          <w:szCs w:val="24"/>
          <w:lang w:val="en-US"/>
        </w:rPr>
        <w:t>Utochnenie</w:t>
      </w:r>
      <w:r w:rsidR="006C680D" w:rsidRPr="00D337FA">
        <w:rPr>
          <w:i/>
          <w:szCs w:val="24"/>
          <w:lang w:val="en-US"/>
        </w:rPr>
        <w:t xml:space="preserve"> </w:t>
      </w:r>
      <w:r w:rsidR="00C00849" w:rsidRPr="00D337FA">
        <w:rPr>
          <w:i/>
          <w:szCs w:val="24"/>
          <w:lang w:val="en-US"/>
        </w:rPr>
        <w:t>ponyatiya</w:t>
      </w:r>
      <w:r w:rsidR="006C680D" w:rsidRPr="00D337FA">
        <w:rPr>
          <w:i/>
          <w:szCs w:val="24"/>
          <w:lang w:val="en-US"/>
        </w:rPr>
        <w:t xml:space="preserve"> </w:t>
      </w:r>
      <w:r w:rsidR="00C00849" w:rsidRPr="00D337FA">
        <w:rPr>
          <w:i/>
          <w:szCs w:val="24"/>
          <w:lang w:val="en-US"/>
        </w:rPr>
        <w:t>«Metodologiya»</w:t>
      </w:r>
      <w:r w:rsidR="006C680D" w:rsidRPr="00D337FA">
        <w:rPr>
          <w:i/>
          <w:szCs w:val="24"/>
          <w:lang w:val="en-US"/>
        </w:rPr>
        <w:t xml:space="preserve"> </w:t>
      </w:r>
      <w:r w:rsidR="00C00849" w:rsidRPr="00D337FA">
        <w:rPr>
          <w:i/>
          <w:szCs w:val="24"/>
          <w:lang w:val="en-US"/>
        </w:rPr>
        <w:t>[</w:t>
      </w:r>
      <w:r w:rsidRPr="00D337FA">
        <w:rPr>
          <w:i/>
          <w:szCs w:val="24"/>
          <w:lang w:val="en-US"/>
        </w:rPr>
        <w:t>Clarification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concept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"Methodology"</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Mezhdunarodnyj</w:t>
      </w:r>
      <w:r w:rsidR="006C680D" w:rsidRPr="00D337FA">
        <w:rPr>
          <w:i/>
          <w:szCs w:val="24"/>
          <w:lang w:val="en-US"/>
        </w:rPr>
        <w:t xml:space="preserve"> </w:t>
      </w:r>
      <w:r w:rsidR="00C00849" w:rsidRPr="00D337FA">
        <w:rPr>
          <w:i/>
          <w:szCs w:val="24"/>
          <w:lang w:val="en-US"/>
        </w:rPr>
        <w:t>buhgalterskij</w:t>
      </w:r>
      <w:r w:rsidR="006C680D" w:rsidRPr="00D337FA">
        <w:rPr>
          <w:i/>
          <w:szCs w:val="24"/>
          <w:lang w:val="en-US"/>
        </w:rPr>
        <w:t xml:space="preserve"> </w:t>
      </w:r>
      <w:r w:rsidR="00C00849" w:rsidRPr="00D337FA">
        <w:rPr>
          <w:i/>
          <w:szCs w:val="24"/>
          <w:lang w:val="en-US"/>
        </w:rPr>
        <w:t>uchet</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International</w:t>
      </w:r>
      <w:r w:rsidR="006C680D" w:rsidRPr="00D337FA">
        <w:rPr>
          <w:i/>
          <w:szCs w:val="24"/>
          <w:lang w:val="en-US"/>
        </w:rPr>
        <w:t xml:space="preserve"> </w:t>
      </w:r>
      <w:r w:rsidRPr="00D337FA">
        <w:rPr>
          <w:i/>
          <w:szCs w:val="24"/>
          <w:lang w:val="en-US"/>
        </w:rPr>
        <w:t>accounting.</w:t>
      </w:r>
      <w:r w:rsidR="006C680D" w:rsidRPr="00D337FA">
        <w:rPr>
          <w:i/>
          <w:szCs w:val="24"/>
          <w:lang w:val="en-US"/>
        </w:rPr>
        <w:t xml:space="preserve"> </w:t>
      </w:r>
      <w:r w:rsidRPr="00D337FA">
        <w:rPr>
          <w:i/>
          <w:szCs w:val="24"/>
          <w:lang w:val="en-US"/>
        </w:rPr>
        <w:t>2016.</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16</w:t>
      </w:r>
      <w:r w:rsidR="006C680D" w:rsidRPr="00D337FA">
        <w:rPr>
          <w:i/>
          <w:szCs w:val="24"/>
          <w:lang w:val="en-US"/>
        </w:rPr>
        <w:t xml:space="preserve"> </w:t>
      </w:r>
      <w:r w:rsidRPr="00D337FA">
        <w:rPr>
          <w:i/>
          <w:szCs w:val="24"/>
          <w:lang w:val="en-US"/>
        </w:rPr>
        <w:t>(406).</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https://cyberleninka.ru/article/n/utochnenie-ponyatiya-metodologiya-1</w:t>
      </w:r>
    </w:p>
    <w:p w:rsidR="0002772A" w:rsidRPr="00D337FA" w:rsidRDefault="0002772A" w:rsidP="0002772A">
      <w:pPr>
        <w:ind w:firstLine="284"/>
        <w:rPr>
          <w:i/>
          <w:szCs w:val="24"/>
          <w:lang w:val="en-US"/>
        </w:rPr>
      </w:pPr>
      <w:r w:rsidRPr="00D337FA">
        <w:rPr>
          <w:i/>
          <w:szCs w:val="24"/>
          <w:lang w:val="en-US"/>
        </w:rPr>
        <w:t>12.</w:t>
      </w:r>
      <w:r w:rsidR="006C680D" w:rsidRPr="00D337FA">
        <w:rPr>
          <w:i/>
          <w:szCs w:val="24"/>
          <w:lang w:val="en-US"/>
        </w:rPr>
        <w:t xml:space="preserve"> </w:t>
      </w:r>
      <w:r w:rsidRPr="00D337FA">
        <w:rPr>
          <w:i/>
          <w:szCs w:val="24"/>
          <w:lang w:val="en-US"/>
        </w:rPr>
        <w:t>Markin</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Pr="00D337FA">
        <w:rPr>
          <w:i/>
          <w:szCs w:val="24"/>
          <w:lang w:val="en-US"/>
        </w:rPr>
        <w:t>I.</w:t>
      </w:r>
      <w:r w:rsidR="006C680D" w:rsidRPr="00D337FA">
        <w:rPr>
          <w:i/>
          <w:szCs w:val="24"/>
          <w:lang w:val="en-US"/>
        </w:rPr>
        <w:t xml:space="preserve"> </w:t>
      </w:r>
      <w:r w:rsidR="00C00849" w:rsidRPr="00D337FA">
        <w:rPr>
          <w:i/>
          <w:szCs w:val="24"/>
          <w:lang w:val="en-US"/>
        </w:rPr>
        <w:t>Vojshvillo</w:t>
      </w:r>
      <w:r w:rsidR="006C680D" w:rsidRPr="00D337FA">
        <w:rPr>
          <w:i/>
          <w:szCs w:val="24"/>
          <w:lang w:val="en-US"/>
        </w:rPr>
        <w:t xml:space="preserve"> </w:t>
      </w:r>
      <w:r w:rsidR="00C00849" w:rsidRPr="00D337FA">
        <w:rPr>
          <w:i/>
          <w:szCs w:val="24"/>
          <w:lang w:val="en-US"/>
        </w:rPr>
        <w:t>o</w:t>
      </w:r>
      <w:r w:rsidR="006C680D" w:rsidRPr="00D337FA">
        <w:rPr>
          <w:i/>
          <w:szCs w:val="24"/>
          <w:lang w:val="en-US"/>
        </w:rPr>
        <w:t xml:space="preserve"> </w:t>
      </w:r>
      <w:r w:rsidR="00C00849" w:rsidRPr="00D337FA">
        <w:rPr>
          <w:i/>
          <w:szCs w:val="24"/>
          <w:lang w:val="en-US"/>
        </w:rPr>
        <w:t>ponyatii:</w:t>
      </w:r>
      <w:r w:rsidR="006C680D" w:rsidRPr="00D337FA">
        <w:rPr>
          <w:i/>
          <w:szCs w:val="24"/>
          <w:lang w:val="en-US"/>
        </w:rPr>
        <w:t xml:space="preserve"> </w:t>
      </w:r>
      <w:r w:rsidR="00C00849" w:rsidRPr="00D337FA">
        <w:rPr>
          <w:i/>
          <w:szCs w:val="24"/>
          <w:lang w:val="en-US"/>
        </w:rPr>
        <w:t>znachenie</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perspektivy</w:t>
      </w:r>
      <w:r w:rsidR="006C680D" w:rsidRPr="00D337FA">
        <w:rPr>
          <w:i/>
          <w:szCs w:val="24"/>
          <w:lang w:val="en-US"/>
        </w:rPr>
        <w:t xml:space="preserve"> </w:t>
      </w:r>
      <w:r w:rsidR="00C00849" w:rsidRPr="00D337FA">
        <w:rPr>
          <w:i/>
          <w:szCs w:val="24"/>
          <w:lang w:val="en-US"/>
        </w:rPr>
        <w:t>[</w:t>
      </w:r>
      <w:r w:rsidRPr="00D337FA">
        <w:rPr>
          <w:i/>
          <w:szCs w:val="24"/>
          <w:lang w:val="en-US"/>
        </w:rPr>
        <w:t>The</w:t>
      </w:r>
      <w:r w:rsidR="006C680D" w:rsidRPr="00D337FA">
        <w:rPr>
          <w:i/>
          <w:szCs w:val="24"/>
          <w:lang w:val="en-US"/>
        </w:rPr>
        <w:t xml:space="preserve"> </w:t>
      </w:r>
      <w:r w:rsidRPr="00D337FA">
        <w:rPr>
          <w:i/>
          <w:szCs w:val="24"/>
          <w:lang w:val="en-US"/>
        </w:rPr>
        <w:t>doctrine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E.K.</w:t>
      </w:r>
      <w:r w:rsidR="006C680D" w:rsidRPr="00D337FA">
        <w:rPr>
          <w:i/>
          <w:szCs w:val="24"/>
          <w:lang w:val="en-US"/>
        </w:rPr>
        <w:t xml:space="preserve"> </w:t>
      </w:r>
      <w:r w:rsidRPr="00D337FA">
        <w:rPr>
          <w:i/>
          <w:szCs w:val="24"/>
          <w:lang w:val="en-US"/>
        </w:rPr>
        <w:t>Voishvillo</w:t>
      </w:r>
      <w:r w:rsidR="006C680D" w:rsidRPr="00D337FA">
        <w:rPr>
          <w:i/>
          <w:szCs w:val="24"/>
          <w:lang w:val="en-US"/>
        </w:rPr>
        <w:t xml:space="preserve"> </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concept:</w:t>
      </w:r>
      <w:r w:rsidR="006C680D" w:rsidRPr="00D337FA">
        <w:rPr>
          <w:i/>
          <w:szCs w:val="24"/>
          <w:lang w:val="en-US"/>
        </w:rPr>
        <w:t xml:space="preserve"> </w:t>
      </w:r>
      <w:r w:rsidRPr="00D337FA">
        <w:rPr>
          <w:i/>
          <w:szCs w:val="24"/>
          <w:lang w:val="en-US"/>
        </w:rPr>
        <w:t>meaning</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prospects</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Logicheskie</w:t>
      </w:r>
      <w:r w:rsidR="006C680D" w:rsidRPr="00D337FA">
        <w:rPr>
          <w:i/>
          <w:szCs w:val="24"/>
          <w:lang w:val="en-US"/>
        </w:rPr>
        <w:t xml:space="preserve"> </w:t>
      </w:r>
      <w:r w:rsidR="00C00849" w:rsidRPr="00D337FA">
        <w:rPr>
          <w:i/>
          <w:szCs w:val="24"/>
          <w:lang w:val="en-US"/>
        </w:rPr>
        <w:t>issledovaniya</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Logical</w:t>
      </w:r>
      <w:r w:rsidR="006C680D" w:rsidRPr="00D337FA">
        <w:rPr>
          <w:i/>
          <w:szCs w:val="24"/>
          <w:lang w:val="en-US"/>
        </w:rPr>
        <w:t xml:space="preserve"> </w:t>
      </w:r>
      <w:r w:rsidRPr="00D337FA">
        <w:rPr>
          <w:i/>
          <w:szCs w:val="24"/>
          <w:lang w:val="en-US"/>
        </w:rPr>
        <w:t>studies.</w:t>
      </w:r>
      <w:r w:rsidR="006C680D" w:rsidRPr="00D337FA">
        <w:rPr>
          <w:i/>
          <w:szCs w:val="24"/>
          <w:lang w:val="en-US"/>
        </w:rPr>
        <w:t xml:space="preserve"> </w:t>
      </w:r>
      <w:r w:rsidRPr="00D337FA">
        <w:rPr>
          <w:i/>
          <w:szCs w:val="24"/>
          <w:lang w:val="en-US"/>
        </w:rPr>
        <w:t>2014.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20.</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https://cyberleninka.ru/article/n/uchenie-e-k-voyshvillo-o-ponyatii-znachenie-i-perspektivy</w:t>
      </w:r>
    </w:p>
    <w:p w:rsidR="0002772A" w:rsidRPr="00D337FA" w:rsidRDefault="0002772A" w:rsidP="0002772A">
      <w:pPr>
        <w:ind w:firstLine="284"/>
        <w:rPr>
          <w:i/>
          <w:szCs w:val="24"/>
          <w:lang w:val="en-US"/>
        </w:rPr>
      </w:pPr>
      <w:r w:rsidRPr="00D337FA">
        <w:rPr>
          <w:i/>
          <w:szCs w:val="24"/>
          <w:lang w:val="en-US"/>
        </w:rPr>
        <w:t>13.</w:t>
      </w:r>
      <w:r w:rsidR="006C680D" w:rsidRPr="00D337FA">
        <w:rPr>
          <w:i/>
          <w:szCs w:val="24"/>
          <w:lang w:val="en-US"/>
        </w:rPr>
        <w:t xml:space="preserve"> </w:t>
      </w:r>
      <w:r w:rsidRPr="00D337FA">
        <w:rPr>
          <w:i/>
          <w:szCs w:val="24"/>
          <w:lang w:val="en-US"/>
        </w:rPr>
        <w:t>Martynova</w:t>
      </w:r>
      <w:r w:rsidR="006C680D" w:rsidRPr="00D337FA">
        <w:rPr>
          <w:i/>
          <w:szCs w:val="24"/>
          <w:lang w:val="en-US"/>
        </w:rPr>
        <w:t xml:space="preserve"> </w:t>
      </w:r>
      <w:r w:rsidRPr="00D337FA">
        <w:rPr>
          <w:i/>
          <w:szCs w:val="24"/>
          <w:lang w:val="en-US"/>
        </w:rPr>
        <w:t>Yu.</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00C00849" w:rsidRPr="00D337FA">
        <w:rPr>
          <w:i/>
          <w:szCs w:val="24"/>
          <w:lang w:val="en-US"/>
        </w:rPr>
        <w:t>Innovacionnaya</w:t>
      </w:r>
      <w:r w:rsidR="006C680D" w:rsidRPr="00D337FA">
        <w:rPr>
          <w:i/>
          <w:szCs w:val="24"/>
          <w:lang w:val="en-US"/>
        </w:rPr>
        <w:t xml:space="preserve"> </w:t>
      </w:r>
      <w:r w:rsidR="00C00849" w:rsidRPr="00D337FA">
        <w:rPr>
          <w:i/>
          <w:szCs w:val="24"/>
          <w:lang w:val="en-US"/>
        </w:rPr>
        <w:t>deyatel'nost'</w:t>
      </w:r>
      <w:r w:rsidR="006C680D" w:rsidRPr="00D337FA">
        <w:rPr>
          <w:i/>
          <w:szCs w:val="24"/>
          <w:lang w:val="en-US"/>
        </w:rPr>
        <w:t xml:space="preserve"> </w:t>
      </w:r>
      <w:r w:rsidR="00C00849" w:rsidRPr="00D337FA">
        <w:rPr>
          <w:i/>
          <w:szCs w:val="24"/>
          <w:lang w:val="en-US"/>
        </w:rPr>
        <w:t>predpriyatiya</w:t>
      </w:r>
      <w:r w:rsidR="006C680D" w:rsidRPr="00D337FA">
        <w:rPr>
          <w:i/>
          <w:szCs w:val="24"/>
          <w:lang w:val="en-US"/>
        </w:rPr>
        <w:t xml:space="preserve"> </w:t>
      </w:r>
      <w:r w:rsidR="00C00849" w:rsidRPr="00D337FA">
        <w:rPr>
          <w:i/>
          <w:szCs w:val="24"/>
          <w:lang w:val="en-US"/>
        </w:rPr>
        <w:t>s</w:t>
      </w:r>
      <w:r w:rsidR="006C680D" w:rsidRPr="00D337FA">
        <w:rPr>
          <w:i/>
          <w:szCs w:val="24"/>
          <w:lang w:val="en-US"/>
        </w:rPr>
        <w:t xml:space="preserve"> </w:t>
      </w:r>
      <w:r w:rsidR="00C00849" w:rsidRPr="00D337FA">
        <w:rPr>
          <w:i/>
          <w:szCs w:val="24"/>
          <w:lang w:val="en-US"/>
        </w:rPr>
        <w:t>tochki</w:t>
      </w:r>
      <w:r w:rsidR="006C680D" w:rsidRPr="00D337FA">
        <w:rPr>
          <w:i/>
          <w:szCs w:val="24"/>
          <w:lang w:val="en-US"/>
        </w:rPr>
        <w:t xml:space="preserve"> </w:t>
      </w:r>
      <w:r w:rsidR="00C00849" w:rsidRPr="00D337FA">
        <w:rPr>
          <w:i/>
          <w:szCs w:val="24"/>
          <w:lang w:val="en-US"/>
        </w:rPr>
        <w:t>zreniya</w:t>
      </w:r>
      <w:r w:rsidR="006C680D" w:rsidRPr="00D337FA">
        <w:rPr>
          <w:i/>
          <w:szCs w:val="24"/>
          <w:lang w:val="en-US"/>
        </w:rPr>
        <w:t xml:space="preserve"> </w:t>
      </w:r>
      <w:r w:rsidR="00C00849" w:rsidRPr="00D337FA">
        <w:rPr>
          <w:i/>
          <w:szCs w:val="24"/>
          <w:lang w:val="en-US"/>
        </w:rPr>
        <w:t>sistemnogo</w:t>
      </w:r>
      <w:r w:rsidR="006C680D" w:rsidRPr="00D337FA">
        <w:rPr>
          <w:i/>
          <w:szCs w:val="24"/>
          <w:lang w:val="en-US"/>
        </w:rPr>
        <w:t xml:space="preserve"> </w:t>
      </w:r>
      <w:r w:rsidR="00C00849" w:rsidRPr="00D337FA">
        <w:rPr>
          <w:i/>
          <w:szCs w:val="24"/>
          <w:lang w:val="en-US"/>
        </w:rPr>
        <w:t>podhoda</w:t>
      </w:r>
      <w:r w:rsidR="006C680D" w:rsidRPr="00D337FA">
        <w:rPr>
          <w:i/>
          <w:szCs w:val="24"/>
          <w:lang w:val="en-US"/>
        </w:rPr>
        <w:t xml:space="preserve"> </w:t>
      </w:r>
      <w:r w:rsidR="00C00849" w:rsidRPr="00D337FA">
        <w:rPr>
          <w:i/>
          <w:szCs w:val="24"/>
          <w:lang w:val="en-US"/>
        </w:rPr>
        <w:t>[</w:t>
      </w:r>
      <w:r w:rsidRPr="00D337FA">
        <w:rPr>
          <w:i/>
          <w:szCs w:val="24"/>
          <w:lang w:val="en-US"/>
        </w:rPr>
        <w:t>Innovative</w:t>
      </w:r>
      <w:r w:rsidR="006C680D" w:rsidRPr="00D337FA">
        <w:rPr>
          <w:i/>
          <w:szCs w:val="24"/>
          <w:lang w:val="en-US"/>
        </w:rPr>
        <w:t xml:space="preserve"> </w:t>
      </w:r>
      <w:r w:rsidRPr="00D337FA">
        <w:rPr>
          <w:i/>
          <w:szCs w:val="24"/>
          <w:lang w:val="en-US"/>
        </w:rPr>
        <w:t>activities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enterprise</w:t>
      </w:r>
      <w:r w:rsidR="006C680D" w:rsidRPr="00D337FA">
        <w:rPr>
          <w:i/>
          <w:szCs w:val="24"/>
          <w:lang w:val="en-US"/>
        </w:rPr>
        <w:t xml:space="preserve"> </w:t>
      </w:r>
      <w:r w:rsidRPr="00D337FA">
        <w:rPr>
          <w:i/>
          <w:szCs w:val="24"/>
          <w:lang w:val="en-US"/>
        </w:rPr>
        <w:t>from</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point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view</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systems</w:t>
      </w:r>
      <w:r w:rsidR="006C680D" w:rsidRPr="00D337FA">
        <w:rPr>
          <w:i/>
          <w:szCs w:val="24"/>
          <w:lang w:val="en-US"/>
        </w:rPr>
        <w:t xml:space="preserve"> </w:t>
      </w:r>
      <w:r w:rsidRPr="00D337FA">
        <w:rPr>
          <w:i/>
          <w:szCs w:val="24"/>
          <w:lang w:val="en-US"/>
        </w:rPr>
        <w:t>approach</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Ekonomika</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upravlenie:</w:t>
      </w:r>
      <w:r w:rsidR="006C680D" w:rsidRPr="00D337FA">
        <w:rPr>
          <w:i/>
          <w:szCs w:val="24"/>
          <w:lang w:val="en-US"/>
        </w:rPr>
        <w:t xml:space="preserve"> </w:t>
      </w:r>
      <w:r w:rsidR="00C00849" w:rsidRPr="00D337FA">
        <w:rPr>
          <w:i/>
          <w:szCs w:val="24"/>
          <w:lang w:val="en-US"/>
        </w:rPr>
        <w:t>problemy,</w:t>
      </w:r>
      <w:r w:rsidR="006C680D" w:rsidRPr="00D337FA">
        <w:rPr>
          <w:i/>
          <w:szCs w:val="24"/>
          <w:lang w:val="en-US"/>
        </w:rPr>
        <w:t xml:space="preserve"> </w:t>
      </w:r>
      <w:r w:rsidR="00C00849" w:rsidRPr="00D337FA">
        <w:rPr>
          <w:i/>
          <w:szCs w:val="24"/>
          <w:lang w:val="en-US"/>
        </w:rPr>
        <w:t>resheniya</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Solutions.</w:t>
      </w:r>
      <w:r w:rsidR="006C680D" w:rsidRPr="00D337FA">
        <w:rPr>
          <w:i/>
          <w:szCs w:val="24"/>
          <w:lang w:val="en-US"/>
        </w:rPr>
        <w:t xml:space="preserve"> </w:t>
      </w:r>
      <w:r w:rsidRPr="00D337FA">
        <w:rPr>
          <w:i/>
          <w:szCs w:val="24"/>
          <w:lang w:val="en-US"/>
        </w:rPr>
        <w:t>2024.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12.</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19.</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65-74.</w:t>
      </w:r>
    </w:p>
    <w:p w:rsidR="0002772A" w:rsidRPr="00D337FA" w:rsidRDefault="0002772A" w:rsidP="0002772A">
      <w:pPr>
        <w:ind w:firstLine="284"/>
        <w:rPr>
          <w:i/>
          <w:szCs w:val="24"/>
          <w:lang w:val="en-US"/>
        </w:rPr>
      </w:pPr>
      <w:r w:rsidRPr="00D337FA">
        <w:rPr>
          <w:i/>
          <w:szCs w:val="24"/>
          <w:lang w:val="en-US"/>
        </w:rPr>
        <w:t>14.</w:t>
      </w:r>
      <w:r w:rsidR="006C680D" w:rsidRPr="00D337FA">
        <w:rPr>
          <w:i/>
          <w:szCs w:val="24"/>
          <w:lang w:val="en-US"/>
        </w:rPr>
        <w:t xml:space="preserve"> </w:t>
      </w:r>
      <w:r w:rsidRPr="00D337FA">
        <w:rPr>
          <w:i/>
          <w:szCs w:val="24"/>
          <w:lang w:val="en-US"/>
        </w:rPr>
        <w:t>Martynova</w:t>
      </w:r>
      <w:r w:rsidR="006C680D" w:rsidRPr="00D337FA">
        <w:rPr>
          <w:i/>
          <w:szCs w:val="24"/>
          <w:lang w:val="en-US"/>
        </w:rPr>
        <w:t xml:space="preserve"> </w:t>
      </w:r>
      <w:r w:rsidRPr="00D337FA">
        <w:rPr>
          <w:i/>
          <w:szCs w:val="24"/>
          <w:lang w:val="en-US"/>
        </w:rPr>
        <w:t>Yu.</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00C00849" w:rsidRPr="00D337FA">
        <w:rPr>
          <w:i/>
          <w:szCs w:val="24"/>
          <w:lang w:val="en-US"/>
        </w:rPr>
        <w:t>Formirovanie</w:t>
      </w:r>
      <w:r w:rsidR="006C680D" w:rsidRPr="00D337FA">
        <w:rPr>
          <w:i/>
          <w:szCs w:val="24"/>
          <w:lang w:val="en-US"/>
        </w:rPr>
        <w:t xml:space="preserve"> </w:t>
      </w:r>
      <w:r w:rsidR="00C00849" w:rsidRPr="00D337FA">
        <w:rPr>
          <w:i/>
          <w:szCs w:val="24"/>
          <w:lang w:val="en-US"/>
        </w:rPr>
        <w:t>innovacionnoj</w:t>
      </w:r>
      <w:r w:rsidR="006C680D" w:rsidRPr="00D337FA">
        <w:rPr>
          <w:i/>
          <w:szCs w:val="24"/>
          <w:lang w:val="en-US"/>
        </w:rPr>
        <w:t xml:space="preserve"> </w:t>
      </w:r>
      <w:r w:rsidR="00C00849" w:rsidRPr="00D337FA">
        <w:rPr>
          <w:i/>
          <w:szCs w:val="24"/>
          <w:lang w:val="en-US"/>
        </w:rPr>
        <w:t>programmy</w:t>
      </w:r>
      <w:r w:rsidR="006C680D" w:rsidRPr="00D337FA">
        <w:rPr>
          <w:i/>
          <w:szCs w:val="24"/>
          <w:lang w:val="en-US"/>
        </w:rPr>
        <w:t xml:space="preserve"> </w:t>
      </w:r>
      <w:r w:rsidR="00C00849" w:rsidRPr="00D337FA">
        <w:rPr>
          <w:i/>
          <w:szCs w:val="24"/>
          <w:lang w:val="en-US"/>
        </w:rPr>
        <w:t>na</w:t>
      </w:r>
      <w:r w:rsidR="006C680D" w:rsidRPr="00D337FA">
        <w:rPr>
          <w:i/>
          <w:szCs w:val="24"/>
          <w:lang w:val="en-US"/>
        </w:rPr>
        <w:t xml:space="preserve"> </w:t>
      </w:r>
      <w:r w:rsidR="00C00849" w:rsidRPr="00D337FA">
        <w:rPr>
          <w:i/>
          <w:szCs w:val="24"/>
          <w:lang w:val="en-US"/>
        </w:rPr>
        <w:t>predpriyatii:</w:t>
      </w:r>
      <w:r w:rsidR="006C680D" w:rsidRPr="00D337FA">
        <w:rPr>
          <w:i/>
          <w:szCs w:val="24"/>
          <w:lang w:val="en-US"/>
        </w:rPr>
        <w:t xml:space="preserve"> </w:t>
      </w:r>
      <w:r w:rsidR="00C00849" w:rsidRPr="00D337FA">
        <w:rPr>
          <w:i/>
          <w:szCs w:val="24"/>
          <w:lang w:val="en-US"/>
        </w:rPr>
        <w:t>monografiya</w:t>
      </w:r>
      <w:r w:rsidR="006C680D" w:rsidRPr="00D337FA">
        <w:rPr>
          <w:i/>
          <w:szCs w:val="24"/>
          <w:lang w:val="en-US"/>
        </w:rPr>
        <w:t xml:space="preserve"> </w:t>
      </w:r>
      <w:r w:rsidR="00C00849" w:rsidRPr="00D337FA">
        <w:rPr>
          <w:i/>
          <w:szCs w:val="24"/>
          <w:lang w:val="en-US"/>
        </w:rPr>
        <w:t>[</w:t>
      </w:r>
      <w:r w:rsidRPr="00D337FA">
        <w:rPr>
          <w:i/>
          <w:szCs w:val="24"/>
          <w:lang w:val="en-US"/>
        </w:rPr>
        <w:t>Formation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an</w:t>
      </w:r>
      <w:r w:rsidR="006C680D" w:rsidRPr="00D337FA">
        <w:rPr>
          <w:i/>
          <w:szCs w:val="24"/>
          <w:lang w:val="en-US"/>
        </w:rPr>
        <w:t xml:space="preserve"> </w:t>
      </w:r>
      <w:r w:rsidRPr="00D337FA">
        <w:rPr>
          <w:i/>
          <w:szCs w:val="24"/>
          <w:lang w:val="en-US"/>
        </w:rPr>
        <w:t>innovation</w:t>
      </w:r>
      <w:r w:rsidR="006C680D" w:rsidRPr="00D337FA">
        <w:rPr>
          <w:i/>
          <w:szCs w:val="24"/>
          <w:lang w:val="en-US"/>
        </w:rPr>
        <w:t xml:space="preserve"> </w:t>
      </w:r>
      <w:r w:rsidRPr="00D337FA">
        <w:rPr>
          <w:i/>
          <w:szCs w:val="24"/>
          <w:lang w:val="en-US"/>
        </w:rPr>
        <w:t>program</w:t>
      </w:r>
      <w:r w:rsidR="006C680D" w:rsidRPr="00D337FA">
        <w:rPr>
          <w:i/>
          <w:szCs w:val="24"/>
          <w:lang w:val="en-US"/>
        </w:rPr>
        <w:t xml:space="preserve"> </w:t>
      </w:r>
      <w:r w:rsidRPr="00D337FA">
        <w:rPr>
          <w:i/>
          <w:szCs w:val="24"/>
          <w:lang w:val="en-US"/>
        </w:rPr>
        <w:t>at</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enterprise</w:t>
      </w:r>
      <w:r w:rsidR="00C00849"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monograph.</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St.</w:t>
      </w:r>
      <w:r w:rsidR="006C680D" w:rsidRPr="00D337FA">
        <w:rPr>
          <w:i/>
          <w:szCs w:val="24"/>
          <w:lang w:val="en-US"/>
        </w:rPr>
        <w:t xml:space="preserve"> </w:t>
      </w:r>
      <w:r w:rsidRPr="00D337FA">
        <w:rPr>
          <w:i/>
          <w:szCs w:val="24"/>
          <w:lang w:val="en-US"/>
        </w:rPr>
        <w:t>Petersburg:</w:t>
      </w:r>
      <w:r w:rsidR="006C680D" w:rsidRPr="00D337FA">
        <w:rPr>
          <w:i/>
          <w:szCs w:val="24"/>
          <w:lang w:val="en-US"/>
        </w:rPr>
        <w:t xml:space="preserve"> </w:t>
      </w:r>
      <w:r w:rsidRPr="00D337FA">
        <w:rPr>
          <w:i/>
          <w:szCs w:val="24"/>
          <w:lang w:val="en-US"/>
        </w:rPr>
        <w:t>GUAP,</w:t>
      </w:r>
      <w:r w:rsidR="006C680D" w:rsidRPr="00D337FA">
        <w:rPr>
          <w:i/>
          <w:szCs w:val="24"/>
          <w:lang w:val="en-US"/>
        </w:rPr>
        <w:t xml:space="preserve"> </w:t>
      </w:r>
      <w:r w:rsidRPr="00D337FA">
        <w:rPr>
          <w:i/>
          <w:szCs w:val="24"/>
          <w:lang w:val="en-US"/>
        </w:rPr>
        <w:t>2008.</w:t>
      </w:r>
    </w:p>
    <w:p w:rsidR="0002772A" w:rsidRPr="00D337FA" w:rsidRDefault="0002772A" w:rsidP="0002772A">
      <w:pPr>
        <w:ind w:firstLine="284"/>
        <w:rPr>
          <w:i/>
          <w:szCs w:val="24"/>
          <w:lang w:val="en-US"/>
        </w:rPr>
      </w:pPr>
      <w:r w:rsidRPr="00D337FA">
        <w:rPr>
          <w:i/>
          <w:szCs w:val="24"/>
          <w:lang w:val="en-US"/>
        </w:rPr>
        <w:t>15.</w:t>
      </w:r>
      <w:r w:rsidR="006C680D" w:rsidRPr="00D337FA">
        <w:rPr>
          <w:i/>
          <w:szCs w:val="24"/>
          <w:lang w:val="en-US"/>
        </w:rPr>
        <w:t xml:space="preserve"> </w:t>
      </w:r>
      <w:r w:rsidRPr="00D337FA">
        <w:rPr>
          <w:i/>
          <w:szCs w:val="24"/>
          <w:lang w:val="en-US"/>
        </w:rPr>
        <w:t>Necheukhina</w:t>
      </w:r>
      <w:r w:rsidR="006C680D" w:rsidRPr="00D337FA">
        <w:rPr>
          <w:i/>
          <w:szCs w:val="24"/>
          <w:lang w:val="en-US"/>
        </w:rPr>
        <w:t xml:space="preserve"> </w:t>
      </w:r>
      <w:r w:rsidRPr="00D337FA">
        <w:rPr>
          <w:i/>
          <w:szCs w:val="24"/>
          <w:lang w:val="en-US"/>
        </w:rPr>
        <w:t>N.</w:t>
      </w:r>
      <w:r w:rsidR="006C680D" w:rsidRPr="00D337FA">
        <w:rPr>
          <w:i/>
          <w:szCs w:val="24"/>
          <w:lang w:val="en-US"/>
        </w:rPr>
        <w:t xml:space="preserve"> </w:t>
      </w:r>
      <w:r w:rsidRPr="00D337FA">
        <w:rPr>
          <w:i/>
          <w:szCs w:val="24"/>
          <w:lang w:val="en-US"/>
        </w:rPr>
        <w:t>S.,</w:t>
      </w:r>
      <w:r w:rsidR="006C680D" w:rsidRPr="00D337FA">
        <w:rPr>
          <w:i/>
          <w:szCs w:val="24"/>
          <w:lang w:val="en-US"/>
        </w:rPr>
        <w:t xml:space="preserve"> </w:t>
      </w:r>
      <w:r w:rsidRPr="00D337FA">
        <w:rPr>
          <w:i/>
          <w:szCs w:val="24"/>
          <w:lang w:val="en-US"/>
        </w:rPr>
        <w:t>Mustafina</w:t>
      </w:r>
      <w:r w:rsidR="006C680D" w:rsidRPr="00D337FA">
        <w:rPr>
          <w:i/>
          <w:szCs w:val="24"/>
          <w:lang w:val="en-US"/>
        </w:rPr>
        <w:t xml:space="preserve"> </w:t>
      </w:r>
      <w:r w:rsidRPr="00D337FA">
        <w:rPr>
          <w:i/>
          <w:szCs w:val="24"/>
          <w:lang w:val="en-US"/>
        </w:rPr>
        <w:t>O.</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00C00849" w:rsidRPr="00D337FA">
        <w:rPr>
          <w:i/>
          <w:szCs w:val="24"/>
          <w:lang w:val="en-US"/>
        </w:rPr>
        <w:t>Razvitie</w:t>
      </w:r>
      <w:r w:rsidR="006C680D" w:rsidRPr="00D337FA">
        <w:rPr>
          <w:i/>
          <w:szCs w:val="24"/>
          <w:lang w:val="en-US"/>
        </w:rPr>
        <w:t xml:space="preserve"> </w:t>
      </w:r>
      <w:r w:rsidR="00C00849" w:rsidRPr="00D337FA">
        <w:rPr>
          <w:i/>
          <w:szCs w:val="24"/>
          <w:lang w:val="en-US"/>
        </w:rPr>
        <w:t>teorii</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metodologii</w:t>
      </w:r>
      <w:r w:rsidR="006C680D" w:rsidRPr="00D337FA">
        <w:rPr>
          <w:i/>
          <w:szCs w:val="24"/>
          <w:lang w:val="en-US"/>
        </w:rPr>
        <w:t xml:space="preserve"> </w:t>
      </w:r>
      <w:r w:rsidR="00C00849" w:rsidRPr="00D337FA">
        <w:rPr>
          <w:i/>
          <w:szCs w:val="24"/>
          <w:lang w:val="en-US"/>
        </w:rPr>
        <w:t>upravlencheskogo</w:t>
      </w:r>
      <w:r w:rsidR="006C680D" w:rsidRPr="00D337FA">
        <w:rPr>
          <w:i/>
          <w:szCs w:val="24"/>
          <w:lang w:val="en-US"/>
        </w:rPr>
        <w:t xml:space="preserve"> </w:t>
      </w:r>
      <w:r w:rsidR="00C00849" w:rsidRPr="00D337FA">
        <w:rPr>
          <w:i/>
          <w:szCs w:val="24"/>
          <w:lang w:val="en-US"/>
        </w:rPr>
        <w:t>ucheta</w:t>
      </w:r>
      <w:r w:rsidR="006C680D" w:rsidRPr="00D337FA">
        <w:rPr>
          <w:i/>
          <w:szCs w:val="24"/>
          <w:lang w:val="en-US"/>
        </w:rPr>
        <w:t xml:space="preserve"> </w:t>
      </w:r>
      <w:r w:rsidR="00C00849" w:rsidRPr="00D337FA">
        <w:rPr>
          <w:i/>
          <w:szCs w:val="24"/>
          <w:lang w:val="en-US"/>
        </w:rPr>
        <w:t>v</w:t>
      </w:r>
      <w:r w:rsidR="006C680D" w:rsidRPr="00D337FA">
        <w:rPr>
          <w:i/>
          <w:szCs w:val="24"/>
          <w:lang w:val="en-US"/>
        </w:rPr>
        <w:t xml:space="preserve"> </w:t>
      </w:r>
      <w:r w:rsidR="00C00849" w:rsidRPr="00D337FA">
        <w:rPr>
          <w:i/>
          <w:szCs w:val="24"/>
          <w:lang w:val="en-US"/>
        </w:rPr>
        <w:t>uchetno-analiticheskom</w:t>
      </w:r>
      <w:r w:rsidR="006C680D" w:rsidRPr="00D337FA">
        <w:rPr>
          <w:i/>
          <w:szCs w:val="24"/>
          <w:lang w:val="en-US"/>
        </w:rPr>
        <w:t xml:space="preserve"> </w:t>
      </w:r>
      <w:r w:rsidR="00C00849" w:rsidRPr="00D337FA">
        <w:rPr>
          <w:i/>
          <w:szCs w:val="24"/>
          <w:lang w:val="en-US"/>
        </w:rPr>
        <w:t>obespechenii</w:t>
      </w:r>
      <w:r w:rsidR="006C680D" w:rsidRPr="00D337FA">
        <w:rPr>
          <w:i/>
          <w:szCs w:val="24"/>
          <w:lang w:val="en-US"/>
        </w:rPr>
        <w:t xml:space="preserve"> </w:t>
      </w:r>
      <w:r w:rsidR="00C00849" w:rsidRPr="00D337FA">
        <w:rPr>
          <w:i/>
          <w:szCs w:val="24"/>
          <w:lang w:val="en-US"/>
        </w:rPr>
        <w:t>upravleniya</w:t>
      </w:r>
      <w:r w:rsidR="006C680D" w:rsidRPr="00D337FA">
        <w:rPr>
          <w:i/>
          <w:szCs w:val="24"/>
          <w:lang w:val="en-US"/>
        </w:rPr>
        <w:t xml:space="preserve"> </w:t>
      </w:r>
      <w:r w:rsidR="00C00849" w:rsidRPr="00D337FA">
        <w:rPr>
          <w:i/>
          <w:szCs w:val="24"/>
          <w:lang w:val="en-US"/>
        </w:rPr>
        <w:t>[</w:t>
      </w:r>
      <w:r w:rsidRPr="00D337FA">
        <w:rPr>
          <w:i/>
          <w:szCs w:val="24"/>
          <w:lang w:val="en-US"/>
        </w:rPr>
        <w:t>Development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theory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methodology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accounting</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accounting</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analytical</w:t>
      </w:r>
      <w:r w:rsidR="006C680D" w:rsidRPr="00D337FA">
        <w:rPr>
          <w:i/>
          <w:szCs w:val="24"/>
          <w:lang w:val="en-US"/>
        </w:rPr>
        <w:t xml:space="preserve"> </w:t>
      </w:r>
      <w:r w:rsidRPr="00D337FA">
        <w:rPr>
          <w:i/>
          <w:szCs w:val="24"/>
          <w:lang w:val="en-US"/>
        </w:rPr>
        <w:t>support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management</w:t>
      </w:r>
      <w:r w:rsidR="00C0084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00849" w:rsidRPr="00D337FA">
        <w:rPr>
          <w:i/>
          <w:szCs w:val="24"/>
          <w:lang w:val="en-US"/>
        </w:rPr>
        <w:t>Vestnik</w:t>
      </w:r>
      <w:r w:rsidR="006C680D" w:rsidRPr="00D337FA">
        <w:rPr>
          <w:i/>
          <w:szCs w:val="24"/>
          <w:lang w:val="en-US"/>
        </w:rPr>
        <w:t xml:space="preserve"> </w:t>
      </w:r>
      <w:r w:rsidR="00C00849" w:rsidRPr="00D337FA">
        <w:rPr>
          <w:i/>
          <w:szCs w:val="24"/>
          <w:lang w:val="en-US"/>
        </w:rPr>
        <w:t>YuUrGU.</w:t>
      </w:r>
      <w:r w:rsidR="006C680D" w:rsidRPr="00D337FA">
        <w:rPr>
          <w:i/>
          <w:szCs w:val="24"/>
          <w:lang w:val="en-US"/>
        </w:rPr>
        <w:t xml:space="preserve"> </w:t>
      </w:r>
      <w:r w:rsidR="00C00849" w:rsidRPr="00D337FA">
        <w:rPr>
          <w:i/>
          <w:szCs w:val="24"/>
          <w:lang w:val="en-US"/>
        </w:rPr>
        <w:t>Seriya:</w:t>
      </w:r>
      <w:r w:rsidR="006C680D" w:rsidRPr="00D337FA">
        <w:rPr>
          <w:i/>
          <w:szCs w:val="24"/>
          <w:lang w:val="en-US"/>
        </w:rPr>
        <w:t xml:space="preserve"> </w:t>
      </w:r>
      <w:r w:rsidR="00C00849" w:rsidRPr="00D337FA">
        <w:rPr>
          <w:i/>
          <w:szCs w:val="24"/>
          <w:lang w:val="en-US"/>
        </w:rPr>
        <w:t>Ekonomika</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menedzhment</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SUSU.</w:t>
      </w:r>
      <w:r w:rsidR="006C680D" w:rsidRPr="00D337FA">
        <w:rPr>
          <w:i/>
          <w:szCs w:val="24"/>
          <w:lang w:val="en-US"/>
        </w:rPr>
        <w:t xml:space="preserve"> </w:t>
      </w:r>
      <w:r w:rsidRPr="00D337FA">
        <w:rPr>
          <w:i/>
          <w:szCs w:val="24"/>
          <w:lang w:val="en-US"/>
        </w:rPr>
        <w:t>Series:</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2019.</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https://cyberleninka.ru/article/n/razvitie-teorii-i-metodologii-upravlencheskogo-ucheta-v-uchetno-analiticheskom-obespechenii-upravleniya</w:t>
      </w:r>
    </w:p>
    <w:p w:rsidR="0002772A" w:rsidRPr="00D337FA" w:rsidRDefault="0002772A" w:rsidP="0002772A">
      <w:pPr>
        <w:ind w:firstLine="284"/>
        <w:rPr>
          <w:i/>
          <w:szCs w:val="24"/>
          <w:lang w:val="en-US"/>
        </w:rPr>
      </w:pPr>
      <w:r w:rsidRPr="00D337FA">
        <w:rPr>
          <w:i/>
          <w:szCs w:val="24"/>
          <w:lang w:val="en-US"/>
        </w:rPr>
        <w:t>16.</w:t>
      </w:r>
      <w:r w:rsidR="006C680D" w:rsidRPr="00D337FA">
        <w:rPr>
          <w:i/>
          <w:szCs w:val="24"/>
          <w:lang w:val="en-US"/>
        </w:rPr>
        <w:t xml:space="preserve"> </w:t>
      </w:r>
      <w:r w:rsidRPr="00D337FA">
        <w:rPr>
          <w:i/>
          <w:szCs w:val="24"/>
          <w:lang w:val="en-US"/>
        </w:rPr>
        <w:t>Novikov</w:t>
      </w:r>
      <w:r w:rsidR="006C680D" w:rsidRPr="00D337FA">
        <w:rPr>
          <w:i/>
          <w:szCs w:val="24"/>
          <w:lang w:val="en-US"/>
        </w:rPr>
        <w:t xml:space="preserve"> </w:t>
      </w:r>
      <w:r w:rsidRPr="00D337FA">
        <w:rPr>
          <w:i/>
          <w:szCs w:val="24"/>
          <w:lang w:val="en-US"/>
        </w:rPr>
        <w:t>A</w:t>
      </w:r>
      <w:r w:rsidR="00C00849" w:rsidRPr="00D337FA">
        <w:rPr>
          <w:i/>
          <w:szCs w:val="24"/>
          <w:lang w:val="en-US"/>
        </w:rPr>
        <w:t>.</w:t>
      </w:r>
      <w:r w:rsidRPr="00D337FA">
        <w:rPr>
          <w:i/>
          <w:szCs w:val="24"/>
          <w:lang w:val="en-US"/>
        </w:rPr>
        <w:t>M</w:t>
      </w:r>
      <w:r w:rsidR="00C00849"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Novikov</w:t>
      </w:r>
      <w:r w:rsidR="006C680D" w:rsidRPr="00D337FA">
        <w:rPr>
          <w:i/>
          <w:szCs w:val="24"/>
          <w:lang w:val="en-US"/>
        </w:rPr>
        <w:t xml:space="preserve"> </w:t>
      </w:r>
      <w:r w:rsidRPr="00D337FA">
        <w:rPr>
          <w:i/>
          <w:szCs w:val="24"/>
          <w:lang w:val="en-US"/>
        </w:rPr>
        <w:t>D</w:t>
      </w:r>
      <w:r w:rsidR="00C00849" w:rsidRPr="00D337FA">
        <w:rPr>
          <w:i/>
          <w:szCs w:val="24"/>
          <w:lang w:val="en-US"/>
        </w:rPr>
        <w:t>.</w:t>
      </w:r>
      <w:r w:rsidRPr="00D337FA">
        <w:rPr>
          <w:i/>
          <w:szCs w:val="24"/>
          <w:lang w:val="en-US"/>
        </w:rPr>
        <w:t>A</w:t>
      </w:r>
      <w:r w:rsidR="00C00849" w:rsidRPr="00D337FA">
        <w:rPr>
          <w:i/>
          <w:szCs w:val="24"/>
          <w:lang w:val="en-US"/>
        </w:rPr>
        <w:t>.</w:t>
      </w:r>
      <w:r w:rsidR="006C680D" w:rsidRPr="00D337FA">
        <w:rPr>
          <w:i/>
          <w:szCs w:val="24"/>
          <w:lang w:val="en-US"/>
        </w:rPr>
        <w:t xml:space="preserve"> </w:t>
      </w:r>
      <w:r w:rsidR="00C00849" w:rsidRPr="00D337FA">
        <w:rPr>
          <w:i/>
          <w:szCs w:val="24"/>
          <w:lang w:val="en-US"/>
        </w:rPr>
        <w:t>O</w:t>
      </w:r>
      <w:r w:rsidR="006C680D" w:rsidRPr="00D337FA">
        <w:rPr>
          <w:i/>
          <w:szCs w:val="24"/>
          <w:lang w:val="en-US"/>
        </w:rPr>
        <w:t xml:space="preserve"> </w:t>
      </w:r>
      <w:r w:rsidR="00C00849" w:rsidRPr="00D337FA">
        <w:rPr>
          <w:i/>
          <w:szCs w:val="24"/>
          <w:lang w:val="en-US"/>
        </w:rPr>
        <w:t>predmete</w:t>
      </w:r>
      <w:r w:rsidR="006C680D" w:rsidRPr="00D337FA">
        <w:rPr>
          <w:i/>
          <w:szCs w:val="24"/>
          <w:lang w:val="en-US"/>
        </w:rPr>
        <w:t xml:space="preserve"> </w:t>
      </w:r>
      <w:r w:rsidR="00C00849" w:rsidRPr="00D337FA">
        <w:rPr>
          <w:i/>
          <w:szCs w:val="24"/>
          <w:lang w:val="en-US"/>
        </w:rPr>
        <w:t>i</w:t>
      </w:r>
      <w:r w:rsidR="006C680D" w:rsidRPr="00D337FA">
        <w:rPr>
          <w:i/>
          <w:szCs w:val="24"/>
          <w:lang w:val="en-US"/>
        </w:rPr>
        <w:t xml:space="preserve"> </w:t>
      </w:r>
      <w:r w:rsidR="00C00849" w:rsidRPr="00D337FA">
        <w:rPr>
          <w:i/>
          <w:szCs w:val="24"/>
          <w:lang w:val="en-US"/>
        </w:rPr>
        <w:t>strukture</w:t>
      </w:r>
      <w:r w:rsidR="006C680D" w:rsidRPr="00D337FA">
        <w:rPr>
          <w:i/>
          <w:szCs w:val="24"/>
          <w:lang w:val="en-US"/>
        </w:rPr>
        <w:t xml:space="preserve"> </w:t>
      </w:r>
      <w:r w:rsidR="00C00849" w:rsidRPr="00D337FA">
        <w:rPr>
          <w:i/>
          <w:szCs w:val="24"/>
          <w:lang w:val="en-US"/>
        </w:rPr>
        <w:t>metodologii</w:t>
      </w:r>
      <w:r w:rsidR="006C680D" w:rsidRPr="00D337FA">
        <w:rPr>
          <w:i/>
          <w:szCs w:val="24"/>
          <w:lang w:val="en-US"/>
        </w:rPr>
        <w:t xml:space="preserve"> </w:t>
      </w:r>
      <w:r w:rsidR="00C00849" w:rsidRPr="00D337FA">
        <w:rPr>
          <w:i/>
          <w:szCs w:val="24"/>
          <w:lang w:val="en-US"/>
        </w:rPr>
        <w:t>[</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subject</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structure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methodology</w:t>
      </w:r>
      <w:r w:rsidR="00C00849" w:rsidRPr="00D337FA">
        <w:rPr>
          <w:i/>
          <w:szCs w:val="24"/>
          <w:lang w:val="en-US"/>
        </w:rPr>
        <w:t>]</w:t>
      </w:r>
      <w:r w:rsidR="006C680D" w:rsidRPr="00D337FA">
        <w:rPr>
          <w:i/>
          <w:szCs w:val="24"/>
          <w:lang w:val="en-US"/>
        </w:rPr>
        <w:t xml:space="preserve"> </w:t>
      </w:r>
      <w:r w:rsidR="00C00849" w:rsidRPr="00D337FA">
        <w:rPr>
          <w:i/>
          <w:szCs w:val="24"/>
          <w:lang w:val="en-US"/>
        </w:rPr>
        <w:t>//</w:t>
      </w:r>
      <w:r w:rsidR="006C680D" w:rsidRPr="00D337FA">
        <w:rPr>
          <w:i/>
          <w:szCs w:val="24"/>
          <w:lang w:val="en-US"/>
        </w:rPr>
        <w:t xml:space="preserve"> </w:t>
      </w:r>
      <w:r w:rsidR="00C3287E" w:rsidRPr="00D337FA">
        <w:rPr>
          <w:i/>
          <w:szCs w:val="24"/>
          <w:lang w:val="en-US"/>
        </w:rPr>
        <w:t>Mir</w:t>
      </w:r>
      <w:r w:rsidR="006C680D" w:rsidRPr="00D337FA">
        <w:rPr>
          <w:i/>
          <w:szCs w:val="24"/>
          <w:lang w:val="en-US"/>
        </w:rPr>
        <w:t xml:space="preserve"> </w:t>
      </w:r>
      <w:r w:rsidR="00C3287E" w:rsidRPr="00D337FA">
        <w:rPr>
          <w:i/>
          <w:szCs w:val="24"/>
          <w:lang w:val="en-US"/>
        </w:rPr>
        <w:t>obrazovaniya--obrazovanie</w:t>
      </w:r>
      <w:r w:rsidR="006C680D" w:rsidRPr="00D337FA">
        <w:rPr>
          <w:i/>
          <w:szCs w:val="24"/>
          <w:lang w:val="en-US"/>
        </w:rPr>
        <w:t xml:space="preserve"> </w:t>
      </w:r>
      <w:r w:rsidR="00C3287E" w:rsidRPr="00D337FA">
        <w:rPr>
          <w:i/>
          <w:szCs w:val="24"/>
          <w:lang w:val="en-US"/>
        </w:rPr>
        <w:t>v</w:t>
      </w:r>
      <w:r w:rsidR="006C680D" w:rsidRPr="00D337FA">
        <w:rPr>
          <w:i/>
          <w:szCs w:val="24"/>
          <w:lang w:val="en-US"/>
        </w:rPr>
        <w:t xml:space="preserve"> </w:t>
      </w:r>
      <w:r w:rsidR="00C3287E" w:rsidRPr="00D337FA">
        <w:rPr>
          <w:i/>
          <w:szCs w:val="24"/>
          <w:lang w:val="en-US"/>
        </w:rPr>
        <w:t>mire</w:t>
      </w:r>
      <w:r w:rsidR="006C680D" w:rsidRPr="00D337FA">
        <w:rPr>
          <w:i/>
          <w:szCs w:val="24"/>
          <w:lang w:val="en-US"/>
        </w:rPr>
        <w:t xml:space="preserve"> </w:t>
      </w:r>
      <w:r w:rsidR="00C3287E" w:rsidRPr="00D337FA">
        <w:rPr>
          <w:i/>
          <w:szCs w:val="24"/>
          <w:lang w:val="en-US"/>
        </w:rPr>
        <w:t>–</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world</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education</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education</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world.</w:t>
      </w:r>
      <w:r w:rsidR="006C680D" w:rsidRPr="00D337FA">
        <w:rPr>
          <w:i/>
          <w:szCs w:val="24"/>
          <w:lang w:val="en-US"/>
        </w:rPr>
        <w:t xml:space="preserve"> </w:t>
      </w:r>
      <w:r w:rsidRPr="00D337FA">
        <w:rPr>
          <w:i/>
          <w:szCs w:val="24"/>
          <w:lang w:val="en-US"/>
        </w:rPr>
        <w:t>2008.</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https://www.researchgate.net/publication/274390479_O_predmete_i_strukture_metodologii</w:t>
      </w:r>
    </w:p>
    <w:p w:rsidR="0002772A" w:rsidRPr="00D337FA" w:rsidRDefault="0002772A" w:rsidP="0002772A">
      <w:pPr>
        <w:ind w:firstLine="284"/>
        <w:rPr>
          <w:i/>
          <w:szCs w:val="24"/>
          <w:lang w:val="en-US"/>
        </w:rPr>
      </w:pPr>
      <w:r w:rsidRPr="00D337FA">
        <w:rPr>
          <w:i/>
          <w:szCs w:val="24"/>
          <w:lang w:val="en-US"/>
        </w:rPr>
        <w:t>17.</w:t>
      </w:r>
      <w:r w:rsidR="006C680D" w:rsidRPr="00D337FA">
        <w:rPr>
          <w:i/>
          <w:szCs w:val="24"/>
          <w:lang w:val="en-US"/>
        </w:rPr>
        <w:t xml:space="preserve"> </w:t>
      </w:r>
      <w:r w:rsidRPr="00D337FA">
        <w:rPr>
          <w:i/>
          <w:szCs w:val="24"/>
          <w:lang w:val="en-US"/>
        </w:rPr>
        <w:t>Novikov</w:t>
      </w:r>
      <w:r w:rsidR="006C680D" w:rsidRPr="00D337FA">
        <w:rPr>
          <w:i/>
          <w:szCs w:val="24"/>
          <w:lang w:val="en-US"/>
        </w:rPr>
        <w:t xml:space="preserve"> </w:t>
      </w:r>
      <w:r w:rsidRPr="00D337FA">
        <w:rPr>
          <w:i/>
          <w:szCs w:val="24"/>
          <w:lang w:val="en-US"/>
        </w:rPr>
        <w:t>D</w:t>
      </w:r>
      <w:r w:rsidR="00C3287E" w:rsidRPr="00D337FA">
        <w:rPr>
          <w:i/>
          <w:szCs w:val="24"/>
          <w:lang w:val="en-US"/>
        </w:rPr>
        <w:t>.</w:t>
      </w:r>
      <w:r w:rsidRPr="00D337FA">
        <w:rPr>
          <w:i/>
          <w:szCs w:val="24"/>
          <w:lang w:val="en-US"/>
        </w:rPr>
        <w:t>A</w:t>
      </w:r>
      <w:r w:rsidR="00C3287E" w:rsidRPr="00D337FA">
        <w:rPr>
          <w:i/>
          <w:szCs w:val="24"/>
          <w:lang w:val="en-US"/>
        </w:rPr>
        <w:t>.</w:t>
      </w:r>
      <w:r w:rsidR="006C680D" w:rsidRPr="00D337FA">
        <w:rPr>
          <w:i/>
          <w:szCs w:val="24"/>
          <w:lang w:val="en-US"/>
        </w:rPr>
        <w:t xml:space="preserve"> </w:t>
      </w:r>
      <w:r w:rsidR="00C3287E" w:rsidRPr="00D337FA">
        <w:rPr>
          <w:i/>
          <w:szCs w:val="24"/>
          <w:lang w:val="en-US"/>
        </w:rPr>
        <w:t>Metodologiya</w:t>
      </w:r>
      <w:r w:rsidR="006C680D" w:rsidRPr="00D337FA">
        <w:rPr>
          <w:i/>
          <w:szCs w:val="24"/>
          <w:lang w:val="en-US"/>
        </w:rPr>
        <w:t xml:space="preserve"> </w:t>
      </w:r>
      <w:r w:rsidR="00C3287E" w:rsidRPr="00D337FA">
        <w:rPr>
          <w:i/>
          <w:szCs w:val="24"/>
          <w:lang w:val="en-US"/>
        </w:rPr>
        <w:t>upravleniya</w:t>
      </w:r>
      <w:r w:rsidR="006C680D" w:rsidRPr="00D337FA">
        <w:rPr>
          <w:i/>
          <w:szCs w:val="24"/>
          <w:lang w:val="en-US"/>
        </w:rPr>
        <w:t xml:space="preserve"> </w:t>
      </w:r>
      <w:r w:rsidR="00C3287E" w:rsidRPr="00D337FA">
        <w:rPr>
          <w:i/>
          <w:szCs w:val="24"/>
          <w:lang w:val="en-US"/>
        </w:rPr>
        <w:t>[</w:t>
      </w:r>
      <w:r w:rsidRPr="00D337FA">
        <w:rPr>
          <w:i/>
          <w:szCs w:val="24"/>
          <w:lang w:val="en-US"/>
        </w:rPr>
        <w:t>Management</w:t>
      </w:r>
      <w:r w:rsidR="006C680D" w:rsidRPr="00D337FA">
        <w:rPr>
          <w:i/>
          <w:szCs w:val="24"/>
          <w:lang w:val="en-US"/>
        </w:rPr>
        <w:t xml:space="preserve"> </w:t>
      </w:r>
      <w:r w:rsidRPr="00D337FA">
        <w:rPr>
          <w:i/>
          <w:szCs w:val="24"/>
          <w:lang w:val="en-US"/>
        </w:rPr>
        <w:t>Methodology</w:t>
      </w:r>
      <w:r w:rsidR="00C3287E" w:rsidRPr="00D337FA">
        <w:rPr>
          <w:i/>
          <w:szCs w:val="24"/>
          <w:lang w:val="en-US"/>
        </w:rPr>
        <w:t>]</w:t>
      </w:r>
      <w:r w:rsidRPr="00D337FA">
        <w:rPr>
          <w:i/>
          <w:szCs w:val="24"/>
          <w:lang w:val="en-US"/>
        </w:rPr>
        <w:t>.</w:t>
      </w:r>
      <w:r w:rsidR="006C680D" w:rsidRPr="00D337FA">
        <w:rPr>
          <w:i/>
          <w:szCs w:val="24"/>
          <w:lang w:val="en-US"/>
        </w:rPr>
        <w:t xml:space="preserve"> </w:t>
      </w:r>
      <w:r w:rsidR="00C3287E" w:rsidRPr="00D337FA">
        <w:rPr>
          <w:i/>
          <w:szCs w:val="24"/>
          <w:lang w:val="en-US"/>
        </w:rPr>
        <w:t>–</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Librokom,</w:t>
      </w:r>
      <w:r w:rsidR="006C680D" w:rsidRPr="00D337FA">
        <w:rPr>
          <w:i/>
          <w:szCs w:val="24"/>
          <w:lang w:val="en-US"/>
        </w:rPr>
        <w:t xml:space="preserve"> </w:t>
      </w:r>
      <w:r w:rsidRPr="00D337FA">
        <w:rPr>
          <w:i/>
          <w:szCs w:val="24"/>
          <w:lang w:val="en-US"/>
        </w:rPr>
        <w:t>2011.</w:t>
      </w:r>
      <w:r w:rsidR="006C680D" w:rsidRPr="00D337FA">
        <w:rPr>
          <w:i/>
          <w:szCs w:val="24"/>
          <w:lang w:val="en-US"/>
        </w:rPr>
        <w:t xml:space="preserve"> </w:t>
      </w:r>
      <w:r w:rsidRPr="00D337FA">
        <w:rPr>
          <w:i/>
          <w:szCs w:val="24"/>
          <w:lang w:val="en-US"/>
        </w:rPr>
        <w:t>128</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(Series</w:t>
      </w:r>
      <w:r w:rsidR="006C680D" w:rsidRPr="00D337FA">
        <w:rPr>
          <w:i/>
          <w:szCs w:val="24"/>
          <w:lang w:val="en-US"/>
        </w:rPr>
        <w:t xml:space="preserve"> </w:t>
      </w:r>
      <w:r w:rsidRPr="00D337FA">
        <w:rPr>
          <w:i/>
          <w:szCs w:val="24"/>
          <w:lang w:val="en-US"/>
        </w:rPr>
        <w:t>"Smart</w:t>
      </w:r>
      <w:r w:rsidR="006C680D" w:rsidRPr="00D337FA">
        <w:rPr>
          <w:i/>
          <w:szCs w:val="24"/>
          <w:lang w:val="en-US"/>
        </w:rPr>
        <w:t xml:space="preserve"> </w:t>
      </w:r>
      <w:r w:rsidRPr="00D337FA">
        <w:rPr>
          <w:i/>
          <w:szCs w:val="24"/>
          <w:lang w:val="en-US"/>
        </w:rPr>
        <w:t>Management")</w:t>
      </w:r>
    </w:p>
    <w:p w:rsidR="0002772A" w:rsidRPr="00D337FA" w:rsidRDefault="0002772A" w:rsidP="0002772A">
      <w:pPr>
        <w:ind w:firstLine="284"/>
        <w:rPr>
          <w:i/>
          <w:szCs w:val="24"/>
          <w:lang w:val="en-US"/>
        </w:rPr>
      </w:pPr>
      <w:r w:rsidRPr="00D337FA">
        <w:rPr>
          <w:i/>
          <w:szCs w:val="24"/>
          <w:lang w:val="en-US"/>
        </w:rPr>
        <w:lastRenderedPageBreak/>
        <w:t>18.</w:t>
      </w:r>
      <w:r w:rsidR="006C680D" w:rsidRPr="00D337FA">
        <w:rPr>
          <w:i/>
          <w:szCs w:val="24"/>
          <w:lang w:val="en-US"/>
        </w:rPr>
        <w:t xml:space="preserve"> </w:t>
      </w:r>
      <w:r w:rsidRPr="00D337FA">
        <w:rPr>
          <w:i/>
          <w:szCs w:val="24"/>
          <w:lang w:val="en-US"/>
        </w:rPr>
        <w:t>Orlov</w:t>
      </w:r>
      <w:r w:rsidR="006C680D" w:rsidRPr="00D337FA">
        <w:rPr>
          <w:i/>
          <w:szCs w:val="24"/>
          <w:lang w:val="en-US"/>
        </w:rPr>
        <w:t xml:space="preserve"> </w:t>
      </w:r>
      <w:r w:rsidRPr="00D337FA">
        <w:rPr>
          <w:i/>
          <w:szCs w:val="24"/>
          <w:lang w:val="en-US"/>
        </w:rPr>
        <w:t>A</w:t>
      </w:r>
      <w:r w:rsidR="00C00849" w:rsidRPr="00D337FA">
        <w:rPr>
          <w:i/>
          <w:szCs w:val="24"/>
          <w:lang w:val="en-US"/>
        </w:rPr>
        <w:t>.</w:t>
      </w:r>
      <w:r w:rsidRPr="00D337FA">
        <w:rPr>
          <w:i/>
          <w:szCs w:val="24"/>
          <w:lang w:val="en-US"/>
        </w:rPr>
        <w:t>I</w:t>
      </w:r>
      <w:r w:rsidR="00C3287E" w:rsidRPr="00D337FA">
        <w:rPr>
          <w:i/>
          <w:szCs w:val="24"/>
          <w:lang w:val="en-US"/>
        </w:rPr>
        <w:t>.</w:t>
      </w:r>
      <w:r w:rsidR="006C680D" w:rsidRPr="00D337FA">
        <w:rPr>
          <w:i/>
          <w:szCs w:val="24"/>
          <w:lang w:val="en-US"/>
        </w:rPr>
        <w:t xml:space="preserve"> </w:t>
      </w:r>
      <w:r w:rsidR="00C3287E" w:rsidRPr="00D337FA">
        <w:rPr>
          <w:i/>
          <w:szCs w:val="24"/>
          <w:lang w:val="en-US"/>
        </w:rPr>
        <w:t>O</w:t>
      </w:r>
      <w:r w:rsidR="006C680D" w:rsidRPr="00D337FA">
        <w:rPr>
          <w:i/>
          <w:szCs w:val="24"/>
          <w:lang w:val="en-US"/>
        </w:rPr>
        <w:t xml:space="preserve"> </w:t>
      </w:r>
      <w:r w:rsidR="00C3287E" w:rsidRPr="00D337FA">
        <w:rPr>
          <w:i/>
          <w:szCs w:val="24"/>
          <w:lang w:val="en-US"/>
        </w:rPr>
        <w:t>vliyanii</w:t>
      </w:r>
      <w:r w:rsidR="006C680D" w:rsidRPr="00D337FA">
        <w:rPr>
          <w:i/>
          <w:szCs w:val="24"/>
          <w:lang w:val="en-US"/>
        </w:rPr>
        <w:t xml:space="preserve"> </w:t>
      </w:r>
      <w:r w:rsidR="00C3287E" w:rsidRPr="00D337FA">
        <w:rPr>
          <w:i/>
          <w:szCs w:val="24"/>
          <w:lang w:val="en-US"/>
        </w:rPr>
        <w:t>metodologii</w:t>
      </w:r>
      <w:r w:rsidR="006C680D" w:rsidRPr="00D337FA">
        <w:rPr>
          <w:i/>
          <w:szCs w:val="24"/>
          <w:lang w:val="en-US"/>
        </w:rPr>
        <w:t xml:space="preserve"> </w:t>
      </w:r>
      <w:r w:rsidR="00C3287E" w:rsidRPr="00D337FA">
        <w:rPr>
          <w:i/>
          <w:szCs w:val="24"/>
          <w:lang w:val="en-US"/>
        </w:rPr>
        <w:t>na</w:t>
      </w:r>
      <w:r w:rsidR="006C680D" w:rsidRPr="00D337FA">
        <w:rPr>
          <w:i/>
          <w:szCs w:val="24"/>
          <w:lang w:val="en-US"/>
        </w:rPr>
        <w:t xml:space="preserve"> </w:t>
      </w:r>
      <w:r w:rsidR="00C3287E" w:rsidRPr="00D337FA">
        <w:rPr>
          <w:i/>
          <w:szCs w:val="24"/>
          <w:lang w:val="en-US"/>
        </w:rPr>
        <w:t>posledstviya</w:t>
      </w:r>
      <w:r w:rsidR="006C680D" w:rsidRPr="00D337FA">
        <w:rPr>
          <w:i/>
          <w:szCs w:val="24"/>
          <w:lang w:val="en-US"/>
        </w:rPr>
        <w:t xml:space="preserve"> </w:t>
      </w:r>
      <w:r w:rsidR="00C3287E" w:rsidRPr="00D337FA">
        <w:rPr>
          <w:i/>
          <w:szCs w:val="24"/>
          <w:lang w:val="en-US"/>
        </w:rPr>
        <w:t>prinyatiya</w:t>
      </w:r>
      <w:r w:rsidR="006C680D" w:rsidRPr="00D337FA">
        <w:rPr>
          <w:i/>
          <w:szCs w:val="24"/>
          <w:lang w:val="en-US"/>
        </w:rPr>
        <w:t xml:space="preserve"> </w:t>
      </w:r>
      <w:r w:rsidR="00C3287E" w:rsidRPr="00D337FA">
        <w:rPr>
          <w:i/>
          <w:szCs w:val="24"/>
          <w:lang w:val="en-US"/>
        </w:rPr>
        <w:t>reshenij</w:t>
      </w:r>
      <w:r w:rsidR="006C680D" w:rsidRPr="00D337FA">
        <w:rPr>
          <w:i/>
          <w:szCs w:val="24"/>
          <w:lang w:val="en-US"/>
        </w:rPr>
        <w:t xml:space="preserve"> </w:t>
      </w:r>
      <w:r w:rsidR="00C3287E" w:rsidRPr="00D337FA">
        <w:rPr>
          <w:i/>
          <w:szCs w:val="24"/>
          <w:lang w:val="en-US"/>
        </w:rPr>
        <w:t>[</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influence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methodology</w:t>
      </w:r>
      <w:r w:rsidR="006C680D" w:rsidRPr="00D337FA">
        <w:rPr>
          <w:i/>
          <w:szCs w:val="24"/>
          <w:lang w:val="en-US"/>
        </w:rPr>
        <w:t xml:space="preserve"> </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consequences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decision-making</w:t>
      </w:r>
      <w:r w:rsidR="00C3287E"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3287E" w:rsidRPr="00D337FA">
        <w:rPr>
          <w:i/>
          <w:szCs w:val="24"/>
          <w:lang w:val="en-US"/>
        </w:rPr>
        <w:t>Nauchnyj</w:t>
      </w:r>
      <w:r w:rsidR="006C680D" w:rsidRPr="00D337FA">
        <w:rPr>
          <w:i/>
          <w:szCs w:val="24"/>
          <w:lang w:val="en-US"/>
        </w:rPr>
        <w:t xml:space="preserve"> </w:t>
      </w:r>
      <w:r w:rsidR="00C3287E" w:rsidRPr="00D337FA">
        <w:rPr>
          <w:i/>
          <w:szCs w:val="24"/>
          <w:lang w:val="en-US"/>
        </w:rPr>
        <w:t>zhurnal</w:t>
      </w:r>
      <w:r w:rsidR="006C680D" w:rsidRPr="00D337FA">
        <w:rPr>
          <w:i/>
          <w:szCs w:val="24"/>
          <w:lang w:val="en-US"/>
        </w:rPr>
        <w:t xml:space="preserve"> </w:t>
      </w:r>
      <w:r w:rsidR="00C3287E" w:rsidRPr="00D337FA">
        <w:rPr>
          <w:i/>
          <w:szCs w:val="24"/>
          <w:lang w:val="en-US"/>
        </w:rPr>
        <w:t>KubGAU</w:t>
      </w:r>
      <w:r w:rsidR="006C680D" w:rsidRPr="00D337FA">
        <w:rPr>
          <w:i/>
          <w:szCs w:val="24"/>
          <w:lang w:val="en-US"/>
        </w:rPr>
        <w:t xml:space="preserve"> </w:t>
      </w:r>
      <w:r w:rsidR="00C3287E" w:rsidRPr="00D337FA">
        <w:rPr>
          <w:i/>
          <w:szCs w:val="24"/>
          <w:lang w:val="en-US"/>
        </w:rPr>
        <w:t>–</w:t>
      </w:r>
      <w:r w:rsidR="006C680D" w:rsidRPr="00D337FA">
        <w:rPr>
          <w:i/>
          <w:szCs w:val="24"/>
          <w:lang w:val="en-US"/>
        </w:rPr>
        <w:t xml:space="preserve"> </w:t>
      </w:r>
      <w:r w:rsidRPr="00D337FA">
        <w:rPr>
          <w:i/>
          <w:szCs w:val="24"/>
          <w:lang w:val="en-US"/>
        </w:rPr>
        <w:t>Scientific</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KubSAU.</w:t>
      </w:r>
      <w:r w:rsidR="006C680D" w:rsidRPr="00D337FA">
        <w:rPr>
          <w:i/>
          <w:szCs w:val="24"/>
          <w:lang w:val="en-US"/>
        </w:rPr>
        <w:t xml:space="preserve"> </w:t>
      </w:r>
      <w:r w:rsidRPr="00D337FA">
        <w:rPr>
          <w:i/>
          <w:szCs w:val="24"/>
          <w:lang w:val="en-US"/>
        </w:rPr>
        <w:t>2017.</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125.</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https://cyberleninka.ru/article/n/o-vliyanii-metodologii-na-posledstviya-priniatiya-resheniy</w:t>
      </w:r>
    </w:p>
    <w:p w:rsidR="0002772A" w:rsidRPr="00D337FA" w:rsidRDefault="0002772A" w:rsidP="0002772A">
      <w:pPr>
        <w:ind w:firstLine="284"/>
        <w:rPr>
          <w:i/>
          <w:szCs w:val="24"/>
          <w:lang w:val="en-US"/>
        </w:rPr>
      </w:pPr>
      <w:r w:rsidRPr="00D337FA">
        <w:rPr>
          <w:i/>
          <w:szCs w:val="24"/>
          <w:lang w:val="en-US"/>
        </w:rPr>
        <w:t>19.</w:t>
      </w:r>
      <w:r w:rsidR="006C680D" w:rsidRPr="00D337FA">
        <w:rPr>
          <w:i/>
          <w:szCs w:val="24"/>
          <w:lang w:val="en-US"/>
        </w:rPr>
        <w:t xml:space="preserve"> </w:t>
      </w:r>
      <w:r w:rsidRPr="00D337FA">
        <w:rPr>
          <w:i/>
          <w:szCs w:val="24"/>
          <w:lang w:val="en-US"/>
        </w:rPr>
        <w:t>Palilov</w:t>
      </w:r>
      <w:r w:rsidR="006C680D" w:rsidRPr="00D337FA">
        <w:rPr>
          <w:i/>
          <w:szCs w:val="24"/>
          <w:lang w:val="en-US"/>
        </w:rPr>
        <w:t xml:space="preserve"> </w:t>
      </w:r>
      <w:r w:rsidRPr="00D337FA">
        <w:rPr>
          <w:i/>
          <w:szCs w:val="24"/>
          <w:lang w:val="en-US"/>
        </w:rPr>
        <w:t>F</w:t>
      </w:r>
      <w:r w:rsidR="00C3287E" w:rsidRPr="00D337FA">
        <w:rPr>
          <w:i/>
          <w:szCs w:val="24"/>
          <w:lang w:val="en-US"/>
        </w:rPr>
        <w:t>.</w:t>
      </w:r>
      <w:r w:rsidRPr="00D337FA">
        <w:rPr>
          <w:i/>
          <w:szCs w:val="24"/>
          <w:lang w:val="en-US"/>
        </w:rPr>
        <w:t>B</w:t>
      </w:r>
      <w:r w:rsidR="00C3287E"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Narnova</w:t>
      </w:r>
      <w:r w:rsidR="006C680D" w:rsidRPr="00D337FA">
        <w:rPr>
          <w:i/>
          <w:szCs w:val="24"/>
          <w:lang w:val="en-US"/>
        </w:rPr>
        <w:t xml:space="preserve"> </w:t>
      </w:r>
      <w:r w:rsidRPr="00D337FA">
        <w:rPr>
          <w:i/>
          <w:szCs w:val="24"/>
          <w:lang w:val="en-US"/>
        </w:rPr>
        <w:t>V</w:t>
      </w:r>
      <w:r w:rsidR="00C3287E" w:rsidRPr="00D337FA">
        <w:rPr>
          <w:i/>
          <w:szCs w:val="24"/>
          <w:lang w:val="en-US"/>
        </w:rPr>
        <w:t>.</w:t>
      </w:r>
      <w:r w:rsidRPr="00D337FA">
        <w:rPr>
          <w:i/>
          <w:szCs w:val="24"/>
          <w:lang w:val="en-US"/>
        </w:rPr>
        <w:t>Y</w:t>
      </w:r>
      <w:r w:rsidR="00C3287E" w:rsidRPr="00D337FA">
        <w:rPr>
          <w:i/>
          <w:szCs w:val="24"/>
          <w:lang w:val="en-US"/>
        </w:rPr>
        <w:t>u.</w:t>
      </w:r>
      <w:r w:rsidR="006C680D" w:rsidRPr="00D337FA">
        <w:rPr>
          <w:i/>
          <w:szCs w:val="24"/>
          <w:lang w:val="en-US"/>
        </w:rPr>
        <w:t xml:space="preserve"> </w:t>
      </w:r>
      <w:r w:rsidR="00C3287E" w:rsidRPr="00D337FA">
        <w:rPr>
          <w:i/>
          <w:szCs w:val="24"/>
          <w:lang w:val="en-US"/>
        </w:rPr>
        <w:t>Ot</w:t>
      </w:r>
      <w:r w:rsidR="006C680D" w:rsidRPr="00D337FA">
        <w:rPr>
          <w:i/>
          <w:szCs w:val="24"/>
          <w:lang w:val="en-US"/>
        </w:rPr>
        <w:t xml:space="preserve"> </w:t>
      </w:r>
      <w:r w:rsidR="00C3287E" w:rsidRPr="00D337FA">
        <w:rPr>
          <w:i/>
          <w:szCs w:val="24"/>
          <w:lang w:val="en-US"/>
        </w:rPr>
        <w:t>klassicheskoj</w:t>
      </w:r>
      <w:r w:rsidR="006C680D" w:rsidRPr="00D337FA">
        <w:rPr>
          <w:i/>
          <w:szCs w:val="24"/>
          <w:lang w:val="en-US"/>
        </w:rPr>
        <w:t xml:space="preserve"> </w:t>
      </w:r>
      <w:r w:rsidR="00C3287E" w:rsidRPr="00D337FA">
        <w:rPr>
          <w:i/>
          <w:szCs w:val="24"/>
          <w:lang w:val="en-US"/>
        </w:rPr>
        <w:t>shkoly</w:t>
      </w:r>
      <w:r w:rsidR="006C680D" w:rsidRPr="00D337FA">
        <w:rPr>
          <w:i/>
          <w:szCs w:val="24"/>
          <w:lang w:val="en-US"/>
        </w:rPr>
        <w:t xml:space="preserve"> </w:t>
      </w:r>
      <w:r w:rsidR="00C3287E" w:rsidRPr="00D337FA">
        <w:rPr>
          <w:i/>
          <w:szCs w:val="24"/>
          <w:lang w:val="en-US"/>
        </w:rPr>
        <w:t>k</w:t>
      </w:r>
      <w:r w:rsidR="006C680D" w:rsidRPr="00D337FA">
        <w:rPr>
          <w:i/>
          <w:szCs w:val="24"/>
          <w:lang w:val="en-US"/>
        </w:rPr>
        <w:t xml:space="preserve"> </w:t>
      </w:r>
      <w:r w:rsidR="00C3287E" w:rsidRPr="00D337FA">
        <w:rPr>
          <w:i/>
          <w:szCs w:val="24"/>
          <w:lang w:val="en-US"/>
        </w:rPr>
        <w:t>Menedzhmentu</w:t>
      </w:r>
      <w:r w:rsidR="006C680D" w:rsidRPr="00D337FA">
        <w:rPr>
          <w:i/>
          <w:szCs w:val="24"/>
          <w:lang w:val="en-US"/>
        </w:rPr>
        <w:t xml:space="preserve"> </w:t>
      </w:r>
      <w:r w:rsidR="00C3287E" w:rsidRPr="00D337FA">
        <w:rPr>
          <w:i/>
          <w:szCs w:val="24"/>
          <w:lang w:val="en-US"/>
        </w:rPr>
        <w:t>4.0:</w:t>
      </w:r>
      <w:r w:rsidR="006C680D" w:rsidRPr="00D337FA">
        <w:rPr>
          <w:i/>
          <w:szCs w:val="24"/>
          <w:lang w:val="en-US"/>
        </w:rPr>
        <w:t xml:space="preserve"> </w:t>
      </w:r>
      <w:r w:rsidR="00C3287E" w:rsidRPr="00D337FA">
        <w:rPr>
          <w:i/>
          <w:szCs w:val="24"/>
          <w:lang w:val="en-US"/>
        </w:rPr>
        <w:t>evolyuciya</w:t>
      </w:r>
      <w:r w:rsidR="006C680D" w:rsidRPr="00D337FA">
        <w:rPr>
          <w:i/>
          <w:szCs w:val="24"/>
          <w:lang w:val="en-US"/>
        </w:rPr>
        <w:t xml:space="preserve"> </w:t>
      </w:r>
      <w:r w:rsidR="00C3287E" w:rsidRPr="00D337FA">
        <w:rPr>
          <w:i/>
          <w:szCs w:val="24"/>
          <w:lang w:val="en-US"/>
        </w:rPr>
        <w:t>idej</w:t>
      </w:r>
      <w:r w:rsidR="006C680D" w:rsidRPr="00D337FA">
        <w:rPr>
          <w:i/>
          <w:szCs w:val="24"/>
          <w:lang w:val="en-US"/>
        </w:rPr>
        <w:t xml:space="preserve"> </w:t>
      </w:r>
      <w:r w:rsidR="00C3287E" w:rsidRPr="00D337FA">
        <w:rPr>
          <w:i/>
          <w:szCs w:val="24"/>
          <w:lang w:val="en-US"/>
        </w:rPr>
        <w:t>osnovnyh</w:t>
      </w:r>
      <w:r w:rsidR="006C680D" w:rsidRPr="00D337FA">
        <w:rPr>
          <w:i/>
          <w:szCs w:val="24"/>
          <w:lang w:val="en-US"/>
        </w:rPr>
        <w:t xml:space="preserve"> </w:t>
      </w:r>
      <w:r w:rsidR="00C3287E" w:rsidRPr="00D337FA">
        <w:rPr>
          <w:i/>
          <w:szCs w:val="24"/>
          <w:lang w:val="en-US"/>
        </w:rPr>
        <w:t>shkol</w:t>
      </w:r>
      <w:r w:rsidR="006C680D" w:rsidRPr="00D337FA">
        <w:rPr>
          <w:i/>
          <w:szCs w:val="24"/>
          <w:lang w:val="en-US"/>
        </w:rPr>
        <w:t xml:space="preserve"> </w:t>
      </w:r>
      <w:r w:rsidR="00C3287E" w:rsidRPr="00D337FA">
        <w:rPr>
          <w:i/>
          <w:szCs w:val="24"/>
          <w:lang w:val="en-US"/>
        </w:rPr>
        <w:t>upravlencheskoj</w:t>
      </w:r>
      <w:r w:rsidR="006C680D" w:rsidRPr="00D337FA">
        <w:rPr>
          <w:i/>
          <w:szCs w:val="24"/>
          <w:lang w:val="en-US"/>
        </w:rPr>
        <w:t xml:space="preserve"> </w:t>
      </w:r>
      <w:r w:rsidR="00C3287E" w:rsidRPr="00D337FA">
        <w:rPr>
          <w:i/>
          <w:szCs w:val="24"/>
          <w:lang w:val="en-US"/>
        </w:rPr>
        <w:t>mysli</w:t>
      </w:r>
      <w:r w:rsidR="006C680D" w:rsidRPr="00D337FA">
        <w:rPr>
          <w:i/>
          <w:szCs w:val="24"/>
          <w:lang w:val="en-US"/>
        </w:rPr>
        <w:t xml:space="preserve"> </w:t>
      </w:r>
      <w:r w:rsidR="00C3287E" w:rsidRPr="00D337FA">
        <w:rPr>
          <w:i/>
          <w:szCs w:val="24"/>
          <w:lang w:val="en-US"/>
        </w:rPr>
        <w:t>na</w:t>
      </w:r>
      <w:r w:rsidR="006C680D" w:rsidRPr="00D337FA">
        <w:rPr>
          <w:i/>
          <w:szCs w:val="24"/>
          <w:lang w:val="en-US"/>
        </w:rPr>
        <w:t xml:space="preserve"> </w:t>
      </w:r>
      <w:r w:rsidR="00C3287E" w:rsidRPr="00D337FA">
        <w:rPr>
          <w:i/>
          <w:szCs w:val="24"/>
          <w:lang w:val="en-US"/>
        </w:rPr>
        <w:t>puti</w:t>
      </w:r>
      <w:r w:rsidR="006C680D" w:rsidRPr="00D337FA">
        <w:rPr>
          <w:i/>
          <w:szCs w:val="24"/>
          <w:lang w:val="en-US"/>
        </w:rPr>
        <w:t xml:space="preserve"> </w:t>
      </w:r>
      <w:r w:rsidR="00C3287E" w:rsidRPr="00D337FA">
        <w:rPr>
          <w:i/>
          <w:szCs w:val="24"/>
          <w:lang w:val="en-US"/>
        </w:rPr>
        <w:t>k</w:t>
      </w:r>
      <w:r w:rsidR="006C680D" w:rsidRPr="00D337FA">
        <w:rPr>
          <w:i/>
          <w:szCs w:val="24"/>
          <w:lang w:val="en-US"/>
        </w:rPr>
        <w:t xml:space="preserve"> </w:t>
      </w:r>
      <w:r w:rsidR="00C3287E" w:rsidRPr="00D337FA">
        <w:rPr>
          <w:i/>
          <w:szCs w:val="24"/>
          <w:lang w:val="en-US"/>
        </w:rPr>
        <w:t>chetvertoj</w:t>
      </w:r>
      <w:r w:rsidR="006C680D" w:rsidRPr="00D337FA">
        <w:rPr>
          <w:i/>
          <w:szCs w:val="24"/>
          <w:lang w:val="en-US"/>
        </w:rPr>
        <w:t xml:space="preserve"> </w:t>
      </w:r>
      <w:r w:rsidR="00C3287E" w:rsidRPr="00D337FA">
        <w:rPr>
          <w:i/>
          <w:szCs w:val="24"/>
          <w:lang w:val="en-US"/>
        </w:rPr>
        <w:t>promyshlennoj</w:t>
      </w:r>
      <w:r w:rsidR="006C680D" w:rsidRPr="00D337FA">
        <w:rPr>
          <w:i/>
          <w:szCs w:val="24"/>
          <w:lang w:val="en-US"/>
        </w:rPr>
        <w:t xml:space="preserve"> </w:t>
      </w:r>
      <w:r w:rsidR="00C3287E" w:rsidRPr="00D337FA">
        <w:rPr>
          <w:i/>
          <w:szCs w:val="24"/>
          <w:lang w:val="en-US"/>
        </w:rPr>
        <w:t>revolyucii</w:t>
      </w:r>
      <w:r w:rsidR="006C680D" w:rsidRPr="00D337FA">
        <w:rPr>
          <w:i/>
          <w:szCs w:val="24"/>
          <w:lang w:val="en-US"/>
        </w:rPr>
        <w:t xml:space="preserve"> </w:t>
      </w:r>
      <w:r w:rsidR="00C3287E" w:rsidRPr="00D337FA">
        <w:rPr>
          <w:i/>
          <w:szCs w:val="24"/>
          <w:lang w:val="en-US"/>
        </w:rPr>
        <w:t>[</w:t>
      </w:r>
      <w:r w:rsidRPr="00D337FA">
        <w:rPr>
          <w:i/>
          <w:szCs w:val="24"/>
          <w:lang w:val="en-US"/>
        </w:rPr>
        <w:t>From</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classical</w:t>
      </w:r>
      <w:r w:rsidR="006C680D" w:rsidRPr="00D337FA">
        <w:rPr>
          <w:i/>
          <w:szCs w:val="24"/>
          <w:lang w:val="en-US"/>
        </w:rPr>
        <w:t xml:space="preserve"> </w:t>
      </w:r>
      <w:r w:rsidRPr="00D337FA">
        <w:rPr>
          <w:i/>
          <w:szCs w:val="24"/>
          <w:lang w:val="en-US"/>
        </w:rPr>
        <w:t>school</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4.0:</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evolution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ideas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main</w:t>
      </w:r>
      <w:r w:rsidR="006C680D" w:rsidRPr="00D337FA">
        <w:rPr>
          <w:i/>
          <w:szCs w:val="24"/>
          <w:lang w:val="en-US"/>
        </w:rPr>
        <w:t xml:space="preserve"> </w:t>
      </w:r>
      <w:r w:rsidRPr="00D337FA">
        <w:rPr>
          <w:i/>
          <w:szCs w:val="24"/>
          <w:lang w:val="en-US"/>
        </w:rPr>
        <w:t>schools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thought</w:t>
      </w:r>
      <w:r w:rsidR="006C680D" w:rsidRPr="00D337FA">
        <w:rPr>
          <w:i/>
          <w:szCs w:val="24"/>
          <w:lang w:val="en-US"/>
        </w:rPr>
        <w:t xml:space="preserve"> </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way</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fourth</w:t>
      </w:r>
      <w:r w:rsidR="006C680D" w:rsidRPr="00D337FA">
        <w:rPr>
          <w:i/>
          <w:szCs w:val="24"/>
          <w:lang w:val="en-US"/>
        </w:rPr>
        <w:t xml:space="preserve"> </w:t>
      </w:r>
      <w:r w:rsidRPr="00D337FA">
        <w:rPr>
          <w:i/>
          <w:szCs w:val="24"/>
          <w:lang w:val="en-US"/>
        </w:rPr>
        <w:t>industrial</w:t>
      </w:r>
      <w:r w:rsidR="006C680D" w:rsidRPr="00D337FA">
        <w:rPr>
          <w:i/>
          <w:szCs w:val="24"/>
          <w:lang w:val="en-US"/>
        </w:rPr>
        <w:t xml:space="preserve"> </w:t>
      </w:r>
      <w:r w:rsidRPr="00D337FA">
        <w:rPr>
          <w:i/>
          <w:szCs w:val="24"/>
          <w:lang w:val="en-US"/>
        </w:rPr>
        <w:t>revolution</w:t>
      </w:r>
      <w:r w:rsidR="00C3287E"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3287E" w:rsidRPr="00D337FA">
        <w:rPr>
          <w:i/>
          <w:szCs w:val="24"/>
          <w:lang w:val="en-US"/>
        </w:rPr>
        <w:t>Liderstvo</w:t>
      </w:r>
      <w:r w:rsidR="006C680D" w:rsidRPr="00D337FA">
        <w:rPr>
          <w:i/>
          <w:szCs w:val="24"/>
          <w:lang w:val="en-US"/>
        </w:rPr>
        <w:t xml:space="preserve"> </w:t>
      </w:r>
      <w:r w:rsidR="00C3287E" w:rsidRPr="00D337FA">
        <w:rPr>
          <w:i/>
          <w:szCs w:val="24"/>
          <w:lang w:val="en-US"/>
        </w:rPr>
        <w:t>i</w:t>
      </w:r>
      <w:r w:rsidR="006C680D" w:rsidRPr="00D337FA">
        <w:rPr>
          <w:i/>
          <w:szCs w:val="24"/>
          <w:lang w:val="en-US"/>
        </w:rPr>
        <w:t xml:space="preserve"> </w:t>
      </w:r>
      <w:r w:rsidR="00C3287E" w:rsidRPr="00D337FA">
        <w:rPr>
          <w:i/>
          <w:szCs w:val="24"/>
          <w:lang w:val="en-US"/>
        </w:rPr>
        <w:t>menedzhment</w:t>
      </w:r>
      <w:r w:rsidR="006C680D" w:rsidRPr="00D337FA">
        <w:rPr>
          <w:i/>
          <w:szCs w:val="24"/>
          <w:lang w:val="en-US"/>
        </w:rPr>
        <w:t xml:space="preserve"> </w:t>
      </w:r>
      <w:r w:rsidR="00C3287E" w:rsidRPr="00D337FA">
        <w:rPr>
          <w:i/>
          <w:szCs w:val="24"/>
          <w:lang w:val="en-US"/>
        </w:rPr>
        <w:t>–</w:t>
      </w:r>
      <w:r w:rsidR="006C680D" w:rsidRPr="00D337FA">
        <w:rPr>
          <w:i/>
          <w:szCs w:val="24"/>
          <w:lang w:val="en-US"/>
        </w:rPr>
        <w:t xml:space="preserve"> </w:t>
      </w:r>
      <w:r w:rsidRPr="00D337FA">
        <w:rPr>
          <w:i/>
          <w:szCs w:val="24"/>
          <w:lang w:val="en-US"/>
        </w:rPr>
        <w:t>Leadership</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10.</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4.</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1109-1124.</w:t>
      </w:r>
      <w:r w:rsidR="006C680D" w:rsidRPr="00D337FA">
        <w:rPr>
          <w:i/>
          <w:szCs w:val="24"/>
          <w:lang w:val="en-US"/>
        </w:rPr>
        <w:t xml:space="preserve"> </w:t>
      </w:r>
      <w:r w:rsidRPr="00D337FA">
        <w:rPr>
          <w:i/>
          <w:szCs w:val="24"/>
          <w:lang w:val="en-US"/>
        </w:rPr>
        <w:t>DOI</w:t>
      </w:r>
      <w:r w:rsidR="006C680D" w:rsidRPr="00D337FA">
        <w:rPr>
          <w:i/>
          <w:szCs w:val="24"/>
          <w:lang w:val="en-US"/>
        </w:rPr>
        <w:t xml:space="preserve"> </w:t>
      </w:r>
      <w:r w:rsidRPr="00D337FA">
        <w:rPr>
          <w:i/>
          <w:szCs w:val="24"/>
          <w:lang w:val="en-US"/>
        </w:rPr>
        <w:t>10.18334/lim.10.4.119412</w:t>
      </w:r>
    </w:p>
    <w:p w:rsidR="0002772A" w:rsidRPr="00D337FA" w:rsidRDefault="0002772A" w:rsidP="0002772A">
      <w:pPr>
        <w:ind w:firstLine="284"/>
        <w:rPr>
          <w:i/>
          <w:szCs w:val="24"/>
          <w:lang w:val="en-US"/>
        </w:rPr>
      </w:pPr>
      <w:r w:rsidRPr="00D337FA">
        <w:rPr>
          <w:i/>
          <w:szCs w:val="24"/>
          <w:lang w:val="en-US"/>
        </w:rPr>
        <w:t>20.</w:t>
      </w:r>
      <w:r w:rsidR="006C680D" w:rsidRPr="00D337FA">
        <w:rPr>
          <w:i/>
          <w:szCs w:val="24"/>
          <w:lang w:val="en-US"/>
        </w:rPr>
        <w:t xml:space="preserve"> </w:t>
      </w:r>
      <w:r w:rsidRPr="00D337FA">
        <w:rPr>
          <w:i/>
          <w:szCs w:val="24"/>
          <w:lang w:val="en-US"/>
        </w:rPr>
        <w:t>Raichenko</w:t>
      </w:r>
      <w:r w:rsidR="006C680D" w:rsidRPr="00D337FA">
        <w:rPr>
          <w:i/>
          <w:szCs w:val="24"/>
          <w:lang w:val="en-US"/>
        </w:rPr>
        <w:t xml:space="preserve"> </w:t>
      </w:r>
      <w:r w:rsidRPr="00D337FA">
        <w:rPr>
          <w:i/>
          <w:szCs w:val="24"/>
          <w:lang w:val="en-US"/>
        </w:rPr>
        <w:t>A</w:t>
      </w:r>
      <w:r w:rsidR="00C3287E" w:rsidRPr="00D337FA">
        <w:rPr>
          <w:i/>
          <w:szCs w:val="24"/>
          <w:lang w:val="en-US"/>
        </w:rPr>
        <w:t>.</w:t>
      </w:r>
      <w:r w:rsidRPr="00D337FA">
        <w:rPr>
          <w:i/>
          <w:szCs w:val="24"/>
          <w:lang w:val="en-US"/>
        </w:rPr>
        <w:t>V</w:t>
      </w:r>
      <w:r w:rsidR="00C3287E" w:rsidRPr="00D337FA">
        <w:rPr>
          <w:i/>
          <w:szCs w:val="24"/>
          <w:lang w:val="en-US"/>
        </w:rPr>
        <w:t>.</w:t>
      </w:r>
      <w:r w:rsidR="006C680D" w:rsidRPr="00D337FA">
        <w:rPr>
          <w:i/>
          <w:szCs w:val="24"/>
          <w:lang w:val="en-US"/>
        </w:rPr>
        <w:t xml:space="preserve"> </w:t>
      </w:r>
      <w:r w:rsidR="00C3287E" w:rsidRPr="00D337FA">
        <w:rPr>
          <w:i/>
          <w:szCs w:val="24"/>
          <w:lang w:val="en-US"/>
        </w:rPr>
        <w:t>O</w:t>
      </w:r>
      <w:r w:rsidR="006C680D" w:rsidRPr="00D337FA">
        <w:rPr>
          <w:i/>
          <w:szCs w:val="24"/>
          <w:lang w:val="en-US"/>
        </w:rPr>
        <w:t xml:space="preserve"> </w:t>
      </w:r>
      <w:r w:rsidR="00C3287E" w:rsidRPr="00D337FA">
        <w:rPr>
          <w:i/>
          <w:szCs w:val="24"/>
          <w:lang w:val="en-US"/>
        </w:rPr>
        <w:t>sootnoshenii</w:t>
      </w:r>
      <w:r w:rsidR="006C680D" w:rsidRPr="00D337FA">
        <w:rPr>
          <w:i/>
          <w:szCs w:val="24"/>
          <w:lang w:val="en-US"/>
        </w:rPr>
        <w:t xml:space="preserve"> </w:t>
      </w:r>
      <w:r w:rsidR="00C3287E" w:rsidRPr="00D337FA">
        <w:rPr>
          <w:i/>
          <w:szCs w:val="24"/>
          <w:lang w:val="en-US"/>
        </w:rPr>
        <w:t>teorii</w:t>
      </w:r>
      <w:r w:rsidR="006C680D" w:rsidRPr="00D337FA">
        <w:rPr>
          <w:i/>
          <w:szCs w:val="24"/>
          <w:lang w:val="en-US"/>
        </w:rPr>
        <w:t xml:space="preserve"> </w:t>
      </w:r>
      <w:r w:rsidR="00C3287E" w:rsidRPr="00D337FA">
        <w:rPr>
          <w:i/>
          <w:szCs w:val="24"/>
          <w:lang w:val="en-US"/>
        </w:rPr>
        <w:t>i</w:t>
      </w:r>
      <w:r w:rsidR="006C680D" w:rsidRPr="00D337FA">
        <w:rPr>
          <w:i/>
          <w:szCs w:val="24"/>
          <w:lang w:val="en-US"/>
        </w:rPr>
        <w:t xml:space="preserve"> </w:t>
      </w:r>
      <w:r w:rsidR="00C3287E" w:rsidRPr="00D337FA">
        <w:rPr>
          <w:i/>
          <w:szCs w:val="24"/>
          <w:lang w:val="en-US"/>
        </w:rPr>
        <w:t>metodologii</w:t>
      </w:r>
      <w:r w:rsidR="006C680D" w:rsidRPr="00D337FA">
        <w:rPr>
          <w:i/>
          <w:szCs w:val="24"/>
          <w:lang w:val="en-US"/>
        </w:rPr>
        <w:t xml:space="preserve"> </w:t>
      </w:r>
      <w:r w:rsidR="00C3287E" w:rsidRPr="00D337FA">
        <w:rPr>
          <w:i/>
          <w:szCs w:val="24"/>
          <w:lang w:val="en-US"/>
        </w:rPr>
        <w:t>upravleniya</w:t>
      </w:r>
      <w:r w:rsidR="006C680D" w:rsidRPr="00D337FA">
        <w:rPr>
          <w:i/>
          <w:szCs w:val="24"/>
          <w:lang w:val="en-US"/>
        </w:rPr>
        <w:t xml:space="preserve"> </w:t>
      </w:r>
      <w:r w:rsidR="00C3287E" w:rsidRPr="00D337FA">
        <w:rPr>
          <w:i/>
          <w:szCs w:val="24"/>
          <w:lang w:val="en-US"/>
        </w:rPr>
        <w:t>[</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relationship</w:t>
      </w:r>
      <w:r w:rsidR="006C680D" w:rsidRPr="00D337FA">
        <w:rPr>
          <w:i/>
          <w:szCs w:val="24"/>
          <w:lang w:val="en-US"/>
        </w:rPr>
        <w:t xml:space="preserve"> </w:t>
      </w:r>
      <w:r w:rsidRPr="00D337FA">
        <w:rPr>
          <w:i/>
          <w:szCs w:val="24"/>
          <w:lang w:val="en-US"/>
        </w:rPr>
        <w:t>between</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theory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methodology</w:t>
      </w:r>
      <w:r w:rsidR="00C3287E"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C3287E" w:rsidRPr="00D337FA">
        <w:rPr>
          <w:i/>
          <w:szCs w:val="24"/>
          <w:lang w:val="en-US"/>
        </w:rPr>
        <w:t>Vestnik</w:t>
      </w:r>
      <w:r w:rsidR="006C680D" w:rsidRPr="00D337FA">
        <w:rPr>
          <w:i/>
          <w:szCs w:val="24"/>
          <w:lang w:val="en-US"/>
        </w:rPr>
        <w:t xml:space="preserve"> </w:t>
      </w:r>
      <w:r w:rsidR="00C3287E" w:rsidRPr="00D337FA">
        <w:rPr>
          <w:i/>
          <w:szCs w:val="24"/>
          <w:lang w:val="en-US"/>
        </w:rPr>
        <w:t>GUU</w:t>
      </w:r>
      <w:r w:rsidR="006C680D" w:rsidRPr="00D337FA">
        <w:rPr>
          <w:i/>
          <w:szCs w:val="24"/>
          <w:lang w:val="en-US"/>
        </w:rPr>
        <w:t xml:space="preserve"> </w:t>
      </w:r>
      <w:r w:rsidR="00C3287E" w:rsidRPr="00D337FA">
        <w:rPr>
          <w:i/>
          <w:szCs w:val="24"/>
          <w:lang w:val="en-US"/>
        </w:rPr>
        <w:t>–</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State</w:t>
      </w:r>
      <w:r w:rsidR="006C680D" w:rsidRPr="00D337FA">
        <w:rPr>
          <w:i/>
          <w:szCs w:val="24"/>
          <w:lang w:val="en-US"/>
        </w:rPr>
        <w:t xml:space="preserve"> </w:t>
      </w:r>
      <w:r w:rsidRPr="00D337FA">
        <w:rPr>
          <w:i/>
          <w:szCs w:val="24"/>
          <w:lang w:val="en-US"/>
        </w:rPr>
        <w:t>University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2020.</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https://cyberleninka.ru/article/n/o-sootnoshenii-teorii-i-metodologii-upravleniya.</w:t>
      </w:r>
    </w:p>
    <w:p w:rsidR="00230516" w:rsidRPr="00D337FA" w:rsidRDefault="0002772A" w:rsidP="0002772A">
      <w:pPr>
        <w:ind w:firstLine="284"/>
        <w:rPr>
          <w:i/>
          <w:szCs w:val="24"/>
        </w:rPr>
      </w:pPr>
      <w:r w:rsidRPr="00D337FA">
        <w:rPr>
          <w:i/>
          <w:szCs w:val="24"/>
          <w:lang w:val="en-US"/>
        </w:rPr>
        <w:t>21.</w:t>
      </w:r>
      <w:r w:rsidR="006C680D" w:rsidRPr="00D337FA">
        <w:rPr>
          <w:i/>
          <w:szCs w:val="24"/>
          <w:lang w:val="en-US"/>
        </w:rPr>
        <w:t xml:space="preserve"> </w:t>
      </w:r>
      <w:r w:rsidR="00C3287E" w:rsidRPr="00D337FA">
        <w:rPr>
          <w:i/>
          <w:szCs w:val="24"/>
          <w:lang w:val="en-US"/>
        </w:rPr>
        <w:t>Filosofskij</w:t>
      </w:r>
      <w:r w:rsidR="006C680D" w:rsidRPr="00D337FA">
        <w:rPr>
          <w:i/>
          <w:szCs w:val="24"/>
          <w:lang w:val="en-US"/>
        </w:rPr>
        <w:t xml:space="preserve"> </w:t>
      </w:r>
      <w:r w:rsidR="00C3287E" w:rsidRPr="00D337FA">
        <w:rPr>
          <w:i/>
          <w:szCs w:val="24"/>
          <w:lang w:val="en-US"/>
        </w:rPr>
        <w:t>slovar'</w:t>
      </w:r>
      <w:r w:rsidR="006C680D" w:rsidRPr="00D337FA">
        <w:rPr>
          <w:i/>
          <w:szCs w:val="24"/>
          <w:lang w:val="en-US"/>
        </w:rPr>
        <w:t xml:space="preserve"> </w:t>
      </w:r>
      <w:r w:rsidR="00C3287E" w:rsidRPr="00D337FA">
        <w:rPr>
          <w:i/>
          <w:szCs w:val="24"/>
          <w:lang w:val="en-US"/>
        </w:rPr>
        <w:t>[</w:t>
      </w:r>
      <w:r w:rsidRPr="00D337FA">
        <w:rPr>
          <w:i/>
          <w:szCs w:val="24"/>
          <w:lang w:val="en-US"/>
        </w:rPr>
        <w:t>Philosophical</w:t>
      </w:r>
      <w:r w:rsidR="006C680D" w:rsidRPr="00D337FA">
        <w:rPr>
          <w:i/>
          <w:szCs w:val="24"/>
          <w:lang w:val="en-US"/>
        </w:rPr>
        <w:t xml:space="preserve"> </w:t>
      </w:r>
      <w:r w:rsidRPr="00D337FA">
        <w:rPr>
          <w:i/>
          <w:szCs w:val="24"/>
          <w:lang w:val="en-US"/>
        </w:rPr>
        <w:t>Dictionary</w:t>
      </w:r>
      <w:r w:rsidR="00C3287E"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Ed.</w:t>
      </w:r>
      <w:r w:rsidR="006C680D" w:rsidRPr="00D337FA">
        <w:rPr>
          <w:i/>
          <w:szCs w:val="24"/>
          <w:lang w:val="en-US"/>
        </w:rPr>
        <w:t xml:space="preserve"> </w:t>
      </w:r>
      <w:r w:rsidRPr="00D337FA">
        <w:rPr>
          <w:i/>
          <w:szCs w:val="24"/>
          <w:lang w:val="en-US"/>
        </w:rPr>
        <w:t>by</w:t>
      </w:r>
      <w:r w:rsidR="006C680D" w:rsidRPr="00D337FA">
        <w:rPr>
          <w:i/>
          <w:szCs w:val="24"/>
          <w:lang w:val="en-US"/>
        </w:rPr>
        <w:t xml:space="preserve"> </w:t>
      </w:r>
      <w:r w:rsidRPr="00D337FA">
        <w:rPr>
          <w:i/>
          <w:szCs w:val="24"/>
          <w:lang w:val="en-US"/>
        </w:rPr>
        <w:t>I.</w:t>
      </w:r>
      <w:r w:rsidR="006C680D" w:rsidRPr="00D337FA">
        <w:rPr>
          <w:i/>
          <w:szCs w:val="24"/>
          <w:lang w:val="en-US"/>
        </w:rPr>
        <w:t xml:space="preserve"> </w:t>
      </w:r>
      <w:r w:rsidRPr="00D337FA">
        <w:rPr>
          <w:i/>
          <w:szCs w:val="24"/>
          <w:lang w:val="en-US"/>
        </w:rPr>
        <w:t>T.</w:t>
      </w:r>
      <w:r w:rsidR="006C680D" w:rsidRPr="00D337FA">
        <w:rPr>
          <w:i/>
          <w:szCs w:val="24"/>
          <w:lang w:val="en-US"/>
        </w:rPr>
        <w:t xml:space="preserve"> </w:t>
      </w:r>
      <w:r w:rsidRPr="00D337FA">
        <w:rPr>
          <w:i/>
          <w:szCs w:val="24"/>
          <w:lang w:val="en-US"/>
        </w:rPr>
        <w:t>Frolov.</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M.:</w:t>
      </w:r>
      <w:r w:rsidR="006C680D" w:rsidRPr="00D337FA">
        <w:rPr>
          <w:i/>
          <w:szCs w:val="24"/>
          <w:lang w:val="en-US"/>
        </w:rPr>
        <w:t xml:space="preserve"> </w:t>
      </w:r>
      <w:r w:rsidRPr="00D337FA">
        <w:rPr>
          <w:i/>
          <w:szCs w:val="24"/>
          <w:lang w:val="en-US"/>
        </w:rPr>
        <w:t>Politizdat,</w:t>
      </w:r>
      <w:r w:rsidR="006C680D" w:rsidRPr="00D337FA">
        <w:rPr>
          <w:i/>
          <w:szCs w:val="24"/>
          <w:lang w:val="en-US"/>
        </w:rPr>
        <w:t xml:space="preserve"> </w:t>
      </w:r>
      <w:r w:rsidRPr="00D337FA">
        <w:rPr>
          <w:i/>
          <w:szCs w:val="24"/>
          <w:lang w:val="en-US"/>
        </w:rPr>
        <w:t>1991.</w:t>
      </w:r>
      <w:r w:rsidR="006C680D" w:rsidRPr="00D337FA">
        <w:rPr>
          <w:i/>
          <w:szCs w:val="24"/>
          <w:lang w:val="en-US"/>
        </w:rPr>
        <w:t xml:space="preserve"> </w:t>
      </w:r>
      <w:r w:rsidRPr="00D337FA">
        <w:rPr>
          <w:i/>
          <w:szCs w:val="24"/>
        </w:rPr>
        <w:t>560</w:t>
      </w:r>
      <w:r w:rsidR="006C680D" w:rsidRPr="00D337FA">
        <w:rPr>
          <w:i/>
          <w:szCs w:val="24"/>
        </w:rPr>
        <w:t xml:space="preserve"> </w:t>
      </w:r>
      <w:r w:rsidRPr="00D337FA">
        <w:rPr>
          <w:i/>
          <w:szCs w:val="24"/>
          <w:lang w:val="en-US"/>
        </w:rPr>
        <w:t>p</w:t>
      </w:r>
      <w:r w:rsidRPr="00D337FA">
        <w:rPr>
          <w:i/>
          <w:szCs w:val="24"/>
        </w:rPr>
        <w:t>.</w:t>
      </w:r>
    </w:p>
    <w:p w:rsidR="00E50BCE" w:rsidRPr="00D337FA" w:rsidRDefault="00E50BCE" w:rsidP="007F0B79">
      <w:pPr>
        <w:ind w:firstLine="284"/>
        <w:rPr>
          <w:i/>
          <w:szCs w:val="24"/>
        </w:rPr>
      </w:pPr>
    </w:p>
    <w:p w:rsidR="00777B86" w:rsidRPr="00D337FA" w:rsidRDefault="00777B86" w:rsidP="006E52B9">
      <w:pPr>
        <w:jc w:val="right"/>
        <w:rPr>
          <w:sz w:val="22"/>
          <w:szCs w:val="22"/>
        </w:rPr>
        <w:sectPr w:rsidR="00777B86"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1D5CB0" w:rsidRPr="000B36CD" w:rsidRDefault="00C3287E" w:rsidP="000B36CD">
      <w:pPr>
        <w:ind w:firstLine="284"/>
        <w:rPr>
          <w:i/>
          <w:szCs w:val="24"/>
          <w:lang w:val="en-US"/>
        </w:rPr>
      </w:pPr>
      <w:r w:rsidRPr="000B36CD">
        <w:rPr>
          <w:b/>
          <w:i/>
          <w:szCs w:val="24"/>
        </w:rPr>
        <w:lastRenderedPageBreak/>
        <w:t>Мартынова</w:t>
      </w:r>
      <w:r w:rsidR="006C680D" w:rsidRPr="000B36CD">
        <w:rPr>
          <w:b/>
          <w:i/>
          <w:szCs w:val="24"/>
        </w:rPr>
        <w:t xml:space="preserve"> </w:t>
      </w:r>
      <w:r w:rsidRPr="000B36CD">
        <w:rPr>
          <w:b/>
          <w:i/>
          <w:szCs w:val="24"/>
        </w:rPr>
        <w:t>Юлия</w:t>
      </w:r>
      <w:r w:rsidR="006C680D" w:rsidRPr="000B36CD">
        <w:rPr>
          <w:b/>
          <w:i/>
          <w:szCs w:val="24"/>
        </w:rPr>
        <w:t xml:space="preserve"> </w:t>
      </w:r>
      <w:r w:rsidR="001D5CB0" w:rsidRPr="000B36CD">
        <w:rPr>
          <w:b/>
          <w:i/>
          <w:szCs w:val="24"/>
        </w:rPr>
        <w:t>А</w:t>
      </w:r>
      <w:r w:rsidR="000B36CD" w:rsidRPr="000B36CD">
        <w:rPr>
          <w:b/>
          <w:i/>
          <w:szCs w:val="24"/>
        </w:rPr>
        <w:t>натольевна</w:t>
      </w:r>
      <w:r w:rsidR="006C680D" w:rsidRPr="000B36CD">
        <w:rPr>
          <w:i/>
          <w:szCs w:val="24"/>
        </w:rPr>
        <w:t xml:space="preserve"> </w:t>
      </w:r>
      <w:r w:rsidR="001D5CB0" w:rsidRPr="000B36CD">
        <w:rPr>
          <w:i/>
          <w:szCs w:val="24"/>
        </w:rPr>
        <w:t>–</w:t>
      </w:r>
      <w:r w:rsidR="006C680D" w:rsidRPr="000B36CD">
        <w:rPr>
          <w:i/>
          <w:szCs w:val="24"/>
        </w:rPr>
        <w:t xml:space="preserve"> </w:t>
      </w:r>
      <w:r w:rsidRPr="000B36CD">
        <w:rPr>
          <w:i/>
          <w:szCs w:val="24"/>
        </w:rPr>
        <w:t>кандидат</w:t>
      </w:r>
      <w:r w:rsidR="006C680D" w:rsidRPr="000B36CD">
        <w:rPr>
          <w:i/>
          <w:szCs w:val="24"/>
        </w:rPr>
        <w:t xml:space="preserve"> </w:t>
      </w:r>
      <w:r w:rsidRPr="000B36CD">
        <w:rPr>
          <w:i/>
          <w:szCs w:val="24"/>
        </w:rPr>
        <w:t>экономических</w:t>
      </w:r>
      <w:r w:rsidR="006C680D" w:rsidRPr="000B36CD">
        <w:rPr>
          <w:i/>
          <w:szCs w:val="24"/>
        </w:rPr>
        <w:t xml:space="preserve"> </w:t>
      </w:r>
      <w:r w:rsidRPr="000B36CD">
        <w:rPr>
          <w:i/>
          <w:szCs w:val="24"/>
        </w:rPr>
        <w:t>наук,</w:t>
      </w:r>
      <w:r w:rsidR="006C680D" w:rsidRPr="000B36CD">
        <w:rPr>
          <w:i/>
          <w:szCs w:val="24"/>
        </w:rPr>
        <w:t xml:space="preserve"> </w:t>
      </w:r>
      <w:r w:rsidRPr="000B36CD">
        <w:rPr>
          <w:i/>
          <w:szCs w:val="24"/>
        </w:rPr>
        <w:t>доцент</w:t>
      </w:r>
      <w:r w:rsidR="006C680D" w:rsidRPr="000B36CD">
        <w:rPr>
          <w:i/>
          <w:szCs w:val="24"/>
        </w:rPr>
        <w:t xml:space="preserve"> </w:t>
      </w:r>
      <w:r w:rsidR="001D5CB0" w:rsidRPr="000B36CD">
        <w:rPr>
          <w:i/>
          <w:szCs w:val="24"/>
        </w:rPr>
        <w:t>кафедры</w:t>
      </w:r>
      <w:r w:rsidR="006C680D" w:rsidRPr="00D337FA">
        <w:rPr>
          <w:i/>
          <w:szCs w:val="24"/>
        </w:rPr>
        <w:t xml:space="preserve"> </w:t>
      </w:r>
      <w:r w:rsidRPr="00D337FA">
        <w:rPr>
          <w:i/>
          <w:szCs w:val="24"/>
        </w:rPr>
        <w:t>бизнес-информатики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менеджмента,</w:t>
      </w:r>
      <w:r w:rsidR="006C680D" w:rsidRPr="00D337FA">
        <w:rPr>
          <w:i/>
          <w:szCs w:val="24"/>
        </w:rPr>
        <w:t xml:space="preserve"> </w:t>
      </w:r>
      <w:r w:rsidRPr="00D337FA">
        <w:rPr>
          <w:i/>
          <w:szCs w:val="24"/>
        </w:rPr>
        <w:t>Санкт-Петербургский</w:t>
      </w:r>
      <w:r w:rsidR="006C680D" w:rsidRPr="00D337FA">
        <w:rPr>
          <w:i/>
          <w:szCs w:val="24"/>
        </w:rPr>
        <w:t xml:space="preserve"> </w:t>
      </w:r>
      <w:r w:rsidRPr="000B36CD">
        <w:rPr>
          <w:i/>
          <w:szCs w:val="24"/>
        </w:rPr>
        <w:t>государственный</w:t>
      </w:r>
      <w:r w:rsidR="006C680D" w:rsidRPr="000B36CD">
        <w:rPr>
          <w:i/>
          <w:szCs w:val="24"/>
        </w:rPr>
        <w:t xml:space="preserve"> </w:t>
      </w:r>
      <w:r w:rsidRPr="000B36CD">
        <w:rPr>
          <w:i/>
          <w:szCs w:val="24"/>
        </w:rPr>
        <w:t>университет</w:t>
      </w:r>
      <w:r w:rsidR="006C680D" w:rsidRPr="000B36CD">
        <w:rPr>
          <w:i/>
          <w:szCs w:val="24"/>
        </w:rPr>
        <w:t xml:space="preserve"> </w:t>
      </w:r>
      <w:r w:rsidRPr="000B36CD">
        <w:rPr>
          <w:i/>
          <w:szCs w:val="24"/>
        </w:rPr>
        <w:t>аэрокосмического</w:t>
      </w:r>
      <w:r w:rsidR="006C680D" w:rsidRPr="000B36CD">
        <w:rPr>
          <w:i/>
          <w:szCs w:val="24"/>
        </w:rPr>
        <w:t xml:space="preserve"> </w:t>
      </w:r>
      <w:r w:rsidRPr="000B36CD">
        <w:rPr>
          <w:i/>
          <w:szCs w:val="24"/>
        </w:rPr>
        <w:t>приборостроения</w:t>
      </w:r>
      <w:r w:rsidR="001D5CB0" w:rsidRPr="000B36CD">
        <w:rPr>
          <w:i/>
          <w:szCs w:val="24"/>
        </w:rPr>
        <w:t>,</w:t>
      </w:r>
      <w:r w:rsidR="006C680D" w:rsidRPr="000B36CD">
        <w:rPr>
          <w:i/>
          <w:szCs w:val="24"/>
        </w:rPr>
        <w:t xml:space="preserve"> </w:t>
      </w:r>
      <w:r w:rsidR="001D5CB0" w:rsidRPr="000B36CD">
        <w:rPr>
          <w:i/>
          <w:szCs w:val="24"/>
        </w:rPr>
        <w:t>Россия,</w:t>
      </w:r>
      <w:r w:rsidR="006C680D" w:rsidRPr="000B36CD">
        <w:rPr>
          <w:i/>
          <w:szCs w:val="24"/>
        </w:rPr>
        <w:t xml:space="preserve"> </w:t>
      </w:r>
      <w:r w:rsidR="001D5CB0" w:rsidRPr="000B36CD">
        <w:rPr>
          <w:i/>
          <w:szCs w:val="24"/>
        </w:rPr>
        <w:t>1</w:t>
      </w:r>
      <w:r w:rsidR="000B36CD" w:rsidRPr="000B36CD">
        <w:rPr>
          <w:i/>
          <w:szCs w:val="24"/>
        </w:rPr>
        <w:t>90000</w:t>
      </w:r>
      <w:r w:rsidR="001D5CB0" w:rsidRPr="000B36CD">
        <w:rPr>
          <w:i/>
          <w:szCs w:val="24"/>
        </w:rPr>
        <w:t>,</w:t>
      </w:r>
      <w:r w:rsidR="006C680D" w:rsidRPr="000B36CD">
        <w:rPr>
          <w:i/>
          <w:szCs w:val="24"/>
        </w:rPr>
        <w:t xml:space="preserve"> </w:t>
      </w:r>
      <w:r w:rsidR="001D5CB0" w:rsidRPr="000B36CD">
        <w:rPr>
          <w:i/>
          <w:szCs w:val="24"/>
        </w:rPr>
        <w:t>г.</w:t>
      </w:r>
      <w:r w:rsidR="006C680D" w:rsidRPr="000B36CD">
        <w:rPr>
          <w:i/>
          <w:szCs w:val="24"/>
        </w:rPr>
        <w:t xml:space="preserve"> </w:t>
      </w:r>
      <w:r w:rsidR="00637EED" w:rsidRPr="000B36CD">
        <w:rPr>
          <w:i/>
          <w:szCs w:val="24"/>
        </w:rPr>
        <w:t>Санкт-Петербург</w:t>
      </w:r>
      <w:r w:rsidR="001D5CB0" w:rsidRPr="000B36CD">
        <w:rPr>
          <w:i/>
          <w:szCs w:val="24"/>
        </w:rPr>
        <w:t>,</w:t>
      </w:r>
      <w:r w:rsidR="006C680D" w:rsidRPr="000B36CD">
        <w:rPr>
          <w:i/>
          <w:szCs w:val="24"/>
        </w:rPr>
        <w:t xml:space="preserve"> </w:t>
      </w:r>
      <w:r w:rsidR="000B36CD" w:rsidRPr="000B36CD">
        <w:rPr>
          <w:i/>
          <w:szCs w:val="24"/>
        </w:rPr>
        <w:t>Большая Морская, д. 67, лит. А</w:t>
      </w:r>
      <w:r w:rsidR="001D5CB0" w:rsidRPr="000B36CD">
        <w:rPr>
          <w:i/>
          <w:szCs w:val="24"/>
          <w:lang w:val="en-US"/>
        </w:rPr>
        <w:t>;</w:t>
      </w:r>
      <w:r w:rsidR="006C680D" w:rsidRPr="000B36CD">
        <w:rPr>
          <w:i/>
          <w:szCs w:val="24"/>
          <w:lang w:val="en-US"/>
        </w:rPr>
        <w:t xml:space="preserve"> </w:t>
      </w:r>
      <w:r w:rsidR="001D5CB0" w:rsidRPr="000B36CD">
        <w:rPr>
          <w:i/>
          <w:szCs w:val="24"/>
          <w:lang w:val="en-US"/>
        </w:rPr>
        <w:t>E-mail:</w:t>
      </w:r>
      <w:r w:rsidR="006C680D" w:rsidRPr="000B36CD">
        <w:rPr>
          <w:i/>
          <w:szCs w:val="24"/>
          <w:lang w:val="en-US"/>
        </w:rPr>
        <w:t xml:space="preserve"> </w:t>
      </w:r>
      <w:r w:rsidRPr="000B36CD">
        <w:rPr>
          <w:i/>
          <w:szCs w:val="24"/>
          <w:lang w:val="en-US"/>
        </w:rPr>
        <w:t>juli_ko@list.ru</w:t>
      </w:r>
      <w:r w:rsidR="001D5CB0" w:rsidRPr="000B36CD">
        <w:rPr>
          <w:i/>
          <w:szCs w:val="24"/>
          <w:lang w:val="en-US"/>
        </w:rPr>
        <w:t>;</w:t>
      </w:r>
      <w:r w:rsidR="006C680D" w:rsidRPr="000B36CD">
        <w:rPr>
          <w:i/>
          <w:szCs w:val="24"/>
          <w:lang w:val="en-US"/>
        </w:rPr>
        <w:t xml:space="preserve"> </w:t>
      </w:r>
      <w:hyperlink r:id="rId33" w:history="1">
        <w:r w:rsidR="001D5CB0" w:rsidRPr="000B36CD">
          <w:rPr>
            <w:rStyle w:val="af7"/>
            <w:i/>
            <w:color w:val="auto"/>
            <w:szCs w:val="24"/>
            <w:u w:val="none"/>
            <w:lang w:val="en-US"/>
          </w:rPr>
          <w:t>https://orcid.org/</w:t>
        </w:r>
        <w:r w:rsidRPr="000B36CD">
          <w:rPr>
            <w:rStyle w:val="af7"/>
            <w:i/>
            <w:color w:val="auto"/>
            <w:szCs w:val="24"/>
            <w:u w:val="none"/>
            <w:lang w:val="en-US"/>
          </w:rPr>
          <w:t>0000-0002-7953-1570</w:t>
        </w:r>
      </w:hyperlink>
    </w:p>
    <w:p w:rsidR="009C2DFB" w:rsidRPr="00D337FA" w:rsidRDefault="00637EED" w:rsidP="000B36CD">
      <w:pPr>
        <w:shd w:val="clear" w:color="auto" w:fill="FFFFFF"/>
        <w:ind w:firstLine="284"/>
        <w:rPr>
          <w:rFonts w:eastAsia="Times New Roman"/>
          <w:i/>
          <w:szCs w:val="24"/>
          <w:lang w:val="en-US" w:eastAsia="ru-RU"/>
        </w:rPr>
      </w:pPr>
      <w:r w:rsidRPr="000B36CD">
        <w:rPr>
          <w:rFonts w:eastAsia="Times New Roman"/>
          <w:b/>
          <w:bCs/>
          <w:i/>
          <w:iCs/>
          <w:szCs w:val="24"/>
          <w:lang w:val="en-US" w:eastAsia="ru-RU"/>
        </w:rPr>
        <w:lastRenderedPageBreak/>
        <w:t>Y</w:t>
      </w:r>
      <w:r w:rsidR="000B36CD" w:rsidRPr="000B36CD">
        <w:rPr>
          <w:rFonts w:eastAsia="Times New Roman"/>
          <w:b/>
          <w:bCs/>
          <w:i/>
          <w:iCs/>
          <w:szCs w:val="24"/>
          <w:lang w:val="en-US" w:eastAsia="ru-RU"/>
        </w:rPr>
        <w:t>u</w:t>
      </w:r>
      <w:r w:rsidR="004577D3">
        <w:rPr>
          <w:rFonts w:eastAsia="Times New Roman"/>
          <w:b/>
          <w:bCs/>
          <w:i/>
          <w:iCs/>
          <w:szCs w:val="24"/>
          <w:lang w:val="en-US" w:eastAsia="ru-RU"/>
        </w:rPr>
        <w:t>lia</w:t>
      </w:r>
      <w:r w:rsidR="000B36CD" w:rsidRPr="000B36CD">
        <w:rPr>
          <w:rFonts w:eastAsia="Times New Roman"/>
          <w:b/>
          <w:bCs/>
          <w:i/>
          <w:iCs/>
          <w:szCs w:val="24"/>
          <w:lang w:val="en-US" w:eastAsia="ru-RU"/>
        </w:rPr>
        <w:t xml:space="preserve"> </w:t>
      </w:r>
      <w:r w:rsidRPr="000B36CD">
        <w:rPr>
          <w:rFonts w:eastAsia="Times New Roman"/>
          <w:b/>
          <w:bCs/>
          <w:i/>
          <w:iCs/>
          <w:szCs w:val="24"/>
          <w:lang w:val="en-US" w:eastAsia="ru-RU"/>
        </w:rPr>
        <w:t>A.</w:t>
      </w:r>
      <w:r w:rsidR="006C680D" w:rsidRPr="000B36CD">
        <w:rPr>
          <w:rFonts w:eastAsia="Times New Roman"/>
          <w:b/>
          <w:bCs/>
          <w:i/>
          <w:iCs/>
          <w:szCs w:val="24"/>
          <w:lang w:val="en-US" w:eastAsia="ru-RU"/>
        </w:rPr>
        <w:t xml:space="preserve"> </w:t>
      </w:r>
      <w:r w:rsidRPr="000B36CD">
        <w:rPr>
          <w:rFonts w:eastAsia="Times New Roman"/>
          <w:b/>
          <w:bCs/>
          <w:i/>
          <w:iCs/>
          <w:szCs w:val="24"/>
          <w:lang w:val="en-US" w:eastAsia="ru-RU"/>
        </w:rPr>
        <w:t>Martynova</w:t>
      </w:r>
      <w:r w:rsidR="006C680D" w:rsidRPr="00D337FA">
        <w:rPr>
          <w:rFonts w:eastAsia="Times New Roman"/>
          <w:b/>
          <w:bCs/>
          <w:i/>
          <w:iCs/>
          <w:szCs w:val="24"/>
          <w:lang w:val="en-US" w:eastAsia="ru-RU"/>
        </w:rPr>
        <w:t xml:space="preserve"> </w:t>
      </w:r>
      <w:r w:rsidR="009C2DFB" w:rsidRPr="00D337FA">
        <w:rPr>
          <w:rFonts w:eastAsia="Times New Roman"/>
          <w:i/>
          <w:iCs/>
          <w:szCs w:val="24"/>
          <w:lang w:val="en-US" w:eastAsia="ru-RU"/>
        </w:rPr>
        <w:t>–</w:t>
      </w:r>
      <w:r w:rsidR="006C680D" w:rsidRPr="00D337FA">
        <w:rPr>
          <w:rFonts w:eastAsia="Times New Roman"/>
          <w:i/>
          <w:iCs/>
          <w:szCs w:val="24"/>
          <w:lang w:val="en-US" w:eastAsia="ru-RU"/>
        </w:rPr>
        <w:t xml:space="preserve"> </w:t>
      </w:r>
      <w:r w:rsidRPr="00D337FA">
        <w:rPr>
          <w:rFonts w:eastAsia="Times New Roman"/>
          <w:i/>
          <w:iCs/>
          <w:szCs w:val="24"/>
          <w:lang w:val="en-US" w:eastAsia="ru-RU"/>
        </w:rPr>
        <w:t>PhD</w:t>
      </w:r>
      <w:r w:rsidR="006C680D" w:rsidRPr="00D337FA">
        <w:rPr>
          <w:rFonts w:eastAsia="Times New Roman"/>
          <w:i/>
          <w:iCs/>
          <w:szCs w:val="24"/>
          <w:lang w:val="en-US" w:eastAsia="ru-RU"/>
        </w:rPr>
        <w:t xml:space="preserve"> </w:t>
      </w:r>
      <w:r w:rsidRPr="00D337FA">
        <w:rPr>
          <w:rFonts w:eastAsia="Times New Roman"/>
          <w:i/>
          <w:iCs/>
          <w:szCs w:val="24"/>
          <w:lang w:val="en-US" w:eastAsia="ru-RU"/>
        </w:rPr>
        <w:t>(Economics),</w:t>
      </w:r>
      <w:r w:rsidR="006C680D" w:rsidRPr="00D337FA">
        <w:rPr>
          <w:rFonts w:eastAsia="Times New Roman"/>
          <w:i/>
          <w:iCs/>
          <w:szCs w:val="24"/>
          <w:lang w:val="en-US" w:eastAsia="ru-RU"/>
        </w:rPr>
        <w:t xml:space="preserve"> </w:t>
      </w:r>
      <w:r w:rsidRPr="00D337FA">
        <w:rPr>
          <w:rFonts w:eastAsia="Times New Roman"/>
          <w:i/>
          <w:iCs/>
          <w:szCs w:val="24"/>
          <w:lang w:val="en-US" w:eastAsia="ru-RU"/>
        </w:rPr>
        <w:t>Associate</w:t>
      </w:r>
      <w:r w:rsidR="006C680D" w:rsidRPr="00D337FA">
        <w:rPr>
          <w:rFonts w:eastAsia="Times New Roman"/>
          <w:i/>
          <w:iCs/>
          <w:szCs w:val="24"/>
          <w:lang w:val="en-US" w:eastAsia="ru-RU"/>
        </w:rPr>
        <w:t xml:space="preserve"> </w:t>
      </w:r>
      <w:r w:rsidRPr="00D337FA">
        <w:rPr>
          <w:rFonts w:eastAsia="Times New Roman"/>
          <w:i/>
          <w:iCs/>
          <w:szCs w:val="24"/>
          <w:lang w:val="en-US" w:eastAsia="ru-RU"/>
        </w:rPr>
        <w:t>Professor</w:t>
      </w:r>
      <w:r w:rsidR="006C680D" w:rsidRPr="00D337FA">
        <w:rPr>
          <w:rFonts w:eastAsia="Times New Roman"/>
          <w:i/>
          <w:iCs/>
          <w:szCs w:val="24"/>
          <w:lang w:val="en-US" w:eastAsia="ru-RU"/>
        </w:rPr>
        <w:t xml:space="preserve"> </w:t>
      </w:r>
      <w:r w:rsidRPr="00D337FA">
        <w:rPr>
          <w:rFonts w:eastAsia="Times New Roman"/>
          <w:i/>
          <w:iCs/>
          <w:szCs w:val="24"/>
          <w:lang w:val="en-US" w:eastAsia="ru-RU"/>
        </w:rPr>
        <w:t>of</w:t>
      </w:r>
      <w:r w:rsidR="006C680D" w:rsidRPr="00D337FA">
        <w:rPr>
          <w:rFonts w:eastAsia="Times New Roman"/>
          <w:i/>
          <w:iCs/>
          <w:szCs w:val="24"/>
          <w:lang w:val="en-US" w:eastAsia="ru-RU"/>
        </w:rPr>
        <w:t xml:space="preserve"> </w:t>
      </w:r>
      <w:r w:rsidRPr="00D337FA">
        <w:rPr>
          <w:rFonts w:eastAsia="Times New Roman"/>
          <w:i/>
          <w:iCs/>
          <w:szCs w:val="24"/>
          <w:lang w:val="en-US" w:eastAsia="ru-RU"/>
        </w:rPr>
        <w:t>the</w:t>
      </w:r>
      <w:r w:rsidR="006C680D" w:rsidRPr="00D337FA">
        <w:rPr>
          <w:rFonts w:eastAsia="Times New Roman"/>
          <w:i/>
          <w:iCs/>
          <w:szCs w:val="24"/>
          <w:lang w:val="en-US" w:eastAsia="ru-RU"/>
        </w:rPr>
        <w:t xml:space="preserve"> </w:t>
      </w:r>
      <w:r w:rsidRPr="00D337FA">
        <w:rPr>
          <w:rFonts w:eastAsia="Times New Roman"/>
          <w:i/>
          <w:iCs/>
          <w:szCs w:val="24"/>
          <w:lang w:val="en-US" w:eastAsia="ru-RU"/>
        </w:rPr>
        <w:t>Department</w:t>
      </w:r>
      <w:r w:rsidR="006C680D" w:rsidRPr="00D337FA">
        <w:rPr>
          <w:rFonts w:eastAsia="Times New Roman"/>
          <w:i/>
          <w:iCs/>
          <w:szCs w:val="24"/>
          <w:lang w:val="en-US" w:eastAsia="ru-RU"/>
        </w:rPr>
        <w:t xml:space="preserve"> </w:t>
      </w:r>
      <w:r w:rsidRPr="00D337FA">
        <w:rPr>
          <w:rFonts w:eastAsia="Times New Roman"/>
          <w:i/>
          <w:iCs/>
          <w:szCs w:val="24"/>
          <w:lang w:val="en-US" w:eastAsia="ru-RU"/>
        </w:rPr>
        <w:t>of</w:t>
      </w:r>
      <w:r w:rsidR="006C680D" w:rsidRPr="00D337FA">
        <w:rPr>
          <w:rFonts w:eastAsia="Times New Roman"/>
          <w:i/>
          <w:iCs/>
          <w:szCs w:val="24"/>
          <w:lang w:val="en-US" w:eastAsia="ru-RU"/>
        </w:rPr>
        <w:t xml:space="preserve"> </w:t>
      </w:r>
      <w:r w:rsidRPr="00D337FA">
        <w:rPr>
          <w:rFonts w:eastAsia="Times New Roman"/>
          <w:i/>
          <w:iCs/>
          <w:szCs w:val="24"/>
          <w:lang w:val="en-US" w:eastAsia="ru-RU"/>
        </w:rPr>
        <w:t>Business</w:t>
      </w:r>
      <w:r w:rsidR="006C680D" w:rsidRPr="00D337FA">
        <w:rPr>
          <w:rFonts w:eastAsia="Times New Roman"/>
          <w:i/>
          <w:iCs/>
          <w:szCs w:val="24"/>
          <w:lang w:val="en-US" w:eastAsia="ru-RU"/>
        </w:rPr>
        <w:t xml:space="preserve"> </w:t>
      </w:r>
      <w:r w:rsidRPr="00D337FA">
        <w:rPr>
          <w:rFonts w:eastAsia="Times New Roman"/>
          <w:i/>
          <w:iCs/>
          <w:szCs w:val="24"/>
          <w:lang w:val="en-US" w:eastAsia="ru-RU"/>
        </w:rPr>
        <w:t>Informatics</w:t>
      </w:r>
      <w:r w:rsidR="006C680D" w:rsidRPr="00D337FA">
        <w:rPr>
          <w:rFonts w:eastAsia="Times New Roman"/>
          <w:i/>
          <w:iCs/>
          <w:szCs w:val="24"/>
          <w:lang w:val="en-US" w:eastAsia="ru-RU"/>
        </w:rPr>
        <w:t xml:space="preserve"> </w:t>
      </w:r>
      <w:r w:rsidRPr="00D337FA">
        <w:rPr>
          <w:rFonts w:eastAsia="Times New Roman"/>
          <w:i/>
          <w:iCs/>
          <w:szCs w:val="24"/>
          <w:lang w:val="en-US" w:eastAsia="ru-RU"/>
        </w:rPr>
        <w:t>and</w:t>
      </w:r>
      <w:r w:rsidR="006C680D" w:rsidRPr="00D337FA">
        <w:rPr>
          <w:rFonts w:eastAsia="Times New Roman"/>
          <w:i/>
          <w:iCs/>
          <w:szCs w:val="24"/>
          <w:lang w:val="en-US" w:eastAsia="ru-RU"/>
        </w:rPr>
        <w:t xml:space="preserve"> </w:t>
      </w:r>
      <w:r w:rsidRPr="000B36CD">
        <w:rPr>
          <w:rFonts w:eastAsia="Times New Roman"/>
          <w:i/>
          <w:iCs/>
          <w:szCs w:val="24"/>
          <w:lang w:val="en-US" w:eastAsia="ru-RU"/>
        </w:rPr>
        <w:t>Management,</w:t>
      </w:r>
      <w:r w:rsidR="006C680D" w:rsidRPr="000B36CD">
        <w:rPr>
          <w:rFonts w:eastAsia="Times New Roman"/>
          <w:i/>
          <w:iCs/>
          <w:szCs w:val="24"/>
          <w:lang w:val="en-US" w:eastAsia="ru-RU"/>
        </w:rPr>
        <w:t xml:space="preserve"> </w:t>
      </w:r>
      <w:r w:rsidRPr="000B36CD">
        <w:rPr>
          <w:rFonts w:eastAsia="Times New Roman"/>
          <w:i/>
          <w:iCs/>
          <w:szCs w:val="24"/>
          <w:lang w:val="en-US" w:eastAsia="ru-RU"/>
        </w:rPr>
        <w:t>State</w:t>
      </w:r>
      <w:r w:rsidR="006C680D" w:rsidRPr="000B36CD">
        <w:rPr>
          <w:rFonts w:eastAsia="Times New Roman"/>
          <w:i/>
          <w:iCs/>
          <w:szCs w:val="24"/>
          <w:lang w:val="en-US" w:eastAsia="ru-RU"/>
        </w:rPr>
        <w:t xml:space="preserve"> </w:t>
      </w:r>
      <w:r w:rsidRPr="000B36CD">
        <w:rPr>
          <w:rFonts w:eastAsia="Times New Roman"/>
          <w:i/>
          <w:iCs/>
          <w:szCs w:val="24"/>
          <w:lang w:val="en-US" w:eastAsia="ru-RU"/>
        </w:rPr>
        <w:t>University</w:t>
      </w:r>
      <w:r w:rsidR="006C680D" w:rsidRPr="000B36CD">
        <w:rPr>
          <w:rFonts w:eastAsia="Times New Roman"/>
          <w:i/>
          <w:iCs/>
          <w:szCs w:val="24"/>
          <w:lang w:val="en-US" w:eastAsia="ru-RU"/>
        </w:rPr>
        <w:t xml:space="preserve"> </w:t>
      </w:r>
      <w:r w:rsidRPr="000B36CD">
        <w:rPr>
          <w:rFonts w:eastAsia="Times New Roman"/>
          <w:i/>
          <w:iCs/>
          <w:szCs w:val="24"/>
          <w:lang w:val="en-US" w:eastAsia="ru-RU"/>
        </w:rPr>
        <w:t>of</w:t>
      </w:r>
      <w:r w:rsidR="006C680D" w:rsidRPr="000B36CD">
        <w:rPr>
          <w:rFonts w:eastAsia="Times New Roman"/>
          <w:i/>
          <w:iCs/>
          <w:szCs w:val="24"/>
          <w:lang w:val="en-US" w:eastAsia="ru-RU"/>
        </w:rPr>
        <w:t xml:space="preserve"> </w:t>
      </w:r>
      <w:r w:rsidRPr="000B36CD">
        <w:rPr>
          <w:rFonts w:eastAsia="Times New Roman"/>
          <w:i/>
          <w:iCs/>
          <w:szCs w:val="24"/>
          <w:lang w:val="en-US" w:eastAsia="ru-RU"/>
        </w:rPr>
        <w:t>Aerospace</w:t>
      </w:r>
      <w:r w:rsidR="006C680D" w:rsidRPr="000B36CD">
        <w:rPr>
          <w:rFonts w:eastAsia="Times New Roman"/>
          <w:i/>
          <w:iCs/>
          <w:szCs w:val="24"/>
          <w:lang w:val="en-US" w:eastAsia="ru-RU"/>
        </w:rPr>
        <w:t xml:space="preserve"> </w:t>
      </w:r>
      <w:r w:rsidRPr="000B36CD">
        <w:rPr>
          <w:rFonts w:eastAsia="Times New Roman"/>
          <w:i/>
          <w:iCs/>
          <w:szCs w:val="24"/>
          <w:lang w:val="en-US" w:eastAsia="ru-RU"/>
        </w:rPr>
        <w:t>Instrumentation</w:t>
      </w:r>
      <w:r w:rsidR="009C2DFB" w:rsidRPr="000B36CD">
        <w:rPr>
          <w:rFonts w:eastAsia="Times New Roman"/>
          <w:i/>
          <w:iCs/>
          <w:szCs w:val="24"/>
          <w:lang w:val="en-US" w:eastAsia="ru-RU"/>
        </w:rPr>
        <w:t>,</w:t>
      </w:r>
      <w:r w:rsidR="006C680D" w:rsidRPr="000B36CD">
        <w:rPr>
          <w:rFonts w:eastAsia="Times New Roman"/>
          <w:i/>
          <w:iCs/>
          <w:szCs w:val="24"/>
          <w:lang w:val="en-US" w:eastAsia="ru-RU"/>
        </w:rPr>
        <w:t xml:space="preserve"> </w:t>
      </w:r>
      <w:r w:rsidR="000B36CD" w:rsidRPr="000B36CD">
        <w:rPr>
          <w:rFonts w:eastAsia="Times New Roman"/>
          <w:i/>
          <w:iCs/>
          <w:szCs w:val="24"/>
          <w:lang w:val="en-US" w:eastAsia="ru-RU"/>
        </w:rPr>
        <w:t>67 Bolshaya Morskaya street, Saint Petersburg, 190000</w:t>
      </w:r>
      <w:r w:rsidR="009C2DFB" w:rsidRPr="000B36CD">
        <w:rPr>
          <w:rFonts w:eastAsia="Times New Roman"/>
          <w:i/>
          <w:iCs/>
          <w:szCs w:val="24"/>
          <w:lang w:val="en-US" w:eastAsia="ru-RU"/>
        </w:rPr>
        <w:t>,</w:t>
      </w:r>
      <w:r w:rsidR="006C680D" w:rsidRPr="000B36CD">
        <w:rPr>
          <w:rFonts w:eastAsia="Times New Roman"/>
          <w:i/>
          <w:iCs/>
          <w:szCs w:val="24"/>
          <w:lang w:val="en-US" w:eastAsia="ru-RU"/>
        </w:rPr>
        <w:t xml:space="preserve"> </w:t>
      </w:r>
      <w:r w:rsidR="009C2DFB" w:rsidRPr="000B36CD">
        <w:rPr>
          <w:rFonts w:eastAsia="Times New Roman"/>
          <w:i/>
          <w:iCs/>
          <w:szCs w:val="24"/>
          <w:lang w:val="en-US" w:eastAsia="ru-RU"/>
        </w:rPr>
        <w:t>Russia;</w:t>
      </w:r>
      <w:r w:rsidR="006C680D" w:rsidRPr="000B36CD">
        <w:rPr>
          <w:rFonts w:eastAsia="Times New Roman"/>
          <w:i/>
          <w:iCs/>
          <w:szCs w:val="24"/>
          <w:lang w:val="en-US" w:eastAsia="ru-RU"/>
        </w:rPr>
        <w:t xml:space="preserve"> </w:t>
      </w:r>
      <w:r w:rsidRPr="000B36CD">
        <w:rPr>
          <w:rFonts w:eastAsia="Times New Roman"/>
          <w:i/>
          <w:iCs/>
          <w:szCs w:val="24"/>
          <w:lang w:val="en-US" w:eastAsia="ru-RU"/>
        </w:rPr>
        <w:t>E-mail:</w:t>
      </w:r>
      <w:r w:rsidR="006C680D" w:rsidRPr="000B36CD">
        <w:rPr>
          <w:rFonts w:eastAsia="Times New Roman"/>
          <w:i/>
          <w:iCs/>
          <w:szCs w:val="24"/>
          <w:lang w:val="en-US" w:eastAsia="ru-RU"/>
        </w:rPr>
        <w:t xml:space="preserve"> </w:t>
      </w:r>
      <w:r w:rsidRPr="000B36CD">
        <w:rPr>
          <w:rFonts w:eastAsia="Times New Roman"/>
          <w:i/>
          <w:iCs/>
          <w:szCs w:val="24"/>
          <w:lang w:val="en-US" w:eastAsia="ru-RU"/>
        </w:rPr>
        <w:t>juli_ko@list.ru;</w:t>
      </w:r>
      <w:r w:rsidR="006C680D" w:rsidRPr="000B36CD">
        <w:rPr>
          <w:rFonts w:eastAsia="Times New Roman"/>
          <w:i/>
          <w:iCs/>
          <w:szCs w:val="24"/>
          <w:lang w:val="en-US" w:eastAsia="ru-RU"/>
        </w:rPr>
        <w:t xml:space="preserve"> </w:t>
      </w:r>
      <w:r w:rsidRPr="000B36CD">
        <w:rPr>
          <w:rFonts w:eastAsia="Times New Roman"/>
          <w:i/>
          <w:iCs/>
          <w:szCs w:val="24"/>
          <w:lang w:val="en-US" w:eastAsia="ru-RU"/>
        </w:rPr>
        <w:t>https://orcid.org/0000-0002</w:t>
      </w:r>
      <w:r w:rsidRPr="00D337FA">
        <w:rPr>
          <w:rFonts w:eastAsia="Times New Roman"/>
          <w:i/>
          <w:iCs/>
          <w:szCs w:val="24"/>
          <w:lang w:val="en-US" w:eastAsia="ru-RU"/>
        </w:rPr>
        <w:t>-7953-1570</w:t>
      </w:r>
    </w:p>
    <w:p w:rsidR="009C2DFB" w:rsidRPr="00D337FA" w:rsidRDefault="009C2DFB" w:rsidP="001D5CB0">
      <w:pPr>
        <w:ind w:firstLine="284"/>
        <w:rPr>
          <w:i/>
          <w:szCs w:val="24"/>
          <w:lang w:val="en-US"/>
        </w:rPr>
        <w:sectPr w:rsidR="009C2DFB" w:rsidRPr="00D337FA" w:rsidSect="009C2DFB">
          <w:footnotePr>
            <w:numRestart w:val="eachPage"/>
          </w:footnotePr>
          <w:type w:val="continuous"/>
          <w:pgSz w:w="11907" w:h="16840" w:code="9"/>
          <w:pgMar w:top="1418" w:right="1134" w:bottom="1418" w:left="1134" w:header="1021" w:footer="1021" w:gutter="0"/>
          <w:cols w:num="2" w:space="708"/>
          <w:docGrid w:linePitch="360"/>
        </w:sectPr>
      </w:pPr>
    </w:p>
    <w:p w:rsidR="00E44098" w:rsidRDefault="00E44098" w:rsidP="00E57478">
      <w:pPr>
        <w:ind w:firstLine="284"/>
        <w:jc w:val="right"/>
        <w:rPr>
          <w:i/>
          <w:szCs w:val="24"/>
          <w:lang w:val="en-US"/>
        </w:rPr>
      </w:pPr>
    </w:p>
    <w:p w:rsidR="00E57478" w:rsidRPr="004577D3" w:rsidRDefault="006C680D" w:rsidP="00E57478">
      <w:pPr>
        <w:ind w:firstLine="284"/>
        <w:jc w:val="right"/>
        <w:rPr>
          <w:i/>
          <w:sz w:val="22"/>
          <w:szCs w:val="22"/>
        </w:rPr>
      </w:pPr>
      <w:r w:rsidRPr="00300205">
        <w:rPr>
          <w:i/>
          <w:szCs w:val="24"/>
          <w:lang w:val="en-US"/>
        </w:rPr>
        <w:t xml:space="preserve"> </w:t>
      </w:r>
      <w:r w:rsidR="00E57478" w:rsidRPr="004577D3">
        <w:rPr>
          <w:i/>
          <w:sz w:val="22"/>
          <w:szCs w:val="22"/>
        </w:rPr>
        <w:t>Статья</w:t>
      </w:r>
      <w:r w:rsidRPr="004577D3">
        <w:rPr>
          <w:i/>
          <w:sz w:val="22"/>
          <w:szCs w:val="22"/>
        </w:rPr>
        <w:t xml:space="preserve"> </w:t>
      </w:r>
      <w:r w:rsidR="00E57478" w:rsidRPr="004577D3">
        <w:rPr>
          <w:i/>
          <w:sz w:val="22"/>
          <w:szCs w:val="22"/>
        </w:rPr>
        <w:t>поступила</w:t>
      </w:r>
      <w:r w:rsidRPr="004577D3">
        <w:rPr>
          <w:i/>
          <w:sz w:val="22"/>
          <w:szCs w:val="22"/>
        </w:rPr>
        <w:t xml:space="preserve"> </w:t>
      </w:r>
      <w:r w:rsidR="00E57478" w:rsidRPr="004577D3">
        <w:rPr>
          <w:i/>
          <w:sz w:val="22"/>
          <w:szCs w:val="22"/>
        </w:rPr>
        <w:t>в</w:t>
      </w:r>
      <w:r w:rsidR="00E44098">
        <w:rPr>
          <w:i/>
          <w:sz w:val="22"/>
          <w:szCs w:val="22"/>
        </w:rPr>
        <w:t xml:space="preserve"> </w:t>
      </w:r>
      <w:r w:rsidR="00E57478" w:rsidRPr="004577D3">
        <w:rPr>
          <w:i/>
          <w:sz w:val="22"/>
          <w:szCs w:val="22"/>
        </w:rPr>
        <w:t>редакцию</w:t>
      </w:r>
      <w:r w:rsidRPr="004577D3">
        <w:rPr>
          <w:i/>
          <w:sz w:val="22"/>
          <w:szCs w:val="22"/>
        </w:rPr>
        <w:t xml:space="preserve"> </w:t>
      </w:r>
      <w:r w:rsidR="00637EED" w:rsidRPr="004577D3">
        <w:rPr>
          <w:i/>
          <w:sz w:val="22"/>
          <w:szCs w:val="22"/>
        </w:rPr>
        <w:t>14</w:t>
      </w:r>
      <w:r w:rsidR="00E57478" w:rsidRPr="004577D3">
        <w:rPr>
          <w:i/>
          <w:sz w:val="22"/>
          <w:szCs w:val="22"/>
        </w:rPr>
        <w:t>.</w:t>
      </w:r>
      <w:r w:rsidR="00637EED" w:rsidRPr="004577D3">
        <w:rPr>
          <w:i/>
          <w:sz w:val="22"/>
          <w:szCs w:val="22"/>
        </w:rPr>
        <w:t>06</w:t>
      </w:r>
      <w:r w:rsidR="00E57478" w:rsidRPr="004577D3">
        <w:rPr>
          <w:i/>
          <w:sz w:val="22"/>
          <w:szCs w:val="22"/>
        </w:rPr>
        <w:t>.25,</w:t>
      </w:r>
      <w:r w:rsidRPr="004577D3">
        <w:rPr>
          <w:i/>
          <w:sz w:val="22"/>
          <w:szCs w:val="22"/>
        </w:rPr>
        <w:t xml:space="preserve"> </w:t>
      </w:r>
      <w:r w:rsidR="00E57478" w:rsidRPr="004577D3">
        <w:rPr>
          <w:i/>
          <w:sz w:val="22"/>
          <w:szCs w:val="22"/>
        </w:rPr>
        <w:t>принята</w:t>
      </w:r>
      <w:r w:rsidRPr="004577D3">
        <w:rPr>
          <w:i/>
          <w:sz w:val="22"/>
          <w:szCs w:val="22"/>
        </w:rPr>
        <w:t xml:space="preserve"> </w:t>
      </w:r>
      <w:r w:rsidR="00E57478" w:rsidRPr="004577D3">
        <w:rPr>
          <w:i/>
          <w:sz w:val="22"/>
          <w:szCs w:val="22"/>
        </w:rPr>
        <w:t>к</w:t>
      </w:r>
      <w:r w:rsidRPr="004577D3">
        <w:rPr>
          <w:i/>
          <w:sz w:val="22"/>
          <w:szCs w:val="22"/>
        </w:rPr>
        <w:t xml:space="preserve"> </w:t>
      </w:r>
      <w:r w:rsidR="00E57478" w:rsidRPr="004577D3">
        <w:rPr>
          <w:i/>
          <w:sz w:val="22"/>
          <w:szCs w:val="22"/>
        </w:rPr>
        <w:t>опубликованию</w:t>
      </w:r>
      <w:r w:rsidRPr="004577D3">
        <w:rPr>
          <w:i/>
          <w:sz w:val="22"/>
          <w:szCs w:val="22"/>
        </w:rPr>
        <w:t xml:space="preserve"> </w:t>
      </w:r>
      <w:r w:rsidR="00E57478" w:rsidRPr="004577D3">
        <w:rPr>
          <w:i/>
          <w:sz w:val="22"/>
          <w:szCs w:val="22"/>
        </w:rPr>
        <w:t>15.</w:t>
      </w:r>
      <w:r w:rsidR="00637EED" w:rsidRPr="004577D3">
        <w:rPr>
          <w:i/>
          <w:sz w:val="22"/>
          <w:szCs w:val="22"/>
        </w:rPr>
        <w:t>01</w:t>
      </w:r>
      <w:r w:rsidR="00E57478" w:rsidRPr="004577D3">
        <w:rPr>
          <w:i/>
          <w:sz w:val="22"/>
          <w:szCs w:val="22"/>
        </w:rPr>
        <w:t>.2</w:t>
      </w:r>
      <w:r w:rsidR="00637EED" w:rsidRPr="004577D3">
        <w:rPr>
          <w:i/>
          <w:sz w:val="22"/>
          <w:szCs w:val="22"/>
        </w:rPr>
        <w:t>6</w:t>
      </w:r>
    </w:p>
    <w:p w:rsidR="00E56107" w:rsidRPr="00D337FA" w:rsidRDefault="00E56107" w:rsidP="00847021">
      <w:pPr>
        <w:ind w:firstLine="142"/>
        <w:rPr>
          <w:i/>
          <w:sz w:val="22"/>
          <w:szCs w:val="22"/>
        </w:rPr>
      </w:pPr>
    </w:p>
    <w:p w:rsidR="009C2DFB" w:rsidRPr="00D337FA" w:rsidRDefault="009C2DFB" w:rsidP="00847021">
      <w:pPr>
        <w:ind w:firstLine="142"/>
        <w:rPr>
          <w:i/>
          <w:sz w:val="22"/>
          <w:szCs w:val="22"/>
        </w:rPr>
      </w:pPr>
    </w:p>
    <w:p w:rsidR="009C2DFB" w:rsidRPr="00D337FA" w:rsidRDefault="009C2DFB" w:rsidP="00847021">
      <w:pPr>
        <w:ind w:firstLine="142"/>
        <w:rPr>
          <w:i/>
          <w:sz w:val="22"/>
          <w:szCs w:val="22"/>
        </w:rPr>
      </w:pPr>
    </w:p>
    <w:p w:rsidR="009C2DFB" w:rsidRPr="00D337FA" w:rsidRDefault="009C2DFB" w:rsidP="00847021">
      <w:pPr>
        <w:ind w:firstLine="142"/>
        <w:rPr>
          <w:i/>
          <w:sz w:val="22"/>
          <w:szCs w:val="22"/>
        </w:rPr>
      </w:pPr>
    </w:p>
    <w:p w:rsidR="009C2DFB" w:rsidRPr="00D337FA" w:rsidRDefault="009C2DFB" w:rsidP="00847021">
      <w:pPr>
        <w:ind w:firstLine="142"/>
        <w:rPr>
          <w:i/>
          <w:sz w:val="22"/>
          <w:szCs w:val="22"/>
        </w:rPr>
      </w:pPr>
    </w:p>
    <w:p w:rsidR="009C2DFB" w:rsidRPr="00D337FA" w:rsidRDefault="009C2DFB" w:rsidP="00847021">
      <w:pPr>
        <w:ind w:firstLine="142"/>
        <w:rPr>
          <w:i/>
          <w:sz w:val="22"/>
          <w:szCs w:val="22"/>
        </w:rPr>
      </w:pPr>
    </w:p>
    <w:p w:rsidR="00637EED" w:rsidRPr="00D337FA" w:rsidRDefault="00637EED"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EC45F1" w:rsidRDefault="00EC45F1" w:rsidP="00847021">
      <w:pPr>
        <w:ind w:firstLine="142"/>
        <w:rPr>
          <w:i/>
          <w:sz w:val="22"/>
          <w:szCs w:val="22"/>
        </w:rPr>
      </w:pPr>
    </w:p>
    <w:p w:rsidR="003E3A6F" w:rsidRPr="00D337FA" w:rsidRDefault="003E3A6F" w:rsidP="00847021">
      <w:pPr>
        <w:ind w:firstLine="142"/>
        <w:rPr>
          <w:i/>
          <w:sz w:val="22"/>
          <w:szCs w:val="22"/>
        </w:rPr>
      </w:pPr>
    </w:p>
    <w:p w:rsidR="00EC45F1" w:rsidRPr="00D337FA" w:rsidRDefault="00EC45F1" w:rsidP="00847021">
      <w:pPr>
        <w:ind w:firstLine="142"/>
        <w:rPr>
          <w:i/>
          <w:sz w:val="22"/>
          <w:szCs w:val="22"/>
        </w:rPr>
      </w:pPr>
    </w:p>
    <w:p w:rsidR="00EC45F1" w:rsidRPr="00D337FA" w:rsidRDefault="00EC45F1" w:rsidP="00847021">
      <w:pPr>
        <w:ind w:firstLine="142"/>
        <w:rPr>
          <w:i/>
          <w:sz w:val="22"/>
          <w:szCs w:val="22"/>
        </w:rPr>
      </w:pPr>
    </w:p>
    <w:p w:rsidR="00637EED" w:rsidRPr="00D337FA" w:rsidRDefault="00637EED" w:rsidP="00847021">
      <w:pPr>
        <w:ind w:firstLine="142"/>
        <w:rPr>
          <w:i/>
          <w:sz w:val="22"/>
          <w:szCs w:val="22"/>
        </w:rPr>
      </w:pPr>
    </w:p>
    <w:p w:rsidR="00637EED" w:rsidRPr="00D337FA" w:rsidRDefault="00637EED" w:rsidP="00847021">
      <w:pPr>
        <w:ind w:firstLine="142"/>
        <w:rPr>
          <w:i/>
          <w:sz w:val="22"/>
          <w:szCs w:val="22"/>
        </w:rPr>
      </w:pPr>
    </w:p>
    <w:p w:rsidR="009C2DFB" w:rsidRDefault="009C2DFB" w:rsidP="00847021">
      <w:pPr>
        <w:ind w:firstLine="142"/>
        <w:rPr>
          <w:i/>
          <w:sz w:val="22"/>
          <w:szCs w:val="22"/>
        </w:rPr>
      </w:pPr>
    </w:p>
    <w:p w:rsidR="000B36CD" w:rsidRPr="00D337FA" w:rsidRDefault="000B36CD" w:rsidP="00847021">
      <w:pPr>
        <w:ind w:firstLine="142"/>
        <w:rPr>
          <w:i/>
          <w:sz w:val="22"/>
          <w:szCs w:val="22"/>
        </w:rPr>
      </w:pPr>
    </w:p>
    <w:p w:rsidR="007C1C9B" w:rsidRPr="00184E6C" w:rsidRDefault="007C1C9B" w:rsidP="007C1C9B">
      <w:pPr>
        <w:ind w:firstLine="142"/>
        <w:rPr>
          <w:b/>
          <w:i/>
          <w:sz w:val="22"/>
          <w:szCs w:val="22"/>
        </w:rPr>
      </w:pPr>
    </w:p>
    <w:p w:rsidR="009C2DFB" w:rsidRPr="00D337FA" w:rsidRDefault="009C2DFB" w:rsidP="00847021">
      <w:pPr>
        <w:ind w:firstLine="142"/>
        <w:rPr>
          <w:i/>
          <w:sz w:val="22"/>
          <w:szCs w:val="22"/>
        </w:rPr>
      </w:pPr>
    </w:p>
    <w:p w:rsidR="007C1C9B" w:rsidRPr="007C1C9B" w:rsidRDefault="007C1C9B" w:rsidP="007C1C9B">
      <w:pPr>
        <w:autoSpaceDE w:val="0"/>
        <w:autoSpaceDN w:val="0"/>
        <w:adjustRightInd w:val="0"/>
        <w:ind w:firstLine="0"/>
        <w:jc w:val="left"/>
        <w:textAlignment w:val="center"/>
        <w:rPr>
          <w:rFonts w:ascii="Arial" w:hAnsi="Arial" w:cs="Arial"/>
          <w:bCs/>
          <w:i/>
          <w:iCs/>
          <w:szCs w:val="28"/>
          <w:lang w:eastAsia="ru-RU"/>
        </w:rPr>
      </w:pPr>
      <w:r w:rsidRPr="007C1C9B">
        <w:rPr>
          <w:rFonts w:ascii="Arial" w:hAnsi="Arial" w:cs="Arial"/>
          <w:bCs/>
          <w:i/>
          <w:iCs/>
          <w:szCs w:val="28"/>
          <w:lang w:eastAsia="ru-RU"/>
        </w:rPr>
        <w:lastRenderedPageBreak/>
        <w:t>УДК 3</w:t>
      </w:r>
      <w:r>
        <w:rPr>
          <w:rFonts w:ascii="Arial" w:hAnsi="Arial" w:cs="Arial"/>
          <w:bCs/>
          <w:i/>
          <w:iCs/>
          <w:szCs w:val="28"/>
          <w:lang w:eastAsia="ru-RU"/>
        </w:rPr>
        <w:t>78</w:t>
      </w:r>
      <w:r w:rsidRPr="007C1C9B">
        <w:rPr>
          <w:rFonts w:ascii="Arial" w:hAnsi="Arial" w:cs="Arial"/>
          <w:bCs/>
          <w:i/>
          <w:iCs/>
          <w:szCs w:val="28"/>
          <w:lang w:eastAsia="ru-RU"/>
        </w:rPr>
        <w:t xml:space="preserve">  </w:t>
      </w:r>
    </w:p>
    <w:p w:rsidR="007C1C9B" w:rsidRPr="007C1C9B" w:rsidRDefault="007C1C9B" w:rsidP="007C1C9B">
      <w:pPr>
        <w:autoSpaceDE w:val="0"/>
        <w:autoSpaceDN w:val="0"/>
        <w:adjustRightInd w:val="0"/>
        <w:ind w:firstLine="0"/>
        <w:jc w:val="left"/>
        <w:textAlignment w:val="center"/>
        <w:rPr>
          <w:rFonts w:ascii="Arial" w:hAnsi="Arial" w:cs="Arial"/>
          <w:b/>
          <w:bCs/>
          <w:i/>
          <w:iCs/>
          <w:szCs w:val="28"/>
          <w:lang w:eastAsia="ru-RU"/>
        </w:rPr>
      </w:pPr>
      <w:r w:rsidRPr="007C1C9B">
        <w:rPr>
          <w:rFonts w:ascii="Arial" w:hAnsi="Arial" w:cs="Arial"/>
          <w:b/>
          <w:bCs/>
          <w:i/>
          <w:iCs/>
          <w:szCs w:val="28"/>
          <w:lang w:eastAsia="ru-RU"/>
        </w:rPr>
        <w:t xml:space="preserve">В.А. Тимонина </w:t>
      </w:r>
    </w:p>
    <w:p w:rsidR="007C1C9B" w:rsidRPr="007C1C9B" w:rsidRDefault="007C1C9B" w:rsidP="007C1C9B">
      <w:pPr>
        <w:autoSpaceDE w:val="0"/>
        <w:autoSpaceDN w:val="0"/>
        <w:adjustRightInd w:val="0"/>
        <w:ind w:firstLine="0"/>
        <w:jc w:val="left"/>
        <w:textAlignment w:val="center"/>
        <w:rPr>
          <w:rFonts w:ascii="Arial" w:hAnsi="Arial" w:cs="Arial"/>
          <w:b/>
          <w:bCs/>
          <w:i/>
          <w:iCs/>
          <w:szCs w:val="28"/>
          <w:lang w:eastAsia="ru-RU"/>
        </w:rPr>
      </w:pPr>
      <w:r w:rsidRPr="007C1C9B">
        <w:rPr>
          <w:rFonts w:ascii="Arial" w:hAnsi="Arial" w:cs="Arial"/>
          <w:b/>
          <w:bCs/>
          <w:i/>
          <w:iCs/>
          <w:szCs w:val="28"/>
          <w:lang w:eastAsia="ru-RU"/>
        </w:rPr>
        <w:t xml:space="preserve">V.A. Timonina   </w:t>
      </w:r>
    </w:p>
    <w:p w:rsidR="007C1C9B" w:rsidRPr="007C1C9B" w:rsidRDefault="007C1C9B" w:rsidP="007C1C9B">
      <w:pPr>
        <w:autoSpaceDE w:val="0"/>
        <w:autoSpaceDN w:val="0"/>
        <w:adjustRightInd w:val="0"/>
        <w:ind w:firstLine="0"/>
        <w:jc w:val="center"/>
        <w:textAlignment w:val="center"/>
        <w:rPr>
          <w:rFonts w:ascii="Arial" w:hAnsi="Arial" w:cs="Arial"/>
          <w:b/>
          <w:bCs/>
          <w:iCs/>
          <w:szCs w:val="28"/>
          <w:lang w:eastAsia="ru-RU"/>
        </w:rPr>
      </w:pPr>
    </w:p>
    <w:p w:rsidR="007C1C9B" w:rsidRPr="007C1C9B" w:rsidRDefault="007C1C9B" w:rsidP="007C1C9B">
      <w:pPr>
        <w:autoSpaceDE w:val="0"/>
        <w:autoSpaceDN w:val="0"/>
        <w:adjustRightInd w:val="0"/>
        <w:ind w:firstLine="0"/>
        <w:jc w:val="center"/>
        <w:textAlignment w:val="center"/>
        <w:rPr>
          <w:rFonts w:ascii="Arial" w:hAnsi="Arial" w:cs="Arial"/>
          <w:b/>
          <w:bCs/>
          <w:iCs/>
          <w:szCs w:val="28"/>
          <w:lang w:eastAsia="ru-RU"/>
        </w:rPr>
      </w:pPr>
      <w:r w:rsidRPr="007C1C9B">
        <w:rPr>
          <w:rFonts w:ascii="Arial" w:hAnsi="Arial" w:cs="Arial"/>
          <w:b/>
          <w:bCs/>
          <w:iCs/>
          <w:szCs w:val="28"/>
          <w:lang w:eastAsia="ru-RU"/>
        </w:rPr>
        <w:t>ИССЛЕДОВАНИЕ МЕТОДИЧЕСКИХ ПОДХОДОВ К ОЦЕНКЕ ТРУДОУСТРОЙСТВА ВЫПУСКНИКОВ КАК ВАЖНОГО ФАКТОРА СТРАТЕГИЧЕСКОГО РАЗВИТИЯ ВУЗОВ</w:t>
      </w:r>
    </w:p>
    <w:p w:rsidR="007C1C9B" w:rsidRPr="007C1C9B" w:rsidRDefault="007C1C9B" w:rsidP="007C1C9B">
      <w:pPr>
        <w:autoSpaceDE w:val="0"/>
        <w:autoSpaceDN w:val="0"/>
        <w:adjustRightInd w:val="0"/>
        <w:ind w:firstLine="0"/>
        <w:jc w:val="center"/>
        <w:textAlignment w:val="center"/>
        <w:rPr>
          <w:rFonts w:ascii="Arial" w:hAnsi="Arial" w:cs="Arial"/>
          <w:b/>
          <w:bCs/>
          <w:iCs/>
          <w:szCs w:val="28"/>
          <w:lang w:eastAsia="ru-RU"/>
        </w:rPr>
      </w:pPr>
    </w:p>
    <w:p w:rsidR="007C1C9B" w:rsidRPr="007C1C9B" w:rsidRDefault="00CB3FDB" w:rsidP="007C1C9B">
      <w:pPr>
        <w:autoSpaceDE w:val="0"/>
        <w:autoSpaceDN w:val="0"/>
        <w:adjustRightInd w:val="0"/>
        <w:ind w:firstLine="0"/>
        <w:jc w:val="center"/>
        <w:textAlignment w:val="center"/>
        <w:rPr>
          <w:rFonts w:ascii="Arial" w:hAnsi="Arial" w:cs="Arial"/>
          <w:b/>
          <w:bCs/>
          <w:iCs/>
          <w:szCs w:val="28"/>
          <w:lang w:val="en-US" w:eastAsia="ru-RU"/>
        </w:rPr>
      </w:pPr>
      <w:r w:rsidRPr="00CB3FDB">
        <w:rPr>
          <w:rFonts w:ascii="Arial" w:hAnsi="Arial" w:cs="Arial"/>
          <w:b/>
          <w:bCs/>
          <w:iCs/>
          <w:szCs w:val="28"/>
          <w:lang w:val="en-US" w:eastAsia="ru-RU"/>
        </w:rPr>
        <w:t>A STUDY OF METHODOLOGICAL APPROACHES TO ASSESSING EMPLOYMENT OF GRADUATES AS AN IMPORTANT FACTOR IN THE STRATEGIC DEVELOPMENT OF UNIVERSITIES</w:t>
      </w:r>
    </w:p>
    <w:p w:rsidR="007C1C9B" w:rsidRPr="007C1C9B" w:rsidRDefault="007C1C9B" w:rsidP="007C1C9B">
      <w:pPr>
        <w:autoSpaceDE w:val="0"/>
        <w:autoSpaceDN w:val="0"/>
        <w:adjustRightInd w:val="0"/>
        <w:ind w:firstLine="0"/>
        <w:jc w:val="center"/>
        <w:textAlignment w:val="center"/>
        <w:rPr>
          <w:rFonts w:ascii="Arial" w:hAnsi="Arial" w:cs="Arial"/>
          <w:b/>
          <w:bCs/>
          <w:iCs/>
          <w:szCs w:val="24"/>
          <w:lang w:val="en-US" w:eastAsia="ru-RU"/>
        </w:rPr>
      </w:pPr>
    </w:p>
    <w:p w:rsidR="007C1C9B" w:rsidRPr="007C1C9B" w:rsidRDefault="007C1C9B" w:rsidP="007C1C9B">
      <w:pPr>
        <w:autoSpaceDE w:val="0"/>
        <w:autoSpaceDN w:val="0"/>
        <w:adjustRightInd w:val="0"/>
        <w:ind w:firstLine="0"/>
        <w:textAlignment w:val="center"/>
        <w:rPr>
          <w:b/>
          <w:i/>
          <w:iCs/>
          <w:spacing w:val="-4"/>
          <w:szCs w:val="24"/>
          <w:lang w:val="en-US" w:eastAsia="ru-RU"/>
        </w:rPr>
        <w:sectPr w:rsidR="007C1C9B" w:rsidRPr="007C1C9B" w:rsidSect="007C1C9B">
          <w:headerReference w:type="default" r:id="rId34"/>
          <w:footnotePr>
            <w:numRestart w:val="eachPage"/>
          </w:footnotePr>
          <w:type w:val="continuous"/>
          <w:pgSz w:w="11907" w:h="16840" w:code="9"/>
          <w:pgMar w:top="1418" w:right="1134" w:bottom="1418" w:left="1134" w:header="1021" w:footer="1021" w:gutter="0"/>
          <w:cols w:space="708"/>
          <w:docGrid w:linePitch="360"/>
        </w:sectPr>
      </w:pPr>
    </w:p>
    <w:p w:rsidR="007C1C9B" w:rsidRDefault="007C1C9B" w:rsidP="007C1C9B">
      <w:pPr>
        <w:autoSpaceDE w:val="0"/>
        <w:autoSpaceDN w:val="0"/>
        <w:adjustRightInd w:val="0"/>
        <w:ind w:firstLine="0"/>
        <w:textAlignment w:val="center"/>
        <w:rPr>
          <w:i/>
          <w:iCs/>
          <w:spacing w:val="-4"/>
          <w:szCs w:val="24"/>
          <w:lang w:eastAsia="ru-RU"/>
        </w:rPr>
      </w:pPr>
      <w:r w:rsidRPr="007C1C9B">
        <w:rPr>
          <w:b/>
          <w:i/>
          <w:iCs/>
          <w:spacing w:val="-4"/>
          <w:szCs w:val="24"/>
          <w:lang w:eastAsia="ru-RU"/>
        </w:rPr>
        <w:lastRenderedPageBreak/>
        <w:t>Аннотация.</w:t>
      </w:r>
      <w:r w:rsidRPr="007C1C9B">
        <w:rPr>
          <w:i/>
          <w:iCs/>
          <w:spacing w:val="-4"/>
          <w:szCs w:val="24"/>
          <w:lang w:eastAsia="ru-RU"/>
        </w:rPr>
        <w:t xml:space="preserve"> В рамках обоснования методического инструментария оценки эффективности стратегии развития вуза в условиях цифровизации высшего образования Российской Федерации в статье проведен сравнительный анализ действующих методик оценки показателей трудоустройства выпускников вузов, показателей мониторинга эффективности деятельности высших учебных заведений, определены взаимосвязи между показателем трудоустройства выпускников и стратегическими моделями развития вузов, позволившие выявить новые аспекты методических подходов к разработке эффективных стратегий управления вузами</w:t>
      </w:r>
      <w:r>
        <w:rPr>
          <w:i/>
          <w:iCs/>
          <w:spacing w:val="-4"/>
          <w:szCs w:val="24"/>
          <w:lang w:eastAsia="ru-RU"/>
        </w:rPr>
        <w:t>.</w:t>
      </w:r>
    </w:p>
    <w:p w:rsidR="007C1C9B" w:rsidRDefault="007C1C9B" w:rsidP="007C1C9B">
      <w:pPr>
        <w:autoSpaceDE w:val="0"/>
        <w:autoSpaceDN w:val="0"/>
        <w:adjustRightInd w:val="0"/>
        <w:ind w:firstLine="0"/>
        <w:textAlignment w:val="center"/>
        <w:rPr>
          <w:i/>
          <w:iCs/>
          <w:spacing w:val="-4"/>
          <w:szCs w:val="24"/>
          <w:lang w:eastAsia="ru-RU"/>
        </w:rPr>
      </w:pPr>
    </w:p>
    <w:p w:rsidR="007C1C9B" w:rsidRPr="007C1C9B" w:rsidRDefault="007C1C9B" w:rsidP="007C1C9B">
      <w:pPr>
        <w:autoSpaceDE w:val="0"/>
        <w:autoSpaceDN w:val="0"/>
        <w:adjustRightInd w:val="0"/>
        <w:ind w:firstLine="0"/>
        <w:textAlignment w:val="center"/>
        <w:rPr>
          <w:i/>
          <w:iCs/>
          <w:szCs w:val="24"/>
          <w:lang w:val="en-US" w:eastAsia="ru-RU"/>
        </w:rPr>
      </w:pPr>
      <w:r w:rsidRPr="007C1C9B">
        <w:rPr>
          <w:b/>
          <w:i/>
          <w:iCs/>
          <w:szCs w:val="24"/>
          <w:lang w:val="en-GB" w:eastAsia="ru-RU"/>
        </w:rPr>
        <w:lastRenderedPageBreak/>
        <w:t>Abstract</w:t>
      </w:r>
      <w:r w:rsidRPr="007C1C9B">
        <w:rPr>
          <w:b/>
          <w:i/>
          <w:iCs/>
          <w:szCs w:val="24"/>
          <w:lang w:val="en-US" w:eastAsia="ru-RU"/>
        </w:rPr>
        <w:t>.</w:t>
      </w:r>
      <w:r w:rsidRPr="007C1C9B">
        <w:rPr>
          <w:i/>
          <w:iCs/>
          <w:szCs w:val="24"/>
          <w:lang w:val="en-US" w:eastAsia="ru-RU"/>
        </w:rPr>
        <w:t xml:space="preserve"> As part of the justification of the methodological toolkit for assessing the effectiveness of a university development strategy in the context of digitalization of higher education in the Russian Federation, the article carried out a comparative analysis of existing methods for assessing employment indicators for university graduates, indicators for monitoring the effectiveness of higher education institutions, determined the relationship between the employment indicator for graduates and strategic models of university development, which made it possible to identify new aspects of methodological approaches to the development of effective university management strategies.</w:t>
      </w:r>
    </w:p>
    <w:p w:rsidR="007C1C9B" w:rsidRPr="007C1C9B" w:rsidRDefault="007C1C9B" w:rsidP="007C1C9B">
      <w:pPr>
        <w:autoSpaceDE w:val="0"/>
        <w:autoSpaceDN w:val="0"/>
        <w:adjustRightInd w:val="0"/>
        <w:ind w:firstLine="0"/>
        <w:textAlignment w:val="center"/>
        <w:rPr>
          <w:i/>
          <w:iCs/>
          <w:spacing w:val="-2"/>
          <w:szCs w:val="24"/>
          <w:lang w:val="en-GB" w:eastAsia="ru-RU"/>
        </w:rPr>
      </w:pPr>
    </w:p>
    <w:p w:rsidR="007C1C9B" w:rsidRPr="007C1C9B" w:rsidRDefault="007C1C9B" w:rsidP="007C1C9B">
      <w:pPr>
        <w:autoSpaceDE w:val="0"/>
        <w:autoSpaceDN w:val="0"/>
        <w:adjustRightInd w:val="0"/>
        <w:ind w:firstLine="284"/>
        <w:textAlignment w:val="center"/>
        <w:rPr>
          <w:iCs/>
          <w:szCs w:val="24"/>
          <w:lang w:val="en-US" w:eastAsia="ru-RU"/>
        </w:rPr>
        <w:sectPr w:rsidR="007C1C9B" w:rsidRPr="007C1C9B" w:rsidSect="008F2C3F">
          <w:footnotePr>
            <w:numRestart w:val="eachPage"/>
          </w:footnotePr>
          <w:type w:val="continuous"/>
          <w:pgSz w:w="11907" w:h="16840" w:code="9"/>
          <w:pgMar w:top="1418" w:right="1134" w:bottom="1418" w:left="1134" w:header="1021" w:footer="1021" w:gutter="0"/>
          <w:cols w:num="2" w:space="708"/>
          <w:docGrid w:linePitch="360"/>
        </w:sectPr>
      </w:pPr>
    </w:p>
    <w:p w:rsidR="007C1C9B" w:rsidRPr="007C1C9B" w:rsidRDefault="007C1C9B" w:rsidP="007C1C9B">
      <w:pPr>
        <w:autoSpaceDE w:val="0"/>
        <w:autoSpaceDN w:val="0"/>
        <w:adjustRightInd w:val="0"/>
        <w:ind w:firstLine="0"/>
        <w:textAlignment w:val="center"/>
        <w:rPr>
          <w:iCs/>
          <w:szCs w:val="24"/>
          <w:lang w:eastAsia="ru-RU"/>
        </w:rPr>
      </w:pPr>
      <w:r>
        <w:rPr>
          <w:iCs/>
          <w:szCs w:val="24"/>
          <w:lang w:eastAsia="ru-RU"/>
        </w:rPr>
        <w:lastRenderedPageBreak/>
        <w:t>Т</w:t>
      </w:r>
      <w:r w:rsidRPr="007C1C9B">
        <w:rPr>
          <w:iCs/>
          <w:szCs w:val="24"/>
          <w:lang w:eastAsia="ru-RU"/>
        </w:rPr>
        <w:t>рудоустройство, стратегия, высшее учебное заведение, методология, цифровизация</w:t>
      </w:r>
    </w:p>
    <w:p w:rsidR="007C1C9B" w:rsidRPr="007C1C9B" w:rsidRDefault="007C1C9B" w:rsidP="007C1C9B">
      <w:pPr>
        <w:autoSpaceDE w:val="0"/>
        <w:autoSpaceDN w:val="0"/>
        <w:adjustRightInd w:val="0"/>
        <w:ind w:firstLine="0"/>
        <w:textAlignment w:val="center"/>
        <w:rPr>
          <w:iCs/>
          <w:szCs w:val="24"/>
          <w:lang w:val="en-US" w:eastAsia="ru-RU"/>
        </w:rPr>
      </w:pPr>
      <w:r>
        <w:rPr>
          <w:iCs/>
          <w:szCs w:val="24"/>
          <w:lang w:val="en-US" w:eastAsia="ru-RU"/>
        </w:rPr>
        <w:lastRenderedPageBreak/>
        <w:t>E</w:t>
      </w:r>
      <w:r w:rsidRPr="007C1C9B">
        <w:rPr>
          <w:iCs/>
          <w:szCs w:val="24"/>
          <w:lang w:val="en-US" w:eastAsia="ru-RU"/>
        </w:rPr>
        <w:t>mployment, strategy, higher education institution, methodology, digitalization</w:t>
      </w:r>
    </w:p>
    <w:p w:rsidR="007C1C9B" w:rsidRPr="007C1C9B" w:rsidRDefault="007C1C9B" w:rsidP="007C1C9B">
      <w:pPr>
        <w:autoSpaceDE w:val="0"/>
        <w:autoSpaceDN w:val="0"/>
        <w:adjustRightInd w:val="0"/>
        <w:ind w:firstLine="0"/>
        <w:textAlignment w:val="center"/>
        <w:rPr>
          <w:iCs/>
          <w:szCs w:val="24"/>
          <w:lang w:val="en-US" w:eastAsia="ru-RU"/>
        </w:rPr>
      </w:pPr>
    </w:p>
    <w:p w:rsidR="007C1C9B" w:rsidRDefault="007C1C9B" w:rsidP="007C1C9B">
      <w:pPr>
        <w:autoSpaceDE w:val="0"/>
        <w:autoSpaceDN w:val="0"/>
        <w:adjustRightInd w:val="0"/>
        <w:ind w:firstLine="284"/>
        <w:textAlignment w:val="center"/>
        <w:rPr>
          <w:iCs/>
          <w:szCs w:val="24"/>
          <w:lang w:val="en-US" w:eastAsia="ru-RU"/>
        </w:rPr>
        <w:sectPr w:rsidR="007C1C9B" w:rsidSect="007C1C9B">
          <w:footnotePr>
            <w:numRestart w:val="eachPage"/>
          </w:footnotePr>
          <w:type w:val="continuous"/>
          <w:pgSz w:w="11907" w:h="16840" w:code="9"/>
          <w:pgMar w:top="1418" w:right="1134" w:bottom="1418" w:left="1134" w:header="1021" w:footer="1021" w:gutter="0"/>
          <w:cols w:num="2" w:space="708"/>
          <w:docGrid w:linePitch="360"/>
        </w:sectPr>
      </w:pPr>
    </w:p>
    <w:p w:rsidR="007C1C9B" w:rsidRDefault="007C1C9B" w:rsidP="007C1C9B">
      <w:pPr>
        <w:autoSpaceDE w:val="0"/>
        <w:autoSpaceDN w:val="0"/>
        <w:adjustRightInd w:val="0"/>
        <w:ind w:firstLine="284"/>
        <w:textAlignment w:val="center"/>
        <w:rPr>
          <w:iCs/>
          <w:szCs w:val="24"/>
          <w:lang w:val="en-US" w:eastAsia="ru-RU"/>
        </w:rPr>
      </w:pPr>
    </w:p>
    <w:p w:rsidR="007C1C9B" w:rsidRPr="00184E6C" w:rsidRDefault="007C1C9B" w:rsidP="007C1C9B">
      <w:pPr>
        <w:autoSpaceDE w:val="0"/>
        <w:autoSpaceDN w:val="0"/>
        <w:adjustRightInd w:val="0"/>
        <w:ind w:firstLine="284"/>
        <w:textAlignment w:val="center"/>
        <w:rPr>
          <w:iCs/>
          <w:szCs w:val="24"/>
          <w:lang w:val="en-US" w:eastAsia="ru-RU"/>
        </w:rPr>
        <w:sectPr w:rsidR="007C1C9B" w:rsidRPr="00184E6C" w:rsidSect="002E26D0">
          <w:footnotePr>
            <w:numRestart w:val="eachPage"/>
          </w:footnotePr>
          <w:type w:val="continuous"/>
          <w:pgSz w:w="11907" w:h="16840" w:code="9"/>
          <w:pgMar w:top="1418" w:right="1134" w:bottom="1418" w:left="1134" w:header="1021" w:footer="1021" w:gutter="0"/>
          <w:cols w:space="708"/>
          <w:docGrid w:linePitch="360"/>
        </w:sectPr>
      </w:pPr>
    </w:p>
    <w:p w:rsidR="007C1C9B" w:rsidRPr="007C1C9B" w:rsidRDefault="007C1C9B" w:rsidP="007C1C9B">
      <w:pPr>
        <w:autoSpaceDE w:val="0"/>
        <w:autoSpaceDN w:val="0"/>
        <w:adjustRightInd w:val="0"/>
        <w:ind w:firstLine="284"/>
        <w:textAlignment w:val="center"/>
        <w:rPr>
          <w:b/>
          <w:iCs/>
          <w:szCs w:val="24"/>
          <w:lang w:eastAsia="ru-RU"/>
        </w:rPr>
      </w:pPr>
      <w:r w:rsidRPr="007C1C9B">
        <w:rPr>
          <w:b/>
          <w:iCs/>
          <w:szCs w:val="24"/>
          <w:lang w:eastAsia="ru-RU"/>
        </w:rPr>
        <w:lastRenderedPageBreak/>
        <w:t>Введение</w:t>
      </w:r>
    </w:p>
    <w:p w:rsidR="007C1C9B" w:rsidRPr="007C1C9B" w:rsidRDefault="007C1C9B" w:rsidP="007C1C9B">
      <w:pPr>
        <w:autoSpaceDE w:val="0"/>
        <w:autoSpaceDN w:val="0"/>
        <w:adjustRightInd w:val="0"/>
        <w:ind w:firstLine="284"/>
        <w:textAlignment w:val="center"/>
        <w:rPr>
          <w:iCs/>
          <w:szCs w:val="24"/>
          <w:lang w:eastAsia="ru-RU"/>
        </w:rPr>
      </w:pPr>
      <w:r w:rsidRPr="007C1C9B">
        <w:rPr>
          <w:iCs/>
          <w:szCs w:val="24"/>
          <w:lang w:eastAsia="ru-RU"/>
        </w:rPr>
        <w:t xml:space="preserve">В современных условиях совершенствования национальной системы высшего образования для обеспечения долгосрочных потребностей отраслей экономики и социальной сферы квалифицированными кадрами [1], особую значимость для реализации пилотного проекта приобретает ускорение процессов трансформации моделей стратегического управления вузами с учетом адаптации их стратегий развития к возрастающим требованиям работодателей к соискателям актуальных вакансий и их профессиональным компетенциям, а </w:t>
      </w:r>
      <w:r w:rsidRPr="007C1C9B">
        <w:rPr>
          <w:iCs/>
          <w:szCs w:val="24"/>
          <w:lang w:eastAsia="ru-RU"/>
        </w:rPr>
        <w:lastRenderedPageBreak/>
        <w:t>также стремительных темпов развития цифровых технологий в экономике, промышленности, образовании.</w:t>
      </w:r>
    </w:p>
    <w:p w:rsidR="007C1C9B" w:rsidRPr="007C1C9B" w:rsidRDefault="007C1C9B" w:rsidP="007C1C9B">
      <w:pPr>
        <w:autoSpaceDE w:val="0"/>
        <w:autoSpaceDN w:val="0"/>
        <w:adjustRightInd w:val="0"/>
        <w:ind w:firstLine="284"/>
        <w:textAlignment w:val="center"/>
        <w:rPr>
          <w:iCs/>
          <w:szCs w:val="24"/>
          <w:lang w:eastAsia="ru-RU"/>
        </w:rPr>
      </w:pPr>
      <w:r w:rsidRPr="007C1C9B">
        <w:rPr>
          <w:iCs/>
          <w:szCs w:val="24"/>
          <w:lang w:eastAsia="ru-RU"/>
        </w:rPr>
        <w:t xml:space="preserve">В связи с вышеизложенным, вопрос эффективного трудоустройства выпускников вузов становится не только критерием оценки качества системы высшего образования страны, значимым фактором ее социально-экономического развития, но и важнейшим показателем оценки эффективности стратегии вуза в целом, что обуславливает актуальность темы исследования. </w:t>
      </w:r>
    </w:p>
    <w:p w:rsidR="007C1C9B" w:rsidRPr="007C1C9B" w:rsidRDefault="007C1C9B" w:rsidP="007C1C9B">
      <w:pPr>
        <w:autoSpaceDE w:val="0"/>
        <w:autoSpaceDN w:val="0"/>
        <w:adjustRightInd w:val="0"/>
        <w:ind w:firstLine="284"/>
        <w:textAlignment w:val="center"/>
        <w:rPr>
          <w:iCs/>
          <w:szCs w:val="24"/>
          <w:lang w:eastAsia="ru-RU"/>
        </w:rPr>
      </w:pPr>
    </w:p>
    <w:p w:rsidR="007C1C9B" w:rsidRDefault="007C1C9B" w:rsidP="007C1C9B">
      <w:pPr>
        <w:autoSpaceDE w:val="0"/>
        <w:autoSpaceDN w:val="0"/>
        <w:adjustRightInd w:val="0"/>
        <w:ind w:firstLine="284"/>
        <w:textAlignment w:val="center"/>
        <w:rPr>
          <w:iCs/>
          <w:szCs w:val="24"/>
          <w:lang w:eastAsia="ru-RU"/>
        </w:rPr>
        <w:sectPr w:rsidR="007C1C9B" w:rsidSect="007C1C9B">
          <w:footnotePr>
            <w:numRestart w:val="eachPage"/>
          </w:footnotePr>
          <w:type w:val="continuous"/>
          <w:pgSz w:w="11907" w:h="16840" w:code="9"/>
          <w:pgMar w:top="1418" w:right="1134" w:bottom="1418" w:left="1134" w:header="1021" w:footer="1021" w:gutter="0"/>
          <w:cols w:num="2" w:space="708"/>
          <w:docGrid w:linePitch="360"/>
        </w:sectPr>
      </w:pPr>
    </w:p>
    <w:p w:rsidR="007C1C9B" w:rsidRPr="007C1C9B" w:rsidRDefault="007C1C9B" w:rsidP="007C1C9B">
      <w:pPr>
        <w:autoSpaceDE w:val="0"/>
        <w:autoSpaceDN w:val="0"/>
        <w:adjustRightInd w:val="0"/>
        <w:ind w:firstLine="284"/>
        <w:textAlignment w:val="center"/>
        <w:rPr>
          <w:iCs/>
          <w:szCs w:val="24"/>
          <w:lang w:eastAsia="ru-RU"/>
        </w:rPr>
      </w:pPr>
    </w:p>
    <w:p w:rsidR="007C1C9B" w:rsidRPr="007C1C9B" w:rsidRDefault="007C1C9B" w:rsidP="007C1C9B">
      <w:pPr>
        <w:autoSpaceDE w:val="0"/>
        <w:autoSpaceDN w:val="0"/>
        <w:adjustRightInd w:val="0"/>
        <w:ind w:firstLine="284"/>
        <w:textAlignment w:val="center"/>
        <w:rPr>
          <w:iCs/>
          <w:szCs w:val="24"/>
          <w:lang w:eastAsia="ru-RU"/>
        </w:rPr>
      </w:pPr>
    </w:p>
    <w:p w:rsidR="007C1C9B" w:rsidRPr="007C1C9B" w:rsidRDefault="007C1C9B" w:rsidP="007C1C9B">
      <w:pPr>
        <w:autoSpaceDE w:val="0"/>
        <w:autoSpaceDN w:val="0"/>
        <w:adjustRightInd w:val="0"/>
        <w:ind w:firstLine="0"/>
        <w:textAlignment w:val="center"/>
        <w:rPr>
          <w:iCs/>
          <w:sz w:val="20"/>
          <w:szCs w:val="20"/>
          <w:lang w:eastAsia="ru-RU"/>
        </w:rPr>
      </w:pPr>
      <w:r w:rsidRPr="007C1C9B">
        <w:rPr>
          <w:iCs/>
          <w:sz w:val="20"/>
          <w:szCs w:val="20"/>
          <w:lang w:eastAsia="ru-RU"/>
        </w:rPr>
        <w:t>© Тимонина В.А., 2026</w:t>
      </w:r>
    </w:p>
    <w:p w:rsidR="007C1C9B" w:rsidRPr="00184E6C" w:rsidRDefault="007C1C9B" w:rsidP="00637EED">
      <w:pPr>
        <w:ind w:firstLine="0"/>
        <w:jc w:val="left"/>
        <w:rPr>
          <w:rFonts w:ascii="Arial" w:hAnsi="Arial" w:cs="Arial"/>
          <w:i/>
        </w:rPr>
      </w:pPr>
    </w:p>
    <w:p w:rsidR="00D2044D" w:rsidRDefault="00D2044D" w:rsidP="007C1C9B">
      <w:pPr>
        <w:ind w:firstLine="284"/>
      </w:pPr>
    </w:p>
    <w:p w:rsidR="007C1C9B" w:rsidRPr="007C1C9B" w:rsidRDefault="007C1C9B" w:rsidP="007C1C9B">
      <w:pPr>
        <w:ind w:firstLine="284"/>
      </w:pPr>
      <w:r w:rsidRPr="007C1C9B">
        <w:lastRenderedPageBreak/>
        <w:t xml:space="preserve">Показатель трудоустройства выпускников вузов, учитываемый в методиках определения интегрального показателя эффективности деятельности вуза, не только демонстрирует степень успешной интеграции подготовленных по востребованным направлениям/специальностям выпускников в профессиональную среду рынка труда, максимальное соответствие полученных в вузе их теоретических знаний и практических навыков кадровым потребностям предприятий экосистемы государства, но и отражает уровень кадровой безопасности страны [2, 3]. </w:t>
      </w:r>
    </w:p>
    <w:p w:rsidR="007C1C9B" w:rsidRPr="007C1C9B" w:rsidRDefault="007C1C9B" w:rsidP="007C1C9B">
      <w:pPr>
        <w:ind w:firstLine="284"/>
      </w:pPr>
      <w:r w:rsidRPr="007C1C9B">
        <w:t xml:space="preserve">Действительно, условия труда, востребованность той или иной профессии, а также деловая активность и экономическая стабильность региона определяют реальную возможность профильного трудоустройства для выпускников вузов, оказывают решающее влияние на готовность выпускников занимать ключевые позиции. Безусловно, необходимо учитывать, что современный рынок труда подвержен различным экономическим, социальным и технологическим вызовам, которые влияют на спрос и предложение рабочих мест. </w:t>
      </w:r>
    </w:p>
    <w:p w:rsidR="007C1C9B" w:rsidRPr="007C1C9B" w:rsidRDefault="007C1C9B" w:rsidP="007C1C9B">
      <w:pPr>
        <w:ind w:firstLine="284"/>
      </w:pPr>
      <w:r w:rsidRPr="007C1C9B">
        <w:t xml:space="preserve">Современные вызовы рынка труда требуют до 2030 года ежегодного привлечения в национальную экономику не менее двух миллионов квалифицированных работников, чтобы обеспечить потребности предприятий различных отраслей экономики в регионах России. С целью профессионального ориентирования абитуриентов при поступлении в вузы на востребованные направления подготовки и специальности, обеспечения их гарантированного трудоустройства после завершения обучения, в 2025 году впервые был подготовлен национальный рейтинг вузов, который продемонстрировал основные показатели рейтинга - долю трудоустроенных в первые годы после окончания обучения выпускников и уровень их дохода [4, 5]. </w:t>
      </w:r>
    </w:p>
    <w:p w:rsidR="007C1C9B" w:rsidRDefault="007C1C9B" w:rsidP="007C1C9B">
      <w:pPr>
        <w:ind w:firstLine="284"/>
      </w:pPr>
      <w:r w:rsidRPr="007C1C9B">
        <w:t xml:space="preserve">Многочисленные современные исследования показателя трудоустройства выпускников вузов, методических подходов к его определению позволили сделать вывод </w:t>
      </w:r>
      <w:r w:rsidRPr="007C1C9B">
        <w:lastRenderedPageBreak/>
        <w:t xml:space="preserve">о том, что вопрос эффективной и обоснованной оценки влияния того, как совокупность стратегических решений вуза влияет на своевременность, качество и профильность трудоустройства выпускников остается открытым. Настоящее исследование взаимосвязи между показателем трудоустройства выпускников и стратегическими моделями развития вузов позволяет выявить новые аспекты методического инструментария оценки показателей мониторинга эффективности деятельности высших учебных заведений. </w:t>
      </w:r>
    </w:p>
    <w:p w:rsidR="007C1C9B" w:rsidRPr="007C1C9B" w:rsidRDefault="007C1C9B" w:rsidP="007C1C9B">
      <w:pPr>
        <w:ind w:firstLine="284"/>
      </w:pPr>
    </w:p>
    <w:p w:rsidR="007C1C9B" w:rsidRPr="007C1C9B" w:rsidRDefault="007C1C9B" w:rsidP="007C1C9B">
      <w:pPr>
        <w:ind w:firstLine="284"/>
        <w:rPr>
          <w:b/>
        </w:rPr>
      </w:pPr>
      <w:r w:rsidRPr="007C1C9B">
        <w:rPr>
          <w:b/>
        </w:rPr>
        <w:t>Методологический анализ</w:t>
      </w:r>
    </w:p>
    <w:p w:rsidR="007C1C9B" w:rsidRPr="007C1C9B" w:rsidRDefault="007C1C9B" w:rsidP="007C1C9B">
      <w:pPr>
        <w:ind w:firstLine="284"/>
      </w:pPr>
      <w:r w:rsidRPr="007C1C9B">
        <w:t>С целью выявления особенностей действующих методик оценки показателей трудоустройства выпускников вузов в исследовании проведен сравнительный анализ методик расчета показателей, их использования при рейтинговании вузов, применительно к обоснованию совершенствования методического инструментария определения показателей мониторинга эффективности деятельности высших учебных заведений, а также формирования национальных комплексных рейтингов вузов.</w:t>
      </w:r>
    </w:p>
    <w:p w:rsidR="007C1C9B" w:rsidRPr="007C1C9B" w:rsidRDefault="007C1C9B" w:rsidP="007C1C9B">
      <w:pPr>
        <w:ind w:firstLine="284"/>
      </w:pPr>
      <w:r w:rsidRPr="007C1C9B">
        <w:t>Анализ трудоустройства выпускников вузов требует применения разнообразных методов, которые позволяют оценить, как количественные, так и качественные аспекты данного направления. К числу количественных методов можно отнести статистические подходы (дисперсия, ассиметрия, эксцесс, коэффициент вариации), которые на основе анализа данных о численности трудоустроенных выпускников, их распределения по отраслям и регионам помогают определить информативность показателей, сократить их размерность, привести к единой шкале измерения, рассчитать весовые коэффициенты.</w:t>
      </w:r>
    </w:p>
    <w:p w:rsidR="007C1C9B" w:rsidRPr="007C1C9B" w:rsidRDefault="007C1C9B" w:rsidP="007C1C9B">
      <w:pPr>
        <w:ind w:firstLine="284"/>
      </w:pPr>
      <w:r w:rsidRPr="007C1C9B">
        <w:t xml:space="preserve">Среди качественных методов следует выделить социологические: опросы и анкетирования выпускников. Эти инструменты позволяют получить информацию о субъективных оценках, степени удовлетворённости местом работы выпускников, </w:t>
      </w:r>
      <w:r w:rsidRPr="007C1C9B">
        <w:lastRenderedPageBreak/>
        <w:t>ожиданий относительно их будущей трудовой деятельности с целью выявления и прогнозирования кадровых потребностей, формирования перечня востребованных компетенций молодых специалистов, определения факторов профильного трудоустройства (по специальности).</w:t>
      </w:r>
    </w:p>
    <w:p w:rsidR="007C1C9B" w:rsidRPr="007C1C9B" w:rsidRDefault="007C1C9B" w:rsidP="007C1C9B">
      <w:pPr>
        <w:ind w:firstLine="284"/>
      </w:pPr>
      <w:r w:rsidRPr="007C1C9B">
        <w:t>Для анализа трудоустройства выпускников вузов используются и опросы работодателей, которые предоставляют данные о численности работающих, молодых кадрах, информации о предполагаемых вакансиях, требуемых компетенциях. Важно отметить, что полученную в результате опросов информацию, предполагается использовать для определения и расчёта основных индикаторов, характеризующих фактическое трудоустройство выпускников.</w:t>
      </w:r>
    </w:p>
    <w:p w:rsidR="007C1C9B" w:rsidRPr="007C1C9B" w:rsidRDefault="007C1C9B" w:rsidP="007C1C9B">
      <w:pPr>
        <w:ind w:firstLine="284"/>
      </w:pPr>
      <w:r w:rsidRPr="007C1C9B">
        <w:t>В процессе оценки трудоустройства выпускников используется совокупность количественных и качественных параметров, некоторые из последних сложно или невозможно измерить, такие как: оценка выпускниками и работодателями связи трудовой деятельности с полученным профилем подготовки/специальностью, оценка качества подготовки кандидата, способов поиска работы.</w:t>
      </w:r>
    </w:p>
    <w:p w:rsidR="007C1C9B" w:rsidRPr="007C1C9B" w:rsidRDefault="007C1C9B" w:rsidP="007C1C9B">
      <w:pPr>
        <w:ind w:firstLine="284"/>
      </w:pPr>
      <w:r w:rsidRPr="007C1C9B">
        <w:t xml:space="preserve">Учитывая вышесказанное, в процессе оценки трудоустройства необходима интеграция количественных и качественных методов [6]. Действительно, результаты опроса могут быть подкреплены статистическими данными о занятости в конкретных отраслях. Это дает возможность не только оценить текущую ситуацию, но и выявить определенные стратегические ориентиры учебного заведения. Кроме того, комбинирование подходов позволяет более точно определить причины низких показателей по трудоустройству выпускников. Применение количественных и качественных данных при анализе открывает новые возможности для разработки гибких образовательных программ, соответствующих актуальным потребностям рынка труда. </w:t>
      </w:r>
    </w:p>
    <w:p w:rsidR="007C1C9B" w:rsidRPr="007C1C9B" w:rsidRDefault="007C1C9B" w:rsidP="007C1C9B">
      <w:pPr>
        <w:ind w:firstLine="284"/>
      </w:pPr>
      <w:r w:rsidRPr="007C1C9B">
        <w:t xml:space="preserve">Современные методики, которые используются для определения показателя </w:t>
      </w:r>
      <w:r w:rsidRPr="007C1C9B">
        <w:lastRenderedPageBreak/>
        <w:t xml:space="preserve">трудоустройства выпускников вузов могут быть типовыми, многоуровневыми, основанными на рейтинговой системе или с использованием опросов. Типовая методика предполагает расчёт показателей, которые формируют ежегодные отчётные данные вуза в разрезе специальностей или направлений подготовки, например, доля трудоустроенных выпускников - процентное соотношение трудоустроенных выпускников, завершивших обучение по программам бакалавриата, специалитета и магистратуры, к общей численности выпускников; уровень трудоустройства выпускников, завершивших обучение по образовательным программам высшего образования, осуществляющих трудовую деятельность в течение одного года после выпуска </w:t>
      </w:r>
      <w:r>
        <w:t>–</w:t>
      </w:r>
      <w:r w:rsidRPr="007C1C9B">
        <w:t xml:space="preserve"> показатель, который характеризует долю выпускников, трудоустроенных в течение одного года после выпуска. </w:t>
      </w:r>
    </w:p>
    <w:p w:rsidR="007C1C9B" w:rsidRPr="007C1C9B" w:rsidRDefault="007C1C9B" w:rsidP="007C1C9B">
      <w:pPr>
        <w:ind w:firstLine="284"/>
      </w:pPr>
      <w:r w:rsidRPr="007C1C9B">
        <w:t>К недостаткам типовой методики можно отнести следующие: она базируется на информации государственных служб занятости населения, представляемой на определённую дату (на 31 декабря года выпуска анализируемых выпускников); основана на условном разделении выпускников на занятых и незанятых; не учитывает степень соответствия трудоустройства выпускников профилю и уровню их подготовки в вузе.</w:t>
      </w:r>
    </w:p>
    <w:p w:rsidR="007C1C9B" w:rsidRPr="007C1C9B" w:rsidRDefault="007C1C9B" w:rsidP="007C1C9B">
      <w:pPr>
        <w:ind w:firstLine="284"/>
      </w:pPr>
      <w:r w:rsidRPr="007C1C9B">
        <w:t xml:space="preserve">Метод многоуровневого анализа, предназначенного для выявления «сильных» и «слабых» образовательных программ учебного заведения, что в дальнейшем учитывается при распределении бюджетных мест, предполагает последовательную оценку уровня фактического трудоустройства, профильного трудоустройства - по полученной в вузе специальности или направлению подготовки и конкурентного профильного трудоустройства — оценка востребованности и конкурентоспособности выпускника вуза на рынке труда. </w:t>
      </w:r>
    </w:p>
    <w:p w:rsidR="007C1C9B" w:rsidRPr="007C1C9B" w:rsidRDefault="007C1C9B" w:rsidP="007C1C9B">
      <w:pPr>
        <w:ind w:firstLine="284"/>
      </w:pPr>
      <w:r w:rsidRPr="007C1C9B">
        <w:t xml:space="preserve">Следует более подробно рассмотреть методологию мониторинга трудоустройства выпускников, которая представляет собой систему принципов, методов и процедур, предназначенных для регулярной </w:t>
      </w:r>
      <w:r w:rsidRPr="007C1C9B">
        <w:lastRenderedPageBreak/>
        <w:t xml:space="preserve">оценки и анализа деятельности высшего учебного заведения. </w:t>
      </w:r>
    </w:p>
    <w:p w:rsidR="007C1C9B" w:rsidRPr="007C1C9B" w:rsidRDefault="007C1C9B" w:rsidP="007C1C9B">
      <w:pPr>
        <w:ind w:firstLine="284"/>
      </w:pPr>
      <w:r w:rsidRPr="007C1C9B">
        <w:t>Мониторинг трудоустройства выпускников появился в России в 2011 году по поручению Президента РФ, Министерство образования и науки РФ поручило Петрозаводскому государственному университету координацию научно-методической и консультационной работы по его разработке и проведению [9]. В 2012 году мониторинг трудоустройства выпускников используется во всех субъектах РФ.</w:t>
      </w:r>
    </w:p>
    <w:p w:rsidR="007C1C9B" w:rsidRPr="007C1C9B" w:rsidRDefault="007C1C9B" w:rsidP="007C1C9B">
      <w:pPr>
        <w:ind w:firstLine="284"/>
      </w:pPr>
      <w:r w:rsidRPr="007C1C9B">
        <w:t xml:space="preserve">Система комплексного мониторинга позволяет получать оперативные и достоверные данные о трудоустройстве выпускников, в том числе по полученной специальности, а также проводить их обработку, анализ и верификацию. </w:t>
      </w:r>
    </w:p>
    <w:p w:rsidR="007C1C9B" w:rsidRPr="007C1C9B" w:rsidRDefault="007C1C9B" w:rsidP="007C1C9B">
      <w:pPr>
        <w:ind w:firstLine="284"/>
      </w:pPr>
      <w:r w:rsidRPr="007C1C9B">
        <w:t>Методология составления рейтинга вузов представляет собой систему правил и процедур, используемых для оценки и сравнения качества и эффективности деятельности высших учебных заведений. В 2025 году был сформирован первый официальный рейтинг вузов и колледжей, который отражает показатели трудоустройства и уровня заработной платы выпускников образовательных учреждений по прошествии двух лет после окончания обучения [4, 5]. Рейтинг, отражающий уровень успешности и эффективности трудоустройства выпускников, публикуется на портале «Работа в России» и основан на фактических данных об участии выпускников в национальном рынке труда. Отметим, что рейтинговая методика позволяет оценить один параметр - востребованность выпускников того или иного направления подготовки на рынке труда.</w:t>
      </w:r>
    </w:p>
    <w:p w:rsidR="007C1C9B" w:rsidRPr="007C1C9B" w:rsidRDefault="007C1C9B" w:rsidP="007C1C9B">
      <w:pPr>
        <w:ind w:firstLine="284"/>
      </w:pPr>
      <w:r w:rsidRPr="007C1C9B">
        <w:t xml:space="preserve">Национальные рейтинги по трудоустройству выпускников рассчитаны на основе сведений Рособрнадзора о выпускниках очной формы обучения, данных по уровню их трудоустройства на второй год после завершения обучения и медианной заработной платы за этот период. Рейтинги рассчитаны по областям и уровням образования (для высшего образования) и отраслевому принципу (для среднего профессионального образования) [4, 5].  </w:t>
      </w:r>
    </w:p>
    <w:p w:rsidR="007C1C9B" w:rsidRPr="007C1C9B" w:rsidRDefault="007C1C9B" w:rsidP="007C1C9B">
      <w:pPr>
        <w:ind w:firstLine="284"/>
      </w:pPr>
      <w:r w:rsidRPr="007C1C9B">
        <w:lastRenderedPageBreak/>
        <w:t xml:space="preserve">В основе построения рейтинга вузов заложена методология определения двух ключевых показателей: среднемесячная медианная заработная плата выпускников и доля трудоустроившихся выпускников очной формы обучения на второй год после выпуска. Федеральная служба по надзору в сфере образования и науки аккумулирует информацию о количестве выпускников, направлениях подготовки и специальностях. Социальный Фонд России добавляет сведения о занятости и доходах выпускников, которые Роструд использует для формирования итогового рейтинга. </w:t>
      </w:r>
    </w:p>
    <w:p w:rsidR="007C1C9B" w:rsidRPr="007C1C9B" w:rsidRDefault="007C1C9B" w:rsidP="007C1C9B">
      <w:pPr>
        <w:ind w:firstLine="284"/>
      </w:pPr>
      <w:r w:rsidRPr="007C1C9B">
        <w:t>До формирования национального рейтинга вузов информация по данному показателю была представлена в мониторинге по основным направлениям деятельности образовательной организации высшего образования в пункте 2.4.10. «Сведения о послев</w:t>
      </w:r>
      <w:r>
        <w:t>узовской занятости выпускников»</w:t>
      </w:r>
      <w:r w:rsidRPr="007C1C9B">
        <w:t xml:space="preserve"> [6]</w:t>
      </w:r>
      <w:r>
        <w:t>.</w:t>
      </w:r>
      <w:r w:rsidRPr="007C1C9B">
        <w:t xml:space="preserve"> В 2025 году данный пункт исключили из мониторинга.</w:t>
      </w:r>
    </w:p>
    <w:p w:rsidR="007C1C9B" w:rsidRPr="007C1C9B" w:rsidRDefault="007C1C9B" w:rsidP="007C1C9B">
      <w:pPr>
        <w:ind w:firstLine="284"/>
      </w:pPr>
      <w:r w:rsidRPr="007C1C9B">
        <w:t xml:space="preserve">В настоящее время методика рейтинга прошла широкое обсуждение с участием образовательного и экспертного сообщества. Одним из главных критериев оценки является именно трудоустройство выпускников, что подчеркивает его значимость при оценке эффективности стратегического управления высшим учебным заведением. </w:t>
      </w:r>
    </w:p>
    <w:p w:rsidR="007C1C9B" w:rsidRPr="007C1C9B" w:rsidRDefault="007C1C9B" w:rsidP="007C1C9B">
      <w:pPr>
        <w:ind w:firstLine="284"/>
      </w:pPr>
      <w:r w:rsidRPr="007C1C9B">
        <w:t>Учитывая, что данный рейтинг позволяет и абитуриентам принимать обоснованные решения относительно выбора учебного заведения, основываясь на проверенных данных о возможностях трудоустройства выпускников, можно утверждать о его важной роли в формировании образовательными организациями эффективной системной работы с выпускниками и работодателями, позволяющей обеспечивать дополнительные возможности профильного трудоустройства.</w:t>
      </w:r>
    </w:p>
    <w:p w:rsidR="007C1C9B" w:rsidRPr="007C1C9B" w:rsidRDefault="007C1C9B" w:rsidP="007C1C9B">
      <w:pPr>
        <w:ind w:firstLine="284"/>
      </w:pPr>
      <w:r w:rsidRPr="007C1C9B">
        <w:t xml:space="preserve">Анализ методик оценки показателей трудоустройства выпускников вузов становится особенно актуальным на фоне усиливающегося внимания к интеграции принципов </w:t>
      </w:r>
      <w:r w:rsidRPr="007C1C9B">
        <w:rPr>
          <w:lang w:val="en-US"/>
        </w:rPr>
        <w:t>ESG</w:t>
      </w:r>
      <w:r w:rsidRPr="007C1C9B">
        <w:t xml:space="preserve"> - принципов экологиче</w:t>
      </w:r>
      <w:r w:rsidRPr="007C1C9B">
        <w:lastRenderedPageBreak/>
        <w:t xml:space="preserve">ского, социального и корпоративного управления в образовательной сфере [7]. </w:t>
      </w:r>
    </w:p>
    <w:p w:rsidR="007C1C9B" w:rsidRPr="007C1C9B" w:rsidRDefault="007C1C9B" w:rsidP="007C1C9B">
      <w:pPr>
        <w:ind w:firstLine="284"/>
      </w:pPr>
      <w:r w:rsidRPr="007C1C9B">
        <w:t xml:space="preserve">Концепция </w:t>
      </w:r>
      <w:r w:rsidRPr="007C1C9B">
        <w:rPr>
          <w:lang w:val="en-US"/>
        </w:rPr>
        <w:t>ESG</w:t>
      </w:r>
      <w:r w:rsidRPr="007C1C9B">
        <w:t xml:space="preserve"> изначально сформировалась в корпоративной и инвестиционной среде как система оценки деятельности организаций с точки зрения экологической ответственности, социальной справедливости и качества управления. В контексте высшего образования эти три составляющие трансформируются и принимают особое значение в формировании долгосрочной стратегии вуза.</w:t>
      </w:r>
    </w:p>
    <w:p w:rsidR="007C1C9B" w:rsidRPr="007C1C9B" w:rsidRDefault="007C1C9B" w:rsidP="007C1C9B">
      <w:pPr>
        <w:ind w:firstLine="284"/>
      </w:pPr>
      <w:r w:rsidRPr="007C1C9B">
        <w:t xml:space="preserve">Методика </w:t>
      </w:r>
      <w:r w:rsidRPr="007C1C9B">
        <w:rPr>
          <w:lang w:val="en-US"/>
        </w:rPr>
        <w:t>ESG</w:t>
      </w:r>
      <w:r w:rsidRPr="007C1C9B">
        <w:t xml:space="preserve"> применительно к вузам предназначена для оценки экологической, социальной и управленческой устойчивости образовательных организаций, что позволяет объективно оценить вклад вузов в устойчивое развитие и социальное благополучие общества. При выборе показателей определяются ключевые метрики для каждой составляющей данной методики – экологическое воздействие, социаль</w:t>
      </w:r>
      <w:r w:rsidRPr="007C1C9B">
        <w:lastRenderedPageBreak/>
        <w:t>ная ответственность, управление. Для сбора данных используются публичные отчётности вузов, официальные статистические данные, опросы обучающихся и научно-педагогических работников. Данная методика учитывает региональные особенности и специфику вуза. Методология рейтинга определяются оценкой следующих факторов с учетом их удельных весов: образование и исследования в сфере устойчивого развития – 45%, соответствие принципам устойчивого развития -30%, просвещение и популяризация знаний в сфере устойчивого развития – 25% [10]</w:t>
      </w:r>
      <w:r w:rsidR="00D2044D">
        <w:t>.</w:t>
      </w:r>
    </w:p>
    <w:p w:rsidR="007C1C9B" w:rsidRPr="007C1C9B" w:rsidRDefault="007C1C9B" w:rsidP="007C1C9B">
      <w:pPr>
        <w:ind w:firstLine="284"/>
      </w:pPr>
      <w:r w:rsidRPr="007C1C9B">
        <w:t>Первый рейтинг ответственности в сфере устойчивого развития выявил семь лидирующих вузов, интегральные показатели варьируются в рейтинговых классах от очень высокого уровня (АА) до приемлемого уровня (В) (табл</w:t>
      </w:r>
      <w:r>
        <w:t>.</w:t>
      </w:r>
      <w:r w:rsidRPr="007C1C9B">
        <w:t xml:space="preserve"> 1) [10]. </w:t>
      </w:r>
    </w:p>
    <w:p w:rsidR="007C1C9B" w:rsidRDefault="007C1C9B" w:rsidP="007C1C9B">
      <w:pPr>
        <w:ind w:firstLine="0"/>
        <w:jc w:val="left"/>
        <w:rPr>
          <w:rFonts w:ascii="Arial" w:hAnsi="Arial" w:cs="Arial"/>
          <w:i/>
        </w:rPr>
        <w:sectPr w:rsidR="007C1C9B" w:rsidSect="007C1C9B">
          <w:footnotePr>
            <w:numRestart w:val="eachPage"/>
          </w:footnotePr>
          <w:type w:val="continuous"/>
          <w:pgSz w:w="11907" w:h="16840" w:code="9"/>
          <w:pgMar w:top="1418" w:right="1134" w:bottom="1418" w:left="1134" w:header="1021" w:footer="1021" w:gutter="0"/>
          <w:cols w:num="2" w:space="708"/>
          <w:docGrid w:linePitch="360"/>
        </w:sectPr>
      </w:pPr>
    </w:p>
    <w:p w:rsidR="00D2044D" w:rsidRPr="00D2044D" w:rsidRDefault="00D2044D" w:rsidP="00D2044D">
      <w:pPr>
        <w:ind w:firstLine="0"/>
        <w:jc w:val="right"/>
        <w:rPr>
          <w:rFonts w:ascii="Arial" w:hAnsi="Arial" w:cs="Arial"/>
          <w:i/>
          <w:sz w:val="22"/>
          <w:szCs w:val="22"/>
        </w:rPr>
      </w:pPr>
      <w:r w:rsidRPr="00D2044D">
        <w:rPr>
          <w:rFonts w:ascii="Arial" w:hAnsi="Arial" w:cs="Arial"/>
          <w:i/>
          <w:sz w:val="22"/>
          <w:szCs w:val="22"/>
        </w:rPr>
        <w:lastRenderedPageBreak/>
        <w:t>Таблица 1</w:t>
      </w:r>
    </w:p>
    <w:p w:rsidR="007C1C9B" w:rsidRPr="00D2044D" w:rsidRDefault="00D2044D" w:rsidP="00D2044D">
      <w:pPr>
        <w:ind w:firstLine="0"/>
        <w:jc w:val="center"/>
        <w:rPr>
          <w:rFonts w:ascii="Arial" w:hAnsi="Arial" w:cs="Arial"/>
          <w:i/>
          <w:sz w:val="22"/>
          <w:szCs w:val="22"/>
        </w:rPr>
      </w:pPr>
      <w:r w:rsidRPr="00D2044D">
        <w:rPr>
          <w:rFonts w:ascii="Arial" w:hAnsi="Arial" w:cs="Arial"/>
          <w:i/>
          <w:sz w:val="22"/>
          <w:szCs w:val="22"/>
        </w:rPr>
        <w:t>Рейтинг-лист университетов по уровню ответственнос</w:t>
      </w:r>
      <w:r>
        <w:rPr>
          <w:rFonts w:ascii="Arial" w:hAnsi="Arial" w:cs="Arial"/>
          <w:i/>
          <w:sz w:val="22"/>
          <w:szCs w:val="22"/>
        </w:rPr>
        <w:t>ти в сфере устойчивого развития</w:t>
      </w:r>
    </w:p>
    <w:tbl>
      <w:tblPr>
        <w:tblStyle w:val="afa"/>
        <w:tblW w:w="9415" w:type="dxa"/>
        <w:jc w:val="center"/>
        <w:tblLayout w:type="fixed"/>
        <w:tblLook w:val="04A0" w:firstRow="1" w:lastRow="0" w:firstColumn="1" w:lastColumn="0" w:noHBand="0" w:noVBand="1"/>
      </w:tblPr>
      <w:tblGrid>
        <w:gridCol w:w="4536"/>
        <w:gridCol w:w="2031"/>
        <w:gridCol w:w="2848"/>
      </w:tblGrid>
      <w:tr w:rsidR="00D2044D" w:rsidRPr="00562047" w:rsidTr="00D2044D">
        <w:trPr>
          <w:trHeight w:val="262"/>
          <w:jc w:val="center"/>
        </w:trPr>
        <w:tc>
          <w:tcPr>
            <w:tcW w:w="4536" w:type="dxa"/>
          </w:tcPr>
          <w:p w:rsidR="00D2044D" w:rsidRPr="00562047" w:rsidRDefault="00D2044D" w:rsidP="00D2044D">
            <w:pPr>
              <w:ind w:firstLine="0"/>
              <w:jc w:val="center"/>
              <w:rPr>
                <w:sz w:val="20"/>
                <w:szCs w:val="20"/>
              </w:rPr>
            </w:pPr>
          </w:p>
          <w:p w:rsidR="00D2044D" w:rsidRPr="00562047" w:rsidRDefault="00D2044D" w:rsidP="00D2044D">
            <w:pPr>
              <w:ind w:firstLine="0"/>
              <w:jc w:val="center"/>
              <w:rPr>
                <w:sz w:val="20"/>
                <w:szCs w:val="20"/>
              </w:rPr>
            </w:pPr>
            <w:r w:rsidRPr="00562047">
              <w:rPr>
                <w:sz w:val="20"/>
                <w:szCs w:val="20"/>
              </w:rPr>
              <w:t>Университет</w:t>
            </w:r>
          </w:p>
        </w:tc>
        <w:tc>
          <w:tcPr>
            <w:tcW w:w="2031" w:type="dxa"/>
          </w:tcPr>
          <w:p w:rsidR="00D2044D" w:rsidRPr="00562047" w:rsidRDefault="00D2044D" w:rsidP="00D2044D">
            <w:pPr>
              <w:ind w:firstLine="0"/>
              <w:jc w:val="center"/>
              <w:rPr>
                <w:sz w:val="20"/>
                <w:szCs w:val="20"/>
              </w:rPr>
            </w:pPr>
            <w:r w:rsidRPr="00562047">
              <w:rPr>
                <w:sz w:val="20"/>
                <w:szCs w:val="20"/>
              </w:rPr>
              <w:t>Рейтинг ответственности в сфере устойчивого развития</w:t>
            </w:r>
          </w:p>
        </w:tc>
        <w:tc>
          <w:tcPr>
            <w:tcW w:w="2848" w:type="dxa"/>
          </w:tcPr>
          <w:p w:rsidR="00D2044D" w:rsidRPr="00562047" w:rsidRDefault="00D2044D" w:rsidP="00D2044D">
            <w:pPr>
              <w:ind w:firstLine="0"/>
              <w:jc w:val="center"/>
              <w:rPr>
                <w:sz w:val="20"/>
                <w:szCs w:val="20"/>
              </w:rPr>
            </w:pPr>
            <w:r w:rsidRPr="00562047">
              <w:rPr>
                <w:sz w:val="20"/>
                <w:szCs w:val="20"/>
              </w:rPr>
              <w:t>Рейтинговый класс</w:t>
            </w:r>
          </w:p>
        </w:tc>
      </w:tr>
      <w:tr w:rsidR="00D2044D" w:rsidRPr="00562047" w:rsidTr="00D2044D">
        <w:trPr>
          <w:trHeight w:val="266"/>
          <w:jc w:val="center"/>
        </w:trPr>
        <w:tc>
          <w:tcPr>
            <w:tcW w:w="4536" w:type="dxa"/>
          </w:tcPr>
          <w:p w:rsidR="00D2044D" w:rsidRPr="00562047" w:rsidRDefault="00D2044D" w:rsidP="00D2044D">
            <w:pPr>
              <w:ind w:firstLine="0"/>
              <w:rPr>
                <w:sz w:val="20"/>
                <w:szCs w:val="20"/>
              </w:rPr>
            </w:pPr>
            <w:r w:rsidRPr="00562047">
              <w:rPr>
                <w:sz w:val="20"/>
                <w:szCs w:val="20"/>
              </w:rPr>
              <w:t>Российская академия народного хозяйства и государственной службы при Президенте Российской Федерации</w:t>
            </w:r>
          </w:p>
        </w:tc>
        <w:tc>
          <w:tcPr>
            <w:tcW w:w="2031" w:type="dxa"/>
          </w:tcPr>
          <w:p w:rsidR="00D2044D" w:rsidRPr="00562047" w:rsidRDefault="00D2044D" w:rsidP="00D2044D">
            <w:pPr>
              <w:ind w:firstLine="0"/>
              <w:jc w:val="center"/>
              <w:rPr>
                <w:sz w:val="20"/>
                <w:szCs w:val="20"/>
              </w:rPr>
            </w:pPr>
            <w:r w:rsidRPr="00562047">
              <w:rPr>
                <w:sz w:val="20"/>
                <w:szCs w:val="20"/>
              </w:rPr>
              <w:t>АА</w:t>
            </w:r>
          </w:p>
        </w:tc>
        <w:tc>
          <w:tcPr>
            <w:tcW w:w="2848" w:type="dxa"/>
          </w:tcPr>
          <w:p w:rsidR="00D2044D" w:rsidRPr="00562047" w:rsidRDefault="00D2044D" w:rsidP="00D2044D">
            <w:pPr>
              <w:ind w:firstLine="0"/>
              <w:rPr>
                <w:sz w:val="20"/>
                <w:szCs w:val="20"/>
              </w:rPr>
            </w:pPr>
            <w:r w:rsidRPr="00562047">
              <w:rPr>
                <w:sz w:val="20"/>
                <w:szCs w:val="20"/>
              </w:rPr>
              <w:t>Очень высокий уровень</w:t>
            </w:r>
          </w:p>
          <w:p w:rsidR="00D2044D" w:rsidRPr="00562047" w:rsidRDefault="00D2044D" w:rsidP="00D2044D">
            <w:pPr>
              <w:ind w:firstLine="0"/>
              <w:rPr>
                <w:sz w:val="20"/>
                <w:szCs w:val="20"/>
              </w:rPr>
            </w:pPr>
            <w:r w:rsidRPr="00562047">
              <w:rPr>
                <w:sz w:val="20"/>
                <w:szCs w:val="20"/>
              </w:rPr>
              <w:t>ответственности</w:t>
            </w:r>
          </w:p>
        </w:tc>
      </w:tr>
      <w:tr w:rsidR="00D2044D" w:rsidRPr="00562047" w:rsidTr="00D2044D">
        <w:trPr>
          <w:trHeight w:val="171"/>
          <w:jc w:val="center"/>
        </w:trPr>
        <w:tc>
          <w:tcPr>
            <w:tcW w:w="4536" w:type="dxa"/>
          </w:tcPr>
          <w:p w:rsidR="00D2044D" w:rsidRPr="00562047" w:rsidRDefault="00D2044D" w:rsidP="00D2044D">
            <w:pPr>
              <w:ind w:firstLine="0"/>
              <w:rPr>
                <w:sz w:val="20"/>
                <w:szCs w:val="20"/>
              </w:rPr>
            </w:pPr>
            <w:r w:rsidRPr="00562047">
              <w:rPr>
                <w:sz w:val="20"/>
                <w:szCs w:val="20"/>
              </w:rPr>
              <w:t>Российский университет дружбы народов имени Патриса Лумумбы</w:t>
            </w:r>
          </w:p>
        </w:tc>
        <w:tc>
          <w:tcPr>
            <w:tcW w:w="2031" w:type="dxa"/>
          </w:tcPr>
          <w:p w:rsidR="00D2044D" w:rsidRPr="00562047" w:rsidRDefault="00D2044D" w:rsidP="00D2044D">
            <w:pPr>
              <w:ind w:firstLine="0"/>
              <w:jc w:val="center"/>
              <w:rPr>
                <w:sz w:val="20"/>
                <w:szCs w:val="20"/>
              </w:rPr>
            </w:pPr>
            <w:r w:rsidRPr="00562047">
              <w:rPr>
                <w:sz w:val="20"/>
                <w:szCs w:val="20"/>
              </w:rPr>
              <w:t>АА</w:t>
            </w:r>
          </w:p>
        </w:tc>
        <w:tc>
          <w:tcPr>
            <w:tcW w:w="2848" w:type="dxa"/>
          </w:tcPr>
          <w:p w:rsidR="00D2044D" w:rsidRPr="00562047" w:rsidRDefault="00D2044D" w:rsidP="00D2044D">
            <w:pPr>
              <w:ind w:firstLine="0"/>
              <w:rPr>
                <w:sz w:val="20"/>
                <w:szCs w:val="20"/>
              </w:rPr>
            </w:pPr>
            <w:r w:rsidRPr="00562047">
              <w:rPr>
                <w:sz w:val="20"/>
                <w:szCs w:val="20"/>
              </w:rPr>
              <w:t>Очень высокий уровень</w:t>
            </w:r>
          </w:p>
          <w:p w:rsidR="00D2044D" w:rsidRPr="00562047" w:rsidRDefault="00D2044D" w:rsidP="00D2044D">
            <w:pPr>
              <w:ind w:firstLine="0"/>
              <w:rPr>
                <w:sz w:val="20"/>
                <w:szCs w:val="20"/>
              </w:rPr>
            </w:pPr>
            <w:r w:rsidRPr="00562047">
              <w:rPr>
                <w:sz w:val="20"/>
                <w:szCs w:val="20"/>
              </w:rPr>
              <w:t>ответственности</w:t>
            </w:r>
          </w:p>
        </w:tc>
      </w:tr>
      <w:tr w:rsidR="00D2044D" w:rsidRPr="00562047" w:rsidTr="00D2044D">
        <w:trPr>
          <w:trHeight w:val="176"/>
          <w:jc w:val="center"/>
        </w:trPr>
        <w:tc>
          <w:tcPr>
            <w:tcW w:w="4536" w:type="dxa"/>
          </w:tcPr>
          <w:p w:rsidR="00D2044D" w:rsidRPr="00562047" w:rsidRDefault="00D2044D" w:rsidP="00D2044D">
            <w:pPr>
              <w:ind w:firstLine="0"/>
              <w:rPr>
                <w:sz w:val="20"/>
                <w:szCs w:val="20"/>
              </w:rPr>
            </w:pPr>
            <w:r w:rsidRPr="00562047">
              <w:rPr>
                <w:sz w:val="20"/>
                <w:szCs w:val="20"/>
              </w:rPr>
              <w:t>Университет науки и технологий МИСИС</w:t>
            </w:r>
          </w:p>
        </w:tc>
        <w:tc>
          <w:tcPr>
            <w:tcW w:w="2031" w:type="dxa"/>
          </w:tcPr>
          <w:p w:rsidR="00D2044D" w:rsidRPr="00562047" w:rsidRDefault="00D2044D" w:rsidP="00D2044D">
            <w:pPr>
              <w:ind w:firstLine="0"/>
              <w:jc w:val="center"/>
              <w:rPr>
                <w:sz w:val="20"/>
                <w:szCs w:val="20"/>
              </w:rPr>
            </w:pPr>
            <w:r w:rsidRPr="00562047">
              <w:rPr>
                <w:sz w:val="20"/>
                <w:szCs w:val="20"/>
              </w:rPr>
              <w:t>А</w:t>
            </w:r>
          </w:p>
        </w:tc>
        <w:tc>
          <w:tcPr>
            <w:tcW w:w="2848" w:type="dxa"/>
          </w:tcPr>
          <w:p w:rsidR="00D2044D" w:rsidRPr="00562047" w:rsidRDefault="00D2044D" w:rsidP="00D2044D">
            <w:pPr>
              <w:ind w:firstLine="0"/>
              <w:rPr>
                <w:sz w:val="20"/>
                <w:szCs w:val="20"/>
              </w:rPr>
            </w:pPr>
            <w:r w:rsidRPr="00562047">
              <w:rPr>
                <w:sz w:val="20"/>
                <w:szCs w:val="20"/>
              </w:rPr>
              <w:t>Высокий уровень</w:t>
            </w:r>
          </w:p>
          <w:p w:rsidR="00D2044D" w:rsidRPr="00562047" w:rsidRDefault="00D2044D" w:rsidP="00D2044D">
            <w:pPr>
              <w:ind w:firstLine="0"/>
              <w:rPr>
                <w:sz w:val="20"/>
                <w:szCs w:val="20"/>
              </w:rPr>
            </w:pPr>
            <w:r w:rsidRPr="00562047">
              <w:rPr>
                <w:sz w:val="20"/>
                <w:szCs w:val="20"/>
              </w:rPr>
              <w:t>ответственности</w:t>
            </w:r>
          </w:p>
        </w:tc>
      </w:tr>
      <w:tr w:rsidR="00D2044D" w:rsidRPr="00562047" w:rsidTr="00D2044D">
        <w:trPr>
          <w:trHeight w:val="43"/>
          <w:jc w:val="center"/>
        </w:trPr>
        <w:tc>
          <w:tcPr>
            <w:tcW w:w="4536" w:type="dxa"/>
          </w:tcPr>
          <w:p w:rsidR="00D2044D" w:rsidRPr="00562047" w:rsidRDefault="00D2044D" w:rsidP="00D2044D">
            <w:pPr>
              <w:ind w:firstLine="0"/>
              <w:rPr>
                <w:sz w:val="20"/>
                <w:szCs w:val="20"/>
              </w:rPr>
            </w:pPr>
            <w:r w:rsidRPr="00562047">
              <w:rPr>
                <w:sz w:val="20"/>
                <w:szCs w:val="20"/>
              </w:rPr>
              <w:t>Уральский федеральный университет имени первого Президента России Б. Н. Ельцина</w:t>
            </w:r>
          </w:p>
        </w:tc>
        <w:tc>
          <w:tcPr>
            <w:tcW w:w="2031" w:type="dxa"/>
          </w:tcPr>
          <w:p w:rsidR="00D2044D" w:rsidRPr="00562047" w:rsidRDefault="00D2044D" w:rsidP="00D2044D">
            <w:pPr>
              <w:ind w:firstLine="0"/>
              <w:jc w:val="center"/>
              <w:rPr>
                <w:sz w:val="20"/>
                <w:szCs w:val="20"/>
              </w:rPr>
            </w:pPr>
            <w:r w:rsidRPr="00562047">
              <w:rPr>
                <w:sz w:val="20"/>
                <w:szCs w:val="20"/>
              </w:rPr>
              <w:t>А</w:t>
            </w:r>
          </w:p>
        </w:tc>
        <w:tc>
          <w:tcPr>
            <w:tcW w:w="2848" w:type="dxa"/>
          </w:tcPr>
          <w:p w:rsidR="00D2044D" w:rsidRPr="00562047" w:rsidRDefault="00D2044D" w:rsidP="00D2044D">
            <w:pPr>
              <w:ind w:firstLine="0"/>
              <w:rPr>
                <w:sz w:val="20"/>
                <w:szCs w:val="20"/>
              </w:rPr>
            </w:pPr>
            <w:r w:rsidRPr="00562047">
              <w:rPr>
                <w:sz w:val="20"/>
                <w:szCs w:val="20"/>
              </w:rPr>
              <w:t>Высокий уровень ответственности</w:t>
            </w:r>
          </w:p>
        </w:tc>
      </w:tr>
      <w:tr w:rsidR="00D2044D" w:rsidRPr="00562047" w:rsidTr="00D2044D">
        <w:trPr>
          <w:trHeight w:val="43"/>
          <w:jc w:val="center"/>
        </w:trPr>
        <w:tc>
          <w:tcPr>
            <w:tcW w:w="4536" w:type="dxa"/>
          </w:tcPr>
          <w:p w:rsidR="00D2044D" w:rsidRPr="00562047" w:rsidRDefault="00D2044D" w:rsidP="00D2044D">
            <w:pPr>
              <w:ind w:firstLine="0"/>
              <w:rPr>
                <w:sz w:val="20"/>
                <w:szCs w:val="20"/>
              </w:rPr>
            </w:pPr>
            <w:r w:rsidRPr="00562047">
              <w:rPr>
                <w:sz w:val="20"/>
                <w:szCs w:val="20"/>
              </w:rPr>
              <w:t>Российский университет транспорта</w:t>
            </w:r>
          </w:p>
        </w:tc>
        <w:tc>
          <w:tcPr>
            <w:tcW w:w="2031" w:type="dxa"/>
          </w:tcPr>
          <w:p w:rsidR="00D2044D" w:rsidRPr="00562047" w:rsidRDefault="00D2044D" w:rsidP="00D2044D">
            <w:pPr>
              <w:ind w:firstLine="0"/>
              <w:jc w:val="center"/>
              <w:rPr>
                <w:sz w:val="20"/>
                <w:szCs w:val="20"/>
              </w:rPr>
            </w:pPr>
            <w:r w:rsidRPr="00562047">
              <w:rPr>
                <w:sz w:val="20"/>
                <w:szCs w:val="20"/>
              </w:rPr>
              <w:t>ВВ</w:t>
            </w:r>
          </w:p>
        </w:tc>
        <w:tc>
          <w:tcPr>
            <w:tcW w:w="2848" w:type="dxa"/>
          </w:tcPr>
          <w:p w:rsidR="00D2044D" w:rsidRPr="00562047" w:rsidRDefault="00D2044D" w:rsidP="00D2044D">
            <w:pPr>
              <w:ind w:firstLine="0"/>
              <w:rPr>
                <w:sz w:val="20"/>
                <w:szCs w:val="20"/>
              </w:rPr>
            </w:pPr>
            <w:r w:rsidRPr="00562047">
              <w:rPr>
                <w:sz w:val="20"/>
                <w:szCs w:val="20"/>
              </w:rPr>
              <w:t>Удовлетворительный уровень ответственности</w:t>
            </w:r>
          </w:p>
        </w:tc>
      </w:tr>
      <w:tr w:rsidR="00D2044D" w:rsidRPr="00562047" w:rsidTr="00D2044D">
        <w:trPr>
          <w:trHeight w:val="43"/>
          <w:jc w:val="center"/>
        </w:trPr>
        <w:tc>
          <w:tcPr>
            <w:tcW w:w="4536" w:type="dxa"/>
          </w:tcPr>
          <w:p w:rsidR="00D2044D" w:rsidRPr="00562047" w:rsidRDefault="00D2044D" w:rsidP="00D2044D">
            <w:pPr>
              <w:ind w:firstLine="0"/>
              <w:rPr>
                <w:sz w:val="20"/>
                <w:szCs w:val="20"/>
              </w:rPr>
            </w:pPr>
            <w:r w:rsidRPr="00562047">
              <w:rPr>
                <w:sz w:val="20"/>
                <w:szCs w:val="20"/>
              </w:rPr>
              <w:t>Северо-Кавказский федеральный университет</w:t>
            </w:r>
          </w:p>
        </w:tc>
        <w:tc>
          <w:tcPr>
            <w:tcW w:w="2031" w:type="dxa"/>
          </w:tcPr>
          <w:p w:rsidR="00D2044D" w:rsidRPr="00562047" w:rsidRDefault="00D2044D" w:rsidP="00D2044D">
            <w:pPr>
              <w:ind w:firstLine="0"/>
              <w:jc w:val="center"/>
              <w:rPr>
                <w:sz w:val="20"/>
                <w:szCs w:val="20"/>
              </w:rPr>
            </w:pPr>
            <w:r w:rsidRPr="00562047">
              <w:rPr>
                <w:sz w:val="20"/>
                <w:szCs w:val="20"/>
              </w:rPr>
              <w:t>ВВ</w:t>
            </w:r>
          </w:p>
        </w:tc>
        <w:tc>
          <w:tcPr>
            <w:tcW w:w="2848" w:type="dxa"/>
          </w:tcPr>
          <w:p w:rsidR="00D2044D" w:rsidRPr="00562047" w:rsidRDefault="00D2044D" w:rsidP="00D2044D">
            <w:pPr>
              <w:ind w:firstLine="0"/>
              <w:rPr>
                <w:sz w:val="20"/>
                <w:szCs w:val="20"/>
              </w:rPr>
            </w:pPr>
            <w:r w:rsidRPr="00562047">
              <w:rPr>
                <w:sz w:val="20"/>
                <w:szCs w:val="20"/>
              </w:rPr>
              <w:t>Удовлетворительный уровень ответственности</w:t>
            </w:r>
          </w:p>
        </w:tc>
      </w:tr>
      <w:tr w:rsidR="00D2044D" w:rsidRPr="00562047" w:rsidTr="00D2044D">
        <w:trPr>
          <w:trHeight w:val="43"/>
          <w:jc w:val="center"/>
        </w:trPr>
        <w:tc>
          <w:tcPr>
            <w:tcW w:w="4536" w:type="dxa"/>
          </w:tcPr>
          <w:p w:rsidR="00D2044D" w:rsidRPr="00562047" w:rsidRDefault="00D2044D" w:rsidP="00D2044D">
            <w:pPr>
              <w:ind w:firstLine="0"/>
              <w:rPr>
                <w:sz w:val="20"/>
                <w:szCs w:val="20"/>
              </w:rPr>
            </w:pPr>
            <w:r w:rsidRPr="00562047">
              <w:rPr>
                <w:sz w:val="20"/>
                <w:szCs w:val="20"/>
              </w:rPr>
              <w:t>Кабардино-Балкарский государственный университет им. Х. М. Бербекова</w:t>
            </w:r>
          </w:p>
        </w:tc>
        <w:tc>
          <w:tcPr>
            <w:tcW w:w="2031" w:type="dxa"/>
          </w:tcPr>
          <w:p w:rsidR="00D2044D" w:rsidRPr="00562047" w:rsidRDefault="00D2044D" w:rsidP="00D2044D">
            <w:pPr>
              <w:ind w:firstLine="0"/>
              <w:jc w:val="center"/>
              <w:rPr>
                <w:sz w:val="20"/>
                <w:szCs w:val="20"/>
              </w:rPr>
            </w:pPr>
            <w:r w:rsidRPr="00562047">
              <w:rPr>
                <w:sz w:val="20"/>
                <w:szCs w:val="20"/>
              </w:rPr>
              <w:t>В</w:t>
            </w:r>
          </w:p>
        </w:tc>
        <w:tc>
          <w:tcPr>
            <w:tcW w:w="2848" w:type="dxa"/>
          </w:tcPr>
          <w:p w:rsidR="00D2044D" w:rsidRPr="00562047" w:rsidRDefault="00D2044D" w:rsidP="00D2044D">
            <w:pPr>
              <w:ind w:firstLine="0"/>
              <w:rPr>
                <w:sz w:val="20"/>
                <w:szCs w:val="20"/>
              </w:rPr>
            </w:pPr>
            <w:r w:rsidRPr="00562047">
              <w:rPr>
                <w:sz w:val="20"/>
                <w:szCs w:val="20"/>
              </w:rPr>
              <w:t>Приемлемый уровень ответственности</w:t>
            </w:r>
          </w:p>
        </w:tc>
      </w:tr>
    </w:tbl>
    <w:p w:rsidR="007C1C9B" w:rsidRPr="007C1C9B" w:rsidRDefault="007C1C9B" w:rsidP="007C1C9B">
      <w:pPr>
        <w:ind w:firstLine="0"/>
        <w:jc w:val="left"/>
        <w:rPr>
          <w:rFonts w:ascii="Arial" w:hAnsi="Arial" w:cs="Arial"/>
          <w:i/>
        </w:rPr>
      </w:pPr>
    </w:p>
    <w:p w:rsidR="00D2044D" w:rsidRDefault="00D2044D" w:rsidP="00D2044D">
      <w:pPr>
        <w:ind w:firstLine="709"/>
        <w:rPr>
          <w:szCs w:val="24"/>
        </w:rPr>
        <w:sectPr w:rsidR="00D2044D" w:rsidSect="002E26D0">
          <w:footnotePr>
            <w:numRestart w:val="eachPage"/>
          </w:footnotePr>
          <w:type w:val="continuous"/>
          <w:pgSz w:w="11907" w:h="16840" w:code="9"/>
          <w:pgMar w:top="1418" w:right="1134" w:bottom="1418" w:left="1134" w:header="1021" w:footer="1021" w:gutter="0"/>
          <w:cols w:space="708"/>
          <w:docGrid w:linePitch="360"/>
        </w:sectPr>
      </w:pPr>
    </w:p>
    <w:p w:rsidR="00D2044D" w:rsidRPr="00D2044D" w:rsidRDefault="00D2044D" w:rsidP="00D2044D">
      <w:pPr>
        <w:ind w:firstLine="284"/>
        <w:rPr>
          <w:szCs w:val="24"/>
        </w:rPr>
      </w:pPr>
      <w:r w:rsidRPr="00D2044D">
        <w:rPr>
          <w:szCs w:val="24"/>
        </w:rPr>
        <w:lastRenderedPageBreak/>
        <w:t>В настоящее время рано утверждать о системном устойчивом развитии вузов, поскольку оценка небольшого количества университетов не может дать репрезентативные данные о динамике и тенденциях развития их ответственности в сфере устойчивого развития. В то же время анализ методики национального рейтинга по трудоустройству выпускников через приз</w:t>
      </w:r>
      <w:r w:rsidRPr="00D2044D">
        <w:rPr>
          <w:szCs w:val="24"/>
        </w:rPr>
        <w:lastRenderedPageBreak/>
        <w:t xml:space="preserve">му концепции </w:t>
      </w:r>
      <w:r w:rsidRPr="00D2044D">
        <w:rPr>
          <w:szCs w:val="24"/>
          <w:lang w:val="en-GB"/>
        </w:rPr>
        <w:t>ESG</w:t>
      </w:r>
      <w:r w:rsidRPr="00D2044D">
        <w:rPr>
          <w:szCs w:val="24"/>
        </w:rPr>
        <w:t xml:space="preserve"> позволил выявить важный акцент на социальном компоненте, особенно в части оценки успешной интеграции выпускников на рынке труда. Доля трудоустроенных и уровень заработной платы выступают важнейшим индикатором социальной ответственности вузов перед студентами и обществом, отражая способности образовательных учреждений </w:t>
      </w:r>
      <w:r w:rsidRPr="00D2044D">
        <w:rPr>
          <w:szCs w:val="24"/>
        </w:rPr>
        <w:lastRenderedPageBreak/>
        <w:t xml:space="preserve">создавать условия для равных стартовых возможностей выпускников. </w:t>
      </w:r>
    </w:p>
    <w:p w:rsidR="00D2044D" w:rsidRPr="00D2044D" w:rsidRDefault="00D2044D" w:rsidP="00D2044D">
      <w:pPr>
        <w:ind w:firstLine="284"/>
        <w:rPr>
          <w:szCs w:val="24"/>
        </w:rPr>
      </w:pPr>
      <w:r w:rsidRPr="00D2044D">
        <w:rPr>
          <w:szCs w:val="24"/>
        </w:rPr>
        <w:t>Рейтинг вузов по данным мониторинга эффективности формируется на основе методологии оценки результатов деятельности университетов таких как: научная деятельность, качество образования, инфраструктура и инновации, финансовая эффективность. Используя индекс Борда J (сумма весов принадлежности к областям образования) определяются значения показателей, на основе которых вузы распределяются по 5 лигам. [11].</w:t>
      </w:r>
    </w:p>
    <w:p w:rsidR="00D2044D" w:rsidRPr="00D2044D" w:rsidRDefault="00D2044D" w:rsidP="00D2044D">
      <w:pPr>
        <w:ind w:firstLine="284"/>
        <w:rPr>
          <w:szCs w:val="24"/>
        </w:rPr>
      </w:pPr>
      <w:r w:rsidRPr="00D2044D">
        <w:rPr>
          <w:szCs w:val="24"/>
        </w:rPr>
        <w:t xml:space="preserve">Сравнительный анализ комплекса методик оценки показателей трудоустройства выпускников вузов включает и рейтинг RAEX, в основе методологии которого лежит комплексная балльная оценка, позволяющая классифицировать вузы по четырем квартилям – группам с определенным буквенным рейтингом, с последующей публикацией результатов оценки вузов, с указанием занимаемого места [12]. </w:t>
      </w:r>
    </w:p>
    <w:p w:rsidR="00D2044D" w:rsidRDefault="00D2044D" w:rsidP="00D2044D">
      <w:pPr>
        <w:ind w:firstLine="284"/>
        <w:rPr>
          <w:b/>
          <w:szCs w:val="24"/>
        </w:rPr>
      </w:pPr>
    </w:p>
    <w:p w:rsidR="00D2044D" w:rsidRPr="00D2044D" w:rsidRDefault="00D2044D" w:rsidP="00D2044D">
      <w:pPr>
        <w:ind w:firstLine="284"/>
        <w:rPr>
          <w:b/>
          <w:szCs w:val="24"/>
        </w:rPr>
      </w:pPr>
      <w:r w:rsidRPr="00D2044D">
        <w:rPr>
          <w:b/>
          <w:szCs w:val="24"/>
        </w:rPr>
        <w:t xml:space="preserve">Результаты </w:t>
      </w:r>
    </w:p>
    <w:p w:rsidR="00D2044D" w:rsidRPr="00D2044D" w:rsidRDefault="00D2044D" w:rsidP="00D2044D">
      <w:pPr>
        <w:ind w:firstLine="284"/>
        <w:rPr>
          <w:szCs w:val="24"/>
        </w:rPr>
      </w:pPr>
      <w:r w:rsidRPr="00D2044D">
        <w:rPr>
          <w:szCs w:val="24"/>
        </w:rPr>
        <w:t xml:space="preserve">Динамика изменений рейтинга RAEX-100 – «Сто лучших вузов России», за последние годы демонстрирует, как ведущие университеты адаптируются к современным вызовам, усиливая свои образовательные, научные и инновационные функции [13] в реализуемых стратегических моделях развития. Для оценки эффективности трансформаций стратегических моделей развития важно комплексно систематизировать данные не только рейтинга RAEX, но других ключевых источников оценок – рейтинг вузов по данным мониторинга эффективности, национальный рейтинг университетов, национальный рейтинг по трудоустройству выпускников образовательных организаций высшего образования. </w:t>
      </w:r>
    </w:p>
    <w:p w:rsidR="00D2044D" w:rsidRDefault="00D2044D" w:rsidP="00D2044D">
      <w:pPr>
        <w:ind w:firstLine="284"/>
        <w:rPr>
          <w:szCs w:val="24"/>
        </w:rPr>
      </w:pPr>
      <w:r w:rsidRPr="00D2044D">
        <w:rPr>
          <w:szCs w:val="24"/>
        </w:rPr>
        <w:t xml:space="preserve">Анализ данных и результаты различных рейтингов вузов позволили определить наиболее динамично развивающиеся университеты страны, показатели деятельности которых обеспечили им лидирующие позиции в системе высшего образования [14]. На рис. 1 представлены результаты </w:t>
      </w:r>
      <w:r w:rsidRPr="00D2044D">
        <w:rPr>
          <w:szCs w:val="24"/>
        </w:rPr>
        <w:lastRenderedPageBreak/>
        <w:t xml:space="preserve">распределения вузов в зависимости от их позиций, которые они занимают в данных рейтингах. </w:t>
      </w:r>
    </w:p>
    <w:p w:rsidR="004676D4" w:rsidRPr="00D2044D" w:rsidRDefault="004676D4" w:rsidP="004676D4">
      <w:pPr>
        <w:ind w:firstLine="284"/>
        <w:rPr>
          <w:szCs w:val="24"/>
        </w:rPr>
      </w:pPr>
      <w:r w:rsidRPr="00D2044D">
        <w:rPr>
          <w:szCs w:val="24"/>
        </w:rPr>
        <w:t>Результаты национального рейтинга университетов, подготовленный информационным агентством Интерфакс, указаны в баллах, с указанием места, которое занимает вуз.</w:t>
      </w:r>
    </w:p>
    <w:p w:rsidR="004676D4" w:rsidRPr="00D2044D" w:rsidRDefault="004676D4" w:rsidP="004676D4">
      <w:pPr>
        <w:ind w:firstLine="284"/>
        <w:rPr>
          <w:szCs w:val="24"/>
        </w:rPr>
      </w:pPr>
      <w:r w:rsidRPr="00D2044D">
        <w:rPr>
          <w:szCs w:val="24"/>
        </w:rPr>
        <w:t>Рейтинг вузов по данным мониторинга эффективности, используя индекс Борда J (сумма весов принадлежности к областям образования) распределяет университеты по 5 лигам. С целью сопоставления результатов рейтингов индекс Борда J был приравнен к занимаемому месту вуза в рейтинге.</w:t>
      </w:r>
    </w:p>
    <w:p w:rsidR="004676D4" w:rsidRPr="00D2044D" w:rsidRDefault="004676D4" w:rsidP="004676D4">
      <w:pPr>
        <w:ind w:firstLine="284"/>
        <w:rPr>
          <w:szCs w:val="24"/>
        </w:rPr>
      </w:pPr>
      <w:r w:rsidRPr="00D2044D">
        <w:rPr>
          <w:szCs w:val="24"/>
        </w:rPr>
        <w:t>В результате проведенного анализа было установлено, что место вуза в первом национальном рейтинге по трудоустройству выпускников определяется итоговым индексом в зависимости от области образования. Так как вуз может реализовывать различные направления подготовки и специальности, то один и тот же вуз может занять различное место в рейтинге. Позиция вуза в рейтинге была определена на основе среднего арифметического значения по областям образования.  Таким образом, проведенный в рамках обоснования методического инструментария оценки эффективности стратегии развития вуза в условиях цифровизации сравнительный анализ методик оценки показателей трудоустройства выпускников вузов позволил систематизировать методологии современных видов мониторингов и рейтингов вузов, оценить сильные и слабые стороны различных методик рейтингования, выявить их существенные недостатки, таких как методологическая непрозрачность и несбалансированность выбранных критериев (излишний вес количественных показателей в ущерб качественным, недостаточный учёт мнения работодателей о качестве подготовки выпускников), игнорирование  действительно значимых, но трудноизмеримых параметров, например, специфики региональных вузов, ориентированных на местные рынки труда.</w:t>
      </w:r>
    </w:p>
    <w:p w:rsidR="00D2044D" w:rsidRDefault="00D2044D" w:rsidP="007C1C9B">
      <w:pPr>
        <w:ind w:firstLine="0"/>
        <w:jc w:val="left"/>
        <w:rPr>
          <w:rFonts w:ascii="Arial" w:hAnsi="Arial" w:cs="Arial"/>
          <w:i/>
        </w:rPr>
        <w:sectPr w:rsidR="00D2044D" w:rsidSect="00D2044D">
          <w:footnotePr>
            <w:numRestart w:val="eachPage"/>
          </w:footnotePr>
          <w:type w:val="continuous"/>
          <w:pgSz w:w="11907" w:h="16840" w:code="9"/>
          <w:pgMar w:top="1418" w:right="1134" w:bottom="1418" w:left="1134" w:header="1021" w:footer="1021" w:gutter="0"/>
          <w:cols w:num="2" w:space="708"/>
          <w:docGrid w:linePitch="360"/>
        </w:sectPr>
      </w:pPr>
    </w:p>
    <w:p w:rsidR="007C1C9B" w:rsidRPr="007C1C9B" w:rsidRDefault="00D2044D" w:rsidP="00D2044D">
      <w:pPr>
        <w:ind w:firstLine="0"/>
        <w:jc w:val="center"/>
        <w:rPr>
          <w:rFonts w:ascii="Arial" w:hAnsi="Arial" w:cs="Arial"/>
          <w:i/>
        </w:rPr>
      </w:pPr>
      <w:r w:rsidRPr="00916488">
        <w:rPr>
          <w:noProof/>
          <w:sz w:val="28"/>
          <w:szCs w:val="28"/>
          <w:lang w:eastAsia="ru-RU"/>
        </w:rPr>
        <w:lastRenderedPageBreak/>
        <w:drawing>
          <wp:inline distT="0" distB="0" distL="0" distR="0" wp14:anchorId="2CE2755E" wp14:editId="06BD6FB8">
            <wp:extent cx="6178550" cy="4400550"/>
            <wp:effectExtent l="0" t="0" r="1270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C1C9B" w:rsidRDefault="00D2044D" w:rsidP="00D2044D">
      <w:pPr>
        <w:ind w:firstLine="0"/>
        <w:jc w:val="center"/>
        <w:rPr>
          <w:rFonts w:ascii="Arial" w:hAnsi="Arial" w:cs="Arial"/>
          <w:i/>
          <w:sz w:val="22"/>
          <w:szCs w:val="22"/>
        </w:rPr>
      </w:pPr>
      <w:r w:rsidRPr="00D2044D">
        <w:rPr>
          <w:rFonts w:ascii="Arial" w:hAnsi="Arial" w:cs="Arial"/>
          <w:i/>
          <w:sz w:val="22"/>
          <w:szCs w:val="22"/>
        </w:rPr>
        <w:t>Рис. 1</w:t>
      </w:r>
      <w:r w:rsidR="008F0FE5">
        <w:rPr>
          <w:rFonts w:ascii="Arial" w:hAnsi="Arial" w:cs="Arial"/>
          <w:i/>
          <w:sz w:val="22"/>
          <w:szCs w:val="22"/>
        </w:rPr>
        <w:t>.</w:t>
      </w:r>
      <w:r w:rsidRPr="00D2044D">
        <w:rPr>
          <w:rFonts w:ascii="Arial" w:hAnsi="Arial" w:cs="Arial"/>
          <w:i/>
          <w:sz w:val="22"/>
          <w:szCs w:val="22"/>
        </w:rPr>
        <w:t xml:space="preserve"> Распределение вузов относительно позиции в различных рейтингах</w:t>
      </w:r>
    </w:p>
    <w:p w:rsidR="004676D4" w:rsidRPr="007C1C9B" w:rsidRDefault="004676D4" w:rsidP="00D2044D">
      <w:pPr>
        <w:ind w:firstLine="0"/>
        <w:jc w:val="center"/>
        <w:rPr>
          <w:rFonts w:ascii="Arial" w:hAnsi="Arial" w:cs="Arial"/>
          <w:i/>
        </w:rPr>
      </w:pPr>
    </w:p>
    <w:p w:rsidR="00D2044D" w:rsidRDefault="00D2044D" w:rsidP="00D2044D">
      <w:pPr>
        <w:ind w:firstLine="284"/>
        <w:rPr>
          <w:szCs w:val="24"/>
        </w:rPr>
        <w:sectPr w:rsidR="00D2044D" w:rsidSect="002E26D0">
          <w:footnotePr>
            <w:numRestart w:val="eachPage"/>
          </w:footnotePr>
          <w:type w:val="continuous"/>
          <w:pgSz w:w="11907" w:h="16840" w:code="9"/>
          <w:pgMar w:top="1418" w:right="1134" w:bottom="1418" w:left="1134" w:header="1021" w:footer="1021" w:gutter="0"/>
          <w:cols w:space="708"/>
          <w:docGrid w:linePitch="360"/>
        </w:sectPr>
      </w:pPr>
    </w:p>
    <w:p w:rsidR="00D2044D" w:rsidRPr="00D2044D" w:rsidRDefault="00D2044D" w:rsidP="00D2044D">
      <w:pPr>
        <w:ind w:firstLine="284"/>
        <w:rPr>
          <w:szCs w:val="24"/>
        </w:rPr>
      </w:pPr>
      <w:r w:rsidRPr="00D2044D">
        <w:rPr>
          <w:szCs w:val="24"/>
        </w:rPr>
        <w:lastRenderedPageBreak/>
        <w:t xml:space="preserve">Исследование сущности целевых показателей эффективности стратегического развития вузов позволило не только определить основные конкурентные позиции ведущих университетов страны, но и подтвердить ключевую значимость показателя трудоустройства выпускников вуза в оценке эффективности стратегической модели развития. Характеризуя востребованность выпускников на рынке труда, он </w:t>
      </w:r>
      <w:r>
        <w:rPr>
          <w:szCs w:val="24"/>
        </w:rPr>
        <w:t xml:space="preserve">действительно </w:t>
      </w:r>
      <w:r w:rsidRPr="00D2044D">
        <w:rPr>
          <w:szCs w:val="24"/>
        </w:rPr>
        <w:t xml:space="preserve">служит главным индикатором качества стратегии вуза (рис.2). </w:t>
      </w:r>
      <w:r w:rsidR="00CB3FDB" w:rsidRPr="00CB3FDB">
        <w:rPr>
          <w:szCs w:val="24"/>
        </w:rPr>
        <w:t>Методические подходы к разработке эффективных стра</w:t>
      </w:r>
      <w:r w:rsidR="00CB3FDB" w:rsidRPr="00CB3FDB">
        <w:rPr>
          <w:szCs w:val="24"/>
        </w:rPr>
        <w:lastRenderedPageBreak/>
        <w:t>тегий развития вузов, направленные на обеспечение конкурентоспособности вуза и достижение поставленных целей, должны учитывать результаты национальных рейтингов вузов, формируемых на основе взвешенной интегральной оценки их деятельности по всем источникам объективной и субъективной информации, включающая в себя независимые оценки национальных систем ранжирования университетов с их разнообразием методов и индикаторов.</w:t>
      </w:r>
    </w:p>
    <w:p w:rsidR="007C1C9B" w:rsidRPr="007C1C9B" w:rsidRDefault="007C1C9B" w:rsidP="00637EED">
      <w:pPr>
        <w:ind w:firstLine="0"/>
        <w:jc w:val="left"/>
        <w:rPr>
          <w:rFonts w:ascii="Arial" w:hAnsi="Arial" w:cs="Arial"/>
          <w:i/>
        </w:rPr>
      </w:pPr>
    </w:p>
    <w:p w:rsidR="00D2044D" w:rsidRDefault="00D2044D" w:rsidP="00637EED">
      <w:pPr>
        <w:ind w:firstLine="0"/>
        <w:jc w:val="left"/>
        <w:rPr>
          <w:rFonts w:ascii="Arial" w:hAnsi="Arial" w:cs="Arial"/>
          <w:i/>
        </w:rPr>
        <w:sectPr w:rsidR="00D2044D" w:rsidSect="00D2044D">
          <w:footnotePr>
            <w:numRestart w:val="eachPage"/>
          </w:footnotePr>
          <w:type w:val="continuous"/>
          <w:pgSz w:w="11907" w:h="16840" w:code="9"/>
          <w:pgMar w:top="1418" w:right="1134" w:bottom="1418" w:left="1134" w:header="1021" w:footer="1021" w:gutter="0"/>
          <w:cols w:num="2" w:space="708"/>
          <w:docGrid w:linePitch="360"/>
        </w:sectPr>
      </w:pPr>
    </w:p>
    <w:p w:rsidR="007C1C9B" w:rsidRPr="007C1C9B" w:rsidRDefault="00D2044D" w:rsidP="00637EED">
      <w:pPr>
        <w:ind w:firstLine="0"/>
        <w:jc w:val="left"/>
        <w:rPr>
          <w:rFonts w:ascii="Arial" w:hAnsi="Arial" w:cs="Arial"/>
          <w:i/>
        </w:rPr>
      </w:pPr>
      <w:r w:rsidRPr="00D2044D">
        <w:rPr>
          <w:noProof/>
          <w:sz w:val="28"/>
          <w:szCs w:val="28"/>
          <w:lang w:eastAsia="ru-RU"/>
        </w:rPr>
        <w:lastRenderedPageBreak/>
        <w:drawing>
          <wp:inline distT="0" distB="0" distL="0" distR="0" wp14:anchorId="1D4F7074" wp14:editId="0B99DE6C">
            <wp:extent cx="6120765" cy="4590574"/>
            <wp:effectExtent l="0" t="0" r="0" b="635"/>
            <wp:docPr id="8" name="Рисунок 8" descr="F:\ДИССЕРТАЦИЯ 1.0\для стать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ИССЕРТАЦИЯ 1.0\для статьи.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765" cy="4590574"/>
                    </a:xfrm>
                    <a:prstGeom prst="rect">
                      <a:avLst/>
                    </a:prstGeom>
                    <a:noFill/>
                    <a:ln>
                      <a:noFill/>
                    </a:ln>
                  </pic:spPr>
                </pic:pic>
              </a:graphicData>
            </a:graphic>
          </wp:inline>
        </w:drawing>
      </w:r>
    </w:p>
    <w:p w:rsidR="007C1C9B" w:rsidRPr="00D2044D" w:rsidRDefault="00D2044D" w:rsidP="00D2044D">
      <w:pPr>
        <w:ind w:firstLine="0"/>
        <w:jc w:val="center"/>
        <w:rPr>
          <w:rFonts w:ascii="Arial" w:hAnsi="Arial" w:cs="Arial"/>
          <w:i/>
          <w:sz w:val="22"/>
          <w:szCs w:val="22"/>
        </w:rPr>
      </w:pPr>
      <w:r w:rsidRPr="00D2044D">
        <w:rPr>
          <w:rFonts w:ascii="Arial" w:hAnsi="Arial" w:cs="Arial"/>
          <w:i/>
          <w:sz w:val="22"/>
          <w:szCs w:val="22"/>
        </w:rPr>
        <w:t>Рис. 2</w:t>
      </w:r>
      <w:r w:rsidR="008F0FE5">
        <w:rPr>
          <w:rFonts w:ascii="Arial" w:hAnsi="Arial" w:cs="Arial"/>
          <w:i/>
          <w:sz w:val="22"/>
          <w:szCs w:val="22"/>
        </w:rPr>
        <w:t>.</w:t>
      </w:r>
      <w:r w:rsidRPr="00D2044D">
        <w:rPr>
          <w:rFonts w:ascii="Arial" w:hAnsi="Arial" w:cs="Arial"/>
          <w:i/>
          <w:sz w:val="22"/>
          <w:szCs w:val="22"/>
        </w:rPr>
        <w:t xml:space="preserve"> Целевые показатели эффективности стратегического развития вуза в методиках оценки стратегического управления вузов</w:t>
      </w:r>
    </w:p>
    <w:p w:rsidR="007C1C9B" w:rsidRPr="007C1C9B" w:rsidRDefault="007C1C9B" w:rsidP="00637EED">
      <w:pPr>
        <w:ind w:firstLine="0"/>
        <w:jc w:val="left"/>
        <w:rPr>
          <w:rFonts w:ascii="Arial" w:hAnsi="Arial" w:cs="Arial"/>
          <w:i/>
        </w:rPr>
      </w:pPr>
    </w:p>
    <w:p w:rsidR="00D2044D" w:rsidRDefault="00D2044D" w:rsidP="00D2044D">
      <w:pPr>
        <w:ind w:firstLine="284"/>
        <w:rPr>
          <w:szCs w:val="24"/>
        </w:rPr>
        <w:sectPr w:rsidR="00D2044D" w:rsidSect="002E26D0">
          <w:footnotePr>
            <w:numRestart w:val="eachPage"/>
          </w:footnotePr>
          <w:type w:val="continuous"/>
          <w:pgSz w:w="11907" w:h="16840" w:code="9"/>
          <w:pgMar w:top="1418" w:right="1134" w:bottom="1418" w:left="1134" w:header="1021" w:footer="1021" w:gutter="0"/>
          <w:cols w:space="708"/>
          <w:docGrid w:linePitch="360"/>
        </w:sectPr>
      </w:pPr>
    </w:p>
    <w:p w:rsidR="007C1C9B" w:rsidRPr="007C1C9B" w:rsidRDefault="007C1C9B" w:rsidP="00637EED">
      <w:pPr>
        <w:ind w:firstLine="0"/>
        <w:jc w:val="left"/>
        <w:rPr>
          <w:rFonts w:ascii="Arial" w:hAnsi="Arial" w:cs="Arial"/>
          <w:i/>
        </w:rPr>
      </w:pPr>
    </w:p>
    <w:p w:rsidR="00D2044D" w:rsidRDefault="00D2044D" w:rsidP="00637EED">
      <w:pPr>
        <w:ind w:firstLine="0"/>
        <w:jc w:val="left"/>
        <w:rPr>
          <w:rFonts w:ascii="Arial" w:hAnsi="Arial" w:cs="Arial"/>
          <w:i/>
        </w:rPr>
        <w:sectPr w:rsidR="00D2044D" w:rsidSect="00D2044D">
          <w:footnotePr>
            <w:numRestart w:val="eachPage"/>
          </w:footnotePr>
          <w:type w:val="continuous"/>
          <w:pgSz w:w="11907" w:h="16840" w:code="9"/>
          <w:pgMar w:top="1418" w:right="1134" w:bottom="1418" w:left="1134" w:header="1021" w:footer="1021" w:gutter="0"/>
          <w:cols w:num="2" w:space="708"/>
          <w:docGrid w:linePitch="360"/>
        </w:sectPr>
      </w:pPr>
    </w:p>
    <w:p w:rsidR="004676D4" w:rsidRPr="004676D4" w:rsidRDefault="004676D4" w:rsidP="004676D4">
      <w:pPr>
        <w:jc w:val="center"/>
        <w:rPr>
          <w:b/>
          <w:szCs w:val="24"/>
        </w:rPr>
      </w:pPr>
      <w:r w:rsidRPr="004676D4">
        <w:rPr>
          <w:b/>
          <w:szCs w:val="24"/>
        </w:rPr>
        <w:lastRenderedPageBreak/>
        <w:t>ЛИТЕРАТУРА</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 xml:space="preserve">Указ Президента Российской Федерации от 12 мая 2023 г. № 343 </w:t>
      </w:r>
      <w:r w:rsidR="008F0FE5">
        <w:rPr>
          <w:rFonts w:ascii="Times New Roman" w:hAnsi="Times New Roman" w:cs="Times New Roman"/>
          <w:i/>
          <w:sz w:val="24"/>
          <w:szCs w:val="24"/>
        </w:rPr>
        <w:t>«</w:t>
      </w:r>
      <w:r w:rsidRPr="004676D4">
        <w:rPr>
          <w:rFonts w:ascii="Times New Roman" w:hAnsi="Times New Roman" w:cs="Times New Roman"/>
          <w:i/>
          <w:sz w:val="24"/>
          <w:szCs w:val="24"/>
        </w:rPr>
        <w:t>О некоторых вопросах совершенствования системы высшего образования</w:t>
      </w:r>
      <w:r w:rsidR="008F0FE5">
        <w:rPr>
          <w:rFonts w:ascii="Times New Roman" w:hAnsi="Times New Roman" w:cs="Times New Roman"/>
          <w:i/>
          <w:sz w:val="24"/>
          <w:szCs w:val="24"/>
        </w:rPr>
        <w:t>»</w:t>
      </w:r>
      <w:r w:rsidRPr="004676D4">
        <w:rPr>
          <w:rFonts w:ascii="Times New Roman" w:hAnsi="Times New Roman" w:cs="Times New Roman"/>
          <w:i/>
          <w:sz w:val="24"/>
          <w:szCs w:val="24"/>
        </w:rPr>
        <w:t xml:space="preserve"> (постановление Правительства РФ от 09 августа 2023 № 1302 </w:t>
      </w:r>
      <w:r w:rsidR="008F0FE5">
        <w:rPr>
          <w:rFonts w:ascii="Times New Roman" w:hAnsi="Times New Roman" w:cs="Times New Roman"/>
          <w:i/>
          <w:sz w:val="24"/>
          <w:szCs w:val="24"/>
        </w:rPr>
        <w:t>«</w:t>
      </w:r>
      <w:r w:rsidRPr="004676D4">
        <w:rPr>
          <w:rFonts w:ascii="Times New Roman" w:hAnsi="Times New Roman" w:cs="Times New Roman"/>
          <w:i/>
          <w:sz w:val="24"/>
          <w:szCs w:val="24"/>
        </w:rPr>
        <w:t>О реализации пилотного проекта, направленного на изменение уровней профессионального образования</w:t>
      </w:r>
      <w:r w:rsidR="008F0FE5">
        <w:rPr>
          <w:rFonts w:ascii="Times New Roman" w:hAnsi="Times New Roman" w:cs="Times New Roman"/>
          <w:i/>
          <w:sz w:val="24"/>
          <w:szCs w:val="24"/>
        </w:rPr>
        <w:t>»</w:t>
      </w:r>
      <w:r w:rsidRPr="004676D4">
        <w:rPr>
          <w:rFonts w:ascii="Times New Roman" w:hAnsi="Times New Roman" w:cs="Times New Roman"/>
          <w:i/>
          <w:sz w:val="24"/>
          <w:szCs w:val="24"/>
        </w:rPr>
        <w:t xml:space="preserve"> (вместе с </w:t>
      </w:r>
      <w:r w:rsidR="008F0FE5">
        <w:rPr>
          <w:rFonts w:ascii="Times New Roman" w:hAnsi="Times New Roman" w:cs="Times New Roman"/>
          <w:i/>
          <w:sz w:val="24"/>
          <w:szCs w:val="24"/>
        </w:rPr>
        <w:t>«</w:t>
      </w:r>
      <w:r w:rsidRPr="004676D4">
        <w:rPr>
          <w:rFonts w:ascii="Times New Roman" w:hAnsi="Times New Roman" w:cs="Times New Roman"/>
          <w:i/>
          <w:sz w:val="24"/>
          <w:szCs w:val="24"/>
        </w:rPr>
        <w:t>Правилами реализации пилотного проекта, направленного на изменение уровней профессионального образования в 2023/24, 2024/25 и 2025/26 учебных годах</w:t>
      </w:r>
      <w:r w:rsidR="008F0FE5">
        <w:rPr>
          <w:rFonts w:ascii="Times New Roman" w:hAnsi="Times New Roman" w:cs="Times New Roman"/>
          <w:i/>
          <w:sz w:val="24"/>
          <w:szCs w:val="24"/>
        </w:rPr>
        <w:t>»</w:t>
      </w:r>
      <w:r w:rsidRPr="004676D4">
        <w:rPr>
          <w:rFonts w:ascii="Times New Roman" w:hAnsi="Times New Roman" w:cs="Times New Roman"/>
          <w:i/>
          <w:sz w:val="24"/>
          <w:szCs w:val="24"/>
        </w:rPr>
        <w:t xml:space="preserve">). </w:t>
      </w:r>
      <w:r w:rsidRPr="004676D4">
        <w:rPr>
          <w:rFonts w:ascii="Times New Roman" w:hAnsi="Times New Roman" w:cs="Times New Roman"/>
          <w:i/>
          <w:sz w:val="24"/>
          <w:szCs w:val="24"/>
          <w:lang w:val="en-US"/>
        </w:rPr>
        <w:t>URL</w:t>
      </w:r>
      <w:r w:rsidRPr="004676D4">
        <w:rPr>
          <w:rFonts w:ascii="Times New Roman" w:hAnsi="Times New Roman" w:cs="Times New Roman"/>
          <w:i/>
          <w:sz w:val="24"/>
          <w:szCs w:val="24"/>
        </w:rPr>
        <w:t>: https://www.garant.ru/news/1974947/ Дата обращения 23.01.26</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 xml:space="preserve">Распоряжение Правительства РФ от 28.05.2025 №1346-р — утверждена методика расчёта показателей национальных рейтингов образовательных организаций высшего образования и профессиональных образовательных организаций по трудоустройству выпускников. </w:t>
      </w:r>
      <w:r w:rsidRPr="004676D4">
        <w:rPr>
          <w:rFonts w:ascii="Times New Roman" w:hAnsi="Times New Roman" w:cs="Times New Roman"/>
          <w:i/>
          <w:sz w:val="24"/>
          <w:szCs w:val="24"/>
          <w:lang w:val="en-US"/>
        </w:rPr>
        <w:t>URL</w:t>
      </w:r>
      <w:r w:rsidRPr="004676D4">
        <w:rPr>
          <w:rFonts w:ascii="Times New Roman" w:hAnsi="Times New Roman" w:cs="Times New Roman"/>
          <w:i/>
          <w:sz w:val="24"/>
          <w:szCs w:val="24"/>
        </w:rPr>
        <w:t xml:space="preserve">: https://www.garant.ru/news/1974947/ Дата обращения 23.01.26 </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Распоряжение Минобрнауки России от 13.12.2024 №486-р — утверждена методика расчёта показателя «Уровень трудоустройства выпускников, завершивших обучение по образовательным программам высшего образования, осуществляющих трудовую деятельность в течение одного года после выпуска». base.garant.ru// Режим доступа: https://www.garant.ru/news/1974947/ Дата обращения 23.01.26</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rPr>
          <w:rFonts w:ascii="Times New Roman" w:hAnsi="Times New Roman" w:cs="Times New Roman"/>
          <w:i/>
          <w:sz w:val="24"/>
          <w:szCs w:val="24"/>
        </w:rPr>
      </w:pPr>
      <w:r w:rsidRPr="004676D4">
        <w:rPr>
          <w:rFonts w:ascii="Times New Roman" w:hAnsi="Times New Roman" w:cs="Times New Roman"/>
          <w:i/>
          <w:sz w:val="24"/>
          <w:szCs w:val="24"/>
        </w:rPr>
        <w:t xml:space="preserve">Прогноз потребности в рабочей силе стал ориентиром для выпускников школ и вузов// Режим доступа: https://rg.ru/2025/10/15/kurs-prolozhen.html?utm_referrer=https%3A%2F%2Fyandex.ru%2F// Дата обращения 22.10.25 </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lastRenderedPageBreak/>
        <w:t>Национальные рейтинги по трудоустройству выпускников образовательных организаций высшего образования//Режим доступа: https://www.garant.ru/news/1974947/ Дата обращения 23.01.26</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Методические указания по заполнению формы «Мониторинг по основным направлениям деятельности образовательной организации высшего образования за 2023 г. (форма № 1-Мониторинг)». [Электронный ресурс] //</w:t>
      </w:r>
      <w:r w:rsidRPr="004676D4">
        <w:rPr>
          <w:rFonts w:ascii="Times New Roman" w:eastAsia="Calibri" w:hAnsi="Times New Roman" w:cs="Times New Roman"/>
          <w:i/>
          <w:kern w:val="0"/>
          <w:sz w:val="24"/>
          <w:szCs w:val="24"/>
          <w14:ligatures w14:val="none"/>
        </w:rPr>
        <w:t xml:space="preserve"> </w:t>
      </w:r>
      <w:r w:rsidRPr="004676D4">
        <w:rPr>
          <w:rFonts w:ascii="Times New Roman" w:hAnsi="Times New Roman" w:cs="Times New Roman"/>
          <w:i/>
          <w:sz w:val="24"/>
          <w:szCs w:val="24"/>
          <w:lang w:val="en-US"/>
        </w:rPr>
        <w:t>URL</w:t>
      </w:r>
      <w:r w:rsidRPr="004676D4">
        <w:rPr>
          <w:rFonts w:ascii="Times New Roman" w:hAnsi="Times New Roman" w:cs="Times New Roman"/>
          <w:i/>
          <w:sz w:val="24"/>
          <w:szCs w:val="24"/>
        </w:rPr>
        <w:t>: https://swsu.ru/uinfo/informatsionno-analiticheskiy-tsentr/2024-05-24_10-22-08metodicheskie_ukazaniya_1-monitoring_2024_(za_2023_g.).pdf</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 xml:space="preserve">Что такое принципы ESG, в чём они полезны бизнесу и как внедрить их в компании. [Электронный ресурс] // </w:t>
      </w:r>
      <w:r>
        <w:rPr>
          <w:rFonts w:ascii="Times New Roman" w:hAnsi="Times New Roman" w:cs="Times New Roman"/>
          <w:i/>
          <w:sz w:val="24"/>
          <w:szCs w:val="24"/>
          <w:lang w:val="en-US"/>
        </w:rPr>
        <w:t>URL</w:t>
      </w:r>
      <w:r w:rsidRPr="004676D4">
        <w:rPr>
          <w:rFonts w:ascii="Times New Roman" w:hAnsi="Times New Roman" w:cs="Times New Roman"/>
          <w:i/>
          <w:sz w:val="24"/>
          <w:szCs w:val="24"/>
        </w:rPr>
        <w:t>: https://skillbox.ru/media/management/chto-takoe-printsipy-esg-v-chyem-oni-polezny-biznesu-i-kak-vnedrit-ikh-v-kompanii/</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rPr>
        <w:t xml:space="preserve">Иванов И.П. Оценка удовлетворенности выпускников результатами своей образовательной траектории // Высшее образование в России. </w:t>
      </w:r>
      <w:r w:rsidRPr="00184E6C">
        <w:rPr>
          <w:rFonts w:ascii="Times New Roman" w:hAnsi="Times New Roman" w:cs="Times New Roman"/>
          <w:i/>
          <w:sz w:val="24"/>
          <w:szCs w:val="24"/>
          <w:lang w:val="en-US"/>
        </w:rPr>
        <w:t xml:space="preserve">№ 3, 2021. </w:t>
      </w:r>
      <w:r>
        <w:rPr>
          <w:rFonts w:ascii="Times New Roman" w:hAnsi="Times New Roman" w:cs="Times New Roman"/>
          <w:i/>
          <w:sz w:val="24"/>
          <w:szCs w:val="24"/>
          <w:lang w:val="en-US"/>
        </w:rPr>
        <w:t>URL</w:t>
      </w:r>
      <w:r w:rsidRPr="004676D4">
        <w:rPr>
          <w:rFonts w:ascii="Times New Roman" w:hAnsi="Times New Roman" w:cs="Times New Roman"/>
          <w:i/>
          <w:sz w:val="24"/>
          <w:szCs w:val="24"/>
          <w:lang w:val="en-US"/>
        </w:rPr>
        <w:t xml:space="preserve">: </w:t>
      </w:r>
      <w:hyperlink r:id="rId37" w:history="1">
        <w:r w:rsidRPr="004676D4">
          <w:rPr>
            <w:rStyle w:val="af7"/>
            <w:rFonts w:ascii="Times New Roman" w:hAnsi="Times New Roman" w:cs="Times New Roman"/>
            <w:i/>
            <w:sz w:val="24"/>
            <w:szCs w:val="24"/>
            <w:lang w:val="en-US"/>
          </w:rPr>
          <w:t>https://cyberleninka.ru/article/n/osobennosti-formirovaniya-obrazovatelnyh-traektoriy-rossiyskih-studentov-otsenka-i-vozmozhnosti/viewer</w:t>
        </w:r>
      </w:hyperlink>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Развитие системы мониторинга трудоустройства выпускников / В. А. Гуртов, Л. М. Серова, И. С. Степусь [и др.] // Высшее образование в России. 2014. № 5. С. 11-23.</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Методика присвоения высшим учебным заведениям рейтингов в сфере устойчивого развития [Электронный ресурс]//</w:t>
      </w:r>
      <w:r w:rsidR="008F0FE5" w:rsidRPr="008F0FE5">
        <w:rPr>
          <w:rFonts w:ascii="Times New Roman" w:hAnsi="Times New Roman" w:cs="Times New Roman"/>
          <w:i/>
          <w:sz w:val="24"/>
          <w:szCs w:val="24"/>
        </w:rPr>
        <w:t xml:space="preserve"> </w:t>
      </w:r>
      <w:r w:rsidR="008F0FE5">
        <w:rPr>
          <w:rFonts w:ascii="Times New Roman" w:hAnsi="Times New Roman" w:cs="Times New Roman"/>
          <w:i/>
          <w:sz w:val="24"/>
          <w:szCs w:val="24"/>
          <w:lang w:val="en-US"/>
        </w:rPr>
        <w:t>URL</w:t>
      </w:r>
      <w:r w:rsidRPr="004676D4">
        <w:rPr>
          <w:rFonts w:ascii="Times New Roman" w:hAnsi="Times New Roman" w:cs="Times New Roman"/>
          <w:i/>
          <w:sz w:val="24"/>
          <w:szCs w:val="24"/>
        </w:rPr>
        <w:t>:</w:t>
      </w:r>
      <w:r w:rsidR="008F0FE5" w:rsidRPr="008F0FE5">
        <w:rPr>
          <w:rFonts w:ascii="Times New Roman" w:hAnsi="Times New Roman" w:cs="Times New Roman"/>
          <w:i/>
          <w:sz w:val="24"/>
          <w:szCs w:val="24"/>
        </w:rPr>
        <w:t xml:space="preserve"> </w:t>
      </w:r>
      <w:hyperlink r:id="rId38" w:history="1">
        <w:r w:rsidRPr="004676D4">
          <w:rPr>
            <w:rStyle w:val="af7"/>
            <w:rFonts w:ascii="Times New Roman" w:hAnsi="Times New Roman" w:cs="Times New Roman"/>
            <w:i/>
            <w:sz w:val="24"/>
            <w:szCs w:val="24"/>
          </w:rPr>
          <w:t>https://raex-rr.com/files/methods/RAEX_ESG-rating_university_2025.pdf</w:t>
        </w:r>
      </w:hyperlink>
    </w:p>
    <w:p w:rsidR="004676D4" w:rsidRPr="004676D4" w:rsidRDefault="004676D4" w:rsidP="005A0605">
      <w:pPr>
        <w:pStyle w:val="affb"/>
        <w:numPr>
          <w:ilvl w:val="0"/>
          <w:numId w:val="17"/>
        </w:numPr>
        <w:ind w:left="0" w:firstLine="284"/>
        <w:jc w:val="both"/>
        <w:rPr>
          <w:rStyle w:val="af7"/>
          <w:rFonts w:ascii="Times New Roman" w:hAnsi="Times New Roman" w:cs="Times New Roman"/>
          <w:i/>
          <w:sz w:val="24"/>
          <w:szCs w:val="24"/>
        </w:rPr>
      </w:pPr>
      <w:r w:rsidRPr="004676D4">
        <w:rPr>
          <w:rStyle w:val="af7"/>
          <w:rFonts w:ascii="Times New Roman" w:hAnsi="Times New Roman" w:cs="Times New Roman"/>
          <w:i/>
          <w:sz w:val="24"/>
          <w:szCs w:val="24"/>
        </w:rPr>
        <w:t xml:space="preserve">Рейтинг по данным мониторинга эффективности вузов// URL: </w:t>
      </w:r>
      <w:hyperlink r:id="rId39" w:history="1">
        <w:r w:rsidRPr="004676D4">
          <w:rPr>
            <w:rStyle w:val="af7"/>
            <w:rFonts w:ascii="Times New Roman" w:hAnsi="Times New Roman" w:cs="Times New Roman"/>
            <w:i/>
            <w:sz w:val="24"/>
            <w:szCs w:val="24"/>
          </w:rPr>
          <w:t>https://best-edu.ru/ratings/national/reyting-monitoringa-effektivnosti-vuzov</w:t>
        </w:r>
      </w:hyperlink>
    </w:p>
    <w:p w:rsidR="004676D4" w:rsidRPr="008F0FE5" w:rsidRDefault="004676D4" w:rsidP="005A0605">
      <w:pPr>
        <w:pStyle w:val="affb"/>
        <w:numPr>
          <w:ilvl w:val="0"/>
          <w:numId w:val="17"/>
        </w:numPr>
        <w:tabs>
          <w:tab w:val="left" w:pos="142"/>
          <w:tab w:val="left" w:pos="284"/>
          <w:tab w:val="left" w:pos="426"/>
        </w:tabs>
        <w:spacing w:after="0" w:line="240" w:lineRule="auto"/>
        <w:ind w:left="0" w:firstLine="284"/>
        <w:jc w:val="both"/>
        <w:rPr>
          <w:rStyle w:val="af7"/>
          <w:rFonts w:ascii="Times New Roman" w:hAnsi="Times New Roman" w:cs="Times New Roman"/>
          <w:i/>
          <w:sz w:val="24"/>
          <w:szCs w:val="24"/>
          <w:lang w:val="en-US"/>
        </w:rPr>
      </w:pPr>
      <w:r w:rsidRPr="004676D4">
        <w:rPr>
          <w:rFonts w:ascii="Times New Roman" w:hAnsi="Times New Roman" w:cs="Times New Roman"/>
          <w:i/>
          <w:sz w:val="24"/>
          <w:szCs w:val="24"/>
        </w:rPr>
        <w:t>Аналитические материалы, рейтинги, практики, нов</w:t>
      </w:r>
      <w:r w:rsidR="008F0FE5">
        <w:rPr>
          <w:rFonts w:ascii="Times New Roman" w:hAnsi="Times New Roman" w:cs="Times New Roman"/>
          <w:i/>
          <w:sz w:val="24"/>
          <w:szCs w:val="24"/>
        </w:rPr>
        <w:t xml:space="preserve">ые тренды [Электронный ресурс]. </w:t>
      </w:r>
      <w:r w:rsidR="008F0FE5">
        <w:rPr>
          <w:rFonts w:ascii="Times New Roman" w:hAnsi="Times New Roman" w:cs="Times New Roman"/>
          <w:i/>
          <w:sz w:val="24"/>
          <w:szCs w:val="24"/>
          <w:lang w:val="en-US"/>
        </w:rPr>
        <w:t>URL</w:t>
      </w:r>
      <w:r w:rsidRPr="008F0FE5">
        <w:rPr>
          <w:rFonts w:ascii="Times New Roman" w:hAnsi="Times New Roman" w:cs="Times New Roman"/>
          <w:i/>
          <w:sz w:val="24"/>
          <w:szCs w:val="24"/>
          <w:lang w:val="en-US"/>
        </w:rPr>
        <w:t xml:space="preserve">: </w:t>
      </w:r>
      <w:hyperlink r:id="rId40" w:history="1">
        <w:r w:rsidRPr="008F0FE5">
          <w:rPr>
            <w:rStyle w:val="af7"/>
            <w:rFonts w:ascii="Times New Roman" w:hAnsi="Times New Roman" w:cs="Times New Roman"/>
            <w:i/>
            <w:sz w:val="24"/>
            <w:szCs w:val="24"/>
            <w:lang w:val="en-US"/>
          </w:rPr>
          <w:t>https://raex-rr.com/files/analytics/UESG2025_Analytica_Web.pdf</w:t>
        </w:r>
      </w:hyperlink>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Таточенко А. Л.</w:t>
      </w:r>
      <w:r>
        <w:rPr>
          <w:rFonts w:ascii="Times New Roman" w:hAnsi="Times New Roman" w:cs="Times New Roman"/>
          <w:i/>
          <w:sz w:val="24"/>
          <w:szCs w:val="24"/>
        </w:rPr>
        <w:t>,</w:t>
      </w:r>
      <w:r w:rsidRPr="004676D4">
        <w:rPr>
          <w:rFonts w:ascii="Times New Roman" w:hAnsi="Times New Roman" w:cs="Times New Roman"/>
          <w:i/>
          <w:sz w:val="24"/>
          <w:szCs w:val="24"/>
        </w:rPr>
        <w:t xml:space="preserve"> Тараканов А. В. Российский рейтинг университетов RAEX-100: метрологический подход к оценке результатов // Проблемы гуманизации и суверенизации российской системы высшего образования: реформы, результаты, перспективы: Сборник научных трудов Всероссийской научно-практической конференции, Москва, 19 мая 2022 года. – Москва: Издательско-торговая корпорация "Дашков и К", 2022. – С. 103-112.</w:t>
      </w:r>
    </w:p>
    <w:p w:rsidR="004676D4" w:rsidRPr="004676D4" w:rsidRDefault="004676D4" w:rsidP="005A0605">
      <w:pPr>
        <w:pStyle w:val="affb"/>
        <w:numPr>
          <w:ilvl w:val="0"/>
          <w:numId w:val="17"/>
        </w:numPr>
        <w:tabs>
          <w:tab w:val="left" w:pos="142"/>
          <w:tab w:val="left" w:pos="284"/>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 xml:space="preserve">Тимонина В. А. Обоснование значимости цифровизации в стратегическом развитии вузов // Актуальные проблемы экономики и менеджмента. 2025. № 3(47). С. 132-141. </w:t>
      </w:r>
    </w:p>
    <w:p w:rsidR="004676D4" w:rsidRPr="004676D4" w:rsidRDefault="004676D4" w:rsidP="004676D4">
      <w:pPr>
        <w:rPr>
          <w:i/>
          <w:szCs w:val="24"/>
        </w:rPr>
      </w:pPr>
    </w:p>
    <w:p w:rsidR="004676D4" w:rsidRPr="004676D4" w:rsidRDefault="004676D4" w:rsidP="004676D4">
      <w:pPr>
        <w:jc w:val="center"/>
        <w:rPr>
          <w:b/>
          <w:szCs w:val="24"/>
        </w:rPr>
      </w:pPr>
      <w:r w:rsidRPr="004676D4">
        <w:rPr>
          <w:b/>
          <w:szCs w:val="24"/>
          <w:lang w:val="en-US"/>
        </w:rPr>
        <w:t>REFERENCES</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Ukaz Prezidenta Rossijskoj Federacii ot 12 maya 2023 g. № 343 O nekotory`x voprosax sovershenstvovaniya sistemy` vy`sshego obrazovaniya (postanovlenie Pravitel`stva RF ot 09 avgusta 2023 № 1302 O realizacii pilotnogo proekta, napravlennogo na izmenenie urovnej professional`nogo obrazovaniya (vmeste s Pravilami realizacii pilotnogo proekta, napravlennogo na izmenenie urovnej professional`nogo obrazovaniya v 2023/24, 2024/25 i 2025/26 uchebny`x godax). Rezhim dostupa: https://www.garant.ru/news/1974947/ Data obrashheniya 23.01.26</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Rasporyazhenie Pravitel`stva RF ot 28.05.2025 №1346-r — utverzhdena metodika raschyota pokazatelej nacional`ny`x rejtingov obrazovatel`ny`x organizacij vy`sshego obrazovaniya i professional`ny`x obrazovatel`ny`x organizacij po trudoustrojstvu vy`pusknikov. Rezhim dostupa: https://www.garant.ru/news/1974947/ Data obrashheniya 23.01.26</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rPr>
      </w:pPr>
      <w:r w:rsidRPr="004676D4">
        <w:rPr>
          <w:rFonts w:ascii="Times New Roman" w:hAnsi="Times New Roman" w:cs="Times New Roman"/>
          <w:i/>
          <w:sz w:val="24"/>
          <w:szCs w:val="24"/>
        </w:rPr>
        <w:t>Rasporyazhenie Minobrnauki Rossii ot 13.12.2024 №486-r — utverzhdena metodika raschyota pokazatelya «Uroven` trudoustrojstva vy`pusknikov, zavershivshix obuchenie po obrazovatel`ny`m programmam vy`sshego obrazovaniya, osushhestvlyayushhix trudovuyu deyatel`nost` v techenie odnogo goda posle vy`puska». base.garant.ru// Rezhim dostupa: https://www.garant.ru/news/1974947/ Data obrashheniya 23.01.26</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lastRenderedPageBreak/>
        <w:t xml:space="preserve">Prognoz potrebnosti v rabochej sile stal orientirom dlya vy`pusknikov shkol i vuzov// Rezhim dostupa: https://rg.ru/2025/10/15/kurs-prolozhen.html?utm_referrer=https%3A%2F%2Fyandex.ru%2F// Data obrashheniya 22.10.25 </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Nacional`ny`e rejtingi po trudoustrojstvu vy`pusknikov obrazovatel`ny`x organizacij vy`sshego obrazovaniya//Rezhim dostupa: https://www.garant.ru/news/1974947/ Data obrashheniya 23.01.26</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Metodicheskie ukazaniya po zapolneniyu formy` «Monitoring po osnovny`m napravleniyam deyatel`nosti obrazovatel`noj organizacii vy`sshego obrazovaniya za 2023 g. (forma № 1-Monitoring)». [E`lektronny`j resurs]//Rezhim dostupa:https://swsu.ru/uinfo/informatsionno-analiticheskiy-tsentr/2024-05-24_10-22-08metodicheskie_ukazaniya_1-monitoring_2024_(za_2023_g.).pdf</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Chto takoe principy` ESG, v chyom oni polezny` biznesu i kak vnedrit` ix v kompanii. [E`lektronny`j resurs]//Rezhim dostupa: https://skillbox.ru/media/management/chto-takoe-printsipy-esg-v-chyem-oni-polezny-biznesu-i-kak-vnedrit-ikh-v-kompanii/</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Ivanov I.P. Ocenka udovletvorennosti vy`pusknikov rezul`tatami svoej obrazovatel`noj traektorii // Vy`sshee obrazovanie v Rossii. № 3, 2021. //Rezhim dostupa: https://cyberleninka.ru/article/n/osobennosti-formirovaniya-obrazovatelnyh-traektoriy-rossiyskih-studentov-otsenka-i-vozmozhnosti/viewer</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Razvitie sistemy` monitoringa trudoustrojstva vy`pusknikov / V. A. Gurtov, L. M. Serova, I. S. Stepus` [i dr.] // Vy`sshee obrazovanie v Rossii. – 2014. – № 5. – S. 11-23. – EDN SCXKJH</w:t>
      </w:r>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Metodika prisvoeniya vy`sshim uchebny`m zavedeniyam rejtingov v sfere ustojchivogo razvitiya [E`lektronny`j resurs]//Rezhim dostupa:https://raex-rr.com/files/methods/RAEX_ESG-rating_university_2025.pdf</w:t>
      </w:r>
    </w:p>
    <w:p w:rsidR="004676D4" w:rsidRPr="004676D4" w:rsidRDefault="004676D4" w:rsidP="005A0605">
      <w:pPr>
        <w:pStyle w:val="affb"/>
        <w:numPr>
          <w:ilvl w:val="0"/>
          <w:numId w:val="18"/>
        </w:numPr>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 xml:space="preserve">Rejting po danny`m monitoringa e`ffektivnosti vuzov [The rating according to the monitoring of the effectiveness of universities ] // URL: </w:t>
      </w:r>
      <w:hyperlink r:id="rId41" w:history="1">
        <w:r w:rsidRPr="004676D4">
          <w:rPr>
            <w:rStyle w:val="af7"/>
            <w:rFonts w:ascii="Times New Roman" w:hAnsi="Times New Roman" w:cs="Times New Roman"/>
            <w:i/>
            <w:sz w:val="24"/>
            <w:szCs w:val="24"/>
            <w:lang w:val="en-US"/>
          </w:rPr>
          <w:t>https://best-edu.ru/ratings/national/reyting-monitoringa-effektivnosti-vuzov</w:t>
        </w:r>
      </w:hyperlink>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 xml:space="preserve">Analiticheskie materialy`, rejtingi, praktiki, novy`e trendy` [E`lektronny`j resurs]//Rezhim dostupa: </w:t>
      </w:r>
      <w:hyperlink r:id="rId42" w:history="1">
        <w:r w:rsidRPr="004676D4">
          <w:rPr>
            <w:rStyle w:val="af7"/>
            <w:rFonts w:ascii="Times New Roman" w:hAnsi="Times New Roman" w:cs="Times New Roman"/>
            <w:i/>
            <w:sz w:val="24"/>
            <w:szCs w:val="24"/>
            <w:lang w:val="en-US"/>
          </w:rPr>
          <w:t>https://raex-rr.com/files/analytics/UESG2025_Analytica_Web.pdf</w:t>
        </w:r>
      </w:hyperlink>
    </w:p>
    <w:p w:rsidR="004676D4" w:rsidRPr="004676D4" w:rsidRDefault="004676D4" w:rsidP="005A0605">
      <w:pPr>
        <w:pStyle w:val="affb"/>
        <w:numPr>
          <w:ilvl w:val="0"/>
          <w:numId w:val="18"/>
        </w:numPr>
        <w:tabs>
          <w:tab w:val="left" w:pos="426"/>
        </w:tabs>
        <w:spacing w:after="0" w:line="240" w:lineRule="auto"/>
        <w:ind w:left="0" w:firstLine="284"/>
        <w:jc w:val="both"/>
        <w:rPr>
          <w:rFonts w:ascii="Times New Roman" w:hAnsi="Times New Roman" w:cs="Times New Roman"/>
          <w:i/>
          <w:sz w:val="24"/>
          <w:szCs w:val="24"/>
          <w:lang w:val="en-US"/>
        </w:rPr>
      </w:pPr>
      <w:r w:rsidRPr="004676D4">
        <w:rPr>
          <w:rFonts w:ascii="Times New Roman" w:hAnsi="Times New Roman" w:cs="Times New Roman"/>
          <w:i/>
          <w:sz w:val="24"/>
          <w:szCs w:val="24"/>
          <w:lang w:val="en-US"/>
        </w:rPr>
        <w:t>Tatochenko</w:t>
      </w:r>
      <w:r w:rsidR="00CB3FDB" w:rsidRPr="00CB3FDB">
        <w:rPr>
          <w:rFonts w:ascii="Times New Roman" w:hAnsi="Times New Roman" w:cs="Times New Roman"/>
          <w:i/>
          <w:sz w:val="24"/>
          <w:szCs w:val="24"/>
          <w:lang w:val="en-US"/>
        </w:rPr>
        <w:t xml:space="preserve"> </w:t>
      </w:r>
      <w:r w:rsidRPr="004676D4">
        <w:rPr>
          <w:rFonts w:ascii="Times New Roman" w:hAnsi="Times New Roman" w:cs="Times New Roman"/>
          <w:i/>
          <w:sz w:val="24"/>
          <w:szCs w:val="24"/>
          <w:lang w:val="en-US"/>
        </w:rPr>
        <w:t>A. L. Rossijskij rejting universitetov RAEX-100: metrologicheskij podxod k ocenke rezul`tatov / A. L. Tatochenko, A. V. Tarakanov // Problemy` gumanizacii i suverenizacii rossijskoj sistemy` vy`sshego obrazovaniya: reformy`, rezul`taty`, perspektivy` : Sbornik nauchny`x trudov Vserossijskoj nauchno-prakticheskoj konferencii, Moskva, 19 maya 2022 goda. – Moskva: Izdatel`sko-torgovaya korporaciya Dashkov i K, 2022. – S. 103-112.</w:t>
      </w:r>
    </w:p>
    <w:p w:rsidR="007C1C9B" w:rsidRPr="004676D4" w:rsidRDefault="004676D4" w:rsidP="005A0605">
      <w:pPr>
        <w:pStyle w:val="affb"/>
        <w:numPr>
          <w:ilvl w:val="0"/>
          <w:numId w:val="18"/>
        </w:numPr>
        <w:tabs>
          <w:tab w:val="left" w:pos="426"/>
        </w:tabs>
        <w:spacing w:after="0" w:line="240" w:lineRule="auto"/>
        <w:ind w:left="0" w:firstLine="284"/>
        <w:rPr>
          <w:rFonts w:ascii="Times New Roman" w:hAnsi="Times New Roman" w:cs="Times New Roman"/>
          <w:i/>
          <w:sz w:val="24"/>
          <w:szCs w:val="24"/>
          <w:lang w:val="en-US"/>
        </w:rPr>
      </w:pPr>
      <w:r w:rsidRPr="004676D4">
        <w:rPr>
          <w:rFonts w:ascii="Times New Roman" w:hAnsi="Times New Roman" w:cs="Times New Roman"/>
          <w:i/>
          <w:sz w:val="24"/>
          <w:szCs w:val="24"/>
          <w:lang w:val="en-US"/>
        </w:rPr>
        <w:t xml:space="preserve">Timonina V. A. Obosnovanie znachimosti cifrovizacii v strategicheskom razvitii vuzov // Aktual`ny`e problemy` e`konomiki i menedzhmenta. 2025. № 3(47). S. 132-141. </w:t>
      </w:r>
    </w:p>
    <w:tbl>
      <w:tblPr>
        <w:tblW w:w="4980" w:type="pct"/>
        <w:tblCellMar>
          <w:left w:w="0" w:type="dxa"/>
          <w:right w:w="0" w:type="dxa"/>
        </w:tblCellMar>
        <w:tblLook w:val="00A0" w:firstRow="1" w:lastRow="0" w:firstColumn="1" w:lastColumn="0" w:noHBand="0" w:noVBand="0"/>
      </w:tblPr>
      <w:tblGrid>
        <w:gridCol w:w="4825"/>
        <w:gridCol w:w="230"/>
        <w:gridCol w:w="4545"/>
      </w:tblGrid>
      <w:tr w:rsidR="004676D4" w:rsidRPr="00300205" w:rsidTr="002C7AB0">
        <w:trPr>
          <w:trHeight w:val="567"/>
        </w:trPr>
        <w:tc>
          <w:tcPr>
            <w:tcW w:w="2513" w:type="pct"/>
          </w:tcPr>
          <w:p w:rsidR="004676D4" w:rsidRPr="004676D4" w:rsidRDefault="004676D4" w:rsidP="004676D4">
            <w:pPr>
              <w:spacing w:line="233" w:lineRule="auto"/>
              <w:ind w:firstLine="284"/>
              <w:rPr>
                <w:b/>
                <w:i/>
                <w:color w:val="000000"/>
                <w:spacing w:val="-8"/>
                <w:szCs w:val="24"/>
              </w:rPr>
            </w:pPr>
          </w:p>
          <w:p w:rsidR="004676D4" w:rsidRPr="004676D4" w:rsidRDefault="004676D4" w:rsidP="004676D4">
            <w:pPr>
              <w:shd w:val="clear" w:color="auto" w:fill="FFFFFF"/>
              <w:ind w:firstLine="284"/>
              <w:rPr>
                <w:bCs/>
                <w:i/>
                <w:color w:val="000000"/>
                <w:spacing w:val="5"/>
                <w:szCs w:val="24"/>
                <w:shd w:val="clear" w:color="auto" w:fill="FFFFFF"/>
              </w:rPr>
            </w:pPr>
            <w:r w:rsidRPr="004676D4">
              <w:rPr>
                <w:b/>
                <w:i/>
                <w:szCs w:val="24"/>
              </w:rPr>
              <w:t>Тимонина Виктория Андреевна</w:t>
            </w:r>
            <w:r>
              <w:rPr>
                <w:b/>
                <w:i/>
                <w:szCs w:val="24"/>
              </w:rPr>
              <w:t xml:space="preserve"> – </w:t>
            </w:r>
            <w:r w:rsidRPr="004676D4">
              <w:rPr>
                <w:i/>
                <w:szCs w:val="24"/>
              </w:rPr>
              <w:t xml:space="preserve">аспирант кафедры «Отраслевое управление и экономическая безопасность» Саратовского государственного технического университета имени Гагарина Ю.А., </w:t>
            </w:r>
            <w:r w:rsidR="00CB3FDB" w:rsidRPr="00CB3FDB">
              <w:rPr>
                <w:i/>
                <w:szCs w:val="24"/>
              </w:rPr>
              <w:t xml:space="preserve">Россия, 410054, г. Саратов, ул. Политехническая, д. 77; E-mail: victoria454@sstu.ru; </w:t>
            </w:r>
            <w:hyperlink r:id="rId43" w:history="1">
              <w:r w:rsidR="00CB3FDB" w:rsidRPr="002E7864">
                <w:rPr>
                  <w:rStyle w:val="af7"/>
                  <w:i/>
                  <w:szCs w:val="24"/>
                </w:rPr>
                <w:t>https://orcid.org/</w:t>
              </w:r>
              <w:r w:rsidR="00CB3FDB" w:rsidRPr="00CB3FDB">
                <w:rPr>
                  <w:rStyle w:val="af7"/>
                  <w:i/>
                  <w:szCs w:val="24"/>
                </w:rPr>
                <w:t>0000-0003-0596-715X</w:t>
              </w:r>
            </w:hyperlink>
          </w:p>
          <w:p w:rsidR="004676D4" w:rsidRPr="00F70991" w:rsidRDefault="004676D4" w:rsidP="00CB3FDB">
            <w:pPr>
              <w:spacing w:line="233" w:lineRule="auto"/>
              <w:ind w:firstLine="284"/>
              <w:rPr>
                <w:b/>
                <w:bCs/>
                <w:i/>
                <w:spacing w:val="-8"/>
                <w:szCs w:val="24"/>
              </w:rPr>
            </w:pPr>
          </w:p>
        </w:tc>
        <w:tc>
          <w:tcPr>
            <w:tcW w:w="120" w:type="pct"/>
          </w:tcPr>
          <w:p w:rsidR="004676D4" w:rsidRPr="00F70991" w:rsidRDefault="004676D4" w:rsidP="004676D4">
            <w:pPr>
              <w:spacing w:line="233" w:lineRule="auto"/>
              <w:ind w:firstLine="284"/>
              <w:contextualSpacing/>
              <w:rPr>
                <w:i/>
                <w:spacing w:val="-8"/>
                <w:szCs w:val="24"/>
              </w:rPr>
            </w:pPr>
          </w:p>
        </w:tc>
        <w:tc>
          <w:tcPr>
            <w:tcW w:w="2367" w:type="pct"/>
          </w:tcPr>
          <w:p w:rsidR="004676D4" w:rsidRPr="00F70991" w:rsidRDefault="004676D4" w:rsidP="004676D4">
            <w:pPr>
              <w:ind w:firstLine="284"/>
              <w:rPr>
                <w:b/>
                <w:i/>
                <w:color w:val="000000"/>
                <w:spacing w:val="-6"/>
                <w:szCs w:val="24"/>
              </w:rPr>
            </w:pPr>
          </w:p>
          <w:p w:rsidR="004676D4" w:rsidRPr="004676D4" w:rsidRDefault="004676D4" w:rsidP="004676D4">
            <w:pPr>
              <w:ind w:firstLine="284"/>
              <w:rPr>
                <w:b/>
                <w:i/>
                <w:szCs w:val="22"/>
                <w:lang w:val="en-US"/>
              </w:rPr>
            </w:pPr>
            <w:r w:rsidRPr="004676D4">
              <w:rPr>
                <w:b/>
                <w:i/>
                <w:szCs w:val="24"/>
                <w:lang w:val="en-US"/>
              </w:rPr>
              <w:t xml:space="preserve">Victoria A. </w:t>
            </w:r>
            <w:r w:rsidR="00CB3FDB" w:rsidRPr="004676D4">
              <w:rPr>
                <w:b/>
                <w:i/>
                <w:szCs w:val="24"/>
                <w:lang w:val="en-US"/>
              </w:rPr>
              <w:t>Timonina –</w:t>
            </w:r>
            <w:r w:rsidRPr="004676D4">
              <w:rPr>
                <w:b/>
                <w:i/>
                <w:szCs w:val="24"/>
                <w:lang w:val="en-US"/>
              </w:rPr>
              <w:t xml:space="preserve"> </w:t>
            </w:r>
            <w:r w:rsidR="00CB3FDB" w:rsidRPr="00CB3FDB">
              <w:rPr>
                <w:i/>
                <w:spacing w:val="-4"/>
                <w:szCs w:val="22"/>
                <w:lang w:val="en-US"/>
              </w:rPr>
              <w:t>Postgraduate student, Yuri Gagarin State Technical University of Saratov, 77, Politechnicheskaya St., Sa-ratov, 410054, Russia; E-mail: victoria454@sstu.ru; https://orcid.org/0000-0003-0596-715X</w:t>
            </w:r>
          </w:p>
          <w:p w:rsidR="004676D4" w:rsidRPr="004676D4" w:rsidRDefault="004676D4" w:rsidP="004676D4">
            <w:pPr>
              <w:spacing w:line="233" w:lineRule="auto"/>
              <w:ind w:firstLine="284"/>
              <w:rPr>
                <w:bCs/>
                <w:i/>
                <w:spacing w:val="-8"/>
                <w:szCs w:val="24"/>
                <w:lang w:val="en-US"/>
              </w:rPr>
            </w:pPr>
          </w:p>
        </w:tc>
      </w:tr>
    </w:tbl>
    <w:p w:rsidR="008F0FE5" w:rsidRPr="004577D3" w:rsidRDefault="008F0FE5" w:rsidP="008F0FE5">
      <w:pPr>
        <w:ind w:firstLine="284"/>
        <w:jc w:val="right"/>
        <w:rPr>
          <w:i/>
          <w:sz w:val="22"/>
          <w:szCs w:val="22"/>
        </w:rPr>
      </w:pPr>
      <w:r w:rsidRPr="004577D3">
        <w:rPr>
          <w:i/>
          <w:sz w:val="22"/>
          <w:szCs w:val="22"/>
        </w:rPr>
        <w:t>Статья поступила в</w:t>
      </w:r>
      <w:r>
        <w:rPr>
          <w:i/>
          <w:sz w:val="22"/>
          <w:szCs w:val="22"/>
        </w:rPr>
        <w:t xml:space="preserve"> </w:t>
      </w:r>
      <w:r w:rsidRPr="004577D3">
        <w:rPr>
          <w:i/>
          <w:sz w:val="22"/>
          <w:szCs w:val="22"/>
        </w:rPr>
        <w:t>редакцию 14.</w:t>
      </w:r>
      <w:r>
        <w:rPr>
          <w:i/>
          <w:sz w:val="22"/>
          <w:szCs w:val="22"/>
        </w:rPr>
        <w:t>12</w:t>
      </w:r>
      <w:r w:rsidRPr="004577D3">
        <w:rPr>
          <w:i/>
          <w:sz w:val="22"/>
          <w:szCs w:val="22"/>
        </w:rPr>
        <w:t>.2</w:t>
      </w:r>
      <w:r w:rsidRPr="008F0FE5">
        <w:rPr>
          <w:i/>
          <w:sz w:val="22"/>
          <w:szCs w:val="22"/>
        </w:rPr>
        <w:t>5</w:t>
      </w:r>
      <w:r w:rsidRPr="004577D3">
        <w:rPr>
          <w:i/>
          <w:sz w:val="22"/>
          <w:szCs w:val="22"/>
        </w:rPr>
        <w:t>, принята к опубликованию 15.01.26</w:t>
      </w:r>
    </w:p>
    <w:p w:rsidR="007C1C9B" w:rsidRPr="00300205" w:rsidRDefault="007C1C9B" w:rsidP="008F0FE5">
      <w:pPr>
        <w:ind w:firstLine="0"/>
        <w:jc w:val="left"/>
        <w:rPr>
          <w:rFonts w:ascii="Arial" w:hAnsi="Arial" w:cs="Arial"/>
          <w:i/>
          <w:szCs w:val="24"/>
        </w:rPr>
      </w:pPr>
    </w:p>
    <w:p w:rsidR="008F0FE5" w:rsidRPr="00300205" w:rsidRDefault="008F0FE5" w:rsidP="008F0FE5">
      <w:pPr>
        <w:ind w:firstLine="0"/>
        <w:jc w:val="left"/>
        <w:rPr>
          <w:rFonts w:ascii="Arial" w:hAnsi="Arial" w:cs="Arial"/>
          <w:i/>
          <w:szCs w:val="24"/>
        </w:rPr>
      </w:pPr>
    </w:p>
    <w:p w:rsidR="008F0FE5" w:rsidRPr="00300205" w:rsidRDefault="008F0FE5" w:rsidP="008F0FE5">
      <w:pPr>
        <w:ind w:firstLine="0"/>
        <w:jc w:val="left"/>
        <w:rPr>
          <w:rFonts w:ascii="Arial" w:hAnsi="Arial" w:cs="Arial"/>
          <w:i/>
          <w:szCs w:val="24"/>
        </w:rPr>
      </w:pPr>
    </w:p>
    <w:p w:rsidR="008F0FE5" w:rsidRPr="00300205" w:rsidRDefault="008F0FE5" w:rsidP="008F0FE5">
      <w:pPr>
        <w:ind w:firstLine="0"/>
        <w:jc w:val="left"/>
        <w:rPr>
          <w:rFonts w:ascii="Arial" w:hAnsi="Arial" w:cs="Arial"/>
          <w:i/>
          <w:szCs w:val="24"/>
        </w:rPr>
      </w:pPr>
    </w:p>
    <w:p w:rsidR="00637EED" w:rsidRPr="00F70991" w:rsidRDefault="00637EED" w:rsidP="00637EED">
      <w:pPr>
        <w:ind w:firstLine="0"/>
        <w:jc w:val="left"/>
        <w:rPr>
          <w:rFonts w:ascii="Arial" w:hAnsi="Arial" w:cs="Arial"/>
          <w:i/>
        </w:rPr>
      </w:pPr>
      <w:r w:rsidRPr="00D337FA">
        <w:rPr>
          <w:rFonts w:ascii="Arial" w:hAnsi="Arial" w:cs="Arial"/>
          <w:i/>
        </w:rPr>
        <w:lastRenderedPageBreak/>
        <w:t>УДК</w:t>
      </w:r>
      <w:r w:rsidR="006C680D" w:rsidRPr="00F70991">
        <w:rPr>
          <w:rFonts w:ascii="Arial" w:hAnsi="Arial" w:cs="Arial"/>
          <w:i/>
        </w:rPr>
        <w:t xml:space="preserve"> </w:t>
      </w:r>
      <w:r w:rsidRPr="00F70991">
        <w:rPr>
          <w:rFonts w:ascii="Arial" w:hAnsi="Arial" w:cs="Arial"/>
          <w:i/>
        </w:rPr>
        <w:t>338.121</w:t>
      </w:r>
    </w:p>
    <w:p w:rsidR="00637EED" w:rsidRPr="00F70991" w:rsidRDefault="00637EED" w:rsidP="00637EED">
      <w:pPr>
        <w:ind w:firstLine="0"/>
        <w:jc w:val="left"/>
        <w:rPr>
          <w:rFonts w:ascii="Arial" w:hAnsi="Arial" w:cs="Arial"/>
          <w:b/>
          <w:i/>
        </w:rPr>
      </w:pPr>
      <w:r w:rsidRPr="00D337FA">
        <w:rPr>
          <w:rFonts w:ascii="Arial" w:hAnsi="Arial" w:cs="Arial"/>
          <w:b/>
          <w:i/>
        </w:rPr>
        <w:t>Л</w:t>
      </w:r>
      <w:r w:rsidRPr="00F70991">
        <w:rPr>
          <w:rFonts w:ascii="Arial" w:hAnsi="Arial" w:cs="Arial"/>
          <w:b/>
          <w:i/>
        </w:rPr>
        <w:t>.</w:t>
      </w:r>
      <w:r w:rsidRPr="00D337FA">
        <w:rPr>
          <w:rFonts w:ascii="Arial" w:hAnsi="Arial" w:cs="Arial"/>
          <w:b/>
          <w:i/>
        </w:rPr>
        <w:t>А</w:t>
      </w:r>
      <w:r w:rsidRPr="00F70991">
        <w:rPr>
          <w:rFonts w:ascii="Arial" w:hAnsi="Arial" w:cs="Arial"/>
          <w:b/>
          <w:i/>
        </w:rPr>
        <w:t>.</w:t>
      </w:r>
      <w:r w:rsidR="006C680D" w:rsidRPr="00F70991">
        <w:rPr>
          <w:rFonts w:ascii="Arial" w:hAnsi="Arial" w:cs="Arial"/>
          <w:b/>
          <w:i/>
        </w:rPr>
        <w:t xml:space="preserve"> </w:t>
      </w:r>
      <w:r w:rsidRPr="00D337FA">
        <w:rPr>
          <w:rFonts w:ascii="Arial" w:hAnsi="Arial" w:cs="Arial"/>
          <w:b/>
          <w:i/>
        </w:rPr>
        <w:t>Третьякова</w:t>
      </w:r>
      <w:r w:rsidRPr="00F70991">
        <w:rPr>
          <w:rFonts w:ascii="Arial" w:hAnsi="Arial" w:cs="Arial"/>
          <w:b/>
          <w:i/>
        </w:rPr>
        <w:t>,</w:t>
      </w:r>
      <w:r w:rsidR="006C680D" w:rsidRPr="00F70991">
        <w:rPr>
          <w:rFonts w:ascii="Arial" w:hAnsi="Arial" w:cs="Arial"/>
          <w:b/>
          <w:i/>
        </w:rPr>
        <w:t xml:space="preserve"> </w:t>
      </w:r>
      <w:r w:rsidRPr="00D337FA">
        <w:rPr>
          <w:rFonts w:ascii="Arial" w:hAnsi="Arial" w:cs="Arial"/>
          <w:b/>
          <w:i/>
        </w:rPr>
        <w:t>С</w:t>
      </w:r>
      <w:r w:rsidRPr="00F70991">
        <w:rPr>
          <w:rFonts w:ascii="Arial" w:hAnsi="Arial" w:cs="Arial"/>
          <w:b/>
          <w:i/>
        </w:rPr>
        <w:t>.</w:t>
      </w:r>
      <w:r w:rsidRPr="00D337FA">
        <w:rPr>
          <w:rFonts w:ascii="Arial" w:hAnsi="Arial" w:cs="Arial"/>
          <w:b/>
          <w:i/>
        </w:rPr>
        <w:t>Н</w:t>
      </w:r>
      <w:r w:rsidRPr="00F70991">
        <w:rPr>
          <w:rFonts w:ascii="Arial" w:hAnsi="Arial" w:cs="Arial"/>
          <w:b/>
          <w:i/>
        </w:rPr>
        <w:t>.</w:t>
      </w:r>
      <w:r w:rsidR="006C680D" w:rsidRPr="00F70991">
        <w:rPr>
          <w:rFonts w:ascii="Arial" w:hAnsi="Arial" w:cs="Arial"/>
          <w:b/>
          <w:i/>
        </w:rPr>
        <w:t xml:space="preserve"> </w:t>
      </w:r>
      <w:r w:rsidRPr="00D337FA">
        <w:rPr>
          <w:rFonts w:ascii="Arial" w:hAnsi="Arial" w:cs="Arial"/>
          <w:b/>
          <w:i/>
        </w:rPr>
        <w:t>Прядко</w:t>
      </w:r>
      <w:r w:rsidRPr="00F70991">
        <w:rPr>
          <w:rFonts w:ascii="Arial" w:hAnsi="Arial" w:cs="Arial"/>
          <w:b/>
          <w:i/>
        </w:rPr>
        <w:t>,</w:t>
      </w:r>
      <w:r w:rsidR="006C680D" w:rsidRPr="00F70991">
        <w:rPr>
          <w:rFonts w:ascii="Arial" w:hAnsi="Arial" w:cs="Arial"/>
          <w:b/>
          <w:i/>
        </w:rPr>
        <w:t xml:space="preserve"> </w:t>
      </w:r>
      <w:r w:rsidRPr="00D337FA">
        <w:rPr>
          <w:rFonts w:ascii="Arial" w:hAnsi="Arial" w:cs="Arial"/>
          <w:b/>
          <w:i/>
        </w:rPr>
        <w:t>М</w:t>
      </w:r>
      <w:r w:rsidRPr="00F70991">
        <w:rPr>
          <w:rFonts w:ascii="Arial" w:hAnsi="Arial" w:cs="Arial"/>
          <w:b/>
          <w:i/>
        </w:rPr>
        <w:t>.</w:t>
      </w:r>
      <w:r w:rsidRPr="00D337FA">
        <w:rPr>
          <w:rFonts w:ascii="Arial" w:hAnsi="Arial" w:cs="Arial"/>
          <w:b/>
          <w:i/>
        </w:rPr>
        <w:t>С</w:t>
      </w:r>
      <w:r w:rsidRPr="00F70991">
        <w:rPr>
          <w:rFonts w:ascii="Arial" w:hAnsi="Arial" w:cs="Arial"/>
          <w:b/>
          <w:i/>
        </w:rPr>
        <w:t>.</w:t>
      </w:r>
      <w:r w:rsidR="006C680D" w:rsidRPr="00F70991">
        <w:rPr>
          <w:rFonts w:ascii="Arial" w:hAnsi="Arial" w:cs="Arial"/>
          <w:b/>
          <w:i/>
        </w:rPr>
        <w:t xml:space="preserve"> </w:t>
      </w:r>
      <w:r w:rsidRPr="00D337FA">
        <w:rPr>
          <w:rFonts w:ascii="Arial" w:hAnsi="Arial" w:cs="Arial"/>
          <w:b/>
          <w:i/>
        </w:rPr>
        <w:t>Третьякова</w:t>
      </w:r>
      <w:r w:rsidR="006C680D" w:rsidRPr="00F70991">
        <w:rPr>
          <w:rFonts w:ascii="Arial" w:hAnsi="Arial" w:cs="Arial"/>
          <w:b/>
          <w:i/>
        </w:rPr>
        <w:t xml:space="preserve"> </w:t>
      </w:r>
    </w:p>
    <w:p w:rsidR="00E56107" w:rsidRPr="00F70991" w:rsidRDefault="00637EED" w:rsidP="00637EED">
      <w:pPr>
        <w:ind w:firstLine="0"/>
        <w:jc w:val="left"/>
        <w:rPr>
          <w:rFonts w:ascii="Arial" w:hAnsi="Arial" w:cs="Arial"/>
          <w:b/>
          <w:i/>
        </w:rPr>
      </w:pPr>
      <w:r w:rsidRPr="007C1C9B">
        <w:rPr>
          <w:rFonts w:ascii="Arial" w:hAnsi="Arial" w:cs="Arial"/>
          <w:b/>
          <w:i/>
          <w:lang w:val="en-US"/>
        </w:rPr>
        <w:t>L</w:t>
      </w:r>
      <w:r w:rsidRPr="00F70991">
        <w:rPr>
          <w:rFonts w:ascii="Arial" w:hAnsi="Arial" w:cs="Arial"/>
          <w:b/>
          <w:i/>
        </w:rPr>
        <w:t>.</w:t>
      </w:r>
      <w:r w:rsidRPr="007C1C9B">
        <w:rPr>
          <w:rFonts w:ascii="Arial" w:hAnsi="Arial" w:cs="Arial"/>
          <w:b/>
          <w:i/>
          <w:lang w:val="en-US"/>
        </w:rPr>
        <w:t>A</w:t>
      </w:r>
      <w:r w:rsidRPr="00F70991">
        <w:rPr>
          <w:rFonts w:ascii="Arial" w:hAnsi="Arial" w:cs="Arial"/>
          <w:b/>
          <w:i/>
        </w:rPr>
        <w:t>.</w:t>
      </w:r>
      <w:r w:rsidR="006C680D" w:rsidRPr="00F70991">
        <w:rPr>
          <w:rFonts w:ascii="Arial" w:hAnsi="Arial" w:cs="Arial"/>
          <w:b/>
          <w:i/>
        </w:rPr>
        <w:t xml:space="preserve"> </w:t>
      </w:r>
      <w:r w:rsidRPr="007C1C9B">
        <w:rPr>
          <w:rFonts w:ascii="Arial" w:hAnsi="Arial" w:cs="Arial"/>
          <w:b/>
          <w:i/>
          <w:lang w:val="en-US"/>
        </w:rPr>
        <w:t>Tretyakova</w:t>
      </w:r>
      <w:r w:rsidRPr="00F70991">
        <w:rPr>
          <w:rFonts w:ascii="Arial" w:hAnsi="Arial" w:cs="Arial"/>
          <w:b/>
          <w:i/>
        </w:rPr>
        <w:t>,</w:t>
      </w:r>
      <w:r w:rsidR="006C680D" w:rsidRPr="00F70991">
        <w:rPr>
          <w:rFonts w:ascii="Arial" w:hAnsi="Arial" w:cs="Arial"/>
          <w:b/>
          <w:i/>
        </w:rPr>
        <w:t xml:space="preserve"> </w:t>
      </w:r>
      <w:r w:rsidRPr="007C1C9B">
        <w:rPr>
          <w:rFonts w:ascii="Arial" w:hAnsi="Arial" w:cs="Arial"/>
          <w:b/>
          <w:i/>
          <w:lang w:val="en-US"/>
        </w:rPr>
        <w:t>S</w:t>
      </w:r>
      <w:r w:rsidRPr="00F70991">
        <w:rPr>
          <w:rFonts w:ascii="Arial" w:hAnsi="Arial" w:cs="Arial"/>
          <w:b/>
          <w:i/>
        </w:rPr>
        <w:t>.</w:t>
      </w:r>
      <w:r w:rsidRPr="007C1C9B">
        <w:rPr>
          <w:rFonts w:ascii="Arial" w:hAnsi="Arial" w:cs="Arial"/>
          <w:b/>
          <w:i/>
          <w:lang w:val="en-US"/>
        </w:rPr>
        <w:t>N</w:t>
      </w:r>
      <w:r w:rsidRPr="00F70991">
        <w:rPr>
          <w:rFonts w:ascii="Arial" w:hAnsi="Arial" w:cs="Arial"/>
          <w:b/>
          <w:i/>
        </w:rPr>
        <w:t>.</w:t>
      </w:r>
      <w:r w:rsidR="006C680D" w:rsidRPr="00F70991">
        <w:rPr>
          <w:rFonts w:ascii="Arial" w:hAnsi="Arial" w:cs="Arial"/>
          <w:b/>
          <w:i/>
        </w:rPr>
        <w:t xml:space="preserve"> </w:t>
      </w:r>
      <w:r w:rsidRPr="007C1C9B">
        <w:rPr>
          <w:rFonts w:ascii="Arial" w:hAnsi="Arial" w:cs="Arial"/>
          <w:b/>
          <w:i/>
          <w:lang w:val="en-US"/>
        </w:rPr>
        <w:t>Pryadko</w:t>
      </w:r>
      <w:r w:rsidRPr="00F70991">
        <w:rPr>
          <w:rFonts w:ascii="Arial" w:hAnsi="Arial" w:cs="Arial"/>
          <w:b/>
          <w:i/>
        </w:rPr>
        <w:t>,</w:t>
      </w:r>
      <w:r w:rsidR="006C680D" w:rsidRPr="00F70991">
        <w:rPr>
          <w:rFonts w:ascii="Arial" w:hAnsi="Arial" w:cs="Arial"/>
          <w:b/>
          <w:i/>
        </w:rPr>
        <w:t xml:space="preserve"> </w:t>
      </w:r>
      <w:r w:rsidRPr="007C1C9B">
        <w:rPr>
          <w:rFonts w:ascii="Arial" w:hAnsi="Arial" w:cs="Arial"/>
          <w:b/>
          <w:i/>
          <w:lang w:val="en-US"/>
        </w:rPr>
        <w:t>M</w:t>
      </w:r>
      <w:r w:rsidRPr="00F70991">
        <w:rPr>
          <w:rFonts w:ascii="Arial" w:hAnsi="Arial" w:cs="Arial"/>
          <w:b/>
          <w:i/>
        </w:rPr>
        <w:t>.</w:t>
      </w:r>
      <w:r w:rsidRPr="007C1C9B">
        <w:rPr>
          <w:rFonts w:ascii="Arial" w:hAnsi="Arial" w:cs="Arial"/>
          <w:b/>
          <w:i/>
          <w:lang w:val="en-US"/>
        </w:rPr>
        <w:t>S</w:t>
      </w:r>
      <w:r w:rsidRPr="00F70991">
        <w:rPr>
          <w:rFonts w:ascii="Arial" w:hAnsi="Arial" w:cs="Arial"/>
          <w:b/>
          <w:i/>
        </w:rPr>
        <w:t>.</w:t>
      </w:r>
      <w:r w:rsidR="006C680D" w:rsidRPr="00F70991">
        <w:rPr>
          <w:rFonts w:ascii="Arial" w:hAnsi="Arial" w:cs="Arial"/>
          <w:b/>
          <w:i/>
        </w:rPr>
        <w:t xml:space="preserve"> </w:t>
      </w:r>
      <w:r w:rsidRPr="007C1C9B">
        <w:rPr>
          <w:rFonts w:ascii="Arial" w:hAnsi="Arial" w:cs="Arial"/>
          <w:b/>
          <w:i/>
          <w:lang w:val="en-US"/>
        </w:rPr>
        <w:t>Tretyakova</w:t>
      </w:r>
    </w:p>
    <w:p w:rsidR="00E56107" w:rsidRPr="00F70991" w:rsidRDefault="00E56107" w:rsidP="00E56107">
      <w:pPr>
        <w:ind w:firstLine="0"/>
        <w:jc w:val="left"/>
        <w:rPr>
          <w:rFonts w:ascii="Arial" w:hAnsi="Arial" w:cs="Arial"/>
        </w:rPr>
      </w:pPr>
    </w:p>
    <w:p w:rsidR="00637EED" w:rsidRPr="00D337FA" w:rsidRDefault="00637EED" w:rsidP="00637EED">
      <w:pPr>
        <w:ind w:firstLine="0"/>
        <w:jc w:val="center"/>
        <w:rPr>
          <w:rFonts w:ascii="Arial" w:hAnsi="Arial" w:cs="Arial"/>
          <w:b/>
        </w:rPr>
      </w:pPr>
      <w:r w:rsidRPr="00D337FA">
        <w:rPr>
          <w:rFonts w:ascii="Arial" w:hAnsi="Arial" w:cs="Arial"/>
          <w:b/>
        </w:rPr>
        <w:t>УПРАВЛЕНИЕ</w:t>
      </w:r>
      <w:r w:rsidR="006C680D" w:rsidRPr="00F70991">
        <w:rPr>
          <w:rFonts w:ascii="Arial" w:hAnsi="Arial" w:cs="Arial"/>
          <w:b/>
        </w:rPr>
        <w:t xml:space="preserve"> </w:t>
      </w:r>
      <w:r w:rsidRPr="00D337FA">
        <w:rPr>
          <w:rFonts w:ascii="Arial" w:hAnsi="Arial" w:cs="Arial"/>
          <w:b/>
        </w:rPr>
        <w:t>ПРОЦЕССОМ</w:t>
      </w:r>
      <w:r w:rsidR="006C680D" w:rsidRPr="00F70991">
        <w:rPr>
          <w:rFonts w:ascii="Arial" w:hAnsi="Arial" w:cs="Arial"/>
          <w:b/>
        </w:rPr>
        <w:t xml:space="preserve"> </w:t>
      </w:r>
      <w:r w:rsidRPr="00D337FA">
        <w:rPr>
          <w:rFonts w:ascii="Arial" w:hAnsi="Arial" w:cs="Arial"/>
          <w:b/>
        </w:rPr>
        <w:t>ФОРМИРОВАНИЯ</w:t>
      </w:r>
      <w:r w:rsidR="006C680D" w:rsidRPr="00D337FA">
        <w:rPr>
          <w:rFonts w:ascii="Arial" w:hAnsi="Arial" w:cs="Arial"/>
          <w:b/>
        </w:rPr>
        <w:t xml:space="preserve"> </w:t>
      </w:r>
      <w:r w:rsidRPr="00D337FA">
        <w:rPr>
          <w:rFonts w:ascii="Arial" w:hAnsi="Arial" w:cs="Arial"/>
          <w:b/>
        </w:rPr>
        <w:t>КОНКУРЕНТНЫХ</w:t>
      </w:r>
      <w:r w:rsidR="006C680D" w:rsidRPr="00D337FA">
        <w:rPr>
          <w:rFonts w:ascii="Arial" w:hAnsi="Arial" w:cs="Arial"/>
          <w:b/>
        </w:rPr>
        <w:t xml:space="preserve"> </w:t>
      </w:r>
      <w:r w:rsidRPr="00D337FA">
        <w:rPr>
          <w:rFonts w:ascii="Arial" w:hAnsi="Arial" w:cs="Arial"/>
          <w:b/>
        </w:rPr>
        <w:t>ПРЕИМУЩЕСТВ</w:t>
      </w:r>
      <w:r w:rsidR="006C680D" w:rsidRPr="00D337FA">
        <w:rPr>
          <w:rFonts w:ascii="Arial" w:hAnsi="Arial" w:cs="Arial"/>
          <w:b/>
        </w:rPr>
        <w:t xml:space="preserve"> </w:t>
      </w:r>
      <w:r w:rsidRPr="00D337FA">
        <w:rPr>
          <w:rFonts w:ascii="Arial" w:hAnsi="Arial" w:cs="Arial"/>
          <w:b/>
        </w:rPr>
        <w:t>НА</w:t>
      </w:r>
      <w:r w:rsidR="006C680D" w:rsidRPr="00D337FA">
        <w:rPr>
          <w:rFonts w:ascii="Arial" w:hAnsi="Arial" w:cs="Arial"/>
          <w:b/>
        </w:rPr>
        <w:t xml:space="preserve"> </w:t>
      </w:r>
      <w:r w:rsidRPr="00D337FA">
        <w:rPr>
          <w:rFonts w:ascii="Arial" w:hAnsi="Arial" w:cs="Arial"/>
          <w:b/>
        </w:rPr>
        <w:t>РЫНКЕ</w:t>
      </w:r>
      <w:r w:rsidR="006C680D" w:rsidRPr="00D337FA">
        <w:rPr>
          <w:rFonts w:ascii="Arial" w:hAnsi="Arial" w:cs="Arial"/>
          <w:b/>
        </w:rPr>
        <w:t xml:space="preserve"> </w:t>
      </w:r>
      <w:r w:rsidRPr="00D337FA">
        <w:rPr>
          <w:rFonts w:ascii="Arial" w:hAnsi="Arial" w:cs="Arial"/>
          <w:b/>
        </w:rPr>
        <w:t>СТРАХОВЫХ</w:t>
      </w:r>
      <w:r w:rsidR="006C680D" w:rsidRPr="00D337FA">
        <w:rPr>
          <w:rFonts w:ascii="Arial" w:hAnsi="Arial" w:cs="Arial"/>
          <w:b/>
        </w:rPr>
        <w:t xml:space="preserve"> </w:t>
      </w:r>
      <w:r w:rsidRPr="00D337FA">
        <w:rPr>
          <w:rFonts w:ascii="Arial" w:hAnsi="Arial" w:cs="Arial"/>
          <w:b/>
        </w:rPr>
        <w:t>УСЛУГ</w:t>
      </w:r>
    </w:p>
    <w:p w:rsidR="00637EED" w:rsidRPr="00D337FA" w:rsidRDefault="00637EED" w:rsidP="00637EED">
      <w:pPr>
        <w:ind w:firstLine="0"/>
        <w:jc w:val="center"/>
        <w:rPr>
          <w:rFonts w:ascii="Arial" w:hAnsi="Arial" w:cs="Arial"/>
          <w:b/>
        </w:rPr>
      </w:pPr>
    </w:p>
    <w:p w:rsidR="000B36CD" w:rsidRDefault="00637EED" w:rsidP="00637EED">
      <w:pPr>
        <w:ind w:firstLine="0"/>
        <w:jc w:val="center"/>
        <w:rPr>
          <w:rFonts w:ascii="Arial" w:hAnsi="Arial" w:cs="Arial"/>
          <w:b/>
          <w:lang w:val="en-US"/>
        </w:rPr>
      </w:pPr>
      <w:r w:rsidRPr="00D337FA">
        <w:rPr>
          <w:rFonts w:ascii="Arial" w:hAnsi="Arial" w:cs="Arial"/>
          <w:b/>
          <w:lang w:val="en-US"/>
        </w:rPr>
        <w:t>MANAGING</w:t>
      </w:r>
      <w:r w:rsidR="006C680D" w:rsidRPr="00D337FA">
        <w:rPr>
          <w:rFonts w:ascii="Arial" w:hAnsi="Arial" w:cs="Arial"/>
          <w:b/>
          <w:lang w:val="en-US"/>
        </w:rPr>
        <w:t xml:space="preserve"> </w:t>
      </w:r>
      <w:r w:rsidRPr="00D337FA">
        <w:rPr>
          <w:rFonts w:ascii="Arial" w:hAnsi="Arial" w:cs="Arial"/>
          <w:b/>
          <w:lang w:val="en-US"/>
        </w:rPr>
        <w:t>THE</w:t>
      </w:r>
      <w:r w:rsidR="006C680D" w:rsidRPr="00D337FA">
        <w:rPr>
          <w:rFonts w:ascii="Arial" w:hAnsi="Arial" w:cs="Arial"/>
          <w:b/>
          <w:lang w:val="en-US"/>
        </w:rPr>
        <w:t xml:space="preserve"> </w:t>
      </w:r>
      <w:r w:rsidRPr="00D337FA">
        <w:rPr>
          <w:rFonts w:ascii="Arial" w:hAnsi="Arial" w:cs="Arial"/>
          <w:b/>
          <w:lang w:val="en-US"/>
        </w:rPr>
        <w:t>PROCESS</w:t>
      </w:r>
      <w:r w:rsidR="006C680D" w:rsidRPr="00D337FA">
        <w:rPr>
          <w:rFonts w:ascii="Arial" w:hAnsi="Arial" w:cs="Arial"/>
          <w:b/>
          <w:lang w:val="en-US"/>
        </w:rPr>
        <w:t xml:space="preserve"> </w:t>
      </w:r>
      <w:r w:rsidRPr="00D337FA">
        <w:rPr>
          <w:rFonts w:ascii="Arial" w:hAnsi="Arial" w:cs="Arial"/>
          <w:b/>
          <w:lang w:val="en-US"/>
        </w:rPr>
        <w:t>OF</w:t>
      </w:r>
      <w:r w:rsidR="006C680D" w:rsidRPr="00D337FA">
        <w:rPr>
          <w:rFonts w:ascii="Arial" w:hAnsi="Arial" w:cs="Arial"/>
          <w:b/>
          <w:lang w:val="en-US"/>
        </w:rPr>
        <w:t xml:space="preserve"> </w:t>
      </w:r>
      <w:r w:rsidRPr="00D337FA">
        <w:rPr>
          <w:rFonts w:ascii="Arial" w:hAnsi="Arial" w:cs="Arial"/>
          <w:b/>
          <w:lang w:val="en-US"/>
        </w:rPr>
        <w:t>FORMING</w:t>
      </w:r>
      <w:r w:rsidR="006C680D" w:rsidRPr="00D337FA">
        <w:rPr>
          <w:rFonts w:ascii="Arial" w:hAnsi="Arial" w:cs="Arial"/>
          <w:b/>
          <w:lang w:val="en-US"/>
        </w:rPr>
        <w:t xml:space="preserve"> </w:t>
      </w:r>
      <w:r w:rsidRPr="00D337FA">
        <w:rPr>
          <w:rFonts w:ascii="Arial" w:hAnsi="Arial" w:cs="Arial"/>
          <w:b/>
          <w:lang w:val="en-US"/>
        </w:rPr>
        <w:t>COMPETITIVE</w:t>
      </w:r>
      <w:r w:rsidR="006C680D" w:rsidRPr="00D337FA">
        <w:rPr>
          <w:rFonts w:ascii="Arial" w:hAnsi="Arial" w:cs="Arial"/>
          <w:b/>
          <w:lang w:val="en-US"/>
        </w:rPr>
        <w:t xml:space="preserve"> </w:t>
      </w:r>
      <w:r w:rsidRPr="00D337FA">
        <w:rPr>
          <w:rFonts w:ascii="Arial" w:hAnsi="Arial" w:cs="Arial"/>
          <w:b/>
          <w:lang w:val="en-US"/>
        </w:rPr>
        <w:t>ADVANTAGES</w:t>
      </w:r>
      <w:r w:rsidR="006C680D" w:rsidRPr="00D337FA">
        <w:rPr>
          <w:rFonts w:ascii="Arial" w:hAnsi="Arial" w:cs="Arial"/>
          <w:b/>
          <w:lang w:val="en-US"/>
        </w:rPr>
        <w:t xml:space="preserve"> </w:t>
      </w:r>
    </w:p>
    <w:p w:rsidR="00E56107" w:rsidRPr="00D337FA" w:rsidRDefault="00637EED" w:rsidP="00637EED">
      <w:pPr>
        <w:ind w:firstLine="0"/>
        <w:jc w:val="center"/>
        <w:rPr>
          <w:rFonts w:ascii="Arial" w:hAnsi="Arial" w:cs="Arial"/>
          <w:b/>
          <w:lang w:val="en-US"/>
        </w:rPr>
      </w:pPr>
      <w:r w:rsidRPr="00D337FA">
        <w:rPr>
          <w:rFonts w:ascii="Arial" w:hAnsi="Arial" w:cs="Arial"/>
          <w:b/>
          <w:lang w:val="en-US"/>
        </w:rPr>
        <w:t>IN</w:t>
      </w:r>
      <w:r w:rsidR="006C680D" w:rsidRPr="00D337FA">
        <w:rPr>
          <w:rFonts w:ascii="Arial" w:hAnsi="Arial" w:cs="Arial"/>
          <w:b/>
          <w:lang w:val="en-US"/>
        </w:rPr>
        <w:t xml:space="preserve"> </w:t>
      </w:r>
      <w:r w:rsidRPr="00D337FA">
        <w:rPr>
          <w:rFonts w:ascii="Arial" w:hAnsi="Arial" w:cs="Arial"/>
          <w:b/>
          <w:lang w:val="en-US"/>
        </w:rPr>
        <w:t>THE</w:t>
      </w:r>
      <w:r w:rsidR="006C680D" w:rsidRPr="00D337FA">
        <w:rPr>
          <w:rFonts w:ascii="Arial" w:hAnsi="Arial" w:cs="Arial"/>
          <w:b/>
          <w:lang w:val="en-US"/>
        </w:rPr>
        <w:t xml:space="preserve"> </w:t>
      </w:r>
      <w:r w:rsidRPr="00D337FA">
        <w:rPr>
          <w:rFonts w:ascii="Arial" w:hAnsi="Arial" w:cs="Arial"/>
          <w:b/>
          <w:lang w:val="en-US"/>
        </w:rPr>
        <w:t>INSURANCE</w:t>
      </w:r>
      <w:r w:rsidR="006C680D" w:rsidRPr="00D337FA">
        <w:rPr>
          <w:rFonts w:ascii="Arial" w:hAnsi="Arial" w:cs="Arial"/>
          <w:b/>
          <w:lang w:val="en-US"/>
        </w:rPr>
        <w:t xml:space="preserve"> </w:t>
      </w:r>
      <w:r w:rsidRPr="00D337FA">
        <w:rPr>
          <w:rFonts w:ascii="Arial" w:hAnsi="Arial" w:cs="Arial"/>
          <w:b/>
          <w:lang w:val="en-US"/>
        </w:rPr>
        <w:t>MARKET</w:t>
      </w:r>
    </w:p>
    <w:p w:rsidR="00E56107" w:rsidRPr="00D337FA" w:rsidRDefault="00E56107" w:rsidP="00847021">
      <w:pPr>
        <w:ind w:firstLine="142"/>
        <w:rPr>
          <w:rFonts w:ascii="Arial" w:hAnsi="Arial" w:cs="Arial"/>
          <w:i/>
          <w:sz w:val="22"/>
          <w:szCs w:val="22"/>
          <w:lang w:val="en-US"/>
        </w:rPr>
      </w:pPr>
    </w:p>
    <w:p w:rsidR="00E56107" w:rsidRPr="00D337FA" w:rsidRDefault="00E56107" w:rsidP="00E56107">
      <w:pPr>
        <w:ind w:firstLine="0"/>
        <w:rPr>
          <w:b/>
          <w:lang w:val="en-US"/>
        </w:rPr>
        <w:sectPr w:rsidR="00E56107"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E56107" w:rsidRPr="00D337FA" w:rsidRDefault="00E56107" w:rsidP="00E56107">
      <w:pPr>
        <w:ind w:firstLine="0"/>
        <w:rPr>
          <w:i/>
        </w:rPr>
      </w:pPr>
      <w:r w:rsidRPr="00D337FA">
        <w:rPr>
          <w:b/>
          <w:i/>
        </w:rPr>
        <w:lastRenderedPageBreak/>
        <w:t>Аннотация</w:t>
      </w:r>
      <w:r w:rsidRPr="008A5AE7">
        <w:rPr>
          <w:b/>
          <w:i/>
          <w:lang w:val="en-US"/>
        </w:rPr>
        <w:t>.</w:t>
      </w:r>
      <w:r w:rsidR="006C680D" w:rsidRPr="008A5AE7">
        <w:rPr>
          <w:b/>
          <w:i/>
          <w:lang w:val="en-US"/>
        </w:rPr>
        <w:t xml:space="preserve"> </w:t>
      </w:r>
      <w:r w:rsidR="00637EED" w:rsidRPr="00D337FA">
        <w:rPr>
          <w:i/>
        </w:rPr>
        <w:t>Статья</w:t>
      </w:r>
      <w:r w:rsidR="006C680D" w:rsidRPr="00D337FA">
        <w:rPr>
          <w:i/>
        </w:rPr>
        <w:t xml:space="preserve"> </w:t>
      </w:r>
      <w:r w:rsidR="00637EED" w:rsidRPr="00D337FA">
        <w:rPr>
          <w:i/>
        </w:rPr>
        <w:t>посвящена</w:t>
      </w:r>
      <w:r w:rsidR="006C680D" w:rsidRPr="00D337FA">
        <w:rPr>
          <w:i/>
        </w:rPr>
        <w:t xml:space="preserve"> </w:t>
      </w:r>
      <w:r w:rsidR="00637EED" w:rsidRPr="00D337FA">
        <w:rPr>
          <w:i/>
        </w:rPr>
        <w:t>вопросам</w:t>
      </w:r>
      <w:r w:rsidR="006C680D" w:rsidRPr="00D337FA">
        <w:rPr>
          <w:i/>
        </w:rPr>
        <w:t xml:space="preserve"> </w:t>
      </w:r>
      <w:r w:rsidR="00637EED" w:rsidRPr="00D337FA">
        <w:rPr>
          <w:i/>
        </w:rPr>
        <w:t>управления</w:t>
      </w:r>
      <w:r w:rsidR="006C680D" w:rsidRPr="00D337FA">
        <w:rPr>
          <w:i/>
        </w:rPr>
        <w:t xml:space="preserve"> </w:t>
      </w:r>
      <w:r w:rsidR="00637EED" w:rsidRPr="00D337FA">
        <w:rPr>
          <w:i/>
        </w:rPr>
        <w:t>процессом</w:t>
      </w:r>
      <w:r w:rsidR="006C680D" w:rsidRPr="00D337FA">
        <w:rPr>
          <w:i/>
        </w:rPr>
        <w:t xml:space="preserve"> </w:t>
      </w:r>
      <w:r w:rsidR="00637EED" w:rsidRPr="00D337FA">
        <w:rPr>
          <w:i/>
        </w:rPr>
        <w:t>формирования</w:t>
      </w:r>
      <w:r w:rsidR="006C680D" w:rsidRPr="00D337FA">
        <w:rPr>
          <w:i/>
        </w:rPr>
        <w:t xml:space="preserve"> </w:t>
      </w:r>
      <w:r w:rsidR="00637EED" w:rsidRPr="00D337FA">
        <w:rPr>
          <w:i/>
        </w:rPr>
        <w:t>конкурентных</w:t>
      </w:r>
      <w:r w:rsidR="006C680D" w:rsidRPr="00D337FA">
        <w:rPr>
          <w:i/>
        </w:rPr>
        <w:t xml:space="preserve"> </w:t>
      </w:r>
      <w:r w:rsidR="00637EED" w:rsidRPr="00D337FA">
        <w:rPr>
          <w:i/>
        </w:rPr>
        <w:t>преимуществ</w:t>
      </w:r>
      <w:r w:rsidR="006C680D" w:rsidRPr="00D337FA">
        <w:rPr>
          <w:i/>
        </w:rPr>
        <w:t xml:space="preserve"> </w:t>
      </w:r>
      <w:r w:rsidR="00637EED" w:rsidRPr="00D337FA">
        <w:rPr>
          <w:i/>
        </w:rPr>
        <w:t>на</w:t>
      </w:r>
      <w:r w:rsidR="006C680D" w:rsidRPr="00D337FA">
        <w:rPr>
          <w:i/>
        </w:rPr>
        <w:t xml:space="preserve"> </w:t>
      </w:r>
      <w:r w:rsidR="00637EED" w:rsidRPr="00D337FA">
        <w:rPr>
          <w:i/>
        </w:rPr>
        <w:t>рынке</w:t>
      </w:r>
      <w:r w:rsidR="006C680D" w:rsidRPr="00D337FA">
        <w:rPr>
          <w:i/>
        </w:rPr>
        <w:t xml:space="preserve"> </w:t>
      </w:r>
      <w:r w:rsidR="00637EED" w:rsidRPr="00D337FA">
        <w:rPr>
          <w:i/>
        </w:rPr>
        <w:t>страховых</w:t>
      </w:r>
      <w:r w:rsidR="006C680D" w:rsidRPr="00D337FA">
        <w:rPr>
          <w:i/>
        </w:rPr>
        <w:t xml:space="preserve"> </w:t>
      </w:r>
      <w:r w:rsidR="00637EED" w:rsidRPr="00D337FA">
        <w:rPr>
          <w:i/>
        </w:rPr>
        <w:t>услуг</w:t>
      </w:r>
      <w:r w:rsidR="006C680D" w:rsidRPr="00D337FA">
        <w:rPr>
          <w:i/>
        </w:rPr>
        <w:t xml:space="preserve"> </w:t>
      </w:r>
      <w:r w:rsidR="00637EED" w:rsidRPr="00D337FA">
        <w:rPr>
          <w:i/>
        </w:rPr>
        <w:t>в</w:t>
      </w:r>
      <w:r w:rsidR="006C680D" w:rsidRPr="00D337FA">
        <w:rPr>
          <w:i/>
        </w:rPr>
        <w:t xml:space="preserve"> </w:t>
      </w:r>
      <w:r w:rsidR="00637EED" w:rsidRPr="00D337FA">
        <w:rPr>
          <w:i/>
        </w:rPr>
        <w:t>условиях</w:t>
      </w:r>
      <w:r w:rsidR="006C680D" w:rsidRPr="00D337FA">
        <w:rPr>
          <w:i/>
        </w:rPr>
        <w:t xml:space="preserve"> </w:t>
      </w:r>
      <w:r w:rsidR="00637EED" w:rsidRPr="00D337FA">
        <w:rPr>
          <w:i/>
        </w:rPr>
        <w:t>влияния</w:t>
      </w:r>
      <w:r w:rsidR="006C680D" w:rsidRPr="00D337FA">
        <w:rPr>
          <w:i/>
        </w:rPr>
        <w:t xml:space="preserve"> </w:t>
      </w:r>
      <w:r w:rsidR="00637EED" w:rsidRPr="00D337FA">
        <w:rPr>
          <w:i/>
        </w:rPr>
        <w:t>рыночных</w:t>
      </w:r>
      <w:r w:rsidR="006C680D" w:rsidRPr="00D337FA">
        <w:rPr>
          <w:i/>
        </w:rPr>
        <w:t xml:space="preserve"> </w:t>
      </w:r>
      <w:r w:rsidR="00637EED" w:rsidRPr="00D337FA">
        <w:rPr>
          <w:i/>
        </w:rPr>
        <w:t>факторов.</w:t>
      </w:r>
      <w:r w:rsidR="006C680D" w:rsidRPr="00D337FA">
        <w:rPr>
          <w:i/>
        </w:rPr>
        <w:t xml:space="preserve"> </w:t>
      </w:r>
      <w:r w:rsidR="00637EED" w:rsidRPr="00D337FA">
        <w:rPr>
          <w:i/>
        </w:rPr>
        <w:t>Тенденции</w:t>
      </w:r>
      <w:r w:rsidR="006C680D" w:rsidRPr="00D337FA">
        <w:rPr>
          <w:i/>
        </w:rPr>
        <w:t xml:space="preserve"> </w:t>
      </w:r>
      <w:r w:rsidR="00637EED" w:rsidRPr="00D337FA">
        <w:rPr>
          <w:i/>
        </w:rPr>
        <w:t>изменения</w:t>
      </w:r>
      <w:r w:rsidR="006C680D" w:rsidRPr="00D337FA">
        <w:rPr>
          <w:i/>
        </w:rPr>
        <w:t xml:space="preserve"> </w:t>
      </w:r>
      <w:r w:rsidR="00637EED" w:rsidRPr="00D337FA">
        <w:rPr>
          <w:i/>
        </w:rPr>
        <w:t>качественных</w:t>
      </w:r>
      <w:r w:rsidR="006C680D" w:rsidRPr="00D337FA">
        <w:rPr>
          <w:i/>
        </w:rPr>
        <w:t xml:space="preserve"> </w:t>
      </w:r>
      <w:r w:rsidR="00637EED" w:rsidRPr="00D337FA">
        <w:rPr>
          <w:i/>
        </w:rPr>
        <w:t>и</w:t>
      </w:r>
      <w:r w:rsidR="006C680D" w:rsidRPr="00D337FA">
        <w:rPr>
          <w:i/>
        </w:rPr>
        <w:t xml:space="preserve"> </w:t>
      </w:r>
      <w:r w:rsidR="00637EED" w:rsidRPr="00D337FA">
        <w:rPr>
          <w:i/>
        </w:rPr>
        <w:t>количественных</w:t>
      </w:r>
      <w:r w:rsidR="006C680D" w:rsidRPr="00D337FA">
        <w:rPr>
          <w:i/>
        </w:rPr>
        <w:t xml:space="preserve"> </w:t>
      </w:r>
      <w:r w:rsidR="00637EED" w:rsidRPr="00D337FA">
        <w:rPr>
          <w:i/>
        </w:rPr>
        <w:t>характеристик</w:t>
      </w:r>
      <w:r w:rsidR="006C680D" w:rsidRPr="00D337FA">
        <w:rPr>
          <w:i/>
        </w:rPr>
        <w:t xml:space="preserve"> </w:t>
      </w:r>
      <w:r w:rsidR="00637EED" w:rsidRPr="00D337FA">
        <w:rPr>
          <w:i/>
        </w:rPr>
        <w:t>рынка</w:t>
      </w:r>
      <w:r w:rsidR="006C680D" w:rsidRPr="00D337FA">
        <w:rPr>
          <w:i/>
        </w:rPr>
        <w:t xml:space="preserve"> </w:t>
      </w:r>
      <w:r w:rsidR="00637EED" w:rsidRPr="00D337FA">
        <w:rPr>
          <w:i/>
        </w:rPr>
        <w:t>и</w:t>
      </w:r>
      <w:r w:rsidR="006C680D" w:rsidRPr="00D337FA">
        <w:rPr>
          <w:i/>
        </w:rPr>
        <w:t xml:space="preserve"> </w:t>
      </w:r>
      <w:r w:rsidR="00637EED" w:rsidRPr="00D337FA">
        <w:rPr>
          <w:i/>
        </w:rPr>
        <w:t>разноплановость</w:t>
      </w:r>
      <w:r w:rsidR="006C680D" w:rsidRPr="00D337FA">
        <w:rPr>
          <w:i/>
        </w:rPr>
        <w:t xml:space="preserve"> </w:t>
      </w:r>
      <w:r w:rsidR="00637EED" w:rsidRPr="00D337FA">
        <w:rPr>
          <w:i/>
        </w:rPr>
        <w:t>конкурентных</w:t>
      </w:r>
      <w:r w:rsidR="006C680D" w:rsidRPr="00D337FA">
        <w:rPr>
          <w:i/>
        </w:rPr>
        <w:t xml:space="preserve"> </w:t>
      </w:r>
      <w:r w:rsidR="00637EED" w:rsidRPr="00D337FA">
        <w:rPr>
          <w:i/>
        </w:rPr>
        <w:t>стратегий</w:t>
      </w:r>
      <w:r w:rsidR="006C680D" w:rsidRPr="00D337FA">
        <w:rPr>
          <w:i/>
        </w:rPr>
        <w:t xml:space="preserve"> </w:t>
      </w:r>
      <w:r w:rsidR="00637EED" w:rsidRPr="00D337FA">
        <w:rPr>
          <w:i/>
        </w:rPr>
        <w:t>определяют</w:t>
      </w:r>
      <w:r w:rsidR="006C680D" w:rsidRPr="00D337FA">
        <w:rPr>
          <w:i/>
        </w:rPr>
        <w:t xml:space="preserve"> </w:t>
      </w:r>
      <w:r w:rsidR="00637EED" w:rsidRPr="00D337FA">
        <w:rPr>
          <w:i/>
        </w:rPr>
        <w:t>необходимость</w:t>
      </w:r>
      <w:r w:rsidR="006C680D" w:rsidRPr="00D337FA">
        <w:rPr>
          <w:i/>
        </w:rPr>
        <w:t xml:space="preserve"> </w:t>
      </w:r>
      <w:r w:rsidR="00637EED" w:rsidRPr="00D337FA">
        <w:rPr>
          <w:i/>
        </w:rPr>
        <w:t>предприятий</w:t>
      </w:r>
      <w:r w:rsidR="006C680D" w:rsidRPr="00D337FA">
        <w:rPr>
          <w:i/>
        </w:rPr>
        <w:t xml:space="preserve"> </w:t>
      </w:r>
      <w:r w:rsidR="00637EED" w:rsidRPr="00D337FA">
        <w:rPr>
          <w:i/>
        </w:rPr>
        <w:t>страхового</w:t>
      </w:r>
      <w:r w:rsidR="006C680D" w:rsidRPr="00D337FA">
        <w:rPr>
          <w:i/>
        </w:rPr>
        <w:t xml:space="preserve"> </w:t>
      </w:r>
      <w:r w:rsidR="00637EED" w:rsidRPr="00D337FA">
        <w:rPr>
          <w:i/>
        </w:rPr>
        <w:t>сектора</w:t>
      </w:r>
      <w:r w:rsidR="006C680D" w:rsidRPr="00D337FA">
        <w:rPr>
          <w:i/>
        </w:rPr>
        <w:t xml:space="preserve"> </w:t>
      </w:r>
      <w:r w:rsidR="00637EED" w:rsidRPr="00D337FA">
        <w:rPr>
          <w:i/>
        </w:rPr>
        <w:t>постоянно</w:t>
      </w:r>
      <w:r w:rsidR="006C680D" w:rsidRPr="00D337FA">
        <w:rPr>
          <w:i/>
        </w:rPr>
        <w:t xml:space="preserve"> </w:t>
      </w:r>
      <w:r w:rsidR="00637EED" w:rsidRPr="00D337FA">
        <w:rPr>
          <w:i/>
        </w:rPr>
        <w:t>приспосабливаться</w:t>
      </w:r>
      <w:r w:rsidR="006C680D" w:rsidRPr="00D337FA">
        <w:rPr>
          <w:i/>
        </w:rPr>
        <w:t xml:space="preserve"> </w:t>
      </w:r>
      <w:r w:rsidR="00637EED" w:rsidRPr="00D337FA">
        <w:rPr>
          <w:i/>
        </w:rPr>
        <w:t>к</w:t>
      </w:r>
      <w:r w:rsidR="006C680D" w:rsidRPr="00D337FA">
        <w:rPr>
          <w:i/>
        </w:rPr>
        <w:t xml:space="preserve"> </w:t>
      </w:r>
      <w:r w:rsidR="00637EED" w:rsidRPr="00D337FA">
        <w:rPr>
          <w:i/>
        </w:rPr>
        <w:t>изменяющимся</w:t>
      </w:r>
      <w:r w:rsidR="006C680D" w:rsidRPr="00D337FA">
        <w:rPr>
          <w:i/>
        </w:rPr>
        <w:t xml:space="preserve"> </w:t>
      </w:r>
      <w:r w:rsidR="00637EED" w:rsidRPr="00D337FA">
        <w:rPr>
          <w:i/>
        </w:rPr>
        <w:t>внешним</w:t>
      </w:r>
      <w:r w:rsidR="006C680D" w:rsidRPr="00D337FA">
        <w:rPr>
          <w:i/>
        </w:rPr>
        <w:t xml:space="preserve"> </w:t>
      </w:r>
      <w:r w:rsidR="00637EED" w:rsidRPr="00D337FA">
        <w:rPr>
          <w:i/>
        </w:rPr>
        <w:t>условиям,</w:t>
      </w:r>
      <w:r w:rsidR="006C680D" w:rsidRPr="00D337FA">
        <w:rPr>
          <w:i/>
        </w:rPr>
        <w:t xml:space="preserve"> </w:t>
      </w:r>
      <w:r w:rsidR="00637EED" w:rsidRPr="00D337FA">
        <w:rPr>
          <w:i/>
        </w:rPr>
        <w:t>создавать</w:t>
      </w:r>
      <w:r w:rsidR="006C680D" w:rsidRPr="00D337FA">
        <w:rPr>
          <w:i/>
        </w:rPr>
        <w:t xml:space="preserve"> </w:t>
      </w:r>
      <w:r w:rsidR="00637EED" w:rsidRPr="00D337FA">
        <w:rPr>
          <w:i/>
        </w:rPr>
        <w:t>гибкую</w:t>
      </w:r>
      <w:r w:rsidR="006C680D" w:rsidRPr="00D337FA">
        <w:rPr>
          <w:i/>
        </w:rPr>
        <w:t xml:space="preserve"> </w:t>
      </w:r>
      <w:r w:rsidR="00637EED" w:rsidRPr="00D337FA">
        <w:rPr>
          <w:i/>
        </w:rPr>
        <w:t>конкурентную</w:t>
      </w:r>
      <w:r w:rsidR="006C680D" w:rsidRPr="00D337FA">
        <w:rPr>
          <w:i/>
        </w:rPr>
        <w:t xml:space="preserve"> </w:t>
      </w:r>
      <w:r w:rsidR="00637EED" w:rsidRPr="00D337FA">
        <w:rPr>
          <w:i/>
        </w:rPr>
        <w:t>стратегию,</w:t>
      </w:r>
      <w:r w:rsidR="006C680D" w:rsidRPr="00D337FA">
        <w:rPr>
          <w:i/>
        </w:rPr>
        <w:t xml:space="preserve"> </w:t>
      </w:r>
      <w:r w:rsidR="00637EED" w:rsidRPr="00D337FA">
        <w:rPr>
          <w:i/>
        </w:rPr>
        <w:t>что</w:t>
      </w:r>
      <w:r w:rsidR="006C680D" w:rsidRPr="00D337FA">
        <w:rPr>
          <w:i/>
        </w:rPr>
        <w:t xml:space="preserve"> </w:t>
      </w:r>
      <w:r w:rsidR="00637EED" w:rsidRPr="00D337FA">
        <w:rPr>
          <w:i/>
        </w:rPr>
        <w:t>является</w:t>
      </w:r>
      <w:r w:rsidR="006C680D" w:rsidRPr="00D337FA">
        <w:rPr>
          <w:i/>
        </w:rPr>
        <w:t xml:space="preserve"> </w:t>
      </w:r>
      <w:r w:rsidR="00637EED" w:rsidRPr="00D337FA">
        <w:rPr>
          <w:i/>
        </w:rPr>
        <w:t>обязательными</w:t>
      </w:r>
      <w:r w:rsidR="006C680D" w:rsidRPr="00D337FA">
        <w:rPr>
          <w:i/>
        </w:rPr>
        <w:t xml:space="preserve"> </w:t>
      </w:r>
      <w:r w:rsidR="00637EED" w:rsidRPr="00D337FA">
        <w:rPr>
          <w:i/>
        </w:rPr>
        <w:t>требованиями</w:t>
      </w:r>
      <w:r w:rsidR="006C680D" w:rsidRPr="00D337FA">
        <w:rPr>
          <w:i/>
        </w:rPr>
        <w:t xml:space="preserve"> </w:t>
      </w:r>
      <w:r w:rsidR="00637EED" w:rsidRPr="00D337FA">
        <w:rPr>
          <w:i/>
        </w:rPr>
        <w:t>к</w:t>
      </w:r>
      <w:r w:rsidR="006C680D" w:rsidRPr="00D337FA">
        <w:rPr>
          <w:i/>
        </w:rPr>
        <w:t xml:space="preserve"> </w:t>
      </w:r>
      <w:r w:rsidR="00637EED" w:rsidRPr="00D337FA">
        <w:rPr>
          <w:i/>
        </w:rPr>
        <w:t>стабильному</w:t>
      </w:r>
      <w:r w:rsidR="006C680D" w:rsidRPr="00D337FA">
        <w:rPr>
          <w:i/>
        </w:rPr>
        <w:t xml:space="preserve"> </w:t>
      </w:r>
      <w:r w:rsidR="00637EED" w:rsidRPr="00D337FA">
        <w:rPr>
          <w:i/>
        </w:rPr>
        <w:t>функционированию</w:t>
      </w:r>
      <w:r w:rsidR="006C680D" w:rsidRPr="00D337FA">
        <w:rPr>
          <w:i/>
        </w:rPr>
        <w:t xml:space="preserve"> </w:t>
      </w:r>
      <w:r w:rsidR="00637EED" w:rsidRPr="00D337FA">
        <w:rPr>
          <w:i/>
        </w:rPr>
        <w:t>на</w:t>
      </w:r>
      <w:r w:rsidR="006C680D" w:rsidRPr="00D337FA">
        <w:rPr>
          <w:i/>
        </w:rPr>
        <w:t xml:space="preserve"> </w:t>
      </w:r>
      <w:r w:rsidR="00637EED" w:rsidRPr="00D337FA">
        <w:rPr>
          <w:i/>
        </w:rPr>
        <w:t>рынке</w:t>
      </w:r>
      <w:r w:rsidR="006C680D" w:rsidRPr="00D337FA">
        <w:rPr>
          <w:i/>
        </w:rPr>
        <w:t xml:space="preserve"> </w:t>
      </w:r>
      <w:r w:rsidR="00637EED" w:rsidRPr="00D337FA">
        <w:rPr>
          <w:i/>
        </w:rPr>
        <w:t>и</w:t>
      </w:r>
      <w:r w:rsidR="006C680D" w:rsidRPr="00D337FA">
        <w:rPr>
          <w:i/>
        </w:rPr>
        <w:t xml:space="preserve"> </w:t>
      </w:r>
      <w:r w:rsidR="00637EED" w:rsidRPr="00D337FA">
        <w:rPr>
          <w:i/>
        </w:rPr>
        <w:t>успешному</w:t>
      </w:r>
      <w:r w:rsidR="006C680D" w:rsidRPr="00D337FA">
        <w:rPr>
          <w:i/>
        </w:rPr>
        <w:t xml:space="preserve"> </w:t>
      </w:r>
      <w:r w:rsidR="00637EED" w:rsidRPr="00D337FA">
        <w:rPr>
          <w:i/>
        </w:rPr>
        <w:t>процессу</w:t>
      </w:r>
      <w:r w:rsidR="006C680D" w:rsidRPr="00D337FA">
        <w:rPr>
          <w:i/>
        </w:rPr>
        <w:t xml:space="preserve"> </w:t>
      </w:r>
      <w:r w:rsidR="00637EED" w:rsidRPr="00D337FA">
        <w:rPr>
          <w:i/>
        </w:rPr>
        <w:t>диверсификации</w:t>
      </w:r>
      <w:r w:rsidR="006C680D" w:rsidRPr="00D337FA">
        <w:rPr>
          <w:i/>
        </w:rPr>
        <w:t xml:space="preserve"> </w:t>
      </w:r>
      <w:r w:rsidR="00637EED" w:rsidRPr="00D337FA">
        <w:rPr>
          <w:i/>
        </w:rPr>
        <w:t>конкурентных</w:t>
      </w:r>
      <w:r w:rsidR="006C680D" w:rsidRPr="00D337FA">
        <w:rPr>
          <w:i/>
        </w:rPr>
        <w:t xml:space="preserve"> </w:t>
      </w:r>
      <w:r w:rsidR="00637EED" w:rsidRPr="00D337FA">
        <w:rPr>
          <w:i/>
        </w:rPr>
        <w:t>преимуществ.</w:t>
      </w:r>
      <w:r w:rsidR="006C680D" w:rsidRPr="00D337FA">
        <w:rPr>
          <w:i/>
        </w:rPr>
        <w:t xml:space="preserve"> </w:t>
      </w:r>
      <w:r w:rsidR="00637EED" w:rsidRPr="00D337FA">
        <w:rPr>
          <w:i/>
        </w:rPr>
        <w:t>Выявление</w:t>
      </w:r>
      <w:r w:rsidR="006C680D" w:rsidRPr="00D337FA">
        <w:rPr>
          <w:i/>
        </w:rPr>
        <w:t xml:space="preserve"> </w:t>
      </w:r>
      <w:r w:rsidR="00637EED" w:rsidRPr="00D337FA">
        <w:rPr>
          <w:i/>
        </w:rPr>
        <w:t>тенденций</w:t>
      </w:r>
      <w:r w:rsidR="006C680D" w:rsidRPr="00D337FA">
        <w:rPr>
          <w:i/>
        </w:rPr>
        <w:t xml:space="preserve"> </w:t>
      </w:r>
      <w:r w:rsidR="00637EED" w:rsidRPr="00D337FA">
        <w:rPr>
          <w:i/>
        </w:rPr>
        <w:t>формирования</w:t>
      </w:r>
      <w:r w:rsidR="006C680D" w:rsidRPr="00D337FA">
        <w:rPr>
          <w:i/>
        </w:rPr>
        <w:t xml:space="preserve"> </w:t>
      </w:r>
      <w:r w:rsidR="00637EED" w:rsidRPr="00D337FA">
        <w:rPr>
          <w:i/>
        </w:rPr>
        <w:t>конкурентных</w:t>
      </w:r>
      <w:r w:rsidR="006C680D" w:rsidRPr="00D337FA">
        <w:rPr>
          <w:i/>
        </w:rPr>
        <w:t xml:space="preserve"> </w:t>
      </w:r>
      <w:r w:rsidR="00637EED" w:rsidRPr="00D337FA">
        <w:rPr>
          <w:i/>
        </w:rPr>
        <w:t>преимуществ</w:t>
      </w:r>
      <w:r w:rsidR="006C680D" w:rsidRPr="00D337FA">
        <w:rPr>
          <w:i/>
        </w:rPr>
        <w:t xml:space="preserve"> </w:t>
      </w:r>
      <w:r w:rsidR="00637EED" w:rsidRPr="00D337FA">
        <w:rPr>
          <w:i/>
        </w:rPr>
        <w:t>и</w:t>
      </w:r>
      <w:r w:rsidR="006C680D" w:rsidRPr="00D337FA">
        <w:rPr>
          <w:i/>
        </w:rPr>
        <w:t xml:space="preserve"> </w:t>
      </w:r>
      <w:r w:rsidR="00637EED" w:rsidRPr="00D337FA">
        <w:rPr>
          <w:i/>
        </w:rPr>
        <w:t>их</w:t>
      </w:r>
      <w:r w:rsidR="006C680D" w:rsidRPr="00D337FA">
        <w:rPr>
          <w:i/>
        </w:rPr>
        <w:t xml:space="preserve"> </w:t>
      </w:r>
      <w:r w:rsidR="00637EED" w:rsidRPr="00D337FA">
        <w:rPr>
          <w:i/>
        </w:rPr>
        <w:t>оценка</w:t>
      </w:r>
      <w:r w:rsidR="006C680D" w:rsidRPr="00D337FA">
        <w:rPr>
          <w:i/>
        </w:rPr>
        <w:t xml:space="preserve"> </w:t>
      </w:r>
      <w:r w:rsidR="00637EED" w:rsidRPr="00D337FA">
        <w:rPr>
          <w:i/>
        </w:rPr>
        <w:t>определяют</w:t>
      </w:r>
      <w:r w:rsidR="006C680D" w:rsidRPr="00D337FA">
        <w:rPr>
          <w:i/>
        </w:rPr>
        <w:t xml:space="preserve"> </w:t>
      </w:r>
      <w:r w:rsidR="00637EED" w:rsidRPr="00D337FA">
        <w:rPr>
          <w:i/>
        </w:rPr>
        <w:t>направления</w:t>
      </w:r>
      <w:r w:rsidR="006C680D" w:rsidRPr="00D337FA">
        <w:rPr>
          <w:i/>
        </w:rPr>
        <w:t xml:space="preserve"> </w:t>
      </w:r>
      <w:r w:rsidR="00637EED" w:rsidRPr="00D337FA">
        <w:rPr>
          <w:i/>
        </w:rPr>
        <w:t>обоснования</w:t>
      </w:r>
      <w:r w:rsidR="006C680D" w:rsidRPr="00D337FA">
        <w:rPr>
          <w:i/>
        </w:rPr>
        <w:t xml:space="preserve"> </w:t>
      </w:r>
      <w:r w:rsidR="00637EED" w:rsidRPr="00D337FA">
        <w:rPr>
          <w:i/>
        </w:rPr>
        <w:t>и</w:t>
      </w:r>
      <w:r w:rsidR="006C680D" w:rsidRPr="00D337FA">
        <w:rPr>
          <w:i/>
        </w:rPr>
        <w:t xml:space="preserve"> </w:t>
      </w:r>
      <w:r w:rsidR="00637EED" w:rsidRPr="00D337FA">
        <w:rPr>
          <w:i/>
        </w:rPr>
        <w:t>управления</w:t>
      </w:r>
      <w:r w:rsidR="006C680D" w:rsidRPr="00D337FA">
        <w:rPr>
          <w:i/>
        </w:rPr>
        <w:t xml:space="preserve"> </w:t>
      </w:r>
      <w:r w:rsidR="00637EED" w:rsidRPr="00D337FA">
        <w:rPr>
          <w:i/>
        </w:rPr>
        <w:t>гибкой</w:t>
      </w:r>
      <w:r w:rsidR="006C680D" w:rsidRPr="00D337FA">
        <w:rPr>
          <w:i/>
        </w:rPr>
        <w:t xml:space="preserve"> </w:t>
      </w:r>
      <w:r w:rsidR="00637EED" w:rsidRPr="00D337FA">
        <w:rPr>
          <w:i/>
        </w:rPr>
        <w:t>конкурентной</w:t>
      </w:r>
      <w:r w:rsidR="006C680D" w:rsidRPr="00D337FA">
        <w:rPr>
          <w:i/>
        </w:rPr>
        <w:t xml:space="preserve"> </w:t>
      </w:r>
      <w:r w:rsidR="00637EED" w:rsidRPr="00D337FA">
        <w:rPr>
          <w:i/>
        </w:rPr>
        <w:t>стратегией</w:t>
      </w:r>
      <w:r w:rsidR="006C680D" w:rsidRPr="00D337FA">
        <w:rPr>
          <w:i/>
        </w:rPr>
        <w:t xml:space="preserve"> </w:t>
      </w:r>
      <w:r w:rsidR="00637EED" w:rsidRPr="00D337FA">
        <w:rPr>
          <w:i/>
        </w:rPr>
        <w:t>в</w:t>
      </w:r>
      <w:r w:rsidR="006C680D" w:rsidRPr="00D337FA">
        <w:rPr>
          <w:i/>
        </w:rPr>
        <w:t xml:space="preserve"> </w:t>
      </w:r>
      <w:r w:rsidR="00637EED" w:rsidRPr="00D337FA">
        <w:rPr>
          <w:i/>
        </w:rPr>
        <w:t>условиях</w:t>
      </w:r>
      <w:r w:rsidR="006C680D" w:rsidRPr="00D337FA">
        <w:rPr>
          <w:i/>
        </w:rPr>
        <w:t xml:space="preserve"> </w:t>
      </w:r>
      <w:r w:rsidR="00637EED" w:rsidRPr="00D337FA">
        <w:rPr>
          <w:i/>
        </w:rPr>
        <w:t>повышенной</w:t>
      </w:r>
      <w:r w:rsidR="006C680D" w:rsidRPr="00D337FA">
        <w:rPr>
          <w:i/>
        </w:rPr>
        <w:t xml:space="preserve"> </w:t>
      </w:r>
      <w:r w:rsidR="00637EED" w:rsidRPr="00D337FA">
        <w:rPr>
          <w:i/>
        </w:rPr>
        <w:t>неопределенности</w:t>
      </w:r>
      <w:r w:rsidR="006C680D" w:rsidRPr="00D337FA">
        <w:rPr>
          <w:i/>
        </w:rPr>
        <w:t xml:space="preserve"> </w:t>
      </w:r>
      <w:r w:rsidR="00637EED" w:rsidRPr="00D337FA">
        <w:rPr>
          <w:i/>
        </w:rPr>
        <w:t>на</w:t>
      </w:r>
      <w:r w:rsidR="006C680D" w:rsidRPr="00D337FA">
        <w:rPr>
          <w:i/>
        </w:rPr>
        <w:t xml:space="preserve"> </w:t>
      </w:r>
      <w:r w:rsidR="00637EED" w:rsidRPr="00D337FA">
        <w:rPr>
          <w:i/>
        </w:rPr>
        <w:t>рынке</w:t>
      </w:r>
      <w:r w:rsidR="006C680D" w:rsidRPr="00D337FA">
        <w:rPr>
          <w:i/>
        </w:rPr>
        <w:t xml:space="preserve"> </w:t>
      </w:r>
      <w:r w:rsidR="00637EED" w:rsidRPr="00D337FA">
        <w:rPr>
          <w:i/>
        </w:rPr>
        <w:t>страховых</w:t>
      </w:r>
      <w:r w:rsidR="006C680D" w:rsidRPr="00D337FA">
        <w:rPr>
          <w:i/>
        </w:rPr>
        <w:t xml:space="preserve"> </w:t>
      </w:r>
      <w:r w:rsidR="00637EED" w:rsidRPr="00D337FA">
        <w:rPr>
          <w:i/>
        </w:rPr>
        <w:t>услуг.</w:t>
      </w:r>
      <w:r w:rsidR="006C680D" w:rsidRPr="00D337FA">
        <w:rPr>
          <w:i/>
        </w:rPr>
        <w:t xml:space="preserve"> </w:t>
      </w:r>
      <w:r w:rsidR="00637EED" w:rsidRPr="00D337FA">
        <w:rPr>
          <w:i/>
        </w:rPr>
        <w:t>В</w:t>
      </w:r>
      <w:r w:rsidR="006C680D" w:rsidRPr="00D337FA">
        <w:rPr>
          <w:i/>
        </w:rPr>
        <w:t xml:space="preserve"> </w:t>
      </w:r>
      <w:r w:rsidR="00637EED" w:rsidRPr="00D337FA">
        <w:rPr>
          <w:i/>
        </w:rPr>
        <w:t>ходе</w:t>
      </w:r>
      <w:r w:rsidR="006C680D" w:rsidRPr="00D337FA">
        <w:rPr>
          <w:i/>
        </w:rPr>
        <w:t xml:space="preserve"> </w:t>
      </w:r>
      <w:r w:rsidR="00637EED" w:rsidRPr="00D337FA">
        <w:rPr>
          <w:i/>
        </w:rPr>
        <w:t>исследования</w:t>
      </w:r>
      <w:r w:rsidR="006C680D" w:rsidRPr="00D337FA">
        <w:rPr>
          <w:i/>
        </w:rPr>
        <w:t xml:space="preserve"> </w:t>
      </w:r>
      <w:r w:rsidR="00637EED" w:rsidRPr="00D337FA">
        <w:rPr>
          <w:i/>
        </w:rPr>
        <w:t>выделены</w:t>
      </w:r>
      <w:r w:rsidR="006C680D" w:rsidRPr="00D337FA">
        <w:rPr>
          <w:i/>
        </w:rPr>
        <w:t xml:space="preserve"> </w:t>
      </w:r>
      <w:r w:rsidR="00637EED" w:rsidRPr="00D337FA">
        <w:rPr>
          <w:i/>
        </w:rPr>
        <w:t>факторы</w:t>
      </w:r>
      <w:r w:rsidR="006C680D" w:rsidRPr="00D337FA">
        <w:rPr>
          <w:i/>
        </w:rPr>
        <w:t xml:space="preserve"> </w:t>
      </w:r>
      <w:r w:rsidR="00637EED" w:rsidRPr="00D337FA">
        <w:rPr>
          <w:i/>
        </w:rPr>
        <w:t>эффективного</w:t>
      </w:r>
      <w:r w:rsidR="006C680D" w:rsidRPr="00D337FA">
        <w:rPr>
          <w:i/>
        </w:rPr>
        <w:t xml:space="preserve"> </w:t>
      </w:r>
      <w:r w:rsidR="00637EED" w:rsidRPr="00D337FA">
        <w:rPr>
          <w:i/>
        </w:rPr>
        <w:t>управления</w:t>
      </w:r>
      <w:r w:rsidR="006C680D" w:rsidRPr="00D337FA">
        <w:rPr>
          <w:i/>
        </w:rPr>
        <w:t xml:space="preserve"> </w:t>
      </w:r>
      <w:r w:rsidR="00637EED" w:rsidRPr="00D337FA">
        <w:rPr>
          <w:i/>
        </w:rPr>
        <w:t>страховых</w:t>
      </w:r>
      <w:r w:rsidR="006C680D" w:rsidRPr="00D337FA">
        <w:rPr>
          <w:i/>
        </w:rPr>
        <w:t xml:space="preserve"> </w:t>
      </w:r>
      <w:r w:rsidR="00637EED" w:rsidRPr="00D337FA">
        <w:rPr>
          <w:i/>
        </w:rPr>
        <w:t>компаний</w:t>
      </w:r>
      <w:r w:rsidR="006C680D" w:rsidRPr="00D337FA">
        <w:rPr>
          <w:i/>
        </w:rPr>
        <w:t xml:space="preserve"> </w:t>
      </w:r>
      <w:r w:rsidR="00637EED" w:rsidRPr="00D337FA">
        <w:rPr>
          <w:i/>
        </w:rPr>
        <w:t>на</w:t>
      </w:r>
      <w:r w:rsidR="006C680D" w:rsidRPr="00D337FA">
        <w:rPr>
          <w:i/>
        </w:rPr>
        <w:t xml:space="preserve"> </w:t>
      </w:r>
      <w:r w:rsidR="00637EED" w:rsidRPr="00D337FA">
        <w:rPr>
          <w:i/>
        </w:rPr>
        <w:t>рынке,</w:t>
      </w:r>
      <w:r w:rsidR="006C680D" w:rsidRPr="00D337FA">
        <w:rPr>
          <w:i/>
        </w:rPr>
        <w:t xml:space="preserve"> </w:t>
      </w:r>
      <w:r w:rsidR="00637EED" w:rsidRPr="00D337FA">
        <w:rPr>
          <w:i/>
        </w:rPr>
        <w:t>дана</w:t>
      </w:r>
      <w:r w:rsidR="006C680D" w:rsidRPr="00D337FA">
        <w:rPr>
          <w:i/>
        </w:rPr>
        <w:t xml:space="preserve"> </w:t>
      </w:r>
      <w:r w:rsidR="00637EED" w:rsidRPr="00D337FA">
        <w:rPr>
          <w:i/>
        </w:rPr>
        <w:t>характеристика</w:t>
      </w:r>
      <w:r w:rsidR="006C680D" w:rsidRPr="00D337FA">
        <w:rPr>
          <w:i/>
        </w:rPr>
        <w:t xml:space="preserve"> </w:t>
      </w:r>
      <w:r w:rsidR="00637EED" w:rsidRPr="00D337FA">
        <w:rPr>
          <w:i/>
        </w:rPr>
        <w:t>альтернативных</w:t>
      </w:r>
      <w:r w:rsidR="006C680D" w:rsidRPr="00D337FA">
        <w:rPr>
          <w:i/>
        </w:rPr>
        <w:t xml:space="preserve"> </w:t>
      </w:r>
      <w:r w:rsidR="00637EED" w:rsidRPr="00D337FA">
        <w:rPr>
          <w:i/>
        </w:rPr>
        <w:t>стратегий</w:t>
      </w:r>
      <w:r w:rsidR="006C680D" w:rsidRPr="00D337FA">
        <w:rPr>
          <w:i/>
        </w:rPr>
        <w:t xml:space="preserve"> </w:t>
      </w:r>
      <w:r w:rsidR="00637EED" w:rsidRPr="00D337FA">
        <w:rPr>
          <w:i/>
        </w:rPr>
        <w:t>управления</w:t>
      </w:r>
      <w:r w:rsidR="006C680D" w:rsidRPr="00D337FA">
        <w:rPr>
          <w:i/>
        </w:rPr>
        <w:t xml:space="preserve"> </w:t>
      </w:r>
      <w:r w:rsidR="00637EED" w:rsidRPr="00D337FA">
        <w:rPr>
          <w:i/>
        </w:rPr>
        <w:t>процессом</w:t>
      </w:r>
      <w:r w:rsidR="006C680D" w:rsidRPr="00D337FA">
        <w:rPr>
          <w:i/>
        </w:rPr>
        <w:t xml:space="preserve"> </w:t>
      </w:r>
      <w:r w:rsidR="00637EED" w:rsidRPr="00D337FA">
        <w:rPr>
          <w:i/>
        </w:rPr>
        <w:t>формирования</w:t>
      </w:r>
      <w:r w:rsidR="006C680D" w:rsidRPr="00D337FA">
        <w:rPr>
          <w:i/>
        </w:rPr>
        <w:t xml:space="preserve"> </w:t>
      </w:r>
      <w:r w:rsidR="00637EED" w:rsidRPr="00D337FA">
        <w:rPr>
          <w:i/>
        </w:rPr>
        <w:t>конкурентных</w:t>
      </w:r>
      <w:r w:rsidR="006C680D" w:rsidRPr="00D337FA">
        <w:rPr>
          <w:i/>
        </w:rPr>
        <w:t xml:space="preserve"> </w:t>
      </w:r>
      <w:r w:rsidR="00637EED" w:rsidRPr="00D337FA">
        <w:rPr>
          <w:i/>
        </w:rPr>
        <w:t>преимуществ</w:t>
      </w:r>
      <w:r w:rsidR="006C680D" w:rsidRPr="00D337FA">
        <w:rPr>
          <w:i/>
        </w:rPr>
        <w:t xml:space="preserve"> </w:t>
      </w:r>
      <w:r w:rsidR="00637EED" w:rsidRPr="00D337FA">
        <w:rPr>
          <w:i/>
        </w:rPr>
        <w:t>на</w:t>
      </w:r>
      <w:r w:rsidR="006C680D" w:rsidRPr="00D337FA">
        <w:rPr>
          <w:i/>
        </w:rPr>
        <w:t xml:space="preserve"> </w:t>
      </w:r>
      <w:r w:rsidR="00637EED" w:rsidRPr="00D337FA">
        <w:rPr>
          <w:i/>
        </w:rPr>
        <w:t>рынке</w:t>
      </w:r>
      <w:r w:rsidR="006C680D" w:rsidRPr="00D337FA">
        <w:rPr>
          <w:i/>
        </w:rPr>
        <w:t xml:space="preserve"> </w:t>
      </w:r>
      <w:r w:rsidR="00637EED" w:rsidRPr="00D337FA">
        <w:rPr>
          <w:i/>
        </w:rPr>
        <w:t>страховых</w:t>
      </w:r>
      <w:r w:rsidR="006C680D" w:rsidRPr="00D337FA">
        <w:rPr>
          <w:i/>
        </w:rPr>
        <w:t xml:space="preserve"> </w:t>
      </w:r>
      <w:r w:rsidR="00637EED" w:rsidRPr="00D337FA">
        <w:rPr>
          <w:i/>
        </w:rPr>
        <w:t>услуг,</w:t>
      </w:r>
      <w:r w:rsidR="006C680D" w:rsidRPr="00D337FA">
        <w:rPr>
          <w:i/>
        </w:rPr>
        <w:t xml:space="preserve"> </w:t>
      </w:r>
      <w:r w:rsidR="00637EED" w:rsidRPr="00D337FA">
        <w:rPr>
          <w:i/>
        </w:rPr>
        <w:t>в</w:t>
      </w:r>
      <w:r w:rsidR="006C680D" w:rsidRPr="00D337FA">
        <w:rPr>
          <w:i/>
        </w:rPr>
        <w:t xml:space="preserve"> </w:t>
      </w:r>
      <w:r w:rsidR="00637EED" w:rsidRPr="00D337FA">
        <w:rPr>
          <w:i/>
        </w:rPr>
        <w:t>зависимости</w:t>
      </w:r>
      <w:r w:rsidR="006C680D" w:rsidRPr="00D337FA">
        <w:rPr>
          <w:i/>
        </w:rPr>
        <w:t xml:space="preserve"> </w:t>
      </w:r>
      <w:r w:rsidR="00637EED" w:rsidRPr="00D337FA">
        <w:rPr>
          <w:i/>
        </w:rPr>
        <w:t>от</w:t>
      </w:r>
      <w:r w:rsidR="006C680D" w:rsidRPr="00D337FA">
        <w:rPr>
          <w:i/>
        </w:rPr>
        <w:t xml:space="preserve"> </w:t>
      </w:r>
      <w:r w:rsidR="00637EED" w:rsidRPr="00D337FA">
        <w:rPr>
          <w:i/>
        </w:rPr>
        <w:t>типа</w:t>
      </w:r>
      <w:r w:rsidR="006C680D" w:rsidRPr="00D337FA">
        <w:rPr>
          <w:i/>
        </w:rPr>
        <w:t xml:space="preserve"> </w:t>
      </w:r>
      <w:r w:rsidR="00637EED" w:rsidRPr="00D337FA">
        <w:rPr>
          <w:i/>
        </w:rPr>
        <w:t>конкурентного</w:t>
      </w:r>
      <w:r w:rsidR="006C680D" w:rsidRPr="00D337FA">
        <w:rPr>
          <w:i/>
        </w:rPr>
        <w:t xml:space="preserve"> </w:t>
      </w:r>
      <w:r w:rsidR="00637EED" w:rsidRPr="00D337FA">
        <w:rPr>
          <w:i/>
        </w:rPr>
        <w:t>позиционирования</w:t>
      </w:r>
      <w:r w:rsidR="006C680D" w:rsidRPr="00D337FA">
        <w:rPr>
          <w:i/>
        </w:rPr>
        <w:t xml:space="preserve"> </w:t>
      </w:r>
      <w:r w:rsidR="00637EED" w:rsidRPr="00D337FA">
        <w:rPr>
          <w:i/>
        </w:rPr>
        <w:t>обоснованы</w:t>
      </w:r>
      <w:r w:rsidR="006C680D" w:rsidRPr="00D337FA">
        <w:rPr>
          <w:i/>
        </w:rPr>
        <w:t xml:space="preserve"> </w:t>
      </w:r>
      <w:r w:rsidR="00637EED" w:rsidRPr="00D337FA">
        <w:rPr>
          <w:i/>
        </w:rPr>
        <w:t>особенности</w:t>
      </w:r>
      <w:r w:rsidR="006C680D" w:rsidRPr="00D337FA">
        <w:rPr>
          <w:i/>
        </w:rPr>
        <w:t xml:space="preserve"> </w:t>
      </w:r>
      <w:r w:rsidR="00637EED" w:rsidRPr="00D337FA">
        <w:rPr>
          <w:i/>
        </w:rPr>
        <w:t>формирования</w:t>
      </w:r>
      <w:r w:rsidR="006C680D" w:rsidRPr="00D337FA">
        <w:rPr>
          <w:i/>
        </w:rPr>
        <w:t xml:space="preserve"> </w:t>
      </w:r>
      <w:r w:rsidR="00637EED" w:rsidRPr="00D337FA">
        <w:rPr>
          <w:i/>
        </w:rPr>
        <w:t>конкурентных</w:t>
      </w:r>
      <w:r w:rsidR="006C680D" w:rsidRPr="00D337FA">
        <w:rPr>
          <w:i/>
        </w:rPr>
        <w:t xml:space="preserve"> </w:t>
      </w:r>
      <w:r w:rsidR="00637EED" w:rsidRPr="00D337FA">
        <w:rPr>
          <w:i/>
        </w:rPr>
        <w:t>преимуществ</w:t>
      </w:r>
      <w:r w:rsidR="006C680D" w:rsidRPr="00D337FA">
        <w:rPr>
          <w:i/>
        </w:rPr>
        <w:t xml:space="preserve"> </w:t>
      </w:r>
      <w:r w:rsidR="00637EED" w:rsidRPr="00D337FA">
        <w:rPr>
          <w:i/>
        </w:rPr>
        <w:t>на</w:t>
      </w:r>
      <w:r w:rsidR="006C680D" w:rsidRPr="00D337FA">
        <w:rPr>
          <w:i/>
        </w:rPr>
        <w:t xml:space="preserve"> </w:t>
      </w:r>
      <w:r w:rsidR="00637EED" w:rsidRPr="00D337FA">
        <w:rPr>
          <w:i/>
        </w:rPr>
        <w:t>рынке</w:t>
      </w:r>
      <w:r w:rsidR="006C680D" w:rsidRPr="00D337FA">
        <w:rPr>
          <w:i/>
        </w:rPr>
        <w:t xml:space="preserve"> </w:t>
      </w:r>
      <w:r w:rsidR="00637EED" w:rsidRPr="00D337FA">
        <w:rPr>
          <w:i/>
        </w:rPr>
        <w:t>страхования,</w:t>
      </w:r>
      <w:r w:rsidR="006C680D" w:rsidRPr="00D337FA">
        <w:rPr>
          <w:i/>
        </w:rPr>
        <w:t xml:space="preserve"> </w:t>
      </w:r>
      <w:r w:rsidR="00637EED" w:rsidRPr="00D337FA">
        <w:rPr>
          <w:i/>
        </w:rPr>
        <w:t>предложены</w:t>
      </w:r>
      <w:r w:rsidR="006C680D" w:rsidRPr="00D337FA">
        <w:rPr>
          <w:i/>
        </w:rPr>
        <w:t xml:space="preserve"> </w:t>
      </w:r>
      <w:r w:rsidR="00637EED" w:rsidRPr="00D337FA">
        <w:rPr>
          <w:i/>
        </w:rPr>
        <w:t>этапы</w:t>
      </w:r>
      <w:r w:rsidR="006C680D" w:rsidRPr="00D337FA">
        <w:rPr>
          <w:i/>
        </w:rPr>
        <w:t xml:space="preserve"> </w:t>
      </w:r>
      <w:r w:rsidR="00637EED" w:rsidRPr="00D337FA">
        <w:rPr>
          <w:i/>
        </w:rPr>
        <w:t>реализации</w:t>
      </w:r>
      <w:r w:rsidR="006C680D" w:rsidRPr="00D337FA">
        <w:rPr>
          <w:i/>
        </w:rPr>
        <w:t xml:space="preserve"> </w:t>
      </w:r>
      <w:r w:rsidR="00637EED" w:rsidRPr="00D337FA">
        <w:rPr>
          <w:i/>
        </w:rPr>
        <w:t>стратегии</w:t>
      </w:r>
      <w:r w:rsidR="006C680D" w:rsidRPr="00D337FA">
        <w:rPr>
          <w:i/>
        </w:rPr>
        <w:t xml:space="preserve"> </w:t>
      </w:r>
      <w:r w:rsidR="00637EED" w:rsidRPr="00D337FA">
        <w:rPr>
          <w:i/>
        </w:rPr>
        <w:t>управления</w:t>
      </w:r>
      <w:r w:rsidR="006C680D" w:rsidRPr="00D337FA">
        <w:rPr>
          <w:i/>
        </w:rPr>
        <w:t xml:space="preserve"> </w:t>
      </w:r>
      <w:r w:rsidR="00637EED" w:rsidRPr="00D337FA">
        <w:rPr>
          <w:i/>
        </w:rPr>
        <w:t>процессом</w:t>
      </w:r>
      <w:r w:rsidR="006C680D" w:rsidRPr="00D337FA">
        <w:rPr>
          <w:i/>
        </w:rPr>
        <w:t xml:space="preserve"> </w:t>
      </w:r>
      <w:r w:rsidR="00637EED" w:rsidRPr="00D337FA">
        <w:rPr>
          <w:i/>
        </w:rPr>
        <w:t>формирования</w:t>
      </w:r>
      <w:r w:rsidR="006C680D" w:rsidRPr="00D337FA">
        <w:rPr>
          <w:i/>
        </w:rPr>
        <w:t xml:space="preserve"> </w:t>
      </w:r>
      <w:r w:rsidR="00637EED" w:rsidRPr="00D337FA">
        <w:rPr>
          <w:i/>
        </w:rPr>
        <w:t>конкурентных</w:t>
      </w:r>
      <w:r w:rsidR="006C680D" w:rsidRPr="00D337FA">
        <w:rPr>
          <w:i/>
        </w:rPr>
        <w:t xml:space="preserve"> </w:t>
      </w:r>
      <w:r w:rsidR="00637EED" w:rsidRPr="00D337FA">
        <w:rPr>
          <w:i/>
        </w:rPr>
        <w:t>преимуществ</w:t>
      </w:r>
      <w:r w:rsidR="006C680D" w:rsidRPr="00D337FA">
        <w:rPr>
          <w:i/>
        </w:rPr>
        <w:t xml:space="preserve"> </w:t>
      </w:r>
      <w:r w:rsidR="00637EED" w:rsidRPr="00D337FA">
        <w:rPr>
          <w:i/>
        </w:rPr>
        <w:t>на</w:t>
      </w:r>
      <w:r w:rsidR="006C680D" w:rsidRPr="00D337FA">
        <w:rPr>
          <w:i/>
        </w:rPr>
        <w:t xml:space="preserve"> </w:t>
      </w:r>
      <w:r w:rsidR="00637EED" w:rsidRPr="00D337FA">
        <w:rPr>
          <w:i/>
        </w:rPr>
        <w:t>рынке</w:t>
      </w:r>
      <w:r w:rsidR="006C680D" w:rsidRPr="00D337FA">
        <w:rPr>
          <w:i/>
        </w:rPr>
        <w:t xml:space="preserve"> </w:t>
      </w:r>
      <w:r w:rsidR="00637EED" w:rsidRPr="00D337FA">
        <w:rPr>
          <w:i/>
        </w:rPr>
        <w:t>страховых</w:t>
      </w:r>
      <w:r w:rsidR="006C680D" w:rsidRPr="00D337FA">
        <w:rPr>
          <w:i/>
        </w:rPr>
        <w:t xml:space="preserve"> </w:t>
      </w:r>
      <w:r w:rsidR="00637EED" w:rsidRPr="00D337FA">
        <w:rPr>
          <w:i/>
        </w:rPr>
        <w:t>услуг.</w:t>
      </w:r>
      <w:r w:rsidR="006C680D" w:rsidRPr="00D337FA">
        <w:rPr>
          <w:i/>
        </w:rPr>
        <w:t xml:space="preserve"> </w:t>
      </w:r>
      <w:r w:rsidR="00637EED" w:rsidRPr="00D337FA">
        <w:rPr>
          <w:i/>
        </w:rPr>
        <w:t>Полученные</w:t>
      </w:r>
      <w:r w:rsidR="006C680D" w:rsidRPr="00D337FA">
        <w:rPr>
          <w:i/>
        </w:rPr>
        <w:t xml:space="preserve"> </w:t>
      </w:r>
      <w:r w:rsidR="00637EED" w:rsidRPr="00D337FA">
        <w:rPr>
          <w:i/>
        </w:rPr>
        <w:t>выводы</w:t>
      </w:r>
      <w:r w:rsidR="006C680D" w:rsidRPr="00D337FA">
        <w:rPr>
          <w:i/>
        </w:rPr>
        <w:t xml:space="preserve"> </w:t>
      </w:r>
      <w:r w:rsidR="00637EED" w:rsidRPr="00D337FA">
        <w:rPr>
          <w:i/>
        </w:rPr>
        <w:t>могут</w:t>
      </w:r>
      <w:r w:rsidR="006C680D" w:rsidRPr="00D337FA">
        <w:rPr>
          <w:i/>
        </w:rPr>
        <w:t xml:space="preserve"> </w:t>
      </w:r>
      <w:r w:rsidR="00637EED" w:rsidRPr="00D337FA">
        <w:rPr>
          <w:i/>
        </w:rPr>
        <w:t>быть</w:t>
      </w:r>
      <w:r w:rsidR="006C680D" w:rsidRPr="00D337FA">
        <w:rPr>
          <w:i/>
        </w:rPr>
        <w:t xml:space="preserve"> </w:t>
      </w:r>
      <w:r w:rsidR="00637EED" w:rsidRPr="00D337FA">
        <w:rPr>
          <w:i/>
        </w:rPr>
        <w:t>использованы</w:t>
      </w:r>
      <w:r w:rsidR="006C680D" w:rsidRPr="00D337FA">
        <w:rPr>
          <w:i/>
        </w:rPr>
        <w:t xml:space="preserve"> </w:t>
      </w:r>
      <w:r w:rsidR="00637EED" w:rsidRPr="00D337FA">
        <w:rPr>
          <w:i/>
        </w:rPr>
        <w:t>участниками</w:t>
      </w:r>
      <w:r w:rsidR="006C680D" w:rsidRPr="00D337FA">
        <w:rPr>
          <w:i/>
        </w:rPr>
        <w:t xml:space="preserve"> </w:t>
      </w:r>
      <w:r w:rsidR="00637EED" w:rsidRPr="00D337FA">
        <w:rPr>
          <w:i/>
        </w:rPr>
        <w:t>рынка</w:t>
      </w:r>
      <w:r w:rsidR="006C680D" w:rsidRPr="00D337FA">
        <w:rPr>
          <w:i/>
        </w:rPr>
        <w:t xml:space="preserve"> </w:t>
      </w:r>
      <w:r w:rsidR="00637EED" w:rsidRPr="00D337FA">
        <w:rPr>
          <w:i/>
        </w:rPr>
        <w:t>страховых</w:t>
      </w:r>
      <w:r w:rsidR="006C680D" w:rsidRPr="00D337FA">
        <w:rPr>
          <w:i/>
        </w:rPr>
        <w:t xml:space="preserve"> </w:t>
      </w:r>
      <w:r w:rsidR="00637EED" w:rsidRPr="00D337FA">
        <w:rPr>
          <w:i/>
        </w:rPr>
        <w:t>услуг</w:t>
      </w:r>
      <w:r w:rsidR="006C680D" w:rsidRPr="00D337FA">
        <w:rPr>
          <w:i/>
        </w:rPr>
        <w:t xml:space="preserve"> </w:t>
      </w:r>
      <w:r w:rsidR="00637EED" w:rsidRPr="00D337FA">
        <w:rPr>
          <w:i/>
        </w:rPr>
        <w:t>при</w:t>
      </w:r>
      <w:r w:rsidR="006C680D" w:rsidRPr="00D337FA">
        <w:rPr>
          <w:i/>
        </w:rPr>
        <w:t xml:space="preserve"> </w:t>
      </w:r>
      <w:r w:rsidR="00637EED" w:rsidRPr="00D337FA">
        <w:rPr>
          <w:i/>
        </w:rPr>
        <w:t>разработке</w:t>
      </w:r>
      <w:r w:rsidR="006C680D" w:rsidRPr="00D337FA">
        <w:rPr>
          <w:i/>
        </w:rPr>
        <w:t xml:space="preserve"> </w:t>
      </w:r>
      <w:r w:rsidR="00637EED" w:rsidRPr="00D337FA">
        <w:rPr>
          <w:i/>
        </w:rPr>
        <w:t>стратегий</w:t>
      </w:r>
      <w:r w:rsidR="006C680D" w:rsidRPr="00D337FA">
        <w:rPr>
          <w:i/>
        </w:rPr>
        <w:t xml:space="preserve"> </w:t>
      </w:r>
      <w:r w:rsidR="00637EED" w:rsidRPr="00D337FA">
        <w:rPr>
          <w:i/>
        </w:rPr>
        <w:t>позиционирования.</w:t>
      </w:r>
      <w:r w:rsidR="006C680D" w:rsidRPr="00D337FA">
        <w:rPr>
          <w:i/>
        </w:rPr>
        <w:t xml:space="preserve"> </w:t>
      </w:r>
    </w:p>
    <w:p w:rsidR="00E56107" w:rsidRPr="00D337FA" w:rsidRDefault="00E56107" w:rsidP="00E56107">
      <w:pPr>
        <w:ind w:firstLine="0"/>
      </w:pPr>
    </w:p>
    <w:p w:rsidR="00637EED" w:rsidRPr="00D337FA" w:rsidRDefault="00EC45F1" w:rsidP="00E56107">
      <w:pPr>
        <w:ind w:firstLine="0"/>
        <w:rPr>
          <w:spacing w:val="-6"/>
          <w:sz w:val="20"/>
          <w:szCs w:val="20"/>
        </w:rPr>
      </w:pPr>
      <w:r w:rsidRPr="00D337FA">
        <w:rPr>
          <w:spacing w:val="-6"/>
          <w:sz w:val="20"/>
          <w:szCs w:val="20"/>
        </w:rPr>
        <w:t>©</w:t>
      </w:r>
      <w:r w:rsidR="006C680D" w:rsidRPr="00D337FA">
        <w:rPr>
          <w:spacing w:val="-6"/>
          <w:sz w:val="20"/>
          <w:szCs w:val="20"/>
        </w:rPr>
        <w:t xml:space="preserve"> </w:t>
      </w:r>
      <w:r w:rsidRPr="00D337FA">
        <w:rPr>
          <w:spacing w:val="-6"/>
          <w:sz w:val="20"/>
          <w:szCs w:val="20"/>
        </w:rPr>
        <w:t>Третьякова</w:t>
      </w:r>
      <w:r w:rsidR="006C680D" w:rsidRPr="00D337FA">
        <w:rPr>
          <w:spacing w:val="-6"/>
          <w:sz w:val="20"/>
          <w:szCs w:val="20"/>
        </w:rPr>
        <w:t xml:space="preserve"> </w:t>
      </w:r>
      <w:r w:rsidRPr="00D337FA">
        <w:rPr>
          <w:spacing w:val="-6"/>
          <w:sz w:val="20"/>
          <w:szCs w:val="20"/>
        </w:rPr>
        <w:t>Л.А.,</w:t>
      </w:r>
      <w:r w:rsidR="006C680D" w:rsidRPr="00D337FA">
        <w:rPr>
          <w:spacing w:val="-6"/>
          <w:sz w:val="20"/>
          <w:szCs w:val="20"/>
        </w:rPr>
        <w:t xml:space="preserve"> </w:t>
      </w:r>
      <w:r w:rsidRPr="00D337FA">
        <w:rPr>
          <w:spacing w:val="-6"/>
          <w:sz w:val="20"/>
          <w:szCs w:val="20"/>
        </w:rPr>
        <w:t>Прядко</w:t>
      </w:r>
      <w:r w:rsidR="006C680D" w:rsidRPr="00D337FA">
        <w:rPr>
          <w:spacing w:val="-6"/>
          <w:sz w:val="20"/>
          <w:szCs w:val="20"/>
        </w:rPr>
        <w:t xml:space="preserve"> </w:t>
      </w:r>
      <w:r w:rsidRPr="00D337FA">
        <w:rPr>
          <w:spacing w:val="-6"/>
          <w:sz w:val="20"/>
          <w:szCs w:val="20"/>
        </w:rPr>
        <w:t>С.Н.,</w:t>
      </w:r>
      <w:r w:rsidR="006C680D" w:rsidRPr="00D337FA">
        <w:rPr>
          <w:spacing w:val="-6"/>
          <w:sz w:val="20"/>
          <w:szCs w:val="20"/>
        </w:rPr>
        <w:t xml:space="preserve"> </w:t>
      </w:r>
      <w:r w:rsidRPr="00D337FA">
        <w:rPr>
          <w:spacing w:val="-6"/>
          <w:sz w:val="20"/>
          <w:szCs w:val="20"/>
        </w:rPr>
        <w:t>Третьякова</w:t>
      </w:r>
      <w:r w:rsidR="006C680D" w:rsidRPr="00D337FA">
        <w:rPr>
          <w:spacing w:val="-6"/>
          <w:sz w:val="20"/>
          <w:szCs w:val="20"/>
        </w:rPr>
        <w:t xml:space="preserve"> </w:t>
      </w:r>
      <w:r w:rsidRPr="00D337FA">
        <w:rPr>
          <w:spacing w:val="-6"/>
          <w:sz w:val="20"/>
          <w:szCs w:val="20"/>
        </w:rPr>
        <w:t>М.С.,</w:t>
      </w:r>
      <w:r w:rsidR="006C680D" w:rsidRPr="00D337FA">
        <w:rPr>
          <w:spacing w:val="-6"/>
          <w:sz w:val="20"/>
          <w:szCs w:val="20"/>
        </w:rPr>
        <w:t xml:space="preserve"> </w:t>
      </w:r>
      <w:r w:rsidRPr="00D337FA">
        <w:rPr>
          <w:spacing w:val="-6"/>
          <w:sz w:val="20"/>
          <w:szCs w:val="20"/>
        </w:rPr>
        <w:t>2026</w:t>
      </w:r>
    </w:p>
    <w:p w:rsidR="00637EED" w:rsidRPr="00D337FA" w:rsidRDefault="00E56107" w:rsidP="00637EED">
      <w:pPr>
        <w:ind w:firstLine="0"/>
        <w:rPr>
          <w:i/>
          <w:lang w:val="en-US"/>
        </w:rPr>
      </w:pPr>
      <w:r w:rsidRPr="00D337FA">
        <w:rPr>
          <w:b/>
          <w:i/>
          <w:lang w:val="en-US"/>
        </w:rPr>
        <w:lastRenderedPageBreak/>
        <w:t>Abstract.</w:t>
      </w:r>
      <w:r w:rsidR="006C680D" w:rsidRPr="00D337FA">
        <w:rPr>
          <w:b/>
          <w:i/>
          <w:lang w:val="en-US"/>
        </w:rPr>
        <w:t xml:space="preserve"> </w:t>
      </w:r>
      <w:r w:rsidR="00637EED" w:rsidRPr="00D337FA">
        <w:rPr>
          <w:i/>
          <w:lang w:val="en-US"/>
        </w:rPr>
        <w:t>The</w:t>
      </w:r>
      <w:r w:rsidR="006C680D" w:rsidRPr="00D337FA">
        <w:rPr>
          <w:i/>
          <w:lang w:val="en-US"/>
        </w:rPr>
        <w:t xml:space="preserve"> </w:t>
      </w:r>
      <w:r w:rsidR="00637EED" w:rsidRPr="00D337FA">
        <w:rPr>
          <w:i/>
          <w:lang w:val="en-US"/>
        </w:rPr>
        <w:t>article</w:t>
      </w:r>
      <w:r w:rsidR="006C680D" w:rsidRPr="00D337FA">
        <w:rPr>
          <w:i/>
          <w:lang w:val="en-US"/>
        </w:rPr>
        <w:t xml:space="preserve"> </w:t>
      </w:r>
      <w:r w:rsidR="00637EED" w:rsidRPr="00D337FA">
        <w:rPr>
          <w:i/>
          <w:lang w:val="en-US"/>
        </w:rPr>
        <w:t>examines</w:t>
      </w:r>
      <w:r w:rsidR="006C680D" w:rsidRPr="00D337FA">
        <w:rPr>
          <w:i/>
          <w:lang w:val="en-US"/>
        </w:rPr>
        <w:t xml:space="preserve"> </w:t>
      </w:r>
      <w:r w:rsidR="00637EED" w:rsidRPr="00D337FA">
        <w:rPr>
          <w:i/>
          <w:lang w:val="en-US"/>
        </w:rPr>
        <w:t>issues</w:t>
      </w:r>
      <w:r w:rsidR="006C680D" w:rsidRPr="00D337FA">
        <w:rPr>
          <w:i/>
          <w:lang w:val="en-US"/>
        </w:rPr>
        <w:t xml:space="preserve"> </w:t>
      </w:r>
      <w:r w:rsidR="00637EED" w:rsidRPr="00D337FA">
        <w:rPr>
          <w:i/>
          <w:lang w:val="en-US"/>
        </w:rPr>
        <w:t>related</w:t>
      </w:r>
      <w:r w:rsidR="006C680D" w:rsidRPr="00D337FA">
        <w:rPr>
          <w:i/>
          <w:lang w:val="en-US"/>
        </w:rPr>
        <w:t xml:space="preserve"> </w:t>
      </w:r>
      <w:r w:rsidR="00637EED" w:rsidRPr="00D337FA">
        <w:rPr>
          <w:i/>
          <w:lang w:val="en-US"/>
        </w:rPr>
        <w:t>to</w:t>
      </w:r>
      <w:r w:rsidR="006C680D" w:rsidRPr="00D337FA">
        <w:rPr>
          <w:i/>
          <w:lang w:val="en-US"/>
        </w:rPr>
        <w:t xml:space="preserve"> </w:t>
      </w:r>
      <w:r w:rsidR="00637EED" w:rsidRPr="00D337FA">
        <w:rPr>
          <w:i/>
          <w:lang w:val="en-US"/>
        </w:rPr>
        <w:t>managing</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process</w:t>
      </w:r>
      <w:r w:rsidR="006C680D" w:rsidRPr="00D337FA">
        <w:rPr>
          <w:i/>
          <w:lang w:val="en-US"/>
        </w:rPr>
        <w:t xml:space="preserve"> </w:t>
      </w:r>
      <w:r w:rsidR="00637EED" w:rsidRPr="00D337FA">
        <w:rPr>
          <w:i/>
          <w:lang w:val="en-US"/>
        </w:rPr>
        <w:t>of</w:t>
      </w:r>
      <w:r w:rsidR="006C680D" w:rsidRPr="00D337FA">
        <w:rPr>
          <w:i/>
          <w:lang w:val="en-US"/>
        </w:rPr>
        <w:t xml:space="preserve"> </w:t>
      </w:r>
      <w:r w:rsidR="00637EED" w:rsidRPr="00D337FA">
        <w:rPr>
          <w:i/>
          <w:lang w:val="en-US"/>
        </w:rPr>
        <w:t>forming</w:t>
      </w:r>
      <w:r w:rsidR="006C680D" w:rsidRPr="00D337FA">
        <w:rPr>
          <w:i/>
          <w:lang w:val="en-US"/>
        </w:rPr>
        <w:t xml:space="preserve"> </w:t>
      </w:r>
      <w:r w:rsidR="00637EED" w:rsidRPr="00D337FA">
        <w:rPr>
          <w:i/>
          <w:lang w:val="en-US"/>
        </w:rPr>
        <w:t>compet-itive</w:t>
      </w:r>
      <w:r w:rsidR="006C680D" w:rsidRPr="00D337FA">
        <w:rPr>
          <w:i/>
          <w:lang w:val="en-US"/>
        </w:rPr>
        <w:t xml:space="preserve"> </w:t>
      </w:r>
      <w:r w:rsidR="00637EED" w:rsidRPr="00D337FA">
        <w:rPr>
          <w:i/>
          <w:lang w:val="en-US"/>
        </w:rPr>
        <w:t>advantages</w:t>
      </w:r>
      <w:r w:rsidR="006C680D" w:rsidRPr="00D337FA">
        <w:rPr>
          <w:i/>
          <w:lang w:val="en-US"/>
        </w:rPr>
        <w:t xml:space="preserve"> </w:t>
      </w:r>
      <w:r w:rsidR="00637EED" w:rsidRPr="00D337FA">
        <w:rPr>
          <w:i/>
          <w:lang w:val="en-US"/>
        </w:rPr>
        <w:t>in</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insurance</w:t>
      </w:r>
      <w:r w:rsidR="006C680D" w:rsidRPr="00D337FA">
        <w:rPr>
          <w:i/>
          <w:lang w:val="en-US"/>
        </w:rPr>
        <w:t xml:space="preserve"> </w:t>
      </w:r>
      <w:r w:rsidR="00637EED" w:rsidRPr="00D337FA">
        <w:rPr>
          <w:i/>
          <w:lang w:val="en-US"/>
        </w:rPr>
        <w:t>services</w:t>
      </w:r>
      <w:r w:rsidR="006C680D" w:rsidRPr="00D337FA">
        <w:rPr>
          <w:i/>
          <w:lang w:val="en-US"/>
        </w:rPr>
        <w:t xml:space="preserve"> </w:t>
      </w:r>
      <w:r w:rsidR="00637EED" w:rsidRPr="00D337FA">
        <w:rPr>
          <w:i/>
          <w:lang w:val="en-US"/>
        </w:rPr>
        <w:t>market</w:t>
      </w:r>
      <w:r w:rsidR="006C680D" w:rsidRPr="00D337FA">
        <w:rPr>
          <w:i/>
          <w:lang w:val="en-US"/>
        </w:rPr>
        <w:t xml:space="preserve"> </w:t>
      </w:r>
      <w:r w:rsidR="00637EED" w:rsidRPr="00D337FA">
        <w:rPr>
          <w:i/>
          <w:lang w:val="en-US"/>
        </w:rPr>
        <w:t>under</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influence</w:t>
      </w:r>
      <w:r w:rsidR="006C680D" w:rsidRPr="00D337FA">
        <w:rPr>
          <w:i/>
          <w:lang w:val="en-US"/>
        </w:rPr>
        <w:t xml:space="preserve"> </w:t>
      </w:r>
      <w:r w:rsidR="00637EED" w:rsidRPr="00D337FA">
        <w:rPr>
          <w:i/>
          <w:lang w:val="en-US"/>
        </w:rPr>
        <w:t>of</w:t>
      </w:r>
      <w:r w:rsidR="006C680D" w:rsidRPr="00D337FA">
        <w:rPr>
          <w:i/>
          <w:lang w:val="en-US"/>
        </w:rPr>
        <w:t xml:space="preserve"> </w:t>
      </w:r>
      <w:r w:rsidR="00637EED" w:rsidRPr="00D337FA">
        <w:rPr>
          <w:i/>
          <w:lang w:val="en-US"/>
        </w:rPr>
        <w:t>market</w:t>
      </w:r>
      <w:r w:rsidR="006C680D" w:rsidRPr="00D337FA">
        <w:rPr>
          <w:i/>
          <w:lang w:val="en-US"/>
        </w:rPr>
        <w:t xml:space="preserve"> </w:t>
      </w:r>
      <w:r w:rsidR="00637EED" w:rsidRPr="00D337FA">
        <w:rPr>
          <w:i/>
          <w:lang w:val="en-US"/>
        </w:rPr>
        <w:t>factors.</w:t>
      </w:r>
      <w:r w:rsidR="006C680D" w:rsidRPr="00D337FA">
        <w:rPr>
          <w:i/>
          <w:lang w:val="en-US"/>
        </w:rPr>
        <w:t xml:space="preserve"> </w:t>
      </w:r>
      <w:r w:rsidR="00637EED" w:rsidRPr="00D337FA">
        <w:rPr>
          <w:i/>
          <w:lang w:val="en-US"/>
        </w:rPr>
        <w:t>Trends</w:t>
      </w:r>
      <w:r w:rsidR="006C680D" w:rsidRPr="00D337FA">
        <w:rPr>
          <w:i/>
          <w:lang w:val="en-US"/>
        </w:rPr>
        <w:t xml:space="preserve"> </w:t>
      </w:r>
      <w:r w:rsidR="00637EED" w:rsidRPr="00D337FA">
        <w:rPr>
          <w:i/>
          <w:lang w:val="en-US"/>
        </w:rPr>
        <w:t>in</w:t>
      </w:r>
      <w:r w:rsidR="006C680D" w:rsidRPr="00D337FA">
        <w:rPr>
          <w:i/>
          <w:lang w:val="en-US"/>
        </w:rPr>
        <w:t xml:space="preserve"> </w:t>
      </w:r>
      <w:r w:rsidR="00637EED" w:rsidRPr="00D337FA">
        <w:rPr>
          <w:i/>
          <w:lang w:val="en-US"/>
        </w:rPr>
        <w:t>changes</w:t>
      </w:r>
      <w:r w:rsidR="006C680D" w:rsidRPr="00D337FA">
        <w:rPr>
          <w:i/>
          <w:lang w:val="en-US"/>
        </w:rPr>
        <w:t xml:space="preserve"> </w:t>
      </w:r>
      <w:r w:rsidR="00637EED" w:rsidRPr="00D337FA">
        <w:rPr>
          <w:i/>
          <w:lang w:val="en-US"/>
        </w:rPr>
        <w:t>in</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qualitative</w:t>
      </w:r>
      <w:r w:rsidR="006C680D" w:rsidRPr="00D337FA">
        <w:rPr>
          <w:i/>
          <w:lang w:val="en-US"/>
        </w:rPr>
        <w:t xml:space="preserve"> </w:t>
      </w:r>
      <w:r w:rsidR="00637EED" w:rsidRPr="00D337FA">
        <w:rPr>
          <w:i/>
          <w:lang w:val="en-US"/>
        </w:rPr>
        <w:t>and</w:t>
      </w:r>
      <w:r w:rsidR="006C680D" w:rsidRPr="00D337FA">
        <w:rPr>
          <w:i/>
          <w:lang w:val="en-US"/>
        </w:rPr>
        <w:t xml:space="preserve"> </w:t>
      </w:r>
      <w:r w:rsidR="00637EED" w:rsidRPr="00D337FA">
        <w:rPr>
          <w:i/>
          <w:lang w:val="en-US"/>
        </w:rPr>
        <w:t>quantitative</w:t>
      </w:r>
      <w:r w:rsidR="006C680D" w:rsidRPr="00D337FA">
        <w:rPr>
          <w:i/>
          <w:lang w:val="en-US"/>
        </w:rPr>
        <w:t xml:space="preserve"> </w:t>
      </w:r>
      <w:r w:rsidR="00637EED" w:rsidRPr="00D337FA">
        <w:rPr>
          <w:i/>
          <w:lang w:val="en-US"/>
        </w:rPr>
        <w:t>characteristics</w:t>
      </w:r>
      <w:r w:rsidR="006C680D" w:rsidRPr="00D337FA">
        <w:rPr>
          <w:i/>
          <w:lang w:val="en-US"/>
        </w:rPr>
        <w:t xml:space="preserve"> </w:t>
      </w:r>
      <w:r w:rsidR="00637EED" w:rsidRPr="00D337FA">
        <w:rPr>
          <w:i/>
          <w:lang w:val="en-US"/>
        </w:rPr>
        <w:t>of</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market,</w:t>
      </w:r>
      <w:r w:rsidR="006C680D" w:rsidRPr="00D337FA">
        <w:rPr>
          <w:i/>
          <w:lang w:val="en-US"/>
        </w:rPr>
        <w:t xml:space="preserve"> </w:t>
      </w:r>
      <w:r w:rsidR="00637EED" w:rsidRPr="00D337FA">
        <w:rPr>
          <w:i/>
          <w:lang w:val="en-US"/>
        </w:rPr>
        <w:t>along</w:t>
      </w:r>
      <w:r w:rsidR="006C680D" w:rsidRPr="00D337FA">
        <w:rPr>
          <w:i/>
          <w:lang w:val="en-US"/>
        </w:rPr>
        <w:t xml:space="preserve"> </w:t>
      </w:r>
      <w:r w:rsidR="00637EED" w:rsidRPr="00D337FA">
        <w:rPr>
          <w:i/>
          <w:lang w:val="en-US"/>
        </w:rPr>
        <w:t>with</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diversity</w:t>
      </w:r>
      <w:r w:rsidR="006C680D" w:rsidRPr="00D337FA">
        <w:rPr>
          <w:i/>
          <w:lang w:val="en-US"/>
        </w:rPr>
        <w:t xml:space="preserve"> </w:t>
      </w:r>
      <w:r w:rsidR="00637EED" w:rsidRPr="00D337FA">
        <w:rPr>
          <w:i/>
          <w:lang w:val="en-US"/>
        </w:rPr>
        <w:t>of</w:t>
      </w:r>
      <w:r w:rsidR="006C680D" w:rsidRPr="00D337FA">
        <w:rPr>
          <w:i/>
          <w:lang w:val="en-US"/>
        </w:rPr>
        <w:t xml:space="preserve"> </w:t>
      </w:r>
      <w:r w:rsidR="00637EED" w:rsidRPr="00D337FA">
        <w:rPr>
          <w:i/>
          <w:lang w:val="en-US"/>
        </w:rPr>
        <w:t>competitive</w:t>
      </w:r>
      <w:r w:rsidR="006C680D" w:rsidRPr="00D337FA">
        <w:rPr>
          <w:i/>
          <w:lang w:val="en-US"/>
        </w:rPr>
        <w:t xml:space="preserve"> </w:t>
      </w:r>
      <w:r w:rsidR="00637EED" w:rsidRPr="00D337FA">
        <w:rPr>
          <w:i/>
          <w:lang w:val="en-US"/>
        </w:rPr>
        <w:t>strategies,</w:t>
      </w:r>
      <w:r w:rsidR="006C680D" w:rsidRPr="00D337FA">
        <w:rPr>
          <w:i/>
          <w:lang w:val="en-US"/>
        </w:rPr>
        <w:t xml:space="preserve"> </w:t>
      </w:r>
      <w:r w:rsidR="00637EED" w:rsidRPr="00D337FA">
        <w:rPr>
          <w:i/>
          <w:lang w:val="en-US"/>
        </w:rPr>
        <w:t>determine</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need</w:t>
      </w:r>
      <w:r w:rsidR="006C680D" w:rsidRPr="00D337FA">
        <w:rPr>
          <w:i/>
          <w:lang w:val="en-US"/>
        </w:rPr>
        <w:t xml:space="preserve"> </w:t>
      </w:r>
      <w:r w:rsidR="00637EED" w:rsidRPr="00D337FA">
        <w:rPr>
          <w:i/>
          <w:lang w:val="en-US"/>
        </w:rPr>
        <w:t>for</w:t>
      </w:r>
      <w:r w:rsidR="006C680D" w:rsidRPr="00D337FA">
        <w:rPr>
          <w:i/>
          <w:lang w:val="en-US"/>
        </w:rPr>
        <w:t xml:space="preserve"> </w:t>
      </w:r>
      <w:r w:rsidR="00637EED" w:rsidRPr="00D337FA">
        <w:rPr>
          <w:i/>
          <w:lang w:val="en-US"/>
        </w:rPr>
        <w:t>insurance</w:t>
      </w:r>
      <w:r w:rsidR="006C680D" w:rsidRPr="00D337FA">
        <w:rPr>
          <w:i/>
          <w:lang w:val="en-US"/>
        </w:rPr>
        <w:t xml:space="preserve"> </w:t>
      </w:r>
      <w:r w:rsidR="00637EED" w:rsidRPr="00D337FA">
        <w:rPr>
          <w:i/>
          <w:lang w:val="en-US"/>
        </w:rPr>
        <w:t>companies</w:t>
      </w:r>
      <w:r w:rsidR="006C680D" w:rsidRPr="00D337FA">
        <w:rPr>
          <w:i/>
          <w:lang w:val="en-US"/>
        </w:rPr>
        <w:t xml:space="preserve"> </w:t>
      </w:r>
      <w:r w:rsidR="00637EED" w:rsidRPr="00D337FA">
        <w:rPr>
          <w:i/>
          <w:lang w:val="en-US"/>
        </w:rPr>
        <w:t>to</w:t>
      </w:r>
      <w:r w:rsidR="006C680D" w:rsidRPr="00D337FA">
        <w:rPr>
          <w:i/>
          <w:lang w:val="en-US"/>
        </w:rPr>
        <w:t xml:space="preserve"> </w:t>
      </w:r>
      <w:r w:rsidR="00637EED" w:rsidRPr="00D337FA">
        <w:rPr>
          <w:i/>
          <w:lang w:val="en-US"/>
        </w:rPr>
        <w:t>continuously</w:t>
      </w:r>
      <w:r w:rsidR="006C680D" w:rsidRPr="00D337FA">
        <w:rPr>
          <w:i/>
          <w:lang w:val="en-US"/>
        </w:rPr>
        <w:t xml:space="preserve"> </w:t>
      </w:r>
      <w:r w:rsidR="00637EED" w:rsidRPr="00D337FA">
        <w:rPr>
          <w:i/>
          <w:lang w:val="en-US"/>
        </w:rPr>
        <w:t>adapt</w:t>
      </w:r>
      <w:r w:rsidR="006C680D" w:rsidRPr="00D337FA">
        <w:rPr>
          <w:i/>
          <w:lang w:val="en-US"/>
        </w:rPr>
        <w:t xml:space="preserve"> </w:t>
      </w:r>
      <w:r w:rsidR="00637EED" w:rsidRPr="00D337FA">
        <w:rPr>
          <w:i/>
          <w:lang w:val="en-US"/>
        </w:rPr>
        <w:t>to</w:t>
      </w:r>
      <w:r w:rsidR="006C680D" w:rsidRPr="00D337FA">
        <w:rPr>
          <w:i/>
          <w:lang w:val="en-US"/>
        </w:rPr>
        <w:t xml:space="preserve"> </w:t>
      </w:r>
      <w:r w:rsidR="00637EED" w:rsidRPr="00D337FA">
        <w:rPr>
          <w:i/>
          <w:lang w:val="en-US"/>
        </w:rPr>
        <w:t>changing</w:t>
      </w:r>
      <w:r w:rsidR="006C680D" w:rsidRPr="00D337FA">
        <w:rPr>
          <w:i/>
          <w:lang w:val="en-US"/>
        </w:rPr>
        <w:t xml:space="preserve"> </w:t>
      </w:r>
      <w:r w:rsidR="00637EED" w:rsidRPr="00D337FA">
        <w:rPr>
          <w:i/>
          <w:lang w:val="en-US"/>
        </w:rPr>
        <w:t>external</w:t>
      </w:r>
      <w:r w:rsidR="006C680D" w:rsidRPr="00D337FA">
        <w:rPr>
          <w:i/>
          <w:lang w:val="en-US"/>
        </w:rPr>
        <w:t xml:space="preserve"> </w:t>
      </w:r>
      <w:r w:rsidR="00637EED" w:rsidRPr="00D337FA">
        <w:rPr>
          <w:i/>
          <w:lang w:val="en-US"/>
        </w:rPr>
        <w:t>conditions</w:t>
      </w:r>
      <w:r w:rsidR="006C680D" w:rsidRPr="00D337FA">
        <w:rPr>
          <w:i/>
          <w:lang w:val="en-US"/>
        </w:rPr>
        <w:t xml:space="preserve"> </w:t>
      </w:r>
      <w:r w:rsidR="00637EED" w:rsidRPr="00D337FA">
        <w:rPr>
          <w:i/>
          <w:lang w:val="en-US"/>
        </w:rPr>
        <w:t>and</w:t>
      </w:r>
      <w:r w:rsidR="006C680D" w:rsidRPr="00D337FA">
        <w:rPr>
          <w:i/>
          <w:lang w:val="en-US"/>
        </w:rPr>
        <w:t xml:space="preserve"> </w:t>
      </w:r>
      <w:r w:rsidR="00637EED" w:rsidRPr="00D337FA">
        <w:rPr>
          <w:i/>
          <w:lang w:val="en-US"/>
        </w:rPr>
        <w:t>to</w:t>
      </w:r>
      <w:r w:rsidR="006C680D" w:rsidRPr="00D337FA">
        <w:rPr>
          <w:i/>
          <w:lang w:val="en-US"/>
        </w:rPr>
        <w:t xml:space="preserve"> </w:t>
      </w:r>
      <w:r w:rsidR="00637EED" w:rsidRPr="00D337FA">
        <w:rPr>
          <w:i/>
          <w:lang w:val="en-US"/>
        </w:rPr>
        <w:t>develop</w:t>
      </w:r>
      <w:r w:rsidR="006C680D" w:rsidRPr="00D337FA">
        <w:rPr>
          <w:i/>
          <w:lang w:val="en-US"/>
        </w:rPr>
        <w:t xml:space="preserve"> </w:t>
      </w:r>
      <w:r w:rsidR="00637EED" w:rsidRPr="00D337FA">
        <w:rPr>
          <w:i/>
          <w:lang w:val="en-US"/>
        </w:rPr>
        <w:t>flexible</w:t>
      </w:r>
      <w:r w:rsidR="006C680D" w:rsidRPr="00D337FA">
        <w:rPr>
          <w:i/>
          <w:lang w:val="en-US"/>
        </w:rPr>
        <w:t xml:space="preserve"> </w:t>
      </w:r>
      <w:r w:rsidR="00637EED" w:rsidRPr="00D337FA">
        <w:rPr>
          <w:i/>
          <w:lang w:val="en-US"/>
        </w:rPr>
        <w:t>competitive</w:t>
      </w:r>
      <w:r w:rsidR="006C680D" w:rsidRPr="00D337FA">
        <w:rPr>
          <w:i/>
          <w:lang w:val="en-US"/>
        </w:rPr>
        <w:t xml:space="preserve"> </w:t>
      </w:r>
      <w:r w:rsidR="00637EED" w:rsidRPr="00D337FA">
        <w:rPr>
          <w:i/>
          <w:lang w:val="en-US"/>
        </w:rPr>
        <w:t>strategies.</w:t>
      </w:r>
      <w:r w:rsidR="006C680D" w:rsidRPr="00D337FA">
        <w:rPr>
          <w:i/>
          <w:lang w:val="en-US"/>
        </w:rPr>
        <w:t xml:space="preserve"> </w:t>
      </w:r>
      <w:r w:rsidR="00637EED" w:rsidRPr="00D337FA">
        <w:rPr>
          <w:i/>
          <w:lang w:val="en-US"/>
        </w:rPr>
        <w:t>These</w:t>
      </w:r>
      <w:r w:rsidR="006C680D" w:rsidRPr="00D337FA">
        <w:rPr>
          <w:i/>
          <w:lang w:val="en-US"/>
        </w:rPr>
        <w:t xml:space="preserve"> </w:t>
      </w:r>
      <w:r w:rsidR="00637EED" w:rsidRPr="00D337FA">
        <w:rPr>
          <w:i/>
          <w:lang w:val="en-US"/>
        </w:rPr>
        <w:t>requirements</w:t>
      </w:r>
      <w:r w:rsidR="006C680D" w:rsidRPr="00D337FA">
        <w:rPr>
          <w:i/>
          <w:lang w:val="en-US"/>
        </w:rPr>
        <w:t xml:space="preserve"> </w:t>
      </w:r>
      <w:r w:rsidR="00637EED" w:rsidRPr="00D337FA">
        <w:rPr>
          <w:i/>
          <w:lang w:val="en-US"/>
        </w:rPr>
        <w:t>are</w:t>
      </w:r>
      <w:r w:rsidR="006C680D" w:rsidRPr="00D337FA">
        <w:rPr>
          <w:i/>
          <w:lang w:val="en-US"/>
        </w:rPr>
        <w:t xml:space="preserve"> </w:t>
      </w:r>
      <w:r w:rsidR="00637EED" w:rsidRPr="00D337FA">
        <w:rPr>
          <w:i/>
          <w:lang w:val="en-US"/>
        </w:rPr>
        <w:t>essential</w:t>
      </w:r>
      <w:r w:rsidR="006C680D" w:rsidRPr="00D337FA">
        <w:rPr>
          <w:i/>
          <w:lang w:val="en-US"/>
        </w:rPr>
        <w:t xml:space="preserve"> </w:t>
      </w:r>
      <w:r w:rsidR="00637EED" w:rsidRPr="00D337FA">
        <w:rPr>
          <w:i/>
          <w:lang w:val="en-US"/>
        </w:rPr>
        <w:t>for</w:t>
      </w:r>
      <w:r w:rsidR="006C680D" w:rsidRPr="00D337FA">
        <w:rPr>
          <w:i/>
          <w:lang w:val="en-US"/>
        </w:rPr>
        <w:t xml:space="preserve"> </w:t>
      </w:r>
      <w:r w:rsidR="00637EED" w:rsidRPr="00D337FA">
        <w:rPr>
          <w:i/>
          <w:lang w:val="en-US"/>
        </w:rPr>
        <w:t>stable</w:t>
      </w:r>
      <w:r w:rsidR="006C680D" w:rsidRPr="00D337FA">
        <w:rPr>
          <w:i/>
          <w:lang w:val="en-US"/>
        </w:rPr>
        <w:t xml:space="preserve"> </w:t>
      </w:r>
      <w:r w:rsidR="00637EED" w:rsidRPr="00D337FA">
        <w:rPr>
          <w:i/>
          <w:lang w:val="en-US"/>
        </w:rPr>
        <w:t>market</w:t>
      </w:r>
      <w:r w:rsidR="006C680D" w:rsidRPr="00D337FA">
        <w:rPr>
          <w:i/>
          <w:lang w:val="en-US"/>
        </w:rPr>
        <w:t xml:space="preserve"> </w:t>
      </w:r>
      <w:r w:rsidR="00637EED" w:rsidRPr="00D337FA">
        <w:rPr>
          <w:i/>
          <w:lang w:val="en-US"/>
        </w:rPr>
        <w:t>performance</w:t>
      </w:r>
      <w:r w:rsidR="006C680D" w:rsidRPr="00D337FA">
        <w:rPr>
          <w:i/>
          <w:lang w:val="en-US"/>
        </w:rPr>
        <w:t xml:space="preserve"> </w:t>
      </w:r>
      <w:r w:rsidR="00637EED" w:rsidRPr="00D337FA">
        <w:rPr>
          <w:i/>
          <w:lang w:val="en-US"/>
        </w:rPr>
        <w:t>and</w:t>
      </w:r>
      <w:r w:rsidR="006C680D" w:rsidRPr="00D337FA">
        <w:rPr>
          <w:i/>
          <w:lang w:val="en-US"/>
        </w:rPr>
        <w:t xml:space="preserve"> </w:t>
      </w:r>
      <w:r w:rsidR="00637EED" w:rsidRPr="00D337FA">
        <w:rPr>
          <w:i/>
          <w:lang w:val="en-US"/>
        </w:rPr>
        <w:t>for</w:t>
      </w:r>
      <w:r w:rsidR="006C680D" w:rsidRPr="00D337FA">
        <w:rPr>
          <w:i/>
          <w:lang w:val="en-US"/>
        </w:rPr>
        <w:t xml:space="preserve"> </w:t>
      </w:r>
      <w:r w:rsidR="00637EED" w:rsidRPr="00D337FA">
        <w:rPr>
          <w:i/>
          <w:lang w:val="en-US"/>
        </w:rPr>
        <w:t>the</w:t>
      </w:r>
      <w:r w:rsidR="006C680D" w:rsidRPr="00D337FA">
        <w:rPr>
          <w:i/>
          <w:lang w:val="en-US"/>
        </w:rPr>
        <w:t xml:space="preserve"> </w:t>
      </w:r>
      <w:r w:rsidR="00637EED" w:rsidRPr="00D337FA">
        <w:rPr>
          <w:i/>
          <w:lang w:val="en-US"/>
        </w:rPr>
        <w:t>successful</w:t>
      </w:r>
      <w:r w:rsidR="006C680D" w:rsidRPr="00D337FA">
        <w:rPr>
          <w:i/>
          <w:lang w:val="en-US"/>
        </w:rPr>
        <w:t xml:space="preserve"> </w:t>
      </w:r>
      <w:r w:rsidR="00637EED" w:rsidRPr="00D337FA">
        <w:rPr>
          <w:i/>
          <w:lang w:val="en-US"/>
        </w:rPr>
        <w:t>diversification</w:t>
      </w:r>
      <w:r w:rsidR="006C680D" w:rsidRPr="00D337FA">
        <w:rPr>
          <w:i/>
          <w:lang w:val="en-US"/>
        </w:rPr>
        <w:t xml:space="preserve"> </w:t>
      </w:r>
      <w:r w:rsidR="00637EED" w:rsidRPr="00D337FA">
        <w:rPr>
          <w:i/>
          <w:lang w:val="en-US"/>
        </w:rPr>
        <w:t>of</w:t>
      </w:r>
      <w:r w:rsidR="006C680D" w:rsidRPr="00D337FA">
        <w:rPr>
          <w:i/>
          <w:lang w:val="en-US"/>
        </w:rPr>
        <w:t xml:space="preserve"> </w:t>
      </w:r>
      <w:r w:rsidR="00637EED" w:rsidRPr="00D337FA">
        <w:rPr>
          <w:i/>
          <w:lang w:val="en-US"/>
        </w:rPr>
        <w:t>competitive</w:t>
      </w:r>
      <w:r w:rsidR="006C680D" w:rsidRPr="00D337FA">
        <w:rPr>
          <w:i/>
          <w:lang w:val="en-US"/>
        </w:rPr>
        <w:t xml:space="preserve"> </w:t>
      </w:r>
      <w:r w:rsidR="00637EED" w:rsidRPr="00D337FA">
        <w:rPr>
          <w:i/>
          <w:lang w:val="en-US"/>
        </w:rPr>
        <w:t>advantages.</w:t>
      </w:r>
    </w:p>
    <w:p w:rsidR="00637EED" w:rsidRPr="00D337FA" w:rsidRDefault="00637EED" w:rsidP="00637EED">
      <w:pPr>
        <w:ind w:firstLine="0"/>
        <w:rPr>
          <w:i/>
          <w:lang w:val="en-US"/>
        </w:rPr>
      </w:pPr>
      <w:r w:rsidRPr="00D337FA">
        <w:rPr>
          <w:i/>
          <w:lang w:val="en-US"/>
        </w:rPr>
        <w:t>Identifying</w:t>
      </w:r>
      <w:r w:rsidR="006C680D" w:rsidRPr="00D337FA">
        <w:rPr>
          <w:i/>
          <w:lang w:val="en-US"/>
        </w:rPr>
        <w:t xml:space="preserve"> </w:t>
      </w:r>
      <w:r w:rsidRPr="00D337FA">
        <w:rPr>
          <w:i/>
          <w:lang w:val="en-US"/>
        </w:rPr>
        <w:t>trends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formation</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competitive</w:t>
      </w:r>
      <w:r w:rsidR="006C680D" w:rsidRPr="00D337FA">
        <w:rPr>
          <w:i/>
          <w:lang w:val="en-US"/>
        </w:rPr>
        <w:t xml:space="preserve"> </w:t>
      </w:r>
      <w:r w:rsidRPr="00D337FA">
        <w:rPr>
          <w:i/>
          <w:lang w:val="en-US"/>
        </w:rPr>
        <w:t>advantages</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assessing</w:t>
      </w:r>
      <w:r w:rsidR="006C680D" w:rsidRPr="00D337FA">
        <w:rPr>
          <w:i/>
          <w:lang w:val="en-US"/>
        </w:rPr>
        <w:t xml:space="preserve"> </w:t>
      </w:r>
      <w:r w:rsidRPr="00D337FA">
        <w:rPr>
          <w:i/>
          <w:lang w:val="en-US"/>
        </w:rPr>
        <w:t>them</w:t>
      </w:r>
      <w:r w:rsidR="006C680D" w:rsidRPr="00D337FA">
        <w:rPr>
          <w:i/>
          <w:lang w:val="en-US"/>
        </w:rPr>
        <w:t xml:space="preserve"> </w:t>
      </w:r>
      <w:r w:rsidRPr="00D337FA">
        <w:rPr>
          <w:i/>
          <w:lang w:val="en-US"/>
        </w:rPr>
        <w:t>provides</w:t>
      </w:r>
      <w:r w:rsidR="006C680D" w:rsidRPr="00D337FA">
        <w:rPr>
          <w:i/>
          <w:lang w:val="en-US"/>
        </w:rPr>
        <w:t xml:space="preserve"> </w:t>
      </w:r>
      <w:r w:rsidRPr="00D337FA">
        <w:rPr>
          <w:i/>
          <w:lang w:val="en-US"/>
        </w:rPr>
        <w:t>a</w:t>
      </w:r>
      <w:r w:rsidR="006C680D" w:rsidRPr="00D337FA">
        <w:rPr>
          <w:i/>
          <w:lang w:val="en-US"/>
        </w:rPr>
        <w:t xml:space="preserve"> </w:t>
      </w:r>
      <w:r w:rsidRPr="00D337FA">
        <w:rPr>
          <w:i/>
          <w:lang w:val="en-US"/>
        </w:rPr>
        <w:t>basis</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substantiating</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managing</w:t>
      </w:r>
      <w:r w:rsidR="006C680D" w:rsidRPr="00D337FA">
        <w:rPr>
          <w:i/>
          <w:lang w:val="en-US"/>
        </w:rPr>
        <w:t xml:space="preserve"> </w:t>
      </w:r>
      <w:r w:rsidRPr="00D337FA">
        <w:rPr>
          <w:i/>
          <w:lang w:val="en-US"/>
        </w:rPr>
        <w:t>flexible</w:t>
      </w:r>
      <w:r w:rsidR="006C680D" w:rsidRPr="00D337FA">
        <w:rPr>
          <w:i/>
          <w:lang w:val="en-US"/>
        </w:rPr>
        <w:t xml:space="preserve"> </w:t>
      </w:r>
      <w:r w:rsidRPr="00D337FA">
        <w:rPr>
          <w:i/>
          <w:lang w:val="en-US"/>
        </w:rPr>
        <w:t>competitive</w:t>
      </w:r>
      <w:r w:rsidR="006C680D" w:rsidRPr="00D337FA">
        <w:rPr>
          <w:i/>
          <w:lang w:val="en-US"/>
        </w:rPr>
        <w:t xml:space="preserve"> </w:t>
      </w:r>
      <w:r w:rsidRPr="00D337FA">
        <w:rPr>
          <w:i/>
          <w:lang w:val="en-US"/>
        </w:rPr>
        <w:t>strategies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an</w:t>
      </w:r>
      <w:r w:rsidR="006C680D" w:rsidRPr="00D337FA">
        <w:rPr>
          <w:i/>
          <w:lang w:val="en-US"/>
        </w:rPr>
        <w:t xml:space="preserve"> </w:t>
      </w:r>
      <w:r w:rsidRPr="00D337FA">
        <w:rPr>
          <w:i/>
          <w:lang w:val="en-US"/>
        </w:rPr>
        <w:t>environment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heightened</w:t>
      </w:r>
      <w:r w:rsidR="006C680D" w:rsidRPr="00D337FA">
        <w:rPr>
          <w:i/>
          <w:lang w:val="en-US"/>
        </w:rPr>
        <w:t xml:space="preserve"> </w:t>
      </w:r>
      <w:r w:rsidRPr="00D337FA">
        <w:rPr>
          <w:i/>
          <w:lang w:val="en-US"/>
        </w:rPr>
        <w:t>uncertainty</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market.</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study</w:t>
      </w:r>
      <w:r w:rsidR="006C680D" w:rsidRPr="00D337FA">
        <w:rPr>
          <w:i/>
          <w:lang w:val="en-US"/>
        </w:rPr>
        <w:t xml:space="preserve"> </w:t>
      </w:r>
      <w:r w:rsidRPr="00D337FA">
        <w:rPr>
          <w:i/>
          <w:lang w:val="en-US"/>
        </w:rPr>
        <w:t>identifies</w:t>
      </w:r>
      <w:r w:rsidR="006C680D" w:rsidRPr="00D337FA">
        <w:rPr>
          <w:i/>
          <w:lang w:val="en-US"/>
        </w:rPr>
        <w:t xml:space="preserve"> </w:t>
      </w:r>
      <w:r w:rsidRPr="00D337FA">
        <w:rPr>
          <w:i/>
          <w:lang w:val="en-US"/>
        </w:rPr>
        <w:t>key</w:t>
      </w:r>
      <w:r w:rsidR="006C680D" w:rsidRPr="00D337FA">
        <w:rPr>
          <w:i/>
          <w:lang w:val="en-US"/>
        </w:rPr>
        <w:t xml:space="preserve"> </w:t>
      </w:r>
      <w:r w:rsidRPr="00D337FA">
        <w:rPr>
          <w:i/>
          <w:lang w:val="en-US"/>
        </w:rPr>
        <w:t>factors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effective</w:t>
      </w:r>
      <w:r w:rsidR="006C680D" w:rsidRPr="00D337FA">
        <w:rPr>
          <w:i/>
          <w:lang w:val="en-US"/>
        </w:rPr>
        <w:t xml:space="preserve"> </w:t>
      </w:r>
      <w:r w:rsidRPr="00D337FA">
        <w:rPr>
          <w:i/>
          <w:lang w:val="en-US"/>
        </w:rPr>
        <w:t>management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companies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market</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characterizes</w:t>
      </w:r>
      <w:r w:rsidR="006C680D" w:rsidRPr="00D337FA">
        <w:rPr>
          <w:i/>
          <w:lang w:val="en-US"/>
        </w:rPr>
        <w:t xml:space="preserve"> </w:t>
      </w:r>
      <w:r w:rsidRPr="00D337FA">
        <w:rPr>
          <w:i/>
          <w:lang w:val="en-US"/>
        </w:rPr>
        <w:t>alternative</w:t>
      </w:r>
      <w:r w:rsidR="006C680D" w:rsidRPr="00D337FA">
        <w:rPr>
          <w:i/>
          <w:lang w:val="en-US"/>
        </w:rPr>
        <w:t xml:space="preserve"> </w:t>
      </w:r>
      <w:r w:rsidRPr="00D337FA">
        <w:rPr>
          <w:i/>
          <w:lang w:val="en-US"/>
        </w:rPr>
        <w:t>strategies</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managing</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process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forming</w:t>
      </w:r>
      <w:r w:rsidR="006C680D" w:rsidRPr="00D337FA">
        <w:rPr>
          <w:i/>
          <w:lang w:val="en-US"/>
        </w:rPr>
        <w:t xml:space="preserve"> </w:t>
      </w:r>
      <w:r w:rsidRPr="00D337FA">
        <w:rPr>
          <w:i/>
          <w:lang w:val="en-US"/>
        </w:rPr>
        <w:t>competitive</w:t>
      </w:r>
      <w:r w:rsidR="006C680D" w:rsidRPr="00D337FA">
        <w:rPr>
          <w:i/>
          <w:lang w:val="en-US"/>
        </w:rPr>
        <w:t xml:space="preserve"> </w:t>
      </w:r>
      <w:r w:rsidRPr="00D337FA">
        <w:rPr>
          <w:i/>
          <w:lang w:val="en-US"/>
        </w:rPr>
        <w:t>advantages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sector.</w:t>
      </w:r>
      <w:r w:rsidR="006C680D" w:rsidRPr="00D337FA">
        <w:rPr>
          <w:i/>
          <w:lang w:val="en-US"/>
        </w:rPr>
        <w:t xml:space="preserve"> </w:t>
      </w:r>
      <w:r w:rsidRPr="00D337FA">
        <w:rPr>
          <w:i/>
          <w:lang w:val="en-US"/>
        </w:rPr>
        <w:t>Depending</w:t>
      </w:r>
      <w:r w:rsidR="006C680D" w:rsidRPr="00D337FA">
        <w:rPr>
          <w:i/>
          <w:lang w:val="en-US"/>
        </w:rPr>
        <w:t xml:space="preserve"> </w:t>
      </w:r>
      <w:r w:rsidRPr="00D337FA">
        <w:rPr>
          <w:i/>
          <w:lang w:val="en-US"/>
        </w:rPr>
        <w:t>on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type</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competitive</w:t>
      </w:r>
      <w:r w:rsidR="006C680D" w:rsidRPr="00D337FA">
        <w:rPr>
          <w:i/>
          <w:lang w:val="en-US"/>
        </w:rPr>
        <w:t xml:space="preserve"> </w:t>
      </w:r>
      <w:r w:rsidRPr="00D337FA">
        <w:rPr>
          <w:i/>
          <w:lang w:val="en-US"/>
        </w:rPr>
        <w:t>positioning,</w:t>
      </w:r>
      <w:r w:rsidR="006C680D" w:rsidRPr="00D337FA">
        <w:rPr>
          <w:i/>
          <w:lang w:val="en-US"/>
        </w:rPr>
        <w:t xml:space="preserve"> </w:t>
      </w:r>
      <w:r w:rsidRPr="00D337FA">
        <w:rPr>
          <w:i/>
          <w:lang w:val="en-US"/>
        </w:rPr>
        <w:t>specific</w:t>
      </w:r>
      <w:r w:rsidR="006C680D" w:rsidRPr="00D337FA">
        <w:rPr>
          <w:i/>
          <w:lang w:val="en-US"/>
        </w:rPr>
        <w:t xml:space="preserve"> </w:t>
      </w:r>
      <w:r w:rsidRPr="00D337FA">
        <w:rPr>
          <w:i/>
          <w:lang w:val="en-US"/>
        </w:rPr>
        <w:t>features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competitive</w:t>
      </w:r>
      <w:r w:rsidR="006C680D" w:rsidRPr="00D337FA">
        <w:rPr>
          <w:i/>
          <w:lang w:val="en-US"/>
        </w:rPr>
        <w:t xml:space="preserve"> </w:t>
      </w:r>
      <w:r w:rsidRPr="00D337FA">
        <w:rPr>
          <w:i/>
          <w:lang w:val="en-US"/>
        </w:rPr>
        <w:t>advantage</w:t>
      </w:r>
      <w:r w:rsidR="006C680D" w:rsidRPr="00D337FA">
        <w:rPr>
          <w:i/>
          <w:lang w:val="en-US"/>
        </w:rPr>
        <w:t xml:space="preserve"> </w:t>
      </w:r>
      <w:r w:rsidRPr="00D337FA">
        <w:rPr>
          <w:i/>
          <w:lang w:val="en-US"/>
        </w:rPr>
        <w:t>formation</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market</w:t>
      </w:r>
      <w:r w:rsidR="006C680D" w:rsidRPr="00D337FA">
        <w:rPr>
          <w:i/>
          <w:lang w:val="en-US"/>
        </w:rPr>
        <w:t xml:space="preserve"> </w:t>
      </w:r>
      <w:r w:rsidRPr="00D337FA">
        <w:rPr>
          <w:i/>
          <w:lang w:val="en-US"/>
        </w:rPr>
        <w:t>are</w:t>
      </w:r>
      <w:r w:rsidR="006C680D" w:rsidRPr="00D337FA">
        <w:rPr>
          <w:i/>
          <w:lang w:val="en-US"/>
        </w:rPr>
        <w:t xml:space="preserve"> </w:t>
      </w:r>
      <w:r w:rsidRPr="00D337FA">
        <w:rPr>
          <w:i/>
          <w:lang w:val="en-US"/>
        </w:rPr>
        <w:t>substantiated,</w:t>
      </w:r>
      <w:r w:rsidR="006C680D" w:rsidRPr="00D337FA">
        <w:rPr>
          <w:i/>
          <w:lang w:val="en-US"/>
        </w:rPr>
        <w:t xml:space="preserve"> </w:t>
      </w:r>
      <w:r w:rsidRPr="00D337FA">
        <w:rPr>
          <w:i/>
          <w:lang w:val="en-US"/>
        </w:rPr>
        <w:t>and</w:t>
      </w:r>
      <w:r w:rsidR="006C680D" w:rsidRPr="00D337FA">
        <w:rPr>
          <w:i/>
          <w:lang w:val="en-US"/>
        </w:rPr>
        <w:t xml:space="preserve"> </w:t>
      </w:r>
      <w:r w:rsidRPr="00D337FA">
        <w:rPr>
          <w:i/>
          <w:lang w:val="en-US"/>
        </w:rPr>
        <w:t>stages</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implementing</w:t>
      </w:r>
      <w:r w:rsidR="006C680D" w:rsidRPr="00D337FA">
        <w:rPr>
          <w:i/>
          <w:lang w:val="en-US"/>
        </w:rPr>
        <w:t xml:space="preserve"> </w:t>
      </w:r>
      <w:r w:rsidRPr="00D337FA">
        <w:rPr>
          <w:i/>
          <w:lang w:val="en-US"/>
        </w:rPr>
        <w:t>a</w:t>
      </w:r>
      <w:r w:rsidR="006C680D" w:rsidRPr="00D337FA">
        <w:rPr>
          <w:i/>
          <w:lang w:val="en-US"/>
        </w:rPr>
        <w:t xml:space="preserve"> </w:t>
      </w:r>
      <w:r w:rsidRPr="00D337FA">
        <w:rPr>
          <w:i/>
          <w:lang w:val="en-US"/>
        </w:rPr>
        <w:t>strategy</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managing</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process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forming</w:t>
      </w:r>
      <w:r w:rsidR="006C680D" w:rsidRPr="00D337FA">
        <w:rPr>
          <w:i/>
          <w:lang w:val="en-US"/>
        </w:rPr>
        <w:t xml:space="preserve"> </w:t>
      </w:r>
      <w:r w:rsidRPr="00D337FA">
        <w:rPr>
          <w:i/>
          <w:lang w:val="en-US"/>
        </w:rPr>
        <w:t>competitive</w:t>
      </w:r>
      <w:r w:rsidR="006C680D" w:rsidRPr="00D337FA">
        <w:rPr>
          <w:i/>
          <w:lang w:val="en-US"/>
        </w:rPr>
        <w:t xml:space="preserve"> </w:t>
      </w:r>
      <w:r w:rsidRPr="00D337FA">
        <w:rPr>
          <w:i/>
          <w:lang w:val="en-US"/>
        </w:rPr>
        <w:t>advantages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market</w:t>
      </w:r>
      <w:r w:rsidR="006C680D" w:rsidRPr="00D337FA">
        <w:rPr>
          <w:i/>
          <w:lang w:val="en-US"/>
        </w:rPr>
        <w:t xml:space="preserve"> </w:t>
      </w:r>
      <w:r w:rsidRPr="00D337FA">
        <w:rPr>
          <w:i/>
          <w:lang w:val="en-US"/>
        </w:rPr>
        <w:t>are</w:t>
      </w:r>
      <w:r w:rsidR="006C680D" w:rsidRPr="00D337FA">
        <w:rPr>
          <w:i/>
          <w:lang w:val="en-US"/>
        </w:rPr>
        <w:t xml:space="preserve"> </w:t>
      </w:r>
      <w:r w:rsidRPr="00D337FA">
        <w:rPr>
          <w:i/>
          <w:lang w:val="en-US"/>
        </w:rPr>
        <w:t>proposed.</w:t>
      </w:r>
    </w:p>
    <w:p w:rsidR="00E56107" w:rsidRPr="00D337FA" w:rsidRDefault="00637EED" w:rsidP="00637EED">
      <w:pPr>
        <w:ind w:firstLine="0"/>
        <w:rPr>
          <w:i/>
          <w:lang w:val="en-US"/>
        </w:rPr>
      </w:pPr>
      <w:r w:rsidRPr="00D337FA">
        <w:rPr>
          <w:i/>
          <w:lang w:val="en-US"/>
        </w:rPr>
        <w:t>The</w:t>
      </w:r>
      <w:r w:rsidR="006C680D" w:rsidRPr="00D337FA">
        <w:rPr>
          <w:i/>
          <w:lang w:val="en-US"/>
        </w:rPr>
        <w:t xml:space="preserve"> </w:t>
      </w:r>
      <w:r w:rsidRPr="00D337FA">
        <w:rPr>
          <w:i/>
          <w:lang w:val="en-US"/>
        </w:rPr>
        <w:t>findings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study</w:t>
      </w:r>
      <w:r w:rsidR="006C680D" w:rsidRPr="00D337FA">
        <w:rPr>
          <w:i/>
          <w:lang w:val="en-US"/>
        </w:rPr>
        <w:t xml:space="preserve"> </w:t>
      </w:r>
      <w:r w:rsidRPr="00D337FA">
        <w:rPr>
          <w:i/>
          <w:lang w:val="en-US"/>
        </w:rPr>
        <w:t>may</w:t>
      </w:r>
      <w:r w:rsidR="006C680D" w:rsidRPr="00D337FA">
        <w:rPr>
          <w:i/>
          <w:lang w:val="en-US"/>
        </w:rPr>
        <w:t xml:space="preserve"> </w:t>
      </w:r>
      <w:r w:rsidRPr="00D337FA">
        <w:rPr>
          <w:i/>
          <w:lang w:val="en-US"/>
        </w:rPr>
        <w:t>be</w:t>
      </w:r>
      <w:r w:rsidR="006C680D" w:rsidRPr="00D337FA">
        <w:rPr>
          <w:i/>
          <w:lang w:val="en-US"/>
        </w:rPr>
        <w:t xml:space="preserve"> </w:t>
      </w:r>
      <w:r w:rsidRPr="00D337FA">
        <w:rPr>
          <w:i/>
          <w:lang w:val="en-US"/>
        </w:rPr>
        <w:t>used</w:t>
      </w:r>
      <w:r w:rsidR="006C680D" w:rsidRPr="00D337FA">
        <w:rPr>
          <w:i/>
          <w:lang w:val="en-US"/>
        </w:rPr>
        <w:t xml:space="preserve"> </w:t>
      </w:r>
      <w:r w:rsidRPr="00D337FA">
        <w:rPr>
          <w:i/>
          <w:lang w:val="en-US"/>
        </w:rPr>
        <w:t>by</w:t>
      </w:r>
      <w:r w:rsidR="006C680D" w:rsidRPr="00D337FA">
        <w:rPr>
          <w:i/>
          <w:lang w:val="en-US"/>
        </w:rPr>
        <w:t xml:space="preserve"> </w:t>
      </w:r>
      <w:r w:rsidRPr="00D337FA">
        <w:rPr>
          <w:i/>
          <w:lang w:val="en-US"/>
        </w:rPr>
        <w:t>participants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market</w:t>
      </w:r>
      <w:r w:rsidR="006C680D" w:rsidRPr="00D337FA">
        <w:rPr>
          <w:i/>
          <w:lang w:val="en-US"/>
        </w:rPr>
        <w:t xml:space="preserve"> </w:t>
      </w:r>
      <w:r w:rsidRPr="00D337FA">
        <w:rPr>
          <w:i/>
          <w:lang w:val="en-US"/>
        </w:rPr>
        <w:t>when</w:t>
      </w:r>
      <w:r w:rsidR="006C680D" w:rsidRPr="00D337FA">
        <w:rPr>
          <w:i/>
          <w:lang w:val="en-US"/>
        </w:rPr>
        <w:t xml:space="preserve"> </w:t>
      </w:r>
      <w:r w:rsidRPr="00D337FA">
        <w:rPr>
          <w:i/>
          <w:lang w:val="en-US"/>
        </w:rPr>
        <w:t>developing</w:t>
      </w:r>
      <w:r w:rsidR="006C680D" w:rsidRPr="00D337FA">
        <w:rPr>
          <w:i/>
          <w:lang w:val="en-US"/>
        </w:rPr>
        <w:t xml:space="preserve"> </w:t>
      </w:r>
      <w:r w:rsidRPr="00D337FA">
        <w:rPr>
          <w:i/>
          <w:lang w:val="en-US"/>
        </w:rPr>
        <w:t>positioning</w:t>
      </w:r>
      <w:r w:rsidR="006C680D" w:rsidRPr="00D337FA">
        <w:rPr>
          <w:i/>
          <w:lang w:val="en-US"/>
        </w:rPr>
        <w:t xml:space="preserve"> </w:t>
      </w:r>
      <w:r w:rsidRPr="00D337FA">
        <w:rPr>
          <w:i/>
          <w:lang w:val="en-US"/>
        </w:rPr>
        <w:t>strategies.</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results</w:t>
      </w:r>
      <w:r w:rsidR="006C680D" w:rsidRPr="00D337FA">
        <w:rPr>
          <w:i/>
          <w:lang w:val="en-US"/>
        </w:rPr>
        <w:t xml:space="preserve"> </w:t>
      </w:r>
      <w:r w:rsidRPr="00D337FA">
        <w:rPr>
          <w:i/>
          <w:lang w:val="en-US"/>
        </w:rPr>
        <w:t>presented</w:t>
      </w:r>
      <w:r w:rsidR="006C680D" w:rsidRPr="00D337FA">
        <w:rPr>
          <w:i/>
          <w:lang w:val="en-US"/>
        </w:rPr>
        <w:t xml:space="preserve"> </w:t>
      </w:r>
      <w:r w:rsidRPr="00D337FA">
        <w:rPr>
          <w:i/>
          <w:lang w:val="en-US"/>
        </w:rPr>
        <w:t>contribute</w:t>
      </w:r>
      <w:r w:rsidR="006C680D" w:rsidRPr="00D337FA">
        <w:rPr>
          <w:i/>
          <w:lang w:val="en-US"/>
        </w:rPr>
        <w:t xml:space="preserve"> </w:t>
      </w:r>
      <w:r w:rsidRPr="00D337FA">
        <w:rPr>
          <w:i/>
          <w:lang w:val="en-US"/>
        </w:rPr>
        <w:t>to</w:t>
      </w:r>
      <w:r w:rsidR="006C680D" w:rsidRPr="00D337FA">
        <w:rPr>
          <w:i/>
          <w:lang w:val="en-US"/>
        </w:rPr>
        <w:t xml:space="preserve"> </w:t>
      </w:r>
      <w:r w:rsidRPr="00D337FA">
        <w:rPr>
          <w:i/>
          <w:lang w:val="en-US"/>
        </w:rPr>
        <w:t>a</w:t>
      </w:r>
      <w:r w:rsidR="006C680D" w:rsidRPr="00D337FA">
        <w:rPr>
          <w:i/>
          <w:lang w:val="en-US"/>
        </w:rPr>
        <w:t xml:space="preserve"> </w:t>
      </w:r>
      <w:r w:rsidRPr="00D337FA">
        <w:rPr>
          <w:i/>
          <w:lang w:val="en-US"/>
        </w:rPr>
        <w:t>deeper</w:t>
      </w:r>
      <w:r w:rsidR="006C680D" w:rsidRPr="00D337FA">
        <w:rPr>
          <w:i/>
          <w:lang w:val="en-US"/>
        </w:rPr>
        <w:t xml:space="preserve"> </w:t>
      </w:r>
      <w:r w:rsidRPr="00D337FA">
        <w:rPr>
          <w:i/>
          <w:lang w:val="en-US"/>
        </w:rPr>
        <w:t>understanding</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conditions</w:t>
      </w:r>
      <w:r w:rsidR="006C680D" w:rsidRPr="00D337FA">
        <w:rPr>
          <w:i/>
          <w:lang w:val="en-US"/>
        </w:rPr>
        <w:t xml:space="preserve"> </w:t>
      </w:r>
      <w:r w:rsidRPr="00D337FA">
        <w:rPr>
          <w:i/>
          <w:lang w:val="en-US"/>
        </w:rPr>
        <w:t>for</w:t>
      </w:r>
      <w:r w:rsidR="006C680D" w:rsidRPr="00D337FA">
        <w:rPr>
          <w:i/>
          <w:lang w:val="en-US"/>
        </w:rPr>
        <w:t xml:space="preserve"> </w:t>
      </w:r>
      <w:r w:rsidRPr="00D337FA">
        <w:rPr>
          <w:i/>
          <w:lang w:val="en-US"/>
        </w:rPr>
        <w:t>effective</w:t>
      </w:r>
      <w:r w:rsidR="006C680D" w:rsidRPr="00D337FA">
        <w:rPr>
          <w:i/>
          <w:lang w:val="en-US"/>
        </w:rPr>
        <w:t xml:space="preserve"> </w:t>
      </w:r>
      <w:r w:rsidRPr="00D337FA">
        <w:rPr>
          <w:i/>
          <w:lang w:val="en-US"/>
        </w:rPr>
        <w:t>management</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process</w:t>
      </w:r>
      <w:r w:rsidR="006C680D" w:rsidRPr="00D337FA">
        <w:rPr>
          <w:i/>
          <w:lang w:val="en-US"/>
        </w:rPr>
        <w:t xml:space="preserve"> </w:t>
      </w:r>
      <w:r w:rsidRPr="00D337FA">
        <w:rPr>
          <w:i/>
          <w:lang w:val="en-US"/>
        </w:rPr>
        <w:t>of</w:t>
      </w:r>
      <w:r w:rsidR="006C680D" w:rsidRPr="00D337FA">
        <w:rPr>
          <w:i/>
          <w:lang w:val="en-US"/>
        </w:rPr>
        <w:t xml:space="preserve"> </w:t>
      </w:r>
      <w:r w:rsidRPr="00D337FA">
        <w:rPr>
          <w:i/>
          <w:lang w:val="en-US"/>
        </w:rPr>
        <w:t>forming</w:t>
      </w:r>
      <w:r w:rsidR="006C680D" w:rsidRPr="00D337FA">
        <w:rPr>
          <w:i/>
          <w:lang w:val="en-US"/>
        </w:rPr>
        <w:t xml:space="preserve"> </w:t>
      </w:r>
      <w:r w:rsidRPr="00D337FA">
        <w:rPr>
          <w:i/>
          <w:lang w:val="en-US"/>
        </w:rPr>
        <w:t>competitive</w:t>
      </w:r>
      <w:r w:rsidR="006C680D" w:rsidRPr="00D337FA">
        <w:rPr>
          <w:i/>
          <w:lang w:val="en-US"/>
        </w:rPr>
        <w:t xml:space="preserve"> </w:t>
      </w:r>
      <w:r w:rsidRPr="00D337FA">
        <w:rPr>
          <w:i/>
          <w:lang w:val="en-US"/>
        </w:rPr>
        <w:t>advantages</w:t>
      </w:r>
      <w:r w:rsidR="006C680D" w:rsidRPr="00D337FA">
        <w:rPr>
          <w:i/>
          <w:lang w:val="en-US"/>
        </w:rPr>
        <w:t xml:space="preserve"> </w:t>
      </w:r>
      <w:r w:rsidRPr="00D337FA">
        <w:rPr>
          <w:i/>
          <w:lang w:val="en-US"/>
        </w:rPr>
        <w:t>in</w:t>
      </w:r>
      <w:r w:rsidR="006C680D" w:rsidRPr="00D337FA">
        <w:rPr>
          <w:i/>
          <w:lang w:val="en-US"/>
        </w:rPr>
        <w:t xml:space="preserve"> </w:t>
      </w:r>
      <w:r w:rsidRPr="00D337FA">
        <w:rPr>
          <w:i/>
          <w:lang w:val="en-US"/>
        </w:rPr>
        <w:t>the</w:t>
      </w:r>
      <w:r w:rsidR="006C680D" w:rsidRPr="00D337FA">
        <w:rPr>
          <w:i/>
          <w:lang w:val="en-US"/>
        </w:rPr>
        <w:t xml:space="preserve"> </w:t>
      </w:r>
      <w:r w:rsidRPr="00D337FA">
        <w:rPr>
          <w:i/>
          <w:lang w:val="en-US"/>
        </w:rPr>
        <w:t>insurance</w:t>
      </w:r>
      <w:r w:rsidR="006C680D" w:rsidRPr="00D337FA">
        <w:rPr>
          <w:i/>
          <w:lang w:val="en-US"/>
        </w:rPr>
        <w:t xml:space="preserve"> </w:t>
      </w:r>
      <w:r w:rsidRPr="00D337FA">
        <w:rPr>
          <w:i/>
          <w:lang w:val="en-US"/>
        </w:rPr>
        <w:t>services</w:t>
      </w:r>
      <w:r w:rsidR="006C680D" w:rsidRPr="00D337FA">
        <w:rPr>
          <w:i/>
          <w:lang w:val="en-US"/>
        </w:rPr>
        <w:t xml:space="preserve"> </w:t>
      </w:r>
      <w:r w:rsidRPr="00D337FA">
        <w:rPr>
          <w:i/>
          <w:lang w:val="en-US"/>
        </w:rPr>
        <w:t>market.</w:t>
      </w:r>
    </w:p>
    <w:p w:rsidR="00637EED" w:rsidRPr="00D337FA" w:rsidRDefault="00637EED" w:rsidP="00637EED">
      <w:pPr>
        <w:ind w:firstLine="0"/>
        <w:rPr>
          <w:i/>
          <w:lang w:val="en-US"/>
        </w:rPr>
      </w:pPr>
    </w:p>
    <w:p w:rsidR="00E56107" w:rsidRPr="00D337FA" w:rsidRDefault="00637EED" w:rsidP="00E56107">
      <w:pPr>
        <w:ind w:firstLine="0"/>
        <w:rPr>
          <w:i/>
        </w:rPr>
      </w:pPr>
      <w:r w:rsidRPr="00D337FA">
        <w:rPr>
          <w:i/>
        </w:rPr>
        <w:lastRenderedPageBreak/>
        <w:t>Представленные</w:t>
      </w:r>
      <w:r w:rsidR="006C680D" w:rsidRPr="00D337FA">
        <w:rPr>
          <w:i/>
        </w:rPr>
        <w:t xml:space="preserve"> </w:t>
      </w:r>
      <w:r w:rsidRPr="00D337FA">
        <w:rPr>
          <w:i/>
        </w:rPr>
        <w:t>результаты</w:t>
      </w:r>
      <w:r w:rsidR="006C680D" w:rsidRPr="00D337FA">
        <w:rPr>
          <w:i/>
        </w:rPr>
        <w:t xml:space="preserve"> </w:t>
      </w:r>
      <w:r w:rsidRPr="00D337FA">
        <w:rPr>
          <w:i/>
        </w:rPr>
        <w:t>вносят</w:t>
      </w:r>
      <w:r w:rsidR="006C680D" w:rsidRPr="00D337FA">
        <w:rPr>
          <w:i/>
        </w:rPr>
        <w:t xml:space="preserve"> </w:t>
      </w:r>
      <w:r w:rsidRPr="00D337FA">
        <w:rPr>
          <w:i/>
        </w:rPr>
        <w:t>вклад</w:t>
      </w:r>
      <w:r w:rsidR="006C680D" w:rsidRPr="00D337FA">
        <w:rPr>
          <w:i/>
        </w:rPr>
        <w:t xml:space="preserve"> </w:t>
      </w:r>
      <w:r w:rsidRPr="00D337FA">
        <w:rPr>
          <w:i/>
        </w:rPr>
        <w:t>в</w:t>
      </w:r>
      <w:r w:rsidR="006C680D" w:rsidRPr="00D337FA">
        <w:rPr>
          <w:i/>
        </w:rPr>
        <w:t xml:space="preserve"> </w:t>
      </w:r>
      <w:r w:rsidRPr="00D337FA">
        <w:rPr>
          <w:i/>
        </w:rPr>
        <w:t>понимание</w:t>
      </w:r>
      <w:r w:rsidR="006C680D" w:rsidRPr="00D337FA">
        <w:rPr>
          <w:i/>
        </w:rPr>
        <w:t xml:space="preserve"> </w:t>
      </w:r>
      <w:r w:rsidRPr="00D337FA">
        <w:rPr>
          <w:i/>
        </w:rPr>
        <w:t>условий</w:t>
      </w:r>
      <w:r w:rsidR="006C680D" w:rsidRPr="00D337FA">
        <w:rPr>
          <w:i/>
        </w:rPr>
        <w:t xml:space="preserve"> </w:t>
      </w:r>
      <w:r w:rsidRPr="00D337FA">
        <w:rPr>
          <w:i/>
        </w:rPr>
        <w:t>эффективного</w:t>
      </w:r>
      <w:r w:rsidR="006C680D" w:rsidRPr="00D337FA">
        <w:rPr>
          <w:i/>
        </w:rPr>
        <w:t xml:space="preserve"> </w:t>
      </w:r>
      <w:r w:rsidRPr="00D337FA">
        <w:rPr>
          <w:i/>
        </w:rPr>
        <w:t>управления</w:t>
      </w:r>
      <w:r w:rsidR="006C680D" w:rsidRPr="00D337FA">
        <w:rPr>
          <w:i/>
        </w:rPr>
        <w:t xml:space="preserve"> </w:t>
      </w:r>
      <w:r w:rsidRPr="00D337FA">
        <w:rPr>
          <w:i/>
        </w:rPr>
        <w:t>процессом</w:t>
      </w:r>
      <w:r w:rsidR="006C680D" w:rsidRPr="00D337FA">
        <w:rPr>
          <w:i/>
        </w:rPr>
        <w:t xml:space="preserve"> </w:t>
      </w:r>
      <w:r w:rsidRPr="00D337FA">
        <w:rPr>
          <w:i/>
        </w:rPr>
        <w:t>формирования</w:t>
      </w:r>
      <w:r w:rsidR="006C680D" w:rsidRPr="00D337FA">
        <w:rPr>
          <w:i/>
        </w:rPr>
        <w:t xml:space="preserve"> </w:t>
      </w:r>
      <w:r w:rsidRPr="00D337FA">
        <w:rPr>
          <w:i/>
        </w:rPr>
        <w:t>конкурентных</w:t>
      </w:r>
      <w:r w:rsidR="006C680D" w:rsidRPr="00D337FA">
        <w:rPr>
          <w:i/>
        </w:rPr>
        <w:t xml:space="preserve"> </w:t>
      </w:r>
      <w:r w:rsidRPr="00D337FA">
        <w:rPr>
          <w:i/>
        </w:rPr>
        <w:t>преимуществ</w:t>
      </w:r>
      <w:r w:rsidR="006C680D" w:rsidRPr="00D337FA">
        <w:rPr>
          <w:i/>
        </w:rPr>
        <w:t xml:space="preserve"> </w:t>
      </w:r>
      <w:r w:rsidRPr="00D337FA">
        <w:rPr>
          <w:i/>
        </w:rPr>
        <w:t>на</w:t>
      </w:r>
      <w:r w:rsidR="006C680D" w:rsidRPr="00D337FA">
        <w:rPr>
          <w:i/>
        </w:rPr>
        <w:t xml:space="preserve"> </w:t>
      </w:r>
      <w:r w:rsidRPr="00D337FA">
        <w:rPr>
          <w:i/>
        </w:rPr>
        <w:t>рынке</w:t>
      </w:r>
      <w:r w:rsidR="006C680D" w:rsidRPr="00D337FA">
        <w:rPr>
          <w:i/>
        </w:rPr>
        <w:t xml:space="preserve"> </w:t>
      </w:r>
      <w:r w:rsidRPr="00D337FA">
        <w:rPr>
          <w:i/>
        </w:rPr>
        <w:t>страховых</w:t>
      </w:r>
      <w:r w:rsidR="006C680D" w:rsidRPr="00D337FA">
        <w:rPr>
          <w:i/>
        </w:rPr>
        <w:t xml:space="preserve"> </w:t>
      </w:r>
      <w:r w:rsidRPr="00D337FA">
        <w:rPr>
          <w:i/>
        </w:rPr>
        <w:t>услуг.</w:t>
      </w:r>
    </w:p>
    <w:p w:rsidR="00E56107" w:rsidRPr="00D337FA" w:rsidRDefault="00E56107" w:rsidP="00E56107">
      <w:pPr>
        <w:ind w:firstLine="0"/>
      </w:pPr>
    </w:p>
    <w:p w:rsidR="00E56107" w:rsidRPr="00D337FA" w:rsidRDefault="00E56107" w:rsidP="00E56107">
      <w:pPr>
        <w:ind w:firstLine="0"/>
      </w:pPr>
    </w:p>
    <w:p w:rsidR="00637EED" w:rsidRPr="00D337FA" w:rsidRDefault="00637EED" w:rsidP="00E56107">
      <w:pPr>
        <w:ind w:firstLine="0"/>
      </w:pPr>
    </w:p>
    <w:p w:rsidR="00637EED" w:rsidRPr="00D337FA" w:rsidRDefault="00637EED" w:rsidP="00E56107">
      <w:pPr>
        <w:ind w:firstLine="0"/>
      </w:pPr>
    </w:p>
    <w:p w:rsidR="00637EED" w:rsidRPr="00D337FA" w:rsidRDefault="00637EED" w:rsidP="00E56107">
      <w:pPr>
        <w:ind w:firstLine="0"/>
      </w:pPr>
    </w:p>
    <w:p w:rsidR="00637EED" w:rsidRPr="00D337FA" w:rsidRDefault="00637EED" w:rsidP="00E56107">
      <w:pPr>
        <w:ind w:firstLine="0"/>
      </w:pPr>
    </w:p>
    <w:p w:rsidR="00E56107" w:rsidRPr="00D337FA" w:rsidRDefault="00E56107" w:rsidP="00E56107">
      <w:pPr>
        <w:ind w:firstLine="0"/>
      </w:pPr>
    </w:p>
    <w:p w:rsidR="00E56107" w:rsidRPr="00D337FA" w:rsidRDefault="00E56107" w:rsidP="00E56107">
      <w:pPr>
        <w:ind w:firstLine="0"/>
        <w:sectPr w:rsidR="00E56107" w:rsidRPr="00D337FA" w:rsidSect="00E56107">
          <w:footnotePr>
            <w:numRestart w:val="eachPage"/>
          </w:footnotePr>
          <w:type w:val="continuous"/>
          <w:pgSz w:w="11907" w:h="16840" w:code="9"/>
          <w:pgMar w:top="1418" w:right="1134" w:bottom="1418" w:left="1134" w:header="1021" w:footer="1021" w:gutter="0"/>
          <w:cols w:num="2" w:space="708"/>
          <w:docGrid w:linePitch="360"/>
        </w:sectPr>
      </w:pPr>
    </w:p>
    <w:p w:rsidR="00EC45F1" w:rsidRPr="00D337FA" w:rsidRDefault="00EC45F1" w:rsidP="00EC45F1">
      <w:pPr>
        <w:ind w:firstLine="0"/>
        <w:rPr>
          <w:szCs w:val="24"/>
        </w:rPr>
      </w:pPr>
      <w:r w:rsidRPr="00D337FA">
        <w:rPr>
          <w:szCs w:val="24"/>
        </w:rPr>
        <w:lastRenderedPageBreak/>
        <w:t>Управление,</w:t>
      </w:r>
      <w:r w:rsidR="006C680D" w:rsidRPr="00D337FA">
        <w:rPr>
          <w:szCs w:val="24"/>
        </w:rPr>
        <w:t xml:space="preserve"> </w:t>
      </w:r>
      <w:r w:rsidRPr="00D337FA">
        <w:rPr>
          <w:szCs w:val="24"/>
        </w:rPr>
        <w:t>конкуренция,</w:t>
      </w:r>
      <w:r w:rsidR="006C680D" w:rsidRPr="00D337FA">
        <w:rPr>
          <w:szCs w:val="24"/>
        </w:rPr>
        <w:t xml:space="preserve"> </w:t>
      </w:r>
      <w:r w:rsidRPr="00D337FA">
        <w:rPr>
          <w:szCs w:val="24"/>
        </w:rPr>
        <w:t>инновации,</w:t>
      </w:r>
      <w:r w:rsidR="006C680D" w:rsidRPr="00D337FA">
        <w:rPr>
          <w:szCs w:val="24"/>
        </w:rPr>
        <w:t xml:space="preserve"> </w:t>
      </w:r>
      <w:r w:rsidRPr="00D337FA">
        <w:rPr>
          <w:szCs w:val="24"/>
        </w:rPr>
        <w:t>цифровизация,</w:t>
      </w:r>
      <w:r w:rsidR="006C680D" w:rsidRPr="00D337FA">
        <w:rPr>
          <w:szCs w:val="24"/>
        </w:rPr>
        <w:t xml:space="preserve"> </w:t>
      </w:r>
      <w:r w:rsidRPr="00D337FA">
        <w:rPr>
          <w:szCs w:val="24"/>
        </w:rPr>
        <w:t>рынок,</w:t>
      </w:r>
      <w:r w:rsidR="006C680D" w:rsidRPr="00D337FA">
        <w:rPr>
          <w:szCs w:val="24"/>
        </w:rPr>
        <w:t xml:space="preserve"> </w:t>
      </w:r>
      <w:r w:rsidRPr="00D337FA">
        <w:rPr>
          <w:szCs w:val="24"/>
        </w:rPr>
        <w:t>страхование,</w:t>
      </w:r>
      <w:r w:rsidR="006C680D" w:rsidRPr="00D337FA">
        <w:rPr>
          <w:szCs w:val="24"/>
        </w:rPr>
        <w:t xml:space="preserve"> </w:t>
      </w:r>
      <w:r w:rsidRPr="00D337FA">
        <w:rPr>
          <w:szCs w:val="24"/>
        </w:rPr>
        <w:t>эффективность,</w:t>
      </w:r>
      <w:r w:rsidR="006C680D" w:rsidRPr="00D337FA">
        <w:rPr>
          <w:szCs w:val="24"/>
        </w:rPr>
        <w:t xml:space="preserve"> </w:t>
      </w:r>
      <w:r w:rsidRPr="00D337FA">
        <w:rPr>
          <w:szCs w:val="24"/>
        </w:rPr>
        <w:t>диверсификация,</w:t>
      </w:r>
      <w:r w:rsidR="006C680D" w:rsidRPr="00D337FA">
        <w:rPr>
          <w:szCs w:val="24"/>
        </w:rPr>
        <w:t xml:space="preserve"> </w:t>
      </w:r>
      <w:r w:rsidRPr="00D337FA">
        <w:rPr>
          <w:szCs w:val="24"/>
        </w:rPr>
        <w:t>конкурентные</w:t>
      </w:r>
      <w:r w:rsidR="006C680D" w:rsidRPr="00D337FA">
        <w:rPr>
          <w:szCs w:val="24"/>
        </w:rPr>
        <w:t xml:space="preserve"> </w:t>
      </w:r>
      <w:r w:rsidR="008A5AE7">
        <w:rPr>
          <w:szCs w:val="24"/>
        </w:rPr>
        <w:t>преимущества</w:t>
      </w:r>
    </w:p>
    <w:p w:rsidR="00EC45F1" w:rsidRPr="00D337FA" w:rsidRDefault="00EC45F1" w:rsidP="00EC45F1">
      <w:pPr>
        <w:ind w:firstLine="0"/>
        <w:rPr>
          <w:rFonts w:ascii="Arial" w:hAnsi="Arial" w:cs="Arial"/>
          <w:i/>
          <w:sz w:val="22"/>
          <w:szCs w:val="22"/>
          <w:lang w:val="en-US"/>
        </w:rPr>
        <w:sectPr w:rsidR="00EC45F1" w:rsidRPr="00D337FA" w:rsidSect="00EC45F1">
          <w:footnotePr>
            <w:numRestart w:val="eachPage"/>
          </w:footnotePr>
          <w:type w:val="continuous"/>
          <w:pgSz w:w="11907" w:h="16840" w:code="9"/>
          <w:pgMar w:top="1418" w:right="1134" w:bottom="1418" w:left="1134" w:header="1021" w:footer="1021" w:gutter="0"/>
          <w:cols w:num="2" w:space="708"/>
          <w:docGrid w:linePitch="360"/>
        </w:sectPr>
      </w:pPr>
      <w:r w:rsidRPr="00D337FA">
        <w:rPr>
          <w:szCs w:val="24"/>
          <w:lang w:val="en-US"/>
        </w:rPr>
        <w:lastRenderedPageBreak/>
        <w:t>Management,</w:t>
      </w:r>
      <w:r w:rsidR="006C680D" w:rsidRPr="00D337FA">
        <w:rPr>
          <w:szCs w:val="24"/>
          <w:lang w:val="en-US"/>
        </w:rPr>
        <w:t xml:space="preserve"> </w:t>
      </w:r>
      <w:r w:rsidRPr="00D337FA">
        <w:rPr>
          <w:szCs w:val="24"/>
          <w:lang w:val="en-US"/>
        </w:rPr>
        <w:t>competition,</w:t>
      </w:r>
      <w:r w:rsidR="006C680D" w:rsidRPr="00D337FA">
        <w:rPr>
          <w:szCs w:val="24"/>
          <w:lang w:val="en-US"/>
        </w:rPr>
        <w:t xml:space="preserve"> </w:t>
      </w:r>
      <w:r w:rsidRPr="00D337FA">
        <w:rPr>
          <w:szCs w:val="24"/>
          <w:lang w:val="en-US"/>
        </w:rPr>
        <w:t>innovation,</w:t>
      </w:r>
      <w:r w:rsidR="006C680D" w:rsidRPr="00D337FA">
        <w:rPr>
          <w:szCs w:val="24"/>
          <w:lang w:val="en-US"/>
        </w:rPr>
        <w:t xml:space="preserve"> </w:t>
      </w:r>
      <w:r w:rsidRPr="00D337FA">
        <w:rPr>
          <w:szCs w:val="24"/>
          <w:lang w:val="en-US"/>
        </w:rPr>
        <w:t>digitalization,</w:t>
      </w:r>
      <w:r w:rsidR="006C680D" w:rsidRPr="00D337FA">
        <w:rPr>
          <w:szCs w:val="24"/>
          <w:lang w:val="en-US"/>
        </w:rPr>
        <w:t xml:space="preserve"> </w:t>
      </w:r>
      <w:r w:rsidRPr="00D337FA">
        <w:rPr>
          <w:szCs w:val="24"/>
          <w:lang w:val="en-US"/>
        </w:rPr>
        <w:t>market,</w:t>
      </w:r>
      <w:r w:rsidR="006C680D" w:rsidRPr="00D337FA">
        <w:rPr>
          <w:szCs w:val="24"/>
          <w:lang w:val="en-US"/>
        </w:rPr>
        <w:t xml:space="preserve"> </w:t>
      </w:r>
      <w:r w:rsidRPr="00D337FA">
        <w:rPr>
          <w:szCs w:val="24"/>
          <w:lang w:val="en-US"/>
        </w:rPr>
        <w:t>insurance,</w:t>
      </w:r>
      <w:r w:rsidR="006C680D" w:rsidRPr="00D337FA">
        <w:rPr>
          <w:szCs w:val="24"/>
          <w:lang w:val="en-US"/>
        </w:rPr>
        <w:t xml:space="preserve"> </w:t>
      </w:r>
      <w:r w:rsidRPr="00D337FA">
        <w:rPr>
          <w:szCs w:val="24"/>
          <w:lang w:val="en-US"/>
        </w:rPr>
        <w:t>efficiency,</w:t>
      </w:r>
      <w:r w:rsidR="006C680D" w:rsidRPr="00D337FA">
        <w:rPr>
          <w:szCs w:val="24"/>
          <w:lang w:val="en-US"/>
        </w:rPr>
        <w:t xml:space="preserve"> </w:t>
      </w:r>
      <w:r w:rsidRPr="00D337FA">
        <w:rPr>
          <w:szCs w:val="24"/>
          <w:lang w:val="en-US"/>
        </w:rPr>
        <w:t>diversification,</w:t>
      </w:r>
      <w:r w:rsidR="006C680D" w:rsidRPr="00D337FA">
        <w:rPr>
          <w:szCs w:val="24"/>
          <w:lang w:val="en-US"/>
        </w:rPr>
        <w:t xml:space="preserve"> </w:t>
      </w:r>
      <w:r w:rsidRPr="00D337FA">
        <w:rPr>
          <w:szCs w:val="24"/>
          <w:lang w:val="en-US"/>
        </w:rPr>
        <w:t>competitive</w:t>
      </w:r>
      <w:r w:rsidR="006C680D" w:rsidRPr="00D337FA">
        <w:rPr>
          <w:szCs w:val="24"/>
          <w:lang w:val="en-US"/>
        </w:rPr>
        <w:t xml:space="preserve"> </w:t>
      </w:r>
      <w:r w:rsidR="008A5AE7">
        <w:rPr>
          <w:szCs w:val="24"/>
          <w:lang w:val="en-US"/>
        </w:rPr>
        <w:t>advantages</w:t>
      </w:r>
    </w:p>
    <w:p w:rsidR="00E56107" w:rsidRPr="00D337FA" w:rsidRDefault="00E56107" w:rsidP="00EC45F1">
      <w:pPr>
        <w:ind w:firstLine="142"/>
        <w:rPr>
          <w:rFonts w:ascii="Arial" w:hAnsi="Arial" w:cs="Arial"/>
          <w:i/>
          <w:sz w:val="22"/>
          <w:szCs w:val="22"/>
          <w:lang w:val="en-US"/>
        </w:rPr>
      </w:pPr>
    </w:p>
    <w:p w:rsidR="00EC45F1" w:rsidRPr="00D337FA" w:rsidRDefault="00EC45F1" w:rsidP="00EC45F1">
      <w:pPr>
        <w:ind w:firstLine="142"/>
        <w:rPr>
          <w:rFonts w:ascii="Arial" w:hAnsi="Arial" w:cs="Arial"/>
          <w:i/>
          <w:sz w:val="22"/>
          <w:szCs w:val="22"/>
          <w:lang w:val="en-US"/>
        </w:rPr>
      </w:pPr>
    </w:p>
    <w:p w:rsidR="00FE1553" w:rsidRPr="00D337FA" w:rsidRDefault="00FE1553" w:rsidP="00FE1553">
      <w:pPr>
        <w:ind w:firstLine="284"/>
        <w:rPr>
          <w:b/>
          <w:lang w:val="en-US"/>
        </w:rPr>
        <w:sectPr w:rsidR="00FE1553"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EC45F1" w:rsidRPr="00D337FA" w:rsidRDefault="00EC45F1" w:rsidP="000C1FE6">
      <w:pPr>
        <w:tabs>
          <w:tab w:val="left" w:pos="993"/>
        </w:tabs>
        <w:ind w:firstLine="284"/>
        <w:rPr>
          <w:b/>
        </w:rPr>
      </w:pPr>
      <w:bookmarkStart w:id="2" w:name="_Hlk219924925"/>
      <w:r w:rsidRPr="00D337FA">
        <w:rPr>
          <w:b/>
        </w:rPr>
        <w:lastRenderedPageBreak/>
        <w:t>Введение</w:t>
      </w:r>
    </w:p>
    <w:bookmarkEnd w:id="2"/>
    <w:p w:rsidR="00EC45F1" w:rsidRPr="00D337FA" w:rsidRDefault="00EC45F1" w:rsidP="000C1FE6">
      <w:pPr>
        <w:tabs>
          <w:tab w:val="left" w:pos="993"/>
        </w:tabs>
        <w:ind w:firstLine="284"/>
      </w:pPr>
      <w:r w:rsidRPr="00D337FA">
        <w:t>Фундамент</w:t>
      </w:r>
      <w:r w:rsidR="006C680D" w:rsidRPr="00D337FA">
        <w:t xml:space="preserve"> </w:t>
      </w:r>
      <w:r w:rsidRPr="00D337FA">
        <w:t>устойчивого</w:t>
      </w:r>
      <w:r w:rsidR="006C680D" w:rsidRPr="00D337FA">
        <w:t xml:space="preserve"> </w:t>
      </w:r>
      <w:r w:rsidRPr="00D337FA">
        <w:t>роста</w:t>
      </w:r>
      <w:r w:rsidR="006C680D" w:rsidRPr="00D337FA">
        <w:t xml:space="preserve"> </w:t>
      </w:r>
      <w:r w:rsidRPr="00D337FA">
        <w:t>и</w:t>
      </w:r>
      <w:r w:rsidR="006C680D" w:rsidRPr="00D337FA">
        <w:t xml:space="preserve"> </w:t>
      </w:r>
      <w:r w:rsidRPr="00D337FA">
        <w:t>доминирующих</w:t>
      </w:r>
      <w:r w:rsidR="006C680D" w:rsidRPr="00D337FA">
        <w:t xml:space="preserve"> </w:t>
      </w:r>
      <w:r w:rsidRPr="00D337FA">
        <w:t>позиций</w:t>
      </w:r>
      <w:r w:rsidR="006C680D" w:rsidRPr="00D337FA">
        <w:t xml:space="preserve"> </w:t>
      </w:r>
      <w:r w:rsidRPr="00D337FA">
        <w:t>субъектов</w:t>
      </w:r>
      <w:r w:rsidR="006C680D" w:rsidRPr="00D337FA">
        <w:t xml:space="preserve"> </w:t>
      </w:r>
      <w:r w:rsidRPr="00D337FA">
        <w:t>отечественного</w:t>
      </w:r>
      <w:r w:rsidR="006C680D" w:rsidRPr="00D337FA">
        <w:t xml:space="preserve"> </w:t>
      </w:r>
      <w:r w:rsidRPr="00D337FA">
        <w:t>страхового</w:t>
      </w:r>
      <w:r w:rsidR="006C680D" w:rsidRPr="00D337FA">
        <w:t xml:space="preserve"> </w:t>
      </w:r>
      <w:r w:rsidRPr="00D337FA">
        <w:t>рынка</w:t>
      </w:r>
      <w:r w:rsidR="006C680D" w:rsidRPr="00D337FA">
        <w:t xml:space="preserve"> </w:t>
      </w:r>
      <w:r w:rsidRPr="00D337FA">
        <w:t>образует</w:t>
      </w:r>
      <w:r w:rsidR="006C680D" w:rsidRPr="00D337FA">
        <w:t xml:space="preserve"> </w:t>
      </w:r>
      <w:r w:rsidRPr="00D337FA">
        <w:t>совокупность</w:t>
      </w:r>
      <w:r w:rsidR="006C680D" w:rsidRPr="00D337FA">
        <w:t xml:space="preserve"> </w:t>
      </w:r>
      <w:r w:rsidRPr="00D337FA">
        <w:t>ключевых</w:t>
      </w:r>
      <w:r w:rsidR="006C680D" w:rsidRPr="00D337FA">
        <w:t xml:space="preserve"> </w:t>
      </w:r>
      <w:r w:rsidRPr="00D337FA">
        <w:t>конкурентных</w:t>
      </w:r>
      <w:r w:rsidR="006C680D" w:rsidRPr="00D337FA">
        <w:t xml:space="preserve"> </w:t>
      </w:r>
      <w:r w:rsidRPr="00D337FA">
        <w:t>метрик,</w:t>
      </w:r>
      <w:r w:rsidR="006C680D" w:rsidRPr="00D337FA">
        <w:t xml:space="preserve"> </w:t>
      </w:r>
      <w:r w:rsidRPr="00D337FA">
        <w:t>среди</w:t>
      </w:r>
      <w:r w:rsidR="006C680D" w:rsidRPr="00D337FA">
        <w:t xml:space="preserve"> </w:t>
      </w:r>
      <w:r w:rsidRPr="00D337FA">
        <w:t>которых</w:t>
      </w:r>
      <w:r w:rsidR="006C680D" w:rsidRPr="00D337FA">
        <w:t xml:space="preserve"> </w:t>
      </w:r>
      <w:r w:rsidRPr="00D337FA">
        <w:t>приоритетное</w:t>
      </w:r>
      <w:r w:rsidR="006C680D" w:rsidRPr="00D337FA">
        <w:t xml:space="preserve"> </w:t>
      </w:r>
      <w:r w:rsidRPr="00D337FA">
        <w:t>значение</w:t>
      </w:r>
      <w:r w:rsidR="006C680D" w:rsidRPr="00D337FA">
        <w:t xml:space="preserve"> </w:t>
      </w:r>
      <w:r w:rsidRPr="00D337FA">
        <w:t>имеют</w:t>
      </w:r>
      <w:r w:rsidR="006C680D" w:rsidRPr="00D337FA">
        <w:t xml:space="preserve"> </w:t>
      </w:r>
      <w:r w:rsidRPr="00D337FA">
        <w:t>финансовая</w:t>
      </w:r>
      <w:r w:rsidR="006C680D" w:rsidRPr="00D337FA">
        <w:t xml:space="preserve"> </w:t>
      </w:r>
      <w:r w:rsidRPr="00D337FA">
        <w:t>резистентность,</w:t>
      </w:r>
      <w:r w:rsidR="006C680D" w:rsidRPr="00D337FA">
        <w:t xml:space="preserve"> </w:t>
      </w:r>
      <w:r w:rsidRPr="00D337FA">
        <w:t>безупречный</w:t>
      </w:r>
      <w:r w:rsidR="006C680D" w:rsidRPr="00D337FA">
        <w:t xml:space="preserve"> </w:t>
      </w:r>
      <w:r w:rsidRPr="00D337FA">
        <w:t>деловой</w:t>
      </w:r>
      <w:r w:rsidR="006C680D" w:rsidRPr="00D337FA">
        <w:t xml:space="preserve"> </w:t>
      </w:r>
      <w:r w:rsidRPr="00D337FA">
        <w:t>реноме,</w:t>
      </w:r>
      <w:r w:rsidR="006C680D" w:rsidRPr="00D337FA">
        <w:t xml:space="preserve"> </w:t>
      </w:r>
      <w:r w:rsidRPr="00D337FA">
        <w:t>диверсифицированный</w:t>
      </w:r>
      <w:r w:rsidR="006C680D" w:rsidRPr="00D337FA">
        <w:t xml:space="preserve"> </w:t>
      </w:r>
      <w:r w:rsidRPr="00D337FA">
        <w:t>портфель</w:t>
      </w:r>
      <w:r w:rsidR="006C680D" w:rsidRPr="00D337FA">
        <w:t xml:space="preserve"> </w:t>
      </w:r>
      <w:r w:rsidRPr="00D337FA">
        <w:t>страховых</w:t>
      </w:r>
      <w:r w:rsidR="006C680D" w:rsidRPr="00D337FA">
        <w:t xml:space="preserve"> </w:t>
      </w:r>
      <w:r w:rsidRPr="00D337FA">
        <w:t>продуктов,</w:t>
      </w:r>
      <w:r w:rsidR="006C680D" w:rsidRPr="00D337FA">
        <w:t xml:space="preserve"> </w:t>
      </w:r>
      <w:r w:rsidRPr="00D337FA">
        <w:t>инкорпорирование</w:t>
      </w:r>
      <w:r w:rsidR="006C680D" w:rsidRPr="00D337FA">
        <w:t xml:space="preserve"> </w:t>
      </w:r>
      <w:r w:rsidRPr="00D337FA">
        <w:t>передовых</w:t>
      </w:r>
      <w:r w:rsidR="006C680D" w:rsidRPr="00D337FA">
        <w:t xml:space="preserve"> </w:t>
      </w:r>
      <w:r w:rsidRPr="00D337FA">
        <w:t>клиентоориентированных</w:t>
      </w:r>
      <w:r w:rsidR="006C680D" w:rsidRPr="00D337FA">
        <w:t xml:space="preserve"> </w:t>
      </w:r>
      <w:r w:rsidRPr="00D337FA">
        <w:t>технологий,</w:t>
      </w:r>
      <w:r w:rsidR="006C680D" w:rsidRPr="00D337FA">
        <w:t xml:space="preserve"> </w:t>
      </w:r>
      <w:r w:rsidRPr="00D337FA">
        <w:t>а</w:t>
      </w:r>
      <w:r w:rsidR="006C680D" w:rsidRPr="00D337FA">
        <w:t xml:space="preserve"> </w:t>
      </w:r>
      <w:r w:rsidRPr="00D337FA">
        <w:t>также</w:t>
      </w:r>
      <w:r w:rsidR="006C680D" w:rsidRPr="00D337FA">
        <w:t xml:space="preserve"> </w:t>
      </w:r>
      <w:r w:rsidRPr="00D337FA">
        <w:t>безупречная</w:t>
      </w:r>
      <w:r w:rsidR="006C680D" w:rsidRPr="00D337FA">
        <w:t xml:space="preserve"> </w:t>
      </w:r>
      <w:r w:rsidRPr="00D337FA">
        <w:t>архитектура</w:t>
      </w:r>
      <w:r w:rsidR="006C680D" w:rsidRPr="00D337FA">
        <w:t xml:space="preserve"> </w:t>
      </w:r>
      <w:r w:rsidRPr="00D337FA">
        <w:t>риск-менеджмента.</w:t>
      </w:r>
      <w:r w:rsidR="006C680D" w:rsidRPr="00D337FA">
        <w:t xml:space="preserve"> </w:t>
      </w:r>
      <w:r w:rsidRPr="00D337FA">
        <w:t>В</w:t>
      </w:r>
      <w:r w:rsidR="006C680D" w:rsidRPr="00D337FA">
        <w:t xml:space="preserve"> </w:t>
      </w:r>
      <w:r w:rsidRPr="00D337FA">
        <w:t>условиях</w:t>
      </w:r>
      <w:r w:rsidR="006C680D" w:rsidRPr="00D337FA">
        <w:t xml:space="preserve"> </w:t>
      </w:r>
      <w:r w:rsidRPr="00D337FA">
        <w:t>макроэкономической</w:t>
      </w:r>
      <w:r w:rsidR="006C680D" w:rsidRPr="00D337FA">
        <w:t xml:space="preserve"> </w:t>
      </w:r>
      <w:r w:rsidRPr="00D337FA">
        <w:t>волатильности</w:t>
      </w:r>
      <w:r w:rsidR="006C680D" w:rsidRPr="00D337FA">
        <w:t xml:space="preserve"> </w:t>
      </w:r>
      <w:r w:rsidRPr="00D337FA">
        <w:t>и</w:t>
      </w:r>
      <w:r w:rsidR="006C680D" w:rsidRPr="00D337FA">
        <w:t xml:space="preserve"> </w:t>
      </w:r>
      <w:r w:rsidRPr="00D337FA">
        <w:t>эскалации</w:t>
      </w:r>
      <w:r w:rsidR="006C680D" w:rsidRPr="00D337FA">
        <w:t xml:space="preserve"> </w:t>
      </w:r>
      <w:r w:rsidRPr="00D337FA">
        <w:t>деструктивных</w:t>
      </w:r>
      <w:r w:rsidR="006C680D" w:rsidRPr="00D337FA">
        <w:t xml:space="preserve"> </w:t>
      </w:r>
      <w:r w:rsidRPr="00D337FA">
        <w:t>экзогенных</w:t>
      </w:r>
      <w:r w:rsidR="006C680D" w:rsidRPr="00D337FA">
        <w:t xml:space="preserve"> </w:t>
      </w:r>
      <w:r w:rsidRPr="00D337FA">
        <w:t>факторов</w:t>
      </w:r>
      <w:r w:rsidR="006C680D" w:rsidRPr="00D337FA">
        <w:t xml:space="preserve"> </w:t>
      </w:r>
      <w:r w:rsidRPr="00D337FA">
        <w:t>детерминантой</w:t>
      </w:r>
      <w:r w:rsidR="006C680D" w:rsidRPr="00D337FA">
        <w:t xml:space="preserve"> </w:t>
      </w:r>
      <w:r w:rsidRPr="00D337FA">
        <w:t>успеха</w:t>
      </w:r>
      <w:r w:rsidR="006C680D" w:rsidRPr="00D337FA">
        <w:t xml:space="preserve"> </w:t>
      </w:r>
      <w:r w:rsidRPr="00D337FA">
        <w:t>выступают</w:t>
      </w:r>
      <w:r w:rsidR="006C680D" w:rsidRPr="00D337FA">
        <w:t xml:space="preserve"> </w:t>
      </w:r>
      <w:r w:rsidRPr="00D337FA">
        <w:t>не</w:t>
      </w:r>
      <w:r w:rsidR="006C680D" w:rsidRPr="00D337FA">
        <w:t xml:space="preserve"> </w:t>
      </w:r>
      <w:r w:rsidRPr="00D337FA">
        <w:t>столько</w:t>
      </w:r>
      <w:r w:rsidR="006C680D" w:rsidRPr="00D337FA">
        <w:t xml:space="preserve"> </w:t>
      </w:r>
      <w:r w:rsidRPr="00D337FA">
        <w:t>объемы</w:t>
      </w:r>
      <w:r w:rsidR="006C680D" w:rsidRPr="00D337FA">
        <w:t xml:space="preserve"> </w:t>
      </w:r>
      <w:r w:rsidRPr="00D337FA">
        <w:t>капитализации,</w:t>
      </w:r>
      <w:r w:rsidR="006C680D" w:rsidRPr="00D337FA">
        <w:t xml:space="preserve"> </w:t>
      </w:r>
      <w:r w:rsidRPr="00D337FA">
        <w:t>сколько</w:t>
      </w:r>
      <w:r w:rsidR="006C680D" w:rsidRPr="00D337FA">
        <w:t xml:space="preserve"> </w:t>
      </w:r>
      <w:r w:rsidRPr="00D337FA">
        <w:t>специфические</w:t>
      </w:r>
      <w:r w:rsidR="006C680D" w:rsidRPr="00D337FA">
        <w:t xml:space="preserve"> </w:t>
      </w:r>
      <w:r w:rsidRPr="00D337FA">
        <w:t>конкурентные</w:t>
      </w:r>
      <w:r w:rsidR="006C680D" w:rsidRPr="00D337FA">
        <w:t xml:space="preserve"> </w:t>
      </w:r>
      <w:r w:rsidRPr="00D337FA">
        <w:t>преимущества,</w:t>
      </w:r>
      <w:r w:rsidR="006C680D" w:rsidRPr="00D337FA">
        <w:t xml:space="preserve"> </w:t>
      </w:r>
      <w:r w:rsidRPr="00D337FA">
        <w:t>подразделяющиеся</w:t>
      </w:r>
      <w:r w:rsidR="006C680D" w:rsidRPr="00D337FA">
        <w:t xml:space="preserve"> </w:t>
      </w:r>
      <w:r w:rsidRPr="00D337FA">
        <w:t>на</w:t>
      </w:r>
      <w:r w:rsidR="006C680D" w:rsidRPr="00D337FA">
        <w:t xml:space="preserve"> </w:t>
      </w:r>
      <w:r w:rsidRPr="00D337FA">
        <w:t>стратегические</w:t>
      </w:r>
      <w:r w:rsidR="006C680D" w:rsidRPr="00D337FA">
        <w:t xml:space="preserve"> </w:t>
      </w:r>
      <w:r w:rsidRPr="00D337FA">
        <w:t>(формирующие</w:t>
      </w:r>
      <w:r w:rsidR="006C680D" w:rsidRPr="00D337FA">
        <w:t xml:space="preserve"> </w:t>
      </w:r>
      <w:r w:rsidRPr="00D337FA">
        <w:t>долгосрочный</w:t>
      </w:r>
      <w:r w:rsidR="006C680D" w:rsidRPr="00D337FA">
        <w:t xml:space="preserve"> </w:t>
      </w:r>
      <w:r w:rsidRPr="00D337FA">
        <w:t>вектор</w:t>
      </w:r>
      <w:r w:rsidR="006C680D" w:rsidRPr="00D337FA">
        <w:t xml:space="preserve"> </w:t>
      </w:r>
      <w:r w:rsidRPr="00D337FA">
        <w:t>развития)</w:t>
      </w:r>
      <w:r w:rsidR="006C680D" w:rsidRPr="00D337FA">
        <w:t xml:space="preserve"> </w:t>
      </w:r>
      <w:r w:rsidRPr="00D337FA">
        <w:t>и</w:t>
      </w:r>
      <w:r w:rsidR="006C680D" w:rsidRPr="00D337FA">
        <w:t xml:space="preserve"> </w:t>
      </w:r>
      <w:r w:rsidRPr="00D337FA">
        <w:t>операцион</w:t>
      </w:r>
      <w:r w:rsidR="00E44098">
        <w:t>нные</w:t>
      </w:r>
      <w:r w:rsidR="006C680D" w:rsidRPr="00D337FA">
        <w:t xml:space="preserve"> </w:t>
      </w:r>
      <w:r w:rsidRPr="00D337FA">
        <w:t>(обеспечивающие</w:t>
      </w:r>
      <w:r w:rsidR="006C680D" w:rsidRPr="00D337FA">
        <w:t xml:space="preserve"> </w:t>
      </w:r>
      <w:r w:rsidRPr="00D337FA">
        <w:t>тактическую</w:t>
      </w:r>
      <w:r w:rsidR="006C680D" w:rsidRPr="00D337FA">
        <w:t xml:space="preserve"> </w:t>
      </w:r>
      <w:r w:rsidRPr="00D337FA">
        <w:t>эффективность</w:t>
      </w:r>
      <w:r w:rsidR="006C680D" w:rsidRPr="00D337FA">
        <w:t xml:space="preserve"> </w:t>
      </w:r>
      <w:r w:rsidRPr="00D337FA">
        <w:t>бизнес-процессов).</w:t>
      </w:r>
    </w:p>
    <w:p w:rsidR="00EC45F1" w:rsidRPr="00D337FA" w:rsidRDefault="00EC45F1" w:rsidP="000C1FE6">
      <w:pPr>
        <w:tabs>
          <w:tab w:val="left" w:pos="993"/>
        </w:tabs>
        <w:ind w:firstLine="284"/>
      </w:pPr>
      <w:r w:rsidRPr="00D337FA">
        <w:t>Современная</w:t>
      </w:r>
      <w:r w:rsidR="006C680D" w:rsidRPr="00D337FA">
        <w:t xml:space="preserve"> </w:t>
      </w:r>
      <w:r w:rsidRPr="00D337FA">
        <w:t>парадигма</w:t>
      </w:r>
      <w:r w:rsidR="006C680D" w:rsidRPr="00D337FA">
        <w:t xml:space="preserve"> </w:t>
      </w:r>
      <w:r w:rsidRPr="00D337FA">
        <w:t>развития</w:t>
      </w:r>
      <w:r w:rsidR="006C680D" w:rsidRPr="00D337FA">
        <w:t xml:space="preserve"> </w:t>
      </w:r>
      <w:r w:rsidRPr="00D337FA">
        <w:t>российского</w:t>
      </w:r>
      <w:r w:rsidR="006C680D" w:rsidRPr="00D337FA">
        <w:t xml:space="preserve"> </w:t>
      </w:r>
      <w:r w:rsidRPr="00D337FA">
        <w:t>страхового</w:t>
      </w:r>
      <w:r w:rsidR="006C680D" w:rsidRPr="00D337FA">
        <w:t xml:space="preserve"> </w:t>
      </w:r>
      <w:r w:rsidRPr="00D337FA">
        <w:t>бизнеса</w:t>
      </w:r>
      <w:r w:rsidR="006C680D" w:rsidRPr="00D337FA">
        <w:t xml:space="preserve"> </w:t>
      </w:r>
      <w:r w:rsidRPr="00D337FA">
        <w:t>базируется</w:t>
      </w:r>
      <w:r w:rsidR="006C680D" w:rsidRPr="00D337FA">
        <w:t xml:space="preserve"> </w:t>
      </w:r>
      <w:r w:rsidRPr="00D337FA">
        <w:t>на</w:t>
      </w:r>
      <w:r w:rsidR="006C680D" w:rsidRPr="00D337FA">
        <w:t xml:space="preserve"> </w:t>
      </w:r>
      <w:r w:rsidRPr="00D337FA">
        <w:t>конвергенции</w:t>
      </w:r>
      <w:r w:rsidR="006C680D" w:rsidRPr="00D337FA">
        <w:t xml:space="preserve"> </w:t>
      </w:r>
      <w:r w:rsidRPr="00D337FA">
        <w:t>углубленной</w:t>
      </w:r>
      <w:r w:rsidR="006C680D" w:rsidRPr="00D337FA">
        <w:t xml:space="preserve"> </w:t>
      </w:r>
      <w:r w:rsidRPr="00D337FA">
        <w:t>регуляторной</w:t>
      </w:r>
      <w:r w:rsidR="006C680D" w:rsidRPr="00D337FA">
        <w:t xml:space="preserve"> </w:t>
      </w:r>
      <w:r w:rsidRPr="00D337FA">
        <w:t>и</w:t>
      </w:r>
      <w:r w:rsidR="006C680D" w:rsidRPr="00D337FA">
        <w:t xml:space="preserve"> </w:t>
      </w:r>
      <w:r w:rsidRPr="00D337FA">
        <w:t>актуарной</w:t>
      </w:r>
      <w:r w:rsidR="006C680D" w:rsidRPr="00D337FA">
        <w:t xml:space="preserve"> </w:t>
      </w:r>
      <w:r w:rsidRPr="00D337FA">
        <w:t>экспертизы</w:t>
      </w:r>
      <w:r w:rsidR="006C680D" w:rsidRPr="00D337FA">
        <w:t xml:space="preserve"> </w:t>
      </w:r>
      <w:r w:rsidRPr="00D337FA">
        <w:t>с</w:t>
      </w:r>
      <w:r w:rsidR="006C680D" w:rsidRPr="00D337FA">
        <w:t xml:space="preserve"> </w:t>
      </w:r>
      <w:r w:rsidRPr="00D337FA">
        <w:t>инновационными</w:t>
      </w:r>
      <w:r w:rsidR="006C680D" w:rsidRPr="00D337FA">
        <w:t xml:space="preserve"> </w:t>
      </w:r>
      <w:r w:rsidRPr="00D337FA">
        <w:t>цифровыми</w:t>
      </w:r>
      <w:r w:rsidR="006C680D" w:rsidRPr="00D337FA">
        <w:t xml:space="preserve"> </w:t>
      </w:r>
      <w:r w:rsidRPr="00D337FA">
        <w:t>решениями,</w:t>
      </w:r>
      <w:r w:rsidR="006C680D" w:rsidRPr="00D337FA">
        <w:t xml:space="preserve"> </w:t>
      </w:r>
      <w:r w:rsidRPr="00D337FA">
        <w:t>результатом</w:t>
      </w:r>
      <w:r w:rsidR="006C680D" w:rsidRPr="00D337FA">
        <w:t xml:space="preserve"> </w:t>
      </w:r>
      <w:r w:rsidRPr="00D337FA">
        <w:t>которой</w:t>
      </w:r>
      <w:r w:rsidR="006C680D" w:rsidRPr="00D337FA">
        <w:t xml:space="preserve"> </w:t>
      </w:r>
      <w:r w:rsidRPr="00D337FA">
        <w:t>является</w:t>
      </w:r>
      <w:r w:rsidR="006C680D" w:rsidRPr="00D337FA">
        <w:t xml:space="preserve"> </w:t>
      </w:r>
      <w:r w:rsidRPr="00D337FA">
        <w:t>оптимизированный</w:t>
      </w:r>
      <w:r w:rsidR="006C680D" w:rsidRPr="00D337FA">
        <w:t xml:space="preserve"> </w:t>
      </w:r>
      <w:r w:rsidRPr="00D337FA">
        <w:t>клиентский</w:t>
      </w:r>
      <w:r w:rsidR="006C680D" w:rsidRPr="00D337FA">
        <w:t xml:space="preserve"> </w:t>
      </w:r>
      <w:r w:rsidRPr="00D337FA">
        <w:t>профиль.</w:t>
      </w:r>
      <w:r w:rsidR="006C680D" w:rsidRPr="00D337FA">
        <w:t xml:space="preserve"> </w:t>
      </w:r>
      <w:r w:rsidRPr="00D337FA">
        <w:t>Наблюдается</w:t>
      </w:r>
      <w:r w:rsidR="006C680D" w:rsidRPr="00D337FA">
        <w:t xml:space="preserve"> </w:t>
      </w:r>
      <w:r w:rsidRPr="00D337FA">
        <w:t>поступательная</w:t>
      </w:r>
      <w:r w:rsidR="006C680D" w:rsidRPr="00D337FA">
        <w:t xml:space="preserve"> </w:t>
      </w:r>
      <w:r w:rsidRPr="00D337FA">
        <w:t>трансформация</w:t>
      </w:r>
      <w:r w:rsidR="006C680D" w:rsidRPr="00D337FA">
        <w:t xml:space="preserve"> </w:t>
      </w:r>
      <w:r w:rsidRPr="00D337FA">
        <w:t>рыночной</w:t>
      </w:r>
      <w:r w:rsidR="006C680D" w:rsidRPr="00D337FA">
        <w:t xml:space="preserve"> </w:t>
      </w:r>
      <w:r w:rsidRPr="00D337FA">
        <w:t>модели:</w:t>
      </w:r>
      <w:r w:rsidR="006C680D" w:rsidRPr="00D337FA">
        <w:t xml:space="preserve"> </w:t>
      </w:r>
      <w:r w:rsidRPr="00D337FA">
        <w:t>вектор</w:t>
      </w:r>
      <w:r w:rsidR="006C680D" w:rsidRPr="00D337FA">
        <w:t xml:space="preserve"> </w:t>
      </w:r>
      <w:r w:rsidRPr="00D337FA">
        <w:t>смещается</w:t>
      </w:r>
      <w:r w:rsidR="006C680D" w:rsidRPr="00D337FA">
        <w:t xml:space="preserve"> </w:t>
      </w:r>
      <w:r w:rsidRPr="00D337FA">
        <w:t>от</w:t>
      </w:r>
      <w:r w:rsidR="006C680D" w:rsidRPr="00D337FA">
        <w:t xml:space="preserve"> </w:t>
      </w:r>
      <w:r w:rsidRPr="00D337FA">
        <w:t>транзакционной</w:t>
      </w:r>
      <w:r w:rsidR="006C680D" w:rsidRPr="00D337FA">
        <w:t xml:space="preserve"> </w:t>
      </w:r>
      <w:r w:rsidRPr="00D337FA">
        <w:t>логики</w:t>
      </w:r>
      <w:r w:rsidR="006C680D" w:rsidRPr="00D337FA">
        <w:t xml:space="preserve"> </w:t>
      </w:r>
      <w:r w:rsidRPr="00D337FA">
        <w:t>«реализации</w:t>
      </w:r>
      <w:r w:rsidR="006C680D" w:rsidRPr="00D337FA">
        <w:t xml:space="preserve"> </w:t>
      </w:r>
      <w:r w:rsidRPr="00D337FA">
        <w:t>полиса»</w:t>
      </w:r>
      <w:r w:rsidR="006C680D" w:rsidRPr="00D337FA">
        <w:t xml:space="preserve"> </w:t>
      </w:r>
      <w:r w:rsidRPr="00D337FA">
        <w:t>к</w:t>
      </w:r>
      <w:r w:rsidR="006C680D" w:rsidRPr="00D337FA">
        <w:t xml:space="preserve"> </w:t>
      </w:r>
      <w:r w:rsidRPr="00D337FA">
        <w:t>комплексному</w:t>
      </w:r>
      <w:r w:rsidR="006C680D" w:rsidRPr="00D337FA">
        <w:t xml:space="preserve"> </w:t>
      </w:r>
      <w:r w:rsidRPr="00D337FA">
        <w:t>управлению</w:t>
      </w:r>
      <w:r w:rsidR="006C680D" w:rsidRPr="00D337FA">
        <w:t xml:space="preserve"> </w:t>
      </w:r>
      <w:r w:rsidRPr="00D337FA">
        <w:t>рисками</w:t>
      </w:r>
      <w:r w:rsidR="006C680D" w:rsidRPr="00D337FA">
        <w:t xml:space="preserve"> </w:t>
      </w:r>
      <w:r w:rsidRPr="00D337FA">
        <w:t>и</w:t>
      </w:r>
      <w:r w:rsidR="006C680D" w:rsidRPr="00D337FA">
        <w:t xml:space="preserve"> </w:t>
      </w:r>
      <w:r w:rsidRPr="00D337FA">
        <w:t>тотальному</w:t>
      </w:r>
      <w:r w:rsidR="006C680D" w:rsidRPr="00D337FA">
        <w:t xml:space="preserve"> </w:t>
      </w:r>
      <w:r w:rsidRPr="00D337FA">
        <w:t>сопровождению</w:t>
      </w:r>
      <w:r w:rsidR="006C680D" w:rsidRPr="00D337FA">
        <w:t xml:space="preserve"> </w:t>
      </w:r>
      <w:r w:rsidRPr="00D337FA">
        <w:t>жизненных</w:t>
      </w:r>
      <w:r w:rsidR="006C680D" w:rsidRPr="00D337FA">
        <w:t xml:space="preserve"> </w:t>
      </w:r>
      <w:r w:rsidRPr="00D337FA">
        <w:t>сценариев</w:t>
      </w:r>
      <w:r w:rsidR="006C680D" w:rsidRPr="00D337FA">
        <w:t xml:space="preserve"> </w:t>
      </w:r>
      <w:r w:rsidRPr="00D337FA">
        <w:t>клиента.</w:t>
      </w:r>
      <w:r w:rsidR="006C680D" w:rsidRPr="00D337FA">
        <w:t xml:space="preserve"> </w:t>
      </w:r>
      <w:r w:rsidRPr="00D337FA">
        <w:t>В</w:t>
      </w:r>
      <w:r w:rsidR="006C680D" w:rsidRPr="00D337FA">
        <w:t xml:space="preserve"> </w:t>
      </w:r>
      <w:r w:rsidRPr="00D337FA">
        <w:t>связи</w:t>
      </w:r>
      <w:r w:rsidR="006C680D" w:rsidRPr="00D337FA">
        <w:t xml:space="preserve"> </w:t>
      </w:r>
      <w:r w:rsidRPr="00D337FA">
        <w:t>с</w:t>
      </w:r>
      <w:r w:rsidR="006C680D" w:rsidRPr="00D337FA">
        <w:t xml:space="preserve"> </w:t>
      </w:r>
      <w:r w:rsidRPr="00D337FA">
        <w:t>этим,</w:t>
      </w:r>
      <w:r w:rsidR="006C680D" w:rsidRPr="00D337FA">
        <w:t xml:space="preserve"> </w:t>
      </w:r>
      <w:r w:rsidRPr="00D337FA">
        <w:t>компании,</w:t>
      </w:r>
      <w:r w:rsidR="006C680D" w:rsidRPr="00D337FA">
        <w:t xml:space="preserve"> </w:t>
      </w:r>
      <w:r w:rsidRPr="00D337FA">
        <w:t>демонстрирующие</w:t>
      </w:r>
      <w:r w:rsidR="006C680D" w:rsidRPr="00D337FA">
        <w:t xml:space="preserve"> </w:t>
      </w:r>
      <w:r w:rsidRPr="00D337FA">
        <w:t>опережающие</w:t>
      </w:r>
      <w:r w:rsidR="006C680D" w:rsidRPr="00D337FA">
        <w:t xml:space="preserve"> </w:t>
      </w:r>
      <w:r w:rsidRPr="00D337FA">
        <w:t>темпы</w:t>
      </w:r>
      <w:r w:rsidR="006C680D" w:rsidRPr="00D337FA">
        <w:t xml:space="preserve"> </w:t>
      </w:r>
      <w:r w:rsidRPr="00D337FA">
        <w:t>имплементации</w:t>
      </w:r>
      <w:r w:rsidR="006C680D" w:rsidRPr="00D337FA">
        <w:t xml:space="preserve"> </w:t>
      </w:r>
      <w:r w:rsidRPr="00D337FA">
        <w:t>обозначенных</w:t>
      </w:r>
      <w:r w:rsidR="006C680D" w:rsidRPr="00D337FA">
        <w:t xml:space="preserve"> </w:t>
      </w:r>
      <w:r w:rsidRPr="00D337FA">
        <w:t>компетенций,</w:t>
      </w:r>
      <w:r w:rsidR="006C680D" w:rsidRPr="00D337FA">
        <w:t xml:space="preserve"> </w:t>
      </w:r>
      <w:r w:rsidRPr="00D337FA">
        <w:t>получают</w:t>
      </w:r>
      <w:r w:rsidR="006C680D" w:rsidRPr="00D337FA">
        <w:t xml:space="preserve"> </w:t>
      </w:r>
      <w:r w:rsidRPr="00D337FA">
        <w:t>возможность</w:t>
      </w:r>
      <w:r w:rsidR="006C680D" w:rsidRPr="00D337FA">
        <w:t xml:space="preserve"> </w:t>
      </w:r>
      <w:r w:rsidRPr="00D337FA">
        <w:t>занять</w:t>
      </w:r>
      <w:r w:rsidR="006C680D" w:rsidRPr="00D337FA">
        <w:t xml:space="preserve"> </w:t>
      </w:r>
      <w:r w:rsidRPr="00D337FA">
        <w:t>доминирующее</w:t>
      </w:r>
      <w:r w:rsidR="006C680D" w:rsidRPr="00D337FA">
        <w:t xml:space="preserve"> </w:t>
      </w:r>
      <w:r w:rsidRPr="00D337FA">
        <w:t>поло</w:t>
      </w:r>
      <w:r w:rsidRPr="00D337FA">
        <w:lastRenderedPageBreak/>
        <w:t>жение</w:t>
      </w:r>
      <w:r w:rsidR="006C680D" w:rsidRPr="00D337FA">
        <w:t xml:space="preserve"> </w:t>
      </w:r>
      <w:r w:rsidRPr="00D337FA">
        <w:t>в</w:t>
      </w:r>
      <w:r w:rsidR="006C680D" w:rsidRPr="00D337FA">
        <w:t xml:space="preserve"> </w:t>
      </w:r>
      <w:r w:rsidRPr="00D337FA">
        <w:t>формирующемся</w:t>
      </w:r>
      <w:r w:rsidR="006C680D" w:rsidRPr="00D337FA">
        <w:t xml:space="preserve"> </w:t>
      </w:r>
      <w:r w:rsidRPr="00D337FA">
        <w:t>рыночном</w:t>
      </w:r>
      <w:r w:rsidR="006C680D" w:rsidRPr="00D337FA">
        <w:t xml:space="preserve"> </w:t>
      </w:r>
      <w:r w:rsidRPr="00D337FA">
        <w:t>ландшафте.</w:t>
      </w:r>
    </w:p>
    <w:p w:rsidR="00EC45F1" w:rsidRPr="00D337FA" w:rsidRDefault="00EC45F1" w:rsidP="000C1FE6">
      <w:pPr>
        <w:tabs>
          <w:tab w:val="left" w:pos="993"/>
        </w:tabs>
        <w:ind w:firstLine="284"/>
      </w:pPr>
      <w:r w:rsidRPr="00D337FA">
        <w:t>Цель</w:t>
      </w:r>
      <w:r w:rsidR="006C680D" w:rsidRPr="00D337FA">
        <w:t xml:space="preserve"> </w:t>
      </w:r>
      <w:r w:rsidRPr="00D337FA">
        <w:t>исследования</w:t>
      </w:r>
      <w:r w:rsidR="006C680D" w:rsidRPr="00D337FA">
        <w:t xml:space="preserve"> </w:t>
      </w:r>
      <w:r w:rsidRPr="00D337FA">
        <w:t>заключается</w:t>
      </w:r>
      <w:r w:rsidR="006C680D" w:rsidRPr="00D337FA">
        <w:t xml:space="preserve"> </w:t>
      </w:r>
      <w:r w:rsidRPr="00D337FA">
        <w:t>в</w:t>
      </w:r>
      <w:r w:rsidR="006C680D" w:rsidRPr="00D337FA">
        <w:t xml:space="preserve"> </w:t>
      </w:r>
      <w:r w:rsidRPr="00D337FA">
        <w:t>обосновании</w:t>
      </w:r>
      <w:r w:rsidR="006C680D" w:rsidRPr="00D337FA">
        <w:t xml:space="preserve"> </w:t>
      </w:r>
      <w:r w:rsidRPr="00D337FA">
        <w:rPr>
          <w:bCs/>
        </w:rPr>
        <w:t>процесса</w:t>
      </w:r>
      <w:r w:rsidR="006C680D" w:rsidRPr="00D337FA">
        <w:rPr>
          <w:bCs/>
        </w:rPr>
        <w:t xml:space="preserve"> </w:t>
      </w:r>
      <w:r w:rsidRPr="00D337FA">
        <w:rPr>
          <w:bCs/>
        </w:rPr>
        <w:t>формирования</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в</w:t>
      </w:r>
      <w:r w:rsidR="006C680D" w:rsidRPr="00D337FA">
        <w:rPr>
          <w:bCs/>
        </w:rPr>
        <w:t xml:space="preserve"> </w:t>
      </w:r>
      <w:r w:rsidRPr="00D337FA">
        <w:rPr>
          <w:bCs/>
        </w:rPr>
        <w:t>страховой</w:t>
      </w:r>
      <w:r w:rsidR="006C680D" w:rsidRPr="00D337FA">
        <w:rPr>
          <w:bCs/>
        </w:rPr>
        <w:t xml:space="preserve"> </w:t>
      </w:r>
      <w:r w:rsidRPr="00D337FA">
        <w:rPr>
          <w:bCs/>
        </w:rPr>
        <w:t>отрасли</w:t>
      </w:r>
      <w:r w:rsidR="006C680D" w:rsidRPr="00D337FA">
        <w:t xml:space="preserve"> </w:t>
      </w:r>
      <w:r w:rsidRPr="00D337FA">
        <w:t>и</w:t>
      </w:r>
      <w:r w:rsidR="006C680D" w:rsidRPr="00D337FA">
        <w:t xml:space="preserve"> </w:t>
      </w:r>
      <w:r w:rsidRPr="00D337FA">
        <w:t>выявлении</w:t>
      </w:r>
      <w:r w:rsidR="006C680D" w:rsidRPr="00D337FA">
        <w:t xml:space="preserve"> </w:t>
      </w:r>
      <w:r w:rsidRPr="00D337FA">
        <w:t>факторов,</w:t>
      </w:r>
      <w:r w:rsidR="006C680D" w:rsidRPr="00D337FA">
        <w:t xml:space="preserve"> </w:t>
      </w:r>
      <w:r w:rsidRPr="00D337FA">
        <w:t>определяющих</w:t>
      </w:r>
      <w:r w:rsidR="006C680D" w:rsidRPr="00D337FA">
        <w:t xml:space="preserve"> </w:t>
      </w:r>
      <w:r w:rsidRPr="00D337FA">
        <w:t>эффективность</w:t>
      </w:r>
      <w:r w:rsidR="006C680D" w:rsidRPr="00D337FA">
        <w:t xml:space="preserve"> </w:t>
      </w:r>
      <w:r w:rsidRPr="00D337FA">
        <w:rPr>
          <w:bCs/>
        </w:rPr>
        <w:t>управления</w:t>
      </w:r>
      <w:r w:rsidR="006C680D" w:rsidRPr="00D337FA">
        <w:rPr>
          <w:bCs/>
        </w:rPr>
        <w:t xml:space="preserve"> </w:t>
      </w:r>
      <w:r w:rsidRPr="00D337FA">
        <w:rPr>
          <w:bCs/>
        </w:rPr>
        <w:t>данным</w:t>
      </w:r>
      <w:r w:rsidR="006C680D" w:rsidRPr="00D337FA">
        <w:rPr>
          <w:bCs/>
        </w:rPr>
        <w:t xml:space="preserve"> </w:t>
      </w:r>
      <w:r w:rsidRPr="00D337FA">
        <w:rPr>
          <w:bCs/>
        </w:rPr>
        <w:t>процессом</w:t>
      </w:r>
      <w:r w:rsidR="006C680D" w:rsidRPr="00D337FA">
        <w:rPr>
          <w:bCs/>
        </w:rPr>
        <w:t xml:space="preserve"> </w:t>
      </w:r>
      <w:r w:rsidRPr="00D337FA">
        <w:rPr>
          <w:bCs/>
        </w:rPr>
        <w:t>в</w:t>
      </w:r>
      <w:r w:rsidR="006C680D" w:rsidRPr="00D337FA">
        <w:rPr>
          <w:bCs/>
        </w:rPr>
        <w:t xml:space="preserve"> </w:t>
      </w:r>
      <w:r w:rsidRPr="00D337FA">
        <w:rPr>
          <w:bCs/>
        </w:rPr>
        <w:t>контексте</w:t>
      </w:r>
      <w:r w:rsidR="006C680D" w:rsidRPr="00D337FA">
        <w:rPr>
          <w:bCs/>
        </w:rPr>
        <w:t xml:space="preserve"> </w:t>
      </w:r>
      <w:r w:rsidRPr="00D337FA">
        <w:rPr>
          <w:bCs/>
        </w:rPr>
        <w:t>инновационных</w:t>
      </w:r>
      <w:r w:rsidR="006C680D" w:rsidRPr="00D337FA">
        <w:rPr>
          <w:bCs/>
        </w:rPr>
        <w:t xml:space="preserve"> </w:t>
      </w:r>
      <w:r w:rsidRPr="00D337FA">
        <w:rPr>
          <w:bCs/>
        </w:rPr>
        <w:t>решений</w:t>
      </w:r>
      <w:r w:rsidRPr="00D337FA">
        <w:t>.</w:t>
      </w:r>
      <w:r w:rsidR="006C680D" w:rsidRPr="00D337FA">
        <w:t xml:space="preserve"> </w:t>
      </w:r>
      <w:r w:rsidRPr="00D337FA">
        <w:t>Методология</w:t>
      </w:r>
      <w:r w:rsidR="006C680D" w:rsidRPr="00D337FA">
        <w:t xml:space="preserve"> </w:t>
      </w:r>
      <w:r w:rsidRPr="00D337FA">
        <w:t>исследования</w:t>
      </w:r>
      <w:r w:rsidR="006C680D" w:rsidRPr="00D337FA">
        <w:t xml:space="preserve"> </w:t>
      </w:r>
      <w:r w:rsidRPr="00D337FA">
        <w:t>опирается</w:t>
      </w:r>
      <w:r w:rsidR="006C680D" w:rsidRPr="00D337FA">
        <w:t xml:space="preserve"> </w:t>
      </w:r>
      <w:r w:rsidRPr="00D337FA">
        <w:t>на</w:t>
      </w:r>
      <w:r w:rsidR="006C680D" w:rsidRPr="00D337FA">
        <w:t xml:space="preserve"> </w:t>
      </w:r>
      <w:r w:rsidRPr="00D337FA">
        <w:t>системный</w:t>
      </w:r>
      <w:r w:rsidR="006C680D" w:rsidRPr="00D337FA">
        <w:t xml:space="preserve"> </w:t>
      </w:r>
      <w:r w:rsidRPr="00D337FA">
        <w:t>и</w:t>
      </w:r>
      <w:r w:rsidR="006C680D" w:rsidRPr="00D337FA">
        <w:t xml:space="preserve"> </w:t>
      </w:r>
      <w:r w:rsidRPr="00D337FA">
        <w:t>интеграционный</w:t>
      </w:r>
      <w:r w:rsidR="006C680D" w:rsidRPr="00D337FA">
        <w:t xml:space="preserve"> </w:t>
      </w:r>
      <w:r w:rsidRPr="00D337FA">
        <w:t>подходы,</w:t>
      </w:r>
      <w:r w:rsidR="006C680D" w:rsidRPr="00D337FA">
        <w:t xml:space="preserve"> </w:t>
      </w:r>
      <w:r w:rsidRPr="00D337FA">
        <w:t>позволяющие</w:t>
      </w:r>
      <w:r w:rsidR="006C680D" w:rsidRPr="00D337FA">
        <w:t xml:space="preserve"> </w:t>
      </w:r>
      <w:r w:rsidRPr="00D337FA">
        <w:t>рассмотреть</w:t>
      </w:r>
      <w:r w:rsidR="006C680D" w:rsidRPr="00D337FA">
        <w:t xml:space="preserve"> </w:t>
      </w:r>
      <w:r w:rsidRPr="00D337FA">
        <w:rPr>
          <w:bCs/>
        </w:rPr>
        <w:t>процесс</w:t>
      </w:r>
      <w:r w:rsidR="006C680D" w:rsidRPr="00D337FA">
        <w:rPr>
          <w:bCs/>
        </w:rPr>
        <w:t xml:space="preserve"> </w:t>
      </w:r>
      <w:r w:rsidRPr="00D337FA">
        <w:rPr>
          <w:bCs/>
        </w:rPr>
        <w:t>формирования</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в</w:t>
      </w:r>
      <w:r w:rsidR="006C680D" w:rsidRPr="00D337FA">
        <w:rPr>
          <w:bCs/>
        </w:rPr>
        <w:t xml:space="preserve"> </w:t>
      </w:r>
      <w:r w:rsidRPr="00D337FA">
        <w:rPr>
          <w:bCs/>
        </w:rPr>
        <w:t>страховой</w:t>
      </w:r>
      <w:r w:rsidR="006C680D" w:rsidRPr="00D337FA">
        <w:rPr>
          <w:bCs/>
        </w:rPr>
        <w:t xml:space="preserve"> </w:t>
      </w:r>
      <w:r w:rsidRPr="00D337FA">
        <w:rPr>
          <w:bCs/>
        </w:rPr>
        <w:t>отрасли</w:t>
      </w:r>
      <w:r w:rsidR="006C680D" w:rsidRPr="00D337FA">
        <w:t xml:space="preserve"> </w:t>
      </w:r>
      <w:r w:rsidRPr="00D337FA">
        <w:t>как</w:t>
      </w:r>
      <w:r w:rsidR="006C680D" w:rsidRPr="00D337FA">
        <w:t xml:space="preserve"> </w:t>
      </w:r>
      <w:r w:rsidRPr="00D337FA">
        <w:t>многокомпонентный</w:t>
      </w:r>
      <w:r w:rsidR="006C680D" w:rsidRPr="00D337FA">
        <w:t xml:space="preserve"> </w:t>
      </w:r>
      <w:r w:rsidRPr="00D337FA">
        <w:t>конструкт,</w:t>
      </w:r>
      <w:r w:rsidR="006C680D" w:rsidRPr="00D337FA">
        <w:t xml:space="preserve"> </w:t>
      </w:r>
      <w:r w:rsidRPr="00D337FA">
        <w:t>включающий</w:t>
      </w:r>
      <w:r w:rsidR="006C680D" w:rsidRPr="00D337FA">
        <w:t xml:space="preserve"> </w:t>
      </w:r>
      <w:r w:rsidRPr="00D337FA">
        <w:t>технологические,</w:t>
      </w:r>
      <w:r w:rsidR="006C680D" w:rsidRPr="00D337FA">
        <w:t xml:space="preserve"> </w:t>
      </w:r>
      <w:r w:rsidRPr="00D337FA">
        <w:t>финансовые</w:t>
      </w:r>
      <w:r w:rsidR="006C680D" w:rsidRPr="00D337FA">
        <w:t xml:space="preserve"> </w:t>
      </w:r>
      <w:r w:rsidRPr="00D337FA">
        <w:t>и</w:t>
      </w:r>
      <w:r w:rsidR="006C680D" w:rsidRPr="00D337FA">
        <w:t xml:space="preserve"> </w:t>
      </w:r>
      <w:r w:rsidRPr="00D337FA">
        <w:t>цифровые</w:t>
      </w:r>
      <w:r w:rsidR="006C680D" w:rsidRPr="00D337FA">
        <w:t xml:space="preserve"> </w:t>
      </w:r>
      <w:r w:rsidRPr="00D337FA">
        <w:t>элементы.</w:t>
      </w:r>
      <w:r w:rsidR="006C680D" w:rsidRPr="00D337FA">
        <w:t xml:space="preserve"> </w:t>
      </w:r>
      <w:r w:rsidRPr="00D337FA">
        <w:t>Применение</w:t>
      </w:r>
      <w:r w:rsidR="006C680D" w:rsidRPr="00D337FA">
        <w:t xml:space="preserve"> </w:t>
      </w:r>
      <w:r w:rsidRPr="00D337FA">
        <w:t>аналитических</w:t>
      </w:r>
      <w:r w:rsidR="006C680D" w:rsidRPr="00D337FA">
        <w:t xml:space="preserve"> </w:t>
      </w:r>
      <w:r w:rsidRPr="00D337FA">
        <w:t>методов</w:t>
      </w:r>
      <w:r w:rsidR="006C680D" w:rsidRPr="00D337FA">
        <w:t xml:space="preserve"> </w:t>
      </w:r>
      <w:r w:rsidRPr="00D337FA">
        <w:t>позволило</w:t>
      </w:r>
      <w:r w:rsidR="006C680D" w:rsidRPr="00D337FA">
        <w:t xml:space="preserve"> </w:t>
      </w:r>
      <w:r w:rsidRPr="00D337FA">
        <w:t>выявить</w:t>
      </w:r>
      <w:r w:rsidR="006C680D" w:rsidRPr="00D337FA">
        <w:t xml:space="preserve"> </w:t>
      </w:r>
      <w:r w:rsidRPr="00D337FA">
        <w:t>специфику</w:t>
      </w:r>
      <w:r w:rsidR="006C680D" w:rsidRPr="00D337FA">
        <w:t xml:space="preserve"> </w:t>
      </w:r>
      <w:r w:rsidRPr="00D337FA">
        <w:t>социально-экономических</w:t>
      </w:r>
      <w:r w:rsidR="006C680D" w:rsidRPr="00D337FA">
        <w:t xml:space="preserve"> </w:t>
      </w:r>
      <w:r w:rsidRPr="00D337FA">
        <w:t>отношений,</w:t>
      </w:r>
      <w:r w:rsidR="006C680D" w:rsidRPr="00D337FA">
        <w:t xml:space="preserve"> </w:t>
      </w:r>
      <w:r w:rsidRPr="00D337FA">
        <w:t>влияющих</w:t>
      </w:r>
      <w:r w:rsidR="006C680D" w:rsidRPr="00D337FA">
        <w:t xml:space="preserve"> </w:t>
      </w:r>
      <w:r w:rsidRPr="00D337FA">
        <w:t>на</w:t>
      </w:r>
      <w:r w:rsidR="006C680D" w:rsidRPr="00D337FA">
        <w:t xml:space="preserve"> </w:t>
      </w:r>
      <w:r w:rsidRPr="00D337FA">
        <w:t>процессы</w:t>
      </w:r>
      <w:r w:rsidR="006C680D" w:rsidRPr="00D337FA">
        <w:t xml:space="preserve"> </w:t>
      </w:r>
      <w:r w:rsidRPr="00D337FA">
        <w:t>формирования</w:t>
      </w:r>
      <w:r w:rsidR="006C680D" w:rsidRPr="00D337FA">
        <w:t xml:space="preserve"> </w:t>
      </w:r>
      <w:r w:rsidRPr="00D337FA">
        <w:t>конкурентных</w:t>
      </w:r>
      <w:r w:rsidR="006C680D" w:rsidRPr="00D337FA">
        <w:t xml:space="preserve"> </w:t>
      </w:r>
      <w:r w:rsidRPr="00D337FA">
        <w:t>преимуществ</w:t>
      </w:r>
      <w:r w:rsidR="006C680D" w:rsidRPr="00D337FA">
        <w:t xml:space="preserve"> </w:t>
      </w:r>
      <w:r w:rsidRPr="00D337FA">
        <w:t>на</w:t>
      </w:r>
      <w:r w:rsidR="006C680D" w:rsidRPr="00D337FA">
        <w:t xml:space="preserve"> </w:t>
      </w:r>
      <w:r w:rsidRPr="00D337FA">
        <w:t>рынке</w:t>
      </w:r>
      <w:r w:rsidR="006C680D" w:rsidRPr="00D337FA">
        <w:t xml:space="preserve"> </w:t>
      </w:r>
      <w:r w:rsidRPr="00D337FA">
        <w:t>страховых</w:t>
      </w:r>
      <w:r w:rsidR="006C680D" w:rsidRPr="00D337FA">
        <w:t xml:space="preserve"> </w:t>
      </w:r>
      <w:r w:rsidRPr="00D337FA">
        <w:t>услуг.</w:t>
      </w:r>
    </w:p>
    <w:p w:rsidR="000C1FE6" w:rsidRPr="00D337FA" w:rsidRDefault="000C1FE6" w:rsidP="000C1FE6">
      <w:pPr>
        <w:tabs>
          <w:tab w:val="left" w:pos="993"/>
        </w:tabs>
        <w:ind w:firstLine="284"/>
      </w:pPr>
    </w:p>
    <w:p w:rsidR="00EC45F1" w:rsidRPr="00D337FA" w:rsidRDefault="00EC45F1" w:rsidP="000C1FE6">
      <w:pPr>
        <w:tabs>
          <w:tab w:val="left" w:pos="993"/>
        </w:tabs>
        <w:ind w:firstLine="284"/>
        <w:rPr>
          <w:b/>
          <w:bCs/>
        </w:rPr>
      </w:pPr>
      <w:r w:rsidRPr="00D337FA">
        <w:rPr>
          <w:b/>
          <w:bCs/>
        </w:rPr>
        <w:t>Теоретический</w:t>
      </w:r>
      <w:r w:rsidR="006C680D" w:rsidRPr="00D337FA">
        <w:rPr>
          <w:b/>
          <w:bCs/>
        </w:rPr>
        <w:t xml:space="preserve"> </w:t>
      </w:r>
      <w:r w:rsidRPr="00D337FA">
        <w:rPr>
          <w:b/>
          <w:bCs/>
        </w:rPr>
        <w:t>анализ</w:t>
      </w:r>
    </w:p>
    <w:p w:rsidR="00EC45F1" w:rsidRPr="00D337FA" w:rsidRDefault="00EC45F1" w:rsidP="000C1FE6">
      <w:pPr>
        <w:tabs>
          <w:tab w:val="left" w:pos="993"/>
        </w:tabs>
        <w:ind w:firstLine="284"/>
        <w:rPr>
          <w:bCs/>
        </w:rPr>
      </w:pPr>
      <w:r w:rsidRPr="00D337FA">
        <w:rPr>
          <w:bCs/>
        </w:rPr>
        <w:t>Теоретическое</w:t>
      </w:r>
      <w:r w:rsidR="006C680D" w:rsidRPr="00D337FA">
        <w:rPr>
          <w:bCs/>
        </w:rPr>
        <w:t xml:space="preserve"> </w:t>
      </w:r>
      <w:r w:rsidRPr="00D337FA">
        <w:rPr>
          <w:bCs/>
        </w:rPr>
        <w:t>осмысление</w:t>
      </w:r>
      <w:r w:rsidR="006C680D" w:rsidRPr="00D337FA">
        <w:rPr>
          <w:bCs/>
        </w:rPr>
        <w:t xml:space="preserve"> </w:t>
      </w:r>
      <w:r w:rsidRPr="00D337FA">
        <w:rPr>
          <w:bCs/>
        </w:rPr>
        <w:t>процесса</w:t>
      </w:r>
      <w:r w:rsidR="006C680D" w:rsidRPr="00D337FA">
        <w:rPr>
          <w:bCs/>
        </w:rPr>
        <w:t xml:space="preserve"> </w:t>
      </w:r>
      <w:r w:rsidRPr="00D337FA">
        <w:rPr>
          <w:bCs/>
        </w:rPr>
        <w:t>формирования</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в</w:t>
      </w:r>
      <w:r w:rsidR="006C680D" w:rsidRPr="00D337FA">
        <w:rPr>
          <w:bCs/>
        </w:rPr>
        <w:t xml:space="preserve"> </w:t>
      </w:r>
      <w:r w:rsidRPr="00D337FA">
        <w:rPr>
          <w:bCs/>
        </w:rPr>
        <w:t>страховой</w:t>
      </w:r>
      <w:r w:rsidR="006C680D" w:rsidRPr="00D337FA">
        <w:rPr>
          <w:bCs/>
        </w:rPr>
        <w:t xml:space="preserve"> </w:t>
      </w:r>
      <w:r w:rsidRPr="00D337FA">
        <w:rPr>
          <w:bCs/>
        </w:rPr>
        <w:t>отрасли</w:t>
      </w:r>
      <w:r w:rsidR="006C680D" w:rsidRPr="00D337FA">
        <w:rPr>
          <w:bCs/>
        </w:rPr>
        <w:t xml:space="preserve"> </w:t>
      </w:r>
      <w:r w:rsidRPr="00D337FA">
        <w:rPr>
          <w:bCs/>
        </w:rPr>
        <w:t>опирается</w:t>
      </w:r>
      <w:r w:rsidR="006C680D" w:rsidRPr="00D337FA">
        <w:rPr>
          <w:bCs/>
        </w:rPr>
        <w:t xml:space="preserve"> </w:t>
      </w:r>
      <w:r w:rsidRPr="00D337FA">
        <w:rPr>
          <w:bCs/>
        </w:rPr>
        <w:t>на</w:t>
      </w:r>
      <w:r w:rsidR="006C680D" w:rsidRPr="00D337FA">
        <w:rPr>
          <w:bCs/>
        </w:rPr>
        <w:t xml:space="preserve"> </w:t>
      </w:r>
      <w:r w:rsidRPr="00D337FA">
        <w:rPr>
          <w:bCs/>
        </w:rPr>
        <w:t>совокупность</w:t>
      </w:r>
      <w:r w:rsidR="006C680D" w:rsidRPr="00D337FA">
        <w:rPr>
          <w:bCs/>
        </w:rPr>
        <w:t xml:space="preserve"> </w:t>
      </w:r>
      <w:r w:rsidRPr="00D337FA">
        <w:rPr>
          <w:bCs/>
        </w:rPr>
        <w:t>положений</w:t>
      </w:r>
      <w:r w:rsidR="006C680D" w:rsidRPr="00D337FA">
        <w:rPr>
          <w:bCs/>
        </w:rPr>
        <w:t xml:space="preserve"> </w:t>
      </w:r>
      <w:r w:rsidRPr="00D337FA">
        <w:rPr>
          <w:bCs/>
        </w:rPr>
        <w:t>теории</w:t>
      </w:r>
      <w:r w:rsidR="006C680D" w:rsidRPr="00D337FA">
        <w:rPr>
          <w:bCs/>
        </w:rPr>
        <w:t xml:space="preserve"> </w:t>
      </w:r>
      <w:r w:rsidRPr="00D337FA">
        <w:rPr>
          <w:bCs/>
        </w:rPr>
        <w:t>конкуренции,</w:t>
      </w:r>
      <w:r w:rsidR="006C680D" w:rsidRPr="00D337FA">
        <w:rPr>
          <w:bCs/>
        </w:rPr>
        <w:t xml:space="preserve"> </w:t>
      </w:r>
      <w:r w:rsidRPr="00D337FA">
        <w:rPr>
          <w:bCs/>
        </w:rPr>
        <w:t>стратегического</w:t>
      </w:r>
      <w:r w:rsidR="006C680D" w:rsidRPr="00D337FA">
        <w:rPr>
          <w:bCs/>
        </w:rPr>
        <w:t xml:space="preserve"> </w:t>
      </w:r>
      <w:r w:rsidRPr="00D337FA">
        <w:rPr>
          <w:bCs/>
        </w:rPr>
        <w:t>менеджмента</w:t>
      </w:r>
      <w:r w:rsidR="006C680D" w:rsidRPr="00D337FA">
        <w:rPr>
          <w:bCs/>
        </w:rPr>
        <w:t xml:space="preserve"> </w:t>
      </w:r>
      <w:r w:rsidRPr="00D337FA">
        <w:rPr>
          <w:bCs/>
        </w:rPr>
        <w:t>и</w:t>
      </w:r>
      <w:r w:rsidR="006C680D" w:rsidRPr="00D337FA">
        <w:rPr>
          <w:bCs/>
        </w:rPr>
        <w:t xml:space="preserve"> </w:t>
      </w:r>
      <w:r w:rsidRPr="00D337FA">
        <w:rPr>
          <w:bCs/>
        </w:rPr>
        <w:t>экономики</w:t>
      </w:r>
      <w:r w:rsidR="006C680D" w:rsidRPr="00D337FA">
        <w:rPr>
          <w:bCs/>
        </w:rPr>
        <w:t xml:space="preserve"> </w:t>
      </w:r>
      <w:r w:rsidRPr="00D337FA">
        <w:rPr>
          <w:bCs/>
        </w:rPr>
        <w:t>услуг.</w:t>
      </w:r>
      <w:r w:rsidR="006C680D" w:rsidRPr="00D337FA">
        <w:rPr>
          <w:bCs/>
        </w:rPr>
        <w:t xml:space="preserve"> </w:t>
      </w:r>
      <w:r w:rsidRPr="00D337FA">
        <w:rPr>
          <w:bCs/>
        </w:rPr>
        <w:t>В</w:t>
      </w:r>
      <w:r w:rsidR="006C680D" w:rsidRPr="00D337FA">
        <w:rPr>
          <w:bCs/>
        </w:rPr>
        <w:t xml:space="preserve"> </w:t>
      </w:r>
      <w:r w:rsidRPr="00D337FA">
        <w:rPr>
          <w:bCs/>
        </w:rPr>
        <w:t>классических</w:t>
      </w:r>
      <w:r w:rsidR="006C680D" w:rsidRPr="00D337FA">
        <w:rPr>
          <w:bCs/>
        </w:rPr>
        <w:t xml:space="preserve"> </w:t>
      </w:r>
      <w:r w:rsidRPr="00D337FA">
        <w:rPr>
          <w:bCs/>
        </w:rPr>
        <w:t>подходах</w:t>
      </w:r>
      <w:r w:rsidR="006C680D" w:rsidRPr="00D337FA">
        <w:rPr>
          <w:bCs/>
        </w:rPr>
        <w:t xml:space="preserve"> </w:t>
      </w:r>
      <w:r w:rsidRPr="00D337FA">
        <w:rPr>
          <w:bCs/>
        </w:rPr>
        <w:t>конкурентные</w:t>
      </w:r>
      <w:r w:rsidR="006C680D" w:rsidRPr="00D337FA">
        <w:rPr>
          <w:bCs/>
        </w:rPr>
        <w:t xml:space="preserve"> </w:t>
      </w:r>
      <w:r w:rsidRPr="00D337FA">
        <w:rPr>
          <w:bCs/>
        </w:rPr>
        <w:t>преимущества</w:t>
      </w:r>
      <w:r w:rsidR="006C680D" w:rsidRPr="00D337FA">
        <w:rPr>
          <w:bCs/>
        </w:rPr>
        <w:t xml:space="preserve"> </w:t>
      </w:r>
      <w:r w:rsidRPr="00D337FA">
        <w:rPr>
          <w:bCs/>
        </w:rPr>
        <w:t>рассматриваются</w:t>
      </w:r>
      <w:r w:rsidR="006C680D" w:rsidRPr="00D337FA">
        <w:rPr>
          <w:bCs/>
        </w:rPr>
        <w:t xml:space="preserve"> </w:t>
      </w:r>
      <w:r w:rsidRPr="00D337FA">
        <w:rPr>
          <w:bCs/>
        </w:rPr>
        <w:t>как</w:t>
      </w:r>
      <w:r w:rsidR="006C680D" w:rsidRPr="00D337FA">
        <w:rPr>
          <w:bCs/>
        </w:rPr>
        <w:t xml:space="preserve"> </w:t>
      </w:r>
      <w:r w:rsidRPr="00D337FA">
        <w:rPr>
          <w:bCs/>
        </w:rPr>
        <w:t>результат</w:t>
      </w:r>
      <w:r w:rsidR="006C680D" w:rsidRPr="00D337FA">
        <w:rPr>
          <w:bCs/>
        </w:rPr>
        <w:t xml:space="preserve"> </w:t>
      </w:r>
      <w:r w:rsidRPr="00D337FA">
        <w:rPr>
          <w:bCs/>
        </w:rPr>
        <w:t>обладания</w:t>
      </w:r>
      <w:r w:rsidR="006C680D" w:rsidRPr="00D337FA">
        <w:rPr>
          <w:bCs/>
        </w:rPr>
        <w:t xml:space="preserve"> </w:t>
      </w:r>
      <w:r w:rsidRPr="00D337FA">
        <w:rPr>
          <w:bCs/>
        </w:rPr>
        <w:t>уникальными</w:t>
      </w:r>
      <w:r w:rsidR="006C680D" w:rsidRPr="00D337FA">
        <w:rPr>
          <w:bCs/>
        </w:rPr>
        <w:t xml:space="preserve"> </w:t>
      </w:r>
      <w:r w:rsidRPr="00D337FA">
        <w:rPr>
          <w:bCs/>
        </w:rPr>
        <w:t>ресурсами</w:t>
      </w:r>
      <w:r w:rsidR="006C680D" w:rsidRPr="00D337FA">
        <w:rPr>
          <w:bCs/>
        </w:rPr>
        <w:t xml:space="preserve"> </w:t>
      </w:r>
      <w:r w:rsidRPr="00D337FA">
        <w:rPr>
          <w:bCs/>
        </w:rPr>
        <w:t>и</w:t>
      </w:r>
      <w:r w:rsidR="006C680D" w:rsidRPr="00D337FA">
        <w:rPr>
          <w:bCs/>
        </w:rPr>
        <w:t xml:space="preserve"> </w:t>
      </w:r>
      <w:r w:rsidRPr="00D337FA">
        <w:rPr>
          <w:bCs/>
        </w:rPr>
        <w:t>компетенциями,</w:t>
      </w:r>
      <w:r w:rsidR="006C680D" w:rsidRPr="00D337FA">
        <w:rPr>
          <w:bCs/>
        </w:rPr>
        <w:t xml:space="preserve"> </w:t>
      </w:r>
      <w:r w:rsidRPr="00D337FA">
        <w:rPr>
          <w:bCs/>
        </w:rPr>
        <w:t>обеспечивающими</w:t>
      </w:r>
      <w:r w:rsidR="006C680D" w:rsidRPr="00D337FA">
        <w:rPr>
          <w:bCs/>
        </w:rPr>
        <w:t xml:space="preserve"> </w:t>
      </w:r>
      <w:r w:rsidRPr="00D337FA">
        <w:rPr>
          <w:bCs/>
        </w:rPr>
        <w:t>компании</w:t>
      </w:r>
      <w:r w:rsidR="006C680D" w:rsidRPr="00D337FA">
        <w:rPr>
          <w:bCs/>
        </w:rPr>
        <w:t xml:space="preserve"> </w:t>
      </w:r>
      <w:r w:rsidRPr="00D337FA">
        <w:rPr>
          <w:bCs/>
        </w:rPr>
        <w:t>устойчивое</w:t>
      </w:r>
      <w:r w:rsidR="006C680D" w:rsidRPr="00D337FA">
        <w:rPr>
          <w:bCs/>
        </w:rPr>
        <w:t xml:space="preserve"> </w:t>
      </w:r>
      <w:r w:rsidRPr="00D337FA">
        <w:rPr>
          <w:bCs/>
        </w:rPr>
        <w:t>превосходство</w:t>
      </w:r>
      <w:r w:rsidR="006C680D" w:rsidRPr="00D337FA">
        <w:rPr>
          <w:bCs/>
        </w:rPr>
        <w:t xml:space="preserve"> </w:t>
      </w:r>
      <w:r w:rsidRPr="00D337FA">
        <w:rPr>
          <w:bCs/>
        </w:rPr>
        <w:t>над</w:t>
      </w:r>
      <w:r w:rsidR="006C680D" w:rsidRPr="00D337FA">
        <w:rPr>
          <w:bCs/>
        </w:rPr>
        <w:t xml:space="preserve"> </w:t>
      </w:r>
      <w:r w:rsidRPr="00D337FA">
        <w:rPr>
          <w:bCs/>
        </w:rPr>
        <w:t>конкурентами</w:t>
      </w:r>
      <w:r w:rsidR="006C680D" w:rsidRPr="00D337FA">
        <w:rPr>
          <w:bCs/>
        </w:rPr>
        <w:t xml:space="preserve"> </w:t>
      </w:r>
      <w:r w:rsidRPr="00D337FA">
        <w:rPr>
          <w:bCs/>
        </w:rPr>
        <w:t>в</w:t>
      </w:r>
      <w:r w:rsidR="006C680D" w:rsidRPr="00D337FA">
        <w:rPr>
          <w:bCs/>
        </w:rPr>
        <w:t xml:space="preserve"> </w:t>
      </w:r>
      <w:r w:rsidRPr="00D337FA">
        <w:rPr>
          <w:bCs/>
        </w:rPr>
        <w:t>долгосрочной</w:t>
      </w:r>
      <w:r w:rsidR="006C680D" w:rsidRPr="00D337FA">
        <w:rPr>
          <w:bCs/>
        </w:rPr>
        <w:t xml:space="preserve"> </w:t>
      </w:r>
      <w:r w:rsidRPr="00D337FA">
        <w:rPr>
          <w:bCs/>
        </w:rPr>
        <w:t>перспективе.</w:t>
      </w:r>
      <w:r w:rsidR="006C680D" w:rsidRPr="00D337FA">
        <w:rPr>
          <w:bCs/>
        </w:rPr>
        <w:t xml:space="preserve"> </w:t>
      </w:r>
    </w:p>
    <w:p w:rsidR="00EC45F1" w:rsidRPr="00D337FA" w:rsidRDefault="00EC45F1" w:rsidP="000C1FE6">
      <w:pPr>
        <w:tabs>
          <w:tab w:val="left" w:pos="993"/>
        </w:tabs>
        <w:ind w:firstLine="284"/>
        <w:rPr>
          <w:bCs/>
        </w:rPr>
      </w:pPr>
      <w:r w:rsidRPr="00D337FA">
        <w:rPr>
          <w:bCs/>
        </w:rPr>
        <w:t>Структурно-отраслевой</w:t>
      </w:r>
      <w:r w:rsidR="006C680D" w:rsidRPr="00D337FA">
        <w:rPr>
          <w:bCs/>
        </w:rPr>
        <w:t xml:space="preserve"> </w:t>
      </w:r>
      <w:r w:rsidRPr="00D337FA">
        <w:rPr>
          <w:bCs/>
        </w:rPr>
        <w:t>подход,</w:t>
      </w:r>
      <w:r w:rsidR="006C680D" w:rsidRPr="00D337FA">
        <w:rPr>
          <w:bCs/>
        </w:rPr>
        <w:t xml:space="preserve"> </w:t>
      </w:r>
      <w:r w:rsidRPr="00D337FA">
        <w:rPr>
          <w:bCs/>
        </w:rPr>
        <w:t>разработанный</w:t>
      </w:r>
      <w:r w:rsidR="006C680D" w:rsidRPr="00D337FA">
        <w:rPr>
          <w:bCs/>
        </w:rPr>
        <w:t xml:space="preserve"> </w:t>
      </w:r>
      <w:r w:rsidRPr="00D337FA">
        <w:rPr>
          <w:bCs/>
        </w:rPr>
        <w:t>М.</w:t>
      </w:r>
      <w:r w:rsidR="006C680D" w:rsidRPr="00D337FA">
        <w:rPr>
          <w:bCs/>
        </w:rPr>
        <w:t xml:space="preserve"> </w:t>
      </w:r>
      <w:r w:rsidRPr="00D337FA">
        <w:rPr>
          <w:bCs/>
        </w:rPr>
        <w:t>Портером</w:t>
      </w:r>
      <w:r w:rsidR="006C680D" w:rsidRPr="00D337FA">
        <w:rPr>
          <w:bCs/>
        </w:rPr>
        <w:t xml:space="preserve"> </w:t>
      </w:r>
      <w:r w:rsidRPr="00D337FA">
        <w:rPr>
          <w:bCs/>
        </w:rPr>
        <w:t>(Porter,</w:t>
      </w:r>
      <w:r w:rsidR="006C680D" w:rsidRPr="00D337FA">
        <w:rPr>
          <w:bCs/>
        </w:rPr>
        <w:t xml:space="preserve"> </w:t>
      </w:r>
      <w:r w:rsidRPr="00D337FA">
        <w:rPr>
          <w:bCs/>
        </w:rPr>
        <w:t>M.</w:t>
      </w:r>
      <w:r w:rsidR="006C680D" w:rsidRPr="00D337FA">
        <w:rPr>
          <w:bCs/>
        </w:rPr>
        <w:t xml:space="preserve"> </w:t>
      </w:r>
      <w:r w:rsidRPr="00D337FA">
        <w:rPr>
          <w:bCs/>
          <w:i/>
          <w:iCs/>
        </w:rPr>
        <w:t>Competitive</w:t>
      </w:r>
      <w:r w:rsidR="006C680D" w:rsidRPr="00D337FA">
        <w:rPr>
          <w:bCs/>
          <w:i/>
          <w:iCs/>
        </w:rPr>
        <w:t xml:space="preserve"> </w:t>
      </w:r>
      <w:r w:rsidRPr="00D337FA">
        <w:rPr>
          <w:bCs/>
          <w:i/>
          <w:iCs/>
        </w:rPr>
        <w:t>Strategy</w:t>
      </w:r>
      <w:r w:rsidRPr="00D337FA">
        <w:rPr>
          <w:bCs/>
        </w:rPr>
        <w:t>,</w:t>
      </w:r>
      <w:r w:rsidR="006C680D" w:rsidRPr="00D337FA">
        <w:rPr>
          <w:bCs/>
        </w:rPr>
        <w:t xml:space="preserve"> </w:t>
      </w:r>
      <w:r w:rsidRPr="00D337FA">
        <w:rPr>
          <w:bCs/>
        </w:rPr>
        <w:t>1980;</w:t>
      </w:r>
      <w:r w:rsidR="006C680D" w:rsidRPr="00D337FA">
        <w:rPr>
          <w:bCs/>
        </w:rPr>
        <w:t xml:space="preserve"> </w:t>
      </w:r>
      <w:r w:rsidRPr="00D337FA">
        <w:rPr>
          <w:bCs/>
          <w:i/>
          <w:iCs/>
        </w:rPr>
        <w:t>Competitive</w:t>
      </w:r>
      <w:r w:rsidR="006C680D" w:rsidRPr="00D337FA">
        <w:rPr>
          <w:bCs/>
          <w:i/>
          <w:iCs/>
        </w:rPr>
        <w:t xml:space="preserve"> </w:t>
      </w:r>
      <w:r w:rsidRPr="00D337FA">
        <w:rPr>
          <w:bCs/>
          <w:i/>
          <w:iCs/>
        </w:rPr>
        <w:t>Advantage</w:t>
      </w:r>
      <w:r w:rsidRPr="00D337FA">
        <w:rPr>
          <w:bCs/>
        </w:rPr>
        <w:t>,</w:t>
      </w:r>
      <w:r w:rsidR="006C680D" w:rsidRPr="00D337FA">
        <w:rPr>
          <w:bCs/>
        </w:rPr>
        <w:t xml:space="preserve"> </w:t>
      </w:r>
      <w:r w:rsidRPr="00D337FA">
        <w:rPr>
          <w:bCs/>
        </w:rPr>
        <w:t>1985),</w:t>
      </w:r>
      <w:r w:rsidR="006C680D" w:rsidRPr="00D337FA">
        <w:rPr>
          <w:bCs/>
        </w:rPr>
        <w:t xml:space="preserve"> </w:t>
      </w:r>
      <w:r w:rsidRPr="00D337FA">
        <w:rPr>
          <w:bCs/>
        </w:rPr>
        <w:t>рассматривает</w:t>
      </w:r>
      <w:r w:rsidR="006C680D" w:rsidRPr="00D337FA">
        <w:rPr>
          <w:bCs/>
        </w:rPr>
        <w:t xml:space="preserve"> </w:t>
      </w:r>
      <w:r w:rsidRPr="00D337FA">
        <w:rPr>
          <w:bCs/>
        </w:rPr>
        <w:t>конку</w:t>
      </w:r>
      <w:r w:rsidRPr="00D337FA">
        <w:rPr>
          <w:bCs/>
        </w:rPr>
        <w:lastRenderedPageBreak/>
        <w:t>рентные</w:t>
      </w:r>
      <w:r w:rsidR="006C680D" w:rsidRPr="00D337FA">
        <w:rPr>
          <w:bCs/>
        </w:rPr>
        <w:t xml:space="preserve"> </w:t>
      </w:r>
      <w:r w:rsidRPr="00D337FA">
        <w:rPr>
          <w:bCs/>
        </w:rPr>
        <w:t>преимущества</w:t>
      </w:r>
      <w:r w:rsidR="006C680D" w:rsidRPr="00D337FA">
        <w:rPr>
          <w:bCs/>
        </w:rPr>
        <w:t xml:space="preserve"> </w:t>
      </w:r>
      <w:r w:rsidRPr="00D337FA">
        <w:rPr>
          <w:bCs/>
        </w:rPr>
        <w:t>как</w:t>
      </w:r>
      <w:r w:rsidR="006C680D" w:rsidRPr="00D337FA">
        <w:rPr>
          <w:bCs/>
        </w:rPr>
        <w:t xml:space="preserve"> </w:t>
      </w:r>
      <w:r w:rsidRPr="00D337FA">
        <w:rPr>
          <w:bCs/>
        </w:rPr>
        <w:t>результат</w:t>
      </w:r>
      <w:r w:rsidR="006C680D" w:rsidRPr="00D337FA">
        <w:rPr>
          <w:bCs/>
        </w:rPr>
        <w:t xml:space="preserve"> </w:t>
      </w:r>
      <w:r w:rsidRPr="00D337FA">
        <w:rPr>
          <w:bCs/>
        </w:rPr>
        <w:t>выбора</w:t>
      </w:r>
      <w:r w:rsidR="006C680D" w:rsidRPr="00D337FA">
        <w:rPr>
          <w:bCs/>
        </w:rPr>
        <w:t xml:space="preserve"> </w:t>
      </w:r>
      <w:r w:rsidRPr="00D337FA">
        <w:rPr>
          <w:bCs/>
        </w:rPr>
        <w:t>одной</w:t>
      </w:r>
      <w:r w:rsidR="006C680D" w:rsidRPr="00D337FA">
        <w:rPr>
          <w:bCs/>
        </w:rPr>
        <w:t xml:space="preserve"> </w:t>
      </w:r>
      <w:r w:rsidRPr="00D337FA">
        <w:rPr>
          <w:bCs/>
        </w:rPr>
        <w:t>из</w:t>
      </w:r>
      <w:r w:rsidR="006C680D" w:rsidRPr="00D337FA">
        <w:rPr>
          <w:bCs/>
        </w:rPr>
        <w:t xml:space="preserve"> </w:t>
      </w:r>
      <w:r w:rsidRPr="00D337FA">
        <w:rPr>
          <w:bCs/>
        </w:rPr>
        <w:t>базовых</w:t>
      </w:r>
      <w:r w:rsidR="006C680D" w:rsidRPr="00D337FA">
        <w:rPr>
          <w:bCs/>
        </w:rPr>
        <w:t xml:space="preserve"> </w:t>
      </w:r>
      <w:r w:rsidRPr="00D337FA">
        <w:rPr>
          <w:bCs/>
        </w:rPr>
        <w:t>конкурентных</w:t>
      </w:r>
      <w:r w:rsidR="006C680D" w:rsidRPr="00D337FA">
        <w:rPr>
          <w:bCs/>
        </w:rPr>
        <w:t xml:space="preserve"> </w:t>
      </w:r>
      <w:r w:rsidRPr="00D337FA">
        <w:rPr>
          <w:bCs/>
        </w:rPr>
        <w:t>стратегий</w:t>
      </w:r>
      <w:r w:rsidR="006C680D" w:rsidRPr="00D337FA">
        <w:rPr>
          <w:bCs/>
        </w:rPr>
        <w:t xml:space="preserve"> </w:t>
      </w:r>
      <w:r w:rsidRPr="00D337FA">
        <w:t>–</w:t>
      </w:r>
      <w:r w:rsidR="006C680D" w:rsidRPr="00D337FA">
        <w:rPr>
          <w:bCs/>
        </w:rPr>
        <w:t xml:space="preserve"> </w:t>
      </w:r>
      <w:r w:rsidRPr="00D337FA">
        <w:rPr>
          <w:bCs/>
        </w:rPr>
        <w:t>лидерства</w:t>
      </w:r>
      <w:r w:rsidR="006C680D" w:rsidRPr="00D337FA">
        <w:rPr>
          <w:bCs/>
        </w:rPr>
        <w:t xml:space="preserve"> </w:t>
      </w:r>
      <w:r w:rsidRPr="00D337FA">
        <w:rPr>
          <w:bCs/>
        </w:rPr>
        <w:t>по</w:t>
      </w:r>
      <w:r w:rsidR="006C680D" w:rsidRPr="00D337FA">
        <w:rPr>
          <w:bCs/>
        </w:rPr>
        <w:t xml:space="preserve"> </w:t>
      </w:r>
      <w:r w:rsidRPr="00D337FA">
        <w:rPr>
          <w:bCs/>
        </w:rPr>
        <w:t>издержкам,</w:t>
      </w:r>
      <w:r w:rsidR="006C680D" w:rsidRPr="00D337FA">
        <w:rPr>
          <w:bCs/>
        </w:rPr>
        <w:t xml:space="preserve"> </w:t>
      </w:r>
      <w:r w:rsidRPr="00D337FA">
        <w:rPr>
          <w:bCs/>
        </w:rPr>
        <w:t>дифференциации</w:t>
      </w:r>
      <w:r w:rsidR="006C680D" w:rsidRPr="00D337FA">
        <w:rPr>
          <w:bCs/>
        </w:rPr>
        <w:t xml:space="preserve"> </w:t>
      </w:r>
      <w:r w:rsidRPr="00D337FA">
        <w:rPr>
          <w:bCs/>
        </w:rPr>
        <w:t>или</w:t>
      </w:r>
      <w:r w:rsidR="006C680D" w:rsidRPr="00D337FA">
        <w:rPr>
          <w:bCs/>
        </w:rPr>
        <w:t xml:space="preserve"> </w:t>
      </w:r>
      <w:r w:rsidRPr="00D337FA">
        <w:rPr>
          <w:bCs/>
        </w:rPr>
        <w:t>фокусирования</w:t>
      </w:r>
      <w:r w:rsidR="006C680D" w:rsidRPr="00D337FA">
        <w:rPr>
          <w:bCs/>
        </w:rPr>
        <w:t xml:space="preserve"> </w:t>
      </w:r>
      <w:r w:rsidRPr="00D337FA">
        <w:t>–</w:t>
      </w:r>
      <w:r w:rsidR="006C680D" w:rsidRPr="00D337FA">
        <w:rPr>
          <w:bCs/>
        </w:rPr>
        <w:t xml:space="preserve"> </w:t>
      </w:r>
      <w:r w:rsidRPr="00D337FA">
        <w:rPr>
          <w:bCs/>
        </w:rPr>
        <w:t>в</w:t>
      </w:r>
      <w:r w:rsidR="006C680D" w:rsidRPr="00D337FA">
        <w:rPr>
          <w:bCs/>
        </w:rPr>
        <w:t xml:space="preserve"> </w:t>
      </w:r>
      <w:r w:rsidRPr="00D337FA">
        <w:rPr>
          <w:bCs/>
        </w:rPr>
        <w:t>условиях</w:t>
      </w:r>
      <w:r w:rsidR="006C680D" w:rsidRPr="00D337FA">
        <w:rPr>
          <w:bCs/>
        </w:rPr>
        <w:t xml:space="preserve"> </w:t>
      </w:r>
      <w:r w:rsidRPr="00D337FA">
        <w:rPr>
          <w:bCs/>
        </w:rPr>
        <w:t>определённой</w:t>
      </w:r>
      <w:r w:rsidR="006C680D" w:rsidRPr="00D337FA">
        <w:rPr>
          <w:bCs/>
        </w:rPr>
        <w:t xml:space="preserve"> </w:t>
      </w:r>
      <w:r w:rsidRPr="00D337FA">
        <w:rPr>
          <w:bCs/>
        </w:rPr>
        <w:t>отраслевой</w:t>
      </w:r>
      <w:r w:rsidR="006C680D" w:rsidRPr="00D337FA">
        <w:rPr>
          <w:bCs/>
        </w:rPr>
        <w:t xml:space="preserve"> </w:t>
      </w:r>
      <w:r w:rsidRPr="00D337FA">
        <w:rPr>
          <w:bCs/>
        </w:rPr>
        <w:t>структуры.</w:t>
      </w:r>
      <w:r w:rsidR="006C680D" w:rsidRPr="00D337FA">
        <w:rPr>
          <w:bCs/>
        </w:rPr>
        <w:t xml:space="preserve"> </w:t>
      </w:r>
      <w:r w:rsidRPr="00D337FA">
        <w:rPr>
          <w:bCs/>
        </w:rPr>
        <w:t>В</w:t>
      </w:r>
      <w:r w:rsidR="006C680D" w:rsidRPr="00D337FA">
        <w:rPr>
          <w:bCs/>
        </w:rPr>
        <w:t xml:space="preserve"> </w:t>
      </w:r>
      <w:r w:rsidRPr="00D337FA">
        <w:rPr>
          <w:bCs/>
        </w:rPr>
        <w:t>контексте</w:t>
      </w:r>
      <w:r w:rsidR="006C680D" w:rsidRPr="00D337FA">
        <w:rPr>
          <w:bCs/>
        </w:rPr>
        <w:t xml:space="preserve"> </w:t>
      </w:r>
      <w:r w:rsidRPr="00D337FA">
        <w:rPr>
          <w:bCs/>
        </w:rPr>
        <w:t>страхового</w:t>
      </w:r>
      <w:r w:rsidR="006C680D" w:rsidRPr="00D337FA">
        <w:rPr>
          <w:bCs/>
        </w:rPr>
        <w:t xml:space="preserve"> </w:t>
      </w:r>
      <w:r w:rsidRPr="00D337FA">
        <w:rPr>
          <w:bCs/>
        </w:rPr>
        <w:t>рынка</w:t>
      </w:r>
      <w:r w:rsidR="006C680D" w:rsidRPr="00D337FA">
        <w:rPr>
          <w:bCs/>
        </w:rPr>
        <w:t xml:space="preserve"> </w:t>
      </w:r>
      <w:r w:rsidRPr="00D337FA">
        <w:rPr>
          <w:bCs/>
        </w:rPr>
        <w:t>данный</w:t>
      </w:r>
      <w:r w:rsidR="006C680D" w:rsidRPr="00D337FA">
        <w:rPr>
          <w:bCs/>
        </w:rPr>
        <w:t xml:space="preserve"> </w:t>
      </w:r>
      <w:r w:rsidRPr="00D337FA">
        <w:rPr>
          <w:bCs/>
        </w:rPr>
        <w:t>подход</w:t>
      </w:r>
      <w:r w:rsidR="006C680D" w:rsidRPr="00D337FA">
        <w:rPr>
          <w:bCs/>
        </w:rPr>
        <w:t xml:space="preserve"> </w:t>
      </w:r>
      <w:r w:rsidRPr="00D337FA">
        <w:rPr>
          <w:bCs/>
        </w:rPr>
        <w:t>акцентирует</w:t>
      </w:r>
      <w:r w:rsidR="006C680D" w:rsidRPr="00D337FA">
        <w:rPr>
          <w:bCs/>
        </w:rPr>
        <w:t xml:space="preserve"> </w:t>
      </w:r>
      <w:r w:rsidRPr="00D337FA">
        <w:rPr>
          <w:bCs/>
        </w:rPr>
        <w:t>внимание</w:t>
      </w:r>
      <w:r w:rsidR="006C680D" w:rsidRPr="00D337FA">
        <w:rPr>
          <w:bCs/>
        </w:rPr>
        <w:t xml:space="preserve"> </w:t>
      </w:r>
      <w:r w:rsidRPr="00D337FA">
        <w:rPr>
          <w:bCs/>
        </w:rPr>
        <w:t>на</w:t>
      </w:r>
      <w:r w:rsidR="006C680D" w:rsidRPr="00D337FA">
        <w:rPr>
          <w:bCs/>
        </w:rPr>
        <w:t xml:space="preserve"> </w:t>
      </w:r>
      <w:r w:rsidRPr="00D337FA">
        <w:rPr>
          <w:bCs/>
        </w:rPr>
        <w:t>уровне</w:t>
      </w:r>
      <w:r w:rsidR="006C680D" w:rsidRPr="00D337FA">
        <w:rPr>
          <w:bCs/>
        </w:rPr>
        <w:t xml:space="preserve"> </w:t>
      </w:r>
      <w:r w:rsidRPr="00D337FA">
        <w:rPr>
          <w:bCs/>
        </w:rPr>
        <w:t>концентрации</w:t>
      </w:r>
      <w:r w:rsidR="006C680D" w:rsidRPr="00D337FA">
        <w:rPr>
          <w:bCs/>
        </w:rPr>
        <w:t xml:space="preserve"> </w:t>
      </w:r>
      <w:r w:rsidRPr="00D337FA">
        <w:rPr>
          <w:bCs/>
        </w:rPr>
        <w:t>рынка,</w:t>
      </w:r>
      <w:r w:rsidR="006C680D" w:rsidRPr="00D337FA">
        <w:rPr>
          <w:bCs/>
        </w:rPr>
        <w:t xml:space="preserve"> </w:t>
      </w:r>
      <w:r w:rsidRPr="00D337FA">
        <w:rPr>
          <w:bCs/>
        </w:rPr>
        <w:t>барьерах</w:t>
      </w:r>
      <w:r w:rsidR="006C680D" w:rsidRPr="00D337FA">
        <w:rPr>
          <w:bCs/>
        </w:rPr>
        <w:t xml:space="preserve"> </w:t>
      </w:r>
      <w:r w:rsidRPr="00D337FA">
        <w:rPr>
          <w:bCs/>
        </w:rPr>
        <w:t>входа,</w:t>
      </w:r>
      <w:r w:rsidR="006C680D" w:rsidRPr="00D337FA">
        <w:rPr>
          <w:bCs/>
        </w:rPr>
        <w:t xml:space="preserve"> </w:t>
      </w:r>
      <w:r w:rsidRPr="00D337FA">
        <w:rPr>
          <w:bCs/>
        </w:rPr>
        <w:t>силе</w:t>
      </w:r>
      <w:r w:rsidR="006C680D" w:rsidRPr="00D337FA">
        <w:rPr>
          <w:bCs/>
        </w:rPr>
        <w:t xml:space="preserve"> </w:t>
      </w:r>
      <w:r w:rsidRPr="00D337FA">
        <w:rPr>
          <w:bCs/>
        </w:rPr>
        <w:t>покупателей</w:t>
      </w:r>
      <w:r w:rsidR="006C680D" w:rsidRPr="00D337FA">
        <w:rPr>
          <w:bCs/>
        </w:rPr>
        <w:t xml:space="preserve"> </w:t>
      </w:r>
      <w:r w:rsidRPr="00D337FA">
        <w:rPr>
          <w:bCs/>
        </w:rPr>
        <w:t>и</w:t>
      </w:r>
      <w:r w:rsidR="006C680D" w:rsidRPr="00D337FA">
        <w:rPr>
          <w:bCs/>
        </w:rPr>
        <w:t xml:space="preserve"> </w:t>
      </w:r>
      <w:r w:rsidRPr="00D337FA">
        <w:rPr>
          <w:bCs/>
        </w:rPr>
        <w:t>поставщиков,</w:t>
      </w:r>
      <w:r w:rsidR="006C680D" w:rsidRPr="00D337FA">
        <w:rPr>
          <w:bCs/>
        </w:rPr>
        <w:t xml:space="preserve"> </w:t>
      </w:r>
      <w:r w:rsidRPr="00D337FA">
        <w:rPr>
          <w:bCs/>
        </w:rPr>
        <w:t>а</w:t>
      </w:r>
      <w:r w:rsidR="006C680D" w:rsidRPr="00D337FA">
        <w:rPr>
          <w:bCs/>
        </w:rPr>
        <w:t xml:space="preserve"> </w:t>
      </w:r>
      <w:r w:rsidRPr="00D337FA">
        <w:rPr>
          <w:bCs/>
        </w:rPr>
        <w:t>также</w:t>
      </w:r>
      <w:r w:rsidR="006C680D" w:rsidRPr="00D337FA">
        <w:rPr>
          <w:bCs/>
        </w:rPr>
        <w:t xml:space="preserve"> </w:t>
      </w:r>
      <w:r w:rsidRPr="00D337FA">
        <w:rPr>
          <w:bCs/>
        </w:rPr>
        <w:t>угрозе</w:t>
      </w:r>
      <w:r w:rsidR="006C680D" w:rsidRPr="00D337FA">
        <w:rPr>
          <w:bCs/>
        </w:rPr>
        <w:t xml:space="preserve"> </w:t>
      </w:r>
      <w:r w:rsidRPr="00D337FA">
        <w:rPr>
          <w:bCs/>
        </w:rPr>
        <w:t>со</w:t>
      </w:r>
      <w:r w:rsidR="006C680D" w:rsidRPr="00D337FA">
        <w:rPr>
          <w:bCs/>
        </w:rPr>
        <w:t xml:space="preserve"> </w:t>
      </w:r>
      <w:r w:rsidRPr="00D337FA">
        <w:rPr>
          <w:bCs/>
        </w:rPr>
        <w:t>стороны</w:t>
      </w:r>
      <w:r w:rsidR="006C680D" w:rsidRPr="00D337FA">
        <w:rPr>
          <w:bCs/>
        </w:rPr>
        <w:t xml:space="preserve"> </w:t>
      </w:r>
      <w:r w:rsidRPr="00D337FA">
        <w:rPr>
          <w:bCs/>
        </w:rPr>
        <w:t>заменителей,</w:t>
      </w:r>
      <w:r w:rsidR="006C680D" w:rsidRPr="00D337FA">
        <w:rPr>
          <w:bCs/>
        </w:rPr>
        <w:t xml:space="preserve"> </w:t>
      </w:r>
      <w:r w:rsidRPr="00D337FA">
        <w:rPr>
          <w:bCs/>
        </w:rPr>
        <w:t>включая</w:t>
      </w:r>
      <w:r w:rsidR="006C680D" w:rsidRPr="00D337FA">
        <w:rPr>
          <w:bCs/>
        </w:rPr>
        <w:t xml:space="preserve"> </w:t>
      </w:r>
      <w:r w:rsidRPr="00D337FA">
        <w:rPr>
          <w:bCs/>
        </w:rPr>
        <w:t>банковские</w:t>
      </w:r>
      <w:r w:rsidR="006C680D" w:rsidRPr="00D337FA">
        <w:rPr>
          <w:bCs/>
        </w:rPr>
        <w:t xml:space="preserve"> </w:t>
      </w:r>
      <w:r w:rsidRPr="00D337FA">
        <w:rPr>
          <w:bCs/>
        </w:rPr>
        <w:t>и</w:t>
      </w:r>
      <w:r w:rsidR="006C680D" w:rsidRPr="00D337FA">
        <w:rPr>
          <w:bCs/>
        </w:rPr>
        <w:t xml:space="preserve"> </w:t>
      </w:r>
      <w:r w:rsidRPr="00D337FA">
        <w:rPr>
          <w:bCs/>
        </w:rPr>
        <w:t>цифровые</w:t>
      </w:r>
      <w:r w:rsidR="006C680D" w:rsidRPr="00D337FA">
        <w:rPr>
          <w:bCs/>
        </w:rPr>
        <w:t xml:space="preserve"> </w:t>
      </w:r>
      <w:r w:rsidRPr="00D337FA">
        <w:rPr>
          <w:bCs/>
        </w:rPr>
        <w:t>финансовые</w:t>
      </w:r>
      <w:r w:rsidR="006C680D" w:rsidRPr="00D337FA">
        <w:rPr>
          <w:bCs/>
        </w:rPr>
        <w:t xml:space="preserve"> </w:t>
      </w:r>
      <w:r w:rsidRPr="00D337FA">
        <w:rPr>
          <w:bCs/>
        </w:rPr>
        <w:t>продукты</w:t>
      </w:r>
      <w:r w:rsidR="006C680D" w:rsidRPr="00D337FA">
        <w:rPr>
          <w:bCs/>
        </w:rPr>
        <w:t xml:space="preserve"> </w:t>
      </w:r>
      <w:r w:rsidRPr="00D337FA">
        <w:rPr>
          <w:bCs/>
        </w:rPr>
        <w:t>[1].</w:t>
      </w:r>
    </w:p>
    <w:p w:rsidR="00EC45F1" w:rsidRPr="00D337FA" w:rsidRDefault="00EC45F1" w:rsidP="000C1FE6">
      <w:pPr>
        <w:tabs>
          <w:tab w:val="left" w:pos="993"/>
        </w:tabs>
        <w:ind w:firstLine="284"/>
        <w:rPr>
          <w:bCs/>
        </w:rPr>
      </w:pPr>
      <w:r w:rsidRPr="00D337FA">
        <w:rPr>
          <w:bCs/>
        </w:rPr>
        <w:t>Ресурсно-ориентированный</w:t>
      </w:r>
      <w:r w:rsidR="006C680D" w:rsidRPr="00D337FA">
        <w:rPr>
          <w:bCs/>
        </w:rPr>
        <w:t xml:space="preserve"> </w:t>
      </w:r>
      <w:r w:rsidRPr="00D337FA">
        <w:rPr>
          <w:bCs/>
        </w:rPr>
        <w:t>подход</w:t>
      </w:r>
      <w:r w:rsidR="006C680D" w:rsidRPr="00D337FA">
        <w:rPr>
          <w:bCs/>
        </w:rPr>
        <w:t xml:space="preserve"> </w:t>
      </w:r>
      <w:r w:rsidRPr="00D337FA">
        <w:rPr>
          <w:bCs/>
        </w:rPr>
        <w:t>(Дж.</w:t>
      </w:r>
      <w:r w:rsidR="006C680D" w:rsidRPr="00D337FA">
        <w:rPr>
          <w:bCs/>
        </w:rPr>
        <w:t xml:space="preserve"> </w:t>
      </w:r>
      <w:r w:rsidRPr="00D337FA">
        <w:rPr>
          <w:bCs/>
        </w:rPr>
        <w:t>Барни,</w:t>
      </w:r>
      <w:r w:rsidR="006C680D" w:rsidRPr="00D337FA">
        <w:rPr>
          <w:bCs/>
        </w:rPr>
        <w:t xml:space="preserve"> </w:t>
      </w:r>
      <w:r w:rsidRPr="00D337FA">
        <w:rPr>
          <w:bCs/>
        </w:rPr>
        <w:t>Barney</w:t>
      </w:r>
      <w:r w:rsidR="006C680D" w:rsidRPr="00D337FA">
        <w:rPr>
          <w:bCs/>
        </w:rPr>
        <w:t xml:space="preserve"> </w:t>
      </w:r>
      <w:r w:rsidRPr="00D337FA">
        <w:rPr>
          <w:bCs/>
        </w:rPr>
        <w:t>J.</w:t>
      </w:r>
      <w:r w:rsidR="006C680D" w:rsidRPr="00D337FA">
        <w:rPr>
          <w:bCs/>
        </w:rPr>
        <w:t xml:space="preserve"> </w:t>
      </w:r>
      <w:r w:rsidRPr="00D337FA">
        <w:rPr>
          <w:bCs/>
          <w:i/>
          <w:iCs/>
        </w:rPr>
        <w:t>Firm</w:t>
      </w:r>
      <w:r w:rsidR="006C680D" w:rsidRPr="00D337FA">
        <w:rPr>
          <w:bCs/>
          <w:i/>
          <w:iCs/>
        </w:rPr>
        <w:t xml:space="preserve"> </w:t>
      </w:r>
      <w:r w:rsidRPr="00D337FA">
        <w:rPr>
          <w:bCs/>
          <w:i/>
          <w:iCs/>
        </w:rPr>
        <w:t>Resources</w:t>
      </w:r>
      <w:r w:rsidR="006C680D" w:rsidRPr="00D337FA">
        <w:rPr>
          <w:bCs/>
          <w:i/>
          <w:iCs/>
        </w:rPr>
        <w:t xml:space="preserve"> </w:t>
      </w:r>
      <w:r w:rsidRPr="00D337FA">
        <w:rPr>
          <w:bCs/>
          <w:i/>
          <w:iCs/>
        </w:rPr>
        <w:t>and</w:t>
      </w:r>
      <w:r w:rsidR="006C680D" w:rsidRPr="00D337FA">
        <w:rPr>
          <w:bCs/>
          <w:i/>
          <w:iCs/>
        </w:rPr>
        <w:t xml:space="preserve"> </w:t>
      </w:r>
      <w:r w:rsidRPr="00D337FA">
        <w:rPr>
          <w:bCs/>
          <w:i/>
          <w:iCs/>
        </w:rPr>
        <w:t>Sustained</w:t>
      </w:r>
      <w:r w:rsidR="006C680D" w:rsidRPr="00D337FA">
        <w:rPr>
          <w:bCs/>
          <w:i/>
          <w:iCs/>
        </w:rPr>
        <w:t xml:space="preserve"> </w:t>
      </w:r>
      <w:r w:rsidRPr="00D337FA">
        <w:rPr>
          <w:bCs/>
          <w:i/>
          <w:iCs/>
        </w:rPr>
        <w:t>Competitive</w:t>
      </w:r>
      <w:r w:rsidR="006C680D" w:rsidRPr="00D337FA">
        <w:rPr>
          <w:bCs/>
          <w:i/>
          <w:iCs/>
        </w:rPr>
        <w:t xml:space="preserve"> </w:t>
      </w:r>
      <w:r w:rsidRPr="00D337FA">
        <w:rPr>
          <w:bCs/>
          <w:i/>
          <w:iCs/>
        </w:rPr>
        <w:t>Advantage</w:t>
      </w:r>
      <w:r w:rsidRPr="00D337FA">
        <w:rPr>
          <w:bCs/>
        </w:rPr>
        <w:t>,</w:t>
      </w:r>
      <w:r w:rsidR="006C680D" w:rsidRPr="00D337FA">
        <w:rPr>
          <w:bCs/>
        </w:rPr>
        <w:t xml:space="preserve"> </w:t>
      </w:r>
      <w:r w:rsidRPr="00D337FA">
        <w:rPr>
          <w:bCs/>
        </w:rPr>
        <w:t>1991)</w:t>
      </w:r>
      <w:r w:rsidR="006C680D" w:rsidRPr="00D337FA">
        <w:rPr>
          <w:bCs/>
        </w:rPr>
        <w:t xml:space="preserve"> </w:t>
      </w:r>
      <w:r w:rsidRPr="00D337FA">
        <w:rPr>
          <w:bCs/>
        </w:rPr>
        <w:t>смещает</w:t>
      </w:r>
      <w:r w:rsidR="006C680D" w:rsidRPr="00D337FA">
        <w:rPr>
          <w:bCs/>
        </w:rPr>
        <w:t xml:space="preserve"> </w:t>
      </w:r>
      <w:r w:rsidRPr="00D337FA">
        <w:rPr>
          <w:bCs/>
        </w:rPr>
        <w:t>фокус</w:t>
      </w:r>
      <w:r w:rsidR="006C680D" w:rsidRPr="00D337FA">
        <w:rPr>
          <w:bCs/>
        </w:rPr>
        <w:t xml:space="preserve"> </w:t>
      </w:r>
      <w:r w:rsidRPr="00D337FA">
        <w:rPr>
          <w:bCs/>
        </w:rPr>
        <w:t>анализа</w:t>
      </w:r>
      <w:r w:rsidR="006C680D" w:rsidRPr="00D337FA">
        <w:rPr>
          <w:bCs/>
        </w:rPr>
        <w:t xml:space="preserve"> </w:t>
      </w:r>
      <w:r w:rsidRPr="00D337FA">
        <w:rPr>
          <w:bCs/>
        </w:rPr>
        <w:t>с</w:t>
      </w:r>
      <w:r w:rsidR="006C680D" w:rsidRPr="00D337FA">
        <w:rPr>
          <w:bCs/>
        </w:rPr>
        <w:t xml:space="preserve"> </w:t>
      </w:r>
      <w:r w:rsidRPr="00D337FA">
        <w:rPr>
          <w:bCs/>
        </w:rPr>
        <w:t>внешней</w:t>
      </w:r>
      <w:r w:rsidR="006C680D" w:rsidRPr="00D337FA">
        <w:rPr>
          <w:bCs/>
        </w:rPr>
        <w:t xml:space="preserve"> </w:t>
      </w:r>
      <w:r w:rsidRPr="00D337FA">
        <w:rPr>
          <w:bCs/>
        </w:rPr>
        <w:t>среды</w:t>
      </w:r>
      <w:r w:rsidR="006C680D" w:rsidRPr="00D337FA">
        <w:rPr>
          <w:bCs/>
        </w:rPr>
        <w:t xml:space="preserve"> </w:t>
      </w:r>
      <w:r w:rsidRPr="00D337FA">
        <w:rPr>
          <w:bCs/>
        </w:rPr>
        <w:t>на</w:t>
      </w:r>
      <w:r w:rsidR="006C680D" w:rsidRPr="00D337FA">
        <w:rPr>
          <w:bCs/>
        </w:rPr>
        <w:t xml:space="preserve"> </w:t>
      </w:r>
      <w:r w:rsidRPr="00D337FA">
        <w:rPr>
          <w:bCs/>
        </w:rPr>
        <w:t>внутренние</w:t>
      </w:r>
      <w:r w:rsidR="006C680D" w:rsidRPr="00D337FA">
        <w:rPr>
          <w:bCs/>
        </w:rPr>
        <w:t xml:space="preserve"> </w:t>
      </w:r>
      <w:r w:rsidRPr="00D337FA">
        <w:rPr>
          <w:bCs/>
        </w:rPr>
        <w:t>ресурсы</w:t>
      </w:r>
      <w:r w:rsidR="006C680D" w:rsidRPr="00D337FA">
        <w:rPr>
          <w:bCs/>
        </w:rPr>
        <w:t xml:space="preserve"> </w:t>
      </w:r>
      <w:r w:rsidRPr="00D337FA">
        <w:rPr>
          <w:bCs/>
        </w:rPr>
        <w:t>и</w:t>
      </w:r>
      <w:r w:rsidR="006C680D" w:rsidRPr="00D337FA">
        <w:rPr>
          <w:bCs/>
        </w:rPr>
        <w:t xml:space="preserve"> </w:t>
      </w:r>
      <w:r w:rsidRPr="00D337FA">
        <w:rPr>
          <w:bCs/>
        </w:rPr>
        <w:t>компетенции</w:t>
      </w:r>
      <w:r w:rsidR="006C680D" w:rsidRPr="00D337FA">
        <w:rPr>
          <w:bCs/>
        </w:rPr>
        <w:t xml:space="preserve"> </w:t>
      </w:r>
      <w:r w:rsidRPr="00D337FA">
        <w:rPr>
          <w:bCs/>
        </w:rPr>
        <w:t>организации</w:t>
      </w:r>
      <w:r w:rsidR="006C680D" w:rsidRPr="00D337FA">
        <w:rPr>
          <w:bCs/>
        </w:rPr>
        <w:t xml:space="preserve"> </w:t>
      </w:r>
      <w:r w:rsidRPr="00D337FA">
        <w:rPr>
          <w:bCs/>
        </w:rPr>
        <w:t>в</w:t>
      </w:r>
      <w:r w:rsidR="006C680D" w:rsidRPr="00D337FA">
        <w:rPr>
          <w:bCs/>
        </w:rPr>
        <w:t xml:space="preserve"> </w:t>
      </w:r>
      <w:r w:rsidRPr="00D337FA">
        <w:rPr>
          <w:bCs/>
        </w:rPr>
        <w:t>рамках</w:t>
      </w:r>
      <w:r w:rsidR="006C680D" w:rsidRPr="00D337FA">
        <w:rPr>
          <w:bCs/>
        </w:rPr>
        <w:t xml:space="preserve"> </w:t>
      </w:r>
      <w:r w:rsidRPr="00D337FA">
        <w:rPr>
          <w:bCs/>
        </w:rPr>
        <w:t>формирования</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Согласно</w:t>
      </w:r>
      <w:r w:rsidR="006C680D" w:rsidRPr="00D337FA">
        <w:rPr>
          <w:bCs/>
        </w:rPr>
        <w:t xml:space="preserve"> </w:t>
      </w:r>
      <w:r w:rsidRPr="00D337FA">
        <w:rPr>
          <w:bCs/>
        </w:rPr>
        <w:t>данной</w:t>
      </w:r>
      <w:r w:rsidR="006C680D" w:rsidRPr="00D337FA">
        <w:rPr>
          <w:bCs/>
        </w:rPr>
        <w:t xml:space="preserve"> </w:t>
      </w:r>
      <w:r w:rsidRPr="00D337FA">
        <w:rPr>
          <w:bCs/>
        </w:rPr>
        <w:t>концепции</w:t>
      </w:r>
      <w:r w:rsidR="006C680D" w:rsidRPr="00D337FA">
        <w:rPr>
          <w:bCs/>
        </w:rPr>
        <w:t xml:space="preserve"> </w:t>
      </w:r>
      <w:r w:rsidRPr="00D337FA">
        <w:rPr>
          <w:bCs/>
        </w:rPr>
        <w:t>устойчивые</w:t>
      </w:r>
      <w:r w:rsidR="006C680D" w:rsidRPr="00D337FA">
        <w:rPr>
          <w:bCs/>
        </w:rPr>
        <w:t xml:space="preserve"> </w:t>
      </w:r>
      <w:r w:rsidRPr="00D337FA">
        <w:rPr>
          <w:bCs/>
        </w:rPr>
        <w:t>конкурентные</w:t>
      </w:r>
      <w:r w:rsidR="006C680D" w:rsidRPr="00D337FA">
        <w:rPr>
          <w:bCs/>
        </w:rPr>
        <w:t xml:space="preserve"> </w:t>
      </w:r>
      <w:r w:rsidRPr="00D337FA">
        <w:rPr>
          <w:bCs/>
        </w:rPr>
        <w:t>преимущества</w:t>
      </w:r>
      <w:r w:rsidR="006C680D" w:rsidRPr="00D337FA">
        <w:rPr>
          <w:bCs/>
        </w:rPr>
        <w:t xml:space="preserve"> </w:t>
      </w:r>
      <w:r w:rsidRPr="00D337FA">
        <w:rPr>
          <w:bCs/>
        </w:rPr>
        <w:t>формируются</w:t>
      </w:r>
      <w:r w:rsidR="006C680D" w:rsidRPr="00D337FA">
        <w:rPr>
          <w:bCs/>
        </w:rPr>
        <w:t xml:space="preserve"> </w:t>
      </w:r>
      <w:r w:rsidRPr="00D337FA">
        <w:rPr>
          <w:bCs/>
        </w:rPr>
        <w:t>за</w:t>
      </w:r>
      <w:r w:rsidR="006C680D" w:rsidRPr="00D337FA">
        <w:rPr>
          <w:bCs/>
        </w:rPr>
        <w:t xml:space="preserve"> </w:t>
      </w:r>
      <w:r w:rsidRPr="00D337FA">
        <w:rPr>
          <w:bCs/>
        </w:rPr>
        <w:t>счёт</w:t>
      </w:r>
      <w:r w:rsidR="006C680D" w:rsidRPr="00D337FA">
        <w:rPr>
          <w:bCs/>
        </w:rPr>
        <w:t xml:space="preserve"> </w:t>
      </w:r>
      <w:r w:rsidRPr="00D337FA">
        <w:rPr>
          <w:bCs/>
        </w:rPr>
        <w:t>обладания</w:t>
      </w:r>
      <w:r w:rsidR="006C680D" w:rsidRPr="00D337FA">
        <w:rPr>
          <w:bCs/>
        </w:rPr>
        <w:t xml:space="preserve"> </w:t>
      </w:r>
      <w:r w:rsidRPr="00D337FA">
        <w:rPr>
          <w:bCs/>
        </w:rPr>
        <w:t>ценными,</w:t>
      </w:r>
      <w:r w:rsidR="006C680D" w:rsidRPr="00D337FA">
        <w:rPr>
          <w:bCs/>
        </w:rPr>
        <w:t xml:space="preserve"> </w:t>
      </w:r>
      <w:r w:rsidRPr="00D337FA">
        <w:rPr>
          <w:bCs/>
        </w:rPr>
        <w:t>редкими,</w:t>
      </w:r>
      <w:r w:rsidR="006C680D" w:rsidRPr="00D337FA">
        <w:rPr>
          <w:bCs/>
        </w:rPr>
        <w:t xml:space="preserve"> </w:t>
      </w:r>
      <w:r w:rsidRPr="00D337FA">
        <w:rPr>
          <w:bCs/>
        </w:rPr>
        <w:t>трудно</w:t>
      </w:r>
      <w:r w:rsidR="006C680D" w:rsidRPr="00D337FA">
        <w:rPr>
          <w:bCs/>
        </w:rPr>
        <w:t xml:space="preserve"> </w:t>
      </w:r>
      <w:r w:rsidRPr="00D337FA">
        <w:rPr>
          <w:bCs/>
        </w:rPr>
        <w:t>имитируемыми</w:t>
      </w:r>
      <w:r w:rsidR="006C680D" w:rsidRPr="00D337FA">
        <w:rPr>
          <w:bCs/>
        </w:rPr>
        <w:t xml:space="preserve"> </w:t>
      </w:r>
      <w:r w:rsidRPr="00D337FA">
        <w:rPr>
          <w:bCs/>
        </w:rPr>
        <w:t>и</w:t>
      </w:r>
      <w:r w:rsidR="006C680D" w:rsidRPr="00D337FA">
        <w:rPr>
          <w:bCs/>
        </w:rPr>
        <w:t xml:space="preserve"> </w:t>
      </w:r>
      <w:r w:rsidRPr="00D337FA">
        <w:rPr>
          <w:bCs/>
        </w:rPr>
        <w:t>организационно</w:t>
      </w:r>
      <w:r w:rsidR="006C680D" w:rsidRPr="00D337FA">
        <w:rPr>
          <w:bCs/>
        </w:rPr>
        <w:t xml:space="preserve"> </w:t>
      </w:r>
      <w:r w:rsidRPr="00D337FA">
        <w:rPr>
          <w:bCs/>
        </w:rPr>
        <w:t>встроенными</w:t>
      </w:r>
      <w:r w:rsidR="006C680D" w:rsidRPr="00D337FA">
        <w:rPr>
          <w:bCs/>
        </w:rPr>
        <w:t xml:space="preserve"> </w:t>
      </w:r>
      <w:r w:rsidRPr="00D337FA">
        <w:rPr>
          <w:bCs/>
        </w:rPr>
        <w:t>ресурсами</w:t>
      </w:r>
      <w:r w:rsidR="006C680D" w:rsidRPr="00D337FA">
        <w:rPr>
          <w:bCs/>
        </w:rPr>
        <w:t xml:space="preserve"> </w:t>
      </w:r>
      <w:r w:rsidRPr="00D337FA">
        <w:rPr>
          <w:bCs/>
        </w:rPr>
        <w:t>(VRIO-подход).</w:t>
      </w:r>
      <w:r w:rsidR="006C680D" w:rsidRPr="00D337FA">
        <w:rPr>
          <w:bCs/>
        </w:rPr>
        <w:t xml:space="preserve"> </w:t>
      </w:r>
      <w:r w:rsidRPr="00D337FA">
        <w:rPr>
          <w:bCs/>
        </w:rPr>
        <w:t>Для</w:t>
      </w:r>
      <w:r w:rsidR="006C680D" w:rsidRPr="00D337FA">
        <w:rPr>
          <w:bCs/>
        </w:rPr>
        <w:t xml:space="preserve"> </w:t>
      </w:r>
      <w:r w:rsidRPr="00D337FA">
        <w:rPr>
          <w:bCs/>
        </w:rPr>
        <w:t>страховых</w:t>
      </w:r>
      <w:r w:rsidR="006C680D" w:rsidRPr="00D337FA">
        <w:rPr>
          <w:bCs/>
        </w:rPr>
        <w:t xml:space="preserve"> </w:t>
      </w:r>
      <w:r w:rsidRPr="00D337FA">
        <w:rPr>
          <w:bCs/>
        </w:rPr>
        <w:t>компаний</w:t>
      </w:r>
      <w:r w:rsidR="006C680D" w:rsidRPr="00D337FA">
        <w:rPr>
          <w:bCs/>
        </w:rPr>
        <w:t xml:space="preserve"> </w:t>
      </w:r>
      <w:r w:rsidRPr="00D337FA">
        <w:rPr>
          <w:bCs/>
        </w:rPr>
        <w:t>такими</w:t>
      </w:r>
      <w:r w:rsidR="006C680D" w:rsidRPr="00D337FA">
        <w:rPr>
          <w:bCs/>
        </w:rPr>
        <w:t xml:space="preserve"> </w:t>
      </w:r>
      <w:r w:rsidRPr="00D337FA">
        <w:rPr>
          <w:bCs/>
        </w:rPr>
        <w:t>ресурсами</w:t>
      </w:r>
      <w:r w:rsidR="006C680D" w:rsidRPr="00D337FA">
        <w:rPr>
          <w:bCs/>
        </w:rPr>
        <w:t xml:space="preserve"> </w:t>
      </w:r>
      <w:r w:rsidRPr="00D337FA">
        <w:rPr>
          <w:bCs/>
        </w:rPr>
        <w:t>выступают</w:t>
      </w:r>
      <w:r w:rsidR="006C680D" w:rsidRPr="00D337FA">
        <w:rPr>
          <w:bCs/>
        </w:rPr>
        <w:t xml:space="preserve"> </w:t>
      </w:r>
      <w:r w:rsidRPr="00D337FA">
        <w:rPr>
          <w:bCs/>
        </w:rPr>
        <w:t>репутационный</w:t>
      </w:r>
      <w:r w:rsidR="006C680D" w:rsidRPr="00D337FA">
        <w:rPr>
          <w:bCs/>
        </w:rPr>
        <w:t xml:space="preserve"> </w:t>
      </w:r>
      <w:r w:rsidRPr="00D337FA">
        <w:rPr>
          <w:bCs/>
        </w:rPr>
        <w:t>капитал,</w:t>
      </w:r>
      <w:r w:rsidR="006C680D" w:rsidRPr="00D337FA">
        <w:rPr>
          <w:bCs/>
        </w:rPr>
        <w:t xml:space="preserve"> </w:t>
      </w:r>
      <w:r w:rsidRPr="00D337FA">
        <w:rPr>
          <w:bCs/>
        </w:rPr>
        <w:t>клиентские</w:t>
      </w:r>
      <w:r w:rsidR="006C680D" w:rsidRPr="00D337FA">
        <w:rPr>
          <w:bCs/>
        </w:rPr>
        <w:t xml:space="preserve"> </w:t>
      </w:r>
      <w:r w:rsidRPr="00D337FA">
        <w:rPr>
          <w:bCs/>
        </w:rPr>
        <w:t>базы,</w:t>
      </w:r>
      <w:r w:rsidR="006C680D" w:rsidRPr="00D337FA">
        <w:rPr>
          <w:bCs/>
        </w:rPr>
        <w:t xml:space="preserve"> </w:t>
      </w:r>
      <w:r w:rsidRPr="00D337FA">
        <w:rPr>
          <w:bCs/>
        </w:rPr>
        <w:t>актуарная</w:t>
      </w:r>
      <w:r w:rsidR="006C680D" w:rsidRPr="00D337FA">
        <w:rPr>
          <w:bCs/>
        </w:rPr>
        <w:t xml:space="preserve"> </w:t>
      </w:r>
      <w:r w:rsidRPr="00D337FA">
        <w:rPr>
          <w:bCs/>
        </w:rPr>
        <w:t>экспертиза,</w:t>
      </w:r>
      <w:r w:rsidR="006C680D" w:rsidRPr="00D337FA">
        <w:rPr>
          <w:bCs/>
        </w:rPr>
        <w:t xml:space="preserve"> </w:t>
      </w:r>
      <w:r w:rsidRPr="00D337FA">
        <w:rPr>
          <w:bCs/>
        </w:rPr>
        <w:t>инновационные</w:t>
      </w:r>
      <w:r w:rsidR="006C680D" w:rsidRPr="00D337FA">
        <w:rPr>
          <w:bCs/>
        </w:rPr>
        <w:t xml:space="preserve"> </w:t>
      </w:r>
      <w:r w:rsidRPr="00D337FA">
        <w:rPr>
          <w:bCs/>
        </w:rPr>
        <w:t>решения,</w:t>
      </w:r>
      <w:r w:rsidR="006C680D" w:rsidRPr="00D337FA">
        <w:rPr>
          <w:bCs/>
        </w:rPr>
        <w:t xml:space="preserve"> </w:t>
      </w:r>
      <w:r w:rsidRPr="00D337FA">
        <w:rPr>
          <w:bCs/>
        </w:rPr>
        <w:t>включающие</w:t>
      </w:r>
      <w:r w:rsidR="006C680D" w:rsidRPr="00D337FA">
        <w:rPr>
          <w:bCs/>
        </w:rPr>
        <w:t xml:space="preserve"> </w:t>
      </w:r>
      <w:r w:rsidRPr="00D337FA">
        <w:rPr>
          <w:bCs/>
        </w:rPr>
        <w:t>цифровые</w:t>
      </w:r>
      <w:r w:rsidR="006C680D" w:rsidRPr="00D337FA">
        <w:rPr>
          <w:bCs/>
        </w:rPr>
        <w:t xml:space="preserve"> </w:t>
      </w:r>
      <w:r w:rsidRPr="00D337FA">
        <w:rPr>
          <w:bCs/>
        </w:rPr>
        <w:t>платформы,</w:t>
      </w:r>
      <w:r w:rsidR="006C680D" w:rsidRPr="00D337FA">
        <w:rPr>
          <w:bCs/>
        </w:rPr>
        <w:t xml:space="preserve"> </w:t>
      </w:r>
      <w:r w:rsidRPr="00D337FA">
        <w:rPr>
          <w:bCs/>
        </w:rPr>
        <w:t>а</w:t>
      </w:r>
      <w:r w:rsidR="006C680D" w:rsidRPr="00D337FA">
        <w:rPr>
          <w:bCs/>
        </w:rPr>
        <w:t xml:space="preserve"> </w:t>
      </w:r>
      <w:r w:rsidRPr="00D337FA">
        <w:rPr>
          <w:bCs/>
        </w:rPr>
        <w:t>также</w:t>
      </w:r>
      <w:r w:rsidR="006C680D" w:rsidRPr="00D337FA">
        <w:rPr>
          <w:bCs/>
        </w:rPr>
        <w:t xml:space="preserve"> </w:t>
      </w:r>
      <w:r w:rsidRPr="00D337FA">
        <w:rPr>
          <w:bCs/>
        </w:rPr>
        <w:t>управленческие</w:t>
      </w:r>
      <w:r w:rsidR="006C680D" w:rsidRPr="00D337FA">
        <w:rPr>
          <w:bCs/>
        </w:rPr>
        <w:t xml:space="preserve"> </w:t>
      </w:r>
      <w:r w:rsidRPr="00D337FA">
        <w:rPr>
          <w:bCs/>
        </w:rPr>
        <w:t>компетенции</w:t>
      </w:r>
      <w:r w:rsidR="006C680D" w:rsidRPr="00D337FA">
        <w:rPr>
          <w:bCs/>
        </w:rPr>
        <w:t xml:space="preserve"> </w:t>
      </w:r>
      <w:r w:rsidRPr="00D337FA">
        <w:rPr>
          <w:bCs/>
        </w:rPr>
        <w:t>в</w:t>
      </w:r>
      <w:r w:rsidR="006C680D" w:rsidRPr="00D337FA">
        <w:rPr>
          <w:bCs/>
        </w:rPr>
        <w:t xml:space="preserve"> </w:t>
      </w:r>
      <w:r w:rsidRPr="00D337FA">
        <w:rPr>
          <w:bCs/>
        </w:rPr>
        <w:t>сфере</w:t>
      </w:r>
      <w:r w:rsidR="006C680D" w:rsidRPr="00D337FA">
        <w:rPr>
          <w:bCs/>
        </w:rPr>
        <w:t xml:space="preserve"> </w:t>
      </w:r>
      <w:r w:rsidRPr="00D337FA">
        <w:rPr>
          <w:bCs/>
        </w:rPr>
        <w:t>риск-менеджмента</w:t>
      </w:r>
      <w:r w:rsidR="006C680D" w:rsidRPr="00D337FA">
        <w:rPr>
          <w:bCs/>
        </w:rPr>
        <w:t xml:space="preserve"> </w:t>
      </w:r>
      <w:r w:rsidRPr="00D337FA">
        <w:rPr>
          <w:bCs/>
        </w:rPr>
        <w:t>[2].</w:t>
      </w:r>
    </w:p>
    <w:p w:rsidR="00EC45F1" w:rsidRPr="00D337FA" w:rsidRDefault="00EC45F1" w:rsidP="000C1FE6">
      <w:pPr>
        <w:tabs>
          <w:tab w:val="left" w:pos="993"/>
        </w:tabs>
        <w:ind w:firstLine="284"/>
        <w:rPr>
          <w:bCs/>
        </w:rPr>
      </w:pPr>
      <w:r w:rsidRPr="00D337FA">
        <w:rPr>
          <w:bCs/>
        </w:rPr>
        <w:t>Развитие</w:t>
      </w:r>
      <w:r w:rsidR="006C680D" w:rsidRPr="00D337FA">
        <w:rPr>
          <w:bCs/>
        </w:rPr>
        <w:t xml:space="preserve"> </w:t>
      </w:r>
      <w:r w:rsidRPr="00D337FA">
        <w:rPr>
          <w:bCs/>
        </w:rPr>
        <w:t>ресурсного</w:t>
      </w:r>
      <w:r w:rsidR="006C680D" w:rsidRPr="00D337FA">
        <w:rPr>
          <w:bCs/>
        </w:rPr>
        <w:t xml:space="preserve"> </w:t>
      </w:r>
      <w:r w:rsidRPr="00D337FA">
        <w:rPr>
          <w:bCs/>
        </w:rPr>
        <w:t>подхода</w:t>
      </w:r>
      <w:r w:rsidR="006C680D" w:rsidRPr="00D337FA">
        <w:rPr>
          <w:bCs/>
        </w:rPr>
        <w:t xml:space="preserve"> </w:t>
      </w:r>
      <w:r w:rsidRPr="00D337FA">
        <w:rPr>
          <w:bCs/>
        </w:rPr>
        <w:t>нашло</w:t>
      </w:r>
      <w:r w:rsidR="006C680D" w:rsidRPr="00D337FA">
        <w:rPr>
          <w:bCs/>
        </w:rPr>
        <w:t xml:space="preserve"> </w:t>
      </w:r>
      <w:r w:rsidRPr="00D337FA">
        <w:rPr>
          <w:bCs/>
        </w:rPr>
        <w:t>отражение</w:t>
      </w:r>
      <w:r w:rsidR="006C680D" w:rsidRPr="00D337FA">
        <w:rPr>
          <w:bCs/>
        </w:rPr>
        <w:t xml:space="preserve"> </w:t>
      </w:r>
      <w:r w:rsidRPr="00D337FA">
        <w:rPr>
          <w:bCs/>
        </w:rPr>
        <w:t>в</w:t>
      </w:r>
      <w:r w:rsidR="006C680D" w:rsidRPr="00D337FA">
        <w:rPr>
          <w:bCs/>
        </w:rPr>
        <w:t xml:space="preserve"> </w:t>
      </w:r>
      <w:r w:rsidRPr="00D337FA">
        <w:rPr>
          <w:bCs/>
        </w:rPr>
        <w:t>концепции</w:t>
      </w:r>
      <w:r w:rsidR="006C680D" w:rsidRPr="00D337FA">
        <w:rPr>
          <w:bCs/>
        </w:rPr>
        <w:t xml:space="preserve"> </w:t>
      </w:r>
      <w:r w:rsidRPr="00D337FA">
        <w:rPr>
          <w:bCs/>
        </w:rPr>
        <w:t>ключевых</w:t>
      </w:r>
      <w:r w:rsidR="006C680D" w:rsidRPr="00D337FA">
        <w:rPr>
          <w:bCs/>
        </w:rPr>
        <w:t xml:space="preserve"> </w:t>
      </w:r>
      <w:r w:rsidRPr="00D337FA">
        <w:rPr>
          <w:bCs/>
        </w:rPr>
        <w:t>компетенций</w:t>
      </w:r>
      <w:r w:rsidR="006C680D" w:rsidRPr="00D337FA">
        <w:rPr>
          <w:bCs/>
        </w:rPr>
        <w:t xml:space="preserve"> </w:t>
      </w:r>
      <w:r w:rsidRPr="00D337FA">
        <w:rPr>
          <w:bCs/>
        </w:rPr>
        <w:t>Г.</w:t>
      </w:r>
      <w:r w:rsidR="006C680D" w:rsidRPr="00D337FA">
        <w:rPr>
          <w:bCs/>
        </w:rPr>
        <w:t xml:space="preserve"> </w:t>
      </w:r>
      <w:r w:rsidRPr="00D337FA">
        <w:rPr>
          <w:bCs/>
        </w:rPr>
        <w:t>Хамела</w:t>
      </w:r>
      <w:r w:rsidR="006C680D" w:rsidRPr="00D337FA">
        <w:rPr>
          <w:bCs/>
        </w:rPr>
        <w:t xml:space="preserve"> </w:t>
      </w:r>
      <w:r w:rsidRPr="00D337FA">
        <w:rPr>
          <w:bCs/>
        </w:rPr>
        <w:t>и</w:t>
      </w:r>
      <w:r w:rsidR="006C680D" w:rsidRPr="00D337FA">
        <w:rPr>
          <w:bCs/>
        </w:rPr>
        <w:t xml:space="preserve"> </w:t>
      </w:r>
      <w:r w:rsidRPr="00D337FA">
        <w:rPr>
          <w:bCs/>
        </w:rPr>
        <w:t>К.</w:t>
      </w:r>
      <w:r w:rsidR="006C680D" w:rsidRPr="00D337FA">
        <w:rPr>
          <w:bCs/>
        </w:rPr>
        <w:t xml:space="preserve"> </w:t>
      </w:r>
      <w:r w:rsidRPr="00D337FA">
        <w:rPr>
          <w:bCs/>
        </w:rPr>
        <w:t>Прахалада</w:t>
      </w:r>
      <w:r w:rsidR="006C680D" w:rsidRPr="00D337FA">
        <w:rPr>
          <w:bCs/>
        </w:rPr>
        <w:t xml:space="preserve"> </w:t>
      </w:r>
      <w:r w:rsidRPr="00D337FA">
        <w:rPr>
          <w:bCs/>
        </w:rPr>
        <w:t>(Hamel</w:t>
      </w:r>
      <w:r w:rsidR="006C680D" w:rsidRPr="00D337FA">
        <w:rPr>
          <w:bCs/>
        </w:rPr>
        <w:t xml:space="preserve"> </w:t>
      </w:r>
      <w:r w:rsidRPr="00D337FA">
        <w:rPr>
          <w:bCs/>
        </w:rPr>
        <w:t>G.,</w:t>
      </w:r>
      <w:r w:rsidR="006C680D" w:rsidRPr="00D337FA">
        <w:rPr>
          <w:bCs/>
        </w:rPr>
        <w:t xml:space="preserve"> </w:t>
      </w:r>
      <w:r w:rsidRPr="00D337FA">
        <w:rPr>
          <w:bCs/>
        </w:rPr>
        <w:t>Prahalad</w:t>
      </w:r>
      <w:r w:rsidR="006C680D" w:rsidRPr="00D337FA">
        <w:rPr>
          <w:bCs/>
        </w:rPr>
        <w:t xml:space="preserve"> </w:t>
      </w:r>
      <w:r w:rsidRPr="00D337FA">
        <w:rPr>
          <w:bCs/>
        </w:rPr>
        <w:t>C.K.</w:t>
      </w:r>
      <w:r w:rsidR="006C680D" w:rsidRPr="00D337FA">
        <w:rPr>
          <w:bCs/>
        </w:rPr>
        <w:t xml:space="preserve"> </w:t>
      </w:r>
      <w:r w:rsidRPr="00D337FA">
        <w:rPr>
          <w:bCs/>
          <w:i/>
          <w:iCs/>
        </w:rPr>
        <w:t>The</w:t>
      </w:r>
      <w:r w:rsidR="006C680D" w:rsidRPr="00D337FA">
        <w:rPr>
          <w:bCs/>
          <w:i/>
          <w:iCs/>
        </w:rPr>
        <w:t xml:space="preserve"> </w:t>
      </w:r>
      <w:r w:rsidRPr="00D337FA">
        <w:rPr>
          <w:bCs/>
          <w:i/>
          <w:iCs/>
        </w:rPr>
        <w:t>Core</w:t>
      </w:r>
      <w:r w:rsidR="006C680D" w:rsidRPr="00D337FA">
        <w:rPr>
          <w:bCs/>
          <w:i/>
          <w:iCs/>
        </w:rPr>
        <w:t xml:space="preserve"> </w:t>
      </w:r>
      <w:r w:rsidRPr="00D337FA">
        <w:rPr>
          <w:bCs/>
          <w:i/>
          <w:iCs/>
        </w:rPr>
        <w:t>Competence</w:t>
      </w:r>
      <w:r w:rsidR="006C680D" w:rsidRPr="00D337FA">
        <w:rPr>
          <w:bCs/>
          <w:i/>
          <w:iCs/>
        </w:rPr>
        <w:t xml:space="preserve"> </w:t>
      </w:r>
      <w:r w:rsidRPr="00D337FA">
        <w:rPr>
          <w:bCs/>
          <w:i/>
          <w:iCs/>
        </w:rPr>
        <w:t>of</w:t>
      </w:r>
      <w:r w:rsidR="006C680D" w:rsidRPr="00D337FA">
        <w:rPr>
          <w:bCs/>
          <w:i/>
          <w:iCs/>
        </w:rPr>
        <w:t xml:space="preserve"> </w:t>
      </w:r>
      <w:r w:rsidRPr="00D337FA">
        <w:rPr>
          <w:bCs/>
          <w:i/>
          <w:iCs/>
        </w:rPr>
        <w:t>the</w:t>
      </w:r>
      <w:r w:rsidR="006C680D" w:rsidRPr="00D337FA">
        <w:rPr>
          <w:bCs/>
          <w:i/>
          <w:iCs/>
        </w:rPr>
        <w:t xml:space="preserve"> </w:t>
      </w:r>
      <w:r w:rsidRPr="00D337FA">
        <w:rPr>
          <w:bCs/>
          <w:i/>
          <w:iCs/>
        </w:rPr>
        <w:t>Corporation</w:t>
      </w:r>
      <w:r w:rsidRPr="00D337FA">
        <w:rPr>
          <w:bCs/>
        </w:rPr>
        <w:t>,</w:t>
      </w:r>
      <w:r w:rsidR="006C680D" w:rsidRPr="00D337FA">
        <w:rPr>
          <w:bCs/>
        </w:rPr>
        <w:t xml:space="preserve"> </w:t>
      </w:r>
      <w:r w:rsidRPr="00D337FA">
        <w:rPr>
          <w:bCs/>
        </w:rPr>
        <w:t>1990),</w:t>
      </w:r>
      <w:r w:rsidR="006C680D" w:rsidRPr="00D337FA">
        <w:rPr>
          <w:bCs/>
        </w:rPr>
        <w:t xml:space="preserve"> </w:t>
      </w:r>
      <w:r w:rsidRPr="00D337FA">
        <w:rPr>
          <w:bCs/>
        </w:rPr>
        <w:t>согласно</w:t>
      </w:r>
      <w:r w:rsidR="006C680D" w:rsidRPr="00D337FA">
        <w:rPr>
          <w:bCs/>
        </w:rPr>
        <w:t xml:space="preserve"> </w:t>
      </w:r>
      <w:r w:rsidRPr="00D337FA">
        <w:rPr>
          <w:bCs/>
        </w:rPr>
        <w:t>которой</w:t>
      </w:r>
      <w:r w:rsidR="006C680D" w:rsidRPr="00D337FA">
        <w:rPr>
          <w:bCs/>
        </w:rPr>
        <w:t xml:space="preserve"> </w:t>
      </w:r>
      <w:r w:rsidRPr="00D337FA">
        <w:rPr>
          <w:bCs/>
        </w:rPr>
        <w:t>конкурентное</w:t>
      </w:r>
      <w:r w:rsidR="006C680D" w:rsidRPr="00D337FA">
        <w:rPr>
          <w:bCs/>
        </w:rPr>
        <w:t xml:space="preserve"> </w:t>
      </w:r>
      <w:r w:rsidRPr="00D337FA">
        <w:rPr>
          <w:bCs/>
        </w:rPr>
        <w:t>преимущество</w:t>
      </w:r>
      <w:r w:rsidR="006C680D" w:rsidRPr="00D337FA">
        <w:rPr>
          <w:bCs/>
        </w:rPr>
        <w:t xml:space="preserve"> </w:t>
      </w:r>
      <w:r w:rsidRPr="00D337FA">
        <w:rPr>
          <w:bCs/>
        </w:rPr>
        <w:t>формируется</w:t>
      </w:r>
      <w:r w:rsidR="006C680D" w:rsidRPr="00D337FA">
        <w:rPr>
          <w:bCs/>
        </w:rPr>
        <w:t xml:space="preserve"> </w:t>
      </w:r>
      <w:r w:rsidRPr="00D337FA">
        <w:rPr>
          <w:bCs/>
        </w:rPr>
        <w:t>на</w:t>
      </w:r>
      <w:r w:rsidR="006C680D" w:rsidRPr="00D337FA">
        <w:rPr>
          <w:bCs/>
        </w:rPr>
        <w:t xml:space="preserve"> </w:t>
      </w:r>
      <w:r w:rsidRPr="00D337FA">
        <w:rPr>
          <w:bCs/>
        </w:rPr>
        <w:t>основе</w:t>
      </w:r>
      <w:r w:rsidR="006C680D" w:rsidRPr="00D337FA">
        <w:rPr>
          <w:bCs/>
        </w:rPr>
        <w:t xml:space="preserve"> </w:t>
      </w:r>
      <w:r w:rsidRPr="00D337FA">
        <w:rPr>
          <w:bCs/>
        </w:rPr>
        <w:t>интеграции</w:t>
      </w:r>
      <w:r w:rsidR="006C680D" w:rsidRPr="00D337FA">
        <w:rPr>
          <w:bCs/>
        </w:rPr>
        <w:t xml:space="preserve"> </w:t>
      </w:r>
      <w:r w:rsidRPr="00D337FA">
        <w:rPr>
          <w:bCs/>
        </w:rPr>
        <w:t>знаний,</w:t>
      </w:r>
      <w:r w:rsidR="006C680D" w:rsidRPr="00D337FA">
        <w:rPr>
          <w:bCs/>
        </w:rPr>
        <w:t xml:space="preserve"> </w:t>
      </w:r>
      <w:r w:rsidRPr="00D337FA">
        <w:rPr>
          <w:bCs/>
        </w:rPr>
        <w:t>навыков</w:t>
      </w:r>
      <w:r w:rsidR="006C680D" w:rsidRPr="00D337FA">
        <w:rPr>
          <w:bCs/>
        </w:rPr>
        <w:t xml:space="preserve"> </w:t>
      </w:r>
      <w:r w:rsidRPr="00D337FA">
        <w:rPr>
          <w:bCs/>
        </w:rPr>
        <w:t>и</w:t>
      </w:r>
      <w:r w:rsidR="006C680D" w:rsidRPr="00D337FA">
        <w:rPr>
          <w:bCs/>
        </w:rPr>
        <w:t xml:space="preserve"> </w:t>
      </w:r>
      <w:r w:rsidRPr="00D337FA">
        <w:rPr>
          <w:bCs/>
        </w:rPr>
        <w:t>технологий,</w:t>
      </w:r>
      <w:r w:rsidR="006C680D" w:rsidRPr="00D337FA">
        <w:rPr>
          <w:bCs/>
        </w:rPr>
        <w:t xml:space="preserve"> </w:t>
      </w:r>
      <w:r w:rsidRPr="00D337FA">
        <w:rPr>
          <w:bCs/>
        </w:rPr>
        <w:t>обеспечивающих</w:t>
      </w:r>
      <w:r w:rsidR="006C680D" w:rsidRPr="00D337FA">
        <w:rPr>
          <w:bCs/>
        </w:rPr>
        <w:t xml:space="preserve"> </w:t>
      </w:r>
      <w:r w:rsidRPr="00D337FA">
        <w:rPr>
          <w:bCs/>
        </w:rPr>
        <w:t>компании</w:t>
      </w:r>
      <w:r w:rsidR="006C680D" w:rsidRPr="00D337FA">
        <w:rPr>
          <w:bCs/>
        </w:rPr>
        <w:t xml:space="preserve"> </w:t>
      </w:r>
      <w:r w:rsidRPr="00D337FA">
        <w:rPr>
          <w:bCs/>
        </w:rPr>
        <w:t>способность</w:t>
      </w:r>
      <w:r w:rsidR="006C680D" w:rsidRPr="00D337FA">
        <w:rPr>
          <w:bCs/>
        </w:rPr>
        <w:t xml:space="preserve"> </w:t>
      </w:r>
      <w:r w:rsidRPr="00D337FA">
        <w:rPr>
          <w:bCs/>
        </w:rPr>
        <w:t>создавать</w:t>
      </w:r>
      <w:r w:rsidR="006C680D" w:rsidRPr="00D337FA">
        <w:rPr>
          <w:bCs/>
        </w:rPr>
        <w:t xml:space="preserve"> </w:t>
      </w:r>
      <w:r w:rsidRPr="00D337FA">
        <w:rPr>
          <w:bCs/>
        </w:rPr>
        <w:t>уникальную</w:t>
      </w:r>
      <w:r w:rsidR="006C680D" w:rsidRPr="00D337FA">
        <w:rPr>
          <w:bCs/>
        </w:rPr>
        <w:t xml:space="preserve"> </w:t>
      </w:r>
      <w:r w:rsidRPr="00D337FA">
        <w:rPr>
          <w:bCs/>
        </w:rPr>
        <w:t>потребительскую</w:t>
      </w:r>
      <w:r w:rsidR="006C680D" w:rsidRPr="00D337FA">
        <w:rPr>
          <w:bCs/>
        </w:rPr>
        <w:t xml:space="preserve"> </w:t>
      </w:r>
      <w:r w:rsidRPr="00D337FA">
        <w:rPr>
          <w:bCs/>
        </w:rPr>
        <w:t>ценность.</w:t>
      </w:r>
      <w:r w:rsidR="006C680D" w:rsidRPr="00D337FA">
        <w:rPr>
          <w:bCs/>
        </w:rPr>
        <w:t xml:space="preserve"> </w:t>
      </w:r>
      <w:r w:rsidRPr="00D337FA">
        <w:rPr>
          <w:bCs/>
        </w:rPr>
        <w:t>В</w:t>
      </w:r>
      <w:r w:rsidR="006C680D" w:rsidRPr="00D337FA">
        <w:rPr>
          <w:bCs/>
        </w:rPr>
        <w:t xml:space="preserve"> </w:t>
      </w:r>
      <w:r w:rsidRPr="00D337FA">
        <w:rPr>
          <w:bCs/>
        </w:rPr>
        <w:t>страховании</w:t>
      </w:r>
      <w:r w:rsidR="006C680D" w:rsidRPr="00D337FA">
        <w:rPr>
          <w:bCs/>
        </w:rPr>
        <w:t xml:space="preserve"> </w:t>
      </w:r>
      <w:r w:rsidRPr="00D337FA">
        <w:rPr>
          <w:bCs/>
        </w:rPr>
        <w:t>ключевые</w:t>
      </w:r>
      <w:r w:rsidR="006C680D" w:rsidRPr="00D337FA">
        <w:rPr>
          <w:bCs/>
        </w:rPr>
        <w:t xml:space="preserve"> </w:t>
      </w:r>
      <w:r w:rsidRPr="00D337FA">
        <w:rPr>
          <w:bCs/>
        </w:rPr>
        <w:t>компетенции</w:t>
      </w:r>
      <w:r w:rsidR="006C680D" w:rsidRPr="00D337FA">
        <w:rPr>
          <w:bCs/>
        </w:rPr>
        <w:t xml:space="preserve"> </w:t>
      </w:r>
      <w:r w:rsidRPr="00D337FA">
        <w:rPr>
          <w:bCs/>
        </w:rPr>
        <w:t>проявляются</w:t>
      </w:r>
      <w:r w:rsidR="006C680D" w:rsidRPr="00D337FA">
        <w:rPr>
          <w:bCs/>
        </w:rPr>
        <w:t xml:space="preserve"> </w:t>
      </w:r>
      <w:r w:rsidRPr="00D337FA">
        <w:rPr>
          <w:bCs/>
        </w:rPr>
        <w:t>в</w:t>
      </w:r>
      <w:r w:rsidR="006C680D" w:rsidRPr="00D337FA">
        <w:rPr>
          <w:bCs/>
        </w:rPr>
        <w:t xml:space="preserve"> </w:t>
      </w:r>
      <w:r w:rsidRPr="00D337FA">
        <w:rPr>
          <w:bCs/>
        </w:rPr>
        <w:t>способности</w:t>
      </w:r>
      <w:r w:rsidR="006C680D" w:rsidRPr="00D337FA">
        <w:rPr>
          <w:bCs/>
        </w:rPr>
        <w:t xml:space="preserve"> </w:t>
      </w:r>
      <w:r w:rsidRPr="00D337FA">
        <w:rPr>
          <w:bCs/>
        </w:rPr>
        <w:t>проектировать</w:t>
      </w:r>
      <w:r w:rsidR="006C680D" w:rsidRPr="00D337FA">
        <w:rPr>
          <w:bCs/>
        </w:rPr>
        <w:t xml:space="preserve"> </w:t>
      </w:r>
      <w:r w:rsidRPr="00D337FA">
        <w:rPr>
          <w:bCs/>
        </w:rPr>
        <w:t>сложные</w:t>
      </w:r>
      <w:r w:rsidR="006C680D" w:rsidRPr="00D337FA">
        <w:rPr>
          <w:bCs/>
        </w:rPr>
        <w:t xml:space="preserve"> </w:t>
      </w:r>
      <w:r w:rsidRPr="00D337FA">
        <w:rPr>
          <w:bCs/>
        </w:rPr>
        <w:t>страховые</w:t>
      </w:r>
      <w:r w:rsidR="006C680D" w:rsidRPr="00D337FA">
        <w:rPr>
          <w:bCs/>
        </w:rPr>
        <w:t xml:space="preserve"> </w:t>
      </w:r>
      <w:r w:rsidRPr="00D337FA">
        <w:rPr>
          <w:bCs/>
        </w:rPr>
        <w:t>продукты,</w:t>
      </w:r>
      <w:r w:rsidR="006C680D" w:rsidRPr="00D337FA">
        <w:rPr>
          <w:bCs/>
        </w:rPr>
        <w:t xml:space="preserve"> </w:t>
      </w:r>
      <w:r w:rsidRPr="00D337FA">
        <w:rPr>
          <w:bCs/>
        </w:rPr>
        <w:t>управлять</w:t>
      </w:r>
      <w:r w:rsidR="006C680D" w:rsidRPr="00D337FA">
        <w:rPr>
          <w:bCs/>
        </w:rPr>
        <w:t xml:space="preserve"> </w:t>
      </w:r>
      <w:r w:rsidRPr="00D337FA">
        <w:rPr>
          <w:bCs/>
        </w:rPr>
        <w:t>клиентским</w:t>
      </w:r>
      <w:r w:rsidR="006C680D" w:rsidRPr="00D337FA">
        <w:rPr>
          <w:bCs/>
        </w:rPr>
        <w:t xml:space="preserve"> </w:t>
      </w:r>
      <w:r w:rsidRPr="00D337FA">
        <w:rPr>
          <w:bCs/>
        </w:rPr>
        <w:t>опытом</w:t>
      </w:r>
      <w:r w:rsidR="006C680D" w:rsidRPr="00D337FA">
        <w:rPr>
          <w:bCs/>
        </w:rPr>
        <w:t xml:space="preserve"> </w:t>
      </w:r>
      <w:r w:rsidRPr="00D337FA">
        <w:rPr>
          <w:bCs/>
        </w:rPr>
        <w:t>и</w:t>
      </w:r>
      <w:r w:rsidR="006C680D" w:rsidRPr="00D337FA">
        <w:rPr>
          <w:bCs/>
        </w:rPr>
        <w:t xml:space="preserve"> </w:t>
      </w:r>
      <w:r w:rsidRPr="00D337FA">
        <w:rPr>
          <w:bCs/>
        </w:rPr>
        <w:t>эффективно</w:t>
      </w:r>
      <w:r w:rsidR="006C680D" w:rsidRPr="00D337FA">
        <w:rPr>
          <w:bCs/>
        </w:rPr>
        <w:t xml:space="preserve"> </w:t>
      </w:r>
      <w:r w:rsidRPr="00D337FA">
        <w:rPr>
          <w:bCs/>
        </w:rPr>
        <w:t>урегулировать</w:t>
      </w:r>
      <w:r w:rsidR="006C680D" w:rsidRPr="00D337FA">
        <w:rPr>
          <w:bCs/>
        </w:rPr>
        <w:t xml:space="preserve"> </w:t>
      </w:r>
      <w:r w:rsidRPr="00D337FA">
        <w:rPr>
          <w:bCs/>
        </w:rPr>
        <w:t>убытки</w:t>
      </w:r>
      <w:r w:rsidR="006C680D" w:rsidRPr="00D337FA">
        <w:rPr>
          <w:bCs/>
        </w:rPr>
        <w:t xml:space="preserve"> </w:t>
      </w:r>
      <w:r w:rsidRPr="00D337FA">
        <w:rPr>
          <w:bCs/>
        </w:rPr>
        <w:t>[3].</w:t>
      </w:r>
    </w:p>
    <w:p w:rsidR="00EC45F1" w:rsidRPr="00D337FA" w:rsidRDefault="00EC45F1" w:rsidP="000C1FE6">
      <w:pPr>
        <w:tabs>
          <w:tab w:val="left" w:pos="993"/>
        </w:tabs>
        <w:ind w:firstLine="284"/>
        <w:rPr>
          <w:bCs/>
        </w:rPr>
      </w:pPr>
      <w:r w:rsidRPr="00D337FA">
        <w:rPr>
          <w:bCs/>
        </w:rPr>
        <w:t>В</w:t>
      </w:r>
      <w:r w:rsidR="006C680D" w:rsidRPr="00D337FA">
        <w:rPr>
          <w:bCs/>
        </w:rPr>
        <w:t xml:space="preserve"> </w:t>
      </w:r>
      <w:r w:rsidRPr="00D337FA">
        <w:rPr>
          <w:bCs/>
        </w:rPr>
        <w:t>условиях</w:t>
      </w:r>
      <w:r w:rsidR="006C680D" w:rsidRPr="00D337FA">
        <w:rPr>
          <w:bCs/>
        </w:rPr>
        <w:t xml:space="preserve"> </w:t>
      </w:r>
      <w:r w:rsidRPr="00D337FA">
        <w:rPr>
          <w:bCs/>
        </w:rPr>
        <w:t>высокой</w:t>
      </w:r>
      <w:r w:rsidR="006C680D" w:rsidRPr="00D337FA">
        <w:rPr>
          <w:bCs/>
        </w:rPr>
        <w:t xml:space="preserve"> </w:t>
      </w:r>
      <w:r w:rsidRPr="00D337FA">
        <w:rPr>
          <w:bCs/>
        </w:rPr>
        <w:t>неопределённости</w:t>
      </w:r>
      <w:r w:rsidR="006C680D" w:rsidRPr="00D337FA">
        <w:rPr>
          <w:bCs/>
        </w:rPr>
        <w:t xml:space="preserve"> </w:t>
      </w:r>
      <w:r w:rsidRPr="00D337FA">
        <w:rPr>
          <w:bCs/>
        </w:rPr>
        <w:t>особое</w:t>
      </w:r>
      <w:r w:rsidR="006C680D" w:rsidRPr="00D337FA">
        <w:rPr>
          <w:bCs/>
        </w:rPr>
        <w:t xml:space="preserve"> </w:t>
      </w:r>
      <w:r w:rsidRPr="00D337FA">
        <w:rPr>
          <w:bCs/>
        </w:rPr>
        <w:t>значение</w:t>
      </w:r>
      <w:r w:rsidR="006C680D" w:rsidRPr="00D337FA">
        <w:rPr>
          <w:bCs/>
        </w:rPr>
        <w:t xml:space="preserve"> </w:t>
      </w:r>
      <w:r w:rsidRPr="00D337FA">
        <w:rPr>
          <w:bCs/>
        </w:rPr>
        <w:t>приобретает</w:t>
      </w:r>
      <w:r w:rsidR="006C680D" w:rsidRPr="00D337FA">
        <w:rPr>
          <w:bCs/>
        </w:rPr>
        <w:t xml:space="preserve"> </w:t>
      </w:r>
      <w:r w:rsidRPr="00D337FA">
        <w:rPr>
          <w:bCs/>
        </w:rPr>
        <w:t>концепция</w:t>
      </w:r>
      <w:r w:rsidR="006C680D" w:rsidRPr="00D337FA">
        <w:rPr>
          <w:bCs/>
        </w:rPr>
        <w:t xml:space="preserve"> </w:t>
      </w:r>
      <w:r w:rsidRPr="00D337FA">
        <w:rPr>
          <w:bCs/>
        </w:rPr>
        <w:t>динамических</w:t>
      </w:r>
      <w:r w:rsidR="006C680D" w:rsidRPr="00D337FA">
        <w:rPr>
          <w:bCs/>
        </w:rPr>
        <w:t xml:space="preserve"> </w:t>
      </w:r>
      <w:r w:rsidRPr="00D337FA">
        <w:rPr>
          <w:bCs/>
        </w:rPr>
        <w:t>способностей,</w:t>
      </w:r>
      <w:r w:rsidR="006C680D" w:rsidRPr="00D337FA">
        <w:rPr>
          <w:bCs/>
        </w:rPr>
        <w:t xml:space="preserve"> </w:t>
      </w:r>
      <w:r w:rsidRPr="00D337FA">
        <w:rPr>
          <w:bCs/>
        </w:rPr>
        <w:t>разработанная</w:t>
      </w:r>
      <w:r w:rsidR="006C680D" w:rsidRPr="00D337FA">
        <w:rPr>
          <w:bCs/>
        </w:rPr>
        <w:t xml:space="preserve"> </w:t>
      </w:r>
      <w:r w:rsidRPr="00D337FA">
        <w:rPr>
          <w:bCs/>
        </w:rPr>
        <w:t>Д.</w:t>
      </w:r>
      <w:r w:rsidR="006C680D" w:rsidRPr="00D337FA">
        <w:rPr>
          <w:bCs/>
        </w:rPr>
        <w:t xml:space="preserve"> </w:t>
      </w:r>
      <w:r w:rsidRPr="00D337FA">
        <w:rPr>
          <w:bCs/>
        </w:rPr>
        <w:t>Тисом,</w:t>
      </w:r>
      <w:r w:rsidR="006C680D" w:rsidRPr="00D337FA">
        <w:rPr>
          <w:bCs/>
        </w:rPr>
        <w:t xml:space="preserve"> </w:t>
      </w:r>
      <w:r w:rsidRPr="00D337FA">
        <w:rPr>
          <w:bCs/>
        </w:rPr>
        <w:t>Г.</w:t>
      </w:r>
      <w:r w:rsidR="006C680D" w:rsidRPr="00D337FA">
        <w:rPr>
          <w:bCs/>
        </w:rPr>
        <w:t xml:space="preserve"> </w:t>
      </w:r>
      <w:r w:rsidRPr="00D337FA">
        <w:rPr>
          <w:bCs/>
        </w:rPr>
        <w:t>Пизано</w:t>
      </w:r>
      <w:r w:rsidR="006C680D" w:rsidRPr="00D337FA">
        <w:rPr>
          <w:bCs/>
        </w:rPr>
        <w:t xml:space="preserve"> </w:t>
      </w:r>
      <w:r w:rsidRPr="00D337FA">
        <w:rPr>
          <w:bCs/>
        </w:rPr>
        <w:t>и</w:t>
      </w:r>
      <w:r w:rsidR="006C680D" w:rsidRPr="00D337FA">
        <w:rPr>
          <w:bCs/>
        </w:rPr>
        <w:t xml:space="preserve"> </w:t>
      </w:r>
      <w:r w:rsidRPr="00D337FA">
        <w:rPr>
          <w:bCs/>
        </w:rPr>
        <w:t>Э.</w:t>
      </w:r>
      <w:r w:rsidR="006C680D" w:rsidRPr="00D337FA">
        <w:rPr>
          <w:bCs/>
        </w:rPr>
        <w:t xml:space="preserve"> </w:t>
      </w:r>
      <w:r w:rsidRPr="00D337FA">
        <w:rPr>
          <w:bCs/>
        </w:rPr>
        <w:t>Шуеном</w:t>
      </w:r>
      <w:r w:rsidR="006C680D" w:rsidRPr="00D337FA">
        <w:rPr>
          <w:bCs/>
        </w:rPr>
        <w:t xml:space="preserve"> </w:t>
      </w:r>
      <w:r w:rsidRPr="00D337FA">
        <w:rPr>
          <w:bCs/>
        </w:rPr>
        <w:t>(Teece</w:t>
      </w:r>
      <w:r w:rsidR="006C680D" w:rsidRPr="00D337FA">
        <w:rPr>
          <w:bCs/>
        </w:rPr>
        <w:t xml:space="preserve"> </w:t>
      </w:r>
      <w:r w:rsidRPr="00D337FA">
        <w:rPr>
          <w:bCs/>
        </w:rPr>
        <w:t>D.,</w:t>
      </w:r>
      <w:r w:rsidR="006C680D" w:rsidRPr="00D337FA">
        <w:rPr>
          <w:bCs/>
        </w:rPr>
        <w:t xml:space="preserve"> </w:t>
      </w:r>
      <w:r w:rsidRPr="00D337FA">
        <w:rPr>
          <w:bCs/>
        </w:rPr>
        <w:t>Pisano</w:t>
      </w:r>
      <w:r w:rsidR="006C680D" w:rsidRPr="00D337FA">
        <w:rPr>
          <w:bCs/>
        </w:rPr>
        <w:t xml:space="preserve"> </w:t>
      </w:r>
      <w:r w:rsidRPr="00D337FA">
        <w:rPr>
          <w:bCs/>
        </w:rPr>
        <w:t>G.,</w:t>
      </w:r>
      <w:r w:rsidR="006C680D" w:rsidRPr="00D337FA">
        <w:rPr>
          <w:bCs/>
        </w:rPr>
        <w:t xml:space="preserve"> </w:t>
      </w:r>
      <w:r w:rsidRPr="00D337FA">
        <w:rPr>
          <w:bCs/>
        </w:rPr>
        <w:t>Shuen</w:t>
      </w:r>
      <w:r w:rsidR="006C680D" w:rsidRPr="00D337FA">
        <w:rPr>
          <w:bCs/>
        </w:rPr>
        <w:t xml:space="preserve"> </w:t>
      </w:r>
      <w:r w:rsidRPr="00D337FA">
        <w:rPr>
          <w:bCs/>
        </w:rPr>
        <w:t>A.</w:t>
      </w:r>
      <w:r w:rsidR="006C680D" w:rsidRPr="00D337FA">
        <w:rPr>
          <w:bCs/>
        </w:rPr>
        <w:t xml:space="preserve"> </w:t>
      </w:r>
      <w:r w:rsidRPr="00D337FA">
        <w:rPr>
          <w:bCs/>
          <w:i/>
          <w:iCs/>
        </w:rPr>
        <w:t>Dynamic</w:t>
      </w:r>
      <w:r w:rsidR="006C680D" w:rsidRPr="00D337FA">
        <w:rPr>
          <w:bCs/>
          <w:i/>
          <w:iCs/>
        </w:rPr>
        <w:t xml:space="preserve"> </w:t>
      </w:r>
      <w:r w:rsidRPr="00D337FA">
        <w:rPr>
          <w:bCs/>
          <w:i/>
          <w:iCs/>
        </w:rPr>
        <w:lastRenderedPageBreak/>
        <w:t>Capabilities</w:t>
      </w:r>
      <w:r w:rsidR="006C680D" w:rsidRPr="00D337FA">
        <w:rPr>
          <w:bCs/>
          <w:i/>
          <w:iCs/>
        </w:rPr>
        <w:t xml:space="preserve"> </w:t>
      </w:r>
      <w:r w:rsidRPr="00D337FA">
        <w:rPr>
          <w:bCs/>
          <w:i/>
          <w:iCs/>
        </w:rPr>
        <w:t>and</w:t>
      </w:r>
      <w:r w:rsidR="006C680D" w:rsidRPr="00D337FA">
        <w:rPr>
          <w:bCs/>
          <w:i/>
          <w:iCs/>
        </w:rPr>
        <w:t xml:space="preserve"> </w:t>
      </w:r>
      <w:r w:rsidRPr="00D337FA">
        <w:rPr>
          <w:bCs/>
          <w:i/>
          <w:iCs/>
        </w:rPr>
        <w:t>Strategic</w:t>
      </w:r>
      <w:r w:rsidR="006C680D" w:rsidRPr="00D337FA">
        <w:rPr>
          <w:bCs/>
          <w:i/>
          <w:iCs/>
        </w:rPr>
        <w:t xml:space="preserve"> </w:t>
      </w:r>
      <w:r w:rsidRPr="00D337FA">
        <w:rPr>
          <w:bCs/>
          <w:i/>
          <w:iCs/>
        </w:rPr>
        <w:t>Management</w:t>
      </w:r>
      <w:r w:rsidRPr="00D337FA">
        <w:rPr>
          <w:bCs/>
        </w:rPr>
        <w:t>,</w:t>
      </w:r>
      <w:r w:rsidR="006C680D" w:rsidRPr="00D337FA">
        <w:rPr>
          <w:bCs/>
        </w:rPr>
        <w:t xml:space="preserve"> </w:t>
      </w:r>
      <w:r w:rsidRPr="00D337FA">
        <w:rPr>
          <w:bCs/>
        </w:rPr>
        <w:t>1997).</w:t>
      </w:r>
      <w:r w:rsidR="006C680D" w:rsidRPr="00D337FA">
        <w:rPr>
          <w:bCs/>
        </w:rPr>
        <w:t xml:space="preserve"> </w:t>
      </w:r>
      <w:r w:rsidRPr="00D337FA">
        <w:rPr>
          <w:bCs/>
        </w:rPr>
        <w:t>Данный</w:t>
      </w:r>
      <w:r w:rsidR="006C680D" w:rsidRPr="00D337FA">
        <w:rPr>
          <w:bCs/>
        </w:rPr>
        <w:t xml:space="preserve"> </w:t>
      </w:r>
      <w:r w:rsidRPr="00D337FA">
        <w:rPr>
          <w:bCs/>
        </w:rPr>
        <w:t>подход</w:t>
      </w:r>
      <w:r w:rsidR="006C680D" w:rsidRPr="00D337FA">
        <w:rPr>
          <w:bCs/>
        </w:rPr>
        <w:t xml:space="preserve"> </w:t>
      </w:r>
      <w:r w:rsidRPr="00D337FA">
        <w:rPr>
          <w:bCs/>
        </w:rPr>
        <w:t>трактует</w:t>
      </w:r>
      <w:r w:rsidR="006C680D" w:rsidRPr="00D337FA">
        <w:rPr>
          <w:bCs/>
        </w:rPr>
        <w:t xml:space="preserve"> </w:t>
      </w:r>
      <w:r w:rsidRPr="00D337FA">
        <w:rPr>
          <w:bCs/>
        </w:rPr>
        <w:t>конкурентные</w:t>
      </w:r>
      <w:r w:rsidR="006C680D" w:rsidRPr="00D337FA">
        <w:rPr>
          <w:bCs/>
        </w:rPr>
        <w:t xml:space="preserve"> </w:t>
      </w:r>
      <w:r w:rsidRPr="00D337FA">
        <w:rPr>
          <w:bCs/>
        </w:rPr>
        <w:t>преимущества</w:t>
      </w:r>
      <w:r w:rsidR="006C680D" w:rsidRPr="00D337FA">
        <w:rPr>
          <w:bCs/>
        </w:rPr>
        <w:t xml:space="preserve"> </w:t>
      </w:r>
      <w:r w:rsidRPr="00D337FA">
        <w:rPr>
          <w:bCs/>
        </w:rPr>
        <w:t>как</w:t>
      </w:r>
      <w:r w:rsidR="006C680D" w:rsidRPr="00D337FA">
        <w:rPr>
          <w:bCs/>
        </w:rPr>
        <w:t xml:space="preserve"> </w:t>
      </w:r>
      <w:r w:rsidRPr="00D337FA">
        <w:rPr>
          <w:bCs/>
        </w:rPr>
        <w:t>результат</w:t>
      </w:r>
      <w:r w:rsidR="006C680D" w:rsidRPr="00D337FA">
        <w:rPr>
          <w:bCs/>
        </w:rPr>
        <w:t xml:space="preserve"> </w:t>
      </w:r>
      <w:r w:rsidRPr="00D337FA">
        <w:rPr>
          <w:bCs/>
        </w:rPr>
        <w:t>способности</w:t>
      </w:r>
      <w:r w:rsidR="006C680D" w:rsidRPr="00D337FA">
        <w:rPr>
          <w:bCs/>
        </w:rPr>
        <w:t xml:space="preserve"> </w:t>
      </w:r>
      <w:r w:rsidRPr="00D337FA">
        <w:rPr>
          <w:bCs/>
        </w:rPr>
        <w:t>компании</w:t>
      </w:r>
      <w:r w:rsidR="006C680D" w:rsidRPr="00D337FA">
        <w:rPr>
          <w:bCs/>
        </w:rPr>
        <w:t xml:space="preserve"> </w:t>
      </w:r>
      <w:r w:rsidRPr="00D337FA">
        <w:rPr>
          <w:bCs/>
        </w:rPr>
        <w:t>своевременно</w:t>
      </w:r>
      <w:r w:rsidR="006C680D" w:rsidRPr="00D337FA">
        <w:rPr>
          <w:bCs/>
        </w:rPr>
        <w:t xml:space="preserve"> </w:t>
      </w:r>
      <w:r w:rsidRPr="00D337FA">
        <w:rPr>
          <w:bCs/>
        </w:rPr>
        <w:t>адаптировать</w:t>
      </w:r>
      <w:r w:rsidR="006C680D" w:rsidRPr="00D337FA">
        <w:rPr>
          <w:bCs/>
        </w:rPr>
        <w:t xml:space="preserve"> </w:t>
      </w:r>
      <w:r w:rsidRPr="00D337FA">
        <w:rPr>
          <w:bCs/>
        </w:rPr>
        <w:t>и</w:t>
      </w:r>
      <w:r w:rsidR="006C680D" w:rsidRPr="00D337FA">
        <w:rPr>
          <w:bCs/>
        </w:rPr>
        <w:t xml:space="preserve"> </w:t>
      </w:r>
      <w:r w:rsidRPr="00D337FA">
        <w:rPr>
          <w:bCs/>
        </w:rPr>
        <w:t>трансформировать</w:t>
      </w:r>
      <w:r w:rsidR="006C680D" w:rsidRPr="00D337FA">
        <w:rPr>
          <w:bCs/>
        </w:rPr>
        <w:t xml:space="preserve"> </w:t>
      </w:r>
      <w:r w:rsidRPr="00D337FA">
        <w:rPr>
          <w:bCs/>
        </w:rPr>
        <w:t>свои</w:t>
      </w:r>
      <w:r w:rsidR="006C680D" w:rsidRPr="00D337FA">
        <w:rPr>
          <w:bCs/>
        </w:rPr>
        <w:t xml:space="preserve"> </w:t>
      </w:r>
      <w:r w:rsidRPr="00D337FA">
        <w:rPr>
          <w:bCs/>
        </w:rPr>
        <w:t>ресурсы</w:t>
      </w:r>
      <w:r w:rsidR="006C680D" w:rsidRPr="00D337FA">
        <w:rPr>
          <w:bCs/>
        </w:rPr>
        <w:t xml:space="preserve"> </w:t>
      </w:r>
      <w:r w:rsidRPr="00D337FA">
        <w:rPr>
          <w:bCs/>
        </w:rPr>
        <w:t>и</w:t>
      </w:r>
      <w:r w:rsidR="006C680D" w:rsidRPr="00D337FA">
        <w:rPr>
          <w:bCs/>
        </w:rPr>
        <w:t xml:space="preserve"> </w:t>
      </w:r>
      <w:r w:rsidRPr="00D337FA">
        <w:rPr>
          <w:bCs/>
        </w:rPr>
        <w:t>бизнес-модели</w:t>
      </w:r>
      <w:r w:rsidR="006C680D" w:rsidRPr="00D337FA">
        <w:rPr>
          <w:bCs/>
        </w:rPr>
        <w:t xml:space="preserve"> </w:t>
      </w:r>
      <w:r w:rsidRPr="00D337FA">
        <w:rPr>
          <w:bCs/>
        </w:rPr>
        <w:t>в</w:t>
      </w:r>
      <w:r w:rsidR="006C680D" w:rsidRPr="00D337FA">
        <w:rPr>
          <w:bCs/>
        </w:rPr>
        <w:t xml:space="preserve"> </w:t>
      </w:r>
      <w:r w:rsidRPr="00D337FA">
        <w:rPr>
          <w:bCs/>
        </w:rPr>
        <w:t>ответ</w:t>
      </w:r>
      <w:r w:rsidR="006C680D" w:rsidRPr="00D337FA">
        <w:rPr>
          <w:bCs/>
        </w:rPr>
        <w:t xml:space="preserve"> </w:t>
      </w:r>
      <w:r w:rsidRPr="00D337FA">
        <w:rPr>
          <w:bCs/>
        </w:rPr>
        <w:t>на</w:t>
      </w:r>
      <w:r w:rsidR="006C680D" w:rsidRPr="00D337FA">
        <w:rPr>
          <w:bCs/>
        </w:rPr>
        <w:t xml:space="preserve"> </w:t>
      </w:r>
      <w:r w:rsidRPr="00D337FA">
        <w:rPr>
          <w:bCs/>
        </w:rPr>
        <w:t>изменения</w:t>
      </w:r>
      <w:r w:rsidR="006C680D" w:rsidRPr="00D337FA">
        <w:rPr>
          <w:bCs/>
        </w:rPr>
        <w:t xml:space="preserve"> </w:t>
      </w:r>
      <w:r w:rsidRPr="00D337FA">
        <w:rPr>
          <w:bCs/>
        </w:rPr>
        <w:t>внешней</w:t>
      </w:r>
      <w:r w:rsidR="006C680D" w:rsidRPr="00D337FA">
        <w:rPr>
          <w:bCs/>
        </w:rPr>
        <w:t xml:space="preserve"> </w:t>
      </w:r>
      <w:r w:rsidRPr="00D337FA">
        <w:rPr>
          <w:bCs/>
        </w:rPr>
        <w:t>среды.</w:t>
      </w:r>
      <w:r w:rsidR="006C680D" w:rsidRPr="00D337FA">
        <w:rPr>
          <w:bCs/>
        </w:rPr>
        <w:t xml:space="preserve"> </w:t>
      </w:r>
      <w:r w:rsidRPr="00D337FA">
        <w:rPr>
          <w:bCs/>
        </w:rPr>
        <w:t>Для</w:t>
      </w:r>
      <w:r w:rsidR="006C680D" w:rsidRPr="00D337FA">
        <w:rPr>
          <w:bCs/>
        </w:rPr>
        <w:t xml:space="preserve"> </w:t>
      </w:r>
      <w:r w:rsidRPr="00D337FA">
        <w:rPr>
          <w:bCs/>
        </w:rPr>
        <w:t>страхового</w:t>
      </w:r>
      <w:r w:rsidR="006C680D" w:rsidRPr="00D337FA">
        <w:rPr>
          <w:bCs/>
        </w:rPr>
        <w:t xml:space="preserve"> </w:t>
      </w:r>
      <w:r w:rsidRPr="00D337FA">
        <w:rPr>
          <w:bCs/>
        </w:rPr>
        <w:t>рынка</w:t>
      </w:r>
      <w:r w:rsidR="006C680D" w:rsidRPr="00D337FA">
        <w:rPr>
          <w:bCs/>
        </w:rPr>
        <w:t xml:space="preserve"> </w:t>
      </w:r>
      <w:r w:rsidRPr="00D337FA">
        <w:rPr>
          <w:bCs/>
        </w:rPr>
        <w:t>это</w:t>
      </w:r>
      <w:r w:rsidR="006C680D" w:rsidRPr="00D337FA">
        <w:rPr>
          <w:bCs/>
        </w:rPr>
        <w:t xml:space="preserve"> </w:t>
      </w:r>
      <w:r w:rsidRPr="00D337FA">
        <w:rPr>
          <w:bCs/>
        </w:rPr>
        <w:t>означает</w:t>
      </w:r>
      <w:r w:rsidR="006C680D" w:rsidRPr="00D337FA">
        <w:rPr>
          <w:bCs/>
        </w:rPr>
        <w:t xml:space="preserve"> </w:t>
      </w:r>
      <w:r w:rsidRPr="00D337FA">
        <w:rPr>
          <w:bCs/>
        </w:rPr>
        <w:t>необходимость</w:t>
      </w:r>
      <w:r w:rsidR="006C680D" w:rsidRPr="00D337FA">
        <w:rPr>
          <w:bCs/>
        </w:rPr>
        <w:t xml:space="preserve"> </w:t>
      </w:r>
      <w:r w:rsidRPr="00D337FA">
        <w:rPr>
          <w:bCs/>
        </w:rPr>
        <w:t>постоянной</w:t>
      </w:r>
      <w:r w:rsidR="006C680D" w:rsidRPr="00D337FA">
        <w:rPr>
          <w:bCs/>
        </w:rPr>
        <w:t xml:space="preserve"> </w:t>
      </w:r>
      <w:r w:rsidRPr="00D337FA">
        <w:rPr>
          <w:bCs/>
        </w:rPr>
        <w:t>корректировки</w:t>
      </w:r>
      <w:r w:rsidR="006C680D" w:rsidRPr="00D337FA">
        <w:rPr>
          <w:bCs/>
        </w:rPr>
        <w:t xml:space="preserve"> </w:t>
      </w:r>
      <w:r w:rsidRPr="00D337FA">
        <w:rPr>
          <w:bCs/>
        </w:rPr>
        <w:t>продуктовой</w:t>
      </w:r>
      <w:r w:rsidR="006C680D" w:rsidRPr="00D337FA">
        <w:rPr>
          <w:bCs/>
        </w:rPr>
        <w:t xml:space="preserve"> </w:t>
      </w:r>
      <w:r w:rsidRPr="00D337FA">
        <w:rPr>
          <w:bCs/>
        </w:rPr>
        <w:t>политики,</w:t>
      </w:r>
      <w:r w:rsidR="006C680D" w:rsidRPr="00D337FA">
        <w:rPr>
          <w:bCs/>
        </w:rPr>
        <w:t xml:space="preserve"> </w:t>
      </w:r>
      <w:r w:rsidRPr="00D337FA">
        <w:rPr>
          <w:bCs/>
        </w:rPr>
        <w:t>цифровых</w:t>
      </w:r>
      <w:r w:rsidR="006C680D" w:rsidRPr="00D337FA">
        <w:rPr>
          <w:bCs/>
        </w:rPr>
        <w:t xml:space="preserve"> </w:t>
      </w:r>
      <w:r w:rsidRPr="00D337FA">
        <w:rPr>
          <w:bCs/>
        </w:rPr>
        <w:t>каналов</w:t>
      </w:r>
      <w:r w:rsidR="006C680D" w:rsidRPr="00D337FA">
        <w:rPr>
          <w:bCs/>
        </w:rPr>
        <w:t xml:space="preserve"> </w:t>
      </w:r>
      <w:r w:rsidRPr="00D337FA">
        <w:rPr>
          <w:bCs/>
        </w:rPr>
        <w:t>продаж</w:t>
      </w:r>
      <w:r w:rsidR="006C680D" w:rsidRPr="00D337FA">
        <w:rPr>
          <w:bCs/>
        </w:rPr>
        <w:t xml:space="preserve"> </w:t>
      </w:r>
      <w:r w:rsidRPr="00D337FA">
        <w:rPr>
          <w:bCs/>
        </w:rPr>
        <w:t>и</w:t>
      </w:r>
      <w:r w:rsidR="006C680D" w:rsidRPr="00D337FA">
        <w:rPr>
          <w:bCs/>
        </w:rPr>
        <w:t xml:space="preserve"> </w:t>
      </w:r>
      <w:r w:rsidRPr="00D337FA">
        <w:rPr>
          <w:bCs/>
        </w:rPr>
        <w:t>стратегий</w:t>
      </w:r>
      <w:r w:rsidR="006C680D" w:rsidRPr="00D337FA">
        <w:rPr>
          <w:bCs/>
        </w:rPr>
        <w:t xml:space="preserve"> </w:t>
      </w:r>
      <w:r w:rsidRPr="00D337FA">
        <w:rPr>
          <w:bCs/>
        </w:rPr>
        <w:t>взаимодействия</w:t>
      </w:r>
      <w:r w:rsidR="006C680D" w:rsidRPr="00D337FA">
        <w:rPr>
          <w:bCs/>
        </w:rPr>
        <w:t xml:space="preserve"> </w:t>
      </w:r>
      <w:r w:rsidRPr="00D337FA">
        <w:rPr>
          <w:bCs/>
        </w:rPr>
        <w:t>с</w:t>
      </w:r>
      <w:r w:rsidR="006C680D" w:rsidRPr="00D337FA">
        <w:rPr>
          <w:bCs/>
        </w:rPr>
        <w:t xml:space="preserve"> </w:t>
      </w:r>
      <w:r w:rsidRPr="00D337FA">
        <w:rPr>
          <w:bCs/>
        </w:rPr>
        <w:t>клиентами</w:t>
      </w:r>
      <w:r w:rsidR="006C680D" w:rsidRPr="00D337FA">
        <w:rPr>
          <w:bCs/>
        </w:rPr>
        <w:t xml:space="preserve"> </w:t>
      </w:r>
      <w:r w:rsidRPr="00D337FA">
        <w:t>[</w:t>
      </w:r>
      <w:r w:rsidR="005411F4" w:rsidRPr="00D337FA">
        <w:t>3</w:t>
      </w:r>
      <w:r w:rsidRPr="00D337FA">
        <w:t>]</w:t>
      </w:r>
      <w:r w:rsidRPr="00D337FA">
        <w:rPr>
          <w:bCs/>
        </w:rPr>
        <w:t>.</w:t>
      </w:r>
    </w:p>
    <w:p w:rsidR="00EC45F1" w:rsidRPr="00D337FA" w:rsidRDefault="00EC45F1" w:rsidP="000C1FE6">
      <w:pPr>
        <w:tabs>
          <w:tab w:val="left" w:pos="993"/>
        </w:tabs>
        <w:ind w:firstLine="284"/>
        <w:rPr>
          <w:bCs/>
        </w:rPr>
      </w:pPr>
      <w:r w:rsidRPr="00D337FA">
        <w:rPr>
          <w:bCs/>
        </w:rPr>
        <w:t>Современные</w:t>
      </w:r>
      <w:r w:rsidR="006C680D" w:rsidRPr="00D337FA">
        <w:rPr>
          <w:bCs/>
        </w:rPr>
        <w:t xml:space="preserve"> </w:t>
      </w:r>
      <w:r w:rsidRPr="00D337FA">
        <w:rPr>
          <w:bCs/>
        </w:rPr>
        <w:t>исследования</w:t>
      </w:r>
      <w:r w:rsidR="006C680D" w:rsidRPr="00D337FA">
        <w:rPr>
          <w:bCs/>
        </w:rPr>
        <w:t xml:space="preserve"> </w:t>
      </w:r>
      <w:r w:rsidRPr="00D337FA">
        <w:rPr>
          <w:bCs/>
        </w:rPr>
        <w:t>в</w:t>
      </w:r>
      <w:r w:rsidR="006C680D" w:rsidRPr="00D337FA">
        <w:rPr>
          <w:bCs/>
        </w:rPr>
        <w:t xml:space="preserve"> </w:t>
      </w:r>
      <w:r w:rsidRPr="00D337FA">
        <w:rPr>
          <w:bCs/>
        </w:rPr>
        <w:t>области</w:t>
      </w:r>
      <w:r w:rsidR="006C680D" w:rsidRPr="00D337FA">
        <w:rPr>
          <w:bCs/>
        </w:rPr>
        <w:t xml:space="preserve"> </w:t>
      </w:r>
      <w:r w:rsidRPr="00D337FA">
        <w:rPr>
          <w:bCs/>
        </w:rPr>
        <w:t>управления</w:t>
      </w:r>
      <w:r w:rsidR="006C680D" w:rsidRPr="00D337FA">
        <w:rPr>
          <w:bCs/>
        </w:rPr>
        <w:t xml:space="preserve"> </w:t>
      </w:r>
      <w:r w:rsidRPr="00D337FA">
        <w:rPr>
          <w:bCs/>
        </w:rPr>
        <w:t>страховыми</w:t>
      </w:r>
      <w:r w:rsidR="006C680D" w:rsidRPr="00D337FA">
        <w:rPr>
          <w:bCs/>
        </w:rPr>
        <w:t xml:space="preserve"> </w:t>
      </w:r>
      <w:r w:rsidRPr="00D337FA">
        <w:rPr>
          <w:bCs/>
        </w:rPr>
        <w:t>компаниями</w:t>
      </w:r>
      <w:r w:rsidR="006C680D" w:rsidRPr="00D337FA">
        <w:rPr>
          <w:bCs/>
        </w:rPr>
        <w:t xml:space="preserve"> </w:t>
      </w:r>
      <w:r w:rsidRPr="00D337FA">
        <w:rPr>
          <w:bCs/>
        </w:rPr>
        <w:t>всё</w:t>
      </w:r>
      <w:r w:rsidR="006C680D" w:rsidRPr="00D337FA">
        <w:rPr>
          <w:bCs/>
        </w:rPr>
        <w:t xml:space="preserve"> </w:t>
      </w:r>
      <w:r w:rsidRPr="00D337FA">
        <w:rPr>
          <w:bCs/>
        </w:rPr>
        <w:t>чаще</w:t>
      </w:r>
      <w:r w:rsidR="006C680D" w:rsidRPr="00D337FA">
        <w:rPr>
          <w:bCs/>
        </w:rPr>
        <w:t xml:space="preserve"> </w:t>
      </w:r>
      <w:r w:rsidRPr="00D337FA">
        <w:rPr>
          <w:bCs/>
        </w:rPr>
        <w:t>обращаются</w:t>
      </w:r>
      <w:r w:rsidR="006C680D" w:rsidRPr="00D337FA">
        <w:rPr>
          <w:bCs/>
        </w:rPr>
        <w:t xml:space="preserve"> </w:t>
      </w:r>
      <w:r w:rsidRPr="00D337FA">
        <w:rPr>
          <w:bCs/>
        </w:rPr>
        <w:t>к</w:t>
      </w:r>
      <w:r w:rsidR="006C680D" w:rsidRPr="00D337FA">
        <w:rPr>
          <w:bCs/>
        </w:rPr>
        <w:t xml:space="preserve"> </w:t>
      </w:r>
      <w:r w:rsidRPr="00D337FA">
        <w:rPr>
          <w:bCs/>
        </w:rPr>
        <w:t>концепции</w:t>
      </w:r>
      <w:r w:rsidR="006C680D" w:rsidRPr="00D337FA">
        <w:rPr>
          <w:bCs/>
        </w:rPr>
        <w:t xml:space="preserve"> </w:t>
      </w:r>
      <w:r w:rsidRPr="00D337FA">
        <w:rPr>
          <w:bCs/>
        </w:rPr>
        <w:t>динамических</w:t>
      </w:r>
      <w:r w:rsidR="006C680D" w:rsidRPr="00D337FA">
        <w:rPr>
          <w:bCs/>
        </w:rPr>
        <w:t xml:space="preserve"> </w:t>
      </w:r>
      <w:r w:rsidRPr="00D337FA">
        <w:rPr>
          <w:bCs/>
        </w:rPr>
        <w:t>способностей,</w:t>
      </w:r>
      <w:r w:rsidR="006C680D" w:rsidRPr="00D337FA">
        <w:rPr>
          <w:bCs/>
        </w:rPr>
        <w:t xml:space="preserve"> </w:t>
      </w:r>
      <w:r w:rsidRPr="00D337FA">
        <w:rPr>
          <w:bCs/>
        </w:rPr>
        <w:t>предполагающей</w:t>
      </w:r>
      <w:r w:rsidR="006C680D" w:rsidRPr="00D337FA">
        <w:rPr>
          <w:bCs/>
        </w:rPr>
        <w:t xml:space="preserve"> </w:t>
      </w:r>
      <w:r w:rsidRPr="00D337FA">
        <w:rPr>
          <w:bCs/>
        </w:rPr>
        <w:t>способность</w:t>
      </w:r>
      <w:r w:rsidR="006C680D" w:rsidRPr="00D337FA">
        <w:rPr>
          <w:bCs/>
        </w:rPr>
        <w:t xml:space="preserve"> </w:t>
      </w:r>
      <w:r w:rsidRPr="00D337FA">
        <w:rPr>
          <w:bCs/>
        </w:rPr>
        <w:t>организации</w:t>
      </w:r>
      <w:r w:rsidR="006C680D" w:rsidRPr="00D337FA">
        <w:rPr>
          <w:bCs/>
        </w:rPr>
        <w:t xml:space="preserve"> </w:t>
      </w:r>
      <w:r w:rsidRPr="00D337FA">
        <w:rPr>
          <w:bCs/>
        </w:rPr>
        <w:t>оперативно</w:t>
      </w:r>
      <w:r w:rsidR="006C680D" w:rsidRPr="00D337FA">
        <w:rPr>
          <w:bCs/>
        </w:rPr>
        <w:t xml:space="preserve"> </w:t>
      </w:r>
      <w:r w:rsidRPr="00D337FA">
        <w:rPr>
          <w:bCs/>
        </w:rPr>
        <w:t>трансформировать</w:t>
      </w:r>
      <w:r w:rsidR="006C680D" w:rsidRPr="00D337FA">
        <w:rPr>
          <w:bCs/>
        </w:rPr>
        <w:t xml:space="preserve"> </w:t>
      </w:r>
      <w:r w:rsidRPr="00D337FA">
        <w:rPr>
          <w:bCs/>
        </w:rPr>
        <w:t>свои</w:t>
      </w:r>
      <w:r w:rsidR="006C680D" w:rsidRPr="00D337FA">
        <w:rPr>
          <w:bCs/>
        </w:rPr>
        <w:t xml:space="preserve"> </w:t>
      </w:r>
      <w:r w:rsidRPr="00D337FA">
        <w:rPr>
          <w:bCs/>
        </w:rPr>
        <w:t>ресурсы</w:t>
      </w:r>
      <w:r w:rsidR="006C680D" w:rsidRPr="00D337FA">
        <w:rPr>
          <w:bCs/>
        </w:rPr>
        <w:t xml:space="preserve"> </w:t>
      </w:r>
      <w:r w:rsidRPr="00D337FA">
        <w:rPr>
          <w:bCs/>
        </w:rPr>
        <w:t>и</w:t>
      </w:r>
      <w:r w:rsidR="006C680D" w:rsidRPr="00D337FA">
        <w:rPr>
          <w:bCs/>
        </w:rPr>
        <w:t xml:space="preserve"> </w:t>
      </w:r>
      <w:r w:rsidRPr="00D337FA">
        <w:rPr>
          <w:bCs/>
        </w:rPr>
        <w:t>бизнес-модели</w:t>
      </w:r>
      <w:r w:rsidR="006C680D" w:rsidRPr="00D337FA">
        <w:rPr>
          <w:bCs/>
        </w:rPr>
        <w:t xml:space="preserve"> </w:t>
      </w:r>
      <w:r w:rsidRPr="00D337FA">
        <w:rPr>
          <w:bCs/>
        </w:rPr>
        <w:t>на</w:t>
      </w:r>
      <w:r w:rsidR="006C680D" w:rsidRPr="00D337FA">
        <w:rPr>
          <w:bCs/>
        </w:rPr>
        <w:t xml:space="preserve"> </w:t>
      </w:r>
      <w:r w:rsidRPr="00D337FA">
        <w:rPr>
          <w:bCs/>
        </w:rPr>
        <w:t>основе</w:t>
      </w:r>
      <w:r w:rsidR="006C680D" w:rsidRPr="00D337FA">
        <w:rPr>
          <w:bCs/>
        </w:rPr>
        <w:t xml:space="preserve"> </w:t>
      </w:r>
      <w:r w:rsidRPr="00D337FA">
        <w:rPr>
          <w:bCs/>
        </w:rPr>
        <w:t>инновационных</w:t>
      </w:r>
      <w:r w:rsidR="006C680D" w:rsidRPr="00D337FA">
        <w:rPr>
          <w:bCs/>
        </w:rPr>
        <w:t xml:space="preserve"> </w:t>
      </w:r>
      <w:r w:rsidRPr="00D337FA">
        <w:rPr>
          <w:bCs/>
        </w:rPr>
        <w:t>решений</w:t>
      </w:r>
      <w:r w:rsidR="006C680D" w:rsidRPr="00D337FA">
        <w:rPr>
          <w:bCs/>
        </w:rPr>
        <w:t xml:space="preserve"> </w:t>
      </w:r>
      <w:r w:rsidRPr="00D337FA">
        <w:rPr>
          <w:bCs/>
        </w:rPr>
        <w:t>в</w:t>
      </w:r>
      <w:r w:rsidR="006C680D" w:rsidRPr="00D337FA">
        <w:rPr>
          <w:bCs/>
        </w:rPr>
        <w:t xml:space="preserve"> </w:t>
      </w:r>
      <w:r w:rsidRPr="00D337FA">
        <w:rPr>
          <w:bCs/>
        </w:rPr>
        <w:t>ответ</w:t>
      </w:r>
      <w:r w:rsidR="006C680D" w:rsidRPr="00D337FA">
        <w:rPr>
          <w:bCs/>
        </w:rPr>
        <w:t xml:space="preserve"> </w:t>
      </w:r>
      <w:r w:rsidRPr="00D337FA">
        <w:rPr>
          <w:bCs/>
        </w:rPr>
        <w:t>на</w:t>
      </w:r>
      <w:r w:rsidR="006C680D" w:rsidRPr="00D337FA">
        <w:rPr>
          <w:bCs/>
        </w:rPr>
        <w:t xml:space="preserve"> </w:t>
      </w:r>
      <w:r w:rsidRPr="00D337FA">
        <w:rPr>
          <w:bCs/>
        </w:rPr>
        <w:t>изменения</w:t>
      </w:r>
      <w:r w:rsidR="006C680D" w:rsidRPr="00D337FA">
        <w:rPr>
          <w:bCs/>
        </w:rPr>
        <w:t xml:space="preserve"> </w:t>
      </w:r>
      <w:r w:rsidRPr="00D337FA">
        <w:rPr>
          <w:bCs/>
        </w:rPr>
        <w:t>внешней</w:t>
      </w:r>
      <w:r w:rsidR="006C680D" w:rsidRPr="00D337FA">
        <w:rPr>
          <w:bCs/>
        </w:rPr>
        <w:t xml:space="preserve"> </w:t>
      </w:r>
      <w:r w:rsidRPr="00D337FA">
        <w:rPr>
          <w:bCs/>
        </w:rPr>
        <w:t>среды.</w:t>
      </w:r>
      <w:r w:rsidR="006C680D" w:rsidRPr="00D337FA">
        <w:rPr>
          <w:bCs/>
        </w:rPr>
        <w:t xml:space="preserve"> </w:t>
      </w:r>
      <w:r w:rsidRPr="00D337FA">
        <w:rPr>
          <w:bCs/>
        </w:rPr>
        <w:t>С</w:t>
      </w:r>
      <w:r w:rsidR="006C680D" w:rsidRPr="00D337FA">
        <w:rPr>
          <w:bCs/>
        </w:rPr>
        <w:t xml:space="preserve"> </w:t>
      </w:r>
      <w:r w:rsidRPr="00D337FA">
        <w:rPr>
          <w:bCs/>
        </w:rPr>
        <w:t>позиции</w:t>
      </w:r>
      <w:r w:rsidR="006C680D" w:rsidRPr="00D337FA">
        <w:rPr>
          <w:bCs/>
        </w:rPr>
        <w:t xml:space="preserve"> </w:t>
      </w:r>
      <w:r w:rsidRPr="00D337FA">
        <w:rPr>
          <w:bCs/>
        </w:rPr>
        <w:t>данного</w:t>
      </w:r>
      <w:r w:rsidR="006C680D" w:rsidRPr="00D337FA">
        <w:rPr>
          <w:bCs/>
        </w:rPr>
        <w:t xml:space="preserve"> </w:t>
      </w:r>
      <w:r w:rsidRPr="00D337FA">
        <w:rPr>
          <w:bCs/>
        </w:rPr>
        <w:t>подхода</w:t>
      </w:r>
      <w:r w:rsidR="006C680D" w:rsidRPr="00D337FA">
        <w:rPr>
          <w:bCs/>
        </w:rPr>
        <w:t xml:space="preserve"> </w:t>
      </w:r>
      <w:r w:rsidRPr="00D337FA">
        <w:rPr>
          <w:bCs/>
        </w:rPr>
        <w:t>конкурентное</w:t>
      </w:r>
      <w:r w:rsidR="006C680D" w:rsidRPr="00D337FA">
        <w:rPr>
          <w:bCs/>
        </w:rPr>
        <w:t xml:space="preserve"> </w:t>
      </w:r>
      <w:r w:rsidRPr="00D337FA">
        <w:rPr>
          <w:bCs/>
        </w:rPr>
        <w:t>преимущество</w:t>
      </w:r>
      <w:r w:rsidR="006C680D" w:rsidRPr="00D337FA">
        <w:rPr>
          <w:bCs/>
        </w:rPr>
        <w:t xml:space="preserve"> </w:t>
      </w:r>
      <w:r w:rsidRPr="00D337FA">
        <w:rPr>
          <w:bCs/>
        </w:rPr>
        <w:t>рассматривается</w:t>
      </w:r>
      <w:r w:rsidR="006C680D" w:rsidRPr="00D337FA">
        <w:rPr>
          <w:bCs/>
        </w:rPr>
        <w:t xml:space="preserve"> </w:t>
      </w:r>
      <w:r w:rsidRPr="00D337FA">
        <w:rPr>
          <w:bCs/>
        </w:rPr>
        <w:t>как</w:t>
      </w:r>
      <w:r w:rsidR="006C680D" w:rsidRPr="00D337FA">
        <w:rPr>
          <w:bCs/>
        </w:rPr>
        <w:t xml:space="preserve"> </w:t>
      </w:r>
      <w:r w:rsidRPr="00D337FA">
        <w:rPr>
          <w:bCs/>
        </w:rPr>
        <w:t>процесс,</w:t>
      </w:r>
      <w:r w:rsidR="006C680D" w:rsidRPr="00D337FA">
        <w:rPr>
          <w:bCs/>
        </w:rPr>
        <w:t xml:space="preserve"> </w:t>
      </w:r>
      <w:r w:rsidRPr="00D337FA">
        <w:rPr>
          <w:bCs/>
        </w:rPr>
        <w:t>а</w:t>
      </w:r>
      <w:r w:rsidR="006C680D" w:rsidRPr="00D337FA">
        <w:rPr>
          <w:bCs/>
        </w:rPr>
        <w:t xml:space="preserve"> </w:t>
      </w:r>
      <w:r w:rsidRPr="00D337FA">
        <w:rPr>
          <w:bCs/>
        </w:rPr>
        <w:t>не</w:t>
      </w:r>
      <w:r w:rsidR="006C680D" w:rsidRPr="00D337FA">
        <w:rPr>
          <w:bCs/>
        </w:rPr>
        <w:t xml:space="preserve"> </w:t>
      </w:r>
      <w:r w:rsidRPr="00D337FA">
        <w:rPr>
          <w:bCs/>
        </w:rPr>
        <w:t>как</w:t>
      </w:r>
      <w:r w:rsidR="006C680D" w:rsidRPr="00D337FA">
        <w:rPr>
          <w:bCs/>
        </w:rPr>
        <w:t xml:space="preserve"> </w:t>
      </w:r>
      <w:r w:rsidRPr="00D337FA">
        <w:rPr>
          <w:bCs/>
        </w:rPr>
        <w:t>статическое</w:t>
      </w:r>
      <w:r w:rsidR="006C680D" w:rsidRPr="00D337FA">
        <w:rPr>
          <w:bCs/>
        </w:rPr>
        <w:t xml:space="preserve"> </w:t>
      </w:r>
      <w:r w:rsidRPr="00D337FA">
        <w:rPr>
          <w:bCs/>
        </w:rPr>
        <w:t>состояние,</w:t>
      </w:r>
      <w:r w:rsidR="006C680D" w:rsidRPr="00D337FA">
        <w:rPr>
          <w:bCs/>
        </w:rPr>
        <w:t xml:space="preserve"> </w:t>
      </w:r>
      <w:r w:rsidRPr="00D337FA">
        <w:rPr>
          <w:bCs/>
        </w:rPr>
        <w:t>что</w:t>
      </w:r>
      <w:r w:rsidR="006C680D" w:rsidRPr="00D337FA">
        <w:rPr>
          <w:bCs/>
        </w:rPr>
        <w:t xml:space="preserve"> </w:t>
      </w:r>
      <w:r w:rsidRPr="00D337FA">
        <w:rPr>
          <w:bCs/>
        </w:rPr>
        <w:t>особенно</w:t>
      </w:r>
      <w:r w:rsidR="006C680D" w:rsidRPr="00D337FA">
        <w:rPr>
          <w:bCs/>
        </w:rPr>
        <w:t xml:space="preserve"> </w:t>
      </w:r>
      <w:r w:rsidRPr="00D337FA">
        <w:rPr>
          <w:bCs/>
        </w:rPr>
        <w:t>актуально</w:t>
      </w:r>
      <w:r w:rsidR="006C680D" w:rsidRPr="00D337FA">
        <w:rPr>
          <w:bCs/>
        </w:rPr>
        <w:t xml:space="preserve"> </w:t>
      </w:r>
      <w:r w:rsidRPr="00D337FA">
        <w:rPr>
          <w:bCs/>
        </w:rPr>
        <w:t>для</w:t>
      </w:r>
      <w:r w:rsidR="006C680D" w:rsidRPr="00D337FA">
        <w:rPr>
          <w:bCs/>
        </w:rPr>
        <w:t xml:space="preserve"> </w:t>
      </w:r>
      <w:r w:rsidRPr="00D337FA">
        <w:rPr>
          <w:bCs/>
        </w:rPr>
        <w:t>страхового</w:t>
      </w:r>
      <w:r w:rsidR="006C680D" w:rsidRPr="00D337FA">
        <w:rPr>
          <w:bCs/>
        </w:rPr>
        <w:t xml:space="preserve"> </w:t>
      </w:r>
      <w:r w:rsidRPr="00D337FA">
        <w:rPr>
          <w:bCs/>
        </w:rPr>
        <w:t>рынка,</w:t>
      </w:r>
      <w:r w:rsidR="006C680D" w:rsidRPr="00D337FA">
        <w:rPr>
          <w:bCs/>
        </w:rPr>
        <w:t xml:space="preserve"> </w:t>
      </w:r>
      <w:r w:rsidRPr="00D337FA">
        <w:rPr>
          <w:bCs/>
        </w:rPr>
        <w:t>функционирующего</w:t>
      </w:r>
      <w:r w:rsidR="006C680D" w:rsidRPr="00D337FA">
        <w:rPr>
          <w:bCs/>
        </w:rPr>
        <w:t xml:space="preserve"> </w:t>
      </w:r>
      <w:r w:rsidRPr="00D337FA">
        <w:rPr>
          <w:bCs/>
        </w:rPr>
        <w:t>в</w:t>
      </w:r>
      <w:r w:rsidR="006C680D" w:rsidRPr="00D337FA">
        <w:rPr>
          <w:bCs/>
        </w:rPr>
        <w:t xml:space="preserve"> </w:t>
      </w:r>
      <w:r w:rsidRPr="00D337FA">
        <w:rPr>
          <w:bCs/>
        </w:rPr>
        <w:t>условиях</w:t>
      </w:r>
      <w:r w:rsidR="006C680D" w:rsidRPr="00D337FA">
        <w:rPr>
          <w:bCs/>
        </w:rPr>
        <w:t xml:space="preserve"> </w:t>
      </w:r>
      <w:r w:rsidRPr="00D337FA">
        <w:rPr>
          <w:bCs/>
        </w:rPr>
        <w:t>высокой</w:t>
      </w:r>
      <w:r w:rsidR="006C680D" w:rsidRPr="00D337FA">
        <w:rPr>
          <w:bCs/>
        </w:rPr>
        <w:t xml:space="preserve"> </w:t>
      </w:r>
      <w:r w:rsidRPr="00D337FA">
        <w:rPr>
          <w:bCs/>
        </w:rPr>
        <w:t>неопределённости</w:t>
      </w:r>
      <w:r w:rsidR="006C680D" w:rsidRPr="00D337FA">
        <w:rPr>
          <w:bCs/>
        </w:rPr>
        <w:t xml:space="preserve"> </w:t>
      </w:r>
      <w:r w:rsidRPr="00D337FA">
        <w:rPr>
          <w:bCs/>
        </w:rPr>
        <w:t>и</w:t>
      </w:r>
      <w:r w:rsidR="006C680D" w:rsidRPr="00D337FA">
        <w:rPr>
          <w:bCs/>
        </w:rPr>
        <w:t xml:space="preserve"> </w:t>
      </w:r>
      <w:r w:rsidRPr="00D337FA">
        <w:rPr>
          <w:bCs/>
        </w:rPr>
        <w:t>изменчивости</w:t>
      </w:r>
      <w:r w:rsidR="006C680D" w:rsidRPr="00D337FA">
        <w:rPr>
          <w:bCs/>
        </w:rPr>
        <w:t xml:space="preserve"> </w:t>
      </w:r>
      <w:r w:rsidRPr="00D337FA">
        <w:rPr>
          <w:bCs/>
        </w:rPr>
        <w:t>спроса</w:t>
      </w:r>
      <w:r w:rsidR="006C680D" w:rsidRPr="00D337FA">
        <w:rPr>
          <w:bCs/>
        </w:rPr>
        <w:t xml:space="preserve"> </w:t>
      </w:r>
      <w:r w:rsidRPr="00D337FA">
        <w:t>[1,</w:t>
      </w:r>
      <w:r w:rsidR="006C680D" w:rsidRPr="00D337FA">
        <w:t xml:space="preserve"> </w:t>
      </w:r>
      <w:r w:rsidRPr="00D337FA">
        <w:t>3,</w:t>
      </w:r>
      <w:r w:rsidR="006C680D" w:rsidRPr="00D337FA">
        <w:t xml:space="preserve"> </w:t>
      </w:r>
      <w:r w:rsidR="005411F4" w:rsidRPr="00D337FA">
        <w:t>4</w:t>
      </w:r>
      <w:r w:rsidRPr="00D337FA">
        <w:t>,</w:t>
      </w:r>
      <w:r w:rsidR="006C680D" w:rsidRPr="00D337FA">
        <w:t xml:space="preserve"> </w:t>
      </w:r>
      <w:r w:rsidR="005411F4" w:rsidRPr="00D337FA">
        <w:t>7</w:t>
      </w:r>
      <w:r w:rsidRPr="00D337FA">
        <w:t>,</w:t>
      </w:r>
      <w:r w:rsidR="006C680D" w:rsidRPr="00D337FA">
        <w:t xml:space="preserve"> </w:t>
      </w:r>
      <w:r w:rsidRPr="00D337FA">
        <w:t>1</w:t>
      </w:r>
      <w:r w:rsidR="005411F4" w:rsidRPr="00D337FA">
        <w:t>0</w:t>
      </w:r>
      <w:r w:rsidRPr="00D337FA">
        <w:t>]</w:t>
      </w:r>
      <w:r w:rsidRPr="00D337FA">
        <w:rPr>
          <w:bCs/>
        </w:rPr>
        <w:t>.</w:t>
      </w:r>
      <w:r w:rsidR="006C680D" w:rsidRPr="00D337FA">
        <w:rPr>
          <w:bCs/>
        </w:rPr>
        <w:t xml:space="preserve"> </w:t>
      </w:r>
      <w:r w:rsidRPr="00D337FA">
        <w:rPr>
          <w:bCs/>
        </w:rPr>
        <w:t>В</w:t>
      </w:r>
      <w:r w:rsidR="006C680D" w:rsidRPr="00D337FA">
        <w:rPr>
          <w:bCs/>
        </w:rPr>
        <w:t xml:space="preserve"> </w:t>
      </w:r>
      <w:r w:rsidRPr="00D337FA">
        <w:rPr>
          <w:bCs/>
        </w:rPr>
        <w:t>исследования</w:t>
      </w:r>
      <w:r w:rsidR="006C680D" w:rsidRPr="00D337FA">
        <w:rPr>
          <w:bCs/>
        </w:rPr>
        <w:t xml:space="preserve"> </w:t>
      </w:r>
      <w:r w:rsidRPr="00D337FA">
        <w:rPr>
          <w:bCs/>
        </w:rPr>
        <w:t>рынка</w:t>
      </w:r>
      <w:r w:rsidR="006C680D" w:rsidRPr="00D337FA">
        <w:rPr>
          <w:bCs/>
        </w:rPr>
        <w:t xml:space="preserve"> </w:t>
      </w:r>
      <w:r w:rsidRPr="00D337FA">
        <w:rPr>
          <w:bCs/>
        </w:rPr>
        <w:t>страховых</w:t>
      </w:r>
      <w:r w:rsidR="006C680D" w:rsidRPr="00D337FA">
        <w:rPr>
          <w:bCs/>
        </w:rPr>
        <w:t xml:space="preserve"> </w:t>
      </w:r>
      <w:r w:rsidRPr="00D337FA">
        <w:rPr>
          <w:bCs/>
        </w:rPr>
        <w:t>услуг</w:t>
      </w:r>
      <w:r w:rsidR="006C680D" w:rsidRPr="00D337FA">
        <w:rPr>
          <w:bCs/>
        </w:rPr>
        <w:t xml:space="preserve"> </w:t>
      </w:r>
      <w:r w:rsidRPr="00D337FA">
        <w:rPr>
          <w:bCs/>
        </w:rPr>
        <w:t>в</w:t>
      </w:r>
      <w:r w:rsidR="006C680D" w:rsidRPr="00D337FA">
        <w:rPr>
          <w:bCs/>
        </w:rPr>
        <w:t xml:space="preserve"> </w:t>
      </w:r>
      <w:r w:rsidRPr="00D337FA">
        <w:rPr>
          <w:bCs/>
        </w:rPr>
        <w:t>части</w:t>
      </w:r>
      <w:r w:rsidR="006C680D" w:rsidRPr="00D337FA">
        <w:rPr>
          <w:bCs/>
        </w:rPr>
        <w:t xml:space="preserve"> </w:t>
      </w:r>
      <w:r w:rsidRPr="00D337FA">
        <w:rPr>
          <w:bCs/>
        </w:rPr>
        <w:t>процессного</w:t>
      </w:r>
      <w:r w:rsidR="006C680D" w:rsidRPr="00D337FA">
        <w:rPr>
          <w:bCs/>
        </w:rPr>
        <w:t xml:space="preserve"> </w:t>
      </w:r>
      <w:r w:rsidRPr="00D337FA">
        <w:rPr>
          <w:bCs/>
        </w:rPr>
        <w:t>обеспечения</w:t>
      </w:r>
      <w:r w:rsidR="006C680D" w:rsidRPr="00D337FA">
        <w:rPr>
          <w:bCs/>
        </w:rPr>
        <w:t xml:space="preserve"> </w:t>
      </w:r>
      <w:r w:rsidRPr="00D337FA">
        <w:rPr>
          <w:bCs/>
        </w:rPr>
        <w:t>формирования</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особое</w:t>
      </w:r>
      <w:r w:rsidR="006C680D" w:rsidRPr="00D337FA">
        <w:rPr>
          <w:bCs/>
        </w:rPr>
        <w:t xml:space="preserve"> </w:t>
      </w:r>
      <w:r w:rsidRPr="00D337FA">
        <w:rPr>
          <w:bCs/>
        </w:rPr>
        <w:t>значение</w:t>
      </w:r>
      <w:r w:rsidR="006C680D" w:rsidRPr="00D337FA">
        <w:rPr>
          <w:bCs/>
        </w:rPr>
        <w:t xml:space="preserve"> </w:t>
      </w:r>
      <w:r w:rsidRPr="00D337FA">
        <w:rPr>
          <w:bCs/>
        </w:rPr>
        <w:t>приобретает</w:t>
      </w:r>
      <w:r w:rsidR="006C680D" w:rsidRPr="00D337FA">
        <w:rPr>
          <w:bCs/>
        </w:rPr>
        <w:t xml:space="preserve"> </w:t>
      </w:r>
      <w:r w:rsidRPr="00D337FA">
        <w:rPr>
          <w:bCs/>
        </w:rPr>
        <w:t>гибкость</w:t>
      </w:r>
      <w:r w:rsidR="006C680D" w:rsidRPr="00D337FA">
        <w:rPr>
          <w:bCs/>
        </w:rPr>
        <w:t xml:space="preserve"> </w:t>
      </w:r>
      <w:r w:rsidRPr="00D337FA">
        <w:rPr>
          <w:bCs/>
        </w:rPr>
        <w:t>конкурентной</w:t>
      </w:r>
      <w:r w:rsidR="006C680D" w:rsidRPr="00D337FA">
        <w:rPr>
          <w:bCs/>
        </w:rPr>
        <w:t xml:space="preserve"> </w:t>
      </w:r>
      <w:r w:rsidRPr="00D337FA">
        <w:rPr>
          <w:bCs/>
        </w:rPr>
        <w:t>стратегии,</w:t>
      </w:r>
      <w:r w:rsidR="006C680D" w:rsidRPr="00D337FA">
        <w:rPr>
          <w:bCs/>
        </w:rPr>
        <w:t xml:space="preserve"> </w:t>
      </w:r>
      <w:r w:rsidRPr="00D337FA">
        <w:rPr>
          <w:bCs/>
        </w:rPr>
        <w:t>которая</w:t>
      </w:r>
      <w:r w:rsidR="006C680D" w:rsidRPr="00D337FA">
        <w:rPr>
          <w:bCs/>
        </w:rPr>
        <w:t xml:space="preserve"> </w:t>
      </w:r>
      <w:r w:rsidRPr="00D337FA">
        <w:rPr>
          <w:bCs/>
        </w:rPr>
        <w:t>проявляется</w:t>
      </w:r>
      <w:r w:rsidR="006C680D" w:rsidRPr="00D337FA">
        <w:rPr>
          <w:bCs/>
        </w:rPr>
        <w:t xml:space="preserve"> </w:t>
      </w:r>
      <w:r w:rsidRPr="00D337FA">
        <w:rPr>
          <w:bCs/>
        </w:rPr>
        <w:t>в</w:t>
      </w:r>
      <w:r w:rsidR="006C680D" w:rsidRPr="00D337FA">
        <w:rPr>
          <w:bCs/>
        </w:rPr>
        <w:t xml:space="preserve"> </w:t>
      </w:r>
      <w:r w:rsidRPr="00D337FA">
        <w:rPr>
          <w:bCs/>
        </w:rPr>
        <w:t>способности</w:t>
      </w:r>
      <w:r w:rsidR="006C680D" w:rsidRPr="00D337FA">
        <w:rPr>
          <w:bCs/>
        </w:rPr>
        <w:t xml:space="preserve"> </w:t>
      </w:r>
      <w:r w:rsidRPr="00D337FA">
        <w:rPr>
          <w:bCs/>
        </w:rPr>
        <w:t>страховой</w:t>
      </w:r>
      <w:r w:rsidR="006C680D" w:rsidRPr="00D337FA">
        <w:rPr>
          <w:bCs/>
        </w:rPr>
        <w:t xml:space="preserve"> </w:t>
      </w:r>
      <w:r w:rsidRPr="00D337FA">
        <w:rPr>
          <w:bCs/>
        </w:rPr>
        <w:t>компании</w:t>
      </w:r>
      <w:r w:rsidR="006C680D" w:rsidRPr="00D337FA">
        <w:rPr>
          <w:bCs/>
        </w:rPr>
        <w:t xml:space="preserve"> </w:t>
      </w:r>
      <w:r w:rsidRPr="00D337FA">
        <w:rPr>
          <w:bCs/>
        </w:rPr>
        <w:t>сочетать</w:t>
      </w:r>
      <w:r w:rsidR="006C680D" w:rsidRPr="00D337FA">
        <w:rPr>
          <w:bCs/>
        </w:rPr>
        <w:t xml:space="preserve"> </w:t>
      </w:r>
      <w:r w:rsidRPr="00D337FA">
        <w:rPr>
          <w:bCs/>
        </w:rPr>
        <w:t>различные</w:t>
      </w:r>
      <w:r w:rsidR="006C680D" w:rsidRPr="00D337FA">
        <w:rPr>
          <w:bCs/>
        </w:rPr>
        <w:t xml:space="preserve"> </w:t>
      </w:r>
      <w:r w:rsidRPr="00D337FA">
        <w:rPr>
          <w:bCs/>
        </w:rPr>
        <w:t>формы</w:t>
      </w:r>
      <w:r w:rsidR="006C680D" w:rsidRPr="00D337FA">
        <w:rPr>
          <w:bCs/>
        </w:rPr>
        <w:t xml:space="preserve"> </w:t>
      </w:r>
      <w:r w:rsidRPr="00D337FA">
        <w:rPr>
          <w:bCs/>
        </w:rPr>
        <w:t>позиционирования:</w:t>
      </w:r>
      <w:r w:rsidR="006C680D" w:rsidRPr="00D337FA">
        <w:rPr>
          <w:bCs/>
        </w:rPr>
        <w:t xml:space="preserve"> </w:t>
      </w:r>
      <w:r w:rsidRPr="00D337FA">
        <w:rPr>
          <w:bCs/>
        </w:rPr>
        <w:t>ценовое,</w:t>
      </w:r>
      <w:r w:rsidR="006C680D" w:rsidRPr="00D337FA">
        <w:rPr>
          <w:bCs/>
        </w:rPr>
        <w:t xml:space="preserve"> </w:t>
      </w:r>
      <w:r w:rsidRPr="00D337FA">
        <w:rPr>
          <w:bCs/>
        </w:rPr>
        <w:t>сервисное,</w:t>
      </w:r>
      <w:r w:rsidR="006C680D" w:rsidRPr="00D337FA">
        <w:rPr>
          <w:bCs/>
        </w:rPr>
        <w:t xml:space="preserve"> </w:t>
      </w:r>
      <w:r w:rsidRPr="00D337FA">
        <w:rPr>
          <w:bCs/>
        </w:rPr>
        <w:t>технологическое</w:t>
      </w:r>
      <w:r w:rsidR="006C680D" w:rsidRPr="00D337FA">
        <w:rPr>
          <w:bCs/>
        </w:rPr>
        <w:t xml:space="preserve"> </w:t>
      </w:r>
      <w:r w:rsidRPr="00D337FA">
        <w:rPr>
          <w:bCs/>
        </w:rPr>
        <w:t>и</w:t>
      </w:r>
      <w:r w:rsidR="006C680D" w:rsidRPr="00D337FA">
        <w:rPr>
          <w:bCs/>
        </w:rPr>
        <w:t xml:space="preserve"> </w:t>
      </w:r>
      <w:r w:rsidRPr="00D337FA">
        <w:rPr>
          <w:bCs/>
        </w:rPr>
        <w:t>репутационное.</w:t>
      </w:r>
      <w:r w:rsidR="006C680D" w:rsidRPr="00D337FA">
        <w:rPr>
          <w:bCs/>
        </w:rPr>
        <w:t xml:space="preserve"> </w:t>
      </w:r>
      <w:r w:rsidRPr="00D337FA">
        <w:rPr>
          <w:bCs/>
        </w:rPr>
        <w:t>В</w:t>
      </w:r>
      <w:r w:rsidR="006C680D" w:rsidRPr="00D337FA">
        <w:rPr>
          <w:bCs/>
        </w:rPr>
        <w:t xml:space="preserve"> </w:t>
      </w:r>
      <w:r w:rsidRPr="00D337FA">
        <w:rPr>
          <w:bCs/>
        </w:rPr>
        <w:t>научных</w:t>
      </w:r>
      <w:r w:rsidR="006C680D" w:rsidRPr="00D337FA">
        <w:rPr>
          <w:bCs/>
        </w:rPr>
        <w:t xml:space="preserve"> </w:t>
      </w:r>
      <w:r w:rsidRPr="00D337FA">
        <w:rPr>
          <w:bCs/>
        </w:rPr>
        <w:t>работах</w:t>
      </w:r>
      <w:r w:rsidR="006C680D" w:rsidRPr="00D337FA">
        <w:rPr>
          <w:bCs/>
        </w:rPr>
        <w:t xml:space="preserve"> </w:t>
      </w:r>
      <w:r w:rsidRPr="00D337FA">
        <w:rPr>
          <w:bCs/>
        </w:rPr>
        <w:t>подчёркивается,</w:t>
      </w:r>
      <w:r w:rsidR="006C680D" w:rsidRPr="00D337FA">
        <w:rPr>
          <w:bCs/>
        </w:rPr>
        <w:t xml:space="preserve"> </w:t>
      </w:r>
      <w:r w:rsidRPr="00D337FA">
        <w:rPr>
          <w:bCs/>
        </w:rPr>
        <w:t>что</w:t>
      </w:r>
      <w:r w:rsidR="006C680D" w:rsidRPr="00D337FA">
        <w:rPr>
          <w:bCs/>
        </w:rPr>
        <w:t xml:space="preserve"> </w:t>
      </w:r>
      <w:r w:rsidRPr="00D337FA">
        <w:rPr>
          <w:bCs/>
        </w:rPr>
        <w:t>универсальные</w:t>
      </w:r>
      <w:r w:rsidR="006C680D" w:rsidRPr="00D337FA">
        <w:rPr>
          <w:bCs/>
        </w:rPr>
        <w:t xml:space="preserve"> </w:t>
      </w:r>
      <w:r w:rsidRPr="00D337FA">
        <w:rPr>
          <w:bCs/>
        </w:rPr>
        <w:t>стратегии</w:t>
      </w:r>
      <w:r w:rsidR="006C680D" w:rsidRPr="00D337FA">
        <w:rPr>
          <w:bCs/>
        </w:rPr>
        <w:t xml:space="preserve"> </w:t>
      </w:r>
      <w:r w:rsidRPr="00D337FA">
        <w:rPr>
          <w:bCs/>
        </w:rPr>
        <w:t>в</w:t>
      </w:r>
      <w:r w:rsidR="006C680D" w:rsidRPr="00D337FA">
        <w:rPr>
          <w:bCs/>
        </w:rPr>
        <w:t xml:space="preserve"> </w:t>
      </w:r>
      <w:r w:rsidRPr="00D337FA">
        <w:rPr>
          <w:bCs/>
        </w:rPr>
        <w:t>страховании</w:t>
      </w:r>
      <w:r w:rsidR="006C680D" w:rsidRPr="00D337FA">
        <w:rPr>
          <w:bCs/>
        </w:rPr>
        <w:t xml:space="preserve"> </w:t>
      </w:r>
      <w:r w:rsidRPr="00D337FA">
        <w:rPr>
          <w:bCs/>
        </w:rPr>
        <w:t>утрачивают</w:t>
      </w:r>
      <w:r w:rsidR="006C680D" w:rsidRPr="00D337FA">
        <w:rPr>
          <w:bCs/>
        </w:rPr>
        <w:t xml:space="preserve"> </w:t>
      </w:r>
      <w:r w:rsidRPr="00D337FA">
        <w:rPr>
          <w:bCs/>
        </w:rPr>
        <w:t>эффективность,</w:t>
      </w:r>
      <w:r w:rsidR="006C680D" w:rsidRPr="00D337FA">
        <w:rPr>
          <w:bCs/>
        </w:rPr>
        <w:t xml:space="preserve"> </w:t>
      </w:r>
      <w:r w:rsidRPr="00D337FA">
        <w:rPr>
          <w:bCs/>
        </w:rPr>
        <w:t>уступая</w:t>
      </w:r>
      <w:r w:rsidR="006C680D" w:rsidRPr="00D337FA">
        <w:rPr>
          <w:bCs/>
        </w:rPr>
        <w:t xml:space="preserve"> </w:t>
      </w:r>
      <w:r w:rsidRPr="00D337FA">
        <w:rPr>
          <w:bCs/>
        </w:rPr>
        <w:t>место</w:t>
      </w:r>
      <w:r w:rsidR="006C680D" w:rsidRPr="00D337FA">
        <w:rPr>
          <w:bCs/>
        </w:rPr>
        <w:t xml:space="preserve"> </w:t>
      </w:r>
      <w:r w:rsidRPr="00D337FA">
        <w:rPr>
          <w:bCs/>
        </w:rPr>
        <w:t>гибридным</w:t>
      </w:r>
      <w:r w:rsidR="006C680D" w:rsidRPr="00D337FA">
        <w:rPr>
          <w:bCs/>
        </w:rPr>
        <w:t xml:space="preserve"> </w:t>
      </w:r>
      <w:r w:rsidRPr="00D337FA">
        <w:rPr>
          <w:bCs/>
        </w:rPr>
        <w:t>моделям,</w:t>
      </w:r>
      <w:r w:rsidR="006C680D" w:rsidRPr="00D337FA">
        <w:rPr>
          <w:bCs/>
        </w:rPr>
        <w:t xml:space="preserve"> </w:t>
      </w:r>
      <w:r w:rsidRPr="00D337FA">
        <w:rPr>
          <w:bCs/>
        </w:rPr>
        <w:t>ориентированным</w:t>
      </w:r>
      <w:r w:rsidR="006C680D" w:rsidRPr="00D337FA">
        <w:rPr>
          <w:bCs/>
        </w:rPr>
        <w:t xml:space="preserve"> </w:t>
      </w:r>
      <w:r w:rsidRPr="00D337FA">
        <w:rPr>
          <w:bCs/>
        </w:rPr>
        <w:t>на</w:t>
      </w:r>
      <w:r w:rsidR="006C680D" w:rsidRPr="00D337FA">
        <w:rPr>
          <w:bCs/>
        </w:rPr>
        <w:t xml:space="preserve"> </w:t>
      </w:r>
      <w:r w:rsidRPr="00D337FA">
        <w:rPr>
          <w:bCs/>
        </w:rPr>
        <w:t>диверсификацию</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и</w:t>
      </w:r>
      <w:r w:rsidR="006C680D" w:rsidRPr="00D337FA">
        <w:rPr>
          <w:bCs/>
        </w:rPr>
        <w:t xml:space="preserve"> </w:t>
      </w:r>
      <w:r w:rsidRPr="00D337FA">
        <w:rPr>
          <w:bCs/>
        </w:rPr>
        <w:t>сегментированную</w:t>
      </w:r>
      <w:r w:rsidR="006C680D" w:rsidRPr="00D337FA">
        <w:rPr>
          <w:bCs/>
        </w:rPr>
        <w:t xml:space="preserve"> </w:t>
      </w:r>
      <w:r w:rsidRPr="00D337FA">
        <w:rPr>
          <w:bCs/>
        </w:rPr>
        <w:t>работу</w:t>
      </w:r>
      <w:r w:rsidR="006C680D" w:rsidRPr="00D337FA">
        <w:rPr>
          <w:bCs/>
        </w:rPr>
        <w:t xml:space="preserve"> </w:t>
      </w:r>
      <w:r w:rsidRPr="00D337FA">
        <w:rPr>
          <w:bCs/>
        </w:rPr>
        <w:t>с</w:t>
      </w:r>
      <w:r w:rsidR="006C680D" w:rsidRPr="00D337FA">
        <w:rPr>
          <w:bCs/>
        </w:rPr>
        <w:t xml:space="preserve"> </w:t>
      </w:r>
      <w:r w:rsidRPr="00D337FA">
        <w:rPr>
          <w:bCs/>
        </w:rPr>
        <w:t>клиентскими</w:t>
      </w:r>
      <w:r w:rsidR="006C680D" w:rsidRPr="00D337FA">
        <w:rPr>
          <w:bCs/>
        </w:rPr>
        <w:t xml:space="preserve"> </w:t>
      </w:r>
      <w:r w:rsidRPr="00D337FA">
        <w:rPr>
          <w:bCs/>
        </w:rPr>
        <w:t>группами</w:t>
      </w:r>
      <w:r w:rsidR="006C680D" w:rsidRPr="00D337FA">
        <w:rPr>
          <w:bCs/>
        </w:rPr>
        <w:t xml:space="preserve"> </w:t>
      </w:r>
      <w:r w:rsidRPr="00D337FA">
        <w:t>[1,</w:t>
      </w:r>
      <w:r w:rsidR="006C680D" w:rsidRPr="00D337FA">
        <w:t xml:space="preserve"> </w:t>
      </w:r>
      <w:r w:rsidR="005411F4" w:rsidRPr="00D337FA">
        <w:t>3</w:t>
      </w:r>
      <w:r w:rsidRPr="00D337FA">
        <w:t>,</w:t>
      </w:r>
      <w:r w:rsidR="006C680D" w:rsidRPr="00D337FA">
        <w:t xml:space="preserve"> </w:t>
      </w:r>
      <w:r w:rsidRPr="00D337FA">
        <w:t>1</w:t>
      </w:r>
      <w:r w:rsidR="005411F4" w:rsidRPr="00D337FA">
        <w:t>4</w:t>
      </w:r>
      <w:r w:rsidRPr="00D337FA">
        <w:t>,</w:t>
      </w:r>
      <w:r w:rsidR="006C680D" w:rsidRPr="00D337FA">
        <w:t xml:space="preserve"> </w:t>
      </w:r>
      <w:r w:rsidR="005411F4" w:rsidRPr="00D337FA">
        <w:t>19</w:t>
      </w:r>
      <w:r w:rsidRPr="00D337FA">
        <w:t>].</w:t>
      </w:r>
    </w:p>
    <w:p w:rsidR="00EC45F1" w:rsidRPr="00D337FA" w:rsidRDefault="00EC45F1" w:rsidP="000C1FE6">
      <w:pPr>
        <w:tabs>
          <w:tab w:val="left" w:pos="993"/>
        </w:tabs>
        <w:ind w:firstLine="284"/>
        <w:rPr>
          <w:bCs/>
        </w:rPr>
      </w:pPr>
      <w:r w:rsidRPr="00D337FA">
        <w:rPr>
          <w:bCs/>
        </w:rPr>
        <w:t>Таким</w:t>
      </w:r>
      <w:r w:rsidR="006C680D" w:rsidRPr="00D337FA">
        <w:rPr>
          <w:bCs/>
        </w:rPr>
        <w:t xml:space="preserve"> </w:t>
      </w:r>
      <w:r w:rsidRPr="00D337FA">
        <w:rPr>
          <w:bCs/>
        </w:rPr>
        <w:t>образом,</w:t>
      </w:r>
      <w:r w:rsidR="006C680D" w:rsidRPr="00D337FA">
        <w:rPr>
          <w:bCs/>
        </w:rPr>
        <w:t xml:space="preserve"> </w:t>
      </w:r>
      <w:r w:rsidRPr="00D337FA">
        <w:rPr>
          <w:bCs/>
        </w:rPr>
        <w:t>теоретический</w:t>
      </w:r>
      <w:r w:rsidR="006C680D" w:rsidRPr="00D337FA">
        <w:rPr>
          <w:bCs/>
        </w:rPr>
        <w:t xml:space="preserve"> </w:t>
      </w:r>
      <w:r w:rsidRPr="00D337FA">
        <w:rPr>
          <w:bCs/>
        </w:rPr>
        <w:t>анализ</w:t>
      </w:r>
      <w:r w:rsidR="006C680D" w:rsidRPr="00D337FA">
        <w:rPr>
          <w:bCs/>
        </w:rPr>
        <w:t xml:space="preserve"> </w:t>
      </w:r>
      <w:r w:rsidRPr="00D337FA">
        <w:rPr>
          <w:bCs/>
        </w:rPr>
        <w:t>концептуальных</w:t>
      </w:r>
      <w:r w:rsidR="006C680D" w:rsidRPr="00D337FA">
        <w:rPr>
          <w:bCs/>
        </w:rPr>
        <w:t xml:space="preserve"> </w:t>
      </w:r>
      <w:r w:rsidRPr="00D337FA">
        <w:rPr>
          <w:bCs/>
        </w:rPr>
        <w:t>основ</w:t>
      </w:r>
      <w:r w:rsidR="006C680D" w:rsidRPr="00D337FA">
        <w:rPr>
          <w:bCs/>
        </w:rPr>
        <w:t xml:space="preserve"> </w:t>
      </w:r>
      <w:r w:rsidRPr="00D337FA">
        <w:rPr>
          <w:bCs/>
        </w:rPr>
        <w:t>формирования</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на</w:t>
      </w:r>
      <w:r w:rsidR="006C680D" w:rsidRPr="00D337FA">
        <w:rPr>
          <w:bCs/>
        </w:rPr>
        <w:t xml:space="preserve"> </w:t>
      </w:r>
      <w:r w:rsidRPr="00D337FA">
        <w:rPr>
          <w:bCs/>
        </w:rPr>
        <w:t>рынке</w:t>
      </w:r>
      <w:r w:rsidR="006C680D" w:rsidRPr="00D337FA">
        <w:rPr>
          <w:bCs/>
        </w:rPr>
        <w:t xml:space="preserve"> </w:t>
      </w:r>
      <w:r w:rsidRPr="00D337FA">
        <w:rPr>
          <w:bCs/>
        </w:rPr>
        <w:t>страховых</w:t>
      </w:r>
      <w:r w:rsidR="006C680D" w:rsidRPr="00D337FA">
        <w:rPr>
          <w:bCs/>
        </w:rPr>
        <w:t xml:space="preserve"> </w:t>
      </w:r>
      <w:r w:rsidRPr="00D337FA">
        <w:rPr>
          <w:bCs/>
        </w:rPr>
        <w:t>услуг</w:t>
      </w:r>
      <w:r w:rsidR="006C680D" w:rsidRPr="00D337FA">
        <w:rPr>
          <w:bCs/>
        </w:rPr>
        <w:t xml:space="preserve"> </w:t>
      </w:r>
      <w:r w:rsidRPr="00D337FA">
        <w:rPr>
          <w:bCs/>
        </w:rPr>
        <w:t>позволяет</w:t>
      </w:r>
      <w:r w:rsidR="006C680D" w:rsidRPr="00D337FA">
        <w:rPr>
          <w:bCs/>
        </w:rPr>
        <w:t xml:space="preserve"> </w:t>
      </w:r>
      <w:r w:rsidRPr="00D337FA">
        <w:rPr>
          <w:bCs/>
        </w:rPr>
        <w:t>сделать</w:t>
      </w:r>
      <w:r w:rsidR="006C680D" w:rsidRPr="00D337FA">
        <w:rPr>
          <w:bCs/>
        </w:rPr>
        <w:t xml:space="preserve"> </w:t>
      </w:r>
      <w:r w:rsidRPr="00D337FA">
        <w:rPr>
          <w:bCs/>
        </w:rPr>
        <w:t>вывод</w:t>
      </w:r>
      <w:r w:rsidR="006C680D" w:rsidRPr="00D337FA">
        <w:rPr>
          <w:bCs/>
        </w:rPr>
        <w:t xml:space="preserve"> </w:t>
      </w:r>
      <w:r w:rsidRPr="00D337FA">
        <w:rPr>
          <w:bCs/>
        </w:rPr>
        <w:t>о</w:t>
      </w:r>
      <w:r w:rsidR="006C680D" w:rsidRPr="00D337FA">
        <w:rPr>
          <w:bCs/>
        </w:rPr>
        <w:t xml:space="preserve"> </w:t>
      </w:r>
      <w:r w:rsidRPr="00D337FA">
        <w:rPr>
          <w:bCs/>
        </w:rPr>
        <w:t>том,</w:t>
      </w:r>
      <w:r w:rsidR="006C680D" w:rsidRPr="00D337FA">
        <w:rPr>
          <w:bCs/>
        </w:rPr>
        <w:t xml:space="preserve"> </w:t>
      </w:r>
      <w:r w:rsidRPr="00D337FA">
        <w:rPr>
          <w:bCs/>
        </w:rPr>
        <w:t>что</w:t>
      </w:r>
      <w:r w:rsidR="006C680D" w:rsidRPr="00D337FA">
        <w:rPr>
          <w:bCs/>
        </w:rPr>
        <w:t xml:space="preserve"> </w:t>
      </w:r>
      <w:r w:rsidRPr="00D337FA">
        <w:rPr>
          <w:bCs/>
        </w:rPr>
        <w:t>управление</w:t>
      </w:r>
      <w:r w:rsidR="006C680D" w:rsidRPr="00D337FA">
        <w:rPr>
          <w:bCs/>
        </w:rPr>
        <w:t xml:space="preserve"> </w:t>
      </w:r>
      <w:r w:rsidRPr="00D337FA">
        <w:rPr>
          <w:bCs/>
        </w:rPr>
        <w:t>этим</w:t>
      </w:r>
      <w:r w:rsidR="006C680D" w:rsidRPr="00D337FA">
        <w:rPr>
          <w:bCs/>
        </w:rPr>
        <w:t xml:space="preserve"> </w:t>
      </w:r>
      <w:r w:rsidRPr="00D337FA">
        <w:rPr>
          <w:bCs/>
        </w:rPr>
        <w:t>процессом</w:t>
      </w:r>
      <w:r w:rsidR="006C680D" w:rsidRPr="00D337FA">
        <w:rPr>
          <w:bCs/>
        </w:rPr>
        <w:t xml:space="preserve"> </w:t>
      </w:r>
      <w:r w:rsidRPr="00D337FA">
        <w:rPr>
          <w:bCs/>
        </w:rPr>
        <w:t>должно</w:t>
      </w:r>
      <w:r w:rsidR="006C680D" w:rsidRPr="00D337FA">
        <w:rPr>
          <w:bCs/>
        </w:rPr>
        <w:t xml:space="preserve"> </w:t>
      </w:r>
      <w:r w:rsidRPr="00D337FA">
        <w:rPr>
          <w:bCs/>
        </w:rPr>
        <w:t>рассматриваться</w:t>
      </w:r>
      <w:r w:rsidR="006C680D" w:rsidRPr="00D337FA">
        <w:rPr>
          <w:bCs/>
        </w:rPr>
        <w:t xml:space="preserve"> </w:t>
      </w:r>
      <w:r w:rsidRPr="00D337FA">
        <w:rPr>
          <w:bCs/>
        </w:rPr>
        <w:t>как</w:t>
      </w:r>
      <w:r w:rsidR="006C680D" w:rsidRPr="00D337FA">
        <w:rPr>
          <w:bCs/>
        </w:rPr>
        <w:t xml:space="preserve"> </w:t>
      </w:r>
      <w:r w:rsidRPr="00D337FA">
        <w:rPr>
          <w:bCs/>
        </w:rPr>
        <w:t>комплексная</w:t>
      </w:r>
      <w:r w:rsidR="006C680D" w:rsidRPr="00D337FA">
        <w:rPr>
          <w:bCs/>
        </w:rPr>
        <w:t xml:space="preserve"> </w:t>
      </w:r>
      <w:r w:rsidRPr="00D337FA">
        <w:rPr>
          <w:bCs/>
        </w:rPr>
        <w:t>управленческая</w:t>
      </w:r>
      <w:r w:rsidR="006C680D" w:rsidRPr="00D337FA">
        <w:rPr>
          <w:bCs/>
        </w:rPr>
        <w:t xml:space="preserve"> </w:t>
      </w:r>
      <w:r w:rsidRPr="00D337FA">
        <w:rPr>
          <w:bCs/>
        </w:rPr>
        <w:t>задача,</w:t>
      </w:r>
      <w:r w:rsidR="006C680D" w:rsidRPr="00D337FA">
        <w:rPr>
          <w:bCs/>
        </w:rPr>
        <w:t xml:space="preserve"> </w:t>
      </w:r>
      <w:r w:rsidRPr="00D337FA">
        <w:rPr>
          <w:bCs/>
        </w:rPr>
        <w:t>включающая</w:t>
      </w:r>
      <w:r w:rsidR="006C680D" w:rsidRPr="00D337FA">
        <w:rPr>
          <w:bCs/>
        </w:rPr>
        <w:t xml:space="preserve"> </w:t>
      </w:r>
      <w:r w:rsidRPr="00D337FA">
        <w:rPr>
          <w:bCs/>
        </w:rPr>
        <w:t>стратегический</w:t>
      </w:r>
      <w:r w:rsidR="006C680D" w:rsidRPr="00D337FA">
        <w:rPr>
          <w:bCs/>
        </w:rPr>
        <w:t xml:space="preserve"> </w:t>
      </w:r>
      <w:r w:rsidRPr="00D337FA">
        <w:rPr>
          <w:bCs/>
        </w:rPr>
        <w:t>выбор,</w:t>
      </w:r>
      <w:r w:rsidR="006C680D" w:rsidRPr="00D337FA">
        <w:rPr>
          <w:bCs/>
        </w:rPr>
        <w:t xml:space="preserve"> </w:t>
      </w:r>
      <w:r w:rsidRPr="00D337FA">
        <w:rPr>
          <w:bCs/>
        </w:rPr>
        <w:t>развитие</w:t>
      </w:r>
      <w:r w:rsidR="006C680D" w:rsidRPr="00D337FA">
        <w:rPr>
          <w:bCs/>
        </w:rPr>
        <w:t xml:space="preserve"> </w:t>
      </w:r>
      <w:r w:rsidRPr="00D337FA">
        <w:rPr>
          <w:bCs/>
        </w:rPr>
        <w:t>ключевых</w:t>
      </w:r>
      <w:r w:rsidR="006C680D" w:rsidRPr="00D337FA">
        <w:rPr>
          <w:bCs/>
        </w:rPr>
        <w:t xml:space="preserve"> </w:t>
      </w:r>
      <w:r w:rsidRPr="00D337FA">
        <w:rPr>
          <w:bCs/>
        </w:rPr>
        <w:t>инновационных</w:t>
      </w:r>
      <w:r w:rsidR="006C680D" w:rsidRPr="00D337FA">
        <w:rPr>
          <w:bCs/>
        </w:rPr>
        <w:t xml:space="preserve"> </w:t>
      </w:r>
      <w:r w:rsidRPr="00D337FA">
        <w:rPr>
          <w:bCs/>
        </w:rPr>
        <w:t>компетенций,</w:t>
      </w:r>
      <w:r w:rsidR="006C680D" w:rsidRPr="00D337FA">
        <w:rPr>
          <w:bCs/>
        </w:rPr>
        <w:t xml:space="preserve"> </w:t>
      </w:r>
      <w:r w:rsidRPr="00D337FA">
        <w:rPr>
          <w:bCs/>
        </w:rPr>
        <w:t>адаптацию</w:t>
      </w:r>
      <w:r w:rsidR="006C680D" w:rsidRPr="00D337FA">
        <w:rPr>
          <w:bCs/>
        </w:rPr>
        <w:t xml:space="preserve"> </w:t>
      </w:r>
      <w:r w:rsidRPr="00D337FA">
        <w:rPr>
          <w:bCs/>
        </w:rPr>
        <w:t>бизнес-</w:t>
      </w:r>
      <w:r w:rsidRPr="00D337FA">
        <w:rPr>
          <w:bCs/>
        </w:rPr>
        <w:lastRenderedPageBreak/>
        <w:t>процессов</w:t>
      </w:r>
      <w:r w:rsidR="006C680D" w:rsidRPr="00D337FA">
        <w:rPr>
          <w:bCs/>
        </w:rPr>
        <w:t xml:space="preserve"> </w:t>
      </w:r>
      <w:r w:rsidRPr="00D337FA">
        <w:rPr>
          <w:bCs/>
        </w:rPr>
        <w:t>и</w:t>
      </w:r>
      <w:r w:rsidR="006C680D" w:rsidRPr="00D337FA">
        <w:rPr>
          <w:bCs/>
        </w:rPr>
        <w:t xml:space="preserve"> </w:t>
      </w:r>
      <w:r w:rsidRPr="00D337FA">
        <w:rPr>
          <w:bCs/>
        </w:rPr>
        <w:t>системную</w:t>
      </w:r>
      <w:r w:rsidR="006C680D" w:rsidRPr="00D337FA">
        <w:rPr>
          <w:bCs/>
        </w:rPr>
        <w:t xml:space="preserve"> </w:t>
      </w:r>
      <w:r w:rsidRPr="00D337FA">
        <w:rPr>
          <w:bCs/>
        </w:rPr>
        <w:t>работу</w:t>
      </w:r>
      <w:r w:rsidR="006C680D" w:rsidRPr="00D337FA">
        <w:rPr>
          <w:bCs/>
        </w:rPr>
        <w:t xml:space="preserve"> </w:t>
      </w:r>
      <w:r w:rsidRPr="00D337FA">
        <w:rPr>
          <w:bCs/>
        </w:rPr>
        <w:t>с</w:t>
      </w:r>
      <w:r w:rsidR="006C680D" w:rsidRPr="00D337FA">
        <w:rPr>
          <w:bCs/>
        </w:rPr>
        <w:t xml:space="preserve"> </w:t>
      </w:r>
      <w:r w:rsidRPr="00D337FA">
        <w:rPr>
          <w:bCs/>
        </w:rPr>
        <w:t>рыночными</w:t>
      </w:r>
      <w:r w:rsidR="006C680D" w:rsidRPr="00D337FA">
        <w:rPr>
          <w:bCs/>
        </w:rPr>
        <w:t xml:space="preserve"> </w:t>
      </w:r>
      <w:r w:rsidRPr="00D337FA">
        <w:rPr>
          <w:bCs/>
        </w:rPr>
        <w:t>факторами</w:t>
      </w:r>
      <w:r w:rsidR="006C680D" w:rsidRPr="00D337FA">
        <w:rPr>
          <w:bCs/>
        </w:rPr>
        <w:t xml:space="preserve"> </w:t>
      </w:r>
      <w:r w:rsidRPr="00D337FA">
        <w:t>[1,</w:t>
      </w:r>
      <w:r w:rsidR="006C680D" w:rsidRPr="00D337FA">
        <w:t xml:space="preserve"> </w:t>
      </w:r>
      <w:r w:rsidR="005411F4" w:rsidRPr="00D337FA">
        <w:t>4</w:t>
      </w:r>
      <w:r w:rsidRPr="00D337FA">
        <w:t>,</w:t>
      </w:r>
      <w:r w:rsidR="006C680D" w:rsidRPr="00D337FA">
        <w:t xml:space="preserve"> </w:t>
      </w:r>
      <w:r w:rsidR="005411F4" w:rsidRPr="00D337FA">
        <w:t>6</w:t>
      </w:r>
      <w:r w:rsidRPr="00D337FA">
        <w:t>,</w:t>
      </w:r>
      <w:r w:rsidR="006C680D" w:rsidRPr="00D337FA">
        <w:t xml:space="preserve"> </w:t>
      </w:r>
      <w:r w:rsidR="005411F4" w:rsidRPr="00D337FA">
        <w:t>8</w:t>
      </w:r>
      <w:r w:rsidRPr="00D337FA">
        <w:t>,</w:t>
      </w:r>
      <w:r w:rsidR="006C680D" w:rsidRPr="00D337FA">
        <w:t xml:space="preserve"> </w:t>
      </w:r>
      <w:r w:rsidRPr="00D337FA">
        <w:t>1</w:t>
      </w:r>
      <w:r w:rsidR="005411F4" w:rsidRPr="00D337FA">
        <w:t>2</w:t>
      </w:r>
      <w:r w:rsidRPr="00D337FA">
        <w:t>,</w:t>
      </w:r>
      <w:r w:rsidR="006C680D" w:rsidRPr="00D337FA">
        <w:t xml:space="preserve"> </w:t>
      </w:r>
      <w:r w:rsidR="005411F4" w:rsidRPr="00D337FA">
        <w:t>19</w:t>
      </w:r>
      <w:r w:rsidRPr="00D337FA">
        <w:t>].</w:t>
      </w:r>
      <w:r w:rsidR="006C680D" w:rsidRPr="00D337FA">
        <w:rPr>
          <w:bCs/>
        </w:rPr>
        <w:t xml:space="preserve"> </w:t>
      </w:r>
      <w:r w:rsidRPr="00D337FA">
        <w:rPr>
          <w:bCs/>
        </w:rPr>
        <w:t>Это</w:t>
      </w:r>
      <w:r w:rsidR="006C680D" w:rsidRPr="00D337FA">
        <w:rPr>
          <w:bCs/>
        </w:rPr>
        <w:t xml:space="preserve"> </w:t>
      </w:r>
      <w:r w:rsidRPr="00D337FA">
        <w:rPr>
          <w:bCs/>
        </w:rPr>
        <w:t>обуславливает</w:t>
      </w:r>
      <w:r w:rsidR="006C680D" w:rsidRPr="00D337FA">
        <w:rPr>
          <w:bCs/>
        </w:rPr>
        <w:t xml:space="preserve"> </w:t>
      </w:r>
      <w:r w:rsidRPr="00D337FA">
        <w:rPr>
          <w:bCs/>
        </w:rPr>
        <w:t>необходимость</w:t>
      </w:r>
      <w:r w:rsidR="006C680D" w:rsidRPr="00D337FA">
        <w:rPr>
          <w:bCs/>
        </w:rPr>
        <w:t xml:space="preserve"> </w:t>
      </w:r>
      <w:r w:rsidRPr="00D337FA">
        <w:rPr>
          <w:bCs/>
        </w:rPr>
        <w:t>разработки</w:t>
      </w:r>
      <w:r w:rsidR="006C680D" w:rsidRPr="00D337FA">
        <w:rPr>
          <w:bCs/>
        </w:rPr>
        <w:t xml:space="preserve"> </w:t>
      </w:r>
      <w:r w:rsidRPr="00D337FA">
        <w:rPr>
          <w:bCs/>
        </w:rPr>
        <w:t>прикладных</w:t>
      </w:r>
      <w:r w:rsidR="006C680D" w:rsidRPr="00D337FA">
        <w:rPr>
          <w:bCs/>
        </w:rPr>
        <w:t xml:space="preserve"> </w:t>
      </w:r>
      <w:r w:rsidRPr="00D337FA">
        <w:rPr>
          <w:bCs/>
        </w:rPr>
        <w:t>моделей</w:t>
      </w:r>
      <w:r w:rsidR="006C680D" w:rsidRPr="00D337FA">
        <w:rPr>
          <w:bCs/>
        </w:rPr>
        <w:t xml:space="preserve"> </w:t>
      </w:r>
      <w:r w:rsidRPr="00D337FA">
        <w:rPr>
          <w:bCs/>
        </w:rPr>
        <w:t>управления,</w:t>
      </w:r>
      <w:r w:rsidR="006C680D" w:rsidRPr="00D337FA">
        <w:rPr>
          <w:bCs/>
        </w:rPr>
        <w:t xml:space="preserve"> </w:t>
      </w:r>
      <w:r w:rsidRPr="00D337FA">
        <w:rPr>
          <w:bCs/>
        </w:rPr>
        <w:t>стратегий</w:t>
      </w:r>
      <w:r w:rsidR="006C680D" w:rsidRPr="00D337FA">
        <w:rPr>
          <w:bCs/>
        </w:rPr>
        <w:t xml:space="preserve"> </w:t>
      </w:r>
      <w:r w:rsidRPr="00D337FA">
        <w:rPr>
          <w:bCs/>
        </w:rPr>
        <w:t>управления,</w:t>
      </w:r>
      <w:r w:rsidR="006C680D" w:rsidRPr="00D337FA">
        <w:rPr>
          <w:bCs/>
        </w:rPr>
        <w:t xml:space="preserve"> </w:t>
      </w:r>
      <w:r w:rsidRPr="00D337FA">
        <w:rPr>
          <w:bCs/>
        </w:rPr>
        <w:t>включающих</w:t>
      </w:r>
      <w:r w:rsidR="006C680D" w:rsidRPr="00D337FA">
        <w:rPr>
          <w:bCs/>
        </w:rPr>
        <w:t xml:space="preserve"> </w:t>
      </w:r>
      <w:r w:rsidRPr="00D337FA">
        <w:rPr>
          <w:bCs/>
        </w:rPr>
        <w:t>механизмы</w:t>
      </w:r>
      <w:r w:rsidR="006C680D" w:rsidRPr="00D337FA">
        <w:rPr>
          <w:bCs/>
        </w:rPr>
        <w:t xml:space="preserve"> </w:t>
      </w:r>
      <w:r w:rsidRPr="00D337FA">
        <w:rPr>
          <w:bCs/>
        </w:rPr>
        <w:t>и</w:t>
      </w:r>
      <w:r w:rsidR="006C680D" w:rsidRPr="00D337FA">
        <w:rPr>
          <w:bCs/>
        </w:rPr>
        <w:t xml:space="preserve"> </w:t>
      </w:r>
      <w:r w:rsidRPr="00D337FA">
        <w:rPr>
          <w:bCs/>
        </w:rPr>
        <w:t>технологический</w:t>
      </w:r>
      <w:r w:rsidR="006C680D" w:rsidRPr="00D337FA">
        <w:rPr>
          <w:bCs/>
        </w:rPr>
        <w:t xml:space="preserve"> </w:t>
      </w:r>
      <w:r w:rsidRPr="00D337FA">
        <w:rPr>
          <w:bCs/>
        </w:rPr>
        <w:t>инструментарий,</w:t>
      </w:r>
      <w:r w:rsidR="006C680D" w:rsidRPr="00D337FA">
        <w:rPr>
          <w:bCs/>
        </w:rPr>
        <w:t xml:space="preserve"> </w:t>
      </w:r>
      <w:r w:rsidRPr="00D337FA">
        <w:rPr>
          <w:bCs/>
        </w:rPr>
        <w:t>которые</w:t>
      </w:r>
      <w:r w:rsidR="006C680D" w:rsidRPr="00D337FA">
        <w:rPr>
          <w:bCs/>
        </w:rPr>
        <w:t xml:space="preserve"> </w:t>
      </w:r>
      <w:r w:rsidRPr="00D337FA">
        <w:rPr>
          <w:bCs/>
        </w:rPr>
        <w:t>учитывают</w:t>
      </w:r>
      <w:r w:rsidR="006C680D" w:rsidRPr="00D337FA">
        <w:rPr>
          <w:bCs/>
        </w:rPr>
        <w:t xml:space="preserve"> </w:t>
      </w:r>
      <w:r w:rsidRPr="00D337FA">
        <w:rPr>
          <w:bCs/>
        </w:rPr>
        <w:t>специфику</w:t>
      </w:r>
      <w:r w:rsidR="006C680D" w:rsidRPr="00D337FA">
        <w:rPr>
          <w:bCs/>
        </w:rPr>
        <w:t xml:space="preserve"> </w:t>
      </w:r>
      <w:r w:rsidRPr="00D337FA">
        <w:rPr>
          <w:bCs/>
        </w:rPr>
        <w:t>страховых</w:t>
      </w:r>
      <w:r w:rsidR="006C680D" w:rsidRPr="00D337FA">
        <w:rPr>
          <w:bCs/>
        </w:rPr>
        <w:t xml:space="preserve"> </w:t>
      </w:r>
      <w:r w:rsidRPr="00D337FA">
        <w:rPr>
          <w:bCs/>
        </w:rPr>
        <w:t>услуг</w:t>
      </w:r>
      <w:r w:rsidR="006C680D" w:rsidRPr="00D337FA">
        <w:rPr>
          <w:bCs/>
        </w:rPr>
        <w:t xml:space="preserve"> </w:t>
      </w:r>
      <w:r w:rsidRPr="00D337FA">
        <w:rPr>
          <w:bCs/>
        </w:rPr>
        <w:t>и</w:t>
      </w:r>
      <w:r w:rsidR="006C680D" w:rsidRPr="00D337FA">
        <w:rPr>
          <w:bCs/>
        </w:rPr>
        <w:t xml:space="preserve"> </w:t>
      </w:r>
      <w:r w:rsidRPr="00D337FA">
        <w:rPr>
          <w:bCs/>
        </w:rPr>
        <w:t>современные</w:t>
      </w:r>
      <w:r w:rsidR="006C680D" w:rsidRPr="00D337FA">
        <w:rPr>
          <w:bCs/>
        </w:rPr>
        <w:t xml:space="preserve"> </w:t>
      </w:r>
      <w:r w:rsidRPr="00D337FA">
        <w:rPr>
          <w:bCs/>
        </w:rPr>
        <w:t>тенденции</w:t>
      </w:r>
      <w:r w:rsidR="006C680D" w:rsidRPr="00D337FA">
        <w:rPr>
          <w:bCs/>
        </w:rPr>
        <w:t xml:space="preserve"> </w:t>
      </w:r>
      <w:r w:rsidRPr="00D337FA">
        <w:rPr>
          <w:bCs/>
        </w:rPr>
        <w:t>развития</w:t>
      </w:r>
      <w:r w:rsidR="006C680D" w:rsidRPr="00D337FA">
        <w:rPr>
          <w:bCs/>
        </w:rPr>
        <w:t xml:space="preserve"> </w:t>
      </w:r>
      <w:r w:rsidRPr="00D337FA">
        <w:rPr>
          <w:bCs/>
        </w:rPr>
        <w:t>рынка.</w:t>
      </w:r>
    </w:p>
    <w:p w:rsidR="00EC45F1" w:rsidRPr="00D337FA" w:rsidRDefault="00EC45F1" w:rsidP="000C1FE6">
      <w:pPr>
        <w:tabs>
          <w:tab w:val="left" w:pos="993"/>
        </w:tabs>
        <w:ind w:firstLine="284"/>
        <w:rPr>
          <w:b/>
        </w:rPr>
      </w:pPr>
      <w:r w:rsidRPr="00D337FA">
        <w:rPr>
          <w:b/>
        </w:rPr>
        <w:lastRenderedPageBreak/>
        <w:t>Эмпирический</w:t>
      </w:r>
      <w:r w:rsidR="006C680D" w:rsidRPr="00D337FA">
        <w:rPr>
          <w:b/>
        </w:rPr>
        <w:t xml:space="preserve"> </w:t>
      </w:r>
      <w:r w:rsidRPr="00D337FA">
        <w:rPr>
          <w:b/>
        </w:rPr>
        <w:t>анализ</w:t>
      </w:r>
    </w:p>
    <w:p w:rsidR="00E56107" w:rsidRPr="00D337FA" w:rsidRDefault="00EC45F1" w:rsidP="000C1FE6">
      <w:pPr>
        <w:ind w:firstLine="284"/>
        <w:rPr>
          <w:rFonts w:ascii="Arial" w:hAnsi="Arial" w:cs="Arial"/>
          <w:i/>
          <w:sz w:val="22"/>
          <w:szCs w:val="22"/>
        </w:rPr>
      </w:pPr>
      <w:r w:rsidRPr="00D337FA">
        <w:rPr>
          <w:bCs/>
        </w:rPr>
        <w:t>Для</w:t>
      </w:r>
      <w:r w:rsidR="006C680D" w:rsidRPr="00D337FA">
        <w:rPr>
          <w:bCs/>
        </w:rPr>
        <w:t xml:space="preserve"> </w:t>
      </w:r>
      <w:r w:rsidRPr="00D337FA">
        <w:rPr>
          <w:bCs/>
        </w:rPr>
        <w:t>выявления</w:t>
      </w:r>
      <w:r w:rsidR="006C680D" w:rsidRPr="00D337FA">
        <w:rPr>
          <w:bCs/>
        </w:rPr>
        <w:t xml:space="preserve"> </w:t>
      </w:r>
      <w:r w:rsidRPr="00D337FA">
        <w:rPr>
          <w:bCs/>
        </w:rPr>
        <w:t>эмпирических</w:t>
      </w:r>
      <w:r w:rsidR="006C680D" w:rsidRPr="00D337FA">
        <w:rPr>
          <w:bCs/>
        </w:rPr>
        <w:t xml:space="preserve"> </w:t>
      </w:r>
      <w:r w:rsidRPr="00D337FA">
        <w:rPr>
          <w:bCs/>
        </w:rPr>
        <w:t>закономерностей</w:t>
      </w:r>
      <w:r w:rsidR="006C680D" w:rsidRPr="00D337FA">
        <w:rPr>
          <w:bCs/>
        </w:rPr>
        <w:t xml:space="preserve"> </w:t>
      </w:r>
      <w:r w:rsidRPr="00D337FA">
        <w:rPr>
          <w:bCs/>
        </w:rPr>
        <w:t>формирования</w:t>
      </w:r>
      <w:r w:rsidR="006C680D" w:rsidRPr="00D337FA">
        <w:rPr>
          <w:bCs/>
        </w:rPr>
        <w:t xml:space="preserve"> </w:t>
      </w:r>
      <w:r w:rsidRPr="00D337FA">
        <w:rPr>
          <w:bCs/>
        </w:rPr>
        <w:t>конкурентных</w:t>
      </w:r>
      <w:r w:rsidR="006C680D" w:rsidRPr="00D337FA">
        <w:rPr>
          <w:bCs/>
        </w:rPr>
        <w:t xml:space="preserve"> </w:t>
      </w:r>
      <w:r w:rsidRPr="00D337FA">
        <w:rPr>
          <w:bCs/>
        </w:rPr>
        <w:t>преимуществ</w:t>
      </w:r>
      <w:r w:rsidR="006C680D" w:rsidRPr="00D337FA">
        <w:rPr>
          <w:bCs/>
        </w:rPr>
        <w:t xml:space="preserve"> </w:t>
      </w:r>
      <w:r w:rsidRPr="00D337FA">
        <w:rPr>
          <w:bCs/>
        </w:rPr>
        <w:t>был</w:t>
      </w:r>
      <w:r w:rsidR="006C680D" w:rsidRPr="00D337FA">
        <w:rPr>
          <w:bCs/>
        </w:rPr>
        <w:t xml:space="preserve"> </w:t>
      </w:r>
      <w:r w:rsidRPr="00D337FA">
        <w:rPr>
          <w:bCs/>
        </w:rPr>
        <w:t>проведён</w:t>
      </w:r>
      <w:r w:rsidR="006C680D" w:rsidRPr="00D337FA">
        <w:rPr>
          <w:bCs/>
        </w:rPr>
        <w:t xml:space="preserve"> </w:t>
      </w:r>
      <w:r w:rsidRPr="00D337FA">
        <w:rPr>
          <w:bCs/>
        </w:rPr>
        <w:t>анализ</w:t>
      </w:r>
      <w:r w:rsidR="006C680D" w:rsidRPr="00D337FA">
        <w:rPr>
          <w:bCs/>
        </w:rPr>
        <w:t xml:space="preserve"> </w:t>
      </w:r>
      <w:r w:rsidRPr="00D337FA">
        <w:rPr>
          <w:bCs/>
        </w:rPr>
        <w:t>деятельности</w:t>
      </w:r>
      <w:r w:rsidR="006C680D" w:rsidRPr="00D337FA">
        <w:rPr>
          <w:bCs/>
        </w:rPr>
        <w:t xml:space="preserve"> </w:t>
      </w:r>
      <w:r w:rsidRPr="00D337FA">
        <w:rPr>
          <w:bCs/>
        </w:rPr>
        <w:t>крупнейших</w:t>
      </w:r>
      <w:r w:rsidR="006C680D" w:rsidRPr="00D337FA">
        <w:rPr>
          <w:bCs/>
        </w:rPr>
        <w:t xml:space="preserve"> </w:t>
      </w:r>
      <w:r w:rsidRPr="00D337FA">
        <w:rPr>
          <w:bCs/>
        </w:rPr>
        <w:t>страховых</w:t>
      </w:r>
      <w:r w:rsidR="006C680D" w:rsidRPr="00D337FA">
        <w:rPr>
          <w:bCs/>
        </w:rPr>
        <w:t xml:space="preserve"> </w:t>
      </w:r>
      <w:r w:rsidRPr="00D337FA">
        <w:rPr>
          <w:bCs/>
        </w:rPr>
        <w:t>компаний</w:t>
      </w:r>
      <w:r w:rsidR="006C680D" w:rsidRPr="00D337FA">
        <w:rPr>
          <w:bCs/>
        </w:rPr>
        <w:t xml:space="preserve"> </w:t>
      </w:r>
      <w:r w:rsidRPr="00D337FA">
        <w:rPr>
          <w:bCs/>
        </w:rPr>
        <w:t>Российской</w:t>
      </w:r>
      <w:r w:rsidR="006C680D" w:rsidRPr="00D337FA">
        <w:rPr>
          <w:bCs/>
        </w:rPr>
        <w:t xml:space="preserve"> </w:t>
      </w:r>
      <w:r w:rsidRPr="00D337FA">
        <w:rPr>
          <w:bCs/>
        </w:rPr>
        <w:t>Федерации,</w:t>
      </w:r>
      <w:r w:rsidR="006C680D" w:rsidRPr="00D337FA">
        <w:rPr>
          <w:bCs/>
        </w:rPr>
        <w:t xml:space="preserve"> </w:t>
      </w:r>
      <w:r w:rsidRPr="00D337FA">
        <w:rPr>
          <w:bCs/>
        </w:rPr>
        <w:t>входящих</w:t>
      </w:r>
      <w:r w:rsidR="006C680D" w:rsidRPr="00D337FA">
        <w:rPr>
          <w:bCs/>
        </w:rPr>
        <w:t xml:space="preserve"> </w:t>
      </w:r>
      <w:r w:rsidRPr="00D337FA">
        <w:rPr>
          <w:bCs/>
        </w:rPr>
        <w:t>в</w:t>
      </w:r>
      <w:r w:rsidR="006C680D" w:rsidRPr="00D337FA">
        <w:rPr>
          <w:bCs/>
        </w:rPr>
        <w:t xml:space="preserve"> </w:t>
      </w:r>
      <w:r w:rsidRPr="00D337FA">
        <w:rPr>
          <w:bCs/>
        </w:rPr>
        <w:t>ТОП-10</w:t>
      </w:r>
      <w:r w:rsidR="006C680D" w:rsidRPr="00D337FA">
        <w:rPr>
          <w:bCs/>
        </w:rPr>
        <w:t xml:space="preserve"> </w:t>
      </w:r>
      <w:r w:rsidRPr="00D337FA">
        <w:rPr>
          <w:bCs/>
        </w:rPr>
        <w:t>по</w:t>
      </w:r>
      <w:r w:rsidR="006C680D" w:rsidRPr="00D337FA">
        <w:rPr>
          <w:bCs/>
        </w:rPr>
        <w:t xml:space="preserve"> </w:t>
      </w:r>
      <w:r w:rsidRPr="00D337FA">
        <w:rPr>
          <w:bCs/>
        </w:rPr>
        <w:t>объёму</w:t>
      </w:r>
      <w:r w:rsidR="006C680D" w:rsidRPr="00D337FA">
        <w:rPr>
          <w:bCs/>
        </w:rPr>
        <w:t xml:space="preserve"> </w:t>
      </w:r>
      <w:r w:rsidRPr="00D337FA">
        <w:rPr>
          <w:bCs/>
        </w:rPr>
        <w:t>страховых</w:t>
      </w:r>
      <w:r w:rsidR="006C680D" w:rsidRPr="00D337FA">
        <w:rPr>
          <w:bCs/>
        </w:rPr>
        <w:t xml:space="preserve"> </w:t>
      </w:r>
      <w:r w:rsidRPr="00D337FA">
        <w:rPr>
          <w:bCs/>
        </w:rPr>
        <w:t>премий</w:t>
      </w:r>
      <w:r w:rsidR="006C680D" w:rsidRPr="00D337FA">
        <w:rPr>
          <w:bCs/>
        </w:rPr>
        <w:t xml:space="preserve"> </w:t>
      </w:r>
      <w:r w:rsidRPr="00D337FA">
        <w:rPr>
          <w:bCs/>
        </w:rPr>
        <w:t>(табл.</w:t>
      </w:r>
      <w:r w:rsidR="006C680D" w:rsidRPr="00D337FA">
        <w:rPr>
          <w:bCs/>
        </w:rPr>
        <w:t xml:space="preserve"> </w:t>
      </w:r>
      <w:r w:rsidRPr="00D337FA">
        <w:rPr>
          <w:bCs/>
        </w:rPr>
        <w:t>1)</w:t>
      </w:r>
      <w:r w:rsidR="006C680D" w:rsidRPr="00D337FA">
        <w:rPr>
          <w:bCs/>
        </w:rPr>
        <w:t xml:space="preserve"> </w:t>
      </w:r>
      <w:r w:rsidRPr="00D337FA">
        <w:t>[</w:t>
      </w:r>
      <w:r w:rsidR="005411F4" w:rsidRPr="00D337FA">
        <w:t>4</w:t>
      </w:r>
      <w:r w:rsidRPr="00D337FA">
        <w:t>,</w:t>
      </w:r>
      <w:r w:rsidR="006C680D" w:rsidRPr="00D337FA">
        <w:t xml:space="preserve"> </w:t>
      </w:r>
      <w:r w:rsidR="005411F4" w:rsidRPr="00D337FA">
        <w:t>5</w:t>
      </w:r>
      <w:r w:rsidRPr="00D337FA">
        <w:t>,</w:t>
      </w:r>
      <w:r w:rsidR="006C680D" w:rsidRPr="00D337FA">
        <w:t xml:space="preserve"> </w:t>
      </w:r>
      <w:r w:rsidR="005411F4" w:rsidRPr="00D337FA">
        <w:t>8</w:t>
      </w:r>
      <w:r w:rsidRPr="00D337FA">
        <w:t>,</w:t>
      </w:r>
      <w:r w:rsidR="006C680D" w:rsidRPr="00D337FA">
        <w:t xml:space="preserve"> </w:t>
      </w:r>
      <w:r w:rsidRPr="00D337FA">
        <w:t>1</w:t>
      </w:r>
      <w:r w:rsidR="005411F4" w:rsidRPr="00D337FA">
        <w:t>2</w:t>
      </w:r>
      <w:r w:rsidRPr="00D337FA">
        <w:t>]</w:t>
      </w:r>
      <w:r w:rsidRPr="00D337FA">
        <w:rPr>
          <w:bCs/>
        </w:rPr>
        <w:t>.</w:t>
      </w:r>
    </w:p>
    <w:p w:rsidR="00560B15" w:rsidRPr="00D337FA" w:rsidRDefault="00560B15" w:rsidP="00847021">
      <w:pPr>
        <w:ind w:firstLine="142"/>
        <w:rPr>
          <w:i/>
          <w:sz w:val="22"/>
          <w:szCs w:val="22"/>
        </w:rPr>
        <w:sectPr w:rsidR="00560B15" w:rsidRPr="00D337FA" w:rsidSect="00560B15">
          <w:footnotePr>
            <w:numRestart w:val="eachPage"/>
          </w:footnotePr>
          <w:type w:val="continuous"/>
          <w:pgSz w:w="11907" w:h="16840" w:code="9"/>
          <w:pgMar w:top="1418" w:right="1134" w:bottom="1418" w:left="1134" w:header="1021" w:footer="1021" w:gutter="0"/>
          <w:cols w:num="2" w:space="708"/>
          <w:docGrid w:linePitch="360"/>
        </w:sectPr>
      </w:pPr>
    </w:p>
    <w:p w:rsidR="003802B5" w:rsidRPr="00D337FA" w:rsidRDefault="003802B5" w:rsidP="003802B5">
      <w:pPr>
        <w:ind w:firstLine="0"/>
        <w:jc w:val="right"/>
        <w:rPr>
          <w:rFonts w:ascii="Arial" w:hAnsi="Arial" w:cs="Arial"/>
          <w:i/>
          <w:sz w:val="22"/>
          <w:szCs w:val="22"/>
        </w:rPr>
      </w:pPr>
      <w:r w:rsidRPr="00D337FA">
        <w:rPr>
          <w:rFonts w:ascii="Arial" w:hAnsi="Arial" w:cs="Arial"/>
          <w:i/>
          <w:sz w:val="22"/>
          <w:szCs w:val="22"/>
        </w:rPr>
        <w:lastRenderedPageBreak/>
        <w:t>Таблица</w:t>
      </w:r>
      <w:r w:rsidR="006C680D" w:rsidRPr="00D337FA">
        <w:rPr>
          <w:rFonts w:ascii="Arial" w:hAnsi="Arial" w:cs="Arial"/>
          <w:i/>
          <w:sz w:val="22"/>
          <w:szCs w:val="22"/>
        </w:rPr>
        <w:t xml:space="preserve"> </w:t>
      </w:r>
      <w:r w:rsidRPr="00D337FA">
        <w:rPr>
          <w:rFonts w:ascii="Arial" w:hAnsi="Arial" w:cs="Arial"/>
          <w:i/>
          <w:sz w:val="22"/>
          <w:szCs w:val="22"/>
        </w:rPr>
        <w:t>1</w:t>
      </w:r>
    </w:p>
    <w:p w:rsidR="00EC45F1" w:rsidRPr="00D337FA" w:rsidRDefault="00EC45F1" w:rsidP="00EC45F1">
      <w:pPr>
        <w:ind w:firstLine="0"/>
        <w:jc w:val="center"/>
        <w:rPr>
          <w:rFonts w:ascii="Arial" w:hAnsi="Arial" w:cs="Arial"/>
          <w:i/>
          <w:sz w:val="22"/>
          <w:szCs w:val="22"/>
        </w:rPr>
      </w:pPr>
      <w:r w:rsidRPr="00D337FA">
        <w:rPr>
          <w:rFonts w:ascii="Arial" w:hAnsi="Arial" w:cs="Arial"/>
          <w:i/>
          <w:sz w:val="22"/>
          <w:szCs w:val="22"/>
        </w:rPr>
        <w:t>ТОП-10</w:t>
      </w:r>
      <w:r w:rsidR="006C680D" w:rsidRPr="00D337FA">
        <w:rPr>
          <w:rFonts w:ascii="Arial" w:hAnsi="Arial" w:cs="Arial"/>
          <w:i/>
          <w:sz w:val="22"/>
          <w:szCs w:val="22"/>
        </w:rPr>
        <w:t xml:space="preserve"> </w:t>
      </w:r>
      <w:r w:rsidRPr="00D337FA">
        <w:rPr>
          <w:rFonts w:ascii="Arial" w:hAnsi="Arial" w:cs="Arial"/>
          <w:i/>
          <w:sz w:val="22"/>
          <w:szCs w:val="22"/>
        </w:rPr>
        <w:t>страховых</w:t>
      </w:r>
      <w:r w:rsidR="006C680D" w:rsidRPr="00D337FA">
        <w:rPr>
          <w:rFonts w:ascii="Arial" w:hAnsi="Arial" w:cs="Arial"/>
          <w:i/>
          <w:sz w:val="22"/>
          <w:szCs w:val="22"/>
        </w:rPr>
        <w:t xml:space="preserve"> </w:t>
      </w:r>
      <w:r w:rsidRPr="00D337FA">
        <w:rPr>
          <w:rFonts w:ascii="Arial" w:hAnsi="Arial" w:cs="Arial"/>
          <w:i/>
          <w:sz w:val="22"/>
          <w:szCs w:val="22"/>
        </w:rPr>
        <w:t>компаний</w:t>
      </w:r>
      <w:r w:rsidR="006C680D" w:rsidRPr="00D337FA">
        <w:rPr>
          <w:rFonts w:ascii="Arial" w:hAnsi="Arial" w:cs="Arial"/>
          <w:i/>
          <w:sz w:val="22"/>
          <w:szCs w:val="22"/>
        </w:rPr>
        <w:t xml:space="preserve"> </w:t>
      </w:r>
      <w:r w:rsidRPr="00D337FA">
        <w:rPr>
          <w:rFonts w:ascii="Arial" w:hAnsi="Arial" w:cs="Arial"/>
          <w:i/>
          <w:sz w:val="22"/>
          <w:szCs w:val="22"/>
        </w:rPr>
        <w:t>РФ</w:t>
      </w:r>
      <w:r w:rsidR="006C680D" w:rsidRPr="00D337FA">
        <w:rPr>
          <w:rFonts w:ascii="Arial" w:hAnsi="Arial" w:cs="Arial"/>
          <w:i/>
          <w:sz w:val="22"/>
          <w:szCs w:val="22"/>
        </w:rPr>
        <w:t xml:space="preserve"> </w:t>
      </w:r>
      <w:r w:rsidRPr="00D337FA">
        <w:rPr>
          <w:rFonts w:ascii="Arial" w:hAnsi="Arial" w:cs="Arial"/>
          <w:i/>
          <w:sz w:val="22"/>
          <w:szCs w:val="22"/>
        </w:rPr>
        <w:t>по</w:t>
      </w:r>
      <w:r w:rsidR="006C680D" w:rsidRPr="00D337FA">
        <w:rPr>
          <w:rFonts w:ascii="Arial" w:hAnsi="Arial" w:cs="Arial"/>
          <w:i/>
          <w:sz w:val="22"/>
          <w:szCs w:val="22"/>
        </w:rPr>
        <w:t xml:space="preserve"> </w:t>
      </w:r>
      <w:r w:rsidRPr="00D337FA">
        <w:rPr>
          <w:rFonts w:ascii="Arial" w:hAnsi="Arial" w:cs="Arial"/>
          <w:i/>
          <w:sz w:val="22"/>
          <w:szCs w:val="22"/>
        </w:rPr>
        <w:t>основным</w:t>
      </w:r>
      <w:r w:rsidR="006C680D" w:rsidRPr="00D337FA">
        <w:rPr>
          <w:rFonts w:ascii="Arial" w:hAnsi="Arial" w:cs="Arial"/>
          <w:i/>
          <w:sz w:val="22"/>
          <w:szCs w:val="22"/>
        </w:rPr>
        <w:t xml:space="preserve"> </w:t>
      </w:r>
      <w:r w:rsidRPr="00D337FA">
        <w:rPr>
          <w:rFonts w:ascii="Arial" w:hAnsi="Arial" w:cs="Arial"/>
          <w:i/>
          <w:sz w:val="22"/>
          <w:szCs w:val="22"/>
        </w:rPr>
        <w:t>показателям</w:t>
      </w:r>
      <w:r w:rsidR="006C680D" w:rsidRPr="00D337FA">
        <w:rPr>
          <w:rFonts w:ascii="Arial" w:hAnsi="Arial" w:cs="Arial"/>
          <w:i/>
          <w:sz w:val="22"/>
          <w:szCs w:val="22"/>
        </w:rPr>
        <w:t xml:space="preserve"> </w:t>
      </w:r>
      <w:r w:rsidRPr="00D337FA">
        <w:rPr>
          <w:rFonts w:ascii="Arial" w:hAnsi="Arial" w:cs="Arial"/>
          <w:i/>
          <w:sz w:val="22"/>
          <w:szCs w:val="22"/>
        </w:rPr>
        <w:t>деятельности</w:t>
      </w:r>
      <w:r w:rsidR="006C680D" w:rsidRPr="00D337FA">
        <w:rPr>
          <w:rFonts w:ascii="Arial" w:hAnsi="Arial" w:cs="Arial"/>
          <w:i/>
          <w:sz w:val="22"/>
          <w:szCs w:val="22"/>
        </w:rPr>
        <w:t xml:space="preserve"> </w:t>
      </w:r>
      <w:r w:rsidRPr="00D337FA">
        <w:rPr>
          <w:rFonts w:ascii="Arial" w:hAnsi="Arial" w:cs="Arial"/>
          <w:i/>
          <w:sz w:val="22"/>
          <w:szCs w:val="22"/>
        </w:rPr>
        <w:t>(2024</w:t>
      </w:r>
      <w:r w:rsidR="006C680D" w:rsidRPr="00D337FA">
        <w:rPr>
          <w:rFonts w:ascii="Arial" w:hAnsi="Arial" w:cs="Arial"/>
          <w:i/>
          <w:sz w:val="22"/>
          <w:szCs w:val="22"/>
        </w:rPr>
        <w:t xml:space="preserve"> </w:t>
      </w:r>
      <w:r w:rsidRPr="00D337FA">
        <w:rPr>
          <w:rFonts w:ascii="Arial" w:hAnsi="Arial" w:cs="Arial"/>
          <w:i/>
          <w:sz w:val="22"/>
          <w:szCs w:val="22"/>
        </w:rPr>
        <w:t>г.)</w:t>
      </w:r>
    </w:p>
    <w:tbl>
      <w:tblPr>
        <w:tblStyle w:val="afa"/>
        <w:tblW w:w="9742" w:type="dxa"/>
        <w:tblInd w:w="5" w:type="dxa"/>
        <w:tblLook w:val="04A0" w:firstRow="1" w:lastRow="0" w:firstColumn="1" w:lastColumn="0" w:noHBand="0" w:noVBand="1"/>
      </w:tblPr>
      <w:tblGrid>
        <w:gridCol w:w="3647"/>
        <w:gridCol w:w="2977"/>
        <w:gridCol w:w="3118"/>
      </w:tblGrid>
      <w:tr w:rsidR="00D337FA" w:rsidRPr="004577D3" w:rsidTr="00EC45F1">
        <w:tc>
          <w:tcPr>
            <w:tcW w:w="3647" w:type="dxa"/>
            <w:vAlign w:val="center"/>
          </w:tcPr>
          <w:p w:rsidR="00EC45F1" w:rsidRPr="004577D3" w:rsidRDefault="00EC45F1" w:rsidP="000C1FE6">
            <w:pPr>
              <w:tabs>
                <w:tab w:val="left" w:pos="993"/>
              </w:tabs>
              <w:ind w:firstLine="0"/>
              <w:jc w:val="center"/>
              <w:rPr>
                <w:bCs/>
                <w:sz w:val="20"/>
                <w:szCs w:val="20"/>
              </w:rPr>
            </w:pPr>
            <w:r w:rsidRPr="004577D3">
              <w:rPr>
                <w:bCs/>
                <w:sz w:val="20"/>
                <w:szCs w:val="20"/>
              </w:rPr>
              <w:t>Страховая</w:t>
            </w:r>
            <w:r w:rsidR="006C680D" w:rsidRPr="004577D3">
              <w:rPr>
                <w:bCs/>
                <w:sz w:val="20"/>
                <w:szCs w:val="20"/>
              </w:rPr>
              <w:t xml:space="preserve"> </w:t>
            </w:r>
            <w:r w:rsidRPr="004577D3">
              <w:rPr>
                <w:bCs/>
                <w:sz w:val="20"/>
                <w:szCs w:val="20"/>
              </w:rPr>
              <w:t>компания</w:t>
            </w:r>
          </w:p>
        </w:tc>
        <w:tc>
          <w:tcPr>
            <w:tcW w:w="2977" w:type="dxa"/>
            <w:vAlign w:val="center"/>
          </w:tcPr>
          <w:p w:rsidR="00EC45F1" w:rsidRPr="004577D3" w:rsidRDefault="00EC45F1" w:rsidP="000C1FE6">
            <w:pPr>
              <w:tabs>
                <w:tab w:val="left" w:pos="993"/>
              </w:tabs>
              <w:ind w:firstLine="0"/>
              <w:jc w:val="center"/>
              <w:rPr>
                <w:bCs/>
                <w:sz w:val="20"/>
                <w:szCs w:val="20"/>
              </w:rPr>
            </w:pPr>
            <w:r w:rsidRPr="004577D3">
              <w:rPr>
                <w:bCs/>
                <w:sz w:val="20"/>
                <w:szCs w:val="20"/>
              </w:rPr>
              <w:t>Страховые</w:t>
            </w:r>
            <w:r w:rsidR="006C680D" w:rsidRPr="004577D3">
              <w:rPr>
                <w:bCs/>
                <w:sz w:val="20"/>
                <w:szCs w:val="20"/>
              </w:rPr>
              <w:t xml:space="preserve"> </w:t>
            </w:r>
            <w:r w:rsidRPr="004577D3">
              <w:rPr>
                <w:bCs/>
                <w:sz w:val="20"/>
                <w:szCs w:val="20"/>
              </w:rPr>
              <w:t>премии,</w:t>
            </w:r>
            <w:r w:rsidR="006C680D" w:rsidRPr="004577D3">
              <w:rPr>
                <w:bCs/>
                <w:sz w:val="20"/>
                <w:szCs w:val="20"/>
              </w:rPr>
              <w:t xml:space="preserve"> </w:t>
            </w:r>
            <w:r w:rsidRPr="004577D3">
              <w:rPr>
                <w:bCs/>
                <w:sz w:val="20"/>
                <w:szCs w:val="20"/>
              </w:rPr>
              <w:t>млн</w:t>
            </w:r>
            <w:r w:rsidR="006C680D" w:rsidRPr="004577D3">
              <w:rPr>
                <w:bCs/>
                <w:sz w:val="20"/>
                <w:szCs w:val="20"/>
              </w:rPr>
              <w:t xml:space="preserve"> </w:t>
            </w:r>
            <w:r w:rsidRPr="004577D3">
              <w:rPr>
                <w:bCs/>
                <w:sz w:val="20"/>
                <w:szCs w:val="20"/>
              </w:rPr>
              <w:t>руб.</w:t>
            </w:r>
          </w:p>
        </w:tc>
        <w:tc>
          <w:tcPr>
            <w:tcW w:w="3118" w:type="dxa"/>
            <w:vAlign w:val="center"/>
          </w:tcPr>
          <w:p w:rsidR="00EC45F1" w:rsidRPr="004577D3" w:rsidRDefault="00EC45F1" w:rsidP="000C1FE6">
            <w:pPr>
              <w:tabs>
                <w:tab w:val="left" w:pos="993"/>
              </w:tabs>
              <w:ind w:firstLine="0"/>
              <w:jc w:val="center"/>
              <w:rPr>
                <w:bCs/>
                <w:sz w:val="20"/>
                <w:szCs w:val="20"/>
              </w:rPr>
            </w:pPr>
            <w:r w:rsidRPr="004577D3">
              <w:rPr>
                <w:bCs/>
                <w:sz w:val="20"/>
                <w:szCs w:val="20"/>
              </w:rPr>
              <w:t>Страховые</w:t>
            </w:r>
            <w:r w:rsidR="006C680D" w:rsidRPr="004577D3">
              <w:rPr>
                <w:bCs/>
                <w:sz w:val="20"/>
                <w:szCs w:val="20"/>
              </w:rPr>
              <w:t xml:space="preserve"> </w:t>
            </w:r>
            <w:r w:rsidRPr="004577D3">
              <w:rPr>
                <w:bCs/>
                <w:sz w:val="20"/>
                <w:szCs w:val="20"/>
              </w:rPr>
              <w:t>выплаты,</w:t>
            </w:r>
            <w:r w:rsidR="006C680D" w:rsidRPr="004577D3">
              <w:rPr>
                <w:bCs/>
                <w:sz w:val="20"/>
                <w:szCs w:val="20"/>
              </w:rPr>
              <w:t xml:space="preserve"> </w:t>
            </w:r>
            <w:r w:rsidRPr="004577D3">
              <w:rPr>
                <w:bCs/>
                <w:sz w:val="20"/>
                <w:szCs w:val="20"/>
              </w:rPr>
              <w:t>млн</w:t>
            </w:r>
            <w:r w:rsidR="006C680D" w:rsidRPr="004577D3">
              <w:rPr>
                <w:bCs/>
                <w:sz w:val="20"/>
                <w:szCs w:val="20"/>
              </w:rPr>
              <w:t xml:space="preserve"> </w:t>
            </w:r>
            <w:r w:rsidRPr="004577D3">
              <w:rPr>
                <w:bCs/>
                <w:sz w:val="20"/>
                <w:szCs w:val="20"/>
              </w:rPr>
              <w:t>руб.</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Сбербанк</w:t>
            </w:r>
            <w:r w:rsidR="006C680D" w:rsidRPr="004577D3">
              <w:rPr>
                <w:bCs/>
                <w:sz w:val="20"/>
                <w:szCs w:val="20"/>
              </w:rPr>
              <w:t xml:space="preserve"> </w:t>
            </w:r>
            <w:r w:rsidRPr="004577D3">
              <w:rPr>
                <w:bCs/>
                <w:sz w:val="20"/>
                <w:szCs w:val="20"/>
              </w:rPr>
              <w:t>страхование</w:t>
            </w:r>
            <w:r w:rsidR="006C680D" w:rsidRPr="004577D3">
              <w:rPr>
                <w:bCs/>
                <w:sz w:val="20"/>
                <w:szCs w:val="20"/>
              </w:rPr>
              <w:t xml:space="preserve"> </w:t>
            </w:r>
            <w:r w:rsidRPr="004577D3">
              <w:rPr>
                <w:bCs/>
                <w:sz w:val="20"/>
                <w:szCs w:val="20"/>
              </w:rPr>
              <w:t>жизни</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1</w:t>
            </w:r>
            <w:r w:rsidR="006C680D" w:rsidRPr="004577D3">
              <w:rPr>
                <w:bCs/>
                <w:sz w:val="20"/>
                <w:szCs w:val="20"/>
              </w:rPr>
              <w:t xml:space="preserve"> </w:t>
            </w:r>
            <w:r w:rsidRPr="004577D3">
              <w:rPr>
                <w:bCs/>
                <w:sz w:val="20"/>
                <w:szCs w:val="20"/>
              </w:rPr>
              <w:t>104</w:t>
            </w:r>
            <w:r w:rsidR="006C680D" w:rsidRPr="004577D3">
              <w:rPr>
                <w:bCs/>
                <w:sz w:val="20"/>
                <w:szCs w:val="20"/>
              </w:rPr>
              <w:t xml:space="preserve"> </w:t>
            </w:r>
            <w:r w:rsidRPr="004577D3">
              <w:rPr>
                <w:bCs/>
                <w:sz w:val="20"/>
                <w:szCs w:val="20"/>
              </w:rPr>
              <w:t>726</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711</w:t>
            </w:r>
            <w:r w:rsidR="006C680D" w:rsidRPr="004577D3">
              <w:rPr>
                <w:bCs/>
                <w:sz w:val="20"/>
                <w:szCs w:val="20"/>
              </w:rPr>
              <w:t xml:space="preserve"> </w:t>
            </w:r>
            <w:r w:rsidRPr="004577D3">
              <w:rPr>
                <w:bCs/>
                <w:sz w:val="20"/>
                <w:szCs w:val="20"/>
              </w:rPr>
              <w:t>235</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АльфаСтрахование-Жизнь</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293</w:t>
            </w:r>
            <w:r w:rsidR="006C680D" w:rsidRPr="004577D3">
              <w:rPr>
                <w:bCs/>
                <w:sz w:val="20"/>
                <w:szCs w:val="20"/>
              </w:rPr>
              <w:t xml:space="preserve"> </w:t>
            </w:r>
            <w:r w:rsidRPr="004577D3">
              <w:rPr>
                <w:bCs/>
                <w:sz w:val="20"/>
                <w:szCs w:val="20"/>
              </w:rPr>
              <w:t>556</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204</w:t>
            </w:r>
            <w:r w:rsidR="006C680D" w:rsidRPr="004577D3">
              <w:rPr>
                <w:bCs/>
                <w:sz w:val="20"/>
                <w:szCs w:val="20"/>
              </w:rPr>
              <w:t xml:space="preserve"> </w:t>
            </w:r>
            <w:r w:rsidRPr="004577D3">
              <w:rPr>
                <w:bCs/>
                <w:sz w:val="20"/>
                <w:szCs w:val="20"/>
              </w:rPr>
              <w:t>431</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СОГАЗ</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269</w:t>
            </w:r>
            <w:r w:rsidR="006C680D" w:rsidRPr="004577D3">
              <w:rPr>
                <w:bCs/>
                <w:sz w:val="20"/>
                <w:szCs w:val="20"/>
              </w:rPr>
              <w:t xml:space="preserve"> </w:t>
            </w:r>
            <w:r w:rsidRPr="004577D3">
              <w:rPr>
                <w:bCs/>
                <w:sz w:val="20"/>
                <w:szCs w:val="20"/>
              </w:rPr>
              <w:t>366</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149</w:t>
            </w:r>
            <w:r w:rsidR="006C680D" w:rsidRPr="004577D3">
              <w:rPr>
                <w:bCs/>
                <w:sz w:val="20"/>
                <w:szCs w:val="20"/>
              </w:rPr>
              <w:t xml:space="preserve"> </w:t>
            </w:r>
            <w:r w:rsidRPr="004577D3">
              <w:rPr>
                <w:bCs/>
                <w:sz w:val="20"/>
                <w:szCs w:val="20"/>
              </w:rPr>
              <w:t>763</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СОГАЗ-Жизнь</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235</w:t>
            </w:r>
            <w:r w:rsidR="006C680D" w:rsidRPr="004577D3">
              <w:rPr>
                <w:bCs/>
                <w:sz w:val="20"/>
                <w:szCs w:val="20"/>
              </w:rPr>
              <w:t xml:space="preserve"> </w:t>
            </w:r>
            <w:r w:rsidRPr="004577D3">
              <w:rPr>
                <w:bCs/>
                <w:sz w:val="20"/>
                <w:szCs w:val="20"/>
              </w:rPr>
              <w:t>151</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201</w:t>
            </w:r>
            <w:r w:rsidR="006C680D" w:rsidRPr="004577D3">
              <w:rPr>
                <w:bCs/>
                <w:sz w:val="20"/>
                <w:szCs w:val="20"/>
              </w:rPr>
              <w:t xml:space="preserve"> </w:t>
            </w:r>
            <w:r w:rsidRPr="004577D3">
              <w:rPr>
                <w:bCs/>
                <w:sz w:val="20"/>
                <w:szCs w:val="20"/>
              </w:rPr>
              <w:t>340</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АльфаСтрахование</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233</w:t>
            </w:r>
            <w:r w:rsidR="006C680D" w:rsidRPr="004577D3">
              <w:rPr>
                <w:bCs/>
                <w:sz w:val="20"/>
                <w:szCs w:val="20"/>
              </w:rPr>
              <w:t xml:space="preserve"> </w:t>
            </w:r>
            <w:r w:rsidRPr="004577D3">
              <w:rPr>
                <w:bCs/>
                <w:sz w:val="20"/>
                <w:szCs w:val="20"/>
              </w:rPr>
              <w:t>120</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123</w:t>
            </w:r>
            <w:r w:rsidR="006C680D" w:rsidRPr="004577D3">
              <w:rPr>
                <w:bCs/>
                <w:sz w:val="20"/>
                <w:szCs w:val="20"/>
              </w:rPr>
              <w:t xml:space="preserve"> </w:t>
            </w:r>
            <w:r w:rsidRPr="004577D3">
              <w:rPr>
                <w:bCs/>
                <w:sz w:val="20"/>
                <w:szCs w:val="20"/>
              </w:rPr>
              <w:t>660</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Ингосстрах</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205</w:t>
            </w:r>
            <w:r w:rsidR="006C680D" w:rsidRPr="004577D3">
              <w:rPr>
                <w:bCs/>
                <w:sz w:val="20"/>
                <w:szCs w:val="20"/>
              </w:rPr>
              <w:t xml:space="preserve"> </w:t>
            </w:r>
            <w:r w:rsidRPr="004577D3">
              <w:rPr>
                <w:bCs/>
                <w:sz w:val="20"/>
                <w:szCs w:val="20"/>
              </w:rPr>
              <w:t>889</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105</w:t>
            </w:r>
            <w:r w:rsidR="006C680D" w:rsidRPr="004577D3">
              <w:rPr>
                <w:bCs/>
                <w:sz w:val="20"/>
                <w:szCs w:val="20"/>
              </w:rPr>
              <w:t xml:space="preserve"> </w:t>
            </w:r>
            <w:r w:rsidRPr="004577D3">
              <w:rPr>
                <w:bCs/>
                <w:sz w:val="20"/>
                <w:szCs w:val="20"/>
              </w:rPr>
              <w:t>452</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РЕСО-Гарантия</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154</w:t>
            </w:r>
            <w:r w:rsidR="006C680D" w:rsidRPr="004577D3">
              <w:rPr>
                <w:bCs/>
                <w:sz w:val="20"/>
                <w:szCs w:val="20"/>
              </w:rPr>
              <w:t xml:space="preserve"> </w:t>
            </w:r>
            <w:r w:rsidRPr="004577D3">
              <w:rPr>
                <w:bCs/>
                <w:sz w:val="20"/>
                <w:szCs w:val="20"/>
              </w:rPr>
              <w:t>177</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83</w:t>
            </w:r>
            <w:r w:rsidR="006C680D" w:rsidRPr="004577D3">
              <w:rPr>
                <w:bCs/>
                <w:sz w:val="20"/>
                <w:szCs w:val="20"/>
              </w:rPr>
              <w:t xml:space="preserve"> </w:t>
            </w:r>
            <w:r w:rsidRPr="004577D3">
              <w:rPr>
                <w:bCs/>
                <w:sz w:val="20"/>
                <w:szCs w:val="20"/>
              </w:rPr>
              <w:t>210</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ВСК</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146</w:t>
            </w:r>
            <w:r w:rsidR="006C680D" w:rsidRPr="004577D3">
              <w:rPr>
                <w:bCs/>
                <w:sz w:val="20"/>
                <w:szCs w:val="20"/>
              </w:rPr>
              <w:t xml:space="preserve"> </w:t>
            </w:r>
            <w:r w:rsidRPr="004577D3">
              <w:rPr>
                <w:bCs/>
                <w:sz w:val="20"/>
                <w:szCs w:val="20"/>
              </w:rPr>
              <w:t>339</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69</w:t>
            </w:r>
            <w:r w:rsidR="006C680D" w:rsidRPr="004577D3">
              <w:rPr>
                <w:bCs/>
                <w:sz w:val="20"/>
                <w:szCs w:val="20"/>
              </w:rPr>
              <w:t xml:space="preserve"> </w:t>
            </w:r>
            <w:r w:rsidRPr="004577D3">
              <w:rPr>
                <w:bCs/>
                <w:sz w:val="20"/>
                <w:szCs w:val="20"/>
              </w:rPr>
              <w:t>541</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Сбербанк</w:t>
            </w:r>
            <w:r w:rsidR="006C680D" w:rsidRPr="004577D3">
              <w:rPr>
                <w:bCs/>
                <w:sz w:val="20"/>
                <w:szCs w:val="20"/>
              </w:rPr>
              <w:t xml:space="preserve"> </w:t>
            </w:r>
            <w:r w:rsidRPr="004577D3">
              <w:rPr>
                <w:bCs/>
                <w:sz w:val="20"/>
                <w:szCs w:val="20"/>
              </w:rPr>
              <w:t>страхование</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100</w:t>
            </w:r>
            <w:r w:rsidR="006C680D" w:rsidRPr="004577D3">
              <w:rPr>
                <w:bCs/>
                <w:sz w:val="20"/>
                <w:szCs w:val="20"/>
              </w:rPr>
              <w:t xml:space="preserve"> </w:t>
            </w:r>
            <w:r w:rsidRPr="004577D3">
              <w:rPr>
                <w:bCs/>
                <w:sz w:val="20"/>
                <w:szCs w:val="20"/>
              </w:rPr>
              <w:t>869</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20</w:t>
            </w:r>
            <w:r w:rsidR="006C680D" w:rsidRPr="004577D3">
              <w:rPr>
                <w:bCs/>
                <w:sz w:val="20"/>
                <w:szCs w:val="20"/>
              </w:rPr>
              <w:t xml:space="preserve"> </w:t>
            </w:r>
            <w:r w:rsidRPr="004577D3">
              <w:rPr>
                <w:bCs/>
                <w:sz w:val="20"/>
                <w:szCs w:val="20"/>
              </w:rPr>
              <w:t>483</w:t>
            </w:r>
          </w:p>
        </w:tc>
      </w:tr>
      <w:tr w:rsidR="00D337FA" w:rsidRPr="004577D3" w:rsidTr="00EC45F1">
        <w:tc>
          <w:tcPr>
            <w:tcW w:w="3647" w:type="dxa"/>
            <w:vAlign w:val="center"/>
          </w:tcPr>
          <w:p w:rsidR="00EC45F1" w:rsidRPr="004577D3" w:rsidRDefault="00EC45F1" w:rsidP="000C1FE6">
            <w:pPr>
              <w:tabs>
                <w:tab w:val="left" w:pos="993"/>
              </w:tabs>
              <w:ind w:firstLine="0"/>
              <w:rPr>
                <w:bCs/>
                <w:sz w:val="20"/>
                <w:szCs w:val="20"/>
              </w:rPr>
            </w:pPr>
            <w:r w:rsidRPr="004577D3">
              <w:rPr>
                <w:bCs/>
                <w:sz w:val="20"/>
                <w:szCs w:val="20"/>
              </w:rPr>
              <w:t>Росгосстрах</w:t>
            </w:r>
          </w:p>
        </w:tc>
        <w:tc>
          <w:tcPr>
            <w:tcW w:w="2977"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98</w:t>
            </w:r>
            <w:r w:rsidR="006C680D" w:rsidRPr="004577D3">
              <w:rPr>
                <w:bCs/>
                <w:sz w:val="20"/>
                <w:szCs w:val="20"/>
              </w:rPr>
              <w:t xml:space="preserve"> </w:t>
            </w:r>
            <w:r w:rsidRPr="004577D3">
              <w:rPr>
                <w:bCs/>
                <w:sz w:val="20"/>
                <w:szCs w:val="20"/>
              </w:rPr>
              <w:t>385</w:t>
            </w:r>
          </w:p>
        </w:tc>
        <w:tc>
          <w:tcPr>
            <w:tcW w:w="3118" w:type="dxa"/>
            <w:vAlign w:val="center"/>
          </w:tcPr>
          <w:p w:rsidR="00EC45F1" w:rsidRPr="004577D3" w:rsidRDefault="00EC45F1" w:rsidP="00EC45F1">
            <w:pPr>
              <w:tabs>
                <w:tab w:val="left" w:pos="993"/>
              </w:tabs>
              <w:ind w:firstLine="0"/>
              <w:jc w:val="center"/>
              <w:rPr>
                <w:bCs/>
                <w:sz w:val="20"/>
                <w:szCs w:val="20"/>
              </w:rPr>
            </w:pPr>
            <w:r w:rsidRPr="004577D3">
              <w:rPr>
                <w:bCs/>
                <w:sz w:val="20"/>
                <w:szCs w:val="20"/>
              </w:rPr>
              <w:t>40</w:t>
            </w:r>
            <w:r w:rsidR="006C680D" w:rsidRPr="004577D3">
              <w:rPr>
                <w:bCs/>
                <w:sz w:val="20"/>
                <w:szCs w:val="20"/>
              </w:rPr>
              <w:t xml:space="preserve"> </w:t>
            </w:r>
            <w:r w:rsidRPr="004577D3">
              <w:rPr>
                <w:bCs/>
                <w:sz w:val="20"/>
                <w:szCs w:val="20"/>
              </w:rPr>
              <w:t>408</w:t>
            </w:r>
          </w:p>
        </w:tc>
      </w:tr>
    </w:tbl>
    <w:p w:rsidR="00E56107" w:rsidRPr="00D337FA" w:rsidRDefault="006C680D" w:rsidP="00EC45F1">
      <w:pPr>
        <w:ind w:firstLine="0"/>
        <w:jc w:val="center"/>
        <w:rPr>
          <w:i/>
          <w:sz w:val="22"/>
          <w:szCs w:val="22"/>
        </w:rPr>
      </w:pPr>
      <w:r w:rsidRPr="00D337FA">
        <w:rPr>
          <w:i/>
          <w:sz w:val="22"/>
          <w:szCs w:val="22"/>
        </w:rPr>
        <w:t xml:space="preserve"> </w:t>
      </w:r>
    </w:p>
    <w:p w:rsidR="006E4221" w:rsidRPr="00D337FA" w:rsidRDefault="006E4221" w:rsidP="006E4221">
      <w:pPr>
        <w:sectPr w:rsidR="006E4221"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EC45F1" w:rsidRPr="00D337FA" w:rsidRDefault="00EC45F1" w:rsidP="00EC45F1">
      <w:pPr>
        <w:ind w:firstLine="284"/>
      </w:pPr>
      <w:r w:rsidRPr="00D337FA">
        <w:lastRenderedPageBreak/>
        <w:t>Анализ</w:t>
      </w:r>
      <w:r w:rsidR="006C680D" w:rsidRPr="00D337FA">
        <w:t xml:space="preserve"> </w:t>
      </w:r>
      <w:r w:rsidRPr="00D337FA">
        <w:t>данных</w:t>
      </w:r>
      <w:r w:rsidR="006C680D" w:rsidRPr="00D337FA">
        <w:t xml:space="preserve"> </w:t>
      </w:r>
      <w:r w:rsidRPr="00D337FA">
        <w:t>табл</w:t>
      </w:r>
      <w:r w:rsidR="00B91B4B" w:rsidRPr="00D337FA">
        <w:t>.</w:t>
      </w:r>
      <w:r w:rsidR="006C680D" w:rsidRPr="00D337FA">
        <w:t xml:space="preserve"> </w:t>
      </w:r>
      <w:r w:rsidR="00B91B4B" w:rsidRPr="00D337FA">
        <w:t>1</w:t>
      </w:r>
      <w:r w:rsidR="006C680D" w:rsidRPr="00D337FA">
        <w:t xml:space="preserve"> </w:t>
      </w:r>
      <w:r w:rsidRPr="00D337FA">
        <w:t>показывает,</w:t>
      </w:r>
      <w:r w:rsidR="006C680D" w:rsidRPr="00D337FA">
        <w:t xml:space="preserve"> </w:t>
      </w:r>
      <w:r w:rsidRPr="00D337FA">
        <w:t>что</w:t>
      </w:r>
      <w:r w:rsidR="006C680D" w:rsidRPr="00D337FA">
        <w:t xml:space="preserve"> </w:t>
      </w:r>
      <w:r w:rsidRPr="00D337FA">
        <w:t>лидирующие</w:t>
      </w:r>
      <w:r w:rsidR="006C680D" w:rsidRPr="00D337FA">
        <w:t xml:space="preserve"> </w:t>
      </w:r>
      <w:r w:rsidRPr="00D337FA">
        <w:t>позиции</w:t>
      </w:r>
      <w:r w:rsidR="006C680D" w:rsidRPr="00D337FA">
        <w:t xml:space="preserve"> </w:t>
      </w:r>
      <w:r w:rsidRPr="00D337FA">
        <w:t>на</w:t>
      </w:r>
      <w:r w:rsidR="006C680D" w:rsidRPr="00D337FA">
        <w:t xml:space="preserve"> </w:t>
      </w:r>
      <w:r w:rsidRPr="00D337FA">
        <w:t>рынке</w:t>
      </w:r>
      <w:r w:rsidR="006C680D" w:rsidRPr="00D337FA">
        <w:t xml:space="preserve"> </w:t>
      </w:r>
      <w:r w:rsidRPr="00D337FA">
        <w:t>занимают</w:t>
      </w:r>
      <w:r w:rsidR="006C680D" w:rsidRPr="00D337FA">
        <w:t xml:space="preserve"> </w:t>
      </w:r>
      <w:r w:rsidRPr="00D337FA">
        <w:t>страховые</w:t>
      </w:r>
      <w:r w:rsidR="006C680D" w:rsidRPr="00D337FA">
        <w:t xml:space="preserve"> </w:t>
      </w:r>
      <w:r w:rsidRPr="00D337FA">
        <w:t>компании,</w:t>
      </w:r>
      <w:r w:rsidR="006C680D" w:rsidRPr="00D337FA">
        <w:t xml:space="preserve"> </w:t>
      </w:r>
      <w:r w:rsidRPr="00D337FA">
        <w:t>реализующие</w:t>
      </w:r>
      <w:r w:rsidR="006C680D" w:rsidRPr="00D337FA">
        <w:t xml:space="preserve"> </w:t>
      </w:r>
      <w:r w:rsidRPr="00D337FA">
        <w:t>стратегии</w:t>
      </w:r>
      <w:r w:rsidR="006C680D" w:rsidRPr="00D337FA">
        <w:t xml:space="preserve"> </w:t>
      </w:r>
      <w:r w:rsidR="00B91B4B" w:rsidRPr="00D337FA">
        <w:t>диверсификации</w:t>
      </w:r>
      <w:r w:rsidR="006C680D" w:rsidRPr="00D337FA">
        <w:t xml:space="preserve"> </w:t>
      </w:r>
      <w:r w:rsidRPr="00D337FA">
        <w:t>страхового</w:t>
      </w:r>
      <w:r w:rsidR="006C680D" w:rsidRPr="00D337FA">
        <w:t xml:space="preserve"> </w:t>
      </w:r>
      <w:r w:rsidRPr="00D337FA">
        <w:t>портфеля</w:t>
      </w:r>
      <w:r w:rsidR="006C680D" w:rsidRPr="00D337FA">
        <w:t xml:space="preserve"> </w:t>
      </w:r>
      <w:r w:rsidRPr="00D337FA">
        <w:t>и</w:t>
      </w:r>
      <w:r w:rsidR="006C680D" w:rsidRPr="00D337FA">
        <w:t xml:space="preserve"> </w:t>
      </w:r>
      <w:r w:rsidRPr="00D337FA">
        <w:t>активно</w:t>
      </w:r>
      <w:r w:rsidR="006C680D" w:rsidRPr="00D337FA">
        <w:t xml:space="preserve"> </w:t>
      </w:r>
      <w:r w:rsidRPr="00D337FA">
        <w:t>использующие</w:t>
      </w:r>
      <w:r w:rsidR="006C680D" w:rsidRPr="00D337FA">
        <w:t xml:space="preserve"> </w:t>
      </w:r>
      <w:r w:rsidRPr="00D337FA">
        <w:t>цифровые</w:t>
      </w:r>
      <w:r w:rsidR="006C680D" w:rsidRPr="00D337FA">
        <w:t xml:space="preserve"> </w:t>
      </w:r>
      <w:r w:rsidRPr="00D337FA">
        <w:t>и</w:t>
      </w:r>
      <w:r w:rsidR="006C680D" w:rsidRPr="00D337FA">
        <w:t xml:space="preserve"> </w:t>
      </w:r>
      <w:r w:rsidR="00B91B4B" w:rsidRPr="00D337FA">
        <w:t>банковские</w:t>
      </w:r>
      <w:r w:rsidR="006C680D" w:rsidRPr="00D337FA">
        <w:t xml:space="preserve"> </w:t>
      </w:r>
      <w:r w:rsidRPr="00D337FA">
        <w:t>каналы</w:t>
      </w:r>
      <w:r w:rsidR="006C680D" w:rsidRPr="00D337FA">
        <w:t xml:space="preserve"> </w:t>
      </w:r>
      <w:r w:rsidRPr="00D337FA">
        <w:t>продаж.</w:t>
      </w:r>
      <w:r w:rsidR="006C680D" w:rsidRPr="00D337FA">
        <w:t xml:space="preserve"> </w:t>
      </w:r>
      <w:r w:rsidRPr="00D337FA">
        <w:t>Надо</w:t>
      </w:r>
      <w:r w:rsidR="006C680D" w:rsidRPr="00D337FA">
        <w:t xml:space="preserve"> </w:t>
      </w:r>
      <w:r w:rsidRPr="00D337FA">
        <w:t>отметить,</w:t>
      </w:r>
      <w:r w:rsidR="006C680D" w:rsidRPr="00D337FA">
        <w:t xml:space="preserve"> </w:t>
      </w:r>
      <w:r w:rsidRPr="00D337FA">
        <w:t>что</w:t>
      </w:r>
      <w:r w:rsidR="006C680D" w:rsidRPr="00D337FA">
        <w:t xml:space="preserve"> </w:t>
      </w:r>
      <w:r w:rsidRPr="00D337FA">
        <w:t>положительной</w:t>
      </w:r>
      <w:r w:rsidR="006C680D" w:rsidRPr="00D337FA">
        <w:t xml:space="preserve"> </w:t>
      </w:r>
      <w:r w:rsidRPr="00D337FA">
        <w:t>динамике</w:t>
      </w:r>
      <w:r w:rsidR="006C680D" w:rsidRPr="00D337FA">
        <w:t xml:space="preserve"> </w:t>
      </w:r>
      <w:r w:rsidR="00B91B4B" w:rsidRPr="00D337FA">
        <w:t>страховых</w:t>
      </w:r>
      <w:r w:rsidR="006C680D" w:rsidRPr="00D337FA">
        <w:t xml:space="preserve"> </w:t>
      </w:r>
      <w:r w:rsidRPr="00D337FA">
        <w:t>выплат,</w:t>
      </w:r>
      <w:r w:rsidR="006C680D" w:rsidRPr="00D337FA">
        <w:t xml:space="preserve"> </w:t>
      </w:r>
      <w:r w:rsidRPr="00D337FA">
        <w:t>наблюдается</w:t>
      </w:r>
      <w:r w:rsidR="006C680D" w:rsidRPr="00D337FA">
        <w:t xml:space="preserve"> </w:t>
      </w:r>
      <w:r w:rsidRPr="00D337FA">
        <w:t>значительная</w:t>
      </w:r>
      <w:r w:rsidR="006C680D" w:rsidRPr="00D337FA">
        <w:t xml:space="preserve"> </w:t>
      </w:r>
      <w:r w:rsidRPr="00D337FA">
        <w:t>дифференциация</w:t>
      </w:r>
      <w:r w:rsidR="006C680D" w:rsidRPr="00D337FA">
        <w:t xml:space="preserve"> </w:t>
      </w:r>
      <w:r w:rsidRPr="00D337FA">
        <w:t>показателей</w:t>
      </w:r>
      <w:r w:rsidR="006C680D" w:rsidRPr="00D337FA">
        <w:t xml:space="preserve"> </w:t>
      </w:r>
      <w:r w:rsidR="00B91B4B" w:rsidRPr="00D337FA">
        <w:t>убыточности</w:t>
      </w:r>
      <w:r w:rsidRPr="00D337FA">
        <w:t>,</w:t>
      </w:r>
      <w:r w:rsidR="006C680D" w:rsidRPr="00D337FA">
        <w:t xml:space="preserve"> </w:t>
      </w:r>
      <w:r w:rsidRPr="00D337FA">
        <w:t>что</w:t>
      </w:r>
      <w:r w:rsidR="006C680D" w:rsidRPr="00D337FA">
        <w:t xml:space="preserve"> </w:t>
      </w:r>
      <w:r w:rsidRPr="00D337FA">
        <w:t>отражает</w:t>
      </w:r>
      <w:r w:rsidR="006C680D" w:rsidRPr="00D337FA">
        <w:t xml:space="preserve"> </w:t>
      </w:r>
      <w:r w:rsidRPr="00D337FA">
        <w:t>различия</w:t>
      </w:r>
      <w:r w:rsidR="006C680D" w:rsidRPr="00D337FA">
        <w:t xml:space="preserve"> </w:t>
      </w:r>
      <w:r w:rsidRPr="00D337FA">
        <w:t>в</w:t>
      </w:r>
      <w:r w:rsidR="006C680D" w:rsidRPr="00D337FA">
        <w:t xml:space="preserve"> </w:t>
      </w:r>
      <w:r w:rsidRPr="00D337FA">
        <w:t>структуре</w:t>
      </w:r>
      <w:r w:rsidR="006C680D" w:rsidRPr="00D337FA">
        <w:t xml:space="preserve"> </w:t>
      </w:r>
      <w:r w:rsidRPr="00D337FA">
        <w:t>страховых</w:t>
      </w:r>
      <w:r w:rsidR="006C680D" w:rsidRPr="00D337FA">
        <w:t xml:space="preserve"> </w:t>
      </w:r>
      <w:r w:rsidRPr="00D337FA">
        <w:t>портфелей,</w:t>
      </w:r>
      <w:r w:rsidR="006C680D" w:rsidRPr="00D337FA">
        <w:t xml:space="preserve"> </w:t>
      </w:r>
      <w:r w:rsidR="00B91B4B" w:rsidRPr="00D337FA">
        <w:t>качестве</w:t>
      </w:r>
      <w:r w:rsidR="006C680D" w:rsidRPr="00D337FA">
        <w:t xml:space="preserve"> </w:t>
      </w:r>
      <w:r w:rsidRPr="00D337FA">
        <w:t>андеррайтинга</w:t>
      </w:r>
      <w:r w:rsidR="006C680D" w:rsidRPr="00D337FA">
        <w:t xml:space="preserve"> </w:t>
      </w:r>
      <w:r w:rsidRPr="00D337FA">
        <w:t>и</w:t>
      </w:r>
      <w:r w:rsidR="006C680D" w:rsidRPr="00D337FA">
        <w:t xml:space="preserve"> </w:t>
      </w:r>
      <w:r w:rsidRPr="00D337FA">
        <w:t>уровне</w:t>
      </w:r>
      <w:r w:rsidR="006C680D" w:rsidRPr="00D337FA">
        <w:t xml:space="preserve"> </w:t>
      </w:r>
      <w:r w:rsidRPr="00D337FA">
        <w:t>операционной</w:t>
      </w:r>
      <w:r w:rsidR="006C680D" w:rsidRPr="00D337FA">
        <w:t xml:space="preserve"> </w:t>
      </w:r>
      <w:r w:rsidRPr="00D337FA">
        <w:t>эффективности.</w:t>
      </w:r>
    </w:p>
    <w:p w:rsidR="00EC45F1" w:rsidRPr="00D337FA" w:rsidRDefault="00EC45F1" w:rsidP="00EC45F1">
      <w:pPr>
        <w:ind w:firstLine="284"/>
      </w:pPr>
      <w:r w:rsidRPr="00D337FA">
        <w:t>Полученные</w:t>
      </w:r>
      <w:r w:rsidR="006C680D" w:rsidRPr="00D337FA">
        <w:t xml:space="preserve"> </w:t>
      </w:r>
      <w:r w:rsidRPr="00D337FA">
        <w:t>данные</w:t>
      </w:r>
      <w:r w:rsidR="006C680D" w:rsidRPr="00D337FA">
        <w:t xml:space="preserve"> </w:t>
      </w:r>
      <w:r w:rsidRPr="00D337FA">
        <w:t>свидетельствуют</w:t>
      </w:r>
      <w:r w:rsidR="006C680D" w:rsidRPr="00D337FA">
        <w:t xml:space="preserve"> </w:t>
      </w:r>
      <w:r w:rsidRPr="00D337FA">
        <w:t>о</w:t>
      </w:r>
      <w:r w:rsidR="006C680D" w:rsidRPr="00D337FA">
        <w:t xml:space="preserve"> </w:t>
      </w:r>
      <w:r w:rsidRPr="00D337FA">
        <w:t>том,</w:t>
      </w:r>
      <w:r w:rsidR="006C680D" w:rsidRPr="00D337FA">
        <w:t xml:space="preserve"> </w:t>
      </w:r>
      <w:r w:rsidRPr="00D337FA">
        <w:t>что</w:t>
      </w:r>
      <w:r w:rsidR="006C680D" w:rsidRPr="00D337FA">
        <w:t xml:space="preserve"> </w:t>
      </w:r>
      <w:r w:rsidRPr="00D337FA">
        <w:t>в</w:t>
      </w:r>
      <w:r w:rsidR="006C680D" w:rsidRPr="00D337FA">
        <w:t xml:space="preserve"> </w:t>
      </w:r>
      <w:r w:rsidRPr="00D337FA">
        <w:t>последние</w:t>
      </w:r>
      <w:r w:rsidR="006C680D" w:rsidRPr="00D337FA">
        <w:t xml:space="preserve"> </w:t>
      </w:r>
      <w:r w:rsidRPr="00D337FA">
        <w:t>годы</w:t>
      </w:r>
      <w:r w:rsidR="006C680D" w:rsidRPr="00D337FA">
        <w:t xml:space="preserve"> </w:t>
      </w:r>
      <w:r w:rsidRPr="00D337FA">
        <w:t>рынок</w:t>
      </w:r>
      <w:r w:rsidR="006C680D" w:rsidRPr="00D337FA">
        <w:t xml:space="preserve"> </w:t>
      </w:r>
      <w:r w:rsidRPr="00D337FA">
        <w:t>страховых</w:t>
      </w:r>
      <w:r w:rsidR="006C680D" w:rsidRPr="00D337FA">
        <w:t xml:space="preserve"> </w:t>
      </w:r>
      <w:r w:rsidRPr="00D337FA">
        <w:t>услуг</w:t>
      </w:r>
      <w:r w:rsidR="006C680D" w:rsidRPr="00D337FA">
        <w:t xml:space="preserve"> </w:t>
      </w:r>
      <w:r w:rsidRPr="00D337FA">
        <w:t>характеризуется</w:t>
      </w:r>
      <w:r w:rsidR="006C680D" w:rsidRPr="00D337FA">
        <w:t xml:space="preserve"> </w:t>
      </w:r>
      <w:r w:rsidRPr="00D337FA">
        <w:t>неоднородной</w:t>
      </w:r>
      <w:r w:rsidR="006C680D" w:rsidRPr="00D337FA">
        <w:t xml:space="preserve"> </w:t>
      </w:r>
      <w:r w:rsidRPr="00D337FA">
        <w:t>динамикой:</w:t>
      </w:r>
      <w:r w:rsidR="006C680D" w:rsidRPr="00D337FA">
        <w:t xml:space="preserve"> </w:t>
      </w:r>
      <w:r w:rsidRPr="00D337FA">
        <w:t>при</w:t>
      </w:r>
      <w:r w:rsidR="006C680D" w:rsidRPr="00D337FA">
        <w:t xml:space="preserve"> </w:t>
      </w:r>
      <w:r w:rsidRPr="00D337FA">
        <w:t>общем</w:t>
      </w:r>
      <w:r w:rsidR="006C680D" w:rsidRPr="00D337FA">
        <w:t xml:space="preserve"> </w:t>
      </w:r>
      <w:r w:rsidRPr="00D337FA">
        <w:t>росте</w:t>
      </w:r>
      <w:r w:rsidR="006C680D" w:rsidRPr="00D337FA">
        <w:t xml:space="preserve"> </w:t>
      </w:r>
      <w:r w:rsidRPr="00D337FA">
        <w:t>объёмов</w:t>
      </w:r>
      <w:r w:rsidR="006C680D" w:rsidRPr="00D337FA">
        <w:t xml:space="preserve"> </w:t>
      </w:r>
      <w:r w:rsidRPr="00D337FA">
        <w:t>страховых</w:t>
      </w:r>
      <w:r w:rsidR="006C680D" w:rsidRPr="00D337FA">
        <w:t xml:space="preserve"> </w:t>
      </w:r>
      <w:r w:rsidRPr="00D337FA">
        <w:t>премий</w:t>
      </w:r>
      <w:r w:rsidR="006C680D" w:rsidRPr="00D337FA">
        <w:t xml:space="preserve"> </w:t>
      </w:r>
      <w:r w:rsidRPr="00D337FA">
        <w:t>усиливается</w:t>
      </w:r>
      <w:r w:rsidR="006C680D" w:rsidRPr="00D337FA">
        <w:t xml:space="preserve"> </w:t>
      </w:r>
      <w:r w:rsidRPr="00D337FA">
        <w:t>конкуренция</w:t>
      </w:r>
      <w:r w:rsidR="006C680D" w:rsidRPr="00D337FA">
        <w:t xml:space="preserve"> </w:t>
      </w:r>
      <w:r w:rsidRPr="00D337FA">
        <w:t>в</w:t>
      </w:r>
      <w:r w:rsidR="006C680D" w:rsidRPr="00D337FA">
        <w:t xml:space="preserve"> </w:t>
      </w:r>
      <w:r w:rsidR="00B91B4B" w:rsidRPr="00D337FA">
        <w:t>массовых</w:t>
      </w:r>
      <w:r w:rsidR="006C680D" w:rsidRPr="00D337FA">
        <w:t xml:space="preserve"> </w:t>
      </w:r>
      <w:r w:rsidRPr="00D337FA">
        <w:t>сегментах,</w:t>
      </w:r>
      <w:r w:rsidR="006C680D" w:rsidRPr="00D337FA">
        <w:t xml:space="preserve"> </w:t>
      </w:r>
      <w:r w:rsidRPr="00D337FA">
        <w:t>возрастает</w:t>
      </w:r>
      <w:r w:rsidR="006C680D" w:rsidRPr="00D337FA">
        <w:t xml:space="preserve"> </w:t>
      </w:r>
      <w:r w:rsidRPr="00D337FA">
        <w:t>давление</w:t>
      </w:r>
      <w:r w:rsidR="006C680D" w:rsidRPr="00D337FA">
        <w:t xml:space="preserve"> </w:t>
      </w:r>
      <w:r w:rsidRPr="00D337FA">
        <w:t>со</w:t>
      </w:r>
      <w:r w:rsidR="006C680D" w:rsidRPr="00D337FA">
        <w:t xml:space="preserve"> </w:t>
      </w:r>
      <w:r w:rsidRPr="00D337FA">
        <w:t>стороны</w:t>
      </w:r>
      <w:r w:rsidR="006C680D" w:rsidRPr="00D337FA">
        <w:t xml:space="preserve"> </w:t>
      </w:r>
      <w:r w:rsidRPr="00D337FA">
        <w:t>инновационных</w:t>
      </w:r>
      <w:r w:rsidR="006C680D" w:rsidRPr="00D337FA">
        <w:t xml:space="preserve"> </w:t>
      </w:r>
      <w:r w:rsidR="00B91B4B" w:rsidRPr="00D337FA">
        <w:t>решений</w:t>
      </w:r>
      <w:r w:rsidRPr="00D337FA">
        <w:t>,</w:t>
      </w:r>
      <w:r w:rsidR="006C680D" w:rsidRPr="00D337FA">
        <w:t xml:space="preserve"> </w:t>
      </w:r>
      <w:r w:rsidRPr="00D337FA">
        <w:t>в</w:t>
      </w:r>
      <w:r w:rsidR="006C680D" w:rsidRPr="00D337FA">
        <w:t xml:space="preserve"> </w:t>
      </w:r>
      <w:r w:rsidRPr="00D337FA">
        <w:t>том</w:t>
      </w:r>
      <w:r w:rsidR="006C680D" w:rsidRPr="00D337FA">
        <w:t xml:space="preserve"> </w:t>
      </w:r>
      <w:r w:rsidRPr="00D337FA">
        <w:t>числе</w:t>
      </w:r>
      <w:r w:rsidR="006C680D" w:rsidRPr="00D337FA">
        <w:t xml:space="preserve"> </w:t>
      </w:r>
      <w:r w:rsidRPr="00D337FA">
        <w:t>цифровых</w:t>
      </w:r>
      <w:r w:rsidR="006C680D" w:rsidRPr="00D337FA">
        <w:t xml:space="preserve"> </w:t>
      </w:r>
      <w:r w:rsidRPr="00D337FA">
        <w:t>платформ</w:t>
      </w:r>
      <w:r w:rsidR="006C680D" w:rsidRPr="00D337FA">
        <w:t xml:space="preserve"> </w:t>
      </w:r>
      <w:r w:rsidRPr="00D337FA">
        <w:t>и</w:t>
      </w:r>
      <w:r w:rsidR="006C680D" w:rsidRPr="00D337FA">
        <w:t xml:space="preserve"> </w:t>
      </w:r>
      <w:r w:rsidRPr="00D337FA">
        <w:t>банковских</w:t>
      </w:r>
      <w:r w:rsidR="006C680D" w:rsidRPr="00D337FA">
        <w:t xml:space="preserve"> </w:t>
      </w:r>
      <w:r w:rsidRPr="00D337FA">
        <w:t>экосистем,</w:t>
      </w:r>
      <w:r w:rsidR="006C680D" w:rsidRPr="00D337FA">
        <w:t xml:space="preserve"> </w:t>
      </w:r>
      <w:r w:rsidRPr="00D337FA">
        <w:t>а</w:t>
      </w:r>
      <w:r w:rsidR="006C680D" w:rsidRPr="00D337FA">
        <w:t xml:space="preserve"> </w:t>
      </w:r>
      <w:r w:rsidRPr="00D337FA">
        <w:t>также</w:t>
      </w:r>
      <w:r w:rsidR="006C680D" w:rsidRPr="00D337FA">
        <w:t xml:space="preserve"> </w:t>
      </w:r>
      <w:r w:rsidR="00B91B4B" w:rsidRPr="00D337FA">
        <w:t>повышаются</w:t>
      </w:r>
      <w:r w:rsidR="006C680D" w:rsidRPr="00D337FA">
        <w:t xml:space="preserve"> </w:t>
      </w:r>
      <w:r w:rsidRPr="00D337FA">
        <w:t>требования</w:t>
      </w:r>
      <w:r w:rsidR="006C680D" w:rsidRPr="00D337FA">
        <w:t xml:space="preserve"> </w:t>
      </w:r>
      <w:r w:rsidRPr="00D337FA">
        <w:t>клиентов</w:t>
      </w:r>
      <w:r w:rsidR="006C680D" w:rsidRPr="00D337FA">
        <w:t xml:space="preserve"> </w:t>
      </w:r>
      <w:r w:rsidRPr="00D337FA">
        <w:t>к</w:t>
      </w:r>
      <w:r w:rsidR="006C680D" w:rsidRPr="00D337FA">
        <w:t xml:space="preserve"> </w:t>
      </w:r>
      <w:r w:rsidRPr="00D337FA">
        <w:t>качеству</w:t>
      </w:r>
      <w:r w:rsidR="006C680D" w:rsidRPr="00D337FA">
        <w:t xml:space="preserve"> </w:t>
      </w:r>
      <w:r w:rsidRPr="00D337FA">
        <w:t>и</w:t>
      </w:r>
      <w:r w:rsidR="006C680D" w:rsidRPr="00D337FA">
        <w:t xml:space="preserve"> </w:t>
      </w:r>
      <w:r w:rsidRPr="00D337FA">
        <w:t>скорости</w:t>
      </w:r>
      <w:r w:rsidR="006C680D" w:rsidRPr="00D337FA">
        <w:t xml:space="preserve"> </w:t>
      </w:r>
      <w:r w:rsidRPr="00D337FA">
        <w:t>обслуживания.</w:t>
      </w:r>
      <w:r w:rsidR="006C680D" w:rsidRPr="00D337FA">
        <w:t xml:space="preserve"> </w:t>
      </w:r>
      <w:r w:rsidRPr="00D337FA">
        <w:t>В</w:t>
      </w:r>
      <w:r w:rsidR="006C680D" w:rsidRPr="00D337FA">
        <w:t xml:space="preserve"> </w:t>
      </w:r>
      <w:r w:rsidRPr="00D337FA">
        <w:t>этих</w:t>
      </w:r>
      <w:r w:rsidR="006C680D" w:rsidRPr="00D337FA">
        <w:t xml:space="preserve"> </w:t>
      </w:r>
      <w:r w:rsidRPr="00D337FA">
        <w:t>условиях</w:t>
      </w:r>
      <w:r w:rsidR="006C680D" w:rsidRPr="00D337FA">
        <w:t xml:space="preserve"> </w:t>
      </w:r>
      <w:r w:rsidRPr="00D337FA">
        <w:t>устойчивость</w:t>
      </w:r>
      <w:r w:rsidR="006C680D" w:rsidRPr="00D337FA">
        <w:t xml:space="preserve"> </w:t>
      </w:r>
      <w:r w:rsidRPr="00D337FA">
        <w:t>страховых</w:t>
      </w:r>
      <w:r w:rsidR="006C680D" w:rsidRPr="00D337FA">
        <w:t xml:space="preserve"> </w:t>
      </w:r>
      <w:r w:rsidRPr="00D337FA">
        <w:t>компаний</w:t>
      </w:r>
      <w:r w:rsidR="006C680D" w:rsidRPr="00D337FA">
        <w:t xml:space="preserve"> </w:t>
      </w:r>
      <w:r w:rsidRPr="00D337FA">
        <w:t>всё</w:t>
      </w:r>
      <w:r w:rsidR="006C680D" w:rsidRPr="00D337FA">
        <w:t xml:space="preserve"> </w:t>
      </w:r>
      <w:r w:rsidRPr="00D337FA">
        <w:t>в</w:t>
      </w:r>
      <w:r w:rsidR="006C680D" w:rsidRPr="00D337FA">
        <w:t xml:space="preserve"> </w:t>
      </w:r>
      <w:r w:rsidRPr="00D337FA">
        <w:t>большей</w:t>
      </w:r>
      <w:r w:rsidR="006C680D" w:rsidRPr="00D337FA">
        <w:t xml:space="preserve"> </w:t>
      </w:r>
      <w:r w:rsidRPr="00D337FA">
        <w:t>степени</w:t>
      </w:r>
      <w:r w:rsidR="006C680D" w:rsidRPr="00D337FA">
        <w:t xml:space="preserve"> </w:t>
      </w:r>
      <w:r w:rsidRPr="00D337FA">
        <w:t>определяется</w:t>
      </w:r>
      <w:r w:rsidR="006C680D" w:rsidRPr="00D337FA">
        <w:t xml:space="preserve"> </w:t>
      </w:r>
      <w:r w:rsidRPr="00D337FA">
        <w:t>не</w:t>
      </w:r>
      <w:r w:rsidR="006C680D" w:rsidRPr="00D337FA">
        <w:t xml:space="preserve"> </w:t>
      </w:r>
      <w:r w:rsidRPr="00D337FA">
        <w:t>масштабом</w:t>
      </w:r>
      <w:r w:rsidR="006C680D" w:rsidRPr="00D337FA">
        <w:t xml:space="preserve"> </w:t>
      </w:r>
      <w:r w:rsidRPr="00D337FA">
        <w:t>бизнеса,</w:t>
      </w:r>
      <w:r w:rsidR="006C680D" w:rsidRPr="00D337FA">
        <w:t xml:space="preserve"> </w:t>
      </w:r>
      <w:r w:rsidRPr="00D337FA">
        <w:t>а</w:t>
      </w:r>
      <w:r w:rsidR="006C680D" w:rsidRPr="00D337FA">
        <w:t xml:space="preserve"> </w:t>
      </w:r>
      <w:r w:rsidRPr="00D337FA">
        <w:t>способностью</w:t>
      </w:r>
      <w:r w:rsidR="006C680D" w:rsidRPr="00D337FA">
        <w:t xml:space="preserve"> </w:t>
      </w:r>
      <w:r w:rsidRPr="00D337FA">
        <w:t>выстраивать</w:t>
      </w:r>
      <w:r w:rsidR="006C680D" w:rsidRPr="00D337FA">
        <w:t xml:space="preserve"> </w:t>
      </w:r>
      <w:r w:rsidR="00B91B4B" w:rsidRPr="00D337FA">
        <w:t>дифференцированные</w:t>
      </w:r>
      <w:r w:rsidR="006C680D" w:rsidRPr="00D337FA">
        <w:t xml:space="preserve"> </w:t>
      </w:r>
      <w:r w:rsidRPr="00D337FA">
        <w:t>конкурентные</w:t>
      </w:r>
      <w:r w:rsidR="006C680D" w:rsidRPr="00D337FA">
        <w:t xml:space="preserve"> </w:t>
      </w:r>
      <w:r w:rsidRPr="00D337FA">
        <w:t>преимущества</w:t>
      </w:r>
      <w:r w:rsidR="006C680D" w:rsidRPr="00D337FA">
        <w:t xml:space="preserve"> </w:t>
      </w:r>
      <w:r w:rsidRPr="00D337FA">
        <w:t>[</w:t>
      </w:r>
      <w:r w:rsidR="005411F4" w:rsidRPr="00D337FA">
        <w:t>5</w:t>
      </w:r>
      <w:r w:rsidRPr="00D337FA">
        <w:t>,</w:t>
      </w:r>
      <w:r w:rsidR="006C680D" w:rsidRPr="00D337FA">
        <w:t xml:space="preserve"> </w:t>
      </w:r>
      <w:r w:rsidR="005411F4" w:rsidRPr="00D337FA">
        <w:t>9</w:t>
      </w:r>
      <w:r w:rsidRPr="00D337FA">
        <w:t>,</w:t>
      </w:r>
      <w:r w:rsidR="006C680D" w:rsidRPr="00D337FA">
        <w:t xml:space="preserve"> </w:t>
      </w:r>
      <w:r w:rsidRPr="00D337FA">
        <w:t>1</w:t>
      </w:r>
      <w:r w:rsidR="005411F4" w:rsidRPr="00D337FA">
        <w:t>2</w:t>
      </w:r>
      <w:r w:rsidRPr="00D337FA">
        <w:t>,</w:t>
      </w:r>
      <w:r w:rsidR="006C680D" w:rsidRPr="00D337FA">
        <w:t xml:space="preserve"> </w:t>
      </w:r>
      <w:r w:rsidRPr="00D337FA">
        <w:t>1</w:t>
      </w:r>
      <w:r w:rsidR="005411F4" w:rsidRPr="00D337FA">
        <w:t>5</w:t>
      </w:r>
      <w:r w:rsidRPr="00D337FA">
        <w:t>,</w:t>
      </w:r>
      <w:r w:rsidR="006C680D" w:rsidRPr="00D337FA">
        <w:t xml:space="preserve"> </w:t>
      </w:r>
      <w:r w:rsidR="005411F4" w:rsidRPr="00D337FA">
        <w:t>26</w:t>
      </w:r>
      <w:r w:rsidRPr="00D337FA">
        <w:t>].</w:t>
      </w:r>
    </w:p>
    <w:p w:rsidR="00EC45F1" w:rsidRPr="00D337FA" w:rsidRDefault="00EC45F1" w:rsidP="00EC45F1">
      <w:pPr>
        <w:ind w:firstLine="284"/>
      </w:pPr>
      <w:r w:rsidRPr="00D337FA">
        <w:lastRenderedPageBreak/>
        <w:t>За</w:t>
      </w:r>
      <w:r w:rsidR="006C680D" w:rsidRPr="00D337FA">
        <w:t xml:space="preserve"> </w:t>
      </w:r>
      <w:r w:rsidRPr="00D337FA">
        <w:t>последние</w:t>
      </w:r>
      <w:r w:rsidR="006C680D" w:rsidRPr="00D337FA">
        <w:t xml:space="preserve"> </w:t>
      </w:r>
      <w:r w:rsidRPr="00D337FA">
        <w:t>годы</w:t>
      </w:r>
      <w:r w:rsidR="006C680D" w:rsidRPr="00D337FA">
        <w:t xml:space="preserve"> </w:t>
      </w:r>
      <w:r w:rsidRPr="00D337FA">
        <w:t>ведущие</w:t>
      </w:r>
      <w:r w:rsidR="006C680D" w:rsidRPr="00D337FA">
        <w:t xml:space="preserve"> </w:t>
      </w:r>
      <w:r w:rsidRPr="00D337FA">
        <w:t>страховые</w:t>
      </w:r>
      <w:r w:rsidR="006C680D" w:rsidRPr="00D337FA">
        <w:t xml:space="preserve"> </w:t>
      </w:r>
      <w:r w:rsidRPr="00D337FA">
        <w:t>компании</w:t>
      </w:r>
      <w:r w:rsidR="006C680D" w:rsidRPr="00D337FA">
        <w:t xml:space="preserve"> </w:t>
      </w:r>
      <w:r w:rsidRPr="00D337FA">
        <w:t>Российской</w:t>
      </w:r>
      <w:r w:rsidR="006C680D" w:rsidRPr="00D337FA">
        <w:t xml:space="preserve"> </w:t>
      </w:r>
      <w:r w:rsidR="00B91B4B" w:rsidRPr="00D337FA">
        <w:t>Федерации</w:t>
      </w:r>
      <w:r w:rsidR="006C680D" w:rsidRPr="00D337FA">
        <w:t xml:space="preserve"> </w:t>
      </w:r>
      <w:r w:rsidRPr="00D337FA">
        <w:t>(«Росгосстрах»,</w:t>
      </w:r>
      <w:r w:rsidR="006C680D" w:rsidRPr="00D337FA">
        <w:t xml:space="preserve"> </w:t>
      </w:r>
      <w:r w:rsidRPr="00D337FA">
        <w:t>САО</w:t>
      </w:r>
      <w:r w:rsidR="006C680D" w:rsidRPr="00D337FA">
        <w:t xml:space="preserve"> </w:t>
      </w:r>
      <w:r w:rsidRPr="00D337FA">
        <w:t>«ВСК»,</w:t>
      </w:r>
      <w:r w:rsidR="006C680D" w:rsidRPr="00D337FA">
        <w:t xml:space="preserve"> </w:t>
      </w:r>
      <w:r w:rsidRPr="00D337FA">
        <w:t>«СберСтрахование»</w:t>
      </w:r>
      <w:r w:rsidR="006C680D" w:rsidRPr="00D337FA">
        <w:t xml:space="preserve"> </w:t>
      </w:r>
      <w:r w:rsidRPr="00D337FA">
        <w:t>и</w:t>
      </w:r>
      <w:r w:rsidR="006C680D" w:rsidRPr="00D337FA">
        <w:t xml:space="preserve"> </w:t>
      </w:r>
      <w:r w:rsidRPr="00D337FA">
        <w:t>др.),</w:t>
      </w:r>
      <w:r w:rsidR="006C680D" w:rsidRPr="00D337FA">
        <w:t xml:space="preserve"> </w:t>
      </w:r>
      <w:r w:rsidRPr="00D337FA">
        <w:t>в</w:t>
      </w:r>
      <w:r w:rsidR="006C680D" w:rsidRPr="00D337FA">
        <w:t xml:space="preserve"> </w:t>
      </w:r>
      <w:r w:rsidRPr="00D337FA">
        <w:t>большей</w:t>
      </w:r>
      <w:r w:rsidR="006C680D" w:rsidRPr="00D337FA">
        <w:t xml:space="preserve"> </w:t>
      </w:r>
      <w:r w:rsidRPr="00D337FA">
        <w:t>степени</w:t>
      </w:r>
      <w:r w:rsidR="006C680D" w:rsidRPr="00D337FA">
        <w:t xml:space="preserve"> </w:t>
      </w:r>
      <w:r w:rsidRPr="00D337FA">
        <w:t>ориентированные</w:t>
      </w:r>
      <w:r w:rsidR="006C680D" w:rsidRPr="00D337FA">
        <w:t xml:space="preserve"> </w:t>
      </w:r>
      <w:r w:rsidRPr="00D337FA">
        <w:t>на</w:t>
      </w:r>
      <w:r w:rsidR="006C680D" w:rsidRPr="00D337FA">
        <w:t xml:space="preserve"> </w:t>
      </w:r>
      <w:r w:rsidRPr="00D337FA">
        <w:t>инновационные</w:t>
      </w:r>
      <w:r w:rsidR="006C680D" w:rsidRPr="00D337FA">
        <w:t xml:space="preserve"> </w:t>
      </w:r>
      <w:r w:rsidRPr="00D337FA">
        <w:t>протоколы</w:t>
      </w:r>
      <w:r w:rsidR="006C680D" w:rsidRPr="00D337FA">
        <w:t xml:space="preserve"> </w:t>
      </w:r>
      <w:r w:rsidRPr="00D337FA">
        <w:t>организации</w:t>
      </w:r>
      <w:r w:rsidR="006C680D" w:rsidRPr="00D337FA">
        <w:t xml:space="preserve"> </w:t>
      </w:r>
      <w:r w:rsidRPr="00D337FA">
        <w:t>услуг,</w:t>
      </w:r>
      <w:r w:rsidR="006C680D" w:rsidRPr="00D337FA">
        <w:t xml:space="preserve"> </w:t>
      </w:r>
      <w:r w:rsidRPr="00D337FA">
        <w:t>таких</w:t>
      </w:r>
      <w:r w:rsidR="006C680D" w:rsidRPr="00D337FA">
        <w:t xml:space="preserve"> </w:t>
      </w:r>
      <w:r w:rsidRPr="00D337FA">
        <w:t>как</w:t>
      </w:r>
      <w:r w:rsidR="006C680D" w:rsidRPr="00D337FA">
        <w:t xml:space="preserve"> </w:t>
      </w:r>
      <w:r w:rsidRPr="00D337FA">
        <w:t>развитие</w:t>
      </w:r>
      <w:r w:rsidR="006C680D" w:rsidRPr="00D337FA">
        <w:t xml:space="preserve"> </w:t>
      </w:r>
      <w:r w:rsidRPr="00D337FA">
        <w:t>цифровых</w:t>
      </w:r>
      <w:r w:rsidR="006C680D" w:rsidRPr="00D337FA">
        <w:t xml:space="preserve"> </w:t>
      </w:r>
      <w:r w:rsidRPr="00D337FA">
        <w:t>каналов</w:t>
      </w:r>
      <w:r w:rsidR="006C680D" w:rsidRPr="00D337FA">
        <w:t xml:space="preserve"> </w:t>
      </w:r>
      <w:r w:rsidRPr="00D337FA">
        <w:t>продаж,</w:t>
      </w:r>
      <w:r w:rsidR="006C680D" w:rsidRPr="00D337FA">
        <w:t xml:space="preserve"> </w:t>
      </w:r>
      <w:r w:rsidRPr="00D337FA">
        <w:t>автоматизацию</w:t>
      </w:r>
      <w:r w:rsidR="006C680D" w:rsidRPr="00D337FA">
        <w:t xml:space="preserve"> </w:t>
      </w:r>
      <w:r w:rsidR="00B91B4B" w:rsidRPr="00D337FA">
        <w:t>процессов</w:t>
      </w:r>
      <w:r w:rsidR="006C680D" w:rsidRPr="00D337FA">
        <w:t xml:space="preserve"> </w:t>
      </w:r>
      <w:r w:rsidRPr="00D337FA">
        <w:t>урегулирования</w:t>
      </w:r>
      <w:r w:rsidR="006C680D" w:rsidRPr="00D337FA">
        <w:t xml:space="preserve"> </w:t>
      </w:r>
      <w:r w:rsidRPr="00D337FA">
        <w:t>убытков</w:t>
      </w:r>
      <w:r w:rsidR="006C680D" w:rsidRPr="00D337FA">
        <w:t xml:space="preserve"> </w:t>
      </w:r>
      <w:r w:rsidRPr="00D337FA">
        <w:t>и</w:t>
      </w:r>
      <w:r w:rsidR="006C680D" w:rsidRPr="00D337FA">
        <w:t xml:space="preserve"> </w:t>
      </w:r>
      <w:r w:rsidRPr="00D337FA">
        <w:t>персонализацию</w:t>
      </w:r>
      <w:r w:rsidR="006C680D" w:rsidRPr="00D337FA">
        <w:t xml:space="preserve"> </w:t>
      </w:r>
      <w:r w:rsidRPr="00D337FA">
        <w:t>клиентских</w:t>
      </w:r>
      <w:r w:rsidR="006C680D" w:rsidRPr="00D337FA">
        <w:t xml:space="preserve"> </w:t>
      </w:r>
      <w:r w:rsidR="00B91B4B" w:rsidRPr="00D337FA">
        <w:t>предложений</w:t>
      </w:r>
      <w:r w:rsidRPr="00D337FA">
        <w:t>,</w:t>
      </w:r>
      <w:r w:rsidR="006C680D" w:rsidRPr="00D337FA">
        <w:t xml:space="preserve"> </w:t>
      </w:r>
      <w:r w:rsidRPr="00D337FA">
        <w:t>демонстрируют</w:t>
      </w:r>
      <w:r w:rsidR="006C680D" w:rsidRPr="00D337FA">
        <w:t xml:space="preserve"> </w:t>
      </w:r>
      <w:r w:rsidRPr="00D337FA">
        <w:t>более</w:t>
      </w:r>
      <w:r w:rsidR="006C680D" w:rsidRPr="00D337FA">
        <w:t xml:space="preserve"> </w:t>
      </w:r>
      <w:r w:rsidRPr="00D337FA">
        <w:t>высокие</w:t>
      </w:r>
      <w:r w:rsidR="006C680D" w:rsidRPr="00D337FA">
        <w:t xml:space="preserve"> </w:t>
      </w:r>
      <w:r w:rsidRPr="00D337FA">
        <w:t>показатели</w:t>
      </w:r>
      <w:r w:rsidR="006C680D" w:rsidRPr="00D337FA">
        <w:t xml:space="preserve"> </w:t>
      </w:r>
      <w:r w:rsidRPr="00D337FA">
        <w:t>удержания</w:t>
      </w:r>
      <w:r w:rsidR="006C680D" w:rsidRPr="00D337FA">
        <w:t xml:space="preserve"> </w:t>
      </w:r>
      <w:r w:rsidRPr="00D337FA">
        <w:t>клиентов</w:t>
      </w:r>
      <w:r w:rsidR="006C680D" w:rsidRPr="00D337FA">
        <w:t xml:space="preserve"> </w:t>
      </w:r>
      <w:r w:rsidRPr="00D337FA">
        <w:t>и</w:t>
      </w:r>
      <w:r w:rsidR="006C680D" w:rsidRPr="00D337FA">
        <w:t xml:space="preserve"> </w:t>
      </w:r>
      <w:r w:rsidR="00B91B4B" w:rsidRPr="00D337FA">
        <w:t>операционной</w:t>
      </w:r>
      <w:r w:rsidR="006C680D" w:rsidRPr="00D337FA">
        <w:t xml:space="preserve"> </w:t>
      </w:r>
      <w:r w:rsidRPr="00D337FA">
        <w:t>эффективности.</w:t>
      </w:r>
      <w:r w:rsidR="006C680D" w:rsidRPr="00D337FA">
        <w:t xml:space="preserve"> </w:t>
      </w:r>
      <w:r w:rsidRPr="00D337FA">
        <w:t>При</w:t>
      </w:r>
      <w:r w:rsidR="006C680D" w:rsidRPr="00D337FA">
        <w:t xml:space="preserve"> </w:t>
      </w:r>
      <w:r w:rsidRPr="00D337FA">
        <w:t>этом</w:t>
      </w:r>
      <w:r w:rsidR="006C680D" w:rsidRPr="00D337FA">
        <w:t xml:space="preserve"> </w:t>
      </w:r>
      <w:r w:rsidRPr="00D337FA">
        <w:t>надо</w:t>
      </w:r>
      <w:r w:rsidR="006C680D" w:rsidRPr="00D337FA">
        <w:t xml:space="preserve"> </w:t>
      </w:r>
      <w:r w:rsidRPr="00D337FA">
        <w:t>отметить</w:t>
      </w:r>
      <w:r w:rsidR="006C680D" w:rsidRPr="00D337FA">
        <w:t xml:space="preserve"> </w:t>
      </w:r>
      <w:r w:rsidRPr="00D337FA">
        <w:t>и</w:t>
      </w:r>
      <w:r w:rsidR="006C680D" w:rsidRPr="00D337FA">
        <w:t xml:space="preserve"> </w:t>
      </w:r>
      <w:r w:rsidRPr="00D337FA">
        <w:t>факт</w:t>
      </w:r>
      <w:r w:rsidR="006C680D" w:rsidRPr="00D337FA">
        <w:t xml:space="preserve"> </w:t>
      </w:r>
      <w:r w:rsidRPr="00D337FA">
        <w:t>зависимости</w:t>
      </w:r>
      <w:r w:rsidR="006C680D" w:rsidRPr="00D337FA">
        <w:t xml:space="preserve"> </w:t>
      </w:r>
      <w:r w:rsidRPr="00D337FA">
        <w:t>между</w:t>
      </w:r>
      <w:r w:rsidR="006C680D" w:rsidRPr="00D337FA">
        <w:t xml:space="preserve"> </w:t>
      </w:r>
      <w:r w:rsidRPr="00D337FA">
        <w:t>уровнем</w:t>
      </w:r>
      <w:r w:rsidR="006C680D" w:rsidRPr="00D337FA">
        <w:t xml:space="preserve"> </w:t>
      </w:r>
      <w:r w:rsidRPr="00D337FA">
        <w:t>управленческой</w:t>
      </w:r>
      <w:r w:rsidR="006C680D" w:rsidRPr="00D337FA">
        <w:t xml:space="preserve"> </w:t>
      </w:r>
      <w:r w:rsidRPr="00D337FA">
        <w:t>зрелости</w:t>
      </w:r>
      <w:r w:rsidR="006C680D" w:rsidRPr="00D337FA">
        <w:t xml:space="preserve"> </w:t>
      </w:r>
      <w:r w:rsidRPr="00D337FA">
        <w:t>компании</w:t>
      </w:r>
      <w:r w:rsidR="006C680D" w:rsidRPr="00D337FA">
        <w:t xml:space="preserve"> </w:t>
      </w:r>
      <w:r w:rsidRPr="00D337FA">
        <w:t>и</w:t>
      </w:r>
      <w:r w:rsidR="006C680D" w:rsidRPr="00D337FA">
        <w:t xml:space="preserve"> </w:t>
      </w:r>
      <w:r w:rsidRPr="00D337FA">
        <w:t>устойчивостью</w:t>
      </w:r>
      <w:r w:rsidR="006C680D" w:rsidRPr="00D337FA">
        <w:t xml:space="preserve"> </w:t>
      </w:r>
      <w:r w:rsidRPr="00D337FA">
        <w:t>её</w:t>
      </w:r>
      <w:r w:rsidR="006C680D" w:rsidRPr="00D337FA">
        <w:t xml:space="preserve"> </w:t>
      </w:r>
      <w:r w:rsidRPr="00D337FA">
        <w:t>рыночных</w:t>
      </w:r>
      <w:r w:rsidR="006C680D" w:rsidRPr="00D337FA">
        <w:t xml:space="preserve"> </w:t>
      </w:r>
      <w:r w:rsidRPr="00D337FA">
        <w:t>позиций:</w:t>
      </w:r>
      <w:r w:rsidR="006C680D" w:rsidRPr="00D337FA">
        <w:t xml:space="preserve"> </w:t>
      </w:r>
      <w:r w:rsidRPr="00D337FA">
        <w:t>организации,</w:t>
      </w:r>
      <w:r w:rsidR="006C680D" w:rsidRPr="00D337FA">
        <w:t xml:space="preserve"> </w:t>
      </w:r>
      <w:r w:rsidRPr="00D337FA">
        <w:t>использующие</w:t>
      </w:r>
      <w:r w:rsidR="006C680D" w:rsidRPr="00D337FA">
        <w:t xml:space="preserve"> </w:t>
      </w:r>
      <w:r w:rsidRPr="00D337FA">
        <w:t>системный</w:t>
      </w:r>
      <w:r w:rsidR="006C680D" w:rsidRPr="00D337FA">
        <w:t xml:space="preserve"> </w:t>
      </w:r>
      <w:r w:rsidRPr="00D337FA">
        <w:t>подход</w:t>
      </w:r>
      <w:r w:rsidR="006C680D" w:rsidRPr="00D337FA">
        <w:t xml:space="preserve"> </w:t>
      </w:r>
      <w:r w:rsidRPr="00D337FA">
        <w:t>к</w:t>
      </w:r>
      <w:r w:rsidR="006C680D" w:rsidRPr="00D337FA">
        <w:t xml:space="preserve"> </w:t>
      </w:r>
      <w:r w:rsidRPr="00D337FA">
        <w:t>стратегическому</w:t>
      </w:r>
      <w:r w:rsidR="006C680D" w:rsidRPr="00D337FA">
        <w:t xml:space="preserve"> </w:t>
      </w:r>
      <w:r w:rsidRPr="00D337FA">
        <w:t>управлению</w:t>
      </w:r>
      <w:r w:rsidR="006C680D" w:rsidRPr="00D337FA">
        <w:t xml:space="preserve"> </w:t>
      </w:r>
      <w:r w:rsidRPr="00D337FA">
        <w:t>и</w:t>
      </w:r>
      <w:r w:rsidR="006C680D" w:rsidRPr="00D337FA">
        <w:t xml:space="preserve"> </w:t>
      </w:r>
      <w:r w:rsidRPr="00D337FA">
        <w:t>мониторингу</w:t>
      </w:r>
      <w:r w:rsidR="006C680D" w:rsidRPr="00D337FA">
        <w:t xml:space="preserve"> </w:t>
      </w:r>
      <w:r w:rsidRPr="00D337FA">
        <w:t>конкурентной</w:t>
      </w:r>
      <w:r w:rsidR="006C680D" w:rsidRPr="00D337FA">
        <w:t xml:space="preserve"> </w:t>
      </w:r>
      <w:r w:rsidRPr="00D337FA">
        <w:t>среды,</w:t>
      </w:r>
      <w:r w:rsidR="006C680D" w:rsidRPr="00D337FA">
        <w:t xml:space="preserve"> </w:t>
      </w:r>
      <w:r w:rsidRPr="00D337FA">
        <w:t>быстрее</w:t>
      </w:r>
      <w:r w:rsidR="006C680D" w:rsidRPr="00D337FA">
        <w:t xml:space="preserve"> </w:t>
      </w:r>
      <w:r w:rsidRPr="00D337FA">
        <w:t>адаптируются</w:t>
      </w:r>
      <w:r w:rsidR="006C680D" w:rsidRPr="00D337FA">
        <w:t xml:space="preserve"> </w:t>
      </w:r>
      <w:r w:rsidRPr="00D337FA">
        <w:t>к</w:t>
      </w:r>
      <w:r w:rsidR="006C680D" w:rsidRPr="00D337FA">
        <w:t xml:space="preserve"> </w:t>
      </w:r>
      <w:r w:rsidRPr="00D337FA">
        <w:t>изменениям</w:t>
      </w:r>
      <w:r w:rsidR="006C680D" w:rsidRPr="00D337FA">
        <w:t xml:space="preserve"> </w:t>
      </w:r>
      <w:r w:rsidRPr="00D337FA">
        <w:t>и</w:t>
      </w:r>
      <w:r w:rsidR="006C680D" w:rsidRPr="00D337FA">
        <w:t xml:space="preserve"> </w:t>
      </w:r>
      <w:r w:rsidRPr="00D337FA">
        <w:t>эффективнее</w:t>
      </w:r>
      <w:r w:rsidR="006C680D" w:rsidRPr="00D337FA">
        <w:t xml:space="preserve"> </w:t>
      </w:r>
      <w:r w:rsidRPr="00D337FA">
        <w:t>перераспределяют</w:t>
      </w:r>
      <w:r w:rsidR="006C680D" w:rsidRPr="00D337FA">
        <w:t xml:space="preserve"> </w:t>
      </w:r>
      <w:r w:rsidRPr="00D337FA">
        <w:t>ресурсы</w:t>
      </w:r>
      <w:r w:rsidR="006C680D" w:rsidRPr="00D337FA">
        <w:t xml:space="preserve"> </w:t>
      </w:r>
      <w:r w:rsidRPr="00D337FA">
        <w:t>[</w:t>
      </w:r>
      <w:r w:rsidR="005411F4" w:rsidRPr="00D337FA">
        <w:t>4</w:t>
      </w:r>
      <w:r w:rsidRPr="00D337FA">
        <w:t>,</w:t>
      </w:r>
      <w:r w:rsidR="006C680D" w:rsidRPr="00D337FA">
        <w:t xml:space="preserve"> </w:t>
      </w:r>
      <w:r w:rsidRPr="00D337FA">
        <w:t>1</w:t>
      </w:r>
      <w:r w:rsidR="005411F4" w:rsidRPr="00D337FA">
        <w:t>1</w:t>
      </w:r>
      <w:r w:rsidR="00B91B4B" w:rsidRPr="00D337FA">
        <w:t>-</w:t>
      </w:r>
      <w:r w:rsidRPr="00D337FA">
        <w:t>1</w:t>
      </w:r>
      <w:r w:rsidR="005411F4" w:rsidRPr="00D337FA">
        <w:t>3</w:t>
      </w:r>
      <w:r w:rsidRPr="00D337FA">
        <w:t>].</w:t>
      </w:r>
    </w:p>
    <w:p w:rsidR="00EC45F1" w:rsidRPr="00D337FA" w:rsidRDefault="00EC45F1" w:rsidP="00EC45F1">
      <w:pPr>
        <w:ind w:firstLine="284"/>
      </w:pPr>
      <w:r w:rsidRPr="00D337FA">
        <w:t>Отдельного</w:t>
      </w:r>
      <w:r w:rsidR="006C680D" w:rsidRPr="00D337FA">
        <w:t xml:space="preserve"> </w:t>
      </w:r>
      <w:r w:rsidRPr="00D337FA">
        <w:t>внимания</w:t>
      </w:r>
      <w:r w:rsidR="006C680D" w:rsidRPr="00D337FA">
        <w:t xml:space="preserve"> </w:t>
      </w:r>
      <w:r w:rsidRPr="00D337FA">
        <w:t>заслуживает</w:t>
      </w:r>
      <w:r w:rsidR="006C680D" w:rsidRPr="00D337FA">
        <w:t xml:space="preserve"> </w:t>
      </w:r>
      <w:r w:rsidRPr="00D337FA">
        <w:t>анализ</w:t>
      </w:r>
      <w:r w:rsidR="006C680D" w:rsidRPr="00D337FA">
        <w:t xml:space="preserve"> </w:t>
      </w:r>
      <w:r w:rsidRPr="00D337FA">
        <w:t>стратегий</w:t>
      </w:r>
      <w:r w:rsidR="006C680D" w:rsidRPr="00D337FA">
        <w:t xml:space="preserve"> </w:t>
      </w:r>
      <w:r w:rsidRPr="00D337FA">
        <w:t>конкурентного</w:t>
      </w:r>
      <w:r w:rsidR="006C680D" w:rsidRPr="00D337FA">
        <w:t xml:space="preserve"> </w:t>
      </w:r>
      <w:r w:rsidRPr="00D337FA">
        <w:t>позиционирования.</w:t>
      </w:r>
      <w:r w:rsidR="006C680D" w:rsidRPr="00D337FA">
        <w:t xml:space="preserve"> </w:t>
      </w:r>
      <w:r w:rsidRPr="00D337FA">
        <w:t>Практика</w:t>
      </w:r>
      <w:r w:rsidR="006C680D" w:rsidRPr="00D337FA">
        <w:t xml:space="preserve"> </w:t>
      </w:r>
      <w:r w:rsidRPr="00D337FA">
        <w:t>показывает,</w:t>
      </w:r>
      <w:r w:rsidR="006C680D" w:rsidRPr="00D337FA">
        <w:t xml:space="preserve"> </w:t>
      </w:r>
      <w:r w:rsidRPr="00D337FA">
        <w:t>что</w:t>
      </w:r>
      <w:r w:rsidR="006C680D" w:rsidRPr="00D337FA">
        <w:t xml:space="preserve"> </w:t>
      </w:r>
      <w:r w:rsidRPr="00D337FA">
        <w:t>страховые</w:t>
      </w:r>
      <w:r w:rsidR="006C680D" w:rsidRPr="00D337FA">
        <w:t xml:space="preserve"> </w:t>
      </w:r>
      <w:r w:rsidRPr="00D337FA">
        <w:t>компании</w:t>
      </w:r>
      <w:r w:rsidR="006C680D" w:rsidRPr="00D337FA">
        <w:t xml:space="preserve"> </w:t>
      </w:r>
      <w:r w:rsidR="00B91B4B" w:rsidRPr="00D337FA">
        <w:t>применяют</w:t>
      </w:r>
      <w:r w:rsidR="006C680D" w:rsidRPr="00D337FA">
        <w:t xml:space="preserve"> </w:t>
      </w:r>
      <w:r w:rsidRPr="00D337FA">
        <w:t>различные</w:t>
      </w:r>
      <w:r w:rsidR="006C680D" w:rsidRPr="00D337FA">
        <w:t xml:space="preserve"> </w:t>
      </w:r>
      <w:r w:rsidRPr="00D337FA">
        <w:t>модели</w:t>
      </w:r>
      <w:r w:rsidR="006C680D" w:rsidRPr="00D337FA">
        <w:t xml:space="preserve"> </w:t>
      </w:r>
      <w:r w:rsidRPr="00D337FA">
        <w:t>формирования</w:t>
      </w:r>
      <w:r w:rsidR="006C680D" w:rsidRPr="00D337FA">
        <w:t xml:space="preserve"> </w:t>
      </w:r>
      <w:r w:rsidRPr="00D337FA">
        <w:t>конкурентных</w:t>
      </w:r>
      <w:r w:rsidR="006C680D" w:rsidRPr="00D337FA">
        <w:t xml:space="preserve"> </w:t>
      </w:r>
      <w:r w:rsidRPr="00D337FA">
        <w:t>преимуществ:</w:t>
      </w:r>
      <w:r w:rsidR="006C680D" w:rsidRPr="00D337FA">
        <w:t xml:space="preserve"> </w:t>
      </w:r>
      <w:r w:rsidRPr="00D337FA">
        <w:t>от</w:t>
      </w:r>
      <w:r w:rsidR="006C680D" w:rsidRPr="00D337FA">
        <w:t xml:space="preserve"> </w:t>
      </w:r>
      <w:r w:rsidRPr="00D337FA">
        <w:t>фокусирования</w:t>
      </w:r>
      <w:r w:rsidR="006C680D" w:rsidRPr="00D337FA">
        <w:t xml:space="preserve"> </w:t>
      </w:r>
      <w:r w:rsidRPr="00D337FA">
        <w:t>на</w:t>
      </w:r>
      <w:r w:rsidR="006C680D" w:rsidRPr="00D337FA">
        <w:t xml:space="preserve"> </w:t>
      </w:r>
      <w:r w:rsidRPr="00D337FA">
        <w:t>отдельных</w:t>
      </w:r>
      <w:r w:rsidR="006C680D" w:rsidRPr="00D337FA">
        <w:t xml:space="preserve"> </w:t>
      </w:r>
      <w:r w:rsidRPr="00D337FA">
        <w:t>продуктовых</w:t>
      </w:r>
      <w:r w:rsidR="006C680D" w:rsidRPr="00D337FA">
        <w:t xml:space="preserve"> </w:t>
      </w:r>
      <w:r w:rsidRPr="00D337FA">
        <w:t>нишах</w:t>
      </w:r>
      <w:r w:rsidR="006C680D" w:rsidRPr="00D337FA">
        <w:t xml:space="preserve"> </w:t>
      </w:r>
      <w:r w:rsidRPr="00D337FA">
        <w:t>до</w:t>
      </w:r>
      <w:r w:rsidR="006C680D" w:rsidRPr="00D337FA">
        <w:t xml:space="preserve"> </w:t>
      </w:r>
      <w:r w:rsidRPr="00D337FA">
        <w:t>комплексных</w:t>
      </w:r>
      <w:r w:rsidR="006C680D" w:rsidRPr="00D337FA">
        <w:t xml:space="preserve"> </w:t>
      </w:r>
      <w:r w:rsidR="00B91B4B" w:rsidRPr="00D337FA">
        <w:t>стратегий</w:t>
      </w:r>
      <w:r w:rsidR="006C680D" w:rsidRPr="00D337FA">
        <w:t xml:space="preserve"> </w:t>
      </w:r>
      <w:r w:rsidRPr="00D337FA">
        <w:t>диверсификации,</w:t>
      </w:r>
      <w:r w:rsidR="006C680D" w:rsidRPr="00D337FA">
        <w:t xml:space="preserve"> </w:t>
      </w:r>
      <w:r w:rsidRPr="00D337FA">
        <w:t>включающих</w:t>
      </w:r>
      <w:r w:rsidR="006C680D" w:rsidRPr="00D337FA">
        <w:t xml:space="preserve"> </w:t>
      </w:r>
      <w:r w:rsidRPr="00D337FA">
        <w:t>рас</w:t>
      </w:r>
      <w:r w:rsidRPr="00D337FA">
        <w:lastRenderedPageBreak/>
        <w:t>ширение</w:t>
      </w:r>
      <w:r w:rsidR="006C680D" w:rsidRPr="00D337FA">
        <w:t xml:space="preserve"> </w:t>
      </w:r>
      <w:r w:rsidRPr="00D337FA">
        <w:t>линейки</w:t>
      </w:r>
      <w:r w:rsidR="006C680D" w:rsidRPr="00D337FA">
        <w:t xml:space="preserve"> </w:t>
      </w:r>
      <w:r w:rsidRPr="00D337FA">
        <w:t>услуг,</w:t>
      </w:r>
      <w:r w:rsidR="006C680D" w:rsidRPr="00D337FA">
        <w:t xml:space="preserve"> </w:t>
      </w:r>
      <w:r w:rsidRPr="00D337FA">
        <w:t>развитие</w:t>
      </w:r>
      <w:r w:rsidR="006C680D" w:rsidRPr="00D337FA">
        <w:t xml:space="preserve"> </w:t>
      </w:r>
      <w:r w:rsidRPr="00D337FA">
        <w:t>партнёрских</w:t>
      </w:r>
      <w:r w:rsidR="006C680D" w:rsidRPr="00D337FA">
        <w:t xml:space="preserve"> </w:t>
      </w:r>
      <w:r w:rsidRPr="00D337FA">
        <w:t>каналов</w:t>
      </w:r>
      <w:r w:rsidR="006C680D" w:rsidRPr="00D337FA">
        <w:t xml:space="preserve"> </w:t>
      </w:r>
      <w:r w:rsidRPr="00D337FA">
        <w:t>и</w:t>
      </w:r>
      <w:r w:rsidR="006C680D" w:rsidRPr="00D337FA">
        <w:t xml:space="preserve"> </w:t>
      </w:r>
      <w:r w:rsidRPr="00D337FA">
        <w:t>формирование</w:t>
      </w:r>
      <w:r w:rsidR="006C680D" w:rsidRPr="00D337FA">
        <w:t xml:space="preserve"> </w:t>
      </w:r>
      <w:r w:rsidRPr="00D337FA">
        <w:t>экосистемных</w:t>
      </w:r>
      <w:r w:rsidR="006C680D" w:rsidRPr="00D337FA">
        <w:t xml:space="preserve"> </w:t>
      </w:r>
      <w:r w:rsidRPr="00D337FA">
        <w:t>решений</w:t>
      </w:r>
      <w:r w:rsidR="006C680D" w:rsidRPr="00D337FA">
        <w:t xml:space="preserve"> </w:t>
      </w:r>
      <w:r w:rsidRPr="00D337FA">
        <w:t>[</w:t>
      </w:r>
      <w:r w:rsidR="005411F4" w:rsidRPr="00D337FA">
        <w:t>9</w:t>
      </w:r>
      <w:r w:rsidRPr="00D337FA">
        <w:t>,</w:t>
      </w:r>
      <w:r w:rsidR="006C680D" w:rsidRPr="00D337FA">
        <w:t xml:space="preserve"> </w:t>
      </w:r>
      <w:r w:rsidRPr="00D337FA">
        <w:t>1</w:t>
      </w:r>
      <w:r w:rsidR="005411F4" w:rsidRPr="00D337FA">
        <w:t>2</w:t>
      </w:r>
      <w:r w:rsidRPr="00D337FA">
        <w:t>,</w:t>
      </w:r>
      <w:r w:rsidR="006C680D" w:rsidRPr="00D337FA">
        <w:t xml:space="preserve"> </w:t>
      </w:r>
      <w:r w:rsidRPr="00D337FA">
        <w:t>1</w:t>
      </w:r>
      <w:r w:rsidR="005411F4" w:rsidRPr="00D337FA">
        <w:t>5</w:t>
      </w:r>
      <w:r w:rsidRPr="00D337FA">
        <w:t>,</w:t>
      </w:r>
      <w:r w:rsidR="006C680D" w:rsidRPr="00D337FA">
        <w:t xml:space="preserve"> </w:t>
      </w:r>
      <w:r w:rsidRPr="00D337FA">
        <w:t>1</w:t>
      </w:r>
      <w:r w:rsidR="005411F4" w:rsidRPr="00D337FA">
        <w:t>7</w:t>
      </w:r>
      <w:r w:rsidRPr="00D337FA">
        <w:t>].</w:t>
      </w:r>
      <w:r w:rsidR="006C680D" w:rsidRPr="00D337FA">
        <w:t xml:space="preserve"> </w:t>
      </w:r>
      <w:r w:rsidRPr="00D337FA">
        <w:t>Выбор</w:t>
      </w:r>
      <w:r w:rsidR="006C680D" w:rsidRPr="00D337FA">
        <w:t xml:space="preserve"> </w:t>
      </w:r>
      <w:r w:rsidRPr="00D337FA">
        <w:t>стратегии</w:t>
      </w:r>
      <w:r w:rsidR="006C680D" w:rsidRPr="00D337FA">
        <w:t xml:space="preserve"> </w:t>
      </w:r>
      <w:r w:rsidRPr="00D337FA">
        <w:t>во</w:t>
      </w:r>
      <w:r w:rsidR="006C680D" w:rsidRPr="00D337FA">
        <w:t xml:space="preserve"> </w:t>
      </w:r>
      <w:r w:rsidRPr="00D337FA">
        <w:t>многом</w:t>
      </w:r>
      <w:r w:rsidR="006C680D" w:rsidRPr="00D337FA">
        <w:t xml:space="preserve"> </w:t>
      </w:r>
      <w:r w:rsidRPr="00D337FA">
        <w:t>определяется</w:t>
      </w:r>
      <w:r w:rsidR="006C680D" w:rsidRPr="00D337FA">
        <w:t xml:space="preserve"> </w:t>
      </w:r>
      <w:r w:rsidRPr="00D337FA">
        <w:t>масштабом</w:t>
      </w:r>
      <w:r w:rsidR="006C680D" w:rsidRPr="00D337FA">
        <w:t xml:space="preserve"> </w:t>
      </w:r>
      <w:r w:rsidR="00B91B4B" w:rsidRPr="00D337FA">
        <w:t>компании</w:t>
      </w:r>
      <w:r w:rsidRPr="00D337FA">
        <w:t>,</w:t>
      </w:r>
      <w:r w:rsidR="006C680D" w:rsidRPr="00D337FA">
        <w:t xml:space="preserve"> </w:t>
      </w:r>
      <w:r w:rsidRPr="00D337FA">
        <w:t>её</w:t>
      </w:r>
      <w:r w:rsidR="006C680D" w:rsidRPr="00D337FA">
        <w:t xml:space="preserve"> </w:t>
      </w:r>
      <w:r w:rsidRPr="00D337FA">
        <w:t>финансовыми</w:t>
      </w:r>
      <w:r w:rsidR="006C680D" w:rsidRPr="00D337FA">
        <w:t xml:space="preserve"> </w:t>
      </w:r>
      <w:r w:rsidRPr="00D337FA">
        <w:t>возможностями</w:t>
      </w:r>
      <w:r w:rsidR="006C680D" w:rsidRPr="00D337FA">
        <w:t xml:space="preserve"> </w:t>
      </w:r>
      <w:r w:rsidRPr="00D337FA">
        <w:t>и</w:t>
      </w:r>
      <w:r w:rsidR="006C680D" w:rsidRPr="00D337FA">
        <w:t xml:space="preserve"> </w:t>
      </w:r>
      <w:r w:rsidRPr="00D337FA">
        <w:t>степенью</w:t>
      </w:r>
      <w:r w:rsidR="006C680D" w:rsidRPr="00D337FA">
        <w:t xml:space="preserve"> </w:t>
      </w:r>
      <w:r w:rsidRPr="00D337FA">
        <w:t>интеграции</w:t>
      </w:r>
      <w:r w:rsidR="006C680D" w:rsidRPr="00D337FA">
        <w:t xml:space="preserve"> </w:t>
      </w:r>
      <w:r w:rsidRPr="00D337FA">
        <w:t>в</w:t>
      </w:r>
      <w:r w:rsidR="006C680D" w:rsidRPr="00D337FA">
        <w:t xml:space="preserve"> </w:t>
      </w:r>
      <w:r w:rsidR="00B91B4B" w:rsidRPr="00D337FA">
        <w:t>цифровую</w:t>
      </w:r>
      <w:r w:rsidR="006C680D" w:rsidRPr="00D337FA">
        <w:t xml:space="preserve"> </w:t>
      </w:r>
      <w:r w:rsidRPr="00D337FA">
        <w:t>инфраструктуру</w:t>
      </w:r>
      <w:r w:rsidR="006C680D" w:rsidRPr="00D337FA">
        <w:t xml:space="preserve"> </w:t>
      </w:r>
      <w:r w:rsidRPr="00D337FA">
        <w:t>рынка.</w:t>
      </w:r>
    </w:p>
    <w:p w:rsidR="00EC45F1" w:rsidRPr="00D337FA" w:rsidRDefault="00EC45F1" w:rsidP="00B91B4B">
      <w:pPr>
        <w:ind w:firstLine="284"/>
      </w:pPr>
      <w:r w:rsidRPr="00D337FA">
        <w:t>Анализ</w:t>
      </w:r>
      <w:r w:rsidR="006C680D" w:rsidRPr="00D337FA">
        <w:t xml:space="preserve"> </w:t>
      </w:r>
      <w:r w:rsidRPr="00D337FA">
        <w:t>конкурентоспособности</w:t>
      </w:r>
      <w:r w:rsidR="006C680D" w:rsidRPr="00D337FA">
        <w:t xml:space="preserve"> </w:t>
      </w:r>
      <w:r w:rsidRPr="00D337FA">
        <w:t>страховых</w:t>
      </w:r>
      <w:r w:rsidR="006C680D" w:rsidRPr="00D337FA">
        <w:t xml:space="preserve"> </w:t>
      </w:r>
      <w:r w:rsidRPr="00D337FA">
        <w:t>компаний</w:t>
      </w:r>
      <w:r w:rsidR="006C680D" w:rsidRPr="00D337FA">
        <w:t xml:space="preserve"> </w:t>
      </w:r>
      <w:r w:rsidRPr="00D337FA">
        <w:t>в</w:t>
      </w:r>
      <w:r w:rsidR="006C680D" w:rsidRPr="00D337FA">
        <w:t xml:space="preserve"> </w:t>
      </w:r>
      <w:r w:rsidRPr="00D337FA">
        <w:t>РФ</w:t>
      </w:r>
      <w:r w:rsidR="006C680D" w:rsidRPr="00D337FA">
        <w:t xml:space="preserve"> </w:t>
      </w:r>
      <w:r w:rsidR="00B91B4B" w:rsidRPr="00D337FA">
        <w:t>показывает</w:t>
      </w:r>
      <w:r w:rsidRPr="00D337FA">
        <w:t>,</w:t>
      </w:r>
      <w:r w:rsidR="006C680D" w:rsidRPr="00D337FA">
        <w:t xml:space="preserve"> </w:t>
      </w:r>
      <w:r w:rsidRPr="00D337FA">
        <w:t>что</w:t>
      </w:r>
      <w:r w:rsidR="006C680D" w:rsidRPr="00D337FA">
        <w:t xml:space="preserve"> </w:t>
      </w:r>
      <w:r w:rsidRPr="00D337FA">
        <w:t>ключевыми</w:t>
      </w:r>
      <w:r w:rsidR="006C680D" w:rsidRPr="00D337FA">
        <w:t xml:space="preserve"> </w:t>
      </w:r>
      <w:r w:rsidRPr="00D337FA">
        <w:t>факторами,</w:t>
      </w:r>
      <w:r w:rsidR="006C680D" w:rsidRPr="00D337FA">
        <w:t xml:space="preserve"> </w:t>
      </w:r>
      <w:r w:rsidRPr="00D337FA">
        <w:t>усиливающими</w:t>
      </w:r>
      <w:r w:rsidR="006C680D" w:rsidRPr="00D337FA">
        <w:t xml:space="preserve"> </w:t>
      </w:r>
      <w:r w:rsidRPr="00D337FA">
        <w:t>конкурентные</w:t>
      </w:r>
      <w:r w:rsidR="006C680D" w:rsidRPr="00D337FA">
        <w:t xml:space="preserve"> </w:t>
      </w:r>
      <w:r w:rsidR="00B91B4B" w:rsidRPr="00D337FA">
        <w:t>преимущества</w:t>
      </w:r>
      <w:r w:rsidRPr="00D337FA">
        <w:t>,</w:t>
      </w:r>
      <w:r w:rsidR="006C680D" w:rsidRPr="00D337FA">
        <w:t xml:space="preserve"> </w:t>
      </w:r>
      <w:r w:rsidRPr="00D337FA">
        <w:t>выступают</w:t>
      </w:r>
      <w:r w:rsidR="006C680D" w:rsidRPr="00D337FA">
        <w:t xml:space="preserve"> </w:t>
      </w:r>
      <w:r w:rsidRPr="00D337FA">
        <w:t>доверие</w:t>
      </w:r>
      <w:r w:rsidR="006C680D" w:rsidRPr="00D337FA">
        <w:t xml:space="preserve"> </w:t>
      </w:r>
      <w:r w:rsidRPr="00D337FA">
        <w:t>клиентов,</w:t>
      </w:r>
      <w:r w:rsidR="006C680D" w:rsidRPr="00D337FA">
        <w:t xml:space="preserve"> </w:t>
      </w:r>
      <w:r w:rsidRPr="00D337FA">
        <w:t>прозрачность</w:t>
      </w:r>
      <w:r w:rsidR="006C680D" w:rsidRPr="00D337FA">
        <w:t xml:space="preserve"> </w:t>
      </w:r>
      <w:r w:rsidRPr="00D337FA">
        <w:t>условий</w:t>
      </w:r>
      <w:r w:rsidR="006C680D" w:rsidRPr="00D337FA">
        <w:t xml:space="preserve"> </w:t>
      </w:r>
      <w:r w:rsidRPr="00D337FA">
        <w:t>страхования,</w:t>
      </w:r>
      <w:r w:rsidR="006C680D" w:rsidRPr="00D337FA">
        <w:t xml:space="preserve"> </w:t>
      </w:r>
      <w:r w:rsidRPr="00D337FA">
        <w:t>качество</w:t>
      </w:r>
      <w:r w:rsidR="006C680D" w:rsidRPr="00D337FA">
        <w:t xml:space="preserve"> </w:t>
      </w:r>
      <w:r w:rsidRPr="00D337FA">
        <w:t>коммуникаций</w:t>
      </w:r>
      <w:r w:rsidR="006C680D" w:rsidRPr="00D337FA">
        <w:t xml:space="preserve"> </w:t>
      </w:r>
      <w:r w:rsidRPr="00D337FA">
        <w:t>и</w:t>
      </w:r>
      <w:r w:rsidR="006C680D" w:rsidRPr="00D337FA">
        <w:t xml:space="preserve"> </w:t>
      </w:r>
      <w:r w:rsidRPr="00D337FA">
        <w:t>способность</w:t>
      </w:r>
      <w:r w:rsidR="006C680D" w:rsidRPr="00D337FA">
        <w:t xml:space="preserve"> </w:t>
      </w:r>
      <w:r w:rsidRPr="00D337FA">
        <w:t>компании</w:t>
      </w:r>
      <w:r w:rsidR="006C680D" w:rsidRPr="00D337FA">
        <w:t xml:space="preserve"> </w:t>
      </w:r>
      <w:r w:rsidRPr="00D337FA">
        <w:t>эффективно</w:t>
      </w:r>
      <w:r w:rsidR="006C680D" w:rsidRPr="00D337FA">
        <w:t xml:space="preserve"> </w:t>
      </w:r>
      <w:r w:rsidRPr="00D337FA">
        <w:t>управлять</w:t>
      </w:r>
      <w:r w:rsidR="006C680D" w:rsidRPr="00D337FA">
        <w:t xml:space="preserve"> </w:t>
      </w:r>
      <w:r w:rsidRPr="00D337FA">
        <w:t>рисками</w:t>
      </w:r>
      <w:r w:rsidR="006C680D" w:rsidRPr="00D337FA">
        <w:t xml:space="preserve"> </w:t>
      </w:r>
      <w:r w:rsidRPr="00D337FA">
        <w:t>в</w:t>
      </w:r>
      <w:r w:rsidR="006C680D" w:rsidRPr="00D337FA">
        <w:t xml:space="preserve"> </w:t>
      </w:r>
      <w:r w:rsidRPr="00D337FA">
        <w:t>условиях</w:t>
      </w:r>
      <w:r w:rsidR="006C680D" w:rsidRPr="00D337FA">
        <w:t xml:space="preserve"> </w:t>
      </w:r>
      <w:r w:rsidRPr="00D337FA">
        <w:t>нестабильной</w:t>
      </w:r>
      <w:r w:rsidR="006C680D" w:rsidRPr="00D337FA">
        <w:t xml:space="preserve"> </w:t>
      </w:r>
      <w:r w:rsidRPr="00D337FA">
        <w:t>внешней</w:t>
      </w:r>
      <w:r w:rsidR="006C680D" w:rsidRPr="00D337FA">
        <w:t xml:space="preserve"> </w:t>
      </w:r>
      <w:r w:rsidRPr="00D337FA">
        <w:t>среды.</w:t>
      </w:r>
      <w:r w:rsidR="006C680D" w:rsidRPr="00D337FA">
        <w:t xml:space="preserve"> </w:t>
      </w:r>
      <w:r w:rsidRPr="00D337FA">
        <w:t>Вместе</w:t>
      </w:r>
      <w:r w:rsidR="006C680D" w:rsidRPr="00D337FA">
        <w:t xml:space="preserve"> </w:t>
      </w:r>
      <w:r w:rsidRPr="00D337FA">
        <w:t>с</w:t>
      </w:r>
      <w:r w:rsidR="006C680D" w:rsidRPr="00D337FA">
        <w:t xml:space="preserve"> </w:t>
      </w:r>
      <w:r w:rsidRPr="00D337FA">
        <w:t>тем,</w:t>
      </w:r>
      <w:r w:rsidR="006C680D" w:rsidRPr="00D337FA">
        <w:t xml:space="preserve"> </w:t>
      </w:r>
      <w:r w:rsidRPr="00D337FA">
        <w:t>надо</w:t>
      </w:r>
      <w:r w:rsidR="006C680D" w:rsidRPr="00D337FA">
        <w:t xml:space="preserve"> </w:t>
      </w:r>
      <w:r w:rsidR="00B91B4B" w:rsidRPr="00D337FA">
        <w:t>отметить</w:t>
      </w:r>
      <w:r w:rsidRPr="00D337FA">
        <w:t>,</w:t>
      </w:r>
      <w:r w:rsidR="006C680D" w:rsidRPr="00D337FA">
        <w:t xml:space="preserve"> </w:t>
      </w:r>
      <w:r w:rsidRPr="00D337FA">
        <w:t>что</w:t>
      </w:r>
      <w:r w:rsidR="006C680D" w:rsidRPr="00D337FA">
        <w:t xml:space="preserve"> </w:t>
      </w:r>
      <w:r w:rsidRPr="00D337FA">
        <w:t>выделенные</w:t>
      </w:r>
      <w:r w:rsidR="006C680D" w:rsidRPr="00D337FA">
        <w:t xml:space="preserve"> </w:t>
      </w:r>
      <w:r w:rsidRPr="00D337FA">
        <w:t>факторы</w:t>
      </w:r>
      <w:r w:rsidR="006C680D" w:rsidRPr="00D337FA">
        <w:t xml:space="preserve"> </w:t>
      </w:r>
      <w:r w:rsidRPr="00D337FA">
        <w:t>носят</w:t>
      </w:r>
      <w:r w:rsidR="006C680D" w:rsidRPr="00D337FA">
        <w:t xml:space="preserve"> </w:t>
      </w:r>
      <w:r w:rsidRPr="00D337FA">
        <w:t>кумулятивный</w:t>
      </w:r>
      <w:r w:rsidR="006C680D" w:rsidRPr="00D337FA">
        <w:t xml:space="preserve"> </w:t>
      </w:r>
      <w:r w:rsidRPr="00D337FA">
        <w:t>характер</w:t>
      </w:r>
      <w:r w:rsidR="006C680D" w:rsidRPr="00D337FA">
        <w:t xml:space="preserve"> </w:t>
      </w:r>
      <w:r w:rsidRPr="00D337FA">
        <w:t>и</w:t>
      </w:r>
      <w:r w:rsidR="006C680D" w:rsidRPr="00D337FA">
        <w:t xml:space="preserve"> </w:t>
      </w:r>
      <w:r w:rsidR="00B91B4B" w:rsidRPr="00D337FA">
        <w:t>формируют</w:t>
      </w:r>
      <w:r w:rsidR="006C680D" w:rsidRPr="00D337FA">
        <w:t xml:space="preserve"> </w:t>
      </w:r>
      <w:r w:rsidRPr="00D337FA">
        <w:t>долгосрочный</w:t>
      </w:r>
      <w:r w:rsidR="006C680D" w:rsidRPr="00D337FA">
        <w:t xml:space="preserve"> </w:t>
      </w:r>
      <w:r w:rsidRPr="00D337FA">
        <w:t>эффект,</w:t>
      </w:r>
      <w:r w:rsidR="006C680D" w:rsidRPr="00D337FA">
        <w:t xml:space="preserve"> </w:t>
      </w:r>
      <w:r w:rsidRPr="00D337FA">
        <w:t>выходящий</w:t>
      </w:r>
      <w:r w:rsidR="006C680D" w:rsidRPr="00D337FA">
        <w:t xml:space="preserve"> </w:t>
      </w:r>
      <w:r w:rsidRPr="00D337FA">
        <w:t>за</w:t>
      </w:r>
      <w:r w:rsidR="006C680D" w:rsidRPr="00D337FA">
        <w:t xml:space="preserve"> </w:t>
      </w:r>
      <w:r w:rsidRPr="00D337FA">
        <w:t>рамки</w:t>
      </w:r>
      <w:r w:rsidR="006C680D" w:rsidRPr="00D337FA">
        <w:t xml:space="preserve"> </w:t>
      </w:r>
      <w:r w:rsidRPr="00D337FA">
        <w:t>краткосрочных</w:t>
      </w:r>
      <w:r w:rsidR="006C680D" w:rsidRPr="00D337FA">
        <w:t xml:space="preserve"> </w:t>
      </w:r>
      <w:r w:rsidR="00B91B4B" w:rsidRPr="00D337FA">
        <w:t>финансовых</w:t>
      </w:r>
      <w:r w:rsidR="006C680D" w:rsidRPr="00D337FA">
        <w:t xml:space="preserve"> </w:t>
      </w:r>
      <w:r w:rsidRPr="00D337FA">
        <w:t>показателей</w:t>
      </w:r>
      <w:r w:rsidR="006C680D" w:rsidRPr="00D337FA">
        <w:t xml:space="preserve"> </w:t>
      </w:r>
      <w:r w:rsidRPr="00D337FA">
        <w:t>[</w:t>
      </w:r>
      <w:r w:rsidR="00231534" w:rsidRPr="00D337FA">
        <w:t>9,</w:t>
      </w:r>
      <w:r w:rsidR="006C680D" w:rsidRPr="00D337FA">
        <w:t xml:space="preserve"> </w:t>
      </w:r>
      <w:r w:rsidR="00231534" w:rsidRPr="00D337FA">
        <w:t>12,</w:t>
      </w:r>
      <w:r w:rsidR="006C680D" w:rsidRPr="00D337FA">
        <w:t xml:space="preserve"> </w:t>
      </w:r>
      <w:r w:rsidR="00231534" w:rsidRPr="00D337FA">
        <w:t>16,</w:t>
      </w:r>
      <w:r w:rsidR="006C680D" w:rsidRPr="00D337FA">
        <w:t xml:space="preserve"> </w:t>
      </w:r>
      <w:r w:rsidR="00231534" w:rsidRPr="00D337FA">
        <w:t>20</w:t>
      </w:r>
      <w:r w:rsidRPr="00D337FA">
        <w:t>].</w:t>
      </w:r>
    </w:p>
    <w:p w:rsidR="00EC45F1" w:rsidRPr="00D337FA" w:rsidRDefault="00EC45F1" w:rsidP="00B91B4B">
      <w:pPr>
        <w:ind w:firstLine="284"/>
      </w:pPr>
      <w:r w:rsidRPr="00D337FA">
        <w:t>Таким</w:t>
      </w:r>
      <w:r w:rsidR="006C680D" w:rsidRPr="00D337FA">
        <w:t xml:space="preserve"> </w:t>
      </w:r>
      <w:r w:rsidRPr="00D337FA">
        <w:t>образом,</w:t>
      </w:r>
      <w:r w:rsidR="006C680D" w:rsidRPr="00D337FA">
        <w:t xml:space="preserve"> </w:t>
      </w:r>
      <w:r w:rsidRPr="00D337FA">
        <w:t>результаты</w:t>
      </w:r>
      <w:r w:rsidR="006C680D" w:rsidRPr="00D337FA">
        <w:t xml:space="preserve"> </w:t>
      </w:r>
      <w:r w:rsidRPr="00D337FA">
        <w:t>эмпирического</w:t>
      </w:r>
      <w:r w:rsidR="006C680D" w:rsidRPr="00D337FA">
        <w:t xml:space="preserve"> </w:t>
      </w:r>
      <w:r w:rsidRPr="00D337FA">
        <w:t>анализа</w:t>
      </w:r>
      <w:r w:rsidR="006C680D" w:rsidRPr="00D337FA">
        <w:t xml:space="preserve"> </w:t>
      </w:r>
      <w:r w:rsidRPr="00D337FA">
        <w:t>подтверждают</w:t>
      </w:r>
      <w:r w:rsidR="006C680D" w:rsidRPr="00D337FA">
        <w:t xml:space="preserve"> </w:t>
      </w:r>
      <w:r w:rsidRPr="00D337FA">
        <w:t>выводы</w:t>
      </w:r>
      <w:r w:rsidR="006C680D" w:rsidRPr="00D337FA">
        <w:t xml:space="preserve"> </w:t>
      </w:r>
      <w:r w:rsidRPr="00D337FA">
        <w:t>теоретической</w:t>
      </w:r>
      <w:r w:rsidR="006C680D" w:rsidRPr="00D337FA">
        <w:t xml:space="preserve"> </w:t>
      </w:r>
      <w:r w:rsidRPr="00D337FA">
        <w:t>части</w:t>
      </w:r>
      <w:r w:rsidR="006C680D" w:rsidRPr="00D337FA">
        <w:t xml:space="preserve"> </w:t>
      </w:r>
      <w:r w:rsidRPr="00D337FA">
        <w:t>исследования</w:t>
      </w:r>
      <w:r w:rsidR="006C680D" w:rsidRPr="00D337FA">
        <w:t xml:space="preserve"> </w:t>
      </w:r>
      <w:r w:rsidRPr="00D337FA">
        <w:t>и</w:t>
      </w:r>
      <w:r w:rsidR="006C680D" w:rsidRPr="00D337FA">
        <w:t xml:space="preserve"> </w:t>
      </w:r>
      <w:r w:rsidRPr="00D337FA">
        <w:t>свидетельствуют</w:t>
      </w:r>
      <w:r w:rsidR="006C680D" w:rsidRPr="00D337FA">
        <w:t xml:space="preserve"> </w:t>
      </w:r>
      <w:r w:rsidRPr="00D337FA">
        <w:t>о</w:t>
      </w:r>
      <w:r w:rsidR="006C680D" w:rsidRPr="00D337FA">
        <w:t xml:space="preserve"> </w:t>
      </w:r>
      <w:r w:rsidRPr="00D337FA">
        <w:t>том,</w:t>
      </w:r>
      <w:r w:rsidR="006C680D" w:rsidRPr="00D337FA">
        <w:t xml:space="preserve"> </w:t>
      </w:r>
      <w:r w:rsidRPr="00D337FA">
        <w:t>что</w:t>
      </w:r>
      <w:r w:rsidR="006C680D" w:rsidRPr="00D337FA">
        <w:t xml:space="preserve"> </w:t>
      </w:r>
      <w:r w:rsidRPr="00D337FA">
        <w:t>формирование</w:t>
      </w:r>
      <w:r w:rsidR="006C680D" w:rsidRPr="00D337FA">
        <w:t xml:space="preserve"> </w:t>
      </w:r>
      <w:r w:rsidRPr="00D337FA">
        <w:t>конкурентных</w:t>
      </w:r>
      <w:r w:rsidR="006C680D" w:rsidRPr="00D337FA">
        <w:t xml:space="preserve"> </w:t>
      </w:r>
      <w:r w:rsidRPr="00D337FA">
        <w:t>преимуществ</w:t>
      </w:r>
      <w:r w:rsidR="006C680D" w:rsidRPr="00D337FA">
        <w:t xml:space="preserve"> </w:t>
      </w:r>
      <w:r w:rsidRPr="00D337FA">
        <w:t>на</w:t>
      </w:r>
      <w:r w:rsidR="006C680D" w:rsidRPr="00D337FA">
        <w:t xml:space="preserve"> </w:t>
      </w:r>
      <w:r w:rsidRPr="00D337FA">
        <w:t>рынке</w:t>
      </w:r>
      <w:r w:rsidR="006C680D" w:rsidRPr="00D337FA">
        <w:t xml:space="preserve"> </w:t>
      </w:r>
      <w:r w:rsidRPr="00D337FA">
        <w:t>страховых</w:t>
      </w:r>
      <w:r w:rsidR="006C680D" w:rsidRPr="00D337FA">
        <w:t xml:space="preserve"> </w:t>
      </w:r>
      <w:r w:rsidRPr="00D337FA">
        <w:t>услуг</w:t>
      </w:r>
      <w:r w:rsidR="006C680D" w:rsidRPr="00D337FA">
        <w:t xml:space="preserve"> </w:t>
      </w:r>
      <w:r w:rsidRPr="00D337FA">
        <w:t>представляет</w:t>
      </w:r>
      <w:r w:rsidR="006C680D" w:rsidRPr="00D337FA">
        <w:t xml:space="preserve"> </w:t>
      </w:r>
      <w:r w:rsidRPr="00D337FA">
        <w:t>собой</w:t>
      </w:r>
      <w:r w:rsidR="006C680D" w:rsidRPr="00D337FA">
        <w:t xml:space="preserve"> </w:t>
      </w:r>
      <w:r w:rsidRPr="00D337FA">
        <w:t>управляемый,</w:t>
      </w:r>
      <w:r w:rsidR="006C680D" w:rsidRPr="00D337FA">
        <w:t xml:space="preserve"> </w:t>
      </w:r>
      <w:r w:rsidRPr="00D337FA">
        <w:t>многоуровневый</w:t>
      </w:r>
      <w:r w:rsidR="006C680D" w:rsidRPr="00D337FA">
        <w:t xml:space="preserve"> </w:t>
      </w:r>
      <w:r w:rsidRPr="00D337FA">
        <w:t>процесс.</w:t>
      </w:r>
      <w:r w:rsidR="006C680D" w:rsidRPr="00D337FA">
        <w:t xml:space="preserve"> </w:t>
      </w:r>
      <w:r w:rsidR="00B91B4B" w:rsidRPr="00D337FA">
        <w:t>Эффективность</w:t>
      </w:r>
      <w:r w:rsidR="006C680D" w:rsidRPr="00D337FA">
        <w:t xml:space="preserve"> </w:t>
      </w:r>
      <w:r w:rsidRPr="00D337FA">
        <w:t>данного</w:t>
      </w:r>
      <w:r w:rsidR="006C680D" w:rsidRPr="00D337FA">
        <w:t xml:space="preserve"> </w:t>
      </w:r>
      <w:r w:rsidRPr="00D337FA">
        <w:t>процесса</w:t>
      </w:r>
      <w:r w:rsidR="006C680D" w:rsidRPr="00D337FA">
        <w:t xml:space="preserve"> </w:t>
      </w:r>
      <w:r w:rsidRPr="00D337FA">
        <w:t>зависит</w:t>
      </w:r>
      <w:r w:rsidR="006C680D" w:rsidRPr="00D337FA">
        <w:t xml:space="preserve"> </w:t>
      </w:r>
      <w:r w:rsidRPr="00D337FA">
        <w:t>от</w:t>
      </w:r>
      <w:r w:rsidR="006C680D" w:rsidRPr="00D337FA">
        <w:t xml:space="preserve"> </w:t>
      </w:r>
      <w:r w:rsidRPr="00D337FA">
        <w:t>способности</w:t>
      </w:r>
      <w:r w:rsidR="006C680D" w:rsidRPr="00D337FA">
        <w:t xml:space="preserve"> </w:t>
      </w:r>
      <w:r w:rsidRPr="00D337FA">
        <w:t>страховой</w:t>
      </w:r>
      <w:r w:rsidR="006C680D" w:rsidRPr="00D337FA">
        <w:t xml:space="preserve"> </w:t>
      </w:r>
      <w:r w:rsidRPr="00D337FA">
        <w:t>компании</w:t>
      </w:r>
      <w:r w:rsidR="006C680D" w:rsidRPr="00D337FA">
        <w:t xml:space="preserve"> </w:t>
      </w:r>
      <w:r w:rsidR="00B91B4B" w:rsidRPr="00D337FA">
        <w:t>сочетать</w:t>
      </w:r>
      <w:r w:rsidR="006C680D" w:rsidRPr="00D337FA">
        <w:t xml:space="preserve"> </w:t>
      </w:r>
      <w:r w:rsidRPr="00D337FA">
        <w:t>стратегическую</w:t>
      </w:r>
      <w:r w:rsidR="006C680D" w:rsidRPr="00D337FA">
        <w:t xml:space="preserve"> </w:t>
      </w:r>
      <w:r w:rsidRPr="00D337FA">
        <w:t>гибкость,</w:t>
      </w:r>
      <w:r w:rsidR="006C680D" w:rsidRPr="00D337FA">
        <w:t xml:space="preserve"> </w:t>
      </w:r>
      <w:r w:rsidRPr="00D337FA">
        <w:t>технологическое</w:t>
      </w:r>
      <w:r w:rsidR="006C680D" w:rsidRPr="00D337FA">
        <w:t xml:space="preserve"> </w:t>
      </w:r>
      <w:r w:rsidRPr="00D337FA">
        <w:t>развитие</w:t>
      </w:r>
      <w:r w:rsidR="006C680D" w:rsidRPr="00D337FA">
        <w:t xml:space="preserve"> </w:t>
      </w:r>
      <w:r w:rsidRPr="00D337FA">
        <w:t>и</w:t>
      </w:r>
      <w:r w:rsidR="006C680D" w:rsidRPr="00D337FA">
        <w:t xml:space="preserve"> </w:t>
      </w:r>
      <w:r w:rsidRPr="00D337FA">
        <w:t>ориентацию</w:t>
      </w:r>
      <w:r w:rsidR="006C680D" w:rsidRPr="00D337FA">
        <w:t xml:space="preserve"> </w:t>
      </w:r>
      <w:r w:rsidRPr="00D337FA">
        <w:t>на</w:t>
      </w:r>
      <w:r w:rsidR="006C680D" w:rsidRPr="00D337FA">
        <w:t xml:space="preserve"> </w:t>
      </w:r>
      <w:r w:rsidRPr="00D337FA">
        <w:t>клиента,</w:t>
      </w:r>
      <w:r w:rsidR="006C680D" w:rsidRPr="00D337FA">
        <w:t xml:space="preserve"> </w:t>
      </w:r>
      <w:r w:rsidRPr="00D337FA">
        <w:t>что</w:t>
      </w:r>
      <w:r w:rsidR="006C680D" w:rsidRPr="00D337FA">
        <w:t xml:space="preserve"> </w:t>
      </w:r>
      <w:r w:rsidRPr="00D337FA">
        <w:t>делает</w:t>
      </w:r>
      <w:r w:rsidR="006C680D" w:rsidRPr="00D337FA">
        <w:t xml:space="preserve"> </w:t>
      </w:r>
      <w:r w:rsidRPr="00D337FA">
        <w:t>управление</w:t>
      </w:r>
      <w:r w:rsidR="006C680D" w:rsidRPr="00D337FA">
        <w:t xml:space="preserve"> </w:t>
      </w:r>
      <w:r w:rsidRPr="00D337FA">
        <w:t>конкурентными</w:t>
      </w:r>
      <w:r w:rsidR="006C680D" w:rsidRPr="00D337FA">
        <w:t xml:space="preserve"> </w:t>
      </w:r>
      <w:r w:rsidRPr="00D337FA">
        <w:t>преимуществами</w:t>
      </w:r>
      <w:r w:rsidR="006C680D" w:rsidRPr="00D337FA">
        <w:t xml:space="preserve"> </w:t>
      </w:r>
      <w:r w:rsidRPr="00D337FA">
        <w:t>одним</w:t>
      </w:r>
      <w:r w:rsidR="006C680D" w:rsidRPr="00D337FA">
        <w:t xml:space="preserve"> </w:t>
      </w:r>
      <w:r w:rsidRPr="00D337FA">
        <w:t>из</w:t>
      </w:r>
      <w:r w:rsidR="006C680D" w:rsidRPr="00D337FA">
        <w:t xml:space="preserve"> </w:t>
      </w:r>
      <w:r w:rsidRPr="00D337FA">
        <w:t>ключевых</w:t>
      </w:r>
      <w:r w:rsidR="006C680D" w:rsidRPr="00D337FA">
        <w:t xml:space="preserve"> </w:t>
      </w:r>
      <w:r w:rsidRPr="00D337FA">
        <w:t>направлений</w:t>
      </w:r>
      <w:r w:rsidR="006C680D" w:rsidRPr="00D337FA">
        <w:t xml:space="preserve"> </w:t>
      </w:r>
      <w:r w:rsidRPr="00D337FA">
        <w:t>современного</w:t>
      </w:r>
      <w:r w:rsidR="006C680D" w:rsidRPr="00D337FA">
        <w:t xml:space="preserve"> </w:t>
      </w:r>
      <w:r w:rsidRPr="00D337FA">
        <w:t>страхового</w:t>
      </w:r>
      <w:r w:rsidR="006C680D" w:rsidRPr="00D337FA">
        <w:t xml:space="preserve"> </w:t>
      </w:r>
      <w:r w:rsidRPr="00D337FA">
        <w:t>менеджмента.</w:t>
      </w:r>
    </w:p>
    <w:p w:rsidR="00B91B4B" w:rsidRPr="00D337FA" w:rsidRDefault="00B91B4B" w:rsidP="00B91B4B">
      <w:pPr>
        <w:ind w:firstLine="284"/>
      </w:pPr>
    </w:p>
    <w:p w:rsidR="00EC45F1" w:rsidRPr="00D337FA" w:rsidRDefault="00EC45F1" w:rsidP="00B91B4B">
      <w:pPr>
        <w:ind w:firstLine="284"/>
        <w:rPr>
          <w:b/>
        </w:rPr>
      </w:pPr>
      <w:r w:rsidRPr="00D337FA">
        <w:rPr>
          <w:b/>
        </w:rPr>
        <w:t>Результаты</w:t>
      </w:r>
      <w:r w:rsidR="006C680D" w:rsidRPr="00D337FA">
        <w:rPr>
          <w:b/>
        </w:rPr>
        <w:t xml:space="preserve"> </w:t>
      </w:r>
      <w:r w:rsidRPr="00D337FA">
        <w:rPr>
          <w:b/>
        </w:rPr>
        <w:t>исследования</w:t>
      </w:r>
    </w:p>
    <w:p w:rsidR="00EC45F1" w:rsidRPr="00D337FA" w:rsidRDefault="00EC45F1" w:rsidP="00B91B4B">
      <w:pPr>
        <w:ind w:firstLine="284"/>
      </w:pPr>
      <w:r w:rsidRPr="00D337FA">
        <w:t>Надо</w:t>
      </w:r>
      <w:r w:rsidR="006C680D" w:rsidRPr="00D337FA">
        <w:t xml:space="preserve"> </w:t>
      </w:r>
      <w:r w:rsidRPr="00D337FA">
        <w:t>отметить,</w:t>
      </w:r>
      <w:r w:rsidR="006C680D" w:rsidRPr="00D337FA">
        <w:t xml:space="preserve"> </w:t>
      </w:r>
      <w:r w:rsidRPr="00D337FA">
        <w:t>что</w:t>
      </w:r>
      <w:r w:rsidR="006C680D" w:rsidRPr="00D337FA">
        <w:t xml:space="preserve"> </w:t>
      </w:r>
      <w:r w:rsidRPr="00D337FA">
        <w:t>факторный</w:t>
      </w:r>
      <w:r w:rsidR="006C680D" w:rsidRPr="00D337FA">
        <w:t xml:space="preserve"> </w:t>
      </w:r>
      <w:r w:rsidRPr="00D337FA">
        <w:t>анализ</w:t>
      </w:r>
      <w:r w:rsidR="006C680D" w:rsidRPr="00D337FA">
        <w:t xml:space="preserve"> </w:t>
      </w:r>
      <w:r w:rsidRPr="00D337FA">
        <w:t>лидеров</w:t>
      </w:r>
      <w:r w:rsidR="006C680D" w:rsidRPr="00D337FA">
        <w:t xml:space="preserve"> </w:t>
      </w:r>
      <w:r w:rsidRPr="00D337FA">
        <w:t>страхового</w:t>
      </w:r>
      <w:r w:rsidR="006C680D" w:rsidRPr="00D337FA">
        <w:t xml:space="preserve"> </w:t>
      </w:r>
      <w:r w:rsidRPr="00D337FA">
        <w:t>рынка</w:t>
      </w:r>
      <w:r w:rsidR="006C680D" w:rsidRPr="00D337FA">
        <w:t xml:space="preserve"> </w:t>
      </w:r>
      <w:r w:rsidRPr="00D337FA">
        <w:t>позволяет</w:t>
      </w:r>
      <w:r w:rsidR="006C680D" w:rsidRPr="00D337FA">
        <w:t xml:space="preserve"> </w:t>
      </w:r>
      <w:r w:rsidRPr="00D337FA">
        <w:t>не</w:t>
      </w:r>
      <w:r w:rsidR="006C680D" w:rsidRPr="00D337FA">
        <w:t xml:space="preserve"> </w:t>
      </w:r>
      <w:r w:rsidRPr="00D337FA">
        <w:t>только</w:t>
      </w:r>
      <w:r w:rsidR="006C680D" w:rsidRPr="00D337FA">
        <w:t xml:space="preserve"> </w:t>
      </w:r>
      <w:r w:rsidRPr="00D337FA">
        <w:t>установить</w:t>
      </w:r>
      <w:r w:rsidR="006C680D" w:rsidRPr="00D337FA">
        <w:t xml:space="preserve"> </w:t>
      </w:r>
      <w:r w:rsidRPr="00D337FA">
        <w:t>конкурентные</w:t>
      </w:r>
      <w:r w:rsidR="006C680D" w:rsidRPr="00D337FA">
        <w:t xml:space="preserve"> </w:t>
      </w:r>
      <w:r w:rsidRPr="00D337FA">
        <w:t>позиции</w:t>
      </w:r>
      <w:r w:rsidR="006C680D" w:rsidRPr="00D337FA">
        <w:t xml:space="preserve"> </w:t>
      </w:r>
      <w:r w:rsidRPr="00D337FA">
        <w:t>каждой</w:t>
      </w:r>
      <w:r w:rsidR="006C680D" w:rsidRPr="00D337FA">
        <w:t xml:space="preserve"> </w:t>
      </w:r>
      <w:r w:rsidRPr="00D337FA">
        <w:t>компании,</w:t>
      </w:r>
      <w:r w:rsidR="006C680D" w:rsidRPr="00D337FA">
        <w:t xml:space="preserve"> </w:t>
      </w:r>
      <w:r w:rsidRPr="00D337FA">
        <w:t>но</w:t>
      </w:r>
      <w:r w:rsidR="006C680D" w:rsidRPr="00D337FA">
        <w:t xml:space="preserve"> </w:t>
      </w:r>
      <w:r w:rsidRPr="00D337FA">
        <w:t>и</w:t>
      </w:r>
      <w:r w:rsidR="006C680D" w:rsidRPr="00D337FA">
        <w:t xml:space="preserve"> </w:t>
      </w:r>
      <w:r w:rsidRPr="00D337FA">
        <w:t>выявить</w:t>
      </w:r>
      <w:r w:rsidR="006C680D" w:rsidRPr="00D337FA">
        <w:t xml:space="preserve"> </w:t>
      </w:r>
      <w:r w:rsidRPr="00D337FA">
        <w:t>за</w:t>
      </w:r>
      <w:r w:rsidR="006C680D" w:rsidRPr="00D337FA">
        <w:t xml:space="preserve"> </w:t>
      </w:r>
      <w:r w:rsidRPr="00D337FA">
        <w:t>счет</w:t>
      </w:r>
      <w:r w:rsidR="006C680D" w:rsidRPr="00D337FA">
        <w:t xml:space="preserve"> </w:t>
      </w:r>
      <w:r w:rsidRPr="00D337FA">
        <w:t>каких</w:t>
      </w:r>
      <w:r w:rsidR="006C680D" w:rsidRPr="00D337FA">
        <w:t xml:space="preserve"> </w:t>
      </w:r>
      <w:r w:rsidRPr="00D337FA">
        <w:t>конкретных</w:t>
      </w:r>
      <w:r w:rsidR="006C680D" w:rsidRPr="00D337FA">
        <w:t xml:space="preserve"> </w:t>
      </w:r>
      <w:r w:rsidRPr="00D337FA">
        <w:t>факторов</w:t>
      </w:r>
      <w:r w:rsidR="006C680D" w:rsidRPr="00D337FA">
        <w:t xml:space="preserve"> </w:t>
      </w:r>
      <w:r w:rsidRPr="00D337FA">
        <w:t>они</w:t>
      </w:r>
      <w:r w:rsidR="006C680D" w:rsidRPr="00D337FA">
        <w:t xml:space="preserve"> </w:t>
      </w:r>
      <w:r w:rsidRPr="00D337FA">
        <w:t>достигли</w:t>
      </w:r>
      <w:r w:rsidR="006C680D" w:rsidRPr="00D337FA">
        <w:t xml:space="preserve"> </w:t>
      </w:r>
      <w:r w:rsidRPr="00D337FA">
        <w:t>и</w:t>
      </w:r>
      <w:r w:rsidR="006C680D" w:rsidRPr="00D337FA">
        <w:t xml:space="preserve"> </w:t>
      </w:r>
      <w:r w:rsidR="00B91B4B" w:rsidRPr="00D337FA">
        <w:t>удерживают</w:t>
      </w:r>
      <w:r w:rsidR="006C680D" w:rsidRPr="00D337FA">
        <w:t xml:space="preserve"> </w:t>
      </w:r>
      <w:r w:rsidRPr="00D337FA">
        <w:t>лидерство,</w:t>
      </w:r>
      <w:r w:rsidR="006C680D" w:rsidRPr="00D337FA">
        <w:t xml:space="preserve"> </w:t>
      </w:r>
      <w:r w:rsidRPr="00D337FA">
        <w:t>что</w:t>
      </w:r>
      <w:r w:rsidR="006C680D" w:rsidRPr="00D337FA">
        <w:t xml:space="preserve"> </w:t>
      </w:r>
      <w:r w:rsidRPr="00D337FA">
        <w:t>определяется</w:t>
      </w:r>
      <w:r w:rsidR="006C680D" w:rsidRPr="00D337FA">
        <w:t xml:space="preserve"> </w:t>
      </w:r>
      <w:r w:rsidRPr="00D337FA">
        <w:lastRenderedPageBreak/>
        <w:t>комплексным</w:t>
      </w:r>
      <w:r w:rsidR="006C680D" w:rsidRPr="00D337FA">
        <w:t xml:space="preserve"> </w:t>
      </w:r>
      <w:r w:rsidRPr="00D337FA">
        <w:t>подходом</w:t>
      </w:r>
      <w:r w:rsidR="006C680D" w:rsidRPr="00D337FA">
        <w:t xml:space="preserve"> </w:t>
      </w:r>
      <w:r w:rsidRPr="00D337FA">
        <w:t>(табл.</w:t>
      </w:r>
      <w:r w:rsidR="006C680D" w:rsidRPr="00D337FA">
        <w:t xml:space="preserve"> </w:t>
      </w:r>
      <w:r w:rsidR="00B91B4B" w:rsidRPr="00D337FA">
        <w:t>2</w:t>
      </w:r>
      <w:r w:rsidRPr="00D337FA">
        <w:t>)</w:t>
      </w:r>
      <w:r w:rsidR="006C680D" w:rsidRPr="00D337FA">
        <w:t xml:space="preserve"> </w:t>
      </w:r>
      <w:r w:rsidRPr="00D337FA">
        <w:t>[1,</w:t>
      </w:r>
      <w:r w:rsidR="006C680D" w:rsidRPr="00D337FA">
        <w:t xml:space="preserve"> </w:t>
      </w:r>
      <w:r w:rsidRPr="00D337FA">
        <w:t>3,</w:t>
      </w:r>
      <w:r w:rsidR="006C680D" w:rsidRPr="00D337FA">
        <w:t xml:space="preserve"> </w:t>
      </w:r>
      <w:r w:rsidR="00231534" w:rsidRPr="00D337FA">
        <w:t>7</w:t>
      </w:r>
      <w:r w:rsidRPr="00D337FA">
        <w:t>,</w:t>
      </w:r>
      <w:r w:rsidR="006C680D" w:rsidRPr="00D337FA">
        <w:t xml:space="preserve"> </w:t>
      </w:r>
      <w:r w:rsidR="00231534" w:rsidRPr="00D337FA">
        <w:t>9</w:t>
      </w:r>
      <w:r w:rsidRPr="00D337FA">
        <w:t>,</w:t>
      </w:r>
      <w:r w:rsidR="006C680D" w:rsidRPr="00D337FA">
        <w:t xml:space="preserve"> </w:t>
      </w:r>
      <w:r w:rsidR="00231534" w:rsidRPr="00D337FA">
        <w:t>16</w:t>
      </w:r>
      <w:r w:rsidRPr="00D337FA">
        <w:t>].</w:t>
      </w:r>
    </w:p>
    <w:p w:rsidR="00B91B4B" w:rsidRPr="00D337FA" w:rsidRDefault="00B91B4B" w:rsidP="00B91B4B">
      <w:pPr>
        <w:tabs>
          <w:tab w:val="left" w:pos="993"/>
        </w:tabs>
        <w:ind w:firstLine="284"/>
      </w:pPr>
      <w:r w:rsidRPr="00D337FA">
        <w:t>Результаты</w:t>
      </w:r>
      <w:r w:rsidR="006C680D" w:rsidRPr="00D337FA">
        <w:t xml:space="preserve"> </w:t>
      </w:r>
      <w:r w:rsidRPr="00D337FA">
        <w:t>факторного</w:t>
      </w:r>
      <w:r w:rsidR="006C680D" w:rsidRPr="00D337FA">
        <w:t xml:space="preserve"> </w:t>
      </w:r>
      <w:r w:rsidRPr="00D337FA">
        <w:t>анализа</w:t>
      </w:r>
      <w:r w:rsidR="006C680D" w:rsidRPr="00D337FA">
        <w:t xml:space="preserve"> </w:t>
      </w:r>
      <w:r w:rsidRPr="00D337FA">
        <w:t>детерминант</w:t>
      </w:r>
      <w:r w:rsidR="006C680D" w:rsidRPr="00D337FA">
        <w:t xml:space="preserve"> </w:t>
      </w:r>
      <w:r w:rsidRPr="00D337FA">
        <w:t>рыночного</w:t>
      </w:r>
      <w:r w:rsidR="006C680D" w:rsidRPr="00D337FA">
        <w:t xml:space="preserve"> </w:t>
      </w:r>
      <w:r w:rsidRPr="00D337FA">
        <w:t>успеха</w:t>
      </w:r>
      <w:r w:rsidR="006C680D" w:rsidRPr="00D337FA">
        <w:t xml:space="preserve"> </w:t>
      </w:r>
      <w:r w:rsidRPr="00D337FA">
        <w:t>страховщиков</w:t>
      </w:r>
      <w:r w:rsidR="006C680D" w:rsidRPr="00D337FA">
        <w:t xml:space="preserve"> </w:t>
      </w:r>
      <w:r w:rsidRPr="00D337FA">
        <w:t>свидетельствуют</w:t>
      </w:r>
      <w:r w:rsidR="006C680D" w:rsidRPr="00D337FA">
        <w:t xml:space="preserve"> </w:t>
      </w:r>
      <w:r w:rsidRPr="00D337FA">
        <w:t>о</w:t>
      </w:r>
      <w:r w:rsidR="006C680D" w:rsidRPr="00D337FA">
        <w:t xml:space="preserve"> </w:t>
      </w:r>
      <w:r w:rsidRPr="00D337FA">
        <w:t>приоритетной</w:t>
      </w:r>
      <w:r w:rsidR="006C680D" w:rsidRPr="00D337FA">
        <w:t xml:space="preserve"> </w:t>
      </w:r>
      <w:r w:rsidRPr="00D337FA">
        <w:t>роли</w:t>
      </w:r>
      <w:r w:rsidR="006C680D" w:rsidRPr="00D337FA">
        <w:t xml:space="preserve"> </w:t>
      </w:r>
      <w:r w:rsidRPr="00D337FA">
        <w:t>таких</w:t>
      </w:r>
      <w:r w:rsidR="006C680D" w:rsidRPr="00D337FA">
        <w:t xml:space="preserve"> </w:t>
      </w:r>
      <w:r w:rsidRPr="00D337FA">
        <w:t>эндогенных</w:t>
      </w:r>
      <w:r w:rsidR="006C680D" w:rsidRPr="00D337FA">
        <w:t xml:space="preserve"> </w:t>
      </w:r>
      <w:r w:rsidRPr="00D337FA">
        <w:t>переменных,</w:t>
      </w:r>
      <w:r w:rsidR="006C680D" w:rsidRPr="00D337FA">
        <w:t xml:space="preserve"> </w:t>
      </w:r>
      <w:r w:rsidRPr="00D337FA">
        <w:t>как</w:t>
      </w:r>
      <w:r w:rsidR="006C680D" w:rsidRPr="00D337FA">
        <w:t xml:space="preserve"> </w:t>
      </w:r>
      <w:r w:rsidRPr="00D337FA">
        <w:t>безупречное</w:t>
      </w:r>
      <w:r w:rsidR="006C680D" w:rsidRPr="00D337FA">
        <w:t xml:space="preserve"> </w:t>
      </w:r>
      <w:r w:rsidRPr="00D337FA">
        <w:t>качество</w:t>
      </w:r>
      <w:r w:rsidR="006C680D" w:rsidRPr="00D337FA">
        <w:t xml:space="preserve"> </w:t>
      </w:r>
      <w:r w:rsidRPr="00D337FA">
        <w:t>страховых</w:t>
      </w:r>
      <w:r w:rsidR="006C680D" w:rsidRPr="00D337FA">
        <w:t xml:space="preserve"> </w:t>
      </w:r>
      <w:r w:rsidRPr="00D337FA">
        <w:t>продуктов</w:t>
      </w:r>
      <w:r w:rsidR="006C680D" w:rsidRPr="00D337FA">
        <w:t xml:space="preserve"> </w:t>
      </w:r>
      <w:r w:rsidRPr="00D337FA">
        <w:t>и</w:t>
      </w:r>
      <w:r w:rsidR="006C680D" w:rsidRPr="00D337FA">
        <w:t xml:space="preserve"> </w:t>
      </w:r>
      <w:r w:rsidRPr="00D337FA">
        <w:t>сервисов,</w:t>
      </w:r>
      <w:r w:rsidR="006C680D" w:rsidRPr="00D337FA">
        <w:t xml:space="preserve"> </w:t>
      </w:r>
      <w:r w:rsidRPr="00D337FA">
        <w:t>валидная</w:t>
      </w:r>
      <w:r w:rsidR="006C680D" w:rsidRPr="00D337FA">
        <w:t xml:space="preserve"> </w:t>
      </w:r>
      <w:r w:rsidRPr="00D337FA">
        <w:t>маркетинговая</w:t>
      </w:r>
      <w:r w:rsidR="006C680D" w:rsidRPr="00D337FA">
        <w:t xml:space="preserve"> </w:t>
      </w:r>
      <w:r w:rsidRPr="00D337FA">
        <w:t>стратегия,</w:t>
      </w:r>
      <w:r w:rsidR="006C680D" w:rsidRPr="00D337FA">
        <w:t xml:space="preserve"> </w:t>
      </w:r>
      <w:r w:rsidRPr="00D337FA">
        <w:t>отлаженные</w:t>
      </w:r>
      <w:r w:rsidR="006C680D" w:rsidRPr="00D337FA">
        <w:t xml:space="preserve"> </w:t>
      </w:r>
      <w:r w:rsidRPr="00D337FA">
        <w:t>механизмы</w:t>
      </w:r>
      <w:r w:rsidR="006C680D" w:rsidRPr="00D337FA">
        <w:t xml:space="preserve"> </w:t>
      </w:r>
      <w:r w:rsidRPr="00D337FA">
        <w:t>риск-менеджмента</w:t>
      </w:r>
      <w:r w:rsidR="006C680D" w:rsidRPr="00D337FA">
        <w:t xml:space="preserve"> </w:t>
      </w:r>
      <w:r w:rsidRPr="00D337FA">
        <w:t>и</w:t>
      </w:r>
      <w:r w:rsidR="006C680D" w:rsidRPr="00D337FA">
        <w:t xml:space="preserve"> </w:t>
      </w:r>
      <w:r w:rsidRPr="00D337FA">
        <w:t>высокий</w:t>
      </w:r>
      <w:r w:rsidR="006C680D" w:rsidRPr="00D337FA">
        <w:t xml:space="preserve"> </w:t>
      </w:r>
      <w:r w:rsidRPr="00D337FA">
        <w:t>уровень</w:t>
      </w:r>
      <w:r w:rsidR="006C680D" w:rsidRPr="00D337FA">
        <w:t xml:space="preserve"> </w:t>
      </w:r>
      <w:r w:rsidRPr="00D337FA">
        <w:t>профессиональных</w:t>
      </w:r>
      <w:r w:rsidR="006C680D" w:rsidRPr="00D337FA">
        <w:t xml:space="preserve"> </w:t>
      </w:r>
      <w:r w:rsidRPr="00D337FA">
        <w:t>компетенций</w:t>
      </w:r>
      <w:r w:rsidR="006C680D" w:rsidRPr="00D337FA">
        <w:t xml:space="preserve"> </w:t>
      </w:r>
      <w:r w:rsidRPr="00D337FA">
        <w:t>кадрового</w:t>
      </w:r>
      <w:r w:rsidR="006C680D" w:rsidRPr="00D337FA">
        <w:t xml:space="preserve"> </w:t>
      </w:r>
      <w:r w:rsidRPr="00D337FA">
        <w:t>состава.</w:t>
      </w:r>
      <w:r w:rsidR="006C680D" w:rsidRPr="00D337FA">
        <w:t xml:space="preserve"> </w:t>
      </w:r>
      <w:r w:rsidRPr="00D337FA">
        <w:t>При</w:t>
      </w:r>
      <w:r w:rsidR="006C680D" w:rsidRPr="00D337FA">
        <w:t xml:space="preserve"> </w:t>
      </w:r>
      <w:r w:rsidRPr="00D337FA">
        <w:t>этом</w:t>
      </w:r>
      <w:r w:rsidR="006C680D" w:rsidRPr="00D337FA">
        <w:t xml:space="preserve"> </w:t>
      </w:r>
      <w:r w:rsidRPr="00D337FA">
        <w:t>существенная</w:t>
      </w:r>
      <w:r w:rsidR="006C680D" w:rsidRPr="00D337FA">
        <w:t xml:space="preserve"> </w:t>
      </w:r>
      <w:r w:rsidRPr="00D337FA">
        <w:t>доля</w:t>
      </w:r>
      <w:r w:rsidR="006C680D" w:rsidRPr="00D337FA">
        <w:t xml:space="preserve"> </w:t>
      </w:r>
      <w:r w:rsidRPr="00D337FA">
        <w:t>вариативности</w:t>
      </w:r>
      <w:r w:rsidR="006C680D" w:rsidRPr="00D337FA">
        <w:t xml:space="preserve"> </w:t>
      </w:r>
      <w:r w:rsidRPr="00D337FA">
        <w:t>результатов</w:t>
      </w:r>
      <w:r w:rsidR="006C680D" w:rsidRPr="00D337FA">
        <w:t xml:space="preserve"> </w:t>
      </w:r>
      <w:r w:rsidRPr="00D337FA">
        <w:t>хозяйственной</w:t>
      </w:r>
      <w:r w:rsidR="006C680D" w:rsidRPr="00D337FA">
        <w:t xml:space="preserve"> </w:t>
      </w:r>
      <w:r w:rsidRPr="00D337FA">
        <w:t>деятельности</w:t>
      </w:r>
      <w:r w:rsidR="006C680D" w:rsidRPr="00D337FA">
        <w:t xml:space="preserve"> </w:t>
      </w:r>
      <w:r w:rsidRPr="00D337FA">
        <w:t>объясняется</w:t>
      </w:r>
      <w:r w:rsidR="006C680D" w:rsidRPr="00D337FA">
        <w:t xml:space="preserve"> </w:t>
      </w:r>
      <w:r w:rsidRPr="00D337FA">
        <w:t>воздействием</w:t>
      </w:r>
      <w:r w:rsidR="006C680D" w:rsidRPr="00D337FA">
        <w:t xml:space="preserve"> </w:t>
      </w:r>
      <w:r w:rsidRPr="00D337FA">
        <w:t>экзогенных</w:t>
      </w:r>
      <w:r w:rsidR="006C680D" w:rsidRPr="00D337FA">
        <w:t xml:space="preserve"> </w:t>
      </w:r>
      <w:r w:rsidRPr="00D337FA">
        <w:t>факторов</w:t>
      </w:r>
      <w:r w:rsidR="006C680D" w:rsidRPr="00D337FA">
        <w:t xml:space="preserve"> </w:t>
      </w:r>
      <w:r w:rsidRPr="00D337FA">
        <w:t>–</w:t>
      </w:r>
      <w:r w:rsidR="006C680D" w:rsidRPr="00D337FA">
        <w:t xml:space="preserve"> </w:t>
      </w:r>
      <w:r w:rsidRPr="00D337FA">
        <w:t>макроэкономической</w:t>
      </w:r>
      <w:r w:rsidR="006C680D" w:rsidRPr="00D337FA">
        <w:t xml:space="preserve"> </w:t>
      </w:r>
      <w:r w:rsidRPr="00D337FA">
        <w:t>конъюнктуры,</w:t>
      </w:r>
      <w:r w:rsidR="006C680D" w:rsidRPr="00D337FA">
        <w:t xml:space="preserve"> </w:t>
      </w:r>
      <w:r w:rsidRPr="00D337FA">
        <w:t>социальных</w:t>
      </w:r>
      <w:r w:rsidR="006C680D" w:rsidRPr="00D337FA">
        <w:t xml:space="preserve"> </w:t>
      </w:r>
      <w:r w:rsidRPr="00D337FA">
        <w:t>трендов</w:t>
      </w:r>
      <w:r w:rsidR="006C680D" w:rsidRPr="00D337FA">
        <w:t xml:space="preserve"> </w:t>
      </w:r>
      <w:r w:rsidRPr="00D337FA">
        <w:t>и</w:t>
      </w:r>
      <w:r w:rsidR="006C680D" w:rsidRPr="00D337FA">
        <w:t xml:space="preserve"> </w:t>
      </w:r>
      <w:r w:rsidRPr="00D337FA">
        <w:t>политической</w:t>
      </w:r>
      <w:r w:rsidR="006C680D" w:rsidRPr="00D337FA">
        <w:t xml:space="preserve"> </w:t>
      </w:r>
      <w:r w:rsidRPr="00D337FA">
        <w:t>повестки,</w:t>
      </w:r>
      <w:r w:rsidR="006C680D" w:rsidRPr="00D337FA">
        <w:t xml:space="preserve"> </w:t>
      </w:r>
      <w:r w:rsidRPr="00D337FA">
        <w:t>что</w:t>
      </w:r>
      <w:r w:rsidR="006C680D" w:rsidRPr="00D337FA">
        <w:t xml:space="preserve"> </w:t>
      </w:r>
      <w:r w:rsidRPr="00D337FA">
        <w:t>обусловливает</w:t>
      </w:r>
      <w:r w:rsidR="006C680D" w:rsidRPr="00D337FA">
        <w:t xml:space="preserve"> </w:t>
      </w:r>
      <w:r w:rsidRPr="00D337FA">
        <w:t>необходимость</w:t>
      </w:r>
      <w:r w:rsidR="006C680D" w:rsidRPr="00D337FA">
        <w:t xml:space="preserve"> </w:t>
      </w:r>
      <w:r w:rsidRPr="00D337FA">
        <w:t>их</w:t>
      </w:r>
      <w:r w:rsidR="006C680D" w:rsidRPr="00D337FA">
        <w:t xml:space="preserve"> </w:t>
      </w:r>
      <w:r w:rsidRPr="00D337FA">
        <w:t>перманентного</w:t>
      </w:r>
      <w:r w:rsidR="006C680D" w:rsidRPr="00D337FA">
        <w:t xml:space="preserve"> </w:t>
      </w:r>
      <w:r w:rsidRPr="00D337FA">
        <w:t>мониторинга</w:t>
      </w:r>
      <w:r w:rsidR="006C680D" w:rsidRPr="00D337FA">
        <w:t xml:space="preserve"> </w:t>
      </w:r>
      <w:r w:rsidRPr="00D337FA">
        <w:t>и</w:t>
      </w:r>
      <w:r w:rsidR="006C680D" w:rsidRPr="00D337FA">
        <w:t xml:space="preserve"> </w:t>
      </w:r>
      <w:r w:rsidRPr="00D337FA">
        <w:t>выработки</w:t>
      </w:r>
      <w:r w:rsidR="006C680D" w:rsidRPr="00D337FA">
        <w:t xml:space="preserve"> </w:t>
      </w:r>
      <w:r w:rsidRPr="00D337FA">
        <w:t>адаптивных</w:t>
      </w:r>
      <w:r w:rsidR="006C680D" w:rsidRPr="00D337FA">
        <w:t xml:space="preserve"> </w:t>
      </w:r>
      <w:r w:rsidRPr="00D337FA">
        <w:t>управленческих</w:t>
      </w:r>
      <w:r w:rsidR="006C680D" w:rsidRPr="00D337FA">
        <w:t xml:space="preserve"> </w:t>
      </w:r>
      <w:r w:rsidRPr="00D337FA">
        <w:t>решений.</w:t>
      </w:r>
    </w:p>
    <w:p w:rsidR="00B91B4B" w:rsidRPr="00D337FA" w:rsidRDefault="00B91B4B" w:rsidP="00B91B4B">
      <w:pPr>
        <w:tabs>
          <w:tab w:val="left" w:pos="993"/>
        </w:tabs>
        <w:ind w:firstLine="284"/>
      </w:pPr>
      <w:r w:rsidRPr="00D337FA">
        <w:t>В</w:t>
      </w:r>
      <w:r w:rsidR="006C680D" w:rsidRPr="00D337FA">
        <w:t xml:space="preserve"> </w:t>
      </w:r>
      <w:r w:rsidRPr="00D337FA">
        <w:t>современной</w:t>
      </w:r>
      <w:r w:rsidR="006C680D" w:rsidRPr="00D337FA">
        <w:t xml:space="preserve"> </w:t>
      </w:r>
      <w:r w:rsidRPr="00D337FA">
        <w:t>российской</w:t>
      </w:r>
      <w:r w:rsidR="006C680D" w:rsidRPr="00D337FA">
        <w:t xml:space="preserve"> </w:t>
      </w:r>
      <w:r w:rsidRPr="00D337FA">
        <w:t>парадигме</w:t>
      </w:r>
      <w:r w:rsidR="006C680D" w:rsidRPr="00D337FA">
        <w:t xml:space="preserve"> </w:t>
      </w:r>
      <w:r w:rsidRPr="00D337FA">
        <w:t>страхового</w:t>
      </w:r>
      <w:r w:rsidR="006C680D" w:rsidRPr="00D337FA">
        <w:t xml:space="preserve"> </w:t>
      </w:r>
      <w:r w:rsidRPr="00D337FA">
        <w:t>бизнеса</w:t>
      </w:r>
      <w:r w:rsidR="006C680D" w:rsidRPr="00D337FA">
        <w:t xml:space="preserve"> </w:t>
      </w:r>
      <w:r w:rsidRPr="00D337FA">
        <w:t>феномен</w:t>
      </w:r>
      <w:r w:rsidR="006C680D" w:rsidRPr="00D337FA">
        <w:t xml:space="preserve"> </w:t>
      </w:r>
      <w:r w:rsidRPr="00D337FA">
        <w:t>лидерства</w:t>
      </w:r>
      <w:r w:rsidR="006C680D" w:rsidRPr="00D337FA">
        <w:t xml:space="preserve"> </w:t>
      </w:r>
      <w:r w:rsidRPr="00D337FA">
        <w:t>не</w:t>
      </w:r>
      <w:r w:rsidR="006C680D" w:rsidRPr="00D337FA">
        <w:t xml:space="preserve"> </w:t>
      </w:r>
      <w:r w:rsidRPr="00D337FA">
        <w:t>сводится</w:t>
      </w:r>
      <w:r w:rsidR="006C680D" w:rsidRPr="00D337FA">
        <w:t xml:space="preserve"> </w:t>
      </w:r>
      <w:r w:rsidRPr="00D337FA">
        <w:t>к</w:t>
      </w:r>
      <w:r w:rsidR="006C680D" w:rsidRPr="00D337FA">
        <w:t xml:space="preserve"> </w:t>
      </w:r>
      <w:r w:rsidRPr="00D337FA">
        <w:t>обладанию</w:t>
      </w:r>
      <w:r w:rsidR="006C680D" w:rsidRPr="00D337FA">
        <w:t xml:space="preserve"> </w:t>
      </w:r>
      <w:r w:rsidRPr="00D337FA">
        <w:t>единичным</w:t>
      </w:r>
      <w:r w:rsidR="006C680D" w:rsidRPr="00D337FA">
        <w:t xml:space="preserve"> </w:t>
      </w:r>
      <w:r w:rsidRPr="00D337FA">
        <w:t>конкурентным</w:t>
      </w:r>
      <w:r w:rsidR="006C680D" w:rsidRPr="00D337FA">
        <w:t xml:space="preserve"> </w:t>
      </w:r>
      <w:r w:rsidRPr="00D337FA">
        <w:t>преимуществом.</w:t>
      </w:r>
      <w:r w:rsidR="006C680D" w:rsidRPr="00D337FA">
        <w:t xml:space="preserve"> </w:t>
      </w:r>
      <w:r w:rsidRPr="00D337FA">
        <w:t>Доминирующие</w:t>
      </w:r>
      <w:r w:rsidR="006C680D" w:rsidRPr="00D337FA">
        <w:t xml:space="preserve"> </w:t>
      </w:r>
      <w:r w:rsidRPr="00D337FA">
        <w:t>позиции</w:t>
      </w:r>
      <w:r w:rsidR="006C680D" w:rsidRPr="00D337FA">
        <w:t xml:space="preserve"> </w:t>
      </w:r>
      <w:r w:rsidRPr="00D337FA">
        <w:t>обеспечиваются</w:t>
      </w:r>
      <w:r w:rsidR="006C680D" w:rsidRPr="00D337FA">
        <w:t xml:space="preserve"> </w:t>
      </w:r>
      <w:r w:rsidRPr="00D337FA">
        <w:t>синергией</w:t>
      </w:r>
      <w:r w:rsidR="006C680D" w:rsidRPr="00D337FA">
        <w:t xml:space="preserve"> </w:t>
      </w:r>
      <w:r w:rsidRPr="00D337FA">
        <w:t>уникальных</w:t>
      </w:r>
      <w:r w:rsidR="006C680D" w:rsidRPr="00D337FA">
        <w:t xml:space="preserve"> </w:t>
      </w:r>
      <w:r w:rsidRPr="00D337FA">
        <w:t>рыночных</w:t>
      </w:r>
      <w:r w:rsidR="006C680D" w:rsidRPr="00D337FA">
        <w:t xml:space="preserve"> </w:t>
      </w:r>
      <w:r w:rsidRPr="00D337FA">
        <w:t>возможностей</w:t>
      </w:r>
      <w:r w:rsidR="006C680D" w:rsidRPr="00D337FA">
        <w:t xml:space="preserve"> </w:t>
      </w:r>
      <w:r w:rsidRPr="00D337FA">
        <w:t>(доступ</w:t>
      </w:r>
      <w:r w:rsidR="006C680D" w:rsidRPr="00D337FA">
        <w:t xml:space="preserve"> </w:t>
      </w:r>
      <w:r w:rsidRPr="00D337FA">
        <w:t>к</w:t>
      </w:r>
      <w:r w:rsidR="006C680D" w:rsidRPr="00D337FA">
        <w:t xml:space="preserve"> </w:t>
      </w:r>
      <w:r w:rsidRPr="00D337FA">
        <w:t>государственным</w:t>
      </w:r>
      <w:r w:rsidR="006C680D" w:rsidRPr="00D337FA">
        <w:t xml:space="preserve"> </w:t>
      </w:r>
      <w:r w:rsidRPr="00D337FA">
        <w:t>контрактам</w:t>
      </w:r>
      <w:r w:rsidR="006C680D" w:rsidRPr="00D337FA">
        <w:t xml:space="preserve"> </w:t>
      </w:r>
      <w:r w:rsidRPr="00D337FA">
        <w:t>либо</w:t>
      </w:r>
      <w:r w:rsidR="006C680D" w:rsidRPr="00D337FA">
        <w:t xml:space="preserve"> </w:t>
      </w:r>
      <w:r w:rsidRPr="00D337FA">
        <w:t>интегрированность</w:t>
      </w:r>
      <w:r w:rsidR="006C680D" w:rsidRPr="00D337FA">
        <w:t xml:space="preserve"> </w:t>
      </w:r>
      <w:r w:rsidRPr="00D337FA">
        <w:t>в</w:t>
      </w:r>
      <w:r w:rsidR="006C680D" w:rsidRPr="00D337FA">
        <w:t xml:space="preserve"> </w:t>
      </w:r>
      <w:r w:rsidRPr="00D337FA">
        <w:t>банковский</w:t>
      </w:r>
      <w:r w:rsidR="006C680D" w:rsidRPr="00D337FA">
        <w:t xml:space="preserve"> </w:t>
      </w:r>
      <w:r w:rsidRPr="00D337FA">
        <w:t>канал</w:t>
      </w:r>
      <w:r w:rsidR="006C680D" w:rsidRPr="00D337FA">
        <w:t xml:space="preserve"> </w:t>
      </w:r>
      <w:r w:rsidRPr="00D337FA">
        <w:t>продаж)</w:t>
      </w:r>
      <w:r w:rsidR="006C680D" w:rsidRPr="00D337FA">
        <w:t xml:space="preserve"> </w:t>
      </w:r>
      <w:r w:rsidRPr="00D337FA">
        <w:t>и</w:t>
      </w:r>
      <w:r w:rsidR="006C680D" w:rsidRPr="00D337FA">
        <w:t xml:space="preserve"> </w:t>
      </w:r>
      <w:r w:rsidRPr="00D337FA">
        <w:t>технологической</w:t>
      </w:r>
      <w:r w:rsidR="006C680D" w:rsidRPr="00D337FA">
        <w:t xml:space="preserve"> </w:t>
      </w:r>
      <w:r w:rsidRPr="00D337FA">
        <w:t>эффективностью</w:t>
      </w:r>
      <w:r w:rsidR="006C680D" w:rsidRPr="00D337FA">
        <w:t xml:space="preserve"> </w:t>
      </w:r>
      <w:r w:rsidRPr="00D337FA">
        <w:t>администрирования</w:t>
      </w:r>
      <w:r w:rsidR="006C680D" w:rsidRPr="00D337FA">
        <w:t xml:space="preserve"> </w:t>
      </w:r>
      <w:r w:rsidRPr="00D337FA">
        <w:t>клиентских</w:t>
      </w:r>
      <w:r w:rsidR="006C680D" w:rsidRPr="00D337FA">
        <w:t xml:space="preserve"> </w:t>
      </w:r>
      <w:r w:rsidRPr="00D337FA">
        <w:t>потоков.</w:t>
      </w:r>
      <w:r w:rsidR="006C680D" w:rsidRPr="00D337FA">
        <w:t xml:space="preserve"> </w:t>
      </w:r>
      <w:r w:rsidRPr="00D337FA">
        <w:t>Наибольший</w:t>
      </w:r>
      <w:r w:rsidR="006C680D" w:rsidRPr="00D337FA">
        <w:t xml:space="preserve"> </w:t>
      </w:r>
      <w:r w:rsidRPr="00D337FA">
        <w:t>конкурентный</w:t>
      </w:r>
      <w:r w:rsidR="006C680D" w:rsidRPr="00D337FA">
        <w:t xml:space="preserve"> </w:t>
      </w:r>
      <w:r w:rsidRPr="00D337FA">
        <w:t>накал</w:t>
      </w:r>
      <w:r w:rsidR="006C680D" w:rsidRPr="00D337FA">
        <w:t xml:space="preserve"> </w:t>
      </w:r>
      <w:r w:rsidRPr="00D337FA">
        <w:t>наблюдается</w:t>
      </w:r>
      <w:r w:rsidR="006C680D" w:rsidRPr="00D337FA">
        <w:t xml:space="preserve"> </w:t>
      </w:r>
      <w:r w:rsidRPr="00D337FA">
        <w:t>в</w:t>
      </w:r>
      <w:r w:rsidR="006C680D" w:rsidRPr="00D337FA">
        <w:t xml:space="preserve"> </w:t>
      </w:r>
      <w:r w:rsidRPr="00D337FA">
        <w:t>противостоянии</w:t>
      </w:r>
      <w:r w:rsidR="006C680D" w:rsidRPr="00D337FA">
        <w:t xml:space="preserve"> </w:t>
      </w:r>
      <w:r w:rsidRPr="00D337FA">
        <w:t>двух</w:t>
      </w:r>
      <w:r w:rsidR="006C680D" w:rsidRPr="00D337FA">
        <w:t xml:space="preserve"> </w:t>
      </w:r>
      <w:r w:rsidRPr="00D337FA">
        <w:t>управленческих</w:t>
      </w:r>
      <w:r w:rsidR="006C680D" w:rsidRPr="00D337FA">
        <w:t xml:space="preserve"> </w:t>
      </w:r>
      <w:r w:rsidRPr="00D337FA">
        <w:t>моделей</w:t>
      </w:r>
      <w:r w:rsidR="006C680D" w:rsidRPr="00D337FA">
        <w:t xml:space="preserve"> </w:t>
      </w:r>
      <w:r w:rsidRPr="00D337FA">
        <w:t>генерации</w:t>
      </w:r>
      <w:r w:rsidR="006C680D" w:rsidRPr="00D337FA">
        <w:t xml:space="preserve"> </w:t>
      </w:r>
      <w:r w:rsidRPr="00D337FA">
        <w:t>стратегических</w:t>
      </w:r>
      <w:r w:rsidR="006C680D" w:rsidRPr="00D337FA">
        <w:t xml:space="preserve"> </w:t>
      </w:r>
      <w:r w:rsidRPr="00D337FA">
        <w:t>преимуществ:</w:t>
      </w:r>
      <w:r w:rsidR="006C680D" w:rsidRPr="00D337FA">
        <w:t xml:space="preserve"> </w:t>
      </w:r>
      <w:r w:rsidRPr="00D337FA">
        <w:t>традиционной</w:t>
      </w:r>
      <w:r w:rsidR="006C680D" w:rsidRPr="00D337FA">
        <w:t xml:space="preserve"> </w:t>
      </w:r>
      <w:r w:rsidRPr="00D337FA">
        <w:t>«олимпийской»</w:t>
      </w:r>
      <w:r w:rsidR="006C680D" w:rsidRPr="00D337FA">
        <w:t xml:space="preserve"> </w:t>
      </w:r>
      <w:r w:rsidRPr="00D337FA">
        <w:t>(репрезентированной</w:t>
      </w:r>
      <w:r w:rsidR="006C680D" w:rsidRPr="00D337FA">
        <w:t xml:space="preserve"> </w:t>
      </w:r>
      <w:r w:rsidRPr="00D337FA">
        <w:t>такими</w:t>
      </w:r>
      <w:r w:rsidR="006C680D" w:rsidRPr="00D337FA">
        <w:t xml:space="preserve"> </w:t>
      </w:r>
      <w:r w:rsidRPr="00D337FA">
        <w:t>игроками,</w:t>
      </w:r>
      <w:r w:rsidR="006C680D" w:rsidRPr="00D337FA">
        <w:t xml:space="preserve"> </w:t>
      </w:r>
      <w:r w:rsidRPr="00D337FA">
        <w:t>как</w:t>
      </w:r>
      <w:r w:rsidR="006C680D" w:rsidRPr="00D337FA">
        <w:t xml:space="preserve"> </w:t>
      </w:r>
      <w:r w:rsidRPr="00D337FA">
        <w:t>СОГАЗ</w:t>
      </w:r>
      <w:r w:rsidR="006C680D" w:rsidRPr="00D337FA">
        <w:t xml:space="preserve"> </w:t>
      </w:r>
      <w:r w:rsidRPr="00D337FA">
        <w:t>и</w:t>
      </w:r>
      <w:r w:rsidR="006C680D" w:rsidRPr="00D337FA">
        <w:t xml:space="preserve"> </w:t>
      </w:r>
      <w:r w:rsidRPr="00D337FA">
        <w:t>Ингосстрах)</w:t>
      </w:r>
      <w:r w:rsidR="006C680D" w:rsidRPr="00D337FA">
        <w:t xml:space="preserve"> </w:t>
      </w:r>
      <w:r w:rsidRPr="00D337FA">
        <w:t>и</w:t>
      </w:r>
      <w:r w:rsidR="006C680D" w:rsidRPr="00D337FA">
        <w:t xml:space="preserve"> </w:t>
      </w:r>
      <w:r w:rsidRPr="00D337FA">
        <w:t>инновационной</w:t>
      </w:r>
      <w:r w:rsidR="006C680D" w:rsidRPr="00D337FA">
        <w:t xml:space="preserve"> </w:t>
      </w:r>
      <w:r w:rsidRPr="00D337FA">
        <w:t>«цифровой</w:t>
      </w:r>
      <w:r w:rsidR="006C680D" w:rsidRPr="00D337FA">
        <w:t xml:space="preserve"> </w:t>
      </w:r>
      <w:r w:rsidRPr="00D337FA">
        <w:t>экосистемной»,</w:t>
      </w:r>
      <w:r w:rsidR="006C680D" w:rsidRPr="00D337FA">
        <w:t xml:space="preserve"> </w:t>
      </w:r>
      <w:r w:rsidRPr="00D337FA">
        <w:t>которую</w:t>
      </w:r>
      <w:r w:rsidR="006C680D" w:rsidRPr="00D337FA">
        <w:t xml:space="preserve"> </w:t>
      </w:r>
      <w:r w:rsidRPr="00D337FA">
        <w:t>имплементируют</w:t>
      </w:r>
      <w:r w:rsidR="006C680D" w:rsidRPr="00D337FA">
        <w:t xml:space="preserve"> </w:t>
      </w:r>
      <w:r w:rsidRPr="00D337FA">
        <w:t>Сбер,</w:t>
      </w:r>
      <w:r w:rsidR="006C680D" w:rsidRPr="00D337FA">
        <w:t xml:space="preserve"> </w:t>
      </w:r>
      <w:r w:rsidRPr="00D337FA">
        <w:t>Тинькофф</w:t>
      </w:r>
      <w:r w:rsidR="006C680D" w:rsidRPr="00D337FA">
        <w:t xml:space="preserve"> </w:t>
      </w:r>
      <w:r w:rsidRPr="00D337FA">
        <w:t>и</w:t>
      </w:r>
      <w:r w:rsidR="006C680D" w:rsidRPr="00D337FA">
        <w:t xml:space="preserve"> </w:t>
      </w:r>
      <w:r w:rsidRPr="00D337FA">
        <w:t>АльфаСтрахование.</w:t>
      </w:r>
    </w:p>
    <w:p w:rsidR="00B91B4B" w:rsidRPr="00D337FA" w:rsidRDefault="00B91B4B" w:rsidP="00B91B4B">
      <w:pPr>
        <w:tabs>
          <w:tab w:val="left" w:pos="993"/>
        </w:tabs>
        <w:ind w:firstLine="284"/>
      </w:pPr>
      <w:r w:rsidRPr="00D337FA">
        <w:t>Эффективность</w:t>
      </w:r>
      <w:r w:rsidR="006C680D" w:rsidRPr="00D337FA">
        <w:t xml:space="preserve"> </w:t>
      </w:r>
      <w:r w:rsidRPr="00D337FA">
        <w:t>процесса</w:t>
      </w:r>
      <w:r w:rsidR="006C680D" w:rsidRPr="00D337FA">
        <w:t xml:space="preserve"> </w:t>
      </w:r>
      <w:r w:rsidRPr="00D337FA">
        <w:t>формирования</w:t>
      </w:r>
      <w:r w:rsidR="006C680D" w:rsidRPr="00D337FA">
        <w:t xml:space="preserve"> </w:t>
      </w:r>
      <w:r w:rsidRPr="00D337FA">
        <w:t>стратегических</w:t>
      </w:r>
      <w:r w:rsidR="006C680D" w:rsidRPr="00D337FA">
        <w:t xml:space="preserve"> </w:t>
      </w:r>
      <w:r w:rsidRPr="00D337FA">
        <w:t>конкурентных</w:t>
      </w:r>
      <w:r w:rsidR="006C680D" w:rsidRPr="00D337FA">
        <w:t xml:space="preserve"> </w:t>
      </w:r>
      <w:r w:rsidRPr="00D337FA">
        <w:t>преимуществ</w:t>
      </w:r>
      <w:r w:rsidR="006C680D" w:rsidRPr="00D337FA">
        <w:t xml:space="preserve"> </w:t>
      </w:r>
      <w:r w:rsidRPr="00D337FA">
        <w:t>будет</w:t>
      </w:r>
      <w:r w:rsidR="006C680D" w:rsidRPr="00D337FA">
        <w:t xml:space="preserve"> </w:t>
      </w:r>
      <w:r w:rsidRPr="00D337FA">
        <w:t>зависеть</w:t>
      </w:r>
      <w:r w:rsidR="006C680D" w:rsidRPr="00D337FA">
        <w:t xml:space="preserve"> </w:t>
      </w:r>
      <w:r w:rsidRPr="00D337FA">
        <w:t>от</w:t>
      </w:r>
      <w:r w:rsidR="006C680D" w:rsidRPr="00D337FA">
        <w:t xml:space="preserve"> </w:t>
      </w:r>
      <w:r w:rsidRPr="00D337FA">
        <w:t>умения</w:t>
      </w:r>
      <w:r w:rsidR="006C680D" w:rsidRPr="00D337FA">
        <w:t xml:space="preserve"> </w:t>
      </w:r>
      <w:r w:rsidRPr="00D337FA">
        <w:t>гибридизировать</w:t>
      </w:r>
      <w:r w:rsidR="006C680D" w:rsidRPr="00D337FA">
        <w:t xml:space="preserve"> </w:t>
      </w:r>
      <w:r w:rsidRPr="00D337FA">
        <w:t>эти</w:t>
      </w:r>
      <w:r w:rsidR="006C680D" w:rsidRPr="00D337FA">
        <w:t xml:space="preserve"> </w:t>
      </w:r>
      <w:r w:rsidRPr="00D337FA">
        <w:t>модели</w:t>
      </w:r>
      <w:r w:rsidR="006C680D" w:rsidRPr="00D337FA">
        <w:t xml:space="preserve"> </w:t>
      </w:r>
      <w:r w:rsidRPr="00D337FA">
        <w:t>(табл.</w:t>
      </w:r>
      <w:r w:rsidR="006C680D" w:rsidRPr="00D337FA">
        <w:t xml:space="preserve"> </w:t>
      </w:r>
      <w:r w:rsidRPr="00D337FA">
        <w:t>2)</w:t>
      </w:r>
      <w:r w:rsidR="006C680D" w:rsidRPr="00D337FA">
        <w:t xml:space="preserve"> </w:t>
      </w:r>
      <w:r w:rsidRPr="00D337FA">
        <w:t>[</w:t>
      </w:r>
      <w:r w:rsidR="00231534" w:rsidRPr="00D337FA">
        <w:t>6</w:t>
      </w:r>
      <w:r w:rsidRPr="00D337FA">
        <w:t>,</w:t>
      </w:r>
      <w:r w:rsidR="006C680D" w:rsidRPr="00D337FA">
        <w:t xml:space="preserve"> </w:t>
      </w:r>
      <w:r w:rsidR="00231534" w:rsidRPr="00D337FA">
        <w:t>8</w:t>
      </w:r>
      <w:r w:rsidR="000C1FE6" w:rsidRPr="00D337FA">
        <w:t>-</w:t>
      </w:r>
      <w:r w:rsidRPr="00D337FA">
        <w:t>1</w:t>
      </w:r>
      <w:r w:rsidR="00231534" w:rsidRPr="00D337FA">
        <w:t>0</w:t>
      </w:r>
      <w:r w:rsidRPr="00D337FA">
        <w:t>,</w:t>
      </w:r>
      <w:r w:rsidR="006C680D" w:rsidRPr="00D337FA">
        <w:t xml:space="preserve"> </w:t>
      </w:r>
      <w:r w:rsidRPr="00D337FA">
        <w:t>2</w:t>
      </w:r>
      <w:r w:rsidR="00231534" w:rsidRPr="00D337FA">
        <w:t>1</w:t>
      </w:r>
      <w:r w:rsidRPr="00D337FA">
        <w:t>].</w:t>
      </w:r>
    </w:p>
    <w:p w:rsidR="006E4221" w:rsidRPr="00D337FA" w:rsidRDefault="006E4221" w:rsidP="00777B86">
      <w:pPr>
        <w:ind w:firstLine="284"/>
      </w:pPr>
    </w:p>
    <w:p w:rsidR="006E4221" w:rsidRPr="00D337FA" w:rsidRDefault="006E4221" w:rsidP="00777B86">
      <w:pPr>
        <w:ind w:firstLine="0"/>
        <w:rPr>
          <w:i/>
          <w:sz w:val="22"/>
          <w:szCs w:val="22"/>
        </w:rPr>
        <w:sectPr w:rsidR="006E4221" w:rsidRPr="00D337FA" w:rsidSect="006E4221">
          <w:footnotePr>
            <w:numRestart w:val="eachPage"/>
          </w:footnotePr>
          <w:type w:val="continuous"/>
          <w:pgSz w:w="11907" w:h="16840" w:code="9"/>
          <w:pgMar w:top="1418" w:right="1134" w:bottom="1418" w:left="1134" w:header="1021" w:footer="1021" w:gutter="0"/>
          <w:cols w:num="2" w:space="708"/>
          <w:docGrid w:linePitch="360"/>
        </w:sectPr>
      </w:pPr>
    </w:p>
    <w:p w:rsidR="00B91B4B" w:rsidRPr="00D337FA" w:rsidRDefault="00B91B4B" w:rsidP="00777B86">
      <w:pPr>
        <w:ind w:firstLine="142"/>
        <w:jc w:val="right"/>
        <w:rPr>
          <w:rFonts w:ascii="Arial" w:hAnsi="Arial" w:cs="Arial"/>
          <w:i/>
          <w:sz w:val="22"/>
          <w:szCs w:val="22"/>
        </w:rPr>
      </w:pPr>
    </w:p>
    <w:p w:rsidR="00B91B4B" w:rsidRPr="00D337FA" w:rsidRDefault="00B91B4B" w:rsidP="00777B86">
      <w:pPr>
        <w:ind w:firstLine="142"/>
        <w:jc w:val="right"/>
        <w:rPr>
          <w:rFonts w:ascii="Arial" w:hAnsi="Arial" w:cs="Arial"/>
          <w:i/>
          <w:sz w:val="22"/>
          <w:szCs w:val="22"/>
        </w:rPr>
      </w:pPr>
    </w:p>
    <w:p w:rsidR="00B91B4B" w:rsidRDefault="00B91B4B" w:rsidP="00777B86">
      <w:pPr>
        <w:ind w:firstLine="142"/>
        <w:jc w:val="right"/>
        <w:rPr>
          <w:rFonts w:ascii="Arial" w:hAnsi="Arial" w:cs="Arial"/>
          <w:i/>
          <w:sz w:val="22"/>
          <w:szCs w:val="22"/>
        </w:rPr>
      </w:pPr>
    </w:p>
    <w:p w:rsidR="004577D3" w:rsidRDefault="004577D3" w:rsidP="00777B86">
      <w:pPr>
        <w:ind w:firstLine="142"/>
        <w:jc w:val="right"/>
        <w:rPr>
          <w:rFonts w:ascii="Arial" w:hAnsi="Arial" w:cs="Arial"/>
          <w:i/>
          <w:sz w:val="22"/>
          <w:szCs w:val="22"/>
        </w:rPr>
      </w:pPr>
    </w:p>
    <w:p w:rsidR="004577D3" w:rsidRPr="00D337FA" w:rsidRDefault="004577D3" w:rsidP="00777B86">
      <w:pPr>
        <w:ind w:firstLine="142"/>
        <w:jc w:val="right"/>
        <w:rPr>
          <w:rFonts w:ascii="Arial" w:hAnsi="Arial" w:cs="Arial"/>
          <w:i/>
          <w:sz w:val="22"/>
          <w:szCs w:val="22"/>
        </w:rPr>
      </w:pPr>
    </w:p>
    <w:p w:rsidR="00B91B4B" w:rsidRPr="00D337FA" w:rsidRDefault="00B91B4B" w:rsidP="00777B86">
      <w:pPr>
        <w:ind w:firstLine="142"/>
        <w:jc w:val="right"/>
        <w:rPr>
          <w:rFonts w:ascii="Arial" w:hAnsi="Arial" w:cs="Arial"/>
          <w:i/>
          <w:sz w:val="22"/>
          <w:szCs w:val="22"/>
        </w:rPr>
      </w:pPr>
    </w:p>
    <w:p w:rsidR="006E4221" w:rsidRPr="00D337FA" w:rsidRDefault="006E4221" w:rsidP="00777B86">
      <w:pPr>
        <w:ind w:firstLine="142"/>
        <w:jc w:val="right"/>
        <w:rPr>
          <w:rFonts w:ascii="Arial" w:hAnsi="Arial" w:cs="Arial"/>
          <w:i/>
          <w:sz w:val="22"/>
          <w:szCs w:val="22"/>
        </w:rPr>
      </w:pPr>
      <w:r w:rsidRPr="00D337FA">
        <w:rPr>
          <w:rFonts w:ascii="Arial" w:hAnsi="Arial" w:cs="Arial"/>
          <w:i/>
          <w:sz w:val="22"/>
          <w:szCs w:val="22"/>
        </w:rPr>
        <w:lastRenderedPageBreak/>
        <w:t>Таблица</w:t>
      </w:r>
      <w:r w:rsidR="006C680D" w:rsidRPr="00D337FA">
        <w:rPr>
          <w:rFonts w:ascii="Arial" w:hAnsi="Arial" w:cs="Arial"/>
          <w:i/>
          <w:sz w:val="22"/>
          <w:szCs w:val="22"/>
        </w:rPr>
        <w:t xml:space="preserve"> </w:t>
      </w:r>
      <w:r w:rsidRPr="00D337FA">
        <w:rPr>
          <w:rFonts w:ascii="Arial" w:hAnsi="Arial" w:cs="Arial"/>
          <w:i/>
          <w:sz w:val="22"/>
          <w:szCs w:val="22"/>
        </w:rPr>
        <w:t>2</w:t>
      </w:r>
    </w:p>
    <w:p w:rsidR="00230516" w:rsidRPr="00D337FA" w:rsidRDefault="00B91B4B" w:rsidP="00777B86">
      <w:pPr>
        <w:ind w:firstLine="142"/>
        <w:jc w:val="center"/>
        <w:rPr>
          <w:rFonts w:ascii="Arial" w:hAnsi="Arial" w:cs="Arial"/>
          <w:i/>
          <w:sz w:val="22"/>
          <w:szCs w:val="22"/>
        </w:rPr>
      </w:pPr>
      <w:r w:rsidRPr="00D337FA">
        <w:rPr>
          <w:rFonts w:ascii="Arial" w:hAnsi="Arial" w:cs="Arial"/>
          <w:i/>
          <w:sz w:val="22"/>
          <w:szCs w:val="22"/>
        </w:rPr>
        <w:t>Факторы</w:t>
      </w:r>
      <w:r w:rsidR="006C680D" w:rsidRPr="00D337FA">
        <w:rPr>
          <w:rFonts w:ascii="Arial" w:hAnsi="Arial" w:cs="Arial"/>
          <w:i/>
          <w:sz w:val="22"/>
          <w:szCs w:val="22"/>
        </w:rPr>
        <w:t xml:space="preserve"> </w:t>
      </w:r>
      <w:r w:rsidRPr="00D337FA">
        <w:rPr>
          <w:rFonts w:ascii="Arial" w:hAnsi="Arial" w:cs="Arial"/>
          <w:i/>
          <w:sz w:val="22"/>
          <w:szCs w:val="22"/>
        </w:rPr>
        <w:t>эффективного</w:t>
      </w:r>
      <w:r w:rsidR="006C680D" w:rsidRPr="00D337FA">
        <w:rPr>
          <w:rFonts w:ascii="Arial" w:hAnsi="Arial" w:cs="Arial"/>
          <w:i/>
          <w:sz w:val="22"/>
          <w:szCs w:val="22"/>
        </w:rPr>
        <w:t xml:space="preserve"> </w:t>
      </w:r>
      <w:r w:rsidRPr="00D337FA">
        <w:rPr>
          <w:rFonts w:ascii="Arial" w:hAnsi="Arial" w:cs="Arial"/>
          <w:i/>
          <w:sz w:val="22"/>
          <w:szCs w:val="22"/>
        </w:rPr>
        <w:t>управления</w:t>
      </w:r>
      <w:r w:rsidR="006C680D" w:rsidRPr="00D337FA">
        <w:rPr>
          <w:rFonts w:ascii="Arial" w:hAnsi="Arial" w:cs="Arial"/>
          <w:i/>
          <w:sz w:val="22"/>
          <w:szCs w:val="22"/>
        </w:rPr>
        <w:t xml:space="preserve"> </w:t>
      </w:r>
      <w:r w:rsidRPr="00D337FA">
        <w:rPr>
          <w:rFonts w:ascii="Arial" w:hAnsi="Arial" w:cs="Arial"/>
          <w:i/>
          <w:sz w:val="22"/>
          <w:szCs w:val="22"/>
        </w:rPr>
        <w:t>страховых</w:t>
      </w:r>
      <w:r w:rsidR="006C680D" w:rsidRPr="00D337FA">
        <w:rPr>
          <w:rFonts w:ascii="Arial" w:hAnsi="Arial" w:cs="Arial"/>
          <w:i/>
          <w:sz w:val="22"/>
          <w:szCs w:val="22"/>
        </w:rPr>
        <w:t xml:space="preserve"> </w:t>
      </w:r>
      <w:r w:rsidRPr="00D337FA">
        <w:rPr>
          <w:rFonts w:ascii="Arial" w:hAnsi="Arial" w:cs="Arial"/>
          <w:i/>
          <w:sz w:val="22"/>
          <w:szCs w:val="22"/>
        </w:rPr>
        <w:t>компаний</w:t>
      </w:r>
      <w:r w:rsidR="006C680D" w:rsidRPr="00D337FA">
        <w:rPr>
          <w:rFonts w:ascii="Arial" w:hAnsi="Arial" w:cs="Arial"/>
          <w:i/>
          <w:sz w:val="22"/>
          <w:szCs w:val="22"/>
        </w:rPr>
        <w:t xml:space="preserve"> </w:t>
      </w:r>
      <w:r w:rsidRPr="00D337FA">
        <w:rPr>
          <w:rFonts w:ascii="Arial" w:hAnsi="Arial" w:cs="Arial"/>
          <w:i/>
          <w:sz w:val="22"/>
          <w:szCs w:val="22"/>
        </w:rPr>
        <w:t>на</w:t>
      </w:r>
      <w:r w:rsidR="006C680D" w:rsidRPr="00D337FA">
        <w:rPr>
          <w:rFonts w:ascii="Arial" w:hAnsi="Arial" w:cs="Arial"/>
          <w:i/>
          <w:sz w:val="22"/>
          <w:szCs w:val="22"/>
        </w:rPr>
        <w:t xml:space="preserve"> </w:t>
      </w:r>
      <w:r w:rsidRPr="00D337FA">
        <w:rPr>
          <w:rFonts w:ascii="Arial" w:hAnsi="Arial" w:cs="Arial"/>
          <w:i/>
          <w:sz w:val="22"/>
          <w:szCs w:val="22"/>
        </w:rPr>
        <w:t>рынке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2696"/>
        <w:gridCol w:w="5074"/>
      </w:tblGrid>
      <w:tr w:rsidR="00D337FA" w:rsidRPr="004577D3" w:rsidTr="00B91B4B">
        <w:tc>
          <w:tcPr>
            <w:tcW w:w="1977" w:type="dxa"/>
          </w:tcPr>
          <w:p w:rsidR="00B91B4B" w:rsidRPr="004577D3" w:rsidRDefault="00B91B4B" w:rsidP="00B91B4B">
            <w:pPr>
              <w:tabs>
                <w:tab w:val="left" w:pos="993"/>
              </w:tabs>
              <w:ind w:firstLine="0"/>
              <w:jc w:val="center"/>
              <w:rPr>
                <w:sz w:val="20"/>
                <w:szCs w:val="20"/>
              </w:rPr>
            </w:pPr>
            <w:r w:rsidRPr="004577D3">
              <w:rPr>
                <w:sz w:val="20"/>
                <w:szCs w:val="20"/>
              </w:rPr>
              <w:t>Аспект</w:t>
            </w:r>
            <w:r w:rsidR="006C680D" w:rsidRPr="004577D3">
              <w:rPr>
                <w:sz w:val="20"/>
                <w:szCs w:val="20"/>
              </w:rPr>
              <w:t xml:space="preserve"> </w:t>
            </w:r>
            <w:r w:rsidRPr="004577D3">
              <w:rPr>
                <w:sz w:val="20"/>
                <w:szCs w:val="20"/>
              </w:rPr>
              <w:t>управления</w:t>
            </w:r>
          </w:p>
        </w:tc>
        <w:tc>
          <w:tcPr>
            <w:tcW w:w="2696" w:type="dxa"/>
          </w:tcPr>
          <w:p w:rsidR="00B91B4B" w:rsidRPr="004577D3" w:rsidRDefault="00B91B4B" w:rsidP="000C1FE6">
            <w:pPr>
              <w:tabs>
                <w:tab w:val="left" w:pos="993"/>
              </w:tabs>
              <w:ind w:firstLine="0"/>
              <w:jc w:val="center"/>
              <w:rPr>
                <w:sz w:val="20"/>
                <w:szCs w:val="20"/>
              </w:rPr>
            </w:pPr>
            <w:r w:rsidRPr="004577D3">
              <w:rPr>
                <w:sz w:val="20"/>
                <w:szCs w:val="20"/>
              </w:rPr>
              <w:t>Сущность</w:t>
            </w:r>
            <w:r w:rsidR="006C680D" w:rsidRPr="004577D3">
              <w:rPr>
                <w:sz w:val="20"/>
                <w:szCs w:val="20"/>
              </w:rPr>
              <w:t xml:space="preserve"> </w:t>
            </w:r>
            <w:r w:rsidRPr="004577D3">
              <w:rPr>
                <w:sz w:val="20"/>
                <w:szCs w:val="20"/>
              </w:rPr>
              <w:t>компонента</w:t>
            </w:r>
            <w:r w:rsidR="006C680D" w:rsidRPr="004577D3">
              <w:rPr>
                <w:sz w:val="20"/>
                <w:szCs w:val="20"/>
              </w:rPr>
              <w:t xml:space="preserve"> </w:t>
            </w:r>
            <w:r w:rsidRPr="004577D3">
              <w:rPr>
                <w:sz w:val="20"/>
                <w:szCs w:val="20"/>
              </w:rPr>
              <w:t>управления</w:t>
            </w:r>
          </w:p>
        </w:tc>
        <w:tc>
          <w:tcPr>
            <w:tcW w:w="5074" w:type="dxa"/>
          </w:tcPr>
          <w:p w:rsidR="00B91B4B" w:rsidRPr="004577D3" w:rsidRDefault="00B91B4B" w:rsidP="000C1FE6">
            <w:pPr>
              <w:tabs>
                <w:tab w:val="left" w:pos="993"/>
              </w:tabs>
              <w:ind w:firstLine="0"/>
              <w:jc w:val="center"/>
              <w:rPr>
                <w:sz w:val="20"/>
                <w:szCs w:val="20"/>
              </w:rPr>
            </w:pPr>
            <w:r w:rsidRPr="004577D3">
              <w:rPr>
                <w:sz w:val="20"/>
                <w:szCs w:val="20"/>
              </w:rPr>
              <w:t>Проявления</w:t>
            </w:r>
            <w:r w:rsidR="006C680D" w:rsidRPr="004577D3">
              <w:rPr>
                <w:sz w:val="20"/>
                <w:szCs w:val="20"/>
              </w:rPr>
              <w:t xml:space="preserve"> </w:t>
            </w:r>
            <w:r w:rsidRPr="004577D3">
              <w:rPr>
                <w:sz w:val="20"/>
                <w:szCs w:val="20"/>
              </w:rPr>
              <w:t>эффективного</w:t>
            </w:r>
            <w:r w:rsidR="006C680D" w:rsidRPr="004577D3">
              <w:rPr>
                <w:sz w:val="20"/>
                <w:szCs w:val="20"/>
              </w:rPr>
              <w:t xml:space="preserve"> </w:t>
            </w:r>
            <w:r w:rsidRPr="004577D3">
              <w:rPr>
                <w:sz w:val="20"/>
                <w:szCs w:val="20"/>
              </w:rPr>
              <w:t>компонента</w:t>
            </w:r>
            <w:r w:rsidR="006C680D" w:rsidRPr="004577D3">
              <w:rPr>
                <w:sz w:val="20"/>
                <w:szCs w:val="20"/>
              </w:rPr>
              <w:t xml:space="preserve"> </w:t>
            </w:r>
            <w:r w:rsidRPr="004577D3">
              <w:rPr>
                <w:sz w:val="20"/>
                <w:szCs w:val="20"/>
              </w:rPr>
              <w:t>управления</w:t>
            </w:r>
          </w:p>
        </w:tc>
      </w:tr>
      <w:tr w:rsidR="00D337FA" w:rsidRPr="004577D3" w:rsidTr="00B91B4B">
        <w:tc>
          <w:tcPr>
            <w:tcW w:w="1977" w:type="dxa"/>
          </w:tcPr>
          <w:p w:rsidR="00B91B4B" w:rsidRPr="004577D3" w:rsidRDefault="00B91B4B" w:rsidP="00E44098">
            <w:pPr>
              <w:tabs>
                <w:tab w:val="left" w:pos="993"/>
              </w:tabs>
              <w:ind w:firstLine="0"/>
              <w:rPr>
                <w:sz w:val="20"/>
                <w:szCs w:val="20"/>
              </w:rPr>
            </w:pPr>
            <w:r w:rsidRPr="004577D3">
              <w:rPr>
                <w:sz w:val="20"/>
                <w:szCs w:val="20"/>
              </w:rPr>
              <w:t>Системообразующая</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государственная</w:t>
            </w:r>
            <w:r w:rsidR="006C680D" w:rsidRPr="004577D3">
              <w:rPr>
                <w:sz w:val="20"/>
                <w:szCs w:val="20"/>
              </w:rPr>
              <w:t xml:space="preserve"> </w:t>
            </w:r>
            <w:r w:rsidRPr="004577D3">
              <w:rPr>
                <w:sz w:val="20"/>
                <w:szCs w:val="20"/>
              </w:rPr>
              <w:t>поддержка</w:t>
            </w:r>
          </w:p>
        </w:tc>
        <w:tc>
          <w:tcPr>
            <w:tcW w:w="2696" w:type="dxa"/>
          </w:tcPr>
          <w:p w:rsidR="00B91B4B" w:rsidRPr="004577D3" w:rsidRDefault="00B91B4B" w:rsidP="000C1FE6">
            <w:pPr>
              <w:tabs>
                <w:tab w:val="left" w:pos="993"/>
              </w:tabs>
              <w:ind w:firstLine="0"/>
              <w:rPr>
                <w:sz w:val="20"/>
                <w:szCs w:val="20"/>
              </w:rPr>
            </w:pPr>
            <w:r w:rsidRPr="004577D3">
              <w:rPr>
                <w:sz w:val="20"/>
                <w:szCs w:val="20"/>
              </w:rPr>
              <w:t>Лидерство</w:t>
            </w:r>
            <w:r w:rsidR="006C680D" w:rsidRPr="004577D3">
              <w:rPr>
                <w:sz w:val="20"/>
                <w:szCs w:val="20"/>
              </w:rPr>
              <w:t xml:space="preserve"> </w:t>
            </w:r>
            <w:r w:rsidRPr="004577D3">
              <w:rPr>
                <w:sz w:val="20"/>
                <w:szCs w:val="20"/>
              </w:rPr>
              <w:t>обеспечивается</w:t>
            </w:r>
            <w:r w:rsidR="006C680D" w:rsidRPr="004577D3">
              <w:rPr>
                <w:sz w:val="20"/>
                <w:szCs w:val="20"/>
              </w:rPr>
              <w:t xml:space="preserve"> </w:t>
            </w:r>
            <w:r w:rsidRPr="004577D3">
              <w:rPr>
                <w:sz w:val="20"/>
                <w:szCs w:val="20"/>
              </w:rPr>
              <w:t>статусом</w:t>
            </w:r>
            <w:r w:rsidR="006C680D" w:rsidRPr="004577D3">
              <w:rPr>
                <w:sz w:val="20"/>
                <w:szCs w:val="20"/>
              </w:rPr>
              <w:t xml:space="preserve"> </w:t>
            </w:r>
            <w:r w:rsidRPr="004577D3">
              <w:rPr>
                <w:sz w:val="20"/>
                <w:szCs w:val="20"/>
              </w:rPr>
              <w:t>«национального</w:t>
            </w:r>
            <w:r w:rsidR="006C680D" w:rsidRPr="004577D3">
              <w:rPr>
                <w:sz w:val="20"/>
                <w:szCs w:val="20"/>
              </w:rPr>
              <w:t xml:space="preserve"> </w:t>
            </w:r>
            <w:r w:rsidRPr="004577D3">
              <w:rPr>
                <w:sz w:val="20"/>
                <w:szCs w:val="20"/>
              </w:rPr>
              <w:t>чемпиона»,</w:t>
            </w:r>
            <w:r w:rsidR="006C680D" w:rsidRPr="004577D3">
              <w:rPr>
                <w:sz w:val="20"/>
                <w:szCs w:val="20"/>
              </w:rPr>
              <w:t xml:space="preserve"> </w:t>
            </w:r>
            <w:r w:rsidRPr="004577D3">
              <w:rPr>
                <w:sz w:val="20"/>
                <w:szCs w:val="20"/>
              </w:rPr>
              <w:t>госзаказами,</w:t>
            </w:r>
            <w:r w:rsidR="006C680D" w:rsidRPr="004577D3">
              <w:rPr>
                <w:sz w:val="20"/>
                <w:szCs w:val="20"/>
              </w:rPr>
              <w:t xml:space="preserve"> </w:t>
            </w:r>
            <w:r w:rsidRPr="004577D3">
              <w:rPr>
                <w:sz w:val="20"/>
                <w:szCs w:val="20"/>
              </w:rPr>
              <w:t>обязательными</w:t>
            </w:r>
            <w:r w:rsidR="006C680D" w:rsidRPr="004577D3">
              <w:rPr>
                <w:sz w:val="20"/>
                <w:szCs w:val="20"/>
              </w:rPr>
              <w:t xml:space="preserve"> </w:t>
            </w:r>
            <w:r w:rsidRPr="004577D3">
              <w:rPr>
                <w:sz w:val="20"/>
                <w:szCs w:val="20"/>
              </w:rPr>
              <w:t>программами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доступом</w:t>
            </w:r>
            <w:r w:rsidR="006C680D" w:rsidRPr="004577D3">
              <w:rPr>
                <w:sz w:val="20"/>
                <w:szCs w:val="20"/>
              </w:rPr>
              <w:t xml:space="preserve"> </w:t>
            </w:r>
            <w:r w:rsidRPr="004577D3">
              <w:rPr>
                <w:sz w:val="20"/>
                <w:szCs w:val="20"/>
              </w:rPr>
              <w:t>к</w:t>
            </w:r>
            <w:r w:rsidR="006C680D" w:rsidRPr="004577D3">
              <w:rPr>
                <w:sz w:val="20"/>
                <w:szCs w:val="20"/>
              </w:rPr>
              <w:t xml:space="preserve"> </w:t>
            </w:r>
            <w:r w:rsidRPr="004577D3">
              <w:rPr>
                <w:sz w:val="20"/>
                <w:szCs w:val="20"/>
              </w:rPr>
              <w:t>инфраструктуре.</w:t>
            </w:r>
          </w:p>
        </w:tc>
        <w:tc>
          <w:tcPr>
            <w:tcW w:w="5074" w:type="dxa"/>
          </w:tcPr>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СОГАЗ:</w:t>
            </w:r>
            <w:r w:rsidR="006C680D" w:rsidRPr="004577D3">
              <w:rPr>
                <w:sz w:val="20"/>
                <w:szCs w:val="20"/>
              </w:rPr>
              <w:t xml:space="preserve"> </w:t>
            </w:r>
            <w:r w:rsidRPr="004577D3">
              <w:rPr>
                <w:sz w:val="20"/>
                <w:szCs w:val="20"/>
              </w:rPr>
              <w:t>страхование</w:t>
            </w:r>
            <w:r w:rsidR="006C680D" w:rsidRPr="004577D3">
              <w:rPr>
                <w:sz w:val="20"/>
                <w:szCs w:val="20"/>
              </w:rPr>
              <w:t xml:space="preserve"> </w:t>
            </w:r>
            <w:r w:rsidRPr="004577D3">
              <w:rPr>
                <w:sz w:val="20"/>
                <w:szCs w:val="20"/>
              </w:rPr>
              <w:t>крупнейших</w:t>
            </w:r>
            <w:r w:rsidR="006C680D" w:rsidRPr="004577D3">
              <w:rPr>
                <w:sz w:val="20"/>
                <w:szCs w:val="20"/>
              </w:rPr>
              <w:t xml:space="preserve"> </w:t>
            </w:r>
            <w:r w:rsidRPr="004577D3">
              <w:rPr>
                <w:sz w:val="20"/>
                <w:szCs w:val="20"/>
              </w:rPr>
              <w:t>госкомпаний</w:t>
            </w:r>
            <w:r w:rsidR="006C680D" w:rsidRPr="004577D3">
              <w:rPr>
                <w:sz w:val="20"/>
                <w:szCs w:val="20"/>
              </w:rPr>
              <w:t xml:space="preserve"> </w:t>
            </w:r>
            <w:r w:rsidRPr="004577D3">
              <w:rPr>
                <w:sz w:val="20"/>
                <w:szCs w:val="20"/>
              </w:rPr>
              <w:t>(«Газпром»,</w:t>
            </w:r>
            <w:r w:rsidR="006C680D" w:rsidRPr="004577D3">
              <w:rPr>
                <w:sz w:val="20"/>
                <w:szCs w:val="20"/>
              </w:rPr>
              <w:t xml:space="preserve"> </w:t>
            </w:r>
            <w:r w:rsidRPr="004577D3">
              <w:rPr>
                <w:sz w:val="20"/>
                <w:szCs w:val="20"/>
              </w:rPr>
              <w:t>РЖД,</w:t>
            </w:r>
            <w:r w:rsidR="006C680D" w:rsidRPr="004577D3">
              <w:rPr>
                <w:sz w:val="20"/>
                <w:szCs w:val="20"/>
              </w:rPr>
              <w:t xml:space="preserve"> </w:t>
            </w:r>
            <w:r w:rsidRPr="004577D3">
              <w:rPr>
                <w:sz w:val="20"/>
                <w:szCs w:val="20"/>
              </w:rPr>
              <w:t>Росатом),</w:t>
            </w:r>
            <w:r w:rsidR="006C680D" w:rsidRPr="004577D3">
              <w:rPr>
                <w:sz w:val="20"/>
                <w:szCs w:val="20"/>
              </w:rPr>
              <w:t xml:space="preserve"> </w:t>
            </w:r>
            <w:r w:rsidRPr="004577D3">
              <w:rPr>
                <w:sz w:val="20"/>
                <w:szCs w:val="20"/>
              </w:rPr>
              <w:t>гособоронзаказ,</w:t>
            </w:r>
            <w:r w:rsidR="006C680D" w:rsidRPr="004577D3">
              <w:rPr>
                <w:sz w:val="20"/>
                <w:szCs w:val="20"/>
              </w:rPr>
              <w:t xml:space="preserve"> </w:t>
            </w:r>
            <w:r w:rsidRPr="004577D3">
              <w:rPr>
                <w:sz w:val="20"/>
                <w:szCs w:val="20"/>
              </w:rPr>
              <w:t>масштабные</w:t>
            </w:r>
            <w:r w:rsidR="006C680D" w:rsidRPr="004577D3">
              <w:rPr>
                <w:sz w:val="20"/>
                <w:szCs w:val="20"/>
              </w:rPr>
              <w:t xml:space="preserve"> </w:t>
            </w:r>
            <w:r w:rsidRPr="004577D3">
              <w:rPr>
                <w:sz w:val="20"/>
                <w:szCs w:val="20"/>
              </w:rPr>
              <w:t>проекты</w:t>
            </w:r>
            <w:r w:rsidR="006C680D" w:rsidRPr="004577D3">
              <w:rPr>
                <w:sz w:val="20"/>
                <w:szCs w:val="20"/>
              </w:rPr>
              <w:t xml:space="preserve"> </w:t>
            </w:r>
            <w:r w:rsidRPr="004577D3">
              <w:rPr>
                <w:sz w:val="20"/>
                <w:szCs w:val="20"/>
              </w:rPr>
              <w:t>(СИМ,</w:t>
            </w:r>
            <w:r w:rsidR="006C680D" w:rsidRPr="004577D3">
              <w:rPr>
                <w:sz w:val="20"/>
                <w:szCs w:val="20"/>
              </w:rPr>
              <w:t xml:space="preserve"> </w:t>
            </w:r>
            <w:r w:rsidRPr="004577D3">
              <w:rPr>
                <w:sz w:val="20"/>
                <w:szCs w:val="20"/>
              </w:rPr>
              <w:t>ВЭБ.РФ).</w:t>
            </w:r>
            <w:r w:rsidR="006C680D" w:rsidRPr="004577D3">
              <w:rPr>
                <w:sz w:val="20"/>
                <w:szCs w:val="20"/>
              </w:rPr>
              <w:t xml:space="preserve"> </w:t>
            </w:r>
          </w:p>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Ингосстрах:</w:t>
            </w:r>
            <w:r w:rsidR="006C680D" w:rsidRPr="004577D3">
              <w:rPr>
                <w:sz w:val="20"/>
                <w:szCs w:val="20"/>
              </w:rPr>
              <w:t xml:space="preserve"> </w:t>
            </w:r>
            <w:r w:rsidRPr="004577D3">
              <w:rPr>
                <w:sz w:val="20"/>
                <w:szCs w:val="20"/>
              </w:rPr>
              <w:t>традиционный</w:t>
            </w:r>
            <w:r w:rsidR="006C680D" w:rsidRPr="004577D3">
              <w:rPr>
                <w:sz w:val="20"/>
                <w:szCs w:val="20"/>
              </w:rPr>
              <w:t xml:space="preserve"> </w:t>
            </w:r>
            <w:r w:rsidRPr="004577D3">
              <w:rPr>
                <w:sz w:val="20"/>
                <w:szCs w:val="20"/>
              </w:rPr>
              <w:t>лидер</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страховании</w:t>
            </w:r>
            <w:r w:rsidR="006C680D" w:rsidRPr="004577D3">
              <w:rPr>
                <w:sz w:val="20"/>
                <w:szCs w:val="20"/>
              </w:rPr>
              <w:t xml:space="preserve"> </w:t>
            </w:r>
            <w:r w:rsidRPr="004577D3">
              <w:rPr>
                <w:sz w:val="20"/>
                <w:szCs w:val="20"/>
              </w:rPr>
              <w:t>внешнеторговой</w:t>
            </w:r>
            <w:r w:rsidR="006C680D" w:rsidRPr="004577D3">
              <w:rPr>
                <w:sz w:val="20"/>
                <w:szCs w:val="20"/>
              </w:rPr>
              <w:t xml:space="preserve"> </w:t>
            </w:r>
            <w:r w:rsidRPr="004577D3">
              <w:rPr>
                <w:sz w:val="20"/>
                <w:szCs w:val="20"/>
              </w:rPr>
              <w:t>деятельности,</w:t>
            </w:r>
            <w:r w:rsidR="006C680D" w:rsidRPr="004577D3">
              <w:rPr>
                <w:sz w:val="20"/>
                <w:szCs w:val="20"/>
              </w:rPr>
              <w:t xml:space="preserve"> </w:t>
            </w:r>
            <w:r w:rsidRPr="004577D3">
              <w:rPr>
                <w:sz w:val="20"/>
                <w:szCs w:val="20"/>
              </w:rPr>
              <w:t>судов,</w:t>
            </w:r>
            <w:r w:rsidR="006C680D" w:rsidRPr="004577D3">
              <w:rPr>
                <w:sz w:val="20"/>
                <w:szCs w:val="20"/>
              </w:rPr>
              <w:t xml:space="preserve"> </w:t>
            </w:r>
            <w:r w:rsidRPr="004577D3">
              <w:rPr>
                <w:sz w:val="20"/>
                <w:szCs w:val="20"/>
              </w:rPr>
              <w:t>авиации.</w:t>
            </w:r>
            <w:r w:rsidR="006C680D" w:rsidRPr="004577D3">
              <w:rPr>
                <w:sz w:val="20"/>
                <w:szCs w:val="20"/>
              </w:rPr>
              <w:t xml:space="preserve"> </w:t>
            </w:r>
            <w:r w:rsidRPr="004577D3">
              <w:rPr>
                <w:sz w:val="20"/>
                <w:szCs w:val="20"/>
              </w:rPr>
              <w:t>Исторически</w:t>
            </w:r>
            <w:r w:rsidR="006C680D" w:rsidRPr="004577D3">
              <w:rPr>
                <w:sz w:val="20"/>
                <w:szCs w:val="20"/>
              </w:rPr>
              <w:t xml:space="preserve"> </w:t>
            </w:r>
            <w:r w:rsidRPr="004577D3">
              <w:rPr>
                <w:sz w:val="20"/>
                <w:szCs w:val="20"/>
              </w:rPr>
              <w:t>тесно</w:t>
            </w:r>
            <w:r w:rsidR="006C680D" w:rsidRPr="004577D3">
              <w:rPr>
                <w:sz w:val="20"/>
                <w:szCs w:val="20"/>
              </w:rPr>
              <w:t xml:space="preserve"> </w:t>
            </w:r>
            <w:r w:rsidRPr="004577D3">
              <w:rPr>
                <w:sz w:val="20"/>
                <w:szCs w:val="20"/>
              </w:rPr>
              <w:t>связан</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государством.</w:t>
            </w:r>
          </w:p>
        </w:tc>
      </w:tr>
      <w:tr w:rsidR="00D337FA" w:rsidRPr="004577D3" w:rsidTr="00B91B4B">
        <w:tc>
          <w:tcPr>
            <w:tcW w:w="1977" w:type="dxa"/>
          </w:tcPr>
          <w:p w:rsidR="00B91B4B" w:rsidRPr="004577D3" w:rsidRDefault="00B91B4B" w:rsidP="000C1FE6">
            <w:pPr>
              <w:tabs>
                <w:tab w:val="left" w:pos="993"/>
              </w:tabs>
              <w:ind w:firstLine="0"/>
              <w:rPr>
                <w:sz w:val="20"/>
                <w:szCs w:val="20"/>
              </w:rPr>
            </w:pPr>
            <w:r w:rsidRPr="004577D3">
              <w:rPr>
                <w:sz w:val="20"/>
                <w:szCs w:val="20"/>
              </w:rPr>
              <w:t>Потенциал</w:t>
            </w:r>
            <w:r w:rsidR="006C680D" w:rsidRPr="004577D3">
              <w:rPr>
                <w:sz w:val="20"/>
                <w:szCs w:val="20"/>
              </w:rPr>
              <w:t xml:space="preserve"> </w:t>
            </w:r>
            <w:r w:rsidRPr="004577D3">
              <w:rPr>
                <w:sz w:val="20"/>
                <w:szCs w:val="20"/>
              </w:rPr>
              <w:t>экосистемы</w:t>
            </w:r>
            <w:r w:rsidR="006C680D" w:rsidRPr="004577D3">
              <w:rPr>
                <w:sz w:val="20"/>
                <w:szCs w:val="20"/>
              </w:rPr>
              <w:t xml:space="preserve"> </w:t>
            </w:r>
            <w:r w:rsidRPr="004577D3">
              <w:rPr>
                <w:sz w:val="20"/>
                <w:szCs w:val="20"/>
              </w:rPr>
              <w:t>(Bancassurance</w:t>
            </w:r>
            <w:r w:rsidR="006C680D" w:rsidRPr="004577D3">
              <w:rPr>
                <w:sz w:val="20"/>
                <w:szCs w:val="20"/>
              </w:rPr>
              <w:t xml:space="preserve"> </w:t>
            </w:r>
            <w:r w:rsidRPr="004577D3">
              <w:rPr>
                <w:sz w:val="20"/>
                <w:szCs w:val="20"/>
              </w:rPr>
              <w:t>2.0)</w:t>
            </w:r>
          </w:p>
        </w:tc>
        <w:tc>
          <w:tcPr>
            <w:tcW w:w="2696" w:type="dxa"/>
          </w:tcPr>
          <w:p w:rsidR="00B91B4B" w:rsidRPr="004577D3" w:rsidRDefault="00B91B4B" w:rsidP="000C1FE6">
            <w:pPr>
              <w:tabs>
                <w:tab w:val="left" w:pos="993"/>
              </w:tabs>
              <w:ind w:firstLine="0"/>
              <w:rPr>
                <w:sz w:val="20"/>
                <w:szCs w:val="20"/>
              </w:rPr>
            </w:pPr>
            <w:r w:rsidRPr="004577D3">
              <w:rPr>
                <w:sz w:val="20"/>
                <w:szCs w:val="20"/>
              </w:rPr>
              <w:t>Лидерство</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интеграцию</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мощную</w:t>
            </w:r>
            <w:r w:rsidR="006C680D" w:rsidRPr="004577D3">
              <w:rPr>
                <w:sz w:val="20"/>
                <w:szCs w:val="20"/>
              </w:rPr>
              <w:t xml:space="preserve"> </w:t>
            </w:r>
            <w:r w:rsidRPr="004577D3">
              <w:rPr>
                <w:sz w:val="20"/>
                <w:szCs w:val="20"/>
              </w:rPr>
              <w:t>клиентскую</w:t>
            </w:r>
            <w:r w:rsidR="006C680D" w:rsidRPr="004577D3">
              <w:rPr>
                <w:sz w:val="20"/>
                <w:szCs w:val="20"/>
              </w:rPr>
              <w:t xml:space="preserve"> </w:t>
            </w:r>
            <w:r w:rsidRPr="004577D3">
              <w:rPr>
                <w:sz w:val="20"/>
                <w:szCs w:val="20"/>
              </w:rPr>
              <w:t>экосистему</w:t>
            </w:r>
            <w:r w:rsidR="006C680D" w:rsidRPr="004577D3">
              <w:rPr>
                <w:sz w:val="20"/>
                <w:szCs w:val="20"/>
              </w:rPr>
              <w:t xml:space="preserve"> </w:t>
            </w:r>
            <w:r w:rsidRPr="004577D3">
              <w:rPr>
                <w:sz w:val="20"/>
                <w:szCs w:val="20"/>
              </w:rPr>
              <w:t>родительского</w:t>
            </w:r>
            <w:r w:rsidR="006C680D" w:rsidRPr="004577D3">
              <w:rPr>
                <w:sz w:val="20"/>
                <w:szCs w:val="20"/>
              </w:rPr>
              <w:t xml:space="preserve"> </w:t>
            </w:r>
            <w:r w:rsidRPr="004577D3">
              <w:rPr>
                <w:sz w:val="20"/>
                <w:szCs w:val="20"/>
              </w:rPr>
              <w:t>банка:</w:t>
            </w:r>
            <w:r w:rsidR="006C680D" w:rsidRPr="004577D3">
              <w:rPr>
                <w:sz w:val="20"/>
                <w:szCs w:val="20"/>
              </w:rPr>
              <w:t xml:space="preserve"> </w:t>
            </w:r>
            <w:r w:rsidRPr="004577D3">
              <w:rPr>
                <w:sz w:val="20"/>
                <w:szCs w:val="20"/>
              </w:rPr>
              <w:t>доступ</w:t>
            </w:r>
            <w:r w:rsidR="006C680D" w:rsidRPr="004577D3">
              <w:rPr>
                <w:sz w:val="20"/>
                <w:szCs w:val="20"/>
              </w:rPr>
              <w:t xml:space="preserve"> </w:t>
            </w:r>
            <w:r w:rsidRPr="004577D3">
              <w:rPr>
                <w:sz w:val="20"/>
                <w:szCs w:val="20"/>
              </w:rPr>
              <w:t>к</w:t>
            </w:r>
            <w:r w:rsidR="006C680D" w:rsidRPr="004577D3">
              <w:rPr>
                <w:sz w:val="20"/>
                <w:szCs w:val="20"/>
              </w:rPr>
              <w:t xml:space="preserve"> </w:t>
            </w:r>
            <w:r w:rsidRPr="004577D3">
              <w:rPr>
                <w:sz w:val="20"/>
                <w:szCs w:val="20"/>
              </w:rPr>
              <w:t>миллионам</w:t>
            </w:r>
            <w:r w:rsidR="006C680D" w:rsidRPr="004577D3">
              <w:rPr>
                <w:sz w:val="20"/>
                <w:szCs w:val="20"/>
              </w:rPr>
              <w:t xml:space="preserve"> </w:t>
            </w:r>
            <w:r w:rsidRPr="004577D3">
              <w:rPr>
                <w:sz w:val="20"/>
                <w:szCs w:val="20"/>
              </w:rPr>
              <w:t>готовых</w:t>
            </w:r>
            <w:r w:rsidR="006C680D" w:rsidRPr="004577D3">
              <w:rPr>
                <w:sz w:val="20"/>
                <w:szCs w:val="20"/>
              </w:rPr>
              <w:t xml:space="preserve"> </w:t>
            </w:r>
            <w:r w:rsidRPr="004577D3">
              <w:rPr>
                <w:sz w:val="20"/>
                <w:szCs w:val="20"/>
              </w:rPr>
              <w:t>клиентов,</w:t>
            </w:r>
            <w:r w:rsidR="006C680D" w:rsidRPr="004577D3">
              <w:rPr>
                <w:sz w:val="20"/>
                <w:szCs w:val="20"/>
              </w:rPr>
              <w:t xml:space="preserve"> </w:t>
            </w:r>
            <w:r w:rsidRPr="004577D3">
              <w:rPr>
                <w:sz w:val="20"/>
                <w:szCs w:val="20"/>
              </w:rPr>
              <w:t>кросс-продажи,</w:t>
            </w:r>
            <w:r w:rsidR="006C680D" w:rsidRPr="004577D3">
              <w:rPr>
                <w:sz w:val="20"/>
                <w:szCs w:val="20"/>
              </w:rPr>
              <w:t xml:space="preserve"> </w:t>
            </w:r>
            <w:r w:rsidRPr="004577D3">
              <w:rPr>
                <w:sz w:val="20"/>
                <w:szCs w:val="20"/>
              </w:rPr>
              <w:t>низкая</w:t>
            </w:r>
            <w:r w:rsidR="006C680D" w:rsidRPr="004577D3">
              <w:rPr>
                <w:sz w:val="20"/>
                <w:szCs w:val="20"/>
              </w:rPr>
              <w:t xml:space="preserve"> </w:t>
            </w:r>
            <w:r w:rsidRPr="004577D3">
              <w:rPr>
                <w:sz w:val="20"/>
                <w:szCs w:val="20"/>
              </w:rPr>
              <w:t>стоимость</w:t>
            </w:r>
            <w:r w:rsidR="006C680D" w:rsidRPr="004577D3">
              <w:rPr>
                <w:sz w:val="20"/>
                <w:szCs w:val="20"/>
              </w:rPr>
              <w:t xml:space="preserve"> </w:t>
            </w:r>
            <w:r w:rsidRPr="004577D3">
              <w:rPr>
                <w:sz w:val="20"/>
                <w:szCs w:val="20"/>
              </w:rPr>
              <w:t>привлечения</w:t>
            </w:r>
          </w:p>
        </w:tc>
        <w:tc>
          <w:tcPr>
            <w:tcW w:w="5074" w:type="dxa"/>
          </w:tcPr>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СберСтрахование</w:t>
            </w:r>
            <w:r w:rsidR="006C680D" w:rsidRPr="004577D3">
              <w:rPr>
                <w:sz w:val="20"/>
                <w:szCs w:val="20"/>
              </w:rPr>
              <w:t xml:space="preserve"> </w:t>
            </w:r>
            <w:r w:rsidRPr="004577D3">
              <w:rPr>
                <w:sz w:val="20"/>
                <w:szCs w:val="20"/>
              </w:rPr>
              <w:t>(Сбер):</w:t>
            </w:r>
            <w:r w:rsidR="006C680D" w:rsidRPr="004577D3">
              <w:rPr>
                <w:sz w:val="20"/>
                <w:szCs w:val="20"/>
              </w:rPr>
              <w:t xml:space="preserve"> </w:t>
            </w:r>
            <w:r w:rsidRPr="004577D3">
              <w:rPr>
                <w:sz w:val="20"/>
                <w:szCs w:val="20"/>
              </w:rPr>
              <w:t>продажи</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мобильное</w:t>
            </w:r>
            <w:r w:rsidR="006C680D" w:rsidRPr="004577D3">
              <w:rPr>
                <w:sz w:val="20"/>
                <w:szCs w:val="20"/>
              </w:rPr>
              <w:t xml:space="preserve"> </w:t>
            </w:r>
            <w:r w:rsidRPr="004577D3">
              <w:rPr>
                <w:sz w:val="20"/>
                <w:szCs w:val="20"/>
              </w:rPr>
              <w:t>приложение</w:t>
            </w:r>
            <w:r w:rsidR="006C680D" w:rsidRPr="004577D3">
              <w:rPr>
                <w:sz w:val="20"/>
                <w:szCs w:val="20"/>
              </w:rPr>
              <w:t xml:space="preserve"> </w:t>
            </w:r>
            <w:r w:rsidRPr="004577D3">
              <w:rPr>
                <w:sz w:val="20"/>
                <w:szCs w:val="20"/>
              </w:rPr>
              <w:t>СберБанка,</w:t>
            </w:r>
            <w:r w:rsidR="006C680D" w:rsidRPr="004577D3">
              <w:rPr>
                <w:sz w:val="20"/>
                <w:szCs w:val="20"/>
              </w:rPr>
              <w:t xml:space="preserve"> </w:t>
            </w:r>
            <w:r w:rsidRPr="004577D3">
              <w:rPr>
                <w:sz w:val="20"/>
                <w:szCs w:val="20"/>
              </w:rPr>
              <w:t>онлайн-банк,</w:t>
            </w:r>
            <w:r w:rsidR="006C680D" w:rsidRPr="004577D3">
              <w:rPr>
                <w:sz w:val="20"/>
                <w:szCs w:val="20"/>
              </w:rPr>
              <w:t xml:space="preserve"> </w:t>
            </w:r>
            <w:r w:rsidRPr="004577D3">
              <w:rPr>
                <w:sz w:val="20"/>
                <w:szCs w:val="20"/>
              </w:rPr>
              <w:t>отделения.</w:t>
            </w:r>
            <w:r w:rsidR="006C680D" w:rsidRPr="004577D3">
              <w:rPr>
                <w:sz w:val="20"/>
                <w:szCs w:val="20"/>
              </w:rPr>
              <w:t xml:space="preserve"> </w:t>
            </w:r>
            <w:r w:rsidRPr="004577D3">
              <w:rPr>
                <w:sz w:val="20"/>
                <w:szCs w:val="20"/>
              </w:rPr>
              <w:t>Акцент</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простые</w:t>
            </w:r>
            <w:r w:rsidR="006C680D" w:rsidRPr="004577D3">
              <w:rPr>
                <w:sz w:val="20"/>
                <w:szCs w:val="20"/>
              </w:rPr>
              <w:t xml:space="preserve"> </w:t>
            </w:r>
            <w:r w:rsidRPr="004577D3">
              <w:rPr>
                <w:sz w:val="20"/>
                <w:szCs w:val="20"/>
              </w:rPr>
              <w:t>продукты</w:t>
            </w:r>
            <w:r w:rsidR="006C680D" w:rsidRPr="004577D3">
              <w:rPr>
                <w:sz w:val="20"/>
                <w:szCs w:val="20"/>
              </w:rPr>
              <w:t xml:space="preserve"> </w:t>
            </w:r>
            <w:r w:rsidRPr="004577D3">
              <w:rPr>
                <w:sz w:val="20"/>
                <w:szCs w:val="20"/>
              </w:rPr>
              <w:t>(ДМС,</w:t>
            </w:r>
            <w:r w:rsidR="006C680D" w:rsidRPr="004577D3">
              <w:rPr>
                <w:sz w:val="20"/>
                <w:szCs w:val="20"/>
              </w:rPr>
              <w:t xml:space="preserve"> </w:t>
            </w:r>
            <w:r w:rsidRPr="004577D3">
              <w:rPr>
                <w:sz w:val="20"/>
                <w:szCs w:val="20"/>
              </w:rPr>
              <w:t>НСЖ)</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массовой</w:t>
            </w:r>
            <w:r w:rsidR="006C680D" w:rsidRPr="004577D3">
              <w:rPr>
                <w:sz w:val="20"/>
                <w:szCs w:val="20"/>
              </w:rPr>
              <w:t xml:space="preserve"> </w:t>
            </w:r>
            <w:r w:rsidRPr="004577D3">
              <w:rPr>
                <w:sz w:val="20"/>
                <w:szCs w:val="20"/>
              </w:rPr>
              <w:t>аудитории.</w:t>
            </w:r>
            <w:r w:rsidR="006C680D" w:rsidRPr="004577D3">
              <w:rPr>
                <w:sz w:val="20"/>
                <w:szCs w:val="20"/>
              </w:rPr>
              <w:t xml:space="preserve"> </w:t>
            </w:r>
          </w:p>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АльфаСтрахование</w:t>
            </w:r>
            <w:r w:rsidR="006C680D" w:rsidRPr="004577D3">
              <w:rPr>
                <w:sz w:val="20"/>
                <w:szCs w:val="20"/>
              </w:rPr>
              <w:t xml:space="preserve"> </w:t>
            </w:r>
            <w:r w:rsidRPr="004577D3">
              <w:rPr>
                <w:sz w:val="20"/>
                <w:szCs w:val="20"/>
              </w:rPr>
              <w:t>(Альфа-Групп):</w:t>
            </w:r>
            <w:r w:rsidR="006C680D" w:rsidRPr="004577D3">
              <w:rPr>
                <w:sz w:val="20"/>
                <w:szCs w:val="20"/>
              </w:rPr>
              <w:t xml:space="preserve"> </w:t>
            </w:r>
            <w:r w:rsidRPr="004577D3">
              <w:rPr>
                <w:sz w:val="20"/>
                <w:szCs w:val="20"/>
              </w:rPr>
              <w:t>часть</w:t>
            </w:r>
            <w:r w:rsidR="006C680D" w:rsidRPr="004577D3">
              <w:rPr>
                <w:sz w:val="20"/>
                <w:szCs w:val="20"/>
              </w:rPr>
              <w:t xml:space="preserve"> </w:t>
            </w:r>
            <w:r w:rsidRPr="004577D3">
              <w:rPr>
                <w:sz w:val="20"/>
                <w:szCs w:val="20"/>
              </w:rPr>
              <w:t>экосистемы</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банком,</w:t>
            </w:r>
            <w:r w:rsidR="006C680D" w:rsidRPr="004577D3">
              <w:rPr>
                <w:sz w:val="20"/>
                <w:szCs w:val="20"/>
              </w:rPr>
              <w:t xml:space="preserve"> </w:t>
            </w:r>
            <w:r w:rsidRPr="004577D3">
              <w:rPr>
                <w:sz w:val="20"/>
                <w:szCs w:val="20"/>
              </w:rPr>
              <w:t>телекомом,</w:t>
            </w:r>
            <w:r w:rsidR="006C680D" w:rsidRPr="004577D3">
              <w:rPr>
                <w:sz w:val="20"/>
                <w:szCs w:val="20"/>
              </w:rPr>
              <w:t xml:space="preserve"> </w:t>
            </w:r>
            <w:r w:rsidRPr="004577D3">
              <w:rPr>
                <w:sz w:val="20"/>
                <w:szCs w:val="20"/>
              </w:rPr>
              <w:t>ритейлом.</w:t>
            </w:r>
            <w:r w:rsidR="006C680D" w:rsidRPr="004577D3">
              <w:rPr>
                <w:sz w:val="20"/>
                <w:szCs w:val="20"/>
              </w:rPr>
              <w:t xml:space="preserve"> </w:t>
            </w:r>
            <w:r w:rsidRPr="004577D3">
              <w:rPr>
                <w:sz w:val="20"/>
                <w:szCs w:val="20"/>
              </w:rPr>
              <w:t>Сильные</w:t>
            </w:r>
            <w:r w:rsidR="006C680D" w:rsidRPr="004577D3">
              <w:rPr>
                <w:sz w:val="20"/>
                <w:szCs w:val="20"/>
              </w:rPr>
              <w:t xml:space="preserve"> </w:t>
            </w:r>
            <w:r w:rsidRPr="004577D3">
              <w:rPr>
                <w:sz w:val="20"/>
                <w:szCs w:val="20"/>
              </w:rPr>
              <w:t>digital-каналы.</w:t>
            </w:r>
            <w:r w:rsidRPr="004577D3">
              <w:rPr>
                <w:sz w:val="20"/>
                <w:szCs w:val="20"/>
              </w:rPr>
              <w:br/>
              <w:t>•</w:t>
            </w:r>
            <w:r w:rsidR="006C680D" w:rsidRPr="004577D3">
              <w:rPr>
                <w:sz w:val="20"/>
                <w:szCs w:val="20"/>
              </w:rPr>
              <w:t xml:space="preserve"> </w:t>
            </w:r>
            <w:r w:rsidRPr="004577D3">
              <w:rPr>
                <w:sz w:val="20"/>
                <w:szCs w:val="20"/>
              </w:rPr>
              <w:t>РСХБ-Страхование</w:t>
            </w:r>
            <w:r w:rsidR="006C680D" w:rsidRPr="004577D3">
              <w:rPr>
                <w:sz w:val="20"/>
                <w:szCs w:val="20"/>
              </w:rPr>
              <w:t xml:space="preserve"> </w:t>
            </w:r>
            <w:r w:rsidRPr="004577D3">
              <w:rPr>
                <w:sz w:val="20"/>
                <w:szCs w:val="20"/>
              </w:rPr>
              <w:t>(Россельхозбанк):</w:t>
            </w:r>
            <w:r w:rsidR="006C680D" w:rsidRPr="004577D3">
              <w:rPr>
                <w:sz w:val="20"/>
                <w:szCs w:val="20"/>
              </w:rPr>
              <w:t xml:space="preserve"> </w:t>
            </w:r>
            <w:r w:rsidRPr="004577D3">
              <w:rPr>
                <w:sz w:val="20"/>
                <w:szCs w:val="20"/>
              </w:rPr>
              <w:t>лидерство</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аграрном</w:t>
            </w:r>
            <w:r w:rsidR="006C680D" w:rsidRPr="004577D3">
              <w:rPr>
                <w:sz w:val="20"/>
                <w:szCs w:val="20"/>
              </w:rPr>
              <w:t xml:space="preserve"> </w:t>
            </w:r>
            <w:r w:rsidRPr="004577D3">
              <w:rPr>
                <w:sz w:val="20"/>
                <w:szCs w:val="20"/>
              </w:rPr>
              <w:t>страховании</w:t>
            </w:r>
            <w:r w:rsidR="006C680D" w:rsidRPr="004577D3">
              <w:rPr>
                <w:sz w:val="20"/>
                <w:szCs w:val="20"/>
              </w:rPr>
              <w:t xml:space="preserve"> </w:t>
            </w:r>
            <w:r w:rsidRPr="004577D3">
              <w:rPr>
                <w:sz w:val="20"/>
                <w:szCs w:val="20"/>
              </w:rPr>
              <w:t>со</w:t>
            </w:r>
            <w:r w:rsidR="006C680D" w:rsidRPr="004577D3">
              <w:rPr>
                <w:sz w:val="20"/>
                <w:szCs w:val="20"/>
              </w:rPr>
              <w:t xml:space="preserve"> </w:t>
            </w:r>
            <w:r w:rsidRPr="004577D3">
              <w:rPr>
                <w:sz w:val="20"/>
                <w:szCs w:val="20"/>
              </w:rPr>
              <w:t>господдержкой</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сеть</w:t>
            </w:r>
            <w:r w:rsidR="006C680D" w:rsidRPr="004577D3">
              <w:rPr>
                <w:sz w:val="20"/>
                <w:szCs w:val="20"/>
              </w:rPr>
              <w:t xml:space="preserve"> </w:t>
            </w:r>
            <w:r w:rsidRPr="004577D3">
              <w:rPr>
                <w:sz w:val="20"/>
                <w:szCs w:val="20"/>
              </w:rPr>
              <w:t>банка.</w:t>
            </w:r>
          </w:p>
        </w:tc>
      </w:tr>
      <w:tr w:rsidR="00D337FA" w:rsidRPr="004577D3" w:rsidTr="00B91B4B">
        <w:tc>
          <w:tcPr>
            <w:tcW w:w="1977" w:type="dxa"/>
          </w:tcPr>
          <w:p w:rsidR="00B91B4B" w:rsidRPr="004577D3" w:rsidRDefault="00B91B4B" w:rsidP="000C1FE6">
            <w:pPr>
              <w:tabs>
                <w:tab w:val="left" w:pos="993"/>
              </w:tabs>
              <w:ind w:firstLine="0"/>
              <w:rPr>
                <w:sz w:val="20"/>
                <w:szCs w:val="20"/>
              </w:rPr>
            </w:pPr>
            <w:r w:rsidRPr="004577D3">
              <w:rPr>
                <w:sz w:val="20"/>
                <w:szCs w:val="20"/>
              </w:rPr>
              <w:t>Специализация</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экспертиза</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нише</w:t>
            </w:r>
          </w:p>
        </w:tc>
        <w:tc>
          <w:tcPr>
            <w:tcW w:w="2696" w:type="dxa"/>
          </w:tcPr>
          <w:p w:rsidR="00B91B4B" w:rsidRPr="004577D3" w:rsidRDefault="00B91B4B" w:rsidP="000C1FE6">
            <w:pPr>
              <w:tabs>
                <w:tab w:val="left" w:pos="993"/>
              </w:tabs>
              <w:ind w:firstLine="0"/>
              <w:rPr>
                <w:sz w:val="20"/>
                <w:szCs w:val="20"/>
              </w:rPr>
            </w:pPr>
            <w:r w:rsidRPr="004577D3">
              <w:rPr>
                <w:sz w:val="20"/>
                <w:szCs w:val="20"/>
              </w:rPr>
              <w:t>Лидерство</w:t>
            </w:r>
            <w:r w:rsidR="006C680D" w:rsidRPr="004577D3">
              <w:rPr>
                <w:sz w:val="20"/>
                <w:szCs w:val="20"/>
              </w:rPr>
              <w:t xml:space="preserve"> </w:t>
            </w:r>
            <w:r w:rsidRPr="004577D3">
              <w:rPr>
                <w:sz w:val="20"/>
                <w:szCs w:val="20"/>
              </w:rPr>
              <w:t>не</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общим</w:t>
            </w:r>
            <w:r w:rsidR="006C680D" w:rsidRPr="004577D3">
              <w:rPr>
                <w:sz w:val="20"/>
                <w:szCs w:val="20"/>
              </w:rPr>
              <w:t xml:space="preserve"> </w:t>
            </w:r>
            <w:r w:rsidRPr="004577D3">
              <w:rPr>
                <w:sz w:val="20"/>
                <w:szCs w:val="20"/>
              </w:rPr>
              <w:t>объемам,</w:t>
            </w:r>
            <w:r w:rsidR="006C680D" w:rsidRPr="004577D3">
              <w:rPr>
                <w:sz w:val="20"/>
                <w:szCs w:val="20"/>
              </w:rPr>
              <w:t xml:space="preserve"> </w:t>
            </w:r>
            <w:r w:rsidRPr="004577D3">
              <w:rPr>
                <w:sz w:val="20"/>
                <w:szCs w:val="20"/>
              </w:rPr>
              <w:t>а</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высокомаржинальных</w:t>
            </w:r>
            <w:r w:rsidR="006C680D" w:rsidRPr="004577D3">
              <w:rPr>
                <w:sz w:val="20"/>
                <w:szCs w:val="20"/>
              </w:rPr>
              <w:t xml:space="preserve"> </w:t>
            </w:r>
            <w:r w:rsidRPr="004577D3">
              <w:rPr>
                <w:sz w:val="20"/>
                <w:szCs w:val="20"/>
              </w:rPr>
              <w:t>или</w:t>
            </w:r>
            <w:r w:rsidR="006C680D" w:rsidRPr="004577D3">
              <w:rPr>
                <w:sz w:val="20"/>
                <w:szCs w:val="20"/>
              </w:rPr>
              <w:t xml:space="preserve"> </w:t>
            </w:r>
            <w:r w:rsidRPr="004577D3">
              <w:rPr>
                <w:sz w:val="20"/>
                <w:szCs w:val="20"/>
              </w:rPr>
              <w:t>сложных</w:t>
            </w:r>
            <w:r w:rsidR="006C680D" w:rsidRPr="004577D3">
              <w:rPr>
                <w:sz w:val="20"/>
                <w:szCs w:val="20"/>
              </w:rPr>
              <w:t xml:space="preserve"> </w:t>
            </w:r>
            <w:r w:rsidRPr="004577D3">
              <w:rPr>
                <w:sz w:val="20"/>
                <w:szCs w:val="20"/>
              </w:rPr>
              <w:t>сегментах,</w:t>
            </w:r>
            <w:r w:rsidR="006C680D" w:rsidRPr="004577D3">
              <w:rPr>
                <w:sz w:val="20"/>
                <w:szCs w:val="20"/>
              </w:rPr>
              <w:t xml:space="preserve"> </w:t>
            </w:r>
            <w:r w:rsidRPr="004577D3">
              <w:rPr>
                <w:sz w:val="20"/>
                <w:szCs w:val="20"/>
              </w:rPr>
              <w:t>где</w:t>
            </w:r>
            <w:r w:rsidR="006C680D" w:rsidRPr="004577D3">
              <w:rPr>
                <w:sz w:val="20"/>
                <w:szCs w:val="20"/>
              </w:rPr>
              <w:t xml:space="preserve"> </w:t>
            </w:r>
            <w:r w:rsidRPr="004577D3">
              <w:rPr>
                <w:sz w:val="20"/>
                <w:szCs w:val="20"/>
              </w:rPr>
              <w:t>нужна</w:t>
            </w:r>
            <w:r w:rsidR="006C680D" w:rsidRPr="004577D3">
              <w:rPr>
                <w:sz w:val="20"/>
                <w:szCs w:val="20"/>
              </w:rPr>
              <w:t xml:space="preserve"> </w:t>
            </w:r>
            <w:r w:rsidRPr="004577D3">
              <w:rPr>
                <w:sz w:val="20"/>
                <w:szCs w:val="20"/>
              </w:rPr>
              <w:t>глубокая</w:t>
            </w:r>
            <w:r w:rsidR="006C680D" w:rsidRPr="004577D3">
              <w:rPr>
                <w:sz w:val="20"/>
                <w:szCs w:val="20"/>
              </w:rPr>
              <w:t xml:space="preserve"> </w:t>
            </w:r>
            <w:r w:rsidRPr="004577D3">
              <w:rPr>
                <w:sz w:val="20"/>
                <w:szCs w:val="20"/>
              </w:rPr>
              <w:t>экспертиза.</w:t>
            </w:r>
          </w:p>
        </w:tc>
        <w:tc>
          <w:tcPr>
            <w:tcW w:w="5074" w:type="dxa"/>
          </w:tcPr>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Абсолют</w:t>
            </w:r>
            <w:r w:rsidR="006C680D" w:rsidRPr="004577D3">
              <w:rPr>
                <w:sz w:val="20"/>
                <w:szCs w:val="20"/>
              </w:rPr>
              <w:t xml:space="preserve"> </w:t>
            </w:r>
            <w:r w:rsidRPr="004577D3">
              <w:rPr>
                <w:sz w:val="20"/>
                <w:szCs w:val="20"/>
              </w:rPr>
              <w:t>Страхование:</w:t>
            </w:r>
            <w:r w:rsidR="006C680D" w:rsidRPr="004577D3">
              <w:rPr>
                <w:sz w:val="20"/>
                <w:szCs w:val="20"/>
              </w:rPr>
              <w:t xml:space="preserve"> </w:t>
            </w:r>
            <w:r w:rsidRPr="004577D3">
              <w:rPr>
                <w:sz w:val="20"/>
                <w:szCs w:val="20"/>
              </w:rPr>
              <w:t>исторический</w:t>
            </w:r>
            <w:r w:rsidR="006C680D" w:rsidRPr="004577D3">
              <w:rPr>
                <w:sz w:val="20"/>
                <w:szCs w:val="20"/>
              </w:rPr>
              <w:t xml:space="preserve"> </w:t>
            </w:r>
            <w:r w:rsidRPr="004577D3">
              <w:rPr>
                <w:sz w:val="20"/>
                <w:szCs w:val="20"/>
              </w:rPr>
              <w:t>лидер</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КАСКО</w:t>
            </w:r>
            <w:r w:rsidR="006C680D" w:rsidRPr="004577D3">
              <w:rPr>
                <w:sz w:val="20"/>
                <w:szCs w:val="20"/>
              </w:rPr>
              <w:t xml:space="preserve"> </w:t>
            </w:r>
            <w:r w:rsidRPr="004577D3">
              <w:rPr>
                <w:sz w:val="20"/>
                <w:szCs w:val="20"/>
              </w:rPr>
              <w:t>(высокие</w:t>
            </w:r>
            <w:r w:rsidR="006C680D" w:rsidRPr="004577D3">
              <w:rPr>
                <w:sz w:val="20"/>
                <w:szCs w:val="20"/>
              </w:rPr>
              <w:t xml:space="preserve"> </w:t>
            </w:r>
            <w:r w:rsidRPr="004577D3">
              <w:rPr>
                <w:sz w:val="20"/>
                <w:szCs w:val="20"/>
              </w:rPr>
              <w:t>тарифы,</w:t>
            </w:r>
            <w:r w:rsidR="006C680D" w:rsidRPr="004577D3">
              <w:rPr>
                <w:sz w:val="20"/>
                <w:szCs w:val="20"/>
              </w:rPr>
              <w:t xml:space="preserve"> </w:t>
            </w:r>
            <w:r w:rsidRPr="004577D3">
              <w:rPr>
                <w:sz w:val="20"/>
                <w:szCs w:val="20"/>
              </w:rPr>
              <w:t>экспертиза</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урегулировании).</w:t>
            </w:r>
          </w:p>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Капитал</w:t>
            </w:r>
            <w:r w:rsidR="006C680D" w:rsidRPr="004577D3">
              <w:rPr>
                <w:sz w:val="20"/>
                <w:szCs w:val="20"/>
              </w:rPr>
              <w:t xml:space="preserve"> </w:t>
            </w:r>
            <w:r w:rsidRPr="004577D3">
              <w:rPr>
                <w:sz w:val="20"/>
                <w:szCs w:val="20"/>
              </w:rPr>
              <w:t>Life</w:t>
            </w:r>
            <w:r w:rsidR="006C680D" w:rsidRPr="004577D3">
              <w:rPr>
                <w:sz w:val="20"/>
                <w:szCs w:val="20"/>
              </w:rPr>
              <w:t xml:space="preserve"> </w:t>
            </w:r>
            <w:r w:rsidRPr="004577D3">
              <w:rPr>
                <w:sz w:val="20"/>
                <w:szCs w:val="20"/>
              </w:rPr>
              <w:t>(Совкомбанк):</w:t>
            </w:r>
            <w:r w:rsidR="006C680D" w:rsidRPr="004577D3">
              <w:rPr>
                <w:sz w:val="20"/>
                <w:szCs w:val="20"/>
              </w:rPr>
              <w:t xml:space="preserve"> </w:t>
            </w:r>
            <w:r w:rsidRPr="004577D3">
              <w:rPr>
                <w:sz w:val="20"/>
                <w:szCs w:val="20"/>
              </w:rPr>
              <w:t>фокус</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страховании</w:t>
            </w:r>
            <w:r w:rsidR="006C680D" w:rsidRPr="004577D3">
              <w:rPr>
                <w:sz w:val="20"/>
                <w:szCs w:val="20"/>
              </w:rPr>
              <w:t xml:space="preserve"> </w:t>
            </w:r>
            <w:r w:rsidRPr="004577D3">
              <w:rPr>
                <w:sz w:val="20"/>
                <w:szCs w:val="20"/>
              </w:rPr>
              <w:t>жизни</w:t>
            </w:r>
            <w:r w:rsidR="006C680D" w:rsidRPr="004577D3">
              <w:rPr>
                <w:sz w:val="20"/>
                <w:szCs w:val="20"/>
              </w:rPr>
              <w:t xml:space="preserve"> </w:t>
            </w:r>
            <w:r w:rsidRPr="004577D3">
              <w:rPr>
                <w:sz w:val="20"/>
                <w:szCs w:val="20"/>
              </w:rPr>
              <w:t>(ИСЖ/НСЖ),</w:t>
            </w:r>
            <w:r w:rsidR="006C680D" w:rsidRPr="004577D3">
              <w:rPr>
                <w:sz w:val="20"/>
                <w:szCs w:val="20"/>
              </w:rPr>
              <w:t xml:space="preserve"> </w:t>
            </w:r>
            <w:r w:rsidRPr="004577D3">
              <w:rPr>
                <w:sz w:val="20"/>
                <w:szCs w:val="20"/>
              </w:rPr>
              <w:t>где</w:t>
            </w:r>
            <w:r w:rsidR="006C680D" w:rsidRPr="004577D3">
              <w:rPr>
                <w:sz w:val="20"/>
                <w:szCs w:val="20"/>
              </w:rPr>
              <w:t xml:space="preserve"> </w:t>
            </w:r>
            <w:r w:rsidRPr="004577D3">
              <w:rPr>
                <w:sz w:val="20"/>
                <w:szCs w:val="20"/>
              </w:rPr>
              <w:t>у</w:t>
            </w:r>
            <w:r w:rsidR="006C680D" w:rsidRPr="004577D3">
              <w:rPr>
                <w:sz w:val="20"/>
                <w:szCs w:val="20"/>
              </w:rPr>
              <w:t xml:space="preserve"> </w:t>
            </w:r>
            <w:r w:rsidRPr="004577D3">
              <w:rPr>
                <w:sz w:val="20"/>
                <w:szCs w:val="20"/>
              </w:rPr>
              <w:t>Совкомбанка</w:t>
            </w:r>
            <w:r w:rsidR="006C680D" w:rsidRPr="004577D3">
              <w:rPr>
                <w:sz w:val="20"/>
                <w:szCs w:val="20"/>
              </w:rPr>
              <w:t xml:space="preserve"> </w:t>
            </w:r>
            <w:r w:rsidRPr="004577D3">
              <w:rPr>
                <w:sz w:val="20"/>
                <w:szCs w:val="20"/>
              </w:rPr>
              <w:t>сильные</w:t>
            </w:r>
            <w:r w:rsidR="006C680D" w:rsidRPr="004577D3">
              <w:rPr>
                <w:sz w:val="20"/>
                <w:szCs w:val="20"/>
              </w:rPr>
              <w:t xml:space="preserve"> </w:t>
            </w:r>
            <w:r w:rsidRPr="004577D3">
              <w:rPr>
                <w:sz w:val="20"/>
                <w:szCs w:val="20"/>
              </w:rPr>
              <w:t>позиции.</w:t>
            </w:r>
          </w:p>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Энергогарант:</w:t>
            </w:r>
            <w:r w:rsidR="006C680D" w:rsidRPr="004577D3">
              <w:rPr>
                <w:sz w:val="20"/>
                <w:szCs w:val="20"/>
              </w:rPr>
              <w:t xml:space="preserve"> </w:t>
            </w:r>
            <w:r w:rsidRPr="004577D3">
              <w:rPr>
                <w:sz w:val="20"/>
                <w:szCs w:val="20"/>
              </w:rPr>
              <w:t>специализация</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тендерном</w:t>
            </w:r>
            <w:r w:rsidR="006C680D" w:rsidRPr="004577D3">
              <w:rPr>
                <w:sz w:val="20"/>
                <w:szCs w:val="20"/>
              </w:rPr>
              <w:t xml:space="preserve"> </w:t>
            </w:r>
            <w:r w:rsidRPr="004577D3">
              <w:rPr>
                <w:sz w:val="20"/>
                <w:szCs w:val="20"/>
              </w:rPr>
              <w:t>гарантировании</w:t>
            </w:r>
            <w:r w:rsidR="006C680D" w:rsidRPr="004577D3">
              <w:rPr>
                <w:sz w:val="20"/>
                <w:szCs w:val="20"/>
              </w:rPr>
              <w:t xml:space="preserve"> </w:t>
            </w:r>
            <w:r w:rsidRPr="004577D3">
              <w:rPr>
                <w:sz w:val="20"/>
                <w:szCs w:val="20"/>
              </w:rPr>
              <w:t>(44-ФЗ,</w:t>
            </w:r>
            <w:r w:rsidR="006C680D" w:rsidRPr="004577D3">
              <w:rPr>
                <w:sz w:val="20"/>
                <w:szCs w:val="20"/>
              </w:rPr>
              <w:t xml:space="preserve"> </w:t>
            </w:r>
            <w:r w:rsidRPr="004577D3">
              <w:rPr>
                <w:sz w:val="20"/>
                <w:szCs w:val="20"/>
              </w:rPr>
              <w:t>223-ФЗ)</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огромные</w:t>
            </w:r>
            <w:r w:rsidR="006C680D" w:rsidRPr="004577D3">
              <w:rPr>
                <w:sz w:val="20"/>
                <w:szCs w:val="20"/>
              </w:rPr>
              <w:t xml:space="preserve"> </w:t>
            </w:r>
            <w:r w:rsidRPr="004577D3">
              <w:rPr>
                <w:sz w:val="20"/>
                <w:szCs w:val="20"/>
              </w:rPr>
              <w:t>объемы</w:t>
            </w:r>
            <w:r w:rsidR="006C680D" w:rsidRPr="004577D3">
              <w:rPr>
                <w:sz w:val="20"/>
                <w:szCs w:val="20"/>
              </w:rPr>
              <w:t xml:space="preserve"> </w:t>
            </w:r>
            <w:r w:rsidRPr="004577D3">
              <w:rPr>
                <w:sz w:val="20"/>
                <w:szCs w:val="20"/>
              </w:rPr>
              <w:t>премий</w:t>
            </w:r>
            <w:r w:rsidR="006C680D" w:rsidRPr="004577D3">
              <w:rPr>
                <w:sz w:val="20"/>
                <w:szCs w:val="20"/>
              </w:rPr>
              <w:t xml:space="preserve"> </w:t>
            </w:r>
            <w:r w:rsidRPr="004577D3">
              <w:rPr>
                <w:sz w:val="20"/>
                <w:szCs w:val="20"/>
              </w:rPr>
              <w:t>при</w:t>
            </w:r>
            <w:r w:rsidR="006C680D" w:rsidRPr="004577D3">
              <w:rPr>
                <w:sz w:val="20"/>
                <w:szCs w:val="20"/>
              </w:rPr>
              <w:t xml:space="preserve"> </w:t>
            </w:r>
            <w:r w:rsidRPr="004577D3">
              <w:rPr>
                <w:sz w:val="20"/>
                <w:szCs w:val="20"/>
              </w:rPr>
              <w:t>низкой</w:t>
            </w:r>
            <w:r w:rsidR="006C680D" w:rsidRPr="004577D3">
              <w:rPr>
                <w:sz w:val="20"/>
                <w:szCs w:val="20"/>
              </w:rPr>
              <w:t xml:space="preserve"> </w:t>
            </w:r>
            <w:r w:rsidRPr="004577D3">
              <w:rPr>
                <w:sz w:val="20"/>
                <w:szCs w:val="20"/>
              </w:rPr>
              <w:t>убыточности.</w:t>
            </w:r>
          </w:p>
        </w:tc>
      </w:tr>
      <w:tr w:rsidR="00D337FA" w:rsidRPr="004577D3" w:rsidTr="00B91B4B">
        <w:tc>
          <w:tcPr>
            <w:tcW w:w="1977" w:type="dxa"/>
          </w:tcPr>
          <w:p w:rsidR="00B91B4B" w:rsidRPr="004577D3" w:rsidRDefault="00B91B4B" w:rsidP="000C1FE6">
            <w:pPr>
              <w:tabs>
                <w:tab w:val="left" w:pos="993"/>
              </w:tabs>
              <w:ind w:firstLine="0"/>
              <w:rPr>
                <w:sz w:val="20"/>
                <w:szCs w:val="20"/>
              </w:rPr>
            </w:pPr>
            <w:r w:rsidRPr="004577D3">
              <w:rPr>
                <w:sz w:val="20"/>
                <w:szCs w:val="20"/>
              </w:rPr>
              <w:t>Операционная</w:t>
            </w:r>
            <w:r w:rsidR="006C680D" w:rsidRPr="004577D3">
              <w:rPr>
                <w:sz w:val="20"/>
                <w:szCs w:val="20"/>
              </w:rPr>
              <w:t xml:space="preserve"> </w:t>
            </w:r>
            <w:r w:rsidRPr="004577D3">
              <w:rPr>
                <w:sz w:val="20"/>
                <w:szCs w:val="20"/>
              </w:rPr>
              <w:t>эффективность</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клиентский</w:t>
            </w:r>
            <w:r w:rsidR="006C680D" w:rsidRPr="004577D3">
              <w:rPr>
                <w:sz w:val="20"/>
                <w:szCs w:val="20"/>
              </w:rPr>
              <w:t xml:space="preserve"> </w:t>
            </w:r>
            <w:r w:rsidRPr="004577D3">
              <w:rPr>
                <w:sz w:val="20"/>
                <w:szCs w:val="20"/>
              </w:rPr>
              <w:t>опыт</w:t>
            </w:r>
          </w:p>
        </w:tc>
        <w:tc>
          <w:tcPr>
            <w:tcW w:w="2696" w:type="dxa"/>
          </w:tcPr>
          <w:p w:rsidR="00B91B4B" w:rsidRPr="004577D3" w:rsidRDefault="00B91B4B" w:rsidP="000C1FE6">
            <w:pPr>
              <w:tabs>
                <w:tab w:val="left" w:pos="993"/>
              </w:tabs>
              <w:ind w:firstLine="0"/>
              <w:rPr>
                <w:sz w:val="20"/>
                <w:szCs w:val="20"/>
              </w:rPr>
            </w:pPr>
            <w:r w:rsidRPr="004577D3">
              <w:rPr>
                <w:sz w:val="20"/>
                <w:szCs w:val="20"/>
              </w:rPr>
              <w:t>Лидерство</w:t>
            </w:r>
            <w:r w:rsidR="006C680D" w:rsidRPr="004577D3">
              <w:rPr>
                <w:sz w:val="20"/>
                <w:szCs w:val="20"/>
              </w:rPr>
              <w:t xml:space="preserve"> </w:t>
            </w:r>
            <w:r w:rsidRPr="004577D3">
              <w:rPr>
                <w:sz w:val="20"/>
                <w:szCs w:val="20"/>
              </w:rPr>
              <w:t>за</w:t>
            </w:r>
            <w:r w:rsidR="006C680D" w:rsidRPr="004577D3">
              <w:rPr>
                <w:sz w:val="20"/>
                <w:szCs w:val="20"/>
              </w:rPr>
              <w:t xml:space="preserve"> </w:t>
            </w:r>
            <w:r w:rsidRPr="004577D3">
              <w:rPr>
                <w:sz w:val="20"/>
                <w:szCs w:val="20"/>
              </w:rPr>
              <w:t>счет</w:t>
            </w:r>
            <w:r w:rsidR="006C680D" w:rsidRPr="004577D3">
              <w:rPr>
                <w:sz w:val="20"/>
                <w:szCs w:val="20"/>
              </w:rPr>
              <w:t xml:space="preserve"> </w:t>
            </w:r>
            <w:r w:rsidRPr="004577D3">
              <w:rPr>
                <w:sz w:val="20"/>
                <w:szCs w:val="20"/>
              </w:rPr>
              <w:t>лучших</w:t>
            </w:r>
            <w:r w:rsidR="006C680D" w:rsidRPr="004577D3">
              <w:rPr>
                <w:sz w:val="20"/>
                <w:szCs w:val="20"/>
              </w:rPr>
              <w:t xml:space="preserve"> </w:t>
            </w:r>
            <w:r w:rsidRPr="004577D3">
              <w:rPr>
                <w:sz w:val="20"/>
                <w:szCs w:val="20"/>
              </w:rPr>
              <w:t>процессов,</w:t>
            </w:r>
            <w:r w:rsidR="006C680D" w:rsidRPr="004577D3">
              <w:rPr>
                <w:sz w:val="20"/>
                <w:szCs w:val="20"/>
              </w:rPr>
              <w:t xml:space="preserve"> </w:t>
            </w:r>
            <w:r w:rsidRPr="004577D3">
              <w:rPr>
                <w:sz w:val="20"/>
                <w:szCs w:val="20"/>
              </w:rPr>
              <w:t>технологий</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сервиса,</w:t>
            </w:r>
            <w:r w:rsidR="006C680D" w:rsidRPr="004577D3">
              <w:rPr>
                <w:sz w:val="20"/>
                <w:szCs w:val="20"/>
              </w:rPr>
              <w:t xml:space="preserve"> </w:t>
            </w:r>
            <w:r w:rsidRPr="004577D3">
              <w:rPr>
                <w:sz w:val="20"/>
                <w:szCs w:val="20"/>
              </w:rPr>
              <w:t>что</w:t>
            </w:r>
            <w:r w:rsidR="006C680D" w:rsidRPr="004577D3">
              <w:rPr>
                <w:sz w:val="20"/>
                <w:szCs w:val="20"/>
              </w:rPr>
              <w:t xml:space="preserve"> </w:t>
            </w:r>
            <w:r w:rsidRPr="004577D3">
              <w:rPr>
                <w:sz w:val="20"/>
                <w:szCs w:val="20"/>
              </w:rPr>
              <w:t>снижает</w:t>
            </w:r>
            <w:r w:rsidR="006C680D" w:rsidRPr="004577D3">
              <w:rPr>
                <w:sz w:val="20"/>
                <w:szCs w:val="20"/>
              </w:rPr>
              <w:t xml:space="preserve"> </w:t>
            </w:r>
            <w:r w:rsidRPr="004577D3">
              <w:rPr>
                <w:sz w:val="20"/>
                <w:szCs w:val="20"/>
              </w:rPr>
              <w:t>издержки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повышает</w:t>
            </w:r>
            <w:r w:rsidR="006C680D" w:rsidRPr="004577D3">
              <w:rPr>
                <w:sz w:val="20"/>
                <w:szCs w:val="20"/>
              </w:rPr>
              <w:t xml:space="preserve"> </w:t>
            </w:r>
            <w:r w:rsidRPr="004577D3">
              <w:rPr>
                <w:sz w:val="20"/>
                <w:szCs w:val="20"/>
              </w:rPr>
              <w:t>лояльность.</w:t>
            </w:r>
          </w:p>
        </w:tc>
        <w:tc>
          <w:tcPr>
            <w:tcW w:w="5074" w:type="dxa"/>
          </w:tcPr>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Тинькофф</w:t>
            </w:r>
            <w:r w:rsidR="006C680D" w:rsidRPr="004577D3">
              <w:rPr>
                <w:sz w:val="20"/>
                <w:szCs w:val="20"/>
              </w:rPr>
              <w:t xml:space="preserve"> </w:t>
            </w:r>
            <w:r w:rsidRPr="004577D3">
              <w:rPr>
                <w:sz w:val="20"/>
                <w:szCs w:val="20"/>
              </w:rPr>
              <w:t>Страхование:</w:t>
            </w:r>
            <w:r w:rsidR="006C680D" w:rsidRPr="004577D3">
              <w:rPr>
                <w:sz w:val="20"/>
                <w:szCs w:val="20"/>
              </w:rPr>
              <w:t xml:space="preserve"> </w:t>
            </w:r>
            <w:r w:rsidRPr="004577D3">
              <w:rPr>
                <w:sz w:val="20"/>
                <w:szCs w:val="20"/>
              </w:rPr>
              <w:t>полностью</w:t>
            </w:r>
            <w:r w:rsidR="006C680D" w:rsidRPr="004577D3">
              <w:rPr>
                <w:sz w:val="20"/>
                <w:szCs w:val="20"/>
              </w:rPr>
              <w:t xml:space="preserve"> </w:t>
            </w:r>
            <w:r w:rsidRPr="004577D3">
              <w:rPr>
                <w:sz w:val="20"/>
                <w:szCs w:val="20"/>
              </w:rPr>
              <w:t>цифровая</w:t>
            </w:r>
            <w:r w:rsidR="006C680D" w:rsidRPr="004577D3">
              <w:rPr>
                <w:sz w:val="20"/>
                <w:szCs w:val="20"/>
              </w:rPr>
              <w:t xml:space="preserve"> </w:t>
            </w:r>
            <w:r w:rsidRPr="004577D3">
              <w:rPr>
                <w:sz w:val="20"/>
                <w:szCs w:val="20"/>
              </w:rPr>
              <w:t>модель</w:t>
            </w:r>
            <w:r w:rsidR="006C680D" w:rsidRPr="004577D3">
              <w:rPr>
                <w:sz w:val="20"/>
                <w:szCs w:val="20"/>
              </w:rPr>
              <w:t xml:space="preserve"> </w:t>
            </w:r>
            <w:r w:rsidRPr="004577D3">
              <w:rPr>
                <w:sz w:val="20"/>
                <w:szCs w:val="20"/>
              </w:rPr>
              <w:t>от</w:t>
            </w:r>
            <w:r w:rsidR="006C680D" w:rsidRPr="004577D3">
              <w:rPr>
                <w:sz w:val="20"/>
                <w:szCs w:val="20"/>
              </w:rPr>
              <w:t xml:space="preserve"> </w:t>
            </w:r>
            <w:r w:rsidRPr="004577D3">
              <w:rPr>
                <w:sz w:val="20"/>
                <w:szCs w:val="20"/>
              </w:rPr>
              <w:t>продаж</w:t>
            </w:r>
            <w:r w:rsidR="006C680D" w:rsidRPr="004577D3">
              <w:rPr>
                <w:sz w:val="20"/>
                <w:szCs w:val="20"/>
              </w:rPr>
              <w:t xml:space="preserve"> </w:t>
            </w:r>
            <w:r w:rsidRPr="004577D3">
              <w:rPr>
                <w:sz w:val="20"/>
                <w:szCs w:val="20"/>
              </w:rPr>
              <w:t>до</w:t>
            </w:r>
            <w:r w:rsidR="006C680D" w:rsidRPr="004577D3">
              <w:rPr>
                <w:sz w:val="20"/>
                <w:szCs w:val="20"/>
              </w:rPr>
              <w:t xml:space="preserve"> </w:t>
            </w:r>
            <w:r w:rsidRPr="004577D3">
              <w:rPr>
                <w:sz w:val="20"/>
                <w:szCs w:val="20"/>
              </w:rPr>
              <w:t>урегулирования.</w:t>
            </w:r>
            <w:r w:rsidR="006C680D" w:rsidRPr="004577D3">
              <w:rPr>
                <w:sz w:val="20"/>
                <w:szCs w:val="20"/>
              </w:rPr>
              <w:t xml:space="preserve"> </w:t>
            </w:r>
            <w:r w:rsidRPr="004577D3">
              <w:rPr>
                <w:sz w:val="20"/>
                <w:szCs w:val="20"/>
              </w:rPr>
              <w:t>Акцент</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удобство</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скорость</w:t>
            </w:r>
            <w:r w:rsidR="006C680D" w:rsidRPr="004577D3">
              <w:rPr>
                <w:sz w:val="20"/>
                <w:szCs w:val="20"/>
              </w:rPr>
              <w:t xml:space="preserve"> </w:t>
            </w:r>
            <w:r w:rsidRPr="004577D3">
              <w:rPr>
                <w:sz w:val="20"/>
                <w:szCs w:val="20"/>
              </w:rPr>
              <w:t>(выплаты</w:t>
            </w:r>
            <w:r w:rsidR="006C680D" w:rsidRPr="004577D3">
              <w:rPr>
                <w:sz w:val="20"/>
                <w:szCs w:val="20"/>
              </w:rPr>
              <w:t xml:space="preserve"> </w:t>
            </w:r>
            <w:r w:rsidRPr="004577D3">
              <w:rPr>
                <w:sz w:val="20"/>
                <w:szCs w:val="20"/>
              </w:rPr>
              <w:t>за</w:t>
            </w:r>
            <w:r w:rsidR="006C680D" w:rsidRPr="004577D3">
              <w:rPr>
                <w:sz w:val="20"/>
                <w:szCs w:val="20"/>
              </w:rPr>
              <w:t xml:space="preserve"> </w:t>
            </w:r>
            <w:r w:rsidRPr="004577D3">
              <w:rPr>
                <w:sz w:val="20"/>
                <w:szCs w:val="20"/>
              </w:rPr>
              <w:t>час).</w:t>
            </w:r>
            <w:r w:rsidR="006C680D" w:rsidRPr="004577D3">
              <w:rPr>
                <w:sz w:val="20"/>
                <w:szCs w:val="20"/>
              </w:rPr>
              <w:t xml:space="preserve"> </w:t>
            </w:r>
            <w:r w:rsidRPr="004577D3">
              <w:rPr>
                <w:sz w:val="20"/>
                <w:szCs w:val="20"/>
              </w:rPr>
              <w:t>Низкие</w:t>
            </w:r>
            <w:r w:rsidR="006C680D" w:rsidRPr="004577D3">
              <w:rPr>
                <w:sz w:val="20"/>
                <w:szCs w:val="20"/>
              </w:rPr>
              <w:t xml:space="preserve"> </w:t>
            </w:r>
            <w:r w:rsidRPr="004577D3">
              <w:rPr>
                <w:sz w:val="20"/>
                <w:szCs w:val="20"/>
              </w:rPr>
              <w:t>операционные</w:t>
            </w:r>
            <w:r w:rsidR="006C680D" w:rsidRPr="004577D3">
              <w:rPr>
                <w:sz w:val="20"/>
                <w:szCs w:val="20"/>
              </w:rPr>
              <w:t xml:space="preserve"> </w:t>
            </w:r>
            <w:r w:rsidRPr="004577D3">
              <w:rPr>
                <w:sz w:val="20"/>
                <w:szCs w:val="20"/>
              </w:rPr>
              <w:t>издержки.</w:t>
            </w:r>
          </w:p>
          <w:p w:rsidR="00B91B4B" w:rsidRPr="004577D3" w:rsidRDefault="006C680D" w:rsidP="000C1FE6">
            <w:pPr>
              <w:tabs>
                <w:tab w:val="left" w:pos="993"/>
              </w:tabs>
              <w:ind w:firstLine="0"/>
              <w:rPr>
                <w:sz w:val="20"/>
                <w:szCs w:val="20"/>
              </w:rPr>
            </w:pPr>
            <w:r w:rsidRPr="004577D3">
              <w:rPr>
                <w:sz w:val="20"/>
                <w:szCs w:val="20"/>
              </w:rPr>
              <w:t xml:space="preserve"> </w:t>
            </w:r>
            <w:r w:rsidR="00B91B4B" w:rsidRPr="004577D3">
              <w:rPr>
                <w:sz w:val="20"/>
                <w:szCs w:val="20"/>
              </w:rPr>
              <w:t>•</w:t>
            </w:r>
            <w:r w:rsidRPr="004577D3">
              <w:rPr>
                <w:sz w:val="20"/>
                <w:szCs w:val="20"/>
              </w:rPr>
              <w:t xml:space="preserve"> </w:t>
            </w:r>
            <w:r w:rsidR="00B91B4B" w:rsidRPr="004577D3">
              <w:rPr>
                <w:sz w:val="20"/>
                <w:szCs w:val="20"/>
              </w:rPr>
              <w:t>ВСК:</w:t>
            </w:r>
            <w:r w:rsidRPr="004577D3">
              <w:rPr>
                <w:sz w:val="20"/>
                <w:szCs w:val="20"/>
              </w:rPr>
              <w:t xml:space="preserve"> </w:t>
            </w:r>
            <w:r w:rsidR="00B91B4B" w:rsidRPr="004577D3">
              <w:rPr>
                <w:sz w:val="20"/>
                <w:szCs w:val="20"/>
              </w:rPr>
              <w:t>устойчивый</w:t>
            </w:r>
            <w:r w:rsidRPr="004577D3">
              <w:rPr>
                <w:sz w:val="20"/>
                <w:szCs w:val="20"/>
              </w:rPr>
              <w:t xml:space="preserve"> </w:t>
            </w:r>
            <w:r w:rsidR="00B91B4B" w:rsidRPr="004577D3">
              <w:rPr>
                <w:sz w:val="20"/>
                <w:szCs w:val="20"/>
              </w:rPr>
              <w:t>лидер</w:t>
            </w:r>
            <w:r w:rsidRPr="004577D3">
              <w:rPr>
                <w:sz w:val="20"/>
                <w:szCs w:val="20"/>
              </w:rPr>
              <w:t xml:space="preserve"> </w:t>
            </w:r>
            <w:r w:rsidR="00B91B4B" w:rsidRPr="004577D3">
              <w:rPr>
                <w:sz w:val="20"/>
                <w:szCs w:val="20"/>
              </w:rPr>
              <w:t>в</w:t>
            </w:r>
            <w:r w:rsidRPr="004577D3">
              <w:rPr>
                <w:sz w:val="20"/>
                <w:szCs w:val="20"/>
              </w:rPr>
              <w:t xml:space="preserve"> </w:t>
            </w:r>
            <w:r w:rsidR="00B91B4B" w:rsidRPr="004577D3">
              <w:rPr>
                <w:sz w:val="20"/>
                <w:szCs w:val="20"/>
              </w:rPr>
              <w:t>ДМС,</w:t>
            </w:r>
            <w:r w:rsidRPr="004577D3">
              <w:rPr>
                <w:sz w:val="20"/>
                <w:szCs w:val="20"/>
              </w:rPr>
              <w:t xml:space="preserve"> </w:t>
            </w:r>
            <w:r w:rsidR="00B91B4B" w:rsidRPr="004577D3">
              <w:rPr>
                <w:sz w:val="20"/>
                <w:szCs w:val="20"/>
              </w:rPr>
              <w:t>в</w:t>
            </w:r>
            <w:r w:rsidRPr="004577D3">
              <w:rPr>
                <w:sz w:val="20"/>
                <w:szCs w:val="20"/>
              </w:rPr>
              <w:t xml:space="preserve"> </w:t>
            </w:r>
            <w:r w:rsidR="00B91B4B" w:rsidRPr="004577D3">
              <w:rPr>
                <w:sz w:val="20"/>
                <w:szCs w:val="20"/>
              </w:rPr>
              <w:t>том</w:t>
            </w:r>
            <w:r w:rsidRPr="004577D3">
              <w:rPr>
                <w:sz w:val="20"/>
                <w:szCs w:val="20"/>
              </w:rPr>
              <w:t xml:space="preserve"> </w:t>
            </w:r>
            <w:r w:rsidR="00B91B4B" w:rsidRPr="004577D3">
              <w:rPr>
                <w:sz w:val="20"/>
                <w:szCs w:val="20"/>
              </w:rPr>
              <w:t>числе</w:t>
            </w:r>
            <w:r w:rsidRPr="004577D3">
              <w:rPr>
                <w:sz w:val="20"/>
                <w:szCs w:val="20"/>
              </w:rPr>
              <w:t xml:space="preserve"> </w:t>
            </w:r>
            <w:r w:rsidR="00B91B4B" w:rsidRPr="004577D3">
              <w:rPr>
                <w:sz w:val="20"/>
                <w:szCs w:val="20"/>
              </w:rPr>
              <w:t>для</w:t>
            </w:r>
            <w:r w:rsidRPr="004577D3">
              <w:rPr>
                <w:sz w:val="20"/>
                <w:szCs w:val="20"/>
              </w:rPr>
              <w:t xml:space="preserve"> </w:t>
            </w:r>
            <w:r w:rsidR="00B91B4B" w:rsidRPr="004577D3">
              <w:rPr>
                <w:sz w:val="20"/>
                <w:szCs w:val="20"/>
              </w:rPr>
              <w:t>малого</w:t>
            </w:r>
            <w:r w:rsidRPr="004577D3">
              <w:rPr>
                <w:sz w:val="20"/>
                <w:szCs w:val="20"/>
              </w:rPr>
              <w:t xml:space="preserve"> </w:t>
            </w:r>
            <w:r w:rsidR="00B91B4B" w:rsidRPr="004577D3">
              <w:rPr>
                <w:sz w:val="20"/>
                <w:szCs w:val="20"/>
              </w:rPr>
              <w:t>бизнеса.</w:t>
            </w:r>
            <w:r w:rsidRPr="004577D3">
              <w:rPr>
                <w:sz w:val="20"/>
                <w:szCs w:val="20"/>
              </w:rPr>
              <w:t xml:space="preserve"> </w:t>
            </w:r>
            <w:r w:rsidR="00B91B4B" w:rsidRPr="004577D3">
              <w:rPr>
                <w:sz w:val="20"/>
                <w:szCs w:val="20"/>
              </w:rPr>
              <w:t>Сильная</w:t>
            </w:r>
            <w:r w:rsidRPr="004577D3">
              <w:rPr>
                <w:sz w:val="20"/>
                <w:szCs w:val="20"/>
              </w:rPr>
              <w:t xml:space="preserve"> </w:t>
            </w:r>
            <w:r w:rsidR="00B91B4B" w:rsidRPr="004577D3">
              <w:rPr>
                <w:sz w:val="20"/>
                <w:szCs w:val="20"/>
              </w:rPr>
              <w:t>региональная</w:t>
            </w:r>
            <w:r w:rsidRPr="004577D3">
              <w:rPr>
                <w:sz w:val="20"/>
                <w:szCs w:val="20"/>
              </w:rPr>
              <w:t xml:space="preserve"> </w:t>
            </w:r>
            <w:r w:rsidR="00B91B4B" w:rsidRPr="004577D3">
              <w:rPr>
                <w:sz w:val="20"/>
                <w:szCs w:val="20"/>
              </w:rPr>
              <w:t>сеть</w:t>
            </w:r>
            <w:r w:rsidRPr="004577D3">
              <w:rPr>
                <w:sz w:val="20"/>
                <w:szCs w:val="20"/>
              </w:rPr>
              <w:t xml:space="preserve"> </w:t>
            </w:r>
            <w:r w:rsidR="00B91B4B" w:rsidRPr="004577D3">
              <w:rPr>
                <w:sz w:val="20"/>
                <w:szCs w:val="20"/>
              </w:rPr>
              <w:t>и</w:t>
            </w:r>
            <w:r w:rsidRPr="004577D3">
              <w:rPr>
                <w:sz w:val="20"/>
                <w:szCs w:val="20"/>
              </w:rPr>
              <w:t xml:space="preserve"> </w:t>
            </w:r>
            <w:r w:rsidR="00B91B4B" w:rsidRPr="004577D3">
              <w:rPr>
                <w:sz w:val="20"/>
                <w:szCs w:val="20"/>
              </w:rPr>
              <w:t>репутация</w:t>
            </w:r>
            <w:r w:rsidRPr="004577D3">
              <w:rPr>
                <w:sz w:val="20"/>
                <w:szCs w:val="20"/>
              </w:rPr>
              <w:t xml:space="preserve"> </w:t>
            </w:r>
            <w:r w:rsidR="00B91B4B" w:rsidRPr="004577D3">
              <w:rPr>
                <w:sz w:val="20"/>
                <w:szCs w:val="20"/>
              </w:rPr>
              <w:t>надежного</w:t>
            </w:r>
            <w:r w:rsidRPr="004577D3">
              <w:rPr>
                <w:sz w:val="20"/>
                <w:szCs w:val="20"/>
              </w:rPr>
              <w:t xml:space="preserve"> </w:t>
            </w:r>
            <w:r w:rsidR="00B91B4B" w:rsidRPr="004577D3">
              <w:rPr>
                <w:sz w:val="20"/>
                <w:szCs w:val="20"/>
              </w:rPr>
              <w:t>регулировщика.</w:t>
            </w:r>
          </w:p>
        </w:tc>
      </w:tr>
      <w:tr w:rsidR="00B91B4B" w:rsidRPr="004577D3" w:rsidTr="00B91B4B">
        <w:tc>
          <w:tcPr>
            <w:tcW w:w="1977" w:type="dxa"/>
          </w:tcPr>
          <w:p w:rsidR="00B91B4B" w:rsidRPr="004577D3" w:rsidRDefault="00B91B4B" w:rsidP="000C1FE6">
            <w:pPr>
              <w:tabs>
                <w:tab w:val="left" w:pos="993"/>
              </w:tabs>
              <w:ind w:firstLine="0"/>
              <w:rPr>
                <w:sz w:val="20"/>
                <w:szCs w:val="20"/>
              </w:rPr>
            </w:pPr>
            <w:r w:rsidRPr="004577D3">
              <w:rPr>
                <w:sz w:val="20"/>
                <w:szCs w:val="20"/>
              </w:rPr>
              <w:t>Масштаб</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универсальность</w:t>
            </w:r>
          </w:p>
        </w:tc>
        <w:tc>
          <w:tcPr>
            <w:tcW w:w="2696" w:type="dxa"/>
          </w:tcPr>
          <w:p w:rsidR="00B91B4B" w:rsidRPr="004577D3" w:rsidRDefault="00B91B4B" w:rsidP="000C1FE6">
            <w:pPr>
              <w:tabs>
                <w:tab w:val="left" w:pos="993"/>
              </w:tabs>
              <w:ind w:firstLine="0"/>
              <w:rPr>
                <w:sz w:val="20"/>
                <w:szCs w:val="20"/>
              </w:rPr>
            </w:pPr>
            <w:r w:rsidRPr="004577D3">
              <w:rPr>
                <w:sz w:val="20"/>
                <w:szCs w:val="20"/>
              </w:rPr>
              <w:t>Лидерство</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умолчанию»</w:t>
            </w:r>
            <w:r w:rsidR="006C680D" w:rsidRPr="004577D3">
              <w:rPr>
                <w:sz w:val="20"/>
                <w:szCs w:val="20"/>
              </w:rPr>
              <w:t xml:space="preserve"> </w:t>
            </w:r>
            <w:r w:rsidRPr="004577D3">
              <w:rPr>
                <w:sz w:val="20"/>
                <w:szCs w:val="20"/>
              </w:rPr>
              <w:t>за</w:t>
            </w:r>
            <w:r w:rsidR="006C680D" w:rsidRPr="004577D3">
              <w:rPr>
                <w:sz w:val="20"/>
                <w:szCs w:val="20"/>
              </w:rPr>
              <w:t xml:space="preserve"> </w:t>
            </w:r>
            <w:r w:rsidRPr="004577D3">
              <w:rPr>
                <w:sz w:val="20"/>
                <w:szCs w:val="20"/>
              </w:rPr>
              <w:t>счет</w:t>
            </w:r>
            <w:r w:rsidR="006C680D" w:rsidRPr="004577D3">
              <w:rPr>
                <w:sz w:val="20"/>
                <w:szCs w:val="20"/>
              </w:rPr>
              <w:t xml:space="preserve"> </w:t>
            </w:r>
            <w:r w:rsidRPr="004577D3">
              <w:rPr>
                <w:sz w:val="20"/>
                <w:szCs w:val="20"/>
              </w:rPr>
              <w:t>широкого</w:t>
            </w:r>
            <w:r w:rsidR="006C680D" w:rsidRPr="004577D3">
              <w:rPr>
                <w:sz w:val="20"/>
                <w:szCs w:val="20"/>
              </w:rPr>
              <w:t xml:space="preserve"> </w:t>
            </w:r>
            <w:r w:rsidRPr="004577D3">
              <w:rPr>
                <w:sz w:val="20"/>
                <w:szCs w:val="20"/>
              </w:rPr>
              <w:t>портфеля,</w:t>
            </w:r>
            <w:r w:rsidR="006C680D" w:rsidRPr="004577D3">
              <w:rPr>
                <w:sz w:val="20"/>
                <w:szCs w:val="20"/>
              </w:rPr>
              <w:t xml:space="preserve"> </w:t>
            </w:r>
            <w:r w:rsidRPr="004577D3">
              <w:rPr>
                <w:sz w:val="20"/>
                <w:szCs w:val="20"/>
              </w:rPr>
              <w:t>узнаваемости</w:t>
            </w:r>
            <w:r w:rsidR="006C680D" w:rsidRPr="004577D3">
              <w:rPr>
                <w:sz w:val="20"/>
                <w:szCs w:val="20"/>
              </w:rPr>
              <w:t xml:space="preserve"> </w:t>
            </w:r>
            <w:r w:rsidRPr="004577D3">
              <w:rPr>
                <w:sz w:val="20"/>
                <w:szCs w:val="20"/>
              </w:rPr>
              <w:t>бренда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большой</w:t>
            </w:r>
            <w:r w:rsidR="006C680D" w:rsidRPr="004577D3">
              <w:rPr>
                <w:sz w:val="20"/>
                <w:szCs w:val="20"/>
              </w:rPr>
              <w:t xml:space="preserve"> </w:t>
            </w:r>
            <w:r w:rsidRPr="004577D3">
              <w:rPr>
                <w:sz w:val="20"/>
                <w:szCs w:val="20"/>
              </w:rPr>
              <w:t>агентской</w:t>
            </w:r>
            <w:r w:rsidR="006C680D" w:rsidRPr="004577D3">
              <w:rPr>
                <w:sz w:val="20"/>
                <w:szCs w:val="20"/>
              </w:rPr>
              <w:t xml:space="preserve"> </w:t>
            </w:r>
            <w:r w:rsidRPr="004577D3">
              <w:rPr>
                <w:sz w:val="20"/>
                <w:szCs w:val="20"/>
              </w:rPr>
              <w:t>сети.</w:t>
            </w:r>
            <w:r w:rsidR="006C680D" w:rsidRPr="004577D3">
              <w:rPr>
                <w:sz w:val="20"/>
                <w:szCs w:val="20"/>
              </w:rPr>
              <w:t xml:space="preserve"> </w:t>
            </w:r>
            <w:r w:rsidRPr="004577D3">
              <w:rPr>
                <w:sz w:val="20"/>
                <w:szCs w:val="20"/>
              </w:rPr>
              <w:t>Способность</w:t>
            </w:r>
            <w:r w:rsidR="006C680D" w:rsidRPr="004577D3">
              <w:rPr>
                <w:sz w:val="20"/>
                <w:szCs w:val="20"/>
              </w:rPr>
              <w:t xml:space="preserve"> </w:t>
            </w:r>
            <w:r w:rsidRPr="004577D3">
              <w:rPr>
                <w:sz w:val="20"/>
                <w:szCs w:val="20"/>
              </w:rPr>
              <w:t>обслуживать</w:t>
            </w:r>
            <w:r w:rsidR="006C680D" w:rsidRPr="004577D3">
              <w:rPr>
                <w:sz w:val="20"/>
                <w:szCs w:val="20"/>
              </w:rPr>
              <w:t xml:space="preserve"> </w:t>
            </w:r>
            <w:r w:rsidRPr="004577D3">
              <w:rPr>
                <w:sz w:val="20"/>
                <w:szCs w:val="20"/>
              </w:rPr>
              <w:t>любые</w:t>
            </w:r>
            <w:r w:rsidR="006C680D" w:rsidRPr="004577D3">
              <w:rPr>
                <w:sz w:val="20"/>
                <w:szCs w:val="20"/>
              </w:rPr>
              <w:t xml:space="preserve"> </w:t>
            </w:r>
            <w:r w:rsidRPr="004577D3">
              <w:rPr>
                <w:sz w:val="20"/>
                <w:szCs w:val="20"/>
              </w:rPr>
              <w:t>потребности</w:t>
            </w:r>
            <w:r w:rsidR="006C680D" w:rsidRPr="004577D3">
              <w:rPr>
                <w:sz w:val="20"/>
                <w:szCs w:val="20"/>
              </w:rPr>
              <w:t xml:space="preserve"> </w:t>
            </w:r>
            <w:r w:rsidRPr="004577D3">
              <w:rPr>
                <w:sz w:val="20"/>
                <w:szCs w:val="20"/>
              </w:rPr>
              <w:t>крупного</w:t>
            </w:r>
            <w:r w:rsidR="006C680D" w:rsidRPr="004577D3">
              <w:rPr>
                <w:sz w:val="20"/>
                <w:szCs w:val="20"/>
              </w:rPr>
              <w:t xml:space="preserve"> </w:t>
            </w:r>
            <w:r w:rsidRPr="004577D3">
              <w:rPr>
                <w:sz w:val="20"/>
                <w:szCs w:val="20"/>
              </w:rPr>
              <w:t>корпоративного</w:t>
            </w:r>
            <w:r w:rsidR="006C680D" w:rsidRPr="004577D3">
              <w:rPr>
                <w:sz w:val="20"/>
                <w:szCs w:val="20"/>
              </w:rPr>
              <w:t xml:space="preserve"> </w:t>
            </w:r>
            <w:r w:rsidRPr="004577D3">
              <w:rPr>
                <w:sz w:val="20"/>
                <w:szCs w:val="20"/>
              </w:rPr>
              <w:t>клиента.</w:t>
            </w:r>
          </w:p>
        </w:tc>
        <w:tc>
          <w:tcPr>
            <w:tcW w:w="5074" w:type="dxa"/>
          </w:tcPr>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РЕСО-Гарантия:</w:t>
            </w:r>
            <w:r w:rsidR="006C680D" w:rsidRPr="004577D3">
              <w:rPr>
                <w:sz w:val="20"/>
                <w:szCs w:val="20"/>
              </w:rPr>
              <w:t xml:space="preserve"> </w:t>
            </w:r>
            <w:r w:rsidRPr="004577D3">
              <w:rPr>
                <w:sz w:val="20"/>
                <w:szCs w:val="20"/>
              </w:rPr>
              <w:t>классический</w:t>
            </w:r>
            <w:r w:rsidR="006C680D" w:rsidRPr="004577D3">
              <w:rPr>
                <w:sz w:val="20"/>
                <w:szCs w:val="20"/>
              </w:rPr>
              <w:t xml:space="preserve"> </w:t>
            </w:r>
            <w:r w:rsidRPr="004577D3">
              <w:rPr>
                <w:sz w:val="20"/>
                <w:szCs w:val="20"/>
              </w:rPr>
              <w:t>универсальный</w:t>
            </w:r>
            <w:r w:rsidR="006C680D" w:rsidRPr="004577D3">
              <w:rPr>
                <w:sz w:val="20"/>
                <w:szCs w:val="20"/>
              </w:rPr>
              <w:t xml:space="preserve"> </w:t>
            </w:r>
            <w:r w:rsidRPr="004577D3">
              <w:rPr>
                <w:sz w:val="20"/>
                <w:szCs w:val="20"/>
              </w:rPr>
              <w:t>игрок</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сильными</w:t>
            </w:r>
            <w:r w:rsidR="006C680D" w:rsidRPr="004577D3">
              <w:rPr>
                <w:sz w:val="20"/>
                <w:szCs w:val="20"/>
              </w:rPr>
              <w:t xml:space="preserve"> </w:t>
            </w:r>
            <w:r w:rsidRPr="004577D3">
              <w:rPr>
                <w:sz w:val="20"/>
                <w:szCs w:val="20"/>
              </w:rPr>
              <w:t>позициями</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автостраховании</w:t>
            </w:r>
            <w:r w:rsidR="006C680D" w:rsidRPr="004577D3">
              <w:rPr>
                <w:sz w:val="20"/>
                <w:szCs w:val="20"/>
              </w:rPr>
              <w:t xml:space="preserve"> </w:t>
            </w:r>
            <w:r w:rsidRPr="004577D3">
              <w:rPr>
                <w:sz w:val="20"/>
                <w:szCs w:val="20"/>
              </w:rPr>
              <w:t>(ОСАГО/КАСКО),</w:t>
            </w:r>
            <w:r w:rsidR="006C680D" w:rsidRPr="004577D3">
              <w:rPr>
                <w:sz w:val="20"/>
                <w:szCs w:val="20"/>
              </w:rPr>
              <w:t xml:space="preserve"> </w:t>
            </w:r>
            <w:r w:rsidRPr="004577D3">
              <w:rPr>
                <w:sz w:val="20"/>
                <w:szCs w:val="20"/>
              </w:rPr>
              <w:t>ДМС</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корпоративном</w:t>
            </w:r>
            <w:r w:rsidR="006C680D" w:rsidRPr="004577D3">
              <w:rPr>
                <w:sz w:val="20"/>
                <w:szCs w:val="20"/>
              </w:rPr>
              <w:t xml:space="preserve"> </w:t>
            </w:r>
            <w:r w:rsidRPr="004577D3">
              <w:rPr>
                <w:sz w:val="20"/>
                <w:szCs w:val="20"/>
              </w:rPr>
              <w:t>страховании.</w:t>
            </w:r>
            <w:r w:rsidR="006C680D" w:rsidRPr="004577D3">
              <w:rPr>
                <w:sz w:val="20"/>
                <w:szCs w:val="20"/>
              </w:rPr>
              <w:t xml:space="preserve"> </w:t>
            </w:r>
            <w:r w:rsidRPr="004577D3">
              <w:rPr>
                <w:sz w:val="20"/>
                <w:szCs w:val="20"/>
              </w:rPr>
              <w:t>Большая</w:t>
            </w:r>
            <w:r w:rsidR="006C680D" w:rsidRPr="004577D3">
              <w:rPr>
                <w:sz w:val="20"/>
                <w:szCs w:val="20"/>
              </w:rPr>
              <w:t xml:space="preserve"> </w:t>
            </w:r>
            <w:r w:rsidRPr="004577D3">
              <w:rPr>
                <w:sz w:val="20"/>
                <w:szCs w:val="20"/>
              </w:rPr>
              <w:t>собственная</w:t>
            </w:r>
            <w:r w:rsidR="006C680D" w:rsidRPr="004577D3">
              <w:rPr>
                <w:sz w:val="20"/>
                <w:szCs w:val="20"/>
              </w:rPr>
              <w:t xml:space="preserve"> </w:t>
            </w:r>
            <w:r w:rsidRPr="004577D3">
              <w:rPr>
                <w:sz w:val="20"/>
                <w:szCs w:val="20"/>
              </w:rPr>
              <w:t>сеть.</w:t>
            </w:r>
          </w:p>
          <w:p w:rsidR="00B91B4B" w:rsidRPr="004577D3" w:rsidRDefault="00B91B4B" w:rsidP="000C1FE6">
            <w:pPr>
              <w:tabs>
                <w:tab w:val="left" w:pos="993"/>
              </w:tabs>
              <w:ind w:firstLine="0"/>
              <w:rPr>
                <w:sz w:val="20"/>
                <w:szCs w:val="20"/>
              </w:rPr>
            </w:pPr>
            <w:r w:rsidRPr="004577D3">
              <w:rPr>
                <w:sz w:val="20"/>
                <w:szCs w:val="20"/>
              </w:rPr>
              <w:t>•</w:t>
            </w:r>
            <w:r w:rsidR="006C680D" w:rsidRPr="004577D3">
              <w:rPr>
                <w:sz w:val="20"/>
                <w:szCs w:val="20"/>
              </w:rPr>
              <w:t xml:space="preserve"> </w:t>
            </w:r>
            <w:r w:rsidRPr="004577D3">
              <w:rPr>
                <w:sz w:val="20"/>
                <w:szCs w:val="20"/>
              </w:rPr>
              <w:t>Ингосстрах</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СОГАЗ:</w:t>
            </w:r>
            <w:r w:rsidR="006C680D" w:rsidRPr="004577D3">
              <w:rPr>
                <w:sz w:val="20"/>
                <w:szCs w:val="20"/>
              </w:rPr>
              <w:t xml:space="preserve"> </w:t>
            </w:r>
            <w:r w:rsidRPr="004577D3">
              <w:rPr>
                <w:sz w:val="20"/>
                <w:szCs w:val="20"/>
              </w:rPr>
              <w:t>также</w:t>
            </w:r>
            <w:r w:rsidR="006C680D" w:rsidRPr="004577D3">
              <w:rPr>
                <w:sz w:val="20"/>
                <w:szCs w:val="20"/>
              </w:rPr>
              <w:t xml:space="preserve"> </w:t>
            </w:r>
            <w:r w:rsidRPr="004577D3">
              <w:rPr>
                <w:sz w:val="20"/>
                <w:szCs w:val="20"/>
              </w:rPr>
              <w:t>обладают</w:t>
            </w:r>
            <w:r w:rsidR="006C680D" w:rsidRPr="004577D3">
              <w:rPr>
                <w:sz w:val="20"/>
                <w:szCs w:val="20"/>
              </w:rPr>
              <w:t xml:space="preserve"> </w:t>
            </w:r>
            <w:r w:rsidRPr="004577D3">
              <w:rPr>
                <w:sz w:val="20"/>
                <w:szCs w:val="20"/>
              </w:rPr>
              <w:t>этим</w:t>
            </w:r>
            <w:r w:rsidR="006C680D" w:rsidRPr="004577D3">
              <w:rPr>
                <w:sz w:val="20"/>
                <w:szCs w:val="20"/>
              </w:rPr>
              <w:t xml:space="preserve"> </w:t>
            </w:r>
            <w:r w:rsidRPr="004577D3">
              <w:rPr>
                <w:sz w:val="20"/>
                <w:szCs w:val="20"/>
              </w:rPr>
              <w:t>фактором,</w:t>
            </w:r>
            <w:r w:rsidR="006C680D" w:rsidRPr="004577D3">
              <w:rPr>
                <w:sz w:val="20"/>
                <w:szCs w:val="20"/>
              </w:rPr>
              <w:t xml:space="preserve"> </w:t>
            </w:r>
            <w:r w:rsidRPr="004577D3">
              <w:rPr>
                <w:sz w:val="20"/>
                <w:szCs w:val="20"/>
              </w:rPr>
              <w:t>предлагая</w:t>
            </w:r>
            <w:r w:rsidR="006C680D" w:rsidRPr="004577D3">
              <w:rPr>
                <w:sz w:val="20"/>
                <w:szCs w:val="20"/>
              </w:rPr>
              <w:t xml:space="preserve"> </w:t>
            </w:r>
            <w:r w:rsidRPr="004577D3">
              <w:rPr>
                <w:sz w:val="20"/>
                <w:szCs w:val="20"/>
              </w:rPr>
              <w:t>полный</w:t>
            </w:r>
            <w:r w:rsidR="006C680D" w:rsidRPr="004577D3">
              <w:rPr>
                <w:sz w:val="20"/>
                <w:szCs w:val="20"/>
              </w:rPr>
              <w:t xml:space="preserve"> </w:t>
            </w:r>
            <w:r w:rsidRPr="004577D3">
              <w:rPr>
                <w:sz w:val="20"/>
                <w:szCs w:val="20"/>
              </w:rPr>
              <w:t>спектр.</w:t>
            </w:r>
          </w:p>
        </w:tc>
      </w:tr>
    </w:tbl>
    <w:p w:rsidR="00230516" w:rsidRPr="00D337FA" w:rsidRDefault="00230516" w:rsidP="00847021">
      <w:pPr>
        <w:ind w:firstLine="142"/>
        <w:rPr>
          <w:i/>
          <w:szCs w:val="24"/>
        </w:rPr>
      </w:pPr>
    </w:p>
    <w:p w:rsidR="006E4221" w:rsidRPr="00D337FA" w:rsidRDefault="006E4221" w:rsidP="006E4221">
      <w:pPr>
        <w:ind w:firstLine="142"/>
        <w:rPr>
          <w:szCs w:val="24"/>
        </w:rPr>
        <w:sectPr w:rsidR="006E4221"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6E4221" w:rsidRPr="00D337FA" w:rsidRDefault="006E4221" w:rsidP="006E4221">
      <w:pPr>
        <w:ind w:firstLine="284"/>
        <w:rPr>
          <w:szCs w:val="24"/>
        </w:rPr>
      </w:pPr>
      <w:r w:rsidRPr="00D337FA">
        <w:rPr>
          <w:szCs w:val="24"/>
        </w:rPr>
        <w:lastRenderedPageBreak/>
        <w:t>Вполне</w:t>
      </w:r>
      <w:r w:rsidR="006C680D" w:rsidRPr="00D337FA">
        <w:rPr>
          <w:szCs w:val="24"/>
        </w:rPr>
        <w:t xml:space="preserve"> </w:t>
      </w:r>
      <w:r w:rsidRPr="00D337FA">
        <w:rPr>
          <w:szCs w:val="24"/>
        </w:rPr>
        <w:t>очевидно,</w:t>
      </w:r>
      <w:r w:rsidR="006C680D" w:rsidRPr="00D337FA">
        <w:rPr>
          <w:szCs w:val="24"/>
        </w:rPr>
        <w:t xml:space="preserve"> </w:t>
      </w:r>
      <w:r w:rsidRPr="00D337FA">
        <w:rPr>
          <w:szCs w:val="24"/>
        </w:rPr>
        <w:t>что</w:t>
      </w:r>
      <w:r w:rsidR="006C680D" w:rsidRPr="00D337FA">
        <w:rPr>
          <w:szCs w:val="24"/>
        </w:rPr>
        <w:t xml:space="preserve"> </w:t>
      </w:r>
      <w:r w:rsidRPr="00D337FA">
        <w:rPr>
          <w:szCs w:val="24"/>
        </w:rPr>
        <w:t>на</w:t>
      </w:r>
      <w:r w:rsidR="006C680D" w:rsidRPr="00D337FA">
        <w:rPr>
          <w:szCs w:val="24"/>
        </w:rPr>
        <w:t xml:space="preserve"> </w:t>
      </w:r>
      <w:r w:rsidRPr="00D337FA">
        <w:rPr>
          <w:szCs w:val="24"/>
        </w:rPr>
        <w:t>квартиры</w:t>
      </w:r>
      <w:r w:rsidR="006C680D" w:rsidRPr="00D337FA">
        <w:rPr>
          <w:szCs w:val="24"/>
        </w:rPr>
        <w:t xml:space="preserve"> </w:t>
      </w:r>
      <w:r w:rsidRPr="00D337FA">
        <w:rPr>
          <w:szCs w:val="24"/>
        </w:rPr>
        <w:t>меньшей</w:t>
      </w:r>
      <w:r w:rsidR="006C680D" w:rsidRPr="00D337FA">
        <w:rPr>
          <w:szCs w:val="24"/>
        </w:rPr>
        <w:t xml:space="preserve"> </w:t>
      </w:r>
      <w:r w:rsidRPr="00D337FA">
        <w:rPr>
          <w:szCs w:val="24"/>
        </w:rPr>
        <w:t>площади</w:t>
      </w:r>
      <w:r w:rsidR="006C680D" w:rsidRPr="00D337FA">
        <w:rPr>
          <w:szCs w:val="24"/>
        </w:rPr>
        <w:t xml:space="preserve"> </w:t>
      </w:r>
      <w:r w:rsidRPr="00D337FA">
        <w:rPr>
          <w:szCs w:val="24"/>
        </w:rPr>
        <w:t>проявляется</w:t>
      </w:r>
      <w:r w:rsidR="006C680D" w:rsidRPr="00D337FA">
        <w:rPr>
          <w:szCs w:val="24"/>
        </w:rPr>
        <w:t xml:space="preserve"> </w:t>
      </w:r>
      <w:r w:rsidRPr="00D337FA">
        <w:rPr>
          <w:szCs w:val="24"/>
        </w:rPr>
        <w:t>больший</w:t>
      </w:r>
      <w:r w:rsidR="006C680D" w:rsidRPr="00D337FA">
        <w:rPr>
          <w:szCs w:val="24"/>
        </w:rPr>
        <w:t xml:space="preserve"> </w:t>
      </w:r>
      <w:r w:rsidRPr="00D337FA">
        <w:rPr>
          <w:szCs w:val="24"/>
        </w:rPr>
        <w:t>спрос</w:t>
      </w:r>
      <w:r w:rsidR="006C680D" w:rsidRPr="00D337FA">
        <w:rPr>
          <w:szCs w:val="24"/>
        </w:rPr>
        <w:t xml:space="preserve"> </w:t>
      </w:r>
      <w:r w:rsidRPr="00D337FA">
        <w:rPr>
          <w:szCs w:val="24"/>
        </w:rPr>
        <w:t>в</w:t>
      </w:r>
      <w:r w:rsidR="006C680D" w:rsidRPr="00D337FA">
        <w:rPr>
          <w:szCs w:val="24"/>
        </w:rPr>
        <w:t xml:space="preserve"> </w:t>
      </w:r>
      <w:r w:rsidRPr="00D337FA">
        <w:rPr>
          <w:szCs w:val="24"/>
        </w:rPr>
        <w:t>силу</w:t>
      </w:r>
      <w:r w:rsidR="006C680D" w:rsidRPr="00D337FA">
        <w:rPr>
          <w:szCs w:val="24"/>
        </w:rPr>
        <w:t xml:space="preserve"> </w:t>
      </w:r>
      <w:r w:rsidRPr="00D337FA">
        <w:rPr>
          <w:szCs w:val="24"/>
        </w:rPr>
        <w:t>ее</w:t>
      </w:r>
      <w:r w:rsidR="006C680D" w:rsidRPr="00D337FA">
        <w:rPr>
          <w:szCs w:val="24"/>
        </w:rPr>
        <w:t xml:space="preserve"> </w:t>
      </w:r>
      <w:r w:rsidRPr="00D337FA">
        <w:rPr>
          <w:szCs w:val="24"/>
        </w:rPr>
        <w:t>итоговой</w:t>
      </w:r>
      <w:r w:rsidR="006C680D" w:rsidRPr="00D337FA">
        <w:rPr>
          <w:szCs w:val="24"/>
        </w:rPr>
        <w:t xml:space="preserve"> </w:t>
      </w:r>
      <w:r w:rsidRPr="00D337FA">
        <w:rPr>
          <w:szCs w:val="24"/>
        </w:rPr>
        <w:t>меньшей</w:t>
      </w:r>
      <w:r w:rsidR="006C680D" w:rsidRPr="00D337FA">
        <w:rPr>
          <w:szCs w:val="24"/>
        </w:rPr>
        <w:t xml:space="preserve"> </w:t>
      </w:r>
      <w:r w:rsidRPr="00D337FA">
        <w:rPr>
          <w:szCs w:val="24"/>
        </w:rPr>
        <w:t>стоимости,</w:t>
      </w:r>
      <w:r w:rsidR="006C680D" w:rsidRPr="00D337FA">
        <w:rPr>
          <w:szCs w:val="24"/>
        </w:rPr>
        <w:t xml:space="preserve"> </w:t>
      </w:r>
      <w:r w:rsidRPr="00D337FA">
        <w:rPr>
          <w:szCs w:val="24"/>
        </w:rPr>
        <w:t>и</w:t>
      </w:r>
      <w:r w:rsidR="006C680D" w:rsidRPr="00D337FA">
        <w:rPr>
          <w:szCs w:val="24"/>
        </w:rPr>
        <w:t xml:space="preserve"> </w:t>
      </w:r>
      <w:r w:rsidRPr="00D337FA">
        <w:rPr>
          <w:szCs w:val="24"/>
        </w:rPr>
        <w:t>меньших</w:t>
      </w:r>
      <w:r w:rsidR="006C680D" w:rsidRPr="00D337FA">
        <w:rPr>
          <w:szCs w:val="24"/>
        </w:rPr>
        <w:t xml:space="preserve"> </w:t>
      </w:r>
      <w:r w:rsidRPr="00D337FA">
        <w:rPr>
          <w:szCs w:val="24"/>
        </w:rPr>
        <w:t>коммунальных</w:t>
      </w:r>
      <w:r w:rsidR="006C680D" w:rsidRPr="00D337FA">
        <w:rPr>
          <w:szCs w:val="24"/>
        </w:rPr>
        <w:t xml:space="preserve"> </w:t>
      </w:r>
      <w:r w:rsidRPr="00D337FA">
        <w:rPr>
          <w:szCs w:val="24"/>
        </w:rPr>
        <w:t>платежей</w:t>
      </w:r>
      <w:r w:rsidR="006C680D" w:rsidRPr="00D337FA">
        <w:rPr>
          <w:szCs w:val="24"/>
        </w:rPr>
        <w:t xml:space="preserve"> </w:t>
      </w:r>
      <w:r w:rsidRPr="00D337FA">
        <w:rPr>
          <w:szCs w:val="24"/>
        </w:rPr>
        <w:t>(обычно</w:t>
      </w:r>
      <w:r w:rsidR="006C680D" w:rsidRPr="00D337FA">
        <w:rPr>
          <w:szCs w:val="24"/>
        </w:rPr>
        <w:t xml:space="preserve"> </w:t>
      </w:r>
      <w:r w:rsidRPr="00D337FA">
        <w:rPr>
          <w:szCs w:val="24"/>
        </w:rPr>
        <w:t>эти</w:t>
      </w:r>
      <w:r w:rsidR="006C680D" w:rsidRPr="00D337FA">
        <w:rPr>
          <w:szCs w:val="24"/>
        </w:rPr>
        <w:t xml:space="preserve"> </w:t>
      </w:r>
      <w:r w:rsidRPr="00D337FA">
        <w:rPr>
          <w:szCs w:val="24"/>
        </w:rPr>
        <w:t>затраты</w:t>
      </w:r>
      <w:r w:rsidR="006C680D" w:rsidRPr="00D337FA">
        <w:rPr>
          <w:szCs w:val="24"/>
        </w:rPr>
        <w:t xml:space="preserve"> </w:t>
      </w:r>
      <w:r w:rsidRPr="00D337FA">
        <w:rPr>
          <w:szCs w:val="24"/>
        </w:rPr>
        <w:t>арендатор</w:t>
      </w:r>
      <w:r w:rsidR="006C680D" w:rsidRPr="00D337FA">
        <w:rPr>
          <w:szCs w:val="24"/>
        </w:rPr>
        <w:t xml:space="preserve"> </w:t>
      </w:r>
      <w:r w:rsidRPr="00D337FA">
        <w:rPr>
          <w:szCs w:val="24"/>
        </w:rPr>
        <w:t>компенсирует</w:t>
      </w:r>
      <w:r w:rsidR="006C680D" w:rsidRPr="00D337FA">
        <w:rPr>
          <w:szCs w:val="24"/>
        </w:rPr>
        <w:t xml:space="preserve"> </w:t>
      </w:r>
      <w:r w:rsidRPr="00D337FA">
        <w:rPr>
          <w:szCs w:val="24"/>
        </w:rPr>
        <w:t>сверх</w:t>
      </w:r>
      <w:r w:rsidR="006C680D" w:rsidRPr="00D337FA">
        <w:rPr>
          <w:szCs w:val="24"/>
        </w:rPr>
        <w:t xml:space="preserve"> </w:t>
      </w:r>
      <w:r w:rsidRPr="00D337FA">
        <w:rPr>
          <w:szCs w:val="24"/>
        </w:rPr>
        <w:t>стоимости</w:t>
      </w:r>
      <w:r w:rsidR="006C680D" w:rsidRPr="00D337FA">
        <w:rPr>
          <w:szCs w:val="24"/>
        </w:rPr>
        <w:t xml:space="preserve"> </w:t>
      </w:r>
      <w:r w:rsidRPr="00D337FA">
        <w:rPr>
          <w:szCs w:val="24"/>
        </w:rPr>
        <w:t>ренты)</w:t>
      </w:r>
      <w:r w:rsidR="006C680D" w:rsidRPr="00D337FA">
        <w:rPr>
          <w:szCs w:val="24"/>
        </w:rPr>
        <w:t xml:space="preserve"> </w:t>
      </w:r>
      <w:r w:rsidRPr="00D337FA">
        <w:rPr>
          <w:szCs w:val="24"/>
        </w:rPr>
        <w:t>что</w:t>
      </w:r>
      <w:r w:rsidR="006C680D" w:rsidRPr="00D337FA">
        <w:rPr>
          <w:szCs w:val="24"/>
        </w:rPr>
        <w:t xml:space="preserve"> </w:t>
      </w:r>
      <w:r w:rsidRPr="00D337FA">
        <w:rPr>
          <w:szCs w:val="24"/>
        </w:rPr>
        <w:t>вызывает</w:t>
      </w:r>
      <w:r w:rsidR="006C680D" w:rsidRPr="00D337FA">
        <w:rPr>
          <w:szCs w:val="24"/>
        </w:rPr>
        <w:t xml:space="preserve"> </w:t>
      </w:r>
      <w:r w:rsidRPr="00D337FA">
        <w:rPr>
          <w:szCs w:val="24"/>
        </w:rPr>
        <w:t>дефицитное</w:t>
      </w:r>
      <w:r w:rsidR="006C680D" w:rsidRPr="00D337FA">
        <w:rPr>
          <w:szCs w:val="24"/>
        </w:rPr>
        <w:t xml:space="preserve"> </w:t>
      </w:r>
      <w:r w:rsidRPr="00D337FA">
        <w:rPr>
          <w:szCs w:val="24"/>
        </w:rPr>
        <w:t>повышение</w:t>
      </w:r>
      <w:r w:rsidR="006C680D" w:rsidRPr="00D337FA">
        <w:rPr>
          <w:szCs w:val="24"/>
        </w:rPr>
        <w:t xml:space="preserve"> </w:t>
      </w:r>
      <w:r w:rsidRPr="00D337FA">
        <w:rPr>
          <w:szCs w:val="24"/>
        </w:rPr>
        <w:t>цены.</w:t>
      </w:r>
    </w:p>
    <w:p w:rsidR="00230516" w:rsidRPr="00D337FA" w:rsidRDefault="006E4221" w:rsidP="006E4221">
      <w:pPr>
        <w:ind w:firstLine="284"/>
        <w:rPr>
          <w:szCs w:val="24"/>
        </w:rPr>
      </w:pPr>
      <w:r w:rsidRPr="00D337FA">
        <w:rPr>
          <w:szCs w:val="24"/>
        </w:rPr>
        <w:lastRenderedPageBreak/>
        <w:t>Интерес</w:t>
      </w:r>
      <w:r w:rsidR="006C680D" w:rsidRPr="00D337FA">
        <w:rPr>
          <w:szCs w:val="24"/>
        </w:rPr>
        <w:t xml:space="preserve"> </w:t>
      </w:r>
      <w:r w:rsidRPr="00D337FA">
        <w:rPr>
          <w:szCs w:val="24"/>
        </w:rPr>
        <w:t>представляет</w:t>
      </w:r>
      <w:r w:rsidR="006C680D" w:rsidRPr="00D337FA">
        <w:rPr>
          <w:szCs w:val="24"/>
        </w:rPr>
        <w:t xml:space="preserve"> </w:t>
      </w:r>
      <w:r w:rsidRPr="00D337FA">
        <w:rPr>
          <w:szCs w:val="24"/>
        </w:rPr>
        <w:t>наиболее</w:t>
      </w:r>
      <w:r w:rsidR="006C680D" w:rsidRPr="00D337FA">
        <w:rPr>
          <w:szCs w:val="24"/>
        </w:rPr>
        <w:t xml:space="preserve"> </w:t>
      </w:r>
      <w:r w:rsidRPr="00D337FA">
        <w:rPr>
          <w:szCs w:val="24"/>
        </w:rPr>
        <w:t>универсальный</w:t>
      </w:r>
      <w:r w:rsidR="006C680D" w:rsidRPr="00D337FA">
        <w:rPr>
          <w:szCs w:val="24"/>
        </w:rPr>
        <w:t xml:space="preserve"> </w:t>
      </w:r>
      <w:r w:rsidRPr="00D337FA">
        <w:rPr>
          <w:szCs w:val="24"/>
        </w:rPr>
        <w:t>показатель</w:t>
      </w:r>
      <w:r w:rsidR="006C680D" w:rsidRPr="00D337FA">
        <w:rPr>
          <w:szCs w:val="24"/>
        </w:rPr>
        <w:t xml:space="preserve"> </w:t>
      </w:r>
      <w:r w:rsidRPr="00D337FA">
        <w:rPr>
          <w:szCs w:val="24"/>
        </w:rPr>
        <w:t>–</w:t>
      </w:r>
      <w:r w:rsidR="006C680D" w:rsidRPr="00D337FA">
        <w:rPr>
          <w:szCs w:val="24"/>
        </w:rPr>
        <w:t xml:space="preserve"> </w:t>
      </w:r>
      <w:r w:rsidRPr="00D337FA">
        <w:rPr>
          <w:szCs w:val="24"/>
        </w:rPr>
        <w:t>стоимость</w:t>
      </w:r>
      <w:r w:rsidR="006C680D" w:rsidRPr="00D337FA">
        <w:rPr>
          <w:szCs w:val="24"/>
        </w:rPr>
        <w:t xml:space="preserve"> </w:t>
      </w:r>
      <w:r w:rsidRPr="00D337FA">
        <w:rPr>
          <w:szCs w:val="24"/>
        </w:rPr>
        <w:t>за</w:t>
      </w:r>
      <w:r w:rsidR="006C680D" w:rsidRPr="00D337FA">
        <w:rPr>
          <w:szCs w:val="24"/>
        </w:rPr>
        <w:t xml:space="preserve"> </w:t>
      </w:r>
      <w:r w:rsidRPr="00D337FA">
        <w:rPr>
          <w:szCs w:val="24"/>
        </w:rPr>
        <w:t>квадратный</w:t>
      </w:r>
      <w:r w:rsidR="006C680D" w:rsidRPr="00D337FA">
        <w:rPr>
          <w:szCs w:val="24"/>
        </w:rPr>
        <w:t xml:space="preserve"> </w:t>
      </w:r>
      <w:r w:rsidRPr="00D337FA">
        <w:rPr>
          <w:szCs w:val="24"/>
        </w:rPr>
        <w:t>метр,</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факторы,</w:t>
      </w:r>
      <w:r w:rsidR="006C680D" w:rsidRPr="00D337FA">
        <w:rPr>
          <w:szCs w:val="24"/>
        </w:rPr>
        <w:t xml:space="preserve"> </w:t>
      </w:r>
      <w:r w:rsidRPr="00D337FA">
        <w:rPr>
          <w:szCs w:val="24"/>
        </w:rPr>
        <w:t>влияющие</w:t>
      </w:r>
      <w:r w:rsidR="006C680D" w:rsidRPr="00D337FA">
        <w:rPr>
          <w:szCs w:val="24"/>
        </w:rPr>
        <w:t xml:space="preserve"> </w:t>
      </w:r>
      <w:r w:rsidRPr="00D337FA">
        <w:rPr>
          <w:szCs w:val="24"/>
        </w:rPr>
        <w:t>на</w:t>
      </w:r>
      <w:r w:rsidR="006C680D" w:rsidRPr="00D337FA">
        <w:rPr>
          <w:szCs w:val="24"/>
        </w:rPr>
        <w:t xml:space="preserve"> </w:t>
      </w:r>
      <w:r w:rsidRPr="00D337FA">
        <w:rPr>
          <w:szCs w:val="24"/>
        </w:rPr>
        <w:t>данный</w:t>
      </w:r>
      <w:r w:rsidR="006C680D" w:rsidRPr="00D337FA">
        <w:rPr>
          <w:szCs w:val="24"/>
        </w:rPr>
        <w:t xml:space="preserve"> </w:t>
      </w:r>
      <w:r w:rsidRPr="00D337FA">
        <w:rPr>
          <w:szCs w:val="24"/>
        </w:rPr>
        <w:t>показатель.</w:t>
      </w:r>
      <w:r w:rsidR="006C680D" w:rsidRPr="00D337FA">
        <w:rPr>
          <w:szCs w:val="24"/>
        </w:rPr>
        <w:t xml:space="preserve"> </w:t>
      </w:r>
      <w:r w:rsidRPr="00D337FA">
        <w:rPr>
          <w:szCs w:val="24"/>
        </w:rPr>
        <w:t>Если</w:t>
      </w:r>
      <w:r w:rsidR="006C680D" w:rsidRPr="00D337FA">
        <w:rPr>
          <w:szCs w:val="24"/>
        </w:rPr>
        <w:t xml:space="preserve"> </w:t>
      </w:r>
      <w:r w:rsidRPr="00D337FA">
        <w:rPr>
          <w:szCs w:val="24"/>
        </w:rPr>
        <w:t>построить</w:t>
      </w:r>
      <w:r w:rsidR="006C680D" w:rsidRPr="00D337FA">
        <w:rPr>
          <w:szCs w:val="24"/>
        </w:rPr>
        <w:t xml:space="preserve"> </w:t>
      </w:r>
      <w:r w:rsidRPr="00D337FA">
        <w:rPr>
          <w:szCs w:val="24"/>
        </w:rPr>
        <w:t>рейтинг</w:t>
      </w:r>
      <w:r w:rsidR="006C680D" w:rsidRPr="00D337FA">
        <w:rPr>
          <w:szCs w:val="24"/>
        </w:rPr>
        <w:t xml:space="preserve"> </w:t>
      </w:r>
      <w:r w:rsidRPr="00D337FA">
        <w:rPr>
          <w:szCs w:val="24"/>
        </w:rPr>
        <w:t>микрорайонов</w:t>
      </w:r>
      <w:r w:rsidR="006C680D" w:rsidRPr="00D337FA">
        <w:rPr>
          <w:szCs w:val="24"/>
        </w:rPr>
        <w:t xml:space="preserve"> </w:t>
      </w:r>
      <w:r w:rsidRPr="00D337FA">
        <w:rPr>
          <w:szCs w:val="24"/>
        </w:rPr>
        <w:t>по</w:t>
      </w:r>
      <w:r w:rsidR="006C680D" w:rsidRPr="00D337FA">
        <w:rPr>
          <w:szCs w:val="24"/>
        </w:rPr>
        <w:t xml:space="preserve"> </w:t>
      </w:r>
      <w:r w:rsidRPr="00D337FA">
        <w:rPr>
          <w:szCs w:val="24"/>
        </w:rPr>
        <w:t>указанному</w:t>
      </w:r>
      <w:r w:rsidR="006C680D" w:rsidRPr="00D337FA">
        <w:rPr>
          <w:szCs w:val="24"/>
        </w:rPr>
        <w:t xml:space="preserve"> </w:t>
      </w:r>
      <w:r w:rsidRPr="00D337FA">
        <w:rPr>
          <w:szCs w:val="24"/>
        </w:rPr>
        <w:t>показателю</w:t>
      </w:r>
      <w:r w:rsidR="006C680D" w:rsidRPr="00D337FA">
        <w:rPr>
          <w:szCs w:val="24"/>
        </w:rPr>
        <w:t xml:space="preserve"> </w:t>
      </w:r>
      <w:r w:rsidRPr="00D337FA">
        <w:rPr>
          <w:szCs w:val="24"/>
        </w:rPr>
        <w:t>получится</w:t>
      </w:r>
      <w:r w:rsidR="006C680D" w:rsidRPr="00D337FA">
        <w:rPr>
          <w:szCs w:val="24"/>
        </w:rPr>
        <w:t xml:space="preserve"> </w:t>
      </w:r>
      <w:r w:rsidRPr="00D337FA">
        <w:rPr>
          <w:szCs w:val="24"/>
        </w:rPr>
        <w:t>следующее</w:t>
      </w:r>
      <w:r w:rsidR="006C680D" w:rsidRPr="00D337FA">
        <w:rPr>
          <w:szCs w:val="24"/>
        </w:rPr>
        <w:t xml:space="preserve"> </w:t>
      </w:r>
      <w:r w:rsidRPr="00D337FA">
        <w:rPr>
          <w:szCs w:val="24"/>
        </w:rPr>
        <w:t>перераспределение</w:t>
      </w:r>
      <w:r w:rsidR="006C680D" w:rsidRPr="00D337FA">
        <w:rPr>
          <w:szCs w:val="24"/>
        </w:rPr>
        <w:t xml:space="preserve"> </w:t>
      </w:r>
      <w:r w:rsidRPr="00D337FA">
        <w:rPr>
          <w:szCs w:val="24"/>
        </w:rPr>
        <w:t>(</w:t>
      </w:r>
      <w:r w:rsidR="00A86B27" w:rsidRPr="00D337FA">
        <w:rPr>
          <w:szCs w:val="24"/>
        </w:rPr>
        <w:t>т</w:t>
      </w:r>
      <w:r w:rsidRPr="00D337FA">
        <w:rPr>
          <w:szCs w:val="24"/>
        </w:rPr>
        <w:t>абл</w:t>
      </w:r>
      <w:r w:rsidR="00A86B27" w:rsidRPr="00D337FA">
        <w:rPr>
          <w:szCs w:val="24"/>
        </w:rPr>
        <w:t>.</w:t>
      </w:r>
      <w:r w:rsidR="006C680D" w:rsidRPr="00D337FA">
        <w:rPr>
          <w:szCs w:val="24"/>
        </w:rPr>
        <w:t xml:space="preserve"> </w:t>
      </w:r>
      <w:r w:rsidRPr="00D337FA">
        <w:rPr>
          <w:szCs w:val="24"/>
        </w:rPr>
        <w:t>3)</w:t>
      </w:r>
    </w:p>
    <w:p w:rsidR="00230516" w:rsidRPr="00D337FA" w:rsidRDefault="00230516" w:rsidP="006E4221">
      <w:pPr>
        <w:ind w:firstLine="284"/>
        <w:rPr>
          <w:szCs w:val="24"/>
        </w:rPr>
      </w:pPr>
    </w:p>
    <w:p w:rsidR="006E4221" w:rsidRPr="00D337FA" w:rsidRDefault="006E4221" w:rsidP="00847021">
      <w:pPr>
        <w:ind w:firstLine="142"/>
        <w:rPr>
          <w:i/>
          <w:sz w:val="22"/>
          <w:szCs w:val="22"/>
        </w:rPr>
        <w:sectPr w:rsidR="006E4221" w:rsidRPr="00D337FA" w:rsidSect="006E4221">
          <w:footnotePr>
            <w:numRestart w:val="eachPage"/>
          </w:footnotePr>
          <w:type w:val="continuous"/>
          <w:pgSz w:w="11907" w:h="16840" w:code="9"/>
          <w:pgMar w:top="1418" w:right="1134" w:bottom="1418" w:left="1134" w:header="1021" w:footer="1021" w:gutter="0"/>
          <w:cols w:num="2" w:space="708"/>
          <w:docGrid w:linePitch="360"/>
        </w:sectPr>
      </w:pPr>
    </w:p>
    <w:p w:rsidR="004577D3" w:rsidRDefault="004577D3" w:rsidP="00A86B27">
      <w:pPr>
        <w:ind w:firstLine="142"/>
        <w:jc w:val="right"/>
        <w:rPr>
          <w:rFonts w:ascii="Arial" w:hAnsi="Arial" w:cs="Arial"/>
          <w:i/>
          <w:sz w:val="22"/>
          <w:szCs w:val="22"/>
        </w:rPr>
      </w:pPr>
    </w:p>
    <w:p w:rsidR="004577D3" w:rsidRDefault="004577D3" w:rsidP="00A86B27">
      <w:pPr>
        <w:ind w:firstLine="142"/>
        <w:jc w:val="right"/>
        <w:rPr>
          <w:rFonts w:ascii="Arial" w:hAnsi="Arial" w:cs="Arial"/>
          <w:i/>
          <w:sz w:val="22"/>
          <w:szCs w:val="22"/>
        </w:rPr>
      </w:pPr>
    </w:p>
    <w:p w:rsidR="004577D3" w:rsidRDefault="004577D3" w:rsidP="00A86B27">
      <w:pPr>
        <w:ind w:firstLine="142"/>
        <w:jc w:val="right"/>
        <w:rPr>
          <w:rFonts w:ascii="Arial" w:hAnsi="Arial" w:cs="Arial"/>
          <w:i/>
          <w:sz w:val="22"/>
          <w:szCs w:val="22"/>
        </w:rPr>
      </w:pPr>
    </w:p>
    <w:p w:rsidR="004577D3" w:rsidRDefault="004577D3" w:rsidP="00A86B27">
      <w:pPr>
        <w:ind w:firstLine="142"/>
        <w:jc w:val="right"/>
        <w:rPr>
          <w:rFonts w:ascii="Arial" w:hAnsi="Arial" w:cs="Arial"/>
          <w:i/>
          <w:sz w:val="22"/>
          <w:szCs w:val="22"/>
        </w:rPr>
      </w:pPr>
    </w:p>
    <w:p w:rsidR="004577D3" w:rsidRDefault="004577D3" w:rsidP="00A86B27">
      <w:pPr>
        <w:ind w:firstLine="142"/>
        <w:jc w:val="right"/>
        <w:rPr>
          <w:rFonts w:ascii="Arial" w:hAnsi="Arial" w:cs="Arial"/>
          <w:i/>
          <w:sz w:val="22"/>
          <w:szCs w:val="22"/>
        </w:rPr>
      </w:pPr>
    </w:p>
    <w:p w:rsidR="004577D3" w:rsidRDefault="004577D3" w:rsidP="00A86B27">
      <w:pPr>
        <w:ind w:firstLine="142"/>
        <w:jc w:val="right"/>
        <w:rPr>
          <w:rFonts w:ascii="Arial" w:hAnsi="Arial" w:cs="Arial"/>
          <w:i/>
          <w:sz w:val="22"/>
          <w:szCs w:val="22"/>
        </w:rPr>
      </w:pPr>
    </w:p>
    <w:p w:rsidR="004577D3" w:rsidRDefault="004577D3" w:rsidP="00A86B27">
      <w:pPr>
        <w:ind w:firstLine="142"/>
        <w:jc w:val="right"/>
        <w:rPr>
          <w:rFonts w:ascii="Arial" w:hAnsi="Arial" w:cs="Arial"/>
          <w:i/>
          <w:sz w:val="22"/>
          <w:szCs w:val="22"/>
        </w:rPr>
      </w:pPr>
    </w:p>
    <w:p w:rsidR="004577D3" w:rsidRDefault="004577D3" w:rsidP="00A86B27">
      <w:pPr>
        <w:ind w:firstLine="142"/>
        <w:jc w:val="right"/>
        <w:rPr>
          <w:rFonts w:ascii="Arial" w:hAnsi="Arial" w:cs="Arial"/>
          <w:i/>
          <w:sz w:val="22"/>
          <w:szCs w:val="22"/>
        </w:rPr>
      </w:pPr>
    </w:p>
    <w:p w:rsidR="006E4221" w:rsidRPr="00D337FA" w:rsidRDefault="006E4221" w:rsidP="00A86B27">
      <w:pPr>
        <w:ind w:firstLine="142"/>
        <w:jc w:val="right"/>
        <w:rPr>
          <w:rFonts w:ascii="Arial" w:hAnsi="Arial" w:cs="Arial"/>
          <w:i/>
          <w:sz w:val="22"/>
          <w:szCs w:val="22"/>
        </w:rPr>
      </w:pPr>
      <w:r w:rsidRPr="00D337FA">
        <w:rPr>
          <w:rFonts w:ascii="Arial" w:hAnsi="Arial" w:cs="Arial"/>
          <w:i/>
          <w:sz w:val="22"/>
          <w:szCs w:val="22"/>
        </w:rPr>
        <w:lastRenderedPageBreak/>
        <w:t>Таблица</w:t>
      </w:r>
      <w:r w:rsidR="006C680D" w:rsidRPr="00D337FA">
        <w:rPr>
          <w:rFonts w:ascii="Arial" w:hAnsi="Arial" w:cs="Arial"/>
          <w:i/>
          <w:sz w:val="22"/>
          <w:szCs w:val="22"/>
        </w:rPr>
        <w:t xml:space="preserve"> </w:t>
      </w:r>
      <w:r w:rsidRPr="00D337FA">
        <w:rPr>
          <w:rFonts w:ascii="Arial" w:hAnsi="Arial" w:cs="Arial"/>
          <w:i/>
          <w:sz w:val="22"/>
          <w:szCs w:val="22"/>
        </w:rPr>
        <w:t>3</w:t>
      </w:r>
    </w:p>
    <w:p w:rsidR="00230516" w:rsidRPr="00D337FA" w:rsidRDefault="00B91B4B" w:rsidP="00A86B27">
      <w:pPr>
        <w:ind w:firstLine="0"/>
        <w:jc w:val="center"/>
        <w:rPr>
          <w:i/>
          <w:sz w:val="22"/>
          <w:szCs w:val="22"/>
        </w:rPr>
      </w:pPr>
      <w:r w:rsidRPr="00D337FA">
        <w:rPr>
          <w:rFonts w:ascii="Arial" w:hAnsi="Arial" w:cs="Arial"/>
          <w:i/>
          <w:sz w:val="22"/>
          <w:szCs w:val="22"/>
        </w:rPr>
        <w:t>Альтернативные</w:t>
      </w:r>
      <w:r w:rsidR="006C680D" w:rsidRPr="00D337FA">
        <w:rPr>
          <w:rFonts w:ascii="Arial" w:hAnsi="Arial" w:cs="Arial"/>
          <w:i/>
          <w:sz w:val="22"/>
          <w:szCs w:val="22"/>
        </w:rPr>
        <w:t xml:space="preserve"> </w:t>
      </w:r>
      <w:r w:rsidRPr="00D337FA">
        <w:rPr>
          <w:rFonts w:ascii="Arial" w:hAnsi="Arial" w:cs="Arial"/>
          <w:i/>
          <w:sz w:val="22"/>
          <w:szCs w:val="22"/>
        </w:rPr>
        <w:t>стратегии</w:t>
      </w:r>
      <w:r w:rsidR="006C680D" w:rsidRPr="00D337FA">
        <w:rPr>
          <w:rFonts w:ascii="Arial" w:hAnsi="Arial" w:cs="Arial"/>
          <w:i/>
          <w:sz w:val="22"/>
          <w:szCs w:val="22"/>
        </w:rPr>
        <w:t xml:space="preserve"> </w:t>
      </w:r>
      <w:r w:rsidRPr="00D337FA">
        <w:rPr>
          <w:rFonts w:ascii="Arial" w:hAnsi="Arial" w:cs="Arial"/>
          <w:i/>
          <w:sz w:val="22"/>
          <w:szCs w:val="22"/>
        </w:rPr>
        <w:t>управления</w:t>
      </w:r>
      <w:r w:rsidR="006C680D" w:rsidRPr="00D337FA">
        <w:rPr>
          <w:rFonts w:ascii="Arial" w:hAnsi="Arial" w:cs="Arial"/>
          <w:i/>
          <w:sz w:val="22"/>
          <w:szCs w:val="22"/>
        </w:rPr>
        <w:t xml:space="preserve"> </w:t>
      </w:r>
      <w:r w:rsidRPr="00D337FA">
        <w:rPr>
          <w:rFonts w:ascii="Arial" w:hAnsi="Arial" w:cs="Arial"/>
          <w:i/>
          <w:sz w:val="22"/>
          <w:szCs w:val="22"/>
        </w:rPr>
        <w:t>процессом</w:t>
      </w:r>
      <w:r w:rsidR="006C680D" w:rsidRPr="00D337FA">
        <w:rPr>
          <w:rFonts w:ascii="Arial" w:hAnsi="Arial" w:cs="Arial"/>
          <w:i/>
          <w:sz w:val="22"/>
          <w:szCs w:val="22"/>
        </w:rPr>
        <w:t xml:space="preserve"> </w:t>
      </w:r>
      <w:r w:rsidRPr="00D337FA">
        <w:rPr>
          <w:rFonts w:ascii="Arial" w:hAnsi="Arial" w:cs="Arial"/>
          <w:i/>
          <w:sz w:val="22"/>
          <w:szCs w:val="22"/>
        </w:rPr>
        <w:t>формирования</w:t>
      </w:r>
      <w:r w:rsidR="006C680D" w:rsidRPr="00D337FA">
        <w:rPr>
          <w:rFonts w:ascii="Arial" w:hAnsi="Arial" w:cs="Arial"/>
          <w:i/>
          <w:sz w:val="22"/>
          <w:szCs w:val="22"/>
        </w:rPr>
        <w:t xml:space="preserve"> </w:t>
      </w:r>
      <w:r w:rsidRPr="00D337FA">
        <w:rPr>
          <w:rFonts w:ascii="Arial" w:hAnsi="Arial" w:cs="Arial"/>
          <w:i/>
          <w:sz w:val="22"/>
          <w:szCs w:val="22"/>
        </w:rPr>
        <w:t>конкурентных</w:t>
      </w:r>
      <w:r w:rsidR="006C680D" w:rsidRPr="00D337FA">
        <w:rPr>
          <w:rFonts w:ascii="Arial" w:hAnsi="Arial" w:cs="Arial"/>
          <w:i/>
          <w:sz w:val="22"/>
          <w:szCs w:val="22"/>
        </w:rPr>
        <w:t xml:space="preserve"> </w:t>
      </w:r>
      <w:r w:rsidRPr="00D337FA">
        <w:rPr>
          <w:rFonts w:ascii="Arial" w:hAnsi="Arial" w:cs="Arial"/>
          <w:i/>
          <w:sz w:val="22"/>
          <w:szCs w:val="22"/>
        </w:rPr>
        <w:t>преимуществ</w:t>
      </w:r>
      <w:r w:rsidR="006C680D" w:rsidRPr="00D337FA">
        <w:rPr>
          <w:rFonts w:ascii="Arial" w:hAnsi="Arial" w:cs="Arial"/>
          <w:i/>
          <w:sz w:val="22"/>
          <w:szCs w:val="22"/>
        </w:rPr>
        <w:t xml:space="preserve"> </w:t>
      </w:r>
      <w:r w:rsidRPr="00D337FA">
        <w:rPr>
          <w:rFonts w:ascii="Arial" w:hAnsi="Arial" w:cs="Arial"/>
          <w:i/>
          <w:sz w:val="22"/>
          <w:szCs w:val="22"/>
        </w:rPr>
        <w:t>на</w:t>
      </w:r>
      <w:r w:rsidR="006C680D" w:rsidRPr="00D337FA">
        <w:rPr>
          <w:rFonts w:ascii="Arial" w:hAnsi="Arial" w:cs="Arial"/>
          <w:i/>
          <w:sz w:val="22"/>
          <w:szCs w:val="22"/>
        </w:rPr>
        <w:t xml:space="preserve"> </w:t>
      </w:r>
      <w:r w:rsidRPr="00D337FA">
        <w:rPr>
          <w:rFonts w:ascii="Arial" w:hAnsi="Arial" w:cs="Arial"/>
          <w:i/>
          <w:sz w:val="22"/>
          <w:szCs w:val="22"/>
        </w:rPr>
        <w:t>рынке</w:t>
      </w:r>
      <w:r w:rsidR="006C680D" w:rsidRPr="00D337FA">
        <w:rPr>
          <w:rFonts w:ascii="Arial" w:hAnsi="Arial" w:cs="Arial"/>
          <w:i/>
          <w:sz w:val="22"/>
          <w:szCs w:val="22"/>
        </w:rPr>
        <w:t xml:space="preserve"> </w:t>
      </w:r>
      <w:r w:rsidRPr="00D337FA">
        <w:rPr>
          <w:rFonts w:ascii="Arial" w:hAnsi="Arial" w:cs="Arial"/>
          <w:i/>
          <w:sz w:val="22"/>
          <w:szCs w:val="22"/>
        </w:rPr>
        <w:t>страховых</w:t>
      </w:r>
      <w:r w:rsidR="006C680D" w:rsidRPr="00D337FA">
        <w:rPr>
          <w:rFonts w:ascii="Arial" w:hAnsi="Arial" w:cs="Arial"/>
          <w:i/>
          <w:sz w:val="22"/>
          <w:szCs w:val="22"/>
        </w:rPr>
        <w:t xml:space="preserve"> </w:t>
      </w:r>
      <w:r w:rsidRPr="00D337FA">
        <w:rPr>
          <w:rFonts w:ascii="Arial" w:hAnsi="Arial" w:cs="Arial"/>
          <w:i/>
          <w:sz w:val="22"/>
          <w:szCs w:val="22"/>
        </w:rPr>
        <w:t>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559"/>
        <w:gridCol w:w="6350"/>
      </w:tblGrid>
      <w:tr w:rsidR="00D337FA" w:rsidRPr="004577D3" w:rsidTr="00B91B4B">
        <w:tc>
          <w:tcPr>
            <w:tcW w:w="1838" w:type="dxa"/>
          </w:tcPr>
          <w:p w:rsidR="00B91B4B" w:rsidRPr="004577D3" w:rsidRDefault="00B91B4B" w:rsidP="000C1FE6">
            <w:pPr>
              <w:tabs>
                <w:tab w:val="left" w:pos="993"/>
              </w:tabs>
              <w:ind w:firstLine="0"/>
              <w:jc w:val="center"/>
              <w:rPr>
                <w:sz w:val="20"/>
                <w:szCs w:val="20"/>
              </w:rPr>
            </w:pPr>
            <w:r w:rsidRPr="004577D3">
              <w:rPr>
                <w:sz w:val="20"/>
                <w:szCs w:val="20"/>
              </w:rPr>
              <w:t>Стратегия</w:t>
            </w:r>
          </w:p>
        </w:tc>
        <w:tc>
          <w:tcPr>
            <w:tcW w:w="1559" w:type="dxa"/>
          </w:tcPr>
          <w:p w:rsidR="00B91B4B" w:rsidRPr="004577D3" w:rsidRDefault="00B91B4B" w:rsidP="000C1FE6">
            <w:pPr>
              <w:tabs>
                <w:tab w:val="left" w:pos="993"/>
              </w:tabs>
              <w:ind w:firstLine="0"/>
              <w:jc w:val="center"/>
              <w:rPr>
                <w:sz w:val="20"/>
                <w:szCs w:val="20"/>
              </w:rPr>
            </w:pPr>
            <w:r w:rsidRPr="004577D3">
              <w:rPr>
                <w:sz w:val="20"/>
                <w:szCs w:val="20"/>
              </w:rPr>
              <w:t>Цель</w:t>
            </w:r>
          </w:p>
        </w:tc>
        <w:tc>
          <w:tcPr>
            <w:tcW w:w="6350" w:type="dxa"/>
          </w:tcPr>
          <w:p w:rsidR="00B91B4B" w:rsidRPr="004577D3" w:rsidRDefault="00B91B4B" w:rsidP="000C1FE6">
            <w:pPr>
              <w:tabs>
                <w:tab w:val="left" w:pos="993"/>
              </w:tabs>
              <w:ind w:firstLine="0"/>
              <w:jc w:val="center"/>
              <w:rPr>
                <w:sz w:val="20"/>
                <w:szCs w:val="20"/>
              </w:rPr>
            </w:pPr>
            <w:r w:rsidRPr="004577D3">
              <w:rPr>
                <w:sz w:val="20"/>
                <w:szCs w:val="20"/>
              </w:rPr>
              <w:t>Сущность</w:t>
            </w:r>
            <w:r w:rsidR="006C680D" w:rsidRPr="004577D3">
              <w:rPr>
                <w:sz w:val="20"/>
                <w:szCs w:val="20"/>
              </w:rPr>
              <w:t xml:space="preserve"> </w:t>
            </w:r>
            <w:r w:rsidRPr="004577D3">
              <w:rPr>
                <w:sz w:val="20"/>
                <w:szCs w:val="20"/>
              </w:rPr>
              <w:t>стратегии</w:t>
            </w:r>
          </w:p>
        </w:tc>
      </w:tr>
      <w:tr w:rsidR="00D337FA" w:rsidRPr="004577D3" w:rsidTr="00B91B4B">
        <w:tc>
          <w:tcPr>
            <w:tcW w:w="1838" w:type="dxa"/>
          </w:tcPr>
          <w:p w:rsidR="00B91B4B" w:rsidRPr="004577D3" w:rsidRDefault="00B91B4B" w:rsidP="000C1FE6">
            <w:pPr>
              <w:tabs>
                <w:tab w:val="left" w:pos="993"/>
              </w:tabs>
              <w:ind w:firstLine="0"/>
              <w:rPr>
                <w:sz w:val="20"/>
                <w:szCs w:val="20"/>
              </w:rPr>
            </w:pPr>
            <w:r w:rsidRPr="004577D3">
              <w:rPr>
                <w:sz w:val="20"/>
                <w:szCs w:val="20"/>
              </w:rPr>
              <w:t>Стратегия</w:t>
            </w:r>
            <w:r w:rsidR="006C680D" w:rsidRPr="004577D3">
              <w:rPr>
                <w:sz w:val="20"/>
                <w:szCs w:val="20"/>
              </w:rPr>
              <w:t xml:space="preserve"> </w:t>
            </w:r>
            <w:r w:rsidRPr="004577D3">
              <w:rPr>
                <w:sz w:val="20"/>
                <w:szCs w:val="20"/>
              </w:rPr>
              <w:t>технологического</w:t>
            </w:r>
            <w:r w:rsidR="006C680D" w:rsidRPr="004577D3">
              <w:rPr>
                <w:sz w:val="20"/>
                <w:szCs w:val="20"/>
              </w:rPr>
              <w:t xml:space="preserve"> </w:t>
            </w:r>
            <w:r w:rsidRPr="004577D3">
              <w:rPr>
                <w:sz w:val="20"/>
                <w:szCs w:val="20"/>
              </w:rPr>
              <w:t>суверенитета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цифровой</w:t>
            </w:r>
            <w:r w:rsidR="006C680D" w:rsidRPr="004577D3">
              <w:rPr>
                <w:sz w:val="20"/>
                <w:szCs w:val="20"/>
              </w:rPr>
              <w:t xml:space="preserve"> </w:t>
            </w:r>
            <w:r w:rsidRPr="004577D3">
              <w:rPr>
                <w:sz w:val="20"/>
                <w:szCs w:val="20"/>
              </w:rPr>
              <w:t>трансформации</w:t>
            </w:r>
          </w:p>
        </w:tc>
        <w:tc>
          <w:tcPr>
            <w:tcW w:w="1559" w:type="dxa"/>
          </w:tcPr>
          <w:p w:rsidR="00B91B4B" w:rsidRPr="004577D3" w:rsidRDefault="00B91B4B" w:rsidP="000C1FE6">
            <w:pPr>
              <w:tabs>
                <w:tab w:val="left" w:pos="993"/>
              </w:tabs>
              <w:ind w:firstLine="0"/>
              <w:rPr>
                <w:sz w:val="20"/>
                <w:szCs w:val="20"/>
              </w:rPr>
            </w:pPr>
            <w:r w:rsidRPr="004577D3">
              <w:rPr>
                <w:sz w:val="20"/>
                <w:szCs w:val="20"/>
              </w:rPr>
              <w:t>Преодолеть</w:t>
            </w:r>
            <w:r w:rsidR="006C680D" w:rsidRPr="004577D3">
              <w:rPr>
                <w:sz w:val="20"/>
                <w:szCs w:val="20"/>
              </w:rPr>
              <w:t xml:space="preserve"> </w:t>
            </w:r>
            <w:r w:rsidRPr="004577D3">
              <w:rPr>
                <w:sz w:val="20"/>
                <w:szCs w:val="20"/>
              </w:rPr>
              <w:t>технологическую</w:t>
            </w:r>
            <w:r w:rsidR="006C680D" w:rsidRPr="004577D3">
              <w:rPr>
                <w:sz w:val="20"/>
                <w:szCs w:val="20"/>
              </w:rPr>
              <w:t xml:space="preserve"> </w:t>
            </w:r>
            <w:r w:rsidRPr="004577D3">
              <w:rPr>
                <w:sz w:val="20"/>
                <w:szCs w:val="20"/>
              </w:rPr>
              <w:t>зависимость,</w:t>
            </w:r>
            <w:r w:rsidR="006C680D" w:rsidRPr="004577D3">
              <w:rPr>
                <w:sz w:val="20"/>
                <w:szCs w:val="20"/>
              </w:rPr>
              <w:t xml:space="preserve"> </w:t>
            </w:r>
            <w:r w:rsidRPr="004577D3">
              <w:rPr>
                <w:sz w:val="20"/>
                <w:szCs w:val="20"/>
              </w:rPr>
              <w:t>резко</w:t>
            </w:r>
            <w:r w:rsidR="006C680D" w:rsidRPr="004577D3">
              <w:rPr>
                <w:sz w:val="20"/>
                <w:szCs w:val="20"/>
              </w:rPr>
              <w:t xml:space="preserve"> </w:t>
            </w:r>
            <w:r w:rsidRPr="004577D3">
              <w:rPr>
                <w:sz w:val="20"/>
                <w:szCs w:val="20"/>
              </w:rPr>
              <w:t>повысить</w:t>
            </w:r>
            <w:r w:rsidR="006C680D" w:rsidRPr="004577D3">
              <w:rPr>
                <w:sz w:val="20"/>
                <w:szCs w:val="20"/>
              </w:rPr>
              <w:t xml:space="preserve"> </w:t>
            </w:r>
            <w:r w:rsidRPr="004577D3">
              <w:rPr>
                <w:sz w:val="20"/>
                <w:szCs w:val="20"/>
              </w:rPr>
              <w:t>эффективность</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создать</w:t>
            </w:r>
            <w:r w:rsidR="006C680D" w:rsidRPr="004577D3">
              <w:rPr>
                <w:sz w:val="20"/>
                <w:szCs w:val="20"/>
              </w:rPr>
              <w:t xml:space="preserve"> </w:t>
            </w:r>
            <w:r w:rsidRPr="004577D3">
              <w:rPr>
                <w:sz w:val="20"/>
                <w:szCs w:val="20"/>
              </w:rPr>
              <w:t>уникальное</w:t>
            </w:r>
            <w:r w:rsidR="006C680D" w:rsidRPr="004577D3">
              <w:rPr>
                <w:sz w:val="20"/>
                <w:szCs w:val="20"/>
              </w:rPr>
              <w:t xml:space="preserve"> </w:t>
            </w:r>
            <w:r w:rsidRPr="004577D3">
              <w:rPr>
                <w:sz w:val="20"/>
                <w:szCs w:val="20"/>
              </w:rPr>
              <w:t>клиентское</w:t>
            </w:r>
            <w:r w:rsidR="006C680D" w:rsidRPr="004577D3">
              <w:rPr>
                <w:sz w:val="20"/>
                <w:szCs w:val="20"/>
              </w:rPr>
              <w:t xml:space="preserve"> </w:t>
            </w:r>
            <w:r w:rsidRPr="004577D3">
              <w:rPr>
                <w:sz w:val="20"/>
                <w:szCs w:val="20"/>
              </w:rPr>
              <w:t>предложение.</w:t>
            </w:r>
          </w:p>
        </w:tc>
        <w:tc>
          <w:tcPr>
            <w:tcW w:w="6350"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Создание</w:t>
            </w:r>
            <w:r w:rsidR="006C680D" w:rsidRPr="004577D3">
              <w:rPr>
                <w:sz w:val="20"/>
                <w:szCs w:val="20"/>
              </w:rPr>
              <w:t xml:space="preserve"> </w:t>
            </w:r>
            <w:r w:rsidRPr="004577D3">
              <w:rPr>
                <w:sz w:val="20"/>
                <w:szCs w:val="20"/>
              </w:rPr>
              <w:t>или</w:t>
            </w:r>
            <w:r w:rsidR="006C680D" w:rsidRPr="004577D3">
              <w:rPr>
                <w:sz w:val="20"/>
                <w:szCs w:val="20"/>
              </w:rPr>
              <w:t xml:space="preserve"> </w:t>
            </w:r>
            <w:r w:rsidRPr="004577D3">
              <w:rPr>
                <w:sz w:val="20"/>
                <w:szCs w:val="20"/>
              </w:rPr>
              <w:t>переход</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российские</w:t>
            </w:r>
            <w:r w:rsidR="006C680D" w:rsidRPr="004577D3">
              <w:rPr>
                <w:sz w:val="20"/>
                <w:szCs w:val="20"/>
              </w:rPr>
              <w:t xml:space="preserve"> </w:t>
            </w:r>
            <w:r w:rsidRPr="004577D3">
              <w:rPr>
                <w:sz w:val="20"/>
                <w:szCs w:val="20"/>
              </w:rPr>
              <w:t>core-системы</w:t>
            </w:r>
            <w:r w:rsidR="006C680D" w:rsidRPr="004577D3">
              <w:rPr>
                <w:sz w:val="20"/>
                <w:szCs w:val="20"/>
              </w:rPr>
              <w:t xml:space="preserve"> </w:t>
            </w:r>
            <w:r w:rsidRPr="004577D3">
              <w:rPr>
                <w:sz w:val="20"/>
                <w:szCs w:val="20"/>
              </w:rPr>
              <w:t>(платформы</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полисов,</w:t>
            </w:r>
            <w:r w:rsidR="006C680D" w:rsidRPr="004577D3">
              <w:rPr>
                <w:sz w:val="20"/>
                <w:szCs w:val="20"/>
              </w:rPr>
              <w:t xml:space="preserve"> </w:t>
            </w:r>
            <w:r w:rsidRPr="004577D3">
              <w:rPr>
                <w:sz w:val="20"/>
                <w:szCs w:val="20"/>
              </w:rPr>
              <w:t>расчётов,</w:t>
            </w:r>
            <w:r w:rsidR="006C680D" w:rsidRPr="004577D3">
              <w:rPr>
                <w:sz w:val="20"/>
                <w:szCs w:val="20"/>
              </w:rPr>
              <w:t xml:space="preserve"> </w:t>
            </w:r>
            <w:r w:rsidRPr="004577D3">
              <w:rPr>
                <w:sz w:val="20"/>
                <w:szCs w:val="20"/>
              </w:rPr>
              <w:t>урегулирования</w:t>
            </w:r>
            <w:r w:rsidR="006C680D" w:rsidRPr="004577D3">
              <w:rPr>
                <w:sz w:val="20"/>
                <w:szCs w:val="20"/>
              </w:rPr>
              <w:t xml:space="preserve"> </w:t>
            </w:r>
            <w:r w:rsidRPr="004577D3">
              <w:rPr>
                <w:sz w:val="20"/>
                <w:szCs w:val="20"/>
              </w:rPr>
              <w:t>убытков)</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партнёрстве</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ведущими</w:t>
            </w:r>
            <w:r w:rsidR="006C680D" w:rsidRPr="004577D3">
              <w:rPr>
                <w:sz w:val="20"/>
                <w:szCs w:val="20"/>
              </w:rPr>
              <w:t xml:space="preserve"> </w:t>
            </w:r>
            <w:r w:rsidRPr="004577D3">
              <w:rPr>
                <w:sz w:val="20"/>
                <w:szCs w:val="20"/>
              </w:rPr>
              <w:t>IT-вендорами</w:t>
            </w:r>
            <w:r w:rsidR="006C680D" w:rsidRPr="004577D3">
              <w:rPr>
                <w:sz w:val="20"/>
                <w:szCs w:val="20"/>
              </w:rPr>
              <w:t xml:space="preserve"> </w:t>
            </w:r>
            <w:r w:rsidRPr="004577D3">
              <w:rPr>
                <w:sz w:val="20"/>
                <w:szCs w:val="20"/>
              </w:rPr>
              <w:t>(«Русские</w:t>
            </w:r>
            <w:r w:rsidR="006C680D" w:rsidRPr="004577D3">
              <w:rPr>
                <w:sz w:val="20"/>
                <w:szCs w:val="20"/>
              </w:rPr>
              <w:t xml:space="preserve"> </w:t>
            </w:r>
            <w:r w:rsidRPr="004577D3">
              <w:rPr>
                <w:sz w:val="20"/>
                <w:szCs w:val="20"/>
              </w:rPr>
              <w:t>ОС»,</w:t>
            </w:r>
            <w:r w:rsidR="006C680D" w:rsidRPr="004577D3">
              <w:rPr>
                <w:sz w:val="20"/>
                <w:szCs w:val="20"/>
              </w:rPr>
              <w:t xml:space="preserve"> </w:t>
            </w:r>
            <w:r w:rsidRPr="004577D3">
              <w:rPr>
                <w:sz w:val="20"/>
                <w:szCs w:val="20"/>
              </w:rPr>
              <w:t>«АстроСофт»</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др.).</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Инвестиции</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разработку</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внедрение</w:t>
            </w:r>
            <w:r w:rsidR="006C680D" w:rsidRPr="004577D3">
              <w:rPr>
                <w:sz w:val="20"/>
                <w:szCs w:val="20"/>
              </w:rPr>
              <w:t xml:space="preserve"> </w:t>
            </w:r>
            <w:r w:rsidRPr="004577D3">
              <w:rPr>
                <w:sz w:val="20"/>
                <w:szCs w:val="20"/>
              </w:rPr>
              <w:t>AI-решений</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автоматического</w:t>
            </w:r>
            <w:r w:rsidR="006C680D" w:rsidRPr="004577D3">
              <w:rPr>
                <w:sz w:val="20"/>
                <w:szCs w:val="20"/>
              </w:rPr>
              <w:t xml:space="preserve"> </w:t>
            </w:r>
            <w:r w:rsidRPr="004577D3">
              <w:rPr>
                <w:sz w:val="20"/>
                <w:szCs w:val="20"/>
              </w:rPr>
              <w:t>андеррайтинга</w:t>
            </w:r>
            <w:r w:rsidR="006C680D" w:rsidRPr="004577D3">
              <w:rPr>
                <w:sz w:val="20"/>
                <w:szCs w:val="20"/>
              </w:rPr>
              <w:t xml:space="preserve"> </w:t>
            </w:r>
            <w:r w:rsidRPr="004577D3">
              <w:rPr>
                <w:sz w:val="20"/>
                <w:szCs w:val="20"/>
              </w:rPr>
              <w:t>(например,</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данным</w:t>
            </w:r>
            <w:r w:rsidR="006C680D" w:rsidRPr="004577D3">
              <w:rPr>
                <w:sz w:val="20"/>
                <w:szCs w:val="20"/>
              </w:rPr>
              <w:t xml:space="preserve"> </w:t>
            </w:r>
            <w:r w:rsidRPr="004577D3">
              <w:rPr>
                <w:sz w:val="20"/>
                <w:szCs w:val="20"/>
              </w:rPr>
              <w:t>телематики),</w:t>
            </w:r>
            <w:r w:rsidR="006C680D" w:rsidRPr="004577D3">
              <w:rPr>
                <w:sz w:val="20"/>
                <w:szCs w:val="20"/>
              </w:rPr>
              <w:t xml:space="preserve"> </w:t>
            </w:r>
            <w:r w:rsidRPr="004577D3">
              <w:rPr>
                <w:sz w:val="20"/>
                <w:szCs w:val="20"/>
              </w:rPr>
              <w:t>обработки</w:t>
            </w:r>
            <w:r w:rsidR="006C680D" w:rsidRPr="004577D3">
              <w:rPr>
                <w:sz w:val="20"/>
                <w:szCs w:val="20"/>
              </w:rPr>
              <w:t xml:space="preserve"> </w:t>
            </w:r>
            <w:r w:rsidRPr="004577D3">
              <w:rPr>
                <w:sz w:val="20"/>
                <w:szCs w:val="20"/>
              </w:rPr>
              <w:t>мелких</w:t>
            </w:r>
            <w:r w:rsidR="006C680D" w:rsidRPr="004577D3">
              <w:rPr>
                <w:sz w:val="20"/>
                <w:szCs w:val="20"/>
              </w:rPr>
              <w:t xml:space="preserve"> </w:t>
            </w:r>
            <w:r w:rsidRPr="004577D3">
              <w:rPr>
                <w:sz w:val="20"/>
                <w:szCs w:val="20"/>
              </w:rPr>
              <w:t>убытков</w:t>
            </w:r>
            <w:r w:rsidR="006C680D" w:rsidRPr="004577D3">
              <w:rPr>
                <w:sz w:val="20"/>
                <w:szCs w:val="20"/>
              </w:rPr>
              <w:t xml:space="preserve"> </w:t>
            </w:r>
            <w:r w:rsidRPr="004577D3">
              <w:rPr>
                <w:sz w:val="20"/>
                <w:szCs w:val="20"/>
              </w:rPr>
              <w:t>(фотопротокол</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автоматическая</w:t>
            </w:r>
            <w:r w:rsidR="006C680D" w:rsidRPr="004577D3">
              <w:rPr>
                <w:sz w:val="20"/>
                <w:szCs w:val="20"/>
              </w:rPr>
              <w:t xml:space="preserve"> </w:t>
            </w:r>
            <w:r w:rsidRPr="004577D3">
              <w:rPr>
                <w:sz w:val="20"/>
                <w:szCs w:val="20"/>
              </w:rPr>
              <w:t>выплата),</w:t>
            </w:r>
            <w:r w:rsidR="006C680D" w:rsidRPr="004577D3">
              <w:rPr>
                <w:sz w:val="20"/>
                <w:szCs w:val="20"/>
              </w:rPr>
              <w:t xml:space="preserve"> </w:t>
            </w:r>
            <w:r w:rsidRPr="004577D3">
              <w:rPr>
                <w:sz w:val="20"/>
                <w:szCs w:val="20"/>
              </w:rPr>
              <w:t>чат-ботов</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обслуживания.</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Внедрение</w:t>
            </w:r>
            <w:r w:rsidR="006C680D" w:rsidRPr="004577D3">
              <w:rPr>
                <w:sz w:val="20"/>
                <w:szCs w:val="20"/>
              </w:rPr>
              <w:t xml:space="preserve"> </w:t>
            </w:r>
            <w:r w:rsidRPr="004577D3">
              <w:rPr>
                <w:sz w:val="20"/>
                <w:szCs w:val="20"/>
              </w:rPr>
              <w:t>блокчейна</w:t>
            </w:r>
            <w:r w:rsidR="006C680D" w:rsidRPr="004577D3">
              <w:rPr>
                <w:sz w:val="20"/>
                <w:szCs w:val="20"/>
              </w:rPr>
              <w:t xml:space="preserve"> </w:t>
            </w:r>
            <w:r w:rsidRPr="004577D3">
              <w:rPr>
                <w:sz w:val="20"/>
                <w:szCs w:val="20"/>
              </w:rPr>
              <w:t>(DLT)</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создания</w:t>
            </w:r>
            <w:r w:rsidR="006C680D" w:rsidRPr="004577D3">
              <w:rPr>
                <w:sz w:val="20"/>
                <w:szCs w:val="20"/>
              </w:rPr>
              <w:t xml:space="preserve"> </w:t>
            </w:r>
            <w:r w:rsidRPr="004577D3">
              <w:rPr>
                <w:sz w:val="20"/>
                <w:szCs w:val="20"/>
              </w:rPr>
              <w:t>отраслевого</w:t>
            </w:r>
            <w:r w:rsidR="006C680D" w:rsidRPr="004577D3">
              <w:rPr>
                <w:sz w:val="20"/>
                <w:szCs w:val="20"/>
              </w:rPr>
              <w:t xml:space="preserve"> </w:t>
            </w:r>
            <w:r w:rsidRPr="004577D3">
              <w:rPr>
                <w:sz w:val="20"/>
                <w:szCs w:val="20"/>
              </w:rPr>
              <w:t>реестра</w:t>
            </w:r>
            <w:r w:rsidR="006C680D" w:rsidRPr="004577D3">
              <w:rPr>
                <w:sz w:val="20"/>
                <w:szCs w:val="20"/>
              </w:rPr>
              <w:t xml:space="preserve"> </w:t>
            </w:r>
            <w:r w:rsidRPr="004577D3">
              <w:rPr>
                <w:sz w:val="20"/>
                <w:szCs w:val="20"/>
              </w:rPr>
              <w:t>полисов</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убытков,</w:t>
            </w:r>
            <w:r w:rsidR="006C680D" w:rsidRPr="004577D3">
              <w:rPr>
                <w:sz w:val="20"/>
                <w:szCs w:val="20"/>
              </w:rPr>
              <w:t xml:space="preserve"> </w:t>
            </w:r>
            <w:r w:rsidRPr="004577D3">
              <w:rPr>
                <w:sz w:val="20"/>
                <w:szCs w:val="20"/>
              </w:rPr>
              <w:t>что</w:t>
            </w:r>
            <w:r w:rsidR="006C680D" w:rsidRPr="004577D3">
              <w:rPr>
                <w:sz w:val="20"/>
                <w:szCs w:val="20"/>
              </w:rPr>
              <w:t xml:space="preserve"> </w:t>
            </w:r>
            <w:r w:rsidRPr="004577D3">
              <w:rPr>
                <w:sz w:val="20"/>
                <w:szCs w:val="20"/>
              </w:rPr>
              <w:t>сократит</w:t>
            </w:r>
            <w:r w:rsidR="006C680D" w:rsidRPr="004577D3">
              <w:rPr>
                <w:sz w:val="20"/>
                <w:szCs w:val="20"/>
              </w:rPr>
              <w:t xml:space="preserve"> </w:t>
            </w:r>
            <w:r w:rsidRPr="004577D3">
              <w:rPr>
                <w:sz w:val="20"/>
                <w:szCs w:val="20"/>
              </w:rPr>
              <w:t>мошенничество</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дублирование.</w:t>
            </w:r>
          </w:p>
        </w:tc>
      </w:tr>
      <w:tr w:rsidR="00D337FA" w:rsidRPr="004577D3" w:rsidTr="00B91B4B">
        <w:tc>
          <w:tcPr>
            <w:tcW w:w="1838" w:type="dxa"/>
          </w:tcPr>
          <w:p w:rsidR="00B91B4B" w:rsidRPr="004577D3" w:rsidRDefault="00B91B4B" w:rsidP="000C1FE6">
            <w:pPr>
              <w:tabs>
                <w:tab w:val="left" w:pos="993"/>
              </w:tabs>
              <w:ind w:firstLine="0"/>
              <w:rPr>
                <w:sz w:val="20"/>
                <w:szCs w:val="20"/>
              </w:rPr>
            </w:pPr>
            <w:r w:rsidRPr="004577D3">
              <w:rPr>
                <w:sz w:val="20"/>
                <w:szCs w:val="20"/>
              </w:rPr>
              <w:t>Стратегия</w:t>
            </w:r>
            <w:r w:rsidR="006C680D" w:rsidRPr="004577D3">
              <w:rPr>
                <w:sz w:val="20"/>
                <w:szCs w:val="20"/>
              </w:rPr>
              <w:t xml:space="preserve"> </w:t>
            </w:r>
            <w:r w:rsidRPr="004577D3">
              <w:rPr>
                <w:sz w:val="20"/>
                <w:szCs w:val="20"/>
              </w:rPr>
              <w:t>фокуса</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новые</w:t>
            </w:r>
            <w:r w:rsidR="006C680D" w:rsidRPr="004577D3">
              <w:rPr>
                <w:sz w:val="20"/>
                <w:szCs w:val="20"/>
              </w:rPr>
              <w:t xml:space="preserve"> </w:t>
            </w:r>
            <w:r w:rsidRPr="004577D3">
              <w:rPr>
                <w:sz w:val="20"/>
                <w:szCs w:val="20"/>
              </w:rPr>
              <w:t>рынки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партнёрства</w:t>
            </w:r>
          </w:p>
          <w:p w:rsidR="00B91B4B" w:rsidRPr="004577D3" w:rsidRDefault="00B91B4B" w:rsidP="000C1FE6">
            <w:pPr>
              <w:tabs>
                <w:tab w:val="left" w:pos="993"/>
              </w:tabs>
              <w:ind w:firstLine="0"/>
              <w:rPr>
                <w:sz w:val="20"/>
                <w:szCs w:val="20"/>
              </w:rPr>
            </w:pPr>
          </w:p>
        </w:tc>
        <w:tc>
          <w:tcPr>
            <w:tcW w:w="1559" w:type="dxa"/>
          </w:tcPr>
          <w:p w:rsidR="00B91B4B" w:rsidRPr="004577D3" w:rsidRDefault="00B91B4B" w:rsidP="000C1FE6">
            <w:pPr>
              <w:tabs>
                <w:tab w:val="left" w:pos="993"/>
              </w:tabs>
              <w:ind w:firstLine="0"/>
              <w:rPr>
                <w:sz w:val="20"/>
                <w:szCs w:val="20"/>
              </w:rPr>
            </w:pPr>
            <w:r w:rsidRPr="004577D3">
              <w:rPr>
                <w:sz w:val="20"/>
                <w:szCs w:val="20"/>
              </w:rPr>
              <w:t>Диверсифицировать</w:t>
            </w:r>
            <w:r w:rsidR="006C680D" w:rsidRPr="004577D3">
              <w:rPr>
                <w:sz w:val="20"/>
                <w:szCs w:val="20"/>
              </w:rPr>
              <w:t xml:space="preserve"> </w:t>
            </w:r>
            <w:r w:rsidRPr="004577D3">
              <w:rPr>
                <w:sz w:val="20"/>
                <w:szCs w:val="20"/>
              </w:rPr>
              <w:t>риски,</w:t>
            </w:r>
            <w:r w:rsidR="006C680D" w:rsidRPr="004577D3">
              <w:rPr>
                <w:sz w:val="20"/>
                <w:szCs w:val="20"/>
              </w:rPr>
              <w:t xml:space="preserve"> </w:t>
            </w:r>
            <w:r w:rsidRPr="004577D3">
              <w:rPr>
                <w:sz w:val="20"/>
                <w:szCs w:val="20"/>
              </w:rPr>
              <w:t>найти</w:t>
            </w:r>
            <w:r w:rsidR="006C680D" w:rsidRPr="004577D3">
              <w:rPr>
                <w:sz w:val="20"/>
                <w:szCs w:val="20"/>
              </w:rPr>
              <w:t xml:space="preserve"> </w:t>
            </w:r>
            <w:r w:rsidRPr="004577D3">
              <w:rPr>
                <w:sz w:val="20"/>
                <w:szCs w:val="20"/>
              </w:rPr>
              <w:t>новые</w:t>
            </w:r>
            <w:r w:rsidR="006C680D" w:rsidRPr="004577D3">
              <w:rPr>
                <w:sz w:val="20"/>
                <w:szCs w:val="20"/>
              </w:rPr>
              <w:t xml:space="preserve"> </w:t>
            </w:r>
            <w:r w:rsidRPr="004577D3">
              <w:rPr>
                <w:sz w:val="20"/>
                <w:szCs w:val="20"/>
              </w:rPr>
              <w:t>источники</w:t>
            </w:r>
            <w:r w:rsidR="006C680D" w:rsidRPr="004577D3">
              <w:rPr>
                <w:sz w:val="20"/>
                <w:szCs w:val="20"/>
              </w:rPr>
              <w:t xml:space="preserve"> </w:t>
            </w:r>
            <w:r w:rsidRPr="004577D3">
              <w:rPr>
                <w:sz w:val="20"/>
                <w:szCs w:val="20"/>
              </w:rPr>
              <w:t>роста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перестраховочные</w:t>
            </w:r>
            <w:r w:rsidR="006C680D" w:rsidRPr="004577D3">
              <w:rPr>
                <w:sz w:val="20"/>
                <w:szCs w:val="20"/>
              </w:rPr>
              <w:t xml:space="preserve"> </w:t>
            </w:r>
            <w:r w:rsidRPr="004577D3">
              <w:rPr>
                <w:sz w:val="20"/>
                <w:szCs w:val="20"/>
              </w:rPr>
              <w:t>мощности.</w:t>
            </w:r>
          </w:p>
        </w:tc>
        <w:tc>
          <w:tcPr>
            <w:tcW w:w="6350"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«Поворот</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Восток»</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перестраховании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кооперации:</w:t>
            </w:r>
          </w:p>
          <w:p w:rsidR="00B91B4B" w:rsidRPr="004577D3" w:rsidRDefault="00B91B4B" w:rsidP="000C1FE6">
            <w:pPr>
              <w:tabs>
                <w:tab w:val="left" w:pos="993"/>
              </w:tabs>
              <w:ind w:firstLine="0"/>
              <w:rPr>
                <w:sz w:val="20"/>
                <w:szCs w:val="20"/>
              </w:rPr>
            </w:pPr>
            <w:r w:rsidRPr="004577D3">
              <w:rPr>
                <w:sz w:val="20"/>
                <w:szCs w:val="20"/>
              </w:rPr>
              <w:t>Активное</w:t>
            </w:r>
            <w:r w:rsidR="006C680D" w:rsidRPr="004577D3">
              <w:rPr>
                <w:sz w:val="20"/>
                <w:szCs w:val="20"/>
              </w:rPr>
              <w:t xml:space="preserve"> </w:t>
            </w:r>
            <w:r w:rsidRPr="004577D3">
              <w:rPr>
                <w:sz w:val="20"/>
                <w:szCs w:val="20"/>
              </w:rPr>
              <w:t>установление</w:t>
            </w:r>
            <w:r w:rsidR="006C680D" w:rsidRPr="004577D3">
              <w:rPr>
                <w:sz w:val="20"/>
                <w:szCs w:val="20"/>
              </w:rPr>
              <w:t xml:space="preserve"> </w:t>
            </w:r>
            <w:r w:rsidRPr="004577D3">
              <w:rPr>
                <w:sz w:val="20"/>
                <w:szCs w:val="20"/>
              </w:rPr>
              <w:t>партнёрских</w:t>
            </w:r>
            <w:r w:rsidR="006C680D" w:rsidRPr="004577D3">
              <w:rPr>
                <w:sz w:val="20"/>
                <w:szCs w:val="20"/>
              </w:rPr>
              <w:t xml:space="preserve"> </w:t>
            </w:r>
            <w:r w:rsidRPr="004577D3">
              <w:rPr>
                <w:sz w:val="20"/>
                <w:szCs w:val="20"/>
              </w:rPr>
              <w:t>отношений</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перестраховочными</w:t>
            </w:r>
            <w:r w:rsidR="006C680D" w:rsidRPr="004577D3">
              <w:rPr>
                <w:sz w:val="20"/>
                <w:szCs w:val="20"/>
              </w:rPr>
              <w:t xml:space="preserve"> </w:t>
            </w:r>
            <w:r w:rsidRPr="004577D3">
              <w:rPr>
                <w:sz w:val="20"/>
                <w:szCs w:val="20"/>
              </w:rPr>
              <w:t>компаниями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пулами</w:t>
            </w:r>
            <w:r w:rsidR="006C680D" w:rsidRPr="004577D3">
              <w:rPr>
                <w:sz w:val="20"/>
                <w:szCs w:val="20"/>
              </w:rPr>
              <w:t xml:space="preserve"> </w:t>
            </w:r>
            <w:r w:rsidRPr="004577D3">
              <w:rPr>
                <w:sz w:val="20"/>
                <w:szCs w:val="20"/>
              </w:rPr>
              <w:t>Китая,</w:t>
            </w:r>
            <w:r w:rsidR="006C680D" w:rsidRPr="004577D3">
              <w:rPr>
                <w:sz w:val="20"/>
                <w:szCs w:val="20"/>
              </w:rPr>
              <w:t xml:space="preserve"> </w:t>
            </w:r>
            <w:r w:rsidRPr="004577D3">
              <w:rPr>
                <w:sz w:val="20"/>
                <w:szCs w:val="20"/>
              </w:rPr>
              <w:t>Индии,</w:t>
            </w:r>
            <w:r w:rsidR="006C680D" w:rsidRPr="004577D3">
              <w:rPr>
                <w:sz w:val="20"/>
                <w:szCs w:val="20"/>
              </w:rPr>
              <w:t xml:space="preserve"> </w:t>
            </w:r>
            <w:r w:rsidRPr="004577D3">
              <w:rPr>
                <w:sz w:val="20"/>
                <w:szCs w:val="20"/>
              </w:rPr>
              <w:t>ОАЭ,</w:t>
            </w:r>
            <w:r w:rsidR="006C680D" w:rsidRPr="004577D3">
              <w:rPr>
                <w:sz w:val="20"/>
                <w:szCs w:val="20"/>
              </w:rPr>
              <w:t xml:space="preserve"> </w:t>
            </w:r>
            <w:r w:rsidRPr="004577D3">
              <w:rPr>
                <w:sz w:val="20"/>
                <w:szCs w:val="20"/>
              </w:rPr>
              <w:t>Турции,</w:t>
            </w:r>
            <w:r w:rsidR="006C680D" w:rsidRPr="004577D3">
              <w:rPr>
                <w:sz w:val="20"/>
                <w:szCs w:val="20"/>
              </w:rPr>
              <w:t xml:space="preserve"> </w:t>
            </w:r>
            <w:r w:rsidRPr="004577D3">
              <w:rPr>
                <w:sz w:val="20"/>
                <w:szCs w:val="20"/>
              </w:rPr>
              <w:t>стран</w:t>
            </w:r>
            <w:r w:rsidR="006C680D" w:rsidRPr="004577D3">
              <w:rPr>
                <w:sz w:val="20"/>
                <w:szCs w:val="20"/>
              </w:rPr>
              <w:t xml:space="preserve"> </w:t>
            </w:r>
            <w:r w:rsidRPr="004577D3">
              <w:rPr>
                <w:sz w:val="20"/>
                <w:szCs w:val="20"/>
              </w:rPr>
              <w:t>БРИКС+.</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Участие</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создании</w:t>
            </w:r>
            <w:r w:rsidR="006C680D" w:rsidRPr="004577D3">
              <w:rPr>
                <w:sz w:val="20"/>
                <w:szCs w:val="20"/>
              </w:rPr>
              <w:t xml:space="preserve"> </w:t>
            </w:r>
            <w:r w:rsidRPr="004577D3">
              <w:rPr>
                <w:sz w:val="20"/>
                <w:szCs w:val="20"/>
              </w:rPr>
              <w:t>международного</w:t>
            </w:r>
            <w:r w:rsidR="006C680D" w:rsidRPr="004577D3">
              <w:rPr>
                <w:sz w:val="20"/>
                <w:szCs w:val="20"/>
              </w:rPr>
              <w:t xml:space="preserve"> </w:t>
            </w:r>
            <w:r w:rsidRPr="004577D3">
              <w:rPr>
                <w:sz w:val="20"/>
                <w:szCs w:val="20"/>
              </w:rPr>
              <w:t>перестраховочного</w:t>
            </w:r>
            <w:r w:rsidR="006C680D" w:rsidRPr="004577D3">
              <w:rPr>
                <w:sz w:val="20"/>
                <w:szCs w:val="20"/>
              </w:rPr>
              <w:t xml:space="preserve"> </w:t>
            </w:r>
            <w:r w:rsidRPr="004577D3">
              <w:rPr>
                <w:sz w:val="20"/>
                <w:szCs w:val="20"/>
              </w:rPr>
              <w:t>пула</w:t>
            </w:r>
            <w:r w:rsidR="006C680D" w:rsidRPr="004577D3">
              <w:rPr>
                <w:sz w:val="20"/>
                <w:szCs w:val="20"/>
              </w:rPr>
              <w:t xml:space="preserve"> </w:t>
            </w:r>
            <w:r w:rsidRPr="004577D3">
              <w:rPr>
                <w:sz w:val="20"/>
                <w:szCs w:val="20"/>
              </w:rPr>
              <w:t>стран</w:t>
            </w:r>
            <w:r w:rsidR="006C680D" w:rsidRPr="004577D3">
              <w:rPr>
                <w:sz w:val="20"/>
                <w:szCs w:val="20"/>
              </w:rPr>
              <w:t xml:space="preserve"> </w:t>
            </w:r>
            <w:r w:rsidRPr="004577D3">
              <w:rPr>
                <w:sz w:val="20"/>
                <w:szCs w:val="20"/>
              </w:rPr>
              <w:t>БРИКС+</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mutual</w:t>
            </w:r>
            <w:r w:rsidR="006C680D" w:rsidRPr="004577D3">
              <w:rPr>
                <w:sz w:val="20"/>
                <w:szCs w:val="20"/>
              </w:rPr>
              <w:t xml:space="preserve"> </w:t>
            </w:r>
            <w:r w:rsidRPr="004577D3">
              <w:rPr>
                <w:sz w:val="20"/>
                <w:szCs w:val="20"/>
              </w:rPr>
              <w:t>cover</w:t>
            </w:r>
            <w:r w:rsidR="006C680D" w:rsidRPr="004577D3">
              <w:rPr>
                <w:sz w:val="20"/>
                <w:szCs w:val="20"/>
              </w:rPr>
              <w:t xml:space="preserve"> </w:t>
            </w:r>
            <w:r w:rsidRPr="004577D3">
              <w:rPr>
                <w:sz w:val="20"/>
                <w:szCs w:val="20"/>
              </w:rPr>
              <w:t>крупных</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сложных</w:t>
            </w:r>
            <w:r w:rsidR="006C680D" w:rsidRPr="004577D3">
              <w:rPr>
                <w:sz w:val="20"/>
                <w:szCs w:val="20"/>
              </w:rPr>
              <w:t xml:space="preserve"> </w:t>
            </w:r>
            <w:r w:rsidRPr="004577D3">
              <w:rPr>
                <w:sz w:val="20"/>
                <w:szCs w:val="20"/>
              </w:rPr>
              <w:t>рисков.</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Страхование</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«новой</w:t>
            </w:r>
            <w:r w:rsidR="006C680D" w:rsidRPr="004577D3">
              <w:rPr>
                <w:sz w:val="20"/>
                <w:szCs w:val="20"/>
              </w:rPr>
              <w:t xml:space="preserve"> </w:t>
            </w:r>
            <w:r w:rsidRPr="004577D3">
              <w:rPr>
                <w:sz w:val="20"/>
                <w:szCs w:val="20"/>
              </w:rPr>
              <w:t>экономики»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логистики:</w:t>
            </w:r>
          </w:p>
          <w:p w:rsidR="00B91B4B" w:rsidRPr="004577D3" w:rsidRDefault="00B91B4B" w:rsidP="000C1FE6">
            <w:pPr>
              <w:tabs>
                <w:tab w:val="left" w:pos="993"/>
              </w:tabs>
              <w:ind w:firstLine="0"/>
              <w:rPr>
                <w:sz w:val="20"/>
                <w:szCs w:val="20"/>
              </w:rPr>
            </w:pPr>
            <w:r w:rsidRPr="004577D3">
              <w:rPr>
                <w:sz w:val="20"/>
                <w:szCs w:val="20"/>
              </w:rPr>
              <w:t>Разработка</w:t>
            </w:r>
            <w:r w:rsidR="006C680D" w:rsidRPr="004577D3">
              <w:rPr>
                <w:sz w:val="20"/>
                <w:szCs w:val="20"/>
              </w:rPr>
              <w:t xml:space="preserve"> </w:t>
            </w:r>
            <w:r w:rsidRPr="004577D3">
              <w:rPr>
                <w:sz w:val="20"/>
                <w:szCs w:val="20"/>
              </w:rPr>
              <w:t>продуктов</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параллельного</w:t>
            </w:r>
            <w:r w:rsidR="006C680D" w:rsidRPr="004577D3">
              <w:rPr>
                <w:sz w:val="20"/>
                <w:szCs w:val="20"/>
              </w:rPr>
              <w:t xml:space="preserve"> </w:t>
            </w:r>
            <w:r w:rsidRPr="004577D3">
              <w:rPr>
                <w:sz w:val="20"/>
                <w:szCs w:val="20"/>
              </w:rPr>
              <w:t>импорта,</w:t>
            </w:r>
            <w:r w:rsidR="006C680D" w:rsidRPr="004577D3">
              <w:rPr>
                <w:sz w:val="20"/>
                <w:szCs w:val="20"/>
              </w:rPr>
              <w:t xml:space="preserve"> </w:t>
            </w:r>
            <w:r w:rsidRPr="004577D3">
              <w:rPr>
                <w:sz w:val="20"/>
                <w:szCs w:val="20"/>
              </w:rPr>
              <w:t>международной</w:t>
            </w:r>
            <w:r w:rsidR="006C680D" w:rsidRPr="004577D3">
              <w:rPr>
                <w:sz w:val="20"/>
                <w:szCs w:val="20"/>
              </w:rPr>
              <w:t xml:space="preserve"> </w:t>
            </w:r>
            <w:r w:rsidRPr="004577D3">
              <w:rPr>
                <w:sz w:val="20"/>
                <w:szCs w:val="20"/>
              </w:rPr>
              <w:t>логистики</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новым</w:t>
            </w:r>
            <w:r w:rsidR="006C680D" w:rsidRPr="004577D3">
              <w:rPr>
                <w:sz w:val="20"/>
                <w:szCs w:val="20"/>
              </w:rPr>
              <w:t xml:space="preserve"> </w:t>
            </w:r>
            <w:r w:rsidRPr="004577D3">
              <w:rPr>
                <w:sz w:val="20"/>
                <w:szCs w:val="20"/>
              </w:rPr>
              <w:t>коридорам</w:t>
            </w:r>
            <w:r w:rsidR="006C680D" w:rsidRPr="004577D3">
              <w:rPr>
                <w:sz w:val="20"/>
                <w:szCs w:val="20"/>
              </w:rPr>
              <w:t xml:space="preserve"> </w:t>
            </w:r>
            <w:r w:rsidRPr="004577D3">
              <w:rPr>
                <w:sz w:val="20"/>
                <w:szCs w:val="20"/>
              </w:rPr>
              <w:t>(Север-Юг,</w:t>
            </w:r>
            <w:r w:rsidR="006C680D" w:rsidRPr="004577D3">
              <w:rPr>
                <w:sz w:val="20"/>
                <w:szCs w:val="20"/>
              </w:rPr>
              <w:t xml:space="preserve"> </w:t>
            </w:r>
            <w:r w:rsidRPr="004577D3">
              <w:rPr>
                <w:sz w:val="20"/>
                <w:szCs w:val="20"/>
              </w:rPr>
              <w:t>Восток),</w:t>
            </w:r>
            <w:r w:rsidR="006C680D" w:rsidRPr="004577D3">
              <w:rPr>
                <w:sz w:val="20"/>
                <w:szCs w:val="20"/>
              </w:rPr>
              <w:t xml:space="preserve"> </w:t>
            </w:r>
            <w:r w:rsidRPr="004577D3">
              <w:rPr>
                <w:sz w:val="20"/>
                <w:szCs w:val="20"/>
              </w:rPr>
              <w:t>IT-экспортёров</w:t>
            </w:r>
            <w:r w:rsidR="006C680D" w:rsidRPr="004577D3">
              <w:rPr>
                <w:sz w:val="20"/>
                <w:szCs w:val="20"/>
              </w:rPr>
              <w:t xml:space="preserve"> </w:t>
            </w:r>
            <w:r w:rsidRPr="004577D3">
              <w:rPr>
                <w:sz w:val="20"/>
                <w:szCs w:val="20"/>
              </w:rPr>
              <w:t>(киберриски,</w:t>
            </w:r>
            <w:r w:rsidR="006C680D" w:rsidRPr="004577D3">
              <w:rPr>
                <w:sz w:val="20"/>
                <w:szCs w:val="20"/>
              </w:rPr>
              <w:t xml:space="preserve"> </w:t>
            </w:r>
            <w:r w:rsidRPr="004577D3">
              <w:rPr>
                <w:sz w:val="20"/>
                <w:szCs w:val="20"/>
              </w:rPr>
              <w:t>ответственность).</w:t>
            </w:r>
          </w:p>
          <w:p w:rsidR="00B91B4B" w:rsidRPr="004577D3" w:rsidRDefault="00B91B4B" w:rsidP="000C1FE6">
            <w:pPr>
              <w:tabs>
                <w:tab w:val="left" w:pos="993"/>
              </w:tabs>
              <w:ind w:firstLine="0"/>
              <w:rPr>
                <w:sz w:val="20"/>
                <w:szCs w:val="20"/>
              </w:rPr>
            </w:pPr>
            <w:r w:rsidRPr="004577D3">
              <w:rPr>
                <w:sz w:val="20"/>
                <w:szCs w:val="20"/>
              </w:rPr>
              <w:t>Страхование</w:t>
            </w:r>
            <w:r w:rsidR="006C680D" w:rsidRPr="004577D3">
              <w:rPr>
                <w:sz w:val="20"/>
                <w:szCs w:val="20"/>
              </w:rPr>
              <w:t xml:space="preserve"> </w:t>
            </w:r>
            <w:r w:rsidRPr="004577D3">
              <w:rPr>
                <w:sz w:val="20"/>
                <w:szCs w:val="20"/>
              </w:rPr>
              <w:t>проектов</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Арктике,</w:t>
            </w:r>
            <w:r w:rsidR="006C680D" w:rsidRPr="004577D3">
              <w:rPr>
                <w:sz w:val="20"/>
                <w:szCs w:val="20"/>
              </w:rPr>
              <w:t xml:space="preserve"> </w:t>
            </w:r>
            <w:r w:rsidRPr="004577D3">
              <w:rPr>
                <w:sz w:val="20"/>
                <w:szCs w:val="20"/>
              </w:rPr>
              <w:t>ВИЭ</w:t>
            </w:r>
            <w:r w:rsidR="006C680D" w:rsidRPr="004577D3">
              <w:rPr>
                <w:sz w:val="20"/>
                <w:szCs w:val="20"/>
              </w:rPr>
              <w:t xml:space="preserve"> </w:t>
            </w:r>
            <w:r w:rsidRPr="004577D3">
              <w:rPr>
                <w:sz w:val="20"/>
                <w:szCs w:val="20"/>
              </w:rPr>
              <w:t>(возобновляемая</w:t>
            </w:r>
            <w:r w:rsidR="006C680D" w:rsidRPr="004577D3">
              <w:rPr>
                <w:sz w:val="20"/>
                <w:szCs w:val="20"/>
              </w:rPr>
              <w:t xml:space="preserve"> </w:t>
            </w:r>
            <w:r w:rsidRPr="004577D3">
              <w:rPr>
                <w:sz w:val="20"/>
                <w:szCs w:val="20"/>
              </w:rPr>
              <w:t>энергетика)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импортозамещающих</w:t>
            </w:r>
            <w:r w:rsidR="006C680D" w:rsidRPr="004577D3">
              <w:rPr>
                <w:sz w:val="20"/>
                <w:szCs w:val="20"/>
              </w:rPr>
              <w:t xml:space="preserve"> </w:t>
            </w:r>
            <w:r w:rsidRPr="004577D3">
              <w:rPr>
                <w:sz w:val="20"/>
                <w:szCs w:val="20"/>
              </w:rPr>
              <w:t>производств.</w:t>
            </w:r>
          </w:p>
          <w:p w:rsidR="00B91B4B" w:rsidRPr="004577D3" w:rsidRDefault="00B91B4B" w:rsidP="000C1FE6">
            <w:pPr>
              <w:tabs>
                <w:tab w:val="left" w:pos="993"/>
              </w:tabs>
              <w:ind w:firstLine="0"/>
              <w:rPr>
                <w:sz w:val="20"/>
                <w:szCs w:val="20"/>
              </w:rPr>
            </w:pPr>
            <w:r w:rsidRPr="004577D3">
              <w:rPr>
                <w:sz w:val="20"/>
                <w:szCs w:val="20"/>
              </w:rPr>
              <w:t>4.</w:t>
            </w:r>
            <w:r w:rsidR="006C680D" w:rsidRPr="004577D3">
              <w:rPr>
                <w:sz w:val="20"/>
                <w:szCs w:val="20"/>
              </w:rPr>
              <w:t xml:space="preserve"> </w:t>
            </w:r>
            <w:r w:rsidRPr="004577D3">
              <w:rPr>
                <w:sz w:val="20"/>
                <w:szCs w:val="20"/>
              </w:rPr>
              <w:t>Экосистемная</w:t>
            </w:r>
            <w:r w:rsidR="006C680D" w:rsidRPr="004577D3">
              <w:rPr>
                <w:sz w:val="20"/>
                <w:szCs w:val="20"/>
              </w:rPr>
              <w:t xml:space="preserve"> </w:t>
            </w:r>
            <w:r w:rsidRPr="004577D3">
              <w:rPr>
                <w:sz w:val="20"/>
                <w:szCs w:val="20"/>
              </w:rPr>
              <w:t>интеграция</w:t>
            </w:r>
            <w:r w:rsidR="006C680D" w:rsidRPr="004577D3">
              <w:rPr>
                <w:sz w:val="20"/>
                <w:szCs w:val="20"/>
              </w:rPr>
              <w:t xml:space="preserve"> </w:t>
            </w:r>
            <w:r w:rsidRPr="004577D3">
              <w:rPr>
                <w:sz w:val="20"/>
                <w:szCs w:val="20"/>
              </w:rPr>
              <w:t>(B2B2C):</w:t>
            </w:r>
          </w:p>
          <w:p w:rsidR="00B91B4B" w:rsidRPr="004577D3" w:rsidRDefault="00B91B4B" w:rsidP="000C1FE6">
            <w:pPr>
              <w:tabs>
                <w:tab w:val="left" w:pos="993"/>
              </w:tabs>
              <w:ind w:firstLine="0"/>
              <w:rPr>
                <w:sz w:val="20"/>
                <w:szCs w:val="20"/>
              </w:rPr>
            </w:pPr>
            <w:r w:rsidRPr="004577D3">
              <w:rPr>
                <w:sz w:val="20"/>
                <w:szCs w:val="20"/>
              </w:rPr>
              <w:t>Уход</w:t>
            </w:r>
            <w:r w:rsidR="006C680D" w:rsidRPr="004577D3">
              <w:rPr>
                <w:sz w:val="20"/>
                <w:szCs w:val="20"/>
              </w:rPr>
              <w:t xml:space="preserve"> </w:t>
            </w:r>
            <w:r w:rsidRPr="004577D3">
              <w:rPr>
                <w:sz w:val="20"/>
                <w:szCs w:val="20"/>
              </w:rPr>
              <w:t>от</w:t>
            </w:r>
            <w:r w:rsidR="006C680D" w:rsidRPr="004577D3">
              <w:rPr>
                <w:sz w:val="20"/>
                <w:szCs w:val="20"/>
              </w:rPr>
              <w:t xml:space="preserve"> </w:t>
            </w:r>
            <w:r w:rsidRPr="004577D3">
              <w:rPr>
                <w:sz w:val="20"/>
                <w:szCs w:val="20"/>
              </w:rPr>
              <w:t>гиперзависимости</w:t>
            </w:r>
            <w:r w:rsidR="006C680D" w:rsidRPr="004577D3">
              <w:rPr>
                <w:sz w:val="20"/>
                <w:szCs w:val="20"/>
              </w:rPr>
              <w:t xml:space="preserve"> </w:t>
            </w:r>
            <w:r w:rsidRPr="004577D3">
              <w:rPr>
                <w:sz w:val="20"/>
                <w:szCs w:val="20"/>
              </w:rPr>
              <w:t>от</w:t>
            </w:r>
            <w:r w:rsidR="006C680D" w:rsidRPr="004577D3">
              <w:rPr>
                <w:sz w:val="20"/>
                <w:szCs w:val="20"/>
              </w:rPr>
              <w:t xml:space="preserve"> </w:t>
            </w:r>
            <w:r w:rsidRPr="004577D3">
              <w:rPr>
                <w:sz w:val="20"/>
                <w:szCs w:val="20"/>
              </w:rPr>
              <w:t>банковских</w:t>
            </w:r>
            <w:r w:rsidR="006C680D" w:rsidRPr="004577D3">
              <w:rPr>
                <w:sz w:val="20"/>
                <w:szCs w:val="20"/>
              </w:rPr>
              <w:t xml:space="preserve"> </w:t>
            </w:r>
            <w:r w:rsidRPr="004577D3">
              <w:rPr>
                <w:sz w:val="20"/>
                <w:szCs w:val="20"/>
              </w:rPr>
              <w:t>каналов</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партнёрство</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нефинансовыми</w:t>
            </w:r>
            <w:r w:rsidR="006C680D" w:rsidRPr="004577D3">
              <w:rPr>
                <w:sz w:val="20"/>
                <w:szCs w:val="20"/>
              </w:rPr>
              <w:t xml:space="preserve"> </w:t>
            </w:r>
            <w:r w:rsidRPr="004577D3">
              <w:rPr>
                <w:sz w:val="20"/>
                <w:szCs w:val="20"/>
              </w:rPr>
              <w:t>платформами:</w:t>
            </w:r>
            <w:r w:rsidR="006C680D" w:rsidRPr="004577D3">
              <w:rPr>
                <w:sz w:val="20"/>
                <w:szCs w:val="20"/>
              </w:rPr>
              <w:t xml:space="preserve"> </w:t>
            </w:r>
            <w:r w:rsidRPr="004577D3">
              <w:rPr>
                <w:sz w:val="20"/>
                <w:szCs w:val="20"/>
              </w:rPr>
              <w:t>крупный</w:t>
            </w:r>
            <w:r w:rsidR="006C680D" w:rsidRPr="004577D3">
              <w:rPr>
                <w:sz w:val="20"/>
                <w:szCs w:val="20"/>
              </w:rPr>
              <w:t xml:space="preserve"> </w:t>
            </w:r>
            <w:r w:rsidRPr="004577D3">
              <w:rPr>
                <w:sz w:val="20"/>
                <w:szCs w:val="20"/>
              </w:rPr>
              <w:t>ритейл</w:t>
            </w:r>
            <w:r w:rsidR="006C680D" w:rsidRPr="004577D3">
              <w:rPr>
                <w:sz w:val="20"/>
                <w:szCs w:val="20"/>
              </w:rPr>
              <w:t xml:space="preserve"> </w:t>
            </w:r>
            <w:r w:rsidRPr="004577D3">
              <w:rPr>
                <w:sz w:val="20"/>
                <w:szCs w:val="20"/>
              </w:rPr>
              <w:t>(Ozon,</w:t>
            </w:r>
            <w:r w:rsidR="006C680D" w:rsidRPr="004577D3">
              <w:rPr>
                <w:sz w:val="20"/>
                <w:szCs w:val="20"/>
              </w:rPr>
              <w:t xml:space="preserve"> </w:t>
            </w:r>
            <w:r w:rsidRPr="004577D3">
              <w:rPr>
                <w:sz w:val="20"/>
                <w:szCs w:val="20"/>
              </w:rPr>
              <w:t>Wildberries,</w:t>
            </w:r>
            <w:r w:rsidR="006C680D" w:rsidRPr="004577D3">
              <w:rPr>
                <w:sz w:val="20"/>
                <w:szCs w:val="20"/>
              </w:rPr>
              <w:t xml:space="preserve"> </w:t>
            </w:r>
            <w:r w:rsidRPr="004577D3">
              <w:rPr>
                <w:sz w:val="20"/>
                <w:szCs w:val="20"/>
              </w:rPr>
              <w:t>«Ситилинк»),</w:t>
            </w:r>
            <w:r w:rsidR="006C680D" w:rsidRPr="004577D3">
              <w:rPr>
                <w:sz w:val="20"/>
                <w:szCs w:val="20"/>
              </w:rPr>
              <w:t xml:space="preserve"> </w:t>
            </w:r>
            <w:r w:rsidRPr="004577D3">
              <w:rPr>
                <w:sz w:val="20"/>
                <w:szCs w:val="20"/>
              </w:rPr>
              <w:t>автодилеры,</w:t>
            </w:r>
            <w:r w:rsidR="006C680D" w:rsidRPr="004577D3">
              <w:rPr>
                <w:sz w:val="20"/>
                <w:szCs w:val="20"/>
              </w:rPr>
              <w:t xml:space="preserve"> </w:t>
            </w:r>
            <w:r w:rsidRPr="004577D3">
              <w:rPr>
                <w:sz w:val="20"/>
                <w:szCs w:val="20"/>
              </w:rPr>
              <w:t>телеком-операторы,</w:t>
            </w:r>
            <w:r w:rsidR="006C680D" w:rsidRPr="004577D3">
              <w:rPr>
                <w:sz w:val="20"/>
                <w:szCs w:val="20"/>
              </w:rPr>
              <w:t xml:space="preserve"> </w:t>
            </w:r>
            <w:r w:rsidRPr="004577D3">
              <w:rPr>
                <w:sz w:val="20"/>
                <w:szCs w:val="20"/>
              </w:rPr>
              <w:t>государственные</w:t>
            </w:r>
            <w:r w:rsidR="006C680D" w:rsidRPr="004577D3">
              <w:rPr>
                <w:sz w:val="20"/>
                <w:szCs w:val="20"/>
              </w:rPr>
              <w:t xml:space="preserve"> </w:t>
            </w:r>
            <w:r w:rsidRPr="004577D3">
              <w:rPr>
                <w:sz w:val="20"/>
                <w:szCs w:val="20"/>
              </w:rPr>
              <w:t>сервисы</w:t>
            </w:r>
            <w:r w:rsidR="006C680D" w:rsidRPr="004577D3">
              <w:rPr>
                <w:sz w:val="20"/>
                <w:szCs w:val="20"/>
              </w:rPr>
              <w:t xml:space="preserve"> </w:t>
            </w:r>
            <w:r w:rsidRPr="004577D3">
              <w:rPr>
                <w:sz w:val="20"/>
                <w:szCs w:val="20"/>
              </w:rPr>
              <w:t>(«Госуслуги»).</w:t>
            </w:r>
          </w:p>
        </w:tc>
      </w:tr>
      <w:tr w:rsidR="00D337FA" w:rsidRPr="004577D3" w:rsidTr="00B91B4B">
        <w:tc>
          <w:tcPr>
            <w:tcW w:w="1838" w:type="dxa"/>
          </w:tcPr>
          <w:p w:rsidR="00B91B4B" w:rsidRPr="004577D3" w:rsidRDefault="00B91B4B" w:rsidP="000C1FE6">
            <w:pPr>
              <w:tabs>
                <w:tab w:val="left" w:pos="993"/>
              </w:tabs>
              <w:ind w:firstLine="0"/>
              <w:rPr>
                <w:sz w:val="20"/>
                <w:szCs w:val="20"/>
              </w:rPr>
            </w:pPr>
            <w:r w:rsidRPr="004577D3">
              <w:rPr>
                <w:sz w:val="20"/>
                <w:szCs w:val="20"/>
              </w:rPr>
              <w:t>Стратегия</w:t>
            </w:r>
            <w:r w:rsidR="006C680D" w:rsidRPr="004577D3">
              <w:rPr>
                <w:sz w:val="20"/>
                <w:szCs w:val="20"/>
              </w:rPr>
              <w:t xml:space="preserve"> </w:t>
            </w:r>
            <w:r w:rsidRPr="004577D3">
              <w:rPr>
                <w:sz w:val="20"/>
                <w:szCs w:val="20"/>
              </w:rPr>
              <w:t>продуктовой</w:t>
            </w:r>
            <w:r w:rsidR="006C680D" w:rsidRPr="004577D3">
              <w:rPr>
                <w:sz w:val="20"/>
                <w:szCs w:val="20"/>
              </w:rPr>
              <w:t xml:space="preserve"> </w:t>
            </w:r>
            <w:r w:rsidRPr="004577D3">
              <w:rPr>
                <w:sz w:val="20"/>
                <w:szCs w:val="20"/>
              </w:rPr>
              <w:t>инновации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доступности</w:t>
            </w:r>
          </w:p>
          <w:p w:rsidR="00B91B4B" w:rsidRPr="004577D3" w:rsidRDefault="00B91B4B" w:rsidP="000C1FE6">
            <w:pPr>
              <w:tabs>
                <w:tab w:val="left" w:pos="993"/>
              </w:tabs>
              <w:ind w:firstLine="0"/>
              <w:rPr>
                <w:sz w:val="20"/>
                <w:szCs w:val="20"/>
              </w:rPr>
            </w:pPr>
          </w:p>
        </w:tc>
        <w:tc>
          <w:tcPr>
            <w:tcW w:w="1559" w:type="dxa"/>
          </w:tcPr>
          <w:p w:rsidR="00B91B4B" w:rsidRPr="004577D3" w:rsidRDefault="00B91B4B" w:rsidP="000C1FE6">
            <w:pPr>
              <w:tabs>
                <w:tab w:val="left" w:pos="993"/>
              </w:tabs>
              <w:ind w:firstLine="0"/>
              <w:rPr>
                <w:sz w:val="20"/>
                <w:szCs w:val="20"/>
              </w:rPr>
            </w:pPr>
            <w:r w:rsidRPr="004577D3">
              <w:rPr>
                <w:sz w:val="20"/>
                <w:szCs w:val="20"/>
              </w:rPr>
              <w:t>Адаптировать</w:t>
            </w:r>
            <w:r w:rsidR="006C680D" w:rsidRPr="004577D3">
              <w:rPr>
                <w:sz w:val="20"/>
                <w:szCs w:val="20"/>
              </w:rPr>
              <w:t xml:space="preserve"> </w:t>
            </w:r>
            <w:r w:rsidRPr="004577D3">
              <w:rPr>
                <w:sz w:val="20"/>
                <w:szCs w:val="20"/>
              </w:rPr>
              <w:t>предложение</w:t>
            </w:r>
            <w:r w:rsidR="006C680D" w:rsidRPr="004577D3">
              <w:rPr>
                <w:sz w:val="20"/>
                <w:szCs w:val="20"/>
              </w:rPr>
              <w:t xml:space="preserve"> </w:t>
            </w:r>
            <w:r w:rsidRPr="004577D3">
              <w:rPr>
                <w:sz w:val="20"/>
                <w:szCs w:val="20"/>
              </w:rPr>
              <w:t>к</w:t>
            </w:r>
            <w:r w:rsidR="006C680D" w:rsidRPr="004577D3">
              <w:rPr>
                <w:sz w:val="20"/>
                <w:szCs w:val="20"/>
              </w:rPr>
              <w:t xml:space="preserve"> </w:t>
            </w:r>
            <w:r w:rsidRPr="004577D3">
              <w:rPr>
                <w:sz w:val="20"/>
                <w:szCs w:val="20"/>
              </w:rPr>
              <w:t>снижающемуся</w:t>
            </w:r>
            <w:r w:rsidR="006C680D" w:rsidRPr="004577D3">
              <w:rPr>
                <w:sz w:val="20"/>
                <w:szCs w:val="20"/>
              </w:rPr>
              <w:t xml:space="preserve"> </w:t>
            </w:r>
            <w:r w:rsidRPr="004577D3">
              <w:rPr>
                <w:sz w:val="20"/>
                <w:szCs w:val="20"/>
              </w:rPr>
              <w:t>доходу</w:t>
            </w:r>
            <w:r w:rsidR="006C680D" w:rsidRPr="004577D3">
              <w:rPr>
                <w:sz w:val="20"/>
                <w:szCs w:val="20"/>
              </w:rPr>
              <w:t xml:space="preserve"> </w:t>
            </w:r>
            <w:r w:rsidRPr="004577D3">
              <w:rPr>
                <w:sz w:val="20"/>
                <w:szCs w:val="20"/>
              </w:rPr>
              <w:t>населения</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заполнить</w:t>
            </w:r>
            <w:r w:rsidR="006C680D" w:rsidRPr="004577D3">
              <w:rPr>
                <w:sz w:val="20"/>
                <w:szCs w:val="20"/>
              </w:rPr>
              <w:t xml:space="preserve"> </w:t>
            </w:r>
            <w:r w:rsidRPr="004577D3">
              <w:rPr>
                <w:sz w:val="20"/>
                <w:szCs w:val="20"/>
              </w:rPr>
              <w:t>ниши,</w:t>
            </w:r>
            <w:r w:rsidR="006C680D" w:rsidRPr="004577D3">
              <w:rPr>
                <w:sz w:val="20"/>
                <w:szCs w:val="20"/>
              </w:rPr>
              <w:t xml:space="preserve"> </w:t>
            </w:r>
            <w:r w:rsidRPr="004577D3">
              <w:rPr>
                <w:sz w:val="20"/>
                <w:szCs w:val="20"/>
              </w:rPr>
              <w:t>оставленные</w:t>
            </w:r>
            <w:r w:rsidR="006C680D" w:rsidRPr="004577D3">
              <w:rPr>
                <w:sz w:val="20"/>
                <w:szCs w:val="20"/>
              </w:rPr>
              <w:t xml:space="preserve"> </w:t>
            </w:r>
            <w:r w:rsidRPr="004577D3">
              <w:rPr>
                <w:sz w:val="20"/>
                <w:szCs w:val="20"/>
              </w:rPr>
              <w:t>ушедшими</w:t>
            </w:r>
            <w:r w:rsidR="006C680D" w:rsidRPr="004577D3">
              <w:rPr>
                <w:sz w:val="20"/>
                <w:szCs w:val="20"/>
              </w:rPr>
              <w:t xml:space="preserve"> </w:t>
            </w:r>
            <w:r w:rsidRPr="004577D3">
              <w:rPr>
                <w:sz w:val="20"/>
                <w:szCs w:val="20"/>
              </w:rPr>
              <w:t>международными</w:t>
            </w:r>
            <w:r w:rsidR="006C680D" w:rsidRPr="004577D3">
              <w:rPr>
                <w:sz w:val="20"/>
                <w:szCs w:val="20"/>
              </w:rPr>
              <w:t xml:space="preserve"> </w:t>
            </w:r>
            <w:r w:rsidRPr="004577D3">
              <w:rPr>
                <w:sz w:val="20"/>
                <w:szCs w:val="20"/>
              </w:rPr>
              <w:t>игроками.</w:t>
            </w:r>
          </w:p>
        </w:tc>
        <w:tc>
          <w:tcPr>
            <w:tcW w:w="6350"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Микрострахование</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гибкие</w:t>
            </w:r>
            <w:r w:rsidR="006C680D" w:rsidRPr="004577D3">
              <w:rPr>
                <w:sz w:val="20"/>
                <w:szCs w:val="20"/>
              </w:rPr>
              <w:t xml:space="preserve"> </w:t>
            </w:r>
            <w:r w:rsidRPr="004577D3">
              <w:rPr>
                <w:sz w:val="20"/>
                <w:szCs w:val="20"/>
              </w:rPr>
              <w:t>on-demand</w:t>
            </w:r>
            <w:r w:rsidR="006C680D" w:rsidRPr="004577D3">
              <w:rPr>
                <w:sz w:val="20"/>
                <w:szCs w:val="20"/>
              </w:rPr>
              <w:t xml:space="preserve"> </w:t>
            </w:r>
            <w:r w:rsidRPr="004577D3">
              <w:rPr>
                <w:sz w:val="20"/>
                <w:szCs w:val="20"/>
              </w:rPr>
              <w:t>продукты:</w:t>
            </w:r>
          </w:p>
          <w:p w:rsidR="00B91B4B" w:rsidRPr="004577D3" w:rsidRDefault="00B91B4B" w:rsidP="000C1FE6">
            <w:pPr>
              <w:tabs>
                <w:tab w:val="left" w:pos="993"/>
              </w:tabs>
              <w:ind w:firstLine="0"/>
              <w:rPr>
                <w:sz w:val="20"/>
                <w:szCs w:val="20"/>
              </w:rPr>
            </w:pPr>
            <w:r w:rsidRPr="004577D3">
              <w:rPr>
                <w:sz w:val="20"/>
                <w:szCs w:val="20"/>
              </w:rPr>
              <w:t>Продажа</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мобильные</w:t>
            </w:r>
            <w:r w:rsidR="006C680D" w:rsidRPr="004577D3">
              <w:rPr>
                <w:sz w:val="20"/>
                <w:szCs w:val="20"/>
              </w:rPr>
              <w:t xml:space="preserve"> </w:t>
            </w:r>
            <w:r w:rsidRPr="004577D3">
              <w:rPr>
                <w:sz w:val="20"/>
                <w:szCs w:val="20"/>
              </w:rPr>
              <w:t>приложения</w:t>
            </w:r>
            <w:r w:rsidR="006C680D" w:rsidRPr="004577D3">
              <w:rPr>
                <w:sz w:val="20"/>
                <w:szCs w:val="20"/>
              </w:rPr>
              <w:t xml:space="preserve"> </w:t>
            </w:r>
            <w:r w:rsidRPr="004577D3">
              <w:rPr>
                <w:sz w:val="20"/>
                <w:szCs w:val="20"/>
              </w:rPr>
              <w:t>страховых</w:t>
            </w:r>
            <w:r w:rsidR="006C680D" w:rsidRPr="004577D3">
              <w:rPr>
                <w:sz w:val="20"/>
                <w:szCs w:val="20"/>
              </w:rPr>
              <w:t xml:space="preserve"> </w:t>
            </w:r>
            <w:r w:rsidRPr="004577D3">
              <w:rPr>
                <w:sz w:val="20"/>
                <w:szCs w:val="20"/>
              </w:rPr>
              <w:t>покрытий</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короткий</w:t>
            </w:r>
            <w:r w:rsidR="006C680D" w:rsidRPr="004577D3">
              <w:rPr>
                <w:sz w:val="20"/>
                <w:szCs w:val="20"/>
              </w:rPr>
              <w:t xml:space="preserve"> </w:t>
            </w:r>
            <w:r w:rsidRPr="004577D3">
              <w:rPr>
                <w:sz w:val="20"/>
                <w:szCs w:val="20"/>
              </w:rPr>
              <w:t>срок</w:t>
            </w:r>
            <w:r w:rsidR="006C680D" w:rsidRPr="004577D3">
              <w:rPr>
                <w:sz w:val="20"/>
                <w:szCs w:val="20"/>
              </w:rPr>
              <w:t xml:space="preserve"> </w:t>
            </w:r>
            <w:r w:rsidRPr="004577D3">
              <w:rPr>
                <w:sz w:val="20"/>
                <w:szCs w:val="20"/>
              </w:rPr>
              <w:t>(«страховка</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поездку»,</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день</w:t>
            </w:r>
            <w:r w:rsidR="006C680D" w:rsidRPr="004577D3">
              <w:rPr>
                <w:sz w:val="20"/>
                <w:szCs w:val="20"/>
              </w:rPr>
              <w:t xml:space="preserve"> </w:t>
            </w:r>
            <w:r w:rsidRPr="004577D3">
              <w:rPr>
                <w:sz w:val="20"/>
                <w:szCs w:val="20"/>
              </w:rPr>
              <w:t>занятия</w:t>
            </w:r>
            <w:r w:rsidR="006C680D" w:rsidRPr="004577D3">
              <w:rPr>
                <w:sz w:val="20"/>
                <w:szCs w:val="20"/>
              </w:rPr>
              <w:t xml:space="preserve"> </w:t>
            </w:r>
            <w:r w:rsidRPr="004577D3">
              <w:rPr>
                <w:sz w:val="20"/>
                <w:szCs w:val="20"/>
              </w:rPr>
              <w:t>спортом»,</w:t>
            </w:r>
            <w:r w:rsidR="006C680D" w:rsidRPr="004577D3">
              <w:rPr>
                <w:sz w:val="20"/>
                <w:szCs w:val="20"/>
              </w:rPr>
              <w:t xml:space="preserve"> </w:t>
            </w:r>
            <w:r w:rsidRPr="004577D3">
              <w:rPr>
                <w:sz w:val="20"/>
                <w:szCs w:val="20"/>
              </w:rPr>
              <w:t>«защита</w:t>
            </w:r>
            <w:r w:rsidR="006C680D" w:rsidRPr="004577D3">
              <w:rPr>
                <w:sz w:val="20"/>
                <w:szCs w:val="20"/>
              </w:rPr>
              <w:t xml:space="preserve"> </w:t>
            </w:r>
            <w:r w:rsidRPr="004577D3">
              <w:rPr>
                <w:sz w:val="20"/>
                <w:szCs w:val="20"/>
              </w:rPr>
              <w:t>покупки»).</w:t>
            </w:r>
          </w:p>
          <w:p w:rsidR="00B91B4B" w:rsidRPr="004577D3" w:rsidRDefault="00B91B4B" w:rsidP="000C1FE6">
            <w:pPr>
              <w:tabs>
                <w:tab w:val="left" w:pos="993"/>
              </w:tabs>
              <w:ind w:firstLine="0"/>
              <w:rPr>
                <w:sz w:val="20"/>
                <w:szCs w:val="20"/>
              </w:rPr>
            </w:pPr>
            <w:r w:rsidRPr="004577D3">
              <w:rPr>
                <w:sz w:val="20"/>
                <w:szCs w:val="20"/>
              </w:rPr>
              <w:t>Подписка</w:t>
            </w:r>
            <w:r w:rsidR="006C680D" w:rsidRPr="004577D3">
              <w:rPr>
                <w:sz w:val="20"/>
                <w:szCs w:val="20"/>
              </w:rPr>
              <w:t xml:space="preserve"> </w:t>
            </w:r>
            <w:r w:rsidRPr="004577D3">
              <w:rPr>
                <w:sz w:val="20"/>
                <w:szCs w:val="20"/>
              </w:rPr>
              <w:t>(subscription</w:t>
            </w:r>
            <w:r w:rsidR="006C680D" w:rsidRPr="004577D3">
              <w:rPr>
                <w:sz w:val="20"/>
                <w:szCs w:val="20"/>
              </w:rPr>
              <w:t xml:space="preserve"> </w:t>
            </w:r>
            <w:r w:rsidRPr="004577D3">
              <w:rPr>
                <w:sz w:val="20"/>
                <w:szCs w:val="20"/>
              </w:rPr>
              <w:t>model)</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страховую</w:t>
            </w:r>
            <w:r w:rsidR="006C680D" w:rsidRPr="004577D3">
              <w:rPr>
                <w:sz w:val="20"/>
                <w:szCs w:val="20"/>
              </w:rPr>
              <w:t xml:space="preserve"> </w:t>
            </w:r>
            <w:r w:rsidRPr="004577D3">
              <w:rPr>
                <w:sz w:val="20"/>
                <w:szCs w:val="20"/>
              </w:rPr>
              <w:t>защиту</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возможностью</w:t>
            </w:r>
            <w:r w:rsidR="006C680D" w:rsidRPr="004577D3">
              <w:rPr>
                <w:sz w:val="20"/>
                <w:szCs w:val="20"/>
              </w:rPr>
              <w:t xml:space="preserve"> </w:t>
            </w:r>
            <w:r w:rsidRPr="004577D3">
              <w:rPr>
                <w:sz w:val="20"/>
                <w:szCs w:val="20"/>
              </w:rPr>
              <w:t>гибкого</w:t>
            </w:r>
            <w:r w:rsidR="006C680D" w:rsidRPr="004577D3">
              <w:rPr>
                <w:sz w:val="20"/>
                <w:szCs w:val="20"/>
              </w:rPr>
              <w:t xml:space="preserve"> </w:t>
            </w:r>
            <w:r w:rsidRPr="004577D3">
              <w:rPr>
                <w:sz w:val="20"/>
                <w:szCs w:val="20"/>
              </w:rPr>
              <w:t>изменения</w:t>
            </w:r>
            <w:r w:rsidR="006C680D" w:rsidRPr="004577D3">
              <w:rPr>
                <w:sz w:val="20"/>
                <w:szCs w:val="20"/>
              </w:rPr>
              <w:t xml:space="preserve"> </w:t>
            </w:r>
            <w:r w:rsidRPr="004577D3">
              <w:rPr>
                <w:sz w:val="20"/>
                <w:szCs w:val="20"/>
              </w:rPr>
              <w:t>опций</w:t>
            </w:r>
            <w:r w:rsidR="006C680D" w:rsidRPr="004577D3">
              <w:rPr>
                <w:sz w:val="20"/>
                <w:szCs w:val="20"/>
              </w:rPr>
              <w:t xml:space="preserve"> </w:t>
            </w:r>
            <w:r w:rsidRPr="004577D3">
              <w:rPr>
                <w:sz w:val="20"/>
                <w:szCs w:val="20"/>
              </w:rPr>
              <w:t>(например,</w:t>
            </w:r>
            <w:r w:rsidR="006C680D" w:rsidRPr="004577D3">
              <w:rPr>
                <w:sz w:val="20"/>
                <w:szCs w:val="20"/>
              </w:rPr>
              <w:t xml:space="preserve"> </w:t>
            </w:r>
            <w:r w:rsidRPr="004577D3">
              <w:rPr>
                <w:sz w:val="20"/>
                <w:szCs w:val="20"/>
              </w:rPr>
              <w:t>пакет</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активного</w:t>
            </w:r>
            <w:r w:rsidR="006C680D" w:rsidRPr="004577D3">
              <w:rPr>
                <w:sz w:val="20"/>
                <w:szCs w:val="20"/>
              </w:rPr>
              <w:t xml:space="preserve"> </w:t>
            </w:r>
            <w:r w:rsidRPr="004577D3">
              <w:rPr>
                <w:sz w:val="20"/>
                <w:szCs w:val="20"/>
              </w:rPr>
              <w:t>отдыха»</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лето).</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Локализация</w:t>
            </w:r>
            <w:r w:rsidR="006C680D" w:rsidRPr="004577D3">
              <w:rPr>
                <w:sz w:val="20"/>
                <w:szCs w:val="20"/>
              </w:rPr>
              <w:t xml:space="preserve"> </w:t>
            </w:r>
            <w:r w:rsidRPr="004577D3">
              <w:rPr>
                <w:sz w:val="20"/>
                <w:szCs w:val="20"/>
              </w:rPr>
              <w:t>сложных</w:t>
            </w:r>
            <w:r w:rsidR="006C680D" w:rsidRPr="004577D3">
              <w:rPr>
                <w:sz w:val="20"/>
                <w:szCs w:val="20"/>
              </w:rPr>
              <w:t xml:space="preserve"> </w:t>
            </w:r>
            <w:r w:rsidRPr="004577D3">
              <w:rPr>
                <w:sz w:val="20"/>
                <w:szCs w:val="20"/>
              </w:rPr>
              <w:t>корпоративных</w:t>
            </w:r>
            <w:r w:rsidR="006C680D" w:rsidRPr="004577D3">
              <w:rPr>
                <w:sz w:val="20"/>
                <w:szCs w:val="20"/>
              </w:rPr>
              <w:t xml:space="preserve"> </w:t>
            </w:r>
            <w:r w:rsidRPr="004577D3">
              <w:rPr>
                <w:sz w:val="20"/>
                <w:szCs w:val="20"/>
              </w:rPr>
              <w:t>продуктов:</w:t>
            </w:r>
          </w:p>
          <w:p w:rsidR="00B91B4B" w:rsidRPr="004577D3" w:rsidRDefault="00B91B4B" w:rsidP="000C1FE6">
            <w:pPr>
              <w:tabs>
                <w:tab w:val="left" w:pos="993"/>
              </w:tabs>
              <w:ind w:firstLine="0"/>
              <w:rPr>
                <w:sz w:val="20"/>
                <w:szCs w:val="20"/>
              </w:rPr>
            </w:pPr>
            <w:r w:rsidRPr="004577D3">
              <w:rPr>
                <w:sz w:val="20"/>
                <w:szCs w:val="20"/>
              </w:rPr>
              <w:t>Разработка</w:t>
            </w:r>
            <w:r w:rsidR="006C680D" w:rsidRPr="004577D3">
              <w:rPr>
                <w:sz w:val="20"/>
                <w:szCs w:val="20"/>
              </w:rPr>
              <w:t xml:space="preserve"> </w:t>
            </w:r>
            <w:r w:rsidRPr="004577D3">
              <w:rPr>
                <w:sz w:val="20"/>
                <w:szCs w:val="20"/>
              </w:rPr>
              <w:t>силами</w:t>
            </w:r>
            <w:r w:rsidR="006C680D" w:rsidRPr="004577D3">
              <w:rPr>
                <w:sz w:val="20"/>
                <w:szCs w:val="20"/>
              </w:rPr>
              <w:t xml:space="preserve"> </w:t>
            </w:r>
            <w:r w:rsidRPr="004577D3">
              <w:rPr>
                <w:sz w:val="20"/>
                <w:szCs w:val="20"/>
              </w:rPr>
              <w:t>отечественных</w:t>
            </w:r>
            <w:r w:rsidR="006C680D" w:rsidRPr="004577D3">
              <w:rPr>
                <w:sz w:val="20"/>
                <w:szCs w:val="20"/>
              </w:rPr>
              <w:t xml:space="preserve"> </w:t>
            </w:r>
            <w:r w:rsidRPr="004577D3">
              <w:rPr>
                <w:sz w:val="20"/>
                <w:szCs w:val="20"/>
              </w:rPr>
              <w:t>андеррайтеров</w:t>
            </w:r>
            <w:r w:rsidR="006C680D" w:rsidRPr="004577D3">
              <w:rPr>
                <w:sz w:val="20"/>
                <w:szCs w:val="20"/>
              </w:rPr>
              <w:t xml:space="preserve"> </w:t>
            </w:r>
            <w:r w:rsidRPr="004577D3">
              <w:rPr>
                <w:sz w:val="20"/>
                <w:szCs w:val="20"/>
              </w:rPr>
              <w:t>аналогов</w:t>
            </w:r>
            <w:r w:rsidR="006C680D" w:rsidRPr="004577D3">
              <w:rPr>
                <w:sz w:val="20"/>
                <w:szCs w:val="20"/>
              </w:rPr>
              <w:t xml:space="preserve"> </w:t>
            </w:r>
            <w:r w:rsidRPr="004577D3">
              <w:rPr>
                <w:sz w:val="20"/>
                <w:szCs w:val="20"/>
              </w:rPr>
              <w:t>продуктов</w:t>
            </w:r>
            <w:r w:rsidR="006C680D" w:rsidRPr="004577D3">
              <w:rPr>
                <w:sz w:val="20"/>
                <w:szCs w:val="20"/>
              </w:rPr>
              <w:t xml:space="preserve"> </w:t>
            </w:r>
            <w:r w:rsidRPr="004577D3">
              <w:rPr>
                <w:sz w:val="20"/>
                <w:szCs w:val="20"/>
              </w:rPr>
              <w:t>D&amp;O</w:t>
            </w:r>
            <w:r w:rsidR="006C680D" w:rsidRPr="004577D3">
              <w:rPr>
                <w:sz w:val="20"/>
                <w:szCs w:val="20"/>
              </w:rPr>
              <w:t xml:space="preserve"> </w:t>
            </w:r>
            <w:r w:rsidRPr="004577D3">
              <w:rPr>
                <w:sz w:val="20"/>
                <w:szCs w:val="20"/>
              </w:rPr>
              <w:t>(ответственность</w:t>
            </w:r>
            <w:r w:rsidR="006C680D" w:rsidRPr="004577D3">
              <w:rPr>
                <w:sz w:val="20"/>
                <w:szCs w:val="20"/>
              </w:rPr>
              <w:t xml:space="preserve"> </w:t>
            </w:r>
            <w:r w:rsidRPr="004577D3">
              <w:rPr>
                <w:sz w:val="20"/>
                <w:szCs w:val="20"/>
              </w:rPr>
              <w:t>директоров),</w:t>
            </w:r>
            <w:r w:rsidR="006C680D" w:rsidRPr="004577D3">
              <w:rPr>
                <w:sz w:val="20"/>
                <w:szCs w:val="20"/>
              </w:rPr>
              <w:t xml:space="preserve"> </w:t>
            </w:r>
            <w:r w:rsidRPr="004577D3">
              <w:rPr>
                <w:sz w:val="20"/>
                <w:szCs w:val="20"/>
              </w:rPr>
              <w:t>E&amp;O</w:t>
            </w:r>
            <w:r w:rsidR="006C680D" w:rsidRPr="004577D3">
              <w:rPr>
                <w:sz w:val="20"/>
                <w:szCs w:val="20"/>
              </w:rPr>
              <w:t xml:space="preserve"> </w:t>
            </w:r>
            <w:r w:rsidRPr="004577D3">
              <w:rPr>
                <w:sz w:val="20"/>
                <w:szCs w:val="20"/>
              </w:rPr>
              <w:t>(профессиональная</w:t>
            </w:r>
            <w:r w:rsidR="006C680D" w:rsidRPr="004577D3">
              <w:rPr>
                <w:sz w:val="20"/>
                <w:szCs w:val="20"/>
              </w:rPr>
              <w:t xml:space="preserve"> </w:t>
            </w:r>
            <w:r w:rsidRPr="004577D3">
              <w:rPr>
                <w:sz w:val="20"/>
                <w:szCs w:val="20"/>
              </w:rPr>
              <w:t>ответственность),</w:t>
            </w:r>
            <w:r w:rsidR="006C680D" w:rsidRPr="004577D3">
              <w:rPr>
                <w:sz w:val="20"/>
                <w:szCs w:val="20"/>
              </w:rPr>
              <w:t xml:space="preserve"> </w:t>
            </w:r>
            <w:r w:rsidRPr="004577D3">
              <w:rPr>
                <w:sz w:val="20"/>
                <w:szCs w:val="20"/>
              </w:rPr>
              <w:t>киберстрахования.</w:t>
            </w:r>
          </w:p>
          <w:p w:rsidR="00B91B4B" w:rsidRPr="004577D3" w:rsidRDefault="00B91B4B" w:rsidP="000C1FE6">
            <w:pPr>
              <w:tabs>
                <w:tab w:val="left" w:pos="993"/>
              </w:tabs>
              <w:ind w:firstLine="0"/>
              <w:rPr>
                <w:sz w:val="20"/>
                <w:szCs w:val="20"/>
              </w:rPr>
            </w:pPr>
            <w:r w:rsidRPr="004577D3">
              <w:rPr>
                <w:sz w:val="20"/>
                <w:szCs w:val="20"/>
              </w:rPr>
              <w:t>Создание</w:t>
            </w:r>
            <w:r w:rsidR="006C680D" w:rsidRPr="004577D3">
              <w:rPr>
                <w:sz w:val="20"/>
                <w:szCs w:val="20"/>
              </w:rPr>
              <w:t xml:space="preserve"> </w:t>
            </w:r>
            <w:r w:rsidRPr="004577D3">
              <w:rPr>
                <w:sz w:val="20"/>
                <w:szCs w:val="20"/>
              </w:rPr>
              <w:t>консорциумов</w:t>
            </w:r>
            <w:r w:rsidR="006C680D" w:rsidRPr="004577D3">
              <w:rPr>
                <w:sz w:val="20"/>
                <w:szCs w:val="20"/>
              </w:rPr>
              <w:t xml:space="preserve"> </w:t>
            </w:r>
            <w:r w:rsidRPr="004577D3">
              <w:rPr>
                <w:sz w:val="20"/>
                <w:szCs w:val="20"/>
              </w:rPr>
              <w:t>страховщиков</w:t>
            </w:r>
            <w:r w:rsidR="006C680D" w:rsidRPr="004577D3">
              <w:rPr>
                <w:sz w:val="20"/>
                <w:szCs w:val="20"/>
              </w:rPr>
              <w:t xml:space="preserve"> </w:t>
            </w:r>
            <w:r w:rsidRPr="004577D3">
              <w:rPr>
                <w:sz w:val="20"/>
                <w:szCs w:val="20"/>
              </w:rPr>
              <w:t>(синдикатов)</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диверсификации</w:t>
            </w:r>
            <w:r w:rsidR="006C680D" w:rsidRPr="004577D3">
              <w:rPr>
                <w:sz w:val="20"/>
                <w:szCs w:val="20"/>
              </w:rPr>
              <w:t xml:space="preserve"> </w:t>
            </w:r>
            <w:r w:rsidRPr="004577D3">
              <w:rPr>
                <w:sz w:val="20"/>
                <w:szCs w:val="20"/>
              </w:rPr>
              <w:t>рисков</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крупным</w:t>
            </w:r>
            <w:r w:rsidR="006C680D" w:rsidRPr="004577D3">
              <w:rPr>
                <w:sz w:val="20"/>
                <w:szCs w:val="20"/>
              </w:rPr>
              <w:t xml:space="preserve"> </w:t>
            </w:r>
            <w:r w:rsidRPr="004577D3">
              <w:rPr>
                <w:sz w:val="20"/>
                <w:szCs w:val="20"/>
              </w:rPr>
              <w:t>промышленным</w:t>
            </w:r>
            <w:r w:rsidR="006C680D" w:rsidRPr="004577D3">
              <w:rPr>
                <w:sz w:val="20"/>
                <w:szCs w:val="20"/>
              </w:rPr>
              <w:t xml:space="preserve"> </w:t>
            </w:r>
            <w:r w:rsidRPr="004577D3">
              <w:rPr>
                <w:sz w:val="20"/>
                <w:szCs w:val="20"/>
              </w:rPr>
              <w:t>объектам.</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Акцент</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сберегательно-накопительную</w:t>
            </w:r>
            <w:r w:rsidR="006C680D" w:rsidRPr="004577D3">
              <w:rPr>
                <w:sz w:val="20"/>
                <w:szCs w:val="20"/>
              </w:rPr>
              <w:t xml:space="preserve"> </w:t>
            </w:r>
            <w:r w:rsidRPr="004577D3">
              <w:rPr>
                <w:sz w:val="20"/>
                <w:szCs w:val="20"/>
              </w:rPr>
              <w:t>функцию:</w:t>
            </w:r>
          </w:p>
          <w:p w:rsidR="00B91B4B" w:rsidRPr="004577D3" w:rsidRDefault="00B91B4B" w:rsidP="000C1FE6">
            <w:pPr>
              <w:tabs>
                <w:tab w:val="left" w:pos="993"/>
              </w:tabs>
              <w:ind w:firstLine="0"/>
              <w:rPr>
                <w:sz w:val="20"/>
                <w:szCs w:val="20"/>
              </w:rPr>
            </w:pPr>
            <w:r w:rsidRPr="004577D3">
              <w:rPr>
                <w:sz w:val="20"/>
                <w:szCs w:val="20"/>
              </w:rPr>
              <w:t>Продвижение</w:t>
            </w:r>
            <w:r w:rsidR="006C680D" w:rsidRPr="004577D3">
              <w:rPr>
                <w:sz w:val="20"/>
                <w:szCs w:val="20"/>
              </w:rPr>
              <w:t xml:space="preserve"> </w:t>
            </w:r>
            <w:r w:rsidRPr="004577D3">
              <w:rPr>
                <w:sz w:val="20"/>
                <w:szCs w:val="20"/>
              </w:rPr>
              <w:t>НСЖ</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ИПК</w:t>
            </w:r>
            <w:r w:rsidR="006C680D" w:rsidRPr="004577D3">
              <w:rPr>
                <w:sz w:val="20"/>
                <w:szCs w:val="20"/>
              </w:rPr>
              <w:t xml:space="preserve"> </w:t>
            </w:r>
            <w:r w:rsidRPr="004577D3">
              <w:rPr>
                <w:sz w:val="20"/>
                <w:szCs w:val="20"/>
              </w:rPr>
              <w:t>(индивидуальный</w:t>
            </w:r>
            <w:r w:rsidR="006C680D" w:rsidRPr="004577D3">
              <w:rPr>
                <w:sz w:val="20"/>
                <w:szCs w:val="20"/>
              </w:rPr>
              <w:t xml:space="preserve"> </w:t>
            </w:r>
            <w:r w:rsidRPr="004577D3">
              <w:rPr>
                <w:sz w:val="20"/>
                <w:szCs w:val="20"/>
              </w:rPr>
              <w:t>пенсионный</w:t>
            </w:r>
            <w:r w:rsidR="006C680D" w:rsidRPr="004577D3">
              <w:rPr>
                <w:sz w:val="20"/>
                <w:szCs w:val="20"/>
              </w:rPr>
              <w:t xml:space="preserve"> </w:t>
            </w:r>
            <w:r w:rsidRPr="004577D3">
              <w:rPr>
                <w:sz w:val="20"/>
                <w:szCs w:val="20"/>
              </w:rPr>
              <w:t>капитал)</w:t>
            </w:r>
            <w:r w:rsidR="006C680D" w:rsidRPr="004577D3">
              <w:rPr>
                <w:sz w:val="20"/>
                <w:szCs w:val="20"/>
              </w:rPr>
              <w:t xml:space="preserve"> </w:t>
            </w:r>
            <w:r w:rsidRPr="004577D3">
              <w:rPr>
                <w:sz w:val="20"/>
                <w:szCs w:val="20"/>
              </w:rPr>
              <w:t>как</w:t>
            </w:r>
            <w:r w:rsidR="006C680D" w:rsidRPr="004577D3">
              <w:rPr>
                <w:sz w:val="20"/>
                <w:szCs w:val="20"/>
              </w:rPr>
              <w:t xml:space="preserve"> </w:t>
            </w:r>
            <w:r w:rsidRPr="004577D3">
              <w:rPr>
                <w:sz w:val="20"/>
                <w:szCs w:val="20"/>
              </w:rPr>
              <w:t>защищённых</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стабильных</w:t>
            </w:r>
            <w:r w:rsidR="006C680D" w:rsidRPr="004577D3">
              <w:rPr>
                <w:sz w:val="20"/>
                <w:szCs w:val="20"/>
              </w:rPr>
              <w:t xml:space="preserve"> </w:t>
            </w:r>
            <w:r w:rsidRPr="004577D3">
              <w:rPr>
                <w:sz w:val="20"/>
                <w:szCs w:val="20"/>
              </w:rPr>
              <w:t>инструментов</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условиях</w:t>
            </w:r>
            <w:r w:rsidR="006C680D" w:rsidRPr="004577D3">
              <w:rPr>
                <w:sz w:val="20"/>
                <w:szCs w:val="20"/>
              </w:rPr>
              <w:t xml:space="preserve"> </w:t>
            </w:r>
            <w:r w:rsidRPr="004577D3">
              <w:rPr>
                <w:sz w:val="20"/>
                <w:szCs w:val="20"/>
              </w:rPr>
              <w:t>волатильности,</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налоговыми</w:t>
            </w:r>
            <w:r w:rsidR="006C680D" w:rsidRPr="004577D3">
              <w:rPr>
                <w:sz w:val="20"/>
                <w:szCs w:val="20"/>
              </w:rPr>
              <w:t xml:space="preserve"> </w:t>
            </w:r>
            <w:r w:rsidRPr="004577D3">
              <w:rPr>
                <w:sz w:val="20"/>
                <w:szCs w:val="20"/>
              </w:rPr>
              <w:t>льготами.</w:t>
            </w:r>
          </w:p>
        </w:tc>
      </w:tr>
      <w:tr w:rsidR="00D337FA" w:rsidRPr="004577D3" w:rsidTr="00B91B4B">
        <w:tc>
          <w:tcPr>
            <w:tcW w:w="1838" w:type="dxa"/>
          </w:tcPr>
          <w:p w:rsidR="00B91B4B" w:rsidRPr="004577D3" w:rsidRDefault="00B91B4B" w:rsidP="000C1FE6">
            <w:pPr>
              <w:tabs>
                <w:tab w:val="left" w:pos="993"/>
              </w:tabs>
              <w:ind w:firstLine="0"/>
              <w:rPr>
                <w:sz w:val="20"/>
                <w:szCs w:val="20"/>
              </w:rPr>
            </w:pPr>
            <w:r w:rsidRPr="004577D3">
              <w:rPr>
                <w:sz w:val="20"/>
                <w:szCs w:val="20"/>
              </w:rPr>
              <w:t>Стратегия</w:t>
            </w:r>
            <w:r w:rsidR="006C680D" w:rsidRPr="004577D3">
              <w:rPr>
                <w:sz w:val="20"/>
                <w:szCs w:val="20"/>
              </w:rPr>
              <w:t xml:space="preserve"> </w:t>
            </w:r>
            <w:r w:rsidRPr="004577D3">
              <w:rPr>
                <w:sz w:val="20"/>
                <w:szCs w:val="20"/>
              </w:rPr>
              <w:t>операционного</w:t>
            </w:r>
            <w:r w:rsidR="006C680D" w:rsidRPr="004577D3">
              <w:rPr>
                <w:sz w:val="20"/>
                <w:szCs w:val="20"/>
              </w:rPr>
              <w:t xml:space="preserve"> </w:t>
            </w:r>
            <w:r w:rsidRPr="004577D3">
              <w:rPr>
                <w:sz w:val="20"/>
                <w:szCs w:val="20"/>
              </w:rPr>
              <w:t>превосходства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борьбы</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убыточностью</w:t>
            </w:r>
          </w:p>
          <w:p w:rsidR="00B91B4B" w:rsidRPr="004577D3" w:rsidRDefault="00B91B4B" w:rsidP="000C1FE6">
            <w:pPr>
              <w:tabs>
                <w:tab w:val="left" w:pos="993"/>
              </w:tabs>
              <w:ind w:firstLine="0"/>
              <w:rPr>
                <w:sz w:val="20"/>
                <w:szCs w:val="20"/>
              </w:rPr>
            </w:pPr>
          </w:p>
        </w:tc>
        <w:tc>
          <w:tcPr>
            <w:tcW w:w="1559" w:type="dxa"/>
          </w:tcPr>
          <w:p w:rsidR="00B91B4B" w:rsidRPr="004577D3" w:rsidRDefault="00B91B4B" w:rsidP="000C1FE6">
            <w:pPr>
              <w:tabs>
                <w:tab w:val="left" w:pos="993"/>
              </w:tabs>
              <w:ind w:firstLine="0"/>
              <w:rPr>
                <w:sz w:val="20"/>
                <w:szCs w:val="20"/>
              </w:rPr>
            </w:pPr>
            <w:r w:rsidRPr="004577D3">
              <w:rPr>
                <w:sz w:val="20"/>
                <w:szCs w:val="20"/>
              </w:rPr>
              <w:t>Выжить</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условиях</w:t>
            </w:r>
            <w:r w:rsidR="006C680D" w:rsidRPr="004577D3">
              <w:rPr>
                <w:sz w:val="20"/>
                <w:szCs w:val="20"/>
              </w:rPr>
              <w:t xml:space="preserve"> </w:t>
            </w:r>
            <w:r w:rsidRPr="004577D3">
              <w:rPr>
                <w:sz w:val="20"/>
                <w:szCs w:val="20"/>
              </w:rPr>
              <w:t>высокой</w:t>
            </w:r>
            <w:r w:rsidR="006C680D" w:rsidRPr="004577D3">
              <w:rPr>
                <w:sz w:val="20"/>
                <w:szCs w:val="20"/>
              </w:rPr>
              <w:t xml:space="preserve"> </w:t>
            </w:r>
            <w:r w:rsidRPr="004577D3">
              <w:rPr>
                <w:sz w:val="20"/>
                <w:szCs w:val="20"/>
              </w:rPr>
              <w:t>инфляции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снижения</w:t>
            </w:r>
            <w:r w:rsidR="006C680D" w:rsidRPr="004577D3">
              <w:rPr>
                <w:sz w:val="20"/>
                <w:szCs w:val="20"/>
              </w:rPr>
              <w:t xml:space="preserve"> </w:t>
            </w:r>
            <w:r w:rsidRPr="004577D3">
              <w:rPr>
                <w:sz w:val="20"/>
                <w:szCs w:val="20"/>
              </w:rPr>
              <w:t>маржи</w:t>
            </w:r>
          </w:p>
        </w:tc>
        <w:tc>
          <w:tcPr>
            <w:tcW w:w="6350"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Тотальная</w:t>
            </w:r>
            <w:r w:rsidR="006C680D" w:rsidRPr="004577D3">
              <w:rPr>
                <w:sz w:val="20"/>
                <w:szCs w:val="20"/>
              </w:rPr>
              <w:t xml:space="preserve"> </w:t>
            </w:r>
            <w:r w:rsidRPr="004577D3">
              <w:rPr>
                <w:sz w:val="20"/>
                <w:szCs w:val="20"/>
              </w:rPr>
              <w:t>борьба</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мошенничеством</w:t>
            </w:r>
            <w:r w:rsidR="006C680D" w:rsidRPr="004577D3">
              <w:rPr>
                <w:sz w:val="20"/>
                <w:szCs w:val="20"/>
              </w:rPr>
              <w:t xml:space="preserve"> </w:t>
            </w:r>
            <w:r w:rsidRPr="004577D3">
              <w:rPr>
                <w:sz w:val="20"/>
                <w:szCs w:val="20"/>
              </w:rPr>
              <w:t>(Anti-Fraud</w:t>
            </w:r>
            <w:r w:rsidR="006C680D" w:rsidRPr="004577D3">
              <w:rPr>
                <w:sz w:val="20"/>
                <w:szCs w:val="20"/>
              </w:rPr>
              <w:t xml:space="preserve"> </w:t>
            </w:r>
            <w:r w:rsidRPr="004577D3">
              <w:rPr>
                <w:sz w:val="20"/>
                <w:szCs w:val="20"/>
              </w:rPr>
              <w:t>2.0):</w:t>
            </w:r>
          </w:p>
          <w:p w:rsidR="00B91B4B" w:rsidRPr="004577D3" w:rsidRDefault="00B91B4B" w:rsidP="000C1FE6">
            <w:pPr>
              <w:tabs>
                <w:tab w:val="left" w:pos="993"/>
              </w:tabs>
              <w:ind w:firstLine="0"/>
              <w:rPr>
                <w:sz w:val="20"/>
                <w:szCs w:val="20"/>
              </w:rPr>
            </w:pPr>
            <w:r w:rsidRPr="004577D3">
              <w:rPr>
                <w:sz w:val="20"/>
                <w:szCs w:val="20"/>
              </w:rPr>
              <w:t>Создание</w:t>
            </w:r>
            <w:r w:rsidR="006C680D" w:rsidRPr="004577D3">
              <w:rPr>
                <w:sz w:val="20"/>
                <w:szCs w:val="20"/>
              </w:rPr>
              <w:t xml:space="preserve"> </w:t>
            </w:r>
            <w:r w:rsidRPr="004577D3">
              <w:rPr>
                <w:sz w:val="20"/>
                <w:szCs w:val="20"/>
              </w:rPr>
              <w:t>единого</w:t>
            </w:r>
            <w:r w:rsidR="006C680D" w:rsidRPr="004577D3">
              <w:rPr>
                <w:sz w:val="20"/>
                <w:szCs w:val="20"/>
              </w:rPr>
              <w:t xml:space="preserve"> </w:t>
            </w:r>
            <w:r w:rsidRPr="004577D3">
              <w:rPr>
                <w:sz w:val="20"/>
                <w:szCs w:val="20"/>
              </w:rPr>
              <w:t>отраслевого</w:t>
            </w:r>
            <w:r w:rsidR="006C680D" w:rsidRPr="004577D3">
              <w:rPr>
                <w:sz w:val="20"/>
                <w:szCs w:val="20"/>
              </w:rPr>
              <w:t xml:space="preserve"> </w:t>
            </w:r>
            <w:r w:rsidRPr="004577D3">
              <w:rPr>
                <w:sz w:val="20"/>
                <w:szCs w:val="20"/>
              </w:rPr>
              <w:t>центра</w:t>
            </w:r>
            <w:r w:rsidR="006C680D" w:rsidRPr="004577D3">
              <w:rPr>
                <w:sz w:val="20"/>
                <w:szCs w:val="20"/>
              </w:rPr>
              <w:t xml:space="preserve"> </w:t>
            </w:r>
            <w:r w:rsidRPr="004577D3">
              <w:rPr>
                <w:sz w:val="20"/>
                <w:szCs w:val="20"/>
              </w:rPr>
              <w:t>анализа</w:t>
            </w:r>
            <w:r w:rsidR="006C680D" w:rsidRPr="004577D3">
              <w:rPr>
                <w:sz w:val="20"/>
                <w:szCs w:val="20"/>
              </w:rPr>
              <w:t xml:space="preserve"> </w:t>
            </w:r>
            <w:r w:rsidRPr="004577D3">
              <w:rPr>
                <w:sz w:val="20"/>
                <w:szCs w:val="20"/>
              </w:rPr>
              <w:t>данных</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использованием</w:t>
            </w:r>
            <w:r w:rsidR="006C680D" w:rsidRPr="004577D3">
              <w:rPr>
                <w:sz w:val="20"/>
                <w:szCs w:val="20"/>
              </w:rPr>
              <w:t xml:space="preserve"> </w:t>
            </w:r>
            <w:r w:rsidRPr="004577D3">
              <w:rPr>
                <w:sz w:val="20"/>
                <w:szCs w:val="20"/>
              </w:rPr>
              <w:t>AI</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выявления</w:t>
            </w:r>
            <w:r w:rsidR="006C680D" w:rsidRPr="004577D3">
              <w:rPr>
                <w:sz w:val="20"/>
                <w:szCs w:val="20"/>
              </w:rPr>
              <w:t xml:space="preserve"> </w:t>
            </w:r>
            <w:r w:rsidRPr="004577D3">
              <w:rPr>
                <w:sz w:val="20"/>
                <w:szCs w:val="20"/>
              </w:rPr>
              <w:t>мошеннических</w:t>
            </w:r>
            <w:r w:rsidR="006C680D" w:rsidRPr="004577D3">
              <w:rPr>
                <w:sz w:val="20"/>
                <w:szCs w:val="20"/>
              </w:rPr>
              <w:t xml:space="preserve"> </w:t>
            </w:r>
            <w:r w:rsidRPr="004577D3">
              <w:rPr>
                <w:sz w:val="20"/>
                <w:szCs w:val="20"/>
              </w:rPr>
              <w:t>схем</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режиме</w:t>
            </w:r>
            <w:r w:rsidR="006C680D" w:rsidRPr="004577D3">
              <w:rPr>
                <w:sz w:val="20"/>
                <w:szCs w:val="20"/>
              </w:rPr>
              <w:t xml:space="preserve"> </w:t>
            </w:r>
            <w:r w:rsidRPr="004577D3">
              <w:rPr>
                <w:sz w:val="20"/>
                <w:szCs w:val="20"/>
              </w:rPr>
              <w:t>реального</w:t>
            </w:r>
            <w:r w:rsidR="006C680D" w:rsidRPr="004577D3">
              <w:rPr>
                <w:sz w:val="20"/>
                <w:szCs w:val="20"/>
              </w:rPr>
              <w:t xml:space="preserve"> </w:t>
            </w:r>
            <w:r w:rsidRPr="004577D3">
              <w:rPr>
                <w:sz w:val="20"/>
                <w:szCs w:val="20"/>
              </w:rPr>
              <w:t>времени.</w:t>
            </w:r>
          </w:p>
          <w:p w:rsidR="00B91B4B" w:rsidRPr="004577D3" w:rsidRDefault="00B91B4B" w:rsidP="000C1FE6">
            <w:pPr>
              <w:tabs>
                <w:tab w:val="left" w:pos="993"/>
              </w:tabs>
              <w:ind w:firstLine="0"/>
              <w:rPr>
                <w:sz w:val="20"/>
                <w:szCs w:val="20"/>
              </w:rPr>
            </w:pPr>
            <w:r w:rsidRPr="004577D3">
              <w:rPr>
                <w:sz w:val="20"/>
                <w:szCs w:val="20"/>
              </w:rPr>
              <w:t>Внедрение</w:t>
            </w:r>
            <w:r w:rsidR="006C680D" w:rsidRPr="004577D3">
              <w:rPr>
                <w:sz w:val="20"/>
                <w:szCs w:val="20"/>
              </w:rPr>
              <w:t xml:space="preserve"> </w:t>
            </w:r>
            <w:r w:rsidRPr="004577D3">
              <w:rPr>
                <w:sz w:val="20"/>
                <w:szCs w:val="20"/>
              </w:rPr>
              <w:t>биометрической</w:t>
            </w:r>
            <w:r w:rsidR="006C680D" w:rsidRPr="004577D3">
              <w:rPr>
                <w:sz w:val="20"/>
                <w:szCs w:val="20"/>
              </w:rPr>
              <w:t xml:space="preserve"> </w:t>
            </w:r>
            <w:r w:rsidRPr="004577D3">
              <w:rPr>
                <w:sz w:val="20"/>
                <w:szCs w:val="20"/>
              </w:rPr>
              <w:t>идентификации</w:t>
            </w:r>
            <w:r w:rsidR="006C680D" w:rsidRPr="004577D3">
              <w:rPr>
                <w:sz w:val="20"/>
                <w:szCs w:val="20"/>
              </w:rPr>
              <w:t xml:space="preserve"> </w:t>
            </w:r>
            <w:r w:rsidRPr="004577D3">
              <w:rPr>
                <w:sz w:val="20"/>
                <w:szCs w:val="20"/>
              </w:rPr>
              <w:t>при</w:t>
            </w:r>
            <w:r w:rsidR="006C680D" w:rsidRPr="004577D3">
              <w:rPr>
                <w:sz w:val="20"/>
                <w:szCs w:val="20"/>
              </w:rPr>
              <w:t xml:space="preserve"> </w:t>
            </w:r>
            <w:r w:rsidRPr="004577D3">
              <w:rPr>
                <w:sz w:val="20"/>
                <w:szCs w:val="20"/>
              </w:rPr>
              <w:t>оформлении</w:t>
            </w:r>
            <w:r w:rsidR="006C680D" w:rsidRPr="004577D3">
              <w:rPr>
                <w:sz w:val="20"/>
                <w:szCs w:val="20"/>
              </w:rPr>
              <w:t xml:space="preserve"> </w:t>
            </w:r>
            <w:r w:rsidRPr="004577D3">
              <w:rPr>
                <w:sz w:val="20"/>
                <w:szCs w:val="20"/>
              </w:rPr>
              <w:t>полисов</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урегулировании</w:t>
            </w:r>
            <w:r w:rsidR="006C680D" w:rsidRPr="004577D3">
              <w:rPr>
                <w:sz w:val="20"/>
                <w:szCs w:val="20"/>
              </w:rPr>
              <w:t xml:space="preserve"> </w:t>
            </w:r>
            <w:r w:rsidRPr="004577D3">
              <w:rPr>
                <w:sz w:val="20"/>
                <w:szCs w:val="20"/>
              </w:rPr>
              <w:t>убытков.</w:t>
            </w:r>
          </w:p>
          <w:p w:rsidR="00B91B4B" w:rsidRPr="004577D3" w:rsidRDefault="00B91B4B" w:rsidP="000C1FE6">
            <w:pPr>
              <w:tabs>
                <w:tab w:val="left" w:pos="993"/>
              </w:tabs>
              <w:ind w:firstLine="0"/>
              <w:rPr>
                <w:sz w:val="20"/>
                <w:szCs w:val="20"/>
                <w:lang w:val="en-US"/>
              </w:rPr>
            </w:pPr>
            <w:r w:rsidRPr="004577D3">
              <w:rPr>
                <w:sz w:val="20"/>
                <w:szCs w:val="20"/>
                <w:lang w:val="en-US"/>
              </w:rPr>
              <w:t>2.</w:t>
            </w:r>
            <w:r w:rsidR="006C680D" w:rsidRPr="004577D3">
              <w:rPr>
                <w:sz w:val="20"/>
                <w:szCs w:val="20"/>
                <w:lang w:val="en-US"/>
              </w:rPr>
              <w:t xml:space="preserve"> </w:t>
            </w:r>
            <w:r w:rsidRPr="004577D3">
              <w:rPr>
                <w:sz w:val="20"/>
                <w:szCs w:val="20"/>
              </w:rPr>
              <w:t>Превентивная</w:t>
            </w:r>
            <w:r w:rsidR="006C680D" w:rsidRPr="004577D3">
              <w:rPr>
                <w:sz w:val="20"/>
                <w:szCs w:val="20"/>
                <w:lang w:val="en-US"/>
              </w:rPr>
              <w:t xml:space="preserve"> </w:t>
            </w:r>
            <w:r w:rsidRPr="004577D3">
              <w:rPr>
                <w:sz w:val="20"/>
                <w:szCs w:val="20"/>
              </w:rPr>
              <w:t>модель</w:t>
            </w:r>
            <w:r w:rsidR="006C680D" w:rsidRPr="004577D3">
              <w:rPr>
                <w:sz w:val="20"/>
                <w:szCs w:val="20"/>
                <w:lang w:val="en-US"/>
              </w:rPr>
              <w:t xml:space="preserve"> </w:t>
            </w:r>
            <w:r w:rsidRPr="004577D3">
              <w:rPr>
                <w:sz w:val="20"/>
                <w:szCs w:val="20"/>
                <w:lang w:val="en-US"/>
              </w:rPr>
              <w:t>(P2S</w:t>
            </w:r>
            <w:r w:rsidR="006C680D" w:rsidRPr="004577D3">
              <w:rPr>
                <w:sz w:val="20"/>
                <w:szCs w:val="20"/>
                <w:lang w:val="en-US"/>
              </w:rPr>
              <w:t xml:space="preserve"> </w:t>
            </w:r>
            <w:r w:rsidRPr="004577D3">
              <w:rPr>
                <w:sz w:val="20"/>
                <w:szCs w:val="20"/>
                <w:lang w:val="en-US"/>
              </w:rPr>
              <w:t>-</w:t>
            </w:r>
            <w:r w:rsidR="006C680D" w:rsidRPr="004577D3">
              <w:rPr>
                <w:sz w:val="20"/>
                <w:szCs w:val="20"/>
                <w:lang w:val="en-US"/>
              </w:rPr>
              <w:t xml:space="preserve"> </w:t>
            </w:r>
            <w:r w:rsidRPr="004577D3">
              <w:rPr>
                <w:sz w:val="20"/>
                <w:szCs w:val="20"/>
                <w:lang w:val="en-US"/>
              </w:rPr>
              <w:t>Prevention</w:t>
            </w:r>
            <w:r w:rsidR="006C680D" w:rsidRPr="004577D3">
              <w:rPr>
                <w:sz w:val="20"/>
                <w:szCs w:val="20"/>
                <w:lang w:val="en-US"/>
              </w:rPr>
              <w:t xml:space="preserve"> </w:t>
            </w:r>
            <w:r w:rsidRPr="004577D3">
              <w:rPr>
                <w:sz w:val="20"/>
                <w:szCs w:val="20"/>
                <w:lang w:val="en-US"/>
              </w:rPr>
              <w:t>to</w:t>
            </w:r>
            <w:r w:rsidR="006C680D" w:rsidRPr="004577D3">
              <w:rPr>
                <w:sz w:val="20"/>
                <w:szCs w:val="20"/>
                <w:lang w:val="en-US"/>
              </w:rPr>
              <w:t xml:space="preserve"> </w:t>
            </w:r>
            <w:r w:rsidRPr="004577D3">
              <w:rPr>
                <w:sz w:val="20"/>
                <w:szCs w:val="20"/>
                <w:lang w:val="en-US"/>
              </w:rPr>
              <w:t>Service):</w:t>
            </w:r>
          </w:p>
          <w:p w:rsidR="00B91B4B" w:rsidRPr="004577D3" w:rsidRDefault="00B91B4B" w:rsidP="000C1FE6">
            <w:pPr>
              <w:tabs>
                <w:tab w:val="left" w:pos="993"/>
              </w:tabs>
              <w:ind w:firstLine="0"/>
              <w:rPr>
                <w:sz w:val="20"/>
                <w:szCs w:val="20"/>
              </w:rPr>
            </w:pPr>
            <w:r w:rsidRPr="004577D3">
              <w:rPr>
                <w:sz w:val="20"/>
                <w:szCs w:val="20"/>
              </w:rPr>
              <w:t>Включение</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стоимость</w:t>
            </w:r>
            <w:r w:rsidR="006C680D" w:rsidRPr="004577D3">
              <w:rPr>
                <w:sz w:val="20"/>
                <w:szCs w:val="20"/>
              </w:rPr>
              <w:t xml:space="preserve"> </w:t>
            </w:r>
            <w:r w:rsidRPr="004577D3">
              <w:rPr>
                <w:sz w:val="20"/>
                <w:szCs w:val="20"/>
              </w:rPr>
              <w:t>полиса</w:t>
            </w:r>
            <w:r w:rsidR="006C680D" w:rsidRPr="004577D3">
              <w:rPr>
                <w:sz w:val="20"/>
                <w:szCs w:val="20"/>
              </w:rPr>
              <w:t xml:space="preserve"> </w:t>
            </w:r>
            <w:r w:rsidRPr="004577D3">
              <w:rPr>
                <w:sz w:val="20"/>
                <w:szCs w:val="20"/>
              </w:rPr>
              <w:t>сервисов,</w:t>
            </w:r>
            <w:r w:rsidR="006C680D" w:rsidRPr="004577D3">
              <w:rPr>
                <w:sz w:val="20"/>
                <w:szCs w:val="20"/>
              </w:rPr>
              <w:t xml:space="preserve"> </w:t>
            </w:r>
            <w:r w:rsidRPr="004577D3">
              <w:rPr>
                <w:sz w:val="20"/>
                <w:szCs w:val="20"/>
              </w:rPr>
              <w:t>предотвращающих</w:t>
            </w:r>
            <w:r w:rsidR="006C680D" w:rsidRPr="004577D3">
              <w:rPr>
                <w:sz w:val="20"/>
                <w:szCs w:val="20"/>
              </w:rPr>
              <w:t xml:space="preserve"> </w:t>
            </w:r>
            <w:r w:rsidRPr="004577D3">
              <w:rPr>
                <w:sz w:val="20"/>
                <w:szCs w:val="20"/>
              </w:rPr>
              <w:t>ущерб:</w:t>
            </w:r>
            <w:r w:rsidR="006C680D" w:rsidRPr="004577D3">
              <w:rPr>
                <w:sz w:val="20"/>
                <w:szCs w:val="20"/>
              </w:rPr>
              <w:t xml:space="preserve"> </w:t>
            </w:r>
            <w:r w:rsidRPr="004577D3">
              <w:rPr>
                <w:sz w:val="20"/>
                <w:szCs w:val="20"/>
              </w:rPr>
              <w:t>телемедицинские</w:t>
            </w:r>
            <w:r w:rsidR="006C680D" w:rsidRPr="004577D3">
              <w:rPr>
                <w:sz w:val="20"/>
                <w:szCs w:val="20"/>
              </w:rPr>
              <w:t xml:space="preserve"> </w:t>
            </w:r>
            <w:r w:rsidRPr="004577D3">
              <w:rPr>
                <w:sz w:val="20"/>
                <w:szCs w:val="20"/>
              </w:rPr>
              <w:t>консультации</w:t>
            </w:r>
            <w:r w:rsidR="006C680D" w:rsidRPr="004577D3">
              <w:rPr>
                <w:sz w:val="20"/>
                <w:szCs w:val="20"/>
              </w:rPr>
              <w:t xml:space="preserve"> </w:t>
            </w:r>
            <w:r w:rsidRPr="004577D3">
              <w:rPr>
                <w:sz w:val="20"/>
                <w:szCs w:val="20"/>
              </w:rPr>
              <w:t>(вместо</w:t>
            </w:r>
            <w:r w:rsidR="006C680D" w:rsidRPr="004577D3">
              <w:rPr>
                <w:sz w:val="20"/>
                <w:szCs w:val="20"/>
              </w:rPr>
              <w:t xml:space="preserve"> </w:t>
            </w:r>
            <w:r w:rsidRPr="004577D3">
              <w:rPr>
                <w:sz w:val="20"/>
                <w:szCs w:val="20"/>
              </w:rPr>
              <w:t>лечения),</w:t>
            </w:r>
            <w:r w:rsidR="006C680D" w:rsidRPr="004577D3">
              <w:rPr>
                <w:sz w:val="20"/>
                <w:szCs w:val="20"/>
              </w:rPr>
              <w:t xml:space="preserve"> </w:t>
            </w:r>
            <w:r w:rsidRPr="004577D3">
              <w:rPr>
                <w:sz w:val="20"/>
                <w:szCs w:val="20"/>
              </w:rPr>
              <w:t>диагностика</w:t>
            </w:r>
            <w:r w:rsidR="006C680D" w:rsidRPr="004577D3">
              <w:rPr>
                <w:sz w:val="20"/>
                <w:szCs w:val="20"/>
              </w:rPr>
              <w:t xml:space="preserve"> </w:t>
            </w:r>
            <w:r w:rsidRPr="004577D3">
              <w:rPr>
                <w:sz w:val="20"/>
                <w:szCs w:val="20"/>
              </w:rPr>
              <w:t>автомобиля,</w:t>
            </w:r>
            <w:r w:rsidR="006C680D" w:rsidRPr="004577D3">
              <w:rPr>
                <w:sz w:val="20"/>
                <w:szCs w:val="20"/>
              </w:rPr>
              <w:t xml:space="preserve"> </w:t>
            </w:r>
            <w:r w:rsidRPr="004577D3">
              <w:rPr>
                <w:sz w:val="20"/>
                <w:szCs w:val="20"/>
              </w:rPr>
              <w:t>аудит</w:t>
            </w:r>
            <w:r w:rsidR="006C680D" w:rsidRPr="004577D3">
              <w:rPr>
                <w:sz w:val="20"/>
                <w:szCs w:val="20"/>
              </w:rPr>
              <w:t xml:space="preserve"> </w:t>
            </w:r>
            <w:r w:rsidRPr="004577D3">
              <w:rPr>
                <w:sz w:val="20"/>
                <w:szCs w:val="20"/>
              </w:rPr>
              <w:t>кибербезопасности</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бизнеса.</w:t>
            </w:r>
            <w:r w:rsidR="006C680D" w:rsidRPr="004577D3">
              <w:rPr>
                <w:sz w:val="20"/>
                <w:szCs w:val="20"/>
              </w:rPr>
              <w:t xml:space="preserve"> </w:t>
            </w:r>
            <w:r w:rsidRPr="004577D3">
              <w:rPr>
                <w:sz w:val="20"/>
                <w:szCs w:val="20"/>
              </w:rPr>
              <w:t>Это</w:t>
            </w:r>
            <w:r w:rsidR="006C680D" w:rsidRPr="004577D3">
              <w:rPr>
                <w:sz w:val="20"/>
                <w:szCs w:val="20"/>
              </w:rPr>
              <w:t xml:space="preserve"> </w:t>
            </w:r>
            <w:r w:rsidRPr="004577D3">
              <w:rPr>
                <w:sz w:val="20"/>
                <w:szCs w:val="20"/>
              </w:rPr>
              <w:t>сокращает</w:t>
            </w:r>
            <w:r w:rsidR="006C680D" w:rsidRPr="004577D3">
              <w:rPr>
                <w:sz w:val="20"/>
                <w:szCs w:val="20"/>
              </w:rPr>
              <w:t xml:space="preserve"> </w:t>
            </w:r>
            <w:r w:rsidRPr="004577D3">
              <w:rPr>
                <w:sz w:val="20"/>
                <w:szCs w:val="20"/>
              </w:rPr>
              <w:t>убытки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создаёт</w:t>
            </w:r>
            <w:r w:rsidR="006C680D" w:rsidRPr="004577D3">
              <w:rPr>
                <w:sz w:val="20"/>
                <w:szCs w:val="20"/>
              </w:rPr>
              <w:t xml:space="preserve"> </w:t>
            </w:r>
            <w:r w:rsidRPr="004577D3">
              <w:rPr>
                <w:sz w:val="20"/>
                <w:szCs w:val="20"/>
              </w:rPr>
              <w:t>лояльность.</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Оптимизация</w:t>
            </w:r>
            <w:r w:rsidR="006C680D" w:rsidRPr="004577D3">
              <w:rPr>
                <w:sz w:val="20"/>
                <w:szCs w:val="20"/>
              </w:rPr>
              <w:t xml:space="preserve"> </w:t>
            </w:r>
            <w:r w:rsidRPr="004577D3">
              <w:rPr>
                <w:sz w:val="20"/>
                <w:szCs w:val="20"/>
              </w:rPr>
              <w:t>структуры</w:t>
            </w:r>
            <w:r w:rsidR="006C680D" w:rsidRPr="004577D3">
              <w:rPr>
                <w:sz w:val="20"/>
                <w:szCs w:val="20"/>
              </w:rPr>
              <w:t xml:space="preserve"> </w:t>
            </w:r>
            <w:r w:rsidRPr="004577D3">
              <w:rPr>
                <w:sz w:val="20"/>
                <w:szCs w:val="20"/>
              </w:rPr>
              <w:t>активов:</w:t>
            </w:r>
          </w:p>
          <w:p w:rsidR="00B91B4B" w:rsidRPr="004577D3" w:rsidRDefault="00B91B4B" w:rsidP="000C1FE6">
            <w:pPr>
              <w:tabs>
                <w:tab w:val="left" w:pos="993"/>
              </w:tabs>
              <w:ind w:firstLine="0"/>
              <w:rPr>
                <w:sz w:val="20"/>
                <w:szCs w:val="20"/>
              </w:rPr>
            </w:pPr>
            <w:r w:rsidRPr="004577D3">
              <w:rPr>
                <w:sz w:val="20"/>
                <w:szCs w:val="20"/>
              </w:rPr>
              <w:lastRenderedPageBreak/>
              <w:t>Активный</w:t>
            </w:r>
            <w:r w:rsidR="006C680D" w:rsidRPr="004577D3">
              <w:rPr>
                <w:sz w:val="20"/>
                <w:szCs w:val="20"/>
              </w:rPr>
              <w:t xml:space="preserve"> </w:t>
            </w:r>
            <w:r w:rsidRPr="004577D3">
              <w:rPr>
                <w:sz w:val="20"/>
                <w:szCs w:val="20"/>
              </w:rPr>
              <w:t>поиск</w:t>
            </w:r>
            <w:r w:rsidR="006C680D" w:rsidRPr="004577D3">
              <w:rPr>
                <w:sz w:val="20"/>
                <w:szCs w:val="20"/>
              </w:rPr>
              <w:t xml:space="preserve"> </w:t>
            </w:r>
            <w:r w:rsidRPr="004577D3">
              <w:rPr>
                <w:sz w:val="20"/>
                <w:szCs w:val="20"/>
              </w:rPr>
              <w:t>новых</w:t>
            </w:r>
            <w:r w:rsidR="006C680D" w:rsidRPr="004577D3">
              <w:rPr>
                <w:sz w:val="20"/>
                <w:szCs w:val="20"/>
              </w:rPr>
              <w:t xml:space="preserve"> </w:t>
            </w:r>
            <w:r w:rsidRPr="004577D3">
              <w:rPr>
                <w:sz w:val="20"/>
                <w:szCs w:val="20"/>
              </w:rPr>
              <w:t>возможностей</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инвестирования</w:t>
            </w:r>
            <w:r w:rsidR="006C680D" w:rsidRPr="004577D3">
              <w:rPr>
                <w:sz w:val="20"/>
                <w:szCs w:val="20"/>
              </w:rPr>
              <w:t xml:space="preserve"> </w:t>
            </w:r>
            <w:r w:rsidRPr="004577D3">
              <w:rPr>
                <w:sz w:val="20"/>
                <w:szCs w:val="20"/>
              </w:rPr>
              <w:t>страховых</w:t>
            </w:r>
            <w:r w:rsidR="006C680D" w:rsidRPr="004577D3">
              <w:rPr>
                <w:sz w:val="20"/>
                <w:szCs w:val="20"/>
              </w:rPr>
              <w:t xml:space="preserve"> </w:t>
            </w:r>
            <w:r w:rsidRPr="004577D3">
              <w:rPr>
                <w:sz w:val="20"/>
                <w:szCs w:val="20"/>
              </w:rPr>
              <w:t>резервов</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условиях</w:t>
            </w:r>
            <w:r w:rsidR="006C680D" w:rsidRPr="004577D3">
              <w:rPr>
                <w:sz w:val="20"/>
                <w:szCs w:val="20"/>
              </w:rPr>
              <w:t xml:space="preserve"> </w:t>
            </w:r>
            <w:r w:rsidRPr="004577D3">
              <w:rPr>
                <w:sz w:val="20"/>
                <w:szCs w:val="20"/>
              </w:rPr>
              <w:t>санкций:</w:t>
            </w:r>
            <w:r w:rsidR="006C680D" w:rsidRPr="004577D3">
              <w:rPr>
                <w:sz w:val="20"/>
                <w:szCs w:val="20"/>
              </w:rPr>
              <w:t xml:space="preserve"> </w:t>
            </w:r>
            <w:r w:rsidRPr="004577D3">
              <w:rPr>
                <w:sz w:val="20"/>
                <w:szCs w:val="20"/>
              </w:rPr>
              <w:t>гособлигации,</w:t>
            </w:r>
            <w:r w:rsidR="006C680D" w:rsidRPr="004577D3">
              <w:rPr>
                <w:sz w:val="20"/>
                <w:szCs w:val="20"/>
              </w:rPr>
              <w:t xml:space="preserve"> </w:t>
            </w:r>
            <w:r w:rsidRPr="004577D3">
              <w:rPr>
                <w:sz w:val="20"/>
                <w:szCs w:val="20"/>
              </w:rPr>
              <w:t>инфраструктурные</w:t>
            </w:r>
            <w:r w:rsidR="006C680D" w:rsidRPr="004577D3">
              <w:rPr>
                <w:sz w:val="20"/>
                <w:szCs w:val="20"/>
              </w:rPr>
              <w:t xml:space="preserve"> </w:t>
            </w:r>
            <w:r w:rsidRPr="004577D3">
              <w:rPr>
                <w:sz w:val="20"/>
                <w:szCs w:val="20"/>
              </w:rPr>
              <w:t>проекты,</w:t>
            </w:r>
            <w:r w:rsidR="006C680D" w:rsidRPr="004577D3">
              <w:rPr>
                <w:sz w:val="20"/>
                <w:szCs w:val="20"/>
              </w:rPr>
              <w:t xml:space="preserve"> </w:t>
            </w:r>
            <w:r w:rsidRPr="004577D3">
              <w:rPr>
                <w:sz w:val="20"/>
                <w:szCs w:val="20"/>
              </w:rPr>
              <w:t>ипотечные</w:t>
            </w:r>
            <w:r w:rsidR="006C680D" w:rsidRPr="004577D3">
              <w:rPr>
                <w:sz w:val="20"/>
                <w:szCs w:val="20"/>
              </w:rPr>
              <w:t xml:space="preserve"> </w:t>
            </w:r>
            <w:r w:rsidRPr="004577D3">
              <w:rPr>
                <w:sz w:val="20"/>
                <w:szCs w:val="20"/>
              </w:rPr>
              <w:t>облигации,</w:t>
            </w:r>
            <w:r w:rsidR="006C680D" w:rsidRPr="004577D3">
              <w:rPr>
                <w:sz w:val="20"/>
                <w:szCs w:val="20"/>
              </w:rPr>
              <w:t xml:space="preserve"> </w:t>
            </w:r>
            <w:r w:rsidRPr="004577D3">
              <w:rPr>
                <w:sz w:val="20"/>
                <w:szCs w:val="20"/>
              </w:rPr>
              <w:t>дружественные</w:t>
            </w:r>
            <w:r w:rsidR="006C680D" w:rsidRPr="004577D3">
              <w:rPr>
                <w:sz w:val="20"/>
                <w:szCs w:val="20"/>
              </w:rPr>
              <w:t xml:space="preserve"> </w:t>
            </w:r>
            <w:r w:rsidRPr="004577D3">
              <w:rPr>
                <w:sz w:val="20"/>
                <w:szCs w:val="20"/>
              </w:rPr>
              <w:t>юрисдикции.</w:t>
            </w:r>
          </w:p>
        </w:tc>
      </w:tr>
      <w:tr w:rsidR="00B91B4B" w:rsidRPr="004577D3" w:rsidTr="00B91B4B">
        <w:tc>
          <w:tcPr>
            <w:tcW w:w="1838" w:type="dxa"/>
          </w:tcPr>
          <w:p w:rsidR="00B91B4B" w:rsidRPr="004577D3" w:rsidRDefault="00B91B4B" w:rsidP="000C1FE6">
            <w:pPr>
              <w:tabs>
                <w:tab w:val="left" w:pos="993"/>
              </w:tabs>
              <w:ind w:firstLine="0"/>
              <w:rPr>
                <w:sz w:val="20"/>
                <w:szCs w:val="20"/>
              </w:rPr>
            </w:pPr>
            <w:r w:rsidRPr="004577D3">
              <w:rPr>
                <w:sz w:val="20"/>
                <w:szCs w:val="20"/>
              </w:rPr>
              <w:lastRenderedPageBreak/>
              <w:t>Стратегия</w:t>
            </w:r>
            <w:r w:rsidR="006C680D" w:rsidRPr="004577D3">
              <w:rPr>
                <w:sz w:val="20"/>
                <w:szCs w:val="20"/>
              </w:rPr>
              <w:t xml:space="preserve"> </w:t>
            </w:r>
            <w:r w:rsidRPr="004577D3">
              <w:rPr>
                <w:sz w:val="20"/>
                <w:szCs w:val="20"/>
              </w:rPr>
              <w:t>клиентоориентированности</w:t>
            </w:r>
          </w:p>
        </w:tc>
        <w:tc>
          <w:tcPr>
            <w:tcW w:w="1559" w:type="dxa"/>
          </w:tcPr>
          <w:p w:rsidR="00B91B4B" w:rsidRPr="004577D3" w:rsidRDefault="00B91B4B" w:rsidP="000C1FE6">
            <w:pPr>
              <w:tabs>
                <w:tab w:val="left" w:pos="993"/>
              </w:tabs>
              <w:ind w:firstLine="0"/>
              <w:rPr>
                <w:sz w:val="20"/>
                <w:szCs w:val="20"/>
              </w:rPr>
            </w:pPr>
            <w:r w:rsidRPr="004577D3">
              <w:rPr>
                <w:sz w:val="20"/>
                <w:szCs w:val="20"/>
              </w:rPr>
              <w:t>Привлечение</w:t>
            </w:r>
            <w:r w:rsidR="006C680D" w:rsidRPr="004577D3">
              <w:rPr>
                <w:sz w:val="20"/>
                <w:szCs w:val="20"/>
              </w:rPr>
              <w:t xml:space="preserve"> </w:t>
            </w:r>
            <w:r w:rsidRPr="004577D3">
              <w:rPr>
                <w:sz w:val="20"/>
                <w:szCs w:val="20"/>
              </w:rPr>
              <w:t>новых</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удержание</w:t>
            </w:r>
            <w:r w:rsidR="006C680D" w:rsidRPr="004577D3">
              <w:rPr>
                <w:sz w:val="20"/>
                <w:szCs w:val="20"/>
              </w:rPr>
              <w:t xml:space="preserve"> </w:t>
            </w:r>
            <w:r w:rsidRPr="004577D3">
              <w:rPr>
                <w:sz w:val="20"/>
                <w:szCs w:val="20"/>
              </w:rPr>
              <w:t>старых</w:t>
            </w:r>
            <w:r w:rsidR="006C680D" w:rsidRPr="004577D3">
              <w:rPr>
                <w:sz w:val="20"/>
                <w:szCs w:val="20"/>
              </w:rPr>
              <w:t xml:space="preserve"> </w:t>
            </w:r>
            <w:r w:rsidRPr="004577D3">
              <w:rPr>
                <w:sz w:val="20"/>
                <w:szCs w:val="20"/>
              </w:rPr>
              <w:t>клиентов,</w:t>
            </w:r>
            <w:r w:rsidR="006C680D" w:rsidRPr="004577D3">
              <w:rPr>
                <w:sz w:val="20"/>
                <w:szCs w:val="20"/>
              </w:rPr>
              <w:t xml:space="preserve"> </w:t>
            </w:r>
            <w:r w:rsidRPr="004577D3">
              <w:rPr>
                <w:sz w:val="20"/>
                <w:szCs w:val="20"/>
              </w:rPr>
              <w:t>а</w:t>
            </w:r>
            <w:r w:rsidR="006C680D" w:rsidRPr="004577D3">
              <w:rPr>
                <w:sz w:val="20"/>
                <w:szCs w:val="20"/>
              </w:rPr>
              <w:t xml:space="preserve"> </w:t>
            </w:r>
            <w:r w:rsidRPr="004577D3">
              <w:rPr>
                <w:sz w:val="20"/>
                <w:szCs w:val="20"/>
              </w:rPr>
              <w:t>также</w:t>
            </w:r>
            <w:r w:rsidR="006C680D" w:rsidRPr="004577D3">
              <w:rPr>
                <w:sz w:val="20"/>
                <w:szCs w:val="20"/>
              </w:rPr>
              <w:t xml:space="preserve"> </w:t>
            </w:r>
            <w:r w:rsidRPr="004577D3">
              <w:rPr>
                <w:sz w:val="20"/>
                <w:szCs w:val="20"/>
              </w:rPr>
              <w:t>повышение</w:t>
            </w:r>
            <w:r w:rsidR="006C680D" w:rsidRPr="004577D3">
              <w:rPr>
                <w:sz w:val="20"/>
                <w:szCs w:val="20"/>
              </w:rPr>
              <w:t xml:space="preserve"> </w:t>
            </w:r>
            <w:r w:rsidRPr="004577D3">
              <w:rPr>
                <w:sz w:val="20"/>
                <w:szCs w:val="20"/>
              </w:rPr>
              <w:t>конкурентоспособности</w:t>
            </w:r>
          </w:p>
        </w:tc>
        <w:tc>
          <w:tcPr>
            <w:tcW w:w="6350"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Продукты-конструкторы</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фиксированной</w:t>
            </w:r>
            <w:r w:rsidR="006C680D" w:rsidRPr="004577D3">
              <w:rPr>
                <w:sz w:val="20"/>
                <w:szCs w:val="20"/>
              </w:rPr>
              <w:t xml:space="preserve"> </w:t>
            </w:r>
            <w:r w:rsidRPr="004577D3">
              <w:rPr>
                <w:sz w:val="20"/>
                <w:szCs w:val="20"/>
              </w:rPr>
              <w:t>ценой.</w:t>
            </w:r>
            <w:r w:rsidR="006C680D" w:rsidRPr="004577D3">
              <w:rPr>
                <w:sz w:val="20"/>
                <w:szCs w:val="20"/>
              </w:rPr>
              <w:t xml:space="preserve"> </w:t>
            </w:r>
            <w:r w:rsidRPr="004577D3">
              <w:rPr>
                <w:sz w:val="20"/>
                <w:szCs w:val="20"/>
              </w:rPr>
              <w:t>Понятные</w:t>
            </w:r>
            <w:r w:rsidR="006C680D" w:rsidRPr="004577D3">
              <w:rPr>
                <w:sz w:val="20"/>
                <w:szCs w:val="20"/>
              </w:rPr>
              <w:t xml:space="preserve"> </w:t>
            </w:r>
            <w:r w:rsidRPr="004577D3">
              <w:rPr>
                <w:sz w:val="20"/>
                <w:szCs w:val="20"/>
              </w:rPr>
              <w:t>модули:</w:t>
            </w:r>
            <w:r w:rsidR="006C680D" w:rsidRPr="004577D3">
              <w:rPr>
                <w:sz w:val="20"/>
                <w:szCs w:val="20"/>
              </w:rPr>
              <w:t xml:space="preserve"> </w:t>
            </w:r>
            <w:r w:rsidRPr="004577D3">
              <w:rPr>
                <w:sz w:val="20"/>
                <w:szCs w:val="20"/>
              </w:rPr>
              <w:t>«защита</w:t>
            </w:r>
            <w:r w:rsidR="006C680D" w:rsidRPr="004577D3">
              <w:rPr>
                <w:sz w:val="20"/>
                <w:szCs w:val="20"/>
              </w:rPr>
              <w:t xml:space="preserve"> </w:t>
            </w:r>
            <w:r w:rsidRPr="004577D3">
              <w:rPr>
                <w:sz w:val="20"/>
                <w:szCs w:val="20"/>
              </w:rPr>
              <w:t>от</w:t>
            </w:r>
            <w:r w:rsidR="006C680D" w:rsidRPr="004577D3">
              <w:rPr>
                <w:sz w:val="20"/>
                <w:szCs w:val="20"/>
              </w:rPr>
              <w:t xml:space="preserve"> </w:t>
            </w:r>
            <w:r w:rsidRPr="004577D3">
              <w:rPr>
                <w:sz w:val="20"/>
                <w:szCs w:val="20"/>
              </w:rPr>
              <w:t>потопа»</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500</w:t>
            </w:r>
            <w:r w:rsidR="006C680D" w:rsidRPr="004577D3">
              <w:rPr>
                <w:sz w:val="20"/>
                <w:szCs w:val="20"/>
              </w:rPr>
              <w:t xml:space="preserve"> </w:t>
            </w:r>
            <w:r w:rsidRPr="004577D3">
              <w:rPr>
                <w:sz w:val="20"/>
                <w:szCs w:val="20"/>
              </w:rPr>
              <w:t>руб./год,</w:t>
            </w:r>
            <w:r w:rsidR="006C680D" w:rsidRPr="004577D3">
              <w:rPr>
                <w:sz w:val="20"/>
                <w:szCs w:val="20"/>
              </w:rPr>
              <w:t xml:space="preserve"> </w:t>
            </w:r>
            <w:r w:rsidRPr="004577D3">
              <w:rPr>
                <w:sz w:val="20"/>
                <w:szCs w:val="20"/>
              </w:rPr>
              <w:t>«от</w:t>
            </w:r>
            <w:r w:rsidR="006C680D" w:rsidRPr="004577D3">
              <w:rPr>
                <w:sz w:val="20"/>
                <w:szCs w:val="20"/>
              </w:rPr>
              <w:t xml:space="preserve"> </w:t>
            </w:r>
            <w:r w:rsidRPr="004577D3">
              <w:rPr>
                <w:sz w:val="20"/>
                <w:szCs w:val="20"/>
              </w:rPr>
              <w:t>кражи»</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300</w:t>
            </w:r>
            <w:r w:rsidR="006C680D" w:rsidRPr="004577D3">
              <w:rPr>
                <w:sz w:val="20"/>
                <w:szCs w:val="20"/>
              </w:rPr>
              <w:t xml:space="preserve"> </w:t>
            </w:r>
            <w:r w:rsidRPr="004577D3">
              <w:rPr>
                <w:sz w:val="20"/>
                <w:szCs w:val="20"/>
              </w:rPr>
              <w:t>руб./год.</w:t>
            </w:r>
            <w:r w:rsidR="006C680D" w:rsidRPr="004577D3">
              <w:rPr>
                <w:sz w:val="20"/>
                <w:szCs w:val="20"/>
              </w:rPr>
              <w:t xml:space="preserve"> </w:t>
            </w:r>
            <w:r w:rsidRPr="004577D3">
              <w:rPr>
                <w:sz w:val="20"/>
                <w:szCs w:val="20"/>
              </w:rPr>
              <w:t>Клиент</w:t>
            </w:r>
            <w:r w:rsidR="006C680D" w:rsidRPr="004577D3">
              <w:rPr>
                <w:sz w:val="20"/>
                <w:szCs w:val="20"/>
              </w:rPr>
              <w:t xml:space="preserve"> </w:t>
            </w:r>
            <w:r w:rsidRPr="004577D3">
              <w:rPr>
                <w:sz w:val="20"/>
                <w:szCs w:val="20"/>
              </w:rPr>
              <w:t>сам</w:t>
            </w:r>
            <w:r w:rsidR="006C680D" w:rsidRPr="004577D3">
              <w:rPr>
                <w:sz w:val="20"/>
                <w:szCs w:val="20"/>
              </w:rPr>
              <w:t xml:space="preserve"> </w:t>
            </w:r>
            <w:r w:rsidRPr="004577D3">
              <w:rPr>
                <w:sz w:val="20"/>
                <w:szCs w:val="20"/>
              </w:rPr>
              <w:t>собирает</w:t>
            </w:r>
            <w:r w:rsidR="006C680D" w:rsidRPr="004577D3">
              <w:rPr>
                <w:sz w:val="20"/>
                <w:szCs w:val="20"/>
              </w:rPr>
              <w:t xml:space="preserve"> </w:t>
            </w:r>
            <w:r w:rsidRPr="004577D3">
              <w:rPr>
                <w:sz w:val="20"/>
                <w:szCs w:val="20"/>
              </w:rPr>
              <w:t>полис,</w:t>
            </w:r>
            <w:r w:rsidR="006C680D" w:rsidRPr="004577D3">
              <w:rPr>
                <w:sz w:val="20"/>
                <w:szCs w:val="20"/>
              </w:rPr>
              <w:t xml:space="preserve"> </w:t>
            </w:r>
            <w:r w:rsidRPr="004577D3">
              <w:rPr>
                <w:sz w:val="20"/>
                <w:szCs w:val="20"/>
              </w:rPr>
              <w:t>видя</w:t>
            </w:r>
            <w:r w:rsidR="006C680D" w:rsidRPr="004577D3">
              <w:rPr>
                <w:sz w:val="20"/>
                <w:szCs w:val="20"/>
              </w:rPr>
              <w:t xml:space="preserve"> </w:t>
            </w:r>
            <w:r w:rsidRPr="004577D3">
              <w:rPr>
                <w:sz w:val="20"/>
                <w:szCs w:val="20"/>
              </w:rPr>
              <w:t>итоговую</w:t>
            </w:r>
            <w:r w:rsidR="006C680D" w:rsidRPr="004577D3">
              <w:rPr>
                <w:sz w:val="20"/>
                <w:szCs w:val="20"/>
              </w:rPr>
              <w:t xml:space="preserve"> </w:t>
            </w:r>
            <w:r w:rsidRPr="004577D3">
              <w:rPr>
                <w:sz w:val="20"/>
                <w:szCs w:val="20"/>
              </w:rPr>
              <w:t>цену</w:t>
            </w:r>
            <w:r w:rsidR="006C680D" w:rsidRPr="004577D3">
              <w:rPr>
                <w:sz w:val="20"/>
                <w:szCs w:val="20"/>
              </w:rPr>
              <w:t xml:space="preserve"> </w:t>
            </w:r>
            <w:r w:rsidRPr="004577D3">
              <w:rPr>
                <w:sz w:val="20"/>
                <w:szCs w:val="20"/>
              </w:rPr>
              <w:t>сразу.</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On-demand</w:t>
            </w:r>
            <w:r w:rsidR="006C680D" w:rsidRPr="004577D3">
              <w:rPr>
                <w:sz w:val="20"/>
                <w:szCs w:val="20"/>
              </w:rPr>
              <w:t xml:space="preserve"> </w:t>
            </w:r>
            <w:r w:rsidRPr="004577D3">
              <w:rPr>
                <w:sz w:val="20"/>
                <w:szCs w:val="20"/>
              </w:rPr>
              <w:t>страхование</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шопинга.</w:t>
            </w:r>
            <w:r w:rsidR="006C680D" w:rsidRPr="004577D3">
              <w:rPr>
                <w:sz w:val="20"/>
                <w:szCs w:val="20"/>
              </w:rPr>
              <w:t xml:space="preserve"> </w:t>
            </w:r>
            <w:r w:rsidRPr="004577D3">
              <w:rPr>
                <w:sz w:val="20"/>
                <w:szCs w:val="20"/>
              </w:rPr>
              <w:t>Интеграция</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маркетплейсами</w:t>
            </w:r>
            <w:r w:rsidR="006C680D" w:rsidRPr="004577D3">
              <w:rPr>
                <w:sz w:val="20"/>
                <w:szCs w:val="20"/>
              </w:rPr>
              <w:t xml:space="preserve"> </w:t>
            </w:r>
            <w:r w:rsidRPr="004577D3">
              <w:rPr>
                <w:sz w:val="20"/>
                <w:szCs w:val="20"/>
              </w:rPr>
              <w:t>(Ozon,</w:t>
            </w:r>
            <w:r w:rsidR="006C680D" w:rsidRPr="004577D3">
              <w:rPr>
                <w:sz w:val="20"/>
                <w:szCs w:val="20"/>
              </w:rPr>
              <w:t xml:space="preserve"> </w:t>
            </w:r>
            <w:r w:rsidRPr="004577D3">
              <w:rPr>
                <w:sz w:val="20"/>
                <w:szCs w:val="20"/>
              </w:rPr>
              <w:t>Wildberries).</w:t>
            </w:r>
            <w:r w:rsidR="006C680D" w:rsidRPr="004577D3">
              <w:rPr>
                <w:sz w:val="20"/>
                <w:szCs w:val="20"/>
              </w:rPr>
              <w:t xml:space="preserve"> </w:t>
            </w:r>
            <w:r w:rsidRPr="004577D3">
              <w:rPr>
                <w:sz w:val="20"/>
                <w:szCs w:val="20"/>
              </w:rPr>
              <w:t>При</w:t>
            </w:r>
            <w:r w:rsidR="006C680D" w:rsidRPr="004577D3">
              <w:rPr>
                <w:sz w:val="20"/>
                <w:szCs w:val="20"/>
              </w:rPr>
              <w:t xml:space="preserve"> </w:t>
            </w:r>
            <w:r w:rsidRPr="004577D3">
              <w:rPr>
                <w:sz w:val="20"/>
                <w:szCs w:val="20"/>
              </w:rPr>
              <w:t>покупке</w:t>
            </w:r>
            <w:r w:rsidR="006C680D" w:rsidRPr="004577D3">
              <w:rPr>
                <w:sz w:val="20"/>
                <w:szCs w:val="20"/>
              </w:rPr>
              <w:t xml:space="preserve"> </w:t>
            </w:r>
            <w:r w:rsidRPr="004577D3">
              <w:rPr>
                <w:sz w:val="20"/>
                <w:szCs w:val="20"/>
              </w:rPr>
              <w:t>смартфона</w:t>
            </w:r>
            <w:r w:rsidR="006C680D" w:rsidRPr="004577D3">
              <w:rPr>
                <w:sz w:val="20"/>
                <w:szCs w:val="20"/>
              </w:rPr>
              <w:t xml:space="preserve"> </w:t>
            </w:r>
            <w:r w:rsidRPr="004577D3">
              <w:rPr>
                <w:sz w:val="20"/>
                <w:szCs w:val="20"/>
              </w:rPr>
              <w:t>за</w:t>
            </w:r>
            <w:r w:rsidR="006C680D" w:rsidRPr="004577D3">
              <w:rPr>
                <w:sz w:val="20"/>
                <w:szCs w:val="20"/>
              </w:rPr>
              <w:t xml:space="preserve"> </w:t>
            </w:r>
            <w:r w:rsidRPr="004577D3">
              <w:rPr>
                <w:sz w:val="20"/>
                <w:szCs w:val="20"/>
              </w:rPr>
              <w:t>50</w:t>
            </w:r>
            <w:r w:rsidR="006C680D" w:rsidRPr="004577D3">
              <w:rPr>
                <w:sz w:val="20"/>
                <w:szCs w:val="20"/>
              </w:rPr>
              <w:t xml:space="preserve"> </w:t>
            </w:r>
            <w:r w:rsidRPr="004577D3">
              <w:rPr>
                <w:sz w:val="20"/>
                <w:szCs w:val="20"/>
              </w:rPr>
              <w:t>тыс.</w:t>
            </w:r>
            <w:r w:rsidR="006C680D" w:rsidRPr="004577D3">
              <w:rPr>
                <w:sz w:val="20"/>
                <w:szCs w:val="20"/>
              </w:rPr>
              <w:t xml:space="preserve"> </w:t>
            </w:r>
            <w:r w:rsidRPr="004577D3">
              <w:rPr>
                <w:sz w:val="20"/>
                <w:szCs w:val="20"/>
              </w:rPr>
              <w:t>руб.</w:t>
            </w:r>
            <w:r w:rsidR="006C680D" w:rsidRPr="004577D3">
              <w:rPr>
                <w:sz w:val="20"/>
                <w:szCs w:val="20"/>
              </w:rPr>
              <w:t xml:space="preserve"> </w:t>
            </w:r>
            <w:r w:rsidRPr="004577D3">
              <w:rPr>
                <w:sz w:val="20"/>
                <w:szCs w:val="20"/>
              </w:rPr>
              <w:t>предлагается:</w:t>
            </w:r>
            <w:r w:rsidR="006C680D" w:rsidRPr="004577D3">
              <w:rPr>
                <w:sz w:val="20"/>
                <w:szCs w:val="20"/>
              </w:rPr>
              <w:t xml:space="preserve"> </w:t>
            </w:r>
            <w:r w:rsidRPr="004577D3">
              <w:rPr>
                <w:sz w:val="20"/>
                <w:szCs w:val="20"/>
              </w:rPr>
              <w:t>«Добавить</w:t>
            </w:r>
            <w:r w:rsidR="006C680D" w:rsidRPr="004577D3">
              <w:rPr>
                <w:sz w:val="20"/>
                <w:szCs w:val="20"/>
              </w:rPr>
              <w:t xml:space="preserve"> </w:t>
            </w:r>
            <w:r w:rsidRPr="004577D3">
              <w:rPr>
                <w:sz w:val="20"/>
                <w:szCs w:val="20"/>
              </w:rPr>
              <w:t>страховку</w:t>
            </w:r>
            <w:r w:rsidR="006C680D" w:rsidRPr="004577D3">
              <w:rPr>
                <w:sz w:val="20"/>
                <w:szCs w:val="20"/>
              </w:rPr>
              <w:t xml:space="preserve"> </w:t>
            </w:r>
            <w:r w:rsidRPr="004577D3">
              <w:rPr>
                <w:sz w:val="20"/>
                <w:szCs w:val="20"/>
              </w:rPr>
              <w:t>от</w:t>
            </w:r>
            <w:r w:rsidR="006C680D" w:rsidRPr="004577D3">
              <w:rPr>
                <w:sz w:val="20"/>
                <w:szCs w:val="20"/>
              </w:rPr>
              <w:t xml:space="preserve"> </w:t>
            </w:r>
            <w:r w:rsidRPr="004577D3">
              <w:rPr>
                <w:sz w:val="20"/>
                <w:szCs w:val="20"/>
              </w:rPr>
              <w:t>поломки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кражи</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год</w:t>
            </w:r>
            <w:r w:rsidR="006C680D" w:rsidRPr="004577D3">
              <w:rPr>
                <w:sz w:val="20"/>
                <w:szCs w:val="20"/>
              </w:rPr>
              <w:t xml:space="preserve"> </w:t>
            </w:r>
            <w:r w:rsidRPr="004577D3">
              <w:rPr>
                <w:sz w:val="20"/>
                <w:szCs w:val="20"/>
              </w:rPr>
              <w:t>за</w:t>
            </w:r>
            <w:r w:rsidR="006C680D" w:rsidRPr="004577D3">
              <w:rPr>
                <w:sz w:val="20"/>
                <w:szCs w:val="20"/>
              </w:rPr>
              <w:t xml:space="preserve"> </w:t>
            </w:r>
            <w:r w:rsidRPr="004577D3">
              <w:rPr>
                <w:sz w:val="20"/>
                <w:szCs w:val="20"/>
              </w:rPr>
              <w:t>1500</w:t>
            </w:r>
            <w:r w:rsidR="006C680D" w:rsidRPr="004577D3">
              <w:rPr>
                <w:sz w:val="20"/>
                <w:szCs w:val="20"/>
              </w:rPr>
              <w:t xml:space="preserve"> </w:t>
            </w:r>
            <w:r w:rsidRPr="004577D3">
              <w:rPr>
                <w:sz w:val="20"/>
                <w:szCs w:val="20"/>
              </w:rPr>
              <w:t>руб.»</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один</w:t>
            </w:r>
            <w:r w:rsidR="006C680D" w:rsidRPr="004577D3">
              <w:rPr>
                <w:sz w:val="20"/>
                <w:szCs w:val="20"/>
              </w:rPr>
              <w:t xml:space="preserve"> </w:t>
            </w:r>
            <w:r w:rsidRPr="004577D3">
              <w:rPr>
                <w:sz w:val="20"/>
                <w:szCs w:val="20"/>
              </w:rPr>
              <w:t>клик.</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Партнерство</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блогерами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экспертами.</w:t>
            </w:r>
            <w:r w:rsidR="006C680D" w:rsidRPr="004577D3">
              <w:rPr>
                <w:sz w:val="20"/>
                <w:szCs w:val="20"/>
              </w:rPr>
              <w:t xml:space="preserve"> </w:t>
            </w:r>
            <w:r w:rsidRPr="004577D3">
              <w:rPr>
                <w:sz w:val="20"/>
                <w:szCs w:val="20"/>
              </w:rPr>
              <w:t>Не</w:t>
            </w:r>
            <w:r w:rsidR="006C680D" w:rsidRPr="004577D3">
              <w:rPr>
                <w:sz w:val="20"/>
                <w:szCs w:val="20"/>
              </w:rPr>
              <w:t xml:space="preserve"> </w:t>
            </w:r>
            <w:r w:rsidRPr="004577D3">
              <w:rPr>
                <w:sz w:val="20"/>
                <w:szCs w:val="20"/>
              </w:rPr>
              <w:t>просто</w:t>
            </w:r>
            <w:r w:rsidR="006C680D" w:rsidRPr="004577D3">
              <w:rPr>
                <w:sz w:val="20"/>
                <w:szCs w:val="20"/>
              </w:rPr>
              <w:t xml:space="preserve"> </w:t>
            </w:r>
            <w:r w:rsidRPr="004577D3">
              <w:rPr>
                <w:sz w:val="20"/>
                <w:szCs w:val="20"/>
              </w:rPr>
              <w:t>реклама,</w:t>
            </w:r>
            <w:r w:rsidR="006C680D" w:rsidRPr="004577D3">
              <w:rPr>
                <w:sz w:val="20"/>
                <w:szCs w:val="20"/>
              </w:rPr>
              <w:t xml:space="preserve"> </w:t>
            </w:r>
            <w:r w:rsidRPr="004577D3">
              <w:rPr>
                <w:sz w:val="20"/>
                <w:szCs w:val="20"/>
              </w:rPr>
              <w:t>а</w:t>
            </w:r>
            <w:r w:rsidR="006C680D" w:rsidRPr="004577D3">
              <w:rPr>
                <w:sz w:val="20"/>
                <w:szCs w:val="20"/>
              </w:rPr>
              <w:t xml:space="preserve"> </w:t>
            </w:r>
            <w:r w:rsidRPr="004577D3">
              <w:rPr>
                <w:sz w:val="20"/>
                <w:szCs w:val="20"/>
              </w:rPr>
              <w:t>создание</w:t>
            </w:r>
            <w:r w:rsidR="006C680D" w:rsidRPr="004577D3">
              <w:rPr>
                <w:sz w:val="20"/>
                <w:szCs w:val="20"/>
              </w:rPr>
              <w:t xml:space="preserve"> </w:t>
            </w:r>
            <w:r w:rsidRPr="004577D3">
              <w:rPr>
                <w:sz w:val="20"/>
                <w:szCs w:val="20"/>
              </w:rPr>
              <w:t>совместного</w:t>
            </w:r>
            <w:r w:rsidR="006C680D" w:rsidRPr="004577D3">
              <w:rPr>
                <w:sz w:val="20"/>
                <w:szCs w:val="20"/>
              </w:rPr>
              <w:t xml:space="preserve"> </w:t>
            </w:r>
            <w:r w:rsidRPr="004577D3">
              <w:rPr>
                <w:sz w:val="20"/>
                <w:szCs w:val="20"/>
              </w:rPr>
              <w:t>продукта.</w:t>
            </w:r>
            <w:r w:rsidR="006C680D" w:rsidRPr="004577D3">
              <w:rPr>
                <w:sz w:val="20"/>
                <w:szCs w:val="20"/>
              </w:rPr>
              <w:t xml:space="preserve"> </w:t>
            </w:r>
            <w:r w:rsidRPr="004577D3">
              <w:rPr>
                <w:sz w:val="20"/>
                <w:szCs w:val="20"/>
              </w:rPr>
              <w:t>Например,</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популярным</w:t>
            </w:r>
            <w:r w:rsidR="006C680D" w:rsidRPr="004577D3">
              <w:rPr>
                <w:sz w:val="20"/>
                <w:szCs w:val="20"/>
              </w:rPr>
              <w:t xml:space="preserve"> </w:t>
            </w:r>
            <w:r w:rsidRPr="004577D3">
              <w:rPr>
                <w:sz w:val="20"/>
                <w:szCs w:val="20"/>
              </w:rPr>
              <w:t>юристом</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полис</w:t>
            </w:r>
            <w:r w:rsidR="006C680D" w:rsidRPr="004577D3">
              <w:rPr>
                <w:sz w:val="20"/>
                <w:szCs w:val="20"/>
              </w:rPr>
              <w:t xml:space="preserve"> </w:t>
            </w:r>
            <w:r w:rsidR="000C1FE6" w:rsidRPr="004577D3">
              <w:rPr>
                <w:sz w:val="20"/>
                <w:szCs w:val="20"/>
              </w:rPr>
              <w:t>«</w:t>
            </w:r>
            <w:r w:rsidRPr="004577D3">
              <w:rPr>
                <w:sz w:val="20"/>
                <w:szCs w:val="20"/>
              </w:rPr>
              <w:t>Юридическая</w:t>
            </w:r>
            <w:r w:rsidR="006C680D" w:rsidRPr="004577D3">
              <w:rPr>
                <w:sz w:val="20"/>
                <w:szCs w:val="20"/>
              </w:rPr>
              <w:t xml:space="preserve"> </w:t>
            </w:r>
            <w:r w:rsidRPr="004577D3">
              <w:rPr>
                <w:sz w:val="20"/>
                <w:szCs w:val="20"/>
              </w:rPr>
              <w:t>защита</w:t>
            </w:r>
            <w:r w:rsidR="006C680D" w:rsidRPr="004577D3">
              <w:rPr>
                <w:sz w:val="20"/>
                <w:szCs w:val="20"/>
              </w:rPr>
              <w:t xml:space="preserve"> </w:t>
            </w:r>
            <w:r w:rsidRPr="004577D3">
              <w:rPr>
                <w:sz w:val="20"/>
                <w:szCs w:val="20"/>
              </w:rPr>
              <w:t>автомобилиста</w:t>
            </w:r>
            <w:r w:rsidR="000C1FE6" w:rsidRPr="004577D3">
              <w:rPr>
                <w:sz w:val="20"/>
                <w:szCs w:val="20"/>
              </w:rPr>
              <w:t>»</w:t>
            </w:r>
            <w:r w:rsidRPr="004577D3">
              <w:rPr>
                <w:sz w:val="20"/>
                <w:szCs w:val="20"/>
              </w:rPr>
              <w:t>,</w:t>
            </w:r>
            <w:r w:rsidR="006C680D" w:rsidRPr="004577D3">
              <w:rPr>
                <w:sz w:val="20"/>
                <w:szCs w:val="20"/>
              </w:rPr>
              <w:t xml:space="preserve"> </w:t>
            </w:r>
            <w:r w:rsidRPr="004577D3">
              <w:rPr>
                <w:sz w:val="20"/>
                <w:szCs w:val="20"/>
              </w:rPr>
              <w:t>где</w:t>
            </w:r>
            <w:r w:rsidR="006C680D" w:rsidRPr="004577D3">
              <w:rPr>
                <w:sz w:val="20"/>
                <w:szCs w:val="20"/>
              </w:rPr>
              <w:t xml:space="preserve"> </w:t>
            </w:r>
            <w:r w:rsidRPr="004577D3">
              <w:rPr>
                <w:sz w:val="20"/>
                <w:szCs w:val="20"/>
              </w:rPr>
              <w:t>часть</w:t>
            </w:r>
            <w:r w:rsidR="006C680D" w:rsidRPr="004577D3">
              <w:rPr>
                <w:sz w:val="20"/>
                <w:szCs w:val="20"/>
              </w:rPr>
              <w:t xml:space="preserve"> </w:t>
            </w:r>
            <w:r w:rsidRPr="004577D3">
              <w:rPr>
                <w:sz w:val="20"/>
                <w:szCs w:val="20"/>
              </w:rPr>
              <w:t>контента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консультаций</w:t>
            </w:r>
            <w:r w:rsidR="006C680D" w:rsidRPr="004577D3">
              <w:rPr>
                <w:sz w:val="20"/>
                <w:szCs w:val="20"/>
              </w:rPr>
              <w:t xml:space="preserve"> </w:t>
            </w:r>
            <w:r w:rsidRPr="004577D3">
              <w:rPr>
                <w:sz w:val="20"/>
                <w:szCs w:val="20"/>
              </w:rPr>
              <w:t>от</w:t>
            </w:r>
            <w:r w:rsidR="006C680D" w:rsidRPr="004577D3">
              <w:rPr>
                <w:sz w:val="20"/>
                <w:szCs w:val="20"/>
              </w:rPr>
              <w:t xml:space="preserve"> </w:t>
            </w:r>
            <w:r w:rsidRPr="004577D3">
              <w:rPr>
                <w:sz w:val="20"/>
                <w:szCs w:val="20"/>
              </w:rPr>
              <w:t>него.</w:t>
            </w:r>
          </w:p>
          <w:p w:rsidR="00B91B4B" w:rsidRPr="004577D3" w:rsidRDefault="00B91B4B" w:rsidP="000C1FE6">
            <w:pPr>
              <w:tabs>
                <w:tab w:val="left" w:pos="993"/>
              </w:tabs>
              <w:ind w:firstLine="0"/>
              <w:rPr>
                <w:sz w:val="20"/>
                <w:szCs w:val="20"/>
              </w:rPr>
            </w:pPr>
            <w:r w:rsidRPr="004577D3">
              <w:rPr>
                <w:sz w:val="20"/>
                <w:szCs w:val="20"/>
              </w:rPr>
              <w:t>4.</w:t>
            </w:r>
            <w:r w:rsidR="006C680D" w:rsidRPr="004577D3">
              <w:rPr>
                <w:sz w:val="20"/>
                <w:szCs w:val="20"/>
              </w:rPr>
              <w:t xml:space="preserve"> </w:t>
            </w:r>
            <w:r w:rsidRPr="004577D3">
              <w:rPr>
                <w:sz w:val="20"/>
                <w:szCs w:val="20"/>
              </w:rPr>
              <w:t>КАСКО/ОСАГО:</w:t>
            </w:r>
            <w:r w:rsidR="006C680D" w:rsidRPr="004577D3">
              <w:rPr>
                <w:sz w:val="20"/>
                <w:szCs w:val="20"/>
              </w:rPr>
              <w:t xml:space="preserve"> </w:t>
            </w:r>
            <w:r w:rsidRPr="004577D3">
              <w:rPr>
                <w:sz w:val="20"/>
                <w:szCs w:val="20"/>
              </w:rPr>
              <w:t>Ежемесячная</w:t>
            </w:r>
            <w:r w:rsidR="006C680D" w:rsidRPr="004577D3">
              <w:rPr>
                <w:sz w:val="20"/>
                <w:szCs w:val="20"/>
              </w:rPr>
              <w:t xml:space="preserve"> </w:t>
            </w:r>
            <w:r w:rsidRPr="004577D3">
              <w:rPr>
                <w:sz w:val="20"/>
                <w:szCs w:val="20"/>
              </w:rPr>
              <w:t>диагностика</w:t>
            </w:r>
            <w:r w:rsidR="006C680D" w:rsidRPr="004577D3">
              <w:rPr>
                <w:sz w:val="20"/>
                <w:szCs w:val="20"/>
              </w:rPr>
              <w:t xml:space="preserve"> </w:t>
            </w:r>
            <w:r w:rsidRPr="004577D3">
              <w:rPr>
                <w:sz w:val="20"/>
                <w:szCs w:val="20"/>
              </w:rPr>
              <w:t>авто</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OBD-II-датчику</w:t>
            </w:r>
            <w:r w:rsidR="006C680D" w:rsidRPr="004577D3">
              <w:rPr>
                <w:sz w:val="20"/>
                <w:szCs w:val="20"/>
              </w:rPr>
              <w:t xml:space="preserve"> </w:t>
            </w:r>
            <w:r w:rsidRPr="004577D3">
              <w:rPr>
                <w:sz w:val="20"/>
                <w:szCs w:val="20"/>
              </w:rPr>
              <w:t>или</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фотоотчет</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приложении.</w:t>
            </w:r>
            <w:r w:rsidR="006C680D" w:rsidRPr="004577D3">
              <w:rPr>
                <w:sz w:val="20"/>
                <w:szCs w:val="20"/>
              </w:rPr>
              <w:t xml:space="preserve"> </w:t>
            </w:r>
            <w:r w:rsidRPr="004577D3">
              <w:rPr>
                <w:sz w:val="20"/>
                <w:szCs w:val="20"/>
              </w:rPr>
              <w:t>Уведомления:</w:t>
            </w:r>
            <w:r w:rsidR="006C680D" w:rsidRPr="004577D3">
              <w:rPr>
                <w:sz w:val="20"/>
                <w:szCs w:val="20"/>
              </w:rPr>
              <w:t xml:space="preserve"> </w:t>
            </w:r>
            <w:r w:rsidRPr="004577D3">
              <w:rPr>
                <w:sz w:val="20"/>
                <w:szCs w:val="20"/>
              </w:rPr>
              <w:t>«Износ</w:t>
            </w:r>
            <w:r w:rsidR="006C680D" w:rsidRPr="004577D3">
              <w:rPr>
                <w:sz w:val="20"/>
                <w:szCs w:val="20"/>
              </w:rPr>
              <w:t xml:space="preserve"> </w:t>
            </w:r>
            <w:r w:rsidRPr="004577D3">
              <w:rPr>
                <w:sz w:val="20"/>
                <w:szCs w:val="20"/>
              </w:rPr>
              <w:t>тормозных</w:t>
            </w:r>
            <w:r w:rsidR="006C680D" w:rsidRPr="004577D3">
              <w:rPr>
                <w:sz w:val="20"/>
                <w:szCs w:val="20"/>
              </w:rPr>
              <w:t xml:space="preserve"> </w:t>
            </w:r>
            <w:r w:rsidRPr="004577D3">
              <w:rPr>
                <w:sz w:val="20"/>
                <w:szCs w:val="20"/>
              </w:rPr>
              <w:t>колодок</w:t>
            </w:r>
            <w:r w:rsidR="006C680D" w:rsidRPr="004577D3">
              <w:rPr>
                <w:sz w:val="20"/>
                <w:szCs w:val="20"/>
              </w:rPr>
              <w:t xml:space="preserve"> </w:t>
            </w:r>
            <w:r w:rsidRPr="004577D3">
              <w:rPr>
                <w:sz w:val="20"/>
                <w:szCs w:val="20"/>
              </w:rPr>
              <w:t>80%,</w:t>
            </w:r>
            <w:r w:rsidR="006C680D" w:rsidRPr="004577D3">
              <w:rPr>
                <w:sz w:val="20"/>
                <w:szCs w:val="20"/>
              </w:rPr>
              <w:t xml:space="preserve"> </w:t>
            </w:r>
            <w:r w:rsidRPr="004577D3">
              <w:rPr>
                <w:sz w:val="20"/>
                <w:szCs w:val="20"/>
              </w:rPr>
              <w:t>советуем</w:t>
            </w:r>
            <w:r w:rsidR="006C680D" w:rsidRPr="004577D3">
              <w:rPr>
                <w:sz w:val="20"/>
                <w:szCs w:val="20"/>
              </w:rPr>
              <w:t xml:space="preserve"> </w:t>
            </w:r>
            <w:r w:rsidRPr="004577D3">
              <w:rPr>
                <w:sz w:val="20"/>
                <w:szCs w:val="20"/>
              </w:rPr>
              <w:t>заменить».</w:t>
            </w:r>
          </w:p>
        </w:tc>
      </w:tr>
    </w:tbl>
    <w:p w:rsidR="00230516" w:rsidRPr="00D337FA" w:rsidRDefault="00230516" w:rsidP="00847021">
      <w:pPr>
        <w:ind w:firstLine="142"/>
        <w:rPr>
          <w:i/>
          <w:szCs w:val="24"/>
        </w:rPr>
      </w:pPr>
    </w:p>
    <w:p w:rsidR="006E4221" w:rsidRPr="00D337FA" w:rsidRDefault="006E4221" w:rsidP="006E4221">
      <w:pPr>
        <w:ind w:firstLine="142"/>
        <w:rPr>
          <w:szCs w:val="24"/>
        </w:rPr>
        <w:sectPr w:rsidR="006E4221"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230516" w:rsidRPr="00D337FA" w:rsidRDefault="00B91B4B" w:rsidP="00B91B4B">
      <w:pPr>
        <w:ind w:firstLine="142"/>
        <w:rPr>
          <w:szCs w:val="24"/>
        </w:rPr>
      </w:pPr>
      <w:r w:rsidRPr="00D337FA">
        <w:rPr>
          <w:szCs w:val="24"/>
        </w:rPr>
        <w:lastRenderedPageBreak/>
        <w:t>Имея</w:t>
      </w:r>
      <w:r w:rsidR="006C680D" w:rsidRPr="00D337FA">
        <w:rPr>
          <w:szCs w:val="24"/>
        </w:rPr>
        <w:t xml:space="preserve"> </w:t>
      </w:r>
      <w:r w:rsidRPr="00D337FA">
        <w:rPr>
          <w:szCs w:val="24"/>
        </w:rPr>
        <w:t>научно</w:t>
      </w:r>
      <w:r w:rsidR="006C680D" w:rsidRPr="00D337FA">
        <w:rPr>
          <w:szCs w:val="24"/>
        </w:rPr>
        <w:t xml:space="preserve"> </w:t>
      </w:r>
      <w:r w:rsidRPr="00D337FA">
        <w:rPr>
          <w:szCs w:val="24"/>
        </w:rPr>
        <w:t>обоснованные</w:t>
      </w:r>
      <w:r w:rsidR="006C680D" w:rsidRPr="00D337FA">
        <w:rPr>
          <w:szCs w:val="24"/>
        </w:rPr>
        <w:t xml:space="preserve"> </w:t>
      </w:r>
      <w:r w:rsidRPr="00D337FA">
        <w:rPr>
          <w:szCs w:val="24"/>
        </w:rPr>
        <w:t>характеристики</w:t>
      </w:r>
      <w:r w:rsidR="006C680D" w:rsidRPr="00D337FA">
        <w:rPr>
          <w:szCs w:val="24"/>
        </w:rPr>
        <w:t xml:space="preserve"> </w:t>
      </w:r>
      <w:r w:rsidRPr="00D337FA">
        <w:rPr>
          <w:szCs w:val="24"/>
        </w:rPr>
        <w:t>альтернативных</w:t>
      </w:r>
      <w:r w:rsidR="006C680D" w:rsidRPr="00D337FA">
        <w:rPr>
          <w:szCs w:val="24"/>
        </w:rPr>
        <w:t xml:space="preserve"> </w:t>
      </w:r>
      <w:r w:rsidR="000C1FE6" w:rsidRPr="00D337FA">
        <w:rPr>
          <w:szCs w:val="24"/>
        </w:rPr>
        <w:t>стратегий</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процессом</w:t>
      </w:r>
      <w:r w:rsidR="006C680D" w:rsidRPr="00D337FA">
        <w:rPr>
          <w:szCs w:val="24"/>
        </w:rPr>
        <w:t xml:space="preserve"> </w:t>
      </w:r>
      <w:r w:rsidRPr="00D337FA">
        <w:rPr>
          <w:szCs w:val="24"/>
        </w:rPr>
        <w:t>формирования</w:t>
      </w:r>
      <w:r w:rsidR="006C680D" w:rsidRPr="00D337FA">
        <w:rPr>
          <w:szCs w:val="24"/>
        </w:rPr>
        <w:t xml:space="preserve"> </w:t>
      </w:r>
      <w:r w:rsidRPr="00D337FA">
        <w:rPr>
          <w:szCs w:val="24"/>
        </w:rPr>
        <w:t>конкурентных</w:t>
      </w:r>
      <w:r w:rsidR="006C680D" w:rsidRPr="00D337FA">
        <w:rPr>
          <w:szCs w:val="24"/>
        </w:rPr>
        <w:t xml:space="preserve"> </w:t>
      </w:r>
      <w:r w:rsidRPr="00D337FA">
        <w:rPr>
          <w:szCs w:val="24"/>
        </w:rPr>
        <w:t>преимуществ</w:t>
      </w:r>
      <w:r w:rsidR="006C680D" w:rsidRPr="00D337FA">
        <w:rPr>
          <w:szCs w:val="24"/>
        </w:rPr>
        <w:t xml:space="preserve"> </w:t>
      </w:r>
      <w:r w:rsidRPr="00D337FA">
        <w:rPr>
          <w:szCs w:val="24"/>
        </w:rPr>
        <w:t>на</w:t>
      </w:r>
      <w:r w:rsidR="006C680D" w:rsidRPr="00D337FA">
        <w:rPr>
          <w:szCs w:val="24"/>
        </w:rPr>
        <w:t xml:space="preserve"> </w:t>
      </w:r>
      <w:r w:rsidRPr="00D337FA">
        <w:rPr>
          <w:szCs w:val="24"/>
        </w:rPr>
        <w:t>рынке</w:t>
      </w:r>
      <w:r w:rsidR="006C680D" w:rsidRPr="00D337FA">
        <w:rPr>
          <w:szCs w:val="24"/>
        </w:rPr>
        <w:t xml:space="preserve"> </w:t>
      </w:r>
      <w:r w:rsidRPr="00D337FA">
        <w:rPr>
          <w:szCs w:val="24"/>
        </w:rPr>
        <w:t>страховых</w:t>
      </w:r>
      <w:r w:rsidR="006C680D" w:rsidRPr="00D337FA">
        <w:rPr>
          <w:szCs w:val="24"/>
        </w:rPr>
        <w:t xml:space="preserve"> </w:t>
      </w:r>
      <w:r w:rsidRPr="00D337FA">
        <w:rPr>
          <w:szCs w:val="24"/>
        </w:rPr>
        <w:lastRenderedPageBreak/>
        <w:t>услуг,</w:t>
      </w:r>
      <w:r w:rsidR="006C680D" w:rsidRPr="00D337FA">
        <w:rPr>
          <w:szCs w:val="24"/>
        </w:rPr>
        <w:t xml:space="preserve"> </w:t>
      </w:r>
      <w:r w:rsidRPr="00D337FA">
        <w:rPr>
          <w:szCs w:val="24"/>
        </w:rPr>
        <w:t>компания</w:t>
      </w:r>
      <w:r w:rsidR="006C680D" w:rsidRPr="00D337FA">
        <w:rPr>
          <w:szCs w:val="24"/>
        </w:rPr>
        <w:t xml:space="preserve"> </w:t>
      </w:r>
      <w:r w:rsidRPr="00D337FA">
        <w:rPr>
          <w:szCs w:val="24"/>
        </w:rPr>
        <w:t>может</w:t>
      </w:r>
      <w:r w:rsidR="006C680D" w:rsidRPr="00D337FA">
        <w:rPr>
          <w:szCs w:val="24"/>
        </w:rPr>
        <w:t xml:space="preserve"> </w:t>
      </w:r>
      <w:r w:rsidRPr="00D337FA">
        <w:rPr>
          <w:szCs w:val="24"/>
        </w:rPr>
        <w:t>использовать</w:t>
      </w:r>
      <w:r w:rsidR="006C680D" w:rsidRPr="00D337FA">
        <w:rPr>
          <w:szCs w:val="24"/>
        </w:rPr>
        <w:t xml:space="preserve"> </w:t>
      </w:r>
      <w:r w:rsidRPr="00D337FA">
        <w:rPr>
          <w:szCs w:val="24"/>
        </w:rPr>
        <w:t>одну</w:t>
      </w:r>
      <w:r w:rsidR="006C680D" w:rsidRPr="00D337FA">
        <w:rPr>
          <w:szCs w:val="24"/>
        </w:rPr>
        <w:t xml:space="preserve"> </w:t>
      </w:r>
      <w:r w:rsidRPr="00D337FA">
        <w:rPr>
          <w:szCs w:val="24"/>
        </w:rPr>
        <w:t>или</w:t>
      </w:r>
      <w:r w:rsidR="006C680D" w:rsidRPr="00D337FA">
        <w:rPr>
          <w:szCs w:val="24"/>
        </w:rPr>
        <w:t xml:space="preserve"> </w:t>
      </w:r>
      <w:r w:rsidR="000C1FE6" w:rsidRPr="00D337FA">
        <w:rPr>
          <w:szCs w:val="24"/>
        </w:rPr>
        <w:t>несколько</w:t>
      </w:r>
      <w:r w:rsidR="006C680D" w:rsidRPr="00D337FA">
        <w:rPr>
          <w:szCs w:val="24"/>
        </w:rPr>
        <w:t xml:space="preserve"> </w:t>
      </w:r>
      <w:r w:rsidRPr="00D337FA">
        <w:rPr>
          <w:szCs w:val="24"/>
        </w:rPr>
        <w:t>комбинаций</w:t>
      </w:r>
      <w:r w:rsidR="006C680D" w:rsidRPr="00D337FA">
        <w:rPr>
          <w:szCs w:val="24"/>
        </w:rPr>
        <w:t xml:space="preserve"> </w:t>
      </w:r>
      <w:r w:rsidRPr="00D337FA">
        <w:rPr>
          <w:szCs w:val="24"/>
        </w:rPr>
        <w:t>стратегий</w:t>
      </w:r>
      <w:r w:rsidR="006C680D" w:rsidRPr="00D337FA">
        <w:rPr>
          <w:szCs w:val="24"/>
        </w:rPr>
        <w:t xml:space="preserve"> </w:t>
      </w:r>
      <w:r w:rsidRPr="00D337FA">
        <w:rPr>
          <w:szCs w:val="24"/>
        </w:rPr>
        <w:t>(табл.</w:t>
      </w:r>
      <w:r w:rsidR="006C680D" w:rsidRPr="00D337FA">
        <w:rPr>
          <w:szCs w:val="24"/>
        </w:rPr>
        <w:t xml:space="preserve"> </w:t>
      </w:r>
      <w:r w:rsidR="000C1FE6" w:rsidRPr="00D337FA">
        <w:rPr>
          <w:szCs w:val="24"/>
        </w:rPr>
        <w:t>4</w:t>
      </w:r>
      <w:r w:rsidRPr="00D337FA">
        <w:rPr>
          <w:szCs w:val="24"/>
        </w:rPr>
        <w:t>)</w:t>
      </w:r>
      <w:r w:rsidR="006C680D" w:rsidRPr="00D337FA">
        <w:rPr>
          <w:szCs w:val="24"/>
        </w:rPr>
        <w:t xml:space="preserve"> </w:t>
      </w:r>
      <w:r w:rsidRPr="00D337FA">
        <w:rPr>
          <w:szCs w:val="24"/>
        </w:rPr>
        <w:t>[1</w:t>
      </w:r>
      <w:r w:rsidR="00231534" w:rsidRPr="00D337FA">
        <w:rPr>
          <w:szCs w:val="24"/>
        </w:rPr>
        <w:t>1</w:t>
      </w:r>
      <w:r w:rsidRPr="00D337FA">
        <w:rPr>
          <w:szCs w:val="24"/>
        </w:rPr>
        <w:t>,</w:t>
      </w:r>
      <w:r w:rsidR="006C680D" w:rsidRPr="00D337FA">
        <w:rPr>
          <w:szCs w:val="24"/>
        </w:rPr>
        <w:t xml:space="preserve"> </w:t>
      </w:r>
      <w:r w:rsidRPr="00D337FA">
        <w:rPr>
          <w:szCs w:val="24"/>
        </w:rPr>
        <w:t>1</w:t>
      </w:r>
      <w:r w:rsidR="00231534" w:rsidRPr="00D337FA">
        <w:rPr>
          <w:szCs w:val="24"/>
        </w:rPr>
        <w:t>5</w:t>
      </w:r>
      <w:r w:rsidRPr="00D337FA">
        <w:rPr>
          <w:szCs w:val="24"/>
        </w:rPr>
        <w:t>,</w:t>
      </w:r>
      <w:r w:rsidR="006C680D" w:rsidRPr="00D337FA">
        <w:rPr>
          <w:szCs w:val="24"/>
        </w:rPr>
        <w:t xml:space="preserve"> </w:t>
      </w:r>
      <w:r w:rsidRPr="00D337FA">
        <w:rPr>
          <w:szCs w:val="24"/>
        </w:rPr>
        <w:t>1</w:t>
      </w:r>
      <w:r w:rsidR="00231534" w:rsidRPr="00D337FA">
        <w:rPr>
          <w:szCs w:val="24"/>
        </w:rPr>
        <w:t>8</w:t>
      </w:r>
      <w:r w:rsidR="008A5AE7">
        <w:rPr>
          <w:szCs w:val="24"/>
        </w:rPr>
        <w:t>,</w:t>
      </w:r>
      <w:r w:rsidR="006C680D" w:rsidRPr="00D337FA">
        <w:rPr>
          <w:szCs w:val="24"/>
        </w:rPr>
        <w:t xml:space="preserve"> </w:t>
      </w:r>
      <w:r w:rsidRPr="00D337FA">
        <w:rPr>
          <w:szCs w:val="24"/>
        </w:rPr>
        <w:t>2</w:t>
      </w:r>
      <w:r w:rsidR="00231534" w:rsidRPr="00D337FA">
        <w:rPr>
          <w:szCs w:val="24"/>
        </w:rPr>
        <w:t>2</w:t>
      </w:r>
      <w:r w:rsidRPr="00D337FA">
        <w:rPr>
          <w:szCs w:val="24"/>
        </w:rPr>
        <w:t>,</w:t>
      </w:r>
      <w:r w:rsidR="006C680D" w:rsidRPr="00D337FA">
        <w:rPr>
          <w:szCs w:val="24"/>
        </w:rPr>
        <w:t xml:space="preserve"> </w:t>
      </w:r>
      <w:r w:rsidRPr="00D337FA">
        <w:rPr>
          <w:szCs w:val="24"/>
        </w:rPr>
        <w:t>2</w:t>
      </w:r>
      <w:r w:rsidR="00231534" w:rsidRPr="00D337FA">
        <w:rPr>
          <w:szCs w:val="24"/>
        </w:rPr>
        <w:t>5</w:t>
      </w:r>
      <w:r w:rsidRPr="00D337FA">
        <w:rPr>
          <w:szCs w:val="24"/>
        </w:rPr>
        <w:t>].</w:t>
      </w:r>
    </w:p>
    <w:p w:rsidR="006E4221" w:rsidRPr="00D337FA" w:rsidRDefault="006E4221" w:rsidP="00847021">
      <w:pPr>
        <w:ind w:firstLine="142"/>
        <w:rPr>
          <w:i/>
          <w:szCs w:val="24"/>
        </w:rPr>
        <w:sectPr w:rsidR="006E4221" w:rsidRPr="00D337FA" w:rsidSect="006E4221">
          <w:footnotePr>
            <w:numRestart w:val="eachPage"/>
          </w:footnotePr>
          <w:type w:val="continuous"/>
          <w:pgSz w:w="11907" w:h="16840" w:code="9"/>
          <w:pgMar w:top="1418" w:right="1134" w:bottom="1418" w:left="1134" w:header="1021" w:footer="1021" w:gutter="0"/>
          <w:cols w:num="2" w:space="708"/>
          <w:docGrid w:linePitch="360"/>
        </w:sectPr>
      </w:pPr>
    </w:p>
    <w:p w:rsidR="00230516" w:rsidRPr="00D337FA" w:rsidRDefault="00230516" w:rsidP="00847021">
      <w:pPr>
        <w:ind w:firstLine="142"/>
        <w:rPr>
          <w:i/>
          <w:szCs w:val="24"/>
        </w:rPr>
      </w:pPr>
    </w:p>
    <w:p w:rsidR="006E4221" w:rsidRPr="00D337FA" w:rsidRDefault="006E4221" w:rsidP="00A86B27">
      <w:pPr>
        <w:ind w:firstLine="142"/>
        <w:jc w:val="right"/>
        <w:rPr>
          <w:rFonts w:ascii="Arial" w:hAnsi="Arial" w:cs="Arial"/>
          <w:i/>
          <w:sz w:val="22"/>
          <w:szCs w:val="22"/>
        </w:rPr>
      </w:pPr>
      <w:r w:rsidRPr="00D337FA">
        <w:rPr>
          <w:rFonts w:ascii="Arial" w:hAnsi="Arial" w:cs="Arial"/>
          <w:i/>
          <w:sz w:val="22"/>
          <w:szCs w:val="22"/>
        </w:rPr>
        <w:t>Таблица</w:t>
      </w:r>
      <w:r w:rsidR="006C680D" w:rsidRPr="00D337FA">
        <w:rPr>
          <w:rFonts w:ascii="Arial" w:hAnsi="Arial" w:cs="Arial"/>
          <w:i/>
          <w:sz w:val="22"/>
          <w:szCs w:val="22"/>
        </w:rPr>
        <w:t xml:space="preserve"> </w:t>
      </w:r>
      <w:r w:rsidRPr="00D337FA">
        <w:rPr>
          <w:rFonts w:ascii="Arial" w:hAnsi="Arial" w:cs="Arial"/>
          <w:i/>
          <w:sz w:val="22"/>
          <w:szCs w:val="22"/>
        </w:rPr>
        <w:t>4</w:t>
      </w:r>
    </w:p>
    <w:p w:rsidR="00230516" w:rsidRPr="00D337FA" w:rsidRDefault="00B91B4B" w:rsidP="00A86B27">
      <w:pPr>
        <w:ind w:firstLine="142"/>
        <w:jc w:val="center"/>
        <w:rPr>
          <w:rFonts w:ascii="Arial" w:hAnsi="Arial" w:cs="Arial"/>
          <w:i/>
          <w:sz w:val="22"/>
          <w:szCs w:val="22"/>
        </w:rPr>
      </w:pPr>
      <w:r w:rsidRPr="00D337FA">
        <w:rPr>
          <w:rFonts w:ascii="Arial" w:hAnsi="Arial" w:cs="Arial"/>
          <w:i/>
          <w:sz w:val="22"/>
          <w:szCs w:val="22"/>
        </w:rPr>
        <w:t>Стратегии</w:t>
      </w:r>
      <w:r w:rsidR="006C680D" w:rsidRPr="00D337FA">
        <w:rPr>
          <w:rFonts w:ascii="Arial" w:hAnsi="Arial" w:cs="Arial"/>
          <w:i/>
          <w:sz w:val="22"/>
          <w:szCs w:val="22"/>
        </w:rPr>
        <w:t xml:space="preserve"> </w:t>
      </w:r>
      <w:r w:rsidRPr="00D337FA">
        <w:rPr>
          <w:rFonts w:ascii="Arial" w:hAnsi="Arial" w:cs="Arial"/>
          <w:i/>
          <w:sz w:val="22"/>
          <w:szCs w:val="22"/>
        </w:rPr>
        <w:t>формирования</w:t>
      </w:r>
      <w:r w:rsidR="006C680D" w:rsidRPr="00D337FA">
        <w:rPr>
          <w:rFonts w:ascii="Arial" w:hAnsi="Arial" w:cs="Arial"/>
          <w:i/>
          <w:sz w:val="22"/>
          <w:szCs w:val="22"/>
        </w:rPr>
        <w:t xml:space="preserve"> </w:t>
      </w:r>
      <w:r w:rsidRPr="00D337FA">
        <w:rPr>
          <w:rFonts w:ascii="Arial" w:hAnsi="Arial" w:cs="Arial"/>
          <w:i/>
          <w:sz w:val="22"/>
          <w:szCs w:val="22"/>
        </w:rPr>
        <w:t>конкурентных</w:t>
      </w:r>
      <w:r w:rsidR="006C680D" w:rsidRPr="00D337FA">
        <w:rPr>
          <w:rFonts w:ascii="Arial" w:hAnsi="Arial" w:cs="Arial"/>
          <w:i/>
          <w:sz w:val="22"/>
          <w:szCs w:val="22"/>
        </w:rPr>
        <w:t xml:space="preserve"> </w:t>
      </w:r>
      <w:r w:rsidRPr="00D337FA">
        <w:rPr>
          <w:rFonts w:ascii="Arial" w:hAnsi="Arial" w:cs="Arial"/>
          <w:i/>
          <w:sz w:val="22"/>
          <w:szCs w:val="22"/>
        </w:rPr>
        <w:t>преимуществ</w:t>
      </w:r>
      <w:r w:rsidR="006C680D" w:rsidRPr="00D337FA">
        <w:rPr>
          <w:rFonts w:ascii="Arial" w:hAnsi="Arial" w:cs="Arial"/>
          <w:i/>
          <w:sz w:val="22"/>
          <w:szCs w:val="22"/>
        </w:rPr>
        <w:t xml:space="preserve"> </w:t>
      </w:r>
      <w:r w:rsidRPr="00D337FA">
        <w:rPr>
          <w:rFonts w:ascii="Arial" w:hAnsi="Arial" w:cs="Arial"/>
          <w:i/>
          <w:sz w:val="22"/>
          <w:szCs w:val="22"/>
        </w:rPr>
        <w:t>на</w:t>
      </w:r>
      <w:r w:rsidR="006C680D" w:rsidRPr="00D337FA">
        <w:rPr>
          <w:rFonts w:ascii="Arial" w:hAnsi="Arial" w:cs="Arial"/>
          <w:i/>
          <w:sz w:val="22"/>
          <w:szCs w:val="22"/>
        </w:rPr>
        <w:t xml:space="preserve"> </w:t>
      </w:r>
      <w:r w:rsidRPr="00D337FA">
        <w:rPr>
          <w:rFonts w:ascii="Arial" w:hAnsi="Arial" w:cs="Arial"/>
          <w:i/>
          <w:sz w:val="22"/>
          <w:szCs w:val="22"/>
        </w:rPr>
        <w:t>рынке</w:t>
      </w:r>
      <w:r w:rsidR="006C680D" w:rsidRPr="00D337FA">
        <w:rPr>
          <w:rFonts w:ascii="Arial" w:hAnsi="Arial" w:cs="Arial"/>
          <w:i/>
          <w:sz w:val="22"/>
          <w:szCs w:val="22"/>
        </w:rPr>
        <w:t xml:space="preserve"> </w:t>
      </w:r>
      <w:r w:rsidRPr="00D337FA">
        <w:rPr>
          <w:rFonts w:ascii="Arial" w:hAnsi="Arial" w:cs="Arial"/>
          <w:i/>
          <w:sz w:val="22"/>
          <w:szCs w:val="22"/>
        </w:rPr>
        <w:t>страховых</w:t>
      </w:r>
      <w:r w:rsidR="006C680D" w:rsidRPr="00D337FA">
        <w:rPr>
          <w:rFonts w:ascii="Arial" w:hAnsi="Arial" w:cs="Arial"/>
          <w:i/>
          <w:sz w:val="22"/>
          <w:szCs w:val="22"/>
        </w:rPr>
        <w:t xml:space="preserve"> </w:t>
      </w:r>
      <w:r w:rsidRPr="00D337FA">
        <w:rPr>
          <w:rFonts w:ascii="Arial" w:hAnsi="Arial" w:cs="Arial"/>
          <w:i/>
          <w:sz w:val="22"/>
          <w:szCs w:val="22"/>
        </w:rPr>
        <w:t>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3730"/>
        <w:gridCol w:w="3820"/>
      </w:tblGrid>
      <w:tr w:rsidR="00D337FA" w:rsidRPr="004577D3" w:rsidTr="000C1FE6">
        <w:tc>
          <w:tcPr>
            <w:tcW w:w="2190" w:type="dxa"/>
          </w:tcPr>
          <w:p w:rsidR="00B91B4B" w:rsidRPr="004577D3" w:rsidRDefault="00B91B4B" w:rsidP="000C1FE6">
            <w:pPr>
              <w:tabs>
                <w:tab w:val="left" w:pos="993"/>
              </w:tabs>
              <w:ind w:firstLine="0"/>
              <w:jc w:val="center"/>
              <w:rPr>
                <w:sz w:val="20"/>
                <w:szCs w:val="20"/>
              </w:rPr>
            </w:pPr>
            <w:r w:rsidRPr="004577D3">
              <w:rPr>
                <w:sz w:val="20"/>
                <w:szCs w:val="20"/>
              </w:rPr>
              <w:t>Тип</w:t>
            </w:r>
            <w:r w:rsidR="006C680D" w:rsidRPr="004577D3">
              <w:rPr>
                <w:sz w:val="20"/>
                <w:szCs w:val="20"/>
              </w:rPr>
              <w:t xml:space="preserve"> </w:t>
            </w:r>
            <w:r w:rsidRPr="004577D3">
              <w:rPr>
                <w:sz w:val="20"/>
                <w:szCs w:val="20"/>
              </w:rPr>
              <w:t>конкурентного</w:t>
            </w:r>
            <w:r w:rsidR="006C680D" w:rsidRPr="004577D3">
              <w:rPr>
                <w:sz w:val="20"/>
                <w:szCs w:val="20"/>
              </w:rPr>
              <w:t xml:space="preserve"> </w:t>
            </w:r>
            <w:r w:rsidRPr="004577D3">
              <w:rPr>
                <w:sz w:val="20"/>
                <w:szCs w:val="20"/>
              </w:rPr>
              <w:t>позиционирования</w:t>
            </w:r>
          </w:p>
        </w:tc>
        <w:tc>
          <w:tcPr>
            <w:tcW w:w="3730" w:type="dxa"/>
          </w:tcPr>
          <w:p w:rsidR="00B91B4B" w:rsidRPr="004577D3" w:rsidRDefault="00B91B4B" w:rsidP="000C1FE6">
            <w:pPr>
              <w:tabs>
                <w:tab w:val="left" w:pos="993"/>
              </w:tabs>
              <w:ind w:firstLine="0"/>
              <w:jc w:val="center"/>
              <w:rPr>
                <w:sz w:val="20"/>
                <w:szCs w:val="20"/>
              </w:rPr>
            </w:pPr>
            <w:r w:rsidRPr="004577D3">
              <w:rPr>
                <w:sz w:val="20"/>
                <w:szCs w:val="20"/>
              </w:rPr>
              <w:t>Особенности</w:t>
            </w:r>
            <w:r w:rsidR="006C680D" w:rsidRPr="004577D3">
              <w:rPr>
                <w:sz w:val="20"/>
                <w:szCs w:val="20"/>
              </w:rPr>
              <w:t xml:space="preserve"> </w:t>
            </w:r>
            <w:r w:rsidRPr="004577D3">
              <w:rPr>
                <w:sz w:val="20"/>
                <w:szCs w:val="20"/>
              </w:rPr>
              <w:t>формирования</w:t>
            </w:r>
            <w:r w:rsidR="006C680D" w:rsidRPr="004577D3">
              <w:rPr>
                <w:sz w:val="20"/>
                <w:szCs w:val="20"/>
              </w:rPr>
              <w:t xml:space="preserve"> </w:t>
            </w:r>
            <w:r w:rsidRPr="004577D3">
              <w:rPr>
                <w:sz w:val="20"/>
                <w:szCs w:val="20"/>
              </w:rPr>
              <w:t>конкурентных</w:t>
            </w:r>
            <w:r w:rsidR="006C680D" w:rsidRPr="004577D3">
              <w:rPr>
                <w:sz w:val="20"/>
                <w:szCs w:val="20"/>
              </w:rPr>
              <w:t xml:space="preserve"> </w:t>
            </w:r>
            <w:r w:rsidRPr="004577D3">
              <w:rPr>
                <w:sz w:val="20"/>
                <w:szCs w:val="20"/>
              </w:rPr>
              <w:t>преимуществ</w:t>
            </w:r>
          </w:p>
        </w:tc>
        <w:tc>
          <w:tcPr>
            <w:tcW w:w="3820" w:type="dxa"/>
          </w:tcPr>
          <w:p w:rsidR="00B91B4B" w:rsidRPr="004577D3" w:rsidRDefault="00B91B4B" w:rsidP="000C1FE6">
            <w:pPr>
              <w:tabs>
                <w:tab w:val="left" w:pos="993"/>
              </w:tabs>
              <w:ind w:firstLine="0"/>
              <w:jc w:val="center"/>
              <w:rPr>
                <w:sz w:val="20"/>
                <w:szCs w:val="20"/>
              </w:rPr>
            </w:pPr>
            <w:r w:rsidRPr="004577D3">
              <w:rPr>
                <w:sz w:val="20"/>
                <w:szCs w:val="20"/>
              </w:rPr>
              <w:t>Пример</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рынке</w:t>
            </w:r>
          </w:p>
        </w:tc>
      </w:tr>
      <w:tr w:rsidR="00D337FA" w:rsidRPr="004577D3" w:rsidTr="000C1FE6">
        <w:tc>
          <w:tcPr>
            <w:tcW w:w="2190" w:type="dxa"/>
          </w:tcPr>
          <w:p w:rsidR="00B91B4B" w:rsidRPr="004577D3" w:rsidRDefault="00B91B4B" w:rsidP="000C1FE6">
            <w:pPr>
              <w:tabs>
                <w:tab w:val="left" w:pos="993"/>
              </w:tabs>
              <w:ind w:firstLine="0"/>
              <w:rPr>
                <w:sz w:val="20"/>
                <w:szCs w:val="20"/>
              </w:rPr>
            </w:pPr>
            <w:r w:rsidRPr="004577D3">
              <w:rPr>
                <w:sz w:val="20"/>
                <w:szCs w:val="20"/>
              </w:rPr>
              <w:t>Лидерство</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издержкам</w:t>
            </w:r>
            <w:r w:rsidR="006C680D" w:rsidRPr="004577D3">
              <w:rPr>
                <w:sz w:val="20"/>
                <w:szCs w:val="20"/>
              </w:rPr>
              <w:t xml:space="preserve"> </w:t>
            </w:r>
            <w:r w:rsidRPr="004577D3">
              <w:rPr>
                <w:sz w:val="20"/>
                <w:szCs w:val="20"/>
              </w:rPr>
              <w:t>(цена</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эффективность)</w:t>
            </w:r>
          </w:p>
        </w:tc>
        <w:tc>
          <w:tcPr>
            <w:tcW w:w="3730" w:type="dxa"/>
          </w:tcPr>
          <w:p w:rsidR="00B91B4B" w:rsidRPr="004577D3" w:rsidRDefault="00B91B4B" w:rsidP="000C1FE6">
            <w:pPr>
              <w:tabs>
                <w:tab w:val="left" w:pos="993"/>
              </w:tabs>
              <w:ind w:firstLine="0"/>
              <w:rPr>
                <w:sz w:val="20"/>
                <w:szCs w:val="20"/>
              </w:rPr>
            </w:pPr>
            <w:r w:rsidRPr="004577D3">
              <w:rPr>
                <w:sz w:val="20"/>
                <w:szCs w:val="20"/>
              </w:rPr>
              <w:t>Минимальные</w:t>
            </w:r>
            <w:r w:rsidR="006C680D" w:rsidRPr="004577D3">
              <w:rPr>
                <w:sz w:val="20"/>
                <w:szCs w:val="20"/>
              </w:rPr>
              <w:t xml:space="preserve"> </w:t>
            </w:r>
            <w:r w:rsidRPr="004577D3">
              <w:rPr>
                <w:sz w:val="20"/>
                <w:szCs w:val="20"/>
              </w:rPr>
              <w:t>операционные</w:t>
            </w:r>
            <w:r w:rsidR="006C680D" w:rsidRPr="004577D3">
              <w:rPr>
                <w:sz w:val="20"/>
                <w:szCs w:val="20"/>
              </w:rPr>
              <w:t xml:space="preserve"> </w:t>
            </w:r>
            <w:r w:rsidRPr="004577D3">
              <w:rPr>
                <w:sz w:val="20"/>
                <w:szCs w:val="20"/>
              </w:rPr>
              <w:t>расходы</w:t>
            </w:r>
            <w:r w:rsidR="006C680D" w:rsidRPr="004577D3">
              <w:rPr>
                <w:sz w:val="20"/>
                <w:szCs w:val="20"/>
              </w:rPr>
              <w:t xml:space="preserve"> </w:t>
            </w:r>
            <w:r w:rsidRPr="004577D3">
              <w:rPr>
                <w:sz w:val="20"/>
                <w:szCs w:val="20"/>
              </w:rPr>
              <w:t>за</w:t>
            </w:r>
            <w:r w:rsidR="006C680D" w:rsidRPr="004577D3">
              <w:rPr>
                <w:sz w:val="20"/>
                <w:szCs w:val="20"/>
              </w:rPr>
              <w:t xml:space="preserve"> </w:t>
            </w:r>
            <w:r w:rsidRPr="004577D3">
              <w:rPr>
                <w:sz w:val="20"/>
                <w:szCs w:val="20"/>
              </w:rPr>
              <w:t>счет</w:t>
            </w:r>
            <w:r w:rsidR="006C680D" w:rsidRPr="004577D3">
              <w:rPr>
                <w:sz w:val="20"/>
                <w:szCs w:val="20"/>
              </w:rPr>
              <w:t xml:space="preserve"> </w:t>
            </w:r>
            <w:r w:rsidRPr="004577D3">
              <w:rPr>
                <w:sz w:val="20"/>
                <w:szCs w:val="20"/>
              </w:rPr>
              <w:t>автоматизации,</w:t>
            </w:r>
            <w:r w:rsidR="006C680D" w:rsidRPr="004577D3">
              <w:rPr>
                <w:sz w:val="20"/>
                <w:szCs w:val="20"/>
              </w:rPr>
              <w:t xml:space="preserve"> </w:t>
            </w:r>
            <w:r w:rsidRPr="004577D3">
              <w:rPr>
                <w:sz w:val="20"/>
                <w:szCs w:val="20"/>
              </w:rPr>
              <w:t>упрощенных</w:t>
            </w:r>
            <w:r w:rsidR="006C680D" w:rsidRPr="004577D3">
              <w:rPr>
                <w:sz w:val="20"/>
                <w:szCs w:val="20"/>
              </w:rPr>
              <w:t xml:space="preserve"> </w:t>
            </w:r>
            <w:r w:rsidRPr="004577D3">
              <w:rPr>
                <w:sz w:val="20"/>
                <w:szCs w:val="20"/>
              </w:rPr>
              <w:t>продуктов,</w:t>
            </w:r>
            <w:r w:rsidR="006C680D" w:rsidRPr="004577D3">
              <w:rPr>
                <w:sz w:val="20"/>
                <w:szCs w:val="20"/>
              </w:rPr>
              <w:t xml:space="preserve"> </w:t>
            </w:r>
            <w:r w:rsidRPr="004577D3">
              <w:rPr>
                <w:sz w:val="20"/>
                <w:szCs w:val="20"/>
              </w:rPr>
              <w:t>прямых</w:t>
            </w:r>
            <w:r w:rsidR="006C680D" w:rsidRPr="004577D3">
              <w:rPr>
                <w:sz w:val="20"/>
                <w:szCs w:val="20"/>
              </w:rPr>
              <w:t xml:space="preserve"> </w:t>
            </w:r>
            <w:r w:rsidRPr="004577D3">
              <w:rPr>
                <w:sz w:val="20"/>
                <w:szCs w:val="20"/>
              </w:rPr>
              <w:t>online-продаж.</w:t>
            </w:r>
            <w:r w:rsidR="006C680D" w:rsidRPr="004577D3">
              <w:rPr>
                <w:sz w:val="20"/>
                <w:szCs w:val="20"/>
              </w:rPr>
              <w:t xml:space="preserve"> </w:t>
            </w:r>
            <w:r w:rsidRPr="004577D3">
              <w:rPr>
                <w:sz w:val="20"/>
                <w:szCs w:val="20"/>
              </w:rPr>
              <w:t>Низкие</w:t>
            </w:r>
            <w:r w:rsidR="006C680D" w:rsidRPr="004577D3">
              <w:rPr>
                <w:sz w:val="20"/>
                <w:szCs w:val="20"/>
              </w:rPr>
              <w:t xml:space="preserve"> </w:t>
            </w:r>
            <w:r w:rsidRPr="004577D3">
              <w:rPr>
                <w:sz w:val="20"/>
                <w:szCs w:val="20"/>
              </w:rPr>
              <w:t>цены</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массового</w:t>
            </w:r>
            <w:r w:rsidR="006C680D" w:rsidRPr="004577D3">
              <w:rPr>
                <w:sz w:val="20"/>
                <w:szCs w:val="20"/>
              </w:rPr>
              <w:t xml:space="preserve"> </w:t>
            </w:r>
            <w:r w:rsidRPr="004577D3">
              <w:rPr>
                <w:sz w:val="20"/>
                <w:szCs w:val="20"/>
              </w:rPr>
              <w:t>рынка.</w:t>
            </w:r>
          </w:p>
        </w:tc>
        <w:tc>
          <w:tcPr>
            <w:tcW w:w="3820" w:type="dxa"/>
          </w:tcPr>
          <w:p w:rsidR="00B91B4B" w:rsidRPr="004577D3" w:rsidRDefault="000C1FE6" w:rsidP="000C1FE6">
            <w:pPr>
              <w:tabs>
                <w:tab w:val="left" w:pos="993"/>
              </w:tabs>
              <w:ind w:firstLine="0"/>
              <w:rPr>
                <w:sz w:val="20"/>
                <w:szCs w:val="20"/>
              </w:rPr>
            </w:pPr>
            <w:r w:rsidRPr="004577D3">
              <w:rPr>
                <w:sz w:val="20"/>
                <w:szCs w:val="20"/>
              </w:rPr>
              <w:t>«Тинькофф</w:t>
            </w:r>
            <w:r w:rsidR="006C680D" w:rsidRPr="004577D3">
              <w:rPr>
                <w:sz w:val="20"/>
                <w:szCs w:val="20"/>
              </w:rPr>
              <w:t xml:space="preserve"> </w:t>
            </w:r>
            <w:r w:rsidRPr="004577D3">
              <w:rPr>
                <w:sz w:val="20"/>
                <w:szCs w:val="20"/>
              </w:rPr>
              <w:t>Страхование»:</w:t>
            </w:r>
            <w:r w:rsidR="006C680D" w:rsidRPr="004577D3">
              <w:rPr>
                <w:sz w:val="20"/>
                <w:szCs w:val="20"/>
              </w:rPr>
              <w:t xml:space="preserve"> </w:t>
            </w:r>
            <w:r w:rsidR="00B91B4B" w:rsidRPr="004577D3">
              <w:rPr>
                <w:sz w:val="20"/>
                <w:szCs w:val="20"/>
              </w:rPr>
              <w:t>«простое</w:t>
            </w:r>
            <w:r w:rsidR="006C680D" w:rsidRPr="004577D3">
              <w:rPr>
                <w:sz w:val="20"/>
                <w:szCs w:val="20"/>
              </w:rPr>
              <w:t xml:space="preserve"> </w:t>
            </w:r>
            <w:r w:rsidR="00B91B4B" w:rsidRPr="004577D3">
              <w:rPr>
                <w:sz w:val="20"/>
                <w:szCs w:val="20"/>
              </w:rPr>
              <w:t>и</w:t>
            </w:r>
            <w:r w:rsidR="006C680D" w:rsidRPr="004577D3">
              <w:rPr>
                <w:sz w:val="20"/>
                <w:szCs w:val="20"/>
              </w:rPr>
              <w:t xml:space="preserve"> </w:t>
            </w:r>
            <w:r w:rsidR="00B91B4B" w:rsidRPr="004577D3">
              <w:rPr>
                <w:sz w:val="20"/>
                <w:szCs w:val="20"/>
              </w:rPr>
              <w:t>выгодное</w:t>
            </w:r>
            <w:r w:rsidR="006C680D" w:rsidRPr="004577D3">
              <w:rPr>
                <w:sz w:val="20"/>
                <w:szCs w:val="20"/>
              </w:rPr>
              <w:t xml:space="preserve"> </w:t>
            </w:r>
            <w:r w:rsidR="00B91B4B" w:rsidRPr="004577D3">
              <w:rPr>
                <w:sz w:val="20"/>
                <w:szCs w:val="20"/>
              </w:rPr>
              <w:t>страхование</w:t>
            </w:r>
            <w:r w:rsidR="006C680D" w:rsidRPr="004577D3">
              <w:rPr>
                <w:sz w:val="20"/>
                <w:szCs w:val="20"/>
              </w:rPr>
              <w:t xml:space="preserve"> </w:t>
            </w:r>
            <w:r w:rsidR="00B91B4B" w:rsidRPr="004577D3">
              <w:rPr>
                <w:sz w:val="20"/>
                <w:szCs w:val="20"/>
              </w:rPr>
              <w:t>онлайн</w:t>
            </w:r>
            <w:r w:rsidR="006C680D" w:rsidRPr="004577D3">
              <w:rPr>
                <w:sz w:val="20"/>
                <w:szCs w:val="20"/>
              </w:rPr>
              <w:t xml:space="preserve"> </w:t>
            </w:r>
            <w:r w:rsidR="00B91B4B" w:rsidRPr="004577D3">
              <w:rPr>
                <w:sz w:val="20"/>
                <w:szCs w:val="20"/>
              </w:rPr>
              <w:t>за</w:t>
            </w:r>
            <w:r w:rsidR="006C680D" w:rsidRPr="004577D3">
              <w:rPr>
                <w:sz w:val="20"/>
                <w:szCs w:val="20"/>
              </w:rPr>
              <w:t xml:space="preserve"> </w:t>
            </w:r>
            <w:r w:rsidR="00B91B4B" w:rsidRPr="004577D3">
              <w:rPr>
                <w:sz w:val="20"/>
                <w:szCs w:val="20"/>
              </w:rPr>
              <w:t>5</w:t>
            </w:r>
            <w:r w:rsidR="006C680D" w:rsidRPr="004577D3">
              <w:rPr>
                <w:sz w:val="20"/>
                <w:szCs w:val="20"/>
              </w:rPr>
              <w:t xml:space="preserve"> </w:t>
            </w:r>
            <w:r w:rsidR="00B91B4B" w:rsidRPr="004577D3">
              <w:rPr>
                <w:sz w:val="20"/>
                <w:szCs w:val="20"/>
              </w:rPr>
              <w:t>минут».</w:t>
            </w:r>
          </w:p>
        </w:tc>
      </w:tr>
      <w:tr w:rsidR="00D337FA" w:rsidRPr="004577D3" w:rsidTr="000C1FE6">
        <w:tc>
          <w:tcPr>
            <w:tcW w:w="2190" w:type="dxa"/>
          </w:tcPr>
          <w:p w:rsidR="00B91B4B" w:rsidRPr="004577D3" w:rsidRDefault="00B91B4B" w:rsidP="000C1FE6">
            <w:pPr>
              <w:tabs>
                <w:tab w:val="left" w:pos="993"/>
              </w:tabs>
              <w:ind w:firstLine="0"/>
              <w:rPr>
                <w:sz w:val="20"/>
                <w:szCs w:val="20"/>
              </w:rPr>
            </w:pPr>
            <w:r w:rsidRPr="004577D3">
              <w:rPr>
                <w:sz w:val="20"/>
                <w:szCs w:val="20"/>
              </w:rPr>
              <w:t>Дифференциация</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продукту/сервису)</w:t>
            </w:r>
          </w:p>
        </w:tc>
        <w:tc>
          <w:tcPr>
            <w:tcW w:w="3730" w:type="dxa"/>
          </w:tcPr>
          <w:p w:rsidR="00B91B4B" w:rsidRPr="004577D3" w:rsidRDefault="00B91B4B" w:rsidP="000C1FE6">
            <w:pPr>
              <w:tabs>
                <w:tab w:val="left" w:pos="993"/>
              </w:tabs>
              <w:ind w:firstLine="0"/>
              <w:rPr>
                <w:sz w:val="20"/>
                <w:szCs w:val="20"/>
              </w:rPr>
            </w:pPr>
            <w:r w:rsidRPr="004577D3">
              <w:rPr>
                <w:sz w:val="20"/>
                <w:szCs w:val="20"/>
              </w:rPr>
              <w:t>Уникальные</w:t>
            </w:r>
            <w:r w:rsidR="006C680D" w:rsidRPr="004577D3">
              <w:rPr>
                <w:sz w:val="20"/>
                <w:szCs w:val="20"/>
              </w:rPr>
              <w:t xml:space="preserve"> </w:t>
            </w:r>
            <w:r w:rsidRPr="004577D3">
              <w:rPr>
                <w:sz w:val="20"/>
                <w:szCs w:val="20"/>
              </w:rPr>
              <w:t>покрытия,</w:t>
            </w:r>
            <w:r w:rsidR="006C680D" w:rsidRPr="004577D3">
              <w:rPr>
                <w:sz w:val="20"/>
                <w:szCs w:val="20"/>
              </w:rPr>
              <w:t xml:space="preserve"> </w:t>
            </w:r>
            <w:r w:rsidRPr="004577D3">
              <w:rPr>
                <w:sz w:val="20"/>
                <w:szCs w:val="20"/>
              </w:rPr>
              <w:t>превосходный</w:t>
            </w:r>
            <w:r w:rsidR="006C680D" w:rsidRPr="004577D3">
              <w:rPr>
                <w:sz w:val="20"/>
                <w:szCs w:val="20"/>
              </w:rPr>
              <w:t xml:space="preserve"> </w:t>
            </w:r>
            <w:r w:rsidRPr="004577D3">
              <w:rPr>
                <w:sz w:val="20"/>
                <w:szCs w:val="20"/>
              </w:rPr>
              <w:t>сервис,</w:t>
            </w:r>
            <w:r w:rsidR="006C680D" w:rsidRPr="004577D3">
              <w:rPr>
                <w:sz w:val="20"/>
                <w:szCs w:val="20"/>
              </w:rPr>
              <w:t xml:space="preserve"> </w:t>
            </w:r>
            <w:r w:rsidRPr="004577D3">
              <w:rPr>
                <w:sz w:val="20"/>
                <w:szCs w:val="20"/>
              </w:rPr>
              <w:t>скорость</w:t>
            </w:r>
            <w:r w:rsidR="006C680D" w:rsidRPr="004577D3">
              <w:rPr>
                <w:sz w:val="20"/>
                <w:szCs w:val="20"/>
              </w:rPr>
              <w:t xml:space="preserve"> </w:t>
            </w:r>
            <w:r w:rsidRPr="004577D3">
              <w:rPr>
                <w:sz w:val="20"/>
                <w:szCs w:val="20"/>
              </w:rPr>
              <w:t>урегулирования.</w:t>
            </w:r>
          </w:p>
        </w:tc>
        <w:tc>
          <w:tcPr>
            <w:tcW w:w="3820" w:type="dxa"/>
          </w:tcPr>
          <w:p w:rsidR="00B91B4B" w:rsidRPr="004577D3" w:rsidRDefault="00B91B4B" w:rsidP="000C1FE6">
            <w:pPr>
              <w:tabs>
                <w:tab w:val="left" w:pos="993"/>
              </w:tabs>
              <w:ind w:firstLine="0"/>
              <w:rPr>
                <w:sz w:val="20"/>
                <w:szCs w:val="20"/>
              </w:rPr>
            </w:pPr>
            <w:r w:rsidRPr="004577D3">
              <w:rPr>
                <w:sz w:val="20"/>
                <w:szCs w:val="20"/>
              </w:rPr>
              <w:t>«АльфаСтрахование»</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сегменте</w:t>
            </w:r>
            <w:r w:rsidR="006C680D" w:rsidRPr="004577D3">
              <w:rPr>
                <w:sz w:val="20"/>
                <w:szCs w:val="20"/>
              </w:rPr>
              <w:t xml:space="preserve"> </w:t>
            </w:r>
            <w:r w:rsidRPr="004577D3">
              <w:rPr>
                <w:sz w:val="20"/>
                <w:szCs w:val="20"/>
              </w:rPr>
              <w:t>КАСКО:</w:t>
            </w:r>
            <w:r w:rsidR="006C680D" w:rsidRPr="004577D3">
              <w:rPr>
                <w:sz w:val="20"/>
                <w:szCs w:val="20"/>
              </w:rPr>
              <w:t xml:space="preserve"> </w:t>
            </w:r>
            <w:r w:rsidRPr="004577D3">
              <w:rPr>
                <w:sz w:val="20"/>
                <w:szCs w:val="20"/>
              </w:rPr>
              <w:t>позиционирование</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безупречное</w:t>
            </w:r>
            <w:r w:rsidR="006C680D" w:rsidRPr="004577D3">
              <w:rPr>
                <w:sz w:val="20"/>
                <w:szCs w:val="20"/>
              </w:rPr>
              <w:t xml:space="preserve"> </w:t>
            </w:r>
            <w:r w:rsidRPr="004577D3">
              <w:rPr>
                <w:sz w:val="20"/>
                <w:szCs w:val="20"/>
              </w:rPr>
              <w:t>урегулирование</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лояльность</w:t>
            </w:r>
            <w:r w:rsidR="006C680D" w:rsidRPr="004577D3">
              <w:rPr>
                <w:sz w:val="20"/>
                <w:szCs w:val="20"/>
              </w:rPr>
              <w:t xml:space="preserve"> </w:t>
            </w:r>
            <w:r w:rsidRPr="004577D3">
              <w:rPr>
                <w:sz w:val="20"/>
                <w:szCs w:val="20"/>
              </w:rPr>
              <w:t>к</w:t>
            </w:r>
            <w:r w:rsidR="006C680D" w:rsidRPr="004577D3">
              <w:rPr>
                <w:sz w:val="20"/>
                <w:szCs w:val="20"/>
              </w:rPr>
              <w:t xml:space="preserve"> </w:t>
            </w:r>
            <w:r w:rsidRPr="004577D3">
              <w:rPr>
                <w:sz w:val="20"/>
                <w:szCs w:val="20"/>
              </w:rPr>
              <w:t>клиенту.</w:t>
            </w:r>
          </w:p>
        </w:tc>
      </w:tr>
      <w:tr w:rsidR="00D337FA" w:rsidRPr="004577D3" w:rsidTr="000C1FE6">
        <w:tc>
          <w:tcPr>
            <w:tcW w:w="2190" w:type="dxa"/>
          </w:tcPr>
          <w:p w:rsidR="00B91B4B" w:rsidRPr="004577D3" w:rsidRDefault="00B91B4B" w:rsidP="000C1FE6">
            <w:pPr>
              <w:tabs>
                <w:tab w:val="left" w:pos="993"/>
              </w:tabs>
              <w:ind w:firstLine="0"/>
              <w:rPr>
                <w:sz w:val="20"/>
                <w:szCs w:val="20"/>
              </w:rPr>
            </w:pPr>
            <w:r w:rsidRPr="004577D3">
              <w:rPr>
                <w:sz w:val="20"/>
                <w:szCs w:val="20"/>
              </w:rPr>
              <w:t>Фокус-дифференциация</w:t>
            </w:r>
            <w:r w:rsidR="006C680D" w:rsidRPr="004577D3">
              <w:rPr>
                <w:sz w:val="20"/>
                <w:szCs w:val="20"/>
              </w:rPr>
              <w:t xml:space="preserve"> </w:t>
            </w:r>
            <w:r w:rsidRPr="004577D3">
              <w:rPr>
                <w:sz w:val="20"/>
                <w:szCs w:val="20"/>
              </w:rPr>
              <w:t>(нишевое)</w:t>
            </w:r>
          </w:p>
        </w:tc>
        <w:tc>
          <w:tcPr>
            <w:tcW w:w="3730" w:type="dxa"/>
          </w:tcPr>
          <w:p w:rsidR="00B91B4B" w:rsidRPr="004577D3" w:rsidRDefault="00B91B4B" w:rsidP="000C1FE6">
            <w:pPr>
              <w:tabs>
                <w:tab w:val="left" w:pos="993"/>
              </w:tabs>
              <w:ind w:firstLine="0"/>
              <w:rPr>
                <w:sz w:val="20"/>
                <w:szCs w:val="20"/>
              </w:rPr>
            </w:pPr>
            <w:r w:rsidRPr="004577D3">
              <w:rPr>
                <w:sz w:val="20"/>
                <w:szCs w:val="20"/>
              </w:rPr>
              <w:t>Глубокое</w:t>
            </w:r>
            <w:r w:rsidR="006C680D" w:rsidRPr="004577D3">
              <w:rPr>
                <w:sz w:val="20"/>
                <w:szCs w:val="20"/>
              </w:rPr>
              <w:t xml:space="preserve"> </w:t>
            </w:r>
            <w:r w:rsidRPr="004577D3">
              <w:rPr>
                <w:sz w:val="20"/>
                <w:szCs w:val="20"/>
              </w:rPr>
              <w:t>погружение</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специфичные</w:t>
            </w:r>
            <w:r w:rsidR="006C680D" w:rsidRPr="004577D3">
              <w:rPr>
                <w:sz w:val="20"/>
                <w:szCs w:val="20"/>
              </w:rPr>
              <w:t xml:space="preserve"> </w:t>
            </w:r>
            <w:r w:rsidRPr="004577D3">
              <w:rPr>
                <w:sz w:val="20"/>
                <w:szCs w:val="20"/>
              </w:rPr>
              <w:t>потребности</w:t>
            </w:r>
            <w:r w:rsidR="006C680D" w:rsidRPr="004577D3">
              <w:rPr>
                <w:sz w:val="20"/>
                <w:szCs w:val="20"/>
              </w:rPr>
              <w:t xml:space="preserve"> </w:t>
            </w:r>
            <w:r w:rsidRPr="004577D3">
              <w:rPr>
                <w:sz w:val="20"/>
                <w:szCs w:val="20"/>
              </w:rPr>
              <w:t>узкой</w:t>
            </w:r>
            <w:r w:rsidR="006C680D" w:rsidRPr="004577D3">
              <w:rPr>
                <w:sz w:val="20"/>
                <w:szCs w:val="20"/>
              </w:rPr>
              <w:t xml:space="preserve"> </w:t>
            </w:r>
            <w:r w:rsidRPr="004577D3">
              <w:rPr>
                <w:sz w:val="20"/>
                <w:szCs w:val="20"/>
              </w:rPr>
              <w:t>аудитории.</w:t>
            </w:r>
          </w:p>
        </w:tc>
        <w:tc>
          <w:tcPr>
            <w:tcW w:w="3820" w:type="dxa"/>
          </w:tcPr>
          <w:p w:rsidR="00B91B4B" w:rsidRPr="004577D3" w:rsidRDefault="000C1FE6" w:rsidP="000C1FE6">
            <w:pPr>
              <w:tabs>
                <w:tab w:val="left" w:pos="993"/>
              </w:tabs>
              <w:ind w:firstLine="0"/>
              <w:rPr>
                <w:sz w:val="20"/>
                <w:szCs w:val="20"/>
              </w:rPr>
            </w:pPr>
            <w:r w:rsidRPr="004577D3">
              <w:rPr>
                <w:sz w:val="20"/>
                <w:szCs w:val="20"/>
              </w:rPr>
              <w:t>«МАКС»</w:t>
            </w:r>
            <w:r w:rsidR="006C680D" w:rsidRPr="004577D3">
              <w:rPr>
                <w:sz w:val="20"/>
                <w:szCs w:val="20"/>
              </w:rPr>
              <w:t xml:space="preserve"> </w:t>
            </w:r>
            <w:r w:rsidR="00B91B4B" w:rsidRPr="004577D3">
              <w:rPr>
                <w:sz w:val="20"/>
                <w:szCs w:val="20"/>
              </w:rPr>
              <w:t>(ДМС):</w:t>
            </w:r>
            <w:r w:rsidR="006C680D" w:rsidRPr="004577D3">
              <w:rPr>
                <w:sz w:val="20"/>
                <w:szCs w:val="20"/>
              </w:rPr>
              <w:t xml:space="preserve"> </w:t>
            </w:r>
            <w:r w:rsidR="00B91B4B" w:rsidRPr="004577D3">
              <w:rPr>
                <w:sz w:val="20"/>
                <w:szCs w:val="20"/>
              </w:rPr>
              <w:t>«эксперт</w:t>
            </w:r>
            <w:r w:rsidR="006C680D" w:rsidRPr="004577D3">
              <w:rPr>
                <w:sz w:val="20"/>
                <w:szCs w:val="20"/>
              </w:rPr>
              <w:t xml:space="preserve"> </w:t>
            </w:r>
            <w:r w:rsidR="00B91B4B" w:rsidRPr="004577D3">
              <w:rPr>
                <w:sz w:val="20"/>
                <w:szCs w:val="20"/>
              </w:rPr>
              <w:t>в</w:t>
            </w:r>
            <w:r w:rsidR="006C680D" w:rsidRPr="004577D3">
              <w:rPr>
                <w:sz w:val="20"/>
                <w:szCs w:val="20"/>
              </w:rPr>
              <w:t xml:space="preserve"> </w:t>
            </w:r>
            <w:r w:rsidR="00B91B4B" w:rsidRPr="004577D3">
              <w:rPr>
                <w:sz w:val="20"/>
                <w:szCs w:val="20"/>
              </w:rPr>
              <w:t>корпоративном</w:t>
            </w:r>
            <w:r w:rsidR="006C680D" w:rsidRPr="004577D3">
              <w:rPr>
                <w:sz w:val="20"/>
                <w:szCs w:val="20"/>
              </w:rPr>
              <w:t xml:space="preserve"> </w:t>
            </w:r>
            <w:r w:rsidR="00B91B4B" w:rsidRPr="004577D3">
              <w:rPr>
                <w:sz w:val="20"/>
                <w:szCs w:val="20"/>
              </w:rPr>
              <w:t>ДМС</w:t>
            </w:r>
            <w:r w:rsidR="006C680D" w:rsidRPr="004577D3">
              <w:rPr>
                <w:sz w:val="20"/>
                <w:szCs w:val="20"/>
              </w:rPr>
              <w:t xml:space="preserve"> </w:t>
            </w:r>
            <w:r w:rsidR="00B91B4B" w:rsidRPr="004577D3">
              <w:rPr>
                <w:sz w:val="20"/>
                <w:szCs w:val="20"/>
              </w:rPr>
              <w:t>и</w:t>
            </w:r>
            <w:r w:rsidR="006C680D" w:rsidRPr="004577D3">
              <w:rPr>
                <w:sz w:val="20"/>
                <w:szCs w:val="20"/>
              </w:rPr>
              <w:t xml:space="preserve"> </w:t>
            </w:r>
            <w:r w:rsidR="00B91B4B" w:rsidRPr="004577D3">
              <w:rPr>
                <w:sz w:val="20"/>
                <w:szCs w:val="20"/>
              </w:rPr>
              <w:t>организации</w:t>
            </w:r>
            <w:r w:rsidR="006C680D" w:rsidRPr="004577D3">
              <w:rPr>
                <w:sz w:val="20"/>
                <w:szCs w:val="20"/>
              </w:rPr>
              <w:t xml:space="preserve"> </w:t>
            </w:r>
            <w:r w:rsidR="00B91B4B" w:rsidRPr="004577D3">
              <w:rPr>
                <w:sz w:val="20"/>
                <w:szCs w:val="20"/>
              </w:rPr>
              <w:t>медицинской</w:t>
            </w:r>
            <w:r w:rsidR="006C680D" w:rsidRPr="004577D3">
              <w:rPr>
                <w:sz w:val="20"/>
                <w:szCs w:val="20"/>
              </w:rPr>
              <w:t xml:space="preserve"> </w:t>
            </w:r>
            <w:r w:rsidR="00B91B4B" w:rsidRPr="004577D3">
              <w:rPr>
                <w:sz w:val="20"/>
                <w:szCs w:val="20"/>
              </w:rPr>
              <w:t>помощи»</w:t>
            </w:r>
            <w:r w:rsidR="006C680D" w:rsidRPr="004577D3">
              <w:rPr>
                <w:sz w:val="20"/>
                <w:szCs w:val="20"/>
              </w:rPr>
              <w:t xml:space="preserve"> </w:t>
            </w:r>
            <w:r w:rsidR="00B91B4B" w:rsidRPr="004577D3">
              <w:rPr>
                <w:sz w:val="20"/>
                <w:szCs w:val="20"/>
              </w:rPr>
              <w:t>или</w:t>
            </w:r>
            <w:r w:rsidR="006C680D" w:rsidRPr="004577D3">
              <w:rPr>
                <w:sz w:val="20"/>
                <w:szCs w:val="20"/>
              </w:rPr>
              <w:t xml:space="preserve"> </w:t>
            </w:r>
            <w:r w:rsidR="00B91B4B" w:rsidRPr="004577D3">
              <w:rPr>
                <w:sz w:val="20"/>
                <w:szCs w:val="20"/>
              </w:rPr>
              <w:t>страхование</w:t>
            </w:r>
            <w:r w:rsidR="006C680D" w:rsidRPr="004577D3">
              <w:rPr>
                <w:sz w:val="20"/>
                <w:szCs w:val="20"/>
              </w:rPr>
              <w:t xml:space="preserve"> </w:t>
            </w:r>
            <w:r w:rsidR="00B91B4B" w:rsidRPr="004577D3">
              <w:rPr>
                <w:sz w:val="20"/>
                <w:szCs w:val="20"/>
              </w:rPr>
              <w:t>для</w:t>
            </w:r>
            <w:r w:rsidR="006C680D" w:rsidRPr="004577D3">
              <w:rPr>
                <w:sz w:val="20"/>
                <w:szCs w:val="20"/>
              </w:rPr>
              <w:t xml:space="preserve"> </w:t>
            </w:r>
            <w:r w:rsidR="00B91B4B" w:rsidRPr="004577D3">
              <w:rPr>
                <w:sz w:val="20"/>
                <w:szCs w:val="20"/>
              </w:rPr>
              <w:t>IT-стартапов,</w:t>
            </w:r>
            <w:r w:rsidR="006C680D" w:rsidRPr="004577D3">
              <w:rPr>
                <w:sz w:val="20"/>
                <w:szCs w:val="20"/>
              </w:rPr>
              <w:t xml:space="preserve"> </w:t>
            </w:r>
            <w:r w:rsidR="00B91B4B" w:rsidRPr="004577D3">
              <w:rPr>
                <w:sz w:val="20"/>
                <w:szCs w:val="20"/>
              </w:rPr>
              <w:t>фермеров,</w:t>
            </w:r>
            <w:r w:rsidR="006C680D" w:rsidRPr="004577D3">
              <w:rPr>
                <w:sz w:val="20"/>
                <w:szCs w:val="20"/>
              </w:rPr>
              <w:t xml:space="preserve"> </w:t>
            </w:r>
            <w:r w:rsidR="00B91B4B" w:rsidRPr="004577D3">
              <w:rPr>
                <w:sz w:val="20"/>
                <w:szCs w:val="20"/>
              </w:rPr>
              <w:t>яхтсменов.</w:t>
            </w:r>
          </w:p>
        </w:tc>
      </w:tr>
      <w:tr w:rsidR="00D337FA" w:rsidRPr="004577D3" w:rsidTr="000C1FE6">
        <w:tc>
          <w:tcPr>
            <w:tcW w:w="2190" w:type="dxa"/>
          </w:tcPr>
          <w:p w:rsidR="00B91B4B" w:rsidRPr="004577D3" w:rsidRDefault="00B91B4B" w:rsidP="000C1FE6">
            <w:pPr>
              <w:tabs>
                <w:tab w:val="left" w:pos="993"/>
              </w:tabs>
              <w:ind w:firstLine="0"/>
              <w:rPr>
                <w:sz w:val="20"/>
                <w:szCs w:val="20"/>
              </w:rPr>
            </w:pPr>
            <w:r w:rsidRPr="004577D3">
              <w:rPr>
                <w:sz w:val="20"/>
                <w:szCs w:val="20"/>
              </w:rPr>
              <w:t>Позиционирование</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доверии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надежности</w:t>
            </w:r>
          </w:p>
        </w:tc>
        <w:tc>
          <w:tcPr>
            <w:tcW w:w="3730" w:type="dxa"/>
          </w:tcPr>
          <w:p w:rsidR="00B91B4B" w:rsidRPr="004577D3" w:rsidRDefault="00B91B4B" w:rsidP="000C1FE6">
            <w:pPr>
              <w:tabs>
                <w:tab w:val="left" w:pos="993"/>
              </w:tabs>
              <w:ind w:firstLine="0"/>
              <w:rPr>
                <w:sz w:val="20"/>
                <w:szCs w:val="20"/>
              </w:rPr>
            </w:pPr>
            <w:r w:rsidRPr="004577D3">
              <w:rPr>
                <w:sz w:val="20"/>
                <w:szCs w:val="20"/>
              </w:rPr>
              <w:t>Акцент</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финансовую</w:t>
            </w:r>
            <w:r w:rsidR="006C680D" w:rsidRPr="004577D3">
              <w:rPr>
                <w:sz w:val="20"/>
                <w:szCs w:val="20"/>
              </w:rPr>
              <w:t xml:space="preserve"> </w:t>
            </w:r>
            <w:r w:rsidRPr="004577D3">
              <w:rPr>
                <w:sz w:val="20"/>
                <w:szCs w:val="20"/>
              </w:rPr>
              <w:t>устойчивость,</w:t>
            </w:r>
            <w:r w:rsidR="006C680D" w:rsidRPr="004577D3">
              <w:rPr>
                <w:sz w:val="20"/>
                <w:szCs w:val="20"/>
              </w:rPr>
              <w:t xml:space="preserve"> </w:t>
            </w:r>
            <w:r w:rsidRPr="004577D3">
              <w:rPr>
                <w:sz w:val="20"/>
                <w:szCs w:val="20"/>
              </w:rPr>
              <w:t>историю,</w:t>
            </w:r>
            <w:r w:rsidR="006C680D" w:rsidRPr="004577D3">
              <w:rPr>
                <w:sz w:val="20"/>
                <w:szCs w:val="20"/>
              </w:rPr>
              <w:t xml:space="preserve"> </w:t>
            </w:r>
            <w:r w:rsidRPr="004577D3">
              <w:rPr>
                <w:sz w:val="20"/>
                <w:szCs w:val="20"/>
              </w:rPr>
              <w:t>репутацию,</w:t>
            </w:r>
            <w:r w:rsidR="006C680D" w:rsidRPr="004577D3">
              <w:rPr>
                <w:sz w:val="20"/>
                <w:szCs w:val="20"/>
              </w:rPr>
              <w:t xml:space="preserve"> </w:t>
            </w:r>
            <w:r w:rsidRPr="004577D3">
              <w:rPr>
                <w:sz w:val="20"/>
                <w:szCs w:val="20"/>
              </w:rPr>
              <w:t>размер</w:t>
            </w:r>
            <w:r w:rsidR="006C680D" w:rsidRPr="004577D3">
              <w:rPr>
                <w:sz w:val="20"/>
                <w:szCs w:val="20"/>
              </w:rPr>
              <w:t xml:space="preserve"> </w:t>
            </w:r>
            <w:r w:rsidRPr="004577D3">
              <w:rPr>
                <w:sz w:val="20"/>
                <w:szCs w:val="20"/>
              </w:rPr>
              <w:t>капитала.</w:t>
            </w:r>
            <w:r w:rsidR="006C680D" w:rsidRPr="004577D3">
              <w:rPr>
                <w:sz w:val="20"/>
                <w:szCs w:val="20"/>
              </w:rPr>
              <w:t xml:space="preserve"> </w:t>
            </w:r>
            <w:r w:rsidRPr="004577D3">
              <w:rPr>
                <w:sz w:val="20"/>
                <w:szCs w:val="20"/>
              </w:rPr>
              <w:t>Критично</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крупных</w:t>
            </w:r>
            <w:r w:rsidR="006C680D" w:rsidRPr="004577D3">
              <w:rPr>
                <w:sz w:val="20"/>
                <w:szCs w:val="20"/>
              </w:rPr>
              <w:t xml:space="preserve"> </w:t>
            </w:r>
            <w:r w:rsidRPr="004577D3">
              <w:rPr>
                <w:sz w:val="20"/>
                <w:szCs w:val="20"/>
              </w:rPr>
              <w:t>корпоративных</w:t>
            </w:r>
            <w:r w:rsidR="006C680D" w:rsidRPr="004577D3">
              <w:rPr>
                <w:sz w:val="20"/>
                <w:szCs w:val="20"/>
              </w:rPr>
              <w:t xml:space="preserve"> </w:t>
            </w:r>
            <w:r w:rsidRPr="004577D3">
              <w:rPr>
                <w:sz w:val="20"/>
                <w:szCs w:val="20"/>
              </w:rPr>
              <w:t>рисков</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накопительного</w:t>
            </w:r>
            <w:r w:rsidR="006C680D" w:rsidRPr="004577D3">
              <w:rPr>
                <w:sz w:val="20"/>
                <w:szCs w:val="20"/>
              </w:rPr>
              <w:t xml:space="preserve"> </w:t>
            </w:r>
            <w:r w:rsidRPr="004577D3">
              <w:rPr>
                <w:sz w:val="20"/>
                <w:szCs w:val="20"/>
              </w:rPr>
              <w:t>страхования.</w:t>
            </w:r>
          </w:p>
        </w:tc>
        <w:tc>
          <w:tcPr>
            <w:tcW w:w="3820" w:type="dxa"/>
          </w:tcPr>
          <w:p w:rsidR="00B91B4B" w:rsidRPr="004577D3" w:rsidRDefault="00B91B4B" w:rsidP="000C1FE6">
            <w:pPr>
              <w:ind w:firstLine="0"/>
              <w:rPr>
                <w:sz w:val="20"/>
                <w:szCs w:val="20"/>
              </w:rPr>
            </w:pPr>
            <w:r w:rsidRPr="004577D3">
              <w:rPr>
                <w:sz w:val="20"/>
                <w:szCs w:val="20"/>
              </w:rPr>
              <w:t>«Ингосстрах»,</w:t>
            </w:r>
            <w:r w:rsidR="006C680D" w:rsidRPr="004577D3">
              <w:rPr>
                <w:sz w:val="20"/>
                <w:szCs w:val="20"/>
              </w:rPr>
              <w:t xml:space="preserve"> </w:t>
            </w:r>
            <w:r w:rsidRPr="004577D3">
              <w:rPr>
                <w:sz w:val="20"/>
                <w:szCs w:val="20"/>
              </w:rPr>
              <w:t>СОГАЗ»:</w:t>
            </w:r>
            <w:r w:rsidR="006C680D" w:rsidRPr="004577D3">
              <w:rPr>
                <w:sz w:val="20"/>
                <w:szCs w:val="20"/>
              </w:rPr>
              <w:t xml:space="preserve"> </w:t>
            </w:r>
            <w:r w:rsidRPr="004577D3">
              <w:rPr>
                <w:sz w:val="20"/>
                <w:szCs w:val="20"/>
              </w:rPr>
              <w:t>«Государственная</w:t>
            </w:r>
            <w:r w:rsidR="006C680D" w:rsidRPr="004577D3">
              <w:rPr>
                <w:sz w:val="20"/>
                <w:szCs w:val="20"/>
              </w:rPr>
              <w:t xml:space="preserve"> </w:t>
            </w:r>
            <w:r w:rsidRPr="004577D3">
              <w:rPr>
                <w:sz w:val="20"/>
                <w:szCs w:val="20"/>
              </w:rPr>
              <w:t>надежность»,</w:t>
            </w:r>
            <w:r w:rsidR="006C680D" w:rsidRPr="004577D3">
              <w:rPr>
                <w:sz w:val="20"/>
                <w:szCs w:val="20"/>
              </w:rPr>
              <w:t xml:space="preserve"> </w:t>
            </w:r>
            <w:r w:rsidRPr="004577D3">
              <w:rPr>
                <w:sz w:val="20"/>
                <w:szCs w:val="20"/>
              </w:rPr>
              <w:t>«Опыт</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1947</w:t>
            </w:r>
            <w:r w:rsidR="006C680D" w:rsidRPr="004577D3">
              <w:rPr>
                <w:sz w:val="20"/>
                <w:szCs w:val="20"/>
              </w:rPr>
              <w:t xml:space="preserve"> </w:t>
            </w:r>
            <w:r w:rsidRPr="004577D3">
              <w:rPr>
                <w:sz w:val="20"/>
                <w:szCs w:val="20"/>
              </w:rPr>
              <w:t>года».</w:t>
            </w:r>
          </w:p>
          <w:p w:rsidR="00B91B4B" w:rsidRPr="004577D3" w:rsidRDefault="00B91B4B" w:rsidP="000C1FE6">
            <w:pPr>
              <w:tabs>
                <w:tab w:val="left" w:pos="993"/>
              </w:tabs>
              <w:ind w:firstLine="0"/>
              <w:rPr>
                <w:sz w:val="20"/>
                <w:szCs w:val="20"/>
              </w:rPr>
            </w:pPr>
          </w:p>
          <w:p w:rsidR="00B91B4B" w:rsidRPr="004577D3" w:rsidRDefault="00B91B4B" w:rsidP="000C1FE6">
            <w:pPr>
              <w:tabs>
                <w:tab w:val="left" w:pos="993"/>
              </w:tabs>
              <w:ind w:firstLine="0"/>
              <w:rPr>
                <w:sz w:val="20"/>
                <w:szCs w:val="20"/>
              </w:rPr>
            </w:pPr>
          </w:p>
        </w:tc>
      </w:tr>
      <w:tr w:rsidR="00D337FA" w:rsidRPr="004577D3" w:rsidTr="000C1FE6">
        <w:tc>
          <w:tcPr>
            <w:tcW w:w="2190" w:type="dxa"/>
          </w:tcPr>
          <w:p w:rsidR="00B91B4B" w:rsidRPr="004577D3" w:rsidRDefault="00B91B4B" w:rsidP="000C1FE6">
            <w:pPr>
              <w:tabs>
                <w:tab w:val="left" w:pos="993"/>
              </w:tabs>
              <w:ind w:firstLine="0"/>
              <w:rPr>
                <w:sz w:val="20"/>
                <w:szCs w:val="20"/>
              </w:rPr>
            </w:pPr>
            <w:r w:rsidRPr="004577D3">
              <w:rPr>
                <w:sz w:val="20"/>
                <w:szCs w:val="20"/>
              </w:rPr>
              <w:t>Позиционирование</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удобстве</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экосистемности</w:t>
            </w:r>
          </w:p>
        </w:tc>
        <w:tc>
          <w:tcPr>
            <w:tcW w:w="3730" w:type="dxa"/>
          </w:tcPr>
          <w:p w:rsidR="00B91B4B" w:rsidRPr="004577D3" w:rsidRDefault="00B91B4B" w:rsidP="000C1FE6">
            <w:pPr>
              <w:tabs>
                <w:tab w:val="left" w:pos="993"/>
              </w:tabs>
              <w:ind w:firstLine="0"/>
              <w:rPr>
                <w:sz w:val="20"/>
                <w:szCs w:val="20"/>
              </w:rPr>
            </w:pPr>
            <w:r w:rsidRPr="004577D3">
              <w:rPr>
                <w:sz w:val="20"/>
                <w:szCs w:val="20"/>
              </w:rPr>
              <w:t>Интеграция</w:t>
            </w:r>
            <w:r w:rsidR="006C680D" w:rsidRPr="004577D3">
              <w:rPr>
                <w:sz w:val="20"/>
                <w:szCs w:val="20"/>
              </w:rPr>
              <w:t xml:space="preserve"> </w:t>
            </w:r>
            <w:r w:rsidRPr="004577D3">
              <w:rPr>
                <w:sz w:val="20"/>
                <w:szCs w:val="20"/>
              </w:rPr>
              <w:t>страховых</w:t>
            </w:r>
            <w:r w:rsidR="006C680D" w:rsidRPr="004577D3">
              <w:rPr>
                <w:sz w:val="20"/>
                <w:szCs w:val="20"/>
              </w:rPr>
              <w:t xml:space="preserve"> </w:t>
            </w:r>
            <w:r w:rsidRPr="004577D3">
              <w:rPr>
                <w:sz w:val="20"/>
                <w:szCs w:val="20"/>
              </w:rPr>
              <w:t>продуктов</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повседневную</w:t>
            </w:r>
            <w:r w:rsidR="006C680D" w:rsidRPr="004577D3">
              <w:rPr>
                <w:sz w:val="20"/>
                <w:szCs w:val="20"/>
              </w:rPr>
              <w:t xml:space="preserve"> </w:t>
            </w:r>
            <w:r w:rsidRPr="004577D3">
              <w:rPr>
                <w:sz w:val="20"/>
                <w:szCs w:val="20"/>
              </w:rPr>
              <w:t>жизнь</w:t>
            </w:r>
            <w:r w:rsidR="006C680D" w:rsidRPr="004577D3">
              <w:rPr>
                <w:sz w:val="20"/>
                <w:szCs w:val="20"/>
              </w:rPr>
              <w:t xml:space="preserve"> </w:t>
            </w:r>
            <w:r w:rsidRPr="004577D3">
              <w:rPr>
                <w:sz w:val="20"/>
                <w:szCs w:val="20"/>
              </w:rPr>
              <w:t>клиента</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экосистему</w:t>
            </w:r>
            <w:r w:rsidR="006C680D" w:rsidRPr="004577D3">
              <w:rPr>
                <w:sz w:val="20"/>
                <w:szCs w:val="20"/>
              </w:rPr>
              <w:t xml:space="preserve"> </w:t>
            </w:r>
            <w:r w:rsidRPr="004577D3">
              <w:rPr>
                <w:sz w:val="20"/>
                <w:szCs w:val="20"/>
              </w:rPr>
              <w:t>(банк,</w:t>
            </w:r>
            <w:r w:rsidR="006C680D" w:rsidRPr="004577D3">
              <w:rPr>
                <w:sz w:val="20"/>
                <w:szCs w:val="20"/>
              </w:rPr>
              <w:t xml:space="preserve"> </w:t>
            </w:r>
            <w:r w:rsidRPr="004577D3">
              <w:rPr>
                <w:sz w:val="20"/>
                <w:szCs w:val="20"/>
              </w:rPr>
              <w:t>телематика,</w:t>
            </w:r>
            <w:r w:rsidR="006C680D" w:rsidRPr="004577D3">
              <w:rPr>
                <w:sz w:val="20"/>
                <w:szCs w:val="20"/>
              </w:rPr>
              <w:t xml:space="preserve"> </w:t>
            </w:r>
            <w:r w:rsidRPr="004577D3">
              <w:rPr>
                <w:sz w:val="20"/>
                <w:szCs w:val="20"/>
              </w:rPr>
              <w:t>здоровье).</w:t>
            </w:r>
          </w:p>
        </w:tc>
        <w:tc>
          <w:tcPr>
            <w:tcW w:w="3820" w:type="dxa"/>
          </w:tcPr>
          <w:p w:rsidR="00B91B4B" w:rsidRPr="004577D3" w:rsidRDefault="00B91B4B" w:rsidP="000C1FE6">
            <w:pPr>
              <w:tabs>
                <w:tab w:val="left" w:pos="993"/>
              </w:tabs>
              <w:ind w:firstLine="0"/>
              <w:rPr>
                <w:sz w:val="20"/>
                <w:szCs w:val="20"/>
              </w:rPr>
            </w:pPr>
            <w:r w:rsidRPr="004577D3">
              <w:rPr>
                <w:sz w:val="20"/>
                <w:szCs w:val="20"/>
              </w:rPr>
              <w:t>«СберСтрахование»:</w:t>
            </w:r>
            <w:r w:rsidR="006C680D" w:rsidRPr="004577D3">
              <w:rPr>
                <w:sz w:val="20"/>
                <w:szCs w:val="20"/>
              </w:rPr>
              <w:t xml:space="preserve"> </w:t>
            </w:r>
            <w:r w:rsidRPr="004577D3">
              <w:rPr>
                <w:sz w:val="20"/>
                <w:szCs w:val="20"/>
              </w:rPr>
              <w:t>«Страхование</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приложении</w:t>
            </w:r>
            <w:r w:rsidR="006C680D" w:rsidRPr="004577D3">
              <w:rPr>
                <w:sz w:val="20"/>
                <w:szCs w:val="20"/>
              </w:rPr>
              <w:t xml:space="preserve"> </w:t>
            </w:r>
            <w:r w:rsidRPr="004577D3">
              <w:rPr>
                <w:sz w:val="20"/>
                <w:szCs w:val="20"/>
              </w:rPr>
              <w:t>СберБанк,</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учетом</w:t>
            </w:r>
            <w:r w:rsidR="006C680D" w:rsidRPr="004577D3">
              <w:rPr>
                <w:sz w:val="20"/>
                <w:szCs w:val="20"/>
              </w:rPr>
              <w:t xml:space="preserve"> </w:t>
            </w:r>
            <w:r w:rsidRPr="004577D3">
              <w:rPr>
                <w:sz w:val="20"/>
                <w:szCs w:val="20"/>
              </w:rPr>
              <w:t>ваших</w:t>
            </w:r>
            <w:r w:rsidR="006C680D" w:rsidRPr="004577D3">
              <w:rPr>
                <w:sz w:val="20"/>
                <w:szCs w:val="20"/>
              </w:rPr>
              <w:t xml:space="preserve"> </w:t>
            </w:r>
            <w:r w:rsidRPr="004577D3">
              <w:rPr>
                <w:sz w:val="20"/>
                <w:szCs w:val="20"/>
              </w:rPr>
              <w:t>привычек</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потребностей».</w:t>
            </w:r>
          </w:p>
        </w:tc>
      </w:tr>
      <w:tr w:rsidR="00B91B4B" w:rsidRPr="004577D3" w:rsidTr="000C1FE6">
        <w:tc>
          <w:tcPr>
            <w:tcW w:w="2190" w:type="dxa"/>
          </w:tcPr>
          <w:p w:rsidR="00B91B4B" w:rsidRPr="004577D3" w:rsidRDefault="00B91B4B" w:rsidP="000C1FE6">
            <w:pPr>
              <w:tabs>
                <w:tab w:val="left" w:pos="993"/>
              </w:tabs>
              <w:ind w:firstLine="0"/>
              <w:rPr>
                <w:sz w:val="20"/>
                <w:szCs w:val="20"/>
              </w:rPr>
            </w:pPr>
            <w:r w:rsidRPr="004577D3">
              <w:rPr>
                <w:sz w:val="20"/>
                <w:szCs w:val="20"/>
              </w:rPr>
              <w:t>Позиционирование</w:t>
            </w:r>
            <w:r w:rsidR="006C680D" w:rsidRPr="004577D3">
              <w:rPr>
                <w:sz w:val="20"/>
                <w:szCs w:val="20"/>
              </w:rPr>
              <w:t xml:space="preserve"> </w:t>
            </w:r>
            <w:r w:rsidRPr="004577D3">
              <w:rPr>
                <w:sz w:val="20"/>
                <w:szCs w:val="20"/>
              </w:rPr>
              <w:t>на</w:t>
            </w:r>
            <w:r w:rsidR="006C680D" w:rsidRPr="004577D3">
              <w:rPr>
                <w:sz w:val="20"/>
                <w:szCs w:val="20"/>
              </w:rPr>
              <w:t xml:space="preserve"> </w:t>
            </w:r>
            <w:r w:rsidRPr="004577D3">
              <w:rPr>
                <w:sz w:val="20"/>
                <w:szCs w:val="20"/>
              </w:rPr>
              <w:t>ценностях</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эмоциях</w:t>
            </w:r>
          </w:p>
        </w:tc>
        <w:tc>
          <w:tcPr>
            <w:tcW w:w="3730" w:type="dxa"/>
          </w:tcPr>
          <w:p w:rsidR="00B91B4B" w:rsidRPr="004577D3" w:rsidRDefault="00B91B4B" w:rsidP="000C1FE6">
            <w:pPr>
              <w:tabs>
                <w:tab w:val="left" w:pos="993"/>
              </w:tabs>
              <w:ind w:firstLine="0"/>
              <w:rPr>
                <w:sz w:val="20"/>
                <w:szCs w:val="20"/>
              </w:rPr>
            </w:pPr>
            <w:r w:rsidRPr="004577D3">
              <w:rPr>
                <w:sz w:val="20"/>
                <w:szCs w:val="20"/>
              </w:rPr>
              <w:t>Связь</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заботой,</w:t>
            </w:r>
            <w:r w:rsidR="006C680D" w:rsidRPr="004577D3">
              <w:rPr>
                <w:sz w:val="20"/>
                <w:szCs w:val="20"/>
              </w:rPr>
              <w:t xml:space="preserve"> </w:t>
            </w:r>
            <w:r w:rsidRPr="004577D3">
              <w:rPr>
                <w:sz w:val="20"/>
                <w:szCs w:val="20"/>
              </w:rPr>
              <w:t>безопасностью</w:t>
            </w:r>
            <w:r w:rsidR="006C680D" w:rsidRPr="004577D3">
              <w:rPr>
                <w:sz w:val="20"/>
                <w:szCs w:val="20"/>
              </w:rPr>
              <w:t xml:space="preserve"> </w:t>
            </w:r>
            <w:r w:rsidRPr="004577D3">
              <w:rPr>
                <w:sz w:val="20"/>
                <w:szCs w:val="20"/>
              </w:rPr>
              <w:t>семьи,</w:t>
            </w:r>
            <w:r w:rsidR="006C680D" w:rsidRPr="004577D3">
              <w:rPr>
                <w:sz w:val="20"/>
                <w:szCs w:val="20"/>
              </w:rPr>
              <w:t xml:space="preserve"> </w:t>
            </w:r>
            <w:r w:rsidRPr="004577D3">
              <w:rPr>
                <w:sz w:val="20"/>
                <w:szCs w:val="20"/>
              </w:rPr>
              <w:t>спокойствием,</w:t>
            </w:r>
            <w:r w:rsidR="006C680D" w:rsidRPr="004577D3">
              <w:rPr>
                <w:sz w:val="20"/>
                <w:szCs w:val="20"/>
              </w:rPr>
              <w:t xml:space="preserve"> </w:t>
            </w:r>
            <w:r w:rsidRPr="004577D3">
              <w:rPr>
                <w:sz w:val="20"/>
                <w:szCs w:val="20"/>
              </w:rPr>
              <w:t>защитой</w:t>
            </w:r>
            <w:r w:rsidR="006C680D" w:rsidRPr="004577D3">
              <w:rPr>
                <w:sz w:val="20"/>
                <w:szCs w:val="20"/>
              </w:rPr>
              <w:t xml:space="preserve"> </w:t>
            </w:r>
            <w:r w:rsidRPr="004577D3">
              <w:rPr>
                <w:sz w:val="20"/>
                <w:szCs w:val="20"/>
              </w:rPr>
              <w:t>будущего.</w:t>
            </w:r>
          </w:p>
        </w:tc>
        <w:tc>
          <w:tcPr>
            <w:tcW w:w="3820" w:type="dxa"/>
          </w:tcPr>
          <w:p w:rsidR="00B91B4B" w:rsidRPr="004577D3" w:rsidRDefault="00B91B4B" w:rsidP="000C1FE6">
            <w:pPr>
              <w:tabs>
                <w:tab w:val="left" w:pos="993"/>
              </w:tabs>
              <w:ind w:firstLine="0"/>
              <w:rPr>
                <w:sz w:val="20"/>
                <w:szCs w:val="20"/>
              </w:rPr>
            </w:pPr>
            <w:r w:rsidRPr="004577D3">
              <w:rPr>
                <w:sz w:val="20"/>
                <w:szCs w:val="20"/>
              </w:rPr>
              <w:t>Позиционирование</w:t>
            </w:r>
            <w:r w:rsidR="006C680D" w:rsidRPr="004577D3">
              <w:rPr>
                <w:sz w:val="20"/>
                <w:szCs w:val="20"/>
              </w:rPr>
              <w:t xml:space="preserve"> </w:t>
            </w:r>
            <w:r w:rsidRPr="004577D3">
              <w:rPr>
                <w:sz w:val="20"/>
                <w:szCs w:val="20"/>
              </w:rPr>
              <w:t>страхования</w:t>
            </w:r>
            <w:r w:rsidR="006C680D" w:rsidRPr="004577D3">
              <w:rPr>
                <w:sz w:val="20"/>
                <w:szCs w:val="20"/>
              </w:rPr>
              <w:t xml:space="preserve"> </w:t>
            </w:r>
            <w:r w:rsidRPr="004577D3">
              <w:rPr>
                <w:sz w:val="20"/>
                <w:szCs w:val="20"/>
              </w:rPr>
              <w:t>жизни:</w:t>
            </w:r>
            <w:r w:rsidR="006C680D" w:rsidRPr="004577D3">
              <w:rPr>
                <w:sz w:val="20"/>
                <w:szCs w:val="20"/>
              </w:rPr>
              <w:t xml:space="preserve"> </w:t>
            </w:r>
            <w:r w:rsidRPr="004577D3">
              <w:rPr>
                <w:sz w:val="20"/>
                <w:szCs w:val="20"/>
              </w:rPr>
              <w:t>«Защитите</w:t>
            </w:r>
            <w:r w:rsidR="006C680D" w:rsidRPr="004577D3">
              <w:rPr>
                <w:sz w:val="20"/>
                <w:szCs w:val="20"/>
              </w:rPr>
              <w:t xml:space="preserve"> </w:t>
            </w:r>
            <w:r w:rsidRPr="004577D3">
              <w:rPr>
                <w:sz w:val="20"/>
                <w:szCs w:val="20"/>
              </w:rPr>
              <w:t>мечты</w:t>
            </w:r>
            <w:r w:rsidR="006C680D" w:rsidRPr="004577D3">
              <w:rPr>
                <w:sz w:val="20"/>
                <w:szCs w:val="20"/>
              </w:rPr>
              <w:t xml:space="preserve"> </w:t>
            </w:r>
            <w:r w:rsidRPr="004577D3">
              <w:rPr>
                <w:sz w:val="20"/>
                <w:szCs w:val="20"/>
              </w:rPr>
              <w:t>ваших</w:t>
            </w:r>
            <w:r w:rsidR="006C680D" w:rsidRPr="004577D3">
              <w:rPr>
                <w:sz w:val="20"/>
                <w:szCs w:val="20"/>
              </w:rPr>
              <w:t xml:space="preserve"> </w:t>
            </w:r>
            <w:r w:rsidRPr="004577D3">
              <w:rPr>
                <w:sz w:val="20"/>
                <w:szCs w:val="20"/>
              </w:rPr>
              <w:t>детей»,</w:t>
            </w:r>
            <w:r w:rsidR="006C680D" w:rsidRPr="004577D3">
              <w:rPr>
                <w:sz w:val="20"/>
                <w:szCs w:val="20"/>
              </w:rPr>
              <w:t xml:space="preserve"> </w:t>
            </w:r>
            <w:r w:rsidRPr="004577D3">
              <w:rPr>
                <w:sz w:val="20"/>
                <w:szCs w:val="20"/>
              </w:rPr>
              <w:t>«Обеспечьте</w:t>
            </w:r>
            <w:r w:rsidR="006C680D" w:rsidRPr="004577D3">
              <w:rPr>
                <w:sz w:val="20"/>
                <w:szCs w:val="20"/>
              </w:rPr>
              <w:t xml:space="preserve"> </w:t>
            </w:r>
            <w:r w:rsidRPr="004577D3">
              <w:rPr>
                <w:sz w:val="20"/>
                <w:szCs w:val="20"/>
              </w:rPr>
              <w:t>себе</w:t>
            </w:r>
            <w:r w:rsidR="006C680D" w:rsidRPr="004577D3">
              <w:rPr>
                <w:sz w:val="20"/>
                <w:szCs w:val="20"/>
              </w:rPr>
              <w:t xml:space="preserve"> </w:t>
            </w:r>
            <w:r w:rsidRPr="004577D3">
              <w:rPr>
                <w:sz w:val="20"/>
                <w:szCs w:val="20"/>
              </w:rPr>
              <w:t>достойную</w:t>
            </w:r>
            <w:r w:rsidR="006C680D" w:rsidRPr="004577D3">
              <w:rPr>
                <w:sz w:val="20"/>
                <w:szCs w:val="20"/>
              </w:rPr>
              <w:t xml:space="preserve"> </w:t>
            </w:r>
            <w:r w:rsidRPr="004577D3">
              <w:rPr>
                <w:sz w:val="20"/>
                <w:szCs w:val="20"/>
              </w:rPr>
              <w:t>пенсию».</w:t>
            </w:r>
          </w:p>
        </w:tc>
      </w:tr>
    </w:tbl>
    <w:p w:rsidR="00230516" w:rsidRPr="00D337FA" w:rsidRDefault="00230516" w:rsidP="00847021">
      <w:pPr>
        <w:ind w:firstLine="142"/>
        <w:rPr>
          <w:i/>
          <w:szCs w:val="24"/>
        </w:rPr>
      </w:pPr>
    </w:p>
    <w:p w:rsidR="006E4221" w:rsidRPr="00D337FA" w:rsidRDefault="006E4221" w:rsidP="006E4221">
      <w:pPr>
        <w:ind w:firstLine="708"/>
        <w:rPr>
          <w:szCs w:val="24"/>
        </w:rPr>
        <w:sectPr w:rsidR="006E4221"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B91B4B" w:rsidRPr="00D337FA" w:rsidRDefault="00B91B4B" w:rsidP="00B91B4B">
      <w:pPr>
        <w:ind w:firstLine="284"/>
        <w:rPr>
          <w:szCs w:val="24"/>
        </w:rPr>
      </w:pPr>
      <w:r w:rsidRPr="00D337FA">
        <w:rPr>
          <w:szCs w:val="24"/>
        </w:rPr>
        <w:lastRenderedPageBreak/>
        <w:t>Ключевой</w:t>
      </w:r>
      <w:r w:rsidR="006C680D" w:rsidRPr="00D337FA">
        <w:rPr>
          <w:szCs w:val="24"/>
        </w:rPr>
        <w:t xml:space="preserve"> </w:t>
      </w:r>
      <w:r w:rsidRPr="00D337FA">
        <w:rPr>
          <w:szCs w:val="24"/>
        </w:rPr>
        <w:t>теоретический</w:t>
      </w:r>
      <w:r w:rsidR="006C680D" w:rsidRPr="00D337FA">
        <w:rPr>
          <w:szCs w:val="24"/>
        </w:rPr>
        <w:t xml:space="preserve"> </w:t>
      </w:r>
      <w:r w:rsidRPr="00D337FA">
        <w:rPr>
          <w:szCs w:val="24"/>
        </w:rPr>
        <w:t>вывод</w:t>
      </w:r>
      <w:r w:rsidR="006C680D" w:rsidRPr="00D337FA">
        <w:rPr>
          <w:szCs w:val="24"/>
        </w:rPr>
        <w:t xml:space="preserve"> </w:t>
      </w:r>
      <w:r w:rsidRPr="00D337FA">
        <w:rPr>
          <w:szCs w:val="24"/>
        </w:rPr>
        <w:t>применительно</w:t>
      </w:r>
      <w:r w:rsidR="006C680D" w:rsidRPr="00D337FA">
        <w:rPr>
          <w:szCs w:val="24"/>
        </w:rPr>
        <w:t xml:space="preserve"> </w:t>
      </w:r>
      <w:r w:rsidRPr="00D337FA">
        <w:rPr>
          <w:szCs w:val="24"/>
        </w:rPr>
        <w:t>к</w:t>
      </w:r>
      <w:r w:rsidR="006C680D" w:rsidRPr="00D337FA">
        <w:rPr>
          <w:szCs w:val="24"/>
        </w:rPr>
        <w:t xml:space="preserve"> </w:t>
      </w:r>
      <w:r w:rsidRPr="00D337FA">
        <w:rPr>
          <w:szCs w:val="24"/>
        </w:rPr>
        <w:t>российской</w:t>
      </w:r>
      <w:r w:rsidR="006C680D" w:rsidRPr="00D337FA">
        <w:rPr>
          <w:szCs w:val="24"/>
        </w:rPr>
        <w:t xml:space="preserve"> </w:t>
      </w:r>
      <w:r w:rsidR="000C1FE6" w:rsidRPr="00D337FA">
        <w:rPr>
          <w:szCs w:val="24"/>
        </w:rPr>
        <w:t>практике</w:t>
      </w:r>
      <w:r w:rsidR="006C680D" w:rsidRPr="00D337FA">
        <w:rPr>
          <w:szCs w:val="24"/>
        </w:rPr>
        <w:t xml:space="preserve"> </w:t>
      </w:r>
      <w:r w:rsidRPr="00D337FA">
        <w:rPr>
          <w:szCs w:val="24"/>
        </w:rPr>
        <w:t>страхования</w:t>
      </w:r>
      <w:r w:rsidR="006C680D" w:rsidRPr="00D337FA">
        <w:rPr>
          <w:szCs w:val="24"/>
        </w:rPr>
        <w:t xml:space="preserve"> </w:t>
      </w:r>
      <w:r w:rsidRPr="00D337FA">
        <w:rPr>
          <w:szCs w:val="24"/>
        </w:rPr>
        <w:t>заключается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том,</w:t>
      </w:r>
      <w:r w:rsidR="006C680D" w:rsidRPr="00D337FA">
        <w:rPr>
          <w:szCs w:val="24"/>
        </w:rPr>
        <w:t xml:space="preserve"> </w:t>
      </w:r>
      <w:r w:rsidRPr="00D337FA">
        <w:rPr>
          <w:szCs w:val="24"/>
        </w:rPr>
        <w:t>что</w:t>
      </w:r>
      <w:r w:rsidR="006C680D" w:rsidRPr="00D337FA">
        <w:rPr>
          <w:szCs w:val="24"/>
        </w:rPr>
        <w:t xml:space="preserve"> </w:t>
      </w:r>
      <w:r w:rsidRPr="00D337FA">
        <w:rPr>
          <w:szCs w:val="24"/>
        </w:rPr>
        <w:t>оптимальная</w:t>
      </w:r>
      <w:r w:rsidR="006C680D" w:rsidRPr="00D337FA">
        <w:rPr>
          <w:szCs w:val="24"/>
        </w:rPr>
        <w:t xml:space="preserve"> </w:t>
      </w:r>
      <w:r w:rsidRPr="00D337FA">
        <w:rPr>
          <w:szCs w:val="24"/>
        </w:rPr>
        <w:t>конфигурация</w:t>
      </w:r>
      <w:r w:rsidR="006C680D" w:rsidRPr="00D337FA">
        <w:rPr>
          <w:szCs w:val="24"/>
        </w:rPr>
        <w:t xml:space="preserve"> </w:t>
      </w:r>
      <w:r w:rsidRPr="00D337FA">
        <w:rPr>
          <w:szCs w:val="24"/>
        </w:rPr>
        <w:t>управленческой</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направленной</w:t>
      </w:r>
      <w:r w:rsidR="006C680D" w:rsidRPr="00D337FA">
        <w:rPr>
          <w:szCs w:val="24"/>
        </w:rPr>
        <w:t xml:space="preserve"> </w:t>
      </w:r>
      <w:r w:rsidRPr="00D337FA">
        <w:rPr>
          <w:szCs w:val="24"/>
        </w:rPr>
        <w:t>на</w:t>
      </w:r>
      <w:r w:rsidR="006C680D" w:rsidRPr="00D337FA">
        <w:rPr>
          <w:szCs w:val="24"/>
        </w:rPr>
        <w:t xml:space="preserve"> </w:t>
      </w:r>
      <w:r w:rsidRPr="00D337FA">
        <w:rPr>
          <w:szCs w:val="24"/>
        </w:rPr>
        <w:t>генерирование</w:t>
      </w:r>
      <w:r w:rsidR="006C680D" w:rsidRPr="00D337FA">
        <w:rPr>
          <w:szCs w:val="24"/>
        </w:rPr>
        <w:t xml:space="preserve"> </w:t>
      </w:r>
      <w:r w:rsidRPr="00D337FA">
        <w:rPr>
          <w:szCs w:val="24"/>
        </w:rPr>
        <w:t>устойчивых</w:t>
      </w:r>
      <w:r w:rsidR="006C680D" w:rsidRPr="00D337FA">
        <w:rPr>
          <w:szCs w:val="24"/>
        </w:rPr>
        <w:t xml:space="preserve"> </w:t>
      </w:r>
      <w:r w:rsidR="000C1FE6" w:rsidRPr="00D337FA">
        <w:rPr>
          <w:szCs w:val="24"/>
        </w:rPr>
        <w:t>конкурентных</w:t>
      </w:r>
      <w:r w:rsidR="006C680D" w:rsidRPr="00D337FA">
        <w:rPr>
          <w:szCs w:val="24"/>
        </w:rPr>
        <w:t xml:space="preserve"> </w:t>
      </w:r>
      <w:r w:rsidRPr="00D337FA">
        <w:rPr>
          <w:szCs w:val="24"/>
        </w:rPr>
        <w:t>преимуществ,</w:t>
      </w:r>
      <w:r w:rsidR="006C680D" w:rsidRPr="00D337FA">
        <w:rPr>
          <w:szCs w:val="24"/>
        </w:rPr>
        <w:t xml:space="preserve"> </w:t>
      </w:r>
      <w:r w:rsidRPr="00D337FA">
        <w:rPr>
          <w:szCs w:val="24"/>
        </w:rPr>
        <w:t>представляет</w:t>
      </w:r>
      <w:r w:rsidR="006C680D" w:rsidRPr="00D337FA">
        <w:rPr>
          <w:szCs w:val="24"/>
        </w:rPr>
        <w:t xml:space="preserve"> </w:t>
      </w:r>
      <w:r w:rsidRPr="00D337FA">
        <w:rPr>
          <w:szCs w:val="24"/>
        </w:rPr>
        <w:t>собой</w:t>
      </w:r>
      <w:r w:rsidR="006C680D" w:rsidRPr="00D337FA">
        <w:rPr>
          <w:szCs w:val="24"/>
        </w:rPr>
        <w:t xml:space="preserve"> </w:t>
      </w:r>
      <w:r w:rsidRPr="00D337FA">
        <w:rPr>
          <w:szCs w:val="24"/>
        </w:rPr>
        <w:t>гибридный</w:t>
      </w:r>
      <w:r w:rsidR="006C680D" w:rsidRPr="00D337FA">
        <w:rPr>
          <w:szCs w:val="24"/>
        </w:rPr>
        <w:t xml:space="preserve"> </w:t>
      </w:r>
      <w:r w:rsidRPr="00D337FA">
        <w:rPr>
          <w:szCs w:val="24"/>
        </w:rPr>
        <w:t>формат.</w:t>
      </w:r>
      <w:r w:rsidR="006C680D" w:rsidRPr="00D337FA">
        <w:rPr>
          <w:szCs w:val="24"/>
        </w:rPr>
        <w:t xml:space="preserve"> </w:t>
      </w:r>
      <w:r w:rsidRPr="00D337FA">
        <w:rPr>
          <w:szCs w:val="24"/>
        </w:rPr>
        <w:t>Данная</w:t>
      </w:r>
      <w:r w:rsidR="006C680D" w:rsidRPr="00D337FA">
        <w:rPr>
          <w:szCs w:val="24"/>
        </w:rPr>
        <w:t xml:space="preserve"> </w:t>
      </w:r>
      <w:r w:rsidRPr="00D337FA">
        <w:rPr>
          <w:szCs w:val="24"/>
        </w:rPr>
        <w:lastRenderedPageBreak/>
        <w:t>модель</w:t>
      </w:r>
      <w:r w:rsidR="006C680D" w:rsidRPr="00D337FA">
        <w:rPr>
          <w:szCs w:val="24"/>
        </w:rPr>
        <w:t xml:space="preserve"> </w:t>
      </w:r>
      <w:r w:rsidRPr="00D337FA">
        <w:rPr>
          <w:szCs w:val="24"/>
        </w:rPr>
        <w:t>базируется</w:t>
      </w:r>
      <w:r w:rsidR="006C680D" w:rsidRPr="00D337FA">
        <w:rPr>
          <w:szCs w:val="24"/>
        </w:rPr>
        <w:t xml:space="preserve"> </w:t>
      </w:r>
      <w:r w:rsidRPr="00D337FA">
        <w:rPr>
          <w:szCs w:val="24"/>
        </w:rPr>
        <w:t>на</w:t>
      </w:r>
      <w:r w:rsidR="006C680D" w:rsidRPr="00D337FA">
        <w:rPr>
          <w:szCs w:val="24"/>
        </w:rPr>
        <w:t xml:space="preserve"> </w:t>
      </w:r>
      <w:r w:rsidRPr="00D337FA">
        <w:rPr>
          <w:szCs w:val="24"/>
        </w:rPr>
        <w:t>симбиозе</w:t>
      </w:r>
      <w:r w:rsidR="006C680D" w:rsidRPr="00D337FA">
        <w:rPr>
          <w:szCs w:val="24"/>
        </w:rPr>
        <w:t xml:space="preserve"> </w:t>
      </w:r>
      <w:r w:rsidRPr="00D337FA">
        <w:rPr>
          <w:szCs w:val="24"/>
        </w:rPr>
        <w:t>операционной</w:t>
      </w:r>
      <w:r w:rsidR="006C680D" w:rsidRPr="00D337FA">
        <w:rPr>
          <w:szCs w:val="24"/>
        </w:rPr>
        <w:t xml:space="preserve"> </w:t>
      </w:r>
      <w:r w:rsidRPr="00D337FA">
        <w:rPr>
          <w:szCs w:val="24"/>
        </w:rPr>
        <w:t>эффективности,</w:t>
      </w:r>
      <w:r w:rsidR="006C680D" w:rsidRPr="00D337FA">
        <w:rPr>
          <w:szCs w:val="24"/>
        </w:rPr>
        <w:t xml:space="preserve"> </w:t>
      </w:r>
      <w:r w:rsidR="000C1FE6" w:rsidRPr="00D337FA">
        <w:rPr>
          <w:szCs w:val="24"/>
        </w:rPr>
        <w:t>характерной</w:t>
      </w:r>
      <w:r w:rsidR="006C680D" w:rsidRPr="00D337FA">
        <w:rPr>
          <w:szCs w:val="24"/>
        </w:rPr>
        <w:t xml:space="preserve"> </w:t>
      </w:r>
      <w:r w:rsidRPr="00D337FA">
        <w:rPr>
          <w:szCs w:val="24"/>
        </w:rPr>
        <w:t>для</w:t>
      </w:r>
      <w:r w:rsidR="006C680D" w:rsidRPr="00D337FA">
        <w:rPr>
          <w:szCs w:val="24"/>
        </w:rPr>
        <w:t xml:space="preserve"> </w:t>
      </w:r>
      <w:r w:rsidRPr="00D337FA">
        <w:rPr>
          <w:szCs w:val="24"/>
        </w:rPr>
        <w:t>стратегий</w:t>
      </w:r>
      <w:r w:rsidR="006C680D" w:rsidRPr="00D337FA">
        <w:rPr>
          <w:szCs w:val="24"/>
        </w:rPr>
        <w:t xml:space="preserve"> </w:t>
      </w:r>
      <w:r w:rsidRPr="00D337FA">
        <w:rPr>
          <w:szCs w:val="24"/>
        </w:rPr>
        <w:t>лидерства</w:t>
      </w:r>
      <w:r w:rsidR="006C680D" w:rsidRPr="00D337FA">
        <w:rPr>
          <w:szCs w:val="24"/>
        </w:rPr>
        <w:t xml:space="preserve"> </w:t>
      </w:r>
      <w:r w:rsidRPr="00D337FA">
        <w:rPr>
          <w:szCs w:val="24"/>
        </w:rPr>
        <w:t>по</w:t>
      </w:r>
      <w:r w:rsidR="006C680D" w:rsidRPr="00D337FA">
        <w:rPr>
          <w:szCs w:val="24"/>
        </w:rPr>
        <w:t xml:space="preserve"> </w:t>
      </w:r>
      <w:r w:rsidRPr="00D337FA">
        <w:rPr>
          <w:szCs w:val="24"/>
        </w:rPr>
        <w:t>издержкам,</w:t>
      </w:r>
      <w:r w:rsidR="006C680D" w:rsidRPr="00D337FA">
        <w:rPr>
          <w:szCs w:val="24"/>
        </w:rPr>
        <w:t xml:space="preserve"> </w:t>
      </w:r>
      <w:r w:rsidRPr="00D337FA">
        <w:rPr>
          <w:szCs w:val="24"/>
        </w:rPr>
        <w:t>и</w:t>
      </w:r>
      <w:r w:rsidR="006C680D" w:rsidRPr="00D337FA">
        <w:rPr>
          <w:szCs w:val="24"/>
        </w:rPr>
        <w:t xml:space="preserve"> </w:t>
      </w:r>
      <w:r w:rsidRPr="00D337FA">
        <w:rPr>
          <w:szCs w:val="24"/>
        </w:rPr>
        <w:t>имплицитного</w:t>
      </w:r>
      <w:r w:rsidR="006C680D" w:rsidRPr="00D337FA">
        <w:rPr>
          <w:szCs w:val="24"/>
        </w:rPr>
        <w:t xml:space="preserve"> </w:t>
      </w:r>
      <w:r w:rsidR="000C1FE6" w:rsidRPr="00D337FA">
        <w:rPr>
          <w:szCs w:val="24"/>
        </w:rPr>
        <w:t>доверительного</w:t>
      </w:r>
      <w:r w:rsidR="006C680D" w:rsidRPr="00D337FA">
        <w:rPr>
          <w:szCs w:val="24"/>
        </w:rPr>
        <w:t xml:space="preserve"> </w:t>
      </w:r>
      <w:r w:rsidRPr="00D337FA">
        <w:rPr>
          <w:szCs w:val="24"/>
        </w:rPr>
        <w:t>капитала,</w:t>
      </w:r>
      <w:r w:rsidR="006C680D" w:rsidRPr="00D337FA">
        <w:rPr>
          <w:szCs w:val="24"/>
        </w:rPr>
        <w:t xml:space="preserve"> </w:t>
      </w:r>
      <w:r w:rsidRPr="00D337FA">
        <w:rPr>
          <w:szCs w:val="24"/>
        </w:rPr>
        <w:t>присущего</w:t>
      </w:r>
      <w:r w:rsidR="006C680D" w:rsidRPr="00D337FA">
        <w:rPr>
          <w:szCs w:val="24"/>
        </w:rPr>
        <w:t xml:space="preserve"> </w:t>
      </w:r>
      <w:r w:rsidRPr="00D337FA">
        <w:rPr>
          <w:szCs w:val="24"/>
        </w:rPr>
        <w:t>стратегиям</w:t>
      </w:r>
      <w:r w:rsidR="006C680D" w:rsidRPr="00D337FA">
        <w:rPr>
          <w:szCs w:val="24"/>
        </w:rPr>
        <w:t xml:space="preserve"> </w:t>
      </w:r>
      <w:r w:rsidRPr="00D337FA">
        <w:rPr>
          <w:szCs w:val="24"/>
        </w:rPr>
        <w:t>дифференциации,</w:t>
      </w:r>
      <w:r w:rsidR="006C680D" w:rsidRPr="00D337FA">
        <w:rPr>
          <w:szCs w:val="24"/>
        </w:rPr>
        <w:t xml:space="preserve"> </w:t>
      </w:r>
      <w:r w:rsidRPr="00D337FA">
        <w:rPr>
          <w:szCs w:val="24"/>
        </w:rPr>
        <w:t>что</w:t>
      </w:r>
      <w:r w:rsidR="006C680D" w:rsidRPr="00D337FA">
        <w:rPr>
          <w:szCs w:val="24"/>
        </w:rPr>
        <w:t xml:space="preserve"> </w:t>
      </w:r>
      <w:r w:rsidRPr="00D337FA">
        <w:rPr>
          <w:szCs w:val="24"/>
        </w:rPr>
        <w:t>обеспечивает</w:t>
      </w:r>
      <w:r w:rsidR="006C680D" w:rsidRPr="00D337FA">
        <w:rPr>
          <w:szCs w:val="24"/>
        </w:rPr>
        <w:t xml:space="preserve"> </w:t>
      </w:r>
      <w:r w:rsidRPr="00D337FA">
        <w:rPr>
          <w:szCs w:val="24"/>
        </w:rPr>
        <w:t>синергетический</w:t>
      </w:r>
      <w:r w:rsidR="006C680D" w:rsidRPr="00D337FA">
        <w:rPr>
          <w:szCs w:val="24"/>
        </w:rPr>
        <w:t xml:space="preserve"> </w:t>
      </w:r>
      <w:r w:rsidRPr="00D337FA">
        <w:rPr>
          <w:szCs w:val="24"/>
        </w:rPr>
        <w:t>эффект</w:t>
      </w:r>
      <w:r w:rsidR="006C680D" w:rsidRPr="00D337FA">
        <w:rPr>
          <w:szCs w:val="24"/>
        </w:rPr>
        <w:t xml:space="preserve"> </w:t>
      </w:r>
      <w:r w:rsidRPr="00D337FA">
        <w:rPr>
          <w:szCs w:val="24"/>
        </w:rPr>
        <w:t>в</w:t>
      </w:r>
      <w:r w:rsidR="006C680D" w:rsidRPr="00D337FA">
        <w:rPr>
          <w:szCs w:val="24"/>
        </w:rPr>
        <w:t xml:space="preserve"> </w:t>
      </w:r>
      <w:r w:rsidRPr="00D337FA">
        <w:rPr>
          <w:szCs w:val="24"/>
        </w:rPr>
        <w:lastRenderedPageBreak/>
        <w:t>построении</w:t>
      </w:r>
      <w:r w:rsidR="006C680D" w:rsidRPr="00D337FA">
        <w:rPr>
          <w:szCs w:val="24"/>
        </w:rPr>
        <w:t xml:space="preserve"> </w:t>
      </w:r>
      <w:r w:rsidRPr="00D337FA">
        <w:rPr>
          <w:szCs w:val="24"/>
        </w:rPr>
        <w:t>долгосрочных</w:t>
      </w:r>
      <w:r w:rsidR="006C680D" w:rsidRPr="00D337FA">
        <w:rPr>
          <w:szCs w:val="24"/>
        </w:rPr>
        <w:t xml:space="preserve"> </w:t>
      </w:r>
      <w:r w:rsidRPr="00D337FA">
        <w:rPr>
          <w:szCs w:val="24"/>
        </w:rPr>
        <w:t>отношений</w:t>
      </w:r>
      <w:r w:rsidR="006C680D" w:rsidRPr="00D337FA">
        <w:rPr>
          <w:szCs w:val="24"/>
        </w:rPr>
        <w:t xml:space="preserve"> </w:t>
      </w:r>
      <w:r w:rsidRPr="00D337FA">
        <w:rPr>
          <w:szCs w:val="24"/>
        </w:rPr>
        <w:t>с</w:t>
      </w:r>
      <w:r w:rsidR="006C680D" w:rsidRPr="00D337FA">
        <w:rPr>
          <w:szCs w:val="24"/>
        </w:rPr>
        <w:t xml:space="preserve"> </w:t>
      </w:r>
      <w:r w:rsidR="000C1FE6" w:rsidRPr="00D337FA">
        <w:rPr>
          <w:szCs w:val="24"/>
        </w:rPr>
        <w:t>потребителем</w:t>
      </w:r>
      <w:r w:rsidRPr="00D337FA">
        <w:rPr>
          <w:szCs w:val="24"/>
        </w:rPr>
        <w:t>.</w:t>
      </w:r>
    </w:p>
    <w:p w:rsidR="00B91B4B" w:rsidRPr="00D337FA" w:rsidRDefault="00B91B4B" w:rsidP="00B91B4B">
      <w:pPr>
        <w:ind w:firstLine="284"/>
        <w:rPr>
          <w:szCs w:val="24"/>
        </w:rPr>
      </w:pPr>
      <w:r w:rsidRPr="00D337FA">
        <w:rPr>
          <w:szCs w:val="24"/>
        </w:rPr>
        <w:t>Наиболее</w:t>
      </w:r>
      <w:r w:rsidR="006C680D" w:rsidRPr="00D337FA">
        <w:rPr>
          <w:szCs w:val="24"/>
        </w:rPr>
        <w:t xml:space="preserve"> </w:t>
      </w:r>
      <w:r w:rsidRPr="00D337FA">
        <w:rPr>
          <w:szCs w:val="24"/>
        </w:rPr>
        <w:t>релевантной</w:t>
      </w:r>
      <w:r w:rsidR="006C680D" w:rsidRPr="00D337FA">
        <w:rPr>
          <w:szCs w:val="24"/>
        </w:rPr>
        <w:t xml:space="preserve"> </w:t>
      </w:r>
      <w:r w:rsidRPr="00D337FA">
        <w:rPr>
          <w:szCs w:val="24"/>
        </w:rPr>
        <w:t>в</w:t>
      </w:r>
      <w:r w:rsidR="006C680D" w:rsidRPr="00D337FA">
        <w:rPr>
          <w:szCs w:val="24"/>
        </w:rPr>
        <w:t xml:space="preserve"> </w:t>
      </w:r>
      <w:r w:rsidRPr="00D337FA">
        <w:rPr>
          <w:szCs w:val="24"/>
        </w:rPr>
        <w:t>текущих</w:t>
      </w:r>
      <w:r w:rsidR="006C680D" w:rsidRPr="00D337FA">
        <w:rPr>
          <w:szCs w:val="24"/>
        </w:rPr>
        <w:t xml:space="preserve"> </w:t>
      </w:r>
      <w:r w:rsidRPr="00D337FA">
        <w:rPr>
          <w:szCs w:val="24"/>
        </w:rPr>
        <w:t>рыночных</w:t>
      </w:r>
      <w:r w:rsidR="006C680D" w:rsidRPr="00D337FA">
        <w:rPr>
          <w:szCs w:val="24"/>
        </w:rPr>
        <w:t xml:space="preserve"> </w:t>
      </w:r>
      <w:r w:rsidRPr="00D337FA">
        <w:rPr>
          <w:szCs w:val="24"/>
        </w:rPr>
        <w:t>условиях</w:t>
      </w:r>
      <w:r w:rsidR="006C680D" w:rsidRPr="00D337FA">
        <w:rPr>
          <w:szCs w:val="24"/>
        </w:rPr>
        <w:t xml:space="preserve"> </w:t>
      </w:r>
      <w:r w:rsidR="000C1FE6" w:rsidRPr="00D337FA">
        <w:rPr>
          <w:szCs w:val="24"/>
        </w:rPr>
        <w:t>представляется</w:t>
      </w:r>
      <w:r w:rsidR="006C680D" w:rsidRPr="00D337FA">
        <w:rPr>
          <w:szCs w:val="24"/>
        </w:rPr>
        <w:t xml:space="preserve"> </w:t>
      </w:r>
      <w:r w:rsidRPr="00D337FA">
        <w:rPr>
          <w:szCs w:val="24"/>
        </w:rPr>
        <w:t>парадигма</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партнерства»,</w:t>
      </w:r>
      <w:r w:rsidR="006C680D" w:rsidRPr="00D337FA">
        <w:rPr>
          <w:szCs w:val="24"/>
        </w:rPr>
        <w:t xml:space="preserve"> </w:t>
      </w:r>
      <w:r w:rsidRPr="00D337FA">
        <w:rPr>
          <w:szCs w:val="24"/>
        </w:rPr>
        <w:t>сущность</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заключается</w:t>
      </w:r>
      <w:r w:rsidR="006C680D" w:rsidRPr="00D337FA">
        <w:rPr>
          <w:szCs w:val="24"/>
        </w:rPr>
        <w:t xml:space="preserve"> </w:t>
      </w:r>
      <w:r w:rsidRPr="00D337FA">
        <w:rPr>
          <w:szCs w:val="24"/>
        </w:rPr>
        <w:t>в</w:t>
      </w:r>
      <w:r w:rsidR="006C680D" w:rsidRPr="00D337FA">
        <w:rPr>
          <w:szCs w:val="24"/>
        </w:rPr>
        <w:t xml:space="preserve"> </w:t>
      </w:r>
      <w:r w:rsidRPr="00D337FA">
        <w:rPr>
          <w:szCs w:val="24"/>
        </w:rPr>
        <w:t>поступательном</w:t>
      </w:r>
      <w:r w:rsidR="006C680D" w:rsidRPr="00D337FA">
        <w:rPr>
          <w:szCs w:val="24"/>
        </w:rPr>
        <w:t xml:space="preserve"> </w:t>
      </w:r>
      <w:r w:rsidRPr="00D337FA">
        <w:rPr>
          <w:szCs w:val="24"/>
        </w:rPr>
        <w:t>переходе</w:t>
      </w:r>
      <w:r w:rsidR="006C680D" w:rsidRPr="00D337FA">
        <w:rPr>
          <w:szCs w:val="24"/>
        </w:rPr>
        <w:t xml:space="preserve"> </w:t>
      </w:r>
      <w:r w:rsidRPr="00D337FA">
        <w:rPr>
          <w:szCs w:val="24"/>
        </w:rPr>
        <w:t>от</w:t>
      </w:r>
      <w:r w:rsidR="006C680D" w:rsidRPr="00D337FA">
        <w:rPr>
          <w:szCs w:val="24"/>
        </w:rPr>
        <w:t xml:space="preserve"> </w:t>
      </w:r>
      <w:r w:rsidRPr="00D337FA">
        <w:rPr>
          <w:szCs w:val="24"/>
        </w:rPr>
        <w:t>дискретной</w:t>
      </w:r>
      <w:r w:rsidR="006C680D" w:rsidRPr="00D337FA">
        <w:rPr>
          <w:szCs w:val="24"/>
        </w:rPr>
        <w:t xml:space="preserve"> </w:t>
      </w:r>
      <w:r w:rsidRPr="00D337FA">
        <w:rPr>
          <w:szCs w:val="24"/>
        </w:rPr>
        <w:t>транзакционной</w:t>
      </w:r>
      <w:r w:rsidR="006C680D" w:rsidRPr="00D337FA">
        <w:rPr>
          <w:szCs w:val="24"/>
        </w:rPr>
        <w:t xml:space="preserve"> </w:t>
      </w:r>
      <w:r w:rsidRPr="00D337FA">
        <w:rPr>
          <w:szCs w:val="24"/>
        </w:rPr>
        <w:t>логики</w:t>
      </w:r>
      <w:r w:rsidR="006C680D" w:rsidRPr="00D337FA">
        <w:rPr>
          <w:szCs w:val="24"/>
        </w:rPr>
        <w:t xml:space="preserve"> </w:t>
      </w:r>
      <w:r w:rsidR="000C1FE6" w:rsidRPr="00D337FA">
        <w:rPr>
          <w:szCs w:val="24"/>
        </w:rPr>
        <w:t>взаимодействия</w:t>
      </w:r>
      <w:r w:rsidR="006C680D" w:rsidRPr="00D337FA">
        <w:rPr>
          <w:szCs w:val="24"/>
        </w:rPr>
        <w:t xml:space="preserve"> </w:t>
      </w:r>
      <w:r w:rsidRPr="00D337FA">
        <w:rPr>
          <w:szCs w:val="24"/>
        </w:rPr>
        <w:t>к</w:t>
      </w:r>
      <w:r w:rsidR="006C680D" w:rsidRPr="00D337FA">
        <w:rPr>
          <w:szCs w:val="24"/>
        </w:rPr>
        <w:t xml:space="preserve"> </w:t>
      </w:r>
      <w:r w:rsidRPr="00D337FA">
        <w:rPr>
          <w:szCs w:val="24"/>
        </w:rPr>
        <w:t>континуальной</w:t>
      </w:r>
      <w:r w:rsidR="006C680D" w:rsidRPr="00D337FA">
        <w:rPr>
          <w:szCs w:val="24"/>
        </w:rPr>
        <w:t xml:space="preserve"> </w:t>
      </w:r>
      <w:r w:rsidRPr="00D337FA">
        <w:rPr>
          <w:szCs w:val="24"/>
        </w:rPr>
        <w:t>реляционной</w:t>
      </w:r>
      <w:r w:rsidR="006C680D" w:rsidRPr="00D337FA">
        <w:rPr>
          <w:szCs w:val="24"/>
        </w:rPr>
        <w:t xml:space="preserve"> </w:t>
      </w:r>
      <w:r w:rsidRPr="00D337FA">
        <w:rPr>
          <w:szCs w:val="24"/>
        </w:rPr>
        <w:t>модели.</w:t>
      </w:r>
      <w:r w:rsidR="006C680D" w:rsidRPr="00D337FA">
        <w:rPr>
          <w:szCs w:val="24"/>
        </w:rPr>
        <w:t xml:space="preserve"> </w:t>
      </w:r>
      <w:r w:rsidRPr="00D337FA">
        <w:rPr>
          <w:szCs w:val="24"/>
        </w:rPr>
        <w:t>Императивом</w:t>
      </w:r>
      <w:r w:rsidR="006C680D" w:rsidRPr="00D337FA">
        <w:rPr>
          <w:szCs w:val="24"/>
        </w:rPr>
        <w:t xml:space="preserve"> </w:t>
      </w:r>
      <w:r w:rsidRPr="00D337FA">
        <w:rPr>
          <w:szCs w:val="24"/>
        </w:rPr>
        <w:t>данной</w:t>
      </w:r>
      <w:r w:rsidR="006C680D" w:rsidRPr="00D337FA">
        <w:rPr>
          <w:szCs w:val="24"/>
        </w:rPr>
        <w:t xml:space="preserve"> </w:t>
      </w:r>
      <w:r w:rsidRPr="00D337FA">
        <w:rPr>
          <w:szCs w:val="24"/>
        </w:rPr>
        <w:t>стратегии</w:t>
      </w:r>
      <w:r w:rsidR="006C680D" w:rsidRPr="00D337FA">
        <w:rPr>
          <w:szCs w:val="24"/>
        </w:rPr>
        <w:t xml:space="preserve"> </w:t>
      </w:r>
      <w:r w:rsidRPr="00D337FA">
        <w:rPr>
          <w:szCs w:val="24"/>
        </w:rPr>
        <w:t>выступает</w:t>
      </w:r>
      <w:r w:rsidR="006C680D" w:rsidRPr="00D337FA">
        <w:rPr>
          <w:szCs w:val="24"/>
        </w:rPr>
        <w:t xml:space="preserve"> </w:t>
      </w:r>
      <w:r w:rsidRPr="00D337FA">
        <w:rPr>
          <w:szCs w:val="24"/>
        </w:rPr>
        <w:t>тотальная</w:t>
      </w:r>
      <w:r w:rsidR="006C680D" w:rsidRPr="00D337FA">
        <w:rPr>
          <w:szCs w:val="24"/>
        </w:rPr>
        <w:t xml:space="preserve"> </w:t>
      </w:r>
      <w:r w:rsidRPr="00D337FA">
        <w:rPr>
          <w:szCs w:val="24"/>
        </w:rPr>
        <w:t>диффузия</w:t>
      </w:r>
      <w:r w:rsidR="006C680D" w:rsidRPr="00D337FA">
        <w:rPr>
          <w:szCs w:val="24"/>
        </w:rPr>
        <w:t xml:space="preserve"> </w:t>
      </w:r>
      <w:r w:rsidRPr="00D337FA">
        <w:rPr>
          <w:szCs w:val="24"/>
        </w:rPr>
        <w:t>инновационных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генерации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промоции</w:t>
      </w:r>
      <w:r w:rsidR="006C680D" w:rsidRPr="00D337FA">
        <w:rPr>
          <w:szCs w:val="24"/>
        </w:rPr>
        <w:t xml:space="preserve"> </w:t>
      </w:r>
      <w:r w:rsidRPr="00D337FA">
        <w:rPr>
          <w:szCs w:val="24"/>
        </w:rPr>
        <w:t>страховых</w:t>
      </w:r>
      <w:r w:rsidR="006C680D" w:rsidRPr="00D337FA">
        <w:rPr>
          <w:szCs w:val="24"/>
        </w:rPr>
        <w:t xml:space="preserve"> </w:t>
      </w:r>
      <w:r w:rsidRPr="00D337FA">
        <w:rPr>
          <w:szCs w:val="24"/>
        </w:rPr>
        <w:t>продуктов,</w:t>
      </w:r>
      <w:r w:rsidR="006C680D" w:rsidRPr="00D337FA">
        <w:rPr>
          <w:szCs w:val="24"/>
        </w:rPr>
        <w:t xml:space="preserve"> </w:t>
      </w:r>
      <w:r w:rsidRPr="00D337FA">
        <w:rPr>
          <w:szCs w:val="24"/>
        </w:rPr>
        <w:t>сопряженная</w:t>
      </w:r>
      <w:r w:rsidR="006C680D" w:rsidRPr="00D337FA">
        <w:rPr>
          <w:szCs w:val="24"/>
        </w:rPr>
        <w:t xml:space="preserve"> </w:t>
      </w:r>
      <w:r w:rsidRPr="00D337FA">
        <w:rPr>
          <w:szCs w:val="24"/>
        </w:rPr>
        <w:t>с</w:t>
      </w:r>
      <w:r w:rsidR="006C680D" w:rsidRPr="00D337FA">
        <w:rPr>
          <w:szCs w:val="24"/>
        </w:rPr>
        <w:t xml:space="preserve"> </w:t>
      </w:r>
      <w:r w:rsidR="000C1FE6" w:rsidRPr="00D337FA">
        <w:rPr>
          <w:szCs w:val="24"/>
        </w:rPr>
        <w:t>имплементацией</w:t>
      </w:r>
      <w:r w:rsidR="006C680D" w:rsidRPr="00D337FA">
        <w:rPr>
          <w:szCs w:val="24"/>
        </w:rPr>
        <w:t xml:space="preserve"> </w:t>
      </w:r>
      <w:r w:rsidRPr="00D337FA">
        <w:rPr>
          <w:szCs w:val="24"/>
        </w:rPr>
        <w:t>прогрессивного</w:t>
      </w:r>
      <w:r w:rsidR="006C680D" w:rsidRPr="00D337FA">
        <w:rPr>
          <w:szCs w:val="24"/>
        </w:rPr>
        <w:t xml:space="preserve"> </w:t>
      </w:r>
      <w:r w:rsidRPr="00D337FA">
        <w:rPr>
          <w:szCs w:val="24"/>
        </w:rPr>
        <w:t>коммуникационного</w:t>
      </w:r>
      <w:r w:rsidR="006C680D" w:rsidRPr="00D337FA">
        <w:rPr>
          <w:szCs w:val="24"/>
        </w:rPr>
        <w:t xml:space="preserve"> </w:t>
      </w:r>
      <w:r w:rsidRPr="00D337FA">
        <w:rPr>
          <w:szCs w:val="24"/>
        </w:rPr>
        <w:t>протокола.</w:t>
      </w:r>
      <w:r w:rsidR="006C680D" w:rsidRPr="00D337FA">
        <w:rPr>
          <w:szCs w:val="24"/>
        </w:rPr>
        <w:t xml:space="preserve"> </w:t>
      </w:r>
      <w:r w:rsidRPr="00D337FA">
        <w:rPr>
          <w:szCs w:val="24"/>
        </w:rPr>
        <w:t>Последний</w:t>
      </w:r>
      <w:r w:rsidR="006C680D" w:rsidRPr="00D337FA">
        <w:rPr>
          <w:szCs w:val="24"/>
        </w:rPr>
        <w:t xml:space="preserve"> </w:t>
      </w:r>
      <w:r w:rsidR="000C1FE6" w:rsidRPr="00D337FA">
        <w:rPr>
          <w:szCs w:val="24"/>
        </w:rPr>
        <w:t>обеспечивает</w:t>
      </w:r>
      <w:r w:rsidR="006C680D" w:rsidRPr="00D337FA">
        <w:rPr>
          <w:szCs w:val="24"/>
        </w:rPr>
        <w:t xml:space="preserve"> </w:t>
      </w:r>
      <w:r w:rsidRPr="00D337FA">
        <w:rPr>
          <w:szCs w:val="24"/>
        </w:rPr>
        <w:t>интерактивное</w:t>
      </w:r>
      <w:r w:rsidR="006C680D" w:rsidRPr="00D337FA">
        <w:rPr>
          <w:szCs w:val="24"/>
        </w:rPr>
        <w:t xml:space="preserve"> </w:t>
      </w:r>
      <w:r w:rsidRPr="00D337FA">
        <w:rPr>
          <w:szCs w:val="24"/>
        </w:rPr>
        <w:t>взаимодействие</w:t>
      </w:r>
      <w:r w:rsidR="006C680D" w:rsidRPr="00D337FA">
        <w:rPr>
          <w:szCs w:val="24"/>
        </w:rPr>
        <w:t xml:space="preserve"> </w:t>
      </w:r>
      <w:r w:rsidRPr="00D337FA">
        <w:rPr>
          <w:szCs w:val="24"/>
        </w:rPr>
        <w:t>с</w:t>
      </w:r>
      <w:r w:rsidR="006C680D" w:rsidRPr="00D337FA">
        <w:rPr>
          <w:szCs w:val="24"/>
        </w:rPr>
        <w:t xml:space="preserve"> </w:t>
      </w:r>
      <w:r w:rsidRPr="00D337FA">
        <w:rPr>
          <w:szCs w:val="24"/>
        </w:rPr>
        <w:t>клиентским</w:t>
      </w:r>
      <w:r w:rsidR="006C680D" w:rsidRPr="00D337FA">
        <w:rPr>
          <w:szCs w:val="24"/>
        </w:rPr>
        <w:t xml:space="preserve"> </w:t>
      </w:r>
      <w:r w:rsidRPr="00D337FA">
        <w:rPr>
          <w:szCs w:val="24"/>
        </w:rPr>
        <w:t>сообществом</w:t>
      </w:r>
      <w:r w:rsidR="006C680D" w:rsidRPr="00D337FA">
        <w:rPr>
          <w:szCs w:val="24"/>
        </w:rPr>
        <w:t xml:space="preserve"> </w:t>
      </w:r>
      <w:r w:rsidRPr="00D337FA">
        <w:rPr>
          <w:szCs w:val="24"/>
        </w:rPr>
        <w:t>как</w:t>
      </w:r>
      <w:r w:rsidR="006C680D" w:rsidRPr="00D337FA">
        <w:rPr>
          <w:szCs w:val="24"/>
        </w:rPr>
        <w:t xml:space="preserve"> </w:t>
      </w:r>
      <w:r w:rsidRPr="00D337FA">
        <w:rPr>
          <w:szCs w:val="24"/>
        </w:rPr>
        <w:t>в</w:t>
      </w:r>
      <w:r w:rsidR="006C680D" w:rsidRPr="00D337FA">
        <w:rPr>
          <w:szCs w:val="24"/>
        </w:rPr>
        <w:t xml:space="preserve"> </w:t>
      </w:r>
      <w:r w:rsidR="000C1FE6" w:rsidRPr="00D337FA">
        <w:rPr>
          <w:szCs w:val="24"/>
        </w:rPr>
        <w:t>режиме</w:t>
      </w:r>
      <w:r w:rsidR="006C680D" w:rsidRPr="00D337FA">
        <w:rPr>
          <w:szCs w:val="24"/>
        </w:rPr>
        <w:t xml:space="preserve"> </w:t>
      </w:r>
      <w:r w:rsidRPr="00D337FA">
        <w:rPr>
          <w:szCs w:val="24"/>
        </w:rPr>
        <w:t>реального</w:t>
      </w:r>
      <w:r w:rsidR="006C680D" w:rsidRPr="00D337FA">
        <w:rPr>
          <w:szCs w:val="24"/>
        </w:rPr>
        <w:t xml:space="preserve"> </w:t>
      </w:r>
      <w:r w:rsidRPr="00D337FA">
        <w:rPr>
          <w:szCs w:val="24"/>
        </w:rPr>
        <w:t>времени</w:t>
      </w:r>
      <w:r w:rsidR="006C680D" w:rsidRPr="00D337FA">
        <w:rPr>
          <w:szCs w:val="24"/>
        </w:rPr>
        <w:t xml:space="preserve"> </w:t>
      </w:r>
      <w:r w:rsidRPr="00D337FA">
        <w:rPr>
          <w:szCs w:val="24"/>
        </w:rPr>
        <w:t>(онлайн-присутствие),</w:t>
      </w:r>
      <w:r w:rsidR="006C680D" w:rsidRPr="00D337FA">
        <w:rPr>
          <w:szCs w:val="24"/>
        </w:rPr>
        <w:t xml:space="preserve"> </w:t>
      </w:r>
      <w:r w:rsidRPr="00D337FA">
        <w:rPr>
          <w:szCs w:val="24"/>
        </w:rPr>
        <w:t>так</w:t>
      </w:r>
      <w:r w:rsidR="006C680D" w:rsidRPr="00D337FA">
        <w:rPr>
          <w:szCs w:val="24"/>
        </w:rPr>
        <w:t xml:space="preserve"> </w:t>
      </w:r>
      <w:r w:rsidRPr="00D337FA">
        <w:rPr>
          <w:szCs w:val="24"/>
        </w:rPr>
        <w:t>и</w:t>
      </w:r>
      <w:r w:rsidR="006C680D" w:rsidRPr="00D337FA">
        <w:rPr>
          <w:szCs w:val="24"/>
        </w:rPr>
        <w:t xml:space="preserve"> </w:t>
      </w:r>
      <w:r w:rsidRPr="00D337FA">
        <w:rPr>
          <w:szCs w:val="24"/>
        </w:rPr>
        <w:t>в</w:t>
      </w:r>
      <w:r w:rsidR="006C680D" w:rsidRPr="00D337FA">
        <w:rPr>
          <w:szCs w:val="24"/>
        </w:rPr>
        <w:t xml:space="preserve"> </w:t>
      </w:r>
      <w:r w:rsidRPr="00D337FA">
        <w:rPr>
          <w:szCs w:val="24"/>
        </w:rPr>
        <w:t>проспективной</w:t>
      </w:r>
      <w:r w:rsidR="006C680D" w:rsidRPr="00D337FA">
        <w:rPr>
          <w:szCs w:val="24"/>
        </w:rPr>
        <w:t xml:space="preserve"> </w:t>
      </w:r>
      <w:r w:rsidR="000C1FE6" w:rsidRPr="00D337FA">
        <w:rPr>
          <w:szCs w:val="24"/>
        </w:rPr>
        <w:t>ретроспективе</w:t>
      </w:r>
      <w:r w:rsidR="006C680D" w:rsidRPr="00D337FA">
        <w:rPr>
          <w:szCs w:val="24"/>
        </w:rPr>
        <w:t xml:space="preserve"> </w:t>
      </w:r>
      <w:r w:rsidRPr="00D337FA">
        <w:rPr>
          <w:szCs w:val="24"/>
        </w:rPr>
        <w:t>(предиктивная</w:t>
      </w:r>
      <w:r w:rsidR="006C680D" w:rsidRPr="00D337FA">
        <w:rPr>
          <w:szCs w:val="24"/>
        </w:rPr>
        <w:t xml:space="preserve"> </w:t>
      </w:r>
      <w:r w:rsidRPr="00D337FA">
        <w:rPr>
          <w:szCs w:val="24"/>
        </w:rPr>
        <w:t>аналитика</w:t>
      </w:r>
      <w:r w:rsidR="006C680D" w:rsidRPr="00D337FA">
        <w:rPr>
          <w:szCs w:val="24"/>
        </w:rPr>
        <w:t xml:space="preserve"> </w:t>
      </w:r>
      <w:r w:rsidRPr="00D337FA">
        <w:rPr>
          <w:szCs w:val="24"/>
        </w:rPr>
        <w:t>и</w:t>
      </w:r>
      <w:r w:rsidR="006C680D" w:rsidRPr="00D337FA">
        <w:rPr>
          <w:szCs w:val="24"/>
        </w:rPr>
        <w:t xml:space="preserve"> </w:t>
      </w:r>
      <w:r w:rsidRPr="00D337FA">
        <w:rPr>
          <w:szCs w:val="24"/>
        </w:rPr>
        <w:t>долгосрочное</w:t>
      </w:r>
      <w:r w:rsidR="006C680D" w:rsidRPr="00D337FA">
        <w:rPr>
          <w:szCs w:val="24"/>
        </w:rPr>
        <w:t xml:space="preserve"> </w:t>
      </w:r>
      <w:r w:rsidRPr="00D337FA">
        <w:rPr>
          <w:szCs w:val="24"/>
        </w:rPr>
        <w:t>сопровождение</w:t>
      </w:r>
      <w:r w:rsidR="006C680D" w:rsidRPr="00D337FA">
        <w:rPr>
          <w:szCs w:val="24"/>
        </w:rPr>
        <w:t xml:space="preserve"> </w:t>
      </w:r>
      <w:r w:rsidRPr="00D337FA">
        <w:rPr>
          <w:szCs w:val="24"/>
        </w:rPr>
        <w:t>жизненного</w:t>
      </w:r>
      <w:r w:rsidR="006C680D" w:rsidRPr="00D337FA">
        <w:rPr>
          <w:szCs w:val="24"/>
        </w:rPr>
        <w:t xml:space="preserve"> </w:t>
      </w:r>
      <w:r w:rsidRPr="00D337FA">
        <w:rPr>
          <w:szCs w:val="24"/>
        </w:rPr>
        <w:t>цикла</w:t>
      </w:r>
      <w:r w:rsidR="006C680D" w:rsidRPr="00D337FA">
        <w:rPr>
          <w:szCs w:val="24"/>
        </w:rPr>
        <w:t xml:space="preserve"> </w:t>
      </w:r>
      <w:r w:rsidRPr="00D337FA">
        <w:rPr>
          <w:szCs w:val="24"/>
        </w:rPr>
        <w:t>потребителя).</w:t>
      </w:r>
    </w:p>
    <w:p w:rsidR="008A5AE7" w:rsidRDefault="00B91B4B" w:rsidP="00B91B4B">
      <w:pPr>
        <w:ind w:firstLine="284"/>
        <w:rPr>
          <w:szCs w:val="24"/>
        </w:rPr>
      </w:pPr>
      <w:r w:rsidRPr="00D337FA">
        <w:rPr>
          <w:szCs w:val="24"/>
        </w:rPr>
        <w:t>Страховая</w:t>
      </w:r>
      <w:r w:rsidR="006C680D" w:rsidRPr="00D337FA">
        <w:rPr>
          <w:szCs w:val="24"/>
        </w:rPr>
        <w:t xml:space="preserve"> </w:t>
      </w:r>
      <w:r w:rsidRPr="00D337FA">
        <w:rPr>
          <w:szCs w:val="24"/>
        </w:rPr>
        <w:t>компания</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ориентирована</w:t>
      </w:r>
      <w:r w:rsidR="006C680D" w:rsidRPr="00D337FA">
        <w:rPr>
          <w:szCs w:val="24"/>
        </w:rPr>
        <w:t xml:space="preserve"> </w:t>
      </w:r>
      <w:r w:rsidRPr="00D337FA">
        <w:rPr>
          <w:szCs w:val="24"/>
        </w:rPr>
        <w:t>на</w:t>
      </w:r>
      <w:r w:rsidR="006C680D" w:rsidRPr="00D337FA">
        <w:rPr>
          <w:szCs w:val="24"/>
        </w:rPr>
        <w:t xml:space="preserve"> </w:t>
      </w:r>
      <w:r w:rsidRPr="00D337FA">
        <w:rPr>
          <w:szCs w:val="24"/>
        </w:rPr>
        <w:t>использование</w:t>
      </w:r>
      <w:r w:rsidR="006C680D" w:rsidRPr="00D337FA">
        <w:rPr>
          <w:szCs w:val="24"/>
        </w:rPr>
        <w:t xml:space="preserve"> </w:t>
      </w:r>
      <w:r w:rsidR="000C1FE6" w:rsidRPr="00D337FA">
        <w:rPr>
          <w:szCs w:val="24"/>
        </w:rPr>
        <w:t>инновационного</w:t>
      </w:r>
      <w:r w:rsidR="006C680D" w:rsidRPr="00D337FA">
        <w:rPr>
          <w:szCs w:val="24"/>
        </w:rPr>
        <w:t xml:space="preserve"> </w:t>
      </w:r>
      <w:r w:rsidRPr="00D337FA">
        <w:rPr>
          <w:szCs w:val="24"/>
        </w:rPr>
        <w:t>конструкта</w:t>
      </w:r>
      <w:r w:rsidR="006C680D" w:rsidRPr="00D337FA">
        <w:rPr>
          <w:szCs w:val="24"/>
        </w:rPr>
        <w:t xml:space="preserve"> </w:t>
      </w:r>
      <w:r w:rsidRPr="00D337FA">
        <w:rPr>
          <w:szCs w:val="24"/>
        </w:rPr>
        <w:t>в</w:t>
      </w:r>
      <w:r w:rsidR="006C680D" w:rsidRPr="00D337FA">
        <w:rPr>
          <w:szCs w:val="24"/>
        </w:rPr>
        <w:t xml:space="preserve"> </w:t>
      </w:r>
      <w:r w:rsidRPr="00D337FA">
        <w:rPr>
          <w:szCs w:val="24"/>
        </w:rPr>
        <w:t>формате</w:t>
      </w:r>
      <w:r w:rsidR="006C680D" w:rsidRPr="00D337FA">
        <w:rPr>
          <w:szCs w:val="24"/>
        </w:rPr>
        <w:t xml:space="preserve"> </w:t>
      </w:r>
      <w:r w:rsidRPr="00D337FA">
        <w:rPr>
          <w:szCs w:val="24"/>
        </w:rPr>
        <w:t>применения</w:t>
      </w:r>
      <w:r w:rsidR="006C680D" w:rsidRPr="00D337FA">
        <w:rPr>
          <w:szCs w:val="24"/>
        </w:rPr>
        <w:t xml:space="preserve"> </w:t>
      </w:r>
      <w:r w:rsidRPr="00D337FA">
        <w:rPr>
          <w:szCs w:val="24"/>
        </w:rPr>
        <w:t>цифровых</w:t>
      </w:r>
      <w:r w:rsidR="006C680D" w:rsidRPr="00D337FA">
        <w:rPr>
          <w:szCs w:val="24"/>
        </w:rPr>
        <w:t xml:space="preserve"> </w:t>
      </w:r>
      <w:r w:rsidRPr="00D337FA">
        <w:rPr>
          <w:szCs w:val="24"/>
        </w:rPr>
        <w:t>инструментов.</w:t>
      </w:r>
      <w:r w:rsidR="006C680D" w:rsidRPr="00D337FA">
        <w:rPr>
          <w:szCs w:val="24"/>
        </w:rPr>
        <w:t xml:space="preserve"> </w:t>
      </w:r>
      <w:r w:rsidRPr="00D337FA">
        <w:rPr>
          <w:szCs w:val="24"/>
        </w:rPr>
        <w:t>При</w:t>
      </w:r>
      <w:r w:rsidR="006C680D" w:rsidRPr="00D337FA">
        <w:rPr>
          <w:szCs w:val="24"/>
        </w:rPr>
        <w:t xml:space="preserve"> </w:t>
      </w:r>
      <w:r w:rsidRPr="00D337FA">
        <w:rPr>
          <w:szCs w:val="24"/>
        </w:rPr>
        <w:t>этом</w:t>
      </w:r>
      <w:r w:rsidR="006C680D" w:rsidRPr="00D337FA">
        <w:rPr>
          <w:szCs w:val="24"/>
        </w:rPr>
        <w:t xml:space="preserve"> </w:t>
      </w:r>
      <w:r w:rsidRPr="00D337FA">
        <w:rPr>
          <w:szCs w:val="24"/>
        </w:rPr>
        <w:t>стратегическим</w:t>
      </w:r>
      <w:r w:rsidR="006C680D" w:rsidRPr="00D337FA">
        <w:rPr>
          <w:szCs w:val="24"/>
        </w:rPr>
        <w:t xml:space="preserve"> </w:t>
      </w:r>
      <w:r w:rsidRPr="00D337FA">
        <w:rPr>
          <w:szCs w:val="24"/>
        </w:rPr>
        <w:t>целеполаганием</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занятие</w:t>
      </w:r>
      <w:r w:rsidR="006C680D" w:rsidRPr="00D337FA">
        <w:rPr>
          <w:szCs w:val="24"/>
        </w:rPr>
        <w:t xml:space="preserve"> </w:t>
      </w:r>
      <w:r w:rsidRPr="00D337FA">
        <w:rPr>
          <w:szCs w:val="24"/>
        </w:rPr>
        <w:t>лидерских</w:t>
      </w:r>
      <w:r w:rsidR="006C680D" w:rsidRPr="00D337FA">
        <w:rPr>
          <w:szCs w:val="24"/>
        </w:rPr>
        <w:t xml:space="preserve"> </w:t>
      </w:r>
      <w:r w:rsidR="000C1FE6" w:rsidRPr="00D337FA">
        <w:rPr>
          <w:szCs w:val="24"/>
        </w:rPr>
        <w:t>позиций</w:t>
      </w:r>
      <w:r w:rsidR="006C680D" w:rsidRPr="00D337FA">
        <w:rPr>
          <w:szCs w:val="24"/>
        </w:rPr>
        <w:t xml:space="preserve"> </w:t>
      </w:r>
      <w:r w:rsidRPr="00D337FA">
        <w:rPr>
          <w:szCs w:val="24"/>
        </w:rPr>
        <w:t>в</w:t>
      </w:r>
      <w:r w:rsidR="006C680D" w:rsidRPr="00D337FA">
        <w:rPr>
          <w:szCs w:val="24"/>
        </w:rPr>
        <w:t xml:space="preserve"> </w:t>
      </w:r>
      <w:r w:rsidRPr="00D337FA">
        <w:rPr>
          <w:szCs w:val="24"/>
        </w:rPr>
        <w:t>сегменте</w:t>
      </w:r>
      <w:r w:rsidR="006C680D" w:rsidRPr="00D337FA">
        <w:rPr>
          <w:szCs w:val="24"/>
        </w:rPr>
        <w:t xml:space="preserve"> </w:t>
      </w:r>
      <w:r w:rsidRPr="00D337FA">
        <w:rPr>
          <w:szCs w:val="24"/>
        </w:rPr>
        <w:t>«проактивного</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страхования»</w:t>
      </w:r>
      <w:r w:rsidR="006C680D" w:rsidRPr="00D337FA">
        <w:rPr>
          <w:szCs w:val="24"/>
        </w:rPr>
        <w:t xml:space="preserve"> </w:t>
      </w:r>
      <w:r w:rsidRPr="00D337FA">
        <w:rPr>
          <w:szCs w:val="24"/>
        </w:rPr>
        <w:t>для</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всех</w:t>
      </w:r>
      <w:r w:rsidR="006C680D" w:rsidRPr="00D337FA">
        <w:rPr>
          <w:szCs w:val="24"/>
        </w:rPr>
        <w:t xml:space="preserve"> </w:t>
      </w:r>
      <w:r w:rsidRPr="00D337FA">
        <w:rPr>
          <w:szCs w:val="24"/>
        </w:rPr>
        <w:t>категорий,</w:t>
      </w:r>
      <w:r w:rsidR="006C680D" w:rsidRPr="00D337FA">
        <w:rPr>
          <w:szCs w:val="24"/>
        </w:rPr>
        <w:t xml:space="preserve"> </w:t>
      </w:r>
      <w:r w:rsidRPr="00D337FA">
        <w:rPr>
          <w:szCs w:val="24"/>
        </w:rPr>
        <w:t>включая</w:t>
      </w:r>
      <w:r w:rsidR="006C680D" w:rsidRPr="00D337FA">
        <w:rPr>
          <w:szCs w:val="24"/>
        </w:rPr>
        <w:t xml:space="preserve"> </w:t>
      </w:r>
      <w:r w:rsidRPr="00D337FA">
        <w:rPr>
          <w:szCs w:val="24"/>
        </w:rPr>
        <w:t>организации</w:t>
      </w:r>
      <w:r w:rsidR="006C680D" w:rsidRPr="00D337FA">
        <w:rPr>
          <w:szCs w:val="24"/>
        </w:rPr>
        <w:t xml:space="preserve"> </w:t>
      </w:r>
      <w:r w:rsidRPr="00D337FA">
        <w:rPr>
          <w:szCs w:val="24"/>
        </w:rPr>
        <w:t>малого,</w:t>
      </w:r>
      <w:r w:rsidR="006C680D" w:rsidRPr="00D337FA">
        <w:rPr>
          <w:szCs w:val="24"/>
        </w:rPr>
        <w:t xml:space="preserve"> </w:t>
      </w:r>
      <w:r w:rsidRPr="00D337FA">
        <w:rPr>
          <w:szCs w:val="24"/>
        </w:rPr>
        <w:t>среднего</w:t>
      </w:r>
      <w:r w:rsidR="006C680D" w:rsidRPr="00D337FA">
        <w:rPr>
          <w:szCs w:val="24"/>
        </w:rPr>
        <w:t xml:space="preserve"> </w:t>
      </w:r>
      <w:r w:rsidRPr="00D337FA">
        <w:rPr>
          <w:szCs w:val="24"/>
        </w:rPr>
        <w:t>бизнеса,</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крупных</w:t>
      </w:r>
      <w:r w:rsidR="006C680D" w:rsidRPr="00D337FA">
        <w:rPr>
          <w:szCs w:val="24"/>
        </w:rPr>
        <w:t xml:space="preserve"> </w:t>
      </w:r>
      <w:r w:rsidRPr="00D337FA">
        <w:rPr>
          <w:szCs w:val="24"/>
        </w:rPr>
        <w:t>корпоративных</w:t>
      </w:r>
      <w:r w:rsidR="006C680D" w:rsidRPr="00D337FA">
        <w:rPr>
          <w:szCs w:val="24"/>
        </w:rPr>
        <w:t xml:space="preserve"> </w:t>
      </w:r>
      <w:r w:rsidRPr="00D337FA">
        <w:rPr>
          <w:szCs w:val="24"/>
        </w:rPr>
        <w:t>клиентов</w:t>
      </w:r>
      <w:r w:rsidR="006C680D" w:rsidRPr="00D337FA">
        <w:rPr>
          <w:szCs w:val="24"/>
        </w:rPr>
        <w:t xml:space="preserve"> </w:t>
      </w:r>
      <w:r w:rsidRPr="00D337FA">
        <w:rPr>
          <w:szCs w:val="24"/>
        </w:rPr>
        <w:t>(табл.</w:t>
      </w:r>
      <w:r w:rsidR="006C680D" w:rsidRPr="00D337FA">
        <w:rPr>
          <w:szCs w:val="24"/>
        </w:rPr>
        <w:t xml:space="preserve"> </w:t>
      </w:r>
      <w:r w:rsidR="000C1FE6" w:rsidRPr="00D337FA">
        <w:rPr>
          <w:szCs w:val="24"/>
        </w:rPr>
        <w:t>5</w:t>
      </w:r>
      <w:r w:rsidRPr="00D337FA">
        <w:rPr>
          <w:szCs w:val="24"/>
        </w:rPr>
        <w:t>)</w:t>
      </w:r>
      <w:r w:rsidR="006C680D" w:rsidRPr="00D337FA">
        <w:rPr>
          <w:szCs w:val="24"/>
        </w:rPr>
        <w:t xml:space="preserve"> </w:t>
      </w:r>
      <w:r w:rsidRPr="00D337FA">
        <w:rPr>
          <w:szCs w:val="24"/>
        </w:rPr>
        <w:t>[</w:t>
      </w:r>
      <w:r w:rsidR="00231534" w:rsidRPr="00D337FA">
        <w:rPr>
          <w:szCs w:val="24"/>
        </w:rPr>
        <w:t>6</w:t>
      </w:r>
      <w:r w:rsidRPr="00D337FA">
        <w:rPr>
          <w:szCs w:val="24"/>
        </w:rPr>
        <w:t>,</w:t>
      </w:r>
      <w:r w:rsidR="006C680D" w:rsidRPr="00D337FA">
        <w:rPr>
          <w:szCs w:val="24"/>
        </w:rPr>
        <w:t xml:space="preserve"> </w:t>
      </w:r>
      <w:r w:rsidRPr="00D337FA">
        <w:rPr>
          <w:szCs w:val="24"/>
        </w:rPr>
        <w:t>1</w:t>
      </w:r>
      <w:r w:rsidR="00231534" w:rsidRPr="00D337FA">
        <w:rPr>
          <w:szCs w:val="24"/>
        </w:rPr>
        <w:t>4</w:t>
      </w:r>
      <w:r w:rsidRPr="00D337FA">
        <w:rPr>
          <w:szCs w:val="24"/>
        </w:rPr>
        <w:t>,</w:t>
      </w:r>
      <w:r w:rsidR="006C680D" w:rsidRPr="00D337FA">
        <w:rPr>
          <w:szCs w:val="24"/>
        </w:rPr>
        <w:t xml:space="preserve"> </w:t>
      </w:r>
      <w:r w:rsidRPr="00D337FA">
        <w:rPr>
          <w:szCs w:val="24"/>
        </w:rPr>
        <w:t>1</w:t>
      </w:r>
      <w:r w:rsidR="00231534" w:rsidRPr="00D337FA">
        <w:rPr>
          <w:szCs w:val="24"/>
        </w:rPr>
        <w:t>6</w:t>
      </w:r>
      <w:r w:rsidRPr="00D337FA">
        <w:rPr>
          <w:szCs w:val="24"/>
        </w:rPr>
        <w:t>,</w:t>
      </w:r>
      <w:r w:rsidR="006C680D" w:rsidRPr="00D337FA">
        <w:rPr>
          <w:szCs w:val="24"/>
        </w:rPr>
        <w:t xml:space="preserve"> </w:t>
      </w:r>
      <w:r w:rsidRPr="00D337FA">
        <w:rPr>
          <w:szCs w:val="24"/>
        </w:rPr>
        <w:t>2</w:t>
      </w:r>
      <w:r w:rsidR="00231534" w:rsidRPr="00D337FA">
        <w:rPr>
          <w:szCs w:val="24"/>
        </w:rPr>
        <w:t>0</w:t>
      </w:r>
      <w:r w:rsidRPr="00D337FA">
        <w:rPr>
          <w:szCs w:val="24"/>
        </w:rPr>
        <w:t>,</w:t>
      </w:r>
      <w:r w:rsidR="006C680D" w:rsidRPr="00D337FA">
        <w:rPr>
          <w:szCs w:val="24"/>
        </w:rPr>
        <w:t xml:space="preserve"> </w:t>
      </w:r>
      <w:r w:rsidRPr="00D337FA">
        <w:rPr>
          <w:szCs w:val="24"/>
        </w:rPr>
        <w:t>2</w:t>
      </w:r>
      <w:r w:rsidR="00231534" w:rsidRPr="00D337FA">
        <w:rPr>
          <w:szCs w:val="24"/>
        </w:rPr>
        <w:t>4</w:t>
      </w:r>
      <w:r w:rsidRPr="00D337FA">
        <w:rPr>
          <w:szCs w:val="24"/>
        </w:rPr>
        <w:t>,</w:t>
      </w:r>
      <w:r w:rsidR="006C680D" w:rsidRPr="00D337FA">
        <w:rPr>
          <w:szCs w:val="24"/>
        </w:rPr>
        <w:t xml:space="preserve"> </w:t>
      </w:r>
      <w:r w:rsidRPr="00D337FA">
        <w:rPr>
          <w:szCs w:val="24"/>
        </w:rPr>
        <w:t>2</w:t>
      </w:r>
      <w:r w:rsidR="00231534" w:rsidRPr="00D337FA">
        <w:rPr>
          <w:szCs w:val="24"/>
        </w:rPr>
        <w:t>6</w:t>
      </w:r>
      <w:r w:rsidRPr="00D337FA">
        <w:rPr>
          <w:szCs w:val="24"/>
        </w:rPr>
        <w:t>].</w:t>
      </w:r>
      <w:r w:rsidR="006C680D" w:rsidRPr="00D337FA">
        <w:rPr>
          <w:szCs w:val="24"/>
        </w:rPr>
        <w:t xml:space="preserve"> </w:t>
      </w:r>
    </w:p>
    <w:p w:rsidR="008A5AE7" w:rsidRDefault="008A5AE7" w:rsidP="00B91B4B">
      <w:pPr>
        <w:ind w:firstLine="284"/>
        <w:rPr>
          <w:szCs w:val="24"/>
        </w:rPr>
      </w:pPr>
      <w:r w:rsidRPr="00D337FA">
        <w:rPr>
          <w:szCs w:val="24"/>
        </w:rPr>
        <w:t xml:space="preserve">Можно предложить следующие протоколы реализации стратегии цифрового </w:t>
      </w:r>
      <w:r w:rsidRPr="00D337FA">
        <w:rPr>
          <w:szCs w:val="24"/>
        </w:rPr>
        <w:lastRenderedPageBreak/>
        <w:t>партнерства. Структурная архитектоника стратегии цифрового партнерства в страховом бизнесе предполагает имплементацию трех взаимоувязанных протоколов: технологического, диверсификационного и автоматизационного.</w:t>
      </w:r>
    </w:p>
    <w:p w:rsidR="008A5AE7" w:rsidRPr="00D337FA" w:rsidRDefault="008A5AE7" w:rsidP="008A5AE7">
      <w:pPr>
        <w:ind w:firstLine="284"/>
        <w:rPr>
          <w:szCs w:val="24"/>
        </w:rPr>
      </w:pPr>
      <w:r w:rsidRPr="00D337FA">
        <w:rPr>
          <w:szCs w:val="24"/>
        </w:rPr>
        <w:t>Технологический протокол базируется на формировании интегративной цифровой платформы, ядром которой выступает создание цифрового двойника безопасности клиента, осуществляющего в режиме реального времени предиктивный анализ рисков и генерацию релевантных рекомендаций [6, 7, 9, 13, 15, 27]. Практическая реализация данного направления включает: консолидацию гетерогенных данных в едином хранилище (полисы, телематические параметры, транзакционная активность, пользовательское поведение в приложении, показатели IoT-устройств, календарь событий, навигационные данные и метрики «умного дома»); применение нейросетевых алгоритмов для прогнозирования индивидуализированных рисков на основе максимально широкого спектра параметров; а также интеграцию с экосистемой партнеров посредством предоставления сторонним сервисам возможности встраивать микростраховые продукты, что обеспечивает органичную инкорпорацию страховой защиты в ткань повседневных потребительских практик [16, 18, 20, 22, 24].</w:t>
      </w:r>
    </w:p>
    <w:p w:rsidR="006E4221" w:rsidRPr="00D337FA" w:rsidRDefault="006E4221" w:rsidP="006E4221">
      <w:pPr>
        <w:ind w:firstLine="0"/>
        <w:rPr>
          <w:sz w:val="28"/>
          <w:szCs w:val="22"/>
        </w:rPr>
        <w:sectPr w:rsidR="006E4221" w:rsidRPr="00D337FA" w:rsidSect="006E4221">
          <w:footnotePr>
            <w:numRestart w:val="eachPage"/>
          </w:footnotePr>
          <w:type w:val="continuous"/>
          <w:pgSz w:w="11907" w:h="16840" w:code="9"/>
          <w:pgMar w:top="1418" w:right="1134" w:bottom="1418" w:left="1134" w:header="1021" w:footer="1021" w:gutter="0"/>
          <w:cols w:num="2" w:space="708"/>
          <w:docGrid w:linePitch="360"/>
        </w:sectPr>
      </w:pPr>
    </w:p>
    <w:p w:rsidR="006E4221" w:rsidRPr="00D337FA" w:rsidRDefault="006E4221" w:rsidP="00A86B27">
      <w:pPr>
        <w:ind w:firstLine="142"/>
        <w:jc w:val="right"/>
        <w:rPr>
          <w:rFonts w:ascii="Arial" w:hAnsi="Arial" w:cs="Arial"/>
          <w:i/>
          <w:sz w:val="22"/>
          <w:szCs w:val="22"/>
        </w:rPr>
      </w:pPr>
      <w:r w:rsidRPr="00D337FA">
        <w:rPr>
          <w:rFonts w:ascii="Arial" w:hAnsi="Arial" w:cs="Arial"/>
          <w:i/>
          <w:sz w:val="22"/>
          <w:szCs w:val="22"/>
        </w:rPr>
        <w:lastRenderedPageBreak/>
        <w:t>Таблица</w:t>
      </w:r>
      <w:r w:rsidR="006C680D" w:rsidRPr="00D337FA">
        <w:rPr>
          <w:rFonts w:ascii="Arial" w:hAnsi="Arial" w:cs="Arial"/>
          <w:i/>
          <w:sz w:val="22"/>
          <w:szCs w:val="22"/>
        </w:rPr>
        <w:t xml:space="preserve"> </w:t>
      </w:r>
      <w:r w:rsidR="000C1FE6" w:rsidRPr="00D337FA">
        <w:rPr>
          <w:rFonts w:ascii="Arial" w:hAnsi="Arial" w:cs="Arial"/>
          <w:i/>
          <w:sz w:val="22"/>
          <w:szCs w:val="22"/>
        </w:rPr>
        <w:t>5</w:t>
      </w:r>
    </w:p>
    <w:p w:rsidR="00B91B4B" w:rsidRPr="00D337FA" w:rsidRDefault="00B91B4B" w:rsidP="000C1FE6">
      <w:pPr>
        <w:ind w:firstLine="142"/>
        <w:jc w:val="center"/>
      </w:pPr>
      <w:r w:rsidRPr="00D337FA">
        <w:rPr>
          <w:rFonts w:ascii="Arial" w:hAnsi="Arial" w:cs="Arial"/>
          <w:i/>
          <w:sz w:val="22"/>
          <w:szCs w:val="22"/>
        </w:rPr>
        <w:t>Цикличность</w:t>
      </w:r>
      <w:r w:rsidR="006C680D" w:rsidRPr="00D337FA">
        <w:rPr>
          <w:rFonts w:ascii="Arial" w:hAnsi="Arial" w:cs="Arial"/>
          <w:i/>
          <w:sz w:val="22"/>
          <w:szCs w:val="22"/>
        </w:rPr>
        <w:t xml:space="preserve"> </w:t>
      </w:r>
      <w:r w:rsidRPr="00D337FA">
        <w:rPr>
          <w:rFonts w:ascii="Arial" w:hAnsi="Arial" w:cs="Arial"/>
          <w:i/>
          <w:sz w:val="22"/>
          <w:szCs w:val="22"/>
        </w:rPr>
        <w:t>стратегии</w:t>
      </w:r>
      <w:r w:rsidR="006C680D" w:rsidRPr="00D337FA">
        <w:rPr>
          <w:rFonts w:ascii="Arial" w:hAnsi="Arial" w:cs="Arial"/>
          <w:i/>
          <w:sz w:val="22"/>
          <w:szCs w:val="22"/>
        </w:rPr>
        <w:t xml:space="preserve"> </w:t>
      </w:r>
      <w:r w:rsidRPr="00D337FA">
        <w:rPr>
          <w:rFonts w:ascii="Arial" w:hAnsi="Arial" w:cs="Arial"/>
          <w:i/>
          <w:sz w:val="22"/>
          <w:szCs w:val="22"/>
        </w:rPr>
        <w:t>управления</w:t>
      </w:r>
      <w:r w:rsidR="006C680D" w:rsidRPr="00D337FA">
        <w:rPr>
          <w:rFonts w:ascii="Arial" w:hAnsi="Arial" w:cs="Arial"/>
          <w:i/>
          <w:sz w:val="22"/>
          <w:szCs w:val="22"/>
        </w:rPr>
        <w:t xml:space="preserve"> </w:t>
      </w:r>
      <w:r w:rsidRPr="00D337FA">
        <w:rPr>
          <w:rFonts w:ascii="Arial" w:hAnsi="Arial" w:cs="Arial"/>
          <w:i/>
          <w:sz w:val="22"/>
          <w:szCs w:val="22"/>
        </w:rPr>
        <w:t>процессом</w:t>
      </w:r>
      <w:r w:rsidR="006C680D" w:rsidRPr="00D337FA">
        <w:rPr>
          <w:rFonts w:ascii="Arial" w:hAnsi="Arial" w:cs="Arial"/>
          <w:i/>
          <w:sz w:val="22"/>
          <w:szCs w:val="22"/>
        </w:rPr>
        <w:t xml:space="preserve"> </w:t>
      </w:r>
      <w:r w:rsidRPr="00D337FA">
        <w:rPr>
          <w:rFonts w:ascii="Arial" w:hAnsi="Arial" w:cs="Arial"/>
          <w:i/>
          <w:sz w:val="22"/>
          <w:szCs w:val="22"/>
        </w:rPr>
        <w:t>формирования</w:t>
      </w:r>
      <w:r w:rsidR="006C680D" w:rsidRPr="00D337FA">
        <w:rPr>
          <w:rFonts w:ascii="Arial" w:hAnsi="Arial" w:cs="Arial"/>
          <w:i/>
          <w:sz w:val="22"/>
          <w:szCs w:val="22"/>
        </w:rPr>
        <w:t xml:space="preserve"> </w:t>
      </w:r>
      <w:r w:rsidRPr="00D337FA">
        <w:rPr>
          <w:rFonts w:ascii="Arial" w:hAnsi="Arial" w:cs="Arial"/>
          <w:i/>
          <w:sz w:val="22"/>
          <w:szCs w:val="22"/>
        </w:rPr>
        <w:t>конкурентных</w:t>
      </w:r>
      <w:r w:rsidR="006C680D" w:rsidRPr="00D337FA">
        <w:rPr>
          <w:rFonts w:ascii="Arial" w:hAnsi="Arial" w:cs="Arial"/>
          <w:i/>
          <w:sz w:val="22"/>
          <w:szCs w:val="22"/>
        </w:rPr>
        <w:t xml:space="preserve"> </w:t>
      </w:r>
      <w:r w:rsidRPr="00D337FA">
        <w:rPr>
          <w:rFonts w:ascii="Arial" w:hAnsi="Arial" w:cs="Arial"/>
          <w:i/>
          <w:sz w:val="22"/>
          <w:szCs w:val="22"/>
        </w:rPr>
        <w:t>преимуществ</w:t>
      </w:r>
      <w:r w:rsidR="006C680D" w:rsidRPr="00D337FA">
        <w:rPr>
          <w:rFonts w:ascii="Arial" w:hAnsi="Arial" w:cs="Arial"/>
          <w:i/>
          <w:sz w:val="22"/>
          <w:szCs w:val="22"/>
        </w:rPr>
        <w:t xml:space="preserve"> </w:t>
      </w:r>
      <w:r w:rsidRPr="00D337FA">
        <w:rPr>
          <w:rFonts w:ascii="Arial" w:hAnsi="Arial" w:cs="Arial"/>
          <w:i/>
          <w:sz w:val="22"/>
          <w:szCs w:val="22"/>
        </w:rPr>
        <w:t>на</w:t>
      </w:r>
      <w:r w:rsidR="006C680D" w:rsidRPr="00D337FA">
        <w:rPr>
          <w:rFonts w:ascii="Arial" w:hAnsi="Arial" w:cs="Arial"/>
          <w:i/>
          <w:sz w:val="22"/>
          <w:szCs w:val="22"/>
        </w:rPr>
        <w:t xml:space="preserve"> </w:t>
      </w:r>
      <w:r w:rsidRPr="00D337FA">
        <w:rPr>
          <w:rFonts w:ascii="Arial" w:hAnsi="Arial" w:cs="Arial"/>
          <w:i/>
          <w:sz w:val="22"/>
          <w:szCs w:val="22"/>
        </w:rPr>
        <w:t>рынке</w:t>
      </w:r>
      <w:r w:rsidR="006C680D" w:rsidRPr="00D337FA">
        <w:rPr>
          <w:rFonts w:ascii="Arial" w:hAnsi="Arial" w:cs="Arial"/>
          <w:i/>
          <w:sz w:val="22"/>
          <w:szCs w:val="22"/>
        </w:rPr>
        <w:t xml:space="preserve"> </w:t>
      </w:r>
      <w:r w:rsidRPr="00D337FA">
        <w:rPr>
          <w:rFonts w:ascii="Arial" w:hAnsi="Arial" w:cs="Arial"/>
          <w:i/>
          <w:sz w:val="22"/>
          <w:szCs w:val="22"/>
        </w:rPr>
        <w:t>страховых</w:t>
      </w:r>
      <w:r w:rsidR="006C680D" w:rsidRPr="00D337FA">
        <w:rPr>
          <w:rFonts w:ascii="Arial" w:hAnsi="Arial" w:cs="Arial"/>
          <w:i/>
          <w:sz w:val="22"/>
          <w:szCs w:val="22"/>
        </w:rPr>
        <w:t xml:space="preserve"> </w:t>
      </w:r>
      <w:r w:rsidRPr="00D337FA">
        <w:rPr>
          <w:rFonts w:ascii="Arial" w:hAnsi="Arial" w:cs="Arial"/>
          <w:i/>
          <w:sz w:val="22"/>
          <w:szCs w:val="22"/>
        </w:rPr>
        <w:t>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6491"/>
        <w:gridCol w:w="1694"/>
      </w:tblGrid>
      <w:tr w:rsidR="00D337FA" w:rsidRPr="004577D3" w:rsidTr="000C1FE6">
        <w:tc>
          <w:tcPr>
            <w:tcW w:w="1555" w:type="dxa"/>
          </w:tcPr>
          <w:p w:rsidR="00B91B4B" w:rsidRPr="004577D3" w:rsidRDefault="00B91B4B" w:rsidP="000C1FE6">
            <w:pPr>
              <w:tabs>
                <w:tab w:val="left" w:pos="993"/>
              </w:tabs>
              <w:ind w:firstLine="0"/>
              <w:jc w:val="center"/>
              <w:rPr>
                <w:b/>
                <w:sz w:val="20"/>
                <w:szCs w:val="20"/>
              </w:rPr>
            </w:pPr>
            <w:r w:rsidRPr="004577D3">
              <w:rPr>
                <w:b/>
                <w:sz w:val="20"/>
                <w:szCs w:val="20"/>
              </w:rPr>
              <w:t>Содержание</w:t>
            </w:r>
            <w:r w:rsidR="006C680D" w:rsidRPr="004577D3">
              <w:rPr>
                <w:b/>
                <w:sz w:val="20"/>
                <w:szCs w:val="20"/>
              </w:rPr>
              <w:t xml:space="preserve"> </w:t>
            </w:r>
            <w:r w:rsidRPr="004577D3">
              <w:rPr>
                <w:b/>
                <w:sz w:val="20"/>
                <w:szCs w:val="20"/>
              </w:rPr>
              <w:t>цикла</w:t>
            </w:r>
          </w:p>
        </w:tc>
        <w:tc>
          <w:tcPr>
            <w:tcW w:w="6491" w:type="dxa"/>
          </w:tcPr>
          <w:p w:rsidR="00B91B4B" w:rsidRPr="004577D3" w:rsidRDefault="00B91B4B" w:rsidP="000C1FE6">
            <w:pPr>
              <w:tabs>
                <w:tab w:val="left" w:pos="993"/>
              </w:tabs>
              <w:ind w:firstLine="0"/>
              <w:jc w:val="center"/>
              <w:rPr>
                <w:b/>
                <w:sz w:val="20"/>
                <w:szCs w:val="20"/>
              </w:rPr>
            </w:pPr>
            <w:r w:rsidRPr="004577D3">
              <w:rPr>
                <w:b/>
                <w:sz w:val="20"/>
                <w:szCs w:val="20"/>
              </w:rPr>
              <w:t>Направленность</w:t>
            </w:r>
            <w:r w:rsidR="006C680D" w:rsidRPr="004577D3">
              <w:rPr>
                <w:b/>
                <w:sz w:val="20"/>
                <w:szCs w:val="20"/>
              </w:rPr>
              <w:t xml:space="preserve"> </w:t>
            </w:r>
            <w:r w:rsidRPr="004577D3">
              <w:rPr>
                <w:b/>
                <w:sz w:val="20"/>
                <w:szCs w:val="20"/>
              </w:rPr>
              <w:t>цикла</w:t>
            </w:r>
          </w:p>
        </w:tc>
        <w:tc>
          <w:tcPr>
            <w:tcW w:w="1694" w:type="dxa"/>
          </w:tcPr>
          <w:p w:rsidR="00B91B4B" w:rsidRPr="004577D3" w:rsidRDefault="00B91B4B" w:rsidP="000C1FE6">
            <w:pPr>
              <w:tabs>
                <w:tab w:val="left" w:pos="993"/>
              </w:tabs>
              <w:ind w:firstLine="0"/>
              <w:jc w:val="center"/>
              <w:rPr>
                <w:b/>
                <w:sz w:val="20"/>
                <w:szCs w:val="20"/>
              </w:rPr>
            </w:pPr>
            <w:r w:rsidRPr="004577D3">
              <w:rPr>
                <w:b/>
                <w:sz w:val="20"/>
                <w:szCs w:val="20"/>
              </w:rPr>
              <w:t>Показатели</w:t>
            </w:r>
            <w:r w:rsidR="006C680D" w:rsidRPr="004577D3">
              <w:rPr>
                <w:b/>
                <w:sz w:val="20"/>
                <w:szCs w:val="20"/>
              </w:rPr>
              <w:t xml:space="preserve"> </w:t>
            </w:r>
            <w:r w:rsidRPr="004577D3">
              <w:rPr>
                <w:b/>
                <w:sz w:val="20"/>
                <w:szCs w:val="20"/>
              </w:rPr>
              <w:t>достижения</w:t>
            </w:r>
            <w:r w:rsidR="006C680D" w:rsidRPr="004577D3">
              <w:rPr>
                <w:b/>
                <w:sz w:val="20"/>
                <w:szCs w:val="20"/>
              </w:rPr>
              <w:t xml:space="preserve"> </w:t>
            </w:r>
            <w:r w:rsidRPr="004577D3">
              <w:rPr>
                <w:b/>
                <w:sz w:val="20"/>
                <w:szCs w:val="20"/>
              </w:rPr>
              <w:t>цели</w:t>
            </w:r>
          </w:p>
        </w:tc>
      </w:tr>
      <w:tr w:rsidR="00D337FA" w:rsidRPr="004577D3" w:rsidTr="000C1FE6">
        <w:tc>
          <w:tcPr>
            <w:tcW w:w="1555" w:type="dxa"/>
          </w:tcPr>
          <w:p w:rsidR="00B91B4B" w:rsidRPr="004577D3" w:rsidRDefault="00B91B4B" w:rsidP="000C1FE6">
            <w:pPr>
              <w:tabs>
                <w:tab w:val="left" w:pos="993"/>
              </w:tabs>
              <w:ind w:firstLine="0"/>
              <w:rPr>
                <w:sz w:val="20"/>
                <w:szCs w:val="20"/>
              </w:rPr>
            </w:pPr>
            <w:r w:rsidRPr="004577D3">
              <w:rPr>
                <w:sz w:val="20"/>
                <w:szCs w:val="20"/>
              </w:rPr>
              <w:t>Диагностика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формирование</w:t>
            </w:r>
            <w:r w:rsidR="006C680D" w:rsidRPr="004577D3">
              <w:rPr>
                <w:sz w:val="20"/>
                <w:szCs w:val="20"/>
              </w:rPr>
              <w:t xml:space="preserve"> </w:t>
            </w:r>
            <w:r w:rsidRPr="004577D3">
              <w:rPr>
                <w:sz w:val="20"/>
                <w:szCs w:val="20"/>
              </w:rPr>
              <w:t>клиентской</w:t>
            </w:r>
            <w:r w:rsidR="006C680D" w:rsidRPr="004577D3">
              <w:rPr>
                <w:sz w:val="20"/>
                <w:szCs w:val="20"/>
              </w:rPr>
              <w:t xml:space="preserve"> </w:t>
            </w:r>
            <w:r w:rsidRPr="004577D3">
              <w:rPr>
                <w:sz w:val="20"/>
                <w:szCs w:val="20"/>
              </w:rPr>
              <w:t>ниши</w:t>
            </w:r>
            <w:r w:rsidR="006C680D" w:rsidRPr="004577D3">
              <w:rPr>
                <w:sz w:val="20"/>
                <w:szCs w:val="20"/>
              </w:rPr>
              <w:t xml:space="preserve"> </w:t>
            </w:r>
          </w:p>
        </w:tc>
        <w:tc>
          <w:tcPr>
            <w:tcW w:w="6491"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Детальный</w:t>
            </w:r>
            <w:r w:rsidR="006C680D" w:rsidRPr="004577D3">
              <w:rPr>
                <w:sz w:val="20"/>
                <w:szCs w:val="20"/>
              </w:rPr>
              <w:t xml:space="preserve"> </w:t>
            </w:r>
            <w:r w:rsidRPr="004577D3">
              <w:rPr>
                <w:sz w:val="20"/>
                <w:szCs w:val="20"/>
              </w:rPr>
              <w:t>анализ</w:t>
            </w:r>
            <w:r w:rsidR="006C680D" w:rsidRPr="004577D3">
              <w:rPr>
                <w:sz w:val="20"/>
                <w:szCs w:val="20"/>
              </w:rPr>
              <w:t xml:space="preserve"> </w:t>
            </w:r>
            <w:r w:rsidRPr="004577D3">
              <w:rPr>
                <w:sz w:val="20"/>
                <w:szCs w:val="20"/>
              </w:rPr>
              <w:t>аудитории</w:t>
            </w:r>
            <w:r w:rsidR="006C680D" w:rsidRPr="004577D3">
              <w:rPr>
                <w:sz w:val="20"/>
                <w:szCs w:val="20"/>
              </w:rPr>
              <w:t xml:space="preserve"> </w:t>
            </w:r>
            <w:r w:rsidRPr="004577D3">
              <w:rPr>
                <w:sz w:val="20"/>
                <w:szCs w:val="20"/>
              </w:rPr>
              <w:t>(сегментация</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цифровой</w:t>
            </w:r>
            <w:r w:rsidR="006C680D" w:rsidRPr="004577D3">
              <w:rPr>
                <w:sz w:val="20"/>
                <w:szCs w:val="20"/>
              </w:rPr>
              <w:t xml:space="preserve"> </w:t>
            </w:r>
            <w:r w:rsidRPr="004577D3">
              <w:rPr>
                <w:sz w:val="20"/>
                <w:szCs w:val="20"/>
              </w:rPr>
              <w:t>зрелости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отношению</w:t>
            </w:r>
            <w:r w:rsidR="006C680D" w:rsidRPr="004577D3">
              <w:rPr>
                <w:sz w:val="20"/>
                <w:szCs w:val="20"/>
              </w:rPr>
              <w:t xml:space="preserve"> </w:t>
            </w:r>
            <w:r w:rsidRPr="004577D3">
              <w:rPr>
                <w:sz w:val="20"/>
                <w:szCs w:val="20"/>
              </w:rPr>
              <w:t>к</w:t>
            </w:r>
            <w:r w:rsidR="006C680D" w:rsidRPr="004577D3">
              <w:rPr>
                <w:sz w:val="20"/>
                <w:szCs w:val="20"/>
              </w:rPr>
              <w:t xml:space="preserve"> </w:t>
            </w:r>
            <w:r w:rsidRPr="004577D3">
              <w:rPr>
                <w:sz w:val="20"/>
                <w:szCs w:val="20"/>
              </w:rPr>
              <w:t>рискам,</w:t>
            </w:r>
            <w:r w:rsidR="006C680D" w:rsidRPr="004577D3">
              <w:rPr>
                <w:sz w:val="20"/>
                <w:szCs w:val="20"/>
              </w:rPr>
              <w:t xml:space="preserve"> </w:t>
            </w:r>
            <w:r w:rsidRPr="004577D3">
              <w:rPr>
                <w:sz w:val="20"/>
                <w:szCs w:val="20"/>
              </w:rPr>
              <w:t>карта</w:t>
            </w:r>
            <w:r w:rsidR="006C680D" w:rsidRPr="004577D3">
              <w:rPr>
                <w:sz w:val="20"/>
                <w:szCs w:val="20"/>
              </w:rPr>
              <w:t xml:space="preserve"> </w:t>
            </w:r>
            <w:r w:rsidRPr="004577D3">
              <w:rPr>
                <w:sz w:val="20"/>
                <w:szCs w:val="20"/>
              </w:rPr>
              <w:t>путешествия</w:t>
            </w:r>
            <w:r w:rsidR="006C680D" w:rsidRPr="004577D3">
              <w:rPr>
                <w:sz w:val="20"/>
                <w:szCs w:val="20"/>
              </w:rPr>
              <w:t xml:space="preserve"> </w:t>
            </w:r>
            <w:r w:rsidRPr="004577D3">
              <w:rPr>
                <w:sz w:val="20"/>
                <w:szCs w:val="20"/>
              </w:rPr>
              <w:t>клиента</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точками</w:t>
            </w:r>
            <w:r w:rsidR="006C680D" w:rsidRPr="004577D3">
              <w:rPr>
                <w:sz w:val="20"/>
                <w:szCs w:val="20"/>
              </w:rPr>
              <w:t xml:space="preserve"> </w:t>
            </w:r>
            <w:r w:rsidRPr="004577D3">
              <w:rPr>
                <w:sz w:val="20"/>
                <w:szCs w:val="20"/>
              </w:rPr>
              <w:t>боли,</w:t>
            </w:r>
            <w:r w:rsidR="006C680D" w:rsidRPr="004577D3">
              <w:rPr>
                <w:sz w:val="20"/>
                <w:szCs w:val="20"/>
              </w:rPr>
              <w:t xml:space="preserve"> </w:t>
            </w:r>
            <w:r w:rsidRPr="004577D3">
              <w:rPr>
                <w:sz w:val="20"/>
                <w:szCs w:val="20"/>
              </w:rPr>
              <w:t>анализ</w:t>
            </w:r>
            <w:r w:rsidR="006C680D" w:rsidRPr="004577D3">
              <w:rPr>
                <w:sz w:val="20"/>
                <w:szCs w:val="20"/>
              </w:rPr>
              <w:t xml:space="preserve"> </w:t>
            </w:r>
            <w:r w:rsidRPr="004577D3">
              <w:rPr>
                <w:sz w:val="20"/>
                <w:szCs w:val="20"/>
              </w:rPr>
              <w:t>NPS</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причин</w:t>
            </w:r>
            <w:r w:rsidR="006C680D" w:rsidRPr="004577D3">
              <w:rPr>
                <w:sz w:val="20"/>
                <w:szCs w:val="20"/>
              </w:rPr>
              <w:t xml:space="preserve"> </w:t>
            </w:r>
            <w:r w:rsidRPr="004577D3">
              <w:rPr>
                <w:sz w:val="20"/>
                <w:szCs w:val="20"/>
              </w:rPr>
              <w:t>оттока</w:t>
            </w:r>
            <w:r w:rsidR="006C680D" w:rsidRPr="004577D3">
              <w:rPr>
                <w:sz w:val="20"/>
                <w:szCs w:val="20"/>
              </w:rPr>
              <w:t xml:space="preserve"> </w:t>
            </w:r>
            <w:r w:rsidRPr="004577D3">
              <w:rPr>
                <w:sz w:val="20"/>
                <w:szCs w:val="20"/>
              </w:rPr>
              <w:t>у</w:t>
            </w:r>
            <w:r w:rsidR="006C680D" w:rsidRPr="004577D3">
              <w:rPr>
                <w:sz w:val="20"/>
                <w:szCs w:val="20"/>
              </w:rPr>
              <w:t xml:space="preserve"> </w:t>
            </w:r>
            <w:r w:rsidRPr="004577D3">
              <w:rPr>
                <w:sz w:val="20"/>
                <w:szCs w:val="20"/>
              </w:rPr>
              <w:t>текущих</w:t>
            </w:r>
            <w:r w:rsidR="006C680D" w:rsidRPr="004577D3">
              <w:rPr>
                <w:sz w:val="20"/>
                <w:szCs w:val="20"/>
              </w:rPr>
              <w:t xml:space="preserve"> </w:t>
            </w:r>
            <w:r w:rsidRPr="004577D3">
              <w:rPr>
                <w:sz w:val="20"/>
                <w:szCs w:val="20"/>
              </w:rPr>
              <w:t>клиентов</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Конкурентный</w:t>
            </w:r>
            <w:r w:rsidR="006C680D" w:rsidRPr="004577D3">
              <w:rPr>
                <w:sz w:val="20"/>
                <w:szCs w:val="20"/>
              </w:rPr>
              <w:t xml:space="preserve"> </w:t>
            </w:r>
            <w:r w:rsidRPr="004577D3">
              <w:rPr>
                <w:sz w:val="20"/>
                <w:szCs w:val="20"/>
              </w:rPr>
              <w:t>анализ,</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том</w:t>
            </w:r>
            <w:r w:rsidR="006C680D" w:rsidRPr="004577D3">
              <w:rPr>
                <w:sz w:val="20"/>
                <w:szCs w:val="20"/>
              </w:rPr>
              <w:t xml:space="preserve"> </w:t>
            </w:r>
            <w:r w:rsidRPr="004577D3">
              <w:rPr>
                <w:sz w:val="20"/>
                <w:szCs w:val="20"/>
              </w:rPr>
              <w:t>числе</w:t>
            </w:r>
            <w:r w:rsidR="006C680D" w:rsidRPr="004577D3">
              <w:rPr>
                <w:sz w:val="20"/>
                <w:szCs w:val="20"/>
              </w:rPr>
              <w:t xml:space="preserve"> </w:t>
            </w:r>
            <w:r w:rsidRPr="004577D3">
              <w:rPr>
                <w:sz w:val="20"/>
                <w:szCs w:val="20"/>
              </w:rPr>
              <w:t>оценка</w:t>
            </w:r>
            <w:r w:rsidR="006C680D" w:rsidRPr="004577D3">
              <w:rPr>
                <w:sz w:val="20"/>
                <w:szCs w:val="20"/>
              </w:rPr>
              <w:t xml:space="preserve"> </w:t>
            </w:r>
            <w:r w:rsidRPr="004577D3">
              <w:rPr>
                <w:sz w:val="20"/>
                <w:szCs w:val="20"/>
              </w:rPr>
              <w:t>не</w:t>
            </w:r>
            <w:r w:rsidR="006C680D" w:rsidRPr="004577D3">
              <w:rPr>
                <w:sz w:val="20"/>
                <w:szCs w:val="20"/>
              </w:rPr>
              <w:t xml:space="preserve"> </w:t>
            </w:r>
            <w:r w:rsidRPr="004577D3">
              <w:rPr>
                <w:sz w:val="20"/>
                <w:szCs w:val="20"/>
              </w:rPr>
              <w:t>только</w:t>
            </w:r>
            <w:r w:rsidR="006C680D" w:rsidRPr="004577D3">
              <w:rPr>
                <w:sz w:val="20"/>
                <w:szCs w:val="20"/>
              </w:rPr>
              <w:t xml:space="preserve"> </w:t>
            </w:r>
            <w:r w:rsidRPr="004577D3">
              <w:rPr>
                <w:sz w:val="20"/>
                <w:szCs w:val="20"/>
              </w:rPr>
              <w:t>страховых</w:t>
            </w:r>
            <w:r w:rsidR="006C680D" w:rsidRPr="004577D3">
              <w:rPr>
                <w:sz w:val="20"/>
                <w:szCs w:val="20"/>
              </w:rPr>
              <w:t xml:space="preserve"> </w:t>
            </w:r>
            <w:r w:rsidRPr="004577D3">
              <w:rPr>
                <w:sz w:val="20"/>
                <w:szCs w:val="20"/>
              </w:rPr>
              <w:t>компаний,</w:t>
            </w:r>
            <w:r w:rsidR="006C680D" w:rsidRPr="004577D3">
              <w:rPr>
                <w:sz w:val="20"/>
                <w:szCs w:val="20"/>
              </w:rPr>
              <w:t xml:space="preserve"> </w:t>
            </w:r>
            <w:r w:rsidRPr="004577D3">
              <w:rPr>
                <w:sz w:val="20"/>
                <w:szCs w:val="20"/>
              </w:rPr>
              <w:t>но</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финтех-стартапов,</w:t>
            </w:r>
            <w:r w:rsidR="006C680D" w:rsidRPr="004577D3">
              <w:rPr>
                <w:sz w:val="20"/>
                <w:szCs w:val="20"/>
              </w:rPr>
              <w:t xml:space="preserve"> </w:t>
            </w:r>
            <w:r w:rsidRPr="004577D3">
              <w:rPr>
                <w:sz w:val="20"/>
                <w:szCs w:val="20"/>
              </w:rPr>
              <w:t>IT-гигантов</w:t>
            </w:r>
            <w:r w:rsidR="006C680D" w:rsidRPr="004577D3">
              <w:rPr>
                <w:sz w:val="20"/>
                <w:szCs w:val="20"/>
              </w:rPr>
              <w:t xml:space="preserve"> </w:t>
            </w:r>
            <w:r w:rsidRPr="004577D3">
              <w:rPr>
                <w:sz w:val="20"/>
                <w:szCs w:val="20"/>
              </w:rPr>
              <w:t>(Яндекс,</w:t>
            </w:r>
            <w:r w:rsidR="006C680D" w:rsidRPr="004577D3">
              <w:rPr>
                <w:sz w:val="20"/>
                <w:szCs w:val="20"/>
              </w:rPr>
              <w:t xml:space="preserve"> </w:t>
            </w:r>
            <w:r w:rsidRPr="004577D3">
              <w:rPr>
                <w:sz w:val="20"/>
                <w:szCs w:val="20"/>
              </w:rPr>
              <w:t>Сбер),</w:t>
            </w:r>
            <w:r w:rsidR="006C680D" w:rsidRPr="004577D3">
              <w:rPr>
                <w:sz w:val="20"/>
                <w:szCs w:val="20"/>
              </w:rPr>
              <w:t xml:space="preserve"> </w:t>
            </w:r>
            <w:r w:rsidRPr="004577D3">
              <w:rPr>
                <w:sz w:val="20"/>
                <w:szCs w:val="20"/>
              </w:rPr>
              <w:t>агрегаторов,</w:t>
            </w:r>
            <w:r w:rsidR="006C680D" w:rsidRPr="004577D3">
              <w:rPr>
                <w:sz w:val="20"/>
                <w:szCs w:val="20"/>
              </w:rPr>
              <w:t xml:space="preserve"> </w:t>
            </w:r>
            <w:r w:rsidRPr="004577D3">
              <w:rPr>
                <w:sz w:val="20"/>
                <w:szCs w:val="20"/>
              </w:rPr>
              <w:t>выявление</w:t>
            </w:r>
            <w:r w:rsidR="006C680D" w:rsidRPr="004577D3">
              <w:rPr>
                <w:sz w:val="20"/>
                <w:szCs w:val="20"/>
              </w:rPr>
              <w:t xml:space="preserve"> </w:t>
            </w:r>
            <w:r w:rsidRPr="004577D3">
              <w:rPr>
                <w:sz w:val="20"/>
                <w:szCs w:val="20"/>
              </w:rPr>
              <w:t>недостатков</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предложениях</w:t>
            </w:r>
            <w:r w:rsidR="006C680D" w:rsidRPr="004577D3">
              <w:rPr>
                <w:sz w:val="20"/>
                <w:szCs w:val="20"/>
              </w:rPr>
              <w:t xml:space="preserve"> </w:t>
            </w:r>
            <w:r w:rsidRPr="004577D3">
              <w:rPr>
                <w:sz w:val="20"/>
                <w:szCs w:val="20"/>
              </w:rPr>
              <w:t>конкурентов,</w:t>
            </w:r>
            <w:r w:rsidR="006C680D" w:rsidRPr="004577D3">
              <w:rPr>
                <w:sz w:val="20"/>
                <w:szCs w:val="20"/>
              </w:rPr>
              <w:t xml:space="preserve"> </w:t>
            </w:r>
            <w:r w:rsidRPr="004577D3">
              <w:rPr>
                <w:sz w:val="20"/>
                <w:szCs w:val="20"/>
              </w:rPr>
              <w:t>анализ</w:t>
            </w:r>
            <w:r w:rsidR="006C680D" w:rsidRPr="004577D3">
              <w:rPr>
                <w:sz w:val="20"/>
                <w:szCs w:val="20"/>
              </w:rPr>
              <w:t xml:space="preserve"> </w:t>
            </w:r>
            <w:r w:rsidRPr="004577D3">
              <w:rPr>
                <w:sz w:val="20"/>
                <w:szCs w:val="20"/>
              </w:rPr>
              <w:t>иностранных</w:t>
            </w:r>
            <w:r w:rsidR="006C680D" w:rsidRPr="004577D3">
              <w:rPr>
                <w:sz w:val="20"/>
                <w:szCs w:val="20"/>
              </w:rPr>
              <w:t xml:space="preserve"> </w:t>
            </w:r>
            <w:r w:rsidRPr="004577D3">
              <w:rPr>
                <w:sz w:val="20"/>
                <w:szCs w:val="20"/>
              </w:rPr>
              <w:t>кейсов</w:t>
            </w:r>
            <w:r w:rsidR="006C680D" w:rsidRPr="004577D3">
              <w:rPr>
                <w:sz w:val="20"/>
                <w:szCs w:val="20"/>
              </w:rPr>
              <w:t xml:space="preserve"> </w:t>
            </w:r>
            <w:r w:rsidRPr="004577D3">
              <w:rPr>
                <w:sz w:val="20"/>
                <w:szCs w:val="20"/>
              </w:rPr>
              <w:t>(Lemonade,</w:t>
            </w:r>
            <w:r w:rsidR="006C680D" w:rsidRPr="004577D3">
              <w:rPr>
                <w:sz w:val="20"/>
                <w:szCs w:val="20"/>
              </w:rPr>
              <w:t xml:space="preserve"> </w:t>
            </w:r>
            <w:r w:rsidRPr="004577D3">
              <w:rPr>
                <w:sz w:val="20"/>
                <w:szCs w:val="20"/>
              </w:rPr>
              <w:t>Root</w:t>
            </w:r>
            <w:r w:rsidR="006C680D" w:rsidRPr="004577D3">
              <w:rPr>
                <w:sz w:val="20"/>
                <w:szCs w:val="20"/>
              </w:rPr>
              <w:t xml:space="preserve"> </w:t>
            </w:r>
            <w:r w:rsidRPr="004577D3">
              <w:rPr>
                <w:sz w:val="20"/>
                <w:szCs w:val="20"/>
              </w:rPr>
              <w:t>Insurance)</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Технологический</w:t>
            </w:r>
            <w:r w:rsidR="006C680D" w:rsidRPr="004577D3">
              <w:rPr>
                <w:sz w:val="20"/>
                <w:szCs w:val="20"/>
              </w:rPr>
              <w:t xml:space="preserve"> </w:t>
            </w:r>
            <w:r w:rsidRPr="004577D3">
              <w:rPr>
                <w:sz w:val="20"/>
                <w:szCs w:val="20"/>
              </w:rPr>
              <w:t>аудит–оценка</w:t>
            </w:r>
            <w:r w:rsidR="006C680D" w:rsidRPr="004577D3">
              <w:rPr>
                <w:sz w:val="20"/>
                <w:szCs w:val="20"/>
              </w:rPr>
              <w:t xml:space="preserve"> </w:t>
            </w:r>
            <w:r w:rsidRPr="004577D3">
              <w:rPr>
                <w:sz w:val="20"/>
                <w:szCs w:val="20"/>
              </w:rPr>
              <w:t>готовности</w:t>
            </w:r>
            <w:r w:rsidR="006C680D" w:rsidRPr="004577D3">
              <w:rPr>
                <w:sz w:val="20"/>
                <w:szCs w:val="20"/>
              </w:rPr>
              <w:t xml:space="preserve"> </w:t>
            </w:r>
            <w:r w:rsidRPr="004577D3">
              <w:rPr>
                <w:sz w:val="20"/>
                <w:szCs w:val="20"/>
              </w:rPr>
              <w:t>IT-инфраструктуры</w:t>
            </w:r>
            <w:r w:rsidR="006C680D" w:rsidRPr="004577D3">
              <w:rPr>
                <w:sz w:val="20"/>
                <w:szCs w:val="20"/>
              </w:rPr>
              <w:t xml:space="preserve"> </w:t>
            </w:r>
            <w:r w:rsidRPr="004577D3">
              <w:rPr>
                <w:sz w:val="20"/>
                <w:szCs w:val="20"/>
              </w:rPr>
              <w:t>к</w:t>
            </w:r>
            <w:r w:rsidR="006C680D" w:rsidRPr="004577D3">
              <w:rPr>
                <w:sz w:val="20"/>
                <w:szCs w:val="20"/>
              </w:rPr>
              <w:t xml:space="preserve"> </w:t>
            </w:r>
            <w:r w:rsidRPr="004577D3">
              <w:rPr>
                <w:sz w:val="20"/>
                <w:szCs w:val="20"/>
              </w:rPr>
              <w:t>цифровой</w:t>
            </w:r>
            <w:r w:rsidR="006C680D" w:rsidRPr="004577D3">
              <w:rPr>
                <w:sz w:val="20"/>
                <w:szCs w:val="20"/>
              </w:rPr>
              <w:t xml:space="preserve"> </w:t>
            </w:r>
            <w:r w:rsidRPr="004577D3">
              <w:rPr>
                <w:sz w:val="20"/>
                <w:szCs w:val="20"/>
              </w:rPr>
              <w:t>трансформации,</w:t>
            </w:r>
            <w:r w:rsidR="006C680D" w:rsidRPr="004577D3">
              <w:rPr>
                <w:sz w:val="20"/>
                <w:szCs w:val="20"/>
              </w:rPr>
              <w:t xml:space="preserve"> </w:t>
            </w:r>
            <w:r w:rsidRPr="004577D3">
              <w:rPr>
                <w:sz w:val="20"/>
                <w:szCs w:val="20"/>
              </w:rPr>
              <w:t>анализ</w:t>
            </w:r>
            <w:r w:rsidR="006C680D" w:rsidRPr="004577D3">
              <w:rPr>
                <w:sz w:val="20"/>
                <w:szCs w:val="20"/>
              </w:rPr>
              <w:t xml:space="preserve"> </w:t>
            </w:r>
            <w:r w:rsidRPr="004577D3">
              <w:rPr>
                <w:sz w:val="20"/>
                <w:szCs w:val="20"/>
              </w:rPr>
              <w:t>качества</w:t>
            </w:r>
            <w:r w:rsidR="006C680D" w:rsidRPr="004577D3">
              <w:rPr>
                <w:sz w:val="20"/>
                <w:szCs w:val="20"/>
              </w:rPr>
              <w:t xml:space="preserve"> </w:t>
            </w:r>
            <w:r w:rsidRPr="004577D3">
              <w:rPr>
                <w:sz w:val="20"/>
                <w:szCs w:val="20"/>
              </w:rPr>
              <w:t>данных</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их</w:t>
            </w:r>
            <w:r w:rsidR="006C680D" w:rsidRPr="004577D3">
              <w:rPr>
                <w:sz w:val="20"/>
                <w:szCs w:val="20"/>
              </w:rPr>
              <w:t xml:space="preserve"> </w:t>
            </w:r>
            <w:r w:rsidRPr="004577D3">
              <w:rPr>
                <w:sz w:val="20"/>
                <w:szCs w:val="20"/>
              </w:rPr>
              <w:t>протокола</w:t>
            </w:r>
            <w:r w:rsidR="006C680D" w:rsidRPr="004577D3">
              <w:rPr>
                <w:sz w:val="20"/>
                <w:szCs w:val="20"/>
              </w:rPr>
              <w:t xml:space="preserve"> </w:t>
            </w:r>
            <w:r w:rsidRPr="004577D3">
              <w:rPr>
                <w:sz w:val="20"/>
                <w:szCs w:val="20"/>
              </w:rPr>
              <w:t>структуризации,</w:t>
            </w:r>
            <w:r w:rsidR="006C680D" w:rsidRPr="004577D3">
              <w:rPr>
                <w:sz w:val="20"/>
                <w:szCs w:val="20"/>
              </w:rPr>
              <w:t xml:space="preserve"> </w:t>
            </w:r>
            <w:r w:rsidRPr="004577D3">
              <w:rPr>
                <w:sz w:val="20"/>
                <w:szCs w:val="20"/>
              </w:rPr>
              <w:t>оценка</w:t>
            </w:r>
            <w:r w:rsidR="006C680D" w:rsidRPr="004577D3">
              <w:rPr>
                <w:sz w:val="20"/>
                <w:szCs w:val="20"/>
              </w:rPr>
              <w:t xml:space="preserve"> </w:t>
            </w:r>
            <w:r w:rsidRPr="004577D3">
              <w:rPr>
                <w:sz w:val="20"/>
                <w:szCs w:val="20"/>
              </w:rPr>
              <w:t>инновационных</w:t>
            </w:r>
            <w:r w:rsidR="006C680D" w:rsidRPr="004577D3">
              <w:rPr>
                <w:sz w:val="20"/>
                <w:szCs w:val="20"/>
              </w:rPr>
              <w:t xml:space="preserve"> </w:t>
            </w:r>
            <w:r w:rsidRPr="004577D3">
              <w:rPr>
                <w:sz w:val="20"/>
                <w:szCs w:val="20"/>
              </w:rPr>
              <w:t>компетенций</w:t>
            </w:r>
            <w:r w:rsidR="006C680D" w:rsidRPr="004577D3">
              <w:rPr>
                <w:sz w:val="20"/>
                <w:szCs w:val="20"/>
              </w:rPr>
              <w:t xml:space="preserve"> </w:t>
            </w:r>
            <w:r w:rsidRPr="004577D3">
              <w:rPr>
                <w:sz w:val="20"/>
                <w:szCs w:val="20"/>
              </w:rPr>
              <w:t>персонала</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процессе</w:t>
            </w:r>
            <w:r w:rsidR="006C680D" w:rsidRPr="004577D3">
              <w:rPr>
                <w:sz w:val="20"/>
                <w:szCs w:val="20"/>
              </w:rPr>
              <w:t xml:space="preserve"> </w:t>
            </w:r>
            <w:r w:rsidRPr="004577D3">
              <w:rPr>
                <w:sz w:val="20"/>
                <w:szCs w:val="20"/>
              </w:rPr>
              <w:t>работы</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цифровым</w:t>
            </w:r>
            <w:r w:rsidR="006C680D" w:rsidRPr="004577D3">
              <w:rPr>
                <w:sz w:val="20"/>
                <w:szCs w:val="20"/>
              </w:rPr>
              <w:t xml:space="preserve"> </w:t>
            </w:r>
            <w:r w:rsidRPr="004577D3">
              <w:rPr>
                <w:sz w:val="20"/>
                <w:szCs w:val="20"/>
              </w:rPr>
              <w:t>протоколом</w:t>
            </w:r>
            <w:r w:rsidR="006C680D" w:rsidRPr="004577D3">
              <w:rPr>
                <w:sz w:val="20"/>
                <w:szCs w:val="20"/>
              </w:rPr>
              <w:t xml:space="preserve"> </w:t>
            </w:r>
            <w:r w:rsidRPr="004577D3">
              <w:rPr>
                <w:sz w:val="20"/>
                <w:szCs w:val="20"/>
              </w:rPr>
              <w:t>оказания</w:t>
            </w:r>
            <w:r w:rsidR="006C680D" w:rsidRPr="004577D3">
              <w:rPr>
                <w:sz w:val="20"/>
                <w:szCs w:val="20"/>
              </w:rPr>
              <w:t xml:space="preserve"> </w:t>
            </w:r>
            <w:r w:rsidRPr="004577D3">
              <w:rPr>
                <w:sz w:val="20"/>
                <w:szCs w:val="20"/>
              </w:rPr>
              <w:t>услуг</w:t>
            </w:r>
          </w:p>
        </w:tc>
        <w:tc>
          <w:tcPr>
            <w:tcW w:w="1694" w:type="dxa"/>
          </w:tcPr>
          <w:p w:rsidR="00B91B4B" w:rsidRPr="004577D3" w:rsidRDefault="00B91B4B" w:rsidP="000C1FE6">
            <w:pPr>
              <w:tabs>
                <w:tab w:val="left" w:pos="993"/>
              </w:tabs>
              <w:ind w:firstLine="0"/>
              <w:rPr>
                <w:sz w:val="20"/>
                <w:szCs w:val="20"/>
              </w:rPr>
            </w:pPr>
            <w:r w:rsidRPr="004577D3">
              <w:rPr>
                <w:sz w:val="20"/>
                <w:szCs w:val="20"/>
              </w:rPr>
              <w:t>Детализированная</w:t>
            </w:r>
            <w:r w:rsidR="006C680D" w:rsidRPr="004577D3">
              <w:rPr>
                <w:sz w:val="20"/>
                <w:szCs w:val="20"/>
              </w:rPr>
              <w:t xml:space="preserve"> </w:t>
            </w:r>
            <w:r w:rsidRPr="004577D3">
              <w:rPr>
                <w:sz w:val="20"/>
                <w:szCs w:val="20"/>
              </w:rPr>
              <w:t>стратегическая</w:t>
            </w:r>
            <w:r w:rsidR="006C680D" w:rsidRPr="004577D3">
              <w:rPr>
                <w:sz w:val="20"/>
                <w:szCs w:val="20"/>
              </w:rPr>
              <w:t xml:space="preserve"> </w:t>
            </w:r>
            <w:r w:rsidRPr="004577D3">
              <w:rPr>
                <w:sz w:val="20"/>
                <w:szCs w:val="20"/>
              </w:rPr>
              <w:t>карта</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приоритетными</w:t>
            </w:r>
            <w:r w:rsidR="006C680D" w:rsidRPr="004577D3">
              <w:rPr>
                <w:sz w:val="20"/>
                <w:szCs w:val="20"/>
              </w:rPr>
              <w:t xml:space="preserve"> </w:t>
            </w:r>
            <w:r w:rsidRPr="004577D3">
              <w:rPr>
                <w:sz w:val="20"/>
                <w:szCs w:val="20"/>
              </w:rPr>
              <w:t>направлениями</w:t>
            </w:r>
            <w:r w:rsidR="006C680D" w:rsidRPr="004577D3">
              <w:rPr>
                <w:sz w:val="20"/>
                <w:szCs w:val="20"/>
              </w:rPr>
              <w:t xml:space="preserve"> </w:t>
            </w:r>
            <w:r w:rsidRPr="004577D3">
              <w:rPr>
                <w:sz w:val="20"/>
                <w:szCs w:val="20"/>
              </w:rPr>
              <w:t>внедрения</w:t>
            </w:r>
          </w:p>
        </w:tc>
      </w:tr>
      <w:tr w:rsidR="00D337FA" w:rsidRPr="004577D3" w:rsidTr="000C1FE6">
        <w:tc>
          <w:tcPr>
            <w:tcW w:w="1555" w:type="dxa"/>
          </w:tcPr>
          <w:p w:rsidR="00B91B4B" w:rsidRPr="004577D3" w:rsidRDefault="00B91B4B" w:rsidP="000C1FE6">
            <w:pPr>
              <w:tabs>
                <w:tab w:val="left" w:pos="993"/>
              </w:tabs>
              <w:ind w:firstLine="0"/>
              <w:rPr>
                <w:sz w:val="20"/>
                <w:szCs w:val="20"/>
              </w:rPr>
            </w:pPr>
            <w:r w:rsidRPr="004577D3">
              <w:rPr>
                <w:sz w:val="20"/>
                <w:szCs w:val="20"/>
              </w:rPr>
              <w:t>Обоснование,</w:t>
            </w:r>
            <w:r w:rsidR="006C680D" w:rsidRPr="004577D3">
              <w:rPr>
                <w:sz w:val="20"/>
                <w:szCs w:val="20"/>
              </w:rPr>
              <w:t xml:space="preserve"> </w:t>
            </w:r>
            <w:r w:rsidRPr="004577D3">
              <w:rPr>
                <w:sz w:val="20"/>
                <w:szCs w:val="20"/>
              </w:rPr>
              <w:t>технологическая</w:t>
            </w:r>
            <w:r w:rsidR="006C680D" w:rsidRPr="004577D3">
              <w:rPr>
                <w:sz w:val="20"/>
                <w:szCs w:val="20"/>
              </w:rPr>
              <w:t xml:space="preserve"> </w:t>
            </w:r>
            <w:r w:rsidRPr="004577D3">
              <w:rPr>
                <w:sz w:val="20"/>
                <w:szCs w:val="20"/>
              </w:rPr>
              <w:t>разработ</w:t>
            </w:r>
            <w:r w:rsidRPr="004577D3">
              <w:rPr>
                <w:sz w:val="20"/>
                <w:szCs w:val="20"/>
              </w:rPr>
              <w:lastRenderedPageBreak/>
              <w:t>ка</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запуск</w:t>
            </w:r>
            <w:r w:rsidR="006C680D" w:rsidRPr="004577D3">
              <w:rPr>
                <w:sz w:val="20"/>
                <w:szCs w:val="20"/>
              </w:rPr>
              <w:t xml:space="preserve"> </w:t>
            </w:r>
            <w:r w:rsidRPr="004577D3">
              <w:rPr>
                <w:sz w:val="20"/>
                <w:szCs w:val="20"/>
              </w:rPr>
              <w:t>уникального</w:t>
            </w:r>
            <w:r w:rsidR="006C680D" w:rsidRPr="004577D3">
              <w:rPr>
                <w:sz w:val="20"/>
                <w:szCs w:val="20"/>
              </w:rPr>
              <w:t xml:space="preserve"> </w:t>
            </w:r>
            <w:r w:rsidRPr="004577D3">
              <w:rPr>
                <w:sz w:val="20"/>
                <w:szCs w:val="20"/>
              </w:rPr>
              <w:t>конкурентоспособного</w:t>
            </w:r>
            <w:r w:rsidR="006C680D" w:rsidRPr="004577D3">
              <w:rPr>
                <w:sz w:val="20"/>
                <w:szCs w:val="20"/>
              </w:rPr>
              <w:t xml:space="preserve"> </w:t>
            </w:r>
            <w:r w:rsidRPr="004577D3">
              <w:rPr>
                <w:sz w:val="20"/>
                <w:szCs w:val="20"/>
              </w:rPr>
              <w:t>страхового</w:t>
            </w:r>
            <w:r w:rsidR="006C680D" w:rsidRPr="004577D3">
              <w:rPr>
                <w:sz w:val="20"/>
                <w:szCs w:val="20"/>
              </w:rPr>
              <w:t xml:space="preserve"> </w:t>
            </w:r>
            <w:r w:rsidRPr="004577D3">
              <w:rPr>
                <w:sz w:val="20"/>
                <w:szCs w:val="20"/>
              </w:rPr>
              <w:t>продукта</w:t>
            </w:r>
          </w:p>
        </w:tc>
        <w:tc>
          <w:tcPr>
            <w:tcW w:w="6491" w:type="dxa"/>
          </w:tcPr>
          <w:p w:rsidR="00B91B4B" w:rsidRPr="004577D3" w:rsidRDefault="00B91B4B" w:rsidP="000C1FE6">
            <w:pPr>
              <w:tabs>
                <w:tab w:val="left" w:pos="993"/>
              </w:tabs>
              <w:ind w:firstLine="0"/>
              <w:rPr>
                <w:sz w:val="20"/>
                <w:szCs w:val="20"/>
              </w:rPr>
            </w:pPr>
            <w:r w:rsidRPr="004577D3">
              <w:rPr>
                <w:sz w:val="20"/>
                <w:szCs w:val="20"/>
              </w:rPr>
              <w:lastRenderedPageBreak/>
              <w:t>1.</w:t>
            </w:r>
            <w:r w:rsidR="006C680D" w:rsidRPr="004577D3">
              <w:rPr>
                <w:sz w:val="20"/>
                <w:szCs w:val="20"/>
              </w:rPr>
              <w:t xml:space="preserve"> </w:t>
            </w:r>
            <w:r w:rsidRPr="004577D3">
              <w:rPr>
                <w:sz w:val="20"/>
                <w:szCs w:val="20"/>
              </w:rPr>
              <w:t>Создание</w:t>
            </w:r>
            <w:r w:rsidR="006C680D" w:rsidRPr="004577D3">
              <w:rPr>
                <w:sz w:val="20"/>
                <w:szCs w:val="20"/>
              </w:rPr>
              <w:t xml:space="preserve"> </w:t>
            </w:r>
            <w:r w:rsidRPr="004577D3">
              <w:rPr>
                <w:sz w:val="20"/>
                <w:szCs w:val="20"/>
              </w:rPr>
              <w:t>системообразующего</w:t>
            </w:r>
            <w:r w:rsidR="006C680D" w:rsidRPr="004577D3">
              <w:rPr>
                <w:sz w:val="20"/>
                <w:szCs w:val="20"/>
              </w:rPr>
              <w:t xml:space="preserve"> </w:t>
            </w:r>
            <w:r w:rsidRPr="004577D3">
              <w:rPr>
                <w:sz w:val="20"/>
                <w:szCs w:val="20"/>
              </w:rPr>
              <w:t>уникального</w:t>
            </w:r>
            <w:r w:rsidR="006C680D" w:rsidRPr="004577D3">
              <w:rPr>
                <w:sz w:val="20"/>
                <w:szCs w:val="20"/>
              </w:rPr>
              <w:t xml:space="preserve"> </w:t>
            </w:r>
            <w:r w:rsidRPr="004577D3">
              <w:rPr>
                <w:sz w:val="20"/>
                <w:szCs w:val="20"/>
              </w:rPr>
              <w:t>страхового</w:t>
            </w:r>
            <w:r w:rsidR="006C680D" w:rsidRPr="004577D3">
              <w:rPr>
                <w:sz w:val="20"/>
                <w:szCs w:val="20"/>
              </w:rPr>
              <w:t xml:space="preserve"> </w:t>
            </w:r>
            <w:r w:rsidRPr="004577D3">
              <w:rPr>
                <w:sz w:val="20"/>
                <w:szCs w:val="20"/>
              </w:rPr>
              <w:t>конкурентного</w:t>
            </w:r>
            <w:r w:rsidR="006C680D" w:rsidRPr="004577D3">
              <w:rPr>
                <w:sz w:val="20"/>
                <w:szCs w:val="20"/>
              </w:rPr>
              <w:t xml:space="preserve"> </w:t>
            </w:r>
            <w:r w:rsidRPr="004577D3">
              <w:rPr>
                <w:sz w:val="20"/>
                <w:szCs w:val="20"/>
              </w:rPr>
              <w:t>продукта:</w:t>
            </w:r>
            <w:r w:rsidR="006C680D" w:rsidRPr="004577D3">
              <w:rPr>
                <w:sz w:val="20"/>
                <w:szCs w:val="20"/>
              </w:rPr>
              <w:t xml:space="preserve"> </w:t>
            </w:r>
            <w:r w:rsidRPr="004577D3">
              <w:rPr>
                <w:sz w:val="20"/>
                <w:szCs w:val="20"/>
              </w:rPr>
              <w:t>выбор</w:t>
            </w:r>
            <w:r w:rsidR="006C680D" w:rsidRPr="004577D3">
              <w:rPr>
                <w:sz w:val="20"/>
                <w:szCs w:val="20"/>
              </w:rPr>
              <w:t xml:space="preserve"> </w:t>
            </w:r>
            <w:r w:rsidRPr="004577D3">
              <w:rPr>
                <w:sz w:val="20"/>
                <w:szCs w:val="20"/>
              </w:rPr>
              <w:t>одного</w:t>
            </w:r>
            <w:r w:rsidR="006C680D" w:rsidRPr="004577D3">
              <w:rPr>
                <w:sz w:val="20"/>
                <w:szCs w:val="20"/>
              </w:rPr>
              <w:t xml:space="preserve"> </w:t>
            </w:r>
            <w:r w:rsidRPr="004577D3">
              <w:rPr>
                <w:sz w:val="20"/>
                <w:szCs w:val="20"/>
              </w:rPr>
              <w:t>сегмента</w:t>
            </w:r>
            <w:r w:rsidR="006C680D" w:rsidRPr="004577D3">
              <w:rPr>
                <w:sz w:val="20"/>
                <w:szCs w:val="20"/>
              </w:rPr>
              <w:t xml:space="preserve"> </w:t>
            </w:r>
            <w:r w:rsidRPr="004577D3">
              <w:rPr>
                <w:sz w:val="20"/>
                <w:szCs w:val="20"/>
              </w:rPr>
              <w:t>(например,</w:t>
            </w:r>
            <w:r w:rsidR="006C680D" w:rsidRPr="004577D3">
              <w:rPr>
                <w:sz w:val="20"/>
                <w:szCs w:val="20"/>
              </w:rPr>
              <w:t xml:space="preserve"> </w:t>
            </w:r>
            <w:r w:rsidRPr="004577D3">
              <w:rPr>
                <w:sz w:val="20"/>
                <w:szCs w:val="20"/>
              </w:rPr>
              <w:t>автострахование</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горожан</w:t>
            </w:r>
            <w:r w:rsidR="006C680D" w:rsidRPr="004577D3">
              <w:rPr>
                <w:sz w:val="20"/>
                <w:szCs w:val="20"/>
              </w:rPr>
              <w:t xml:space="preserve"> </w:t>
            </w:r>
            <w:r w:rsidRPr="004577D3">
              <w:rPr>
                <w:sz w:val="20"/>
                <w:szCs w:val="20"/>
              </w:rPr>
              <w:t>25-40</w:t>
            </w:r>
            <w:r w:rsidR="006C680D" w:rsidRPr="004577D3">
              <w:rPr>
                <w:sz w:val="20"/>
                <w:szCs w:val="20"/>
              </w:rPr>
              <w:t xml:space="preserve"> </w:t>
            </w:r>
            <w:r w:rsidRPr="004577D3">
              <w:rPr>
                <w:sz w:val="20"/>
                <w:szCs w:val="20"/>
              </w:rPr>
              <w:t>лет),</w:t>
            </w:r>
            <w:r w:rsidR="006C680D" w:rsidRPr="004577D3">
              <w:rPr>
                <w:sz w:val="20"/>
                <w:szCs w:val="20"/>
              </w:rPr>
              <w:t xml:space="preserve"> </w:t>
            </w:r>
            <w:r w:rsidRPr="004577D3">
              <w:rPr>
                <w:sz w:val="20"/>
                <w:szCs w:val="20"/>
              </w:rPr>
              <w:t>разработка</w:t>
            </w:r>
            <w:r w:rsidR="006C680D" w:rsidRPr="004577D3">
              <w:rPr>
                <w:sz w:val="20"/>
                <w:szCs w:val="20"/>
              </w:rPr>
              <w:t xml:space="preserve"> </w:t>
            </w:r>
            <w:r w:rsidRPr="004577D3">
              <w:rPr>
                <w:sz w:val="20"/>
                <w:szCs w:val="20"/>
              </w:rPr>
              <w:t>инновационного</w:t>
            </w:r>
            <w:r w:rsidR="006C680D" w:rsidRPr="004577D3">
              <w:rPr>
                <w:sz w:val="20"/>
                <w:szCs w:val="20"/>
              </w:rPr>
              <w:t xml:space="preserve"> </w:t>
            </w:r>
            <w:r w:rsidRPr="004577D3">
              <w:rPr>
                <w:sz w:val="20"/>
                <w:szCs w:val="20"/>
              </w:rPr>
              <w:t>продукта</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телематикой</w:t>
            </w:r>
            <w:r w:rsidR="006C680D" w:rsidRPr="004577D3">
              <w:rPr>
                <w:sz w:val="20"/>
                <w:szCs w:val="20"/>
              </w:rPr>
              <w:t xml:space="preserve"> </w:t>
            </w:r>
            <w:r w:rsidRPr="004577D3">
              <w:rPr>
                <w:sz w:val="20"/>
                <w:szCs w:val="20"/>
              </w:rPr>
              <w:lastRenderedPageBreak/>
              <w:t>как</w:t>
            </w:r>
            <w:r w:rsidR="006C680D" w:rsidRPr="004577D3">
              <w:rPr>
                <w:sz w:val="20"/>
                <w:szCs w:val="20"/>
              </w:rPr>
              <w:t xml:space="preserve"> </w:t>
            </w:r>
            <w:r w:rsidRPr="004577D3">
              <w:rPr>
                <w:sz w:val="20"/>
                <w:szCs w:val="20"/>
              </w:rPr>
              <w:t>обязательным</w:t>
            </w:r>
            <w:r w:rsidR="006C680D" w:rsidRPr="004577D3">
              <w:rPr>
                <w:sz w:val="20"/>
                <w:szCs w:val="20"/>
              </w:rPr>
              <w:t xml:space="preserve"> </w:t>
            </w:r>
            <w:r w:rsidRPr="004577D3">
              <w:rPr>
                <w:sz w:val="20"/>
                <w:szCs w:val="20"/>
              </w:rPr>
              <w:t>элементом,</w:t>
            </w:r>
            <w:r w:rsidR="006C680D" w:rsidRPr="004577D3">
              <w:rPr>
                <w:sz w:val="20"/>
                <w:szCs w:val="20"/>
              </w:rPr>
              <w:t xml:space="preserve"> </w:t>
            </w:r>
            <w:r w:rsidRPr="004577D3">
              <w:rPr>
                <w:sz w:val="20"/>
                <w:szCs w:val="20"/>
              </w:rPr>
              <w:t>создание</w:t>
            </w:r>
            <w:r w:rsidR="006C680D" w:rsidRPr="004577D3">
              <w:rPr>
                <w:sz w:val="20"/>
                <w:szCs w:val="20"/>
              </w:rPr>
              <w:t xml:space="preserve"> </w:t>
            </w:r>
            <w:r w:rsidRPr="004577D3">
              <w:rPr>
                <w:sz w:val="20"/>
                <w:szCs w:val="20"/>
              </w:rPr>
              <w:t>упрощённого</w:t>
            </w:r>
            <w:r w:rsidR="006C680D" w:rsidRPr="004577D3">
              <w:rPr>
                <w:sz w:val="20"/>
                <w:szCs w:val="20"/>
              </w:rPr>
              <w:t xml:space="preserve"> </w:t>
            </w:r>
            <w:r w:rsidRPr="004577D3">
              <w:rPr>
                <w:sz w:val="20"/>
                <w:szCs w:val="20"/>
              </w:rPr>
              <w:t>продуктового</w:t>
            </w:r>
            <w:r w:rsidR="006C680D" w:rsidRPr="004577D3">
              <w:rPr>
                <w:sz w:val="20"/>
                <w:szCs w:val="20"/>
              </w:rPr>
              <w:t xml:space="preserve"> </w:t>
            </w:r>
            <w:r w:rsidRPr="004577D3">
              <w:rPr>
                <w:sz w:val="20"/>
                <w:szCs w:val="20"/>
              </w:rPr>
              <w:t>профиля</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покупки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использования;</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Построение</w:t>
            </w:r>
            <w:r w:rsidR="006C680D" w:rsidRPr="004577D3">
              <w:rPr>
                <w:sz w:val="20"/>
                <w:szCs w:val="20"/>
              </w:rPr>
              <w:t xml:space="preserve"> </w:t>
            </w:r>
            <w:r w:rsidRPr="004577D3">
              <w:rPr>
                <w:sz w:val="20"/>
                <w:szCs w:val="20"/>
              </w:rPr>
              <w:t>технологического</w:t>
            </w:r>
            <w:r w:rsidR="006C680D" w:rsidRPr="004577D3">
              <w:rPr>
                <w:sz w:val="20"/>
                <w:szCs w:val="20"/>
              </w:rPr>
              <w:t xml:space="preserve"> </w:t>
            </w:r>
            <w:r w:rsidRPr="004577D3">
              <w:rPr>
                <w:sz w:val="20"/>
                <w:szCs w:val="20"/>
              </w:rPr>
              <w:t>ядра</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внедрение</w:t>
            </w:r>
            <w:r w:rsidR="006C680D" w:rsidRPr="004577D3">
              <w:rPr>
                <w:sz w:val="20"/>
                <w:szCs w:val="20"/>
              </w:rPr>
              <w:t xml:space="preserve"> </w:t>
            </w:r>
            <w:r w:rsidRPr="004577D3">
              <w:rPr>
                <w:sz w:val="20"/>
                <w:szCs w:val="20"/>
              </w:rPr>
              <w:t>современной</w:t>
            </w:r>
            <w:r w:rsidR="006C680D" w:rsidRPr="004577D3">
              <w:rPr>
                <w:sz w:val="20"/>
                <w:szCs w:val="20"/>
              </w:rPr>
              <w:t xml:space="preserve"> </w:t>
            </w:r>
            <w:r w:rsidRPr="004577D3">
              <w:rPr>
                <w:sz w:val="20"/>
                <w:szCs w:val="20"/>
              </w:rPr>
              <w:t>CRM</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AI-компонентами,</w:t>
            </w:r>
            <w:r w:rsidR="006C680D" w:rsidRPr="004577D3">
              <w:rPr>
                <w:sz w:val="20"/>
                <w:szCs w:val="20"/>
              </w:rPr>
              <w:t xml:space="preserve"> </w:t>
            </w:r>
            <w:r w:rsidRPr="004577D3">
              <w:rPr>
                <w:sz w:val="20"/>
                <w:szCs w:val="20"/>
              </w:rPr>
              <w:t>разработка</w:t>
            </w:r>
            <w:r w:rsidR="006C680D" w:rsidRPr="004577D3">
              <w:rPr>
                <w:sz w:val="20"/>
                <w:szCs w:val="20"/>
              </w:rPr>
              <w:t xml:space="preserve"> </w:t>
            </w:r>
            <w:r w:rsidRPr="004577D3">
              <w:rPr>
                <w:sz w:val="20"/>
                <w:szCs w:val="20"/>
              </w:rPr>
              <w:t>мобильного</w:t>
            </w:r>
            <w:r w:rsidR="006C680D" w:rsidRPr="004577D3">
              <w:rPr>
                <w:sz w:val="20"/>
                <w:szCs w:val="20"/>
              </w:rPr>
              <w:t xml:space="preserve"> </w:t>
            </w:r>
            <w:r w:rsidRPr="004577D3">
              <w:rPr>
                <w:sz w:val="20"/>
                <w:szCs w:val="20"/>
              </w:rPr>
              <w:t>приложения</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базовым</w:t>
            </w:r>
            <w:r w:rsidR="006C680D" w:rsidRPr="004577D3">
              <w:rPr>
                <w:sz w:val="20"/>
                <w:szCs w:val="20"/>
              </w:rPr>
              <w:t xml:space="preserve"> </w:t>
            </w:r>
            <w:r w:rsidRPr="004577D3">
              <w:rPr>
                <w:sz w:val="20"/>
                <w:szCs w:val="20"/>
              </w:rPr>
              <w:t>функционалом,</w:t>
            </w:r>
            <w:r w:rsidR="006C680D" w:rsidRPr="004577D3">
              <w:rPr>
                <w:sz w:val="20"/>
                <w:szCs w:val="20"/>
              </w:rPr>
              <w:t xml:space="preserve"> </w:t>
            </w:r>
            <w:r w:rsidRPr="004577D3">
              <w:rPr>
                <w:sz w:val="20"/>
                <w:szCs w:val="20"/>
              </w:rPr>
              <w:t>настройка</w:t>
            </w:r>
            <w:r w:rsidR="006C680D" w:rsidRPr="004577D3">
              <w:rPr>
                <w:sz w:val="20"/>
                <w:szCs w:val="20"/>
              </w:rPr>
              <w:t xml:space="preserve"> </w:t>
            </w:r>
            <w:r w:rsidRPr="004577D3">
              <w:rPr>
                <w:sz w:val="20"/>
                <w:szCs w:val="20"/>
              </w:rPr>
              <w:t>сквозной</w:t>
            </w:r>
            <w:r w:rsidR="006C680D" w:rsidRPr="004577D3">
              <w:rPr>
                <w:sz w:val="20"/>
                <w:szCs w:val="20"/>
              </w:rPr>
              <w:t xml:space="preserve"> </w:t>
            </w:r>
            <w:r w:rsidRPr="004577D3">
              <w:rPr>
                <w:sz w:val="20"/>
                <w:szCs w:val="20"/>
              </w:rPr>
              <w:t>аналитики</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Формирование</w:t>
            </w:r>
            <w:r w:rsidR="006C680D" w:rsidRPr="004577D3">
              <w:rPr>
                <w:sz w:val="20"/>
                <w:szCs w:val="20"/>
              </w:rPr>
              <w:t xml:space="preserve"> </w:t>
            </w:r>
            <w:r w:rsidRPr="004577D3">
              <w:rPr>
                <w:sz w:val="20"/>
                <w:szCs w:val="20"/>
              </w:rPr>
              <w:t>пилотной</w:t>
            </w:r>
            <w:r w:rsidR="006C680D" w:rsidRPr="004577D3">
              <w:rPr>
                <w:sz w:val="20"/>
                <w:szCs w:val="20"/>
              </w:rPr>
              <w:t xml:space="preserve"> </w:t>
            </w:r>
            <w:r w:rsidRPr="004577D3">
              <w:rPr>
                <w:sz w:val="20"/>
                <w:szCs w:val="20"/>
              </w:rPr>
              <w:t>аудитории</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привлечение</w:t>
            </w:r>
            <w:r w:rsidR="006C680D" w:rsidRPr="004577D3">
              <w:rPr>
                <w:sz w:val="20"/>
                <w:szCs w:val="20"/>
              </w:rPr>
              <w:t xml:space="preserve"> </w:t>
            </w:r>
            <w:r w:rsidRPr="004577D3">
              <w:rPr>
                <w:sz w:val="20"/>
                <w:szCs w:val="20"/>
              </w:rPr>
              <w:t>первых</w:t>
            </w:r>
            <w:r w:rsidR="006C680D" w:rsidRPr="004577D3">
              <w:rPr>
                <w:sz w:val="20"/>
                <w:szCs w:val="20"/>
              </w:rPr>
              <w:t xml:space="preserve"> </w:t>
            </w:r>
            <w:r w:rsidRPr="004577D3">
              <w:rPr>
                <w:sz w:val="20"/>
                <w:szCs w:val="20"/>
              </w:rPr>
              <w:t>5000</w:t>
            </w:r>
            <w:r w:rsidR="006C680D" w:rsidRPr="004577D3">
              <w:rPr>
                <w:sz w:val="20"/>
                <w:szCs w:val="20"/>
              </w:rPr>
              <w:t xml:space="preserve"> </w:t>
            </w:r>
            <w:r w:rsidRPr="004577D3">
              <w:rPr>
                <w:sz w:val="20"/>
                <w:szCs w:val="20"/>
              </w:rPr>
              <w:t>клиентов</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таргетированную</w:t>
            </w:r>
            <w:r w:rsidR="006C680D" w:rsidRPr="004577D3">
              <w:rPr>
                <w:sz w:val="20"/>
                <w:szCs w:val="20"/>
              </w:rPr>
              <w:t xml:space="preserve"> </w:t>
            </w:r>
            <w:r w:rsidRPr="004577D3">
              <w:rPr>
                <w:sz w:val="20"/>
                <w:szCs w:val="20"/>
              </w:rPr>
              <w:t>рекламу,</w:t>
            </w:r>
            <w:r w:rsidR="006C680D" w:rsidRPr="004577D3">
              <w:rPr>
                <w:sz w:val="20"/>
                <w:szCs w:val="20"/>
              </w:rPr>
              <w:t xml:space="preserve"> </w:t>
            </w:r>
            <w:r w:rsidRPr="004577D3">
              <w:rPr>
                <w:sz w:val="20"/>
                <w:szCs w:val="20"/>
              </w:rPr>
              <w:t>программа</w:t>
            </w:r>
            <w:r w:rsidR="006C680D" w:rsidRPr="004577D3">
              <w:rPr>
                <w:sz w:val="20"/>
                <w:szCs w:val="20"/>
              </w:rPr>
              <w:t xml:space="preserve"> </w:t>
            </w:r>
            <w:r w:rsidRPr="004577D3">
              <w:rPr>
                <w:sz w:val="20"/>
                <w:szCs w:val="20"/>
              </w:rPr>
              <w:t>ранних</w:t>
            </w:r>
            <w:r w:rsidR="006C680D" w:rsidRPr="004577D3">
              <w:rPr>
                <w:sz w:val="20"/>
                <w:szCs w:val="20"/>
              </w:rPr>
              <w:t xml:space="preserve"> </w:t>
            </w:r>
            <w:r w:rsidRPr="004577D3">
              <w:rPr>
                <w:sz w:val="20"/>
                <w:szCs w:val="20"/>
              </w:rPr>
              <w:t>последователей</w:t>
            </w:r>
            <w:r w:rsidR="006C680D" w:rsidRPr="004577D3">
              <w:rPr>
                <w:sz w:val="20"/>
                <w:szCs w:val="20"/>
              </w:rPr>
              <w:t xml:space="preserve"> </w:t>
            </w:r>
            <w:r w:rsidRPr="004577D3">
              <w:rPr>
                <w:sz w:val="20"/>
                <w:szCs w:val="20"/>
              </w:rPr>
              <w:t>(early</w:t>
            </w:r>
            <w:r w:rsidR="006C680D" w:rsidRPr="004577D3">
              <w:rPr>
                <w:sz w:val="20"/>
                <w:szCs w:val="20"/>
              </w:rPr>
              <w:t xml:space="preserve"> </w:t>
            </w:r>
            <w:r w:rsidRPr="004577D3">
              <w:rPr>
                <w:sz w:val="20"/>
                <w:szCs w:val="20"/>
              </w:rPr>
              <w:t>adopters),</w:t>
            </w:r>
            <w:r w:rsidR="006C680D" w:rsidRPr="004577D3">
              <w:rPr>
                <w:sz w:val="20"/>
                <w:szCs w:val="20"/>
              </w:rPr>
              <w:t xml:space="preserve"> </w:t>
            </w:r>
            <w:r w:rsidRPr="004577D3">
              <w:rPr>
                <w:sz w:val="20"/>
                <w:szCs w:val="20"/>
              </w:rPr>
              <w:t>сбор</w:t>
            </w:r>
            <w:r w:rsidR="006C680D" w:rsidRPr="004577D3">
              <w:rPr>
                <w:sz w:val="20"/>
                <w:szCs w:val="20"/>
              </w:rPr>
              <w:t xml:space="preserve"> </w:t>
            </w:r>
            <w:r w:rsidRPr="004577D3">
              <w:rPr>
                <w:sz w:val="20"/>
                <w:szCs w:val="20"/>
              </w:rPr>
              <w:t>обратной</w:t>
            </w:r>
            <w:r w:rsidR="006C680D" w:rsidRPr="004577D3">
              <w:rPr>
                <w:sz w:val="20"/>
                <w:szCs w:val="20"/>
              </w:rPr>
              <w:t xml:space="preserve"> </w:t>
            </w:r>
            <w:r w:rsidRPr="004577D3">
              <w:rPr>
                <w:sz w:val="20"/>
                <w:szCs w:val="20"/>
              </w:rPr>
              <w:t>связи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быстрые</w:t>
            </w:r>
            <w:r w:rsidR="006C680D" w:rsidRPr="004577D3">
              <w:rPr>
                <w:sz w:val="20"/>
                <w:szCs w:val="20"/>
              </w:rPr>
              <w:t xml:space="preserve"> </w:t>
            </w:r>
            <w:r w:rsidRPr="004577D3">
              <w:rPr>
                <w:sz w:val="20"/>
                <w:szCs w:val="20"/>
              </w:rPr>
              <w:t>иттерации</w:t>
            </w:r>
            <w:r w:rsidR="006C680D" w:rsidRPr="004577D3">
              <w:rPr>
                <w:sz w:val="20"/>
                <w:szCs w:val="20"/>
              </w:rPr>
              <w:t xml:space="preserve"> </w:t>
            </w:r>
            <w:r w:rsidRPr="004577D3">
              <w:rPr>
                <w:sz w:val="20"/>
                <w:szCs w:val="20"/>
              </w:rPr>
              <w:t>продукта.</w:t>
            </w:r>
          </w:p>
        </w:tc>
        <w:tc>
          <w:tcPr>
            <w:tcW w:w="1694" w:type="dxa"/>
          </w:tcPr>
          <w:p w:rsidR="00B91B4B" w:rsidRPr="004577D3" w:rsidRDefault="00B91B4B" w:rsidP="000C1FE6">
            <w:pPr>
              <w:tabs>
                <w:tab w:val="left" w:pos="993"/>
              </w:tabs>
              <w:ind w:firstLine="0"/>
              <w:rPr>
                <w:sz w:val="20"/>
                <w:szCs w:val="20"/>
              </w:rPr>
            </w:pPr>
            <w:r w:rsidRPr="004577D3">
              <w:rPr>
                <w:sz w:val="20"/>
                <w:szCs w:val="20"/>
              </w:rPr>
              <w:lastRenderedPageBreak/>
              <w:t>Работающий</w:t>
            </w:r>
            <w:r w:rsidR="006C680D" w:rsidRPr="004577D3">
              <w:rPr>
                <w:sz w:val="20"/>
                <w:szCs w:val="20"/>
              </w:rPr>
              <w:t xml:space="preserve"> </w:t>
            </w:r>
            <w:r w:rsidRPr="004577D3">
              <w:rPr>
                <w:sz w:val="20"/>
                <w:szCs w:val="20"/>
              </w:rPr>
              <w:t>цифровой</w:t>
            </w:r>
            <w:r w:rsidR="006C680D" w:rsidRPr="004577D3">
              <w:rPr>
                <w:sz w:val="20"/>
                <w:szCs w:val="20"/>
              </w:rPr>
              <w:t xml:space="preserve"> </w:t>
            </w:r>
            <w:r w:rsidRPr="004577D3">
              <w:rPr>
                <w:sz w:val="20"/>
                <w:szCs w:val="20"/>
              </w:rPr>
              <w:t>продукт,</w:t>
            </w:r>
            <w:r w:rsidR="006C680D" w:rsidRPr="004577D3">
              <w:rPr>
                <w:sz w:val="20"/>
                <w:szCs w:val="20"/>
              </w:rPr>
              <w:t xml:space="preserve"> </w:t>
            </w:r>
            <w:r w:rsidRPr="004577D3">
              <w:rPr>
                <w:sz w:val="20"/>
                <w:szCs w:val="20"/>
              </w:rPr>
              <w:t>первые</w:t>
            </w:r>
            <w:r w:rsidR="006C680D" w:rsidRPr="004577D3">
              <w:rPr>
                <w:sz w:val="20"/>
                <w:szCs w:val="20"/>
              </w:rPr>
              <w:t xml:space="preserve"> </w:t>
            </w:r>
            <w:r w:rsidRPr="004577D3">
              <w:rPr>
                <w:sz w:val="20"/>
                <w:szCs w:val="20"/>
              </w:rPr>
              <w:lastRenderedPageBreak/>
              <w:t>клиенты,</w:t>
            </w:r>
            <w:r w:rsidR="006C680D" w:rsidRPr="004577D3">
              <w:rPr>
                <w:sz w:val="20"/>
                <w:szCs w:val="20"/>
              </w:rPr>
              <w:t xml:space="preserve"> </w:t>
            </w:r>
            <w:r w:rsidRPr="004577D3">
              <w:rPr>
                <w:sz w:val="20"/>
                <w:szCs w:val="20"/>
              </w:rPr>
              <w:t>доказательство</w:t>
            </w:r>
            <w:r w:rsidR="006C680D" w:rsidRPr="004577D3">
              <w:rPr>
                <w:sz w:val="20"/>
                <w:szCs w:val="20"/>
              </w:rPr>
              <w:t xml:space="preserve"> </w:t>
            </w:r>
            <w:r w:rsidRPr="004577D3">
              <w:rPr>
                <w:sz w:val="20"/>
                <w:szCs w:val="20"/>
              </w:rPr>
              <w:t>концепции.</w:t>
            </w:r>
          </w:p>
        </w:tc>
      </w:tr>
      <w:tr w:rsidR="00D337FA" w:rsidRPr="004577D3" w:rsidTr="000C1FE6">
        <w:tc>
          <w:tcPr>
            <w:tcW w:w="1555" w:type="dxa"/>
          </w:tcPr>
          <w:p w:rsidR="00B91B4B" w:rsidRPr="004577D3" w:rsidRDefault="00B91B4B" w:rsidP="000C1FE6">
            <w:pPr>
              <w:tabs>
                <w:tab w:val="left" w:pos="993"/>
              </w:tabs>
              <w:ind w:firstLine="0"/>
              <w:rPr>
                <w:sz w:val="20"/>
                <w:szCs w:val="20"/>
              </w:rPr>
            </w:pPr>
            <w:r w:rsidRPr="004577D3">
              <w:rPr>
                <w:sz w:val="20"/>
                <w:szCs w:val="20"/>
              </w:rPr>
              <w:lastRenderedPageBreak/>
              <w:t>Эшелонированное</w:t>
            </w:r>
            <w:r w:rsidR="006C680D" w:rsidRPr="004577D3">
              <w:rPr>
                <w:sz w:val="20"/>
                <w:szCs w:val="20"/>
              </w:rPr>
              <w:t xml:space="preserve"> </w:t>
            </w:r>
            <w:r w:rsidRPr="004577D3">
              <w:rPr>
                <w:sz w:val="20"/>
                <w:szCs w:val="20"/>
              </w:rPr>
              <w:t>масштабирование</w:t>
            </w:r>
            <w:r w:rsidR="006C680D" w:rsidRPr="004577D3">
              <w:rPr>
                <w:sz w:val="20"/>
                <w:szCs w:val="20"/>
              </w:rPr>
              <w:t xml:space="preserve"> </w:t>
            </w:r>
          </w:p>
        </w:tc>
        <w:tc>
          <w:tcPr>
            <w:tcW w:w="6491"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Расширение</w:t>
            </w:r>
            <w:r w:rsidR="006C680D" w:rsidRPr="004577D3">
              <w:rPr>
                <w:sz w:val="20"/>
                <w:szCs w:val="20"/>
              </w:rPr>
              <w:t xml:space="preserve"> </w:t>
            </w:r>
            <w:r w:rsidRPr="004577D3">
              <w:rPr>
                <w:sz w:val="20"/>
                <w:szCs w:val="20"/>
              </w:rPr>
              <w:t>продуктовой</w:t>
            </w:r>
            <w:r w:rsidR="006C680D" w:rsidRPr="004577D3">
              <w:rPr>
                <w:sz w:val="20"/>
                <w:szCs w:val="20"/>
              </w:rPr>
              <w:t xml:space="preserve"> </w:t>
            </w:r>
            <w:r w:rsidRPr="004577D3">
              <w:rPr>
                <w:sz w:val="20"/>
                <w:szCs w:val="20"/>
              </w:rPr>
              <w:t>линейки</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реализация</w:t>
            </w:r>
            <w:r w:rsidR="006C680D" w:rsidRPr="004577D3">
              <w:rPr>
                <w:sz w:val="20"/>
                <w:szCs w:val="20"/>
              </w:rPr>
              <w:t xml:space="preserve"> </w:t>
            </w:r>
            <w:r w:rsidRPr="004577D3">
              <w:rPr>
                <w:sz w:val="20"/>
                <w:szCs w:val="20"/>
              </w:rPr>
              <w:t>пилотного</w:t>
            </w:r>
            <w:r w:rsidR="006C680D" w:rsidRPr="004577D3">
              <w:rPr>
                <w:sz w:val="20"/>
                <w:szCs w:val="20"/>
              </w:rPr>
              <w:t xml:space="preserve"> </w:t>
            </w:r>
            <w:r w:rsidRPr="004577D3">
              <w:rPr>
                <w:sz w:val="20"/>
                <w:szCs w:val="20"/>
              </w:rPr>
              <w:t>инновационного</w:t>
            </w:r>
            <w:r w:rsidR="006C680D" w:rsidRPr="004577D3">
              <w:rPr>
                <w:sz w:val="20"/>
                <w:szCs w:val="20"/>
              </w:rPr>
              <w:t xml:space="preserve"> </w:t>
            </w:r>
            <w:r w:rsidRPr="004577D3">
              <w:rPr>
                <w:sz w:val="20"/>
                <w:szCs w:val="20"/>
              </w:rPr>
              <w:t>страхования</w:t>
            </w:r>
            <w:r w:rsidR="006C680D" w:rsidRPr="004577D3">
              <w:rPr>
                <w:sz w:val="20"/>
                <w:szCs w:val="20"/>
              </w:rPr>
              <w:t xml:space="preserve"> </w:t>
            </w:r>
            <w:r w:rsidRPr="004577D3">
              <w:rPr>
                <w:sz w:val="20"/>
                <w:szCs w:val="20"/>
              </w:rPr>
              <w:t>имущества</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IoT-датчиками,</w:t>
            </w:r>
            <w:r w:rsidR="006C680D" w:rsidRPr="004577D3">
              <w:rPr>
                <w:sz w:val="20"/>
                <w:szCs w:val="20"/>
              </w:rPr>
              <w:t xml:space="preserve"> </w:t>
            </w:r>
            <w:r w:rsidRPr="004577D3">
              <w:rPr>
                <w:sz w:val="20"/>
                <w:szCs w:val="20"/>
              </w:rPr>
              <w:t>разработанное</w:t>
            </w:r>
            <w:r w:rsidR="006C680D" w:rsidRPr="004577D3">
              <w:rPr>
                <w:sz w:val="20"/>
                <w:szCs w:val="20"/>
              </w:rPr>
              <w:t xml:space="preserve"> </w:t>
            </w:r>
            <w:r w:rsidRPr="004577D3">
              <w:rPr>
                <w:sz w:val="20"/>
                <w:szCs w:val="20"/>
              </w:rPr>
              <w:t>ДМС</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health-tech</w:t>
            </w:r>
            <w:r w:rsidR="006C680D" w:rsidRPr="004577D3">
              <w:rPr>
                <w:sz w:val="20"/>
                <w:szCs w:val="20"/>
              </w:rPr>
              <w:t xml:space="preserve"> </w:t>
            </w:r>
            <w:r w:rsidRPr="004577D3">
              <w:rPr>
                <w:sz w:val="20"/>
                <w:szCs w:val="20"/>
              </w:rPr>
              <w:t>компонентами,</w:t>
            </w:r>
            <w:r w:rsidR="006C680D" w:rsidRPr="004577D3">
              <w:rPr>
                <w:sz w:val="20"/>
                <w:szCs w:val="20"/>
              </w:rPr>
              <w:t xml:space="preserve"> </w:t>
            </w:r>
            <w:r w:rsidRPr="004577D3">
              <w:rPr>
                <w:sz w:val="20"/>
                <w:szCs w:val="20"/>
              </w:rPr>
              <w:t>создание</w:t>
            </w:r>
            <w:r w:rsidR="006C680D" w:rsidRPr="004577D3">
              <w:rPr>
                <w:sz w:val="20"/>
                <w:szCs w:val="20"/>
              </w:rPr>
              <w:t xml:space="preserve"> </w:t>
            </w:r>
            <w:r w:rsidRPr="004577D3">
              <w:rPr>
                <w:sz w:val="20"/>
                <w:szCs w:val="20"/>
              </w:rPr>
              <w:t>модульных</w:t>
            </w:r>
            <w:r w:rsidR="006C680D" w:rsidRPr="004577D3">
              <w:rPr>
                <w:sz w:val="20"/>
                <w:szCs w:val="20"/>
              </w:rPr>
              <w:t xml:space="preserve"> </w:t>
            </w:r>
            <w:r w:rsidRPr="004577D3">
              <w:rPr>
                <w:sz w:val="20"/>
                <w:szCs w:val="20"/>
              </w:rPr>
              <w:t>продуктов</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малого</w:t>
            </w:r>
            <w:r w:rsidR="006C680D" w:rsidRPr="004577D3">
              <w:rPr>
                <w:sz w:val="20"/>
                <w:szCs w:val="20"/>
              </w:rPr>
              <w:t xml:space="preserve"> </w:t>
            </w:r>
            <w:r w:rsidRPr="004577D3">
              <w:rPr>
                <w:sz w:val="20"/>
                <w:szCs w:val="20"/>
              </w:rPr>
              <w:t>бизнеса.</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Развитие</w:t>
            </w:r>
            <w:r w:rsidR="006C680D" w:rsidRPr="004577D3">
              <w:rPr>
                <w:sz w:val="20"/>
                <w:szCs w:val="20"/>
              </w:rPr>
              <w:t xml:space="preserve"> </w:t>
            </w:r>
            <w:r w:rsidRPr="004577D3">
              <w:rPr>
                <w:sz w:val="20"/>
                <w:szCs w:val="20"/>
              </w:rPr>
              <w:t>экосистемы</w:t>
            </w:r>
            <w:r w:rsidR="006C680D" w:rsidRPr="004577D3">
              <w:rPr>
                <w:sz w:val="20"/>
                <w:szCs w:val="20"/>
              </w:rPr>
              <w:t xml:space="preserve"> </w:t>
            </w:r>
            <w:r w:rsidRPr="004577D3">
              <w:rPr>
                <w:sz w:val="20"/>
                <w:szCs w:val="20"/>
              </w:rPr>
              <w:t>партнёрства</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технологичными</w:t>
            </w:r>
            <w:r w:rsidR="006C680D" w:rsidRPr="004577D3">
              <w:rPr>
                <w:sz w:val="20"/>
                <w:szCs w:val="20"/>
              </w:rPr>
              <w:t xml:space="preserve"> </w:t>
            </w:r>
            <w:r w:rsidRPr="004577D3">
              <w:rPr>
                <w:sz w:val="20"/>
                <w:szCs w:val="20"/>
              </w:rPr>
              <w:t>компаниями</w:t>
            </w:r>
            <w:r w:rsidR="006C680D" w:rsidRPr="004577D3">
              <w:rPr>
                <w:sz w:val="20"/>
                <w:szCs w:val="20"/>
              </w:rPr>
              <w:t xml:space="preserve"> </w:t>
            </w:r>
            <w:r w:rsidRPr="004577D3">
              <w:rPr>
                <w:sz w:val="20"/>
                <w:szCs w:val="20"/>
              </w:rPr>
              <w:t>(умные</w:t>
            </w:r>
            <w:r w:rsidR="006C680D" w:rsidRPr="004577D3">
              <w:rPr>
                <w:sz w:val="20"/>
                <w:szCs w:val="20"/>
              </w:rPr>
              <w:t xml:space="preserve"> </w:t>
            </w:r>
            <w:r w:rsidRPr="004577D3">
              <w:rPr>
                <w:sz w:val="20"/>
                <w:szCs w:val="20"/>
              </w:rPr>
              <w:t>дома,</w:t>
            </w:r>
            <w:r w:rsidR="006C680D" w:rsidRPr="004577D3">
              <w:rPr>
                <w:sz w:val="20"/>
                <w:szCs w:val="20"/>
              </w:rPr>
              <w:t xml:space="preserve"> </w:t>
            </w:r>
            <w:r w:rsidRPr="004577D3">
              <w:rPr>
                <w:sz w:val="20"/>
                <w:szCs w:val="20"/>
              </w:rPr>
              <w:t>авто-брокеры),</w:t>
            </w:r>
            <w:r w:rsidR="006C680D" w:rsidRPr="004577D3">
              <w:rPr>
                <w:sz w:val="20"/>
                <w:szCs w:val="20"/>
              </w:rPr>
              <w:t xml:space="preserve"> </w:t>
            </w:r>
            <w:r w:rsidRPr="004577D3">
              <w:rPr>
                <w:sz w:val="20"/>
                <w:szCs w:val="20"/>
              </w:rPr>
              <w:t>интеграция</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маркетплейсы</w:t>
            </w:r>
            <w:r w:rsidR="006C680D" w:rsidRPr="004577D3">
              <w:rPr>
                <w:sz w:val="20"/>
                <w:szCs w:val="20"/>
              </w:rPr>
              <w:t xml:space="preserve"> </w:t>
            </w:r>
            <w:r w:rsidRPr="004577D3">
              <w:rPr>
                <w:sz w:val="20"/>
                <w:szCs w:val="20"/>
              </w:rPr>
              <w:t>услуг,</w:t>
            </w:r>
            <w:r w:rsidR="006C680D" w:rsidRPr="004577D3">
              <w:rPr>
                <w:sz w:val="20"/>
                <w:szCs w:val="20"/>
              </w:rPr>
              <w:t xml:space="preserve"> </w:t>
            </w:r>
            <w:r w:rsidRPr="004577D3">
              <w:rPr>
                <w:sz w:val="20"/>
                <w:szCs w:val="20"/>
              </w:rPr>
              <w:t>запуск</w:t>
            </w:r>
            <w:r w:rsidR="006C680D" w:rsidRPr="004577D3">
              <w:rPr>
                <w:sz w:val="20"/>
                <w:szCs w:val="20"/>
              </w:rPr>
              <w:t xml:space="preserve"> </w:t>
            </w:r>
            <w:r w:rsidRPr="004577D3">
              <w:rPr>
                <w:sz w:val="20"/>
                <w:szCs w:val="20"/>
              </w:rPr>
              <w:t>API</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партнёрских</w:t>
            </w:r>
            <w:r w:rsidR="006C680D" w:rsidRPr="004577D3">
              <w:rPr>
                <w:sz w:val="20"/>
                <w:szCs w:val="20"/>
              </w:rPr>
              <w:t xml:space="preserve"> </w:t>
            </w:r>
            <w:r w:rsidRPr="004577D3">
              <w:rPr>
                <w:sz w:val="20"/>
                <w:szCs w:val="20"/>
              </w:rPr>
              <w:t>продаж</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Оптимизация</w:t>
            </w:r>
            <w:r w:rsidR="006C680D" w:rsidRPr="004577D3">
              <w:rPr>
                <w:sz w:val="20"/>
                <w:szCs w:val="20"/>
              </w:rPr>
              <w:t xml:space="preserve"> </w:t>
            </w:r>
            <w:r w:rsidRPr="004577D3">
              <w:rPr>
                <w:sz w:val="20"/>
                <w:szCs w:val="20"/>
              </w:rPr>
              <w:t>unit-экономики</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достижение</w:t>
            </w:r>
            <w:r w:rsidR="006C680D" w:rsidRPr="004577D3">
              <w:rPr>
                <w:sz w:val="20"/>
                <w:szCs w:val="20"/>
              </w:rPr>
              <w:t xml:space="preserve"> </w:t>
            </w:r>
            <w:r w:rsidRPr="004577D3">
              <w:rPr>
                <w:sz w:val="20"/>
                <w:szCs w:val="20"/>
              </w:rPr>
              <w:t>положительного</w:t>
            </w:r>
            <w:r w:rsidR="006C680D" w:rsidRPr="004577D3">
              <w:rPr>
                <w:sz w:val="20"/>
                <w:szCs w:val="20"/>
              </w:rPr>
              <w:t xml:space="preserve"> </w:t>
            </w:r>
            <w:r w:rsidRPr="004577D3">
              <w:rPr>
                <w:sz w:val="20"/>
                <w:szCs w:val="20"/>
              </w:rPr>
              <w:t>LTV/CAC,</w:t>
            </w:r>
            <w:r w:rsidR="006C680D" w:rsidRPr="004577D3">
              <w:rPr>
                <w:sz w:val="20"/>
                <w:szCs w:val="20"/>
              </w:rPr>
              <w:t xml:space="preserve"> </w:t>
            </w:r>
            <w:r w:rsidRPr="004577D3">
              <w:rPr>
                <w:sz w:val="20"/>
                <w:szCs w:val="20"/>
              </w:rPr>
              <w:t>снижение</w:t>
            </w:r>
            <w:r w:rsidR="006C680D" w:rsidRPr="004577D3">
              <w:rPr>
                <w:sz w:val="20"/>
                <w:szCs w:val="20"/>
              </w:rPr>
              <w:t xml:space="preserve"> </w:t>
            </w:r>
            <w:r w:rsidRPr="004577D3">
              <w:rPr>
                <w:sz w:val="20"/>
                <w:szCs w:val="20"/>
              </w:rPr>
              <w:t>операционных</w:t>
            </w:r>
            <w:r w:rsidR="006C680D" w:rsidRPr="004577D3">
              <w:rPr>
                <w:sz w:val="20"/>
                <w:szCs w:val="20"/>
              </w:rPr>
              <w:t xml:space="preserve"> </w:t>
            </w:r>
            <w:r w:rsidRPr="004577D3">
              <w:rPr>
                <w:sz w:val="20"/>
                <w:szCs w:val="20"/>
              </w:rPr>
              <w:t>расходов</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автоматизацию,</w:t>
            </w:r>
            <w:r w:rsidR="006C680D" w:rsidRPr="004577D3">
              <w:rPr>
                <w:sz w:val="20"/>
                <w:szCs w:val="20"/>
              </w:rPr>
              <w:t xml:space="preserve"> </w:t>
            </w:r>
            <w:r w:rsidRPr="004577D3">
              <w:rPr>
                <w:sz w:val="20"/>
                <w:szCs w:val="20"/>
              </w:rPr>
              <w:t>улучшение</w:t>
            </w:r>
            <w:r w:rsidR="006C680D" w:rsidRPr="004577D3">
              <w:rPr>
                <w:sz w:val="20"/>
                <w:szCs w:val="20"/>
              </w:rPr>
              <w:t xml:space="preserve"> </w:t>
            </w:r>
            <w:r w:rsidRPr="004577D3">
              <w:rPr>
                <w:sz w:val="20"/>
                <w:szCs w:val="20"/>
              </w:rPr>
              <w:t>коэффициента</w:t>
            </w:r>
            <w:r w:rsidR="006C680D" w:rsidRPr="004577D3">
              <w:rPr>
                <w:sz w:val="20"/>
                <w:szCs w:val="20"/>
              </w:rPr>
              <w:t xml:space="preserve"> </w:t>
            </w:r>
            <w:r w:rsidRPr="004577D3">
              <w:rPr>
                <w:sz w:val="20"/>
                <w:szCs w:val="20"/>
              </w:rPr>
              <w:t>убыточности</w:t>
            </w:r>
            <w:r w:rsidR="006C680D" w:rsidRPr="004577D3">
              <w:rPr>
                <w:sz w:val="20"/>
                <w:szCs w:val="20"/>
              </w:rPr>
              <w:t xml:space="preserve"> </w:t>
            </w:r>
            <w:r w:rsidRPr="004577D3">
              <w:rPr>
                <w:sz w:val="20"/>
                <w:szCs w:val="20"/>
              </w:rPr>
              <w:t>через</w:t>
            </w:r>
            <w:r w:rsidR="006C680D" w:rsidRPr="004577D3">
              <w:rPr>
                <w:sz w:val="20"/>
                <w:szCs w:val="20"/>
              </w:rPr>
              <w:t xml:space="preserve"> </w:t>
            </w:r>
            <w:r w:rsidRPr="004577D3">
              <w:rPr>
                <w:sz w:val="20"/>
                <w:szCs w:val="20"/>
              </w:rPr>
              <w:t>превентивные</w:t>
            </w:r>
            <w:r w:rsidR="006C680D" w:rsidRPr="004577D3">
              <w:rPr>
                <w:sz w:val="20"/>
                <w:szCs w:val="20"/>
              </w:rPr>
              <w:t xml:space="preserve"> </w:t>
            </w:r>
            <w:r w:rsidRPr="004577D3">
              <w:rPr>
                <w:sz w:val="20"/>
                <w:szCs w:val="20"/>
              </w:rPr>
              <w:t>меры.</w:t>
            </w:r>
          </w:p>
        </w:tc>
        <w:tc>
          <w:tcPr>
            <w:tcW w:w="1694" w:type="dxa"/>
          </w:tcPr>
          <w:p w:rsidR="00B91B4B" w:rsidRPr="004577D3" w:rsidRDefault="00B91B4B" w:rsidP="000C1FE6">
            <w:pPr>
              <w:tabs>
                <w:tab w:val="left" w:pos="993"/>
              </w:tabs>
              <w:ind w:firstLine="0"/>
              <w:rPr>
                <w:sz w:val="20"/>
                <w:szCs w:val="20"/>
              </w:rPr>
            </w:pPr>
            <w:r w:rsidRPr="004577D3">
              <w:rPr>
                <w:sz w:val="20"/>
                <w:szCs w:val="20"/>
              </w:rPr>
              <w:t>Полноценный</w:t>
            </w:r>
            <w:r w:rsidR="006C680D" w:rsidRPr="004577D3">
              <w:rPr>
                <w:sz w:val="20"/>
                <w:szCs w:val="20"/>
              </w:rPr>
              <w:t xml:space="preserve"> </w:t>
            </w:r>
            <w:r w:rsidRPr="004577D3">
              <w:rPr>
                <w:sz w:val="20"/>
                <w:szCs w:val="20"/>
              </w:rPr>
              <w:t>портфель</w:t>
            </w:r>
            <w:r w:rsidR="006C680D" w:rsidRPr="004577D3">
              <w:rPr>
                <w:sz w:val="20"/>
                <w:szCs w:val="20"/>
              </w:rPr>
              <w:t xml:space="preserve"> </w:t>
            </w:r>
            <w:r w:rsidRPr="004577D3">
              <w:rPr>
                <w:sz w:val="20"/>
                <w:szCs w:val="20"/>
              </w:rPr>
              <w:t>продуктов,</w:t>
            </w:r>
            <w:r w:rsidR="006C680D" w:rsidRPr="004577D3">
              <w:rPr>
                <w:sz w:val="20"/>
                <w:szCs w:val="20"/>
              </w:rPr>
              <w:t xml:space="preserve"> </w:t>
            </w:r>
            <w:r w:rsidRPr="004577D3">
              <w:rPr>
                <w:sz w:val="20"/>
                <w:szCs w:val="20"/>
              </w:rPr>
              <w:t>устойчивая</w:t>
            </w:r>
            <w:r w:rsidR="006C680D" w:rsidRPr="004577D3">
              <w:rPr>
                <w:sz w:val="20"/>
                <w:szCs w:val="20"/>
              </w:rPr>
              <w:t xml:space="preserve"> </w:t>
            </w:r>
            <w:r w:rsidRPr="004577D3">
              <w:rPr>
                <w:sz w:val="20"/>
                <w:szCs w:val="20"/>
              </w:rPr>
              <w:t>бизнес-модель,</w:t>
            </w:r>
            <w:r w:rsidR="006C680D" w:rsidRPr="004577D3">
              <w:rPr>
                <w:sz w:val="20"/>
                <w:szCs w:val="20"/>
              </w:rPr>
              <w:t xml:space="preserve"> </w:t>
            </w:r>
            <w:r w:rsidRPr="004577D3">
              <w:rPr>
                <w:sz w:val="20"/>
                <w:szCs w:val="20"/>
              </w:rPr>
              <w:t>узнаваемый</w:t>
            </w:r>
            <w:r w:rsidR="006C680D" w:rsidRPr="004577D3">
              <w:rPr>
                <w:sz w:val="20"/>
                <w:szCs w:val="20"/>
              </w:rPr>
              <w:t xml:space="preserve"> </w:t>
            </w:r>
            <w:r w:rsidRPr="004577D3">
              <w:rPr>
                <w:sz w:val="20"/>
                <w:szCs w:val="20"/>
              </w:rPr>
              <w:t>бренд</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цифровой</w:t>
            </w:r>
            <w:r w:rsidR="006C680D" w:rsidRPr="004577D3">
              <w:rPr>
                <w:sz w:val="20"/>
                <w:szCs w:val="20"/>
              </w:rPr>
              <w:t xml:space="preserve"> </w:t>
            </w:r>
            <w:r w:rsidRPr="004577D3">
              <w:rPr>
                <w:sz w:val="20"/>
                <w:szCs w:val="20"/>
              </w:rPr>
              <w:t>среде.</w:t>
            </w:r>
          </w:p>
        </w:tc>
      </w:tr>
      <w:tr w:rsidR="00B91B4B" w:rsidRPr="004577D3" w:rsidTr="000C1FE6">
        <w:tc>
          <w:tcPr>
            <w:tcW w:w="1555" w:type="dxa"/>
          </w:tcPr>
          <w:p w:rsidR="00B91B4B" w:rsidRPr="004577D3" w:rsidRDefault="00B91B4B" w:rsidP="000C1FE6">
            <w:pPr>
              <w:tabs>
                <w:tab w:val="left" w:pos="993"/>
              </w:tabs>
              <w:ind w:firstLine="0"/>
              <w:rPr>
                <w:sz w:val="20"/>
                <w:szCs w:val="20"/>
              </w:rPr>
            </w:pPr>
            <w:r w:rsidRPr="004577D3">
              <w:rPr>
                <w:sz w:val="20"/>
                <w:szCs w:val="20"/>
              </w:rPr>
              <w:t>Инновационное</w:t>
            </w:r>
            <w:r w:rsidR="006C680D" w:rsidRPr="004577D3">
              <w:rPr>
                <w:sz w:val="20"/>
                <w:szCs w:val="20"/>
              </w:rPr>
              <w:t xml:space="preserve"> </w:t>
            </w:r>
            <w:r w:rsidRPr="004577D3">
              <w:rPr>
                <w:sz w:val="20"/>
                <w:szCs w:val="20"/>
              </w:rPr>
              <w:t>агрегирование</w:t>
            </w:r>
            <w:r w:rsidR="006C680D" w:rsidRPr="004577D3">
              <w:rPr>
                <w:sz w:val="20"/>
                <w:szCs w:val="20"/>
              </w:rPr>
              <w:t xml:space="preserve"> </w:t>
            </w:r>
            <w:r w:rsidRPr="004577D3">
              <w:rPr>
                <w:sz w:val="20"/>
                <w:szCs w:val="20"/>
              </w:rPr>
              <w:t>процессов</w:t>
            </w:r>
          </w:p>
        </w:tc>
        <w:tc>
          <w:tcPr>
            <w:tcW w:w="6491" w:type="dxa"/>
          </w:tcPr>
          <w:p w:rsidR="00B91B4B" w:rsidRPr="004577D3" w:rsidRDefault="00B91B4B" w:rsidP="000C1FE6">
            <w:pPr>
              <w:tabs>
                <w:tab w:val="left" w:pos="993"/>
              </w:tabs>
              <w:ind w:firstLine="0"/>
              <w:rPr>
                <w:sz w:val="20"/>
                <w:szCs w:val="20"/>
              </w:rPr>
            </w:pPr>
            <w:r w:rsidRPr="004577D3">
              <w:rPr>
                <w:sz w:val="20"/>
                <w:szCs w:val="20"/>
              </w:rPr>
              <w:t>1.</w:t>
            </w:r>
            <w:r w:rsidR="006C680D" w:rsidRPr="004577D3">
              <w:rPr>
                <w:sz w:val="20"/>
                <w:szCs w:val="20"/>
              </w:rPr>
              <w:t xml:space="preserve"> </w:t>
            </w:r>
            <w:r w:rsidRPr="004577D3">
              <w:rPr>
                <w:sz w:val="20"/>
                <w:szCs w:val="20"/>
              </w:rPr>
              <w:t>Укрепление</w:t>
            </w:r>
            <w:r w:rsidR="006C680D" w:rsidRPr="004577D3">
              <w:rPr>
                <w:sz w:val="20"/>
                <w:szCs w:val="20"/>
              </w:rPr>
              <w:t xml:space="preserve"> </w:t>
            </w:r>
            <w:r w:rsidRPr="004577D3">
              <w:rPr>
                <w:sz w:val="20"/>
                <w:szCs w:val="20"/>
              </w:rPr>
              <w:t>позиции</w:t>
            </w:r>
            <w:r w:rsidR="006C680D" w:rsidRPr="004577D3">
              <w:rPr>
                <w:sz w:val="20"/>
                <w:szCs w:val="20"/>
              </w:rPr>
              <w:t xml:space="preserve"> </w:t>
            </w:r>
            <w:r w:rsidRPr="004577D3">
              <w:rPr>
                <w:sz w:val="20"/>
                <w:szCs w:val="20"/>
              </w:rPr>
              <w:t>лидера</w:t>
            </w:r>
            <w:r w:rsidR="006C680D" w:rsidRPr="004577D3">
              <w:rPr>
                <w:sz w:val="20"/>
                <w:szCs w:val="20"/>
              </w:rPr>
              <w:t xml:space="preserve"> </w:t>
            </w:r>
            <w:r w:rsidRPr="004577D3">
              <w:rPr>
                <w:sz w:val="20"/>
                <w:szCs w:val="20"/>
              </w:rPr>
              <w:t>–</w:t>
            </w:r>
            <w:r w:rsidR="006C680D" w:rsidRPr="004577D3">
              <w:rPr>
                <w:sz w:val="20"/>
                <w:szCs w:val="20"/>
              </w:rPr>
              <w:t xml:space="preserve"> </w:t>
            </w:r>
            <w:r w:rsidRPr="004577D3">
              <w:rPr>
                <w:sz w:val="20"/>
                <w:szCs w:val="20"/>
              </w:rPr>
              <w:t>реализация</w:t>
            </w:r>
            <w:r w:rsidR="006C680D" w:rsidRPr="004577D3">
              <w:rPr>
                <w:sz w:val="20"/>
                <w:szCs w:val="20"/>
              </w:rPr>
              <w:t xml:space="preserve"> </w:t>
            </w:r>
            <w:r w:rsidRPr="004577D3">
              <w:rPr>
                <w:sz w:val="20"/>
                <w:szCs w:val="20"/>
              </w:rPr>
              <w:t>пилотной</w:t>
            </w:r>
            <w:r w:rsidR="006C680D" w:rsidRPr="004577D3">
              <w:rPr>
                <w:sz w:val="20"/>
                <w:szCs w:val="20"/>
              </w:rPr>
              <w:t xml:space="preserve"> </w:t>
            </w:r>
            <w:r w:rsidRPr="004577D3">
              <w:rPr>
                <w:sz w:val="20"/>
                <w:szCs w:val="20"/>
              </w:rPr>
              <w:t>программы</w:t>
            </w:r>
            <w:r w:rsidR="006C680D" w:rsidRPr="004577D3">
              <w:rPr>
                <w:sz w:val="20"/>
                <w:szCs w:val="20"/>
              </w:rPr>
              <w:t xml:space="preserve"> </w:t>
            </w:r>
            <w:r w:rsidRPr="004577D3">
              <w:rPr>
                <w:sz w:val="20"/>
                <w:szCs w:val="20"/>
              </w:rPr>
              <w:t>лояльности</w:t>
            </w:r>
            <w:r w:rsidR="006C680D" w:rsidRPr="004577D3">
              <w:rPr>
                <w:sz w:val="20"/>
                <w:szCs w:val="20"/>
              </w:rPr>
              <w:t xml:space="preserve"> </w:t>
            </w:r>
            <w:r w:rsidRPr="004577D3">
              <w:rPr>
                <w:sz w:val="20"/>
                <w:szCs w:val="20"/>
              </w:rPr>
              <w:t>с</w:t>
            </w:r>
            <w:r w:rsidR="006C680D" w:rsidRPr="004577D3">
              <w:rPr>
                <w:sz w:val="20"/>
                <w:szCs w:val="20"/>
              </w:rPr>
              <w:t xml:space="preserve"> </w:t>
            </w:r>
            <w:r w:rsidRPr="004577D3">
              <w:rPr>
                <w:sz w:val="20"/>
                <w:szCs w:val="20"/>
              </w:rPr>
              <w:t>элементами</w:t>
            </w:r>
            <w:r w:rsidR="006C680D" w:rsidRPr="004577D3">
              <w:rPr>
                <w:sz w:val="20"/>
                <w:szCs w:val="20"/>
              </w:rPr>
              <w:t xml:space="preserve"> </w:t>
            </w:r>
            <w:r w:rsidRPr="004577D3">
              <w:rPr>
                <w:sz w:val="20"/>
                <w:szCs w:val="20"/>
              </w:rPr>
              <w:t>геймификации,</w:t>
            </w:r>
            <w:r w:rsidR="006C680D" w:rsidRPr="004577D3">
              <w:rPr>
                <w:sz w:val="20"/>
                <w:szCs w:val="20"/>
              </w:rPr>
              <w:t xml:space="preserve"> </w:t>
            </w:r>
            <w:r w:rsidRPr="004577D3">
              <w:rPr>
                <w:sz w:val="20"/>
                <w:szCs w:val="20"/>
              </w:rPr>
              <w:t>развитие</w:t>
            </w:r>
            <w:r w:rsidR="006C680D" w:rsidRPr="004577D3">
              <w:rPr>
                <w:sz w:val="20"/>
                <w:szCs w:val="20"/>
              </w:rPr>
              <w:t xml:space="preserve"> </w:t>
            </w:r>
            <w:r w:rsidRPr="004577D3">
              <w:rPr>
                <w:sz w:val="20"/>
                <w:szCs w:val="20"/>
              </w:rPr>
              <w:t>комьюнити</w:t>
            </w:r>
            <w:r w:rsidR="006C680D" w:rsidRPr="004577D3">
              <w:rPr>
                <w:sz w:val="20"/>
                <w:szCs w:val="20"/>
              </w:rPr>
              <w:t xml:space="preserve"> </w:t>
            </w:r>
            <w:r w:rsidRPr="004577D3">
              <w:rPr>
                <w:sz w:val="20"/>
                <w:szCs w:val="20"/>
              </w:rPr>
              <w:t>клиентов,</w:t>
            </w:r>
            <w:r w:rsidR="006C680D" w:rsidRPr="004577D3">
              <w:rPr>
                <w:sz w:val="20"/>
                <w:szCs w:val="20"/>
              </w:rPr>
              <w:t xml:space="preserve"> </w:t>
            </w:r>
            <w:r w:rsidRPr="004577D3">
              <w:rPr>
                <w:sz w:val="20"/>
                <w:szCs w:val="20"/>
              </w:rPr>
              <w:t>выход</w:t>
            </w:r>
            <w:r w:rsidR="006C680D" w:rsidRPr="004577D3">
              <w:rPr>
                <w:sz w:val="20"/>
                <w:szCs w:val="20"/>
              </w:rPr>
              <w:t xml:space="preserve"> </w:t>
            </w:r>
            <w:r w:rsidRPr="004577D3">
              <w:rPr>
                <w:sz w:val="20"/>
                <w:szCs w:val="20"/>
              </w:rPr>
              <w:t>в</w:t>
            </w:r>
            <w:r w:rsidR="006C680D" w:rsidRPr="004577D3">
              <w:rPr>
                <w:sz w:val="20"/>
                <w:szCs w:val="20"/>
              </w:rPr>
              <w:t xml:space="preserve"> </w:t>
            </w:r>
            <w:r w:rsidRPr="004577D3">
              <w:rPr>
                <w:sz w:val="20"/>
                <w:szCs w:val="20"/>
              </w:rPr>
              <w:t>новые</w:t>
            </w:r>
            <w:r w:rsidR="006C680D" w:rsidRPr="004577D3">
              <w:rPr>
                <w:sz w:val="20"/>
                <w:szCs w:val="20"/>
              </w:rPr>
              <w:t xml:space="preserve"> </w:t>
            </w:r>
            <w:r w:rsidRPr="004577D3">
              <w:rPr>
                <w:sz w:val="20"/>
                <w:szCs w:val="20"/>
              </w:rPr>
              <w:t>регионы/сегменты.</w:t>
            </w:r>
          </w:p>
          <w:p w:rsidR="00B91B4B" w:rsidRPr="004577D3" w:rsidRDefault="00B91B4B" w:rsidP="000C1FE6">
            <w:pPr>
              <w:tabs>
                <w:tab w:val="left" w:pos="993"/>
              </w:tabs>
              <w:ind w:firstLine="0"/>
              <w:rPr>
                <w:sz w:val="20"/>
                <w:szCs w:val="20"/>
              </w:rPr>
            </w:pPr>
            <w:r w:rsidRPr="004577D3">
              <w:rPr>
                <w:sz w:val="20"/>
                <w:szCs w:val="20"/>
              </w:rPr>
              <w:t>2.</w:t>
            </w:r>
            <w:r w:rsidR="006C680D" w:rsidRPr="004577D3">
              <w:rPr>
                <w:sz w:val="20"/>
                <w:szCs w:val="20"/>
              </w:rPr>
              <w:t xml:space="preserve"> </w:t>
            </w:r>
            <w:r w:rsidRPr="004577D3">
              <w:rPr>
                <w:sz w:val="20"/>
                <w:szCs w:val="20"/>
              </w:rPr>
              <w:t>Инновации</w:t>
            </w:r>
            <w:r w:rsidR="006C680D" w:rsidRPr="004577D3">
              <w:rPr>
                <w:sz w:val="20"/>
                <w:szCs w:val="20"/>
              </w:rPr>
              <w:t xml:space="preserve"> </w:t>
            </w:r>
            <w:r w:rsidRPr="004577D3">
              <w:rPr>
                <w:sz w:val="20"/>
                <w:szCs w:val="20"/>
              </w:rPr>
              <w:t>и</w:t>
            </w:r>
            <w:r w:rsidR="006C680D" w:rsidRPr="004577D3">
              <w:rPr>
                <w:sz w:val="20"/>
                <w:szCs w:val="20"/>
              </w:rPr>
              <w:t xml:space="preserve"> </w:t>
            </w:r>
            <w:r w:rsidRPr="004577D3">
              <w:rPr>
                <w:sz w:val="20"/>
                <w:szCs w:val="20"/>
              </w:rPr>
              <w:t>R&amp;D.</w:t>
            </w:r>
            <w:r w:rsidR="006C680D" w:rsidRPr="004577D3">
              <w:rPr>
                <w:sz w:val="20"/>
                <w:szCs w:val="20"/>
              </w:rPr>
              <w:t xml:space="preserve"> </w:t>
            </w:r>
            <w:r w:rsidRPr="004577D3">
              <w:rPr>
                <w:sz w:val="20"/>
                <w:szCs w:val="20"/>
              </w:rPr>
              <w:t>Лаборатория</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разработке</w:t>
            </w:r>
            <w:r w:rsidR="006C680D" w:rsidRPr="004577D3">
              <w:rPr>
                <w:sz w:val="20"/>
                <w:szCs w:val="20"/>
              </w:rPr>
              <w:t xml:space="preserve"> </w:t>
            </w:r>
            <w:r w:rsidRPr="004577D3">
              <w:rPr>
                <w:sz w:val="20"/>
                <w:szCs w:val="20"/>
              </w:rPr>
              <w:t>новых</w:t>
            </w:r>
            <w:r w:rsidR="006C680D" w:rsidRPr="004577D3">
              <w:rPr>
                <w:sz w:val="20"/>
                <w:szCs w:val="20"/>
              </w:rPr>
              <w:t xml:space="preserve"> </w:t>
            </w:r>
            <w:r w:rsidRPr="004577D3">
              <w:rPr>
                <w:sz w:val="20"/>
                <w:szCs w:val="20"/>
              </w:rPr>
              <w:t>страховых</w:t>
            </w:r>
            <w:r w:rsidR="006C680D" w:rsidRPr="004577D3">
              <w:rPr>
                <w:sz w:val="20"/>
                <w:szCs w:val="20"/>
              </w:rPr>
              <w:t xml:space="preserve"> </w:t>
            </w:r>
            <w:r w:rsidRPr="004577D3">
              <w:rPr>
                <w:sz w:val="20"/>
                <w:szCs w:val="20"/>
              </w:rPr>
              <w:t>моделей,</w:t>
            </w:r>
            <w:r w:rsidR="006C680D" w:rsidRPr="004577D3">
              <w:rPr>
                <w:sz w:val="20"/>
                <w:szCs w:val="20"/>
              </w:rPr>
              <w:t xml:space="preserve"> </w:t>
            </w:r>
            <w:r w:rsidRPr="004577D3">
              <w:rPr>
                <w:sz w:val="20"/>
                <w:szCs w:val="20"/>
              </w:rPr>
              <w:t>использование</w:t>
            </w:r>
            <w:r w:rsidR="006C680D" w:rsidRPr="004577D3">
              <w:rPr>
                <w:sz w:val="20"/>
                <w:szCs w:val="20"/>
              </w:rPr>
              <w:t xml:space="preserve"> </w:t>
            </w:r>
            <w:r w:rsidRPr="004577D3">
              <w:rPr>
                <w:sz w:val="20"/>
                <w:szCs w:val="20"/>
              </w:rPr>
              <w:t>блокчейн</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смарт-контрактов,</w:t>
            </w:r>
            <w:r w:rsidR="006C680D" w:rsidRPr="004577D3">
              <w:rPr>
                <w:sz w:val="20"/>
                <w:szCs w:val="20"/>
              </w:rPr>
              <w:t xml:space="preserve"> </w:t>
            </w:r>
            <w:r w:rsidRPr="004577D3">
              <w:rPr>
                <w:sz w:val="20"/>
                <w:szCs w:val="20"/>
              </w:rPr>
              <w:t>внедрение</w:t>
            </w:r>
            <w:r w:rsidR="006C680D" w:rsidRPr="004577D3">
              <w:rPr>
                <w:sz w:val="20"/>
                <w:szCs w:val="20"/>
              </w:rPr>
              <w:t xml:space="preserve"> </w:t>
            </w:r>
            <w:r w:rsidRPr="004577D3">
              <w:rPr>
                <w:sz w:val="20"/>
                <w:szCs w:val="20"/>
              </w:rPr>
              <w:t>предиктивной</w:t>
            </w:r>
            <w:r w:rsidR="006C680D" w:rsidRPr="004577D3">
              <w:rPr>
                <w:sz w:val="20"/>
                <w:szCs w:val="20"/>
              </w:rPr>
              <w:t xml:space="preserve"> </w:t>
            </w:r>
            <w:r w:rsidRPr="004577D3">
              <w:rPr>
                <w:sz w:val="20"/>
                <w:szCs w:val="20"/>
              </w:rPr>
              <w:t>аналитики</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индивидуальных</w:t>
            </w:r>
            <w:r w:rsidR="006C680D" w:rsidRPr="004577D3">
              <w:rPr>
                <w:sz w:val="20"/>
                <w:szCs w:val="20"/>
              </w:rPr>
              <w:t xml:space="preserve"> </w:t>
            </w:r>
            <w:r w:rsidRPr="004577D3">
              <w:rPr>
                <w:sz w:val="20"/>
                <w:szCs w:val="20"/>
              </w:rPr>
              <w:t>тарифов</w:t>
            </w:r>
          </w:p>
          <w:p w:rsidR="00B91B4B" w:rsidRPr="004577D3" w:rsidRDefault="00B91B4B" w:rsidP="000C1FE6">
            <w:pPr>
              <w:tabs>
                <w:tab w:val="left" w:pos="993"/>
              </w:tabs>
              <w:ind w:firstLine="0"/>
              <w:rPr>
                <w:sz w:val="20"/>
                <w:szCs w:val="20"/>
              </w:rPr>
            </w:pPr>
            <w:r w:rsidRPr="004577D3">
              <w:rPr>
                <w:sz w:val="20"/>
                <w:szCs w:val="20"/>
              </w:rPr>
              <w:t>3.</w:t>
            </w:r>
            <w:r w:rsidR="006C680D" w:rsidRPr="004577D3">
              <w:rPr>
                <w:sz w:val="20"/>
                <w:szCs w:val="20"/>
              </w:rPr>
              <w:t xml:space="preserve"> </w:t>
            </w:r>
            <w:r w:rsidRPr="004577D3">
              <w:rPr>
                <w:sz w:val="20"/>
                <w:szCs w:val="20"/>
              </w:rPr>
              <w:t>Монетизация</w:t>
            </w:r>
            <w:r w:rsidR="006C680D" w:rsidRPr="004577D3">
              <w:rPr>
                <w:sz w:val="20"/>
                <w:szCs w:val="20"/>
              </w:rPr>
              <w:t xml:space="preserve"> </w:t>
            </w:r>
            <w:r w:rsidRPr="004577D3">
              <w:rPr>
                <w:sz w:val="20"/>
                <w:szCs w:val="20"/>
              </w:rPr>
              <w:t>данных</w:t>
            </w:r>
            <w:r w:rsidR="006C680D" w:rsidRPr="004577D3">
              <w:rPr>
                <w:sz w:val="20"/>
                <w:szCs w:val="20"/>
              </w:rPr>
              <w:t xml:space="preserve"> </w:t>
            </w:r>
            <w:r w:rsidRPr="004577D3">
              <w:rPr>
                <w:sz w:val="20"/>
                <w:szCs w:val="20"/>
              </w:rPr>
              <w:t>(без</w:t>
            </w:r>
            <w:r w:rsidR="006C680D" w:rsidRPr="004577D3">
              <w:rPr>
                <w:sz w:val="20"/>
                <w:szCs w:val="20"/>
              </w:rPr>
              <w:t xml:space="preserve"> </w:t>
            </w:r>
            <w:r w:rsidRPr="004577D3">
              <w:rPr>
                <w:sz w:val="20"/>
                <w:szCs w:val="20"/>
              </w:rPr>
              <w:t>нарушения</w:t>
            </w:r>
            <w:r w:rsidR="006C680D" w:rsidRPr="004577D3">
              <w:rPr>
                <w:sz w:val="20"/>
                <w:szCs w:val="20"/>
              </w:rPr>
              <w:t xml:space="preserve"> </w:t>
            </w:r>
            <w:r w:rsidRPr="004577D3">
              <w:rPr>
                <w:sz w:val="20"/>
                <w:szCs w:val="20"/>
              </w:rPr>
              <w:t>приватности).</w:t>
            </w:r>
            <w:r w:rsidR="006C680D" w:rsidRPr="004577D3">
              <w:rPr>
                <w:sz w:val="20"/>
                <w:szCs w:val="20"/>
              </w:rPr>
              <w:t xml:space="preserve"> </w:t>
            </w:r>
            <w:r w:rsidRPr="004577D3">
              <w:rPr>
                <w:sz w:val="20"/>
                <w:szCs w:val="20"/>
              </w:rPr>
              <w:t>Анонимизированные</w:t>
            </w:r>
            <w:r w:rsidR="006C680D" w:rsidRPr="004577D3">
              <w:rPr>
                <w:sz w:val="20"/>
                <w:szCs w:val="20"/>
              </w:rPr>
              <w:t xml:space="preserve"> </w:t>
            </w:r>
            <w:r w:rsidRPr="004577D3">
              <w:rPr>
                <w:sz w:val="20"/>
                <w:szCs w:val="20"/>
              </w:rPr>
              <w:t>аналитические</w:t>
            </w:r>
            <w:r w:rsidR="006C680D" w:rsidRPr="004577D3">
              <w:rPr>
                <w:sz w:val="20"/>
                <w:szCs w:val="20"/>
              </w:rPr>
              <w:t xml:space="preserve"> </w:t>
            </w:r>
            <w:r w:rsidRPr="004577D3">
              <w:rPr>
                <w:sz w:val="20"/>
                <w:szCs w:val="20"/>
              </w:rPr>
              <w:t>отчёты</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партнёров,</w:t>
            </w:r>
            <w:r w:rsidR="006C680D" w:rsidRPr="004577D3">
              <w:rPr>
                <w:sz w:val="20"/>
                <w:szCs w:val="20"/>
              </w:rPr>
              <w:t xml:space="preserve"> </w:t>
            </w:r>
            <w:r w:rsidRPr="004577D3">
              <w:rPr>
                <w:sz w:val="20"/>
                <w:szCs w:val="20"/>
              </w:rPr>
              <w:t>консалтинг</w:t>
            </w:r>
            <w:r w:rsidR="006C680D" w:rsidRPr="004577D3">
              <w:rPr>
                <w:sz w:val="20"/>
                <w:szCs w:val="20"/>
              </w:rPr>
              <w:t xml:space="preserve"> </w:t>
            </w:r>
            <w:r w:rsidRPr="004577D3">
              <w:rPr>
                <w:sz w:val="20"/>
                <w:szCs w:val="20"/>
              </w:rPr>
              <w:t>по</w:t>
            </w:r>
            <w:r w:rsidR="006C680D" w:rsidRPr="004577D3">
              <w:rPr>
                <w:sz w:val="20"/>
                <w:szCs w:val="20"/>
              </w:rPr>
              <w:t xml:space="preserve"> </w:t>
            </w:r>
            <w:r w:rsidRPr="004577D3">
              <w:rPr>
                <w:sz w:val="20"/>
                <w:szCs w:val="20"/>
              </w:rPr>
              <w:t>risk-менеджменту</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корпоративных</w:t>
            </w:r>
            <w:r w:rsidR="006C680D" w:rsidRPr="004577D3">
              <w:rPr>
                <w:sz w:val="20"/>
                <w:szCs w:val="20"/>
              </w:rPr>
              <w:t xml:space="preserve"> </w:t>
            </w:r>
            <w:r w:rsidRPr="004577D3">
              <w:rPr>
                <w:sz w:val="20"/>
                <w:szCs w:val="20"/>
              </w:rPr>
              <w:t>клиентов,</w:t>
            </w:r>
            <w:r w:rsidR="006C680D" w:rsidRPr="004577D3">
              <w:rPr>
                <w:sz w:val="20"/>
                <w:szCs w:val="20"/>
              </w:rPr>
              <w:t xml:space="preserve"> </w:t>
            </w:r>
            <w:r w:rsidRPr="004577D3">
              <w:rPr>
                <w:sz w:val="20"/>
                <w:szCs w:val="20"/>
              </w:rPr>
              <w:t>разработка</w:t>
            </w:r>
            <w:r w:rsidR="006C680D" w:rsidRPr="004577D3">
              <w:rPr>
                <w:sz w:val="20"/>
                <w:szCs w:val="20"/>
              </w:rPr>
              <w:t xml:space="preserve"> </w:t>
            </w:r>
            <w:r w:rsidRPr="004577D3">
              <w:rPr>
                <w:sz w:val="20"/>
                <w:szCs w:val="20"/>
              </w:rPr>
              <w:t>white-label</w:t>
            </w:r>
            <w:r w:rsidR="006C680D" w:rsidRPr="004577D3">
              <w:rPr>
                <w:sz w:val="20"/>
                <w:szCs w:val="20"/>
              </w:rPr>
              <w:t xml:space="preserve"> </w:t>
            </w:r>
            <w:r w:rsidRPr="004577D3">
              <w:rPr>
                <w:sz w:val="20"/>
                <w:szCs w:val="20"/>
              </w:rPr>
              <w:t>решений</w:t>
            </w:r>
            <w:r w:rsidR="006C680D" w:rsidRPr="004577D3">
              <w:rPr>
                <w:sz w:val="20"/>
                <w:szCs w:val="20"/>
              </w:rPr>
              <w:t xml:space="preserve"> </w:t>
            </w:r>
            <w:r w:rsidRPr="004577D3">
              <w:rPr>
                <w:sz w:val="20"/>
                <w:szCs w:val="20"/>
              </w:rPr>
              <w:t>для</w:t>
            </w:r>
            <w:r w:rsidR="006C680D" w:rsidRPr="004577D3">
              <w:rPr>
                <w:sz w:val="20"/>
                <w:szCs w:val="20"/>
              </w:rPr>
              <w:t xml:space="preserve"> </w:t>
            </w:r>
            <w:r w:rsidRPr="004577D3">
              <w:rPr>
                <w:sz w:val="20"/>
                <w:szCs w:val="20"/>
              </w:rPr>
              <w:t>других</w:t>
            </w:r>
            <w:r w:rsidR="006C680D" w:rsidRPr="004577D3">
              <w:rPr>
                <w:sz w:val="20"/>
                <w:szCs w:val="20"/>
              </w:rPr>
              <w:t xml:space="preserve"> </w:t>
            </w:r>
            <w:r w:rsidRPr="004577D3">
              <w:rPr>
                <w:sz w:val="20"/>
                <w:szCs w:val="20"/>
              </w:rPr>
              <w:t>компаний</w:t>
            </w:r>
          </w:p>
        </w:tc>
        <w:tc>
          <w:tcPr>
            <w:tcW w:w="1694" w:type="dxa"/>
          </w:tcPr>
          <w:p w:rsidR="00B91B4B" w:rsidRPr="004577D3" w:rsidRDefault="00B91B4B" w:rsidP="000C1FE6">
            <w:pPr>
              <w:tabs>
                <w:tab w:val="left" w:pos="993"/>
              </w:tabs>
              <w:ind w:firstLine="0"/>
              <w:rPr>
                <w:sz w:val="20"/>
                <w:szCs w:val="20"/>
              </w:rPr>
            </w:pPr>
            <w:r w:rsidRPr="004577D3">
              <w:rPr>
                <w:sz w:val="20"/>
                <w:szCs w:val="20"/>
              </w:rPr>
              <w:t>Устойчивое</w:t>
            </w:r>
            <w:r w:rsidR="006C680D" w:rsidRPr="004577D3">
              <w:rPr>
                <w:sz w:val="20"/>
                <w:szCs w:val="20"/>
              </w:rPr>
              <w:t xml:space="preserve"> </w:t>
            </w:r>
            <w:r w:rsidRPr="004577D3">
              <w:rPr>
                <w:sz w:val="20"/>
                <w:szCs w:val="20"/>
              </w:rPr>
              <w:t>конкурентное</w:t>
            </w:r>
            <w:r w:rsidR="006C680D" w:rsidRPr="004577D3">
              <w:rPr>
                <w:sz w:val="20"/>
                <w:szCs w:val="20"/>
              </w:rPr>
              <w:t xml:space="preserve"> </w:t>
            </w:r>
            <w:r w:rsidRPr="004577D3">
              <w:rPr>
                <w:sz w:val="20"/>
                <w:szCs w:val="20"/>
              </w:rPr>
              <w:t>преимущество,</w:t>
            </w:r>
            <w:r w:rsidR="006C680D" w:rsidRPr="004577D3">
              <w:rPr>
                <w:sz w:val="20"/>
                <w:szCs w:val="20"/>
              </w:rPr>
              <w:t xml:space="preserve"> </w:t>
            </w:r>
            <w:r w:rsidRPr="004577D3">
              <w:rPr>
                <w:sz w:val="20"/>
                <w:szCs w:val="20"/>
              </w:rPr>
              <w:t>признание</w:t>
            </w:r>
            <w:r w:rsidR="006C680D" w:rsidRPr="004577D3">
              <w:rPr>
                <w:sz w:val="20"/>
                <w:szCs w:val="20"/>
              </w:rPr>
              <w:t xml:space="preserve"> </w:t>
            </w:r>
            <w:r w:rsidRPr="004577D3">
              <w:rPr>
                <w:sz w:val="20"/>
                <w:szCs w:val="20"/>
              </w:rPr>
              <w:t>как</w:t>
            </w:r>
            <w:r w:rsidR="006C680D" w:rsidRPr="004577D3">
              <w:rPr>
                <w:sz w:val="20"/>
                <w:szCs w:val="20"/>
              </w:rPr>
              <w:t xml:space="preserve"> </w:t>
            </w:r>
            <w:r w:rsidRPr="004577D3">
              <w:rPr>
                <w:sz w:val="20"/>
                <w:szCs w:val="20"/>
              </w:rPr>
              <w:t>инновационного</w:t>
            </w:r>
            <w:r w:rsidR="006C680D" w:rsidRPr="004577D3">
              <w:rPr>
                <w:sz w:val="20"/>
                <w:szCs w:val="20"/>
              </w:rPr>
              <w:t xml:space="preserve"> </w:t>
            </w:r>
            <w:r w:rsidRPr="004577D3">
              <w:rPr>
                <w:sz w:val="20"/>
                <w:szCs w:val="20"/>
              </w:rPr>
              <w:t>лидера,</w:t>
            </w:r>
            <w:r w:rsidR="006C680D" w:rsidRPr="004577D3">
              <w:rPr>
                <w:sz w:val="20"/>
                <w:szCs w:val="20"/>
              </w:rPr>
              <w:t xml:space="preserve"> </w:t>
            </w:r>
            <w:r w:rsidRPr="004577D3">
              <w:rPr>
                <w:sz w:val="20"/>
                <w:szCs w:val="20"/>
              </w:rPr>
              <w:t>диверсифицированные</w:t>
            </w:r>
            <w:r w:rsidR="006C680D" w:rsidRPr="004577D3">
              <w:rPr>
                <w:sz w:val="20"/>
                <w:szCs w:val="20"/>
              </w:rPr>
              <w:t xml:space="preserve"> </w:t>
            </w:r>
            <w:r w:rsidRPr="004577D3">
              <w:rPr>
                <w:sz w:val="20"/>
                <w:szCs w:val="20"/>
              </w:rPr>
              <w:t>потоки</w:t>
            </w:r>
            <w:r w:rsidR="006C680D" w:rsidRPr="004577D3">
              <w:rPr>
                <w:sz w:val="20"/>
                <w:szCs w:val="20"/>
              </w:rPr>
              <w:t xml:space="preserve"> </w:t>
            </w:r>
            <w:r w:rsidRPr="004577D3">
              <w:rPr>
                <w:sz w:val="20"/>
                <w:szCs w:val="20"/>
              </w:rPr>
              <w:t>доходов.</w:t>
            </w:r>
          </w:p>
        </w:tc>
      </w:tr>
    </w:tbl>
    <w:p w:rsidR="006E4221" w:rsidRPr="00D337FA" w:rsidRDefault="006E4221" w:rsidP="00847021">
      <w:pPr>
        <w:ind w:firstLine="142"/>
        <w:rPr>
          <w:i/>
          <w:szCs w:val="24"/>
        </w:rPr>
      </w:pPr>
    </w:p>
    <w:p w:rsidR="006E4221" w:rsidRPr="00D337FA" w:rsidRDefault="006E4221" w:rsidP="00847021">
      <w:pPr>
        <w:ind w:firstLine="142"/>
        <w:rPr>
          <w:szCs w:val="24"/>
        </w:rPr>
        <w:sectPr w:rsidR="006E4221" w:rsidRPr="00D337FA" w:rsidSect="002E26D0">
          <w:footnotePr>
            <w:numRestart w:val="eachPage"/>
          </w:footnotePr>
          <w:type w:val="continuous"/>
          <w:pgSz w:w="11907" w:h="16840" w:code="9"/>
          <w:pgMar w:top="1418" w:right="1134" w:bottom="1418" w:left="1134" w:header="1021" w:footer="1021" w:gutter="0"/>
          <w:cols w:space="708"/>
          <w:docGrid w:linePitch="360"/>
        </w:sectPr>
      </w:pPr>
    </w:p>
    <w:p w:rsidR="00B91B4B" w:rsidRPr="00D337FA" w:rsidRDefault="00B91B4B" w:rsidP="00B91B4B">
      <w:pPr>
        <w:ind w:firstLine="284"/>
        <w:rPr>
          <w:szCs w:val="24"/>
        </w:rPr>
      </w:pPr>
      <w:r w:rsidRPr="00D337FA">
        <w:rPr>
          <w:szCs w:val="24"/>
        </w:rPr>
        <w:lastRenderedPageBreak/>
        <w:t>Диверсификационный</w:t>
      </w:r>
      <w:r w:rsidR="006C680D" w:rsidRPr="00D337FA">
        <w:rPr>
          <w:szCs w:val="24"/>
        </w:rPr>
        <w:t xml:space="preserve"> </w:t>
      </w:r>
      <w:r w:rsidRPr="00D337FA">
        <w:rPr>
          <w:szCs w:val="24"/>
        </w:rPr>
        <w:t>протокол</w:t>
      </w:r>
      <w:r w:rsidR="006C680D" w:rsidRPr="00D337FA">
        <w:rPr>
          <w:szCs w:val="24"/>
        </w:rPr>
        <w:t xml:space="preserve"> </w:t>
      </w:r>
      <w:r w:rsidRPr="00D337FA">
        <w:rPr>
          <w:szCs w:val="24"/>
        </w:rPr>
        <w:t>ориентирован</w:t>
      </w:r>
      <w:r w:rsidR="006C680D" w:rsidRPr="00D337FA">
        <w:rPr>
          <w:szCs w:val="24"/>
        </w:rPr>
        <w:t xml:space="preserve"> </w:t>
      </w:r>
      <w:r w:rsidRPr="00D337FA">
        <w:rPr>
          <w:szCs w:val="24"/>
        </w:rPr>
        <w:t>на</w:t>
      </w:r>
      <w:r w:rsidR="006C680D" w:rsidRPr="00D337FA">
        <w:rPr>
          <w:szCs w:val="24"/>
        </w:rPr>
        <w:t xml:space="preserve"> </w:t>
      </w:r>
      <w:r w:rsidRPr="00D337FA">
        <w:rPr>
          <w:szCs w:val="24"/>
        </w:rPr>
        <w:t>трансформацию</w:t>
      </w:r>
      <w:r w:rsidR="006C680D" w:rsidRPr="00D337FA">
        <w:rPr>
          <w:szCs w:val="24"/>
        </w:rPr>
        <w:t xml:space="preserve"> </w:t>
      </w:r>
      <w:r w:rsidRPr="00D337FA">
        <w:rPr>
          <w:szCs w:val="24"/>
        </w:rPr>
        <w:t>продуктовой</w:t>
      </w:r>
      <w:r w:rsidR="006C680D" w:rsidRPr="00D337FA">
        <w:rPr>
          <w:szCs w:val="24"/>
        </w:rPr>
        <w:t xml:space="preserve"> </w:t>
      </w:r>
      <w:r w:rsidRPr="00D337FA">
        <w:rPr>
          <w:szCs w:val="24"/>
        </w:rPr>
        <w:t>архитектуры</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реконфигурацию</w:t>
      </w:r>
      <w:r w:rsidR="006C680D" w:rsidRPr="00D337FA">
        <w:rPr>
          <w:szCs w:val="24"/>
        </w:rPr>
        <w:t xml:space="preserve"> </w:t>
      </w:r>
      <w:r w:rsidRPr="00D337FA">
        <w:rPr>
          <w:szCs w:val="24"/>
        </w:rPr>
        <w:t>традиционных</w:t>
      </w:r>
      <w:r w:rsidR="006C680D" w:rsidRPr="00D337FA">
        <w:rPr>
          <w:szCs w:val="24"/>
        </w:rPr>
        <w:t xml:space="preserve"> </w:t>
      </w:r>
      <w:r w:rsidRPr="00D337FA">
        <w:rPr>
          <w:szCs w:val="24"/>
        </w:rPr>
        <w:t>полисов</w:t>
      </w:r>
      <w:r w:rsidR="006C680D" w:rsidRPr="00D337FA">
        <w:rPr>
          <w:szCs w:val="24"/>
        </w:rPr>
        <w:t xml:space="preserve"> </w:t>
      </w:r>
      <w:r w:rsidRPr="00D337FA">
        <w:rPr>
          <w:szCs w:val="24"/>
        </w:rPr>
        <w:t>в</w:t>
      </w:r>
      <w:r w:rsidR="006C680D" w:rsidRPr="00D337FA">
        <w:rPr>
          <w:szCs w:val="24"/>
        </w:rPr>
        <w:t xml:space="preserve"> </w:t>
      </w:r>
      <w:r w:rsidRPr="00D337FA">
        <w:rPr>
          <w:szCs w:val="24"/>
        </w:rPr>
        <w:t>формат</w:t>
      </w:r>
      <w:r w:rsidR="006C680D" w:rsidRPr="00D337FA">
        <w:rPr>
          <w:szCs w:val="24"/>
        </w:rPr>
        <w:t xml:space="preserve"> </w:t>
      </w:r>
      <w:r w:rsidRPr="00D337FA">
        <w:rPr>
          <w:szCs w:val="24"/>
        </w:rPr>
        <w:t>подписок</w:t>
      </w:r>
      <w:r w:rsidR="006C680D" w:rsidRPr="00D337FA">
        <w:rPr>
          <w:szCs w:val="24"/>
        </w:rPr>
        <w:t xml:space="preserve"> </w:t>
      </w:r>
      <w:r w:rsidRPr="00D337FA">
        <w:rPr>
          <w:szCs w:val="24"/>
        </w:rPr>
        <w:t>на</w:t>
      </w:r>
      <w:r w:rsidR="006C680D" w:rsidRPr="00D337FA">
        <w:rPr>
          <w:szCs w:val="24"/>
        </w:rPr>
        <w:t xml:space="preserve"> </w:t>
      </w:r>
      <w:r w:rsidRPr="00D337FA">
        <w:rPr>
          <w:szCs w:val="24"/>
        </w:rPr>
        <w:t>сервисы</w:t>
      </w:r>
      <w:r w:rsidR="006C680D" w:rsidRPr="00D337FA">
        <w:rPr>
          <w:szCs w:val="24"/>
        </w:rPr>
        <w:t xml:space="preserve"> </w:t>
      </w:r>
      <w:r w:rsidRPr="00D337FA">
        <w:rPr>
          <w:szCs w:val="24"/>
        </w:rPr>
        <w:t>безопасности,</w:t>
      </w:r>
      <w:r w:rsidR="006C680D" w:rsidRPr="00D337FA">
        <w:rPr>
          <w:szCs w:val="24"/>
        </w:rPr>
        <w:t xml:space="preserve"> </w:t>
      </w:r>
      <w:r w:rsidRPr="00D337FA">
        <w:rPr>
          <w:szCs w:val="24"/>
        </w:rPr>
        <w:t>функционирующих</w:t>
      </w:r>
      <w:r w:rsidR="006C680D" w:rsidRPr="00D337FA">
        <w:rPr>
          <w:szCs w:val="24"/>
        </w:rPr>
        <w:t xml:space="preserve"> </w:t>
      </w:r>
      <w:r w:rsidRPr="00D337FA">
        <w:rPr>
          <w:szCs w:val="24"/>
        </w:rPr>
        <w:t>на</w:t>
      </w:r>
      <w:r w:rsidR="006C680D" w:rsidRPr="00D337FA">
        <w:rPr>
          <w:szCs w:val="24"/>
        </w:rPr>
        <w:t xml:space="preserve"> </w:t>
      </w:r>
      <w:r w:rsidR="006E6F5F" w:rsidRPr="00D337FA">
        <w:rPr>
          <w:szCs w:val="24"/>
        </w:rPr>
        <w:t>принципах</w:t>
      </w:r>
      <w:r w:rsidR="006C680D" w:rsidRPr="00D337FA">
        <w:rPr>
          <w:szCs w:val="24"/>
        </w:rPr>
        <w:t xml:space="preserve"> </w:t>
      </w:r>
      <w:r w:rsidRPr="00D337FA">
        <w:rPr>
          <w:szCs w:val="24"/>
        </w:rPr>
        <w:t>динамического</w:t>
      </w:r>
      <w:r w:rsidR="006C680D" w:rsidRPr="00D337FA">
        <w:rPr>
          <w:szCs w:val="24"/>
        </w:rPr>
        <w:t xml:space="preserve"> </w:t>
      </w:r>
      <w:r w:rsidRPr="00D337FA">
        <w:rPr>
          <w:szCs w:val="24"/>
        </w:rPr>
        <w:t>ценообразования.</w:t>
      </w:r>
      <w:r w:rsidR="006C680D" w:rsidRPr="00D337FA">
        <w:rPr>
          <w:szCs w:val="24"/>
        </w:rPr>
        <w:t xml:space="preserve"> </w:t>
      </w:r>
      <w:r w:rsidRPr="00D337FA">
        <w:rPr>
          <w:szCs w:val="24"/>
        </w:rPr>
        <w:t>Инструментарий</w:t>
      </w:r>
      <w:r w:rsidR="006C680D" w:rsidRPr="00D337FA">
        <w:rPr>
          <w:szCs w:val="24"/>
        </w:rPr>
        <w:t xml:space="preserve"> </w:t>
      </w:r>
      <w:r w:rsidRPr="00D337FA">
        <w:rPr>
          <w:szCs w:val="24"/>
        </w:rPr>
        <w:t>данного</w:t>
      </w:r>
      <w:r w:rsidR="006C680D" w:rsidRPr="00D337FA">
        <w:rPr>
          <w:szCs w:val="24"/>
        </w:rPr>
        <w:t xml:space="preserve"> </w:t>
      </w:r>
      <w:r w:rsidR="006E6F5F" w:rsidRPr="00D337FA">
        <w:rPr>
          <w:szCs w:val="24"/>
        </w:rPr>
        <w:t>протокола</w:t>
      </w:r>
      <w:r w:rsidR="006C680D" w:rsidRPr="00D337FA">
        <w:rPr>
          <w:szCs w:val="24"/>
        </w:rPr>
        <w:t xml:space="preserve"> </w:t>
      </w:r>
      <w:r w:rsidRPr="00D337FA">
        <w:rPr>
          <w:szCs w:val="24"/>
        </w:rPr>
        <w:t>включает</w:t>
      </w:r>
      <w:r w:rsidR="006C680D" w:rsidRPr="00D337FA">
        <w:rPr>
          <w:szCs w:val="24"/>
        </w:rPr>
        <w:t xml:space="preserve"> </w:t>
      </w:r>
      <w:r w:rsidRPr="00D337FA">
        <w:rPr>
          <w:szCs w:val="24"/>
        </w:rPr>
        <w:t>следующие</w:t>
      </w:r>
      <w:r w:rsidR="006C680D" w:rsidRPr="00D337FA">
        <w:rPr>
          <w:szCs w:val="24"/>
        </w:rPr>
        <w:t xml:space="preserve"> </w:t>
      </w:r>
      <w:r w:rsidRPr="00D337FA">
        <w:rPr>
          <w:szCs w:val="24"/>
        </w:rPr>
        <w:t>элементы.</w:t>
      </w:r>
      <w:r w:rsidR="006C680D" w:rsidRPr="00D337FA">
        <w:rPr>
          <w:szCs w:val="24"/>
        </w:rPr>
        <w:t xml:space="preserve"> </w:t>
      </w:r>
      <w:r w:rsidRPr="00D337FA">
        <w:rPr>
          <w:szCs w:val="24"/>
        </w:rPr>
        <w:t>Во-первых,</w:t>
      </w:r>
      <w:r w:rsidR="006C680D" w:rsidRPr="00D337FA">
        <w:rPr>
          <w:szCs w:val="24"/>
        </w:rPr>
        <w:t xml:space="preserve"> </w:t>
      </w:r>
      <w:r w:rsidRPr="00D337FA">
        <w:rPr>
          <w:szCs w:val="24"/>
        </w:rPr>
        <w:t>имплементация</w:t>
      </w:r>
      <w:r w:rsidR="006C680D" w:rsidRPr="00D337FA">
        <w:rPr>
          <w:szCs w:val="24"/>
        </w:rPr>
        <w:t xml:space="preserve"> </w:t>
      </w:r>
      <w:r w:rsidRPr="00D337FA">
        <w:rPr>
          <w:szCs w:val="24"/>
        </w:rPr>
        <w:t>«умной</w:t>
      </w:r>
      <w:r w:rsidR="006C680D" w:rsidRPr="00D337FA">
        <w:rPr>
          <w:szCs w:val="24"/>
        </w:rPr>
        <w:t xml:space="preserve"> </w:t>
      </w:r>
      <w:r w:rsidRPr="00D337FA">
        <w:rPr>
          <w:szCs w:val="24"/>
        </w:rPr>
        <w:t>подписки»</w:t>
      </w:r>
      <w:r w:rsidR="006C680D" w:rsidRPr="00D337FA">
        <w:rPr>
          <w:szCs w:val="24"/>
        </w:rPr>
        <w:t xml:space="preserve"> </w:t>
      </w:r>
      <w:r w:rsidRPr="00D337FA">
        <w:rPr>
          <w:szCs w:val="24"/>
        </w:rPr>
        <w:t>на</w:t>
      </w:r>
      <w:r w:rsidR="006C680D" w:rsidRPr="00D337FA">
        <w:rPr>
          <w:szCs w:val="24"/>
        </w:rPr>
        <w:t xml:space="preserve"> </w:t>
      </w:r>
      <w:r w:rsidRPr="00D337FA">
        <w:rPr>
          <w:szCs w:val="24"/>
        </w:rPr>
        <w:t>безопасность,</w:t>
      </w:r>
      <w:r w:rsidR="006C680D" w:rsidRPr="00D337FA">
        <w:rPr>
          <w:szCs w:val="24"/>
        </w:rPr>
        <w:t xml:space="preserve"> </w:t>
      </w:r>
      <w:r w:rsidRPr="00D337FA">
        <w:rPr>
          <w:szCs w:val="24"/>
        </w:rPr>
        <w:t>предполагающей</w:t>
      </w:r>
      <w:r w:rsidR="006C680D" w:rsidRPr="00D337FA">
        <w:rPr>
          <w:szCs w:val="24"/>
        </w:rPr>
        <w:t xml:space="preserve"> </w:t>
      </w:r>
      <w:r w:rsidRPr="00D337FA">
        <w:rPr>
          <w:szCs w:val="24"/>
        </w:rPr>
        <w:t>ежемесячную</w:t>
      </w:r>
      <w:r w:rsidR="006C680D" w:rsidRPr="00D337FA">
        <w:rPr>
          <w:szCs w:val="24"/>
        </w:rPr>
        <w:t xml:space="preserve"> </w:t>
      </w:r>
      <w:r w:rsidRPr="00D337FA">
        <w:rPr>
          <w:szCs w:val="24"/>
        </w:rPr>
        <w:t>абонентскую</w:t>
      </w:r>
      <w:r w:rsidR="006C680D" w:rsidRPr="00D337FA">
        <w:rPr>
          <w:szCs w:val="24"/>
        </w:rPr>
        <w:t xml:space="preserve"> </w:t>
      </w:r>
      <w:r w:rsidRPr="00D337FA">
        <w:rPr>
          <w:szCs w:val="24"/>
        </w:rPr>
        <w:t>плату</w:t>
      </w:r>
      <w:r w:rsidR="006C680D" w:rsidRPr="00D337FA">
        <w:rPr>
          <w:szCs w:val="24"/>
        </w:rPr>
        <w:t xml:space="preserve"> </w:t>
      </w:r>
      <w:r w:rsidRPr="00D337FA">
        <w:rPr>
          <w:szCs w:val="24"/>
        </w:rPr>
        <w:t>за</w:t>
      </w:r>
      <w:r w:rsidR="006C680D" w:rsidRPr="00D337FA">
        <w:rPr>
          <w:szCs w:val="24"/>
        </w:rPr>
        <w:t xml:space="preserve"> </w:t>
      </w:r>
      <w:r w:rsidRPr="00D337FA">
        <w:rPr>
          <w:szCs w:val="24"/>
        </w:rPr>
        <w:t>мультирисковое</w:t>
      </w:r>
      <w:r w:rsidR="006C680D" w:rsidRPr="00D337FA">
        <w:rPr>
          <w:szCs w:val="24"/>
        </w:rPr>
        <w:t xml:space="preserve"> </w:t>
      </w:r>
      <w:r w:rsidRPr="00D337FA">
        <w:rPr>
          <w:szCs w:val="24"/>
        </w:rPr>
        <w:t>покрытие</w:t>
      </w:r>
      <w:r w:rsidR="006C680D" w:rsidRPr="00D337FA">
        <w:rPr>
          <w:szCs w:val="24"/>
        </w:rPr>
        <w:t xml:space="preserve"> </w:t>
      </w:r>
      <w:r w:rsidRPr="00D337FA">
        <w:rPr>
          <w:szCs w:val="24"/>
        </w:rPr>
        <w:t>(автострахование,</w:t>
      </w:r>
      <w:r w:rsidR="006C680D" w:rsidRPr="00D337FA">
        <w:rPr>
          <w:szCs w:val="24"/>
        </w:rPr>
        <w:t xml:space="preserve"> </w:t>
      </w:r>
      <w:r w:rsidRPr="00D337FA">
        <w:rPr>
          <w:szCs w:val="24"/>
        </w:rPr>
        <w:t>защита</w:t>
      </w:r>
      <w:r w:rsidR="006C680D" w:rsidRPr="00D337FA">
        <w:rPr>
          <w:szCs w:val="24"/>
        </w:rPr>
        <w:t xml:space="preserve"> </w:t>
      </w:r>
      <w:r w:rsidRPr="00D337FA">
        <w:rPr>
          <w:szCs w:val="24"/>
        </w:rPr>
        <w:t>имущества,</w:t>
      </w:r>
      <w:r w:rsidR="006C680D" w:rsidRPr="00D337FA">
        <w:rPr>
          <w:szCs w:val="24"/>
        </w:rPr>
        <w:t xml:space="preserve"> </w:t>
      </w:r>
      <w:r w:rsidRPr="00D337FA">
        <w:rPr>
          <w:szCs w:val="24"/>
        </w:rPr>
        <w:t>здоровье)</w:t>
      </w:r>
      <w:r w:rsidR="006C680D" w:rsidRPr="00D337FA">
        <w:rPr>
          <w:szCs w:val="24"/>
        </w:rPr>
        <w:t xml:space="preserve"> </w:t>
      </w:r>
      <w:r w:rsidRPr="00D337FA">
        <w:rPr>
          <w:szCs w:val="24"/>
        </w:rPr>
        <w:t>с</w:t>
      </w:r>
      <w:r w:rsidR="006C680D" w:rsidRPr="00D337FA">
        <w:rPr>
          <w:szCs w:val="24"/>
        </w:rPr>
        <w:t xml:space="preserve"> </w:t>
      </w:r>
      <w:r w:rsidRPr="00D337FA">
        <w:rPr>
          <w:szCs w:val="24"/>
        </w:rPr>
        <w:t>вариативной</w:t>
      </w:r>
      <w:r w:rsidR="006C680D" w:rsidRPr="00D337FA">
        <w:rPr>
          <w:szCs w:val="24"/>
        </w:rPr>
        <w:t xml:space="preserve"> </w:t>
      </w:r>
      <w:r w:rsidRPr="00D337FA">
        <w:rPr>
          <w:szCs w:val="24"/>
        </w:rPr>
        <w:t>стоимостью,</w:t>
      </w:r>
      <w:r w:rsidR="006C680D" w:rsidRPr="00D337FA">
        <w:rPr>
          <w:szCs w:val="24"/>
        </w:rPr>
        <w:t xml:space="preserve"> </w:t>
      </w:r>
      <w:r w:rsidRPr="00D337FA">
        <w:rPr>
          <w:szCs w:val="24"/>
        </w:rPr>
        <w:t>рассчитываемой</w:t>
      </w:r>
      <w:r w:rsidR="006C680D" w:rsidRPr="00D337FA">
        <w:rPr>
          <w:szCs w:val="24"/>
        </w:rPr>
        <w:t xml:space="preserve"> </w:t>
      </w:r>
      <w:r w:rsidRPr="00D337FA">
        <w:rPr>
          <w:szCs w:val="24"/>
        </w:rPr>
        <w:t>по</w:t>
      </w:r>
      <w:r w:rsidR="006C680D" w:rsidRPr="00D337FA">
        <w:rPr>
          <w:szCs w:val="24"/>
        </w:rPr>
        <w:t xml:space="preserve"> </w:t>
      </w:r>
      <w:r w:rsidRPr="00D337FA">
        <w:rPr>
          <w:szCs w:val="24"/>
        </w:rPr>
        <w:t>формуле</w:t>
      </w:r>
      <w:r w:rsidR="006C680D" w:rsidRPr="00D337FA">
        <w:rPr>
          <w:szCs w:val="24"/>
        </w:rPr>
        <w:t xml:space="preserve"> </w:t>
      </w:r>
      <w:r w:rsidRPr="00D337FA">
        <w:rPr>
          <w:szCs w:val="24"/>
        </w:rPr>
        <w:t>«</w:t>
      </w:r>
      <w:r w:rsidR="006E6F5F" w:rsidRPr="00D337FA">
        <w:rPr>
          <w:szCs w:val="24"/>
        </w:rPr>
        <w:t>базовая</w:t>
      </w:r>
      <w:r w:rsidR="006C680D" w:rsidRPr="00D337FA">
        <w:rPr>
          <w:szCs w:val="24"/>
        </w:rPr>
        <w:t xml:space="preserve"> </w:t>
      </w:r>
      <w:r w:rsidRPr="00D337FA">
        <w:rPr>
          <w:szCs w:val="24"/>
        </w:rPr>
        <w:t>ставка</w:t>
      </w:r>
      <w:r w:rsidR="006C680D" w:rsidRPr="00D337FA">
        <w:rPr>
          <w:szCs w:val="24"/>
        </w:rPr>
        <w:t xml:space="preserve"> </w:t>
      </w:r>
      <w:r w:rsidRPr="00D337FA">
        <w:rPr>
          <w:szCs w:val="24"/>
        </w:rPr>
        <w:t>+</w:t>
      </w:r>
      <w:r w:rsidR="006C680D" w:rsidRPr="00D337FA">
        <w:rPr>
          <w:szCs w:val="24"/>
        </w:rPr>
        <w:t xml:space="preserve"> </w:t>
      </w:r>
      <w:r w:rsidRPr="00D337FA">
        <w:rPr>
          <w:szCs w:val="24"/>
        </w:rPr>
        <w:t>бонусы/штрафы»</w:t>
      </w:r>
      <w:r w:rsidR="006C680D" w:rsidRPr="00D337FA">
        <w:rPr>
          <w:szCs w:val="24"/>
        </w:rPr>
        <w:t xml:space="preserve"> </w:t>
      </w:r>
      <w:r w:rsidRPr="00D337FA">
        <w:rPr>
          <w:szCs w:val="24"/>
        </w:rPr>
        <w:t>на</w:t>
      </w:r>
      <w:r w:rsidR="006C680D" w:rsidRPr="00D337FA">
        <w:rPr>
          <w:szCs w:val="24"/>
        </w:rPr>
        <w:t xml:space="preserve"> </w:t>
      </w:r>
      <w:r w:rsidRPr="00D337FA">
        <w:rPr>
          <w:szCs w:val="24"/>
        </w:rPr>
        <w:t>основе</w:t>
      </w:r>
      <w:r w:rsidR="006C680D" w:rsidRPr="00D337FA">
        <w:rPr>
          <w:szCs w:val="24"/>
        </w:rPr>
        <w:t xml:space="preserve"> </w:t>
      </w:r>
      <w:r w:rsidRPr="00D337FA">
        <w:rPr>
          <w:szCs w:val="24"/>
        </w:rPr>
        <w:t>телематических</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что</w:t>
      </w:r>
      <w:r w:rsidR="006C680D" w:rsidRPr="00D337FA">
        <w:rPr>
          <w:szCs w:val="24"/>
        </w:rPr>
        <w:t xml:space="preserve"> </w:t>
      </w:r>
      <w:r w:rsidR="006E6F5F" w:rsidRPr="00D337FA">
        <w:rPr>
          <w:szCs w:val="24"/>
        </w:rPr>
        <w:t>обеспечивает</w:t>
      </w:r>
      <w:r w:rsidR="006C680D" w:rsidRPr="00D337FA">
        <w:rPr>
          <w:szCs w:val="24"/>
        </w:rPr>
        <w:t xml:space="preserve"> </w:t>
      </w:r>
      <w:r w:rsidRPr="00D337FA">
        <w:rPr>
          <w:szCs w:val="24"/>
        </w:rPr>
        <w:t>вовлеченность</w:t>
      </w:r>
      <w:r w:rsidR="006C680D" w:rsidRPr="00D337FA">
        <w:rPr>
          <w:szCs w:val="24"/>
        </w:rPr>
        <w:t xml:space="preserve"> </w:t>
      </w:r>
      <w:r w:rsidRPr="00D337FA">
        <w:rPr>
          <w:szCs w:val="24"/>
        </w:rPr>
        <w:t>клиента</w:t>
      </w:r>
      <w:r w:rsidR="006C680D" w:rsidRPr="00D337FA">
        <w:rPr>
          <w:szCs w:val="24"/>
        </w:rPr>
        <w:t xml:space="preserve"> </w:t>
      </w:r>
      <w:r w:rsidRPr="00D337FA">
        <w:rPr>
          <w:szCs w:val="24"/>
        </w:rPr>
        <w:t>в</w:t>
      </w:r>
      <w:r w:rsidR="006C680D" w:rsidRPr="00D337FA">
        <w:rPr>
          <w:szCs w:val="24"/>
        </w:rPr>
        <w:t xml:space="preserve"> </w:t>
      </w:r>
      <w:r w:rsidRPr="00D337FA">
        <w:rPr>
          <w:szCs w:val="24"/>
        </w:rPr>
        <w:t>минимизацию</w:t>
      </w:r>
      <w:r w:rsidR="006C680D" w:rsidRPr="00D337FA">
        <w:rPr>
          <w:szCs w:val="24"/>
        </w:rPr>
        <w:t xml:space="preserve"> </w:t>
      </w:r>
      <w:r w:rsidRPr="00D337FA">
        <w:rPr>
          <w:szCs w:val="24"/>
        </w:rPr>
        <w:t>рисков</w:t>
      </w:r>
      <w:r w:rsidR="006C680D" w:rsidRPr="00D337FA">
        <w:rPr>
          <w:szCs w:val="24"/>
        </w:rPr>
        <w:t xml:space="preserve"> </w:t>
      </w:r>
      <w:r w:rsidRPr="00D337FA">
        <w:rPr>
          <w:szCs w:val="24"/>
        </w:rPr>
        <w:t>вследствие</w:t>
      </w:r>
      <w:r w:rsidR="006C680D" w:rsidRPr="00D337FA">
        <w:rPr>
          <w:szCs w:val="24"/>
        </w:rPr>
        <w:t xml:space="preserve"> </w:t>
      </w:r>
      <w:r w:rsidRPr="00D337FA">
        <w:rPr>
          <w:szCs w:val="24"/>
        </w:rPr>
        <w:t>прямой</w:t>
      </w:r>
      <w:r w:rsidR="006C680D" w:rsidRPr="00D337FA">
        <w:rPr>
          <w:szCs w:val="24"/>
        </w:rPr>
        <w:t xml:space="preserve"> </w:t>
      </w:r>
      <w:r w:rsidRPr="00D337FA">
        <w:rPr>
          <w:szCs w:val="24"/>
        </w:rPr>
        <w:t>финансовой</w:t>
      </w:r>
      <w:r w:rsidR="006C680D" w:rsidRPr="00D337FA">
        <w:rPr>
          <w:szCs w:val="24"/>
        </w:rPr>
        <w:t xml:space="preserve"> </w:t>
      </w:r>
      <w:r w:rsidRPr="00D337FA">
        <w:rPr>
          <w:szCs w:val="24"/>
        </w:rPr>
        <w:t>мотивации.</w:t>
      </w:r>
      <w:r w:rsidR="006C680D" w:rsidRPr="00D337FA">
        <w:rPr>
          <w:szCs w:val="24"/>
        </w:rPr>
        <w:t xml:space="preserve"> </w:t>
      </w:r>
      <w:r w:rsidRPr="00D337FA">
        <w:rPr>
          <w:szCs w:val="24"/>
        </w:rPr>
        <w:t>Во-вторых,</w:t>
      </w:r>
      <w:r w:rsidR="006C680D" w:rsidRPr="00D337FA">
        <w:rPr>
          <w:szCs w:val="24"/>
        </w:rPr>
        <w:t xml:space="preserve"> </w:t>
      </w:r>
      <w:r w:rsidRPr="00D337FA">
        <w:rPr>
          <w:szCs w:val="24"/>
        </w:rPr>
        <w:t>внедрение</w:t>
      </w:r>
      <w:r w:rsidR="006C680D" w:rsidRPr="00D337FA">
        <w:rPr>
          <w:szCs w:val="24"/>
        </w:rPr>
        <w:t xml:space="preserve"> </w:t>
      </w:r>
      <w:r w:rsidRPr="00D337FA">
        <w:rPr>
          <w:szCs w:val="24"/>
        </w:rPr>
        <w:t>«индекса</w:t>
      </w:r>
      <w:r w:rsidR="006C680D" w:rsidRPr="00D337FA">
        <w:rPr>
          <w:szCs w:val="24"/>
        </w:rPr>
        <w:t xml:space="preserve"> </w:t>
      </w:r>
      <w:r w:rsidRPr="00D337FA">
        <w:rPr>
          <w:szCs w:val="24"/>
        </w:rPr>
        <w:t>безопасности</w:t>
      </w:r>
      <w:r w:rsidR="006C680D" w:rsidRPr="00D337FA">
        <w:rPr>
          <w:szCs w:val="24"/>
        </w:rPr>
        <w:t xml:space="preserve"> </w:t>
      </w:r>
      <w:r w:rsidR="006E6F5F" w:rsidRPr="00D337FA">
        <w:rPr>
          <w:szCs w:val="24"/>
        </w:rPr>
        <w:t>клиента</w:t>
      </w:r>
      <w:r w:rsidRPr="00D337FA">
        <w:rPr>
          <w:szCs w:val="24"/>
        </w:rPr>
        <w:t>»</w:t>
      </w:r>
      <w:r w:rsidR="006C680D" w:rsidRPr="00D337FA">
        <w:rPr>
          <w:szCs w:val="24"/>
        </w:rPr>
        <w:t xml:space="preserve"> </w:t>
      </w:r>
      <w:r w:rsidRPr="00D337FA">
        <w:rPr>
          <w:szCs w:val="24"/>
        </w:rPr>
        <w:t>и</w:t>
      </w:r>
      <w:r w:rsidR="006C680D" w:rsidRPr="00D337FA">
        <w:rPr>
          <w:szCs w:val="24"/>
        </w:rPr>
        <w:t xml:space="preserve"> </w:t>
      </w:r>
      <w:r w:rsidRPr="00D337FA">
        <w:rPr>
          <w:szCs w:val="24"/>
        </w:rPr>
        <w:t>его</w:t>
      </w:r>
      <w:r w:rsidR="006C680D" w:rsidRPr="00D337FA">
        <w:rPr>
          <w:szCs w:val="24"/>
        </w:rPr>
        <w:t xml:space="preserve"> </w:t>
      </w:r>
      <w:r w:rsidRPr="00D337FA">
        <w:rPr>
          <w:szCs w:val="24"/>
        </w:rPr>
        <w:t>последующая</w:t>
      </w:r>
      <w:r w:rsidR="006C680D" w:rsidRPr="00D337FA">
        <w:rPr>
          <w:szCs w:val="24"/>
        </w:rPr>
        <w:t xml:space="preserve"> </w:t>
      </w:r>
      <w:r w:rsidRPr="00D337FA">
        <w:rPr>
          <w:szCs w:val="24"/>
        </w:rPr>
        <w:t>монетизация</w:t>
      </w:r>
      <w:r w:rsidR="006C680D" w:rsidRPr="00D337FA">
        <w:rPr>
          <w:szCs w:val="24"/>
        </w:rPr>
        <w:t xml:space="preserve"> </w:t>
      </w:r>
      <w:r w:rsidRPr="00D337FA">
        <w:rPr>
          <w:szCs w:val="24"/>
        </w:rPr>
        <w:t>через</w:t>
      </w:r>
      <w:r w:rsidR="006C680D" w:rsidRPr="00D337FA">
        <w:rPr>
          <w:szCs w:val="24"/>
        </w:rPr>
        <w:t xml:space="preserve"> </w:t>
      </w:r>
      <w:r w:rsidRPr="00D337FA">
        <w:rPr>
          <w:szCs w:val="24"/>
        </w:rPr>
        <w:t>интеграцию</w:t>
      </w:r>
      <w:r w:rsidR="006C680D" w:rsidRPr="00D337FA">
        <w:rPr>
          <w:szCs w:val="24"/>
        </w:rPr>
        <w:t xml:space="preserve"> </w:t>
      </w:r>
      <w:r w:rsidRPr="00D337FA">
        <w:rPr>
          <w:szCs w:val="24"/>
        </w:rPr>
        <w:t>с</w:t>
      </w:r>
      <w:r w:rsidR="006C680D" w:rsidRPr="00D337FA">
        <w:rPr>
          <w:szCs w:val="24"/>
        </w:rPr>
        <w:t xml:space="preserve"> </w:t>
      </w:r>
      <w:r w:rsidRPr="00D337FA">
        <w:rPr>
          <w:szCs w:val="24"/>
        </w:rPr>
        <w:t>кредитным</w:t>
      </w:r>
      <w:r w:rsidR="006C680D" w:rsidRPr="00D337FA">
        <w:rPr>
          <w:szCs w:val="24"/>
        </w:rPr>
        <w:t xml:space="preserve"> </w:t>
      </w:r>
      <w:r w:rsidRPr="00D337FA">
        <w:rPr>
          <w:szCs w:val="24"/>
        </w:rPr>
        <w:t>скорингом:</w:t>
      </w:r>
      <w:r w:rsidR="006C680D" w:rsidRPr="00D337FA">
        <w:rPr>
          <w:szCs w:val="24"/>
        </w:rPr>
        <w:t xml:space="preserve"> </w:t>
      </w:r>
      <w:r w:rsidRPr="00D337FA">
        <w:rPr>
          <w:szCs w:val="24"/>
        </w:rPr>
        <w:t>алгоритмическая</w:t>
      </w:r>
      <w:r w:rsidR="006C680D" w:rsidRPr="00D337FA">
        <w:rPr>
          <w:szCs w:val="24"/>
        </w:rPr>
        <w:t xml:space="preserve"> </w:t>
      </w:r>
      <w:r w:rsidRPr="00D337FA">
        <w:rPr>
          <w:szCs w:val="24"/>
        </w:rPr>
        <w:t>оценка</w:t>
      </w:r>
      <w:r w:rsidR="006C680D" w:rsidRPr="00D337FA">
        <w:rPr>
          <w:szCs w:val="24"/>
        </w:rPr>
        <w:t xml:space="preserve"> </w:t>
      </w:r>
      <w:r w:rsidRPr="00D337FA">
        <w:rPr>
          <w:szCs w:val="24"/>
        </w:rPr>
        <w:t>поведенческих</w:t>
      </w:r>
      <w:r w:rsidR="006C680D" w:rsidRPr="00D337FA">
        <w:rPr>
          <w:szCs w:val="24"/>
        </w:rPr>
        <w:t xml:space="preserve"> </w:t>
      </w:r>
      <w:r w:rsidRPr="00D337FA">
        <w:rPr>
          <w:szCs w:val="24"/>
        </w:rPr>
        <w:t>паттернов</w:t>
      </w:r>
      <w:r w:rsidR="006C680D" w:rsidRPr="00D337FA">
        <w:rPr>
          <w:szCs w:val="24"/>
        </w:rPr>
        <w:t xml:space="preserve"> </w:t>
      </w:r>
      <w:r w:rsidRPr="00D337FA">
        <w:rPr>
          <w:szCs w:val="24"/>
        </w:rPr>
        <w:t>(стиль</w:t>
      </w:r>
      <w:r w:rsidR="006C680D" w:rsidRPr="00D337FA">
        <w:rPr>
          <w:szCs w:val="24"/>
        </w:rPr>
        <w:t xml:space="preserve"> </w:t>
      </w:r>
      <w:r w:rsidR="006E6F5F" w:rsidRPr="00D337FA">
        <w:rPr>
          <w:szCs w:val="24"/>
        </w:rPr>
        <w:t>вождения</w:t>
      </w:r>
      <w:r w:rsidRPr="00D337FA">
        <w:rPr>
          <w:szCs w:val="24"/>
        </w:rPr>
        <w:t>,</w:t>
      </w:r>
      <w:r w:rsidR="006C680D" w:rsidRPr="00D337FA">
        <w:rPr>
          <w:szCs w:val="24"/>
        </w:rPr>
        <w:t xml:space="preserve"> </w:t>
      </w:r>
      <w:r w:rsidRPr="00D337FA">
        <w:rPr>
          <w:szCs w:val="24"/>
        </w:rPr>
        <w:t>соблюдение</w:t>
      </w:r>
      <w:r w:rsidR="006C680D" w:rsidRPr="00D337FA">
        <w:rPr>
          <w:szCs w:val="24"/>
        </w:rPr>
        <w:t xml:space="preserve"> </w:t>
      </w:r>
      <w:r w:rsidRPr="00D337FA">
        <w:rPr>
          <w:szCs w:val="24"/>
        </w:rPr>
        <w:t>рекомендаций,</w:t>
      </w:r>
      <w:r w:rsidR="006C680D" w:rsidRPr="00D337FA">
        <w:rPr>
          <w:szCs w:val="24"/>
        </w:rPr>
        <w:t xml:space="preserve"> </w:t>
      </w:r>
      <w:r w:rsidRPr="00D337FA">
        <w:rPr>
          <w:szCs w:val="24"/>
        </w:rPr>
        <w:t>инсталляция</w:t>
      </w:r>
      <w:r w:rsidR="006C680D" w:rsidRPr="00D337FA">
        <w:rPr>
          <w:szCs w:val="24"/>
        </w:rPr>
        <w:t xml:space="preserve"> </w:t>
      </w:r>
      <w:r w:rsidRPr="00D337FA">
        <w:rPr>
          <w:szCs w:val="24"/>
        </w:rPr>
        <w:t>«умных»</w:t>
      </w:r>
      <w:r w:rsidR="006C680D" w:rsidRPr="00D337FA">
        <w:rPr>
          <w:szCs w:val="24"/>
        </w:rPr>
        <w:t xml:space="preserve"> </w:t>
      </w:r>
      <w:r w:rsidRPr="00D337FA">
        <w:rPr>
          <w:szCs w:val="24"/>
        </w:rPr>
        <w:t>устройств)</w:t>
      </w:r>
      <w:r w:rsidR="006C680D" w:rsidRPr="00D337FA">
        <w:rPr>
          <w:szCs w:val="24"/>
        </w:rPr>
        <w:t xml:space="preserve"> </w:t>
      </w:r>
      <w:r w:rsidR="006E6F5F" w:rsidRPr="00D337FA">
        <w:rPr>
          <w:szCs w:val="24"/>
        </w:rPr>
        <w:t>формирует</w:t>
      </w:r>
      <w:r w:rsidR="006C680D" w:rsidRPr="00D337FA">
        <w:rPr>
          <w:szCs w:val="24"/>
        </w:rPr>
        <w:t xml:space="preserve"> </w:t>
      </w:r>
      <w:r w:rsidRPr="00D337FA">
        <w:rPr>
          <w:szCs w:val="24"/>
        </w:rPr>
        <w:t>персона</w:t>
      </w:r>
      <w:r w:rsidRPr="00D337FA">
        <w:rPr>
          <w:szCs w:val="24"/>
        </w:rPr>
        <w:lastRenderedPageBreak/>
        <w:t>лизированный</w:t>
      </w:r>
      <w:r w:rsidR="006C680D" w:rsidRPr="00D337FA">
        <w:rPr>
          <w:szCs w:val="24"/>
        </w:rPr>
        <w:t xml:space="preserve"> </w:t>
      </w:r>
      <w:r w:rsidRPr="00D337FA">
        <w:rPr>
          <w:szCs w:val="24"/>
        </w:rPr>
        <w:t>рейтинг,</w:t>
      </w:r>
      <w:r w:rsidR="006C680D" w:rsidRPr="00D337FA">
        <w:rPr>
          <w:szCs w:val="24"/>
        </w:rPr>
        <w:t xml:space="preserve"> </w:t>
      </w:r>
      <w:r w:rsidRPr="00D337FA">
        <w:rPr>
          <w:szCs w:val="24"/>
        </w:rPr>
        <w:t>предоставляющий</w:t>
      </w:r>
      <w:r w:rsidR="006C680D" w:rsidRPr="00D337FA">
        <w:rPr>
          <w:szCs w:val="24"/>
        </w:rPr>
        <w:t xml:space="preserve"> </w:t>
      </w:r>
      <w:r w:rsidRPr="00D337FA">
        <w:rPr>
          <w:szCs w:val="24"/>
        </w:rPr>
        <w:t>держателю</w:t>
      </w:r>
      <w:r w:rsidR="006C680D" w:rsidRPr="00D337FA">
        <w:rPr>
          <w:szCs w:val="24"/>
        </w:rPr>
        <w:t xml:space="preserve"> </w:t>
      </w:r>
      <w:r w:rsidR="006E6F5F" w:rsidRPr="00D337FA">
        <w:rPr>
          <w:szCs w:val="24"/>
        </w:rPr>
        <w:t>подписки</w:t>
      </w:r>
      <w:r w:rsidR="006C680D" w:rsidRPr="00D337FA">
        <w:rPr>
          <w:szCs w:val="24"/>
        </w:rPr>
        <w:t xml:space="preserve"> </w:t>
      </w:r>
      <w:r w:rsidRPr="00D337FA">
        <w:rPr>
          <w:szCs w:val="24"/>
        </w:rPr>
        <w:t>эксклюзивные</w:t>
      </w:r>
      <w:r w:rsidR="006C680D" w:rsidRPr="00D337FA">
        <w:rPr>
          <w:szCs w:val="24"/>
        </w:rPr>
        <w:t xml:space="preserve"> </w:t>
      </w:r>
      <w:r w:rsidRPr="00D337FA">
        <w:rPr>
          <w:szCs w:val="24"/>
        </w:rPr>
        <w:t>преференции,</w:t>
      </w:r>
      <w:r w:rsidR="006C680D" w:rsidRPr="00D337FA">
        <w:rPr>
          <w:szCs w:val="24"/>
        </w:rPr>
        <w:t xml:space="preserve"> </w:t>
      </w:r>
      <w:r w:rsidRPr="00D337FA">
        <w:rPr>
          <w:szCs w:val="24"/>
        </w:rPr>
        <w:t>что</w:t>
      </w:r>
      <w:r w:rsidR="006C680D" w:rsidRPr="00D337FA">
        <w:rPr>
          <w:szCs w:val="24"/>
        </w:rPr>
        <w:t xml:space="preserve"> </w:t>
      </w:r>
      <w:r w:rsidRPr="00D337FA">
        <w:rPr>
          <w:szCs w:val="24"/>
        </w:rPr>
        <w:t>способствует</w:t>
      </w:r>
      <w:r w:rsidR="006C680D" w:rsidRPr="00D337FA">
        <w:rPr>
          <w:szCs w:val="24"/>
        </w:rPr>
        <w:t xml:space="preserve"> </w:t>
      </w:r>
      <w:r w:rsidRPr="00D337FA">
        <w:rPr>
          <w:szCs w:val="24"/>
        </w:rPr>
        <w:t>формированию</w:t>
      </w:r>
      <w:r w:rsidR="006C680D" w:rsidRPr="00D337FA">
        <w:rPr>
          <w:szCs w:val="24"/>
        </w:rPr>
        <w:t xml:space="preserve"> </w:t>
      </w:r>
      <w:r w:rsidR="006E6F5F" w:rsidRPr="00D337FA">
        <w:rPr>
          <w:szCs w:val="24"/>
        </w:rPr>
        <w:t>лояльности</w:t>
      </w:r>
      <w:r w:rsidR="006C680D" w:rsidRPr="00D337FA">
        <w:rPr>
          <w:szCs w:val="24"/>
        </w:rPr>
        <w:t xml:space="preserve"> </w:t>
      </w:r>
      <w:r w:rsidRPr="00D337FA">
        <w:rPr>
          <w:szCs w:val="24"/>
        </w:rPr>
        <w:t>посредством</w:t>
      </w:r>
      <w:r w:rsidR="006C680D" w:rsidRPr="00D337FA">
        <w:rPr>
          <w:szCs w:val="24"/>
        </w:rPr>
        <w:t xml:space="preserve"> </w:t>
      </w:r>
      <w:r w:rsidRPr="00D337FA">
        <w:rPr>
          <w:szCs w:val="24"/>
        </w:rPr>
        <w:t>механизмов</w:t>
      </w:r>
      <w:r w:rsidR="006C680D" w:rsidRPr="00D337FA">
        <w:rPr>
          <w:szCs w:val="24"/>
        </w:rPr>
        <w:t xml:space="preserve"> </w:t>
      </w:r>
      <w:r w:rsidRPr="00D337FA">
        <w:rPr>
          <w:szCs w:val="24"/>
        </w:rPr>
        <w:t>геймификации</w:t>
      </w:r>
      <w:r w:rsidR="006C680D" w:rsidRPr="00D337FA">
        <w:rPr>
          <w:szCs w:val="24"/>
        </w:rPr>
        <w:t xml:space="preserve"> </w:t>
      </w:r>
      <w:r w:rsidRPr="00D337FA">
        <w:rPr>
          <w:szCs w:val="24"/>
        </w:rPr>
        <w:t>и</w:t>
      </w:r>
      <w:r w:rsidR="006C680D" w:rsidRPr="00D337FA">
        <w:rPr>
          <w:szCs w:val="24"/>
        </w:rPr>
        <w:t xml:space="preserve"> </w:t>
      </w:r>
      <w:r w:rsidRPr="00D337FA">
        <w:rPr>
          <w:szCs w:val="24"/>
        </w:rPr>
        <w:t>статусного</w:t>
      </w:r>
      <w:r w:rsidR="006C680D" w:rsidRPr="00D337FA">
        <w:rPr>
          <w:szCs w:val="24"/>
        </w:rPr>
        <w:t xml:space="preserve"> </w:t>
      </w:r>
      <w:r w:rsidRPr="00D337FA">
        <w:rPr>
          <w:szCs w:val="24"/>
        </w:rPr>
        <w:t>потребления.</w:t>
      </w:r>
      <w:r w:rsidR="006C680D" w:rsidRPr="00D337FA">
        <w:rPr>
          <w:szCs w:val="24"/>
        </w:rPr>
        <w:t xml:space="preserve"> </w:t>
      </w:r>
      <w:r w:rsidRPr="00D337FA">
        <w:rPr>
          <w:szCs w:val="24"/>
        </w:rPr>
        <w:t>В-третьих,</w:t>
      </w:r>
      <w:r w:rsidR="006C680D" w:rsidRPr="00D337FA">
        <w:rPr>
          <w:szCs w:val="24"/>
        </w:rPr>
        <w:t xml:space="preserve"> </w:t>
      </w:r>
      <w:r w:rsidRPr="00D337FA">
        <w:rPr>
          <w:szCs w:val="24"/>
        </w:rPr>
        <w:t>реализация</w:t>
      </w:r>
      <w:r w:rsidR="006C680D" w:rsidRPr="00D337FA">
        <w:rPr>
          <w:szCs w:val="24"/>
        </w:rPr>
        <w:t xml:space="preserve"> </w:t>
      </w:r>
      <w:r w:rsidRPr="00D337FA">
        <w:rPr>
          <w:szCs w:val="24"/>
        </w:rPr>
        <w:t>триггерного</w:t>
      </w:r>
      <w:r w:rsidR="006C680D" w:rsidRPr="00D337FA">
        <w:rPr>
          <w:szCs w:val="24"/>
        </w:rPr>
        <w:t xml:space="preserve"> </w:t>
      </w:r>
      <w:r w:rsidRPr="00D337FA">
        <w:rPr>
          <w:szCs w:val="24"/>
        </w:rPr>
        <w:t>маркетинга,</w:t>
      </w:r>
      <w:r w:rsidR="006C680D" w:rsidRPr="00D337FA">
        <w:rPr>
          <w:szCs w:val="24"/>
        </w:rPr>
        <w:t xml:space="preserve"> </w:t>
      </w:r>
      <w:r w:rsidRPr="00D337FA">
        <w:rPr>
          <w:szCs w:val="24"/>
        </w:rPr>
        <w:t>при</w:t>
      </w:r>
      <w:r w:rsidR="006C680D" w:rsidRPr="00D337FA">
        <w:rPr>
          <w:szCs w:val="24"/>
        </w:rPr>
        <w:t xml:space="preserve"> </w:t>
      </w:r>
      <w:r w:rsidRPr="00D337FA">
        <w:rPr>
          <w:szCs w:val="24"/>
        </w:rPr>
        <w:t>котором</w:t>
      </w:r>
      <w:r w:rsidR="006C680D" w:rsidRPr="00D337FA">
        <w:rPr>
          <w:szCs w:val="24"/>
        </w:rPr>
        <w:t xml:space="preserve"> </w:t>
      </w:r>
      <w:r w:rsidR="006E6F5F" w:rsidRPr="00D337FA">
        <w:rPr>
          <w:szCs w:val="24"/>
        </w:rPr>
        <w:t>предложение</w:t>
      </w:r>
      <w:r w:rsidR="006C680D" w:rsidRPr="00D337FA">
        <w:rPr>
          <w:szCs w:val="24"/>
        </w:rPr>
        <w:t xml:space="preserve"> </w:t>
      </w:r>
      <w:r w:rsidRPr="00D337FA">
        <w:rPr>
          <w:szCs w:val="24"/>
        </w:rPr>
        <w:t>страховой</w:t>
      </w:r>
      <w:r w:rsidR="006C680D" w:rsidRPr="00D337FA">
        <w:rPr>
          <w:szCs w:val="24"/>
        </w:rPr>
        <w:t xml:space="preserve"> </w:t>
      </w:r>
      <w:r w:rsidRPr="00D337FA">
        <w:rPr>
          <w:szCs w:val="24"/>
        </w:rPr>
        <w:t>защиты</w:t>
      </w:r>
      <w:r w:rsidR="006C680D" w:rsidRPr="00D337FA">
        <w:rPr>
          <w:szCs w:val="24"/>
        </w:rPr>
        <w:t xml:space="preserve"> </w:t>
      </w:r>
      <w:r w:rsidRPr="00D337FA">
        <w:rPr>
          <w:szCs w:val="24"/>
        </w:rPr>
        <w:t>и</w:t>
      </w:r>
      <w:r w:rsidR="006C680D" w:rsidRPr="00D337FA">
        <w:rPr>
          <w:szCs w:val="24"/>
        </w:rPr>
        <w:t xml:space="preserve"> </w:t>
      </w:r>
      <w:r w:rsidRPr="00D337FA">
        <w:rPr>
          <w:szCs w:val="24"/>
        </w:rPr>
        <w:t>конкретного</w:t>
      </w:r>
      <w:r w:rsidR="006C680D" w:rsidRPr="00D337FA">
        <w:rPr>
          <w:szCs w:val="24"/>
        </w:rPr>
        <w:t xml:space="preserve"> </w:t>
      </w:r>
      <w:r w:rsidRPr="00D337FA">
        <w:rPr>
          <w:szCs w:val="24"/>
        </w:rPr>
        <w:t>покрытия</w:t>
      </w:r>
      <w:r w:rsidR="006C680D" w:rsidRPr="00D337FA">
        <w:rPr>
          <w:szCs w:val="24"/>
        </w:rPr>
        <w:t xml:space="preserve"> </w:t>
      </w:r>
      <w:r w:rsidRPr="00D337FA">
        <w:rPr>
          <w:szCs w:val="24"/>
        </w:rPr>
        <w:t>инициируется</w:t>
      </w:r>
      <w:r w:rsidR="006C680D" w:rsidRPr="00D337FA">
        <w:rPr>
          <w:szCs w:val="24"/>
        </w:rPr>
        <w:t xml:space="preserve"> </w:t>
      </w:r>
      <w:r w:rsidR="006E6F5F" w:rsidRPr="00D337FA">
        <w:rPr>
          <w:szCs w:val="24"/>
        </w:rPr>
        <w:t>автоматически</w:t>
      </w:r>
      <w:r w:rsidR="006C680D" w:rsidRPr="00D337FA">
        <w:rPr>
          <w:szCs w:val="24"/>
        </w:rPr>
        <w:t xml:space="preserve"> </w:t>
      </w:r>
      <w:r w:rsidRPr="00D337FA">
        <w:rPr>
          <w:szCs w:val="24"/>
        </w:rPr>
        <w:t>в</w:t>
      </w:r>
      <w:r w:rsidR="006C680D" w:rsidRPr="00D337FA">
        <w:rPr>
          <w:szCs w:val="24"/>
        </w:rPr>
        <w:t xml:space="preserve"> </w:t>
      </w:r>
      <w:r w:rsidRPr="00D337FA">
        <w:rPr>
          <w:szCs w:val="24"/>
        </w:rPr>
        <w:t>момент</w:t>
      </w:r>
      <w:r w:rsidR="006C680D" w:rsidRPr="00D337FA">
        <w:rPr>
          <w:szCs w:val="24"/>
        </w:rPr>
        <w:t xml:space="preserve"> </w:t>
      </w:r>
      <w:r w:rsidRPr="00D337FA">
        <w:rPr>
          <w:szCs w:val="24"/>
        </w:rPr>
        <w:t>актуализации</w:t>
      </w:r>
      <w:r w:rsidR="006C680D" w:rsidRPr="00D337FA">
        <w:rPr>
          <w:szCs w:val="24"/>
        </w:rPr>
        <w:t xml:space="preserve"> </w:t>
      </w:r>
      <w:r w:rsidRPr="00D337FA">
        <w:rPr>
          <w:szCs w:val="24"/>
        </w:rPr>
        <w:t>риска,</w:t>
      </w:r>
      <w:r w:rsidR="006C680D" w:rsidRPr="00D337FA">
        <w:rPr>
          <w:szCs w:val="24"/>
        </w:rPr>
        <w:t xml:space="preserve"> </w:t>
      </w:r>
      <w:r w:rsidRPr="00D337FA">
        <w:rPr>
          <w:szCs w:val="24"/>
        </w:rPr>
        <w:t>что</w:t>
      </w:r>
      <w:r w:rsidR="006C680D" w:rsidRPr="00D337FA">
        <w:rPr>
          <w:szCs w:val="24"/>
        </w:rPr>
        <w:t xml:space="preserve"> </w:t>
      </w:r>
      <w:r w:rsidRPr="00D337FA">
        <w:rPr>
          <w:szCs w:val="24"/>
        </w:rPr>
        <w:t>обеспечивает</w:t>
      </w:r>
      <w:r w:rsidR="006C680D" w:rsidRPr="00D337FA">
        <w:rPr>
          <w:szCs w:val="24"/>
        </w:rPr>
        <w:t xml:space="preserve"> </w:t>
      </w:r>
      <w:r w:rsidRPr="00D337FA">
        <w:rPr>
          <w:szCs w:val="24"/>
        </w:rPr>
        <w:t>конверсию</w:t>
      </w:r>
      <w:r w:rsidR="006C680D" w:rsidRPr="00D337FA">
        <w:rPr>
          <w:szCs w:val="24"/>
        </w:rPr>
        <w:t xml:space="preserve"> </w:t>
      </w:r>
      <w:r w:rsidR="006E6F5F" w:rsidRPr="00D337FA">
        <w:rPr>
          <w:szCs w:val="24"/>
        </w:rPr>
        <w:t>дискретных</w:t>
      </w:r>
      <w:r w:rsidR="006C680D" w:rsidRPr="00D337FA">
        <w:rPr>
          <w:szCs w:val="24"/>
        </w:rPr>
        <w:t xml:space="preserve"> </w:t>
      </w:r>
      <w:r w:rsidRPr="00D337FA">
        <w:rPr>
          <w:szCs w:val="24"/>
        </w:rPr>
        <w:t>покупателей</w:t>
      </w:r>
      <w:r w:rsidR="006C680D" w:rsidRPr="00D337FA">
        <w:rPr>
          <w:szCs w:val="24"/>
        </w:rPr>
        <w:t xml:space="preserve"> </w:t>
      </w:r>
      <w:r w:rsidRPr="00D337FA">
        <w:rPr>
          <w:szCs w:val="24"/>
        </w:rPr>
        <w:t>в</w:t>
      </w:r>
      <w:r w:rsidR="006C680D" w:rsidRPr="00D337FA">
        <w:rPr>
          <w:szCs w:val="24"/>
        </w:rPr>
        <w:t xml:space="preserve"> </w:t>
      </w:r>
      <w:r w:rsidRPr="00D337FA">
        <w:rPr>
          <w:szCs w:val="24"/>
        </w:rPr>
        <w:t>постоянных</w:t>
      </w:r>
      <w:r w:rsidR="006C680D" w:rsidRPr="00D337FA">
        <w:rPr>
          <w:szCs w:val="24"/>
        </w:rPr>
        <w:t xml:space="preserve"> </w:t>
      </w:r>
      <w:r w:rsidRPr="00D337FA">
        <w:rPr>
          <w:szCs w:val="24"/>
        </w:rPr>
        <w:t>пользователей</w:t>
      </w:r>
      <w:r w:rsidR="006C680D" w:rsidRPr="00D337FA">
        <w:rPr>
          <w:szCs w:val="24"/>
        </w:rPr>
        <w:t xml:space="preserve"> </w:t>
      </w:r>
      <w:r w:rsidRPr="00D337FA">
        <w:rPr>
          <w:szCs w:val="24"/>
        </w:rPr>
        <w:t>сервиса</w:t>
      </w:r>
      <w:r w:rsidR="006C680D" w:rsidRPr="00D337FA">
        <w:rPr>
          <w:szCs w:val="24"/>
        </w:rPr>
        <w:t xml:space="preserve"> </w:t>
      </w:r>
      <w:r w:rsidRPr="00D337FA">
        <w:rPr>
          <w:szCs w:val="24"/>
        </w:rPr>
        <w:t>безопасности.</w:t>
      </w:r>
    </w:p>
    <w:p w:rsidR="00B91B4B" w:rsidRDefault="00B91B4B" w:rsidP="00B91B4B">
      <w:pPr>
        <w:ind w:firstLine="284"/>
        <w:rPr>
          <w:szCs w:val="24"/>
        </w:rPr>
      </w:pPr>
      <w:r w:rsidRPr="00D337FA">
        <w:rPr>
          <w:szCs w:val="24"/>
        </w:rPr>
        <w:t>Автоматизационный</w:t>
      </w:r>
      <w:r w:rsidR="006C680D" w:rsidRPr="00D337FA">
        <w:rPr>
          <w:szCs w:val="24"/>
        </w:rPr>
        <w:t xml:space="preserve"> </w:t>
      </w:r>
      <w:r w:rsidRPr="00D337FA">
        <w:rPr>
          <w:szCs w:val="24"/>
        </w:rPr>
        <w:t>протокол</w:t>
      </w:r>
      <w:r w:rsidR="006C680D" w:rsidRPr="00D337FA">
        <w:rPr>
          <w:szCs w:val="24"/>
        </w:rPr>
        <w:t xml:space="preserve"> </w:t>
      </w:r>
      <w:r w:rsidRPr="00D337FA">
        <w:rPr>
          <w:szCs w:val="24"/>
        </w:rPr>
        <w:t>предусматривает</w:t>
      </w:r>
      <w:r w:rsidR="006C680D" w:rsidRPr="00D337FA">
        <w:rPr>
          <w:szCs w:val="24"/>
        </w:rPr>
        <w:t xml:space="preserve"> </w:t>
      </w:r>
      <w:r w:rsidRPr="00D337FA">
        <w:rPr>
          <w:szCs w:val="24"/>
        </w:rPr>
        <w:t>тотальную</w:t>
      </w:r>
      <w:r w:rsidR="006C680D" w:rsidRPr="00D337FA">
        <w:rPr>
          <w:szCs w:val="24"/>
        </w:rPr>
        <w:t xml:space="preserve"> </w:t>
      </w:r>
      <w:r w:rsidR="006E6F5F" w:rsidRPr="00D337FA">
        <w:rPr>
          <w:szCs w:val="24"/>
        </w:rPr>
        <w:t>роботизацию</w:t>
      </w:r>
      <w:r w:rsidR="006C680D" w:rsidRPr="00D337FA">
        <w:rPr>
          <w:szCs w:val="24"/>
        </w:rPr>
        <w:t xml:space="preserve"> </w:t>
      </w:r>
      <w:r w:rsidRPr="00D337FA">
        <w:rPr>
          <w:szCs w:val="24"/>
        </w:rPr>
        <w:t>бизнес-процессов,</w:t>
      </w:r>
      <w:r w:rsidR="006C680D" w:rsidRPr="00D337FA">
        <w:rPr>
          <w:szCs w:val="24"/>
        </w:rPr>
        <w:t xml:space="preserve"> </w:t>
      </w:r>
      <w:r w:rsidRPr="00D337FA">
        <w:rPr>
          <w:szCs w:val="24"/>
        </w:rPr>
        <w:t>результатом</w:t>
      </w:r>
      <w:r w:rsidR="006C680D" w:rsidRPr="00D337FA">
        <w:rPr>
          <w:szCs w:val="24"/>
        </w:rPr>
        <w:t xml:space="preserve"> </w:t>
      </w:r>
      <w:r w:rsidRPr="00D337FA">
        <w:rPr>
          <w:szCs w:val="24"/>
        </w:rPr>
        <w:t>которой</w:t>
      </w:r>
      <w:r w:rsidR="006C680D" w:rsidRPr="00D337FA">
        <w:rPr>
          <w:szCs w:val="24"/>
        </w:rPr>
        <w:t xml:space="preserve"> </w:t>
      </w:r>
      <w:r w:rsidRPr="00D337FA">
        <w:rPr>
          <w:szCs w:val="24"/>
        </w:rPr>
        <w:t>является</w:t>
      </w:r>
      <w:r w:rsidR="006C680D" w:rsidRPr="00D337FA">
        <w:rPr>
          <w:szCs w:val="24"/>
        </w:rPr>
        <w:t xml:space="preserve"> </w:t>
      </w:r>
      <w:r w:rsidRPr="00D337FA">
        <w:rPr>
          <w:szCs w:val="24"/>
        </w:rPr>
        <w:t>формирование</w:t>
      </w:r>
      <w:r w:rsidR="006C680D" w:rsidRPr="00D337FA">
        <w:rPr>
          <w:szCs w:val="24"/>
        </w:rPr>
        <w:t xml:space="preserve"> </w:t>
      </w:r>
      <w:r w:rsidR="006E6F5F" w:rsidRPr="00D337FA">
        <w:rPr>
          <w:szCs w:val="24"/>
        </w:rPr>
        <w:t>эргономичного</w:t>
      </w:r>
      <w:r w:rsidR="006C680D" w:rsidRPr="00D337FA">
        <w:rPr>
          <w:szCs w:val="24"/>
        </w:rPr>
        <w:t xml:space="preserve"> </w:t>
      </w:r>
      <w:r w:rsidRPr="00D337FA">
        <w:rPr>
          <w:szCs w:val="24"/>
        </w:rPr>
        <w:t>страхового</w:t>
      </w:r>
      <w:r w:rsidR="006C680D" w:rsidRPr="00D337FA">
        <w:rPr>
          <w:szCs w:val="24"/>
        </w:rPr>
        <w:t xml:space="preserve"> </w:t>
      </w:r>
      <w:r w:rsidRPr="00D337FA">
        <w:rPr>
          <w:szCs w:val="24"/>
        </w:rPr>
        <w:t>кабинета,</w:t>
      </w:r>
      <w:r w:rsidR="006C680D" w:rsidRPr="00D337FA">
        <w:rPr>
          <w:szCs w:val="24"/>
        </w:rPr>
        <w:t xml:space="preserve"> </w:t>
      </w:r>
      <w:r w:rsidRPr="00D337FA">
        <w:rPr>
          <w:szCs w:val="24"/>
        </w:rPr>
        <w:t>минимизирующего</w:t>
      </w:r>
      <w:r w:rsidR="006C680D" w:rsidRPr="00D337FA">
        <w:rPr>
          <w:szCs w:val="24"/>
        </w:rPr>
        <w:t xml:space="preserve"> </w:t>
      </w:r>
      <w:r w:rsidRPr="00D337FA">
        <w:rPr>
          <w:szCs w:val="24"/>
        </w:rPr>
        <w:t>транзакционные</w:t>
      </w:r>
      <w:r w:rsidR="006C680D" w:rsidRPr="00D337FA">
        <w:rPr>
          <w:szCs w:val="24"/>
        </w:rPr>
        <w:t xml:space="preserve"> </w:t>
      </w:r>
      <w:r w:rsidRPr="00D337FA">
        <w:rPr>
          <w:szCs w:val="24"/>
        </w:rPr>
        <w:t>издержки</w:t>
      </w:r>
      <w:r w:rsidR="006C680D" w:rsidRPr="00D337FA">
        <w:rPr>
          <w:szCs w:val="24"/>
        </w:rPr>
        <w:t xml:space="preserve"> </w:t>
      </w:r>
      <w:r w:rsidRPr="00D337FA">
        <w:rPr>
          <w:szCs w:val="24"/>
        </w:rPr>
        <w:t>клиента</w:t>
      </w:r>
      <w:r w:rsidR="006C680D" w:rsidRPr="00D337FA">
        <w:rPr>
          <w:szCs w:val="24"/>
        </w:rPr>
        <w:t xml:space="preserve"> </w:t>
      </w:r>
      <w:r w:rsidRPr="00D337FA">
        <w:rPr>
          <w:szCs w:val="24"/>
        </w:rPr>
        <w:t>и</w:t>
      </w:r>
      <w:r w:rsidR="006C680D" w:rsidRPr="00D337FA">
        <w:rPr>
          <w:szCs w:val="24"/>
        </w:rPr>
        <w:t xml:space="preserve"> </w:t>
      </w:r>
      <w:r w:rsidRPr="00D337FA">
        <w:rPr>
          <w:szCs w:val="24"/>
        </w:rPr>
        <w:t>максимизирующего</w:t>
      </w:r>
      <w:r w:rsidR="006C680D" w:rsidRPr="00D337FA">
        <w:rPr>
          <w:szCs w:val="24"/>
        </w:rPr>
        <w:t xml:space="preserve"> </w:t>
      </w:r>
      <w:r w:rsidRPr="00D337FA">
        <w:rPr>
          <w:szCs w:val="24"/>
        </w:rPr>
        <w:t>комфортность</w:t>
      </w:r>
      <w:r w:rsidR="006C680D" w:rsidRPr="00D337FA">
        <w:rPr>
          <w:szCs w:val="24"/>
        </w:rPr>
        <w:t xml:space="preserve"> </w:t>
      </w:r>
      <w:r w:rsidRPr="00D337FA">
        <w:rPr>
          <w:szCs w:val="24"/>
        </w:rPr>
        <w:t>взаимодействия</w:t>
      </w:r>
      <w:r w:rsidR="006C680D" w:rsidRPr="00D337FA">
        <w:rPr>
          <w:szCs w:val="24"/>
        </w:rPr>
        <w:t xml:space="preserve"> </w:t>
      </w:r>
      <w:r w:rsidRPr="00D337FA">
        <w:rPr>
          <w:szCs w:val="24"/>
        </w:rPr>
        <w:t>[</w:t>
      </w:r>
      <w:r w:rsidR="00231534" w:rsidRPr="00D337FA">
        <w:rPr>
          <w:szCs w:val="24"/>
        </w:rPr>
        <w:t>7</w:t>
      </w:r>
      <w:r w:rsidRPr="00D337FA">
        <w:rPr>
          <w:szCs w:val="24"/>
        </w:rPr>
        <w:t>,</w:t>
      </w:r>
      <w:r w:rsidR="006C680D" w:rsidRPr="00D337FA">
        <w:rPr>
          <w:szCs w:val="24"/>
        </w:rPr>
        <w:t xml:space="preserve"> </w:t>
      </w:r>
      <w:r w:rsidRPr="00D337FA">
        <w:rPr>
          <w:szCs w:val="24"/>
        </w:rPr>
        <w:t>1</w:t>
      </w:r>
      <w:r w:rsidR="00231534" w:rsidRPr="00D337FA">
        <w:rPr>
          <w:szCs w:val="24"/>
        </w:rPr>
        <w:t>5</w:t>
      </w:r>
      <w:r w:rsidRPr="00D337FA">
        <w:rPr>
          <w:szCs w:val="24"/>
        </w:rPr>
        <w:t>,</w:t>
      </w:r>
      <w:r w:rsidR="006C680D" w:rsidRPr="00D337FA">
        <w:rPr>
          <w:szCs w:val="24"/>
        </w:rPr>
        <w:t xml:space="preserve"> </w:t>
      </w:r>
      <w:r w:rsidRPr="00D337FA">
        <w:rPr>
          <w:szCs w:val="24"/>
        </w:rPr>
        <w:t>1</w:t>
      </w:r>
      <w:r w:rsidR="00231534" w:rsidRPr="00D337FA">
        <w:rPr>
          <w:szCs w:val="24"/>
        </w:rPr>
        <w:t>8</w:t>
      </w:r>
      <w:r w:rsidRPr="00D337FA">
        <w:rPr>
          <w:szCs w:val="24"/>
        </w:rPr>
        <w:t>,</w:t>
      </w:r>
      <w:r w:rsidR="006C680D" w:rsidRPr="00D337FA">
        <w:rPr>
          <w:szCs w:val="24"/>
        </w:rPr>
        <w:t xml:space="preserve"> </w:t>
      </w:r>
      <w:r w:rsidRPr="00D337FA">
        <w:rPr>
          <w:szCs w:val="24"/>
        </w:rPr>
        <w:t>2</w:t>
      </w:r>
      <w:r w:rsidR="00231534" w:rsidRPr="00D337FA">
        <w:rPr>
          <w:szCs w:val="24"/>
        </w:rPr>
        <w:t>6</w:t>
      </w:r>
      <w:r w:rsidRPr="00D337FA">
        <w:rPr>
          <w:szCs w:val="24"/>
        </w:rPr>
        <w:t>].</w:t>
      </w:r>
    </w:p>
    <w:p w:rsidR="006E6F5F" w:rsidRPr="00D337FA" w:rsidRDefault="006E6F5F" w:rsidP="00B91B4B">
      <w:pPr>
        <w:ind w:firstLine="284"/>
        <w:rPr>
          <w:szCs w:val="24"/>
        </w:rPr>
      </w:pPr>
    </w:p>
    <w:p w:rsidR="00B91B4B" w:rsidRPr="00D337FA" w:rsidRDefault="00B91B4B" w:rsidP="00B91B4B">
      <w:pPr>
        <w:ind w:firstLine="284"/>
        <w:rPr>
          <w:b/>
          <w:szCs w:val="24"/>
        </w:rPr>
      </w:pPr>
      <w:r w:rsidRPr="00D337FA">
        <w:rPr>
          <w:b/>
          <w:szCs w:val="24"/>
        </w:rPr>
        <w:t>Заключение</w:t>
      </w:r>
    </w:p>
    <w:p w:rsidR="00B91B4B" w:rsidRPr="00D337FA" w:rsidRDefault="00B91B4B" w:rsidP="00B91B4B">
      <w:pPr>
        <w:ind w:firstLine="284"/>
        <w:rPr>
          <w:szCs w:val="24"/>
        </w:rPr>
      </w:pPr>
      <w:r w:rsidRPr="00D337FA">
        <w:rPr>
          <w:szCs w:val="24"/>
        </w:rPr>
        <w:t>Резюмируя</w:t>
      </w:r>
      <w:r w:rsidR="006C680D" w:rsidRPr="00D337FA">
        <w:rPr>
          <w:szCs w:val="24"/>
        </w:rPr>
        <w:t xml:space="preserve"> </w:t>
      </w:r>
      <w:r w:rsidRPr="00D337FA">
        <w:rPr>
          <w:szCs w:val="24"/>
        </w:rPr>
        <w:t>вышеизложенное,</w:t>
      </w:r>
      <w:r w:rsidR="006C680D" w:rsidRPr="00D337FA">
        <w:rPr>
          <w:szCs w:val="24"/>
        </w:rPr>
        <w:t xml:space="preserve"> </w:t>
      </w:r>
      <w:r w:rsidRPr="00D337FA">
        <w:rPr>
          <w:szCs w:val="24"/>
        </w:rPr>
        <w:t>следует</w:t>
      </w:r>
      <w:r w:rsidR="006C680D" w:rsidRPr="00D337FA">
        <w:rPr>
          <w:szCs w:val="24"/>
        </w:rPr>
        <w:t xml:space="preserve"> </w:t>
      </w:r>
      <w:r w:rsidRPr="00D337FA">
        <w:rPr>
          <w:szCs w:val="24"/>
        </w:rPr>
        <w:t>констатировать,</w:t>
      </w:r>
      <w:r w:rsidR="006C680D" w:rsidRPr="00D337FA">
        <w:rPr>
          <w:szCs w:val="24"/>
        </w:rPr>
        <w:t xml:space="preserve"> </w:t>
      </w:r>
      <w:r w:rsidRPr="00D337FA">
        <w:rPr>
          <w:szCs w:val="24"/>
        </w:rPr>
        <w:t>что</w:t>
      </w:r>
      <w:r w:rsidR="006C680D" w:rsidRPr="00D337FA">
        <w:rPr>
          <w:szCs w:val="24"/>
        </w:rPr>
        <w:t xml:space="preserve"> </w:t>
      </w:r>
      <w:r w:rsidR="006E6F5F" w:rsidRPr="00D337FA">
        <w:rPr>
          <w:szCs w:val="24"/>
        </w:rPr>
        <w:t>конструирование</w:t>
      </w:r>
      <w:r w:rsidR="006C680D" w:rsidRPr="00D337FA">
        <w:rPr>
          <w:szCs w:val="24"/>
        </w:rPr>
        <w:t xml:space="preserve"> </w:t>
      </w:r>
      <w:r w:rsidRPr="00D337FA">
        <w:rPr>
          <w:szCs w:val="24"/>
        </w:rPr>
        <w:t>ре</w:t>
      </w:r>
      <w:r w:rsidRPr="00D337FA">
        <w:rPr>
          <w:szCs w:val="24"/>
        </w:rPr>
        <w:lastRenderedPageBreak/>
        <w:t>зультативной</w:t>
      </w:r>
      <w:r w:rsidR="006C680D" w:rsidRPr="00D337FA">
        <w:rPr>
          <w:szCs w:val="24"/>
        </w:rPr>
        <w:t xml:space="preserve"> </w:t>
      </w:r>
      <w:r w:rsidRPr="00D337FA">
        <w:rPr>
          <w:szCs w:val="24"/>
        </w:rPr>
        <w:t>стратегии</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процессом</w:t>
      </w:r>
      <w:r w:rsidR="006C680D" w:rsidRPr="00D337FA">
        <w:rPr>
          <w:szCs w:val="24"/>
        </w:rPr>
        <w:t xml:space="preserve"> </w:t>
      </w:r>
      <w:r w:rsidRPr="00D337FA">
        <w:rPr>
          <w:szCs w:val="24"/>
        </w:rPr>
        <w:t>генерирования</w:t>
      </w:r>
      <w:r w:rsidR="006C680D" w:rsidRPr="00D337FA">
        <w:rPr>
          <w:szCs w:val="24"/>
        </w:rPr>
        <w:t xml:space="preserve"> </w:t>
      </w:r>
      <w:r w:rsidRPr="00D337FA">
        <w:rPr>
          <w:szCs w:val="24"/>
        </w:rPr>
        <w:t>конкурентных</w:t>
      </w:r>
      <w:r w:rsidR="006C680D" w:rsidRPr="00D337FA">
        <w:rPr>
          <w:szCs w:val="24"/>
        </w:rPr>
        <w:t xml:space="preserve"> </w:t>
      </w:r>
      <w:r w:rsidRPr="00D337FA">
        <w:rPr>
          <w:szCs w:val="24"/>
        </w:rPr>
        <w:t>преимуществ</w:t>
      </w:r>
      <w:r w:rsidR="006C680D" w:rsidRPr="00D337FA">
        <w:rPr>
          <w:szCs w:val="24"/>
        </w:rPr>
        <w:t xml:space="preserve"> </w:t>
      </w:r>
      <w:r w:rsidRPr="00D337FA">
        <w:rPr>
          <w:szCs w:val="24"/>
        </w:rPr>
        <w:t>в</w:t>
      </w:r>
      <w:r w:rsidR="006C680D" w:rsidRPr="00D337FA">
        <w:rPr>
          <w:szCs w:val="24"/>
        </w:rPr>
        <w:t xml:space="preserve"> </w:t>
      </w:r>
      <w:r w:rsidRPr="00D337FA">
        <w:rPr>
          <w:szCs w:val="24"/>
        </w:rPr>
        <w:t>страховой</w:t>
      </w:r>
      <w:r w:rsidR="006C680D" w:rsidRPr="00D337FA">
        <w:rPr>
          <w:szCs w:val="24"/>
        </w:rPr>
        <w:t xml:space="preserve"> </w:t>
      </w:r>
      <w:r w:rsidRPr="00D337FA">
        <w:rPr>
          <w:szCs w:val="24"/>
        </w:rPr>
        <w:t>сфере</w:t>
      </w:r>
      <w:r w:rsidR="006C680D" w:rsidRPr="00D337FA">
        <w:rPr>
          <w:szCs w:val="24"/>
        </w:rPr>
        <w:t xml:space="preserve"> </w:t>
      </w:r>
      <w:r w:rsidRPr="00D337FA">
        <w:rPr>
          <w:szCs w:val="24"/>
        </w:rPr>
        <w:t>детерминируется</w:t>
      </w:r>
      <w:r w:rsidR="006C680D" w:rsidRPr="00D337FA">
        <w:rPr>
          <w:szCs w:val="24"/>
        </w:rPr>
        <w:t xml:space="preserve"> </w:t>
      </w:r>
      <w:r w:rsidRPr="00D337FA">
        <w:rPr>
          <w:szCs w:val="24"/>
        </w:rPr>
        <w:t>необходимостью</w:t>
      </w:r>
      <w:r w:rsidR="006C680D" w:rsidRPr="00D337FA">
        <w:rPr>
          <w:szCs w:val="24"/>
        </w:rPr>
        <w:t xml:space="preserve"> </w:t>
      </w:r>
      <w:r w:rsidRPr="00D337FA">
        <w:rPr>
          <w:szCs w:val="24"/>
        </w:rPr>
        <w:t>комплексного</w:t>
      </w:r>
      <w:r w:rsidR="006C680D" w:rsidRPr="00D337FA">
        <w:rPr>
          <w:szCs w:val="24"/>
        </w:rPr>
        <w:t xml:space="preserve"> </w:t>
      </w:r>
      <w:r w:rsidRPr="00D337FA">
        <w:rPr>
          <w:szCs w:val="24"/>
        </w:rPr>
        <w:t>анализа</w:t>
      </w:r>
      <w:r w:rsidR="006C680D" w:rsidRPr="00D337FA">
        <w:rPr>
          <w:szCs w:val="24"/>
        </w:rPr>
        <w:t xml:space="preserve"> </w:t>
      </w:r>
      <w:r w:rsidRPr="00D337FA">
        <w:rPr>
          <w:szCs w:val="24"/>
        </w:rPr>
        <w:t>рыночной</w:t>
      </w:r>
      <w:r w:rsidR="006C680D" w:rsidRPr="00D337FA">
        <w:rPr>
          <w:szCs w:val="24"/>
        </w:rPr>
        <w:t xml:space="preserve"> </w:t>
      </w:r>
      <w:r w:rsidRPr="00D337FA">
        <w:rPr>
          <w:szCs w:val="24"/>
        </w:rPr>
        <w:t>конъюнктуры,</w:t>
      </w:r>
      <w:r w:rsidR="006C680D" w:rsidRPr="00D337FA">
        <w:rPr>
          <w:szCs w:val="24"/>
        </w:rPr>
        <w:t xml:space="preserve"> </w:t>
      </w:r>
      <w:r w:rsidRPr="00D337FA">
        <w:rPr>
          <w:szCs w:val="24"/>
        </w:rPr>
        <w:t>идентификации</w:t>
      </w:r>
      <w:r w:rsidR="006C680D" w:rsidRPr="00D337FA">
        <w:rPr>
          <w:szCs w:val="24"/>
        </w:rPr>
        <w:t xml:space="preserve"> </w:t>
      </w:r>
      <w:r w:rsidRPr="00D337FA">
        <w:rPr>
          <w:szCs w:val="24"/>
        </w:rPr>
        <w:t>детерминант</w:t>
      </w:r>
      <w:r w:rsidR="006C680D" w:rsidRPr="00D337FA">
        <w:rPr>
          <w:szCs w:val="24"/>
        </w:rPr>
        <w:t xml:space="preserve"> </w:t>
      </w:r>
      <w:r w:rsidRPr="00D337FA">
        <w:rPr>
          <w:szCs w:val="24"/>
        </w:rPr>
        <w:t>сильных</w:t>
      </w:r>
      <w:r w:rsidR="006C680D" w:rsidRPr="00D337FA">
        <w:rPr>
          <w:szCs w:val="24"/>
        </w:rPr>
        <w:t xml:space="preserve"> </w:t>
      </w:r>
      <w:r w:rsidRPr="00D337FA">
        <w:rPr>
          <w:szCs w:val="24"/>
        </w:rPr>
        <w:t>и</w:t>
      </w:r>
      <w:r w:rsidR="006C680D" w:rsidRPr="00D337FA">
        <w:rPr>
          <w:szCs w:val="24"/>
        </w:rPr>
        <w:t xml:space="preserve"> </w:t>
      </w:r>
      <w:r w:rsidRPr="00D337FA">
        <w:rPr>
          <w:szCs w:val="24"/>
        </w:rPr>
        <w:t>слабых</w:t>
      </w:r>
      <w:r w:rsidR="006C680D" w:rsidRPr="00D337FA">
        <w:rPr>
          <w:szCs w:val="24"/>
        </w:rPr>
        <w:t xml:space="preserve"> </w:t>
      </w:r>
      <w:r w:rsidRPr="00D337FA">
        <w:rPr>
          <w:szCs w:val="24"/>
        </w:rPr>
        <w:t>сторон</w:t>
      </w:r>
      <w:r w:rsidR="006C680D" w:rsidRPr="00D337FA">
        <w:rPr>
          <w:szCs w:val="24"/>
        </w:rPr>
        <w:t xml:space="preserve"> </w:t>
      </w:r>
      <w:r w:rsidRPr="00D337FA">
        <w:rPr>
          <w:szCs w:val="24"/>
        </w:rPr>
        <w:t>хозяйствующего</w:t>
      </w:r>
      <w:r w:rsidR="006C680D" w:rsidRPr="00D337FA">
        <w:rPr>
          <w:szCs w:val="24"/>
        </w:rPr>
        <w:t xml:space="preserve"> </w:t>
      </w:r>
      <w:r w:rsidRPr="00D337FA">
        <w:rPr>
          <w:szCs w:val="24"/>
        </w:rPr>
        <w:t>субъекта,</w:t>
      </w:r>
      <w:r w:rsidR="006C680D" w:rsidRPr="00D337FA">
        <w:rPr>
          <w:szCs w:val="24"/>
        </w:rPr>
        <w:t xml:space="preserve"> </w:t>
      </w:r>
      <w:r w:rsidRPr="00D337FA">
        <w:rPr>
          <w:szCs w:val="24"/>
        </w:rPr>
        <w:t>а</w:t>
      </w:r>
      <w:r w:rsidR="006C680D" w:rsidRPr="00D337FA">
        <w:rPr>
          <w:szCs w:val="24"/>
        </w:rPr>
        <w:t xml:space="preserve"> </w:t>
      </w:r>
      <w:r w:rsidRPr="00D337FA">
        <w:rPr>
          <w:szCs w:val="24"/>
        </w:rPr>
        <w:t>также</w:t>
      </w:r>
      <w:r w:rsidR="006C680D" w:rsidRPr="00D337FA">
        <w:rPr>
          <w:szCs w:val="24"/>
        </w:rPr>
        <w:t xml:space="preserve"> </w:t>
      </w:r>
      <w:r w:rsidRPr="00D337FA">
        <w:rPr>
          <w:szCs w:val="24"/>
        </w:rPr>
        <w:t>верификации</w:t>
      </w:r>
      <w:r w:rsidR="006C680D" w:rsidRPr="00D337FA">
        <w:rPr>
          <w:szCs w:val="24"/>
        </w:rPr>
        <w:t xml:space="preserve"> </w:t>
      </w:r>
      <w:r w:rsidRPr="00D337FA">
        <w:rPr>
          <w:szCs w:val="24"/>
        </w:rPr>
        <w:t>траекторий</w:t>
      </w:r>
      <w:r w:rsidR="006C680D" w:rsidRPr="00D337FA">
        <w:rPr>
          <w:szCs w:val="24"/>
        </w:rPr>
        <w:t xml:space="preserve"> </w:t>
      </w:r>
      <w:r w:rsidRPr="00D337FA">
        <w:rPr>
          <w:szCs w:val="24"/>
        </w:rPr>
        <w:t>наращивания</w:t>
      </w:r>
      <w:r w:rsidR="006C680D" w:rsidRPr="00D337FA">
        <w:rPr>
          <w:szCs w:val="24"/>
        </w:rPr>
        <w:t xml:space="preserve"> </w:t>
      </w:r>
      <w:r w:rsidRPr="00D337FA">
        <w:rPr>
          <w:szCs w:val="24"/>
        </w:rPr>
        <w:t>конкурентного</w:t>
      </w:r>
      <w:r w:rsidR="006C680D" w:rsidRPr="00D337FA">
        <w:rPr>
          <w:szCs w:val="24"/>
        </w:rPr>
        <w:t xml:space="preserve"> </w:t>
      </w:r>
      <w:r w:rsidRPr="00D337FA">
        <w:rPr>
          <w:szCs w:val="24"/>
        </w:rPr>
        <w:t>потенциала.</w:t>
      </w:r>
      <w:r w:rsidR="006C680D" w:rsidRPr="00D337FA">
        <w:rPr>
          <w:szCs w:val="24"/>
        </w:rPr>
        <w:t xml:space="preserve"> </w:t>
      </w:r>
      <w:r w:rsidR="006E6F5F" w:rsidRPr="00D337FA">
        <w:rPr>
          <w:szCs w:val="24"/>
        </w:rPr>
        <w:t>Приоритетными</w:t>
      </w:r>
      <w:r w:rsidR="006C680D" w:rsidRPr="00D337FA">
        <w:rPr>
          <w:szCs w:val="24"/>
        </w:rPr>
        <w:t xml:space="preserve"> </w:t>
      </w:r>
      <w:r w:rsidRPr="00D337FA">
        <w:rPr>
          <w:szCs w:val="24"/>
        </w:rPr>
        <w:t>направлениями</w:t>
      </w:r>
      <w:r w:rsidR="006C680D" w:rsidRPr="00D337FA">
        <w:rPr>
          <w:szCs w:val="24"/>
        </w:rPr>
        <w:t xml:space="preserve"> </w:t>
      </w:r>
      <w:r w:rsidRPr="00D337FA">
        <w:rPr>
          <w:szCs w:val="24"/>
        </w:rPr>
        <w:t>в</w:t>
      </w:r>
      <w:r w:rsidR="006C680D" w:rsidRPr="00D337FA">
        <w:rPr>
          <w:szCs w:val="24"/>
        </w:rPr>
        <w:t xml:space="preserve"> </w:t>
      </w:r>
      <w:r w:rsidRPr="00D337FA">
        <w:rPr>
          <w:szCs w:val="24"/>
        </w:rPr>
        <w:t>данном</w:t>
      </w:r>
      <w:r w:rsidR="006C680D" w:rsidRPr="00D337FA">
        <w:rPr>
          <w:szCs w:val="24"/>
        </w:rPr>
        <w:t xml:space="preserve"> </w:t>
      </w:r>
      <w:r w:rsidRPr="00D337FA">
        <w:rPr>
          <w:szCs w:val="24"/>
        </w:rPr>
        <w:t>контексте</w:t>
      </w:r>
      <w:r w:rsidR="006C680D" w:rsidRPr="00D337FA">
        <w:rPr>
          <w:szCs w:val="24"/>
        </w:rPr>
        <w:t xml:space="preserve"> </w:t>
      </w:r>
      <w:r w:rsidRPr="00D337FA">
        <w:rPr>
          <w:szCs w:val="24"/>
        </w:rPr>
        <w:t>выступают</w:t>
      </w:r>
      <w:r w:rsidR="006C680D" w:rsidRPr="00D337FA">
        <w:rPr>
          <w:szCs w:val="24"/>
        </w:rPr>
        <w:t xml:space="preserve"> </w:t>
      </w:r>
      <w:r w:rsidRPr="00D337FA">
        <w:rPr>
          <w:szCs w:val="24"/>
        </w:rPr>
        <w:t>экстенсификация</w:t>
      </w:r>
      <w:r w:rsidR="006C680D" w:rsidRPr="00D337FA">
        <w:rPr>
          <w:szCs w:val="24"/>
        </w:rPr>
        <w:t xml:space="preserve"> </w:t>
      </w:r>
      <w:r w:rsidRPr="00D337FA">
        <w:rPr>
          <w:szCs w:val="24"/>
        </w:rPr>
        <w:t>партнерского</w:t>
      </w:r>
      <w:r w:rsidR="006C680D" w:rsidRPr="00D337FA">
        <w:rPr>
          <w:szCs w:val="24"/>
        </w:rPr>
        <w:t xml:space="preserve"> </w:t>
      </w:r>
      <w:r w:rsidRPr="00D337FA">
        <w:rPr>
          <w:szCs w:val="24"/>
        </w:rPr>
        <w:t>взаимодействия</w:t>
      </w:r>
      <w:r w:rsidR="006C680D" w:rsidRPr="00D337FA">
        <w:rPr>
          <w:szCs w:val="24"/>
        </w:rPr>
        <w:t xml:space="preserve"> </w:t>
      </w:r>
      <w:r w:rsidRPr="00D337FA">
        <w:rPr>
          <w:szCs w:val="24"/>
        </w:rPr>
        <w:t>и</w:t>
      </w:r>
      <w:r w:rsidR="006C680D" w:rsidRPr="00D337FA">
        <w:rPr>
          <w:szCs w:val="24"/>
        </w:rPr>
        <w:t xml:space="preserve"> </w:t>
      </w:r>
      <w:r w:rsidRPr="00D337FA">
        <w:rPr>
          <w:szCs w:val="24"/>
        </w:rPr>
        <w:t>модернизация</w:t>
      </w:r>
      <w:r w:rsidR="006C680D" w:rsidRPr="00D337FA">
        <w:rPr>
          <w:szCs w:val="24"/>
        </w:rPr>
        <w:t xml:space="preserve"> </w:t>
      </w:r>
      <w:r w:rsidRPr="00D337FA">
        <w:rPr>
          <w:szCs w:val="24"/>
        </w:rPr>
        <w:t>продуктового</w:t>
      </w:r>
      <w:r w:rsidR="006C680D" w:rsidRPr="00D337FA">
        <w:rPr>
          <w:szCs w:val="24"/>
        </w:rPr>
        <w:t xml:space="preserve"> </w:t>
      </w:r>
      <w:r w:rsidRPr="00D337FA">
        <w:rPr>
          <w:szCs w:val="24"/>
        </w:rPr>
        <w:t>ряда</w:t>
      </w:r>
      <w:r w:rsidR="006C680D" w:rsidRPr="00D337FA">
        <w:rPr>
          <w:szCs w:val="24"/>
        </w:rPr>
        <w:t xml:space="preserve"> </w:t>
      </w:r>
      <w:r w:rsidR="006E6F5F" w:rsidRPr="00D337FA">
        <w:rPr>
          <w:szCs w:val="24"/>
        </w:rPr>
        <w:t>страховщика</w:t>
      </w:r>
      <w:r w:rsidRPr="00D337FA">
        <w:rPr>
          <w:szCs w:val="24"/>
        </w:rPr>
        <w:t>.</w:t>
      </w:r>
    </w:p>
    <w:p w:rsidR="00B91B4B" w:rsidRPr="00D337FA" w:rsidRDefault="00B91B4B" w:rsidP="00B91B4B">
      <w:pPr>
        <w:ind w:firstLine="284"/>
        <w:rPr>
          <w:szCs w:val="24"/>
        </w:rPr>
      </w:pPr>
      <w:r w:rsidRPr="00D337FA">
        <w:rPr>
          <w:szCs w:val="24"/>
        </w:rPr>
        <w:t>Имплементация</w:t>
      </w:r>
      <w:r w:rsidR="006C680D" w:rsidRPr="00D337FA">
        <w:rPr>
          <w:szCs w:val="24"/>
        </w:rPr>
        <w:t xml:space="preserve"> </w:t>
      </w:r>
      <w:r w:rsidRPr="00D337FA">
        <w:rPr>
          <w:szCs w:val="24"/>
        </w:rPr>
        <w:t>рассмотренных</w:t>
      </w:r>
      <w:r w:rsidR="006C680D" w:rsidRPr="00D337FA">
        <w:rPr>
          <w:szCs w:val="24"/>
        </w:rPr>
        <w:t xml:space="preserve"> </w:t>
      </w:r>
      <w:r w:rsidRPr="00D337FA">
        <w:rPr>
          <w:szCs w:val="24"/>
        </w:rPr>
        <w:t>протоколов</w:t>
      </w:r>
      <w:r w:rsidR="006C680D" w:rsidRPr="00D337FA">
        <w:rPr>
          <w:szCs w:val="24"/>
        </w:rPr>
        <w:t xml:space="preserve"> </w:t>
      </w:r>
      <w:r w:rsidRPr="00D337FA">
        <w:rPr>
          <w:szCs w:val="24"/>
        </w:rPr>
        <w:t>стратегии</w:t>
      </w:r>
      <w:r w:rsidR="006C680D" w:rsidRPr="00D337FA">
        <w:rPr>
          <w:szCs w:val="24"/>
        </w:rPr>
        <w:t xml:space="preserve"> </w:t>
      </w:r>
      <w:r w:rsidRPr="00D337FA">
        <w:rPr>
          <w:szCs w:val="24"/>
        </w:rPr>
        <w:t>цифрового</w:t>
      </w:r>
      <w:r w:rsidR="006C680D" w:rsidRPr="00D337FA">
        <w:rPr>
          <w:szCs w:val="24"/>
        </w:rPr>
        <w:t xml:space="preserve"> </w:t>
      </w:r>
      <w:r w:rsidRPr="00D337FA">
        <w:rPr>
          <w:szCs w:val="24"/>
        </w:rPr>
        <w:t>партнерства</w:t>
      </w:r>
      <w:r w:rsidR="006C680D" w:rsidRPr="00D337FA">
        <w:rPr>
          <w:szCs w:val="24"/>
        </w:rPr>
        <w:t xml:space="preserve"> </w:t>
      </w:r>
      <w:r w:rsidRPr="00D337FA">
        <w:rPr>
          <w:szCs w:val="24"/>
        </w:rPr>
        <w:t>обусловливает</w:t>
      </w:r>
      <w:r w:rsidR="006C680D" w:rsidRPr="00D337FA">
        <w:rPr>
          <w:szCs w:val="24"/>
        </w:rPr>
        <w:t xml:space="preserve"> </w:t>
      </w:r>
      <w:r w:rsidRPr="00D337FA">
        <w:rPr>
          <w:szCs w:val="24"/>
        </w:rPr>
        <w:t>качественную</w:t>
      </w:r>
      <w:r w:rsidR="006C680D" w:rsidRPr="00D337FA">
        <w:rPr>
          <w:szCs w:val="24"/>
        </w:rPr>
        <w:t xml:space="preserve"> </w:t>
      </w:r>
      <w:r w:rsidRPr="00D337FA">
        <w:rPr>
          <w:szCs w:val="24"/>
        </w:rPr>
        <w:t>трансформацию</w:t>
      </w:r>
      <w:r w:rsidR="006C680D" w:rsidRPr="00D337FA">
        <w:rPr>
          <w:szCs w:val="24"/>
        </w:rPr>
        <w:t xml:space="preserve"> </w:t>
      </w:r>
      <w:r w:rsidRPr="00D337FA">
        <w:rPr>
          <w:szCs w:val="24"/>
        </w:rPr>
        <w:t>страховой</w:t>
      </w:r>
      <w:r w:rsidR="006C680D" w:rsidRPr="00D337FA">
        <w:rPr>
          <w:szCs w:val="24"/>
        </w:rPr>
        <w:t xml:space="preserve"> </w:t>
      </w:r>
      <w:r w:rsidR="006E6F5F" w:rsidRPr="00D337FA">
        <w:rPr>
          <w:szCs w:val="24"/>
        </w:rPr>
        <w:t>компании</w:t>
      </w:r>
      <w:r w:rsidRPr="00D337FA">
        <w:rPr>
          <w:szCs w:val="24"/>
        </w:rPr>
        <w:t>:</w:t>
      </w:r>
      <w:r w:rsidR="006C680D" w:rsidRPr="00D337FA">
        <w:rPr>
          <w:szCs w:val="24"/>
        </w:rPr>
        <w:t xml:space="preserve"> </w:t>
      </w:r>
      <w:r w:rsidRPr="00D337FA">
        <w:rPr>
          <w:szCs w:val="24"/>
        </w:rPr>
        <w:t>происходит</w:t>
      </w:r>
      <w:r w:rsidR="006C680D" w:rsidRPr="00D337FA">
        <w:rPr>
          <w:szCs w:val="24"/>
        </w:rPr>
        <w:t xml:space="preserve"> </w:t>
      </w:r>
      <w:r w:rsidRPr="00D337FA">
        <w:rPr>
          <w:szCs w:val="24"/>
        </w:rPr>
        <w:t>ее</w:t>
      </w:r>
      <w:r w:rsidR="006C680D" w:rsidRPr="00D337FA">
        <w:rPr>
          <w:szCs w:val="24"/>
        </w:rPr>
        <w:t xml:space="preserve"> </w:t>
      </w:r>
      <w:r w:rsidRPr="00D337FA">
        <w:rPr>
          <w:szCs w:val="24"/>
        </w:rPr>
        <w:t>эволюция</w:t>
      </w:r>
      <w:r w:rsidR="006C680D" w:rsidRPr="00D337FA">
        <w:rPr>
          <w:szCs w:val="24"/>
        </w:rPr>
        <w:t xml:space="preserve"> </w:t>
      </w:r>
      <w:r w:rsidRPr="00D337FA">
        <w:rPr>
          <w:szCs w:val="24"/>
        </w:rPr>
        <w:t>от</w:t>
      </w:r>
      <w:r w:rsidR="006C680D" w:rsidRPr="00D337FA">
        <w:rPr>
          <w:szCs w:val="24"/>
        </w:rPr>
        <w:t xml:space="preserve"> </w:t>
      </w:r>
      <w:r w:rsidRPr="00D337FA">
        <w:rPr>
          <w:szCs w:val="24"/>
        </w:rPr>
        <w:t>классического</w:t>
      </w:r>
      <w:r w:rsidR="006C680D" w:rsidRPr="00D337FA">
        <w:rPr>
          <w:szCs w:val="24"/>
        </w:rPr>
        <w:t xml:space="preserve"> </w:t>
      </w:r>
      <w:r w:rsidRPr="00D337FA">
        <w:rPr>
          <w:szCs w:val="24"/>
        </w:rPr>
        <w:t>финансового</w:t>
      </w:r>
      <w:r w:rsidR="006C680D" w:rsidRPr="00D337FA">
        <w:rPr>
          <w:szCs w:val="24"/>
        </w:rPr>
        <w:t xml:space="preserve"> </w:t>
      </w:r>
      <w:r w:rsidRPr="00D337FA">
        <w:rPr>
          <w:szCs w:val="24"/>
        </w:rPr>
        <w:t>института</w:t>
      </w:r>
      <w:r w:rsidR="006C680D" w:rsidRPr="00D337FA">
        <w:rPr>
          <w:szCs w:val="24"/>
        </w:rPr>
        <w:t xml:space="preserve"> </w:t>
      </w:r>
      <w:r w:rsidRPr="00D337FA">
        <w:rPr>
          <w:szCs w:val="24"/>
        </w:rPr>
        <w:t>к</w:t>
      </w:r>
      <w:r w:rsidR="006C680D" w:rsidRPr="00D337FA">
        <w:rPr>
          <w:szCs w:val="24"/>
        </w:rPr>
        <w:t xml:space="preserve"> </w:t>
      </w:r>
      <w:r w:rsidRPr="00D337FA">
        <w:rPr>
          <w:szCs w:val="24"/>
        </w:rPr>
        <w:t>технологической</w:t>
      </w:r>
      <w:r w:rsidR="006C680D" w:rsidRPr="00D337FA">
        <w:rPr>
          <w:szCs w:val="24"/>
        </w:rPr>
        <w:t xml:space="preserve"> </w:t>
      </w:r>
      <w:r w:rsidRPr="00D337FA">
        <w:rPr>
          <w:szCs w:val="24"/>
        </w:rPr>
        <w:t>корпорации,</w:t>
      </w:r>
      <w:r w:rsidR="006C680D" w:rsidRPr="00D337FA">
        <w:rPr>
          <w:szCs w:val="24"/>
        </w:rPr>
        <w:t xml:space="preserve"> </w:t>
      </w:r>
      <w:r w:rsidRPr="00D337FA">
        <w:rPr>
          <w:szCs w:val="24"/>
        </w:rPr>
        <w:t>конструирующей</w:t>
      </w:r>
      <w:r w:rsidR="006C680D" w:rsidRPr="00D337FA">
        <w:rPr>
          <w:szCs w:val="24"/>
        </w:rPr>
        <w:t xml:space="preserve"> </w:t>
      </w:r>
      <w:r w:rsidRPr="00D337FA">
        <w:rPr>
          <w:szCs w:val="24"/>
        </w:rPr>
        <w:t>цифровой</w:t>
      </w:r>
      <w:r w:rsidR="006C680D" w:rsidRPr="00D337FA">
        <w:rPr>
          <w:szCs w:val="24"/>
        </w:rPr>
        <w:t xml:space="preserve"> </w:t>
      </w:r>
      <w:r w:rsidRPr="00D337FA">
        <w:rPr>
          <w:szCs w:val="24"/>
        </w:rPr>
        <w:t>периметр</w:t>
      </w:r>
      <w:r w:rsidR="006C680D" w:rsidRPr="00D337FA">
        <w:rPr>
          <w:szCs w:val="24"/>
        </w:rPr>
        <w:t xml:space="preserve"> </w:t>
      </w:r>
      <w:r w:rsidR="006E6F5F" w:rsidRPr="00D337FA">
        <w:rPr>
          <w:szCs w:val="24"/>
        </w:rPr>
        <w:t>безопасности</w:t>
      </w:r>
      <w:r w:rsidRPr="00D337FA">
        <w:rPr>
          <w:szCs w:val="24"/>
        </w:rPr>
        <w:t>,</w:t>
      </w:r>
      <w:r w:rsidR="006C680D" w:rsidRPr="00D337FA">
        <w:rPr>
          <w:szCs w:val="24"/>
        </w:rPr>
        <w:t xml:space="preserve"> </w:t>
      </w:r>
      <w:r w:rsidRPr="00D337FA">
        <w:rPr>
          <w:szCs w:val="24"/>
        </w:rPr>
        <w:t>интегрированный</w:t>
      </w:r>
      <w:r w:rsidR="006C680D" w:rsidRPr="00D337FA">
        <w:rPr>
          <w:szCs w:val="24"/>
        </w:rPr>
        <w:t xml:space="preserve"> </w:t>
      </w:r>
      <w:r w:rsidRPr="00D337FA">
        <w:rPr>
          <w:szCs w:val="24"/>
        </w:rPr>
        <w:t>в</w:t>
      </w:r>
      <w:r w:rsidR="006C680D" w:rsidRPr="00D337FA">
        <w:rPr>
          <w:szCs w:val="24"/>
        </w:rPr>
        <w:t xml:space="preserve"> </w:t>
      </w:r>
      <w:r w:rsidRPr="00D337FA">
        <w:rPr>
          <w:szCs w:val="24"/>
        </w:rPr>
        <w:t>жизненное</w:t>
      </w:r>
      <w:r w:rsidR="006C680D" w:rsidRPr="00D337FA">
        <w:rPr>
          <w:szCs w:val="24"/>
        </w:rPr>
        <w:t xml:space="preserve"> </w:t>
      </w:r>
      <w:r w:rsidRPr="00D337FA">
        <w:rPr>
          <w:szCs w:val="24"/>
        </w:rPr>
        <w:t>пространство</w:t>
      </w:r>
      <w:r w:rsidR="006C680D" w:rsidRPr="00D337FA">
        <w:rPr>
          <w:szCs w:val="24"/>
        </w:rPr>
        <w:t xml:space="preserve"> </w:t>
      </w:r>
      <w:r w:rsidRPr="00D337FA">
        <w:rPr>
          <w:szCs w:val="24"/>
        </w:rPr>
        <w:t>клиента.</w:t>
      </w:r>
      <w:r w:rsidR="006C680D" w:rsidRPr="00D337FA">
        <w:rPr>
          <w:szCs w:val="24"/>
        </w:rPr>
        <w:t xml:space="preserve"> </w:t>
      </w:r>
      <w:r w:rsidRPr="00D337FA">
        <w:rPr>
          <w:szCs w:val="24"/>
        </w:rPr>
        <w:t>В</w:t>
      </w:r>
      <w:r w:rsidR="006C680D" w:rsidRPr="00D337FA">
        <w:rPr>
          <w:szCs w:val="24"/>
        </w:rPr>
        <w:t xml:space="preserve"> </w:t>
      </w:r>
      <w:r w:rsidRPr="00D337FA">
        <w:rPr>
          <w:szCs w:val="24"/>
        </w:rPr>
        <w:t>данной</w:t>
      </w:r>
      <w:r w:rsidR="006C680D" w:rsidRPr="00D337FA">
        <w:rPr>
          <w:szCs w:val="24"/>
        </w:rPr>
        <w:t xml:space="preserve"> </w:t>
      </w:r>
      <w:r w:rsidRPr="00D337FA">
        <w:rPr>
          <w:szCs w:val="24"/>
        </w:rPr>
        <w:t>парадигме</w:t>
      </w:r>
      <w:r w:rsidR="006C680D" w:rsidRPr="00D337FA">
        <w:rPr>
          <w:szCs w:val="24"/>
        </w:rPr>
        <w:t xml:space="preserve"> </w:t>
      </w:r>
      <w:r w:rsidRPr="00D337FA">
        <w:rPr>
          <w:szCs w:val="24"/>
        </w:rPr>
        <w:t>конкурентное</w:t>
      </w:r>
      <w:r w:rsidR="006C680D" w:rsidRPr="00D337FA">
        <w:rPr>
          <w:szCs w:val="24"/>
        </w:rPr>
        <w:t xml:space="preserve"> </w:t>
      </w:r>
      <w:r w:rsidRPr="00D337FA">
        <w:rPr>
          <w:szCs w:val="24"/>
        </w:rPr>
        <w:t>преимущество</w:t>
      </w:r>
      <w:r w:rsidR="006C680D" w:rsidRPr="00D337FA">
        <w:rPr>
          <w:szCs w:val="24"/>
        </w:rPr>
        <w:t xml:space="preserve"> </w:t>
      </w:r>
      <w:r w:rsidRPr="00D337FA">
        <w:rPr>
          <w:szCs w:val="24"/>
        </w:rPr>
        <w:t>формируется</w:t>
      </w:r>
      <w:r w:rsidR="006C680D" w:rsidRPr="00D337FA">
        <w:rPr>
          <w:szCs w:val="24"/>
        </w:rPr>
        <w:t xml:space="preserve"> </w:t>
      </w:r>
      <w:r w:rsidRPr="00D337FA">
        <w:rPr>
          <w:szCs w:val="24"/>
        </w:rPr>
        <w:t>не</w:t>
      </w:r>
      <w:r w:rsidR="006C680D" w:rsidRPr="00D337FA">
        <w:rPr>
          <w:szCs w:val="24"/>
        </w:rPr>
        <w:t xml:space="preserve"> </w:t>
      </w:r>
      <w:r w:rsidRPr="00D337FA">
        <w:rPr>
          <w:szCs w:val="24"/>
        </w:rPr>
        <w:t>столько</w:t>
      </w:r>
      <w:r w:rsidR="006C680D" w:rsidRPr="00D337FA">
        <w:rPr>
          <w:szCs w:val="24"/>
        </w:rPr>
        <w:t xml:space="preserve"> </w:t>
      </w:r>
      <w:r w:rsidRPr="00D337FA">
        <w:rPr>
          <w:szCs w:val="24"/>
        </w:rPr>
        <w:t>под</w:t>
      </w:r>
      <w:r w:rsidR="006C680D" w:rsidRPr="00D337FA">
        <w:rPr>
          <w:szCs w:val="24"/>
        </w:rPr>
        <w:t xml:space="preserve"> </w:t>
      </w:r>
      <w:r w:rsidR="006E6F5F" w:rsidRPr="00D337FA">
        <w:rPr>
          <w:szCs w:val="24"/>
        </w:rPr>
        <w:t>влиянием</w:t>
      </w:r>
      <w:r w:rsidR="006C680D" w:rsidRPr="00D337FA">
        <w:rPr>
          <w:szCs w:val="24"/>
        </w:rPr>
        <w:t xml:space="preserve"> </w:t>
      </w:r>
      <w:r w:rsidRPr="00D337FA">
        <w:rPr>
          <w:szCs w:val="24"/>
        </w:rPr>
        <w:t>ценового</w:t>
      </w:r>
      <w:r w:rsidR="006C680D" w:rsidRPr="00D337FA">
        <w:rPr>
          <w:szCs w:val="24"/>
        </w:rPr>
        <w:t xml:space="preserve"> </w:t>
      </w:r>
      <w:r w:rsidRPr="00D337FA">
        <w:rPr>
          <w:szCs w:val="24"/>
        </w:rPr>
        <w:t>фактора</w:t>
      </w:r>
      <w:r w:rsidR="006C680D" w:rsidRPr="00D337FA">
        <w:rPr>
          <w:szCs w:val="24"/>
        </w:rPr>
        <w:t xml:space="preserve"> </w:t>
      </w:r>
      <w:r w:rsidRPr="00D337FA">
        <w:rPr>
          <w:szCs w:val="24"/>
        </w:rPr>
        <w:lastRenderedPageBreak/>
        <w:t>(стоимости</w:t>
      </w:r>
      <w:r w:rsidR="006C680D" w:rsidRPr="00D337FA">
        <w:rPr>
          <w:szCs w:val="24"/>
        </w:rPr>
        <w:t xml:space="preserve"> </w:t>
      </w:r>
      <w:r w:rsidRPr="00D337FA">
        <w:rPr>
          <w:szCs w:val="24"/>
        </w:rPr>
        <w:t>страхового</w:t>
      </w:r>
      <w:r w:rsidR="006C680D" w:rsidRPr="00D337FA">
        <w:rPr>
          <w:szCs w:val="24"/>
        </w:rPr>
        <w:t xml:space="preserve"> </w:t>
      </w:r>
      <w:r w:rsidRPr="00D337FA">
        <w:rPr>
          <w:szCs w:val="24"/>
        </w:rPr>
        <w:t>полиса),</w:t>
      </w:r>
      <w:r w:rsidR="006C680D" w:rsidRPr="00D337FA">
        <w:rPr>
          <w:szCs w:val="24"/>
        </w:rPr>
        <w:t xml:space="preserve"> </w:t>
      </w:r>
      <w:r w:rsidRPr="00D337FA">
        <w:rPr>
          <w:szCs w:val="24"/>
        </w:rPr>
        <w:t>сколько</w:t>
      </w:r>
      <w:r w:rsidR="006C680D" w:rsidRPr="00D337FA">
        <w:rPr>
          <w:szCs w:val="24"/>
        </w:rPr>
        <w:t xml:space="preserve"> </w:t>
      </w:r>
      <w:r w:rsidR="006E6F5F" w:rsidRPr="00D337FA">
        <w:rPr>
          <w:szCs w:val="24"/>
        </w:rPr>
        <w:t>детерминируется</w:t>
      </w:r>
      <w:r w:rsidR="006C680D" w:rsidRPr="00D337FA">
        <w:rPr>
          <w:szCs w:val="24"/>
        </w:rPr>
        <w:t xml:space="preserve"> </w:t>
      </w:r>
      <w:r w:rsidRPr="00D337FA">
        <w:rPr>
          <w:szCs w:val="24"/>
        </w:rPr>
        <w:t>ценностью</w:t>
      </w:r>
      <w:r w:rsidR="006C680D" w:rsidRPr="00D337FA">
        <w:rPr>
          <w:szCs w:val="24"/>
        </w:rPr>
        <w:t xml:space="preserve"> </w:t>
      </w:r>
      <w:r w:rsidRPr="00D337FA">
        <w:rPr>
          <w:szCs w:val="24"/>
        </w:rPr>
        <w:t>целостного,</w:t>
      </w:r>
      <w:r w:rsidR="006C680D" w:rsidRPr="00D337FA">
        <w:rPr>
          <w:szCs w:val="24"/>
        </w:rPr>
        <w:t xml:space="preserve"> </w:t>
      </w:r>
      <w:r w:rsidRPr="00D337FA">
        <w:rPr>
          <w:szCs w:val="24"/>
        </w:rPr>
        <w:t>предиктивного</w:t>
      </w:r>
      <w:r w:rsidR="006C680D" w:rsidRPr="00D337FA">
        <w:rPr>
          <w:szCs w:val="24"/>
        </w:rPr>
        <w:t xml:space="preserve"> </w:t>
      </w:r>
      <w:r w:rsidRPr="00D337FA">
        <w:rPr>
          <w:szCs w:val="24"/>
        </w:rPr>
        <w:t>и</w:t>
      </w:r>
      <w:r w:rsidR="006C680D" w:rsidRPr="00D337FA">
        <w:rPr>
          <w:szCs w:val="24"/>
        </w:rPr>
        <w:t xml:space="preserve"> </w:t>
      </w:r>
      <w:r w:rsidRPr="00D337FA">
        <w:rPr>
          <w:szCs w:val="24"/>
        </w:rPr>
        <w:t>протективного</w:t>
      </w:r>
      <w:r w:rsidR="006C680D" w:rsidRPr="00D337FA">
        <w:rPr>
          <w:szCs w:val="24"/>
        </w:rPr>
        <w:t xml:space="preserve"> </w:t>
      </w:r>
      <w:r w:rsidR="006E6F5F" w:rsidRPr="00D337FA">
        <w:rPr>
          <w:szCs w:val="24"/>
        </w:rPr>
        <w:t>пользовательского</w:t>
      </w:r>
      <w:r w:rsidR="006C680D" w:rsidRPr="00D337FA">
        <w:rPr>
          <w:szCs w:val="24"/>
        </w:rPr>
        <w:t xml:space="preserve"> </w:t>
      </w:r>
      <w:r w:rsidRPr="00D337FA">
        <w:rPr>
          <w:szCs w:val="24"/>
        </w:rPr>
        <w:t>опыта.</w:t>
      </w:r>
      <w:r w:rsidR="006C680D" w:rsidRPr="00D337FA">
        <w:rPr>
          <w:szCs w:val="24"/>
        </w:rPr>
        <w:t xml:space="preserve"> </w:t>
      </w:r>
      <w:r w:rsidRPr="00D337FA">
        <w:rPr>
          <w:szCs w:val="24"/>
        </w:rPr>
        <w:t>Репликация</w:t>
      </w:r>
      <w:r w:rsidR="006C680D" w:rsidRPr="00D337FA">
        <w:rPr>
          <w:szCs w:val="24"/>
        </w:rPr>
        <w:t xml:space="preserve"> </w:t>
      </w:r>
      <w:r w:rsidRPr="00D337FA">
        <w:rPr>
          <w:szCs w:val="24"/>
        </w:rPr>
        <w:t>подобного</w:t>
      </w:r>
      <w:r w:rsidR="006C680D" w:rsidRPr="00D337FA">
        <w:rPr>
          <w:szCs w:val="24"/>
        </w:rPr>
        <w:t xml:space="preserve"> </w:t>
      </w:r>
      <w:r w:rsidRPr="00D337FA">
        <w:rPr>
          <w:szCs w:val="24"/>
        </w:rPr>
        <w:t>преимущества</w:t>
      </w:r>
      <w:r w:rsidR="006C680D" w:rsidRPr="00D337FA">
        <w:rPr>
          <w:szCs w:val="24"/>
        </w:rPr>
        <w:t xml:space="preserve"> </w:t>
      </w:r>
      <w:r w:rsidRPr="00D337FA">
        <w:rPr>
          <w:szCs w:val="24"/>
        </w:rPr>
        <w:t>затруднена</w:t>
      </w:r>
      <w:r w:rsidR="006C680D" w:rsidRPr="00D337FA">
        <w:rPr>
          <w:szCs w:val="24"/>
        </w:rPr>
        <w:t xml:space="preserve"> </w:t>
      </w:r>
      <w:r w:rsidR="006E6F5F" w:rsidRPr="00D337FA">
        <w:rPr>
          <w:szCs w:val="24"/>
        </w:rPr>
        <w:t>ввиду</w:t>
      </w:r>
      <w:r w:rsidR="006C680D" w:rsidRPr="00D337FA">
        <w:rPr>
          <w:szCs w:val="24"/>
        </w:rPr>
        <w:t xml:space="preserve"> </w:t>
      </w:r>
      <w:r w:rsidRPr="00D337FA">
        <w:rPr>
          <w:szCs w:val="24"/>
        </w:rPr>
        <w:t>его</w:t>
      </w:r>
      <w:r w:rsidR="006C680D" w:rsidRPr="00D337FA">
        <w:rPr>
          <w:szCs w:val="24"/>
        </w:rPr>
        <w:t xml:space="preserve"> </w:t>
      </w:r>
      <w:r w:rsidRPr="00D337FA">
        <w:rPr>
          <w:szCs w:val="24"/>
        </w:rPr>
        <w:t>фундированности</w:t>
      </w:r>
      <w:r w:rsidR="006C680D" w:rsidRPr="00D337FA">
        <w:rPr>
          <w:szCs w:val="24"/>
        </w:rPr>
        <w:t xml:space="preserve"> </w:t>
      </w:r>
      <w:r w:rsidRPr="00D337FA">
        <w:rPr>
          <w:szCs w:val="24"/>
        </w:rPr>
        <w:t>глубокой</w:t>
      </w:r>
      <w:r w:rsidR="006C680D" w:rsidRPr="00D337FA">
        <w:rPr>
          <w:szCs w:val="24"/>
        </w:rPr>
        <w:t xml:space="preserve"> </w:t>
      </w:r>
      <w:r w:rsidRPr="00D337FA">
        <w:rPr>
          <w:szCs w:val="24"/>
        </w:rPr>
        <w:t>инкорпорированностью</w:t>
      </w:r>
      <w:r w:rsidR="006C680D" w:rsidRPr="00D337FA">
        <w:rPr>
          <w:szCs w:val="24"/>
        </w:rPr>
        <w:t xml:space="preserve"> </w:t>
      </w:r>
      <w:r w:rsidRPr="00D337FA">
        <w:rPr>
          <w:szCs w:val="24"/>
        </w:rPr>
        <w:t>в</w:t>
      </w:r>
      <w:r w:rsidR="006C680D" w:rsidRPr="00D337FA">
        <w:rPr>
          <w:szCs w:val="24"/>
        </w:rPr>
        <w:t xml:space="preserve"> </w:t>
      </w:r>
      <w:r w:rsidRPr="00D337FA">
        <w:rPr>
          <w:szCs w:val="24"/>
        </w:rPr>
        <w:t>экосистему</w:t>
      </w:r>
      <w:r w:rsidR="006C680D" w:rsidRPr="00D337FA">
        <w:rPr>
          <w:szCs w:val="24"/>
        </w:rPr>
        <w:t xml:space="preserve"> </w:t>
      </w:r>
      <w:r w:rsidRPr="00D337FA">
        <w:rPr>
          <w:szCs w:val="24"/>
        </w:rPr>
        <w:t>потребителя,</w:t>
      </w:r>
      <w:r w:rsidR="006C680D" w:rsidRPr="00D337FA">
        <w:rPr>
          <w:szCs w:val="24"/>
        </w:rPr>
        <w:t xml:space="preserve"> </w:t>
      </w:r>
      <w:r w:rsidRPr="00D337FA">
        <w:rPr>
          <w:szCs w:val="24"/>
        </w:rPr>
        <w:t>эксклюзивностью</w:t>
      </w:r>
      <w:r w:rsidR="006C680D" w:rsidRPr="00D337FA">
        <w:rPr>
          <w:szCs w:val="24"/>
        </w:rPr>
        <w:t xml:space="preserve"> </w:t>
      </w:r>
      <w:r w:rsidRPr="00D337FA">
        <w:rPr>
          <w:szCs w:val="24"/>
        </w:rPr>
        <w:t>аналитических</w:t>
      </w:r>
      <w:r w:rsidR="006C680D" w:rsidRPr="00D337FA">
        <w:rPr>
          <w:szCs w:val="24"/>
        </w:rPr>
        <w:t xml:space="preserve"> </w:t>
      </w:r>
      <w:r w:rsidRPr="00D337FA">
        <w:rPr>
          <w:szCs w:val="24"/>
        </w:rPr>
        <w:t>данных</w:t>
      </w:r>
      <w:r w:rsidR="006C680D" w:rsidRPr="00D337FA">
        <w:rPr>
          <w:szCs w:val="24"/>
        </w:rPr>
        <w:t xml:space="preserve"> </w:t>
      </w:r>
      <w:r w:rsidRPr="00D337FA">
        <w:rPr>
          <w:szCs w:val="24"/>
        </w:rPr>
        <w:t>и</w:t>
      </w:r>
      <w:r w:rsidR="006C680D" w:rsidRPr="00D337FA">
        <w:rPr>
          <w:szCs w:val="24"/>
        </w:rPr>
        <w:t xml:space="preserve"> </w:t>
      </w:r>
      <w:r w:rsidRPr="00D337FA">
        <w:rPr>
          <w:szCs w:val="24"/>
        </w:rPr>
        <w:t>уникальностью</w:t>
      </w:r>
      <w:r w:rsidR="006C680D" w:rsidRPr="00D337FA">
        <w:rPr>
          <w:szCs w:val="24"/>
        </w:rPr>
        <w:t xml:space="preserve"> </w:t>
      </w:r>
      <w:r w:rsidRPr="00D337FA">
        <w:rPr>
          <w:szCs w:val="24"/>
        </w:rPr>
        <w:t>применяемых</w:t>
      </w:r>
      <w:r w:rsidR="006C680D" w:rsidRPr="00D337FA">
        <w:rPr>
          <w:szCs w:val="24"/>
        </w:rPr>
        <w:t xml:space="preserve"> </w:t>
      </w:r>
      <w:r w:rsidRPr="00D337FA">
        <w:rPr>
          <w:szCs w:val="24"/>
        </w:rPr>
        <w:t>AI-моделей.</w:t>
      </w:r>
    </w:p>
    <w:p w:rsidR="006E4221" w:rsidRPr="00D337FA" w:rsidRDefault="00B91B4B" w:rsidP="00B91B4B">
      <w:pPr>
        <w:ind w:firstLine="284"/>
      </w:pPr>
      <w:r w:rsidRPr="00D337FA">
        <w:rPr>
          <w:szCs w:val="24"/>
        </w:rPr>
        <w:t>Стратегия</w:t>
      </w:r>
      <w:r w:rsidR="006C680D" w:rsidRPr="00D337FA">
        <w:rPr>
          <w:szCs w:val="24"/>
        </w:rPr>
        <w:t xml:space="preserve"> </w:t>
      </w:r>
      <w:r w:rsidRPr="00D337FA">
        <w:rPr>
          <w:szCs w:val="24"/>
        </w:rPr>
        <w:t>управления</w:t>
      </w:r>
      <w:r w:rsidR="006C680D" w:rsidRPr="00D337FA">
        <w:rPr>
          <w:szCs w:val="24"/>
        </w:rPr>
        <w:t xml:space="preserve"> </w:t>
      </w:r>
      <w:r w:rsidRPr="00D337FA">
        <w:rPr>
          <w:szCs w:val="24"/>
        </w:rPr>
        <w:t>процессом</w:t>
      </w:r>
      <w:r w:rsidR="006C680D" w:rsidRPr="00D337FA">
        <w:rPr>
          <w:szCs w:val="24"/>
        </w:rPr>
        <w:t xml:space="preserve"> </w:t>
      </w:r>
      <w:r w:rsidRPr="00D337FA">
        <w:rPr>
          <w:szCs w:val="24"/>
        </w:rPr>
        <w:t>формирования</w:t>
      </w:r>
      <w:r w:rsidR="006C680D" w:rsidRPr="00D337FA">
        <w:rPr>
          <w:szCs w:val="24"/>
        </w:rPr>
        <w:t xml:space="preserve"> </w:t>
      </w:r>
      <w:r w:rsidRPr="00D337FA">
        <w:rPr>
          <w:szCs w:val="24"/>
        </w:rPr>
        <w:t>конкурентных</w:t>
      </w:r>
      <w:r w:rsidR="006C680D" w:rsidRPr="00D337FA">
        <w:rPr>
          <w:szCs w:val="24"/>
        </w:rPr>
        <w:t xml:space="preserve"> </w:t>
      </w:r>
      <w:r w:rsidRPr="00D337FA">
        <w:rPr>
          <w:szCs w:val="24"/>
        </w:rPr>
        <w:t>преимуществ</w:t>
      </w:r>
      <w:r w:rsidR="006C680D" w:rsidRPr="00D337FA">
        <w:rPr>
          <w:szCs w:val="24"/>
        </w:rPr>
        <w:t xml:space="preserve"> </w:t>
      </w:r>
      <w:r w:rsidRPr="00D337FA">
        <w:rPr>
          <w:szCs w:val="24"/>
        </w:rPr>
        <w:t>на</w:t>
      </w:r>
      <w:r w:rsidR="006C680D" w:rsidRPr="00D337FA">
        <w:rPr>
          <w:szCs w:val="24"/>
        </w:rPr>
        <w:t xml:space="preserve"> </w:t>
      </w:r>
      <w:r w:rsidRPr="00D337FA">
        <w:rPr>
          <w:szCs w:val="24"/>
        </w:rPr>
        <w:t>рынке</w:t>
      </w:r>
      <w:r w:rsidR="006C680D" w:rsidRPr="00D337FA">
        <w:rPr>
          <w:szCs w:val="24"/>
        </w:rPr>
        <w:t xml:space="preserve"> </w:t>
      </w:r>
      <w:r w:rsidRPr="00D337FA">
        <w:rPr>
          <w:szCs w:val="24"/>
        </w:rPr>
        <w:t>страховых</w:t>
      </w:r>
      <w:r w:rsidR="006C680D" w:rsidRPr="00D337FA">
        <w:rPr>
          <w:szCs w:val="24"/>
        </w:rPr>
        <w:t xml:space="preserve"> </w:t>
      </w:r>
      <w:r w:rsidRPr="00D337FA">
        <w:rPr>
          <w:szCs w:val="24"/>
        </w:rPr>
        <w:t>услуг</w:t>
      </w:r>
      <w:r w:rsidR="006C680D" w:rsidRPr="00D337FA">
        <w:rPr>
          <w:szCs w:val="24"/>
        </w:rPr>
        <w:t xml:space="preserve"> </w:t>
      </w:r>
      <w:r w:rsidRPr="00D337FA">
        <w:rPr>
          <w:szCs w:val="24"/>
        </w:rPr>
        <w:t>представляет</w:t>
      </w:r>
      <w:r w:rsidR="006C680D" w:rsidRPr="00D337FA">
        <w:rPr>
          <w:szCs w:val="24"/>
        </w:rPr>
        <w:t xml:space="preserve"> </w:t>
      </w:r>
      <w:r w:rsidRPr="00D337FA">
        <w:rPr>
          <w:szCs w:val="24"/>
        </w:rPr>
        <w:t>собой</w:t>
      </w:r>
      <w:r w:rsidR="006C680D" w:rsidRPr="00D337FA">
        <w:rPr>
          <w:szCs w:val="24"/>
        </w:rPr>
        <w:t xml:space="preserve"> </w:t>
      </w:r>
      <w:r w:rsidR="006E6F5F" w:rsidRPr="00D337FA">
        <w:rPr>
          <w:szCs w:val="24"/>
        </w:rPr>
        <w:t>высокоэффективный</w:t>
      </w:r>
      <w:r w:rsidR="006C680D" w:rsidRPr="00D337FA">
        <w:rPr>
          <w:szCs w:val="24"/>
        </w:rPr>
        <w:t xml:space="preserve"> </w:t>
      </w:r>
      <w:r w:rsidRPr="00D337FA">
        <w:rPr>
          <w:szCs w:val="24"/>
        </w:rPr>
        <w:t>инвестиционный</w:t>
      </w:r>
      <w:r w:rsidR="006C680D" w:rsidRPr="00D337FA">
        <w:rPr>
          <w:szCs w:val="24"/>
        </w:rPr>
        <w:t xml:space="preserve"> </w:t>
      </w:r>
      <w:r w:rsidRPr="00D337FA">
        <w:rPr>
          <w:szCs w:val="24"/>
        </w:rPr>
        <w:t>актив,</w:t>
      </w:r>
      <w:r w:rsidR="006C680D" w:rsidRPr="00D337FA">
        <w:rPr>
          <w:szCs w:val="24"/>
        </w:rPr>
        <w:t xml:space="preserve"> </w:t>
      </w:r>
      <w:r w:rsidRPr="00D337FA">
        <w:rPr>
          <w:szCs w:val="24"/>
        </w:rPr>
        <w:t>ориентированный</w:t>
      </w:r>
      <w:r w:rsidR="006C680D" w:rsidRPr="00D337FA">
        <w:rPr>
          <w:szCs w:val="24"/>
        </w:rPr>
        <w:t xml:space="preserve"> </w:t>
      </w:r>
      <w:r w:rsidRPr="00D337FA">
        <w:rPr>
          <w:szCs w:val="24"/>
        </w:rPr>
        <w:t>на</w:t>
      </w:r>
      <w:r w:rsidR="006C680D" w:rsidRPr="00D337FA">
        <w:rPr>
          <w:szCs w:val="24"/>
        </w:rPr>
        <w:t xml:space="preserve"> </w:t>
      </w:r>
      <w:r w:rsidRPr="00D337FA">
        <w:rPr>
          <w:szCs w:val="24"/>
        </w:rPr>
        <w:t>долгосрочную</w:t>
      </w:r>
      <w:r w:rsidR="006C680D" w:rsidRPr="00D337FA">
        <w:rPr>
          <w:szCs w:val="24"/>
        </w:rPr>
        <w:t xml:space="preserve"> </w:t>
      </w:r>
      <w:r w:rsidR="006E6F5F" w:rsidRPr="00D337FA">
        <w:rPr>
          <w:szCs w:val="24"/>
        </w:rPr>
        <w:t>перспективу</w:t>
      </w:r>
      <w:r w:rsidR="006C680D" w:rsidRPr="00D337FA">
        <w:rPr>
          <w:szCs w:val="24"/>
        </w:rPr>
        <w:t xml:space="preserve"> </w:t>
      </w:r>
      <w:r w:rsidRPr="00D337FA">
        <w:rPr>
          <w:szCs w:val="24"/>
        </w:rPr>
        <w:t>развития</w:t>
      </w:r>
      <w:r w:rsidR="006C680D" w:rsidRPr="00D337FA">
        <w:rPr>
          <w:szCs w:val="24"/>
        </w:rPr>
        <w:t xml:space="preserve"> </w:t>
      </w:r>
      <w:r w:rsidRPr="00D337FA">
        <w:rPr>
          <w:szCs w:val="24"/>
        </w:rPr>
        <w:t>страховщика.</w:t>
      </w:r>
      <w:r w:rsidR="006C680D" w:rsidRPr="00D337FA">
        <w:rPr>
          <w:szCs w:val="24"/>
        </w:rPr>
        <w:t xml:space="preserve"> </w:t>
      </w:r>
      <w:r w:rsidRPr="00D337FA">
        <w:rPr>
          <w:szCs w:val="24"/>
        </w:rPr>
        <w:t>Адекватная</w:t>
      </w:r>
      <w:r w:rsidR="006C680D" w:rsidRPr="00D337FA">
        <w:rPr>
          <w:szCs w:val="24"/>
        </w:rPr>
        <w:t xml:space="preserve"> </w:t>
      </w:r>
      <w:r w:rsidRPr="00D337FA">
        <w:rPr>
          <w:szCs w:val="24"/>
        </w:rPr>
        <w:t>имплементация</w:t>
      </w:r>
      <w:r w:rsidR="006C680D" w:rsidRPr="00D337FA">
        <w:rPr>
          <w:szCs w:val="24"/>
        </w:rPr>
        <w:t xml:space="preserve"> </w:t>
      </w:r>
      <w:r w:rsidRPr="00D337FA">
        <w:rPr>
          <w:szCs w:val="24"/>
        </w:rPr>
        <w:t>данной</w:t>
      </w:r>
      <w:r w:rsidR="006C680D" w:rsidRPr="00D337FA">
        <w:rPr>
          <w:szCs w:val="24"/>
        </w:rPr>
        <w:t xml:space="preserve"> </w:t>
      </w:r>
      <w:r w:rsidR="006E6F5F" w:rsidRPr="00D337FA">
        <w:rPr>
          <w:szCs w:val="24"/>
        </w:rPr>
        <w:t>стратегии</w:t>
      </w:r>
      <w:r w:rsidR="006C680D" w:rsidRPr="00D337FA">
        <w:rPr>
          <w:szCs w:val="24"/>
        </w:rPr>
        <w:t xml:space="preserve"> </w:t>
      </w:r>
      <w:r w:rsidRPr="00D337FA">
        <w:rPr>
          <w:szCs w:val="24"/>
        </w:rPr>
        <w:t>обеспечивает</w:t>
      </w:r>
      <w:r w:rsidR="006C680D" w:rsidRPr="00D337FA">
        <w:rPr>
          <w:szCs w:val="24"/>
        </w:rPr>
        <w:t xml:space="preserve"> </w:t>
      </w:r>
      <w:r w:rsidRPr="00D337FA">
        <w:rPr>
          <w:szCs w:val="24"/>
        </w:rPr>
        <w:t>не</w:t>
      </w:r>
      <w:r w:rsidR="006C680D" w:rsidRPr="00D337FA">
        <w:rPr>
          <w:szCs w:val="24"/>
        </w:rPr>
        <w:t xml:space="preserve"> </w:t>
      </w:r>
      <w:r w:rsidRPr="00D337FA">
        <w:rPr>
          <w:szCs w:val="24"/>
        </w:rPr>
        <w:t>только</w:t>
      </w:r>
      <w:r w:rsidR="006C680D" w:rsidRPr="00D337FA">
        <w:rPr>
          <w:szCs w:val="24"/>
        </w:rPr>
        <w:t xml:space="preserve"> </w:t>
      </w:r>
      <w:r w:rsidRPr="00D337FA">
        <w:rPr>
          <w:szCs w:val="24"/>
        </w:rPr>
        <w:t>позитивную</w:t>
      </w:r>
      <w:r w:rsidR="006C680D" w:rsidRPr="00D337FA">
        <w:rPr>
          <w:szCs w:val="24"/>
        </w:rPr>
        <w:t xml:space="preserve"> </w:t>
      </w:r>
      <w:r w:rsidRPr="00D337FA">
        <w:rPr>
          <w:szCs w:val="24"/>
        </w:rPr>
        <w:t>динамику</w:t>
      </w:r>
      <w:r w:rsidR="006C680D" w:rsidRPr="00D337FA">
        <w:rPr>
          <w:szCs w:val="24"/>
        </w:rPr>
        <w:t xml:space="preserve"> </w:t>
      </w:r>
      <w:r w:rsidRPr="00D337FA">
        <w:rPr>
          <w:szCs w:val="24"/>
        </w:rPr>
        <w:t>текущих</w:t>
      </w:r>
      <w:r w:rsidR="006C680D" w:rsidRPr="00D337FA">
        <w:rPr>
          <w:szCs w:val="24"/>
        </w:rPr>
        <w:t xml:space="preserve"> </w:t>
      </w:r>
      <w:r w:rsidRPr="00D337FA">
        <w:rPr>
          <w:szCs w:val="24"/>
        </w:rPr>
        <w:t>финансовых</w:t>
      </w:r>
      <w:r w:rsidR="006C680D" w:rsidRPr="00D337FA">
        <w:rPr>
          <w:szCs w:val="24"/>
        </w:rPr>
        <w:t xml:space="preserve"> </w:t>
      </w:r>
      <w:r w:rsidRPr="00D337FA">
        <w:rPr>
          <w:szCs w:val="24"/>
        </w:rPr>
        <w:t>метрик,</w:t>
      </w:r>
      <w:r w:rsidR="006C680D" w:rsidRPr="00D337FA">
        <w:rPr>
          <w:szCs w:val="24"/>
        </w:rPr>
        <w:t xml:space="preserve"> </w:t>
      </w:r>
      <w:r w:rsidRPr="00D337FA">
        <w:rPr>
          <w:szCs w:val="24"/>
        </w:rPr>
        <w:t>но</w:t>
      </w:r>
      <w:r w:rsidR="006C680D" w:rsidRPr="00D337FA">
        <w:rPr>
          <w:szCs w:val="24"/>
        </w:rPr>
        <w:t xml:space="preserve"> </w:t>
      </w:r>
      <w:r w:rsidRPr="00D337FA">
        <w:rPr>
          <w:szCs w:val="24"/>
        </w:rPr>
        <w:t>и</w:t>
      </w:r>
      <w:r w:rsidR="006C680D" w:rsidRPr="00D337FA">
        <w:rPr>
          <w:szCs w:val="24"/>
        </w:rPr>
        <w:t xml:space="preserve"> </w:t>
      </w:r>
      <w:r w:rsidRPr="00D337FA">
        <w:rPr>
          <w:szCs w:val="24"/>
        </w:rPr>
        <w:t>формирует</w:t>
      </w:r>
      <w:r w:rsidR="006C680D" w:rsidRPr="00D337FA">
        <w:rPr>
          <w:szCs w:val="24"/>
        </w:rPr>
        <w:t xml:space="preserve"> </w:t>
      </w:r>
      <w:r w:rsidRPr="00D337FA">
        <w:rPr>
          <w:szCs w:val="24"/>
        </w:rPr>
        <w:t>фундаментальную</w:t>
      </w:r>
      <w:r w:rsidR="006C680D" w:rsidRPr="00D337FA">
        <w:rPr>
          <w:szCs w:val="24"/>
        </w:rPr>
        <w:t xml:space="preserve"> </w:t>
      </w:r>
      <w:r w:rsidRPr="00D337FA">
        <w:rPr>
          <w:szCs w:val="24"/>
        </w:rPr>
        <w:t>базу</w:t>
      </w:r>
      <w:r w:rsidR="006C680D" w:rsidRPr="00D337FA">
        <w:rPr>
          <w:szCs w:val="24"/>
        </w:rPr>
        <w:t xml:space="preserve"> </w:t>
      </w:r>
      <w:r w:rsidRPr="00D337FA">
        <w:rPr>
          <w:szCs w:val="24"/>
        </w:rPr>
        <w:t>для</w:t>
      </w:r>
      <w:r w:rsidR="006C680D" w:rsidRPr="00D337FA">
        <w:rPr>
          <w:szCs w:val="24"/>
        </w:rPr>
        <w:t xml:space="preserve"> </w:t>
      </w:r>
      <w:r w:rsidRPr="00D337FA">
        <w:rPr>
          <w:szCs w:val="24"/>
        </w:rPr>
        <w:t>устойчивого</w:t>
      </w:r>
      <w:r w:rsidR="006C680D" w:rsidRPr="00D337FA">
        <w:rPr>
          <w:szCs w:val="24"/>
        </w:rPr>
        <w:t xml:space="preserve"> </w:t>
      </w:r>
      <w:r w:rsidR="006E6F5F" w:rsidRPr="00D337FA">
        <w:rPr>
          <w:szCs w:val="24"/>
        </w:rPr>
        <w:t>лидерства</w:t>
      </w:r>
      <w:r w:rsidR="006C680D" w:rsidRPr="00D337FA">
        <w:rPr>
          <w:szCs w:val="24"/>
        </w:rPr>
        <w:t xml:space="preserve"> </w:t>
      </w:r>
      <w:r w:rsidRPr="00D337FA">
        <w:rPr>
          <w:szCs w:val="24"/>
        </w:rPr>
        <w:t>в</w:t>
      </w:r>
      <w:r w:rsidR="006C680D" w:rsidRPr="00D337FA">
        <w:rPr>
          <w:szCs w:val="24"/>
        </w:rPr>
        <w:t xml:space="preserve"> </w:t>
      </w:r>
      <w:r w:rsidRPr="00D337FA">
        <w:rPr>
          <w:szCs w:val="24"/>
        </w:rPr>
        <w:t>условиях</w:t>
      </w:r>
      <w:r w:rsidR="006C680D" w:rsidRPr="00D337FA">
        <w:rPr>
          <w:szCs w:val="24"/>
        </w:rPr>
        <w:t xml:space="preserve"> </w:t>
      </w:r>
      <w:r w:rsidRPr="00D337FA">
        <w:rPr>
          <w:szCs w:val="24"/>
        </w:rPr>
        <w:t>трансформации</w:t>
      </w:r>
      <w:r w:rsidR="006C680D" w:rsidRPr="00D337FA">
        <w:rPr>
          <w:szCs w:val="24"/>
        </w:rPr>
        <w:t xml:space="preserve"> </w:t>
      </w:r>
      <w:r w:rsidRPr="00D337FA">
        <w:rPr>
          <w:szCs w:val="24"/>
        </w:rPr>
        <w:t>рыночного</w:t>
      </w:r>
      <w:r w:rsidR="006C680D" w:rsidRPr="00D337FA">
        <w:rPr>
          <w:szCs w:val="24"/>
        </w:rPr>
        <w:t xml:space="preserve"> </w:t>
      </w:r>
      <w:r w:rsidRPr="00D337FA">
        <w:rPr>
          <w:szCs w:val="24"/>
        </w:rPr>
        <w:t>ландшафта</w:t>
      </w:r>
      <w:r w:rsidR="006C680D" w:rsidRPr="00D337FA">
        <w:rPr>
          <w:szCs w:val="24"/>
        </w:rPr>
        <w:t xml:space="preserve"> </w:t>
      </w:r>
      <w:r w:rsidRPr="00D337FA">
        <w:rPr>
          <w:szCs w:val="24"/>
        </w:rPr>
        <w:t>страховой</w:t>
      </w:r>
      <w:r w:rsidR="006C680D" w:rsidRPr="00D337FA">
        <w:rPr>
          <w:szCs w:val="24"/>
        </w:rPr>
        <w:t xml:space="preserve"> </w:t>
      </w:r>
      <w:r w:rsidRPr="00D337FA">
        <w:rPr>
          <w:szCs w:val="24"/>
        </w:rPr>
        <w:t>отрасли.</w:t>
      </w:r>
      <w:r w:rsidR="006C680D" w:rsidRPr="00D337FA">
        <w:t xml:space="preserve"> </w:t>
      </w:r>
    </w:p>
    <w:p w:rsidR="00230516" w:rsidRPr="00D337FA" w:rsidRDefault="00230516" w:rsidP="00847021">
      <w:pPr>
        <w:ind w:firstLine="142"/>
        <w:rPr>
          <w:i/>
          <w:szCs w:val="24"/>
        </w:rPr>
      </w:pPr>
    </w:p>
    <w:p w:rsidR="009E51BB" w:rsidRPr="00D337FA" w:rsidRDefault="009E51BB" w:rsidP="00847021">
      <w:pPr>
        <w:ind w:firstLine="142"/>
        <w:rPr>
          <w:i/>
          <w:szCs w:val="24"/>
        </w:rPr>
        <w:sectPr w:rsidR="009E51BB" w:rsidRPr="00D337FA" w:rsidSect="009E51BB">
          <w:footnotePr>
            <w:numRestart w:val="eachPage"/>
          </w:footnotePr>
          <w:type w:val="continuous"/>
          <w:pgSz w:w="11907" w:h="16840" w:code="9"/>
          <w:pgMar w:top="1418" w:right="1134" w:bottom="1418" w:left="1134" w:header="1021" w:footer="1021" w:gutter="0"/>
          <w:cols w:num="2" w:space="708"/>
          <w:docGrid w:linePitch="360"/>
        </w:sectPr>
      </w:pPr>
    </w:p>
    <w:p w:rsidR="004577D3" w:rsidRDefault="004577D3" w:rsidP="00A86B27">
      <w:pPr>
        <w:ind w:firstLine="142"/>
        <w:jc w:val="center"/>
        <w:rPr>
          <w:b/>
          <w:szCs w:val="24"/>
        </w:rPr>
      </w:pPr>
    </w:p>
    <w:p w:rsidR="009E51BB" w:rsidRPr="00D337FA" w:rsidRDefault="009E51BB" w:rsidP="00A86B27">
      <w:pPr>
        <w:ind w:firstLine="142"/>
        <w:jc w:val="center"/>
        <w:rPr>
          <w:b/>
          <w:szCs w:val="24"/>
        </w:rPr>
      </w:pPr>
      <w:r w:rsidRPr="00D337FA">
        <w:rPr>
          <w:b/>
          <w:szCs w:val="24"/>
        </w:rPr>
        <w:t>ЛИТЕРАТУР</w:t>
      </w:r>
      <w:r w:rsidR="00A86B27" w:rsidRPr="00D337FA">
        <w:rPr>
          <w:b/>
          <w:szCs w:val="24"/>
        </w:rPr>
        <w:t>А</w:t>
      </w:r>
    </w:p>
    <w:p w:rsidR="00B91B4B" w:rsidRPr="00D337FA" w:rsidRDefault="009E51BB" w:rsidP="00B91B4B">
      <w:pPr>
        <w:ind w:firstLine="284"/>
        <w:rPr>
          <w:i/>
          <w:szCs w:val="24"/>
        </w:rPr>
      </w:pPr>
      <w:r w:rsidRPr="00D337FA">
        <w:rPr>
          <w:i/>
          <w:szCs w:val="24"/>
        </w:rPr>
        <w:t>1.</w:t>
      </w:r>
      <w:r w:rsidRPr="00D337FA">
        <w:rPr>
          <w:i/>
          <w:szCs w:val="24"/>
        </w:rPr>
        <w:tab/>
      </w:r>
      <w:r w:rsidR="00B91B4B" w:rsidRPr="00D337FA">
        <w:rPr>
          <w:i/>
          <w:szCs w:val="24"/>
        </w:rPr>
        <w:t>Портер</w:t>
      </w:r>
      <w:r w:rsidR="006C680D" w:rsidRPr="00D337FA">
        <w:rPr>
          <w:i/>
          <w:szCs w:val="24"/>
        </w:rPr>
        <w:t xml:space="preserve"> </w:t>
      </w:r>
      <w:r w:rsidR="00B91B4B" w:rsidRPr="00D337FA">
        <w:rPr>
          <w:i/>
          <w:szCs w:val="24"/>
        </w:rPr>
        <w:t>М.</w:t>
      </w:r>
      <w:r w:rsidR="006C680D" w:rsidRPr="00D337FA">
        <w:rPr>
          <w:i/>
          <w:szCs w:val="24"/>
        </w:rPr>
        <w:t xml:space="preserve"> </w:t>
      </w:r>
      <w:r w:rsidR="00B91B4B" w:rsidRPr="00D337FA">
        <w:rPr>
          <w:i/>
          <w:szCs w:val="24"/>
        </w:rPr>
        <w:t>Конкурентное</w:t>
      </w:r>
      <w:r w:rsidR="006C680D" w:rsidRPr="00D337FA">
        <w:rPr>
          <w:i/>
          <w:szCs w:val="24"/>
        </w:rPr>
        <w:t xml:space="preserve"> </w:t>
      </w:r>
      <w:r w:rsidR="00B91B4B" w:rsidRPr="00D337FA">
        <w:rPr>
          <w:i/>
          <w:szCs w:val="24"/>
        </w:rPr>
        <w:t>преимущество:</w:t>
      </w:r>
      <w:r w:rsidR="006C680D" w:rsidRPr="00D337FA">
        <w:rPr>
          <w:i/>
          <w:szCs w:val="24"/>
        </w:rPr>
        <w:t xml:space="preserve"> </w:t>
      </w:r>
      <w:r w:rsidR="00B91B4B" w:rsidRPr="00D337FA">
        <w:rPr>
          <w:i/>
          <w:szCs w:val="24"/>
        </w:rPr>
        <w:t>Как</w:t>
      </w:r>
      <w:r w:rsidR="006C680D" w:rsidRPr="00D337FA">
        <w:rPr>
          <w:i/>
          <w:szCs w:val="24"/>
        </w:rPr>
        <w:t xml:space="preserve"> </w:t>
      </w:r>
      <w:r w:rsidR="00B91B4B" w:rsidRPr="00D337FA">
        <w:rPr>
          <w:i/>
          <w:szCs w:val="24"/>
        </w:rPr>
        <w:t>достичь</w:t>
      </w:r>
      <w:r w:rsidR="006C680D" w:rsidRPr="00D337FA">
        <w:rPr>
          <w:i/>
          <w:szCs w:val="24"/>
        </w:rPr>
        <w:t xml:space="preserve"> </w:t>
      </w:r>
      <w:r w:rsidR="00B91B4B" w:rsidRPr="00D337FA">
        <w:rPr>
          <w:i/>
          <w:szCs w:val="24"/>
        </w:rPr>
        <w:t>высоког</w:t>
      </w:r>
      <w:r w:rsidR="005411F4" w:rsidRPr="00D337FA">
        <w:rPr>
          <w:i/>
          <w:szCs w:val="24"/>
        </w:rPr>
        <w:t>о</w:t>
      </w:r>
      <w:r w:rsidR="006C680D" w:rsidRPr="00D337FA">
        <w:rPr>
          <w:i/>
          <w:szCs w:val="24"/>
        </w:rPr>
        <w:t xml:space="preserve"> </w:t>
      </w:r>
      <w:r w:rsidR="005411F4" w:rsidRPr="00D337FA">
        <w:rPr>
          <w:i/>
          <w:szCs w:val="24"/>
        </w:rPr>
        <w:t>результата</w:t>
      </w:r>
      <w:r w:rsidR="006C680D" w:rsidRPr="00D337FA">
        <w:rPr>
          <w:i/>
          <w:szCs w:val="24"/>
        </w:rPr>
        <w:t xml:space="preserve"> </w:t>
      </w:r>
      <w:r w:rsidR="005411F4" w:rsidRPr="00D337FA">
        <w:rPr>
          <w:i/>
          <w:szCs w:val="24"/>
        </w:rPr>
        <w:t>и</w:t>
      </w:r>
      <w:r w:rsidR="006C680D" w:rsidRPr="00D337FA">
        <w:rPr>
          <w:i/>
          <w:szCs w:val="24"/>
        </w:rPr>
        <w:t xml:space="preserve"> </w:t>
      </w:r>
      <w:r w:rsidR="005411F4" w:rsidRPr="00D337FA">
        <w:rPr>
          <w:i/>
          <w:szCs w:val="24"/>
        </w:rPr>
        <w:t>обес</w:t>
      </w:r>
      <w:r w:rsidR="00B91B4B" w:rsidRPr="00D337FA">
        <w:rPr>
          <w:i/>
          <w:szCs w:val="24"/>
        </w:rPr>
        <w:t>печить</w:t>
      </w:r>
      <w:r w:rsidR="006C680D" w:rsidRPr="00D337FA">
        <w:rPr>
          <w:i/>
          <w:szCs w:val="24"/>
        </w:rPr>
        <w:t xml:space="preserve"> </w:t>
      </w:r>
      <w:r w:rsidR="00B91B4B" w:rsidRPr="00D337FA">
        <w:rPr>
          <w:i/>
          <w:szCs w:val="24"/>
        </w:rPr>
        <w:t>его</w:t>
      </w:r>
      <w:r w:rsidR="006C680D" w:rsidRPr="00D337FA">
        <w:rPr>
          <w:i/>
          <w:szCs w:val="24"/>
        </w:rPr>
        <w:t xml:space="preserve"> </w:t>
      </w:r>
      <w:r w:rsidR="00B91B4B" w:rsidRPr="00D337FA">
        <w:rPr>
          <w:i/>
          <w:szCs w:val="24"/>
        </w:rPr>
        <w:t>устойчивость</w:t>
      </w:r>
      <w:r w:rsidR="006E6F5F" w:rsidRPr="00D337FA">
        <w:rPr>
          <w:i/>
          <w:szCs w:val="24"/>
        </w:rPr>
        <w:t>.</w:t>
      </w:r>
      <w:r w:rsidR="006C680D" w:rsidRPr="00D337FA">
        <w:rPr>
          <w:i/>
          <w:szCs w:val="24"/>
        </w:rPr>
        <w:t xml:space="preserve"> </w:t>
      </w:r>
      <w:r w:rsidR="006E6F5F" w:rsidRPr="00D337FA">
        <w:rPr>
          <w:i/>
          <w:szCs w:val="24"/>
        </w:rPr>
        <w:t>–</w:t>
      </w:r>
      <w:r w:rsidR="006C680D" w:rsidRPr="00D337FA">
        <w:rPr>
          <w:i/>
          <w:szCs w:val="24"/>
        </w:rPr>
        <w:t xml:space="preserve"> </w:t>
      </w:r>
      <w:r w:rsidR="00B91B4B" w:rsidRPr="00D337FA">
        <w:rPr>
          <w:i/>
          <w:szCs w:val="24"/>
        </w:rPr>
        <w:t>М.:</w:t>
      </w:r>
      <w:r w:rsidR="006C680D" w:rsidRPr="00D337FA">
        <w:rPr>
          <w:i/>
          <w:szCs w:val="24"/>
        </w:rPr>
        <w:t xml:space="preserve"> </w:t>
      </w:r>
      <w:r w:rsidR="00B91B4B" w:rsidRPr="00D337FA">
        <w:rPr>
          <w:i/>
          <w:szCs w:val="24"/>
        </w:rPr>
        <w:t>Альпина</w:t>
      </w:r>
      <w:r w:rsidR="006C680D" w:rsidRPr="00D337FA">
        <w:rPr>
          <w:i/>
          <w:szCs w:val="24"/>
        </w:rPr>
        <w:t xml:space="preserve"> </w:t>
      </w:r>
      <w:r w:rsidR="00B91B4B" w:rsidRPr="00D337FA">
        <w:rPr>
          <w:i/>
          <w:szCs w:val="24"/>
        </w:rPr>
        <w:t>Паблишер,</w:t>
      </w:r>
      <w:r w:rsidR="006C680D" w:rsidRPr="00D337FA">
        <w:rPr>
          <w:i/>
          <w:szCs w:val="24"/>
        </w:rPr>
        <w:t xml:space="preserve"> </w:t>
      </w:r>
      <w:r w:rsidR="00B91B4B" w:rsidRPr="00D337FA">
        <w:rPr>
          <w:i/>
          <w:szCs w:val="24"/>
        </w:rPr>
        <w:t>2008.</w:t>
      </w:r>
      <w:r w:rsidR="006C680D" w:rsidRPr="00D337FA">
        <w:rPr>
          <w:i/>
          <w:szCs w:val="24"/>
        </w:rPr>
        <w:t xml:space="preserve"> </w:t>
      </w:r>
      <w:r w:rsidR="00B91B4B" w:rsidRPr="00D337FA">
        <w:rPr>
          <w:i/>
          <w:szCs w:val="24"/>
        </w:rPr>
        <w:t>720</w:t>
      </w:r>
      <w:r w:rsidR="006C680D" w:rsidRPr="00D337FA">
        <w:rPr>
          <w:i/>
          <w:szCs w:val="24"/>
        </w:rPr>
        <w:t xml:space="preserve"> </w:t>
      </w:r>
      <w:r w:rsidR="00B91B4B" w:rsidRPr="00D337FA">
        <w:rPr>
          <w:i/>
          <w:szCs w:val="24"/>
        </w:rPr>
        <w:t>с.</w:t>
      </w:r>
    </w:p>
    <w:p w:rsidR="00B91B4B" w:rsidRPr="00D337FA" w:rsidRDefault="00B91B4B" w:rsidP="00B91B4B">
      <w:pPr>
        <w:ind w:firstLine="284"/>
        <w:rPr>
          <w:i/>
          <w:szCs w:val="24"/>
        </w:rPr>
      </w:pPr>
      <w:r w:rsidRPr="00D337FA">
        <w:rPr>
          <w:i/>
          <w:szCs w:val="24"/>
        </w:rPr>
        <w:t>2.</w:t>
      </w:r>
      <w:r w:rsidRPr="00D337FA">
        <w:rPr>
          <w:i/>
          <w:szCs w:val="24"/>
        </w:rPr>
        <w:tab/>
        <w:t>Барни</w:t>
      </w:r>
      <w:r w:rsidR="006C680D" w:rsidRPr="00D337FA">
        <w:rPr>
          <w:i/>
          <w:szCs w:val="24"/>
        </w:rPr>
        <w:t xml:space="preserve"> </w:t>
      </w:r>
      <w:r w:rsidRPr="00D337FA">
        <w:rPr>
          <w:i/>
          <w:szCs w:val="24"/>
        </w:rPr>
        <w:t>Дж.</w:t>
      </w:r>
      <w:r w:rsidR="006C680D" w:rsidRPr="00D337FA">
        <w:rPr>
          <w:i/>
          <w:szCs w:val="24"/>
        </w:rPr>
        <w:t xml:space="preserve"> </w:t>
      </w:r>
      <w:r w:rsidRPr="00D337FA">
        <w:rPr>
          <w:i/>
          <w:szCs w:val="24"/>
        </w:rPr>
        <w:t>Б.</w:t>
      </w:r>
      <w:r w:rsidR="006C680D" w:rsidRPr="00D337FA">
        <w:rPr>
          <w:i/>
          <w:szCs w:val="24"/>
        </w:rPr>
        <w:t xml:space="preserve"> </w:t>
      </w:r>
      <w:r w:rsidRPr="00D337FA">
        <w:rPr>
          <w:i/>
          <w:szCs w:val="24"/>
        </w:rPr>
        <w:t>Может</w:t>
      </w:r>
      <w:r w:rsidR="006C680D" w:rsidRPr="00D337FA">
        <w:rPr>
          <w:i/>
          <w:szCs w:val="24"/>
        </w:rPr>
        <w:t xml:space="preserve"> </w:t>
      </w:r>
      <w:r w:rsidRPr="00D337FA">
        <w:rPr>
          <w:i/>
          <w:szCs w:val="24"/>
        </w:rPr>
        <w:t>ли</w:t>
      </w:r>
      <w:r w:rsidR="006C680D" w:rsidRPr="00D337FA">
        <w:rPr>
          <w:i/>
          <w:szCs w:val="24"/>
        </w:rPr>
        <w:t xml:space="preserve"> </w:t>
      </w:r>
      <w:r w:rsidRPr="00D337FA">
        <w:rPr>
          <w:i/>
          <w:szCs w:val="24"/>
        </w:rPr>
        <w:t>ресурсная</w:t>
      </w:r>
      <w:r w:rsidR="006C680D" w:rsidRPr="00D337FA">
        <w:rPr>
          <w:i/>
          <w:szCs w:val="24"/>
        </w:rPr>
        <w:t xml:space="preserve"> </w:t>
      </w:r>
      <w:r w:rsidRPr="00D337FA">
        <w:rPr>
          <w:i/>
          <w:szCs w:val="24"/>
        </w:rPr>
        <w:t>концепция</w:t>
      </w:r>
      <w:r w:rsidR="006C680D" w:rsidRPr="00D337FA">
        <w:rPr>
          <w:i/>
          <w:szCs w:val="24"/>
        </w:rPr>
        <w:t xml:space="preserve"> </w:t>
      </w:r>
      <w:r w:rsidRPr="00D337FA">
        <w:rPr>
          <w:i/>
          <w:szCs w:val="24"/>
        </w:rPr>
        <w:t>принести</w:t>
      </w:r>
      <w:r w:rsidR="006C680D" w:rsidRPr="00D337FA">
        <w:rPr>
          <w:i/>
          <w:szCs w:val="24"/>
        </w:rPr>
        <w:t xml:space="preserve"> </w:t>
      </w:r>
      <w:r w:rsidRPr="00D337FA">
        <w:rPr>
          <w:i/>
          <w:szCs w:val="24"/>
        </w:rPr>
        <w:t>пользу</w:t>
      </w:r>
      <w:r w:rsidR="006C680D" w:rsidRPr="00D337FA">
        <w:rPr>
          <w:i/>
          <w:szCs w:val="24"/>
        </w:rPr>
        <w:t xml:space="preserve"> </w:t>
      </w:r>
      <w:r w:rsidRPr="00D337FA">
        <w:rPr>
          <w:i/>
          <w:szCs w:val="24"/>
        </w:rPr>
        <w:t>исследованиям</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области</w:t>
      </w:r>
      <w:r w:rsidR="006C680D" w:rsidRPr="00D337FA">
        <w:rPr>
          <w:i/>
          <w:szCs w:val="24"/>
        </w:rPr>
        <w:t xml:space="preserve"> </w:t>
      </w:r>
      <w:r w:rsidRPr="00D337FA">
        <w:rPr>
          <w:i/>
          <w:szCs w:val="24"/>
        </w:rPr>
        <w:t>стратегического</w:t>
      </w:r>
      <w:r w:rsidR="006C680D" w:rsidRPr="00D337FA">
        <w:rPr>
          <w:i/>
          <w:szCs w:val="24"/>
        </w:rPr>
        <w:t xml:space="preserve"> </w:t>
      </w:r>
      <w:r w:rsidRPr="00D337FA">
        <w:rPr>
          <w:i/>
          <w:szCs w:val="24"/>
        </w:rPr>
        <w:t>управления?</w:t>
      </w:r>
      <w:r w:rsidR="006C680D" w:rsidRPr="00D337FA">
        <w:rPr>
          <w:i/>
          <w:szCs w:val="24"/>
        </w:rPr>
        <w:t xml:space="preserve"> </w:t>
      </w:r>
      <w:r w:rsidR="000B36CD" w:rsidRPr="000B36CD">
        <w:rPr>
          <w:i/>
          <w:szCs w:val="24"/>
        </w:rPr>
        <w:t>–</w:t>
      </w:r>
      <w:r w:rsidR="006C680D" w:rsidRPr="00D337FA">
        <w:rPr>
          <w:i/>
          <w:szCs w:val="24"/>
        </w:rPr>
        <w:t xml:space="preserve"> </w:t>
      </w:r>
      <w:r w:rsidRPr="00D337FA">
        <w:rPr>
          <w:i/>
          <w:szCs w:val="24"/>
        </w:rPr>
        <w:t>Да</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Российский</w:t>
      </w:r>
      <w:r w:rsidR="006C680D" w:rsidRPr="00D337FA">
        <w:rPr>
          <w:i/>
          <w:szCs w:val="24"/>
        </w:rPr>
        <w:t xml:space="preserve"> </w:t>
      </w:r>
      <w:r w:rsidRPr="00D337FA">
        <w:rPr>
          <w:i/>
          <w:szCs w:val="24"/>
        </w:rPr>
        <w:t>журнал</w:t>
      </w:r>
      <w:r w:rsidR="006C680D" w:rsidRPr="00D337FA">
        <w:rPr>
          <w:i/>
          <w:szCs w:val="24"/>
        </w:rPr>
        <w:t xml:space="preserve"> </w:t>
      </w:r>
      <w:r w:rsidRPr="00D337FA">
        <w:rPr>
          <w:i/>
          <w:szCs w:val="24"/>
        </w:rPr>
        <w:t>менеджмента.</w:t>
      </w:r>
      <w:r w:rsidR="006C680D" w:rsidRPr="00D337FA">
        <w:rPr>
          <w:i/>
          <w:szCs w:val="24"/>
        </w:rPr>
        <w:t xml:space="preserve"> </w:t>
      </w:r>
      <w:r w:rsidRPr="00D337FA">
        <w:rPr>
          <w:i/>
          <w:szCs w:val="24"/>
        </w:rPr>
        <w:t>2009.</w:t>
      </w:r>
      <w:r w:rsidR="006C680D" w:rsidRPr="00D337FA">
        <w:rPr>
          <w:i/>
          <w:szCs w:val="24"/>
        </w:rPr>
        <w:t xml:space="preserve"> </w:t>
      </w:r>
      <w:r w:rsidRPr="00D337FA">
        <w:rPr>
          <w:i/>
          <w:szCs w:val="24"/>
        </w:rPr>
        <w:t>Τ.</w:t>
      </w:r>
      <w:r w:rsidR="006C680D" w:rsidRPr="00D337FA">
        <w:rPr>
          <w:i/>
          <w:szCs w:val="24"/>
        </w:rPr>
        <w:t xml:space="preserve"> </w:t>
      </w:r>
      <w:r w:rsidRPr="00D337FA">
        <w:rPr>
          <w:i/>
          <w:szCs w:val="24"/>
        </w:rPr>
        <w:t>7.</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2.</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71</w:t>
      </w:r>
      <w:r w:rsidR="006E6F5F" w:rsidRPr="00D337FA">
        <w:rPr>
          <w:i/>
          <w:szCs w:val="24"/>
        </w:rPr>
        <w:t>-</w:t>
      </w:r>
      <w:r w:rsidRPr="00D337FA">
        <w:rPr>
          <w:i/>
          <w:szCs w:val="24"/>
        </w:rPr>
        <w:t>92.</w:t>
      </w:r>
      <w:r w:rsidR="006C680D" w:rsidRPr="00D337FA">
        <w:rPr>
          <w:i/>
          <w:szCs w:val="24"/>
        </w:rPr>
        <w:t xml:space="preserve"> </w:t>
      </w:r>
    </w:p>
    <w:p w:rsidR="00B91B4B" w:rsidRPr="00D337FA" w:rsidRDefault="00B91B4B" w:rsidP="00B91B4B">
      <w:pPr>
        <w:ind w:firstLine="284"/>
        <w:rPr>
          <w:i/>
          <w:szCs w:val="24"/>
        </w:rPr>
      </w:pPr>
      <w:r w:rsidRPr="00D337FA">
        <w:rPr>
          <w:i/>
          <w:szCs w:val="24"/>
        </w:rPr>
        <w:t>3.</w:t>
      </w:r>
      <w:r w:rsidRPr="00D337FA">
        <w:rPr>
          <w:i/>
          <w:szCs w:val="24"/>
        </w:rPr>
        <w:tab/>
        <w:t>Хамел</w:t>
      </w:r>
      <w:r w:rsidR="006C680D" w:rsidRPr="00D337FA">
        <w:rPr>
          <w:i/>
          <w:szCs w:val="24"/>
        </w:rPr>
        <w:t xml:space="preserve"> </w:t>
      </w:r>
      <w:r w:rsidRPr="00D337FA">
        <w:rPr>
          <w:i/>
          <w:szCs w:val="24"/>
        </w:rPr>
        <w:t>Г.,</w:t>
      </w:r>
      <w:r w:rsidR="006C680D" w:rsidRPr="00D337FA">
        <w:rPr>
          <w:i/>
          <w:szCs w:val="24"/>
        </w:rPr>
        <w:t xml:space="preserve"> </w:t>
      </w:r>
      <w:r w:rsidRPr="00D337FA">
        <w:rPr>
          <w:i/>
          <w:szCs w:val="24"/>
        </w:rPr>
        <w:t>Прахалад</w:t>
      </w:r>
      <w:r w:rsidR="006C680D" w:rsidRPr="00D337FA">
        <w:rPr>
          <w:i/>
          <w:szCs w:val="24"/>
        </w:rPr>
        <w:t xml:space="preserve"> </w:t>
      </w:r>
      <w:r w:rsidRPr="00D337FA">
        <w:rPr>
          <w:i/>
          <w:szCs w:val="24"/>
        </w:rPr>
        <w:t>К.</w:t>
      </w:r>
      <w:r w:rsidR="006C680D" w:rsidRPr="00D337FA">
        <w:rPr>
          <w:i/>
          <w:szCs w:val="24"/>
        </w:rPr>
        <w:t xml:space="preserve"> </w:t>
      </w:r>
      <w:r w:rsidRPr="00D337FA">
        <w:rPr>
          <w:i/>
          <w:szCs w:val="24"/>
        </w:rPr>
        <w:t>Конкурируя</w:t>
      </w:r>
      <w:r w:rsidR="006C680D" w:rsidRPr="00D337FA">
        <w:rPr>
          <w:i/>
          <w:szCs w:val="24"/>
        </w:rPr>
        <w:t xml:space="preserve"> </w:t>
      </w:r>
      <w:r w:rsidRPr="00D337FA">
        <w:rPr>
          <w:i/>
          <w:szCs w:val="24"/>
        </w:rPr>
        <w:t>за</w:t>
      </w:r>
      <w:r w:rsidR="006C680D" w:rsidRPr="00D337FA">
        <w:rPr>
          <w:i/>
          <w:szCs w:val="24"/>
        </w:rPr>
        <w:t xml:space="preserve"> </w:t>
      </w:r>
      <w:r w:rsidRPr="00D337FA">
        <w:rPr>
          <w:i/>
          <w:szCs w:val="24"/>
        </w:rPr>
        <w:t>будущее.</w:t>
      </w:r>
      <w:r w:rsidR="006C680D" w:rsidRPr="00D337FA">
        <w:rPr>
          <w:i/>
          <w:szCs w:val="24"/>
        </w:rPr>
        <w:t xml:space="preserve"> </w:t>
      </w:r>
      <w:r w:rsidRPr="00D337FA">
        <w:rPr>
          <w:i/>
          <w:szCs w:val="24"/>
        </w:rPr>
        <w:t>Создание</w:t>
      </w:r>
      <w:r w:rsidR="006C680D" w:rsidRPr="00D337FA">
        <w:rPr>
          <w:i/>
          <w:szCs w:val="24"/>
        </w:rPr>
        <w:t xml:space="preserve"> </w:t>
      </w:r>
      <w:r w:rsidRPr="00D337FA">
        <w:rPr>
          <w:i/>
          <w:szCs w:val="24"/>
        </w:rPr>
        <w:t>рынков</w:t>
      </w:r>
      <w:r w:rsidR="006C680D" w:rsidRPr="00D337FA">
        <w:rPr>
          <w:i/>
          <w:szCs w:val="24"/>
        </w:rPr>
        <w:t xml:space="preserve"> </w:t>
      </w:r>
      <w:r w:rsidRPr="00D337FA">
        <w:rPr>
          <w:i/>
          <w:szCs w:val="24"/>
        </w:rPr>
        <w:t>завтрашнего</w:t>
      </w:r>
      <w:r w:rsidR="006C680D" w:rsidRPr="00D337FA">
        <w:rPr>
          <w:i/>
          <w:szCs w:val="24"/>
        </w:rPr>
        <w:t xml:space="preserve"> </w:t>
      </w:r>
      <w:r w:rsidRPr="00D337FA">
        <w:rPr>
          <w:i/>
          <w:szCs w:val="24"/>
        </w:rPr>
        <w:t>дня/Пер.</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англ.</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w:t>
      </w:r>
      <w:r w:rsidR="006C680D" w:rsidRPr="00D337FA">
        <w:rPr>
          <w:i/>
          <w:szCs w:val="24"/>
        </w:rPr>
        <w:t xml:space="preserve"> </w:t>
      </w:r>
      <w:r w:rsidRPr="00D337FA">
        <w:rPr>
          <w:i/>
          <w:szCs w:val="24"/>
        </w:rPr>
        <w:t>ЗАО</w:t>
      </w:r>
      <w:r w:rsidR="006C680D" w:rsidRPr="00D337FA">
        <w:rPr>
          <w:i/>
          <w:szCs w:val="24"/>
        </w:rPr>
        <w:t xml:space="preserve"> </w:t>
      </w:r>
      <w:r w:rsidRPr="00D337FA">
        <w:rPr>
          <w:i/>
          <w:szCs w:val="24"/>
        </w:rPr>
        <w:t>«Олимп-Бизнес»</w:t>
      </w:r>
      <w:r w:rsidR="006E6F5F" w:rsidRPr="00D337FA">
        <w:rPr>
          <w:i/>
          <w:szCs w:val="24"/>
        </w:rPr>
        <w:t>,</w:t>
      </w:r>
      <w:r w:rsidR="006C680D" w:rsidRPr="00D337FA">
        <w:rPr>
          <w:i/>
          <w:szCs w:val="24"/>
        </w:rPr>
        <w:t xml:space="preserve"> </w:t>
      </w:r>
      <w:r w:rsidRPr="00D337FA">
        <w:rPr>
          <w:i/>
          <w:szCs w:val="24"/>
        </w:rPr>
        <w:t>2002.</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288</w:t>
      </w:r>
      <w:r w:rsidR="006C680D" w:rsidRPr="00D337FA">
        <w:rPr>
          <w:i/>
          <w:szCs w:val="24"/>
        </w:rPr>
        <w:t xml:space="preserve"> </w:t>
      </w:r>
      <w:r w:rsidRPr="00D337FA">
        <w:rPr>
          <w:i/>
          <w:szCs w:val="24"/>
        </w:rPr>
        <w:t>с.</w:t>
      </w:r>
    </w:p>
    <w:p w:rsidR="00B91B4B" w:rsidRPr="00D337FA" w:rsidRDefault="00B91B4B" w:rsidP="00B91B4B">
      <w:pPr>
        <w:ind w:firstLine="284"/>
        <w:rPr>
          <w:i/>
          <w:szCs w:val="24"/>
        </w:rPr>
      </w:pPr>
      <w:r w:rsidRPr="00D337FA">
        <w:rPr>
          <w:i/>
          <w:szCs w:val="24"/>
        </w:rPr>
        <w:t>5.</w:t>
      </w:r>
      <w:r w:rsidR="006C680D" w:rsidRPr="00D337FA">
        <w:rPr>
          <w:i/>
          <w:szCs w:val="24"/>
        </w:rPr>
        <w:t xml:space="preserve"> </w:t>
      </w:r>
      <w:r w:rsidRPr="00D337FA">
        <w:rPr>
          <w:i/>
          <w:szCs w:val="24"/>
        </w:rPr>
        <w:t>Мэйо</w:t>
      </w:r>
      <w:r w:rsidR="006C680D" w:rsidRPr="00D337FA">
        <w:rPr>
          <w:i/>
          <w:szCs w:val="24"/>
        </w:rPr>
        <w:t xml:space="preserve"> </w:t>
      </w:r>
      <w:r w:rsidRPr="00D337FA">
        <w:rPr>
          <w:i/>
          <w:szCs w:val="24"/>
        </w:rPr>
        <w:t>Э.</w:t>
      </w:r>
      <w:r w:rsidR="006C680D" w:rsidRPr="00D337FA">
        <w:rPr>
          <w:i/>
          <w:szCs w:val="24"/>
        </w:rPr>
        <w:t xml:space="preserve"> </w:t>
      </w:r>
      <w:r w:rsidRPr="00D337FA">
        <w:rPr>
          <w:i/>
          <w:szCs w:val="24"/>
        </w:rPr>
        <w:t>Социальные</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индустриальной</w:t>
      </w:r>
      <w:r w:rsidR="006C680D" w:rsidRPr="00D337FA">
        <w:rPr>
          <w:i/>
          <w:szCs w:val="24"/>
        </w:rPr>
        <w:t xml:space="preserve"> </w:t>
      </w:r>
      <w:r w:rsidRPr="00D337FA">
        <w:rPr>
          <w:i/>
          <w:szCs w:val="24"/>
        </w:rPr>
        <w:t>цивилизации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Экономическая</w:t>
      </w:r>
      <w:r w:rsidR="006C680D" w:rsidRPr="00D337FA">
        <w:rPr>
          <w:i/>
          <w:szCs w:val="24"/>
        </w:rPr>
        <w:t xml:space="preserve"> </w:t>
      </w:r>
      <w:r w:rsidRPr="00D337FA">
        <w:rPr>
          <w:i/>
          <w:szCs w:val="24"/>
        </w:rPr>
        <w:t>социология.</w:t>
      </w:r>
      <w:r w:rsidR="006C680D" w:rsidRPr="00D337FA">
        <w:rPr>
          <w:i/>
          <w:szCs w:val="24"/>
        </w:rPr>
        <w:t xml:space="preserve"> </w:t>
      </w:r>
      <w:r w:rsidRPr="00D337FA">
        <w:rPr>
          <w:i/>
          <w:szCs w:val="24"/>
        </w:rPr>
        <w:t>2024.</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25.</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5.</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11</w:t>
      </w:r>
      <w:r w:rsidR="006E6F5F" w:rsidRPr="00D337FA">
        <w:rPr>
          <w:i/>
          <w:szCs w:val="24"/>
        </w:rPr>
        <w:t>-</w:t>
      </w:r>
      <w:r w:rsidRPr="00D337FA">
        <w:rPr>
          <w:i/>
          <w:szCs w:val="24"/>
        </w:rPr>
        <w:t>32.</w:t>
      </w:r>
    </w:p>
    <w:p w:rsidR="00B91B4B" w:rsidRPr="00D337FA" w:rsidRDefault="00B91B4B" w:rsidP="00B91B4B">
      <w:pPr>
        <w:ind w:firstLine="284"/>
        <w:rPr>
          <w:i/>
          <w:szCs w:val="24"/>
        </w:rPr>
      </w:pPr>
      <w:r w:rsidRPr="00D337FA">
        <w:rPr>
          <w:i/>
          <w:szCs w:val="24"/>
        </w:rPr>
        <w:t>6.</w:t>
      </w:r>
      <w:r w:rsidRPr="00D337FA">
        <w:rPr>
          <w:i/>
          <w:szCs w:val="24"/>
        </w:rPr>
        <w:tab/>
        <w:t>Паньшин</w:t>
      </w:r>
      <w:r w:rsidR="006C680D" w:rsidRPr="00D337FA">
        <w:rPr>
          <w:i/>
          <w:szCs w:val="24"/>
        </w:rPr>
        <w:t xml:space="preserve"> </w:t>
      </w:r>
      <w:r w:rsidRPr="00D337FA">
        <w:rPr>
          <w:i/>
          <w:szCs w:val="24"/>
        </w:rPr>
        <w:t>Б.</w:t>
      </w:r>
      <w:r w:rsidR="006C680D" w:rsidRPr="00D337FA">
        <w:rPr>
          <w:i/>
          <w:szCs w:val="24"/>
        </w:rPr>
        <w:t xml:space="preserve"> </w:t>
      </w:r>
      <w:r w:rsidRPr="00D337FA">
        <w:rPr>
          <w:i/>
          <w:szCs w:val="24"/>
        </w:rPr>
        <w:t>Цифровая</w:t>
      </w:r>
      <w:r w:rsidR="006C680D" w:rsidRPr="00D337FA">
        <w:rPr>
          <w:i/>
          <w:szCs w:val="24"/>
        </w:rPr>
        <w:t xml:space="preserve"> </w:t>
      </w:r>
      <w:r w:rsidRPr="00D337FA">
        <w:rPr>
          <w:i/>
          <w:szCs w:val="24"/>
        </w:rPr>
        <w:t>экономика:</w:t>
      </w:r>
      <w:r w:rsidR="006C680D" w:rsidRPr="00D337FA">
        <w:rPr>
          <w:i/>
          <w:szCs w:val="24"/>
        </w:rPr>
        <w:t xml:space="preserve"> </w:t>
      </w:r>
      <w:r w:rsidRPr="00D337FA">
        <w:rPr>
          <w:i/>
          <w:szCs w:val="24"/>
        </w:rPr>
        <w:t>понятия</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направления</w:t>
      </w:r>
      <w:r w:rsidR="006C680D" w:rsidRPr="00D337FA">
        <w:rPr>
          <w:i/>
          <w:szCs w:val="24"/>
        </w:rPr>
        <w:t xml:space="preserve"> </w:t>
      </w:r>
      <w:r w:rsidR="006E6F5F" w:rsidRPr="00D337FA">
        <w:rPr>
          <w:i/>
          <w:szCs w:val="24"/>
        </w:rPr>
        <w:t>развития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Наука</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инновации.</w:t>
      </w:r>
      <w:r w:rsidR="006C680D" w:rsidRPr="00D337FA">
        <w:rPr>
          <w:i/>
          <w:szCs w:val="24"/>
        </w:rPr>
        <w:t xml:space="preserve"> </w:t>
      </w:r>
      <w:r w:rsidRPr="00D337FA">
        <w:rPr>
          <w:i/>
          <w:szCs w:val="24"/>
        </w:rPr>
        <w:t>2019.</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3</w:t>
      </w:r>
      <w:r w:rsidR="006C680D" w:rsidRPr="00D337FA">
        <w:rPr>
          <w:i/>
          <w:szCs w:val="24"/>
        </w:rPr>
        <w:t xml:space="preserve"> </w:t>
      </w:r>
      <w:r w:rsidRPr="00D337FA">
        <w:rPr>
          <w:i/>
          <w:szCs w:val="24"/>
        </w:rPr>
        <w:t>(193).</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54</w:t>
      </w:r>
      <w:r w:rsidR="006E6F5F" w:rsidRPr="00D337FA">
        <w:rPr>
          <w:i/>
          <w:szCs w:val="24"/>
        </w:rPr>
        <w:t>-</w:t>
      </w:r>
      <w:r w:rsidRPr="00D337FA">
        <w:rPr>
          <w:i/>
          <w:szCs w:val="24"/>
        </w:rPr>
        <w:t>65.</w:t>
      </w:r>
    </w:p>
    <w:p w:rsidR="00B91B4B" w:rsidRPr="00D337FA" w:rsidRDefault="00B91B4B" w:rsidP="00B91B4B">
      <w:pPr>
        <w:ind w:firstLine="284"/>
        <w:rPr>
          <w:i/>
          <w:szCs w:val="24"/>
        </w:rPr>
      </w:pPr>
      <w:r w:rsidRPr="00D337FA">
        <w:rPr>
          <w:i/>
          <w:szCs w:val="24"/>
        </w:rPr>
        <w:t>7.</w:t>
      </w:r>
      <w:r w:rsidR="006C680D" w:rsidRPr="00D337FA">
        <w:rPr>
          <w:i/>
          <w:szCs w:val="24"/>
        </w:rPr>
        <w:t xml:space="preserve"> </w:t>
      </w:r>
      <w:r w:rsidRPr="00D337FA">
        <w:rPr>
          <w:i/>
          <w:szCs w:val="24"/>
        </w:rPr>
        <w:t>Брызгалов</w:t>
      </w:r>
      <w:r w:rsidR="006C680D" w:rsidRPr="00D337FA">
        <w:rPr>
          <w:i/>
          <w:szCs w:val="24"/>
        </w:rPr>
        <w:t xml:space="preserve"> </w:t>
      </w:r>
      <w:r w:rsidRPr="00D337FA">
        <w:rPr>
          <w:i/>
          <w:szCs w:val="24"/>
        </w:rPr>
        <w:t>Д.В.</w:t>
      </w:r>
      <w:r w:rsidR="006C680D" w:rsidRPr="00D337FA">
        <w:rPr>
          <w:i/>
          <w:szCs w:val="24"/>
        </w:rPr>
        <w:t xml:space="preserve"> </w:t>
      </w:r>
      <w:r w:rsidRPr="00D337FA">
        <w:rPr>
          <w:i/>
          <w:szCs w:val="24"/>
        </w:rPr>
        <w:t>Теоретические</w:t>
      </w:r>
      <w:r w:rsidR="006C680D" w:rsidRPr="00D337FA">
        <w:rPr>
          <w:i/>
          <w:szCs w:val="24"/>
        </w:rPr>
        <w:t xml:space="preserve"> </w:t>
      </w:r>
      <w:r w:rsidRPr="00D337FA">
        <w:rPr>
          <w:i/>
          <w:szCs w:val="24"/>
        </w:rPr>
        <w:t>подходы</w:t>
      </w:r>
      <w:r w:rsidR="006C680D" w:rsidRPr="00D337FA">
        <w:rPr>
          <w:i/>
          <w:szCs w:val="24"/>
        </w:rPr>
        <w:t xml:space="preserve"> </w:t>
      </w:r>
      <w:r w:rsidRPr="00D337FA">
        <w:rPr>
          <w:i/>
          <w:szCs w:val="24"/>
        </w:rPr>
        <w:t>к</w:t>
      </w:r>
      <w:r w:rsidR="006C680D" w:rsidRPr="00D337FA">
        <w:rPr>
          <w:i/>
          <w:szCs w:val="24"/>
        </w:rPr>
        <w:t xml:space="preserve"> </w:t>
      </w:r>
      <w:r w:rsidRPr="00D337FA">
        <w:rPr>
          <w:i/>
          <w:szCs w:val="24"/>
        </w:rPr>
        <w:t>страхованию</w:t>
      </w:r>
      <w:r w:rsidR="006C680D" w:rsidRPr="00D337FA">
        <w:rPr>
          <w:i/>
          <w:szCs w:val="24"/>
        </w:rPr>
        <w:t xml:space="preserve"> </w:t>
      </w:r>
      <w:r w:rsidRPr="00D337FA">
        <w:rPr>
          <w:i/>
          <w:szCs w:val="24"/>
        </w:rPr>
        <w:t>жизни:</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пути</w:t>
      </w:r>
      <w:r w:rsidR="006C680D" w:rsidRPr="00D337FA">
        <w:rPr>
          <w:i/>
          <w:szCs w:val="24"/>
        </w:rPr>
        <w:t xml:space="preserve"> </w:t>
      </w:r>
      <w:r w:rsidRPr="00D337FA">
        <w:rPr>
          <w:i/>
          <w:szCs w:val="24"/>
        </w:rPr>
        <w:t>их</w:t>
      </w:r>
      <w:r w:rsidR="006C680D" w:rsidRPr="00D337FA">
        <w:rPr>
          <w:i/>
          <w:szCs w:val="24"/>
        </w:rPr>
        <w:t xml:space="preserve"> </w:t>
      </w:r>
      <w:r w:rsidRPr="00D337FA">
        <w:rPr>
          <w:i/>
          <w:szCs w:val="24"/>
        </w:rPr>
        <w:t>преодоления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Финансовая</w:t>
      </w:r>
      <w:r w:rsidR="006C680D" w:rsidRPr="00D337FA">
        <w:rPr>
          <w:i/>
          <w:szCs w:val="24"/>
        </w:rPr>
        <w:t xml:space="preserve"> </w:t>
      </w:r>
      <w:r w:rsidR="006E6F5F" w:rsidRPr="00D337FA">
        <w:rPr>
          <w:i/>
          <w:szCs w:val="24"/>
        </w:rPr>
        <w:t>аналитика</w:t>
      </w:r>
      <w:r w:rsidRPr="00D337FA">
        <w:rPr>
          <w:i/>
          <w:szCs w:val="24"/>
        </w:rPr>
        <w:t>:</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решения.</w:t>
      </w:r>
      <w:r w:rsidR="006C680D" w:rsidRPr="00D337FA">
        <w:rPr>
          <w:i/>
          <w:szCs w:val="24"/>
        </w:rPr>
        <w:t xml:space="preserve"> </w:t>
      </w:r>
      <w:r w:rsidRPr="00D337FA">
        <w:rPr>
          <w:i/>
          <w:szCs w:val="24"/>
        </w:rPr>
        <w:t>2018.</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11.</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4.</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415</w:t>
      </w:r>
      <w:r w:rsidR="000B36CD" w:rsidRPr="00D74067">
        <w:rPr>
          <w:i/>
          <w:szCs w:val="24"/>
        </w:rPr>
        <w:t>-</w:t>
      </w:r>
      <w:r w:rsidRPr="00D337FA">
        <w:rPr>
          <w:i/>
          <w:szCs w:val="24"/>
        </w:rPr>
        <w:t>427.</w:t>
      </w:r>
    </w:p>
    <w:p w:rsidR="00B91B4B" w:rsidRPr="00D337FA" w:rsidRDefault="00B91B4B" w:rsidP="00B91B4B">
      <w:pPr>
        <w:ind w:firstLine="284"/>
        <w:rPr>
          <w:i/>
          <w:szCs w:val="24"/>
        </w:rPr>
      </w:pPr>
      <w:r w:rsidRPr="00D337FA">
        <w:rPr>
          <w:i/>
          <w:szCs w:val="24"/>
        </w:rPr>
        <w:t>8.</w:t>
      </w:r>
      <w:r w:rsidR="006C680D" w:rsidRPr="00D337FA">
        <w:rPr>
          <w:i/>
          <w:szCs w:val="24"/>
        </w:rPr>
        <w:t xml:space="preserve"> </w:t>
      </w:r>
      <w:r w:rsidRPr="00D337FA">
        <w:rPr>
          <w:i/>
          <w:szCs w:val="24"/>
        </w:rPr>
        <w:t>Архипов</w:t>
      </w:r>
      <w:r w:rsidR="006C680D" w:rsidRPr="00D337FA">
        <w:rPr>
          <w:i/>
          <w:szCs w:val="24"/>
        </w:rPr>
        <w:t xml:space="preserve"> </w:t>
      </w:r>
      <w:r w:rsidRPr="00D337FA">
        <w:rPr>
          <w:i/>
          <w:szCs w:val="24"/>
        </w:rPr>
        <w:t>А.</w:t>
      </w:r>
      <w:r w:rsidR="006C680D" w:rsidRPr="00D337FA">
        <w:rPr>
          <w:i/>
          <w:szCs w:val="24"/>
        </w:rPr>
        <w:t xml:space="preserve"> </w:t>
      </w:r>
      <w:r w:rsidRPr="00D337FA">
        <w:rPr>
          <w:i/>
          <w:szCs w:val="24"/>
        </w:rPr>
        <w:t>П.</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социальном</w:t>
      </w:r>
      <w:r w:rsidR="006C680D" w:rsidRPr="00D337FA">
        <w:rPr>
          <w:i/>
          <w:szCs w:val="24"/>
        </w:rPr>
        <w:t xml:space="preserve"> </w:t>
      </w:r>
      <w:r w:rsidRPr="00D337FA">
        <w:rPr>
          <w:i/>
          <w:szCs w:val="24"/>
        </w:rPr>
        <w:t>страховании</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России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мире</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Страховое</w:t>
      </w:r>
      <w:r w:rsidR="006C680D" w:rsidRPr="00D337FA">
        <w:rPr>
          <w:i/>
          <w:szCs w:val="24"/>
        </w:rPr>
        <w:t xml:space="preserve"> </w:t>
      </w:r>
      <w:r w:rsidRPr="00D337FA">
        <w:rPr>
          <w:i/>
          <w:szCs w:val="24"/>
        </w:rPr>
        <w:t>дело.</w:t>
      </w:r>
      <w:r w:rsidR="006C680D" w:rsidRPr="00D337FA">
        <w:rPr>
          <w:i/>
          <w:szCs w:val="24"/>
        </w:rPr>
        <w:t xml:space="preserve"> </w:t>
      </w:r>
      <w:r w:rsidRPr="00D337FA">
        <w:rPr>
          <w:i/>
          <w:szCs w:val="24"/>
        </w:rPr>
        <w:t>2024.</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4.</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49</w:t>
      </w:r>
      <w:r w:rsidR="000B36CD" w:rsidRPr="000B36CD">
        <w:rPr>
          <w:i/>
          <w:szCs w:val="24"/>
        </w:rPr>
        <w:t>-</w:t>
      </w:r>
      <w:r w:rsidRPr="00D337FA">
        <w:rPr>
          <w:i/>
          <w:szCs w:val="24"/>
        </w:rPr>
        <w:t>54.</w:t>
      </w:r>
    </w:p>
    <w:p w:rsidR="00B91B4B" w:rsidRPr="00D337FA" w:rsidRDefault="00B91B4B" w:rsidP="00B91B4B">
      <w:pPr>
        <w:ind w:firstLine="284"/>
        <w:rPr>
          <w:i/>
          <w:szCs w:val="24"/>
        </w:rPr>
      </w:pPr>
      <w:r w:rsidRPr="00D337FA">
        <w:rPr>
          <w:i/>
          <w:szCs w:val="24"/>
        </w:rPr>
        <w:t>9.</w:t>
      </w:r>
      <w:r w:rsidR="006C680D" w:rsidRPr="00D337FA">
        <w:rPr>
          <w:i/>
          <w:szCs w:val="24"/>
        </w:rPr>
        <w:t xml:space="preserve"> </w:t>
      </w:r>
      <w:r w:rsidRPr="00D337FA">
        <w:rPr>
          <w:i/>
          <w:szCs w:val="24"/>
        </w:rPr>
        <w:t>Логвинова</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Л.</w:t>
      </w:r>
      <w:r w:rsidR="006C680D" w:rsidRPr="00D337FA">
        <w:rPr>
          <w:i/>
          <w:szCs w:val="24"/>
        </w:rPr>
        <w:t xml:space="preserve"> </w:t>
      </w:r>
      <w:r w:rsidRPr="00D337FA">
        <w:rPr>
          <w:i/>
          <w:szCs w:val="24"/>
        </w:rPr>
        <w:t>Обязательное</w:t>
      </w:r>
      <w:r w:rsidR="006C680D" w:rsidRPr="00D337FA">
        <w:rPr>
          <w:i/>
          <w:szCs w:val="24"/>
        </w:rPr>
        <w:t xml:space="preserve"> </w:t>
      </w:r>
      <w:r w:rsidRPr="00D337FA">
        <w:rPr>
          <w:i/>
          <w:szCs w:val="24"/>
        </w:rPr>
        <w:t>государственное</w:t>
      </w:r>
      <w:r w:rsidR="006C680D" w:rsidRPr="00D337FA">
        <w:rPr>
          <w:i/>
          <w:szCs w:val="24"/>
        </w:rPr>
        <w:t xml:space="preserve"> </w:t>
      </w:r>
      <w:r w:rsidRPr="00D337FA">
        <w:rPr>
          <w:i/>
          <w:szCs w:val="24"/>
        </w:rPr>
        <w:t>личное</w:t>
      </w:r>
      <w:r w:rsidR="006C680D" w:rsidRPr="00D337FA">
        <w:rPr>
          <w:i/>
          <w:szCs w:val="24"/>
        </w:rPr>
        <w:t xml:space="preserve"> </w:t>
      </w:r>
      <w:r w:rsidR="006E6F5F" w:rsidRPr="00D337FA">
        <w:rPr>
          <w:i/>
          <w:szCs w:val="24"/>
        </w:rPr>
        <w:t>страхование</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Российской</w:t>
      </w:r>
      <w:r w:rsidR="006C680D" w:rsidRPr="00D337FA">
        <w:rPr>
          <w:i/>
          <w:szCs w:val="24"/>
        </w:rPr>
        <w:t xml:space="preserve"> </w:t>
      </w:r>
      <w:r w:rsidRPr="00D337FA">
        <w:rPr>
          <w:i/>
          <w:szCs w:val="24"/>
        </w:rPr>
        <w:t>Федерации:</w:t>
      </w:r>
      <w:r w:rsidR="006C680D" w:rsidRPr="00D337FA">
        <w:rPr>
          <w:i/>
          <w:szCs w:val="24"/>
        </w:rPr>
        <w:t xml:space="preserve"> </w:t>
      </w:r>
      <w:r w:rsidRPr="00D337FA">
        <w:rPr>
          <w:i/>
          <w:szCs w:val="24"/>
        </w:rPr>
        <w:t>варианты</w:t>
      </w:r>
      <w:r w:rsidR="006C680D" w:rsidRPr="00D337FA">
        <w:rPr>
          <w:i/>
          <w:szCs w:val="24"/>
        </w:rPr>
        <w:t xml:space="preserve"> </w:t>
      </w:r>
      <w:r w:rsidRPr="00D337FA">
        <w:rPr>
          <w:i/>
          <w:szCs w:val="24"/>
        </w:rPr>
        <w:t>развития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Страховое</w:t>
      </w:r>
      <w:r w:rsidR="006C680D" w:rsidRPr="00D337FA">
        <w:rPr>
          <w:i/>
          <w:szCs w:val="24"/>
        </w:rPr>
        <w:t xml:space="preserve"> </w:t>
      </w:r>
      <w:r w:rsidRPr="00D337FA">
        <w:rPr>
          <w:i/>
          <w:szCs w:val="24"/>
        </w:rPr>
        <w:t>Дело.</w:t>
      </w:r>
      <w:r w:rsidR="006C680D" w:rsidRPr="00D337FA">
        <w:rPr>
          <w:i/>
          <w:szCs w:val="24"/>
        </w:rPr>
        <w:t xml:space="preserve"> </w:t>
      </w:r>
      <w:r w:rsidRPr="00D337FA">
        <w:rPr>
          <w:i/>
          <w:szCs w:val="24"/>
        </w:rPr>
        <w:t>2021.</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12.</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39–47.</w:t>
      </w:r>
    </w:p>
    <w:p w:rsidR="00B91B4B" w:rsidRPr="00D337FA" w:rsidRDefault="00B91B4B" w:rsidP="00B91B4B">
      <w:pPr>
        <w:ind w:firstLine="284"/>
        <w:rPr>
          <w:i/>
          <w:szCs w:val="24"/>
        </w:rPr>
      </w:pPr>
      <w:r w:rsidRPr="00D337FA">
        <w:rPr>
          <w:i/>
          <w:szCs w:val="24"/>
        </w:rPr>
        <w:t>10.</w:t>
      </w:r>
      <w:r w:rsidR="006C680D" w:rsidRPr="00D337FA">
        <w:rPr>
          <w:i/>
          <w:szCs w:val="24"/>
        </w:rPr>
        <w:t xml:space="preserve"> </w:t>
      </w:r>
      <w:r w:rsidRPr="00D337FA">
        <w:rPr>
          <w:i/>
          <w:szCs w:val="24"/>
        </w:rPr>
        <w:t>Луговая</w:t>
      </w:r>
      <w:r w:rsidR="006C680D" w:rsidRPr="00D337FA">
        <w:rPr>
          <w:i/>
          <w:szCs w:val="24"/>
        </w:rPr>
        <w:t xml:space="preserve"> </w:t>
      </w:r>
      <w:r w:rsidRPr="00D337FA">
        <w:rPr>
          <w:i/>
          <w:szCs w:val="24"/>
        </w:rPr>
        <w:t>Н.</w:t>
      </w:r>
      <w:r w:rsidR="006C680D" w:rsidRPr="00D337FA">
        <w:rPr>
          <w:i/>
          <w:szCs w:val="24"/>
        </w:rPr>
        <w:t xml:space="preserve"> </w:t>
      </w:r>
      <w:r w:rsidRPr="00D337FA">
        <w:rPr>
          <w:i/>
          <w:szCs w:val="24"/>
        </w:rPr>
        <w:t>Г.</w:t>
      </w:r>
      <w:r w:rsidR="006C680D" w:rsidRPr="00D337FA">
        <w:rPr>
          <w:i/>
          <w:szCs w:val="24"/>
        </w:rPr>
        <w:t xml:space="preserve"> </w:t>
      </w:r>
      <w:r w:rsidRPr="00D337FA">
        <w:rPr>
          <w:i/>
          <w:szCs w:val="24"/>
        </w:rPr>
        <w:t>Страхование,</w:t>
      </w:r>
      <w:r w:rsidR="006C680D" w:rsidRPr="00D337FA">
        <w:rPr>
          <w:i/>
          <w:szCs w:val="24"/>
        </w:rPr>
        <w:t xml:space="preserve"> </w:t>
      </w:r>
      <w:r w:rsidRPr="00D337FA">
        <w:rPr>
          <w:i/>
          <w:szCs w:val="24"/>
        </w:rPr>
        <w:t>новые</w:t>
      </w:r>
      <w:r w:rsidR="006C680D" w:rsidRPr="00D337FA">
        <w:rPr>
          <w:i/>
          <w:szCs w:val="24"/>
        </w:rPr>
        <w:t xml:space="preserve"> </w:t>
      </w:r>
      <w:r w:rsidRPr="00D337FA">
        <w:rPr>
          <w:i/>
          <w:szCs w:val="24"/>
        </w:rPr>
        <w:t>тренды</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динамика</w:t>
      </w:r>
      <w:r w:rsidR="006C680D" w:rsidRPr="00D337FA">
        <w:rPr>
          <w:i/>
          <w:szCs w:val="24"/>
        </w:rPr>
        <w:t xml:space="preserve"> </w:t>
      </w:r>
      <w:r w:rsidRPr="00D337FA">
        <w:rPr>
          <w:i/>
          <w:szCs w:val="24"/>
        </w:rPr>
        <w:t>развития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Экономические</w:t>
      </w:r>
      <w:r w:rsidR="006C680D" w:rsidRPr="00D337FA">
        <w:rPr>
          <w:i/>
          <w:szCs w:val="24"/>
        </w:rPr>
        <w:t xml:space="preserve"> </w:t>
      </w:r>
      <w:r w:rsidRPr="00D337FA">
        <w:rPr>
          <w:i/>
          <w:szCs w:val="24"/>
        </w:rPr>
        <w:t>исследования</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разработки.</w:t>
      </w:r>
      <w:r w:rsidR="006C680D" w:rsidRPr="00D337FA">
        <w:rPr>
          <w:i/>
          <w:szCs w:val="24"/>
        </w:rPr>
        <w:t xml:space="preserve"> </w:t>
      </w:r>
      <w:r w:rsidRPr="00D337FA">
        <w:rPr>
          <w:i/>
          <w:szCs w:val="24"/>
        </w:rPr>
        <w:t>2021.</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9.</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88–93.</w:t>
      </w:r>
    </w:p>
    <w:p w:rsidR="00B91B4B" w:rsidRPr="00D337FA" w:rsidRDefault="00B91B4B" w:rsidP="00B91B4B">
      <w:pPr>
        <w:ind w:firstLine="284"/>
        <w:rPr>
          <w:i/>
          <w:szCs w:val="24"/>
        </w:rPr>
      </w:pPr>
      <w:r w:rsidRPr="00D337FA">
        <w:rPr>
          <w:i/>
          <w:szCs w:val="24"/>
        </w:rPr>
        <w:t>11.</w:t>
      </w:r>
      <w:r w:rsidRPr="00D337FA">
        <w:rPr>
          <w:i/>
          <w:szCs w:val="24"/>
        </w:rPr>
        <w:tab/>
        <w:t>Разгуляев</w:t>
      </w:r>
      <w:r w:rsidR="006C680D" w:rsidRPr="00D337FA">
        <w:rPr>
          <w:i/>
          <w:szCs w:val="24"/>
        </w:rPr>
        <w:t xml:space="preserve"> </w:t>
      </w:r>
      <w:r w:rsidRPr="00D337FA">
        <w:rPr>
          <w:i/>
          <w:szCs w:val="24"/>
        </w:rPr>
        <w:t>В.Ю.</w:t>
      </w:r>
      <w:r w:rsidR="006C680D" w:rsidRPr="00D337FA">
        <w:rPr>
          <w:i/>
          <w:szCs w:val="24"/>
        </w:rPr>
        <w:t xml:space="preserve"> </w:t>
      </w:r>
      <w:r w:rsidRPr="00D337FA">
        <w:rPr>
          <w:i/>
          <w:szCs w:val="24"/>
        </w:rPr>
        <w:t>Система</w:t>
      </w:r>
      <w:r w:rsidR="006C680D" w:rsidRPr="00D337FA">
        <w:rPr>
          <w:i/>
          <w:szCs w:val="24"/>
        </w:rPr>
        <w:t xml:space="preserve"> </w:t>
      </w:r>
      <w:r w:rsidRPr="00D337FA">
        <w:rPr>
          <w:i/>
          <w:szCs w:val="24"/>
        </w:rPr>
        <w:t>принципов</w:t>
      </w:r>
      <w:r w:rsidR="006C680D" w:rsidRPr="00D337FA">
        <w:rPr>
          <w:i/>
          <w:szCs w:val="24"/>
        </w:rPr>
        <w:t xml:space="preserve"> </w:t>
      </w:r>
      <w:r w:rsidRPr="00D337FA">
        <w:rPr>
          <w:i/>
          <w:szCs w:val="24"/>
        </w:rPr>
        <w:t>Beyond</w:t>
      </w:r>
      <w:r w:rsidR="006C680D" w:rsidRPr="00D337FA">
        <w:rPr>
          <w:i/>
          <w:szCs w:val="24"/>
        </w:rPr>
        <w:t xml:space="preserve"> </w:t>
      </w:r>
      <w:r w:rsidRPr="00D337FA">
        <w:rPr>
          <w:i/>
          <w:szCs w:val="24"/>
        </w:rPr>
        <w:t>Taylor</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концепция</w:t>
      </w:r>
      <w:r w:rsidR="006C680D" w:rsidRPr="00D337FA">
        <w:rPr>
          <w:i/>
          <w:szCs w:val="24"/>
        </w:rPr>
        <w:t xml:space="preserve"> </w:t>
      </w:r>
      <w:r w:rsidRPr="00D337FA">
        <w:rPr>
          <w:i/>
          <w:szCs w:val="24"/>
        </w:rPr>
        <w:t>клиентократии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Сетевое</w:t>
      </w:r>
      <w:r w:rsidR="006C680D" w:rsidRPr="00D337FA">
        <w:rPr>
          <w:i/>
          <w:szCs w:val="24"/>
        </w:rPr>
        <w:t xml:space="preserve"> </w:t>
      </w:r>
      <w:r w:rsidRPr="00D337FA">
        <w:rPr>
          <w:i/>
          <w:szCs w:val="24"/>
        </w:rPr>
        <w:t>научное</w:t>
      </w:r>
      <w:r w:rsidR="006C680D" w:rsidRPr="00D337FA">
        <w:rPr>
          <w:i/>
          <w:szCs w:val="24"/>
        </w:rPr>
        <w:t xml:space="preserve"> </w:t>
      </w:r>
      <w:r w:rsidRPr="00D337FA">
        <w:rPr>
          <w:i/>
          <w:szCs w:val="24"/>
        </w:rPr>
        <w:t>издание</w:t>
      </w:r>
      <w:r w:rsidR="006C680D" w:rsidRPr="00D337FA">
        <w:rPr>
          <w:i/>
          <w:szCs w:val="24"/>
        </w:rPr>
        <w:t xml:space="preserve"> </w:t>
      </w:r>
      <w:r w:rsidRPr="00D337FA">
        <w:rPr>
          <w:i/>
          <w:szCs w:val="24"/>
        </w:rPr>
        <w:t>«Устойчивое</w:t>
      </w:r>
      <w:r w:rsidR="006C680D" w:rsidRPr="00D337FA">
        <w:rPr>
          <w:i/>
          <w:szCs w:val="24"/>
        </w:rPr>
        <w:t xml:space="preserve"> </w:t>
      </w:r>
      <w:r w:rsidRPr="00D337FA">
        <w:rPr>
          <w:i/>
          <w:szCs w:val="24"/>
        </w:rPr>
        <w:t>развитие:</w:t>
      </w:r>
      <w:r w:rsidR="006C680D" w:rsidRPr="00D337FA">
        <w:rPr>
          <w:i/>
          <w:szCs w:val="24"/>
        </w:rPr>
        <w:t xml:space="preserve"> </w:t>
      </w:r>
      <w:r w:rsidRPr="00D337FA">
        <w:rPr>
          <w:i/>
          <w:szCs w:val="24"/>
        </w:rPr>
        <w:t>наука</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практика».</w:t>
      </w:r>
      <w:r w:rsidR="006C680D" w:rsidRPr="00D337FA">
        <w:rPr>
          <w:i/>
          <w:szCs w:val="24"/>
        </w:rPr>
        <w:t xml:space="preserve"> </w:t>
      </w:r>
      <w:r w:rsidRPr="00D337FA">
        <w:rPr>
          <w:i/>
          <w:szCs w:val="24"/>
        </w:rPr>
        <w:t>2024.</w:t>
      </w:r>
      <w:r w:rsidR="006C680D" w:rsidRPr="00D337FA">
        <w:rPr>
          <w:i/>
          <w:szCs w:val="24"/>
        </w:rPr>
        <w:t xml:space="preserve"> </w:t>
      </w:r>
      <w:r w:rsidRPr="00D337FA">
        <w:rPr>
          <w:i/>
          <w:szCs w:val="24"/>
        </w:rPr>
        <w:t>Вып.</w:t>
      </w:r>
      <w:r w:rsidR="006C680D" w:rsidRPr="00D337FA">
        <w:rPr>
          <w:i/>
          <w:szCs w:val="24"/>
        </w:rPr>
        <w:t xml:space="preserve"> </w:t>
      </w:r>
      <w:r w:rsidRPr="00D337FA">
        <w:rPr>
          <w:i/>
          <w:szCs w:val="24"/>
        </w:rPr>
        <w:t>1</w:t>
      </w:r>
      <w:r w:rsidR="006C680D" w:rsidRPr="00D337FA">
        <w:rPr>
          <w:i/>
          <w:szCs w:val="24"/>
        </w:rPr>
        <w:t xml:space="preserve"> </w:t>
      </w:r>
      <w:r w:rsidRPr="00D337FA">
        <w:rPr>
          <w:i/>
          <w:szCs w:val="24"/>
        </w:rPr>
        <w:t>(37).</w:t>
      </w:r>
      <w:r w:rsidR="006C680D" w:rsidRPr="00D337FA">
        <w:rPr>
          <w:i/>
          <w:szCs w:val="24"/>
        </w:rPr>
        <w:t xml:space="preserve"> </w:t>
      </w:r>
      <w:r w:rsidRPr="00D337FA">
        <w:rPr>
          <w:i/>
          <w:szCs w:val="24"/>
        </w:rPr>
        <w:t>C.</w:t>
      </w:r>
      <w:r w:rsidR="006C680D" w:rsidRPr="00D337FA">
        <w:rPr>
          <w:i/>
          <w:szCs w:val="24"/>
        </w:rPr>
        <w:t xml:space="preserve"> </w:t>
      </w:r>
      <w:r w:rsidRPr="00D337FA">
        <w:rPr>
          <w:i/>
          <w:szCs w:val="24"/>
        </w:rPr>
        <w:t>27</w:t>
      </w:r>
      <w:r w:rsidR="006E6F5F" w:rsidRPr="00D337FA">
        <w:rPr>
          <w:i/>
          <w:szCs w:val="24"/>
        </w:rPr>
        <w:t>-</w:t>
      </w:r>
      <w:r w:rsidRPr="00D337FA">
        <w:rPr>
          <w:i/>
          <w:szCs w:val="24"/>
        </w:rPr>
        <w:t>32.</w:t>
      </w:r>
    </w:p>
    <w:p w:rsidR="00B91B4B" w:rsidRPr="00D337FA" w:rsidRDefault="00B91B4B" w:rsidP="00B91B4B">
      <w:pPr>
        <w:ind w:firstLine="284"/>
        <w:rPr>
          <w:i/>
          <w:szCs w:val="24"/>
        </w:rPr>
      </w:pPr>
      <w:r w:rsidRPr="00D337FA">
        <w:rPr>
          <w:i/>
          <w:szCs w:val="24"/>
        </w:rPr>
        <w:t>12.</w:t>
      </w:r>
      <w:r w:rsidRPr="00D337FA">
        <w:rPr>
          <w:i/>
          <w:szCs w:val="24"/>
        </w:rPr>
        <w:tab/>
        <w:t>Брыкалов</w:t>
      </w:r>
      <w:r w:rsidR="006C680D" w:rsidRPr="00D337FA">
        <w:rPr>
          <w:i/>
          <w:szCs w:val="24"/>
        </w:rPr>
        <w:t xml:space="preserve"> </w:t>
      </w:r>
      <w:r w:rsidRPr="00D337FA">
        <w:rPr>
          <w:i/>
          <w:szCs w:val="24"/>
        </w:rPr>
        <w:t>С.М.</w:t>
      </w:r>
      <w:r w:rsidR="00231534" w:rsidRPr="00D337FA">
        <w:rPr>
          <w:i/>
          <w:szCs w:val="24"/>
        </w:rPr>
        <w:t>,</w:t>
      </w:r>
      <w:r w:rsidR="006C680D" w:rsidRPr="00D337FA">
        <w:rPr>
          <w:i/>
          <w:szCs w:val="24"/>
        </w:rPr>
        <w:t xml:space="preserve"> </w:t>
      </w:r>
      <w:r w:rsidR="00231534" w:rsidRPr="00D337FA">
        <w:rPr>
          <w:i/>
          <w:szCs w:val="24"/>
        </w:rPr>
        <w:t>Трифонов</w:t>
      </w:r>
      <w:r w:rsidR="006C680D" w:rsidRPr="00D337FA">
        <w:rPr>
          <w:i/>
          <w:szCs w:val="24"/>
        </w:rPr>
        <w:t xml:space="preserve"> </w:t>
      </w:r>
      <w:r w:rsidR="00231534" w:rsidRPr="00D337FA">
        <w:rPr>
          <w:i/>
          <w:szCs w:val="24"/>
        </w:rPr>
        <w:t>В.</w:t>
      </w:r>
      <w:r w:rsidR="006C680D" w:rsidRPr="00D337FA">
        <w:rPr>
          <w:i/>
          <w:szCs w:val="24"/>
        </w:rPr>
        <w:t xml:space="preserve"> </w:t>
      </w:r>
      <w:r w:rsidR="00231534" w:rsidRPr="00D337FA">
        <w:rPr>
          <w:i/>
          <w:szCs w:val="24"/>
        </w:rPr>
        <w:t>Ю.,</w:t>
      </w:r>
      <w:r w:rsidR="006C680D" w:rsidRPr="00D337FA">
        <w:rPr>
          <w:i/>
          <w:szCs w:val="24"/>
        </w:rPr>
        <w:t xml:space="preserve"> </w:t>
      </w:r>
      <w:r w:rsidR="00231534" w:rsidRPr="00D337FA">
        <w:rPr>
          <w:i/>
          <w:szCs w:val="24"/>
        </w:rPr>
        <w:t>Романова</w:t>
      </w:r>
      <w:r w:rsidR="006C680D" w:rsidRPr="00D337FA">
        <w:rPr>
          <w:i/>
          <w:szCs w:val="24"/>
        </w:rPr>
        <w:t xml:space="preserve"> </w:t>
      </w:r>
      <w:r w:rsidR="00231534" w:rsidRPr="00D337FA">
        <w:rPr>
          <w:i/>
          <w:szCs w:val="24"/>
        </w:rPr>
        <w:t>К.</w:t>
      </w:r>
      <w:r w:rsidR="006C680D" w:rsidRPr="00D337FA">
        <w:rPr>
          <w:i/>
          <w:szCs w:val="24"/>
        </w:rPr>
        <w:t xml:space="preserve"> </w:t>
      </w:r>
      <w:r w:rsidR="00231534" w:rsidRPr="00D337FA">
        <w:rPr>
          <w:i/>
          <w:szCs w:val="24"/>
        </w:rPr>
        <w:t>А.</w:t>
      </w:r>
      <w:r w:rsidR="006C680D" w:rsidRPr="00D337FA">
        <w:rPr>
          <w:i/>
          <w:szCs w:val="24"/>
        </w:rPr>
        <w:t xml:space="preserve"> </w:t>
      </w:r>
      <w:r w:rsidRPr="00D337FA">
        <w:rPr>
          <w:i/>
          <w:szCs w:val="24"/>
        </w:rPr>
        <w:t>Подходы</w:t>
      </w:r>
      <w:r w:rsidR="006C680D" w:rsidRPr="00D337FA">
        <w:rPr>
          <w:i/>
          <w:szCs w:val="24"/>
        </w:rPr>
        <w:t xml:space="preserve"> </w:t>
      </w:r>
      <w:r w:rsidRPr="00D337FA">
        <w:rPr>
          <w:i/>
          <w:szCs w:val="24"/>
        </w:rPr>
        <w:t>к</w:t>
      </w:r>
      <w:r w:rsidR="006C680D" w:rsidRPr="00D337FA">
        <w:rPr>
          <w:i/>
          <w:szCs w:val="24"/>
        </w:rPr>
        <w:t xml:space="preserve"> </w:t>
      </w:r>
      <w:r w:rsidRPr="00D337FA">
        <w:rPr>
          <w:i/>
          <w:szCs w:val="24"/>
        </w:rPr>
        <w:t>управлению</w:t>
      </w:r>
      <w:r w:rsidR="006C680D" w:rsidRPr="00D337FA">
        <w:rPr>
          <w:i/>
          <w:szCs w:val="24"/>
        </w:rPr>
        <w:t xml:space="preserve"> </w:t>
      </w:r>
      <w:r w:rsidRPr="00D337FA">
        <w:rPr>
          <w:i/>
          <w:szCs w:val="24"/>
        </w:rPr>
        <w:t>рисками</w:t>
      </w:r>
      <w:r w:rsidR="006C680D" w:rsidRPr="00D337FA">
        <w:rPr>
          <w:i/>
          <w:szCs w:val="24"/>
        </w:rPr>
        <w:t xml:space="preserve"> </w:t>
      </w:r>
      <w:r w:rsidRPr="00D337FA">
        <w:rPr>
          <w:i/>
          <w:szCs w:val="24"/>
        </w:rPr>
        <w:t>менеджмента</w:t>
      </w:r>
      <w:r w:rsidR="006C680D" w:rsidRPr="00D337FA">
        <w:rPr>
          <w:i/>
          <w:szCs w:val="24"/>
        </w:rPr>
        <w:t xml:space="preserve"> </w:t>
      </w:r>
      <w:r w:rsidRPr="00D337FA">
        <w:rPr>
          <w:i/>
          <w:szCs w:val="24"/>
        </w:rPr>
        <w:t>качества</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анализа</w:t>
      </w:r>
      <w:r w:rsidR="006C680D" w:rsidRPr="00D337FA">
        <w:rPr>
          <w:i/>
          <w:szCs w:val="24"/>
        </w:rPr>
        <w:t xml:space="preserve"> </w:t>
      </w:r>
      <w:r w:rsidRPr="00D337FA">
        <w:rPr>
          <w:i/>
          <w:szCs w:val="24"/>
        </w:rPr>
        <w:t>риска.</w:t>
      </w:r>
      <w:r w:rsidR="006C680D" w:rsidRPr="00D337FA">
        <w:rPr>
          <w:i/>
          <w:szCs w:val="24"/>
        </w:rPr>
        <w:t xml:space="preserve"> </w:t>
      </w:r>
      <w:r w:rsidRPr="00D337FA">
        <w:rPr>
          <w:i/>
          <w:szCs w:val="24"/>
        </w:rPr>
        <w:t>2023.</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20.</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6.</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70</w:t>
      </w:r>
      <w:r w:rsidR="006E6F5F" w:rsidRPr="00D337FA">
        <w:rPr>
          <w:i/>
          <w:szCs w:val="24"/>
        </w:rPr>
        <w:t>-</w:t>
      </w:r>
      <w:r w:rsidRPr="00D337FA">
        <w:rPr>
          <w:i/>
          <w:szCs w:val="24"/>
        </w:rPr>
        <w:t>82.</w:t>
      </w:r>
    </w:p>
    <w:p w:rsidR="00B91B4B" w:rsidRPr="00D337FA" w:rsidRDefault="00B91B4B" w:rsidP="00B91B4B">
      <w:pPr>
        <w:ind w:firstLine="284"/>
        <w:rPr>
          <w:i/>
          <w:szCs w:val="24"/>
        </w:rPr>
      </w:pPr>
      <w:r w:rsidRPr="00D337FA">
        <w:rPr>
          <w:i/>
          <w:szCs w:val="24"/>
        </w:rPr>
        <w:lastRenderedPageBreak/>
        <w:t>13.</w:t>
      </w:r>
      <w:r w:rsidR="006C680D" w:rsidRPr="00D337FA">
        <w:rPr>
          <w:i/>
          <w:szCs w:val="24"/>
        </w:rPr>
        <w:t xml:space="preserve"> </w:t>
      </w:r>
      <w:r w:rsidRPr="00D337FA">
        <w:rPr>
          <w:i/>
          <w:szCs w:val="24"/>
        </w:rPr>
        <w:t>Рынок</w:t>
      </w:r>
      <w:r w:rsidR="006C680D" w:rsidRPr="00D337FA">
        <w:rPr>
          <w:i/>
          <w:szCs w:val="24"/>
        </w:rPr>
        <w:t xml:space="preserve"> </w:t>
      </w:r>
      <w:r w:rsidRPr="00D337FA">
        <w:rPr>
          <w:i/>
          <w:szCs w:val="24"/>
        </w:rPr>
        <w:t>страхования.</w:t>
      </w:r>
      <w:r w:rsidR="006C680D" w:rsidRPr="00D337FA">
        <w:rPr>
          <w:i/>
          <w:szCs w:val="24"/>
        </w:rPr>
        <w:t xml:space="preserve"> </w:t>
      </w:r>
      <w:r w:rsidRPr="00D337FA">
        <w:rPr>
          <w:i/>
          <w:szCs w:val="24"/>
        </w:rPr>
        <w:t>Аналитический</w:t>
      </w:r>
      <w:r w:rsidR="006C680D" w:rsidRPr="00D337FA">
        <w:rPr>
          <w:i/>
          <w:szCs w:val="24"/>
        </w:rPr>
        <w:t xml:space="preserve"> </w:t>
      </w:r>
      <w:r w:rsidRPr="00D337FA">
        <w:rPr>
          <w:i/>
          <w:szCs w:val="24"/>
        </w:rPr>
        <w:t>комментарий</w:t>
      </w:r>
      <w:r w:rsidR="006E6F5F" w:rsidRPr="00D337FA">
        <w:rPr>
          <w:i/>
          <w:szCs w:val="24"/>
        </w:rPr>
        <w:t>.</w:t>
      </w:r>
      <w:r w:rsidR="006C680D" w:rsidRPr="00D337FA">
        <w:rPr>
          <w:i/>
          <w:szCs w:val="24"/>
        </w:rPr>
        <w:t xml:space="preserve"> </w:t>
      </w:r>
      <w:r w:rsidR="006E6F5F" w:rsidRPr="00D337FA">
        <w:rPr>
          <w:i/>
          <w:szCs w:val="24"/>
          <w:lang w:val="en-US"/>
        </w:rPr>
        <w:t>URL</w:t>
      </w:r>
      <w:r w:rsidR="006E6F5F" w:rsidRPr="00D337FA">
        <w:rPr>
          <w:i/>
          <w:szCs w:val="24"/>
        </w:rPr>
        <w:t>:</w:t>
      </w:r>
      <w:r w:rsidR="006C680D" w:rsidRPr="00D337FA">
        <w:rPr>
          <w:i/>
          <w:szCs w:val="24"/>
        </w:rPr>
        <w:t xml:space="preserve"> </w:t>
      </w:r>
      <w:r w:rsidRPr="00D337FA">
        <w:rPr>
          <w:i/>
          <w:szCs w:val="24"/>
        </w:rPr>
        <w:t>https://www.cbr.ru/press/event/?id=23469</w:t>
      </w:r>
      <w:r w:rsidR="006C680D" w:rsidRPr="00D337FA">
        <w:rPr>
          <w:i/>
          <w:szCs w:val="24"/>
        </w:rPr>
        <w:t xml:space="preserve"> </w:t>
      </w:r>
      <w:r w:rsidRPr="00D337FA">
        <w:rPr>
          <w:i/>
          <w:szCs w:val="24"/>
        </w:rPr>
        <w:t>(дата</w:t>
      </w:r>
      <w:r w:rsidR="006C680D" w:rsidRPr="00D337FA">
        <w:rPr>
          <w:i/>
          <w:szCs w:val="24"/>
        </w:rPr>
        <w:t xml:space="preserve"> </w:t>
      </w:r>
      <w:r w:rsidRPr="00D337FA">
        <w:rPr>
          <w:i/>
          <w:szCs w:val="24"/>
        </w:rPr>
        <w:t>обращения:</w:t>
      </w:r>
      <w:r w:rsidR="006C680D" w:rsidRPr="00D337FA">
        <w:rPr>
          <w:i/>
          <w:szCs w:val="24"/>
        </w:rPr>
        <w:t xml:space="preserve"> </w:t>
      </w:r>
      <w:r w:rsidRPr="00D337FA">
        <w:rPr>
          <w:i/>
          <w:szCs w:val="24"/>
        </w:rPr>
        <w:t>20.12.2025)</w:t>
      </w:r>
    </w:p>
    <w:p w:rsidR="00B91B4B" w:rsidRPr="00D337FA" w:rsidRDefault="00B91B4B" w:rsidP="00B91B4B">
      <w:pPr>
        <w:ind w:firstLine="284"/>
        <w:rPr>
          <w:i/>
          <w:szCs w:val="24"/>
          <w:lang w:val="en-US"/>
        </w:rPr>
      </w:pPr>
      <w:r w:rsidRPr="00D337FA">
        <w:rPr>
          <w:i/>
          <w:szCs w:val="24"/>
        </w:rPr>
        <w:t>14.</w:t>
      </w:r>
      <w:r w:rsidRPr="00D337FA">
        <w:rPr>
          <w:i/>
          <w:szCs w:val="24"/>
        </w:rPr>
        <w:tab/>
        <w:t>Владимирова</w:t>
      </w:r>
      <w:r w:rsidR="006C680D" w:rsidRPr="00D337FA">
        <w:rPr>
          <w:i/>
          <w:szCs w:val="24"/>
        </w:rPr>
        <w:t xml:space="preserve"> </w:t>
      </w:r>
      <w:r w:rsidRPr="00D337FA">
        <w:rPr>
          <w:i/>
          <w:szCs w:val="24"/>
        </w:rPr>
        <w:t>И.Г.,</w:t>
      </w:r>
      <w:r w:rsidR="006C680D" w:rsidRPr="00D337FA">
        <w:rPr>
          <w:i/>
          <w:szCs w:val="24"/>
        </w:rPr>
        <w:t xml:space="preserve"> </w:t>
      </w:r>
      <w:r w:rsidRPr="00D337FA">
        <w:rPr>
          <w:i/>
          <w:szCs w:val="24"/>
        </w:rPr>
        <w:t>Полевая</w:t>
      </w:r>
      <w:r w:rsidR="006C680D" w:rsidRPr="00D337FA">
        <w:rPr>
          <w:i/>
          <w:szCs w:val="24"/>
        </w:rPr>
        <w:t xml:space="preserve"> </w:t>
      </w:r>
      <w:r w:rsidRPr="00D337FA">
        <w:rPr>
          <w:i/>
          <w:szCs w:val="24"/>
        </w:rPr>
        <w:t>Е.В.</w:t>
      </w:r>
      <w:r w:rsidR="006C680D" w:rsidRPr="00D337FA">
        <w:rPr>
          <w:i/>
          <w:szCs w:val="24"/>
        </w:rPr>
        <w:t xml:space="preserve"> </w:t>
      </w:r>
      <w:r w:rsidRPr="00D337FA">
        <w:rPr>
          <w:i/>
          <w:szCs w:val="24"/>
        </w:rPr>
        <w:t>Методический</w:t>
      </w:r>
      <w:r w:rsidR="006C680D" w:rsidRPr="00D337FA">
        <w:rPr>
          <w:i/>
          <w:szCs w:val="24"/>
        </w:rPr>
        <w:t xml:space="preserve"> </w:t>
      </w:r>
      <w:r w:rsidRPr="00D337FA">
        <w:rPr>
          <w:i/>
          <w:szCs w:val="24"/>
        </w:rPr>
        <w:t>подход</w:t>
      </w:r>
      <w:r w:rsidR="006C680D" w:rsidRPr="00D337FA">
        <w:rPr>
          <w:i/>
          <w:szCs w:val="24"/>
        </w:rPr>
        <w:t xml:space="preserve"> </w:t>
      </w:r>
      <w:r w:rsidRPr="00D337FA">
        <w:rPr>
          <w:i/>
          <w:szCs w:val="24"/>
        </w:rPr>
        <w:t>к</w:t>
      </w:r>
      <w:r w:rsidR="006C680D" w:rsidRPr="00D337FA">
        <w:rPr>
          <w:i/>
          <w:szCs w:val="24"/>
        </w:rPr>
        <w:t xml:space="preserve"> </w:t>
      </w:r>
      <w:r w:rsidR="006E6F5F" w:rsidRPr="00D337FA">
        <w:rPr>
          <w:i/>
          <w:szCs w:val="24"/>
        </w:rPr>
        <w:t>оценке</w:t>
      </w:r>
      <w:r w:rsidR="006C680D" w:rsidRPr="00D337FA">
        <w:rPr>
          <w:i/>
          <w:szCs w:val="24"/>
        </w:rPr>
        <w:t xml:space="preserve"> </w:t>
      </w:r>
      <w:r w:rsidRPr="00D337FA">
        <w:rPr>
          <w:i/>
          <w:szCs w:val="24"/>
        </w:rPr>
        <w:t>уровня</w:t>
      </w:r>
      <w:r w:rsidR="006C680D" w:rsidRPr="00D337FA">
        <w:rPr>
          <w:i/>
          <w:szCs w:val="24"/>
        </w:rPr>
        <w:t xml:space="preserve"> </w:t>
      </w:r>
      <w:r w:rsidRPr="00D337FA">
        <w:rPr>
          <w:i/>
          <w:szCs w:val="24"/>
        </w:rPr>
        <w:t>адаптивности</w:t>
      </w:r>
      <w:r w:rsidR="006C680D" w:rsidRPr="00D337FA">
        <w:rPr>
          <w:i/>
          <w:szCs w:val="24"/>
        </w:rPr>
        <w:t xml:space="preserve"> </w:t>
      </w:r>
      <w:r w:rsidRPr="00D337FA">
        <w:rPr>
          <w:i/>
          <w:szCs w:val="24"/>
        </w:rPr>
        <w:t>организационных</w:t>
      </w:r>
      <w:r w:rsidR="006C680D" w:rsidRPr="00D337FA">
        <w:rPr>
          <w:i/>
          <w:szCs w:val="24"/>
        </w:rPr>
        <w:t xml:space="preserve"> </w:t>
      </w:r>
      <w:r w:rsidRPr="00D337FA">
        <w:rPr>
          <w:i/>
          <w:szCs w:val="24"/>
        </w:rPr>
        <w:t>структур</w:t>
      </w:r>
      <w:r w:rsidR="006C680D" w:rsidRPr="00D337FA">
        <w:rPr>
          <w:i/>
          <w:szCs w:val="24"/>
        </w:rPr>
        <w:t xml:space="preserve"> </w:t>
      </w:r>
      <w:r w:rsidRPr="00D337FA">
        <w:rPr>
          <w:i/>
          <w:szCs w:val="24"/>
        </w:rPr>
        <w:t>управления</w:t>
      </w:r>
      <w:r w:rsidR="006C680D" w:rsidRPr="00D337FA">
        <w:rPr>
          <w:i/>
          <w:szCs w:val="24"/>
        </w:rPr>
        <w:t xml:space="preserve"> </w:t>
      </w:r>
      <w:r w:rsidR="006E6F5F" w:rsidRPr="00D337FA">
        <w:rPr>
          <w:i/>
          <w:szCs w:val="24"/>
        </w:rPr>
        <w:t>компаниями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МИР</w:t>
      </w:r>
      <w:r w:rsidR="006C680D" w:rsidRPr="00D337FA">
        <w:rPr>
          <w:i/>
          <w:szCs w:val="24"/>
        </w:rPr>
        <w:t xml:space="preserve"> </w:t>
      </w:r>
      <w:r w:rsidRPr="00D337FA">
        <w:rPr>
          <w:i/>
          <w:szCs w:val="24"/>
        </w:rPr>
        <w:t>(Модернизация.</w:t>
      </w:r>
      <w:r w:rsidR="006C680D" w:rsidRPr="00D337FA">
        <w:rPr>
          <w:i/>
          <w:szCs w:val="24"/>
        </w:rPr>
        <w:t xml:space="preserve"> </w:t>
      </w:r>
      <w:r w:rsidRPr="00D337FA">
        <w:rPr>
          <w:i/>
          <w:szCs w:val="24"/>
        </w:rPr>
        <w:t>Инновации</w:t>
      </w:r>
      <w:r w:rsidRPr="00D337FA">
        <w:rPr>
          <w:i/>
          <w:szCs w:val="24"/>
          <w:lang w:val="en-US"/>
        </w:rPr>
        <w:t>.</w:t>
      </w:r>
      <w:r w:rsidR="006C680D" w:rsidRPr="00D337FA">
        <w:rPr>
          <w:i/>
          <w:szCs w:val="24"/>
          <w:lang w:val="en-US"/>
        </w:rPr>
        <w:t xml:space="preserve"> </w:t>
      </w:r>
      <w:r w:rsidRPr="00D337FA">
        <w:rPr>
          <w:i/>
          <w:szCs w:val="24"/>
        </w:rPr>
        <w:t>Развитие</w:t>
      </w:r>
      <w:r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rPr>
        <w:t>Т</w:t>
      </w:r>
      <w:r w:rsidRPr="00D337FA">
        <w:rPr>
          <w:i/>
          <w:szCs w:val="24"/>
          <w:lang w:val="en-US"/>
        </w:rPr>
        <w:t>.</w:t>
      </w:r>
      <w:r w:rsidR="006C680D" w:rsidRPr="00D337FA">
        <w:rPr>
          <w:i/>
          <w:szCs w:val="24"/>
          <w:lang w:val="en-US"/>
        </w:rPr>
        <w:t xml:space="preserve"> </w:t>
      </w:r>
      <w:r w:rsidRPr="00D337FA">
        <w:rPr>
          <w:i/>
          <w:szCs w:val="24"/>
          <w:lang w:val="en-US"/>
        </w:rPr>
        <w:t>14.</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rPr>
        <w:t>С</w:t>
      </w:r>
      <w:r w:rsidRPr="00D337FA">
        <w:rPr>
          <w:i/>
          <w:szCs w:val="24"/>
          <w:lang w:val="en-US"/>
        </w:rPr>
        <w:t>.</w:t>
      </w:r>
      <w:r w:rsidR="006C680D" w:rsidRPr="00D337FA">
        <w:rPr>
          <w:i/>
          <w:szCs w:val="24"/>
          <w:lang w:val="en-US"/>
        </w:rPr>
        <w:t xml:space="preserve"> </w:t>
      </w:r>
      <w:r w:rsidRPr="00D337FA">
        <w:rPr>
          <w:i/>
          <w:szCs w:val="24"/>
          <w:lang w:val="en-US"/>
        </w:rPr>
        <w:t>242</w:t>
      </w:r>
      <w:r w:rsidR="006E6F5F" w:rsidRPr="00D337FA">
        <w:rPr>
          <w:i/>
          <w:szCs w:val="24"/>
          <w:lang w:val="en-US"/>
        </w:rPr>
        <w:t>-</w:t>
      </w:r>
      <w:r w:rsidRPr="00D337FA">
        <w:rPr>
          <w:i/>
          <w:szCs w:val="24"/>
          <w:lang w:val="en-US"/>
        </w:rPr>
        <w:t>261.</w:t>
      </w:r>
    </w:p>
    <w:p w:rsidR="00B91B4B" w:rsidRPr="00D337FA" w:rsidRDefault="00B91B4B" w:rsidP="00B91B4B">
      <w:pPr>
        <w:ind w:firstLine="284"/>
        <w:rPr>
          <w:i/>
          <w:szCs w:val="24"/>
          <w:lang w:val="en-US"/>
        </w:rPr>
      </w:pPr>
      <w:r w:rsidRPr="00D337FA">
        <w:rPr>
          <w:i/>
          <w:szCs w:val="24"/>
          <w:lang w:val="en-US"/>
        </w:rPr>
        <w:t>15.</w:t>
      </w:r>
      <w:r w:rsidR="006C680D" w:rsidRPr="00D337FA">
        <w:rPr>
          <w:i/>
          <w:szCs w:val="24"/>
          <w:lang w:val="en-US"/>
        </w:rPr>
        <w:t xml:space="preserve"> </w:t>
      </w:r>
      <w:r w:rsidRPr="00D337FA">
        <w:rPr>
          <w:i/>
          <w:szCs w:val="24"/>
          <w:lang w:val="en-US"/>
        </w:rPr>
        <w:t>Fang</w:t>
      </w:r>
      <w:r w:rsidR="006C680D" w:rsidRPr="00D337FA">
        <w:rPr>
          <w:i/>
          <w:szCs w:val="24"/>
          <w:lang w:val="en-US"/>
        </w:rPr>
        <w:t xml:space="preserve"> </w:t>
      </w:r>
      <w:r w:rsidRPr="00D337FA">
        <w:rPr>
          <w:i/>
          <w:szCs w:val="24"/>
          <w:lang w:val="en-US"/>
        </w:rPr>
        <w:t>Ming</w:t>
      </w:r>
      <w:r w:rsidR="006C680D" w:rsidRPr="00D337FA">
        <w:rPr>
          <w:i/>
          <w:szCs w:val="24"/>
          <w:lang w:val="en-US"/>
        </w:rPr>
        <w:t xml:space="preserve"> </w:t>
      </w:r>
      <w:r w:rsidRPr="00D337FA">
        <w:rPr>
          <w:i/>
          <w:szCs w:val="24"/>
          <w:lang w:val="en-US"/>
        </w:rPr>
        <w:t>Chen.</w:t>
      </w:r>
      <w:r w:rsidR="006C680D" w:rsidRPr="00D337FA">
        <w:rPr>
          <w:i/>
          <w:szCs w:val="24"/>
          <w:lang w:val="en-US"/>
        </w:rPr>
        <w:t xml:space="preserve"> </w:t>
      </w:r>
      <w:r w:rsidRPr="00D337FA">
        <w:rPr>
          <w:i/>
          <w:szCs w:val="24"/>
          <w:lang w:val="en-US"/>
        </w:rPr>
        <w:t>An</w:t>
      </w:r>
      <w:r w:rsidR="006C680D" w:rsidRPr="00D337FA">
        <w:rPr>
          <w:i/>
          <w:szCs w:val="24"/>
          <w:lang w:val="en-US"/>
        </w:rPr>
        <w:t xml:space="preserve"> </w:t>
      </w:r>
      <w:r w:rsidRPr="00D337FA">
        <w:rPr>
          <w:i/>
          <w:szCs w:val="24"/>
          <w:lang w:val="en-US"/>
        </w:rPr>
        <w:t>exploration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role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social</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Knowledge</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2015.</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9.</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53</w:t>
      </w:r>
    </w:p>
    <w:p w:rsidR="00B91B4B" w:rsidRPr="00D337FA" w:rsidRDefault="00B91B4B" w:rsidP="00B91B4B">
      <w:pPr>
        <w:ind w:firstLine="284"/>
        <w:rPr>
          <w:i/>
          <w:szCs w:val="24"/>
        </w:rPr>
      </w:pPr>
      <w:r w:rsidRPr="00D337FA">
        <w:rPr>
          <w:i/>
          <w:szCs w:val="24"/>
        </w:rPr>
        <w:t>16.</w:t>
      </w:r>
      <w:r w:rsidR="006C680D" w:rsidRPr="00D337FA">
        <w:rPr>
          <w:i/>
          <w:szCs w:val="24"/>
        </w:rPr>
        <w:t xml:space="preserve"> </w:t>
      </w:r>
      <w:r w:rsidRPr="00D337FA">
        <w:rPr>
          <w:i/>
          <w:szCs w:val="24"/>
        </w:rPr>
        <w:t>Хакимов</w:t>
      </w:r>
      <w:r w:rsidR="006C680D" w:rsidRPr="00D337FA">
        <w:rPr>
          <w:i/>
          <w:szCs w:val="24"/>
        </w:rPr>
        <w:t xml:space="preserve"> </w:t>
      </w:r>
      <w:r w:rsidRPr="00D337FA">
        <w:rPr>
          <w:i/>
          <w:szCs w:val="24"/>
        </w:rPr>
        <w:t>Р.Т.</w:t>
      </w:r>
      <w:r w:rsidR="006E6F5F" w:rsidRPr="00D337FA">
        <w:rPr>
          <w:i/>
          <w:szCs w:val="24"/>
        </w:rPr>
        <w:t>,</w:t>
      </w:r>
      <w:r w:rsidR="006C680D" w:rsidRPr="00D337FA">
        <w:rPr>
          <w:i/>
          <w:szCs w:val="24"/>
        </w:rPr>
        <w:t xml:space="preserve"> </w:t>
      </w:r>
      <w:r w:rsidR="006E6F5F" w:rsidRPr="00D337FA">
        <w:rPr>
          <w:i/>
          <w:szCs w:val="24"/>
        </w:rPr>
        <w:t>Альгина</w:t>
      </w:r>
      <w:r w:rsidR="006C680D" w:rsidRPr="00D337FA">
        <w:rPr>
          <w:i/>
          <w:szCs w:val="24"/>
        </w:rPr>
        <w:t xml:space="preserve"> </w:t>
      </w:r>
      <w:r w:rsidR="006E6F5F" w:rsidRPr="00D337FA">
        <w:rPr>
          <w:i/>
          <w:szCs w:val="24"/>
        </w:rPr>
        <w:t>Т.</w:t>
      </w:r>
      <w:r w:rsidR="006C680D" w:rsidRPr="00D337FA">
        <w:rPr>
          <w:i/>
          <w:szCs w:val="24"/>
        </w:rPr>
        <w:t xml:space="preserve"> </w:t>
      </w:r>
      <w:r w:rsidR="006E6F5F" w:rsidRPr="00D337FA">
        <w:rPr>
          <w:i/>
          <w:szCs w:val="24"/>
        </w:rPr>
        <w:t>Б.,</w:t>
      </w:r>
      <w:r w:rsidR="006C680D" w:rsidRPr="00D337FA">
        <w:rPr>
          <w:i/>
          <w:szCs w:val="24"/>
        </w:rPr>
        <w:t xml:space="preserve"> </w:t>
      </w:r>
      <w:r w:rsidR="006E6F5F" w:rsidRPr="00D337FA">
        <w:rPr>
          <w:i/>
          <w:szCs w:val="24"/>
        </w:rPr>
        <w:t>Хакимова</w:t>
      </w:r>
      <w:r w:rsidR="006C680D" w:rsidRPr="00D337FA">
        <w:rPr>
          <w:i/>
          <w:szCs w:val="24"/>
        </w:rPr>
        <w:t xml:space="preserve"> </w:t>
      </w:r>
      <w:r w:rsidR="006E6F5F" w:rsidRPr="00D337FA">
        <w:rPr>
          <w:i/>
          <w:szCs w:val="24"/>
        </w:rPr>
        <w:t>Г.</w:t>
      </w:r>
      <w:r w:rsidR="006C680D" w:rsidRPr="00D337FA">
        <w:rPr>
          <w:i/>
          <w:szCs w:val="24"/>
        </w:rPr>
        <w:t xml:space="preserve"> </w:t>
      </w:r>
      <w:r w:rsidR="006E6F5F" w:rsidRPr="00D337FA">
        <w:rPr>
          <w:i/>
          <w:szCs w:val="24"/>
        </w:rPr>
        <w:t>Р.</w:t>
      </w:r>
      <w:r w:rsidR="006C680D" w:rsidRPr="00D337FA">
        <w:rPr>
          <w:i/>
          <w:szCs w:val="24"/>
        </w:rPr>
        <w:t xml:space="preserve"> </w:t>
      </w:r>
      <w:r w:rsidRPr="00D337FA">
        <w:rPr>
          <w:i/>
          <w:szCs w:val="24"/>
        </w:rPr>
        <w:t>Особенности</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рисками</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системе</w:t>
      </w:r>
      <w:r w:rsidR="006C680D" w:rsidRPr="00D337FA">
        <w:rPr>
          <w:i/>
          <w:szCs w:val="24"/>
        </w:rPr>
        <w:t xml:space="preserve"> </w:t>
      </w:r>
      <w:r w:rsidR="006E6F5F" w:rsidRPr="00D337FA">
        <w:rPr>
          <w:i/>
          <w:szCs w:val="24"/>
        </w:rPr>
        <w:t>менеджмента</w:t>
      </w:r>
      <w:r w:rsidR="006C680D" w:rsidRPr="00D337FA">
        <w:rPr>
          <w:i/>
          <w:szCs w:val="24"/>
        </w:rPr>
        <w:t xml:space="preserve"> </w:t>
      </w:r>
      <w:r w:rsidRPr="00D337FA">
        <w:rPr>
          <w:i/>
          <w:szCs w:val="24"/>
        </w:rPr>
        <w:t>качества</w:t>
      </w:r>
      <w:r w:rsidR="006C680D" w:rsidRPr="00D337FA">
        <w:rPr>
          <w:i/>
          <w:szCs w:val="24"/>
        </w:rPr>
        <w:t xml:space="preserve"> </w:t>
      </w:r>
      <w:r w:rsidRPr="00D337FA">
        <w:rPr>
          <w:i/>
          <w:szCs w:val="24"/>
        </w:rPr>
        <w:t>организации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Известия</w:t>
      </w:r>
      <w:r w:rsidR="006C680D" w:rsidRPr="00D337FA">
        <w:rPr>
          <w:i/>
          <w:szCs w:val="24"/>
        </w:rPr>
        <w:t xml:space="preserve"> </w:t>
      </w:r>
      <w:r w:rsidRPr="00D337FA">
        <w:rPr>
          <w:i/>
          <w:szCs w:val="24"/>
        </w:rPr>
        <w:t>Междунар.</w:t>
      </w:r>
      <w:r w:rsidR="006C680D" w:rsidRPr="00D337FA">
        <w:rPr>
          <w:i/>
          <w:szCs w:val="24"/>
        </w:rPr>
        <w:t xml:space="preserve"> </w:t>
      </w:r>
      <w:r w:rsidRPr="00D337FA">
        <w:rPr>
          <w:i/>
          <w:szCs w:val="24"/>
        </w:rPr>
        <w:t>акад.</w:t>
      </w:r>
      <w:r w:rsidR="006C680D" w:rsidRPr="00D337FA">
        <w:rPr>
          <w:i/>
          <w:szCs w:val="24"/>
        </w:rPr>
        <w:t xml:space="preserve"> </w:t>
      </w:r>
      <w:r w:rsidRPr="00D337FA">
        <w:rPr>
          <w:i/>
          <w:szCs w:val="24"/>
        </w:rPr>
        <w:t>аграр.</w:t>
      </w:r>
      <w:r w:rsidR="006C680D" w:rsidRPr="00D337FA">
        <w:rPr>
          <w:i/>
          <w:szCs w:val="24"/>
        </w:rPr>
        <w:t xml:space="preserve"> </w:t>
      </w:r>
      <w:r w:rsidRPr="00D337FA">
        <w:rPr>
          <w:i/>
          <w:szCs w:val="24"/>
        </w:rPr>
        <w:t>образования.</w:t>
      </w:r>
      <w:r w:rsidR="006C680D" w:rsidRPr="00D337FA">
        <w:rPr>
          <w:i/>
          <w:szCs w:val="24"/>
        </w:rPr>
        <w:t xml:space="preserve"> </w:t>
      </w:r>
      <w:r w:rsidRPr="00D337FA">
        <w:rPr>
          <w:i/>
          <w:szCs w:val="24"/>
        </w:rPr>
        <w:t>2020.</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50.</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128</w:t>
      </w:r>
      <w:r w:rsidR="006E6F5F" w:rsidRPr="00D337FA">
        <w:rPr>
          <w:i/>
          <w:szCs w:val="24"/>
        </w:rPr>
        <w:t>-</w:t>
      </w:r>
      <w:r w:rsidRPr="00D337FA">
        <w:rPr>
          <w:i/>
          <w:szCs w:val="24"/>
        </w:rPr>
        <w:t>133.</w:t>
      </w:r>
    </w:p>
    <w:p w:rsidR="00B91B4B" w:rsidRPr="00D337FA" w:rsidRDefault="00B91B4B" w:rsidP="00B91B4B">
      <w:pPr>
        <w:ind w:firstLine="284"/>
        <w:rPr>
          <w:i/>
          <w:szCs w:val="24"/>
        </w:rPr>
      </w:pPr>
      <w:r w:rsidRPr="00D337FA">
        <w:rPr>
          <w:i/>
          <w:szCs w:val="24"/>
        </w:rPr>
        <w:t>17.</w:t>
      </w:r>
      <w:r w:rsidR="006C680D" w:rsidRPr="00D337FA">
        <w:rPr>
          <w:i/>
          <w:szCs w:val="24"/>
        </w:rPr>
        <w:t xml:space="preserve"> </w:t>
      </w:r>
      <w:r w:rsidRPr="00D337FA">
        <w:rPr>
          <w:i/>
          <w:szCs w:val="24"/>
        </w:rPr>
        <w:t>Солдаткина</w:t>
      </w:r>
      <w:r w:rsidR="006C680D" w:rsidRPr="00D337FA">
        <w:rPr>
          <w:i/>
          <w:szCs w:val="24"/>
        </w:rPr>
        <w:t xml:space="preserve"> </w:t>
      </w:r>
      <w:r w:rsidRPr="00D337FA">
        <w:rPr>
          <w:i/>
          <w:szCs w:val="24"/>
        </w:rPr>
        <w:t>О.В.</w:t>
      </w:r>
      <w:r w:rsidR="006C680D" w:rsidRPr="00D337FA">
        <w:rPr>
          <w:i/>
          <w:szCs w:val="24"/>
        </w:rPr>
        <w:t xml:space="preserve"> </w:t>
      </w:r>
      <w:r w:rsidRPr="00D337FA">
        <w:rPr>
          <w:i/>
          <w:szCs w:val="24"/>
        </w:rPr>
        <w:t>Разработка</w:t>
      </w:r>
      <w:r w:rsidR="006C680D" w:rsidRPr="00D337FA">
        <w:rPr>
          <w:i/>
          <w:szCs w:val="24"/>
        </w:rPr>
        <w:t xml:space="preserve"> </w:t>
      </w:r>
      <w:r w:rsidRPr="00D337FA">
        <w:rPr>
          <w:i/>
          <w:szCs w:val="24"/>
        </w:rPr>
        <w:t>стратегии</w:t>
      </w:r>
      <w:r w:rsidR="006C680D" w:rsidRPr="00D337FA">
        <w:rPr>
          <w:i/>
          <w:szCs w:val="24"/>
        </w:rPr>
        <w:t xml:space="preserve"> </w:t>
      </w:r>
      <w:r w:rsidRPr="00D337FA">
        <w:rPr>
          <w:i/>
          <w:szCs w:val="24"/>
        </w:rPr>
        <w:t>развития</w:t>
      </w:r>
      <w:r w:rsidR="006C680D" w:rsidRPr="00D337FA">
        <w:rPr>
          <w:i/>
          <w:szCs w:val="24"/>
        </w:rPr>
        <w:t xml:space="preserve"> </w:t>
      </w:r>
      <w:r w:rsidRPr="00D337FA">
        <w:rPr>
          <w:i/>
          <w:szCs w:val="24"/>
        </w:rPr>
        <w:t>предприятия</w:t>
      </w:r>
      <w:r w:rsidR="006C680D" w:rsidRPr="00D337FA">
        <w:rPr>
          <w:i/>
          <w:szCs w:val="24"/>
        </w:rPr>
        <w:t xml:space="preserve"> </w:t>
      </w:r>
      <w:r w:rsidRPr="00D337FA">
        <w:rPr>
          <w:i/>
          <w:szCs w:val="24"/>
        </w:rPr>
        <w:t>малого</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среднего</w:t>
      </w:r>
      <w:r w:rsidR="006C680D" w:rsidRPr="00D337FA">
        <w:rPr>
          <w:i/>
          <w:szCs w:val="24"/>
        </w:rPr>
        <w:t xml:space="preserve"> </w:t>
      </w:r>
      <w:r w:rsidRPr="00D337FA">
        <w:rPr>
          <w:i/>
          <w:szCs w:val="24"/>
        </w:rPr>
        <w:t>бизнеса:</w:t>
      </w:r>
      <w:r w:rsidR="006C680D" w:rsidRPr="00D337FA">
        <w:rPr>
          <w:i/>
          <w:szCs w:val="24"/>
        </w:rPr>
        <w:t xml:space="preserve"> </w:t>
      </w:r>
      <w:r w:rsidRPr="00D337FA">
        <w:rPr>
          <w:i/>
          <w:szCs w:val="24"/>
        </w:rPr>
        <w:t>теория</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практика</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Менеджмент</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России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за</w:t>
      </w:r>
      <w:r w:rsidR="006C680D" w:rsidRPr="00D337FA">
        <w:rPr>
          <w:i/>
          <w:szCs w:val="24"/>
        </w:rPr>
        <w:t xml:space="preserve"> </w:t>
      </w:r>
      <w:r w:rsidRPr="00D337FA">
        <w:rPr>
          <w:i/>
          <w:szCs w:val="24"/>
        </w:rPr>
        <w:t>рубежом.</w:t>
      </w:r>
      <w:r w:rsidR="006C680D" w:rsidRPr="00D337FA">
        <w:rPr>
          <w:i/>
          <w:szCs w:val="24"/>
        </w:rPr>
        <w:t xml:space="preserve"> </w:t>
      </w:r>
      <w:r w:rsidRPr="00D337FA">
        <w:rPr>
          <w:i/>
          <w:szCs w:val="24"/>
        </w:rPr>
        <w:t>2022.</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6.</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3</w:t>
      </w:r>
      <w:r w:rsidR="006E6F5F" w:rsidRPr="00D337FA">
        <w:rPr>
          <w:i/>
          <w:szCs w:val="24"/>
        </w:rPr>
        <w:t>-</w:t>
      </w:r>
      <w:r w:rsidRPr="00D337FA">
        <w:rPr>
          <w:i/>
          <w:szCs w:val="24"/>
        </w:rPr>
        <w:t>10.</w:t>
      </w:r>
    </w:p>
    <w:p w:rsidR="00B91B4B" w:rsidRPr="00D337FA" w:rsidRDefault="00B91B4B" w:rsidP="00B91B4B">
      <w:pPr>
        <w:ind w:firstLine="284"/>
        <w:rPr>
          <w:i/>
          <w:szCs w:val="24"/>
        </w:rPr>
      </w:pPr>
      <w:r w:rsidRPr="00D337FA">
        <w:rPr>
          <w:i/>
          <w:szCs w:val="24"/>
        </w:rPr>
        <w:t>18.</w:t>
      </w:r>
      <w:r w:rsidRPr="00D337FA">
        <w:rPr>
          <w:i/>
          <w:szCs w:val="24"/>
        </w:rPr>
        <w:tab/>
        <w:t>Томпсон</w:t>
      </w:r>
      <w:r w:rsidR="006C680D" w:rsidRPr="00D337FA">
        <w:rPr>
          <w:i/>
          <w:szCs w:val="24"/>
        </w:rPr>
        <w:t xml:space="preserve"> </w:t>
      </w:r>
      <w:r w:rsidRPr="00D337FA">
        <w:rPr>
          <w:i/>
          <w:szCs w:val="24"/>
        </w:rPr>
        <w:t>А.</w:t>
      </w:r>
      <w:r w:rsidR="006E6F5F" w:rsidRPr="00D337FA">
        <w:rPr>
          <w:i/>
          <w:szCs w:val="24"/>
        </w:rPr>
        <w:t>,</w:t>
      </w:r>
      <w:r w:rsidR="006C680D" w:rsidRPr="00D337FA">
        <w:rPr>
          <w:i/>
          <w:szCs w:val="24"/>
        </w:rPr>
        <w:t xml:space="preserve"> </w:t>
      </w:r>
      <w:r w:rsidR="006E6F5F" w:rsidRPr="00D337FA">
        <w:rPr>
          <w:i/>
          <w:szCs w:val="24"/>
        </w:rPr>
        <w:t>Стрикленд</w:t>
      </w:r>
      <w:r w:rsidR="006C680D" w:rsidRPr="00D337FA">
        <w:rPr>
          <w:i/>
          <w:szCs w:val="24"/>
        </w:rPr>
        <w:t xml:space="preserve"> </w:t>
      </w:r>
      <w:r w:rsidR="006E6F5F" w:rsidRPr="00D337FA">
        <w:rPr>
          <w:i/>
          <w:szCs w:val="24"/>
        </w:rPr>
        <w:t>А.</w:t>
      </w:r>
      <w:r w:rsidR="006C680D" w:rsidRPr="00D337FA">
        <w:rPr>
          <w:i/>
          <w:szCs w:val="24"/>
        </w:rPr>
        <w:t xml:space="preserve"> </w:t>
      </w:r>
      <w:r w:rsidR="006E6F5F" w:rsidRPr="00D337FA">
        <w:rPr>
          <w:i/>
          <w:szCs w:val="24"/>
        </w:rPr>
        <w:t>Дж.</w:t>
      </w:r>
      <w:r w:rsidR="006C680D" w:rsidRPr="00D337FA">
        <w:rPr>
          <w:i/>
          <w:szCs w:val="24"/>
        </w:rPr>
        <w:t xml:space="preserve"> </w:t>
      </w:r>
      <w:r w:rsidRPr="00D337FA">
        <w:rPr>
          <w:i/>
          <w:szCs w:val="24"/>
        </w:rPr>
        <w:t>Стратегический</w:t>
      </w:r>
      <w:r w:rsidR="006C680D" w:rsidRPr="00D337FA">
        <w:rPr>
          <w:i/>
          <w:szCs w:val="24"/>
        </w:rPr>
        <w:t xml:space="preserve"> </w:t>
      </w:r>
      <w:r w:rsidRPr="00D337FA">
        <w:rPr>
          <w:i/>
          <w:szCs w:val="24"/>
        </w:rPr>
        <w:t>менеджмент</w:t>
      </w:r>
      <w:r w:rsidR="006E6F5F" w:rsidRPr="00D337FA">
        <w:rPr>
          <w:i/>
          <w:szCs w:val="24"/>
        </w:rPr>
        <w:t>.</w:t>
      </w:r>
      <w:r w:rsidR="006C680D" w:rsidRPr="00D337FA">
        <w:rPr>
          <w:i/>
          <w:szCs w:val="24"/>
        </w:rPr>
        <w:t xml:space="preserve"> </w:t>
      </w:r>
      <w:r w:rsidR="006E6F5F" w:rsidRPr="00D337FA">
        <w:rPr>
          <w:i/>
          <w:szCs w:val="24"/>
        </w:rPr>
        <w:t>–</w:t>
      </w:r>
      <w:r w:rsidR="006C680D" w:rsidRPr="00D337FA">
        <w:rPr>
          <w:i/>
          <w:szCs w:val="24"/>
        </w:rPr>
        <w:t xml:space="preserve"> </w:t>
      </w:r>
      <w:r w:rsidRPr="00D337FA">
        <w:rPr>
          <w:i/>
          <w:szCs w:val="24"/>
        </w:rPr>
        <w:t>М.:</w:t>
      </w:r>
      <w:r w:rsidR="006C680D" w:rsidRPr="00D337FA">
        <w:rPr>
          <w:i/>
          <w:szCs w:val="24"/>
        </w:rPr>
        <w:t xml:space="preserve"> </w:t>
      </w:r>
      <w:r w:rsidRPr="00D337FA">
        <w:rPr>
          <w:i/>
          <w:szCs w:val="24"/>
        </w:rPr>
        <w:t>Вильямс,</w:t>
      </w:r>
      <w:r w:rsidR="006C680D" w:rsidRPr="00D337FA">
        <w:rPr>
          <w:i/>
          <w:szCs w:val="24"/>
        </w:rPr>
        <w:t xml:space="preserve"> </w:t>
      </w:r>
      <w:r w:rsidRPr="00D337FA">
        <w:rPr>
          <w:i/>
          <w:szCs w:val="24"/>
        </w:rPr>
        <w:t>2006.</w:t>
      </w:r>
      <w:r w:rsidR="006C680D" w:rsidRPr="00D337FA">
        <w:rPr>
          <w:i/>
          <w:szCs w:val="24"/>
        </w:rPr>
        <w:t xml:space="preserve"> </w:t>
      </w:r>
      <w:r w:rsidRPr="00D337FA">
        <w:rPr>
          <w:i/>
          <w:szCs w:val="24"/>
        </w:rPr>
        <w:t>928</w:t>
      </w:r>
      <w:r w:rsidR="006C680D" w:rsidRPr="00D337FA">
        <w:rPr>
          <w:i/>
          <w:szCs w:val="24"/>
        </w:rPr>
        <w:t xml:space="preserve"> </w:t>
      </w:r>
      <w:r w:rsidRPr="00D337FA">
        <w:rPr>
          <w:i/>
          <w:szCs w:val="24"/>
        </w:rPr>
        <w:t>с.</w:t>
      </w:r>
    </w:p>
    <w:p w:rsidR="00B91B4B" w:rsidRPr="00D337FA" w:rsidRDefault="00B91B4B" w:rsidP="00B91B4B">
      <w:pPr>
        <w:ind w:firstLine="284"/>
        <w:rPr>
          <w:i/>
          <w:szCs w:val="24"/>
        </w:rPr>
      </w:pPr>
      <w:r w:rsidRPr="00D337FA">
        <w:rPr>
          <w:i/>
          <w:szCs w:val="24"/>
        </w:rPr>
        <w:t>19.</w:t>
      </w:r>
      <w:r w:rsidR="006C680D" w:rsidRPr="00D337FA">
        <w:rPr>
          <w:i/>
          <w:szCs w:val="24"/>
        </w:rPr>
        <w:t xml:space="preserve"> </w:t>
      </w:r>
      <w:r w:rsidRPr="00D337FA">
        <w:rPr>
          <w:i/>
          <w:szCs w:val="24"/>
        </w:rPr>
        <w:t>Эльгайтарова</w:t>
      </w:r>
      <w:r w:rsidR="006C680D" w:rsidRPr="00D337FA">
        <w:rPr>
          <w:i/>
          <w:szCs w:val="24"/>
        </w:rPr>
        <w:t xml:space="preserve"> </w:t>
      </w:r>
      <w:r w:rsidRPr="00D337FA">
        <w:rPr>
          <w:i/>
          <w:szCs w:val="24"/>
        </w:rPr>
        <w:t>Н.</w:t>
      </w:r>
      <w:r w:rsidR="006C680D" w:rsidRPr="00D337FA">
        <w:rPr>
          <w:i/>
          <w:szCs w:val="24"/>
        </w:rPr>
        <w:t xml:space="preserve"> </w:t>
      </w:r>
      <w:r w:rsidRPr="00D337FA">
        <w:rPr>
          <w:i/>
          <w:szCs w:val="24"/>
        </w:rPr>
        <w:t>Т.</w:t>
      </w:r>
      <w:r w:rsidR="006E6F5F" w:rsidRPr="00D337FA">
        <w:rPr>
          <w:i/>
          <w:szCs w:val="24"/>
        </w:rPr>
        <w:t>,</w:t>
      </w:r>
      <w:r w:rsidR="006C680D" w:rsidRPr="00D337FA">
        <w:rPr>
          <w:i/>
          <w:szCs w:val="24"/>
        </w:rPr>
        <w:t xml:space="preserve"> </w:t>
      </w:r>
      <w:r w:rsidR="006E6F5F" w:rsidRPr="00D337FA">
        <w:rPr>
          <w:i/>
          <w:szCs w:val="24"/>
        </w:rPr>
        <w:t>Салпагарова</w:t>
      </w:r>
      <w:r w:rsidR="006C680D" w:rsidRPr="00D337FA">
        <w:rPr>
          <w:i/>
          <w:szCs w:val="24"/>
        </w:rPr>
        <w:t xml:space="preserve"> </w:t>
      </w:r>
      <w:r w:rsidR="006E6F5F" w:rsidRPr="00D337FA">
        <w:rPr>
          <w:i/>
          <w:szCs w:val="24"/>
        </w:rPr>
        <w:t>М.</w:t>
      </w:r>
      <w:r w:rsidR="006C680D" w:rsidRPr="00D337FA">
        <w:rPr>
          <w:i/>
          <w:szCs w:val="24"/>
        </w:rPr>
        <w:t xml:space="preserve"> </w:t>
      </w:r>
      <w:r w:rsidR="006E6F5F" w:rsidRPr="00D337FA">
        <w:rPr>
          <w:i/>
          <w:szCs w:val="24"/>
        </w:rPr>
        <w:t>Ш.</w:t>
      </w:r>
      <w:r w:rsidR="006C680D" w:rsidRPr="00D337FA">
        <w:rPr>
          <w:i/>
          <w:szCs w:val="24"/>
        </w:rPr>
        <w:t xml:space="preserve"> </w:t>
      </w:r>
      <w:r w:rsidRPr="00D337FA">
        <w:rPr>
          <w:i/>
          <w:szCs w:val="24"/>
        </w:rPr>
        <w:t>Роль</w:t>
      </w:r>
      <w:r w:rsidR="006C680D" w:rsidRPr="00D337FA">
        <w:rPr>
          <w:i/>
          <w:szCs w:val="24"/>
        </w:rPr>
        <w:t xml:space="preserve"> </w:t>
      </w:r>
      <w:r w:rsidRPr="00D337FA">
        <w:rPr>
          <w:i/>
          <w:szCs w:val="24"/>
        </w:rPr>
        <w:t>страхования</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национальной</w:t>
      </w:r>
      <w:r w:rsidR="006C680D" w:rsidRPr="00D337FA">
        <w:rPr>
          <w:i/>
          <w:szCs w:val="24"/>
        </w:rPr>
        <w:t xml:space="preserve"> </w:t>
      </w:r>
      <w:r w:rsidR="006E6F5F" w:rsidRPr="00D337FA">
        <w:rPr>
          <w:i/>
          <w:szCs w:val="24"/>
        </w:rPr>
        <w:t>экономике</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Научные</w:t>
      </w:r>
      <w:r w:rsidR="006C680D" w:rsidRPr="00D337FA">
        <w:rPr>
          <w:i/>
          <w:szCs w:val="24"/>
        </w:rPr>
        <w:t xml:space="preserve"> </w:t>
      </w:r>
      <w:r w:rsidRPr="00D337FA">
        <w:rPr>
          <w:i/>
          <w:szCs w:val="24"/>
        </w:rPr>
        <w:t>известия.</w:t>
      </w:r>
      <w:r w:rsidR="006C680D" w:rsidRPr="00D337FA">
        <w:rPr>
          <w:i/>
          <w:szCs w:val="24"/>
        </w:rPr>
        <w:t xml:space="preserve"> </w:t>
      </w:r>
      <w:r w:rsidRPr="00D337FA">
        <w:rPr>
          <w:i/>
          <w:szCs w:val="24"/>
        </w:rPr>
        <w:t>2020.</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21</w:t>
      </w:r>
      <w:r w:rsidR="000B36CD" w:rsidRPr="000B36CD">
        <w:rPr>
          <w:i/>
          <w:szCs w:val="24"/>
        </w:rPr>
        <w:t>.</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46</w:t>
      </w:r>
      <w:r w:rsidR="005411F4" w:rsidRPr="00D337FA">
        <w:rPr>
          <w:i/>
          <w:szCs w:val="24"/>
        </w:rPr>
        <w:t>-</w:t>
      </w:r>
      <w:r w:rsidRPr="00D337FA">
        <w:rPr>
          <w:i/>
          <w:szCs w:val="24"/>
        </w:rPr>
        <w:t>50.</w:t>
      </w:r>
    </w:p>
    <w:p w:rsidR="00B91B4B" w:rsidRPr="00D337FA" w:rsidRDefault="00B91B4B" w:rsidP="00B91B4B">
      <w:pPr>
        <w:ind w:firstLine="284"/>
        <w:rPr>
          <w:i/>
          <w:szCs w:val="24"/>
        </w:rPr>
      </w:pPr>
      <w:r w:rsidRPr="00D337FA">
        <w:rPr>
          <w:i/>
          <w:szCs w:val="24"/>
        </w:rPr>
        <w:t>20.</w:t>
      </w:r>
      <w:r w:rsidRPr="00D337FA">
        <w:rPr>
          <w:i/>
          <w:szCs w:val="24"/>
        </w:rPr>
        <w:tab/>
      </w:r>
      <w:r w:rsidR="006C680D" w:rsidRPr="00D337FA">
        <w:rPr>
          <w:i/>
          <w:szCs w:val="24"/>
        </w:rPr>
        <w:t xml:space="preserve"> </w:t>
      </w:r>
      <w:r w:rsidRPr="00D337FA">
        <w:rPr>
          <w:i/>
          <w:szCs w:val="24"/>
        </w:rPr>
        <w:t>Гламазда</w:t>
      </w:r>
      <w:r w:rsidR="006C680D" w:rsidRPr="00D337FA">
        <w:rPr>
          <w:i/>
          <w:szCs w:val="24"/>
        </w:rPr>
        <w:t xml:space="preserve"> </w:t>
      </w:r>
      <w:r w:rsidRPr="00D337FA">
        <w:rPr>
          <w:i/>
          <w:szCs w:val="24"/>
        </w:rPr>
        <w:t>А.В.</w:t>
      </w:r>
      <w:r w:rsidR="006C680D" w:rsidRPr="00D337FA">
        <w:rPr>
          <w:i/>
          <w:szCs w:val="24"/>
        </w:rPr>
        <w:t xml:space="preserve"> </w:t>
      </w:r>
      <w:r w:rsidRPr="00D337FA">
        <w:rPr>
          <w:i/>
          <w:szCs w:val="24"/>
        </w:rPr>
        <w:t>Социально-психологические</w:t>
      </w:r>
      <w:r w:rsidR="006C680D" w:rsidRPr="00D337FA">
        <w:rPr>
          <w:i/>
          <w:szCs w:val="24"/>
        </w:rPr>
        <w:t xml:space="preserve"> </w:t>
      </w:r>
      <w:r w:rsidRPr="00D337FA">
        <w:rPr>
          <w:i/>
          <w:szCs w:val="24"/>
        </w:rPr>
        <w:t>инструменты</w:t>
      </w:r>
      <w:r w:rsidR="006C680D" w:rsidRPr="00D337FA">
        <w:rPr>
          <w:i/>
          <w:szCs w:val="24"/>
        </w:rPr>
        <w:t xml:space="preserve"> </w:t>
      </w:r>
      <w:r w:rsidRPr="00D337FA">
        <w:rPr>
          <w:i/>
          <w:szCs w:val="24"/>
        </w:rPr>
        <w:t>управления:</w:t>
      </w:r>
      <w:r w:rsidR="006C680D" w:rsidRPr="00D337FA">
        <w:rPr>
          <w:i/>
          <w:szCs w:val="24"/>
        </w:rPr>
        <w:t xml:space="preserve"> </w:t>
      </w:r>
      <w:r w:rsidRPr="00D337FA">
        <w:rPr>
          <w:i/>
          <w:szCs w:val="24"/>
        </w:rPr>
        <w:t>сущность</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содержание</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Менеджмент</w:t>
      </w:r>
      <w:r w:rsidR="006C680D" w:rsidRPr="00D337FA">
        <w:rPr>
          <w:i/>
          <w:szCs w:val="24"/>
        </w:rPr>
        <w:t xml:space="preserve"> </w:t>
      </w:r>
      <w:r w:rsidRPr="00D337FA">
        <w:rPr>
          <w:i/>
          <w:szCs w:val="24"/>
        </w:rPr>
        <w:t>в</w:t>
      </w:r>
      <w:r w:rsidR="006C680D" w:rsidRPr="00D337FA">
        <w:rPr>
          <w:i/>
          <w:szCs w:val="24"/>
        </w:rPr>
        <w:t xml:space="preserve"> </w:t>
      </w:r>
      <w:r w:rsidR="005411F4" w:rsidRPr="00D337FA">
        <w:rPr>
          <w:i/>
          <w:szCs w:val="24"/>
        </w:rPr>
        <w:t>России</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за</w:t>
      </w:r>
      <w:r w:rsidR="006C680D" w:rsidRPr="00D337FA">
        <w:rPr>
          <w:i/>
          <w:szCs w:val="24"/>
        </w:rPr>
        <w:t xml:space="preserve"> </w:t>
      </w:r>
      <w:r w:rsidRPr="00D337FA">
        <w:rPr>
          <w:i/>
          <w:szCs w:val="24"/>
        </w:rPr>
        <w:t>рубежом.</w:t>
      </w:r>
      <w:r w:rsidR="006C680D" w:rsidRPr="00D337FA">
        <w:rPr>
          <w:i/>
          <w:szCs w:val="24"/>
        </w:rPr>
        <w:t xml:space="preserve"> </w:t>
      </w:r>
      <w:r w:rsidRPr="00D337FA">
        <w:rPr>
          <w:i/>
          <w:szCs w:val="24"/>
        </w:rPr>
        <w:t>2023.</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6.</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71</w:t>
      </w:r>
      <w:r w:rsidR="005411F4" w:rsidRPr="00D337FA">
        <w:rPr>
          <w:i/>
          <w:szCs w:val="24"/>
        </w:rPr>
        <w:t>-</w:t>
      </w:r>
      <w:r w:rsidRPr="00D337FA">
        <w:rPr>
          <w:i/>
          <w:szCs w:val="24"/>
        </w:rPr>
        <w:t>78.</w:t>
      </w:r>
      <w:r w:rsidRPr="00D337FA">
        <w:rPr>
          <w:i/>
          <w:szCs w:val="24"/>
        </w:rPr>
        <w:tab/>
      </w:r>
    </w:p>
    <w:p w:rsidR="00B91B4B" w:rsidRPr="00D337FA" w:rsidRDefault="00B91B4B" w:rsidP="00B91B4B">
      <w:pPr>
        <w:ind w:firstLine="284"/>
        <w:rPr>
          <w:i/>
          <w:szCs w:val="24"/>
        </w:rPr>
      </w:pPr>
      <w:r w:rsidRPr="00D337FA">
        <w:rPr>
          <w:i/>
          <w:szCs w:val="24"/>
        </w:rPr>
        <w:t>21.</w:t>
      </w:r>
      <w:r w:rsidR="006C680D" w:rsidRPr="00D337FA">
        <w:rPr>
          <w:i/>
          <w:szCs w:val="24"/>
        </w:rPr>
        <w:t xml:space="preserve"> </w:t>
      </w:r>
      <w:r w:rsidRPr="00D337FA">
        <w:rPr>
          <w:i/>
          <w:szCs w:val="24"/>
        </w:rPr>
        <w:t>Саденова</w:t>
      </w:r>
      <w:r w:rsidR="006C680D" w:rsidRPr="00D337FA">
        <w:rPr>
          <w:i/>
          <w:szCs w:val="24"/>
        </w:rPr>
        <w:t xml:space="preserve"> </w:t>
      </w:r>
      <w:r w:rsidRPr="00D337FA">
        <w:rPr>
          <w:i/>
          <w:szCs w:val="24"/>
        </w:rPr>
        <w:t>А.М.</w:t>
      </w:r>
      <w:r w:rsidR="005411F4" w:rsidRPr="00D337FA">
        <w:rPr>
          <w:i/>
          <w:szCs w:val="24"/>
        </w:rPr>
        <w:t>,</w:t>
      </w:r>
      <w:r w:rsidR="006C680D" w:rsidRPr="00D337FA">
        <w:rPr>
          <w:i/>
          <w:szCs w:val="24"/>
        </w:rPr>
        <w:t xml:space="preserve"> </w:t>
      </w:r>
      <w:r w:rsidR="005411F4" w:rsidRPr="00D337FA">
        <w:rPr>
          <w:i/>
          <w:szCs w:val="24"/>
        </w:rPr>
        <w:t>Рахимова</w:t>
      </w:r>
      <w:r w:rsidR="006C680D" w:rsidRPr="00D337FA">
        <w:rPr>
          <w:i/>
          <w:szCs w:val="24"/>
        </w:rPr>
        <w:t xml:space="preserve"> </w:t>
      </w:r>
      <w:r w:rsidR="005411F4" w:rsidRPr="00D337FA">
        <w:rPr>
          <w:i/>
          <w:szCs w:val="24"/>
        </w:rPr>
        <w:t>С.</w:t>
      </w:r>
      <w:r w:rsidR="006C680D" w:rsidRPr="00D337FA">
        <w:rPr>
          <w:i/>
          <w:szCs w:val="24"/>
        </w:rPr>
        <w:t xml:space="preserve"> </w:t>
      </w:r>
      <w:r w:rsidR="005411F4" w:rsidRPr="00D337FA">
        <w:rPr>
          <w:i/>
          <w:szCs w:val="24"/>
        </w:rPr>
        <w:t>А.,</w:t>
      </w:r>
      <w:r w:rsidR="006C680D" w:rsidRPr="00D337FA">
        <w:rPr>
          <w:i/>
          <w:szCs w:val="24"/>
        </w:rPr>
        <w:t xml:space="preserve"> </w:t>
      </w:r>
      <w:r w:rsidR="005411F4" w:rsidRPr="00D337FA">
        <w:rPr>
          <w:i/>
          <w:szCs w:val="24"/>
        </w:rPr>
        <w:t>Кунанбаева</w:t>
      </w:r>
      <w:r w:rsidR="006C680D" w:rsidRPr="00D337FA">
        <w:rPr>
          <w:i/>
          <w:szCs w:val="24"/>
        </w:rPr>
        <w:t xml:space="preserve"> </w:t>
      </w:r>
      <w:r w:rsidR="005411F4" w:rsidRPr="00D337FA">
        <w:rPr>
          <w:i/>
          <w:szCs w:val="24"/>
        </w:rPr>
        <w:t>К.</w:t>
      </w:r>
      <w:r w:rsidR="006C680D" w:rsidRPr="00D337FA">
        <w:rPr>
          <w:i/>
          <w:szCs w:val="24"/>
        </w:rPr>
        <w:t xml:space="preserve"> </w:t>
      </w:r>
      <w:r w:rsidR="005411F4" w:rsidRPr="00D337FA">
        <w:rPr>
          <w:i/>
          <w:szCs w:val="24"/>
        </w:rPr>
        <w:t>Б.,</w:t>
      </w:r>
      <w:r w:rsidR="006C680D" w:rsidRPr="00D337FA">
        <w:rPr>
          <w:i/>
          <w:szCs w:val="24"/>
        </w:rPr>
        <w:t xml:space="preserve"> </w:t>
      </w:r>
      <w:r w:rsidR="005411F4" w:rsidRPr="00D337FA">
        <w:rPr>
          <w:i/>
          <w:szCs w:val="24"/>
        </w:rPr>
        <w:t>Титков</w:t>
      </w:r>
      <w:r w:rsidR="006C680D" w:rsidRPr="00D337FA">
        <w:rPr>
          <w:i/>
          <w:szCs w:val="24"/>
        </w:rPr>
        <w:t xml:space="preserve"> </w:t>
      </w:r>
      <w:r w:rsidR="005411F4" w:rsidRPr="00D337FA">
        <w:rPr>
          <w:i/>
          <w:szCs w:val="24"/>
        </w:rPr>
        <w:t>А.</w:t>
      </w:r>
      <w:r w:rsidR="006C680D" w:rsidRPr="00D337FA">
        <w:rPr>
          <w:i/>
          <w:szCs w:val="24"/>
        </w:rPr>
        <w:t xml:space="preserve"> </w:t>
      </w:r>
      <w:r w:rsidR="005411F4" w:rsidRPr="00D337FA">
        <w:rPr>
          <w:i/>
          <w:szCs w:val="24"/>
        </w:rPr>
        <w:t>А.</w:t>
      </w:r>
      <w:r w:rsidR="006C680D" w:rsidRPr="00D337FA">
        <w:rPr>
          <w:i/>
          <w:szCs w:val="24"/>
        </w:rPr>
        <w:t xml:space="preserve"> </w:t>
      </w:r>
      <w:r w:rsidRPr="00D337FA">
        <w:rPr>
          <w:i/>
          <w:szCs w:val="24"/>
        </w:rPr>
        <w:t>Цифровизация</w:t>
      </w:r>
      <w:r w:rsidR="006C680D" w:rsidRPr="00D337FA">
        <w:rPr>
          <w:i/>
          <w:szCs w:val="24"/>
        </w:rPr>
        <w:t xml:space="preserve"> </w:t>
      </w:r>
      <w:r w:rsidRPr="00D337FA">
        <w:rPr>
          <w:i/>
          <w:szCs w:val="24"/>
        </w:rPr>
        <w:t>предпринимательских</w:t>
      </w:r>
      <w:r w:rsidR="006C680D" w:rsidRPr="00D337FA">
        <w:rPr>
          <w:i/>
          <w:szCs w:val="24"/>
        </w:rPr>
        <w:t xml:space="preserve"> </w:t>
      </w:r>
      <w:r w:rsidRPr="00D337FA">
        <w:rPr>
          <w:i/>
          <w:szCs w:val="24"/>
        </w:rPr>
        <w:t>структур</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оценка</w:t>
      </w:r>
      <w:r w:rsidR="006C680D" w:rsidRPr="00D337FA">
        <w:rPr>
          <w:i/>
          <w:szCs w:val="24"/>
        </w:rPr>
        <w:t xml:space="preserve"> </w:t>
      </w:r>
      <w:r w:rsidRPr="00D337FA">
        <w:rPr>
          <w:i/>
          <w:szCs w:val="24"/>
        </w:rPr>
        <w:t>экономического</w:t>
      </w:r>
      <w:r w:rsidR="006C680D" w:rsidRPr="00D337FA">
        <w:rPr>
          <w:i/>
          <w:szCs w:val="24"/>
        </w:rPr>
        <w:t xml:space="preserve"> </w:t>
      </w:r>
      <w:r w:rsidRPr="00D337FA">
        <w:rPr>
          <w:i/>
          <w:szCs w:val="24"/>
        </w:rPr>
        <w:t>эффекта</w:t>
      </w:r>
      <w:r w:rsidR="006C680D" w:rsidRPr="00D337FA">
        <w:rPr>
          <w:i/>
          <w:szCs w:val="24"/>
        </w:rPr>
        <w:t xml:space="preserve"> </w:t>
      </w:r>
      <w:r w:rsidRPr="00D337FA">
        <w:rPr>
          <w:i/>
          <w:szCs w:val="24"/>
        </w:rPr>
        <w:t>от</w:t>
      </w:r>
      <w:r w:rsidR="006C680D" w:rsidRPr="00D337FA">
        <w:rPr>
          <w:i/>
          <w:szCs w:val="24"/>
        </w:rPr>
        <w:t xml:space="preserve"> </w:t>
      </w:r>
      <w:r w:rsidRPr="00D337FA">
        <w:rPr>
          <w:i/>
          <w:szCs w:val="24"/>
        </w:rPr>
        <w:t>применения</w:t>
      </w:r>
      <w:r w:rsidR="006C680D" w:rsidRPr="00D337FA">
        <w:rPr>
          <w:i/>
          <w:szCs w:val="24"/>
        </w:rPr>
        <w:t xml:space="preserve"> </w:t>
      </w:r>
      <w:r w:rsidRPr="00D337FA">
        <w:rPr>
          <w:i/>
          <w:szCs w:val="24"/>
        </w:rPr>
        <w:t>на</w:t>
      </w:r>
      <w:r w:rsidR="006C680D" w:rsidRPr="00D337FA">
        <w:rPr>
          <w:i/>
          <w:szCs w:val="24"/>
        </w:rPr>
        <w:t xml:space="preserve"> </w:t>
      </w:r>
      <w:r w:rsidRPr="00D337FA">
        <w:rPr>
          <w:i/>
          <w:szCs w:val="24"/>
        </w:rPr>
        <w:t>практике</w:t>
      </w:r>
      <w:r w:rsidR="006C680D" w:rsidRPr="00D337FA">
        <w:rPr>
          <w:i/>
          <w:szCs w:val="24"/>
        </w:rPr>
        <w:t xml:space="preserve"> </w:t>
      </w:r>
      <w:r w:rsidRPr="00D337FA">
        <w:rPr>
          <w:i/>
          <w:szCs w:val="24"/>
        </w:rPr>
        <w:t>приоритетов</w:t>
      </w:r>
      <w:r w:rsidR="006C680D" w:rsidRPr="00D337FA">
        <w:rPr>
          <w:i/>
          <w:szCs w:val="24"/>
        </w:rPr>
        <w:t xml:space="preserve"> </w:t>
      </w:r>
      <w:r w:rsidRPr="00D337FA">
        <w:rPr>
          <w:i/>
          <w:szCs w:val="24"/>
        </w:rPr>
        <w:t>развития</w:t>
      </w:r>
      <w:r w:rsidR="006C680D" w:rsidRPr="00D337FA">
        <w:rPr>
          <w:i/>
          <w:szCs w:val="24"/>
        </w:rPr>
        <w:t xml:space="preserve"> </w:t>
      </w:r>
      <w:r w:rsidRPr="00D337FA">
        <w:rPr>
          <w:i/>
          <w:szCs w:val="24"/>
        </w:rPr>
        <w:t>цифровой</w:t>
      </w:r>
      <w:r w:rsidR="006C680D" w:rsidRPr="00D337FA">
        <w:rPr>
          <w:i/>
          <w:szCs w:val="24"/>
        </w:rPr>
        <w:t xml:space="preserve"> </w:t>
      </w:r>
      <w:r w:rsidRPr="00D337FA">
        <w:rPr>
          <w:i/>
          <w:szCs w:val="24"/>
        </w:rPr>
        <w:t>экономики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Экономические</w:t>
      </w:r>
      <w:r w:rsidR="006C680D" w:rsidRPr="00D337FA">
        <w:rPr>
          <w:i/>
          <w:szCs w:val="24"/>
        </w:rPr>
        <w:t xml:space="preserve"> </w:t>
      </w:r>
      <w:r w:rsidRPr="00D337FA">
        <w:rPr>
          <w:i/>
          <w:szCs w:val="24"/>
        </w:rPr>
        <w:t>системы.</w:t>
      </w:r>
      <w:r w:rsidR="006C680D" w:rsidRPr="00D337FA">
        <w:rPr>
          <w:i/>
          <w:szCs w:val="24"/>
        </w:rPr>
        <w:t xml:space="preserve"> </w:t>
      </w:r>
      <w:r w:rsidRPr="00D337FA">
        <w:rPr>
          <w:i/>
          <w:szCs w:val="24"/>
        </w:rPr>
        <w:t>2020.</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3.</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22</w:t>
      </w:r>
      <w:r w:rsidR="005411F4" w:rsidRPr="00D337FA">
        <w:rPr>
          <w:i/>
          <w:szCs w:val="24"/>
        </w:rPr>
        <w:t>-</w:t>
      </w:r>
      <w:r w:rsidRPr="00D337FA">
        <w:rPr>
          <w:i/>
          <w:szCs w:val="24"/>
        </w:rPr>
        <w:t>29.</w:t>
      </w:r>
    </w:p>
    <w:p w:rsidR="00B91B4B" w:rsidRPr="00D337FA" w:rsidRDefault="00B91B4B" w:rsidP="00B91B4B">
      <w:pPr>
        <w:ind w:firstLine="284"/>
        <w:rPr>
          <w:i/>
          <w:szCs w:val="24"/>
        </w:rPr>
      </w:pPr>
      <w:r w:rsidRPr="00D337FA">
        <w:rPr>
          <w:i/>
          <w:szCs w:val="24"/>
        </w:rPr>
        <w:t>22.</w:t>
      </w:r>
      <w:r w:rsidR="006C680D" w:rsidRPr="00D337FA">
        <w:rPr>
          <w:i/>
          <w:szCs w:val="24"/>
        </w:rPr>
        <w:t xml:space="preserve"> </w:t>
      </w:r>
      <w:r w:rsidRPr="00D337FA">
        <w:rPr>
          <w:i/>
          <w:szCs w:val="24"/>
        </w:rPr>
        <w:t>Каленов</w:t>
      </w:r>
      <w:r w:rsidR="006C680D" w:rsidRPr="00D337FA">
        <w:rPr>
          <w:i/>
          <w:szCs w:val="24"/>
        </w:rPr>
        <w:t xml:space="preserve"> </w:t>
      </w:r>
      <w:r w:rsidRPr="00D337FA">
        <w:rPr>
          <w:i/>
          <w:szCs w:val="24"/>
        </w:rPr>
        <w:t>О.Е.</w:t>
      </w:r>
      <w:r w:rsidR="006C680D" w:rsidRPr="00D337FA">
        <w:rPr>
          <w:i/>
          <w:szCs w:val="24"/>
        </w:rPr>
        <w:t xml:space="preserve"> </w:t>
      </w:r>
      <w:r w:rsidRPr="00D337FA">
        <w:rPr>
          <w:i/>
          <w:szCs w:val="24"/>
        </w:rPr>
        <w:t>Оценка</w:t>
      </w:r>
      <w:r w:rsidR="006C680D" w:rsidRPr="00D337FA">
        <w:rPr>
          <w:i/>
          <w:szCs w:val="24"/>
        </w:rPr>
        <w:t xml:space="preserve"> </w:t>
      </w:r>
      <w:r w:rsidRPr="00D337FA">
        <w:rPr>
          <w:i/>
          <w:szCs w:val="24"/>
        </w:rPr>
        <w:t>эффективности</w:t>
      </w:r>
      <w:r w:rsidR="006C680D" w:rsidRPr="00D337FA">
        <w:rPr>
          <w:i/>
          <w:szCs w:val="24"/>
        </w:rPr>
        <w:t xml:space="preserve"> </w:t>
      </w:r>
      <w:r w:rsidRPr="00D337FA">
        <w:rPr>
          <w:i/>
          <w:szCs w:val="24"/>
        </w:rPr>
        <w:t>деятельности</w:t>
      </w:r>
      <w:r w:rsidR="006C680D" w:rsidRPr="00D337FA">
        <w:rPr>
          <w:i/>
          <w:szCs w:val="24"/>
        </w:rPr>
        <w:t xml:space="preserve"> </w:t>
      </w:r>
      <w:r w:rsidRPr="00D337FA">
        <w:rPr>
          <w:i/>
          <w:szCs w:val="24"/>
        </w:rPr>
        <w:t>бизнес-экосистем</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цифровой</w:t>
      </w:r>
      <w:r w:rsidR="006C680D" w:rsidRPr="00D337FA">
        <w:rPr>
          <w:i/>
          <w:szCs w:val="24"/>
        </w:rPr>
        <w:t xml:space="preserve"> </w:t>
      </w:r>
      <w:r w:rsidRPr="00D337FA">
        <w:rPr>
          <w:i/>
          <w:szCs w:val="24"/>
        </w:rPr>
        <w:t>экономике</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Вестник</w:t>
      </w:r>
      <w:r w:rsidR="006C680D" w:rsidRPr="00D337FA">
        <w:rPr>
          <w:i/>
          <w:szCs w:val="24"/>
        </w:rPr>
        <w:t xml:space="preserve"> </w:t>
      </w:r>
      <w:r w:rsidRPr="00D337FA">
        <w:rPr>
          <w:i/>
          <w:szCs w:val="24"/>
        </w:rPr>
        <w:t>Рос.</w:t>
      </w:r>
      <w:r w:rsidR="006C680D" w:rsidRPr="00D337FA">
        <w:rPr>
          <w:i/>
          <w:szCs w:val="24"/>
        </w:rPr>
        <w:t xml:space="preserve"> </w:t>
      </w:r>
      <w:r w:rsidRPr="00D337FA">
        <w:rPr>
          <w:i/>
          <w:szCs w:val="24"/>
        </w:rPr>
        <w:t>экон.</w:t>
      </w:r>
      <w:r w:rsidR="006C680D" w:rsidRPr="00D337FA">
        <w:rPr>
          <w:i/>
          <w:szCs w:val="24"/>
        </w:rPr>
        <w:t xml:space="preserve"> </w:t>
      </w:r>
      <w:r w:rsidRPr="00D337FA">
        <w:rPr>
          <w:i/>
          <w:szCs w:val="24"/>
        </w:rPr>
        <w:t>ун-та</w:t>
      </w:r>
      <w:r w:rsidR="006C680D" w:rsidRPr="00D337FA">
        <w:rPr>
          <w:i/>
          <w:szCs w:val="24"/>
        </w:rPr>
        <w:t xml:space="preserve"> </w:t>
      </w:r>
      <w:r w:rsidRPr="00D337FA">
        <w:rPr>
          <w:i/>
          <w:szCs w:val="24"/>
        </w:rPr>
        <w:t>имени</w:t>
      </w:r>
      <w:r w:rsidR="006C680D" w:rsidRPr="00D337FA">
        <w:rPr>
          <w:i/>
          <w:szCs w:val="24"/>
        </w:rPr>
        <w:t xml:space="preserve"> </w:t>
      </w:r>
      <w:r w:rsidRPr="00D337FA">
        <w:rPr>
          <w:i/>
          <w:szCs w:val="24"/>
        </w:rPr>
        <w:t>Г.В.</w:t>
      </w:r>
      <w:r w:rsidR="006C680D" w:rsidRPr="00D337FA">
        <w:rPr>
          <w:i/>
          <w:szCs w:val="24"/>
        </w:rPr>
        <w:t xml:space="preserve"> </w:t>
      </w:r>
      <w:r w:rsidRPr="00D337FA">
        <w:rPr>
          <w:i/>
          <w:szCs w:val="24"/>
        </w:rPr>
        <w:t>Плеханова.</w:t>
      </w:r>
      <w:r w:rsidR="006C680D" w:rsidRPr="00D337FA">
        <w:rPr>
          <w:i/>
          <w:szCs w:val="24"/>
        </w:rPr>
        <w:t xml:space="preserve"> </w:t>
      </w:r>
      <w:r w:rsidRPr="00D337FA">
        <w:rPr>
          <w:i/>
          <w:szCs w:val="24"/>
        </w:rPr>
        <w:t>2023.</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20</w:t>
      </w:r>
      <w:r w:rsidR="006C680D" w:rsidRPr="00D337FA">
        <w:rPr>
          <w:i/>
          <w:szCs w:val="24"/>
        </w:rPr>
        <w:t xml:space="preserve"> </w:t>
      </w:r>
      <w:r w:rsidRPr="00D337FA">
        <w:rPr>
          <w:i/>
          <w:szCs w:val="24"/>
        </w:rPr>
        <w:t>(1).</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162</w:t>
      </w:r>
      <w:r w:rsidR="005411F4" w:rsidRPr="00D337FA">
        <w:rPr>
          <w:i/>
          <w:szCs w:val="24"/>
        </w:rPr>
        <w:t>-</w:t>
      </w:r>
      <w:r w:rsidRPr="00D337FA">
        <w:rPr>
          <w:i/>
          <w:szCs w:val="24"/>
        </w:rPr>
        <w:t>174.</w:t>
      </w:r>
    </w:p>
    <w:p w:rsidR="00B91B4B" w:rsidRPr="00D337FA" w:rsidRDefault="00B91B4B" w:rsidP="00B91B4B">
      <w:pPr>
        <w:ind w:firstLine="284"/>
        <w:rPr>
          <w:i/>
          <w:szCs w:val="24"/>
        </w:rPr>
      </w:pPr>
      <w:r w:rsidRPr="00D337FA">
        <w:rPr>
          <w:i/>
          <w:szCs w:val="24"/>
        </w:rPr>
        <w:t>23.</w:t>
      </w:r>
      <w:r w:rsidR="006C680D" w:rsidRPr="00D337FA">
        <w:rPr>
          <w:i/>
          <w:szCs w:val="24"/>
        </w:rPr>
        <w:t xml:space="preserve"> </w:t>
      </w:r>
      <w:r w:rsidRPr="00D337FA">
        <w:rPr>
          <w:i/>
          <w:szCs w:val="24"/>
        </w:rPr>
        <w:t>Образцова</w:t>
      </w:r>
      <w:r w:rsidR="006C680D" w:rsidRPr="00D337FA">
        <w:rPr>
          <w:i/>
          <w:szCs w:val="24"/>
        </w:rPr>
        <w:t xml:space="preserve"> </w:t>
      </w:r>
      <w:r w:rsidRPr="00D337FA">
        <w:rPr>
          <w:i/>
          <w:szCs w:val="24"/>
        </w:rPr>
        <w:t>О.А.</w:t>
      </w:r>
      <w:r w:rsidR="005411F4" w:rsidRPr="00D337FA">
        <w:rPr>
          <w:i/>
          <w:szCs w:val="24"/>
        </w:rPr>
        <w:t>,</w:t>
      </w:r>
      <w:r w:rsidR="006C680D" w:rsidRPr="00D337FA">
        <w:rPr>
          <w:i/>
          <w:szCs w:val="24"/>
        </w:rPr>
        <w:t xml:space="preserve"> </w:t>
      </w:r>
      <w:r w:rsidR="005411F4" w:rsidRPr="00D337FA">
        <w:rPr>
          <w:i/>
          <w:szCs w:val="24"/>
        </w:rPr>
        <w:t>Гузиенко</w:t>
      </w:r>
      <w:r w:rsidR="006C680D" w:rsidRPr="00D337FA">
        <w:rPr>
          <w:i/>
          <w:szCs w:val="24"/>
        </w:rPr>
        <w:t xml:space="preserve"> </w:t>
      </w:r>
      <w:r w:rsidR="005411F4" w:rsidRPr="00D337FA">
        <w:rPr>
          <w:i/>
          <w:szCs w:val="24"/>
        </w:rPr>
        <w:t>А.Ю.</w:t>
      </w:r>
      <w:r w:rsidR="006C680D" w:rsidRPr="00D337FA">
        <w:rPr>
          <w:i/>
          <w:szCs w:val="24"/>
        </w:rPr>
        <w:t xml:space="preserve"> </w:t>
      </w:r>
      <w:r w:rsidRPr="00D337FA">
        <w:rPr>
          <w:i/>
          <w:szCs w:val="24"/>
        </w:rPr>
        <w:t>Российский</w:t>
      </w:r>
      <w:r w:rsidR="006C680D" w:rsidRPr="00D337FA">
        <w:rPr>
          <w:i/>
          <w:szCs w:val="24"/>
        </w:rPr>
        <w:t xml:space="preserve"> </w:t>
      </w:r>
      <w:r w:rsidRPr="00D337FA">
        <w:rPr>
          <w:i/>
          <w:szCs w:val="24"/>
        </w:rPr>
        <w:t>страховой</w:t>
      </w:r>
      <w:r w:rsidR="006C680D" w:rsidRPr="00D337FA">
        <w:rPr>
          <w:i/>
          <w:szCs w:val="24"/>
        </w:rPr>
        <w:t xml:space="preserve"> </w:t>
      </w:r>
      <w:r w:rsidRPr="00D337FA">
        <w:rPr>
          <w:i/>
          <w:szCs w:val="24"/>
        </w:rPr>
        <w:t>рынок:</w:t>
      </w:r>
      <w:r w:rsidR="006C680D" w:rsidRPr="00D337FA">
        <w:rPr>
          <w:i/>
          <w:szCs w:val="24"/>
        </w:rPr>
        <w:t xml:space="preserve"> </w:t>
      </w:r>
      <w:r w:rsidRPr="00D337FA">
        <w:rPr>
          <w:i/>
          <w:szCs w:val="24"/>
        </w:rPr>
        <w:t>состояние</w:t>
      </w:r>
      <w:r w:rsidR="006C680D" w:rsidRPr="00D337FA">
        <w:rPr>
          <w:i/>
          <w:szCs w:val="24"/>
        </w:rPr>
        <w:t xml:space="preserve"> </w:t>
      </w:r>
      <w:r w:rsidRPr="00D337FA">
        <w:rPr>
          <w:i/>
          <w:szCs w:val="24"/>
        </w:rPr>
        <w:t>и</w:t>
      </w:r>
      <w:r w:rsidR="006C680D" w:rsidRPr="00D337FA">
        <w:rPr>
          <w:i/>
          <w:szCs w:val="24"/>
        </w:rPr>
        <w:t xml:space="preserve"> </w:t>
      </w:r>
      <w:r w:rsidR="005411F4" w:rsidRPr="00D337FA">
        <w:rPr>
          <w:i/>
          <w:szCs w:val="24"/>
        </w:rPr>
        <w:t>перспективы</w:t>
      </w:r>
      <w:r w:rsidR="006C680D" w:rsidRPr="00D337FA">
        <w:rPr>
          <w:i/>
          <w:szCs w:val="24"/>
        </w:rPr>
        <w:t xml:space="preserve"> </w:t>
      </w:r>
      <w:r w:rsidR="005411F4" w:rsidRPr="00D337FA">
        <w:rPr>
          <w:i/>
          <w:szCs w:val="24"/>
        </w:rPr>
        <w:t>развития</w:t>
      </w:r>
      <w:r w:rsidR="006C680D" w:rsidRPr="00D337FA">
        <w:rPr>
          <w:i/>
          <w:szCs w:val="24"/>
        </w:rPr>
        <w:t xml:space="preserve"> </w:t>
      </w:r>
      <w:r w:rsidR="005411F4" w:rsidRPr="00D337FA">
        <w:rPr>
          <w:i/>
          <w:szCs w:val="24"/>
        </w:rPr>
        <w:t>/</w:t>
      </w:r>
      <w:r w:rsidRPr="00D337FA">
        <w:rPr>
          <w:i/>
          <w:szCs w:val="24"/>
        </w:rPr>
        <w:t>/</w:t>
      </w:r>
      <w:r w:rsidR="006C680D" w:rsidRPr="00D337FA">
        <w:rPr>
          <w:i/>
          <w:szCs w:val="24"/>
        </w:rPr>
        <w:t xml:space="preserve"> </w:t>
      </w:r>
      <w:r w:rsidRPr="00D337FA">
        <w:rPr>
          <w:i/>
          <w:szCs w:val="24"/>
        </w:rPr>
        <w:t>Финансовый</w:t>
      </w:r>
      <w:r w:rsidR="006C680D" w:rsidRPr="00D337FA">
        <w:rPr>
          <w:i/>
          <w:szCs w:val="24"/>
        </w:rPr>
        <w:t xml:space="preserve"> </w:t>
      </w:r>
      <w:r w:rsidR="005411F4" w:rsidRPr="00D337FA">
        <w:rPr>
          <w:i/>
          <w:szCs w:val="24"/>
        </w:rPr>
        <w:t>вестник</w:t>
      </w:r>
      <w:r w:rsidRPr="00D337FA">
        <w:rPr>
          <w:i/>
          <w:szCs w:val="24"/>
        </w:rPr>
        <w:t>.</w:t>
      </w:r>
      <w:r w:rsidR="006C680D" w:rsidRPr="00D337FA">
        <w:rPr>
          <w:i/>
          <w:szCs w:val="24"/>
        </w:rPr>
        <w:t xml:space="preserve"> </w:t>
      </w:r>
      <w:r w:rsidRPr="00D337FA">
        <w:rPr>
          <w:i/>
          <w:szCs w:val="24"/>
        </w:rPr>
        <w:t>2024</w:t>
      </w:r>
      <w:r w:rsidR="000B36CD" w:rsidRPr="00946B13">
        <w:rPr>
          <w:i/>
          <w:szCs w:val="24"/>
        </w:rPr>
        <w:t>.</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2</w:t>
      </w:r>
      <w:r w:rsidR="006C680D" w:rsidRPr="00D337FA">
        <w:rPr>
          <w:i/>
          <w:szCs w:val="24"/>
        </w:rPr>
        <w:t xml:space="preserve"> </w:t>
      </w:r>
      <w:r w:rsidRPr="00D337FA">
        <w:rPr>
          <w:i/>
          <w:szCs w:val="24"/>
        </w:rPr>
        <w:t>(65).</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10-13.</w:t>
      </w:r>
    </w:p>
    <w:p w:rsidR="00B91B4B" w:rsidRPr="00D337FA" w:rsidRDefault="00B91B4B" w:rsidP="00B91B4B">
      <w:pPr>
        <w:ind w:firstLine="284"/>
        <w:rPr>
          <w:i/>
          <w:szCs w:val="24"/>
        </w:rPr>
      </w:pPr>
      <w:r w:rsidRPr="00D337FA">
        <w:rPr>
          <w:i/>
          <w:szCs w:val="24"/>
        </w:rPr>
        <w:t>24.</w:t>
      </w:r>
      <w:r w:rsidR="006C680D" w:rsidRPr="00D337FA">
        <w:rPr>
          <w:i/>
          <w:szCs w:val="24"/>
        </w:rPr>
        <w:t xml:space="preserve"> </w:t>
      </w:r>
      <w:r w:rsidRPr="00D337FA">
        <w:rPr>
          <w:i/>
          <w:szCs w:val="24"/>
        </w:rPr>
        <w:t>Баранников</w:t>
      </w:r>
      <w:r w:rsidR="006C680D" w:rsidRPr="00D337FA">
        <w:rPr>
          <w:i/>
          <w:szCs w:val="24"/>
        </w:rPr>
        <w:t xml:space="preserve"> </w:t>
      </w:r>
      <w:r w:rsidRPr="00D337FA">
        <w:rPr>
          <w:i/>
          <w:szCs w:val="24"/>
        </w:rPr>
        <w:t>Р.Ф.</w:t>
      </w:r>
      <w:r w:rsidR="006C680D" w:rsidRPr="00D337FA">
        <w:rPr>
          <w:i/>
          <w:szCs w:val="24"/>
        </w:rPr>
        <w:t xml:space="preserve"> </w:t>
      </w:r>
      <w:r w:rsidRPr="00D337FA">
        <w:rPr>
          <w:i/>
          <w:szCs w:val="24"/>
        </w:rPr>
        <w:t>Перспективы</w:t>
      </w:r>
      <w:r w:rsidR="006C680D" w:rsidRPr="00D337FA">
        <w:rPr>
          <w:i/>
          <w:szCs w:val="24"/>
        </w:rPr>
        <w:t xml:space="preserve"> </w:t>
      </w:r>
      <w:r w:rsidRPr="00D337FA">
        <w:rPr>
          <w:i/>
          <w:szCs w:val="24"/>
        </w:rPr>
        <w:t>развития</w:t>
      </w:r>
      <w:r w:rsidR="006C680D" w:rsidRPr="00D337FA">
        <w:rPr>
          <w:i/>
          <w:szCs w:val="24"/>
        </w:rPr>
        <w:t xml:space="preserve"> </w:t>
      </w:r>
      <w:r w:rsidRPr="00D337FA">
        <w:rPr>
          <w:i/>
          <w:szCs w:val="24"/>
        </w:rPr>
        <w:t>страхового</w:t>
      </w:r>
      <w:r w:rsidR="006C680D" w:rsidRPr="00D337FA">
        <w:rPr>
          <w:i/>
          <w:szCs w:val="24"/>
        </w:rPr>
        <w:t xml:space="preserve"> </w:t>
      </w:r>
      <w:r w:rsidRPr="00D337FA">
        <w:rPr>
          <w:i/>
          <w:szCs w:val="24"/>
        </w:rPr>
        <w:t>рынка</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России</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период</w:t>
      </w:r>
      <w:r w:rsidR="006C680D" w:rsidRPr="00D337FA">
        <w:rPr>
          <w:i/>
          <w:szCs w:val="24"/>
        </w:rPr>
        <w:t xml:space="preserve"> </w:t>
      </w:r>
      <w:r w:rsidRPr="00D337FA">
        <w:rPr>
          <w:i/>
          <w:szCs w:val="24"/>
        </w:rPr>
        <w:t>сложной</w:t>
      </w:r>
      <w:r w:rsidR="006C680D" w:rsidRPr="00D337FA">
        <w:rPr>
          <w:i/>
          <w:szCs w:val="24"/>
        </w:rPr>
        <w:t xml:space="preserve"> </w:t>
      </w:r>
      <w:r w:rsidRPr="00D337FA">
        <w:rPr>
          <w:i/>
          <w:szCs w:val="24"/>
        </w:rPr>
        <w:t>геополитической</w:t>
      </w:r>
      <w:r w:rsidR="006C680D" w:rsidRPr="00D337FA">
        <w:rPr>
          <w:i/>
          <w:szCs w:val="24"/>
        </w:rPr>
        <w:t xml:space="preserve"> </w:t>
      </w:r>
      <w:r w:rsidRPr="00D337FA">
        <w:rPr>
          <w:i/>
          <w:szCs w:val="24"/>
        </w:rPr>
        <w:t>ситуации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Экономика,</w:t>
      </w:r>
      <w:r w:rsidR="006C680D" w:rsidRPr="00D337FA">
        <w:rPr>
          <w:i/>
          <w:szCs w:val="24"/>
        </w:rPr>
        <w:t xml:space="preserve"> </w:t>
      </w:r>
      <w:r w:rsidRPr="00D337FA">
        <w:rPr>
          <w:i/>
          <w:szCs w:val="24"/>
        </w:rPr>
        <w:t>предпринимательство</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право.</w:t>
      </w:r>
      <w:r w:rsidR="006C680D" w:rsidRPr="00D337FA">
        <w:rPr>
          <w:i/>
          <w:szCs w:val="24"/>
        </w:rPr>
        <w:t xml:space="preserve"> </w:t>
      </w:r>
      <w:r w:rsidRPr="00D337FA">
        <w:rPr>
          <w:i/>
          <w:szCs w:val="24"/>
        </w:rPr>
        <w:t>2023</w:t>
      </w:r>
      <w:r w:rsidR="006C680D" w:rsidRPr="00D337FA">
        <w:rPr>
          <w:i/>
          <w:szCs w:val="24"/>
        </w:rPr>
        <w:t xml:space="preserve"> </w:t>
      </w:r>
      <w:r w:rsidRPr="00D337FA">
        <w:rPr>
          <w:i/>
          <w:szCs w:val="24"/>
        </w:rPr>
        <w:t>Т.</w:t>
      </w:r>
      <w:r w:rsidR="006C680D" w:rsidRPr="00D337FA">
        <w:rPr>
          <w:i/>
          <w:szCs w:val="24"/>
        </w:rPr>
        <w:t xml:space="preserve"> </w:t>
      </w:r>
      <w:r w:rsidRPr="00D337FA">
        <w:rPr>
          <w:i/>
          <w:szCs w:val="24"/>
        </w:rPr>
        <w:t>13</w:t>
      </w:r>
      <w:r w:rsidR="005411F4" w:rsidRPr="00D337FA">
        <w:rPr>
          <w:i/>
          <w:szCs w:val="24"/>
        </w:rPr>
        <w:t>.</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5</w:t>
      </w:r>
      <w:r w:rsidR="005411F4" w:rsidRPr="00D337FA">
        <w:rPr>
          <w:i/>
          <w:szCs w:val="24"/>
        </w:rPr>
        <w:t>.</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1683-1692.</w:t>
      </w:r>
    </w:p>
    <w:p w:rsidR="00B91B4B" w:rsidRPr="00D337FA" w:rsidRDefault="00B91B4B" w:rsidP="00B91B4B">
      <w:pPr>
        <w:ind w:firstLine="284"/>
        <w:rPr>
          <w:i/>
          <w:szCs w:val="24"/>
        </w:rPr>
      </w:pPr>
      <w:r w:rsidRPr="00D337FA">
        <w:rPr>
          <w:i/>
          <w:szCs w:val="24"/>
        </w:rPr>
        <w:t>25.</w:t>
      </w:r>
      <w:r w:rsidR="006C680D" w:rsidRPr="00D337FA">
        <w:rPr>
          <w:i/>
          <w:szCs w:val="24"/>
        </w:rPr>
        <w:t xml:space="preserve"> </w:t>
      </w:r>
      <w:r w:rsidRPr="00D337FA">
        <w:rPr>
          <w:i/>
          <w:szCs w:val="24"/>
        </w:rPr>
        <w:t>Мальковская</w:t>
      </w:r>
      <w:r w:rsidR="006C680D" w:rsidRPr="00D337FA">
        <w:rPr>
          <w:i/>
          <w:szCs w:val="24"/>
        </w:rPr>
        <w:t xml:space="preserve"> </w:t>
      </w:r>
      <w:r w:rsidRPr="00D337FA">
        <w:rPr>
          <w:i/>
          <w:szCs w:val="24"/>
        </w:rPr>
        <w:t>М.</w:t>
      </w:r>
      <w:r w:rsidR="006C680D" w:rsidRPr="00D337FA">
        <w:rPr>
          <w:i/>
          <w:szCs w:val="24"/>
        </w:rPr>
        <w:t xml:space="preserve"> </w:t>
      </w:r>
      <w:r w:rsidRPr="00D337FA">
        <w:rPr>
          <w:i/>
          <w:szCs w:val="24"/>
        </w:rPr>
        <w:t>Период</w:t>
      </w:r>
      <w:r w:rsidR="006C680D" w:rsidRPr="00D337FA">
        <w:rPr>
          <w:i/>
          <w:szCs w:val="24"/>
        </w:rPr>
        <w:t xml:space="preserve"> </w:t>
      </w:r>
      <w:r w:rsidRPr="00D337FA">
        <w:rPr>
          <w:i/>
          <w:szCs w:val="24"/>
        </w:rPr>
        <w:t>трансформации:</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чем</w:t>
      </w:r>
      <w:r w:rsidR="006C680D" w:rsidRPr="00D337FA">
        <w:rPr>
          <w:i/>
          <w:szCs w:val="24"/>
        </w:rPr>
        <w:t xml:space="preserve"> </w:t>
      </w:r>
      <w:r w:rsidRPr="00D337FA">
        <w:rPr>
          <w:i/>
          <w:szCs w:val="24"/>
        </w:rPr>
        <w:t>сталкиваются</w:t>
      </w:r>
      <w:r w:rsidR="006C680D" w:rsidRPr="00D337FA">
        <w:rPr>
          <w:i/>
          <w:szCs w:val="24"/>
        </w:rPr>
        <w:t xml:space="preserve"> </w:t>
      </w:r>
      <w:r w:rsidRPr="00D337FA">
        <w:rPr>
          <w:i/>
          <w:szCs w:val="24"/>
        </w:rPr>
        <w:t>страховщики</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эпоху</w:t>
      </w:r>
      <w:r w:rsidR="006C680D" w:rsidRPr="00D337FA">
        <w:rPr>
          <w:i/>
          <w:szCs w:val="24"/>
        </w:rPr>
        <w:t xml:space="preserve"> </w:t>
      </w:r>
      <w:r w:rsidRPr="00D337FA">
        <w:rPr>
          <w:i/>
          <w:szCs w:val="24"/>
        </w:rPr>
        <w:t>цифровизации</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Современные</w:t>
      </w:r>
      <w:r w:rsidR="006C680D" w:rsidRPr="00D337FA">
        <w:rPr>
          <w:i/>
          <w:szCs w:val="24"/>
        </w:rPr>
        <w:t xml:space="preserve"> </w:t>
      </w:r>
      <w:r w:rsidRPr="00D337FA">
        <w:rPr>
          <w:i/>
          <w:szCs w:val="24"/>
        </w:rPr>
        <w:t>страховые</w:t>
      </w:r>
      <w:r w:rsidR="006C680D" w:rsidRPr="00D337FA">
        <w:rPr>
          <w:i/>
          <w:szCs w:val="24"/>
        </w:rPr>
        <w:t xml:space="preserve"> </w:t>
      </w:r>
      <w:r w:rsidRPr="00D337FA">
        <w:rPr>
          <w:i/>
          <w:szCs w:val="24"/>
        </w:rPr>
        <w:t>технологии.</w:t>
      </w:r>
      <w:r w:rsidR="006C680D" w:rsidRPr="00D337FA">
        <w:rPr>
          <w:i/>
          <w:szCs w:val="24"/>
        </w:rPr>
        <w:t xml:space="preserve"> </w:t>
      </w:r>
      <w:r w:rsidRPr="00D337FA">
        <w:rPr>
          <w:i/>
          <w:szCs w:val="24"/>
        </w:rPr>
        <w:t>2019.</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4.</w:t>
      </w:r>
      <w:r w:rsidR="006C680D" w:rsidRPr="00D337FA">
        <w:rPr>
          <w:i/>
          <w:szCs w:val="24"/>
        </w:rPr>
        <w:t xml:space="preserve">  </w:t>
      </w:r>
      <w:r w:rsidRPr="00D337FA">
        <w:rPr>
          <w:i/>
          <w:szCs w:val="24"/>
        </w:rPr>
        <w:t>C.</w:t>
      </w:r>
      <w:r w:rsidR="006C680D" w:rsidRPr="00D337FA">
        <w:rPr>
          <w:i/>
          <w:szCs w:val="24"/>
        </w:rPr>
        <w:t xml:space="preserve"> </w:t>
      </w:r>
      <w:r w:rsidRPr="00D337FA">
        <w:rPr>
          <w:i/>
          <w:szCs w:val="24"/>
        </w:rPr>
        <w:t>94</w:t>
      </w:r>
      <w:r w:rsidR="005411F4" w:rsidRPr="00D337FA">
        <w:rPr>
          <w:i/>
          <w:szCs w:val="24"/>
        </w:rPr>
        <w:t>-</w:t>
      </w:r>
      <w:r w:rsidRPr="00D337FA">
        <w:rPr>
          <w:i/>
          <w:szCs w:val="24"/>
        </w:rPr>
        <w:t>95.</w:t>
      </w:r>
    </w:p>
    <w:p w:rsidR="00B91B4B" w:rsidRPr="00946B13" w:rsidRDefault="00B91B4B" w:rsidP="00B91B4B">
      <w:pPr>
        <w:ind w:firstLine="284"/>
        <w:rPr>
          <w:i/>
          <w:szCs w:val="24"/>
          <w:lang w:val="en-US"/>
        </w:rPr>
      </w:pPr>
      <w:r w:rsidRPr="00D337FA">
        <w:rPr>
          <w:i/>
          <w:szCs w:val="24"/>
        </w:rPr>
        <w:t>26.</w:t>
      </w:r>
      <w:r w:rsidR="006C680D" w:rsidRPr="00D337FA">
        <w:rPr>
          <w:i/>
          <w:szCs w:val="24"/>
        </w:rPr>
        <w:t xml:space="preserve"> </w:t>
      </w:r>
      <w:r w:rsidRPr="00D337FA">
        <w:rPr>
          <w:i/>
          <w:szCs w:val="24"/>
        </w:rPr>
        <w:t>Архипов</w:t>
      </w:r>
      <w:r w:rsidR="006C680D" w:rsidRPr="00D337FA">
        <w:rPr>
          <w:i/>
          <w:szCs w:val="24"/>
        </w:rPr>
        <w:t xml:space="preserve"> </w:t>
      </w:r>
      <w:r w:rsidRPr="00D337FA">
        <w:rPr>
          <w:i/>
          <w:szCs w:val="24"/>
        </w:rPr>
        <w:t>А.</w:t>
      </w:r>
      <w:r w:rsidR="006C680D" w:rsidRPr="00D337FA">
        <w:rPr>
          <w:i/>
          <w:szCs w:val="24"/>
        </w:rPr>
        <w:t xml:space="preserve"> </w:t>
      </w:r>
      <w:r w:rsidRPr="00D337FA">
        <w:rPr>
          <w:i/>
          <w:szCs w:val="24"/>
        </w:rPr>
        <w:t>П.</w:t>
      </w:r>
      <w:r w:rsidR="006C680D" w:rsidRPr="00D337FA">
        <w:rPr>
          <w:i/>
          <w:szCs w:val="24"/>
        </w:rPr>
        <w:t xml:space="preserve"> </w:t>
      </w:r>
      <w:r w:rsidRPr="00D337FA">
        <w:rPr>
          <w:i/>
          <w:szCs w:val="24"/>
        </w:rPr>
        <w:t>О</w:t>
      </w:r>
      <w:r w:rsidR="006C680D" w:rsidRPr="00D337FA">
        <w:rPr>
          <w:i/>
          <w:szCs w:val="24"/>
        </w:rPr>
        <w:t xml:space="preserve"> </w:t>
      </w:r>
      <w:r w:rsidRPr="00D337FA">
        <w:rPr>
          <w:i/>
          <w:szCs w:val="24"/>
        </w:rPr>
        <w:t>перспективах</w:t>
      </w:r>
      <w:r w:rsidR="006C680D" w:rsidRPr="00D337FA">
        <w:rPr>
          <w:i/>
          <w:szCs w:val="24"/>
        </w:rPr>
        <w:t xml:space="preserve"> </w:t>
      </w:r>
      <w:r w:rsidRPr="00D337FA">
        <w:rPr>
          <w:i/>
          <w:szCs w:val="24"/>
        </w:rPr>
        <w:t>обязательного</w:t>
      </w:r>
      <w:r w:rsidR="006C680D" w:rsidRPr="00D337FA">
        <w:rPr>
          <w:i/>
          <w:szCs w:val="24"/>
        </w:rPr>
        <w:t xml:space="preserve"> </w:t>
      </w:r>
      <w:r w:rsidRPr="00D337FA">
        <w:rPr>
          <w:i/>
          <w:szCs w:val="24"/>
        </w:rPr>
        <w:t>пенсионного</w:t>
      </w:r>
      <w:r w:rsidR="006C680D" w:rsidRPr="00D337FA">
        <w:rPr>
          <w:i/>
          <w:szCs w:val="24"/>
        </w:rPr>
        <w:t xml:space="preserve"> </w:t>
      </w:r>
      <w:r w:rsidRPr="00D337FA">
        <w:rPr>
          <w:i/>
          <w:szCs w:val="24"/>
        </w:rPr>
        <w:t>страхования</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Финансы.</w:t>
      </w:r>
      <w:r w:rsidR="006C680D" w:rsidRPr="00D337FA">
        <w:rPr>
          <w:i/>
          <w:szCs w:val="24"/>
        </w:rPr>
        <w:t xml:space="preserve"> </w:t>
      </w:r>
      <w:r w:rsidRPr="00946B13">
        <w:rPr>
          <w:i/>
          <w:szCs w:val="24"/>
          <w:lang w:val="en-US"/>
        </w:rPr>
        <w:t>2021.</w:t>
      </w:r>
      <w:r w:rsidR="006C680D" w:rsidRPr="00946B13">
        <w:rPr>
          <w:i/>
          <w:szCs w:val="24"/>
          <w:lang w:val="en-US"/>
        </w:rPr>
        <w:t xml:space="preserve">  </w:t>
      </w:r>
      <w:r w:rsidRPr="00946B13">
        <w:rPr>
          <w:i/>
          <w:szCs w:val="24"/>
          <w:lang w:val="en-US"/>
        </w:rPr>
        <w:t>№</w:t>
      </w:r>
      <w:r w:rsidR="006C680D" w:rsidRPr="00946B13">
        <w:rPr>
          <w:i/>
          <w:szCs w:val="24"/>
          <w:lang w:val="en-US"/>
        </w:rPr>
        <w:t xml:space="preserve"> </w:t>
      </w:r>
      <w:r w:rsidRPr="00946B13">
        <w:rPr>
          <w:i/>
          <w:szCs w:val="24"/>
          <w:lang w:val="en-US"/>
        </w:rPr>
        <w:t>7.</w:t>
      </w:r>
      <w:r w:rsidR="006C680D" w:rsidRPr="00946B13">
        <w:rPr>
          <w:i/>
          <w:szCs w:val="24"/>
          <w:lang w:val="en-US"/>
        </w:rPr>
        <w:t xml:space="preserve"> </w:t>
      </w:r>
      <w:r w:rsidRPr="00D337FA">
        <w:rPr>
          <w:i/>
          <w:szCs w:val="24"/>
        </w:rPr>
        <w:t>С</w:t>
      </w:r>
      <w:r w:rsidRPr="00946B13">
        <w:rPr>
          <w:i/>
          <w:szCs w:val="24"/>
          <w:lang w:val="en-US"/>
        </w:rPr>
        <w:t>.</w:t>
      </w:r>
      <w:r w:rsidR="006C680D" w:rsidRPr="00946B13">
        <w:rPr>
          <w:i/>
          <w:szCs w:val="24"/>
          <w:lang w:val="en-US"/>
        </w:rPr>
        <w:t xml:space="preserve"> </w:t>
      </w:r>
      <w:r w:rsidRPr="00946B13">
        <w:rPr>
          <w:i/>
          <w:szCs w:val="24"/>
          <w:lang w:val="en-US"/>
        </w:rPr>
        <w:t>59</w:t>
      </w:r>
      <w:r w:rsidR="005411F4" w:rsidRPr="00946B13">
        <w:rPr>
          <w:i/>
          <w:szCs w:val="24"/>
          <w:lang w:val="en-US"/>
        </w:rPr>
        <w:t>-</w:t>
      </w:r>
      <w:r w:rsidRPr="00946B13">
        <w:rPr>
          <w:i/>
          <w:szCs w:val="24"/>
          <w:lang w:val="en-US"/>
        </w:rPr>
        <w:t>64.</w:t>
      </w:r>
    </w:p>
    <w:p w:rsidR="00B91B4B" w:rsidRPr="008A5AE7" w:rsidRDefault="00B91B4B" w:rsidP="00B91B4B">
      <w:pPr>
        <w:ind w:firstLine="284"/>
        <w:rPr>
          <w:i/>
          <w:szCs w:val="24"/>
        </w:rPr>
      </w:pPr>
      <w:r w:rsidRPr="00D337FA">
        <w:rPr>
          <w:i/>
          <w:szCs w:val="24"/>
          <w:lang w:val="en-US"/>
        </w:rPr>
        <w:t>27.</w:t>
      </w:r>
      <w:r w:rsidR="006C680D" w:rsidRPr="00D337FA">
        <w:rPr>
          <w:i/>
          <w:szCs w:val="24"/>
          <w:lang w:val="en-US"/>
        </w:rPr>
        <w:t xml:space="preserve"> </w:t>
      </w:r>
      <w:r w:rsidRPr="00D337FA">
        <w:rPr>
          <w:i/>
          <w:szCs w:val="24"/>
          <w:lang w:val="en-US"/>
        </w:rPr>
        <w:t>Guo</w:t>
      </w:r>
      <w:r w:rsidR="006C680D" w:rsidRPr="00D337FA">
        <w:rPr>
          <w:i/>
          <w:szCs w:val="24"/>
          <w:lang w:val="en-US"/>
        </w:rPr>
        <w:t xml:space="preserve"> </w:t>
      </w:r>
      <w:r w:rsidRPr="00D337FA">
        <w:rPr>
          <w:i/>
          <w:szCs w:val="24"/>
          <w:lang w:val="en-US"/>
        </w:rPr>
        <w:t>Zhenhua.</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role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insuranc</w:t>
      </w:r>
      <w:r w:rsidR="005411F4" w:rsidRPr="00D337FA">
        <w:rPr>
          <w:i/>
          <w:szCs w:val="24"/>
          <w:lang w:val="en-US"/>
        </w:rPr>
        <w:t>e</w:t>
      </w:r>
      <w:r w:rsidR="006C680D" w:rsidRPr="00D337FA">
        <w:rPr>
          <w:i/>
          <w:szCs w:val="24"/>
          <w:lang w:val="en-US"/>
        </w:rPr>
        <w:t xml:space="preserve"> </w:t>
      </w:r>
      <w:r w:rsidR="005411F4" w:rsidRPr="00D337FA">
        <w:rPr>
          <w:i/>
          <w:szCs w:val="24"/>
          <w:lang w:val="en-US"/>
        </w:rPr>
        <w:t>in</w:t>
      </w:r>
      <w:r w:rsidR="006C680D" w:rsidRPr="00D337FA">
        <w:rPr>
          <w:i/>
          <w:szCs w:val="24"/>
          <w:lang w:val="en-US"/>
        </w:rPr>
        <w:t xml:space="preserve"> </w:t>
      </w:r>
      <w:r w:rsidR="005411F4" w:rsidRPr="00D337FA">
        <w:rPr>
          <w:i/>
          <w:szCs w:val="24"/>
          <w:lang w:val="en-US"/>
        </w:rPr>
        <w:t>supply</w:t>
      </w:r>
      <w:r w:rsidR="006C680D" w:rsidRPr="00D337FA">
        <w:rPr>
          <w:i/>
          <w:szCs w:val="24"/>
          <w:lang w:val="en-US"/>
        </w:rPr>
        <w:t xml:space="preserve"> </w:t>
      </w:r>
      <w:r w:rsidR="005411F4" w:rsidRPr="00D337FA">
        <w:rPr>
          <w:i/>
          <w:szCs w:val="24"/>
          <w:lang w:val="en-US"/>
        </w:rPr>
        <w:t>chain</w:t>
      </w:r>
      <w:r w:rsidR="006C680D" w:rsidRPr="00D337FA">
        <w:rPr>
          <w:i/>
          <w:szCs w:val="24"/>
          <w:lang w:val="en-US"/>
        </w:rPr>
        <w:t xml:space="preserve"> </w:t>
      </w:r>
      <w:r w:rsidR="005411F4" w:rsidRPr="00D337FA">
        <w:rPr>
          <w:i/>
          <w:szCs w:val="24"/>
          <w:lang w:val="en-US"/>
        </w:rPr>
        <w:t>finance</w:t>
      </w:r>
      <w:r w:rsidR="006C680D" w:rsidRPr="00D337FA">
        <w:rPr>
          <w:i/>
          <w:szCs w:val="24"/>
          <w:lang w:val="en-US"/>
        </w:rPr>
        <w:t xml:space="preserve"> </w:t>
      </w:r>
      <w:r w:rsidR="005411F4" w:rsidRPr="00D337FA">
        <w:rPr>
          <w:i/>
          <w:szCs w:val="24"/>
          <w:lang w:val="en-US"/>
        </w:rPr>
        <w:t>//</w:t>
      </w:r>
      <w:r w:rsidR="006C680D" w:rsidRPr="00D337FA">
        <w:rPr>
          <w:i/>
          <w:szCs w:val="24"/>
          <w:lang w:val="en-US"/>
        </w:rPr>
        <w:t xml:space="preserve"> </w:t>
      </w:r>
      <w:r w:rsidR="005411F4" w:rsidRPr="00D337FA">
        <w:rPr>
          <w:i/>
          <w:szCs w:val="24"/>
          <w:lang w:val="en-US"/>
        </w:rPr>
        <w:t>Fi</w:t>
      </w:r>
      <w:r w:rsidRPr="00D337FA">
        <w:rPr>
          <w:i/>
          <w:szCs w:val="24"/>
          <w:lang w:val="en-US"/>
        </w:rPr>
        <w:t>nance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Economics.</w:t>
      </w:r>
      <w:r w:rsidR="006C680D" w:rsidRPr="00D337FA">
        <w:rPr>
          <w:i/>
          <w:szCs w:val="24"/>
          <w:lang w:val="en-US"/>
        </w:rPr>
        <w:t xml:space="preserve"> </w:t>
      </w:r>
      <w:r w:rsidRPr="00946B13">
        <w:rPr>
          <w:i/>
          <w:szCs w:val="24"/>
        </w:rPr>
        <w:t>2020.</w:t>
      </w:r>
      <w:r w:rsidR="006C680D" w:rsidRPr="00946B13">
        <w:rPr>
          <w:i/>
          <w:szCs w:val="24"/>
        </w:rPr>
        <w:t xml:space="preserve"> </w:t>
      </w:r>
      <w:r w:rsidRPr="00D337FA">
        <w:rPr>
          <w:i/>
          <w:szCs w:val="24"/>
          <w:lang w:val="en-US"/>
        </w:rPr>
        <w:t>Vol</w:t>
      </w:r>
      <w:r w:rsidRPr="00946B13">
        <w:rPr>
          <w:i/>
          <w:szCs w:val="24"/>
        </w:rPr>
        <w:t>.</w:t>
      </w:r>
      <w:r w:rsidR="006C680D" w:rsidRPr="00946B13">
        <w:rPr>
          <w:i/>
          <w:szCs w:val="24"/>
        </w:rPr>
        <w:t xml:space="preserve"> </w:t>
      </w:r>
      <w:r w:rsidRPr="00946B13">
        <w:rPr>
          <w:i/>
          <w:szCs w:val="24"/>
        </w:rPr>
        <w:t>7.</w:t>
      </w:r>
      <w:r w:rsidR="006C680D" w:rsidRPr="00946B13">
        <w:rPr>
          <w:i/>
          <w:szCs w:val="24"/>
        </w:rPr>
        <w:t xml:space="preserve"> </w:t>
      </w:r>
      <w:r w:rsidRPr="00D337FA">
        <w:rPr>
          <w:i/>
          <w:szCs w:val="24"/>
          <w:lang w:val="en-US"/>
        </w:rPr>
        <w:t>P</w:t>
      </w:r>
      <w:r w:rsidRPr="008A5AE7">
        <w:rPr>
          <w:i/>
          <w:szCs w:val="24"/>
        </w:rPr>
        <w:t>.</w:t>
      </w:r>
      <w:r w:rsidR="006C680D" w:rsidRPr="008A5AE7">
        <w:rPr>
          <w:i/>
          <w:szCs w:val="24"/>
        </w:rPr>
        <w:t xml:space="preserve"> </w:t>
      </w:r>
      <w:r w:rsidRPr="008A5AE7">
        <w:rPr>
          <w:i/>
          <w:szCs w:val="24"/>
        </w:rPr>
        <w:t>32</w:t>
      </w:r>
    </w:p>
    <w:p w:rsidR="009E51BB" w:rsidRPr="00946B13" w:rsidRDefault="00B91B4B" w:rsidP="00B91B4B">
      <w:pPr>
        <w:ind w:firstLine="284"/>
        <w:rPr>
          <w:i/>
          <w:szCs w:val="24"/>
          <w:lang w:val="en-US"/>
        </w:rPr>
      </w:pPr>
      <w:r w:rsidRPr="00D337FA">
        <w:rPr>
          <w:i/>
          <w:szCs w:val="24"/>
        </w:rPr>
        <w:t>28.</w:t>
      </w:r>
      <w:r w:rsidR="006C680D" w:rsidRPr="00D337FA">
        <w:rPr>
          <w:i/>
          <w:szCs w:val="24"/>
        </w:rPr>
        <w:t xml:space="preserve"> </w:t>
      </w:r>
      <w:r w:rsidRPr="00D337FA">
        <w:rPr>
          <w:i/>
          <w:szCs w:val="24"/>
        </w:rPr>
        <w:t>Аксютина</w:t>
      </w:r>
      <w:r w:rsidR="006C680D" w:rsidRPr="00D337FA">
        <w:rPr>
          <w:i/>
          <w:szCs w:val="24"/>
        </w:rPr>
        <w:t xml:space="preserve"> </w:t>
      </w:r>
      <w:r w:rsidRPr="00D337FA">
        <w:rPr>
          <w:i/>
          <w:szCs w:val="24"/>
        </w:rPr>
        <w:t>С.</w:t>
      </w:r>
      <w:r w:rsidR="006C680D" w:rsidRPr="00D337FA">
        <w:rPr>
          <w:i/>
          <w:szCs w:val="24"/>
        </w:rPr>
        <w:t xml:space="preserve"> </w:t>
      </w:r>
      <w:r w:rsidRPr="00D337FA">
        <w:rPr>
          <w:i/>
          <w:szCs w:val="24"/>
        </w:rPr>
        <w:t>В.</w:t>
      </w:r>
      <w:r w:rsidR="006C680D" w:rsidRPr="00D337FA">
        <w:rPr>
          <w:i/>
          <w:szCs w:val="24"/>
        </w:rPr>
        <w:t xml:space="preserve"> </w:t>
      </w:r>
      <w:r w:rsidRPr="00D337FA">
        <w:rPr>
          <w:i/>
          <w:szCs w:val="24"/>
        </w:rPr>
        <w:t>Страховой</w:t>
      </w:r>
      <w:r w:rsidR="006C680D" w:rsidRPr="00D337FA">
        <w:rPr>
          <w:i/>
          <w:szCs w:val="24"/>
        </w:rPr>
        <w:t xml:space="preserve"> </w:t>
      </w:r>
      <w:r w:rsidRPr="00D337FA">
        <w:rPr>
          <w:i/>
          <w:szCs w:val="24"/>
        </w:rPr>
        <w:t>рынок</w:t>
      </w:r>
      <w:r w:rsidR="006C680D" w:rsidRPr="00D337FA">
        <w:rPr>
          <w:i/>
          <w:szCs w:val="24"/>
        </w:rPr>
        <w:t xml:space="preserve"> </w:t>
      </w:r>
      <w:r w:rsidRPr="00D337FA">
        <w:rPr>
          <w:i/>
          <w:szCs w:val="24"/>
        </w:rPr>
        <w:t>РФ:</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и</w:t>
      </w:r>
      <w:r w:rsidR="006C680D" w:rsidRPr="00D337FA">
        <w:rPr>
          <w:i/>
          <w:szCs w:val="24"/>
        </w:rPr>
        <w:t xml:space="preserve"> </w:t>
      </w:r>
      <w:r w:rsidRPr="00D337FA">
        <w:rPr>
          <w:i/>
          <w:szCs w:val="24"/>
        </w:rPr>
        <w:t>перспективы</w:t>
      </w:r>
      <w:r w:rsidR="006C680D" w:rsidRPr="00D337FA">
        <w:rPr>
          <w:i/>
          <w:szCs w:val="24"/>
        </w:rPr>
        <w:t xml:space="preserve"> </w:t>
      </w:r>
      <w:r w:rsidRPr="00D337FA">
        <w:rPr>
          <w:i/>
          <w:szCs w:val="24"/>
        </w:rPr>
        <w:t>//</w:t>
      </w:r>
      <w:r w:rsidR="006C680D" w:rsidRPr="00D337FA">
        <w:rPr>
          <w:i/>
          <w:szCs w:val="24"/>
        </w:rPr>
        <w:t xml:space="preserve"> </w:t>
      </w:r>
      <w:r w:rsidRPr="00D337FA">
        <w:rPr>
          <w:i/>
          <w:szCs w:val="24"/>
        </w:rPr>
        <w:t>Проблемы</w:t>
      </w:r>
      <w:r w:rsidR="006C680D" w:rsidRPr="00D337FA">
        <w:rPr>
          <w:i/>
          <w:szCs w:val="24"/>
        </w:rPr>
        <w:t xml:space="preserve"> </w:t>
      </w:r>
      <w:r w:rsidRPr="00D337FA">
        <w:rPr>
          <w:i/>
          <w:szCs w:val="24"/>
        </w:rPr>
        <w:t>развития</w:t>
      </w:r>
      <w:r w:rsidR="006C680D" w:rsidRPr="00D337FA">
        <w:rPr>
          <w:i/>
          <w:szCs w:val="24"/>
        </w:rPr>
        <w:t xml:space="preserve"> </w:t>
      </w:r>
      <w:r w:rsidRPr="00D337FA">
        <w:rPr>
          <w:i/>
          <w:szCs w:val="24"/>
        </w:rPr>
        <w:t>территории.</w:t>
      </w:r>
      <w:r w:rsidR="000B36CD" w:rsidRPr="000B36CD">
        <w:rPr>
          <w:i/>
          <w:szCs w:val="24"/>
        </w:rPr>
        <w:t xml:space="preserve"> </w:t>
      </w:r>
      <w:r w:rsidRPr="00946B13">
        <w:rPr>
          <w:i/>
          <w:szCs w:val="24"/>
          <w:lang w:val="en-US"/>
        </w:rPr>
        <w:t>2022.</w:t>
      </w:r>
      <w:r w:rsidR="006C680D" w:rsidRPr="00946B13">
        <w:rPr>
          <w:i/>
          <w:szCs w:val="24"/>
          <w:lang w:val="en-US"/>
        </w:rPr>
        <w:t xml:space="preserve"> </w:t>
      </w:r>
      <w:r w:rsidRPr="00946B13">
        <w:rPr>
          <w:i/>
          <w:szCs w:val="24"/>
          <w:lang w:val="en-US"/>
        </w:rPr>
        <w:t>№</w:t>
      </w:r>
      <w:r w:rsidR="006C680D" w:rsidRPr="00946B13">
        <w:rPr>
          <w:i/>
          <w:szCs w:val="24"/>
          <w:lang w:val="en-US"/>
        </w:rPr>
        <w:t xml:space="preserve"> </w:t>
      </w:r>
      <w:r w:rsidRPr="00946B13">
        <w:rPr>
          <w:i/>
          <w:szCs w:val="24"/>
          <w:lang w:val="en-US"/>
        </w:rPr>
        <w:t>2.</w:t>
      </w:r>
      <w:r w:rsidR="006C680D" w:rsidRPr="00946B13">
        <w:rPr>
          <w:i/>
          <w:szCs w:val="24"/>
          <w:lang w:val="en-US"/>
        </w:rPr>
        <w:t xml:space="preserve"> </w:t>
      </w:r>
      <w:r w:rsidRPr="00D337FA">
        <w:rPr>
          <w:i/>
          <w:szCs w:val="24"/>
        </w:rPr>
        <w:t>С</w:t>
      </w:r>
      <w:r w:rsidRPr="00946B13">
        <w:rPr>
          <w:i/>
          <w:szCs w:val="24"/>
          <w:lang w:val="en-US"/>
        </w:rPr>
        <w:t>.</w:t>
      </w:r>
      <w:r w:rsidR="006C680D" w:rsidRPr="00946B13">
        <w:rPr>
          <w:i/>
          <w:szCs w:val="24"/>
          <w:lang w:val="en-US"/>
        </w:rPr>
        <w:t xml:space="preserve"> </w:t>
      </w:r>
      <w:r w:rsidRPr="00946B13">
        <w:rPr>
          <w:i/>
          <w:szCs w:val="24"/>
          <w:lang w:val="en-US"/>
        </w:rPr>
        <w:t>115</w:t>
      </w:r>
      <w:r w:rsidR="005411F4" w:rsidRPr="00946B13">
        <w:rPr>
          <w:i/>
          <w:szCs w:val="24"/>
          <w:lang w:val="en-US"/>
        </w:rPr>
        <w:t>-</w:t>
      </w:r>
      <w:r w:rsidRPr="00946B13">
        <w:rPr>
          <w:i/>
          <w:szCs w:val="24"/>
          <w:lang w:val="en-US"/>
        </w:rPr>
        <w:t>126.</w:t>
      </w:r>
    </w:p>
    <w:p w:rsidR="00A86B27" w:rsidRPr="00946B13" w:rsidRDefault="00A86B27" w:rsidP="00A86B27">
      <w:pPr>
        <w:ind w:firstLine="284"/>
        <w:rPr>
          <w:i/>
          <w:szCs w:val="24"/>
          <w:lang w:val="en-US"/>
        </w:rPr>
      </w:pPr>
    </w:p>
    <w:p w:rsidR="00A86B27" w:rsidRPr="00D337FA" w:rsidRDefault="00A86B27" w:rsidP="00A86B27">
      <w:pPr>
        <w:ind w:firstLine="284"/>
        <w:jc w:val="center"/>
        <w:rPr>
          <w:b/>
          <w:szCs w:val="24"/>
          <w:lang w:val="en-US"/>
        </w:rPr>
      </w:pPr>
      <w:r w:rsidRPr="00D337FA">
        <w:rPr>
          <w:b/>
          <w:szCs w:val="24"/>
          <w:lang w:val="en-US"/>
        </w:rPr>
        <w:t>REFERENCES</w:t>
      </w:r>
    </w:p>
    <w:p w:rsidR="005411F4" w:rsidRPr="00D337FA" w:rsidRDefault="005411F4" w:rsidP="005411F4">
      <w:pPr>
        <w:ind w:firstLine="284"/>
        <w:rPr>
          <w:i/>
          <w:szCs w:val="24"/>
          <w:lang w:val="en-US"/>
        </w:rPr>
      </w:pPr>
      <w:r w:rsidRPr="00D337FA">
        <w:rPr>
          <w:i/>
          <w:szCs w:val="24"/>
          <w:lang w:val="en-US"/>
        </w:rPr>
        <w:t>1.</w:t>
      </w:r>
      <w:r w:rsidR="006C680D" w:rsidRPr="00D337FA">
        <w:rPr>
          <w:i/>
          <w:szCs w:val="24"/>
          <w:lang w:val="en-US"/>
        </w:rPr>
        <w:t xml:space="preserve"> </w:t>
      </w:r>
      <w:r w:rsidRPr="00D337FA">
        <w:rPr>
          <w:i/>
          <w:szCs w:val="24"/>
          <w:lang w:val="en-US"/>
        </w:rPr>
        <w:t>Porter</w:t>
      </w:r>
      <w:r w:rsidR="006C680D" w:rsidRPr="00D337FA">
        <w:rPr>
          <w:i/>
          <w:szCs w:val="24"/>
          <w:lang w:val="en-US"/>
        </w:rPr>
        <w:t xml:space="preserve"> </w:t>
      </w:r>
      <w:r w:rsidRPr="00D337FA">
        <w:rPr>
          <w:i/>
          <w:szCs w:val="24"/>
          <w:lang w:val="en-US"/>
        </w:rPr>
        <w:t>M.</w:t>
      </w:r>
      <w:r w:rsidR="006C680D" w:rsidRPr="00D337FA">
        <w:rPr>
          <w:i/>
          <w:szCs w:val="24"/>
          <w:lang w:val="en-US"/>
        </w:rPr>
        <w:t xml:space="preserve"> </w:t>
      </w:r>
      <w:r w:rsidRPr="00D337FA">
        <w:rPr>
          <w:i/>
          <w:szCs w:val="24"/>
          <w:lang w:val="en-US"/>
        </w:rPr>
        <w:t>Konkurentnoe</w:t>
      </w:r>
      <w:r w:rsidR="006C680D" w:rsidRPr="00D337FA">
        <w:rPr>
          <w:i/>
          <w:szCs w:val="24"/>
          <w:lang w:val="en-US"/>
        </w:rPr>
        <w:t xml:space="preserve"> </w:t>
      </w:r>
      <w:r w:rsidRPr="00D337FA">
        <w:rPr>
          <w:i/>
          <w:szCs w:val="24"/>
          <w:lang w:val="en-US"/>
        </w:rPr>
        <w:t>preimushchestvo:</w:t>
      </w:r>
      <w:r w:rsidR="006C680D" w:rsidRPr="00D337FA">
        <w:rPr>
          <w:i/>
          <w:szCs w:val="24"/>
          <w:lang w:val="en-US"/>
        </w:rPr>
        <w:t xml:space="preserve"> </w:t>
      </w:r>
      <w:r w:rsidRPr="00D337FA">
        <w:rPr>
          <w:i/>
          <w:szCs w:val="24"/>
          <w:lang w:val="en-US"/>
        </w:rPr>
        <w:t>Kak</w:t>
      </w:r>
      <w:r w:rsidR="006C680D" w:rsidRPr="00D337FA">
        <w:rPr>
          <w:i/>
          <w:szCs w:val="24"/>
          <w:lang w:val="en-US"/>
        </w:rPr>
        <w:t xml:space="preserve"> </w:t>
      </w:r>
      <w:r w:rsidRPr="00D337FA">
        <w:rPr>
          <w:i/>
          <w:szCs w:val="24"/>
          <w:lang w:val="en-US"/>
        </w:rPr>
        <w:t>dostich'</w:t>
      </w:r>
      <w:r w:rsidR="006C680D" w:rsidRPr="00D337FA">
        <w:rPr>
          <w:i/>
          <w:szCs w:val="24"/>
          <w:lang w:val="en-US"/>
        </w:rPr>
        <w:t xml:space="preserve"> </w:t>
      </w:r>
      <w:r w:rsidRPr="00D337FA">
        <w:rPr>
          <w:i/>
          <w:szCs w:val="24"/>
          <w:lang w:val="en-US"/>
        </w:rPr>
        <w:t>vysokogo</w:t>
      </w:r>
      <w:r w:rsidR="006C680D" w:rsidRPr="00D337FA">
        <w:rPr>
          <w:i/>
          <w:szCs w:val="24"/>
          <w:lang w:val="en-US"/>
        </w:rPr>
        <w:t xml:space="preserve"> </w:t>
      </w:r>
      <w:r w:rsidRPr="00D337FA">
        <w:rPr>
          <w:i/>
          <w:szCs w:val="24"/>
          <w:lang w:val="en-US"/>
        </w:rPr>
        <w:t>rezul'tata</w:t>
      </w:r>
      <w:r w:rsidR="006C680D" w:rsidRPr="00D337FA">
        <w:rPr>
          <w:i/>
          <w:szCs w:val="24"/>
          <w:lang w:val="en-US"/>
        </w:rPr>
        <w:t xml:space="preserve"> </w:t>
      </w:r>
      <w:r w:rsidRPr="00D337FA">
        <w:rPr>
          <w:i/>
          <w:szCs w:val="24"/>
          <w:lang w:val="en-US"/>
        </w:rPr>
        <w:t>i</w:t>
      </w:r>
      <w:r w:rsidR="006C680D" w:rsidRPr="00D337FA">
        <w:rPr>
          <w:i/>
          <w:szCs w:val="24"/>
          <w:lang w:val="en-US"/>
        </w:rPr>
        <w:t xml:space="preserve"> </w:t>
      </w:r>
      <w:r w:rsidRPr="00D337FA">
        <w:rPr>
          <w:i/>
          <w:szCs w:val="24"/>
          <w:lang w:val="en-US"/>
        </w:rPr>
        <w:t>obespechit'</w:t>
      </w:r>
      <w:r w:rsidR="006C680D" w:rsidRPr="00D337FA">
        <w:rPr>
          <w:i/>
          <w:szCs w:val="24"/>
          <w:lang w:val="en-US"/>
        </w:rPr>
        <w:t xml:space="preserve"> </w:t>
      </w:r>
      <w:r w:rsidRPr="00D337FA">
        <w:rPr>
          <w:i/>
          <w:szCs w:val="24"/>
          <w:lang w:val="en-US"/>
        </w:rPr>
        <w:t>ego</w:t>
      </w:r>
      <w:r w:rsidR="006C680D" w:rsidRPr="00D337FA">
        <w:rPr>
          <w:i/>
          <w:szCs w:val="24"/>
          <w:lang w:val="en-US"/>
        </w:rPr>
        <w:t xml:space="preserve"> </w:t>
      </w:r>
      <w:r w:rsidRPr="00D337FA">
        <w:rPr>
          <w:i/>
          <w:szCs w:val="24"/>
          <w:lang w:val="en-US"/>
        </w:rPr>
        <w:t>ustojchivost'</w:t>
      </w:r>
      <w:r w:rsidR="006C680D" w:rsidRPr="00D337FA">
        <w:rPr>
          <w:i/>
          <w:szCs w:val="24"/>
          <w:lang w:val="en-US"/>
        </w:rPr>
        <w:t xml:space="preserve"> </w:t>
      </w:r>
      <w:r w:rsidRPr="00D337FA">
        <w:rPr>
          <w:i/>
          <w:szCs w:val="24"/>
          <w:lang w:val="en-US"/>
        </w:rPr>
        <w:t>[Competitive</w:t>
      </w:r>
      <w:r w:rsidR="006C680D" w:rsidRPr="00D337FA">
        <w:rPr>
          <w:i/>
          <w:szCs w:val="24"/>
          <w:lang w:val="en-US"/>
        </w:rPr>
        <w:t xml:space="preserve"> </w:t>
      </w:r>
      <w:r w:rsidRPr="00D337FA">
        <w:rPr>
          <w:i/>
          <w:szCs w:val="24"/>
          <w:lang w:val="en-US"/>
        </w:rPr>
        <w:t>Advantage:</w:t>
      </w:r>
      <w:r w:rsidR="006C680D" w:rsidRPr="00D337FA">
        <w:rPr>
          <w:i/>
          <w:szCs w:val="24"/>
          <w:lang w:val="en-US"/>
        </w:rPr>
        <w:t xml:space="preserve"> </w:t>
      </w:r>
      <w:r w:rsidRPr="00D337FA">
        <w:rPr>
          <w:i/>
          <w:szCs w:val="24"/>
          <w:lang w:val="en-US"/>
        </w:rPr>
        <w:t>How</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Achieve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Sustain</w:t>
      </w:r>
      <w:r w:rsidR="006C680D" w:rsidRPr="00D337FA">
        <w:rPr>
          <w:i/>
          <w:szCs w:val="24"/>
          <w:lang w:val="en-US"/>
        </w:rPr>
        <w:t xml:space="preserve"> </w:t>
      </w:r>
      <w:r w:rsidRPr="00D337FA">
        <w:rPr>
          <w:i/>
          <w:szCs w:val="24"/>
          <w:lang w:val="en-US"/>
        </w:rPr>
        <w:t>High</w:t>
      </w:r>
      <w:r w:rsidR="006C680D" w:rsidRPr="00D337FA">
        <w:rPr>
          <w:i/>
          <w:szCs w:val="24"/>
          <w:lang w:val="en-US"/>
        </w:rPr>
        <w:t xml:space="preserve"> </w:t>
      </w:r>
      <w:r w:rsidRPr="00D337FA">
        <w:rPr>
          <w:i/>
          <w:szCs w:val="24"/>
          <w:lang w:val="en-US"/>
        </w:rPr>
        <w:t>Performance].</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Alpina</w:t>
      </w:r>
      <w:r w:rsidR="006C680D" w:rsidRPr="00D337FA">
        <w:rPr>
          <w:i/>
          <w:szCs w:val="24"/>
          <w:lang w:val="en-US"/>
        </w:rPr>
        <w:t xml:space="preserve"> </w:t>
      </w:r>
      <w:r w:rsidRPr="00D337FA">
        <w:rPr>
          <w:i/>
          <w:szCs w:val="24"/>
          <w:lang w:val="en-US"/>
        </w:rPr>
        <w:t>Publisher,</w:t>
      </w:r>
      <w:r w:rsidR="006C680D" w:rsidRPr="00D337FA">
        <w:rPr>
          <w:i/>
          <w:szCs w:val="24"/>
          <w:lang w:val="en-US"/>
        </w:rPr>
        <w:t xml:space="preserve"> </w:t>
      </w:r>
      <w:r w:rsidRPr="00D337FA">
        <w:rPr>
          <w:i/>
          <w:szCs w:val="24"/>
          <w:lang w:val="en-US"/>
        </w:rPr>
        <w:t>2008.</w:t>
      </w:r>
      <w:r w:rsidR="006C680D" w:rsidRPr="00D337FA">
        <w:rPr>
          <w:i/>
          <w:szCs w:val="24"/>
          <w:lang w:val="en-US"/>
        </w:rPr>
        <w:t xml:space="preserve"> </w:t>
      </w:r>
      <w:r w:rsidRPr="00D337FA">
        <w:rPr>
          <w:i/>
          <w:szCs w:val="24"/>
          <w:lang w:val="en-US"/>
        </w:rPr>
        <w:t>720</w:t>
      </w:r>
      <w:r w:rsidR="006C680D" w:rsidRPr="00D337FA">
        <w:rPr>
          <w:i/>
          <w:szCs w:val="24"/>
          <w:lang w:val="en-US"/>
        </w:rPr>
        <w:t xml:space="preserve"> </w:t>
      </w:r>
      <w:r w:rsidRPr="00D337FA">
        <w:rPr>
          <w:i/>
          <w:szCs w:val="24"/>
          <w:lang w:val="en-US"/>
        </w:rPr>
        <w:t>p.</w:t>
      </w:r>
    </w:p>
    <w:p w:rsidR="005411F4" w:rsidRPr="00D337FA" w:rsidRDefault="005411F4" w:rsidP="005411F4">
      <w:pPr>
        <w:ind w:firstLine="284"/>
        <w:rPr>
          <w:i/>
          <w:szCs w:val="24"/>
          <w:lang w:val="en-US"/>
        </w:rPr>
      </w:pPr>
      <w:r w:rsidRPr="00D337FA">
        <w:rPr>
          <w:i/>
          <w:szCs w:val="24"/>
          <w:lang w:val="en-US"/>
        </w:rPr>
        <w:t>2.</w:t>
      </w:r>
      <w:r w:rsidR="006C680D" w:rsidRPr="00D337FA">
        <w:rPr>
          <w:i/>
          <w:szCs w:val="24"/>
          <w:lang w:val="en-US"/>
        </w:rPr>
        <w:t xml:space="preserve"> </w:t>
      </w:r>
      <w:r w:rsidRPr="00D337FA">
        <w:rPr>
          <w:i/>
          <w:szCs w:val="24"/>
          <w:lang w:val="en-US"/>
        </w:rPr>
        <w:t>Barney</w:t>
      </w:r>
      <w:r w:rsidR="006C680D" w:rsidRPr="00D337FA">
        <w:rPr>
          <w:i/>
          <w:szCs w:val="24"/>
          <w:lang w:val="en-US"/>
        </w:rPr>
        <w:t xml:space="preserve"> </w:t>
      </w:r>
      <w:r w:rsidRPr="00D337FA">
        <w:rPr>
          <w:i/>
          <w:szCs w:val="24"/>
          <w:lang w:val="en-US"/>
        </w:rPr>
        <w:t>J.</w:t>
      </w:r>
      <w:r w:rsidR="006C680D" w:rsidRPr="00D337FA">
        <w:rPr>
          <w:i/>
          <w:szCs w:val="24"/>
          <w:lang w:val="en-US"/>
        </w:rPr>
        <w:t xml:space="preserve"> </w:t>
      </w:r>
      <w:r w:rsidRPr="00D337FA">
        <w:rPr>
          <w:i/>
          <w:szCs w:val="24"/>
          <w:lang w:val="en-US"/>
        </w:rPr>
        <w:t>B.</w:t>
      </w:r>
      <w:r w:rsidR="006C680D" w:rsidRPr="00D337FA">
        <w:rPr>
          <w:i/>
          <w:szCs w:val="24"/>
          <w:lang w:val="en-US"/>
        </w:rPr>
        <w:t xml:space="preserve"> </w:t>
      </w:r>
      <w:r w:rsidRPr="00D337FA">
        <w:rPr>
          <w:i/>
          <w:szCs w:val="24"/>
          <w:lang w:val="en-US"/>
        </w:rPr>
        <w:t>Mozhet</w:t>
      </w:r>
      <w:r w:rsidR="006C680D" w:rsidRPr="00D337FA">
        <w:rPr>
          <w:i/>
          <w:szCs w:val="24"/>
          <w:lang w:val="en-US"/>
        </w:rPr>
        <w:t xml:space="preserve"> </w:t>
      </w:r>
      <w:r w:rsidRPr="00D337FA">
        <w:rPr>
          <w:i/>
          <w:szCs w:val="24"/>
          <w:lang w:val="en-US"/>
        </w:rPr>
        <w:t>li</w:t>
      </w:r>
      <w:r w:rsidR="006C680D" w:rsidRPr="00D337FA">
        <w:rPr>
          <w:i/>
          <w:szCs w:val="24"/>
          <w:lang w:val="en-US"/>
        </w:rPr>
        <w:t xml:space="preserve"> </w:t>
      </w:r>
      <w:r w:rsidRPr="00D337FA">
        <w:rPr>
          <w:i/>
          <w:szCs w:val="24"/>
          <w:lang w:val="en-US"/>
        </w:rPr>
        <w:t>resursnaya</w:t>
      </w:r>
      <w:r w:rsidR="006C680D" w:rsidRPr="00D337FA">
        <w:rPr>
          <w:i/>
          <w:szCs w:val="24"/>
          <w:lang w:val="en-US"/>
        </w:rPr>
        <w:t xml:space="preserve"> </w:t>
      </w:r>
      <w:r w:rsidRPr="00D337FA">
        <w:rPr>
          <w:i/>
          <w:szCs w:val="24"/>
          <w:lang w:val="en-US"/>
        </w:rPr>
        <w:t>koncepciya</w:t>
      </w:r>
      <w:r w:rsidR="006C680D" w:rsidRPr="00D337FA">
        <w:rPr>
          <w:i/>
          <w:szCs w:val="24"/>
          <w:lang w:val="en-US"/>
        </w:rPr>
        <w:t xml:space="preserve"> </w:t>
      </w:r>
      <w:r w:rsidRPr="00D337FA">
        <w:rPr>
          <w:i/>
          <w:szCs w:val="24"/>
          <w:lang w:val="en-US"/>
        </w:rPr>
        <w:t>prinesti</w:t>
      </w:r>
      <w:r w:rsidR="006C680D" w:rsidRPr="00D337FA">
        <w:rPr>
          <w:i/>
          <w:szCs w:val="24"/>
          <w:lang w:val="en-US"/>
        </w:rPr>
        <w:t xml:space="preserve"> </w:t>
      </w:r>
      <w:r w:rsidRPr="00D337FA">
        <w:rPr>
          <w:i/>
          <w:szCs w:val="24"/>
          <w:lang w:val="en-US"/>
        </w:rPr>
        <w:t>pol'zu</w:t>
      </w:r>
      <w:r w:rsidR="006C680D" w:rsidRPr="00D337FA">
        <w:rPr>
          <w:i/>
          <w:szCs w:val="24"/>
          <w:lang w:val="en-US"/>
        </w:rPr>
        <w:t xml:space="preserve"> </w:t>
      </w:r>
      <w:r w:rsidRPr="00D337FA">
        <w:rPr>
          <w:i/>
          <w:szCs w:val="24"/>
          <w:lang w:val="en-US"/>
        </w:rPr>
        <w:t>issledovaniyam</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Pr="00D337FA">
        <w:rPr>
          <w:i/>
          <w:szCs w:val="24"/>
          <w:lang w:val="en-US"/>
        </w:rPr>
        <w:t>oblasti</w:t>
      </w:r>
      <w:r w:rsidR="006C680D" w:rsidRPr="00D337FA">
        <w:rPr>
          <w:i/>
          <w:szCs w:val="24"/>
          <w:lang w:val="en-US"/>
        </w:rPr>
        <w:t xml:space="preserve"> </w:t>
      </w:r>
      <w:r w:rsidRPr="00D337FA">
        <w:rPr>
          <w:i/>
          <w:szCs w:val="24"/>
          <w:lang w:val="en-US"/>
        </w:rPr>
        <w:t>strategicheskogo</w:t>
      </w:r>
      <w:r w:rsidR="006C680D" w:rsidRPr="00D337FA">
        <w:rPr>
          <w:i/>
          <w:szCs w:val="24"/>
          <w:lang w:val="en-US"/>
        </w:rPr>
        <w:t xml:space="preserve"> </w:t>
      </w:r>
      <w:r w:rsidRPr="00D337FA">
        <w:rPr>
          <w:i/>
          <w:szCs w:val="24"/>
          <w:lang w:val="en-US"/>
        </w:rPr>
        <w:t>upravleniya?</w:t>
      </w:r>
      <w:r w:rsidR="006C680D" w:rsidRPr="00D337FA">
        <w:rPr>
          <w:i/>
          <w:szCs w:val="24"/>
          <w:lang w:val="en-US"/>
        </w:rPr>
        <w:t xml:space="preserve"> </w:t>
      </w:r>
      <w:r w:rsidR="000B36CD">
        <w:rPr>
          <w:i/>
          <w:szCs w:val="24"/>
          <w:lang w:val="en-US"/>
        </w:rPr>
        <w:t>–</w:t>
      </w:r>
      <w:r w:rsidR="006C680D" w:rsidRPr="00D337FA">
        <w:rPr>
          <w:i/>
          <w:szCs w:val="24"/>
          <w:lang w:val="en-US"/>
        </w:rPr>
        <w:t xml:space="preserve"> </w:t>
      </w:r>
      <w:r w:rsidRPr="00D337FA">
        <w:rPr>
          <w:i/>
          <w:szCs w:val="24"/>
          <w:lang w:val="en-US"/>
        </w:rPr>
        <w:t>Da</w:t>
      </w:r>
      <w:r w:rsidR="006C680D" w:rsidRPr="00D337FA">
        <w:rPr>
          <w:i/>
          <w:szCs w:val="24"/>
          <w:lang w:val="en-US"/>
        </w:rPr>
        <w:t xml:space="preserve"> </w:t>
      </w:r>
      <w:r w:rsidRPr="00D337FA">
        <w:rPr>
          <w:i/>
          <w:szCs w:val="24"/>
          <w:lang w:val="en-US"/>
        </w:rPr>
        <w:t>[Can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Resource-Based</w:t>
      </w:r>
      <w:r w:rsidR="006C680D" w:rsidRPr="00D337FA">
        <w:rPr>
          <w:i/>
          <w:szCs w:val="24"/>
          <w:lang w:val="en-US"/>
        </w:rPr>
        <w:t xml:space="preserve"> </w:t>
      </w:r>
      <w:r w:rsidRPr="00D337FA">
        <w:rPr>
          <w:i/>
          <w:szCs w:val="24"/>
          <w:lang w:val="en-US"/>
        </w:rPr>
        <w:t>View</w:t>
      </w:r>
      <w:r w:rsidR="006C680D" w:rsidRPr="00D337FA">
        <w:rPr>
          <w:i/>
          <w:szCs w:val="24"/>
          <w:lang w:val="en-US"/>
        </w:rPr>
        <w:t xml:space="preserve"> </w:t>
      </w:r>
      <w:r w:rsidRPr="00D337FA">
        <w:rPr>
          <w:i/>
          <w:szCs w:val="24"/>
          <w:lang w:val="en-US"/>
        </w:rPr>
        <w:t>Bring</w:t>
      </w:r>
      <w:r w:rsidR="006C680D" w:rsidRPr="00D337FA">
        <w:rPr>
          <w:i/>
          <w:szCs w:val="24"/>
          <w:lang w:val="en-US"/>
        </w:rPr>
        <w:t xml:space="preserve"> </w:t>
      </w:r>
      <w:r w:rsidRPr="00D337FA">
        <w:rPr>
          <w:i/>
          <w:szCs w:val="24"/>
          <w:lang w:val="en-US"/>
        </w:rPr>
        <w:t>Benefit</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Strategic</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Research?</w:t>
      </w:r>
      <w:r w:rsidR="006C680D" w:rsidRPr="00D337FA">
        <w:rPr>
          <w:i/>
          <w:szCs w:val="24"/>
          <w:lang w:val="en-US"/>
        </w:rPr>
        <w:t xml:space="preserve"> </w:t>
      </w:r>
      <w:r w:rsidR="000B36CD">
        <w:rPr>
          <w:i/>
          <w:szCs w:val="24"/>
          <w:lang w:val="en-US"/>
        </w:rPr>
        <w:t>–</w:t>
      </w:r>
      <w:r w:rsidR="006C680D" w:rsidRPr="00D337FA">
        <w:rPr>
          <w:i/>
          <w:szCs w:val="24"/>
          <w:lang w:val="en-US"/>
        </w:rPr>
        <w:t xml:space="preserve"> </w:t>
      </w:r>
      <w:r w:rsidRPr="00D337FA">
        <w:rPr>
          <w:i/>
          <w:szCs w:val="24"/>
          <w:lang w:val="en-US"/>
        </w:rPr>
        <w:t>Yes]</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Rossijskij</w:t>
      </w:r>
      <w:r w:rsidR="006C680D" w:rsidRPr="00D337FA">
        <w:rPr>
          <w:i/>
          <w:szCs w:val="24"/>
          <w:lang w:val="en-US"/>
        </w:rPr>
        <w:t xml:space="preserve"> </w:t>
      </w:r>
      <w:r w:rsidRPr="00D337FA">
        <w:rPr>
          <w:i/>
          <w:szCs w:val="24"/>
          <w:lang w:val="en-US"/>
        </w:rPr>
        <w:t>zhurnal</w:t>
      </w:r>
      <w:r w:rsidR="006C680D" w:rsidRPr="00D337FA">
        <w:rPr>
          <w:i/>
          <w:szCs w:val="24"/>
          <w:lang w:val="en-US"/>
        </w:rPr>
        <w:t xml:space="preserve"> </w:t>
      </w:r>
      <w:r w:rsidRPr="00D337FA">
        <w:rPr>
          <w:i/>
          <w:szCs w:val="24"/>
          <w:lang w:val="en-US"/>
        </w:rPr>
        <w:t>menedzhmenta</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Journal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2009.</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7,</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71–92.</w:t>
      </w:r>
    </w:p>
    <w:p w:rsidR="005411F4" w:rsidRPr="00D337FA" w:rsidRDefault="005411F4" w:rsidP="005411F4">
      <w:pPr>
        <w:ind w:firstLine="284"/>
        <w:rPr>
          <w:i/>
          <w:szCs w:val="24"/>
          <w:lang w:val="en-US"/>
        </w:rPr>
      </w:pPr>
      <w:r w:rsidRPr="00D337FA">
        <w:rPr>
          <w:i/>
          <w:szCs w:val="24"/>
          <w:lang w:val="en-US"/>
        </w:rPr>
        <w:t>3.</w:t>
      </w:r>
      <w:r w:rsidR="006C680D" w:rsidRPr="00D337FA">
        <w:rPr>
          <w:i/>
          <w:szCs w:val="24"/>
          <w:lang w:val="en-US"/>
        </w:rPr>
        <w:t xml:space="preserve"> </w:t>
      </w:r>
      <w:r w:rsidRPr="00D337FA">
        <w:rPr>
          <w:i/>
          <w:szCs w:val="24"/>
          <w:lang w:val="en-US"/>
        </w:rPr>
        <w:t>Hamel</w:t>
      </w:r>
      <w:r w:rsidR="006C680D" w:rsidRPr="00D337FA">
        <w:rPr>
          <w:i/>
          <w:szCs w:val="24"/>
          <w:lang w:val="en-US"/>
        </w:rPr>
        <w:t xml:space="preserve"> </w:t>
      </w:r>
      <w:r w:rsidRPr="00D337FA">
        <w:rPr>
          <w:i/>
          <w:szCs w:val="24"/>
          <w:lang w:val="en-US"/>
        </w:rPr>
        <w:t>G.,</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Prahalad</w:t>
      </w:r>
      <w:r w:rsidR="006C680D" w:rsidRPr="00D337FA">
        <w:rPr>
          <w:i/>
          <w:szCs w:val="24"/>
          <w:lang w:val="en-US"/>
        </w:rPr>
        <w:t xml:space="preserve"> </w:t>
      </w:r>
      <w:r w:rsidRPr="00D337FA">
        <w:rPr>
          <w:i/>
          <w:szCs w:val="24"/>
          <w:lang w:val="en-US"/>
        </w:rPr>
        <w:t>K.</w:t>
      </w:r>
      <w:r w:rsidR="006C680D" w:rsidRPr="00D337FA">
        <w:rPr>
          <w:i/>
          <w:szCs w:val="24"/>
          <w:lang w:val="en-US"/>
        </w:rPr>
        <w:t xml:space="preserve"> </w:t>
      </w:r>
      <w:r w:rsidR="00231534" w:rsidRPr="00D337FA">
        <w:rPr>
          <w:i/>
          <w:szCs w:val="24"/>
          <w:lang w:val="en-US"/>
        </w:rPr>
        <w:t>Konkuriruya</w:t>
      </w:r>
      <w:r w:rsidR="006C680D" w:rsidRPr="00D337FA">
        <w:rPr>
          <w:i/>
          <w:szCs w:val="24"/>
          <w:lang w:val="en-US"/>
        </w:rPr>
        <w:t xml:space="preserve"> </w:t>
      </w:r>
      <w:r w:rsidR="00231534" w:rsidRPr="00D337FA">
        <w:rPr>
          <w:i/>
          <w:szCs w:val="24"/>
          <w:lang w:val="en-US"/>
        </w:rPr>
        <w:t>za</w:t>
      </w:r>
      <w:r w:rsidR="006C680D" w:rsidRPr="00D337FA">
        <w:rPr>
          <w:i/>
          <w:szCs w:val="24"/>
          <w:lang w:val="en-US"/>
        </w:rPr>
        <w:t xml:space="preserve"> </w:t>
      </w:r>
      <w:r w:rsidR="00231534" w:rsidRPr="00D337FA">
        <w:rPr>
          <w:i/>
          <w:szCs w:val="24"/>
          <w:lang w:val="en-US"/>
        </w:rPr>
        <w:t>budushchee.</w:t>
      </w:r>
      <w:r w:rsidR="006C680D" w:rsidRPr="00D337FA">
        <w:rPr>
          <w:i/>
          <w:szCs w:val="24"/>
          <w:lang w:val="en-US"/>
        </w:rPr>
        <w:t xml:space="preserve"> </w:t>
      </w:r>
      <w:r w:rsidR="00231534" w:rsidRPr="00D337FA">
        <w:rPr>
          <w:i/>
          <w:szCs w:val="24"/>
          <w:lang w:val="en-US"/>
        </w:rPr>
        <w:t>Sozdanie</w:t>
      </w:r>
      <w:r w:rsidR="006C680D" w:rsidRPr="00D337FA">
        <w:rPr>
          <w:i/>
          <w:szCs w:val="24"/>
          <w:lang w:val="en-US"/>
        </w:rPr>
        <w:t xml:space="preserve"> </w:t>
      </w:r>
      <w:r w:rsidR="00231534" w:rsidRPr="00D337FA">
        <w:rPr>
          <w:i/>
          <w:szCs w:val="24"/>
          <w:lang w:val="en-US"/>
        </w:rPr>
        <w:t>rynkov</w:t>
      </w:r>
      <w:r w:rsidR="006C680D" w:rsidRPr="00D337FA">
        <w:rPr>
          <w:i/>
          <w:szCs w:val="24"/>
          <w:lang w:val="en-US"/>
        </w:rPr>
        <w:t xml:space="preserve"> </w:t>
      </w:r>
      <w:r w:rsidR="00231534" w:rsidRPr="00D337FA">
        <w:rPr>
          <w:i/>
          <w:szCs w:val="24"/>
          <w:lang w:val="en-US"/>
        </w:rPr>
        <w:t>zavtrashnego</w:t>
      </w:r>
      <w:r w:rsidR="006C680D" w:rsidRPr="00D337FA">
        <w:rPr>
          <w:i/>
          <w:szCs w:val="24"/>
          <w:lang w:val="en-US"/>
        </w:rPr>
        <w:t xml:space="preserve"> </w:t>
      </w:r>
      <w:r w:rsidR="00231534" w:rsidRPr="00D337FA">
        <w:rPr>
          <w:i/>
          <w:szCs w:val="24"/>
          <w:lang w:val="en-US"/>
        </w:rPr>
        <w:t>dnya</w:t>
      </w:r>
      <w:r w:rsidR="006C680D" w:rsidRPr="00D337FA">
        <w:rPr>
          <w:i/>
          <w:szCs w:val="24"/>
          <w:lang w:val="en-US"/>
        </w:rPr>
        <w:t xml:space="preserve"> </w:t>
      </w:r>
      <w:r w:rsidR="00231534" w:rsidRPr="00D337FA">
        <w:rPr>
          <w:i/>
          <w:szCs w:val="24"/>
          <w:lang w:val="en-US"/>
        </w:rPr>
        <w:t>[</w:t>
      </w:r>
      <w:r w:rsidRPr="00D337FA">
        <w:rPr>
          <w:i/>
          <w:szCs w:val="24"/>
          <w:lang w:val="en-US"/>
        </w:rPr>
        <w:t>Competing</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Future:</w:t>
      </w:r>
      <w:r w:rsidR="006C680D" w:rsidRPr="00D337FA">
        <w:rPr>
          <w:i/>
          <w:szCs w:val="24"/>
          <w:lang w:val="en-US"/>
        </w:rPr>
        <w:t xml:space="preserve"> </w:t>
      </w:r>
      <w:r w:rsidRPr="00D337FA">
        <w:rPr>
          <w:i/>
          <w:szCs w:val="24"/>
          <w:lang w:val="en-US"/>
        </w:rPr>
        <w:t>Creating</w:t>
      </w:r>
      <w:r w:rsidR="006C680D" w:rsidRPr="00D337FA">
        <w:rPr>
          <w:i/>
          <w:szCs w:val="24"/>
          <w:lang w:val="en-US"/>
        </w:rPr>
        <w:t xml:space="preserve"> </w:t>
      </w:r>
      <w:r w:rsidRPr="00D337FA">
        <w:rPr>
          <w:i/>
          <w:szCs w:val="24"/>
          <w:lang w:val="en-US"/>
        </w:rPr>
        <w:t>Tomorrow’s</w:t>
      </w:r>
      <w:r w:rsidR="006C680D" w:rsidRPr="00D337FA">
        <w:rPr>
          <w:i/>
          <w:szCs w:val="24"/>
          <w:lang w:val="en-US"/>
        </w:rPr>
        <w:t xml:space="preserve"> </w:t>
      </w:r>
      <w:r w:rsidRPr="00D337FA">
        <w:rPr>
          <w:i/>
          <w:szCs w:val="24"/>
          <w:lang w:val="en-US"/>
        </w:rPr>
        <w:t>Markets</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Translated</w:t>
      </w:r>
      <w:r w:rsidR="006C680D" w:rsidRPr="00D337FA">
        <w:rPr>
          <w:i/>
          <w:szCs w:val="24"/>
          <w:lang w:val="en-US"/>
        </w:rPr>
        <w:t xml:space="preserve"> </w:t>
      </w:r>
      <w:r w:rsidRPr="00D337FA">
        <w:rPr>
          <w:i/>
          <w:szCs w:val="24"/>
          <w:lang w:val="en-US"/>
        </w:rPr>
        <w:t>from</w:t>
      </w:r>
      <w:r w:rsidR="006C680D" w:rsidRPr="00D337FA">
        <w:rPr>
          <w:i/>
          <w:szCs w:val="24"/>
          <w:lang w:val="en-US"/>
        </w:rPr>
        <w:t xml:space="preserve"> </w:t>
      </w:r>
      <w:r w:rsidRPr="00D337FA">
        <w:rPr>
          <w:i/>
          <w:szCs w:val="24"/>
          <w:lang w:val="en-US"/>
        </w:rPr>
        <w:t>English.</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Olimp-Business,</w:t>
      </w:r>
      <w:r w:rsidR="006C680D" w:rsidRPr="00D337FA">
        <w:rPr>
          <w:i/>
          <w:szCs w:val="24"/>
          <w:lang w:val="en-US"/>
        </w:rPr>
        <w:t xml:space="preserve"> </w:t>
      </w:r>
      <w:r w:rsidRPr="00D337FA">
        <w:rPr>
          <w:i/>
          <w:szCs w:val="24"/>
          <w:lang w:val="en-US"/>
        </w:rPr>
        <w:t>2002.</w:t>
      </w:r>
      <w:r w:rsidR="006C680D" w:rsidRPr="00D337FA">
        <w:rPr>
          <w:i/>
          <w:szCs w:val="24"/>
          <w:lang w:val="en-US"/>
        </w:rPr>
        <w:t xml:space="preserve"> </w:t>
      </w:r>
      <w:r w:rsidRPr="00D337FA">
        <w:rPr>
          <w:i/>
          <w:szCs w:val="24"/>
          <w:lang w:val="en-US"/>
        </w:rPr>
        <w:t>288</w:t>
      </w:r>
      <w:r w:rsidR="006C680D" w:rsidRPr="00D337FA">
        <w:rPr>
          <w:i/>
          <w:szCs w:val="24"/>
          <w:lang w:val="en-US"/>
        </w:rPr>
        <w:t xml:space="preserve"> </w:t>
      </w:r>
      <w:r w:rsidRPr="00D337FA">
        <w:rPr>
          <w:i/>
          <w:szCs w:val="24"/>
          <w:lang w:val="en-US"/>
        </w:rPr>
        <w:t>p.</w:t>
      </w:r>
    </w:p>
    <w:p w:rsidR="005411F4" w:rsidRPr="00D337FA" w:rsidRDefault="005411F4" w:rsidP="005411F4">
      <w:pPr>
        <w:ind w:firstLine="284"/>
        <w:rPr>
          <w:i/>
          <w:szCs w:val="24"/>
          <w:lang w:val="en-US"/>
        </w:rPr>
      </w:pPr>
      <w:r w:rsidRPr="00D337FA">
        <w:rPr>
          <w:i/>
          <w:szCs w:val="24"/>
          <w:lang w:val="en-US"/>
        </w:rPr>
        <w:t>5.</w:t>
      </w:r>
      <w:r w:rsidR="006C680D" w:rsidRPr="00D337FA">
        <w:rPr>
          <w:i/>
          <w:szCs w:val="24"/>
          <w:lang w:val="en-US"/>
        </w:rPr>
        <w:t xml:space="preserve"> </w:t>
      </w:r>
      <w:r w:rsidRPr="00D337FA">
        <w:rPr>
          <w:i/>
          <w:szCs w:val="24"/>
          <w:lang w:val="en-US"/>
        </w:rPr>
        <w:t>Mayo</w:t>
      </w:r>
      <w:r w:rsidR="006C680D" w:rsidRPr="00D337FA">
        <w:rPr>
          <w:i/>
          <w:szCs w:val="24"/>
          <w:lang w:val="en-US"/>
        </w:rPr>
        <w:t xml:space="preserve"> </w:t>
      </w:r>
      <w:r w:rsidRPr="00D337FA">
        <w:rPr>
          <w:i/>
          <w:szCs w:val="24"/>
          <w:lang w:val="en-US"/>
        </w:rPr>
        <w:t>E.</w:t>
      </w:r>
      <w:r w:rsidR="006C680D" w:rsidRPr="00D337FA">
        <w:rPr>
          <w:i/>
          <w:szCs w:val="24"/>
          <w:lang w:val="en-US"/>
        </w:rPr>
        <w:t xml:space="preserve"> </w:t>
      </w:r>
      <w:r w:rsidR="00231534" w:rsidRPr="00D337FA">
        <w:rPr>
          <w:i/>
          <w:szCs w:val="24"/>
          <w:lang w:val="en-US"/>
        </w:rPr>
        <w:t>Social'nye</w:t>
      </w:r>
      <w:r w:rsidR="006C680D" w:rsidRPr="00D337FA">
        <w:rPr>
          <w:i/>
          <w:szCs w:val="24"/>
          <w:lang w:val="en-US"/>
        </w:rPr>
        <w:t xml:space="preserve"> </w:t>
      </w:r>
      <w:r w:rsidR="00231534" w:rsidRPr="00D337FA">
        <w:rPr>
          <w:i/>
          <w:szCs w:val="24"/>
          <w:lang w:val="en-US"/>
        </w:rPr>
        <w:t>problemy</w:t>
      </w:r>
      <w:r w:rsidR="006C680D" w:rsidRPr="00D337FA">
        <w:rPr>
          <w:i/>
          <w:szCs w:val="24"/>
          <w:lang w:val="en-US"/>
        </w:rPr>
        <w:t xml:space="preserve"> </w:t>
      </w:r>
      <w:r w:rsidR="00231534" w:rsidRPr="00D337FA">
        <w:rPr>
          <w:i/>
          <w:szCs w:val="24"/>
          <w:lang w:val="en-US"/>
        </w:rPr>
        <w:t>industrial'noj</w:t>
      </w:r>
      <w:r w:rsidR="006C680D" w:rsidRPr="00D337FA">
        <w:rPr>
          <w:i/>
          <w:szCs w:val="24"/>
          <w:lang w:val="en-US"/>
        </w:rPr>
        <w:t xml:space="preserve"> </w:t>
      </w:r>
      <w:r w:rsidR="00231534" w:rsidRPr="00D337FA">
        <w:rPr>
          <w:i/>
          <w:szCs w:val="24"/>
          <w:lang w:val="en-US"/>
        </w:rPr>
        <w:t>civilizacii</w:t>
      </w:r>
      <w:r w:rsidR="006C680D" w:rsidRPr="00D337FA">
        <w:rPr>
          <w:i/>
          <w:szCs w:val="24"/>
          <w:lang w:val="en-US"/>
        </w:rPr>
        <w:t xml:space="preserve"> </w:t>
      </w:r>
      <w:r w:rsidR="00231534" w:rsidRPr="00D337FA">
        <w:rPr>
          <w:i/>
          <w:szCs w:val="24"/>
          <w:lang w:val="en-US"/>
        </w:rPr>
        <w:t>[</w:t>
      </w:r>
      <w:r w:rsidRPr="00D337FA">
        <w:rPr>
          <w:i/>
          <w:szCs w:val="24"/>
          <w:lang w:val="en-US"/>
        </w:rPr>
        <w:t>Social</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Industrial</w:t>
      </w:r>
      <w:r w:rsidR="006C680D" w:rsidRPr="00D337FA">
        <w:rPr>
          <w:i/>
          <w:szCs w:val="24"/>
          <w:lang w:val="en-US"/>
        </w:rPr>
        <w:t xml:space="preserve"> </w:t>
      </w:r>
      <w:r w:rsidRPr="00D337FA">
        <w:rPr>
          <w:i/>
          <w:szCs w:val="24"/>
          <w:lang w:val="en-US"/>
        </w:rPr>
        <w:t>Civilization</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231534" w:rsidRPr="00D337FA">
        <w:rPr>
          <w:i/>
          <w:szCs w:val="24"/>
          <w:lang w:val="en-US"/>
        </w:rPr>
        <w:t>Ekonomicheskaya</w:t>
      </w:r>
      <w:r w:rsidR="006C680D" w:rsidRPr="00D337FA">
        <w:rPr>
          <w:i/>
          <w:szCs w:val="24"/>
          <w:lang w:val="en-US"/>
        </w:rPr>
        <w:t xml:space="preserve"> </w:t>
      </w:r>
      <w:r w:rsidR="00231534" w:rsidRPr="00D337FA">
        <w:rPr>
          <w:i/>
          <w:szCs w:val="24"/>
          <w:lang w:val="en-US"/>
        </w:rPr>
        <w:t>sociolo-giya</w:t>
      </w:r>
      <w:r w:rsidR="006C680D" w:rsidRPr="00D337FA">
        <w:rPr>
          <w:i/>
          <w:szCs w:val="24"/>
          <w:lang w:val="en-US"/>
        </w:rPr>
        <w:t xml:space="preserve"> </w:t>
      </w:r>
      <w:r w:rsidR="00231534" w:rsidRPr="00D337FA">
        <w:rPr>
          <w:i/>
          <w:szCs w:val="24"/>
          <w:lang w:val="en-US"/>
        </w:rPr>
        <w:t>–</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Sociology.</w:t>
      </w:r>
      <w:r w:rsidR="006C680D" w:rsidRPr="00D337FA">
        <w:rPr>
          <w:i/>
          <w:szCs w:val="24"/>
          <w:lang w:val="en-US"/>
        </w:rPr>
        <w:t xml:space="preserve"> </w:t>
      </w:r>
      <w:r w:rsidRPr="00D337FA">
        <w:rPr>
          <w:i/>
          <w:szCs w:val="24"/>
          <w:lang w:val="en-US"/>
        </w:rPr>
        <w:t>2024.</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25.</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5.</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11-32.</w:t>
      </w:r>
    </w:p>
    <w:p w:rsidR="005411F4" w:rsidRPr="00D337FA" w:rsidRDefault="005411F4" w:rsidP="005411F4">
      <w:pPr>
        <w:ind w:firstLine="284"/>
        <w:rPr>
          <w:i/>
          <w:szCs w:val="24"/>
          <w:lang w:val="en-US"/>
        </w:rPr>
      </w:pPr>
      <w:r w:rsidRPr="00D337FA">
        <w:rPr>
          <w:i/>
          <w:szCs w:val="24"/>
          <w:lang w:val="en-US"/>
        </w:rPr>
        <w:lastRenderedPageBreak/>
        <w:t>6.</w:t>
      </w:r>
      <w:r w:rsidR="006C680D" w:rsidRPr="00D337FA">
        <w:rPr>
          <w:i/>
          <w:szCs w:val="24"/>
          <w:lang w:val="en-US"/>
        </w:rPr>
        <w:t xml:space="preserve"> </w:t>
      </w:r>
      <w:r w:rsidRPr="00D337FA">
        <w:rPr>
          <w:i/>
          <w:szCs w:val="24"/>
          <w:lang w:val="en-US"/>
        </w:rPr>
        <w:t>Panshin</w:t>
      </w:r>
      <w:r w:rsidR="006C680D" w:rsidRPr="00D337FA">
        <w:rPr>
          <w:i/>
          <w:szCs w:val="24"/>
          <w:lang w:val="en-US"/>
        </w:rPr>
        <w:t xml:space="preserve"> </w:t>
      </w:r>
      <w:r w:rsidRPr="00D337FA">
        <w:rPr>
          <w:i/>
          <w:szCs w:val="24"/>
          <w:lang w:val="en-US"/>
        </w:rPr>
        <w:t>B.</w:t>
      </w:r>
      <w:r w:rsidR="006C680D" w:rsidRPr="00D337FA">
        <w:rPr>
          <w:i/>
          <w:szCs w:val="24"/>
          <w:lang w:val="en-US"/>
        </w:rPr>
        <w:t xml:space="preserve"> </w:t>
      </w:r>
      <w:r w:rsidR="00231534" w:rsidRPr="00D337FA">
        <w:rPr>
          <w:i/>
          <w:szCs w:val="24"/>
          <w:lang w:val="en-US"/>
        </w:rPr>
        <w:t>Cifrovaya</w:t>
      </w:r>
      <w:r w:rsidR="006C680D" w:rsidRPr="00D337FA">
        <w:rPr>
          <w:i/>
          <w:szCs w:val="24"/>
          <w:lang w:val="en-US"/>
        </w:rPr>
        <w:t xml:space="preserve"> </w:t>
      </w:r>
      <w:r w:rsidR="00231534" w:rsidRPr="00D337FA">
        <w:rPr>
          <w:i/>
          <w:szCs w:val="24"/>
          <w:lang w:val="en-US"/>
        </w:rPr>
        <w:t>ekonomika:</w:t>
      </w:r>
      <w:r w:rsidR="006C680D" w:rsidRPr="00D337FA">
        <w:rPr>
          <w:i/>
          <w:szCs w:val="24"/>
          <w:lang w:val="en-US"/>
        </w:rPr>
        <w:t xml:space="preserve"> </w:t>
      </w:r>
      <w:r w:rsidR="00231534" w:rsidRPr="00D337FA">
        <w:rPr>
          <w:i/>
          <w:szCs w:val="24"/>
          <w:lang w:val="en-US"/>
        </w:rPr>
        <w:t>ponyatiya</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napravleniya</w:t>
      </w:r>
      <w:r w:rsidR="006C680D" w:rsidRPr="00D337FA">
        <w:rPr>
          <w:i/>
          <w:szCs w:val="24"/>
          <w:lang w:val="en-US"/>
        </w:rPr>
        <w:t xml:space="preserve"> </w:t>
      </w:r>
      <w:r w:rsidR="00231534" w:rsidRPr="00D337FA">
        <w:rPr>
          <w:i/>
          <w:szCs w:val="24"/>
          <w:lang w:val="en-US"/>
        </w:rPr>
        <w:t>razvitiya</w:t>
      </w:r>
      <w:r w:rsidR="006C680D" w:rsidRPr="00D337FA">
        <w:rPr>
          <w:i/>
          <w:szCs w:val="24"/>
          <w:lang w:val="en-US"/>
        </w:rPr>
        <w:t xml:space="preserve"> </w:t>
      </w:r>
      <w:r w:rsidR="00231534" w:rsidRPr="00D337FA">
        <w:rPr>
          <w:i/>
          <w:szCs w:val="24"/>
          <w:lang w:val="en-US"/>
        </w:rPr>
        <w:t>[</w:t>
      </w:r>
      <w:r w:rsidRPr="00D337FA">
        <w:rPr>
          <w:i/>
          <w:szCs w:val="24"/>
          <w:lang w:val="en-US"/>
        </w:rPr>
        <w:t>Digital</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Concepts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Directions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Development</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231534" w:rsidRPr="00D337FA">
        <w:rPr>
          <w:i/>
          <w:szCs w:val="24"/>
          <w:lang w:val="en-US"/>
        </w:rPr>
        <w:t>Nauka</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innovacii</w:t>
      </w:r>
      <w:r w:rsidR="006C680D" w:rsidRPr="00D337FA">
        <w:rPr>
          <w:i/>
          <w:szCs w:val="24"/>
          <w:lang w:val="en-US"/>
        </w:rPr>
        <w:t xml:space="preserve"> </w:t>
      </w:r>
      <w:r w:rsidR="00231534" w:rsidRPr="00D337FA">
        <w:rPr>
          <w:i/>
          <w:szCs w:val="24"/>
          <w:lang w:val="en-US"/>
        </w:rPr>
        <w:t>–</w:t>
      </w:r>
      <w:r w:rsidR="006C680D" w:rsidRPr="00D337FA">
        <w:rPr>
          <w:i/>
          <w:szCs w:val="24"/>
          <w:lang w:val="en-US"/>
        </w:rPr>
        <w:t xml:space="preserve"> </w:t>
      </w:r>
      <w:r w:rsidRPr="00D337FA">
        <w:rPr>
          <w:i/>
          <w:szCs w:val="24"/>
          <w:lang w:val="en-US"/>
        </w:rPr>
        <w:t>Science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Innovation.</w:t>
      </w:r>
      <w:r w:rsidR="006C680D" w:rsidRPr="00D337FA">
        <w:rPr>
          <w:i/>
          <w:szCs w:val="24"/>
          <w:lang w:val="en-US"/>
        </w:rPr>
        <w:t xml:space="preserve"> </w:t>
      </w:r>
      <w:r w:rsidRPr="00D337FA">
        <w:rPr>
          <w:i/>
          <w:szCs w:val="24"/>
          <w:lang w:val="en-US"/>
        </w:rPr>
        <w:t>2019.</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(193).</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54-65.</w:t>
      </w:r>
    </w:p>
    <w:p w:rsidR="005411F4" w:rsidRPr="00D337FA" w:rsidRDefault="005411F4" w:rsidP="005411F4">
      <w:pPr>
        <w:ind w:firstLine="284"/>
        <w:rPr>
          <w:i/>
          <w:szCs w:val="24"/>
          <w:lang w:val="en-US"/>
        </w:rPr>
      </w:pPr>
      <w:r w:rsidRPr="00D337FA">
        <w:rPr>
          <w:i/>
          <w:szCs w:val="24"/>
          <w:lang w:val="en-US"/>
        </w:rPr>
        <w:t>7.</w:t>
      </w:r>
      <w:r w:rsidR="006C680D" w:rsidRPr="00D337FA">
        <w:rPr>
          <w:i/>
          <w:szCs w:val="24"/>
          <w:lang w:val="en-US"/>
        </w:rPr>
        <w:t xml:space="preserve"> </w:t>
      </w:r>
      <w:r w:rsidRPr="00D337FA">
        <w:rPr>
          <w:i/>
          <w:szCs w:val="24"/>
          <w:lang w:val="en-US"/>
        </w:rPr>
        <w:t>Bryzgalov</w:t>
      </w:r>
      <w:r w:rsidR="006C680D" w:rsidRPr="00D337FA">
        <w:rPr>
          <w:i/>
          <w:szCs w:val="24"/>
          <w:lang w:val="en-US"/>
        </w:rPr>
        <w:t xml:space="preserve"> </w:t>
      </w:r>
      <w:r w:rsidRPr="00D337FA">
        <w:rPr>
          <w:i/>
          <w:szCs w:val="24"/>
          <w:lang w:val="en-US"/>
        </w:rPr>
        <w:t>D.V.</w:t>
      </w:r>
      <w:r w:rsidR="006C680D" w:rsidRPr="00D337FA">
        <w:rPr>
          <w:i/>
          <w:szCs w:val="24"/>
          <w:lang w:val="en-US"/>
        </w:rPr>
        <w:t xml:space="preserve"> </w:t>
      </w:r>
      <w:r w:rsidR="00231534" w:rsidRPr="00D337FA">
        <w:rPr>
          <w:i/>
          <w:szCs w:val="24"/>
          <w:lang w:val="en-US"/>
        </w:rPr>
        <w:t>Teoreticheskie</w:t>
      </w:r>
      <w:r w:rsidR="006C680D" w:rsidRPr="00D337FA">
        <w:rPr>
          <w:i/>
          <w:szCs w:val="24"/>
          <w:lang w:val="en-US"/>
        </w:rPr>
        <w:t xml:space="preserve"> </w:t>
      </w:r>
      <w:r w:rsidR="00231534" w:rsidRPr="00D337FA">
        <w:rPr>
          <w:i/>
          <w:szCs w:val="24"/>
          <w:lang w:val="en-US"/>
        </w:rPr>
        <w:t>podhody</w:t>
      </w:r>
      <w:r w:rsidR="006C680D" w:rsidRPr="00D337FA">
        <w:rPr>
          <w:i/>
          <w:szCs w:val="24"/>
          <w:lang w:val="en-US"/>
        </w:rPr>
        <w:t xml:space="preserve"> </w:t>
      </w:r>
      <w:r w:rsidR="00231534" w:rsidRPr="00D337FA">
        <w:rPr>
          <w:i/>
          <w:szCs w:val="24"/>
          <w:lang w:val="en-US"/>
        </w:rPr>
        <w:t>k</w:t>
      </w:r>
      <w:r w:rsidR="006C680D" w:rsidRPr="00D337FA">
        <w:rPr>
          <w:i/>
          <w:szCs w:val="24"/>
          <w:lang w:val="en-US"/>
        </w:rPr>
        <w:t xml:space="preserve"> </w:t>
      </w:r>
      <w:r w:rsidR="00231534" w:rsidRPr="00D337FA">
        <w:rPr>
          <w:i/>
          <w:szCs w:val="24"/>
          <w:lang w:val="en-US"/>
        </w:rPr>
        <w:t>strahovaniyu</w:t>
      </w:r>
      <w:r w:rsidR="006C680D" w:rsidRPr="00D337FA">
        <w:rPr>
          <w:i/>
          <w:szCs w:val="24"/>
          <w:lang w:val="en-US"/>
        </w:rPr>
        <w:t xml:space="preserve"> </w:t>
      </w:r>
      <w:r w:rsidR="00231534" w:rsidRPr="00D337FA">
        <w:rPr>
          <w:i/>
          <w:szCs w:val="24"/>
          <w:lang w:val="en-US"/>
        </w:rPr>
        <w:t>zhizni:</w:t>
      </w:r>
      <w:r w:rsidR="006C680D" w:rsidRPr="00D337FA">
        <w:rPr>
          <w:i/>
          <w:szCs w:val="24"/>
          <w:lang w:val="en-US"/>
        </w:rPr>
        <w:t xml:space="preserve"> </w:t>
      </w:r>
      <w:r w:rsidR="00231534" w:rsidRPr="00D337FA">
        <w:rPr>
          <w:i/>
          <w:szCs w:val="24"/>
          <w:lang w:val="en-US"/>
        </w:rPr>
        <w:t>problemy</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puti</w:t>
      </w:r>
      <w:r w:rsidR="006C680D" w:rsidRPr="00D337FA">
        <w:rPr>
          <w:i/>
          <w:szCs w:val="24"/>
          <w:lang w:val="en-US"/>
        </w:rPr>
        <w:t xml:space="preserve"> </w:t>
      </w:r>
      <w:r w:rsidR="00231534" w:rsidRPr="00D337FA">
        <w:rPr>
          <w:i/>
          <w:szCs w:val="24"/>
          <w:lang w:val="en-US"/>
        </w:rPr>
        <w:t>ih</w:t>
      </w:r>
      <w:r w:rsidR="006C680D" w:rsidRPr="00D337FA">
        <w:rPr>
          <w:i/>
          <w:szCs w:val="24"/>
          <w:lang w:val="en-US"/>
        </w:rPr>
        <w:t xml:space="preserve"> </w:t>
      </w:r>
      <w:r w:rsidR="00231534" w:rsidRPr="00D337FA">
        <w:rPr>
          <w:i/>
          <w:szCs w:val="24"/>
          <w:lang w:val="en-US"/>
        </w:rPr>
        <w:t>preodoleniya</w:t>
      </w:r>
      <w:r w:rsidR="006C680D" w:rsidRPr="00D337FA">
        <w:rPr>
          <w:i/>
          <w:szCs w:val="24"/>
          <w:lang w:val="en-US"/>
        </w:rPr>
        <w:t xml:space="preserve"> </w:t>
      </w:r>
      <w:r w:rsidR="00231534" w:rsidRPr="00D337FA">
        <w:rPr>
          <w:i/>
          <w:szCs w:val="24"/>
          <w:lang w:val="en-US"/>
        </w:rPr>
        <w:t>[</w:t>
      </w:r>
      <w:r w:rsidRPr="00D337FA">
        <w:rPr>
          <w:i/>
          <w:szCs w:val="24"/>
          <w:lang w:val="en-US"/>
        </w:rPr>
        <w:t>Theoretical</w:t>
      </w:r>
      <w:r w:rsidR="006C680D" w:rsidRPr="00D337FA">
        <w:rPr>
          <w:i/>
          <w:szCs w:val="24"/>
          <w:lang w:val="en-US"/>
        </w:rPr>
        <w:t xml:space="preserve"> </w:t>
      </w:r>
      <w:r w:rsidRPr="00D337FA">
        <w:rPr>
          <w:i/>
          <w:szCs w:val="24"/>
          <w:lang w:val="en-US"/>
        </w:rPr>
        <w:t>Approaches</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Life</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Ways</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Overcome</w:t>
      </w:r>
      <w:r w:rsidR="006C680D" w:rsidRPr="00D337FA">
        <w:rPr>
          <w:i/>
          <w:szCs w:val="24"/>
          <w:lang w:val="en-US"/>
        </w:rPr>
        <w:t xml:space="preserve"> </w:t>
      </w:r>
      <w:r w:rsidRPr="00D337FA">
        <w:rPr>
          <w:i/>
          <w:szCs w:val="24"/>
          <w:lang w:val="en-US"/>
        </w:rPr>
        <w:t>Them</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231534" w:rsidRPr="00D337FA">
        <w:rPr>
          <w:i/>
          <w:szCs w:val="24"/>
          <w:lang w:val="en-US"/>
        </w:rPr>
        <w:t>Finansovaya</w:t>
      </w:r>
      <w:r w:rsidR="006C680D" w:rsidRPr="00D337FA">
        <w:rPr>
          <w:i/>
          <w:szCs w:val="24"/>
          <w:lang w:val="en-US"/>
        </w:rPr>
        <w:t xml:space="preserve"> </w:t>
      </w:r>
      <w:r w:rsidR="00231534" w:rsidRPr="00D337FA">
        <w:rPr>
          <w:i/>
          <w:szCs w:val="24"/>
          <w:lang w:val="en-US"/>
        </w:rPr>
        <w:t>analitika:</w:t>
      </w:r>
      <w:r w:rsidR="006C680D" w:rsidRPr="00D337FA">
        <w:rPr>
          <w:i/>
          <w:szCs w:val="24"/>
          <w:lang w:val="en-US"/>
        </w:rPr>
        <w:t xml:space="preserve"> </w:t>
      </w:r>
      <w:r w:rsidR="00231534" w:rsidRPr="00D337FA">
        <w:rPr>
          <w:i/>
          <w:szCs w:val="24"/>
          <w:lang w:val="en-US"/>
        </w:rPr>
        <w:t>problemy</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resheniya</w:t>
      </w:r>
      <w:r w:rsidR="006C680D" w:rsidRPr="00D337FA">
        <w:rPr>
          <w:i/>
          <w:szCs w:val="24"/>
          <w:lang w:val="en-US"/>
        </w:rPr>
        <w:t xml:space="preserve"> </w:t>
      </w:r>
      <w:r w:rsidR="00231534" w:rsidRPr="00D337FA">
        <w:rPr>
          <w:i/>
          <w:szCs w:val="24"/>
          <w:lang w:val="en-US"/>
        </w:rPr>
        <w:t>–</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Analytics:</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Solutions.</w:t>
      </w:r>
      <w:r w:rsidR="006C680D" w:rsidRPr="00D337FA">
        <w:rPr>
          <w:i/>
          <w:szCs w:val="24"/>
          <w:lang w:val="en-US"/>
        </w:rPr>
        <w:t xml:space="preserve"> </w:t>
      </w:r>
      <w:r w:rsidRPr="00D337FA">
        <w:rPr>
          <w:i/>
          <w:szCs w:val="24"/>
          <w:lang w:val="en-US"/>
        </w:rPr>
        <w:t>2018.</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11.No.</w:t>
      </w:r>
      <w:r w:rsidR="006C680D" w:rsidRPr="00D337FA">
        <w:rPr>
          <w:i/>
          <w:szCs w:val="24"/>
          <w:lang w:val="en-US"/>
        </w:rPr>
        <w:t xml:space="preserve"> </w:t>
      </w:r>
      <w:r w:rsidRPr="00D337FA">
        <w:rPr>
          <w:i/>
          <w:szCs w:val="24"/>
          <w:lang w:val="en-US"/>
        </w:rPr>
        <w:t>4.</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415-427.</w:t>
      </w:r>
    </w:p>
    <w:p w:rsidR="005411F4" w:rsidRPr="00D337FA" w:rsidRDefault="005411F4" w:rsidP="005411F4">
      <w:pPr>
        <w:ind w:firstLine="284"/>
        <w:rPr>
          <w:i/>
          <w:szCs w:val="24"/>
          <w:lang w:val="en-US"/>
        </w:rPr>
      </w:pPr>
      <w:r w:rsidRPr="00D337FA">
        <w:rPr>
          <w:i/>
          <w:szCs w:val="24"/>
          <w:lang w:val="en-US"/>
        </w:rPr>
        <w:t>8.</w:t>
      </w:r>
      <w:r w:rsidR="006C680D" w:rsidRPr="00D337FA">
        <w:rPr>
          <w:i/>
          <w:szCs w:val="24"/>
          <w:lang w:val="en-US"/>
        </w:rPr>
        <w:t xml:space="preserve"> </w:t>
      </w:r>
      <w:r w:rsidRPr="00D337FA">
        <w:rPr>
          <w:i/>
          <w:szCs w:val="24"/>
          <w:lang w:val="en-US"/>
        </w:rPr>
        <w:t>Arkhipov</w:t>
      </w:r>
      <w:r w:rsidR="006C680D" w:rsidRPr="00D337FA">
        <w:rPr>
          <w:i/>
          <w:szCs w:val="24"/>
          <w:lang w:val="en-US"/>
        </w:rPr>
        <w:t xml:space="preserve"> </w:t>
      </w:r>
      <w:r w:rsidRPr="00D337FA">
        <w:rPr>
          <w:i/>
          <w:szCs w:val="24"/>
          <w:lang w:val="en-US"/>
        </w:rPr>
        <w:t>A.P.</w:t>
      </w:r>
      <w:r w:rsidR="006C680D" w:rsidRPr="00D337FA">
        <w:rPr>
          <w:i/>
          <w:szCs w:val="24"/>
          <w:lang w:val="en-US"/>
        </w:rPr>
        <w:t xml:space="preserve"> </w:t>
      </w:r>
      <w:r w:rsidR="00231534" w:rsidRPr="00D337FA">
        <w:rPr>
          <w:i/>
          <w:szCs w:val="24"/>
          <w:lang w:val="en-US"/>
        </w:rPr>
        <w:t>O</w:t>
      </w:r>
      <w:r w:rsidR="006C680D" w:rsidRPr="00D337FA">
        <w:rPr>
          <w:i/>
          <w:szCs w:val="24"/>
          <w:lang w:val="en-US"/>
        </w:rPr>
        <w:t xml:space="preserve"> </w:t>
      </w:r>
      <w:r w:rsidR="00231534" w:rsidRPr="00D337FA">
        <w:rPr>
          <w:i/>
          <w:szCs w:val="24"/>
          <w:lang w:val="en-US"/>
        </w:rPr>
        <w:t>social'nom</w:t>
      </w:r>
      <w:r w:rsidR="006C680D" w:rsidRPr="00D337FA">
        <w:rPr>
          <w:i/>
          <w:szCs w:val="24"/>
          <w:lang w:val="en-US"/>
        </w:rPr>
        <w:t xml:space="preserve"> </w:t>
      </w:r>
      <w:r w:rsidR="00231534" w:rsidRPr="00D337FA">
        <w:rPr>
          <w:i/>
          <w:szCs w:val="24"/>
          <w:lang w:val="en-US"/>
        </w:rPr>
        <w:t>strahovanii</w:t>
      </w:r>
      <w:r w:rsidR="006C680D" w:rsidRPr="00D337FA">
        <w:rPr>
          <w:i/>
          <w:szCs w:val="24"/>
          <w:lang w:val="en-US"/>
        </w:rPr>
        <w:t xml:space="preserve"> </w:t>
      </w:r>
      <w:r w:rsidR="00231534" w:rsidRPr="00D337FA">
        <w:rPr>
          <w:i/>
          <w:szCs w:val="24"/>
          <w:lang w:val="en-US"/>
        </w:rPr>
        <w:t>v</w:t>
      </w:r>
      <w:r w:rsidR="006C680D" w:rsidRPr="00D337FA">
        <w:rPr>
          <w:i/>
          <w:szCs w:val="24"/>
          <w:lang w:val="en-US"/>
        </w:rPr>
        <w:t xml:space="preserve"> </w:t>
      </w:r>
      <w:r w:rsidR="00231534" w:rsidRPr="00D337FA">
        <w:rPr>
          <w:i/>
          <w:szCs w:val="24"/>
          <w:lang w:val="en-US"/>
        </w:rPr>
        <w:t>Rossii</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mire</w:t>
      </w:r>
      <w:r w:rsidR="006C680D" w:rsidRPr="00D337FA">
        <w:rPr>
          <w:i/>
          <w:szCs w:val="24"/>
          <w:lang w:val="en-US"/>
        </w:rPr>
        <w:t xml:space="preserve"> </w:t>
      </w:r>
      <w:r w:rsidR="00231534" w:rsidRPr="00D337FA">
        <w:rPr>
          <w:i/>
          <w:szCs w:val="24"/>
          <w:lang w:val="en-US"/>
        </w:rPr>
        <w:t>[</w:t>
      </w:r>
      <w:r w:rsidRPr="00D337FA">
        <w:rPr>
          <w:i/>
          <w:szCs w:val="24"/>
          <w:lang w:val="en-US"/>
        </w:rPr>
        <w:t>On</w:t>
      </w:r>
      <w:r w:rsidR="006C680D" w:rsidRPr="00D337FA">
        <w:rPr>
          <w:i/>
          <w:szCs w:val="24"/>
          <w:lang w:val="en-US"/>
        </w:rPr>
        <w:t xml:space="preserve"> </w:t>
      </w:r>
      <w:r w:rsidRPr="00D337FA">
        <w:rPr>
          <w:i/>
          <w:szCs w:val="24"/>
          <w:lang w:val="en-US"/>
        </w:rPr>
        <w:t>Social</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Russia</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World</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231534" w:rsidRPr="00D337FA">
        <w:rPr>
          <w:i/>
          <w:szCs w:val="24"/>
          <w:lang w:val="en-US"/>
        </w:rPr>
        <w:t>Strahovoe</w:t>
      </w:r>
      <w:r w:rsidR="006C680D" w:rsidRPr="00D337FA">
        <w:rPr>
          <w:i/>
          <w:szCs w:val="24"/>
          <w:lang w:val="en-US"/>
        </w:rPr>
        <w:t xml:space="preserve"> </w:t>
      </w:r>
      <w:r w:rsidR="00231534" w:rsidRPr="00D337FA">
        <w:rPr>
          <w:i/>
          <w:szCs w:val="24"/>
          <w:lang w:val="en-US"/>
        </w:rPr>
        <w:t>delo</w:t>
      </w:r>
      <w:r w:rsidR="006C680D" w:rsidRPr="00D337FA">
        <w:rPr>
          <w:i/>
          <w:szCs w:val="24"/>
          <w:lang w:val="en-US"/>
        </w:rPr>
        <w:t xml:space="preserve"> </w:t>
      </w:r>
      <w:r w:rsidR="00231534" w:rsidRPr="00D337FA">
        <w:rPr>
          <w:i/>
          <w:szCs w:val="24"/>
          <w:lang w:val="en-US"/>
        </w:rPr>
        <w:t>–</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2024.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4.</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49-54.</w:t>
      </w:r>
    </w:p>
    <w:p w:rsidR="005411F4" w:rsidRPr="00D337FA" w:rsidRDefault="005411F4" w:rsidP="005411F4">
      <w:pPr>
        <w:ind w:firstLine="284"/>
        <w:rPr>
          <w:i/>
          <w:szCs w:val="24"/>
          <w:lang w:val="en-US"/>
        </w:rPr>
      </w:pPr>
      <w:r w:rsidRPr="00D337FA">
        <w:rPr>
          <w:i/>
          <w:szCs w:val="24"/>
          <w:lang w:val="en-US"/>
        </w:rPr>
        <w:t>9.</w:t>
      </w:r>
      <w:r w:rsidR="006C680D" w:rsidRPr="00D337FA">
        <w:rPr>
          <w:i/>
          <w:szCs w:val="24"/>
          <w:lang w:val="en-US"/>
        </w:rPr>
        <w:t xml:space="preserve"> </w:t>
      </w:r>
      <w:r w:rsidRPr="00D337FA">
        <w:rPr>
          <w:i/>
          <w:szCs w:val="24"/>
          <w:lang w:val="en-US"/>
        </w:rPr>
        <w:t>Logvinova</w:t>
      </w:r>
      <w:r w:rsidR="006C680D" w:rsidRPr="00D337FA">
        <w:rPr>
          <w:i/>
          <w:szCs w:val="24"/>
          <w:lang w:val="en-US"/>
        </w:rPr>
        <w:t xml:space="preserve"> </w:t>
      </w:r>
      <w:r w:rsidRPr="00D337FA">
        <w:rPr>
          <w:i/>
          <w:szCs w:val="24"/>
          <w:lang w:val="en-US"/>
        </w:rPr>
        <w:t>I.</w:t>
      </w:r>
      <w:r w:rsidR="006C680D" w:rsidRPr="00D337FA">
        <w:rPr>
          <w:i/>
          <w:szCs w:val="24"/>
          <w:lang w:val="en-US"/>
        </w:rPr>
        <w:t xml:space="preserve"> </w:t>
      </w:r>
      <w:r w:rsidRPr="00D337FA">
        <w:rPr>
          <w:i/>
          <w:szCs w:val="24"/>
          <w:lang w:val="en-US"/>
        </w:rPr>
        <w:t>L.</w:t>
      </w:r>
      <w:r w:rsidR="006C680D" w:rsidRPr="00D337FA">
        <w:rPr>
          <w:i/>
          <w:szCs w:val="24"/>
          <w:lang w:val="en-US"/>
        </w:rPr>
        <w:t xml:space="preserve"> </w:t>
      </w:r>
      <w:r w:rsidR="00231534" w:rsidRPr="00D337FA">
        <w:rPr>
          <w:i/>
          <w:szCs w:val="24"/>
          <w:lang w:val="en-US"/>
        </w:rPr>
        <w:t>Obyazatel'noe</w:t>
      </w:r>
      <w:r w:rsidR="006C680D" w:rsidRPr="00D337FA">
        <w:rPr>
          <w:i/>
          <w:szCs w:val="24"/>
          <w:lang w:val="en-US"/>
        </w:rPr>
        <w:t xml:space="preserve"> </w:t>
      </w:r>
      <w:r w:rsidR="00231534" w:rsidRPr="00D337FA">
        <w:rPr>
          <w:i/>
          <w:szCs w:val="24"/>
          <w:lang w:val="en-US"/>
        </w:rPr>
        <w:t>gosudarstvennoe</w:t>
      </w:r>
      <w:r w:rsidR="006C680D" w:rsidRPr="00D337FA">
        <w:rPr>
          <w:i/>
          <w:szCs w:val="24"/>
          <w:lang w:val="en-US"/>
        </w:rPr>
        <w:t xml:space="preserve"> </w:t>
      </w:r>
      <w:r w:rsidR="00231534" w:rsidRPr="00D337FA">
        <w:rPr>
          <w:i/>
          <w:szCs w:val="24"/>
          <w:lang w:val="en-US"/>
        </w:rPr>
        <w:t>lichnoe</w:t>
      </w:r>
      <w:r w:rsidR="006C680D" w:rsidRPr="00D337FA">
        <w:rPr>
          <w:i/>
          <w:szCs w:val="24"/>
          <w:lang w:val="en-US"/>
        </w:rPr>
        <w:t xml:space="preserve"> </w:t>
      </w:r>
      <w:r w:rsidR="00231534" w:rsidRPr="00D337FA">
        <w:rPr>
          <w:i/>
          <w:szCs w:val="24"/>
          <w:lang w:val="en-US"/>
        </w:rPr>
        <w:t>strahovanie</w:t>
      </w:r>
      <w:r w:rsidR="006C680D" w:rsidRPr="00D337FA">
        <w:rPr>
          <w:i/>
          <w:szCs w:val="24"/>
          <w:lang w:val="en-US"/>
        </w:rPr>
        <w:t xml:space="preserve"> </w:t>
      </w:r>
      <w:r w:rsidR="00231534" w:rsidRPr="00D337FA">
        <w:rPr>
          <w:i/>
          <w:szCs w:val="24"/>
          <w:lang w:val="en-US"/>
        </w:rPr>
        <w:t>v</w:t>
      </w:r>
      <w:r w:rsidR="006C680D" w:rsidRPr="00D337FA">
        <w:rPr>
          <w:i/>
          <w:szCs w:val="24"/>
          <w:lang w:val="en-US"/>
        </w:rPr>
        <w:t xml:space="preserve"> </w:t>
      </w:r>
      <w:r w:rsidR="00231534" w:rsidRPr="00D337FA">
        <w:rPr>
          <w:i/>
          <w:szCs w:val="24"/>
          <w:lang w:val="en-US"/>
        </w:rPr>
        <w:t>Rossijskoj</w:t>
      </w:r>
      <w:r w:rsidR="006C680D" w:rsidRPr="00D337FA">
        <w:rPr>
          <w:i/>
          <w:szCs w:val="24"/>
          <w:lang w:val="en-US"/>
        </w:rPr>
        <w:t xml:space="preserve"> </w:t>
      </w:r>
      <w:r w:rsidR="00231534" w:rsidRPr="00D337FA">
        <w:rPr>
          <w:i/>
          <w:szCs w:val="24"/>
          <w:lang w:val="en-US"/>
        </w:rPr>
        <w:t>Fe-deracii:</w:t>
      </w:r>
      <w:r w:rsidR="006C680D" w:rsidRPr="00D337FA">
        <w:rPr>
          <w:i/>
          <w:szCs w:val="24"/>
          <w:lang w:val="en-US"/>
        </w:rPr>
        <w:t xml:space="preserve"> </w:t>
      </w:r>
      <w:r w:rsidR="00231534" w:rsidRPr="00D337FA">
        <w:rPr>
          <w:i/>
          <w:szCs w:val="24"/>
          <w:lang w:val="en-US"/>
        </w:rPr>
        <w:t>varianty</w:t>
      </w:r>
      <w:r w:rsidR="006C680D" w:rsidRPr="00D337FA">
        <w:rPr>
          <w:i/>
          <w:szCs w:val="24"/>
          <w:lang w:val="en-US"/>
        </w:rPr>
        <w:t xml:space="preserve"> </w:t>
      </w:r>
      <w:r w:rsidR="00231534" w:rsidRPr="00D337FA">
        <w:rPr>
          <w:i/>
          <w:szCs w:val="24"/>
          <w:lang w:val="en-US"/>
        </w:rPr>
        <w:t>razvitiya</w:t>
      </w:r>
      <w:r w:rsidR="006C680D" w:rsidRPr="00D337FA">
        <w:rPr>
          <w:i/>
          <w:szCs w:val="24"/>
          <w:lang w:val="en-US"/>
        </w:rPr>
        <w:t xml:space="preserve"> </w:t>
      </w:r>
      <w:r w:rsidR="00231534" w:rsidRPr="00D337FA">
        <w:rPr>
          <w:i/>
          <w:szCs w:val="24"/>
          <w:lang w:val="en-US"/>
        </w:rPr>
        <w:t>[</w:t>
      </w:r>
      <w:r w:rsidRPr="00D337FA">
        <w:rPr>
          <w:i/>
          <w:szCs w:val="24"/>
          <w:lang w:val="en-US"/>
        </w:rPr>
        <w:t>Compulsory</w:t>
      </w:r>
      <w:r w:rsidR="006C680D" w:rsidRPr="00D337FA">
        <w:rPr>
          <w:i/>
          <w:szCs w:val="24"/>
          <w:lang w:val="en-US"/>
        </w:rPr>
        <w:t xml:space="preserve"> </w:t>
      </w:r>
      <w:r w:rsidRPr="00D337FA">
        <w:rPr>
          <w:i/>
          <w:szCs w:val="24"/>
          <w:lang w:val="en-US"/>
        </w:rPr>
        <w:t>state</w:t>
      </w:r>
      <w:r w:rsidR="006C680D" w:rsidRPr="00D337FA">
        <w:rPr>
          <w:i/>
          <w:szCs w:val="24"/>
          <w:lang w:val="en-US"/>
        </w:rPr>
        <w:t xml:space="preserve"> </w:t>
      </w:r>
      <w:r w:rsidRPr="00D337FA">
        <w:rPr>
          <w:i/>
          <w:szCs w:val="24"/>
          <w:lang w:val="en-US"/>
        </w:rPr>
        <w:t>personal</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Federation:</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options</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231534" w:rsidRPr="00D337FA">
        <w:rPr>
          <w:i/>
          <w:szCs w:val="24"/>
          <w:lang w:val="en-US"/>
        </w:rPr>
        <w:t>Strahovoe</w:t>
      </w:r>
      <w:r w:rsidR="006C680D" w:rsidRPr="00D337FA">
        <w:rPr>
          <w:i/>
          <w:szCs w:val="24"/>
          <w:lang w:val="en-US"/>
        </w:rPr>
        <w:t xml:space="preserve"> </w:t>
      </w:r>
      <w:r w:rsidR="00231534" w:rsidRPr="00D337FA">
        <w:rPr>
          <w:i/>
          <w:szCs w:val="24"/>
          <w:lang w:val="en-US"/>
        </w:rPr>
        <w:t>delo</w:t>
      </w:r>
      <w:r w:rsidR="006C680D" w:rsidRPr="00D337FA">
        <w:rPr>
          <w:i/>
          <w:szCs w:val="24"/>
          <w:lang w:val="en-US"/>
        </w:rPr>
        <w:t xml:space="preserve"> </w:t>
      </w:r>
      <w:r w:rsidR="00231534" w:rsidRPr="00D337FA">
        <w:rPr>
          <w:i/>
          <w:szCs w:val="24"/>
          <w:lang w:val="en-US"/>
        </w:rPr>
        <w:t>–</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2021.</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12.</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39-47.</w:t>
      </w:r>
    </w:p>
    <w:p w:rsidR="005411F4" w:rsidRPr="00D337FA" w:rsidRDefault="005411F4" w:rsidP="005411F4">
      <w:pPr>
        <w:ind w:firstLine="284"/>
        <w:rPr>
          <w:i/>
          <w:szCs w:val="24"/>
          <w:lang w:val="en-US"/>
        </w:rPr>
      </w:pPr>
      <w:r w:rsidRPr="00D337FA">
        <w:rPr>
          <w:i/>
          <w:szCs w:val="24"/>
          <w:lang w:val="en-US"/>
        </w:rPr>
        <w:t>10.</w:t>
      </w:r>
      <w:r w:rsidR="006C680D" w:rsidRPr="00D337FA">
        <w:rPr>
          <w:i/>
          <w:szCs w:val="24"/>
          <w:lang w:val="en-US"/>
        </w:rPr>
        <w:t xml:space="preserve"> </w:t>
      </w:r>
      <w:r w:rsidRPr="00D337FA">
        <w:rPr>
          <w:i/>
          <w:szCs w:val="24"/>
          <w:lang w:val="en-US"/>
        </w:rPr>
        <w:t>Lugovaya</w:t>
      </w:r>
      <w:r w:rsidR="006C680D" w:rsidRPr="00D337FA">
        <w:rPr>
          <w:i/>
          <w:szCs w:val="24"/>
          <w:lang w:val="en-US"/>
        </w:rPr>
        <w:t xml:space="preserve"> </w:t>
      </w:r>
      <w:r w:rsidRPr="00D337FA">
        <w:rPr>
          <w:i/>
          <w:szCs w:val="24"/>
          <w:lang w:val="en-US"/>
        </w:rPr>
        <w:t>N.</w:t>
      </w:r>
      <w:r w:rsidR="006C680D" w:rsidRPr="00D337FA">
        <w:rPr>
          <w:i/>
          <w:szCs w:val="24"/>
          <w:lang w:val="en-US"/>
        </w:rPr>
        <w:t xml:space="preserve"> </w:t>
      </w:r>
      <w:r w:rsidRPr="00D337FA">
        <w:rPr>
          <w:i/>
          <w:szCs w:val="24"/>
          <w:lang w:val="en-US"/>
        </w:rPr>
        <w:t>G.</w:t>
      </w:r>
      <w:r w:rsidR="006C680D" w:rsidRPr="00D337FA">
        <w:rPr>
          <w:i/>
          <w:szCs w:val="24"/>
          <w:lang w:val="en-US"/>
        </w:rPr>
        <w:t xml:space="preserve"> </w:t>
      </w:r>
      <w:r w:rsidR="00231534" w:rsidRPr="00D337FA">
        <w:rPr>
          <w:i/>
          <w:szCs w:val="24"/>
          <w:lang w:val="en-US"/>
        </w:rPr>
        <w:t>Strahovanie,</w:t>
      </w:r>
      <w:r w:rsidR="006C680D" w:rsidRPr="00D337FA">
        <w:rPr>
          <w:i/>
          <w:szCs w:val="24"/>
          <w:lang w:val="en-US"/>
        </w:rPr>
        <w:t xml:space="preserve"> </w:t>
      </w:r>
      <w:r w:rsidR="00231534" w:rsidRPr="00D337FA">
        <w:rPr>
          <w:i/>
          <w:szCs w:val="24"/>
          <w:lang w:val="en-US"/>
        </w:rPr>
        <w:t>novye</w:t>
      </w:r>
      <w:r w:rsidR="006C680D" w:rsidRPr="00D337FA">
        <w:rPr>
          <w:i/>
          <w:szCs w:val="24"/>
          <w:lang w:val="en-US"/>
        </w:rPr>
        <w:t xml:space="preserve"> </w:t>
      </w:r>
      <w:r w:rsidR="00231534" w:rsidRPr="00D337FA">
        <w:rPr>
          <w:i/>
          <w:szCs w:val="24"/>
          <w:lang w:val="en-US"/>
        </w:rPr>
        <w:t>trendy</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dinamika</w:t>
      </w:r>
      <w:r w:rsidR="006C680D" w:rsidRPr="00D337FA">
        <w:rPr>
          <w:i/>
          <w:szCs w:val="24"/>
          <w:lang w:val="en-US"/>
        </w:rPr>
        <w:t xml:space="preserve"> </w:t>
      </w:r>
      <w:r w:rsidR="00231534" w:rsidRPr="00D337FA">
        <w:rPr>
          <w:i/>
          <w:szCs w:val="24"/>
          <w:lang w:val="en-US"/>
        </w:rPr>
        <w:t>razvitiya</w:t>
      </w:r>
      <w:r w:rsidR="006C680D" w:rsidRPr="00D337FA">
        <w:rPr>
          <w:i/>
          <w:szCs w:val="24"/>
          <w:lang w:val="en-US"/>
        </w:rPr>
        <w:t xml:space="preserve"> </w:t>
      </w:r>
      <w:r w:rsidR="00231534" w:rsidRPr="00D337FA">
        <w:rPr>
          <w:i/>
          <w:szCs w:val="24"/>
          <w:lang w:val="en-US"/>
        </w:rPr>
        <w:t>[</w:t>
      </w:r>
      <w:r w:rsidRPr="00D337FA">
        <w:rPr>
          <w:i/>
          <w:szCs w:val="24"/>
          <w:lang w:val="en-US"/>
        </w:rPr>
        <w:t>Insurance,</w:t>
      </w:r>
      <w:r w:rsidR="006C680D" w:rsidRPr="00D337FA">
        <w:rPr>
          <w:i/>
          <w:szCs w:val="24"/>
          <w:lang w:val="en-US"/>
        </w:rPr>
        <w:t xml:space="preserve"> </w:t>
      </w:r>
      <w:r w:rsidRPr="00D337FA">
        <w:rPr>
          <w:i/>
          <w:szCs w:val="24"/>
          <w:lang w:val="en-US"/>
        </w:rPr>
        <w:t>new</w:t>
      </w:r>
      <w:r w:rsidR="006C680D" w:rsidRPr="00D337FA">
        <w:rPr>
          <w:i/>
          <w:szCs w:val="24"/>
          <w:lang w:val="en-US"/>
        </w:rPr>
        <w:t xml:space="preserve"> </w:t>
      </w:r>
      <w:r w:rsidRPr="00D337FA">
        <w:rPr>
          <w:i/>
          <w:szCs w:val="24"/>
          <w:lang w:val="en-US"/>
        </w:rPr>
        <w:t>trends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dynamics</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231534" w:rsidRPr="00D337FA">
        <w:rPr>
          <w:i/>
          <w:szCs w:val="24"/>
          <w:lang w:val="en-US"/>
        </w:rPr>
        <w:t>Ekonomicheskie</w:t>
      </w:r>
      <w:r w:rsidR="006C680D" w:rsidRPr="00D337FA">
        <w:rPr>
          <w:i/>
          <w:szCs w:val="24"/>
          <w:lang w:val="en-US"/>
        </w:rPr>
        <w:t xml:space="preserve"> </w:t>
      </w:r>
      <w:r w:rsidR="00231534" w:rsidRPr="00D337FA">
        <w:rPr>
          <w:i/>
          <w:szCs w:val="24"/>
          <w:lang w:val="en-US"/>
        </w:rPr>
        <w:t>is-sledovaniya</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razrabotki</w:t>
      </w:r>
      <w:r w:rsidR="006C680D" w:rsidRPr="00D337FA">
        <w:rPr>
          <w:i/>
          <w:szCs w:val="24"/>
          <w:lang w:val="en-US"/>
        </w:rPr>
        <w:t xml:space="preserve"> </w:t>
      </w:r>
      <w:r w:rsidR="00231534" w:rsidRPr="00D337FA">
        <w:rPr>
          <w:i/>
          <w:szCs w:val="24"/>
          <w:lang w:val="en-US"/>
        </w:rPr>
        <w:t>–</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research</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2021.</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9.</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88-93.</w:t>
      </w:r>
    </w:p>
    <w:p w:rsidR="005411F4" w:rsidRPr="00D337FA" w:rsidRDefault="005411F4" w:rsidP="005411F4">
      <w:pPr>
        <w:ind w:firstLine="284"/>
        <w:rPr>
          <w:i/>
          <w:szCs w:val="24"/>
          <w:lang w:val="en-US"/>
        </w:rPr>
      </w:pPr>
      <w:r w:rsidRPr="00D337FA">
        <w:rPr>
          <w:i/>
          <w:szCs w:val="24"/>
          <w:lang w:val="en-US"/>
        </w:rPr>
        <w:t>11.</w:t>
      </w:r>
      <w:r w:rsidR="006C680D" w:rsidRPr="00D337FA">
        <w:rPr>
          <w:i/>
          <w:szCs w:val="24"/>
          <w:lang w:val="en-US"/>
        </w:rPr>
        <w:t xml:space="preserve"> </w:t>
      </w:r>
      <w:r w:rsidRPr="00D337FA">
        <w:rPr>
          <w:i/>
          <w:szCs w:val="24"/>
          <w:lang w:val="en-US"/>
        </w:rPr>
        <w:t>Razgulyaev</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Pr="00D337FA">
        <w:rPr>
          <w:i/>
          <w:szCs w:val="24"/>
          <w:lang w:val="en-US"/>
        </w:rPr>
        <w:t>Yu.</w:t>
      </w:r>
      <w:r w:rsidR="006C680D" w:rsidRPr="00D337FA">
        <w:rPr>
          <w:i/>
          <w:szCs w:val="24"/>
          <w:lang w:val="en-US"/>
        </w:rPr>
        <w:t xml:space="preserve"> </w:t>
      </w:r>
      <w:r w:rsidR="00231534" w:rsidRPr="00D337FA">
        <w:rPr>
          <w:i/>
          <w:szCs w:val="24"/>
          <w:lang w:val="en-US"/>
        </w:rPr>
        <w:t>Sistema</w:t>
      </w:r>
      <w:r w:rsidR="006C680D" w:rsidRPr="00D337FA">
        <w:rPr>
          <w:i/>
          <w:szCs w:val="24"/>
          <w:lang w:val="en-US"/>
        </w:rPr>
        <w:t xml:space="preserve"> </w:t>
      </w:r>
      <w:r w:rsidR="00231534" w:rsidRPr="00D337FA">
        <w:rPr>
          <w:i/>
          <w:szCs w:val="24"/>
          <w:lang w:val="en-US"/>
        </w:rPr>
        <w:t>principov</w:t>
      </w:r>
      <w:r w:rsidR="006C680D" w:rsidRPr="00D337FA">
        <w:rPr>
          <w:i/>
          <w:szCs w:val="24"/>
          <w:lang w:val="en-US"/>
        </w:rPr>
        <w:t xml:space="preserve"> </w:t>
      </w:r>
      <w:r w:rsidR="00231534" w:rsidRPr="00D337FA">
        <w:rPr>
          <w:i/>
          <w:szCs w:val="24"/>
          <w:lang w:val="en-US"/>
        </w:rPr>
        <w:t>Beyond</w:t>
      </w:r>
      <w:r w:rsidR="006C680D" w:rsidRPr="00D337FA">
        <w:rPr>
          <w:i/>
          <w:szCs w:val="24"/>
          <w:lang w:val="en-US"/>
        </w:rPr>
        <w:t xml:space="preserve"> </w:t>
      </w:r>
      <w:r w:rsidR="00231534" w:rsidRPr="00D337FA">
        <w:rPr>
          <w:i/>
          <w:szCs w:val="24"/>
          <w:lang w:val="en-US"/>
        </w:rPr>
        <w:t>Taylor</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koncepciya</w:t>
      </w:r>
      <w:r w:rsidR="006C680D" w:rsidRPr="00D337FA">
        <w:rPr>
          <w:i/>
          <w:szCs w:val="24"/>
          <w:lang w:val="en-US"/>
        </w:rPr>
        <w:t xml:space="preserve"> </w:t>
      </w:r>
      <w:r w:rsidR="00231534" w:rsidRPr="00D337FA">
        <w:rPr>
          <w:i/>
          <w:szCs w:val="24"/>
          <w:lang w:val="en-US"/>
        </w:rPr>
        <w:t>klientokratii</w:t>
      </w:r>
      <w:r w:rsidR="006C680D" w:rsidRPr="00D337FA">
        <w:rPr>
          <w:i/>
          <w:szCs w:val="24"/>
          <w:lang w:val="en-US"/>
        </w:rPr>
        <w:t xml:space="preserve"> </w:t>
      </w:r>
      <w:r w:rsidR="00231534" w:rsidRPr="00D337FA">
        <w:rPr>
          <w:i/>
          <w:szCs w:val="24"/>
          <w:lang w:val="en-US"/>
        </w:rPr>
        <w:t>[</w:t>
      </w:r>
      <w:r w:rsidRPr="00D337FA">
        <w:rPr>
          <w:i/>
          <w:szCs w:val="24"/>
          <w:lang w:val="en-US"/>
        </w:rPr>
        <w:t>The</w:t>
      </w:r>
      <w:r w:rsidR="006C680D" w:rsidRPr="00D337FA">
        <w:rPr>
          <w:i/>
          <w:szCs w:val="24"/>
          <w:lang w:val="en-US"/>
        </w:rPr>
        <w:t xml:space="preserve"> </w:t>
      </w:r>
      <w:r w:rsidRPr="00D337FA">
        <w:rPr>
          <w:i/>
          <w:szCs w:val="24"/>
          <w:lang w:val="en-US"/>
        </w:rPr>
        <w:t>Beyond</w:t>
      </w:r>
      <w:r w:rsidR="006C680D" w:rsidRPr="00D337FA">
        <w:rPr>
          <w:i/>
          <w:szCs w:val="24"/>
          <w:lang w:val="en-US"/>
        </w:rPr>
        <w:t xml:space="preserve"> </w:t>
      </w:r>
      <w:r w:rsidRPr="00D337FA">
        <w:rPr>
          <w:i/>
          <w:szCs w:val="24"/>
          <w:lang w:val="en-US"/>
        </w:rPr>
        <w:t>Taylor</w:t>
      </w:r>
      <w:r w:rsidR="006C680D" w:rsidRPr="00D337FA">
        <w:rPr>
          <w:i/>
          <w:szCs w:val="24"/>
          <w:lang w:val="en-US"/>
        </w:rPr>
        <w:t xml:space="preserve"> </w:t>
      </w:r>
      <w:r w:rsidRPr="00D337FA">
        <w:rPr>
          <w:i/>
          <w:szCs w:val="24"/>
          <w:lang w:val="en-US"/>
        </w:rPr>
        <w:t>system</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principles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concept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clientocracy</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231534" w:rsidRPr="00D337FA">
        <w:rPr>
          <w:i/>
          <w:szCs w:val="24"/>
          <w:lang w:val="en-US"/>
        </w:rPr>
        <w:t>Setevoe</w:t>
      </w:r>
      <w:r w:rsidR="006C680D" w:rsidRPr="00D337FA">
        <w:rPr>
          <w:i/>
          <w:szCs w:val="24"/>
          <w:lang w:val="en-US"/>
        </w:rPr>
        <w:t xml:space="preserve"> </w:t>
      </w:r>
      <w:r w:rsidR="00231534" w:rsidRPr="00D337FA">
        <w:rPr>
          <w:i/>
          <w:szCs w:val="24"/>
          <w:lang w:val="en-US"/>
        </w:rPr>
        <w:t>nauchnoe</w:t>
      </w:r>
      <w:r w:rsidR="006C680D" w:rsidRPr="00D337FA">
        <w:rPr>
          <w:i/>
          <w:szCs w:val="24"/>
          <w:lang w:val="en-US"/>
        </w:rPr>
        <w:t xml:space="preserve"> </w:t>
      </w:r>
      <w:r w:rsidR="00231534" w:rsidRPr="00D337FA">
        <w:rPr>
          <w:i/>
          <w:szCs w:val="24"/>
          <w:lang w:val="en-US"/>
        </w:rPr>
        <w:t>izdanie</w:t>
      </w:r>
      <w:r w:rsidR="006C680D" w:rsidRPr="00D337FA">
        <w:rPr>
          <w:i/>
          <w:szCs w:val="24"/>
          <w:lang w:val="en-US"/>
        </w:rPr>
        <w:t xml:space="preserve"> </w:t>
      </w:r>
      <w:r w:rsidR="00231534" w:rsidRPr="00D337FA">
        <w:rPr>
          <w:i/>
          <w:szCs w:val="24"/>
          <w:lang w:val="en-US"/>
        </w:rPr>
        <w:t>«Ustojchivoe</w:t>
      </w:r>
      <w:r w:rsidR="006C680D" w:rsidRPr="00D337FA">
        <w:rPr>
          <w:i/>
          <w:szCs w:val="24"/>
          <w:lang w:val="en-US"/>
        </w:rPr>
        <w:t xml:space="preserve"> </w:t>
      </w:r>
      <w:r w:rsidR="00231534" w:rsidRPr="00D337FA">
        <w:rPr>
          <w:i/>
          <w:szCs w:val="24"/>
          <w:lang w:val="en-US"/>
        </w:rPr>
        <w:t>razvitie:</w:t>
      </w:r>
      <w:r w:rsidR="006C680D" w:rsidRPr="00D337FA">
        <w:rPr>
          <w:i/>
          <w:szCs w:val="24"/>
          <w:lang w:val="en-US"/>
        </w:rPr>
        <w:t xml:space="preserve"> </w:t>
      </w:r>
      <w:r w:rsidR="00231534" w:rsidRPr="00D337FA">
        <w:rPr>
          <w:i/>
          <w:szCs w:val="24"/>
          <w:lang w:val="en-US"/>
        </w:rPr>
        <w:t>nauka</w:t>
      </w:r>
      <w:r w:rsidR="006C680D" w:rsidRPr="00D337FA">
        <w:rPr>
          <w:i/>
          <w:szCs w:val="24"/>
          <w:lang w:val="en-US"/>
        </w:rPr>
        <w:t xml:space="preserve"> </w:t>
      </w:r>
      <w:r w:rsidR="00231534" w:rsidRPr="00D337FA">
        <w:rPr>
          <w:i/>
          <w:szCs w:val="24"/>
          <w:lang w:val="en-US"/>
        </w:rPr>
        <w:t>i</w:t>
      </w:r>
      <w:r w:rsidR="006C680D" w:rsidRPr="00D337FA">
        <w:rPr>
          <w:i/>
          <w:szCs w:val="24"/>
          <w:lang w:val="en-US"/>
        </w:rPr>
        <w:t xml:space="preserve"> </w:t>
      </w:r>
      <w:r w:rsidR="00231534" w:rsidRPr="00D337FA">
        <w:rPr>
          <w:i/>
          <w:szCs w:val="24"/>
          <w:lang w:val="en-US"/>
        </w:rPr>
        <w:t>praktika»</w:t>
      </w:r>
      <w:r w:rsidR="006C680D" w:rsidRPr="00D337FA">
        <w:rPr>
          <w:i/>
          <w:szCs w:val="24"/>
          <w:lang w:val="en-US"/>
        </w:rPr>
        <w:t xml:space="preserve"> </w:t>
      </w:r>
      <w:r w:rsidR="00231534" w:rsidRPr="00D337FA">
        <w:rPr>
          <w:i/>
          <w:szCs w:val="24"/>
          <w:lang w:val="en-US"/>
        </w:rPr>
        <w:t>–</w:t>
      </w:r>
      <w:r w:rsidR="006C680D" w:rsidRPr="00D337FA">
        <w:rPr>
          <w:i/>
          <w:szCs w:val="24"/>
          <w:lang w:val="en-US"/>
        </w:rPr>
        <w:t xml:space="preserve"> </w:t>
      </w:r>
      <w:r w:rsidR="00231534" w:rsidRPr="00D337FA">
        <w:rPr>
          <w:i/>
          <w:szCs w:val="24"/>
          <w:lang w:val="en-US"/>
        </w:rPr>
        <w:t>Online</w:t>
      </w:r>
      <w:r w:rsidR="006C680D" w:rsidRPr="00D337FA">
        <w:rPr>
          <w:i/>
          <w:szCs w:val="24"/>
          <w:lang w:val="en-US"/>
        </w:rPr>
        <w:t xml:space="preserve"> </w:t>
      </w:r>
      <w:r w:rsidR="00231534" w:rsidRPr="00D337FA">
        <w:rPr>
          <w:i/>
          <w:szCs w:val="24"/>
          <w:lang w:val="en-US"/>
        </w:rPr>
        <w:t>scientific</w:t>
      </w:r>
      <w:r w:rsidR="006C680D" w:rsidRPr="00D337FA">
        <w:rPr>
          <w:i/>
          <w:szCs w:val="24"/>
          <w:lang w:val="en-US"/>
        </w:rPr>
        <w:t xml:space="preserve"> </w:t>
      </w:r>
      <w:r w:rsidR="00231534" w:rsidRPr="00D337FA">
        <w:rPr>
          <w:i/>
          <w:szCs w:val="24"/>
          <w:lang w:val="en-US"/>
        </w:rPr>
        <w:t>publication</w:t>
      </w:r>
      <w:r w:rsidR="006C680D" w:rsidRPr="00D337FA">
        <w:rPr>
          <w:i/>
          <w:szCs w:val="24"/>
          <w:lang w:val="en-US"/>
        </w:rPr>
        <w:t xml:space="preserve"> </w:t>
      </w:r>
      <w:r w:rsidR="00231534" w:rsidRPr="00D337FA">
        <w:rPr>
          <w:i/>
          <w:szCs w:val="24"/>
          <w:lang w:val="en-US"/>
        </w:rPr>
        <w:t>«</w:t>
      </w:r>
      <w:r w:rsidRPr="00D337FA">
        <w:rPr>
          <w:i/>
          <w:szCs w:val="24"/>
          <w:lang w:val="en-US"/>
        </w:rPr>
        <w:t>Sustainable</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Science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Practice</w:t>
      </w:r>
      <w:r w:rsidR="00231534"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2024.</w:t>
      </w:r>
      <w:r w:rsidR="006C680D" w:rsidRPr="00D337FA">
        <w:rPr>
          <w:i/>
          <w:szCs w:val="24"/>
          <w:lang w:val="en-US"/>
        </w:rPr>
        <w:t xml:space="preserve"> </w:t>
      </w:r>
      <w:r w:rsidRPr="00D337FA">
        <w:rPr>
          <w:i/>
          <w:szCs w:val="24"/>
          <w:lang w:val="en-US"/>
        </w:rPr>
        <w:t>Is</w:t>
      </w:r>
      <w:r w:rsidR="00231534" w:rsidRPr="00D337FA">
        <w:rPr>
          <w:i/>
          <w:szCs w:val="24"/>
          <w:lang w:val="en-US"/>
        </w:rPr>
        <w:t>.</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(37).</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27-32.</w:t>
      </w:r>
    </w:p>
    <w:p w:rsidR="005411F4" w:rsidRPr="00D337FA" w:rsidRDefault="005411F4" w:rsidP="005411F4">
      <w:pPr>
        <w:ind w:firstLine="284"/>
        <w:rPr>
          <w:i/>
          <w:szCs w:val="24"/>
          <w:lang w:val="en-US"/>
        </w:rPr>
      </w:pPr>
      <w:r w:rsidRPr="00D337FA">
        <w:rPr>
          <w:i/>
          <w:szCs w:val="24"/>
          <w:lang w:val="en-US"/>
        </w:rPr>
        <w:t>12.</w:t>
      </w:r>
      <w:r w:rsidR="006C680D" w:rsidRPr="00D337FA">
        <w:rPr>
          <w:i/>
          <w:szCs w:val="24"/>
          <w:lang w:val="en-US"/>
        </w:rPr>
        <w:t xml:space="preserve"> </w:t>
      </w:r>
      <w:r w:rsidRPr="00D337FA">
        <w:rPr>
          <w:i/>
          <w:szCs w:val="24"/>
          <w:lang w:val="en-US"/>
        </w:rPr>
        <w:t>Brykalov</w:t>
      </w:r>
      <w:r w:rsidR="006C680D" w:rsidRPr="00D337FA">
        <w:rPr>
          <w:i/>
          <w:szCs w:val="24"/>
          <w:lang w:val="en-US"/>
        </w:rPr>
        <w:t xml:space="preserve"> </w:t>
      </w:r>
      <w:r w:rsidRPr="00D337FA">
        <w:rPr>
          <w:i/>
          <w:szCs w:val="24"/>
          <w:lang w:val="en-US"/>
        </w:rPr>
        <w:t>S.</w:t>
      </w:r>
      <w:r w:rsidR="006C680D" w:rsidRPr="00D337FA">
        <w:rPr>
          <w:i/>
          <w:szCs w:val="24"/>
          <w:lang w:val="en-US"/>
        </w:rPr>
        <w:t xml:space="preserve"> </w:t>
      </w:r>
      <w:r w:rsidRPr="00D337FA">
        <w:rPr>
          <w:i/>
          <w:szCs w:val="24"/>
          <w:lang w:val="en-US"/>
        </w:rPr>
        <w:t>M.</w:t>
      </w:r>
      <w:r w:rsidR="00231534" w:rsidRPr="00D337FA">
        <w:rPr>
          <w:i/>
          <w:szCs w:val="24"/>
          <w:lang w:val="en-US"/>
        </w:rPr>
        <w:t>,</w:t>
      </w:r>
      <w:r w:rsidR="006C680D" w:rsidRPr="00D337FA">
        <w:rPr>
          <w:i/>
          <w:szCs w:val="24"/>
          <w:lang w:val="en-US"/>
        </w:rPr>
        <w:t xml:space="preserve"> </w:t>
      </w:r>
      <w:r w:rsidR="00231534" w:rsidRPr="00D337FA">
        <w:rPr>
          <w:i/>
          <w:szCs w:val="24"/>
          <w:lang w:val="en-US"/>
        </w:rPr>
        <w:t>Trifonov</w:t>
      </w:r>
      <w:r w:rsidR="006C680D" w:rsidRPr="00D337FA">
        <w:rPr>
          <w:i/>
          <w:szCs w:val="24"/>
          <w:lang w:val="en-US"/>
        </w:rPr>
        <w:t xml:space="preserve"> </w:t>
      </w:r>
      <w:r w:rsidR="00231534" w:rsidRPr="00D337FA">
        <w:rPr>
          <w:i/>
          <w:szCs w:val="24"/>
          <w:lang w:val="en-US"/>
        </w:rPr>
        <w:t>V.</w:t>
      </w:r>
      <w:r w:rsidR="006C680D" w:rsidRPr="00D337FA">
        <w:rPr>
          <w:i/>
          <w:szCs w:val="24"/>
          <w:lang w:val="en-US"/>
        </w:rPr>
        <w:t xml:space="preserve"> </w:t>
      </w:r>
      <w:r w:rsidR="00231534" w:rsidRPr="00D337FA">
        <w:rPr>
          <w:i/>
          <w:szCs w:val="24"/>
          <w:lang w:val="en-US"/>
        </w:rPr>
        <w:t>Yu.,</w:t>
      </w:r>
      <w:r w:rsidR="006C680D" w:rsidRPr="00D337FA">
        <w:rPr>
          <w:i/>
          <w:szCs w:val="24"/>
          <w:lang w:val="en-US"/>
        </w:rPr>
        <w:t xml:space="preserve"> </w:t>
      </w:r>
      <w:r w:rsidR="00231534" w:rsidRPr="00D337FA">
        <w:rPr>
          <w:i/>
          <w:szCs w:val="24"/>
          <w:lang w:val="en-US"/>
        </w:rPr>
        <w:t>Romanova</w:t>
      </w:r>
      <w:r w:rsidR="006C680D" w:rsidRPr="00D337FA">
        <w:rPr>
          <w:i/>
          <w:szCs w:val="24"/>
          <w:lang w:val="en-US"/>
        </w:rPr>
        <w:t xml:space="preserve"> </w:t>
      </w:r>
      <w:r w:rsidR="00231534" w:rsidRPr="00D337FA">
        <w:rPr>
          <w:i/>
          <w:szCs w:val="24"/>
          <w:lang w:val="en-US"/>
        </w:rPr>
        <w:t>K.</w:t>
      </w:r>
      <w:r w:rsidR="006C680D" w:rsidRPr="00D337FA">
        <w:rPr>
          <w:i/>
          <w:szCs w:val="24"/>
          <w:lang w:val="en-US"/>
        </w:rPr>
        <w:t xml:space="preserve"> </w:t>
      </w:r>
      <w:r w:rsidR="00231534" w:rsidRPr="00D337FA">
        <w:rPr>
          <w:i/>
          <w:szCs w:val="24"/>
          <w:lang w:val="en-US"/>
        </w:rPr>
        <w:t>A.</w:t>
      </w:r>
      <w:r w:rsidR="006C680D" w:rsidRPr="00D337FA">
        <w:rPr>
          <w:i/>
          <w:szCs w:val="24"/>
          <w:lang w:val="en-US"/>
        </w:rPr>
        <w:t xml:space="preserve"> </w:t>
      </w:r>
      <w:r w:rsidR="00231534" w:rsidRPr="00D337FA">
        <w:rPr>
          <w:i/>
          <w:szCs w:val="24"/>
          <w:lang w:val="en-US"/>
        </w:rPr>
        <w:t>Podhody</w:t>
      </w:r>
      <w:r w:rsidR="006C680D" w:rsidRPr="00D337FA">
        <w:rPr>
          <w:i/>
          <w:szCs w:val="24"/>
          <w:lang w:val="en-US"/>
        </w:rPr>
        <w:t xml:space="preserve"> </w:t>
      </w:r>
      <w:r w:rsidR="00231534" w:rsidRPr="00D337FA">
        <w:rPr>
          <w:i/>
          <w:szCs w:val="24"/>
          <w:lang w:val="en-US"/>
        </w:rPr>
        <w:t>k</w:t>
      </w:r>
      <w:r w:rsidR="006C680D" w:rsidRPr="00D337FA">
        <w:rPr>
          <w:i/>
          <w:szCs w:val="24"/>
          <w:lang w:val="en-US"/>
        </w:rPr>
        <w:t xml:space="preserve"> </w:t>
      </w:r>
      <w:r w:rsidR="00231534" w:rsidRPr="00D337FA">
        <w:rPr>
          <w:i/>
          <w:szCs w:val="24"/>
          <w:lang w:val="en-US"/>
        </w:rPr>
        <w:t>upravleniyu</w:t>
      </w:r>
      <w:r w:rsidR="006C680D" w:rsidRPr="00D337FA">
        <w:rPr>
          <w:i/>
          <w:szCs w:val="24"/>
          <w:lang w:val="en-US"/>
        </w:rPr>
        <w:t xml:space="preserve"> </w:t>
      </w:r>
      <w:r w:rsidR="00231534" w:rsidRPr="00D337FA">
        <w:rPr>
          <w:i/>
          <w:szCs w:val="24"/>
          <w:lang w:val="en-US"/>
        </w:rPr>
        <w:t>riskami</w:t>
      </w:r>
      <w:r w:rsidR="006C680D" w:rsidRPr="00D337FA">
        <w:rPr>
          <w:i/>
          <w:szCs w:val="24"/>
          <w:lang w:val="en-US"/>
        </w:rPr>
        <w:t xml:space="preserve"> </w:t>
      </w:r>
      <w:r w:rsidR="00231534" w:rsidRPr="00D337FA">
        <w:rPr>
          <w:i/>
          <w:szCs w:val="24"/>
          <w:lang w:val="en-US"/>
        </w:rPr>
        <w:t>menedzhmenta</w:t>
      </w:r>
      <w:r w:rsidR="006C680D" w:rsidRPr="00D337FA">
        <w:rPr>
          <w:i/>
          <w:szCs w:val="24"/>
          <w:lang w:val="en-US"/>
        </w:rPr>
        <w:t xml:space="preserve"> </w:t>
      </w:r>
      <w:r w:rsidR="00231534" w:rsidRPr="00D337FA">
        <w:rPr>
          <w:i/>
          <w:szCs w:val="24"/>
          <w:lang w:val="en-US"/>
        </w:rPr>
        <w:t>kachestva</w:t>
      </w:r>
      <w:r w:rsidR="006C680D" w:rsidRPr="00D337FA">
        <w:rPr>
          <w:i/>
          <w:szCs w:val="24"/>
          <w:lang w:val="en-US"/>
        </w:rPr>
        <w:t xml:space="preserve"> </w:t>
      </w:r>
      <w:r w:rsidR="00231534" w:rsidRPr="00D337FA">
        <w:rPr>
          <w:i/>
          <w:szCs w:val="24"/>
          <w:lang w:val="en-US"/>
        </w:rPr>
        <w:t>[</w:t>
      </w:r>
      <w:r w:rsidRPr="00D337FA">
        <w:rPr>
          <w:i/>
          <w:szCs w:val="24"/>
          <w:lang w:val="en-US"/>
        </w:rPr>
        <w:t>Approaches</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managing</w:t>
      </w:r>
      <w:r w:rsidR="006C680D" w:rsidRPr="00D337FA">
        <w:rPr>
          <w:i/>
          <w:szCs w:val="24"/>
          <w:lang w:val="en-US"/>
        </w:rPr>
        <w:t xml:space="preserve"> </w:t>
      </w:r>
      <w:r w:rsidRPr="00D337FA">
        <w:rPr>
          <w:i/>
          <w:szCs w:val="24"/>
          <w:lang w:val="en-US"/>
        </w:rPr>
        <w:t>quality</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risks</w:t>
      </w:r>
      <w:r w:rsidR="00231534"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Problemy</w:t>
      </w:r>
      <w:r w:rsidR="006C680D" w:rsidRPr="00D337FA">
        <w:rPr>
          <w:i/>
          <w:szCs w:val="24"/>
          <w:lang w:val="en-US"/>
        </w:rPr>
        <w:t xml:space="preserve"> </w:t>
      </w:r>
      <w:r w:rsidR="00ED5489" w:rsidRPr="00D337FA">
        <w:rPr>
          <w:i/>
          <w:szCs w:val="24"/>
          <w:lang w:val="en-US"/>
        </w:rPr>
        <w:t>analiza</w:t>
      </w:r>
      <w:r w:rsidR="006C680D" w:rsidRPr="00D337FA">
        <w:rPr>
          <w:i/>
          <w:szCs w:val="24"/>
          <w:lang w:val="en-US"/>
        </w:rPr>
        <w:t xml:space="preserve"> </w:t>
      </w:r>
      <w:r w:rsidR="00ED5489" w:rsidRPr="00D337FA">
        <w:rPr>
          <w:i/>
          <w:szCs w:val="24"/>
          <w:lang w:val="en-US"/>
        </w:rPr>
        <w:t>riska</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risk</w:t>
      </w:r>
      <w:r w:rsidR="006C680D" w:rsidRPr="00D337FA">
        <w:rPr>
          <w:i/>
          <w:szCs w:val="24"/>
          <w:lang w:val="en-US"/>
        </w:rPr>
        <w:t xml:space="preserve"> </w:t>
      </w:r>
      <w:r w:rsidRPr="00D337FA">
        <w:rPr>
          <w:i/>
          <w:szCs w:val="24"/>
          <w:lang w:val="en-US"/>
        </w:rPr>
        <w:t>analysis.</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20.</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6.</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70-82.</w:t>
      </w:r>
    </w:p>
    <w:p w:rsidR="005411F4" w:rsidRPr="00D337FA" w:rsidRDefault="005411F4" w:rsidP="005411F4">
      <w:pPr>
        <w:ind w:firstLine="284"/>
        <w:rPr>
          <w:i/>
          <w:szCs w:val="24"/>
          <w:lang w:val="en-US"/>
        </w:rPr>
      </w:pPr>
      <w:r w:rsidRPr="00D337FA">
        <w:rPr>
          <w:i/>
          <w:szCs w:val="24"/>
          <w:lang w:val="en-US"/>
        </w:rPr>
        <w:t>13.</w:t>
      </w:r>
      <w:r w:rsidR="006C680D" w:rsidRPr="00D337FA">
        <w:rPr>
          <w:i/>
          <w:szCs w:val="24"/>
          <w:lang w:val="en-US"/>
        </w:rPr>
        <w:t xml:space="preserve"> </w:t>
      </w:r>
      <w:r w:rsidR="00ED5489" w:rsidRPr="00D337FA">
        <w:rPr>
          <w:i/>
          <w:szCs w:val="24"/>
          <w:lang w:val="en-US"/>
        </w:rPr>
        <w:t>Rynok</w:t>
      </w:r>
      <w:r w:rsidR="006C680D" w:rsidRPr="00D337FA">
        <w:rPr>
          <w:i/>
          <w:szCs w:val="24"/>
          <w:lang w:val="en-US"/>
        </w:rPr>
        <w:t xml:space="preserve"> </w:t>
      </w:r>
      <w:r w:rsidR="00ED5489" w:rsidRPr="00D337FA">
        <w:rPr>
          <w:i/>
          <w:szCs w:val="24"/>
          <w:lang w:val="en-US"/>
        </w:rPr>
        <w:t>strahovaniya.</w:t>
      </w:r>
      <w:r w:rsidR="006C680D" w:rsidRPr="00D337FA">
        <w:rPr>
          <w:i/>
          <w:szCs w:val="24"/>
          <w:lang w:val="en-US"/>
        </w:rPr>
        <w:t xml:space="preserve"> </w:t>
      </w:r>
      <w:r w:rsidR="00ED5489" w:rsidRPr="00D337FA">
        <w:rPr>
          <w:i/>
          <w:szCs w:val="24"/>
          <w:lang w:val="en-US"/>
        </w:rPr>
        <w:t>Analiticheskij</w:t>
      </w:r>
      <w:r w:rsidR="006C680D" w:rsidRPr="00D337FA">
        <w:rPr>
          <w:i/>
          <w:szCs w:val="24"/>
          <w:lang w:val="en-US"/>
        </w:rPr>
        <w:t xml:space="preserve"> </w:t>
      </w:r>
      <w:r w:rsidR="00ED5489" w:rsidRPr="00D337FA">
        <w:rPr>
          <w:i/>
          <w:szCs w:val="24"/>
          <w:lang w:val="en-US"/>
        </w:rPr>
        <w:t>kommentarij</w:t>
      </w:r>
      <w:r w:rsidR="006C680D" w:rsidRPr="00D337FA">
        <w:rPr>
          <w:i/>
          <w:szCs w:val="24"/>
          <w:lang w:val="en-US"/>
        </w:rPr>
        <w:t xml:space="preserve"> </w:t>
      </w:r>
      <w:r w:rsidR="00ED5489" w:rsidRPr="00D337FA">
        <w:rPr>
          <w:i/>
          <w:szCs w:val="24"/>
          <w:lang w:val="en-US"/>
        </w:rPr>
        <w:t>[</w:t>
      </w:r>
      <w:r w:rsidRPr="00D337FA">
        <w:rPr>
          <w:i/>
          <w:szCs w:val="24"/>
          <w:lang w:val="en-US"/>
        </w:rPr>
        <w:t>The</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Analytical</w:t>
      </w:r>
      <w:r w:rsidR="006C680D" w:rsidRPr="00D337FA">
        <w:rPr>
          <w:i/>
          <w:szCs w:val="24"/>
          <w:lang w:val="en-US"/>
        </w:rPr>
        <w:t xml:space="preserve"> </w:t>
      </w:r>
      <w:r w:rsidRPr="00D337FA">
        <w:rPr>
          <w:i/>
          <w:szCs w:val="24"/>
          <w:lang w:val="en-US"/>
        </w:rPr>
        <w:t>Commentary</w:t>
      </w:r>
      <w:r w:rsidR="00ED5489"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URL:</w:t>
      </w:r>
      <w:r w:rsidR="006C680D" w:rsidRPr="00D337FA">
        <w:rPr>
          <w:i/>
          <w:szCs w:val="24"/>
          <w:lang w:val="en-US"/>
        </w:rPr>
        <w:t xml:space="preserve"> </w:t>
      </w:r>
      <w:r w:rsidRPr="00D337FA">
        <w:rPr>
          <w:i/>
          <w:szCs w:val="24"/>
          <w:lang w:val="en-US"/>
        </w:rPr>
        <w:t>https://www.cbr.ru/press/event/?id=23469</w:t>
      </w:r>
      <w:r w:rsidR="006C680D" w:rsidRPr="00D337FA">
        <w:rPr>
          <w:i/>
          <w:szCs w:val="24"/>
          <w:lang w:val="en-US"/>
        </w:rPr>
        <w:t xml:space="preserve"> </w:t>
      </w:r>
      <w:r w:rsidRPr="00D337FA">
        <w:rPr>
          <w:i/>
          <w:szCs w:val="24"/>
          <w:lang w:val="en-US"/>
        </w:rPr>
        <w:t>(accessed:</w:t>
      </w:r>
      <w:r w:rsidR="006C680D" w:rsidRPr="00D337FA">
        <w:rPr>
          <w:i/>
          <w:szCs w:val="24"/>
          <w:lang w:val="en-US"/>
        </w:rPr>
        <w:t xml:space="preserve"> </w:t>
      </w:r>
      <w:r w:rsidRPr="00D337FA">
        <w:rPr>
          <w:i/>
          <w:szCs w:val="24"/>
          <w:lang w:val="en-US"/>
        </w:rPr>
        <w:t>20.12.2025)</w:t>
      </w:r>
    </w:p>
    <w:p w:rsidR="005411F4" w:rsidRPr="00D337FA" w:rsidRDefault="005411F4" w:rsidP="005411F4">
      <w:pPr>
        <w:ind w:firstLine="284"/>
        <w:rPr>
          <w:i/>
          <w:szCs w:val="24"/>
          <w:lang w:val="en-US"/>
        </w:rPr>
      </w:pPr>
      <w:r w:rsidRPr="00D337FA">
        <w:rPr>
          <w:i/>
          <w:szCs w:val="24"/>
          <w:lang w:val="en-US"/>
        </w:rPr>
        <w:t>14.</w:t>
      </w:r>
      <w:r w:rsidR="006C680D" w:rsidRPr="00D337FA">
        <w:rPr>
          <w:i/>
          <w:szCs w:val="24"/>
          <w:lang w:val="en-US"/>
        </w:rPr>
        <w:t xml:space="preserve"> </w:t>
      </w:r>
      <w:r w:rsidRPr="00D337FA">
        <w:rPr>
          <w:i/>
          <w:szCs w:val="24"/>
          <w:lang w:val="en-US"/>
        </w:rPr>
        <w:t>Vladimirova</w:t>
      </w:r>
      <w:r w:rsidR="006C680D" w:rsidRPr="00D337FA">
        <w:rPr>
          <w:i/>
          <w:szCs w:val="24"/>
          <w:lang w:val="en-US"/>
        </w:rPr>
        <w:t xml:space="preserve"> </w:t>
      </w:r>
      <w:r w:rsidRPr="00D337FA">
        <w:rPr>
          <w:i/>
          <w:szCs w:val="24"/>
          <w:lang w:val="en-US"/>
        </w:rPr>
        <w:t>I.G.,</w:t>
      </w:r>
      <w:r w:rsidR="006C680D" w:rsidRPr="00D337FA">
        <w:rPr>
          <w:i/>
          <w:szCs w:val="24"/>
          <w:lang w:val="en-US"/>
        </w:rPr>
        <w:t xml:space="preserve"> </w:t>
      </w:r>
      <w:r w:rsidRPr="00D337FA">
        <w:rPr>
          <w:i/>
          <w:szCs w:val="24"/>
          <w:lang w:val="en-US"/>
        </w:rPr>
        <w:t>Polevaya</w:t>
      </w:r>
      <w:r w:rsidR="006C680D" w:rsidRPr="00D337FA">
        <w:rPr>
          <w:i/>
          <w:szCs w:val="24"/>
          <w:lang w:val="en-US"/>
        </w:rPr>
        <w:t xml:space="preserve"> </w:t>
      </w:r>
      <w:r w:rsidRPr="00D337FA">
        <w:rPr>
          <w:i/>
          <w:szCs w:val="24"/>
          <w:lang w:val="en-US"/>
        </w:rPr>
        <w:t>E.V.</w:t>
      </w:r>
      <w:r w:rsidR="006C680D" w:rsidRPr="00D337FA">
        <w:rPr>
          <w:i/>
          <w:szCs w:val="24"/>
          <w:lang w:val="en-US"/>
        </w:rPr>
        <w:t xml:space="preserve"> </w:t>
      </w:r>
      <w:r w:rsidR="00ED5489" w:rsidRPr="00D337FA">
        <w:rPr>
          <w:i/>
          <w:szCs w:val="24"/>
          <w:lang w:val="en-US"/>
        </w:rPr>
        <w:t>Metodicheskij</w:t>
      </w:r>
      <w:r w:rsidR="006C680D" w:rsidRPr="00D337FA">
        <w:rPr>
          <w:i/>
          <w:szCs w:val="24"/>
          <w:lang w:val="en-US"/>
        </w:rPr>
        <w:t xml:space="preserve"> </w:t>
      </w:r>
      <w:r w:rsidR="00ED5489" w:rsidRPr="00D337FA">
        <w:rPr>
          <w:i/>
          <w:szCs w:val="24"/>
          <w:lang w:val="en-US"/>
        </w:rPr>
        <w:t>podhod</w:t>
      </w:r>
      <w:r w:rsidR="006C680D" w:rsidRPr="00D337FA">
        <w:rPr>
          <w:i/>
          <w:szCs w:val="24"/>
          <w:lang w:val="en-US"/>
        </w:rPr>
        <w:t xml:space="preserve"> </w:t>
      </w:r>
      <w:r w:rsidR="00ED5489" w:rsidRPr="00D337FA">
        <w:rPr>
          <w:i/>
          <w:szCs w:val="24"/>
          <w:lang w:val="en-US"/>
        </w:rPr>
        <w:t>k</w:t>
      </w:r>
      <w:r w:rsidR="006C680D" w:rsidRPr="00D337FA">
        <w:rPr>
          <w:i/>
          <w:szCs w:val="24"/>
          <w:lang w:val="en-US"/>
        </w:rPr>
        <w:t xml:space="preserve"> </w:t>
      </w:r>
      <w:r w:rsidR="00ED5489" w:rsidRPr="00D337FA">
        <w:rPr>
          <w:i/>
          <w:szCs w:val="24"/>
          <w:lang w:val="en-US"/>
        </w:rPr>
        <w:t>ocenke</w:t>
      </w:r>
      <w:r w:rsidR="006C680D" w:rsidRPr="00D337FA">
        <w:rPr>
          <w:i/>
          <w:szCs w:val="24"/>
          <w:lang w:val="en-US"/>
        </w:rPr>
        <w:t xml:space="preserve"> </w:t>
      </w:r>
      <w:r w:rsidR="00ED5489" w:rsidRPr="00D337FA">
        <w:rPr>
          <w:i/>
          <w:szCs w:val="24"/>
          <w:lang w:val="en-US"/>
        </w:rPr>
        <w:t>urovnya</w:t>
      </w:r>
      <w:r w:rsidR="006C680D" w:rsidRPr="00D337FA">
        <w:rPr>
          <w:i/>
          <w:szCs w:val="24"/>
          <w:lang w:val="en-US"/>
        </w:rPr>
        <w:t xml:space="preserve"> </w:t>
      </w:r>
      <w:r w:rsidR="00ED5489" w:rsidRPr="00D337FA">
        <w:rPr>
          <w:i/>
          <w:szCs w:val="24"/>
          <w:lang w:val="en-US"/>
        </w:rPr>
        <w:t>adaptivnosti</w:t>
      </w:r>
      <w:r w:rsidR="006C680D" w:rsidRPr="00D337FA">
        <w:rPr>
          <w:i/>
          <w:szCs w:val="24"/>
          <w:lang w:val="en-US"/>
        </w:rPr>
        <w:t xml:space="preserve"> </w:t>
      </w:r>
      <w:r w:rsidR="00ED5489" w:rsidRPr="00D337FA">
        <w:rPr>
          <w:i/>
          <w:szCs w:val="24"/>
          <w:lang w:val="en-US"/>
        </w:rPr>
        <w:t>organizacionnyh</w:t>
      </w:r>
      <w:r w:rsidR="006C680D" w:rsidRPr="00D337FA">
        <w:rPr>
          <w:i/>
          <w:szCs w:val="24"/>
          <w:lang w:val="en-US"/>
        </w:rPr>
        <w:t xml:space="preserve"> </w:t>
      </w:r>
      <w:r w:rsidR="00ED5489" w:rsidRPr="00D337FA">
        <w:rPr>
          <w:i/>
          <w:szCs w:val="24"/>
          <w:lang w:val="en-US"/>
        </w:rPr>
        <w:t>struktur</w:t>
      </w:r>
      <w:r w:rsidR="006C680D" w:rsidRPr="00D337FA">
        <w:rPr>
          <w:i/>
          <w:szCs w:val="24"/>
          <w:lang w:val="en-US"/>
        </w:rPr>
        <w:t xml:space="preserve"> </w:t>
      </w:r>
      <w:r w:rsidR="00ED5489" w:rsidRPr="00D337FA">
        <w:rPr>
          <w:i/>
          <w:szCs w:val="24"/>
          <w:lang w:val="en-US"/>
        </w:rPr>
        <w:t>upravleniya</w:t>
      </w:r>
      <w:r w:rsidR="006C680D" w:rsidRPr="00D337FA">
        <w:rPr>
          <w:i/>
          <w:szCs w:val="24"/>
          <w:lang w:val="en-US"/>
        </w:rPr>
        <w:t xml:space="preserve"> </w:t>
      </w:r>
      <w:r w:rsidR="00ED5489" w:rsidRPr="00D337FA">
        <w:rPr>
          <w:i/>
          <w:szCs w:val="24"/>
          <w:lang w:val="en-US"/>
        </w:rPr>
        <w:t>kompaniyami</w:t>
      </w:r>
      <w:r w:rsidR="006C680D" w:rsidRPr="00D337FA">
        <w:rPr>
          <w:i/>
          <w:szCs w:val="24"/>
          <w:lang w:val="en-US"/>
        </w:rPr>
        <w:t xml:space="preserve"> </w:t>
      </w:r>
      <w:r w:rsidR="00ED5489" w:rsidRPr="00D337FA">
        <w:rPr>
          <w:i/>
          <w:szCs w:val="24"/>
          <w:lang w:val="en-US"/>
        </w:rPr>
        <w:t>[</w:t>
      </w:r>
      <w:r w:rsidRPr="00D337FA">
        <w:rPr>
          <w:i/>
          <w:szCs w:val="24"/>
          <w:lang w:val="en-US"/>
        </w:rPr>
        <w:t>Methodological</w:t>
      </w:r>
      <w:r w:rsidR="006C680D" w:rsidRPr="00D337FA">
        <w:rPr>
          <w:i/>
          <w:szCs w:val="24"/>
          <w:lang w:val="en-US"/>
        </w:rPr>
        <w:t xml:space="preserve"> </w:t>
      </w:r>
      <w:r w:rsidRPr="00D337FA">
        <w:rPr>
          <w:i/>
          <w:szCs w:val="24"/>
          <w:lang w:val="en-US"/>
        </w:rPr>
        <w:t>Approach</w:t>
      </w:r>
      <w:r w:rsidR="006C680D" w:rsidRPr="00D337FA">
        <w:rPr>
          <w:i/>
          <w:szCs w:val="24"/>
          <w:lang w:val="en-US"/>
        </w:rPr>
        <w:t xml:space="preserve"> </w:t>
      </w:r>
      <w:r w:rsidRPr="00D337FA">
        <w:rPr>
          <w:i/>
          <w:szCs w:val="24"/>
          <w:lang w:val="en-US"/>
        </w:rPr>
        <w:t>to</w:t>
      </w:r>
      <w:r w:rsidR="006C680D" w:rsidRPr="00D337FA">
        <w:rPr>
          <w:i/>
          <w:szCs w:val="24"/>
          <w:lang w:val="en-US"/>
        </w:rPr>
        <w:t xml:space="preserve"> </w:t>
      </w:r>
      <w:r w:rsidRPr="00D337FA">
        <w:rPr>
          <w:i/>
          <w:szCs w:val="24"/>
          <w:lang w:val="en-US"/>
        </w:rPr>
        <w:t>Assessing</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Level</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Adaptability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Organizational</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Structures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Companies</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MIR</w:t>
      </w:r>
      <w:r w:rsidR="006C680D" w:rsidRPr="00D337FA">
        <w:rPr>
          <w:i/>
          <w:szCs w:val="24"/>
          <w:lang w:val="en-US"/>
        </w:rPr>
        <w:t xml:space="preserve"> </w:t>
      </w:r>
      <w:r w:rsidR="00ED5489" w:rsidRPr="00D337FA">
        <w:rPr>
          <w:i/>
          <w:szCs w:val="24"/>
          <w:lang w:val="en-US"/>
        </w:rPr>
        <w:t>(Modernizaciya.</w:t>
      </w:r>
      <w:r w:rsidR="006C680D" w:rsidRPr="00D337FA">
        <w:rPr>
          <w:i/>
          <w:szCs w:val="24"/>
          <w:lang w:val="en-US"/>
        </w:rPr>
        <w:t xml:space="preserve"> </w:t>
      </w:r>
      <w:r w:rsidR="00ED5489" w:rsidRPr="00D337FA">
        <w:rPr>
          <w:i/>
          <w:szCs w:val="24"/>
          <w:lang w:val="en-US"/>
        </w:rPr>
        <w:t>Innovacii.</w:t>
      </w:r>
      <w:r w:rsidR="006C680D" w:rsidRPr="00D337FA">
        <w:rPr>
          <w:i/>
          <w:szCs w:val="24"/>
          <w:lang w:val="en-US"/>
        </w:rPr>
        <w:t xml:space="preserve"> </w:t>
      </w:r>
      <w:r w:rsidR="00ED5489" w:rsidRPr="00D337FA">
        <w:rPr>
          <w:i/>
          <w:szCs w:val="24"/>
          <w:lang w:val="en-US"/>
        </w:rPr>
        <w:t>Razvitie)</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MIR</w:t>
      </w:r>
      <w:r w:rsidR="006C680D" w:rsidRPr="00D337FA">
        <w:rPr>
          <w:i/>
          <w:szCs w:val="24"/>
          <w:lang w:val="en-US"/>
        </w:rPr>
        <w:t xml:space="preserve"> </w:t>
      </w:r>
      <w:r w:rsidRPr="00D337FA">
        <w:rPr>
          <w:i/>
          <w:szCs w:val="24"/>
          <w:lang w:val="en-US"/>
        </w:rPr>
        <w:t>(Modernization.</w:t>
      </w:r>
      <w:r w:rsidR="006C680D" w:rsidRPr="00D337FA">
        <w:rPr>
          <w:i/>
          <w:szCs w:val="24"/>
          <w:lang w:val="en-US"/>
        </w:rPr>
        <w:t xml:space="preserve"> </w:t>
      </w:r>
      <w:r w:rsidRPr="00D337FA">
        <w:rPr>
          <w:i/>
          <w:szCs w:val="24"/>
          <w:lang w:val="en-US"/>
        </w:rPr>
        <w:t>Innovation.</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14.</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Pp.</w:t>
      </w:r>
      <w:r w:rsidR="006C680D" w:rsidRPr="00D337FA">
        <w:rPr>
          <w:i/>
          <w:szCs w:val="24"/>
          <w:lang w:val="en-US"/>
        </w:rPr>
        <w:t xml:space="preserve"> </w:t>
      </w:r>
      <w:r w:rsidRPr="00D337FA">
        <w:rPr>
          <w:i/>
          <w:szCs w:val="24"/>
          <w:lang w:val="en-US"/>
        </w:rPr>
        <w:t>242-261.</w:t>
      </w:r>
    </w:p>
    <w:p w:rsidR="005411F4" w:rsidRPr="00D337FA" w:rsidRDefault="005411F4" w:rsidP="005411F4">
      <w:pPr>
        <w:ind w:firstLine="284"/>
        <w:rPr>
          <w:i/>
          <w:szCs w:val="24"/>
          <w:lang w:val="en-US"/>
        </w:rPr>
      </w:pPr>
      <w:r w:rsidRPr="00D337FA">
        <w:rPr>
          <w:i/>
          <w:szCs w:val="24"/>
          <w:lang w:val="en-US"/>
        </w:rPr>
        <w:t>15.</w:t>
      </w:r>
      <w:r w:rsidR="006C680D" w:rsidRPr="00D337FA">
        <w:rPr>
          <w:i/>
          <w:szCs w:val="24"/>
          <w:lang w:val="en-US"/>
        </w:rPr>
        <w:t xml:space="preserve"> </w:t>
      </w:r>
      <w:r w:rsidRPr="00D337FA">
        <w:rPr>
          <w:i/>
          <w:szCs w:val="24"/>
          <w:lang w:val="en-US"/>
        </w:rPr>
        <w:t>Fang</w:t>
      </w:r>
      <w:r w:rsidR="006C680D" w:rsidRPr="00D337FA">
        <w:rPr>
          <w:i/>
          <w:szCs w:val="24"/>
          <w:lang w:val="en-US"/>
        </w:rPr>
        <w:t xml:space="preserve"> </w:t>
      </w:r>
      <w:r w:rsidRPr="00D337FA">
        <w:rPr>
          <w:i/>
          <w:szCs w:val="24"/>
          <w:lang w:val="en-US"/>
        </w:rPr>
        <w:t>Ming</w:t>
      </w:r>
      <w:r w:rsidR="006C680D" w:rsidRPr="00D337FA">
        <w:rPr>
          <w:i/>
          <w:szCs w:val="24"/>
          <w:lang w:val="en-US"/>
        </w:rPr>
        <w:t xml:space="preserve"> </w:t>
      </w:r>
      <w:r w:rsidRPr="00D337FA">
        <w:rPr>
          <w:i/>
          <w:szCs w:val="24"/>
          <w:lang w:val="en-US"/>
        </w:rPr>
        <w:t>Chen.</w:t>
      </w:r>
      <w:r w:rsidR="006C680D" w:rsidRPr="00D337FA">
        <w:rPr>
          <w:i/>
          <w:szCs w:val="24"/>
          <w:lang w:val="en-US"/>
        </w:rPr>
        <w:t xml:space="preserve"> </w:t>
      </w:r>
      <w:r w:rsidRPr="00D337FA">
        <w:rPr>
          <w:i/>
          <w:szCs w:val="24"/>
          <w:lang w:val="en-US"/>
        </w:rPr>
        <w:t>An</w:t>
      </w:r>
      <w:r w:rsidR="006C680D" w:rsidRPr="00D337FA">
        <w:rPr>
          <w:i/>
          <w:szCs w:val="24"/>
          <w:lang w:val="en-US"/>
        </w:rPr>
        <w:t xml:space="preserve"> </w:t>
      </w:r>
      <w:r w:rsidRPr="00D337FA">
        <w:rPr>
          <w:i/>
          <w:szCs w:val="24"/>
          <w:lang w:val="en-US"/>
        </w:rPr>
        <w:t>exploration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role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social</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Knowledge</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2015.</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9.</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53</w:t>
      </w:r>
    </w:p>
    <w:p w:rsidR="005411F4" w:rsidRPr="00D337FA" w:rsidRDefault="005411F4" w:rsidP="005411F4">
      <w:pPr>
        <w:ind w:firstLine="284"/>
        <w:rPr>
          <w:i/>
          <w:szCs w:val="24"/>
          <w:lang w:val="en-US"/>
        </w:rPr>
      </w:pPr>
      <w:r w:rsidRPr="00D337FA">
        <w:rPr>
          <w:i/>
          <w:szCs w:val="24"/>
          <w:lang w:val="en-US"/>
        </w:rPr>
        <w:t>16.</w:t>
      </w:r>
      <w:r w:rsidR="006C680D" w:rsidRPr="00D337FA">
        <w:rPr>
          <w:i/>
          <w:szCs w:val="24"/>
          <w:lang w:val="en-US"/>
        </w:rPr>
        <w:t xml:space="preserve"> </w:t>
      </w:r>
      <w:r w:rsidRPr="00D337FA">
        <w:rPr>
          <w:i/>
          <w:szCs w:val="24"/>
          <w:lang w:val="en-US"/>
        </w:rPr>
        <w:t>Khakimov</w:t>
      </w:r>
      <w:r w:rsidR="006C680D" w:rsidRPr="00D337FA">
        <w:rPr>
          <w:i/>
          <w:szCs w:val="24"/>
          <w:lang w:val="en-US"/>
        </w:rPr>
        <w:t xml:space="preserve"> </w:t>
      </w:r>
      <w:r w:rsidRPr="00D337FA">
        <w:rPr>
          <w:i/>
          <w:szCs w:val="24"/>
          <w:lang w:val="en-US"/>
        </w:rPr>
        <w:t>R.T.,</w:t>
      </w:r>
      <w:r w:rsidR="006C680D" w:rsidRPr="00D337FA">
        <w:rPr>
          <w:i/>
          <w:szCs w:val="24"/>
          <w:lang w:val="en-US"/>
        </w:rPr>
        <w:t xml:space="preserve"> </w:t>
      </w:r>
      <w:r w:rsidRPr="00D337FA">
        <w:rPr>
          <w:i/>
          <w:szCs w:val="24"/>
          <w:lang w:val="en-US"/>
        </w:rPr>
        <w:t>Algina</w:t>
      </w:r>
      <w:r w:rsidR="006C680D" w:rsidRPr="00D337FA">
        <w:rPr>
          <w:i/>
          <w:szCs w:val="24"/>
          <w:lang w:val="en-US"/>
        </w:rPr>
        <w:t xml:space="preserve"> </w:t>
      </w:r>
      <w:r w:rsidRPr="00D337FA">
        <w:rPr>
          <w:i/>
          <w:szCs w:val="24"/>
          <w:lang w:val="en-US"/>
        </w:rPr>
        <w:t>T.B.,</w:t>
      </w:r>
      <w:r w:rsidR="006C680D" w:rsidRPr="00D337FA">
        <w:rPr>
          <w:i/>
          <w:szCs w:val="24"/>
          <w:lang w:val="en-US"/>
        </w:rPr>
        <w:t xml:space="preserve"> </w:t>
      </w:r>
      <w:r w:rsidRPr="00D337FA">
        <w:rPr>
          <w:i/>
          <w:szCs w:val="24"/>
          <w:lang w:val="en-US"/>
        </w:rPr>
        <w:t>Khakimova</w:t>
      </w:r>
      <w:r w:rsidR="006C680D" w:rsidRPr="00D337FA">
        <w:rPr>
          <w:i/>
          <w:szCs w:val="24"/>
          <w:lang w:val="en-US"/>
        </w:rPr>
        <w:t xml:space="preserve"> </w:t>
      </w:r>
      <w:r w:rsidRPr="00D337FA">
        <w:rPr>
          <w:i/>
          <w:szCs w:val="24"/>
          <w:lang w:val="en-US"/>
        </w:rPr>
        <w:t>G.R.</w:t>
      </w:r>
      <w:r w:rsidR="006C680D" w:rsidRPr="00D337FA">
        <w:rPr>
          <w:i/>
          <w:szCs w:val="24"/>
          <w:lang w:val="en-US"/>
        </w:rPr>
        <w:t xml:space="preserve"> </w:t>
      </w:r>
      <w:r w:rsidR="00ED5489" w:rsidRPr="00D337FA">
        <w:rPr>
          <w:i/>
          <w:szCs w:val="24"/>
          <w:lang w:val="en-US"/>
        </w:rPr>
        <w:t>Osobennosti</w:t>
      </w:r>
      <w:r w:rsidR="006C680D" w:rsidRPr="00D337FA">
        <w:rPr>
          <w:i/>
          <w:szCs w:val="24"/>
          <w:lang w:val="en-US"/>
        </w:rPr>
        <w:t xml:space="preserve"> </w:t>
      </w:r>
      <w:r w:rsidR="00ED5489" w:rsidRPr="00D337FA">
        <w:rPr>
          <w:i/>
          <w:szCs w:val="24"/>
          <w:lang w:val="en-US"/>
        </w:rPr>
        <w:t>upravleniya</w:t>
      </w:r>
      <w:r w:rsidR="006C680D" w:rsidRPr="00D337FA">
        <w:rPr>
          <w:i/>
          <w:szCs w:val="24"/>
          <w:lang w:val="en-US"/>
        </w:rPr>
        <w:t xml:space="preserve"> </w:t>
      </w:r>
      <w:r w:rsidR="00ED5489" w:rsidRPr="00D337FA">
        <w:rPr>
          <w:i/>
          <w:szCs w:val="24"/>
          <w:lang w:val="en-US"/>
        </w:rPr>
        <w:t>riskami</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siste-me</w:t>
      </w:r>
      <w:r w:rsidR="006C680D" w:rsidRPr="00D337FA">
        <w:rPr>
          <w:i/>
          <w:szCs w:val="24"/>
          <w:lang w:val="en-US"/>
        </w:rPr>
        <w:t xml:space="preserve"> </w:t>
      </w:r>
      <w:r w:rsidR="00ED5489" w:rsidRPr="00D337FA">
        <w:rPr>
          <w:i/>
          <w:szCs w:val="24"/>
          <w:lang w:val="en-US"/>
        </w:rPr>
        <w:t>menedzhmenta</w:t>
      </w:r>
      <w:r w:rsidR="006C680D" w:rsidRPr="00D337FA">
        <w:rPr>
          <w:i/>
          <w:szCs w:val="24"/>
          <w:lang w:val="en-US"/>
        </w:rPr>
        <w:t xml:space="preserve"> </w:t>
      </w:r>
      <w:r w:rsidR="00ED5489" w:rsidRPr="00D337FA">
        <w:rPr>
          <w:i/>
          <w:szCs w:val="24"/>
          <w:lang w:val="en-US"/>
        </w:rPr>
        <w:t>kachestva</w:t>
      </w:r>
      <w:r w:rsidR="006C680D" w:rsidRPr="00D337FA">
        <w:rPr>
          <w:i/>
          <w:szCs w:val="24"/>
          <w:lang w:val="en-US"/>
        </w:rPr>
        <w:t xml:space="preserve"> </w:t>
      </w:r>
      <w:r w:rsidR="00ED5489" w:rsidRPr="00D337FA">
        <w:rPr>
          <w:i/>
          <w:szCs w:val="24"/>
          <w:lang w:val="en-US"/>
        </w:rPr>
        <w:t>organizacii</w:t>
      </w:r>
      <w:r w:rsidR="006C680D" w:rsidRPr="00D337FA">
        <w:rPr>
          <w:i/>
          <w:szCs w:val="24"/>
          <w:lang w:val="en-US"/>
        </w:rPr>
        <w:t xml:space="preserve"> </w:t>
      </w:r>
      <w:r w:rsidR="00ED5489" w:rsidRPr="00D337FA">
        <w:rPr>
          <w:i/>
          <w:szCs w:val="24"/>
          <w:lang w:val="en-US"/>
        </w:rPr>
        <w:t>[</w:t>
      </w:r>
      <w:r w:rsidRPr="00D337FA">
        <w:rPr>
          <w:i/>
          <w:szCs w:val="24"/>
          <w:lang w:val="en-US"/>
        </w:rPr>
        <w:t>Features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Risk</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Organization’s</w:t>
      </w:r>
      <w:r w:rsidR="006C680D" w:rsidRPr="00D337FA">
        <w:rPr>
          <w:i/>
          <w:szCs w:val="24"/>
          <w:lang w:val="en-US"/>
        </w:rPr>
        <w:t xml:space="preserve"> </w:t>
      </w:r>
      <w:r w:rsidRPr="00D337FA">
        <w:rPr>
          <w:i/>
          <w:szCs w:val="24"/>
          <w:lang w:val="en-US"/>
        </w:rPr>
        <w:t>Quality</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System</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Izvestiya</w:t>
      </w:r>
      <w:r w:rsidR="006C680D" w:rsidRPr="00D337FA">
        <w:rPr>
          <w:i/>
          <w:szCs w:val="24"/>
          <w:lang w:val="en-US"/>
        </w:rPr>
        <w:t xml:space="preserve"> </w:t>
      </w:r>
      <w:r w:rsidR="00ED5489" w:rsidRPr="00D337FA">
        <w:rPr>
          <w:i/>
          <w:szCs w:val="24"/>
          <w:lang w:val="en-US"/>
        </w:rPr>
        <w:t>Mezhdunar.</w:t>
      </w:r>
      <w:r w:rsidR="006C680D" w:rsidRPr="00D337FA">
        <w:rPr>
          <w:i/>
          <w:szCs w:val="24"/>
          <w:lang w:val="en-US"/>
        </w:rPr>
        <w:t xml:space="preserve"> </w:t>
      </w:r>
      <w:r w:rsidR="00ED5489" w:rsidRPr="00D337FA">
        <w:rPr>
          <w:i/>
          <w:szCs w:val="24"/>
          <w:lang w:val="en-US"/>
        </w:rPr>
        <w:t>akad.</w:t>
      </w:r>
      <w:r w:rsidR="006C680D" w:rsidRPr="00D337FA">
        <w:rPr>
          <w:i/>
          <w:szCs w:val="24"/>
          <w:lang w:val="en-US"/>
        </w:rPr>
        <w:t xml:space="preserve"> </w:t>
      </w:r>
      <w:r w:rsidR="00ED5489" w:rsidRPr="00D337FA">
        <w:rPr>
          <w:i/>
          <w:szCs w:val="24"/>
          <w:lang w:val="en-US"/>
        </w:rPr>
        <w:t>agrar.</w:t>
      </w:r>
      <w:r w:rsidR="006C680D" w:rsidRPr="00D337FA">
        <w:rPr>
          <w:i/>
          <w:szCs w:val="24"/>
          <w:lang w:val="en-US"/>
        </w:rPr>
        <w:t xml:space="preserve"> </w:t>
      </w:r>
      <w:r w:rsidR="00ED5489" w:rsidRPr="00D337FA">
        <w:rPr>
          <w:i/>
          <w:szCs w:val="24"/>
          <w:lang w:val="en-US"/>
        </w:rPr>
        <w:t>obrazovaniya</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Intern.</w:t>
      </w:r>
      <w:r w:rsidR="006C680D" w:rsidRPr="00D337FA">
        <w:rPr>
          <w:i/>
          <w:szCs w:val="24"/>
          <w:lang w:val="en-US"/>
        </w:rPr>
        <w:t xml:space="preserve"> </w:t>
      </w:r>
      <w:r w:rsidRPr="00D337FA">
        <w:rPr>
          <w:i/>
          <w:szCs w:val="24"/>
          <w:lang w:val="en-US"/>
        </w:rPr>
        <w:t>Academy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Agrarian</w:t>
      </w:r>
      <w:r w:rsidR="006C680D" w:rsidRPr="00D337FA">
        <w:rPr>
          <w:i/>
          <w:szCs w:val="24"/>
          <w:lang w:val="en-US"/>
        </w:rPr>
        <w:t xml:space="preserve"> </w:t>
      </w:r>
      <w:r w:rsidRPr="00D337FA">
        <w:rPr>
          <w:i/>
          <w:szCs w:val="24"/>
          <w:lang w:val="en-US"/>
        </w:rPr>
        <w:t>Education.</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2020.</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50.</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128-133.</w:t>
      </w:r>
    </w:p>
    <w:p w:rsidR="005411F4" w:rsidRPr="00D337FA" w:rsidRDefault="005411F4" w:rsidP="005411F4">
      <w:pPr>
        <w:ind w:firstLine="284"/>
        <w:rPr>
          <w:i/>
          <w:szCs w:val="24"/>
          <w:lang w:val="en-US"/>
        </w:rPr>
      </w:pPr>
      <w:r w:rsidRPr="00D337FA">
        <w:rPr>
          <w:i/>
          <w:szCs w:val="24"/>
          <w:lang w:val="en-US"/>
        </w:rPr>
        <w:t>17.</w:t>
      </w:r>
      <w:r w:rsidR="006C680D" w:rsidRPr="00D337FA">
        <w:rPr>
          <w:i/>
          <w:szCs w:val="24"/>
          <w:lang w:val="en-US"/>
        </w:rPr>
        <w:t xml:space="preserve"> </w:t>
      </w:r>
      <w:r w:rsidRPr="00D337FA">
        <w:rPr>
          <w:i/>
          <w:szCs w:val="24"/>
          <w:lang w:val="en-US"/>
        </w:rPr>
        <w:t>Soldatkina</w:t>
      </w:r>
      <w:r w:rsidR="006C680D" w:rsidRPr="00D337FA">
        <w:rPr>
          <w:i/>
          <w:szCs w:val="24"/>
          <w:lang w:val="en-US"/>
        </w:rPr>
        <w:t xml:space="preserve"> </w:t>
      </w:r>
      <w:r w:rsidRPr="00D337FA">
        <w:rPr>
          <w:i/>
          <w:szCs w:val="24"/>
          <w:lang w:val="en-US"/>
        </w:rPr>
        <w:t>O.V.</w:t>
      </w:r>
      <w:r w:rsidR="006C680D" w:rsidRPr="00D337FA">
        <w:rPr>
          <w:i/>
          <w:szCs w:val="24"/>
          <w:lang w:val="en-US"/>
        </w:rPr>
        <w:t xml:space="preserve"> </w:t>
      </w:r>
      <w:r w:rsidR="00ED5489" w:rsidRPr="00D337FA">
        <w:rPr>
          <w:i/>
          <w:szCs w:val="24"/>
          <w:lang w:val="en-US"/>
        </w:rPr>
        <w:t>Razrabotka</w:t>
      </w:r>
      <w:r w:rsidR="006C680D" w:rsidRPr="00D337FA">
        <w:rPr>
          <w:i/>
          <w:szCs w:val="24"/>
          <w:lang w:val="en-US"/>
        </w:rPr>
        <w:t xml:space="preserve"> </w:t>
      </w:r>
      <w:r w:rsidR="00ED5489" w:rsidRPr="00D337FA">
        <w:rPr>
          <w:i/>
          <w:szCs w:val="24"/>
          <w:lang w:val="en-US"/>
        </w:rPr>
        <w:t>strategii</w:t>
      </w:r>
      <w:r w:rsidR="006C680D" w:rsidRPr="00D337FA">
        <w:rPr>
          <w:i/>
          <w:szCs w:val="24"/>
          <w:lang w:val="en-US"/>
        </w:rPr>
        <w:t xml:space="preserve"> </w:t>
      </w:r>
      <w:r w:rsidR="00ED5489" w:rsidRPr="00D337FA">
        <w:rPr>
          <w:i/>
          <w:szCs w:val="24"/>
          <w:lang w:val="en-US"/>
        </w:rPr>
        <w:t>razvitiya</w:t>
      </w:r>
      <w:r w:rsidR="006C680D" w:rsidRPr="00D337FA">
        <w:rPr>
          <w:i/>
          <w:szCs w:val="24"/>
          <w:lang w:val="en-US"/>
        </w:rPr>
        <w:t xml:space="preserve"> </w:t>
      </w:r>
      <w:r w:rsidR="00ED5489" w:rsidRPr="00D337FA">
        <w:rPr>
          <w:i/>
          <w:szCs w:val="24"/>
          <w:lang w:val="en-US"/>
        </w:rPr>
        <w:t>predpriyatiya</w:t>
      </w:r>
      <w:r w:rsidR="006C680D" w:rsidRPr="00D337FA">
        <w:rPr>
          <w:i/>
          <w:szCs w:val="24"/>
          <w:lang w:val="en-US"/>
        </w:rPr>
        <w:t xml:space="preserve"> </w:t>
      </w:r>
      <w:r w:rsidR="00ED5489" w:rsidRPr="00D337FA">
        <w:rPr>
          <w:i/>
          <w:szCs w:val="24"/>
          <w:lang w:val="en-US"/>
        </w:rPr>
        <w:t>malogo</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srednego</w:t>
      </w:r>
      <w:r w:rsidR="006C680D" w:rsidRPr="00D337FA">
        <w:rPr>
          <w:i/>
          <w:szCs w:val="24"/>
          <w:lang w:val="en-US"/>
        </w:rPr>
        <w:t xml:space="preserve"> </w:t>
      </w:r>
      <w:r w:rsidR="00ED5489" w:rsidRPr="00D337FA">
        <w:rPr>
          <w:i/>
          <w:szCs w:val="24"/>
          <w:lang w:val="en-US"/>
        </w:rPr>
        <w:t>biznesa:</w:t>
      </w:r>
      <w:r w:rsidR="006C680D" w:rsidRPr="00D337FA">
        <w:rPr>
          <w:i/>
          <w:szCs w:val="24"/>
          <w:lang w:val="en-US"/>
        </w:rPr>
        <w:t xml:space="preserve"> </w:t>
      </w:r>
      <w:r w:rsidR="00ED5489" w:rsidRPr="00D337FA">
        <w:rPr>
          <w:i/>
          <w:szCs w:val="24"/>
          <w:lang w:val="en-US"/>
        </w:rPr>
        <w:t>teoriya</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praktika</w:t>
      </w:r>
      <w:r w:rsidR="006C680D" w:rsidRPr="00D337FA">
        <w:rPr>
          <w:i/>
          <w:szCs w:val="24"/>
          <w:lang w:val="en-US"/>
        </w:rPr>
        <w:t xml:space="preserve"> </w:t>
      </w:r>
      <w:r w:rsidR="00ED5489" w:rsidRPr="00D337FA">
        <w:rPr>
          <w:i/>
          <w:szCs w:val="24"/>
          <w:lang w:val="en-US"/>
        </w:rPr>
        <w:t>[</w:t>
      </w:r>
      <w:r w:rsidRPr="00D337FA">
        <w:rPr>
          <w:i/>
          <w:szCs w:val="24"/>
          <w:lang w:val="en-US"/>
        </w:rPr>
        <w:t>Developing</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Strategy</w:t>
      </w:r>
      <w:r w:rsidR="006C680D" w:rsidRPr="00D337FA">
        <w:rPr>
          <w:i/>
          <w:szCs w:val="24"/>
          <w:lang w:val="en-US"/>
        </w:rPr>
        <w:t xml:space="preserve"> </w:t>
      </w:r>
      <w:r w:rsidRPr="00D337FA">
        <w:rPr>
          <w:i/>
          <w:szCs w:val="24"/>
          <w:lang w:val="en-US"/>
        </w:rPr>
        <w:t>for</w:t>
      </w:r>
      <w:r w:rsidR="006C680D" w:rsidRPr="00D337FA">
        <w:rPr>
          <w:i/>
          <w:szCs w:val="24"/>
          <w:lang w:val="en-US"/>
        </w:rPr>
        <w:t xml:space="preserve"> </w:t>
      </w:r>
      <w:r w:rsidRPr="00D337FA">
        <w:rPr>
          <w:i/>
          <w:szCs w:val="24"/>
          <w:lang w:val="en-US"/>
        </w:rPr>
        <w:t>Small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Medium-Sized</w:t>
      </w:r>
      <w:r w:rsidR="006C680D" w:rsidRPr="00D337FA">
        <w:rPr>
          <w:i/>
          <w:szCs w:val="24"/>
          <w:lang w:val="en-US"/>
        </w:rPr>
        <w:t xml:space="preserve"> </w:t>
      </w:r>
      <w:r w:rsidRPr="00D337FA">
        <w:rPr>
          <w:i/>
          <w:szCs w:val="24"/>
          <w:lang w:val="en-US"/>
        </w:rPr>
        <w:t>Businesses:</w:t>
      </w:r>
      <w:r w:rsidR="006C680D" w:rsidRPr="00D337FA">
        <w:rPr>
          <w:i/>
          <w:szCs w:val="24"/>
          <w:lang w:val="en-US"/>
        </w:rPr>
        <w:t xml:space="preserve"> </w:t>
      </w:r>
      <w:r w:rsidRPr="00D337FA">
        <w:rPr>
          <w:i/>
          <w:szCs w:val="24"/>
          <w:lang w:val="en-US"/>
        </w:rPr>
        <w:t>Theory</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Practice</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Menedzhment</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Rossii</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za</w:t>
      </w:r>
      <w:r w:rsidR="006C680D" w:rsidRPr="00D337FA">
        <w:rPr>
          <w:i/>
          <w:szCs w:val="24"/>
          <w:lang w:val="en-US"/>
        </w:rPr>
        <w:t xml:space="preserve"> </w:t>
      </w:r>
      <w:r w:rsidR="00ED5489" w:rsidRPr="00D337FA">
        <w:rPr>
          <w:i/>
          <w:szCs w:val="24"/>
          <w:lang w:val="en-US"/>
        </w:rPr>
        <w:t>rubezhom</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Russia</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Abroad.</w:t>
      </w:r>
      <w:r w:rsidR="006C680D" w:rsidRPr="00D337FA">
        <w:rPr>
          <w:i/>
          <w:szCs w:val="24"/>
          <w:lang w:val="en-US"/>
        </w:rPr>
        <w:t xml:space="preserve"> </w:t>
      </w:r>
      <w:r w:rsidRPr="00D337FA">
        <w:rPr>
          <w:i/>
          <w:szCs w:val="24"/>
          <w:lang w:val="en-US"/>
        </w:rPr>
        <w:t>2022.</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6.</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3-10.</w:t>
      </w:r>
    </w:p>
    <w:p w:rsidR="005411F4" w:rsidRPr="00D337FA" w:rsidRDefault="005411F4" w:rsidP="005411F4">
      <w:pPr>
        <w:ind w:firstLine="284"/>
        <w:rPr>
          <w:i/>
          <w:szCs w:val="24"/>
          <w:lang w:val="en-US"/>
        </w:rPr>
      </w:pPr>
      <w:r w:rsidRPr="00D337FA">
        <w:rPr>
          <w:i/>
          <w:szCs w:val="24"/>
          <w:lang w:val="en-US"/>
        </w:rPr>
        <w:t>18.</w:t>
      </w:r>
      <w:r w:rsidR="006C680D" w:rsidRPr="00D337FA">
        <w:rPr>
          <w:i/>
          <w:szCs w:val="24"/>
          <w:lang w:val="en-US"/>
        </w:rPr>
        <w:t xml:space="preserve"> </w:t>
      </w:r>
      <w:r w:rsidRPr="00D337FA">
        <w:rPr>
          <w:i/>
          <w:szCs w:val="24"/>
          <w:lang w:val="en-US"/>
        </w:rPr>
        <w:t>Thompson</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Strickland</w:t>
      </w:r>
      <w:r w:rsidR="006C680D" w:rsidRPr="00D337FA">
        <w:rPr>
          <w:i/>
          <w:szCs w:val="24"/>
          <w:lang w:val="en-US"/>
        </w:rPr>
        <w:t xml:space="preserve"> </w:t>
      </w:r>
      <w:r w:rsidRPr="00D337FA">
        <w:rPr>
          <w:i/>
          <w:szCs w:val="24"/>
          <w:lang w:val="en-US"/>
        </w:rPr>
        <w:t>A.J.</w:t>
      </w:r>
      <w:r w:rsidR="006C680D" w:rsidRPr="00D337FA">
        <w:rPr>
          <w:i/>
          <w:szCs w:val="24"/>
          <w:lang w:val="en-US"/>
        </w:rPr>
        <w:t xml:space="preserve"> </w:t>
      </w:r>
      <w:r w:rsidR="00ED5489" w:rsidRPr="00D337FA">
        <w:rPr>
          <w:i/>
          <w:szCs w:val="24"/>
          <w:lang w:val="en-US"/>
        </w:rPr>
        <w:t>Strategicheskij</w:t>
      </w:r>
      <w:r w:rsidR="006C680D" w:rsidRPr="00D337FA">
        <w:rPr>
          <w:i/>
          <w:szCs w:val="24"/>
          <w:lang w:val="en-US"/>
        </w:rPr>
        <w:t xml:space="preserve"> </w:t>
      </w:r>
      <w:r w:rsidR="00ED5489" w:rsidRPr="00D337FA">
        <w:rPr>
          <w:i/>
          <w:szCs w:val="24"/>
          <w:lang w:val="en-US"/>
        </w:rPr>
        <w:t>menedzhment</w:t>
      </w:r>
      <w:r w:rsidR="006C680D" w:rsidRPr="00D337FA">
        <w:rPr>
          <w:i/>
          <w:szCs w:val="24"/>
          <w:lang w:val="en-US"/>
        </w:rPr>
        <w:t xml:space="preserve"> </w:t>
      </w:r>
      <w:r w:rsidR="00ED5489" w:rsidRPr="00D337FA">
        <w:rPr>
          <w:i/>
          <w:szCs w:val="24"/>
          <w:lang w:val="en-US"/>
        </w:rPr>
        <w:t>[</w:t>
      </w:r>
      <w:r w:rsidRPr="00D337FA">
        <w:rPr>
          <w:i/>
          <w:szCs w:val="24"/>
          <w:lang w:val="en-US"/>
        </w:rPr>
        <w:t>Strategic</w:t>
      </w:r>
      <w:r w:rsidR="006C680D" w:rsidRPr="00D337FA">
        <w:rPr>
          <w:i/>
          <w:szCs w:val="24"/>
          <w:lang w:val="en-US"/>
        </w:rPr>
        <w:t xml:space="preserve"> </w:t>
      </w:r>
      <w:r w:rsidRPr="00D337FA">
        <w:rPr>
          <w:i/>
          <w:szCs w:val="24"/>
          <w:lang w:val="en-US"/>
        </w:rPr>
        <w:t>Management</w:t>
      </w:r>
      <w:r w:rsidR="00ED5489" w:rsidRPr="00D337FA">
        <w:rPr>
          <w:i/>
          <w:szCs w:val="24"/>
          <w:lang w:val="en-US"/>
        </w:rPr>
        <w:t>]</w:t>
      </w:r>
      <w:r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Moscow:</w:t>
      </w:r>
      <w:r w:rsidR="006C680D" w:rsidRPr="00D337FA">
        <w:rPr>
          <w:i/>
          <w:szCs w:val="24"/>
          <w:lang w:val="en-US"/>
        </w:rPr>
        <w:t xml:space="preserve"> </w:t>
      </w:r>
      <w:r w:rsidRPr="00D337FA">
        <w:rPr>
          <w:i/>
          <w:szCs w:val="24"/>
          <w:lang w:val="en-US"/>
        </w:rPr>
        <w:t>Williams,</w:t>
      </w:r>
      <w:r w:rsidR="006C680D" w:rsidRPr="00D337FA">
        <w:rPr>
          <w:i/>
          <w:szCs w:val="24"/>
          <w:lang w:val="en-US"/>
        </w:rPr>
        <w:t xml:space="preserve"> </w:t>
      </w:r>
      <w:r w:rsidRPr="00D337FA">
        <w:rPr>
          <w:i/>
          <w:szCs w:val="24"/>
          <w:lang w:val="en-US"/>
        </w:rPr>
        <w:t>2006.</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928</w:t>
      </w:r>
      <w:r w:rsidR="006C680D" w:rsidRPr="00D337FA">
        <w:rPr>
          <w:i/>
          <w:szCs w:val="24"/>
          <w:lang w:val="en-US"/>
        </w:rPr>
        <w:t xml:space="preserve"> </w:t>
      </w:r>
      <w:r w:rsidRPr="00D337FA">
        <w:rPr>
          <w:i/>
          <w:szCs w:val="24"/>
          <w:lang w:val="en-US"/>
        </w:rPr>
        <w:t>p.</w:t>
      </w:r>
    </w:p>
    <w:p w:rsidR="005411F4" w:rsidRPr="00D337FA" w:rsidRDefault="005411F4" w:rsidP="005411F4">
      <w:pPr>
        <w:ind w:firstLine="284"/>
        <w:rPr>
          <w:i/>
          <w:szCs w:val="24"/>
          <w:lang w:val="en-US"/>
        </w:rPr>
      </w:pPr>
      <w:r w:rsidRPr="00D337FA">
        <w:rPr>
          <w:i/>
          <w:szCs w:val="24"/>
          <w:lang w:val="en-US"/>
        </w:rPr>
        <w:t>19.</w:t>
      </w:r>
      <w:r w:rsidR="006C680D" w:rsidRPr="00D337FA">
        <w:rPr>
          <w:i/>
          <w:szCs w:val="24"/>
          <w:lang w:val="en-US"/>
        </w:rPr>
        <w:t xml:space="preserve"> </w:t>
      </w:r>
      <w:r w:rsidRPr="00D337FA">
        <w:rPr>
          <w:i/>
          <w:szCs w:val="24"/>
          <w:lang w:val="en-US"/>
        </w:rPr>
        <w:t>Elgaitarova</w:t>
      </w:r>
      <w:r w:rsidR="006C680D" w:rsidRPr="00D337FA">
        <w:rPr>
          <w:i/>
          <w:szCs w:val="24"/>
          <w:lang w:val="en-US"/>
        </w:rPr>
        <w:t xml:space="preserve"> </w:t>
      </w:r>
      <w:r w:rsidRPr="00D337FA">
        <w:rPr>
          <w:i/>
          <w:szCs w:val="24"/>
          <w:lang w:val="en-US"/>
        </w:rPr>
        <w:t>N.T.,</w:t>
      </w:r>
      <w:r w:rsidR="006C680D" w:rsidRPr="00D337FA">
        <w:rPr>
          <w:i/>
          <w:szCs w:val="24"/>
          <w:lang w:val="en-US"/>
        </w:rPr>
        <w:t xml:space="preserve"> </w:t>
      </w:r>
      <w:r w:rsidRPr="00D337FA">
        <w:rPr>
          <w:i/>
          <w:szCs w:val="24"/>
          <w:lang w:val="en-US"/>
        </w:rPr>
        <w:t>Salpagarova</w:t>
      </w:r>
      <w:r w:rsidR="006C680D" w:rsidRPr="00D337FA">
        <w:rPr>
          <w:i/>
          <w:szCs w:val="24"/>
          <w:lang w:val="en-US"/>
        </w:rPr>
        <w:t xml:space="preserve"> </w:t>
      </w:r>
      <w:r w:rsidRPr="00D337FA">
        <w:rPr>
          <w:i/>
          <w:szCs w:val="24"/>
          <w:lang w:val="en-US"/>
        </w:rPr>
        <w:t>M.Sh.</w:t>
      </w:r>
      <w:r w:rsidR="006C680D" w:rsidRPr="00D337FA">
        <w:rPr>
          <w:i/>
          <w:szCs w:val="24"/>
          <w:lang w:val="en-US"/>
        </w:rPr>
        <w:t xml:space="preserve"> </w:t>
      </w:r>
      <w:r w:rsidR="00ED5489" w:rsidRPr="00D337FA">
        <w:rPr>
          <w:i/>
          <w:szCs w:val="24"/>
          <w:lang w:val="en-US"/>
        </w:rPr>
        <w:t>Rol'</w:t>
      </w:r>
      <w:r w:rsidR="006C680D" w:rsidRPr="00D337FA">
        <w:rPr>
          <w:i/>
          <w:szCs w:val="24"/>
          <w:lang w:val="en-US"/>
        </w:rPr>
        <w:t xml:space="preserve"> </w:t>
      </w:r>
      <w:r w:rsidR="00ED5489" w:rsidRPr="00D337FA">
        <w:rPr>
          <w:i/>
          <w:szCs w:val="24"/>
          <w:lang w:val="en-US"/>
        </w:rPr>
        <w:t>strahovaniya</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nacional'noj</w:t>
      </w:r>
      <w:r w:rsidR="006C680D" w:rsidRPr="00D337FA">
        <w:rPr>
          <w:i/>
          <w:szCs w:val="24"/>
          <w:lang w:val="en-US"/>
        </w:rPr>
        <w:t xml:space="preserve"> </w:t>
      </w:r>
      <w:r w:rsidR="00ED5489" w:rsidRPr="00D337FA">
        <w:rPr>
          <w:i/>
          <w:szCs w:val="24"/>
          <w:lang w:val="en-US"/>
        </w:rPr>
        <w:t>ekonomike</w:t>
      </w:r>
      <w:r w:rsidR="006C680D" w:rsidRPr="00D337FA">
        <w:rPr>
          <w:i/>
          <w:szCs w:val="24"/>
          <w:lang w:val="en-US"/>
        </w:rPr>
        <w:t xml:space="preserve"> </w:t>
      </w:r>
      <w:r w:rsidR="00ED5489" w:rsidRPr="00D337FA">
        <w:rPr>
          <w:i/>
          <w:szCs w:val="24"/>
          <w:lang w:val="en-US"/>
        </w:rPr>
        <w:t>[</w:t>
      </w:r>
      <w:r w:rsidRPr="00D337FA">
        <w:rPr>
          <w:i/>
          <w:szCs w:val="24"/>
          <w:lang w:val="en-US"/>
        </w:rPr>
        <w:t>The</w:t>
      </w:r>
      <w:r w:rsidR="006C680D" w:rsidRPr="00D337FA">
        <w:rPr>
          <w:i/>
          <w:szCs w:val="24"/>
          <w:lang w:val="en-US"/>
        </w:rPr>
        <w:t xml:space="preserve"> </w:t>
      </w:r>
      <w:r w:rsidRPr="00D337FA">
        <w:rPr>
          <w:i/>
          <w:szCs w:val="24"/>
          <w:lang w:val="en-US"/>
        </w:rPr>
        <w:t>Role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National</w:t>
      </w:r>
      <w:r w:rsidR="006C680D" w:rsidRPr="00D337FA">
        <w:rPr>
          <w:i/>
          <w:szCs w:val="24"/>
          <w:lang w:val="en-US"/>
        </w:rPr>
        <w:t xml:space="preserve"> </w:t>
      </w:r>
      <w:r w:rsidRPr="00D337FA">
        <w:rPr>
          <w:i/>
          <w:szCs w:val="24"/>
          <w:lang w:val="en-US"/>
        </w:rPr>
        <w:t>Economy</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Nauchnye</w:t>
      </w:r>
      <w:r w:rsidR="006C680D" w:rsidRPr="00D337FA">
        <w:rPr>
          <w:i/>
          <w:szCs w:val="24"/>
          <w:lang w:val="en-US"/>
        </w:rPr>
        <w:t xml:space="preserve"> </w:t>
      </w:r>
      <w:r w:rsidR="00ED5489" w:rsidRPr="00D337FA">
        <w:rPr>
          <w:i/>
          <w:szCs w:val="24"/>
          <w:lang w:val="en-US"/>
        </w:rPr>
        <w:t>izvestiya</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Scientific</w:t>
      </w:r>
      <w:r w:rsidR="006C680D" w:rsidRPr="00D337FA">
        <w:rPr>
          <w:i/>
          <w:szCs w:val="24"/>
          <w:lang w:val="en-US"/>
        </w:rPr>
        <w:t xml:space="preserve"> </w:t>
      </w:r>
      <w:r w:rsidRPr="00D337FA">
        <w:rPr>
          <w:i/>
          <w:szCs w:val="24"/>
          <w:lang w:val="en-US"/>
        </w:rPr>
        <w:t>News.</w:t>
      </w:r>
      <w:r w:rsidR="006C680D" w:rsidRPr="00D337FA">
        <w:rPr>
          <w:i/>
          <w:szCs w:val="24"/>
          <w:lang w:val="en-US"/>
        </w:rPr>
        <w:t xml:space="preserve"> </w:t>
      </w:r>
      <w:r w:rsidRPr="00D337FA">
        <w:rPr>
          <w:i/>
          <w:szCs w:val="24"/>
          <w:lang w:val="en-US"/>
        </w:rPr>
        <w:t>2020.</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21.</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46-50.</w:t>
      </w:r>
    </w:p>
    <w:p w:rsidR="005411F4" w:rsidRPr="00D337FA" w:rsidRDefault="005411F4" w:rsidP="005411F4">
      <w:pPr>
        <w:ind w:firstLine="284"/>
        <w:rPr>
          <w:i/>
          <w:szCs w:val="24"/>
          <w:lang w:val="en-US"/>
        </w:rPr>
      </w:pPr>
      <w:r w:rsidRPr="00D337FA">
        <w:rPr>
          <w:i/>
          <w:szCs w:val="24"/>
          <w:lang w:val="en-US"/>
        </w:rPr>
        <w:t>20.</w:t>
      </w:r>
      <w:r w:rsidR="006C680D" w:rsidRPr="00D337FA">
        <w:rPr>
          <w:i/>
          <w:szCs w:val="24"/>
          <w:lang w:val="en-US"/>
        </w:rPr>
        <w:t xml:space="preserve"> </w:t>
      </w:r>
      <w:r w:rsidRPr="00D337FA">
        <w:rPr>
          <w:i/>
          <w:szCs w:val="24"/>
          <w:lang w:val="en-US"/>
        </w:rPr>
        <w:t>Glamazda</w:t>
      </w:r>
      <w:r w:rsidR="006C680D" w:rsidRPr="00D337FA">
        <w:rPr>
          <w:i/>
          <w:szCs w:val="24"/>
          <w:lang w:val="en-US"/>
        </w:rPr>
        <w:t xml:space="preserve"> </w:t>
      </w:r>
      <w:r w:rsidRPr="00D337FA">
        <w:rPr>
          <w:i/>
          <w:szCs w:val="24"/>
          <w:lang w:val="en-US"/>
        </w:rPr>
        <w:t>A.V.</w:t>
      </w:r>
      <w:r w:rsidR="006C680D" w:rsidRPr="00D337FA">
        <w:rPr>
          <w:i/>
          <w:szCs w:val="24"/>
          <w:lang w:val="en-US"/>
        </w:rPr>
        <w:t xml:space="preserve"> </w:t>
      </w:r>
      <w:r w:rsidR="00ED5489" w:rsidRPr="00D337FA">
        <w:rPr>
          <w:i/>
          <w:szCs w:val="24"/>
          <w:lang w:val="en-US"/>
        </w:rPr>
        <w:t>Social'no-psihologicheskie</w:t>
      </w:r>
      <w:r w:rsidR="006C680D" w:rsidRPr="00D337FA">
        <w:rPr>
          <w:i/>
          <w:szCs w:val="24"/>
          <w:lang w:val="en-US"/>
        </w:rPr>
        <w:t xml:space="preserve"> </w:t>
      </w:r>
      <w:r w:rsidR="00ED5489" w:rsidRPr="00D337FA">
        <w:rPr>
          <w:i/>
          <w:szCs w:val="24"/>
          <w:lang w:val="en-US"/>
        </w:rPr>
        <w:t>instrumenty</w:t>
      </w:r>
      <w:r w:rsidR="006C680D" w:rsidRPr="00D337FA">
        <w:rPr>
          <w:i/>
          <w:szCs w:val="24"/>
          <w:lang w:val="en-US"/>
        </w:rPr>
        <w:t xml:space="preserve"> </w:t>
      </w:r>
      <w:r w:rsidR="00ED5489" w:rsidRPr="00D337FA">
        <w:rPr>
          <w:i/>
          <w:szCs w:val="24"/>
          <w:lang w:val="en-US"/>
        </w:rPr>
        <w:t>upravleniya:</w:t>
      </w:r>
      <w:r w:rsidR="006C680D" w:rsidRPr="00D337FA">
        <w:rPr>
          <w:i/>
          <w:szCs w:val="24"/>
          <w:lang w:val="en-US"/>
        </w:rPr>
        <w:t xml:space="preserve"> </w:t>
      </w:r>
      <w:r w:rsidR="00ED5489" w:rsidRPr="00D337FA">
        <w:rPr>
          <w:i/>
          <w:szCs w:val="24"/>
          <w:lang w:val="en-US"/>
        </w:rPr>
        <w:t>sushchnost'</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so-derzhanie</w:t>
      </w:r>
      <w:r w:rsidR="006C680D" w:rsidRPr="00D337FA">
        <w:rPr>
          <w:i/>
          <w:szCs w:val="24"/>
          <w:lang w:val="en-US"/>
        </w:rPr>
        <w:t xml:space="preserve"> </w:t>
      </w:r>
      <w:r w:rsidR="00ED5489" w:rsidRPr="00D337FA">
        <w:rPr>
          <w:i/>
          <w:szCs w:val="24"/>
          <w:lang w:val="en-US"/>
        </w:rPr>
        <w:t>[</w:t>
      </w:r>
      <w:r w:rsidRPr="00D337FA">
        <w:rPr>
          <w:i/>
          <w:szCs w:val="24"/>
          <w:lang w:val="en-US"/>
        </w:rPr>
        <w:t>Social</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psychological</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tools:</w:t>
      </w:r>
      <w:r w:rsidR="006C680D" w:rsidRPr="00D337FA">
        <w:rPr>
          <w:i/>
          <w:szCs w:val="24"/>
          <w:lang w:val="en-US"/>
        </w:rPr>
        <w:t xml:space="preserve"> </w:t>
      </w:r>
      <w:r w:rsidRPr="00D337FA">
        <w:rPr>
          <w:i/>
          <w:szCs w:val="24"/>
          <w:lang w:val="en-US"/>
        </w:rPr>
        <w:t>essence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content</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Menedzhment</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Rossii</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za</w:t>
      </w:r>
      <w:r w:rsidR="006C680D" w:rsidRPr="00D337FA">
        <w:rPr>
          <w:i/>
          <w:szCs w:val="24"/>
          <w:lang w:val="en-US"/>
        </w:rPr>
        <w:t xml:space="preserve"> </w:t>
      </w:r>
      <w:r w:rsidR="00ED5489" w:rsidRPr="00D337FA">
        <w:rPr>
          <w:i/>
          <w:szCs w:val="24"/>
          <w:lang w:val="en-US"/>
        </w:rPr>
        <w:t>rubezhom</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Management</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Russia</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abroad.</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6.</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71-78.</w:t>
      </w:r>
    </w:p>
    <w:p w:rsidR="005411F4" w:rsidRPr="00D337FA" w:rsidRDefault="005411F4" w:rsidP="005411F4">
      <w:pPr>
        <w:ind w:firstLine="284"/>
        <w:rPr>
          <w:i/>
          <w:szCs w:val="24"/>
          <w:lang w:val="en-US"/>
        </w:rPr>
      </w:pPr>
      <w:r w:rsidRPr="00D337FA">
        <w:rPr>
          <w:i/>
          <w:szCs w:val="24"/>
          <w:lang w:val="en-US"/>
        </w:rPr>
        <w:t>21.</w:t>
      </w:r>
      <w:r w:rsidR="006C680D" w:rsidRPr="00D337FA">
        <w:rPr>
          <w:i/>
          <w:szCs w:val="24"/>
          <w:lang w:val="en-US"/>
        </w:rPr>
        <w:t xml:space="preserve"> </w:t>
      </w:r>
      <w:r w:rsidRPr="00D337FA">
        <w:rPr>
          <w:i/>
          <w:szCs w:val="24"/>
          <w:lang w:val="en-US"/>
        </w:rPr>
        <w:t>Sadenova</w:t>
      </w:r>
      <w:r w:rsidR="006C680D" w:rsidRPr="00D337FA">
        <w:rPr>
          <w:i/>
          <w:szCs w:val="24"/>
          <w:lang w:val="en-US"/>
        </w:rPr>
        <w:t xml:space="preserve"> </w:t>
      </w:r>
      <w:r w:rsidRPr="00D337FA">
        <w:rPr>
          <w:i/>
          <w:szCs w:val="24"/>
          <w:lang w:val="en-US"/>
        </w:rPr>
        <w:t>A.M.,</w:t>
      </w:r>
      <w:r w:rsidR="006C680D" w:rsidRPr="00D337FA">
        <w:rPr>
          <w:i/>
          <w:szCs w:val="24"/>
          <w:lang w:val="en-US"/>
        </w:rPr>
        <w:t xml:space="preserve"> </w:t>
      </w:r>
      <w:r w:rsidRPr="00D337FA">
        <w:rPr>
          <w:i/>
          <w:szCs w:val="24"/>
          <w:lang w:val="en-US"/>
        </w:rPr>
        <w:t>Rakhimova</w:t>
      </w:r>
      <w:r w:rsidR="006C680D" w:rsidRPr="00D337FA">
        <w:rPr>
          <w:i/>
          <w:szCs w:val="24"/>
          <w:lang w:val="en-US"/>
        </w:rPr>
        <w:t xml:space="preserve"> </w:t>
      </w:r>
      <w:r w:rsidRPr="00D337FA">
        <w:rPr>
          <w:i/>
          <w:szCs w:val="24"/>
          <w:lang w:val="en-US"/>
        </w:rPr>
        <w:t>S.A.,</w:t>
      </w:r>
      <w:r w:rsidR="006C680D" w:rsidRPr="00D337FA">
        <w:rPr>
          <w:i/>
          <w:szCs w:val="24"/>
          <w:lang w:val="en-US"/>
        </w:rPr>
        <w:t xml:space="preserve"> </w:t>
      </w:r>
      <w:r w:rsidRPr="00D337FA">
        <w:rPr>
          <w:i/>
          <w:szCs w:val="24"/>
          <w:lang w:val="en-US"/>
        </w:rPr>
        <w:t>Kunanbaeva</w:t>
      </w:r>
      <w:r w:rsidR="006C680D" w:rsidRPr="00D337FA">
        <w:rPr>
          <w:i/>
          <w:szCs w:val="24"/>
          <w:lang w:val="en-US"/>
        </w:rPr>
        <w:t xml:space="preserve"> </w:t>
      </w:r>
      <w:r w:rsidRPr="00D337FA">
        <w:rPr>
          <w:i/>
          <w:szCs w:val="24"/>
          <w:lang w:val="en-US"/>
        </w:rPr>
        <w:t>K.B.,</w:t>
      </w:r>
      <w:r w:rsidR="006C680D" w:rsidRPr="00D337FA">
        <w:rPr>
          <w:i/>
          <w:szCs w:val="24"/>
          <w:lang w:val="en-US"/>
        </w:rPr>
        <w:t xml:space="preserve"> </w:t>
      </w:r>
      <w:r w:rsidRPr="00D337FA">
        <w:rPr>
          <w:i/>
          <w:szCs w:val="24"/>
          <w:lang w:val="en-US"/>
        </w:rPr>
        <w:t>Titkov</w:t>
      </w:r>
      <w:r w:rsidR="006C680D" w:rsidRPr="00D337FA">
        <w:rPr>
          <w:i/>
          <w:szCs w:val="24"/>
          <w:lang w:val="en-US"/>
        </w:rPr>
        <w:t xml:space="preserve"> </w:t>
      </w:r>
      <w:r w:rsidRPr="00D337FA">
        <w:rPr>
          <w:i/>
          <w:szCs w:val="24"/>
          <w:lang w:val="en-US"/>
        </w:rPr>
        <w:t>A.A.</w:t>
      </w:r>
      <w:r w:rsidR="006C680D" w:rsidRPr="00D337FA">
        <w:rPr>
          <w:i/>
          <w:szCs w:val="24"/>
          <w:lang w:val="en-US"/>
        </w:rPr>
        <w:t xml:space="preserve"> </w:t>
      </w:r>
      <w:r w:rsidR="00ED5489" w:rsidRPr="00D337FA">
        <w:rPr>
          <w:i/>
          <w:szCs w:val="24"/>
          <w:lang w:val="en-US"/>
        </w:rPr>
        <w:t>Cifrovizaciya</w:t>
      </w:r>
      <w:r w:rsidR="006C680D" w:rsidRPr="00D337FA">
        <w:rPr>
          <w:i/>
          <w:szCs w:val="24"/>
          <w:lang w:val="en-US"/>
        </w:rPr>
        <w:t xml:space="preserve"> </w:t>
      </w:r>
      <w:r w:rsidR="00ED5489" w:rsidRPr="00D337FA">
        <w:rPr>
          <w:i/>
          <w:szCs w:val="24"/>
          <w:lang w:val="en-US"/>
        </w:rPr>
        <w:t>pred-prinimatel'skih</w:t>
      </w:r>
      <w:r w:rsidR="006C680D" w:rsidRPr="00D337FA">
        <w:rPr>
          <w:i/>
          <w:szCs w:val="24"/>
          <w:lang w:val="en-US"/>
        </w:rPr>
        <w:t xml:space="preserve"> </w:t>
      </w:r>
      <w:r w:rsidR="00ED5489" w:rsidRPr="00D337FA">
        <w:rPr>
          <w:i/>
          <w:szCs w:val="24"/>
          <w:lang w:val="en-US"/>
        </w:rPr>
        <w:t>struktur</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ocenka</w:t>
      </w:r>
      <w:r w:rsidR="006C680D" w:rsidRPr="00D337FA">
        <w:rPr>
          <w:i/>
          <w:szCs w:val="24"/>
          <w:lang w:val="en-US"/>
        </w:rPr>
        <w:t xml:space="preserve"> </w:t>
      </w:r>
      <w:r w:rsidR="00ED5489" w:rsidRPr="00D337FA">
        <w:rPr>
          <w:i/>
          <w:szCs w:val="24"/>
          <w:lang w:val="en-US"/>
        </w:rPr>
        <w:t>ekonomicheskogo</w:t>
      </w:r>
      <w:r w:rsidR="006C680D" w:rsidRPr="00D337FA">
        <w:rPr>
          <w:i/>
          <w:szCs w:val="24"/>
          <w:lang w:val="en-US"/>
        </w:rPr>
        <w:t xml:space="preserve"> </w:t>
      </w:r>
      <w:r w:rsidR="00ED5489" w:rsidRPr="00D337FA">
        <w:rPr>
          <w:i/>
          <w:szCs w:val="24"/>
          <w:lang w:val="en-US"/>
        </w:rPr>
        <w:t>effekta</w:t>
      </w:r>
      <w:r w:rsidR="006C680D" w:rsidRPr="00D337FA">
        <w:rPr>
          <w:i/>
          <w:szCs w:val="24"/>
          <w:lang w:val="en-US"/>
        </w:rPr>
        <w:t xml:space="preserve"> </w:t>
      </w:r>
      <w:r w:rsidR="00ED5489" w:rsidRPr="00D337FA">
        <w:rPr>
          <w:i/>
          <w:szCs w:val="24"/>
          <w:lang w:val="en-US"/>
        </w:rPr>
        <w:t>ot</w:t>
      </w:r>
      <w:r w:rsidR="006C680D" w:rsidRPr="00D337FA">
        <w:rPr>
          <w:i/>
          <w:szCs w:val="24"/>
          <w:lang w:val="en-US"/>
        </w:rPr>
        <w:t xml:space="preserve"> </w:t>
      </w:r>
      <w:r w:rsidR="00ED5489" w:rsidRPr="00D337FA">
        <w:rPr>
          <w:i/>
          <w:szCs w:val="24"/>
          <w:lang w:val="en-US"/>
        </w:rPr>
        <w:t>primeneniya</w:t>
      </w:r>
      <w:r w:rsidR="006C680D" w:rsidRPr="00D337FA">
        <w:rPr>
          <w:i/>
          <w:szCs w:val="24"/>
          <w:lang w:val="en-US"/>
        </w:rPr>
        <w:t xml:space="preserve"> </w:t>
      </w:r>
      <w:r w:rsidR="00ED5489" w:rsidRPr="00D337FA">
        <w:rPr>
          <w:i/>
          <w:szCs w:val="24"/>
          <w:lang w:val="en-US"/>
        </w:rPr>
        <w:t>na</w:t>
      </w:r>
      <w:r w:rsidR="006C680D" w:rsidRPr="00D337FA">
        <w:rPr>
          <w:i/>
          <w:szCs w:val="24"/>
          <w:lang w:val="en-US"/>
        </w:rPr>
        <w:t xml:space="preserve"> </w:t>
      </w:r>
      <w:r w:rsidR="00ED5489" w:rsidRPr="00D337FA">
        <w:rPr>
          <w:i/>
          <w:szCs w:val="24"/>
          <w:lang w:val="en-US"/>
        </w:rPr>
        <w:t>praktike</w:t>
      </w:r>
      <w:r w:rsidR="006C680D" w:rsidRPr="00D337FA">
        <w:rPr>
          <w:i/>
          <w:szCs w:val="24"/>
          <w:lang w:val="en-US"/>
        </w:rPr>
        <w:t xml:space="preserve"> </w:t>
      </w:r>
      <w:r w:rsidR="00ED5489" w:rsidRPr="00D337FA">
        <w:rPr>
          <w:i/>
          <w:szCs w:val="24"/>
          <w:lang w:val="en-US"/>
        </w:rPr>
        <w:t>prioritetov</w:t>
      </w:r>
      <w:r w:rsidR="006C680D" w:rsidRPr="00D337FA">
        <w:rPr>
          <w:i/>
          <w:szCs w:val="24"/>
          <w:lang w:val="en-US"/>
        </w:rPr>
        <w:t xml:space="preserve"> </w:t>
      </w:r>
      <w:r w:rsidR="00ED5489" w:rsidRPr="00D337FA">
        <w:rPr>
          <w:i/>
          <w:szCs w:val="24"/>
          <w:lang w:val="en-US"/>
        </w:rPr>
        <w:t>razvitiya</w:t>
      </w:r>
      <w:r w:rsidR="006C680D" w:rsidRPr="00D337FA">
        <w:rPr>
          <w:i/>
          <w:szCs w:val="24"/>
          <w:lang w:val="en-US"/>
        </w:rPr>
        <w:t xml:space="preserve"> </w:t>
      </w:r>
      <w:r w:rsidR="00ED5489" w:rsidRPr="00D337FA">
        <w:rPr>
          <w:i/>
          <w:szCs w:val="24"/>
          <w:lang w:val="en-US"/>
        </w:rPr>
        <w:t>cifrovoj</w:t>
      </w:r>
      <w:r w:rsidR="006C680D" w:rsidRPr="00D337FA">
        <w:rPr>
          <w:i/>
          <w:szCs w:val="24"/>
          <w:lang w:val="en-US"/>
        </w:rPr>
        <w:t xml:space="preserve"> </w:t>
      </w:r>
      <w:r w:rsidR="00ED5489" w:rsidRPr="00D337FA">
        <w:rPr>
          <w:i/>
          <w:szCs w:val="24"/>
          <w:lang w:val="en-US"/>
        </w:rPr>
        <w:t>ekonomiki</w:t>
      </w:r>
      <w:r w:rsidR="006C680D" w:rsidRPr="00D337FA">
        <w:rPr>
          <w:i/>
          <w:szCs w:val="24"/>
          <w:lang w:val="en-US"/>
        </w:rPr>
        <w:t xml:space="preserve"> </w:t>
      </w:r>
      <w:r w:rsidR="00ED5489" w:rsidRPr="00D337FA">
        <w:rPr>
          <w:i/>
          <w:szCs w:val="24"/>
          <w:lang w:val="en-US"/>
        </w:rPr>
        <w:t>[</w:t>
      </w:r>
      <w:r w:rsidRPr="00D337FA">
        <w:rPr>
          <w:i/>
          <w:szCs w:val="24"/>
          <w:lang w:val="en-US"/>
        </w:rPr>
        <w:t>Digitalization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entrepreneurial</w:t>
      </w:r>
      <w:r w:rsidR="006C680D" w:rsidRPr="00D337FA">
        <w:rPr>
          <w:i/>
          <w:szCs w:val="24"/>
          <w:lang w:val="en-US"/>
        </w:rPr>
        <w:t xml:space="preserve"> </w:t>
      </w:r>
      <w:r w:rsidRPr="00D337FA">
        <w:rPr>
          <w:i/>
          <w:szCs w:val="24"/>
          <w:lang w:val="en-US"/>
        </w:rPr>
        <w:t>structures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assessment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lastRenderedPageBreak/>
        <w:t>economic</w:t>
      </w:r>
      <w:r w:rsidR="006C680D" w:rsidRPr="00D337FA">
        <w:rPr>
          <w:i/>
          <w:szCs w:val="24"/>
          <w:lang w:val="en-US"/>
        </w:rPr>
        <w:t xml:space="preserve"> </w:t>
      </w:r>
      <w:r w:rsidRPr="00D337FA">
        <w:rPr>
          <w:i/>
          <w:szCs w:val="24"/>
          <w:lang w:val="en-US"/>
        </w:rPr>
        <w:t>effect</w:t>
      </w:r>
      <w:r w:rsidR="006C680D" w:rsidRPr="00D337FA">
        <w:rPr>
          <w:i/>
          <w:szCs w:val="24"/>
          <w:lang w:val="en-US"/>
        </w:rPr>
        <w:t xml:space="preserve"> </w:t>
      </w:r>
      <w:r w:rsidRPr="00D337FA">
        <w:rPr>
          <w:i/>
          <w:szCs w:val="24"/>
          <w:lang w:val="en-US"/>
        </w:rPr>
        <w:t>from</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practical</w:t>
      </w:r>
      <w:r w:rsidR="006C680D" w:rsidRPr="00D337FA">
        <w:rPr>
          <w:i/>
          <w:szCs w:val="24"/>
          <w:lang w:val="en-US"/>
        </w:rPr>
        <w:t xml:space="preserve"> </w:t>
      </w:r>
      <w:r w:rsidRPr="00D337FA">
        <w:rPr>
          <w:i/>
          <w:szCs w:val="24"/>
          <w:lang w:val="en-US"/>
        </w:rPr>
        <w:t>application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digital</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priorities</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Ekonomicheskie</w:t>
      </w:r>
      <w:r w:rsidR="006C680D" w:rsidRPr="00D337FA">
        <w:rPr>
          <w:i/>
          <w:szCs w:val="24"/>
          <w:lang w:val="en-US"/>
        </w:rPr>
        <w:t xml:space="preserve"> </w:t>
      </w:r>
      <w:r w:rsidR="00ED5489" w:rsidRPr="00D337FA">
        <w:rPr>
          <w:i/>
          <w:szCs w:val="24"/>
          <w:lang w:val="en-US"/>
        </w:rPr>
        <w:t>sistemy</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Economic</w:t>
      </w:r>
      <w:r w:rsidR="006C680D" w:rsidRPr="00D337FA">
        <w:rPr>
          <w:i/>
          <w:szCs w:val="24"/>
          <w:lang w:val="en-US"/>
        </w:rPr>
        <w:t xml:space="preserve"> </w:t>
      </w:r>
      <w:r w:rsidRPr="00D337FA">
        <w:rPr>
          <w:i/>
          <w:szCs w:val="24"/>
          <w:lang w:val="en-US"/>
        </w:rPr>
        <w:t>systems.</w:t>
      </w:r>
      <w:r w:rsidR="006C680D" w:rsidRPr="00D337FA">
        <w:rPr>
          <w:i/>
          <w:szCs w:val="24"/>
          <w:lang w:val="en-US"/>
        </w:rPr>
        <w:t xml:space="preserve"> </w:t>
      </w:r>
      <w:r w:rsidRPr="00D337FA">
        <w:rPr>
          <w:i/>
          <w:szCs w:val="24"/>
          <w:lang w:val="en-US"/>
        </w:rPr>
        <w:t>2020.</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3.</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22-29.</w:t>
      </w:r>
    </w:p>
    <w:p w:rsidR="005411F4" w:rsidRPr="00D337FA" w:rsidRDefault="005411F4" w:rsidP="005411F4">
      <w:pPr>
        <w:ind w:firstLine="284"/>
        <w:rPr>
          <w:i/>
          <w:szCs w:val="24"/>
          <w:lang w:val="en-US"/>
        </w:rPr>
      </w:pPr>
      <w:r w:rsidRPr="00D337FA">
        <w:rPr>
          <w:i/>
          <w:szCs w:val="24"/>
          <w:lang w:val="en-US"/>
        </w:rPr>
        <w:t>22.</w:t>
      </w:r>
      <w:r w:rsidR="006C680D" w:rsidRPr="00D337FA">
        <w:rPr>
          <w:i/>
          <w:szCs w:val="24"/>
          <w:lang w:val="en-US"/>
        </w:rPr>
        <w:t xml:space="preserve"> </w:t>
      </w:r>
      <w:r w:rsidRPr="00D337FA">
        <w:rPr>
          <w:i/>
          <w:szCs w:val="24"/>
          <w:lang w:val="en-US"/>
        </w:rPr>
        <w:t>Kalenov</w:t>
      </w:r>
      <w:r w:rsidR="006C680D" w:rsidRPr="00D337FA">
        <w:rPr>
          <w:i/>
          <w:szCs w:val="24"/>
          <w:lang w:val="en-US"/>
        </w:rPr>
        <w:t xml:space="preserve"> </w:t>
      </w:r>
      <w:r w:rsidRPr="00D337FA">
        <w:rPr>
          <w:i/>
          <w:szCs w:val="24"/>
          <w:lang w:val="en-US"/>
        </w:rPr>
        <w:t>O.E.</w:t>
      </w:r>
      <w:r w:rsidR="006C680D" w:rsidRPr="00D337FA">
        <w:rPr>
          <w:i/>
          <w:szCs w:val="24"/>
          <w:lang w:val="en-US"/>
        </w:rPr>
        <w:t xml:space="preserve"> </w:t>
      </w:r>
      <w:r w:rsidR="00ED5489" w:rsidRPr="00D337FA">
        <w:rPr>
          <w:i/>
          <w:szCs w:val="24"/>
          <w:lang w:val="en-US"/>
        </w:rPr>
        <w:t>Ocenka</w:t>
      </w:r>
      <w:r w:rsidR="006C680D" w:rsidRPr="00D337FA">
        <w:rPr>
          <w:i/>
          <w:szCs w:val="24"/>
          <w:lang w:val="en-US"/>
        </w:rPr>
        <w:t xml:space="preserve"> </w:t>
      </w:r>
      <w:r w:rsidR="00ED5489" w:rsidRPr="00D337FA">
        <w:rPr>
          <w:i/>
          <w:szCs w:val="24"/>
          <w:lang w:val="en-US"/>
        </w:rPr>
        <w:t>effektivnosti</w:t>
      </w:r>
      <w:r w:rsidR="006C680D" w:rsidRPr="00D337FA">
        <w:rPr>
          <w:i/>
          <w:szCs w:val="24"/>
          <w:lang w:val="en-US"/>
        </w:rPr>
        <w:t xml:space="preserve"> </w:t>
      </w:r>
      <w:r w:rsidR="00ED5489" w:rsidRPr="00D337FA">
        <w:rPr>
          <w:i/>
          <w:szCs w:val="24"/>
          <w:lang w:val="en-US"/>
        </w:rPr>
        <w:t>deyatel'nosti</w:t>
      </w:r>
      <w:r w:rsidR="006C680D" w:rsidRPr="00D337FA">
        <w:rPr>
          <w:i/>
          <w:szCs w:val="24"/>
          <w:lang w:val="en-US"/>
        </w:rPr>
        <w:t xml:space="preserve"> </w:t>
      </w:r>
      <w:r w:rsidR="00ED5489" w:rsidRPr="00D337FA">
        <w:rPr>
          <w:i/>
          <w:szCs w:val="24"/>
          <w:lang w:val="en-US"/>
        </w:rPr>
        <w:t>biznes-ekosistem</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cifrovoj</w:t>
      </w:r>
      <w:r w:rsidR="006C680D" w:rsidRPr="00D337FA">
        <w:rPr>
          <w:i/>
          <w:szCs w:val="24"/>
          <w:lang w:val="en-US"/>
        </w:rPr>
        <w:t xml:space="preserve"> </w:t>
      </w:r>
      <w:r w:rsidR="00ED5489" w:rsidRPr="00D337FA">
        <w:rPr>
          <w:i/>
          <w:szCs w:val="24"/>
          <w:lang w:val="en-US"/>
        </w:rPr>
        <w:t>ekonomike</w:t>
      </w:r>
      <w:r w:rsidR="006C680D" w:rsidRPr="00D337FA">
        <w:rPr>
          <w:i/>
          <w:szCs w:val="24"/>
          <w:lang w:val="en-US"/>
        </w:rPr>
        <w:t xml:space="preserve"> </w:t>
      </w:r>
      <w:r w:rsidR="00ED5489" w:rsidRPr="00D337FA">
        <w:rPr>
          <w:i/>
          <w:szCs w:val="24"/>
          <w:lang w:val="en-US"/>
        </w:rPr>
        <w:t>[</w:t>
      </w:r>
      <w:r w:rsidRPr="00D337FA">
        <w:rPr>
          <w:i/>
          <w:szCs w:val="24"/>
          <w:lang w:val="en-US"/>
        </w:rPr>
        <w:t>Assessment</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effectiveness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business</w:t>
      </w:r>
      <w:r w:rsidR="006C680D" w:rsidRPr="00D337FA">
        <w:rPr>
          <w:i/>
          <w:szCs w:val="24"/>
          <w:lang w:val="en-US"/>
        </w:rPr>
        <w:t xml:space="preserve"> </w:t>
      </w:r>
      <w:r w:rsidRPr="00D337FA">
        <w:rPr>
          <w:i/>
          <w:szCs w:val="24"/>
          <w:lang w:val="en-US"/>
        </w:rPr>
        <w:t>ecosystems</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digital</w:t>
      </w:r>
      <w:r w:rsidR="006C680D" w:rsidRPr="00D337FA">
        <w:rPr>
          <w:i/>
          <w:szCs w:val="24"/>
          <w:lang w:val="en-US"/>
        </w:rPr>
        <w:t xml:space="preserve"> </w:t>
      </w:r>
      <w:r w:rsidRPr="00D337FA">
        <w:rPr>
          <w:i/>
          <w:szCs w:val="24"/>
          <w:lang w:val="en-US"/>
        </w:rPr>
        <w:t>economy</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Vestnik</w:t>
      </w:r>
      <w:r w:rsidR="006C680D" w:rsidRPr="00D337FA">
        <w:rPr>
          <w:i/>
          <w:szCs w:val="24"/>
          <w:lang w:val="en-US"/>
        </w:rPr>
        <w:t xml:space="preserve"> </w:t>
      </w:r>
      <w:r w:rsidR="00ED5489" w:rsidRPr="00D337FA">
        <w:rPr>
          <w:i/>
          <w:szCs w:val="24"/>
          <w:lang w:val="en-US"/>
        </w:rPr>
        <w:t>Ros.</w:t>
      </w:r>
      <w:r w:rsidR="006C680D" w:rsidRPr="00D337FA">
        <w:rPr>
          <w:i/>
          <w:szCs w:val="24"/>
          <w:lang w:val="en-US"/>
        </w:rPr>
        <w:t xml:space="preserve"> </w:t>
      </w:r>
      <w:r w:rsidR="00ED5489" w:rsidRPr="00D337FA">
        <w:rPr>
          <w:i/>
          <w:szCs w:val="24"/>
          <w:lang w:val="en-US"/>
        </w:rPr>
        <w:t>ekon.</w:t>
      </w:r>
      <w:r w:rsidR="006C680D" w:rsidRPr="00D337FA">
        <w:rPr>
          <w:i/>
          <w:szCs w:val="24"/>
          <w:lang w:val="en-US"/>
        </w:rPr>
        <w:t xml:space="preserve"> </w:t>
      </w:r>
      <w:r w:rsidR="00ED5489" w:rsidRPr="00D337FA">
        <w:rPr>
          <w:i/>
          <w:szCs w:val="24"/>
          <w:lang w:val="en-US"/>
        </w:rPr>
        <w:t>un-ta</w:t>
      </w:r>
      <w:r w:rsidR="006C680D" w:rsidRPr="00D337FA">
        <w:rPr>
          <w:i/>
          <w:szCs w:val="24"/>
          <w:lang w:val="en-US"/>
        </w:rPr>
        <w:t xml:space="preserve"> </w:t>
      </w:r>
      <w:r w:rsidR="00ED5489" w:rsidRPr="00D337FA">
        <w:rPr>
          <w:i/>
          <w:szCs w:val="24"/>
          <w:lang w:val="en-US"/>
        </w:rPr>
        <w:t>imeni</w:t>
      </w:r>
      <w:r w:rsidR="006C680D" w:rsidRPr="00D337FA">
        <w:rPr>
          <w:i/>
          <w:szCs w:val="24"/>
          <w:lang w:val="en-US"/>
        </w:rPr>
        <w:t xml:space="preserve"> </w:t>
      </w:r>
      <w:r w:rsidR="00ED5489" w:rsidRPr="00D337FA">
        <w:rPr>
          <w:i/>
          <w:szCs w:val="24"/>
          <w:lang w:val="en-US"/>
        </w:rPr>
        <w:t>G.V.</w:t>
      </w:r>
      <w:r w:rsidR="006C680D" w:rsidRPr="00D337FA">
        <w:rPr>
          <w:i/>
          <w:szCs w:val="24"/>
          <w:lang w:val="en-US"/>
        </w:rPr>
        <w:t xml:space="preserve"> </w:t>
      </w:r>
      <w:r w:rsidR="00ED5489" w:rsidRPr="00D337FA">
        <w:rPr>
          <w:i/>
          <w:szCs w:val="24"/>
          <w:lang w:val="en-US"/>
        </w:rPr>
        <w:t>Plekhanova</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Plekhanov</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University</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Economics.</w:t>
      </w:r>
      <w:r w:rsidR="006C680D" w:rsidRPr="00D337FA">
        <w:rPr>
          <w:i/>
          <w:szCs w:val="24"/>
          <w:lang w:val="en-US"/>
        </w:rPr>
        <w:t xml:space="preserve"> </w:t>
      </w:r>
      <w:r w:rsidRPr="00D337FA">
        <w:rPr>
          <w:i/>
          <w:szCs w:val="24"/>
          <w:lang w:val="en-US"/>
        </w:rPr>
        <w:t>2023.</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20</w:t>
      </w:r>
      <w:r w:rsidR="006C680D" w:rsidRPr="00D337FA">
        <w:rPr>
          <w:i/>
          <w:szCs w:val="24"/>
          <w:lang w:val="en-US"/>
        </w:rPr>
        <w:t xml:space="preserve"> </w:t>
      </w:r>
      <w:r w:rsidRPr="00D337FA">
        <w:rPr>
          <w:i/>
          <w:szCs w:val="24"/>
          <w:lang w:val="en-US"/>
        </w:rPr>
        <w:t>(1).</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162-174.</w:t>
      </w:r>
    </w:p>
    <w:p w:rsidR="005411F4" w:rsidRPr="00D337FA" w:rsidRDefault="005411F4" w:rsidP="005411F4">
      <w:pPr>
        <w:ind w:firstLine="284"/>
        <w:rPr>
          <w:i/>
          <w:szCs w:val="24"/>
          <w:lang w:val="en-US"/>
        </w:rPr>
      </w:pPr>
      <w:r w:rsidRPr="00D337FA">
        <w:rPr>
          <w:i/>
          <w:szCs w:val="24"/>
          <w:lang w:val="en-US"/>
        </w:rPr>
        <w:t>23.</w:t>
      </w:r>
      <w:r w:rsidR="006C680D" w:rsidRPr="00D337FA">
        <w:rPr>
          <w:i/>
          <w:szCs w:val="24"/>
          <w:lang w:val="en-US"/>
        </w:rPr>
        <w:t xml:space="preserve"> </w:t>
      </w:r>
      <w:r w:rsidRPr="00D337FA">
        <w:rPr>
          <w:i/>
          <w:szCs w:val="24"/>
          <w:lang w:val="en-US"/>
        </w:rPr>
        <w:t>Obraztsova</w:t>
      </w:r>
      <w:r w:rsidR="006C680D" w:rsidRPr="00D337FA">
        <w:rPr>
          <w:i/>
          <w:szCs w:val="24"/>
          <w:lang w:val="en-US"/>
        </w:rPr>
        <w:t xml:space="preserve"> </w:t>
      </w:r>
      <w:r w:rsidRPr="00D337FA">
        <w:rPr>
          <w:i/>
          <w:szCs w:val="24"/>
          <w:lang w:val="en-US"/>
        </w:rPr>
        <w:t>O.A.,</w:t>
      </w:r>
      <w:r w:rsidR="006C680D" w:rsidRPr="00D337FA">
        <w:rPr>
          <w:i/>
          <w:szCs w:val="24"/>
          <w:lang w:val="en-US"/>
        </w:rPr>
        <w:t xml:space="preserve"> </w:t>
      </w:r>
      <w:r w:rsidRPr="00D337FA">
        <w:rPr>
          <w:i/>
          <w:szCs w:val="24"/>
          <w:lang w:val="en-US"/>
        </w:rPr>
        <w:t>Guzienko</w:t>
      </w:r>
      <w:r w:rsidR="006C680D" w:rsidRPr="00D337FA">
        <w:rPr>
          <w:i/>
          <w:szCs w:val="24"/>
          <w:lang w:val="en-US"/>
        </w:rPr>
        <w:t xml:space="preserve"> </w:t>
      </w:r>
      <w:r w:rsidRPr="00D337FA">
        <w:rPr>
          <w:i/>
          <w:szCs w:val="24"/>
          <w:lang w:val="en-US"/>
        </w:rPr>
        <w:t>A.Yu.</w:t>
      </w:r>
      <w:r w:rsidR="006C680D" w:rsidRPr="00D337FA">
        <w:rPr>
          <w:i/>
          <w:szCs w:val="24"/>
          <w:lang w:val="en-US"/>
        </w:rPr>
        <w:t xml:space="preserve"> </w:t>
      </w:r>
      <w:r w:rsidR="00ED5489" w:rsidRPr="00D337FA">
        <w:rPr>
          <w:i/>
          <w:szCs w:val="24"/>
          <w:lang w:val="en-US"/>
        </w:rPr>
        <w:t>Rossijskij</w:t>
      </w:r>
      <w:r w:rsidR="006C680D" w:rsidRPr="00D337FA">
        <w:rPr>
          <w:i/>
          <w:szCs w:val="24"/>
          <w:lang w:val="en-US"/>
        </w:rPr>
        <w:t xml:space="preserve"> </w:t>
      </w:r>
      <w:r w:rsidR="00ED5489" w:rsidRPr="00D337FA">
        <w:rPr>
          <w:i/>
          <w:szCs w:val="24"/>
          <w:lang w:val="en-US"/>
        </w:rPr>
        <w:t>strahovoj</w:t>
      </w:r>
      <w:r w:rsidR="006C680D" w:rsidRPr="00D337FA">
        <w:rPr>
          <w:i/>
          <w:szCs w:val="24"/>
          <w:lang w:val="en-US"/>
        </w:rPr>
        <w:t xml:space="preserve"> </w:t>
      </w:r>
      <w:r w:rsidR="00ED5489" w:rsidRPr="00D337FA">
        <w:rPr>
          <w:i/>
          <w:szCs w:val="24"/>
          <w:lang w:val="en-US"/>
        </w:rPr>
        <w:t>rynok:</w:t>
      </w:r>
      <w:r w:rsidR="006C680D" w:rsidRPr="00D337FA">
        <w:rPr>
          <w:i/>
          <w:szCs w:val="24"/>
          <w:lang w:val="en-US"/>
        </w:rPr>
        <w:t xml:space="preserve"> </w:t>
      </w:r>
      <w:r w:rsidR="00ED5489" w:rsidRPr="00D337FA">
        <w:rPr>
          <w:i/>
          <w:szCs w:val="24"/>
          <w:lang w:val="en-US"/>
        </w:rPr>
        <w:t>sostoyanie</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perspekti-vy</w:t>
      </w:r>
      <w:r w:rsidR="006C680D" w:rsidRPr="00D337FA">
        <w:rPr>
          <w:i/>
          <w:szCs w:val="24"/>
          <w:lang w:val="en-US"/>
        </w:rPr>
        <w:t xml:space="preserve"> </w:t>
      </w:r>
      <w:r w:rsidR="00ED5489" w:rsidRPr="00D337FA">
        <w:rPr>
          <w:i/>
          <w:szCs w:val="24"/>
          <w:lang w:val="en-US"/>
        </w:rPr>
        <w:t>razvitiya</w:t>
      </w:r>
      <w:r w:rsidR="006C680D" w:rsidRPr="00D337FA">
        <w:rPr>
          <w:i/>
          <w:szCs w:val="24"/>
          <w:lang w:val="en-US"/>
        </w:rPr>
        <w:t xml:space="preserve"> </w:t>
      </w:r>
      <w:r w:rsidR="00ED5489" w:rsidRPr="00D337FA">
        <w:rPr>
          <w:i/>
          <w:szCs w:val="24"/>
          <w:lang w:val="en-US"/>
        </w:rPr>
        <w:t>[</w:t>
      </w:r>
      <w:r w:rsidRPr="00D337FA">
        <w:rPr>
          <w:i/>
          <w:szCs w:val="24"/>
          <w:lang w:val="en-US"/>
        </w:rPr>
        <w:t>Russian</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state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D337FA">
        <w:rPr>
          <w:i/>
          <w:szCs w:val="24"/>
          <w:lang w:val="en-US"/>
        </w:rPr>
        <w:t>prospects</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Finansovyj</w:t>
      </w:r>
      <w:r w:rsidR="006C680D" w:rsidRPr="00D337FA">
        <w:rPr>
          <w:i/>
          <w:szCs w:val="24"/>
          <w:lang w:val="en-US"/>
        </w:rPr>
        <w:t xml:space="preserve"> </w:t>
      </w:r>
      <w:r w:rsidR="00ED5489" w:rsidRPr="00D337FA">
        <w:rPr>
          <w:i/>
          <w:szCs w:val="24"/>
          <w:lang w:val="en-US"/>
        </w:rPr>
        <w:t>vestnik</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Financial</w:t>
      </w:r>
      <w:r w:rsidR="006C680D" w:rsidRPr="00D337FA">
        <w:rPr>
          <w:i/>
          <w:szCs w:val="24"/>
          <w:lang w:val="en-US"/>
        </w:rPr>
        <w:t xml:space="preserve"> </w:t>
      </w:r>
      <w:r w:rsidRPr="00D337FA">
        <w:rPr>
          <w:i/>
          <w:szCs w:val="24"/>
          <w:lang w:val="en-US"/>
        </w:rPr>
        <w:t>Bulletin.</w:t>
      </w:r>
      <w:r w:rsidR="006C680D" w:rsidRPr="00D337FA">
        <w:rPr>
          <w:i/>
          <w:szCs w:val="24"/>
          <w:lang w:val="en-US"/>
        </w:rPr>
        <w:t xml:space="preserve"> </w:t>
      </w:r>
      <w:r w:rsidRPr="00D337FA">
        <w:rPr>
          <w:i/>
          <w:szCs w:val="24"/>
          <w:lang w:val="en-US"/>
        </w:rPr>
        <w:t>2024</w:t>
      </w:r>
      <w:r w:rsidR="00FC7AC6">
        <w:rPr>
          <w:i/>
          <w:szCs w:val="24"/>
          <w:lang w:val="en-US"/>
        </w:rPr>
        <w:t>.</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2</w:t>
      </w:r>
      <w:r w:rsidR="006C680D" w:rsidRPr="00D337FA">
        <w:rPr>
          <w:i/>
          <w:szCs w:val="24"/>
          <w:lang w:val="en-US"/>
        </w:rPr>
        <w:t xml:space="preserve"> </w:t>
      </w:r>
      <w:r w:rsidRPr="00D337FA">
        <w:rPr>
          <w:i/>
          <w:szCs w:val="24"/>
          <w:lang w:val="en-US"/>
        </w:rPr>
        <w:t>(65).</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10-13.</w:t>
      </w:r>
    </w:p>
    <w:p w:rsidR="005411F4" w:rsidRPr="00D337FA" w:rsidRDefault="005411F4" w:rsidP="005411F4">
      <w:pPr>
        <w:ind w:firstLine="284"/>
        <w:rPr>
          <w:i/>
          <w:szCs w:val="24"/>
          <w:lang w:val="en-US"/>
        </w:rPr>
      </w:pPr>
      <w:r w:rsidRPr="00D337FA">
        <w:rPr>
          <w:i/>
          <w:szCs w:val="24"/>
          <w:lang w:val="en-US"/>
        </w:rPr>
        <w:t>24.</w:t>
      </w:r>
      <w:r w:rsidR="006C680D" w:rsidRPr="00D337FA">
        <w:rPr>
          <w:i/>
          <w:szCs w:val="24"/>
          <w:lang w:val="en-US"/>
        </w:rPr>
        <w:t xml:space="preserve"> </w:t>
      </w:r>
      <w:r w:rsidRPr="00D337FA">
        <w:rPr>
          <w:i/>
          <w:szCs w:val="24"/>
          <w:lang w:val="en-US"/>
        </w:rPr>
        <w:t>Barannikov,</w:t>
      </w:r>
      <w:r w:rsidR="006C680D" w:rsidRPr="00D337FA">
        <w:rPr>
          <w:i/>
          <w:szCs w:val="24"/>
          <w:lang w:val="en-US"/>
        </w:rPr>
        <w:t xml:space="preserve"> </w:t>
      </w:r>
      <w:r w:rsidRPr="00D337FA">
        <w:rPr>
          <w:i/>
          <w:szCs w:val="24"/>
          <w:lang w:val="en-US"/>
        </w:rPr>
        <w:t>R.F.</w:t>
      </w:r>
      <w:r w:rsidR="006C680D" w:rsidRPr="00D337FA">
        <w:rPr>
          <w:i/>
          <w:szCs w:val="24"/>
          <w:lang w:val="en-US"/>
        </w:rPr>
        <w:t xml:space="preserve"> </w:t>
      </w:r>
      <w:r w:rsidR="00ED5489" w:rsidRPr="00D337FA">
        <w:rPr>
          <w:i/>
          <w:szCs w:val="24"/>
          <w:lang w:val="en-US"/>
        </w:rPr>
        <w:t>Perspektivy</w:t>
      </w:r>
      <w:r w:rsidR="006C680D" w:rsidRPr="00D337FA">
        <w:rPr>
          <w:i/>
          <w:szCs w:val="24"/>
          <w:lang w:val="en-US"/>
        </w:rPr>
        <w:t xml:space="preserve"> </w:t>
      </w:r>
      <w:r w:rsidR="00ED5489" w:rsidRPr="00D337FA">
        <w:rPr>
          <w:i/>
          <w:szCs w:val="24"/>
          <w:lang w:val="en-US"/>
        </w:rPr>
        <w:t>razvitiya</w:t>
      </w:r>
      <w:r w:rsidR="006C680D" w:rsidRPr="00D337FA">
        <w:rPr>
          <w:i/>
          <w:szCs w:val="24"/>
          <w:lang w:val="en-US"/>
        </w:rPr>
        <w:t xml:space="preserve"> </w:t>
      </w:r>
      <w:r w:rsidR="00ED5489" w:rsidRPr="00D337FA">
        <w:rPr>
          <w:i/>
          <w:szCs w:val="24"/>
          <w:lang w:val="en-US"/>
        </w:rPr>
        <w:t>strahovogo</w:t>
      </w:r>
      <w:r w:rsidR="006C680D" w:rsidRPr="00D337FA">
        <w:rPr>
          <w:i/>
          <w:szCs w:val="24"/>
          <w:lang w:val="en-US"/>
        </w:rPr>
        <w:t xml:space="preserve"> </w:t>
      </w:r>
      <w:r w:rsidR="00ED5489" w:rsidRPr="00D337FA">
        <w:rPr>
          <w:i/>
          <w:szCs w:val="24"/>
          <w:lang w:val="en-US"/>
        </w:rPr>
        <w:t>rynka</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Rossii</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period</w:t>
      </w:r>
      <w:r w:rsidR="006C680D" w:rsidRPr="00D337FA">
        <w:rPr>
          <w:i/>
          <w:szCs w:val="24"/>
          <w:lang w:val="en-US"/>
        </w:rPr>
        <w:t xml:space="preserve"> </w:t>
      </w:r>
      <w:r w:rsidR="00ED5489" w:rsidRPr="00D337FA">
        <w:rPr>
          <w:i/>
          <w:szCs w:val="24"/>
          <w:lang w:val="en-US"/>
        </w:rPr>
        <w:t>slozh-noj</w:t>
      </w:r>
      <w:r w:rsidR="006C680D" w:rsidRPr="00D337FA">
        <w:rPr>
          <w:i/>
          <w:szCs w:val="24"/>
          <w:lang w:val="en-US"/>
        </w:rPr>
        <w:t xml:space="preserve"> </w:t>
      </w:r>
      <w:r w:rsidR="00ED5489" w:rsidRPr="00D337FA">
        <w:rPr>
          <w:i/>
          <w:szCs w:val="24"/>
          <w:lang w:val="en-US"/>
        </w:rPr>
        <w:t>geopoliticheskoj</w:t>
      </w:r>
      <w:r w:rsidR="006C680D" w:rsidRPr="00D337FA">
        <w:rPr>
          <w:i/>
          <w:szCs w:val="24"/>
          <w:lang w:val="en-US"/>
        </w:rPr>
        <w:t xml:space="preserve"> </w:t>
      </w:r>
      <w:r w:rsidR="00ED5489" w:rsidRPr="00D337FA">
        <w:rPr>
          <w:i/>
          <w:szCs w:val="24"/>
          <w:lang w:val="en-US"/>
        </w:rPr>
        <w:t>situacii</w:t>
      </w:r>
      <w:r w:rsidR="006C680D" w:rsidRPr="00D337FA">
        <w:rPr>
          <w:i/>
          <w:szCs w:val="24"/>
          <w:lang w:val="en-US"/>
        </w:rPr>
        <w:t xml:space="preserve"> </w:t>
      </w:r>
      <w:r w:rsidR="00ED5489" w:rsidRPr="00D337FA">
        <w:rPr>
          <w:i/>
          <w:szCs w:val="24"/>
          <w:lang w:val="en-US"/>
        </w:rPr>
        <w:t>[</w:t>
      </w:r>
      <w:r w:rsidRPr="00D337FA">
        <w:rPr>
          <w:i/>
          <w:szCs w:val="24"/>
          <w:lang w:val="en-US"/>
        </w:rPr>
        <w:t>Development</w:t>
      </w:r>
      <w:r w:rsidR="006C680D" w:rsidRPr="00D337FA">
        <w:rPr>
          <w:i/>
          <w:szCs w:val="24"/>
          <w:lang w:val="en-US"/>
        </w:rPr>
        <w:t xml:space="preserve"> </w:t>
      </w:r>
      <w:r w:rsidRPr="00D337FA">
        <w:rPr>
          <w:i/>
          <w:szCs w:val="24"/>
          <w:lang w:val="en-US"/>
        </w:rPr>
        <w:t>prospects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Russia</w:t>
      </w:r>
      <w:r w:rsidR="006C680D" w:rsidRPr="00D337FA">
        <w:rPr>
          <w:i/>
          <w:szCs w:val="24"/>
          <w:lang w:val="en-US"/>
        </w:rPr>
        <w:t xml:space="preserve"> </w:t>
      </w:r>
      <w:r w:rsidRPr="00D337FA">
        <w:rPr>
          <w:i/>
          <w:szCs w:val="24"/>
          <w:lang w:val="en-US"/>
        </w:rPr>
        <w:t>during</w:t>
      </w:r>
      <w:r w:rsidR="006C680D" w:rsidRPr="00D337FA">
        <w:rPr>
          <w:i/>
          <w:szCs w:val="24"/>
          <w:lang w:val="en-US"/>
        </w:rPr>
        <w:t xml:space="preserve"> </w:t>
      </w:r>
      <w:r w:rsidRPr="00D337FA">
        <w:rPr>
          <w:i/>
          <w:szCs w:val="24"/>
          <w:lang w:val="en-US"/>
        </w:rPr>
        <w:t>a</w:t>
      </w:r>
      <w:r w:rsidR="006C680D" w:rsidRPr="00D337FA">
        <w:rPr>
          <w:i/>
          <w:szCs w:val="24"/>
          <w:lang w:val="en-US"/>
        </w:rPr>
        <w:t xml:space="preserve"> </w:t>
      </w:r>
      <w:r w:rsidRPr="00D337FA">
        <w:rPr>
          <w:i/>
          <w:szCs w:val="24"/>
          <w:lang w:val="en-US"/>
        </w:rPr>
        <w:t>complex</w:t>
      </w:r>
      <w:r w:rsidR="006C680D" w:rsidRPr="00D337FA">
        <w:rPr>
          <w:i/>
          <w:szCs w:val="24"/>
          <w:lang w:val="en-US"/>
        </w:rPr>
        <w:t xml:space="preserve"> </w:t>
      </w:r>
      <w:r w:rsidRPr="00D337FA">
        <w:rPr>
          <w:i/>
          <w:szCs w:val="24"/>
          <w:lang w:val="en-US"/>
        </w:rPr>
        <w:t>geopolitical</w:t>
      </w:r>
      <w:r w:rsidR="006C680D" w:rsidRPr="00D337FA">
        <w:rPr>
          <w:i/>
          <w:szCs w:val="24"/>
          <w:lang w:val="en-US"/>
        </w:rPr>
        <w:t xml:space="preserve"> </w:t>
      </w:r>
      <w:r w:rsidRPr="00D337FA">
        <w:rPr>
          <w:i/>
          <w:szCs w:val="24"/>
          <w:lang w:val="en-US"/>
        </w:rPr>
        <w:t>situation</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Ekonomika,</w:t>
      </w:r>
      <w:r w:rsidR="006C680D" w:rsidRPr="00D337FA">
        <w:rPr>
          <w:i/>
          <w:szCs w:val="24"/>
          <w:lang w:val="en-US"/>
        </w:rPr>
        <w:t xml:space="preserve"> </w:t>
      </w:r>
      <w:r w:rsidR="00ED5489" w:rsidRPr="00D337FA">
        <w:rPr>
          <w:i/>
          <w:szCs w:val="24"/>
          <w:lang w:val="en-US"/>
        </w:rPr>
        <w:t>predprinimatel'stvo</w:t>
      </w:r>
      <w:r w:rsidR="006C680D" w:rsidRPr="00D337FA">
        <w:rPr>
          <w:i/>
          <w:szCs w:val="24"/>
          <w:lang w:val="en-US"/>
        </w:rPr>
        <w:t xml:space="preserve"> </w:t>
      </w:r>
      <w:r w:rsidR="00ED5489" w:rsidRPr="00D337FA">
        <w:rPr>
          <w:i/>
          <w:szCs w:val="24"/>
          <w:lang w:val="en-US"/>
        </w:rPr>
        <w:t>i</w:t>
      </w:r>
      <w:r w:rsidR="006C680D" w:rsidRPr="00D337FA">
        <w:rPr>
          <w:i/>
          <w:szCs w:val="24"/>
          <w:lang w:val="en-US"/>
        </w:rPr>
        <w:t xml:space="preserve"> </w:t>
      </w:r>
      <w:r w:rsidR="00ED5489" w:rsidRPr="00D337FA">
        <w:rPr>
          <w:i/>
          <w:szCs w:val="24"/>
          <w:lang w:val="en-US"/>
        </w:rPr>
        <w:t>pravo</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Economy,</w:t>
      </w:r>
      <w:r w:rsidR="006C680D" w:rsidRPr="00D337FA">
        <w:rPr>
          <w:i/>
          <w:szCs w:val="24"/>
          <w:lang w:val="en-US"/>
        </w:rPr>
        <w:t xml:space="preserve"> </w:t>
      </w:r>
      <w:r w:rsidRPr="00D337FA">
        <w:rPr>
          <w:i/>
          <w:szCs w:val="24"/>
          <w:lang w:val="en-US"/>
        </w:rPr>
        <w:t>entrepreneurship</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law.</w:t>
      </w:r>
      <w:r w:rsidR="006C680D" w:rsidRPr="00D337FA">
        <w:rPr>
          <w:i/>
          <w:szCs w:val="24"/>
          <w:lang w:val="en-US"/>
        </w:rPr>
        <w:t xml:space="preserve"> </w:t>
      </w:r>
      <w:r w:rsidRPr="00D337FA">
        <w:rPr>
          <w:i/>
          <w:szCs w:val="24"/>
          <w:lang w:val="en-US"/>
        </w:rPr>
        <w:t>2023</w:t>
      </w:r>
      <w:r w:rsidR="00FC7AC6">
        <w:rPr>
          <w:i/>
          <w:szCs w:val="24"/>
          <w:lang w:val="en-US"/>
        </w:rPr>
        <w:t>.</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13.</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5.</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1683-1692.</w:t>
      </w:r>
    </w:p>
    <w:p w:rsidR="005411F4" w:rsidRPr="00D337FA" w:rsidRDefault="005411F4" w:rsidP="005411F4">
      <w:pPr>
        <w:ind w:firstLine="284"/>
        <w:rPr>
          <w:i/>
          <w:szCs w:val="24"/>
          <w:lang w:val="en-US"/>
        </w:rPr>
      </w:pPr>
      <w:r w:rsidRPr="00D337FA">
        <w:rPr>
          <w:i/>
          <w:szCs w:val="24"/>
          <w:lang w:val="en-US"/>
        </w:rPr>
        <w:t>25.</w:t>
      </w:r>
      <w:r w:rsidR="006C680D" w:rsidRPr="00D337FA">
        <w:rPr>
          <w:i/>
          <w:szCs w:val="24"/>
          <w:lang w:val="en-US"/>
        </w:rPr>
        <w:t xml:space="preserve"> </w:t>
      </w:r>
      <w:r w:rsidRPr="00D337FA">
        <w:rPr>
          <w:i/>
          <w:szCs w:val="24"/>
          <w:lang w:val="en-US"/>
        </w:rPr>
        <w:t>Malkovskaya</w:t>
      </w:r>
      <w:r w:rsidR="006C680D" w:rsidRPr="00D337FA">
        <w:rPr>
          <w:i/>
          <w:szCs w:val="24"/>
          <w:lang w:val="en-US"/>
        </w:rPr>
        <w:t xml:space="preserve"> </w:t>
      </w:r>
      <w:r w:rsidRPr="00D337FA">
        <w:rPr>
          <w:i/>
          <w:szCs w:val="24"/>
          <w:lang w:val="en-US"/>
        </w:rPr>
        <w:t>M.</w:t>
      </w:r>
      <w:r w:rsidR="006C680D" w:rsidRPr="00D337FA">
        <w:rPr>
          <w:i/>
          <w:szCs w:val="24"/>
          <w:lang w:val="en-US"/>
        </w:rPr>
        <w:t xml:space="preserve"> </w:t>
      </w:r>
      <w:r w:rsidR="00ED5489" w:rsidRPr="00D337FA">
        <w:rPr>
          <w:i/>
          <w:szCs w:val="24"/>
          <w:lang w:val="en-US"/>
        </w:rPr>
        <w:t>Period</w:t>
      </w:r>
      <w:r w:rsidR="006C680D" w:rsidRPr="00D337FA">
        <w:rPr>
          <w:i/>
          <w:szCs w:val="24"/>
          <w:lang w:val="en-US"/>
        </w:rPr>
        <w:t xml:space="preserve"> </w:t>
      </w:r>
      <w:r w:rsidR="00ED5489" w:rsidRPr="00D337FA">
        <w:rPr>
          <w:i/>
          <w:szCs w:val="24"/>
          <w:lang w:val="en-US"/>
        </w:rPr>
        <w:t>transformacii:</w:t>
      </w:r>
      <w:r w:rsidR="006C680D" w:rsidRPr="00D337FA">
        <w:rPr>
          <w:i/>
          <w:szCs w:val="24"/>
          <w:lang w:val="en-US"/>
        </w:rPr>
        <w:t xml:space="preserve"> </w:t>
      </w:r>
      <w:r w:rsidR="00ED5489" w:rsidRPr="00D337FA">
        <w:rPr>
          <w:i/>
          <w:szCs w:val="24"/>
          <w:lang w:val="en-US"/>
        </w:rPr>
        <w:t>s</w:t>
      </w:r>
      <w:r w:rsidR="006C680D" w:rsidRPr="00D337FA">
        <w:rPr>
          <w:i/>
          <w:szCs w:val="24"/>
          <w:lang w:val="en-US"/>
        </w:rPr>
        <w:t xml:space="preserve"> </w:t>
      </w:r>
      <w:r w:rsidR="00ED5489" w:rsidRPr="00D337FA">
        <w:rPr>
          <w:i/>
          <w:szCs w:val="24"/>
          <w:lang w:val="en-US"/>
        </w:rPr>
        <w:t>chem</w:t>
      </w:r>
      <w:r w:rsidR="006C680D" w:rsidRPr="00D337FA">
        <w:rPr>
          <w:i/>
          <w:szCs w:val="24"/>
          <w:lang w:val="en-US"/>
        </w:rPr>
        <w:t xml:space="preserve"> </w:t>
      </w:r>
      <w:r w:rsidR="00ED5489" w:rsidRPr="00D337FA">
        <w:rPr>
          <w:i/>
          <w:szCs w:val="24"/>
          <w:lang w:val="en-US"/>
        </w:rPr>
        <w:t>stalkivayutsya</w:t>
      </w:r>
      <w:r w:rsidR="006C680D" w:rsidRPr="00D337FA">
        <w:rPr>
          <w:i/>
          <w:szCs w:val="24"/>
          <w:lang w:val="en-US"/>
        </w:rPr>
        <w:t xml:space="preserve"> </w:t>
      </w:r>
      <w:r w:rsidR="00ED5489" w:rsidRPr="00D337FA">
        <w:rPr>
          <w:i/>
          <w:szCs w:val="24"/>
          <w:lang w:val="en-US"/>
        </w:rPr>
        <w:t>strahovshchiki</w:t>
      </w:r>
      <w:r w:rsidR="006C680D" w:rsidRPr="00D337FA">
        <w:rPr>
          <w:i/>
          <w:szCs w:val="24"/>
          <w:lang w:val="en-US"/>
        </w:rPr>
        <w:t xml:space="preserve"> </w:t>
      </w:r>
      <w:r w:rsidR="00ED5489" w:rsidRPr="00D337FA">
        <w:rPr>
          <w:i/>
          <w:szCs w:val="24"/>
          <w:lang w:val="en-US"/>
        </w:rPr>
        <w:t>v</w:t>
      </w:r>
      <w:r w:rsidR="006C680D" w:rsidRPr="00D337FA">
        <w:rPr>
          <w:i/>
          <w:szCs w:val="24"/>
          <w:lang w:val="en-US"/>
        </w:rPr>
        <w:t xml:space="preserve"> </w:t>
      </w:r>
      <w:r w:rsidR="00ED5489" w:rsidRPr="00D337FA">
        <w:rPr>
          <w:i/>
          <w:szCs w:val="24"/>
          <w:lang w:val="en-US"/>
        </w:rPr>
        <w:t>epohu</w:t>
      </w:r>
      <w:r w:rsidR="006C680D" w:rsidRPr="00D337FA">
        <w:rPr>
          <w:i/>
          <w:szCs w:val="24"/>
          <w:lang w:val="en-US"/>
        </w:rPr>
        <w:t xml:space="preserve"> </w:t>
      </w:r>
      <w:r w:rsidR="00ED5489" w:rsidRPr="00D337FA">
        <w:rPr>
          <w:i/>
          <w:szCs w:val="24"/>
          <w:lang w:val="en-US"/>
        </w:rPr>
        <w:t>cifrovizacii</w:t>
      </w:r>
      <w:r w:rsidR="006C680D" w:rsidRPr="00D337FA">
        <w:rPr>
          <w:i/>
          <w:szCs w:val="24"/>
          <w:lang w:val="en-US"/>
        </w:rPr>
        <w:t xml:space="preserve"> </w:t>
      </w:r>
      <w:r w:rsidR="00ED5489" w:rsidRPr="00D337FA">
        <w:rPr>
          <w:i/>
          <w:szCs w:val="24"/>
          <w:lang w:val="en-US"/>
        </w:rPr>
        <w:t>[</w:t>
      </w:r>
      <w:r w:rsidRPr="00D337FA">
        <w:rPr>
          <w:i/>
          <w:szCs w:val="24"/>
          <w:lang w:val="en-US"/>
        </w:rPr>
        <w:t>Transformation</w:t>
      </w:r>
      <w:r w:rsidR="006C680D" w:rsidRPr="00D337FA">
        <w:rPr>
          <w:i/>
          <w:szCs w:val="24"/>
          <w:lang w:val="en-US"/>
        </w:rPr>
        <w:t xml:space="preserve"> </w:t>
      </w:r>
      <w:r w:rsidRPr="00D337FA">
        <w:rPr>
          <w:i/>
          <w:szCs w:val="24"/>
          <w:lang w:val="en-US"/>
        </w:rPr>
        <w:t>period:</w:t>
      </w:r>
      <w:r w:rsidR="006C680D" w:rsidRPr="00D337FA">
        <w:rPr>
          <w:i/>
          <w:szCs w:val="24"/>
          <w:lang w:val="en-US"/>
        </w:rPr>
        <w:t xml:space="preserve"> </w:t>
      </w:r>
      <w:r w:rsidRPr="00D337FA">
        <w:rPr>
          <w:i/>
          <w:szCs w:val="24"/>
          <w:lang w:val="en-US"/>
        </w:rPr>
        <w:t>what</w:t>
      </w:r>
      <w:r w:rsidR="006C680D" w:rsidRPr="00D337FA">
        <w:rPr>
          <w:i/>
          <w:szCs w:val="24"/>
          <w:lang w:val="en-US"/>
        </w:rPr>
        <w:t xml:space="preserve"> </w:t>
      </w:r>
      <w:r w:rsidRPr="00D337FA">
        <w:rPr>
          <w:i/>
          <w:szCs w:val="24"/>
          <w:lang w:val="en-US"/>
        </w:rPr>
        <w:t>insurers</w:t>
      </w:r>
      <w:r w:rsidR="006C680D" w:rsidRPr="00D337FA">
        <w:rPr>
          <w:i/>
          <w:szCs w:val="24"/>
          <w:lang w:val="en-US"/>
        </w:rPr>
        <w:t xml:space="preserve"> </w:t>
      </w:r>
      <w:r w:rsidRPr="00D337FA">
        <w:rPr>
          <w:i/>
          <w:szCs w:val="24"/>
          <w:lang w:val="en-US"/>
        </w:rPr>
        <w:t>face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era</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digitalization</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Sovremennye</w:t>
      </w:r>
      <w:r w:rsidR="006C680D" w:rsidRPr="00D337FA">
        <w:rPr>
          <w:i/>
          <w:szCs w:val="24"/>
          <w:lang w:val="en-US"/>
        </w:rPr>
        <w:t xml:space="preserve"> </w:t>
      </w:r>
      <w:r w:rsidR="00ED5489" w:rsidRPr="00D337FA">
        <w:rPr>
          <w:i/>
          <w:szCs w:val="24"/>
          <w:lang w:val="en-US"/>
        </w:rPr>
        <w:t>strahovye</w:t>
      </w:r>
      <w:r w:rsidR="006C680D" w:rsidRPr="00D337FA">
        <w:rPr>
          <w:i/>
          <w:szCs w:val="24"/>
          <w:lang w:val="en-US"/>
        </w:rPr>
        <w:t xml:space="preserve"> </w:t>
      </w:r>
      <w:r w:rsidR="00ED5489" w:rsidRPr="00D337FA">
        <w:rPr>
          <w:i/>
          <w:szCs w:val="24"/>
          <w:lang w:val="en-US"/>
        </w:rPr>
        <w:t>tekhnologii</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Modern</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technologies.</w:t>
      </w:r>
      <w:r w:rsidR="006C680D" w:rsidRPr="00D337FA">
        <w:rPr>
          <w:i/>
          <w:szCs w:val="24"/>
          <w:lang w:val="en-US"/>
        </w:rPr>
        <w:t xml:space="preserve"> </w:t>
      </w:r>
      <w:r w:rsidRPr="00D337FA">
        <w:rPr>
          <w:i/>
          <w:szCs w:val="24"/>
          <w:lang w:val="en-US"/>
        </w:rPr>
        <w:t>2019.</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4.</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94-95.</w:t>
      </w:r>
    </w:p>
    <w:p w:rsidR="005411F4" w:rsidRPr="00D337FA" w:rsidRDefault="005411F4" w:rsidP="005411F4">
      <w:pPr>
        <w:ind w:firstLine="284"/>
        <w:rPr>
          <w:i/>
          <w:szCs w:val="24"/>
          <w:lang w:val="en-US"/>
        </w:rPr>
      </w:pPr>
      <w:r w:rsidRPr="00D337FA">
        <w:rPr>
          <w:i/>
          <w:szCs w:val="24"/>
          <w:lang w:val="en-US"/>
        </w:rPr>
        <w:t>26.</w:t>
      </w:r>
      <w:r w:rsidR="006C680D" w:rsidRPr="00D337FA">
        <w:rPr>
          <w:i/>
          <w:szCs w:val="24"/>
          <w:lang w:val="en-US"/>
        </w:rPr>
        <w:t xml:space="preserve"> </w:t>
      </w:r>
      <w:r w:rsidRPr="00D337FA">
        <w:rPr>
          <w:i/>
          <w:szCs w:val="24"/>
          <w:lang w:val="en-US"/>
        </w:rPr>
        <w:t>Arkhipov</w:t>
      </w:r>
      <w:r w:rsidR="006C680D" w:rsidRPr="00D337FA">
        <w:rPr>
          <w:i/>
          <w:szCs w:val="24"/>
          <w:lang w:val="en-US"/>
        </w:rPr>
        <w:t xml:space="preserve"> </w:t>
      </w:r>
      <w:r w:rsidRPr="00D337FA">
        <w:rPr>
          <w:i/>
          <w:szCs w:val="24"/>
          <w:lang w:val="en-US"/>
        </w:rPr>
        <w:t>A.P.</w:t>
      </w:r>
      <w:r w:rsidR="006C680D" w:rsidRPr="00D337FA">
        <w:rPr>
          <w:i/>
          <w:szCs w:val="24"/>
          <w:lang w:val="en-US"/>
        </w:rPr>
        <w:t xml:space="preserve"> </w:t>
      </w:r>
      <w:r w:rsidR="00ED5489" w:rsidRPr="00D337FA">
        <w:rPr>
          <w:i/>
          <w:szCs w:val="24"/>
          <w:lang w:val="en-US"/>
        </w:rPr>
        <w:t>O</w:t>
      </w:r>
      <w:r w:rsidR="006C680D" w:rsidRPr="00D337FA">
        <w:rPr>
          <w:i/>
          <w:szCs w:val="24"/>
          <w:lang w:val="en-US"/>
        </w:rPr>
        <w:t xml:space="preserve"> </w:t>
      </w:r>
      <w:r w:rsidR="00ED5489" w:rsidRPr="00D337FA">
        <w:rPr>
          <w:i/>
          <w:szCs w:val="24"/>
          <w:lang w:val="en-US"/>
        </w:rPr>
        <w:t>perspektivah</w:t>
      </w:r>
      <w:r w:rsidR="006C680D" w:rsidRPr="00D337FA">
        <w:rPr>
          <w:i/>
          <w:szCs w:val="24"/>
          <w:lang w:val="en-US"/>
        </w:rPr>
        <w:t xml:space="preserve"> </w:t>
      </w:r>
      <w:r w:rsidR="00ED5489" w:rsidRPr="00D337FA">
        <w:rPr>
          <w:i/>
          <w:szCs w:val="24"/>
          <w:lang w:val="en-US"/>
        </w:rPr>
        <w:t>obyazatel'nogo</w:t>
      </w:r>
      <w:r w:rsidR="006C680D" w:rsidRPr="00D337FA">
        <w:rPr>
          <w:i/>
          <w:szCs w:val="24"/>
          <w:lang w:val="en-US"/>
        </w:rPr>
        <w:t xml:space="preserve"> </w:t>
      </w:r>
      <w:r w:rsidR="00ED5489" w:rsidRPr="00D337FA">
        <w:rPr>
          <w:i/>
          <w:szCs w:val="24"/>
          <w:lang w:val="en-US"/>
        </w:rPr>
        <w:t>pensionnogo</w:t>
      </w:r>
      <w:r w:rsidR="006C680D" w:rsidRPr="00D337FA">
        <w:rPr>
          <w:i/>
          <w:szCs w:val="24"/>
          <w:lang w:val="en-US"/>
        </w:rPr>
        <w:t xml:space="preserve"> </w:t>
      </w:r>
      <w:r w:rsidR="00ED5489" w:rsidRPr="00D337FA">
        <w:rPr>
          <w:i/>
          <w:szCs w:val="24"/>
          <w:lang w:val="en-US"/>
        </w:rPr>
        <w:t>strahovaniya</w:t>
      </w:r>
      <w:r w:rsidR="006C680D" w:rsidRPr="00D337FA">
        <w:rPr>
          <w:i/>
          <w:szCs w:val="24"/>
          <w:lang w:val="en-US"/>
        </w:rPr>
        <w:t xml:space="preserve"> </w:t>
      </w:r>
      <w:r w:rsidR="00ED5489" w:rsidRPr="00D337FA">
        <w:rPr>
          <w:i/>
          <w:szCs w:val="24"/>
          <w:lang w:val="en-US"/>
        </w:rPr>
        <w:t>[</w:t>
      </w:r>
      <w:r w:rsidRPr="00D337FA">
        <w:rPr>
          <w:i/>
          <w:szCs w:val="24"/>
          <w:lang w:val="en-US"/>
        </w:rPr>
        <w:t>On</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prospects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compulsory</w:t>
      </w:r>
      <w:r w:rsidR="006C680D" w:rsidRPr="00D337FA">
        <w:rPr>
          <w:i/>
          <w:szCs w:val="24"/>
          <w:lang w:val="en-US"/>
        </w:rPr>
        <w:t xml:space="preserve"> </w:t>
      </w:r>
      <w:r w:rsidRPr="00D337FA">
        <w:rPr>
          <w:i/>
          <w:szCs w:val="24"/>
          <w:lang w:val="en-US"/>
        </w:rPr>
        <w:t>pension</w:t>
      </w:r>
      <w:r w:rsidR="006C680D" w:rsidRPr="00D337FA">
        <w:rPr>
          <w:i/>
          <w:szCs w:val="24"/>
          <w:lang w:val="en-US"/>
        </w:rPr>
        <w:t xml:space="preserve"> </w:t>
      </w:r>
      <w:r w:rsidRPr="00D337FA">
        <w:rPr>
          <w:i/>
          <w:szCs w:val="24"/>
          <w:lang w:val="en-US"/>
        </w:rPr>
        <w:t>insurance</w:t>
      </w:r>
      <w:r w:rsidR="00ED5489"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ED5489" w:rsidRPr="00D337FA">
        <w:rPr>
          <w:i/>
          <w:szCs w:val="24"/>
          <w:lang w:val="en-US"/>
        </w:rPr>
        <w:t>Finansy</w:t>
      </w:r>
      <w:r w:rsidR="006C680D" w:rsidRPr="00D337FA">
        <w:rPr>
          <w:i/>
          <w:szCs w:val="24"/>
          <w:lang w:val="en-US"/>
        </w:rPr>
        <w:t xml:space="preserve"> </w:t>
      </w:r>
      <w:r w:rsidR="00ED5489" w:rsidRPr="00D337FA">
        <w:rPr>
          <w:i/>
          <w:szCs w:val="24"/>
          <w:lang w:val="en-US"/>
        </w:rPr>
        <w:t>–</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2021.</w:t>
      </w:r>
      <w:r w:rsidR="006C680D" w:rsidRPr="00D337FA">
        <w:rPr>
          <w:i/>
          <w:szCs w:val="24"/>
          <w:lang w:val="en-US"/>
        </w:rPr>
        <w:t xml:space="preserve"> </w:t>
      </w:r>
      <w:r w:rsidRPr="00D337FA">
        <w:rPr>
          <w:i/>
          <w:szCs w:val="24"/>
          <w:lang w:val="en-US"/>
        </w:rPr>
        <w:t>No.</w:t>
      </w:r>
      <w:r w:rsidR="006C680D" w:rsidRPr="00D337FA">
        <w:rPr>
          <w:i/>
          <w:szCs w:val="24"/>
          <w:lang w:val="en-US"/>
        </w:rPr>
        <w:t xml:space="preserve"> </w:t>
      </w:r>
      <w:r w:rsidRPr="00D337FA">
        <w:rPr>
          <w:i/>
          <w:szCs w:val="24"/>
          <w:lang w:val="en-US"/>
        </w:rPr>
        <w:t>7.</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59-64.</w:t>
      </w:r>
    </w:p>
    <w:p w:rsidR="005411F4" w:rsidRPr="00D337FA" w:rsidRDefault="005411F4" w:rsidP="005411F4">
      <w:pPr>
        <w:ind w:firstLine="284"/>
        <w:rPr>
          <w:i/>
          <w:szCs w:val="24"/>
          <w:lang w:val="en-US"/>
        </w:rPr>
      </w:pPr>
      <w:r w:rsidRPr="00D337FA">
        <w:rPr>
          <w:i/>
          <w:szCs w:val="24"/>
          <w:lang w:val="en-US"/>
        </w:rPr>
        <w:t>27.</w:t>
      </w:r>
      <w:r w:rsidR="006C680D" w:rsidRPr="00D337FA">
        <w:rPr>
          <w:i/>
          <w:szCs w:val="24"/>
          <w:lang w:val="en-US"/>
        </w:rPr>
        <w:t xml:space="preserve"> </w:t>
      </w:r>
      <w:r w:rsidRPr="00D337FA">
        <w:rPr>
          <w:i/>
          <w:szCs w:val="24"/>
          <w:lang w:val="en-US"/>
        </w:rPr>
        <w:t>Guo</w:t>
      </w:r>
      <w:r w:rsidR="006C680D" w:rsidRPr="00D337FA">
        <w:rPr>
          <w:i/>
          <w:szCs w:val="24"/>
          <w:lang w:val="en-US"/>
        </w:rPr>
        <w:t xml:space="preserve"> </w:t>
      </w:r>
      <w:r w:rsidRPr="00D337FA">
        <w:rPr>
          <w:i/>
          <w:szCs w:val="24"/>
          <w:lang w:val="en-US"/>
        </w:rPr>
        <w:t>Zhenhua.</w:t>
      </w:r>
      <w:r w:rsidR="006C680D" w:rsidRPr="00D337FA">
        <w:rPr>
          <w:i/>
          <w:szCs w:val="24"/>
          <w:lang w:val="en-US"/>
        </w:rPr>
        <w:t xml:space="preserve"> </w:t>
      </w:r>
      <w:r w:rsidRPr="00D337FA">
        <w:rPr>
          <w:i/>
          <w:szCs w:val="24"/>
          <w:lang w:val="en-US"/>
        </w:rPr>
        <w:t>The</w:t>
      </w:r>
      <w:r w:rsidR="006C680D" w:rsidRPr="00D337FA">
        <w:rPr>
          <w:i/>
          <w:szCs w:val="24"/>
          <w:lang w:val="en-US"/>
        </w:rPr>
        <w:t xml:space="preserve"> </w:t>
      </w:r>
      <w:r w:rsidRPr="00D337FA">
        <w:rPr>
          <w:i/>
          <w:szCs w:val="24"/>
          <w:lang w:val="en-US"/>
        </w:rPr>
        <w:t>role</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in</w:t>
      </w:r>
      <w:r w:rsidR="006C680D" w:rsidRPr="00D337FA">
        <w:rPr>
          <w:i/>
          <w:szCs w:val="24"/>
          <w:lang w:val="en-US"/>
        </w:rPr>
        <w:t xml:space="preserve"> </w:t>
      </w:r>
      <w:r w:rsidRPr="00D337FA">
        <w:rPr>
          <w:i/>
          <w:szCs w:val="24"/>
          <w:lang w:val="en-US"/>
        </w:rPr>
        <w:t>supply</w:t>
      </w:r>
      <w:r w:rsidR="006C680D" w:rsidRPr="00D337FA">
        <w:rPr>
          <w:i/>
          <w:szCs w:val="24"/>
          <w:lang w:val="en-US"/>
        </w:rPr>
        <w:t xml:space="preserve"> </w:t>
      </w:r>
      <w:r w:rsidRPr="00D337FA">
        <w:rPr>
          <w:i/>
          <w:szCs w:val="24"/>
          <w:lang w:val="en-US"/>
        </w:rPr>
        <w:t>chain</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Pr="00D337FA">
        <w:rPr>
          <w:i/>
          <w:szCs w:val="24"/>
          <w:lang w:val="en-US"/>
        </w:rPr>
        <w:t>Finance</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Economics.</w:t>
      </w:r>
      <w:r w:rsidR="006C680D" w:rsidRPr="00D337FA">
        <w:rPr>
          <w:i/>
          <w:szCs w:val="24"/>
          <w:lang w:val="en-US"/>
        </w:rPr>
        <w:t xml:space="preserve"> </w:t>
      </w:r>
      <w:r w:rsidRPr="00D337FA">
        <w:rPr>
          <w:i/>
          <w:szCs w:val="24"/>
          <w:lang w:val="en-US"/>
        </w:rPr>
        <w:t>2020.</w:t>
      </w:r>
      <w:r w:rsidR="006C680D" w:rsidRPr="00D337FA">
        <w:rPr>
          <w:i/>
          <w:szCs w:val="24"/>
          <w:lang w:val="en-US"/>
        </w:rPr>
        <w:t xml:space="preserve"> </w:t>
      </w:r>
      <w:r w:rsidRPr="00D337FA">
        <w:rPr>
          <w:i/>
          <w:szCs w:val="24"/>
          <w:lang w:val="en-US"/>
        </w:rPr>
        <w:t>Vol.</w:t>
      </w:r>
      <w:r w:rsidR="006C680D" w:rsidRPr="00D337FA">
        <w:rPr>
          <w:i/>
          <w:szCs w:val="24"/>
          <w:lang w:val="en-US"/>
        </w:rPr>
        <w:t xml:space="preserve"> </w:t>
      </w:r>
      <w:r w:rsidRPr="00D337FA">
        <w:rPr>
          <w:i/>
          <w:szCs w:val="24"/>
          <w:lang w:val="en-US"/>
        </w:rPr>
        <w:t>7.</w:t>
      </w:r>
      <w:r w:rsidR="006C680D" w:rsidRPr="00D337FA">
        <w:rPr>
          <w:i/>
          <w:szCs w:val="24"/>
          <w:lang w:val="en-US"/>
        </w:rPr>
        <w:t xml:space="preserve"> </w:t>
      </w:r>
      <w:r w:rsidRPr="00D337FA">
        <w:rPr>
          <w:i/>
          <w:szCs w:val="24"/>
          <w:lang w:val="en-US"/>
        </w:rPr>
        <w:t>P.</w:t>
      </w:r>
      <w:r w:rsidR="006C680D" w:rsidRPr="00D337FA">
        <w:rPr>
          <w:i/>
          <w:szCs w:val="24"/>
          <w:lang w:val="en-US"/>
        </w:rPr>
        <w:t xml:space="preserve"> </w:t>
      </w:r>
      <w:r w:rsidRPr="00D337FA">
        <w:rPr>
          <w:i/>
          <w:szCs w:val="24"/>
          <w:lang w:val="en-US"/>
        </w:rPr>
        <w:t>32</w:t>
      </w:r>
    </w:p>
    <w:p w:rsidR="00A86B27" w:rsidRPr="00FC7AC6" w:rsidRDefault="005411F4" w:rsidP="00B91B4B">
      <w:pPr>
        <w:ind w:firstLine="284"/>
        <w:rPr>
          <w:i/>
          <w:szCs w:val="24"/>
        </w:rPr>
      </w:pPr>
      <w:r w:rsidRPr="00D337FA">
        <w:rPr>
          <w:i/>
          <w:szCs w:val="24"/>
          <w:lang w:val="en-US"/>
        </w:rPr>
        <w:t>28.</w:t>
      </w:r>
      <w:r w:rsidR="006C680D" w:rsidRPr="00D337FA">
        <w:rPr>
          <w:i/>
          <w:szCs w:val="24"/>
          <w:lang w:val="en-US"/>
        </w:rPr>
        <w:t xml:space="preserve"> </w:t>
      </w:r>
      <w:r w:rsidRPr="00D337FA">
        <w:rPr>
          <w:i/>
          <w:szCs w:val="24"/>
          <w:lang w:val="en-US"/>
        </w:rPr>
        <w:t>Aksyutina</w:t>
      </w:r>
      <w:r w:rsidR="006C680D" w:rsidRPr="00D337FA">
        <w:rPr>
          <w:i/>
          <w:szCs w:val="24"/>
          <w:lang w:val="en-US"/>
        </w:rPr>
        <w:t xml:space="preserve"> </w:t>
      </w:r>
      <w:r w:rsidRPr="00D337FA">
        <w:rPr>
          <w:i/>
          <w:szCs w:val="24"/>
          <w:lang w:val="en-US"/>
        </w:rPr>
        <w:t>S.</w:t>
      </w:r>
      <w:r w:rsidR="006C680D" w:rsidRPr="00D337FA">
        <w:rPr>
          <w:i/>
          <w:szCs w:val="24"/>
          <w:lang w:val="en-US"/>
        </w:rPr>
        <w:t xml:space="preserve"> </w:t>
      </w:r>
      <w:r w:rsidRPr="00D337FA">
        <w:rPr>
          <w:i/>
          <w:szCs w:val="24"/>
          <w:lang w:val="en-US"/>
        </w:rPr>
        <w:t>V.</w:t>
      </w:r>
      <w:r w:rsidR="006C680D" w:rsidRPr="00D337FA">
        <w:rPr>
          <w:i/>
          <w:szCs w:val="24"/>
          <w:lang w:val="en-US"/>
        </w:rPr>
        <w:t xml:space="preserve"> </w:t>
      </w:r>
      <w:r w:rsidR="008A4488" w:rsidRPr="00D337FA">
        <w:rPr>
          <w:i/>
          <w:szCs w:val="24"/>
          <w:lang w:val="en-US"/>
        </w:rPr>
        <w:t>Strahovoj</w:t>
      </w:r>
      <w:r w:rsidR="006C680D" w:rsidRPr="00D337FA">
        <w:rPr>
          <w:i/>
          <w:szCs w:val="24"/>
          <w:lang w:val="en-US"/>
        </w:rPr>
        <w:t xml:space="preserve"> </w:t>
      </w:r>
      <w:r w:rsidR="008A4488" w:rsidRPr="00D337FA">
        <w:rPr>
          <w:i/>
          <w:szCs w:val="24"/>
          <w:lang w:val="en-US"/>
        </w:rPr>
        <w:t>rynok</w:t>
      </w:r>
      <w:r w:rsidR="006C680D" w:rsidRPr="00D337FA">
        <w:rPr>
          <w:i/>
          <w:szCs w:val="24"/>
          <w:lang w:val="en-US"/>
        </w:rPr>
        <w:t xml:space="preserve"> </w:t>
      </w:r>
      <w:r w:rsidR="008A4488" w:rsidRPr="00D337FA">
        <w:rPr>
          <w:i/>
          <w:szCs w:val="24"/>
          <w:lang w:val="en-US"/>
        </w:rPr>
        <w:t>RF:</w:t>
      </w:r>
      <w:r w:rsidR="006C680D" w:rsidRPr="00D337FA">
        <w:rPr>
          <w:i/>
          <w:szCs w:val="24"/>
          <w:lang w:val="en-US"/>
        </w:rPr>
        <w:t xml:space="preserve"> </w:t>
      </w:r>
      <w:r w:rsidR="008A4488" w:rsidRPr="00D337FA">
        <w:rPr>
          <w:i/>
          <w:szCs w:val="24"/>
          <w:lang w:val="en-US"/>
        </w:rPr>
        <w:t>problemy</w:t>
      </w:r>
      <w:r w:rsidR="006C680D" w:rsidRPr="00D337FA">
        <w:rPr>
          <w:i/>
          <w:szCs w:val="24"/>
          <w:lang w:val="en-US"/>
        </w:rPr>
        <w:t xml:space="preserve"> </w:t>
      </w:r>
      <w:r w:rsidR="008A4488" w:rsidRPr="00D337FA">
        <w:rPr>
          <w:i/>
          <w:szCs w:val="24"/>
          <w:lang w:val="en-US"/>
        </w:rPr>
        <w:t>i</w:t>
      </w:r>
      <w:r w:rsidR="006C680D" w:rsidRPr="00D337FA">
        <w:rPr>
          <w:i/>
          <w:szCs w:val="24"/>
          <w:lang w:val="en-US"/>
        </w:rPr>
        <w:t xml:space="preserve"> </w:t>
      </w:r>
      <w:r w:rsidR="008A4488" w:rsidRPr="00D337FA">
        <w:rPr>
          <w:i/>
          <w:szCs w:val="24"/>
          <w:lang w:val="en-US"/>
        </w:rPr>
        <w:t>perspektivy</w:t>
      </w:r>
      <w:r w:rsidR="006C680D" w:rsidRPr="00D337FA">
        <w:rPr>
          <w:i/>
          <w:szCs w:val="24"/>
          <w:lang w:val="en-US"/>
        </w:rPr>
        <w:t xml:space="preserve"> </w:t>
      </w:r>
      <w:r w:rsidR="008A4488" w:rsidRPr="00D337FA">
        <w:rPr>
          <w:i/>
          <w:szCs w:val="24"/>
          <w:lang w:val="en-US"/>
        </w:rPr>
        <w:t>[</w:t>
      </w:r>
      <w:r w:rsidRPr="00D337FA">
        <w:rPr>
          <w:i/>
          <w:szCs w:val="24"/>
          <w:lang w:val="en-US"/>
        </w:rPr>
        <w:t>The</w:t>
      </w:r>
      <w:r w:rsidR="006C680D" w:rsidRPr="00D337FA">
        <w:rPr>
          <w:i/>
          <w:szCs w:val="24"/>
          <w:lang w:val="en-US"/>
        </w:rPr>
        <w:t xml:space="preserve"> </w:t>
      </w:r>
      <w:r w:rsidRPr="00D337FA">
        <w:rPr>
          <w:i/>
          <w:szCs w:val="24"/>
          <w:lang w:val="en-US"/>
        </w:rPr>
        <w:t>Russian</w:t>
      </w:r>
      <w:r w:rsidR="006C680D" w:rsidRPr="00D337FA">
        <w:rPr>
          <w:i/>
          <w:szCs w:val="24"/>
          <w:lang w:val="en-US"/>
        </w:rPr>
        <w:t xml:space="preserve"> </w:t>
      </w:r>
      <w:r w:rsidRPr="00D337FA">
        <w:rPr>
          <w:i/>
          <w:szCs w:val="24"/>
          <w:lang w:val="en-US"/>
        </w:rPr>
        <w:t>insurance</w:t>
      </w:r>
      <w:r w:rsidR="006C680D" w:rsidRPr="00D337FA">
        <w:rPr>
          <w:i/>
          <w:szCs w:val="24"/>
          <w:lang w:val="en-US"/>
        </w:rPr>
        <w:t xml:space="preserve"> </w:t>
      </w:r>
      <w:r w:rsidRPr="00D337FA">
        <w:rPr>
          <w:i/>
          <w:szCs w:val="24"/>
          <w:lang w:val="en-US"/>
        </w:rPr>
        <w:t>market:</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and</w:t>
      </w:r>
      <w:r w:rsidR="006C680D" w:rsidRPr="00D337FA">
        <w:rPr>
          <w:i/>
          <w:szCs w:val="24"/>
          <w:lang w:val="en-US"/>
        </w:rPr>
        <w:t xml:space="preserve"> </w:t>
      </w:r>
      <w:r w:rsidRPr="00D337FA">
        <w:rPr>
          <w:i/>
          <w:szCs w:val="24"/>
          <w:lang w:val="en-US"/>
        </w:rPr>
        <w:t>prospects</w:t>
      </w:r>
      <w:r w:rsidR="008A4488" w:rsidRPr="00D337FA">
        <w:rPr>
          <w:i/>
          <w:szCs w:val="24"/>
          <w:lang w:val="en-US"/>
        </w:rPr>
        <w:t>]</w:t>
      </w:r>
      <w:r w:rsidR="006C680D" w:rsidRPr="00D337FA">
        <w:rPr>
          <w:i/>
          <w:szCs w:val="24"/>
          <w:lang w:val="en-US"/>
        </w:rPr>
        <w:t xml:space="preserve"> </w:t>
      </w:r>
      <w:r w:rsidRPr="00D337FA">
        <w:rPr>
          <w:i/>
          <w:szCs w:val="24"/>
          <w:lang w:val="en-US"/>
        </w:rPr>
        <w:t>//</w:t>
      </w:r>
      <w:r w:rsidR="006C680D" w:rsidRPr="00D337FA">
        <w:rPr>
          <w:i/>
          <w:szCs w:val="24"/>
          <w:lang w:val="en-US"/>
        </w:rPr>
        <w:t xml:space="preserve"> </w:t>
      </w:r>
      <w:r w:rsidR="008A4488" w:rsidRPr="00D337FA">
        <w:rPr>
          <w:i/>
          <w:szCs w:val="24"/>
          <w:lang w:val="en-US"/>
        </w:rPr>
        <w:t>Problemy</w:t>
      </w:r>
      <w:r w:rsidR="006C680D" w:rsidRPr="00D337FA">
        <w:rPr>
          <w:i/>
          <w:szCs w:val="24"/>
          <w:lang w:val="en-US"/>
        </w:rPr>
        <w:t xml:space="preserve"> </w:t>
      </w:r>
      <w:r w:rsidR="008A4488" w:rsidRPr="00D337FA">
        <w:rPr>
          <w:i/>
          <w:szCs w:val="24"/>
          <w:lang w:val="en-US"/>
        </w:rPr>
        <w:t>razvi-tiya</w:t>
      </w:r>
      <w:r w:rsidR="006C680D" w:rsidRPr="00D337FA">
        <w:rPr>
          <w:i/>
          <w:szCs w:val="24"/>
          <w:lang w:val="en-US"/>
        </w:rPr>
        <w:t xml:space="preserve"> </w:t>
      </w:r>
      <w:r w:rsidR="008A4488" w:rsidRPr="00D337FA">
        <w:rPr>
          <w:i/>
          <w:szCs w:val="24"/>
          <w:lang w:val="en-US"/>
        </w:rPr>
        <w:t>territorii</w:t>
      </w:r>
      <w:r w:rsidR="006C680D" w:rsidRPr="00D337FA">
        <w:rPr>
          <w:i/>
          <w:szCs w:val="24"/>
          <w:lang w:val="en-US"/>
        </w:rPr>
        <w:t xml:space="preserve"> </w:t>
      </w:r>
      <w:r w:rsidR="008A4488" w:rsidRPr="00D337FA">
        <w:rPr>
          <w:i/>
          <w:szCs w:val="24"/>
          <w:lang w:val="en-US"/>
        </w:rPr>
        <w:t>–</w:t>
      </w:r>
      <w:r w:rsidR="006C680D" w:rsidRPr="00D337FA">
        <w:rPr>
          <w:i/>
          <w:szCs w:val="24"/>
          <w:lang w:val="en-US"/>
        </w:rPr>
        <w:t xml:space="preserve"> </w:t>
      </w:r>
      <w:r w:rsidRPr="00D337FA">
        <w:rPr>
          <w:i/>
          <w:szCs w:val="24"/>
          <w:lang w:val="en-US"/>
        </w:rPr>
        <w:t>Problems</w:t>
      </w:r>
      <w:r w:rsidR="006C680D" w:rsidRPr="00D337FA">
        <w:rPr>
          <w:i/>
          <w:szCs w:val="24"/>
          <w:lang w:val="en-US"/>
        </w:rPr>
        <w:t xml:space="preserve"> </w:t>
      </w:r>
      <w:r w:rsidRPr="00D337FA">
        <w:rPr>
          <w:i/>
          <w:szCs w:val="24"/>
          <w:lang w:val="en-US"/>
        </w:rPr>
        <w:t>of</w:t>
      </w:r>
      <w:r w:rsidR="006C680D" w:rsidRPr="00D337FA">
        <w:rPr>
          <w:i/>
          <w:szCs w:val="24"/>
          <w:lang w:val="en-US"/>
        </w:rPr>
        <w:t xml:space="preserve"> </w:t>
      </w:r>
      <w:r w:rsidRPr="00D337FA">
        <w:rPr>
          <w:i/>
          <w:szCs w:val="24"/>
          <w:lang w:val="en-US"/>
        </w:rPr>
        <w:t>territorial</w:t>
      </w:r>
      <w:r w:rsidR="006C680D" w:rsidRPr="00D337FA">
        <w:rPr>
          <w:i/>
          <w:szCs w:val="24"/>
          <w:lang w:val="en-US"/>
        </w:rPr>
        <w:t xml:space="preserve"> </w:t>
      </w:r>
      <w:r w:rsidRPr="00D337FA">
        <w:rPr>
          <w:i/>
          <w:szCs w:val="24"/>
          <w:lang w:val="en-US"/>
        </w:rPr>
        <w:t>development.</w:t>
      </w:r>
      <w:r w:rsidR="006C680D" w:rsidRPr="00D337FA">
        <w:rPr>
          <w:i/>
          <w:szCs w:val="24"/>
          <w:lang w:val="en-US"/>
        </w:rPr>
        <w:t xml:space="preserve"> </w:t>
      </w:r>
      <w:r w:rsidRPr="00FC7AC6">
        <w:rPr>
          <w:i/>
          <w:szCs w:val="24"/>
        </w:rPr>
        <w:t>2022.</w:t>
      </w:r>
      <w:r w:rsidR="006C680D" w:rsidRPr="00FC7AC6">
        <w:rPr>
          <w:i/>
          <w:szCs w:val="24"/>
        </w:rPr>
        <w:t xml:space="preserve"> </w:t>
      </w:r>
      <w:r w:rsidRPr="00D337FA">
        <w:rPr>
          <w:i/>
          <w:szCs w:val="24"/>
          <w:lang w:val="en-US"/>
        </w:rPr>
        <w:t>No</w:t>
      </w:r>
      <w:r w:rsidRPr="00FC7AC6">
        <w:rPr>
          <w:i/>
          <w:szCs w:val="24"/>
        </w:rPr>
        <w:t>.</w:t>
      </w:r>
      <w:r w:rsidR="006C680D" w:rsidRPr="00FC7AC6">
        <w:rPr>
          <w:i/>
          <w:szCs w:val="24"/>
        </w:rPr>
        <w:t xml:space="preserve"> </w:t>
      </w:r>
      <w:r w:rsidRPr="00FC7AC6">
        <w:rPr>
          <w:i/>
          <w:szCs w:val="24"/>
        </w:rPr>
        <w:t>2.</w:t>
      </w:r>
      <w:r w:rsidR="006C680D" w:rsidRPr="00FC7AC6">
        <w:rPr>
          <w:i/>
          <w:szCs w:val="24"/>
        </w:rPr>
        <w:t xml:space="preserve"> </w:t>
      </w:r>
      <w:r w:rsidRPr="00D337FA">
        <w:rPr>
          <w:i/>
          <w:szCs w:val="24"/>
          <w:lang w:val="en-US"/>
        </w:rPr>
        <w:t>P</w:t>
      </w:r>
      <w:r w:rsidRPr="00FC7AC6">
        <w:rPr>
          <w:i/>
          <w:szCs w:val="24"/>
        </w:rPr>
        <w:t>.</w:t>
      </w:r>
      <w:r w:rsidR="006C680D" w:rsidRPr="00FC7AC6">
        <w:rPr>
          <w:i/>
          <w:szCs w:val="24"/>
        </w:rPr>
        <w:t xml:space="preserve"> </w:t>
      </w:r>
      <w:r w:rsidRPr="00FC7AC6">
        <w:rPr>
          <w:i/>
          <w:szCs w:val="24"/>
        </w:rPr>
        <w:t>115-126.</w:t>
      </w:r>
    </w:p>
    <w:p w:rsidR="009D76B0" w:rsidRPr="00FC7AC6" w:rsidRDefault="009D76B0" w:rsidP="009D76B0">
      <w:pPr>
        <w:ind w:firstLine="0"/>
        <w:jc w:val="left"/>
        <w:rPr>
          <w:rFonts w:ascii="Arial" w:hAnsi="Arial" w:cs="Arial"/>
          <w:b/>
          <w:i/>
        </w:rPr>
      </w:pPr>
    </w:p>
    <w:p w:rsidR="009D76B0" w:rsidRPr="00FC7AC6" w:rsidRDefault="009D76B0" w:rsidP="009D76B0">
      <w:pPr>
        <w:autoSpaceDE w:val="0"/>
        <w:autoSpaceDN w:val="0"/>
        <w:adjustRightInd w:val="0"/>
        <w:ind w:firstLine="284"/>
        <w:textAlignment w:val="center"/>
        <w:rPr>
          <w:b/>
          <w:i/>
          <w:iCs/>
          <w:szCs w:val="24"/>
          <w:lang w:eastAsia="ru-RU"/>
        </w:rPr>
        <w:sectPr w:rsidR="009D76B0" w:rsidRPr="00FC7AC6" w:rsidSect="002E26D0">
          <w:footnotePr>
            <w:numRestart w:val="eachPage"/>
          </w:footnotePr>
          <w:type w:val="continuous"/>
          <w:pgSz w:w="11907" w:h="16840" w:code="9"/>
          <w:pgMar w:top="1418" w:right="1134" w:bottom="1418" w:left="1134" w:header="1021" w:footer="1021" w:gutter="0"/>
          <w:cols w:space="708"/>
          <w:docGrid w:linePitch="360"/>
        </w:sectPr>
      </w:pPr>
    </w:p>
    <w:p w:rsidR="00B91B4B" w:rsidRPr="00B42356" w:rsidRDefault="00B91B4B" w:rsidP="008A4488">
      <w:pPr>
        <w:widowControl w:val="0"/>
        <w:autoSpaceDE w:val="0"/>
        <w:autoSpaceDN w:val="0"/>
        <w:adjustRightInd w:val="0"/>
        <w:ind w:firstLine="284"/>
        <w:rPr>
          <w:rFonts w:eastAsia="Times New Roman"/>
          <w:i/>
          <w:lang w:eastAsia="ru-RU"/>
        </w:rPr>
      </w:pPr>
      <w:r w:rsidRPr="00B42356">
        <w:rPr>
          <w:rFonts w:eastAsia="Times New Roman"/>
          <w:b/>
          <w:i/>
          <w:lang w:eastAsia="ru-RU"/>
        </w:rPr>
        <w:lastRenderedPageBreak/>
        <w:t>Третьякова</w:t>
      </w:r>
      <w:r w:rsidR="006C680D" w:rsidRPr="00B42356">
        <w:rPr>
          <w:rFonts w:eastAsia="Times New Roman"/>
          <w:b/>
          <w:i/>
          <w:lang w:eastAsia="ru-RU"/>
        </w:rPr>
        <w:t xml:space="preserve"> </w:t>
      </w:r>
      <w:r w:rsidRPr="00B42356">
        <w:rPr>
          <w:rFonts w:eastAsia="Times New Roman"/>
          <w:b/>
          <w:i/>
          <w:lang w:eastAsia="ru-RU"/>
        </w:rPr>
        <w:t>Л</w:t>
      </w:r>
      <w:r w:rsidR="008A5AE7" w:rsidRPr="00B42356">
        <w:rPr>
          <w:rFonts w:eastAsia="Times New Roman"/>
          <w:b/>
          <w:i/>
          <w:lang w:eastAsia="ru-RU"/>
        </w:rPr>
        <w:t xml:space="preserve">ариса </w:t>
      </w:r>
      <w:r w:rsidR="00B42356">
        <w:rPr>
          <w:rFonts w:eastAsia="Times New Roman"/>
          <w:b/>
          <w:i/>
          <w:lang w:eastAsia="ru-RU"/>
        </w:rPr>
        <w:t>Александровна</w:t>
      </w:r>
      <w:r w:rsidR="00FC7AC6" w:rsidRPr="00B42356">
        <w:rPr>
          <w:rFonts w:eastAsia="Times New Roman"/>
          <w:b/>
          <w:i/>
          <w:lang w:eastAsia="ru-RU"/>
        </w:rPr>
        <w:t xml:space="preserve"> –</w:t>
      </w:r>
      <w:r w:rsidR="006C680D" w:rsidRPr="00B42356">
        <w:rPr>
          <w:rFonts w:eastAsia="Times New Roman"/>
          <w:b/>
          <w:i/>
          <w:lang w:eastAsia="ru-RU"/>
        </w:rPr>
        <w:t xml:space="preserve"> </w:t>
      </w:r>
      <w:r w:rsidRPr="00B42356">
        <w:rPr>
          <w:rFonts w:eastAsia="Times New Roman"/>
          <w:i/>
          <w:lang w:eastAsia="ru-RU"/>
        </w:rPr>
        <w:t>доктор</w:t>
      </w:r>
      <w:r w:rsidR="006C680D" w:rsidRPr="00B42356">
        <w:rPr>
          <w:rFonts w:eastAsia="Times New Roman"/>
          <w:i/>
          <w:lang w:eastAsia="ru-RU"/>
        </w:rPr>
        <w:t xml:space="preserve"> </w:t>
      </w:r>
      <w:r w:rsidRPr="00B42356">
        <w:rPr>
          <w:rFonts w:eastAsia="Times New Roman"/>
          <w:i/>
          <w:lang w:eastAsia="ru-RU"/>
        </w:rPr>
        <w:t>экономических</w:t>
      </w:r>
      <w:r w:rsidR="006C680D" w:rsidRPr="00B42356">
        <w:rPr>
          <w:rFonts w:eastAsia="Times New Roman"/>
          <w:i/>
          <w:lang w:eastAsia="ru-RU"/>
        </w:rPr>
        <w:t xml:space="preserve"> </w:t>
      </w:r>
      <w:r w:rsidRPr="00B42356">
        <w:rPr>
          <w:rFonts w:eastAsia="Times New Roman"/>
          <w:i/>
          <w:lang w:eastAsia="ru-RU"/>
        </w:rPr>
        <w:t>наук,</w:t>
      </w:r>
      <w:r w:rsidR="006C680D" w:rsidRPr="00B42356">
        <w:rPr>
          <w:rFonts w:eastAsia="Times New Roman"/>
          <w:i/>
          <w:lang w:eastAsia="ru-RU"/>
        </w:rPr>
        <w:t xml:space="preserve"> </w:t>
      </w:r>
      <w:r w:rsidRPr="00B42356">
        <w:rPr>
          <w:rFonts w:eastAsia="Times New Roman"/>
          <w:i/>
          <w:lang w:eastAsia="ru-RU"/>
        </w:rPr>
        <w:t>профессор</w:t>
      </w:r>
      <w:r w:rsidR="006C680D" w:rsidRPr="00B42356">
        <w:rPr>
          <w:rFonts w:eastAsia="Times New Roman"/>
          <w:i/>
          <w:lang w:eastAsia="ru-RU"/>
        </w:rPr>
        <w:t xml:space="preserve"> </w:t>
      </w:r>
      <w:r w:rsidRPr="00B42356">
        <w:rPr>
          <w:rFonts w:eastAsia="Times New Roman"/>
          <w:i/>
          <w:lang w:eastAsia="ru-RU"/>
        </w:rPr>
        <w:t>кафедры</w:t>
      </w:r>
      <w:r w:rsidR="006C680D" w:rsidRPr="00B42356">
        <w:rPr>
          <w:rFonts w:eastAsia="Times New Roman"/>
          <w:i/>
          <w:lang w:eastAsia="ru-RU"/>
        </w:rPr>
        <w:t xml:space="preserve"> </w:t>
      </w:r>
      <w:r w:rsidRPr="00B42356">
        <w:rPr>
          <w:rFonts w:eastAsia="Times New Roman"/>
          <w:i/>
          <w:lang w:eastAsia="ru-RU"/>
        </w:rPr>
        <w:t>менеджмента</w:t>
      </w:r>
      <w:r w:rsidR="006C680D" w:rsidRPr="00B42356">
        <w:rPr>
          <w:rFonts w:eastAsia="Times New Roman"/>
          <w:i/>
          <w:lang w:eastAsia="ru-RU"/>
        </w:rPr>
        <w:t xml:space="preserve"> </w:t>
      </w:r>
      <w:r w:rsidRPr="00B42356">
        <w:rPr>
          <w:rFonts w:eastAsia="Times New Roman"/>
          <w:i/>
          <w:lang w:eastAsia="ru-RU"/>
        </w:rPr>
        <w:t>и</w:t>
      </w:r>
      <w:r w:rsidR="006C680D" w:rsidRPr="00B42356">
        <w:rPr>
          <w:rFonts w:eastAsia="Times New Roman"/>
          <w:i/>
          <w:lang w:eastAsia="ru-RU"/>
        </w:rPr>
        <w:t xml:space="preserve"> </w:t>
      </w:r>
      <w:r w:rsidRPr="00B42356">
        <w:rPr>
          <w:rFonts w:eastAsia="Times New Roman"/>
          <w:i/>
          <w:lang w:eastAsia="ru-RU"/>
        </w:rPr>
        <w:t>маркетинга,</w:t>
      </w:r>
      <w:r w:rsidR="006C680D" w:rsidRPr="00B42356">
        <w:rPr>
          <w:rFonts w:eastAsia="Times New Roman"/>
          <w:i/>
          <w:lang w:eastAsia="ru-RU"/>
        </w:rPr>
        <w:t xml:space="preserve"> </w:t>
      </w:r>
      <w:r w:rsidRPr="00B42356">
        <w:rPr>
          <w:rFonts w:eastAsia="Times New Roman"/>
          <w:i/>
          <w:lang w:eastAsia="ru-RU"/>
        </w:rPr>
        <w:t>Белгородский</w:t>
      </w:r>
      <w:r w:rsidR="006C680D" w:rsidRPr="00B42356">
        <w:rPr>
          <w:rFonts w:eastAsia="Times New Roman"/>
          <w:i/>
          <w:lang w:eastAsia="ru-RU"/>
        </w:rPr>
        <w:t xml:space="preserve"> </w:t>
      </w:r>
      <w:r w:rsidRPr="00B42356">
        <w:rPr>
          <w:rFonts w:eastAsia="Times New Roman"/>
          <w:i/>
          <w:lang w:eastAsia="ru-RU"/>
        </w:rPr>
        <w:t>государственный</w:t>
      </w:r>
      <w:r w:rsidR="006C680D" w:rsidRPr="00B42356">
        <w:rPr>
          <w:rFonts w:eastAsia="Times New Roman"/>
          <w:i/>
          <w:lang w:eastAsia="ru-RU"/>
        </w:rPr>
        <w:t xml:space="preserve"> </w:t>
      </w:r>
      <w:r w:rsidRPr="00B42356">
        <w:rPr>
          <w:rFonts w:eastAsia="Times New Roman"/>
          <w:i/>
          <w:lang w:eastAsia="ru-RU"/>
        </w:rPr>
        <w:t>национальный</w:t>
      </w:r>
      <w:r w:rsidR="006C680D" w:rsidRPr="00B42356">
        <w:rPr>
          <w:rFonts w:eastAsia="Times New Roman"/>
          <w:i/>
          <w:lang w:eastAsia="ru-RU"/>
        </w:rPr>
        <w:t xml:space="preserve"> </w:t>
      </w:r>
      <w:r w:rsidRPr="00B42356">
        <w:rPr>
          <w:rFonts w:eastAsia="Times New Roman"/>
          <w:i/>
          <w:lang w:eastAsia="ru-RU"/>
        </w:rPr>
        <w:t>исследовательский</w:t>
      </w:r>
      <w:r w:rsidR="006C680D" w:rsidRPr="00B42356">
        <w:rPr>
          <w:rFonts w:eastAsia="Times New Roman"/>
          <w:i/>
          <w:lang w:eastAsia="ru-RU"/>
        </w:rPr>
        <w:t xml:space="preserve"> </w:t>
      </w:r>
      <w:r w:rsidRPr="00B42356">
        <w:rPr>
          <w:rFonts w:eastAsia="Times New Roman"/>
          <w:i/>
          <w:lang w:eastAsia="ru-RU"/>
        </w:rPr>
        <w:t>университет,</w:t>
      </w:r>
      <w:r w:rsidR="006C680D" w:rsidRPr="00B42356">
        <w:rPr>
          <w:rFonts w:eastAsia="Times New Roman"/>
          <w:i/>
          <w:lang w:eastAsia="ru-RU"/>
        </w:rPr>
        <w:t xml:space="preserve"> </w:t>
      </w:r>
      <w:r w:rsidR="00B42356" w:rsidRPr="00D337FA">
        <w:rPr>
          <w:i/>
          <w:iCs/>
          <w:szCs w:val="24"/>
        </w:rPr>
        <w:t xml:space="preserve">Россия, </w:t>
      </w:r>
      <w:r w:rsidRPr="00B42356">
        <w:rPr>
          <w:rFonts w:eastAsia="Times New Roman"/>
          <w:i/>
          <w:lang w:eastAsia="ru-RU"/>
        </w:rPr>
        <w:t>3080</w:t>
      </w:r>
      <w:r w:rsidR="00FC7AC6" w:rsidRPr="00B42356">
        <w:rPr>
          <w:rFonts w:eastAsia="Times New Roman"/>
          <w:i/>
          <w:lang w:eastAsia="ru-RU"/>
        </w:rPr>
        <w:t>15</w:t>
      </w:r>
      <w:r w:rsidRPr="00B42356">
        <w:rPr>
          <w:rFonts w:eastAsia="Times New Roman"/>
          <w:i/>
          <w:lang w:eastAsia="ru-RU"/>
        </w:rPr>
        <w:t>,</w:t>
      </w:r>
      <w:r w:rsidR="006C680D" w:rsidRPr="00B42356">
        <w:rPr>
          <w:rFonts w:eastAsia="Times New Roman"/>
          <w:i/>
          <w:lang w:eastAsia="ru-RU"/>
        </w:rPr>
        <w:t xml:space="preserve"> </w:t>
      </w:r>
      <w:r w:rsidRPr="00B42356">
        <w:rPr>
          <w:rFonts w:eastAsia="Times New Roman"/>
          <w:i/>
          <w:lang w:eastAsia="ru-RU"/>
        </w:rPr>
        <w:t>г.</w:t>
      </w:r>
      <w:r w:rsidR="006C680D" w:rsidRPr="00B42356">
        <w:rPr>
          <w:rFonts w:eastAsia="Times New Roman"/>
          <w:i/>
          <w:lang w:eastAsia="ru-RU"/>
        </w:rPr>
        <w:t xml:space="preserve"> </w:t>
      </w:r>
      <w:r w:rsidRPr="00B42356">
        <w:rPr>
          <w:rFonts w:eastAsia="Times New Roman"/>
          <w:i/>
          <w:lang w:eastAsia="ru-RU"/>
        </w:rPr>
        <w:t>Белгород,</w:t>
      </w:r>
      <w:r w:rsidR="00FC7AC6" w:rsidRPr="00B42356">
        <w:rPr>
          <w:rFonts w:eastAsia="Times New Roman"/>
          <w:i/>
          <w:lang w:eastAsia="ru-RU"/>
        </w:rPr>
        <w:t xml:space="preserve"> ул. Победы, 85</w:t>
      </w:r>
      <w:r w:rsidR="00B42356">
        <w:rPr>
          <w:rFonts w:eastAsia="Times New Roman"/>
          <w:i/>
          <w:lang w:eastAsia="ru-RU"/>
        </w:rPr>
        <w:t>;</w:t>
      </w:r>
      <w:r w:rsidR="006C680D" w:rsidRPr="00B42356">
        <w:rPr>
          <w:rFonts w:eastAsia="Times New Roman"/>
          <w:i/>
          <w:lang w:eastAsia="ru-RU"/>
        </w:rPr>
        <w:t xml:space="preserve"> </w:t>
      </w:r>
      <w:r w:rsidR="00B42356" w:rsidRPr="00B42356">
        <w:rPr>
          <w:rFonts w:eastAsia="Times New Roman"/>
          <w:i/>
          <w:lang w:eastAsia="ru-RU"/>
        </w:rPr>
        <w:t xml:space="preserve">E-mail: </w:t>
      </w:r>
      <w:hyperlink r:id="rId44" w:history="1">
        <w:r w:rsidRPr="00B42356">
          <w:rPr>
            <w:rFonts w:eastAsia="Times New Roman"/>
            <w:i/>
            <w:lang w:val="en-US" w:eastAsia="ru-RU"/>
          </w:rPr>
          <w:t>lora</w:t>
        </w:r>
        <w:r w:rsidRPr="00B42356">
          <w:rPr>
            <w:rFonts w:eastAsia="Times New Roman"/>
            <w:i/>
            <w:lang w:eastAsia="ru-RU"/>
          </w:rPr>
          <w:t>_</w:t>
        </w:r>
        <w:r w:rsidRPr="00B42356">
          <w:rPr>
            <w:rFonts w:eastAsia="Times New Roman"/>
            <w:i/>
            <w:lang w:val="en-US" w:eastAsia="ru-RU"/>
          </w:rPr>
          <w:t>tretyakova</w:t>
        </w:r>
        <w:r w:rsidRPr="00B42356">
          <w:rPr>
            <w:rFonts w:eastAsia="Times New Roman"/>
            <w:i/>
            <w:lang w:eastAsia="ru-RU"/>
          </w:rPr>
          <w:t>@</w:t>
        </w:r>
        <w:r w:rsidRPr="00B42356">
          <w:rPr>
            <w:rFonts w:eastAsia="Times New Roman"/>
            <w:i/>
            <w:lang w:val="en-US" w:eastAsia="ru-RU"/>
          </w:rPr>
          <w:t>mail</w:t>
        </w:r>
        <w:r w:rsidRPr="00B42356">
          <w:rPr>
            <w:rFonts w:eastAsia="Times New Roman"/>
            <w:i/>
            <w:lang w:eastAsia="ru-RU"/>
          </w:rPr>
          <w:t>.</w:t>
        </w:r>
        <w:r w:rsidRPr="00B42356">
          <w:rPr>
            <w:rFonts w:eastAsia="Times New Roman"/>
            <w:i/>
            <w:lang w:val="en-US" w:eastAsia="ru-RU"/>
          </w:rPr>
          <w:t>ru</w:t>
        </w:r>
      </w:hyperlink>
      <w:r w:rsidR="00FC7AC6" w:rsidRPr="00B42356">
        <w:rPr>
          <w:rFonts w:eastAsia="Times New Roman"/>
          <w:i/>
          <w:lang w:eastAsia="ru-RU"/>
        </w:rPr>
        <w:t xml:space="preserve">; </w:t>
      </w:r>
      <w:r w:rsidR="00B42356" w:rsidRPr="00B42356">
        <w:rPr>
          <w:rFonts w:eastAsia="Times New Roman"/>
          <w:i/>
          <w:lang w:val="en-US" w:eastAsia="ru-RU"/>
        </w:rPr>
        <w:t>https</w:t>
      </w:r>
      <w:r w:rsidR="00B42356" w:rsidRPr="002C0DB3">
        <w:rPr>
          <w:rFonts w:eastAsia="Times New Roman"/>
          <w:i/>
          <w:lang w:eastAsia="ru-RU"/>
        </w:rPr>
        <w:t>://</w:t>
      </w:r>
      <w:r w:rsidR="00B42356" w:rsidRPr="00B42356">
        <w:rPr>
          <w:rFonts w:eastAsia="Times New Roman"/>
          <w:i/>
          <w:lang w:val="en-US" w:eastAsia="ru-RU"/>
        </w:rPr>
        <w:t>orcid</w:t>
      </w:r>
      <w:r w:rsidR="00B42356" w:rsidRPr="002C0DB3">
        <w:rPr>
          <w:rFonts w:eastAsia="Times New Roman"/>
          <w:i/>
          <w:lang w:eastAsia="ru-RU"/>
        </w:rPr>
        <w:t>.</w:t>
      </w:r>
      <w:r w:rsidR="00B42356" w:rsidRPr="00B42356">
        <w:rPr>
          <w:rFonts w:eastAsia="Times New Roman"/>
          <w:i/>
          <w:lang w:val="en-US" w:eastAsia="ru-RU"/>
        </w:rPr>
        <w:t>org</w:t>
      </w:r>
      <w:r w:rsidR="00B42356" w:rsidRPr="002C0DB3">
        <w:rPr>
          <w:rFonts w:eastAsia="Times New Roman"/>
          <w:i/>
          <w:lang w:eastAsia="ru-RU"/>
        </w:rPr>
        <w:t>/0</w:t>
      </w:r>
      <w:r w:rsidRPr="00B42356">
        <w:rPr>
          <w:rFonts w:eastAsia="Times New Roman"/>
          <w:i/>
          <w:lang w:eastAsia="ru-RU"/>
        </w:rPr>
        <w:t>000-0002-0030-4341</w:t>
      </w:r>
    </w:p>
    <w:p w:rsidR="00B91B4B" w:rsidRPr="00B42356" w:rsidRDefault="00B91B4B" w:rsidP="008A4488">
      <w:pPr>
        <w:widowControl w:val="0"/>
        <w:autoSpaceDE w:val="0"/>
        <w:autoSpaceDN w:val="0"/>
        <w:adjustRightInd w:val="0"/>
        <w:ind w:firstLine="284"/>
        <w:rPr>
          <w:rFonts w:eastAsia="Times New Roman"/>
          <w:i/>
          <w:lang w:eastAsia="ru-RU"/>
        </w:rPr>
      </w:pPr>
      <w:r w:rsidRPr="00B42356">
        <w:rPr>
          <w:rFonts w:eastAsia="Times New Roman"/>
          <w:b/>
          <w:bCs/>
          <w:i/>
          <w:lang w:eastAsia="ru-RU"/>
        </w:rPr>
        <w:t>Прядко</w:t>
      </w:r>
      <w:r w:rsidR="006C680D" w:rsidRPr="00B42356">
        <w:rPr>
          <w:rFonts w:eastAsia="Times New Roman"/>
          <w:b/>
          <w:bCs/>
          <w:i/>
          <w:lang w:eastAsia="ru-RU"/>
        </w:rPr>
        <w:t xml:space="preserve"> </w:t>
      </w:r>
      <w:r w:rsidRPr="00B42356">
        <w:rPr>
          <w:rFonts w:eastAsia="Times New Roman"/>
          <w:b/>
          <w:bCs/>
          <w:i/>
          <w:lang w:eastAsia="ru-RU"/>
        </w:rPr>
        <w:t>С</w:t>
      </w:r>
      <w:r w:rsidR="002C0DB3">
        <w:rPr>
          <w:rFonts w:eastAsia="Times New Roman"/>
          <w:b/>
          <w:bCs/>
          <w:i/>
          <w:lang w:eastAsia="ru-RU"/>
        </w:rPr>
        <w:t xml:space="preserve">ветлана </w:t>
      </w:r>
      <w:r w:rsidRPr="00B42356">
        <w:rPr>
          <w:rFonts w:eastAsia="Times New Roman"/>
          <w:b/>
          <w:bCs/>
          <w:i/>
          <w:lang w:eastAsia="ru-RU"/>
        </w:rPr>
        <w:t>Н</w:t>
      </w:r>
      <w:r w:rsidR="002C0DB3">
        <w:rPr>
          <w:rFonts w:eastAsia="Times New Roman"/>
          <w:b/>
          <w:bCs/>
          <w:i/>
          <w:lang w:eastAsia="ru-RU"/>
        </w:rPr>
        <w:t>иколаевна</w:t>
      </w:r>
      <w:r w:rsidR="00FC7AC6" w:rsidRPr="00B42356">
        <w:rPr>
          <w:rFonts w:eastAsia="Times New Roman"/>
          <w:i/>
          <w:lang w:eastAsia="ru-RU"/>
        </w:rPr>
        <w:t xml:space="preserve"> – </w:t>
      </w:r>
      <w:r w:rsidRPr="00B42356">
        <w:rPr>
          <w:rFonts w:eastAsia="Times New Roman"/>
          <w:i/>
          <w:lang w:eastAsia="ru-RU"/>
        </w:rPr>
        <w:t>кандидат</w:t>
      </w:r>
      <w:r w:rsidR="006C680D" w:rsidRPr="00B42356">
        <w:rPr>
          <w:rFonts w:eastAsia="Times New Roman"/>
          <w:i/>
          <w:lang w:eastAsia="ru-RU"/>
        </w:rPr>
        <w:t xml:space="preserve"> </w:t>
      </w:r>
      <w:r w:rsidRPr="00B42356">
        <w:rPr>
          <w:rFonts w:eastAsia="Times New Roman"/>
          <w:i/>
          <w:lang w:eastAsia="ru-RU"/>
        </w:rPr>
        <w:t>экономических</w:t>
      </w:r>
      <w:r w:rsidR="006C680D" w:rsidRPr="00B42356">
        <w:rPr>
          <w:rFonts w:eastAsia="Times New Roman"/>
          <w:i/>
          <w:lang w:eastAsia="ru-RU"/>
        </w:rPr>
        <w:t xml:space="preserve"> </w:t>
      </w:r>
      <w:r w:rsidRPr="00B42356">
        <w:rPr>
          <w:rFonts w:eastAsia="Times New Roman"/>
          <w:i/>
          <w:lang w:eastAsia="ru-RU"/>
        </w:rPr>
        <w:t>наук,</w:t>
      </w:r>
      <w:r w:rsidR="006C680D" w:rsidRPr="00B42356">
        <w:rPr>
          <w:rFonts w:eastAsia="Times New Roman"/>
          <w:i/>
          <w:lang w:eastAsia="ru-RU"/>
        </w:rPr>
        <w:t xml:space="preserve"> </w:t>
      </w:r>
      <w:r w:rsidRPr="00B42356">
        <w:rPr>
          <w:rFonts w:eastAsia="Times New Roman"/>
          <w:i/>
          <w:lang w:eastAsia="ru-RU"/>
        </w:rPr>
        <w:t>доцент</w:t>
      </w:r>
      <w:r w:rsidR="006C680D" w:rsidRPr="00B42356">
        <w:rPr>
          <w:rFonts w:eastAsia="Times New Roman"/>
          <w:i/>
          <w:lang w:eastAsia="ru-RU"/>
        </w:rPr>
        <w:t xml:space="preserve"> </w:t>
      </w:r>
      <w:r w:rsidRPr="00B42356">
        <w:rPr>
          <w:rFonts w:eastAsia="Times New Roman"/>
          <w:i/>
          <w:lang w:eastAsia="ru-RU"/>
        </w:rPr>
        <w:t>кафедры</w:t>
      </w:r>
      <w:r w:rsidR="006C680D" w:rsidRPr="00B42356">
        <w:rPr>
          <w:rFonts w:eastAsia="Times New Roman"/>
          <w:i/>
          <w:lang w:eastAsia="ru-RU"/>
        </w:rPr>
        <w:t xml:space="preserve"> </w:t>
      </w:r>
      <w:r w:rsidRPr="00B42356">
        <w:rPr>
          <w:rFonts w:eastAsia="Times New Roman"/>
          <w:i/>
          <w:lang w:eastAsia="ru-RU"/>
        </w:rPr>
        <w:t>менеджмента</w:t>
      </w:r>
      <w:r w:rsidR="006C680D" w:rsidRPr="00B42356">
        <w:rPr>
          <w:rFonts w:eastAsia="Times New Roman"/>
          <w:i/>
          <w:lang w:eastAsia="ru-RU"/>
        </w:rPr>
        <w:t xml:space="preserve"> </w:t>
      </w:r>
      <w:r w:rsidRPr="00B42356">
        <w:rPr>
          <w:rFonts w:eastAsia="Times New Roman"/>
          <w:i/>
          <w:lang w:eastAsia="ru-RU"/>
        </w:rPr>
        <w:t>и</w:t>
      </w:r>
      <w:r w:rsidR="006C680D" w:rsidRPr="00B42356">
        <w:rPr>
          <w:rFonts w:eastAsia="Times New Roman"/>
          <w:i/>
          <w:lang w:eastAsia="ru-RU"/>
        </w:rPr>
        <w:t xml:space="preserve"> </w:t>
      </w:r>
      <w:r w:rsidRPr="00B42356">
        <w:rPr>
          <w:rFonts w:eastAsia="Times New Roman"/>
          <w:i/>
          <w:lang w:eastAsia="ru-RU"/>
        </w:rPr>
        <w:t>маркетинга,</w:t>
      </w:r>
      <w:r w:rsidR="006C680D" w:rsidRPr="00B42356">
        <w:rPr>
          <w:rFonts w:eastAsia="Times New Roman"/>
          <w:i/>
          <w:lang w:eastAsia="ru-RU"/>
        </w:rPr>
        <w:t xml:space="preserve"> </w:t>
      </w:r>
      <w:r w:rsidRPr="00B42356">
        <w:rPr>
          <w:rFonts w:eastAsia="Times New Roman"/>
          <w:i/>
          <w:lang w:eastAsia="ru-RU"/>
        </w:rPr>
        <w:t>Белгородский</w:t>
      </w:r>
      <w:r w:rsidR="006C680D" w:rsidRPr="00B42356">
        <w:rPr>
          <w:rFonts w:eastAsia="Times New Roman"/>
          <w:i/>
          <w:lang w:eastAsia="ru-RU"/>
        </w:rPr>
        <w:t xml:space="preserve"> </w:t>
      </w:r>
      <w:r w:rsidRPr="00B42356">
        <w:rPr>
          <w:rFonts w:eastAsia="Times New Roman"/>
          <w:i/>
          <w:lang w:eastAsia="ru-RU"/>
        </w:rPr>
        <w:t>государственный</w:t>
      </w:r>
      <w:r w:rsidR="006C680D" w:rsidRPr="00B42356">
        <w:rPr>
          <w:rFonts w:eastAsia="Times New Roman"/>
          <w:i/>
          <w:lang w:eastAsia="ru-RU"/>
        </w:rPr>
        <w:t xml:space="preserve"> </w:t>
      </w:r>
      <w:r w:rsidRPr="00B42356">
        <w:rPr>
          <w:rFonts w:eastAsia="Times New Roman"/>
          <w:i/>
          <w:lang w:eastAsia="ru-RU"/>
        </w:rPr>
        <w:t>национальный</w:t>
      </w:r>
      <w:r w:rsidR="006C680D" w:rsidRPr="00B42356">
        <w:rPr>
          <w:rFonts w:eastAsia="Times New Roman"/>
          <w:i/>
          <w:lang w:eastAsia="ru-RU"/>
        </w:rPr>
        <w:t xml:space="preserve"> </w:t>
      </w:r>
      <w:r w:rsidRPr="00B42356">
        <w:rPr>
          <w:rFonts w:eastAsia="Times New Roman"/>
          <w:i/>
          <w:lang w:eastAsia="ru-RU"/>
        </w:rPr>
        <w:t>исследовательский</w:t>
      </w:r>
      <w:r w:rsidR="006C680D" w:rsidRPr="00B42356">
        <w:rPr>
          <w:rFonts w:eastAsia="Times New Roman"/>
          <w:i/>
          <w:lang w:eastAsia="ru-RU"/>
        </w:rPr>
        <w:t xml:space="preserve"> </w:t>
      </w:r>
      <w:r w:rsidRPr="00B42356">
        <w:rPr>
          <w:rFonts w:eastAsia="Times New Roman"/>
          <w:i/>
          <w:lang w:eastAsia="ru-RU"/>
        </w:rPr>
        <w:t>университет»,</w:t>
      </w:r>
      <w:r w:rsidR="006C680D" w:rsidRPr="00B42356">
        <w:rPr>
          <w:rFonts w:eastAsia="Times New Roman"/>
          <w:i/>
          <w:lang w:eastAsia="ru-RU"/>
        </w:rPr>
        <w:t xml:space="preserve"> </w:t>
      </w:r>
      <w:r w:rsidR="00B42356" w:rsidRPr="00B42356">
        <w:rPr>
          <w:i/>
          <w:iCs/>
          <w:szCs w:val="24"/>
        </w:rPr>
        <w:t xml:space="preserve">Россия, </w:t>
      </w:r>
      <w:r w:rsidR="00B42356" w:rsidRPr="00B42356">
        <w:rPr>
          <w:rFonts w:eastAsia="Times New Roman"/>
          <w:i/>
          <w:lang w:eastAsia="ru-RU"/>
        </w:rPr>
        <w:t xml:space="preserve">308015, г. Белгород, ул. Победы, 85; E-mail: </w:t>
      </w:r>
      <w:hyperlink r:id="rId45" w:tooltip="mailto:svetatunz@gmail.com" w:history="1">
        <w:r w:rsidRPr="00B42356">
          <w:rPr>
            <w:i/>
            <w:lang w:val="en-US" w:eastAsia="ru-RU"/>
          </w:rPr>
          <w:t>svetatunz</w:t>
        </w:r>
        <w:r w:rsidRPr="00B42356">
          <w:rPr>
            <w:i/>
            <w:lang w:eastAsia="ru-RU"/>
          </w:rPr>
          <w:t>@</w:t>
        </w:r>
        <w:r w:rsidRPr="00B42356">
          <w:rPr>
            <w:i/>
            <w:lang w:val="en-US" w:eastAsia="ru-RU"/>
          </w:rPr>
          <w:t>gmail</w:t>
        </w:r>
        <w:r w:rsidRPr="00B42356">
          <w:rPr>
            <w:i/>
            <w:lang w:eastAsia="ru-RU"/>
          </w:rPr>
          <w:t>.</w:t>
        </w:r>
        <w:r w:rsidRPr="00B42356">
          <w:rPr>
            <w:i/>
            <w:lang w:val="en-US" w:eastAsia="ru-RU"/>
          </w:rPr>
          <w:t>com</w:t>
        </w:r>
      </w:hyperlink>
      <w:r w:rsidR="00B42356" w:rsidRPr="00B42356">
        <w:rPr>
          <w:i/>
          <w:lang w:eastAsia="ru-RU"/>
        </w:rPr>
        <w:t xml:space="preserve">; </w:t>
      </w:r>
      <w:r w:rsidR="00B42356" w:rsidRPr="00B42356">
        <w:rPr>
          <w:rFonts w:eastAsia="Times New Roman"/>
          <w:i/>
          <w:lang w:val="en-US" w:eastAsia="ru-RU"/>
        </w:rPr>
        <w:t>https</w:t>
      </w:r>
      <w:r w:rsidR="00B42356" w:rsidRPr="00B42356">
        <w:rPr>
          <w:rFonts w:eastAsia="Times New Roman"/>
          <w:i/>
          <w:lang w:eastAsia="ru-RU"/>
        </w:rPr>
        <w:t>://</w:t>
      </w:r>
      <w:r w:rsidR="00B42356" w:rsidRPr="00B42356">
        <w:rPr>
          <w:rFonts w:eastAsia="Times New Roman"/>
          <w:i/>
          <w:lang w:val="en-US" w:eastAsia="ru-RU"/>
        </w:rPr>
        <w:t>orcid</w:t>
      </w:r>
      <w:r w:rsidR="00B42356" w:rsidRPr="00B42356">
        <w:rPr>
          <w:rFonts w:eastAsia="Times New Roman"/>
          <w:i/>
          <w:lang w:eastAsia="ru-RU"/>
        </w:rPr>
        <w:t>.</w:t>
      </w:r>
      <w:r w:rsidR="00B42356" w:rsidRPr="00B42356">
        <w:rPr>
          <w:rFonts w:eastAsia="Times New Roman"/>
          <w:i/>
          <w:lang w:val="en-US" w:eastAsia="ru-RU"/>
        </w:rPr>
        <w:t>org</w:t>
      </w:r>
      <w:r w:rsidR="00B42356" w:rsidRPr="00B42356">
        <w:rPr>
          <w:rFonts w:eastAsia="Times New Roman"/>
          <w:i/>
          <w:lang w:eastAsia="ru-RU"/>
        </w:rPr>
        <w:t>/0</w:t>
      </w:r>
      <w:r w:rsidRPr="00B42356">
        <w:rPr>
          <w:rFonts w:eastAsia="Times New Roman"/>
          <w:i/>
          <w:lang w:eastAsia="ru-RU"/>
        </w:rPr>
        <w:t>000-0003-4857-472</w:t>
      </w:r>
      <w:r w:rsidR="002C0DB3" w:rsidRPr="002C0DB3">
        <w:rPr>
          <w:rFonts w:eastAsia="Times New Roman"/>
          <w:i/>
          <w:lang w:eastAsia="ru-RU"/>
        </w:rPr>
        <w:t>7</w:t>
      </w:r>
    </w:p>
    <w:p w:rsidR="00B91B4B" w:rsidRPr="002C0DB3" w:rsidRDefault="00B91B4B" w:rsidP="00B42356">
      <w:pPr>
        <w:widowControl w:val="0"/>
        <w:autoSpaceDE w:val="0"/>
        <w:autoSpaceDN w:val="0"/>
        <w:adjustRightInd w:val="0"/>
        <w:ind w:firstLine="284"/>
        <w:rPr>
          <w:rFonts w:eastAsia="Times New Roman"/>
          <w:bCs/>
          <w:i/>
          <w:lang w:val="en-US" w:eastAsia="ru-RU"/>
        </w:rPr>
      </w:pPr>
      <w:r w:rsidRPr="00B42356">
        <w:rPr>
          <w:rFonts w:eastAsia="Times New Roman"/>
          <w:b/>
          <w:bCs/>
          <w:i/>
          <w:lang w:eastAsia="ru-RU"/>
        </w:rPr>
        <w:t>Третьякова</w:t>
      </w:r>
      <w:r w:rsidR="006C680D" w:rsidRPr="00B42356">
        <w:rPr>
          <w:rFonts w:eastAsia="Times New Roman"/>
          <w:b/>
          <w:bCs/>
          <w:i/>
          <w:lang w:eastAsia="ru-RU"/>
        </w:rPr>
        <w:t xml:space="preserve"> </w:t>
      </w:r>
      <w:r w:rsidRPr="00B42356">
        <w:rPr>
          <w:rFonts w:eastAsia="Times New Roman"/>
          <w:b/>
          <w:bCs/>
          <w:i/>
          <w:lang w:eastAsia="ru-RU"/>
        </w:rPr>
        <w:t>М</w:t>
      </w:r>
      <w:r w:rsidR="002C0DB3">
        <w:rPr>
          <w:rFonts w:eastAsia="Times New Roman"/>
          <w:b/>
          <w:bCs/>
          <w:i/>
          <w:lang w:eastAsia="ru-RU"/>
        </w:rPr>
        <w:t xml:space="preserve">арина </w:t>
      </w:r>
      <w:r w:rsidRPr="00B42356">
        <w:rPr>
          <w:rFonts w:eastAsia="Times New Roman"/>
          <w:b/>
          <w:bCs/>
          <w:i/>
          <w:lang w:eastAsia="ru-RU"/>
        </w:rPr>
        <w:t>С</w:t>
      </w:r>
      <w:r w:rsidR="002C0DB3">
        <w:rPr>
          <w:rFonts w:eastAsia="Times New Roman"/>
          <w:b/>
          <w:bCs/>
          <w:i/>
          <w:lang w:eastAsia="ru-RU"/>
        </w:rPr>
        <w:t>ергеевна</w:t>
      </w:r>
      <w:r w:rsidR="006C680D" w:rsidRPr="00B42356">
        <w:rPr>
          <w:rFonts w:eastAsia="Times New Roman"/>
          <w:bCs/>
          <w:i/>
          <w:lang w:eastAsia="ru-RU"/>
        </w:rPr>
        <w:t xml:space="preserve"> </w:t>
      </w:r>
      <w:r w:rsidR="00FC7AC6" w:rsidRPr="00B42356">
        <w:rPr>
          <w:rFonts w:eastAsia="Times New Roman"/>
          <w:bCs/>
          <w:i/>
          <w:lang w:eastAsia="ru-RU"/>
        </w:rPr>
        <w:t xml:space="preserve">– </w:t>
      </w:r>
      <w:r w:rsidRPr="00B42356">
        <w:rPr>
          <w:rFonts w:eastAsia="Times New Roman"/>
          <w:bCs/>
          <w:i/>
          <w:lang w:eastAsia="ru-RU"/>
        </w:rPr>
        <w:t>аспирант</w:t>
      </w:r>
      <w:r w:rsidR="006C680D" w:rsidRPr="00B42356">
        <w:rPr>
          <w:rFonts w:eastAsia="Times New Roman"/>
          <w:b/>
          <w:bCs/>
          <w:i/>
          <w:lang w:eastAsia="ru-RU"/>
        </w:rPr>
        <w:t xml:space="preserve"> </w:t>
      </w:r>
      <w:r w:rsidRPr="00B42356">
        <w:rPr>
          <w:rFonts w:eastAsia="Times New Roman"/>
          <w:bCs/>
          <w:i/>
          <w:lang w:eastAsia="ru-RU"/>
        </w:rPr>
        <w:t>кафедры</w:t>
      </w:r>
      <w:r w:rsidR="006C680D" w:rsidRPr="00B42356">
        <w:rPr>
          <w:rFonts w:eastAsia="Times New Roman"/>
          <w:bCs/>
          <w:i/>
          <w:lang w:eastAsia="ru-RU"/>
        </w:rPr>
        <w:t xml:space="preserve"> </w:t>
      </w:r>
      <w:r w:rsidRPr="00B42356">
        <w:rPr>
          <w:rFonts w:eastAsia="Times New Roman"/>
          <w:bCs/>
          <w:i/>
          <w:lang w:eastAsia="ru-RU"/>
        </w:rPr>
        <w:t>менеджмента</w:t>
      </w:r>
      <w:r w:rsidR="006C680D" w:rsidRPr="00B42356">
        <w:rPr>
          <w:rFonts w:eastAsia="Times New Roman"/>
          <w:bCs/>
          <w:i/>
          <w:lang w:eastAsia="ru-RU"/>
        </w:rPr>
        <w:t xml:space="preserve"> </w:t>
      </w:r>
      <w:r w:rsidRPr="00B42356">
        <w:rPr>
          <w:rFonts w:eastAsia="Times New Roman"/>
          <w:bCs/>
          <w:i/>
          <w:lang w:eastAsia="ru-RU"/>
        </w:rPr>
        <w:t>и</w:t>
      </w:r>
      <w:r w:rsidR="006C680D" w:rsidRPr="00B42356">
        <w:rPr>
          <w:rFonts w:eastAsia="Times New Roman"/>
          <w:bCs/>
          <w:i/>
          <w:lang w:eastAsia="ru-RU"/>
        </w:rPr>
        <w:t xml:space="preserve"> </w:t>
      </w:r>
      <w:r w:rsidRPr="00B42356">
        <w:rPr>
          <w:rFonts w:eastAsia="Times New Roman"/>
          <w:bCs/>
          <w:i/>
          <w:lang w:eastAsia="ru-RU"/>
        </w:rPr>
        <w:t>маркетинга,</w:t>
      </w:r>
      <w:r w:rsidR="006C680D" w:rsidRPr="00B42356">
        <w:rPr>
          <w:rFonts w:eastAsia="Times New Roman"/>
          <w:bCs/>
          <w:i/>
          <w:lang w:eastAsia="ru-RU"/>
        </w:rPr>
        <w:t xml:space="preserve"> </w:t>
      </w:r>
      <w:r w:rsidRPr="00B42356">
        <w:rPr>
          <w:rFonts w:eastAsia="Times New Roman"/>
          <w:bCs/>
          <w:i/>
          <w:lang w:eastAsia="ru-RU"/>
        </w:rPr>
        <w:t>Белгородский</w:t>
      </w:r>
      <w:r w:rsidR="006C680D" w:rsidRPr="00B42356">
        <w:rPr>
          <w:rFonts w:eastAsia="Times New Roman"/>
          <w:bCs/>
          <w:i/>
          <w:lang w:eastAsia="ru-RU"/>
        </w:rPr>
        <w:t xml:space="preserve"> </w:t>
      </w:r>
      <w:r w:rsidRPr="00B42356">
        <w:rPr>
          <w:rFonts w:eastAsia="Times New Roman"/>
          <w:bCs/>
          <w:i/>
          <w:lang w:eastAsia="ru-RU"/>
        </w:rPr>
        <w:t>государственный</w:t>
      </w:r>
      <w:r w:rsidR="006C680D" w:rsidRPr="00B42356">
        <w:rPr>
          <w:rFonts w:eastAsia="Times New Roman"/>
          <w:bCs/>
          <w:i/>
          <w:lang w:eastAsia="ru-RU"/>
        </w:rPr>
        <w:t xml:space="preserve"> </w:t>
      </w:r>
      <w:r w:rsidRPr="00B42356">
        <w:rPr>
          <w:rFonts w:eastAsia="Times New Roman"/>
          <w:bCs/>
          <w:i/>
          <w:lang w:eastAsia="ru-RU"/>
        </w:rPr>
        <w:t>национальный</w:t>
      </w:r>
      <w:r w:rsidR="006C680D" w:rsidRPr="00B42356">
        <w:rPr>
          <w:rFonts w:eastAsia="Times New Roman"/>
          <w:bCs/>
          <w:i/>
          <w:lang w:eastAsia="ru-RU"/>
        </w:rPr>
        <w:t xml:space="preserve"> </w:t>
      </w:r>
      <w:r w:rsidRPr="00B42356">
        <w:rPr>
          <w:rFonts w:eastAsia="Times New Roman"/>
          <w:bCs/>
          <w:i/>
          <w:lang w:eastAsia="ru-RU"/>
        </w:rPr>
        <w:t>исследовательский</w:t>
      </w:r>
      <w:r w:rsidR="006C680D" w:rsidRPr="00B42356">
        <w:rPr>
          <w:rFonts w:eastAsia="Times New Roman"/>
          <w:bCs/>
          <w:i/>
          <w:lang w:eastAsia="ru-RU"/>
        </w:rPr>
        <w:t xml:space="preserve"> </w:t>
      </w:r>
      <w:r w:rsidRPr="00B42356">
        <w:rPr>
          <w:rFonts w:eastAsia="Times New Roman"/>
          <w:bCs/>
          <w:i/>
          <w:lang w:eastAsia="ru-RU"/>
        </w:rPr>
        <w:t>университет»,</w:t>
      </w:r>
      <w:r w:rsidR="006C680D" w:rsidRPr="00B42356">
        <w:rPr>
          <w:rFonts w:eastAsia="Times New Roman"/>
          <w:bCs/>
          <w:i/>
          <w:lang w:eastAsia="ru-RU"/>
        </w:rPr>
        <w:t xml:space="preserve"> </w:t>
      </w:r>
      <w:r w:rsidR="00B42356" w:rsidRPr="00B42356">
        <w:rPr>
          <w:rFonts w:eastAsia="Times New Roman"/>
          <w:bCs/>
          <w:i/>
          <w:lang w:eastAsia="ru-RU"/>
        </w:rPr>
        <w:t>Россия, 308015, г. Белгород, ул. Победы</w:t>
      </w:r>
      <w:r w:rsidR="00B42356" w:rsidRPr="002C0DB3">
        <w:rPr>
          <w:rFonts w:eastAsia="Times New Roman"/>
          <w:bCs/>
          <w:i/>
          <w:lang w:val="en-US" w:eastAsia="ru-RU"/>
        </w:rPr>
        <w:t xml:space="preserve">, 85; E-mail: </w:t>
      </w:r>
      <w:hyperlink r:id="rId46" w:history="1">
        <w:r w:rsidR="00FC7AC6" w:rsidRPr="00B42356">
          <w:rPr>
            <w:rStyle w:val="af7"/>
            <w:rFonts w:eastAsia="Times New Roman"/>
            <w:bCs/>
            <w:i/>
            <w:lang w:val="en-US" w:eastAsia="ru-RU"/>
          </w:rPr>
          <w:t>mrs</w:t>
        </w:r>
        <w:r w:rsidR="00FC7AC6" w:rsidRPr="002C0DB3">
          <w:rPr>
            <w:rStyle w:val="af7"/>
            <w:rFonts w:eastAsia="Times New Roman"/>
            <w:bCs/>
            <w:i/>
            <w:lang w:val="en-US" w:eastAsia="ru-RU"/>
          </w:rPr>
          <w:t>.</w:t>
        </w:r>
        <w:r w:rsidR="00FC7AC6" w:rsidRPr="00B42356">
          <w:rPr>
            <w:rStyle w:val="af7"/>
            <w:rFonts w:eastAsia="Times New Roman"/>
            <w:bCs/>
            <w:i/>
            <w:lang w:val="en-US" w:eastAsia="ru-RU"/>
          </w:rPr>
          <w:t>tretyakova</w:t>
        </w:r>
        <w:r w:rsidR="00FC7AC6" w:rsidRPr="002C0DB3">
          <w:rPr>
            <w:rStyle w:val="af7"/>
            <w:rFonts w:eastAsia="Times New Roman"/>
            <w:bCs/>
            <w:i/>
            <w:lang w:val="en-US" w:eastAsia="ru-RU"/>
          </w:rPr>
          <w:t>.</w:t>
        </w:r>
        <w:r w:rsidR="00FC7AC6" w:rsidRPr="00B42356">
          <w:rPr>
            <w:rStyle w:val="af7"/>
            <w:rFonts w:eastAsia="Times New Roman"/>
            <w:bCs/>
            <w:i/>
            <w:lang w:val="en-US" w:eastAsia="ru-RU"/>
          </w:rPr>
          <w:t>m</w:t>
        </w:r>
        <w:r w:rsidR="00FC7AC6" w:rsidRPr="002C0DB3">
          <w:rPr>
            <w:rStyle w:val="af7"/>
            <w:rFonts w:eastAsia="Times New Roman"/>
            <w:bCs/>
            <w:i/>
            <w:lang w:val="en-US" w:eastAsia="ru-RU"/>
          </w:rPr>
          <w:t>@</w:t>
        </w:r>
        <w:r w:rsidR="00FC7AC6" w:rsidRPr="00B42356">
          <w:rPr>
            <w:rStyle w:val="af7"/>
            <w:rFonts w:eastAsia="Times New Roman"/>
            <w:bCs/>
            <w:i/>
            <w:lang w:val="en-US" w:eastAsia="ru-RU"/>
          </w:rPr>
          <w:t>yandex</w:t>
        </w:r>
        <w:r w:rsidR="00FC7AC6" w:rsidRPr="002C0DB3">
          <w:rPr>
            <w:rStyle w:val="af7"/>
            <w:rFonts w:eastAsia="Times New Roman"/>
            <w:bCs/>
            <w:i/>
            <w:lang w:val="en-US" w:eastAsia="ru-RU"/>
          </w:rPr>
          <w:t>.</w:t>
        </w:r>
        <w:r w:rsidR="00FC7AC6" w:rsidRPr="00B42356">
          <w:rPr>
            <w:rStyle w:val="af7"/>
            <w:rFonts w:eastAsia="Times New Roman"/>
            <w:bCs/>
            <w:i/>
            <w:lang w:val="en-US" w:eastAsia="ru-RU"/>
          </w:rPr>
          <w:t>ru</w:t>
        </w:r>
      </w:hyperlink>
      <w:r w:rsidR="00FC7AC6" w:rsidRPr="002C0DB3">
        <w:rPr>
          <w:rFonts w:eastAsia="Times New Roman"/>
          <w:bCs/>
          <w:i/>
          <w:lang w:val="en-US" w:eastAsia="ru-RU"/>
        </w:rPr>
        <w:t xml:space="preserve">; </w:t>
      </w:r>
      <w:hyperlink r:id="rId47" w:history="1">
        <w:r w:rsidR="00B42356" w:rsidRPr="00B015BC">
          <w:rPr>
            <w:rStyle w:val="af7"/>
            <w:i/>
            <w:lang w:val="en-US"/>
          </w:rPr>
          <w:t>https</w:t>
        </w:r>
        <w:r w:rsidR="00B42356" w:rsidRPr="002C0DB3">
          <w:rPr>
            <w:rStyle w:val="af7"/>
            <w:i/>
            <w:lang w:val="en-US"/>
          </w:rPr>
          <w:t>://</w:t>
        </w:r>
        <w:r w:rsidR="00B42356" w:rsidRPr="00B015BC">
          <w:rPr>
            <w:rStyle w:val="af7"/>
            <w:i/>
            <w:lang w:val="en-US"/>
          </w:rPr>
          <w:t>orcid</w:t>
        </w:r>
        <w:r w:rsidR="00B42356" w:rsidRPr="002C0DB3">
          <w:rPr>
            <w:rStyle w:val="af7"/>
            <w:i/>
            <w:lang w:val="en-US"/>
          </w:rPr>
          <w:t>.</w:t>
        </w:r>
        <w:r w:rsidR="00B42356" w:rsidRPr="00B015BC">
          <w:rPr>
            <w:rStyle w:val="af7"/>
            <w:i/>
            <w:lang w:val="en-US"/>
          </w:rPr>
          <w:t>org</w:t>
        </w:r>
        <w:r w:rsidR="00B42356" w:rsidRPr="002C0DB3">
          <w:rPr>
            <w:rStyle w:val="af7"/>
            <w:i/>
            <w:lang w:val="en-US"/>
          </w:rPr>
          <w:t>/0</w:t>
        </w:r>
        <w:r w:rsidR="00B42356" w:rsidRPr="002C0DB3">
          <w:rPr>
            <w:rStyle w:val="af7"/>
            <w:rFonts w:hint="cs"/>
            <w:i/>
            <w:lang w:val="en-US"/>
          </w:rPr>
          <w:t>009-0000-8494-9691</w:t>
        </w:r>
      </w:hyperlink>
    </w:p>
    <w:p w:rsidR="00B91B4B" w:rsidRPr="002C0DB3" w:rsidRDefault="00B91B4B" w:rsidP="00B42356">
      <w:pPr>
        <w:widowControl w:val="0"/>
        <w:autoSpaceDE w:val="0"/>
        <w:autoSpaceDN w:val="0"/>
        <w:adjustRightInd w:val="0"/>
        <w:ind w:firstLine="284"/>
        <w:rPr>
          <w:rFonts w:eastAsia="Times New Roman"/>
          <w:i/>
          <w:lang w:val="en-US" w:eastAsia="ru-RU"/>
        </w:rPr>
      </w:pPr>
      <w:r w:rsidRPr="00B42356">
        <w:rPr>
          <w:rFonts w:eastAsia="Times New Roman"/>
          <w:b/>
          <w:i/>
          <w:lang w:val="en-US" w:eastAsia="ru-RU"/>
        </w:rPr>
        <w:lastRenderedPageBreak/>
        <w:t>L</w:t>
      </w:r>
      <w:r w:rsidR="008A5AE7" w:rsidRPr="00B42356">
        <w:rPr>
          <w:rFonts w:eastAsia="Times New Roman"/>
          <w:b/>
          <w:i/>
          <w:lang w:val="en-US" w:eastAsia="ru-RU"/>
        </w:rPr>
        <w:t xml:space="preserve">arisa </w:t>
      </w:r>
      <w:r w:rsidRPr="00B42356">
        <w:rPr>
          <w:rFonts w:eastAsia="Times New Roman"/>
          <w:b/>
          <w:i/>
          <w:lang w:val="en-US" w:eastAsia="ru-RU"/>
        </w:rPr>
        <w:t>A</w:t>
      </w:r>
      <w:r w:rsidR="008A5AE7" w:rsidRPr="00B42356">
        <w:rPr>
          <w:rFonts w:eastAsia="Times New Roman"/>
          <w:b/>
          <w:i/>
          <w:lang w:val="en-US" w:eastAsia="ru-RU"/>
        </w:rPr>
        <w:t xml:space="preserve">. </w:t>
      </w:r>
      <w:r w:rsidR="008A5AE7" w:rsidRPr="002C0DB3">
        <w:rPr>
          <w:rFonts w:eastAsia="Times New Roman"/>
          <w:b/>
          <w:i/>
          <w:lang w:val="en-US" w:eastAsia="ru-RU"/>
        </w:rPr>
        <w:t xml:space="preserve">Tretyakova – </w:t>
      </w:r>
      <w:r w:rsidR="008A5AE7" w:rsidRPr="002C0DB3">
        <w:rPr>
          <w:rFonts w:eastAsia="Times New Roman"/>
          <w:i/>
          <w:lang w:val="en-US" w:eastAsia="ru-RU"/>
        </w:rPr>
        <w:t>Dr. Sc. (Economics), Professor of the Department of</w:t>
      </w:r>
      <w:r w:rsidR="006C680D" w:rsidRPr="002C0DB3">
        <w:rPr>
          <w:rFonts w:eastAsia="Times New Roman"/>
          <w:i/>
          <w:lang w:val="en-US" w:eastAsia="ru-RU"/>
        </w:rPr>
        <w:t xml:space="preserve"> </w:t>
      </w:r>
      <w:r w:rsidRPr="002C0DB3">
        <w:rPr>
          <w:rFonts w:eastAsia="Times New Roman"/>
          <w:i/>
          <w:lang w:val="en-US" w:eastAsia="ru-RU"/>
        </w:rPr>
        <w:t>Management</w:t>
      </w:r>
      <w:r w:rsidR="006C680D" w:rsidRPr="002C0DB3">
        <w:rPr>
          <w:rFonts w:eastAsia="Times New Roman"/>
          <w:i/>
          <w:lang w:val="en-US" w:eastAsia="ru-RU"/>
        </w:rPr>
        <w:t xml:space="preserve"> </w:t>
      </w:r>
      <w:r w:rsidRPr="002C0DB3">
        <w:rPr>
          <w:rFonts w:eastAsia="Times New Roman"/>
          <w:i/>
          <w:lang w:val="en-US" w:eastAsia="ru-RU"/>
        </w:rPr>
        <w:t>and</w:t>
      </w:r>
      <w:r w:rsidR="006C680D" w:rsidRPr="002C0DB3">
        <w:rPr>
          <w:rFonts w:eastAsia="Times New Roman"/>
          <w:i/>
          <w:lang w:val="en-US" w:eastAsia="ru-RU"/>
        </w:rPr>
        <w:t xml:space="preserve"> </w:t>
      </w:r>
      <w:r w:rsidRPr="002C0DB3">
        <w:rPr>
          <w:rFonts w:eastAsia="Times New Roman"/>
          <w:i/>
          <w:lang w:val="en-US" w:eastAsia="ru-RU"/>
        </w:rPr>
        <w:t>Marketing,</w:t>
      </w:r>
      <w:r w:rsidR="006C680D" w:rsidRPr="002C0DB3">
        <w:rPr>
          <w:rFonts w:eastAsia="Times New Roman"/>
          <w:i/>
          <w:lang w:val="en-US" w:eastAsia="ru-RU"/>
        </w:rPr>
        <w:t xml:space="preserve"> </w:t>
      </w:r>
      <w:r w:rsidRPr="002C0DB3">
        <w:rPr>
          <w:rFonts w:eastAsia="Times New Roman"/>
          <w:i/>
          <w:lang w:val="en-US" w:eastAsia="ru-RU"/>
        </w:rPr>
        <w:t>Belgorod</w:t>
      </w:r>
      <w:r w:rsidR="006C680D" w:rsidRPr="002C0DB3">
        <w:rPr>
          <w:rFonts w:eastAsia="Times New Roman"/>
          <w:i/>
          <w:lang w:val="en-US" w:eastAsia="ru-RU"/>
        </w:rPr>
        <w:t xml:space="preserve"> </w:t>
      </w:r>
      <w:r w:rsidRPr="002C0DB3">
        <w:rPr>
          <w:rFonts w:eastAsia="Times New Roman"/>
          <w:i/>
          <w:lang w:val="en-US" w:eastAsia="ru-RU"/>
        </w:rPr>
        <w:t>State</w:t>
      </w:r>
      <w:r w:rsidR="006C680D" w:rsidRPr="002C0DB3">
        <w:rPr>
          <w:rFonts w:eastAsia="Times New Roman"/>
          <w:i/>
          <w:lang w:val="en-US" w:eastAsia="ru-RU"/>
        </w:rPr>
        <w:t xml:space="preserve"> </w:t>
      </w:r>
      <w:r w:rsidRPr="002C0DB3">
        <w:rPr>
          <w:rFonts w:eastAsia="Times New Roman"/>
          <w:i/>
          <w:lang w:val="en-US" w:eastAsia="ru-RU"/>
        </w:rPr>
        <w:t>University,</w:t>
      </w:r>
      <w:r w:rsidR="006C680D" w:rsidRPr="002C0DB3">
        <w:rPr>
          <w:rFonts w:eastAsia="Times New Roman"/>
          <w:i/>
          <w:lang w:val="en-US" w:eastAsia="ru-RU"/>
        </w:rPr>
        <w:t xml:space="preserve"> </w:t>
      </w:r>
      <w:r w:rsidR="002C0DB3" w:rsidRPr="002C0DB3">
        <w:rPr>
          <w:rFonts w:eastAsia="Times New Roman"/>
          <w:i/>
          <w:lang w:val="en-US" w:eastAsia="ru-RU"/>
        </w:rPr>
        <w:t>85 Pobedy Street, Belgorod, 308015, Russia</w:t>
      </w:r>
      <w:r w:rsidR="00B42356" w:rsidRPr="002C0DB3">
        <w:rPr>
          <w:rFonts w:eastAsia="Times New Roman"/>
          <w:i/>
          <w:lang w:val="en-US" w:eastAsia="ru-RU"/>
        </w:rPr>
        <w:t xml:space="preserve">; E-mail: lora_tretyakova@mail.ru; </w:t>
      </w:r>
      <w:hyperlink r:id="rId48" w:history="1">
        <w:r w:rsidR="00B42356" w:rsidRPr="002C0DB3">
          <w:rPr>
            <w:rStyle w:val="af7"/>
            <w:rFonts w:eastAsia="Times New Roman"/>
            <w:i/>
            <w:lang w:val="en-US" w:eastAsia="ru-RU"/>
          </w:rPr>
          <w:t>https://orcid.org/0000-0002-0030-4341</w:t>
        </w:r>
      </w:hyperlink>
    </w:p>
    <w:p w:rsidR="00B42356" w:rsidRDefault="00B42356" w:rsidP="008A4488">
      <w:pPr>
        <w:widowControl w:val="0"/>
        <w:autoSpaceDE w:val="0"/>
        <w:autoSpaceDN w:val="0"/>
        <w:adjustRightInd w:val="0"/>
        <w:ind w:firstLine="284"/>
        <w:rPr>
          <w:rFonts w:eastAsia="Times New Roman"/>
          <w:b/>
          <w:i/>
          <w:lang w:val="en-US" w:eastAsia="ru-RU"/>
        </w:rPr>
      </w:pPr>
    </w:p>
    <w:p w:rsidR="002C0DB3" w:rsidRPr="002C0DB3" w:rsidRDefault="002C0DB3" w:rsidP="008A4488">
      <w:pPr>
        <w:widowControl w:val="0"/>
        <w:autoSpaceDE w:val="0"/>
        <w:autoSpaceDN w:val="0"/>
        <w:adjustRightInd w:val="0"/>
        <w:ind w:firstLine="284"/>
        <w:rPr>
          <w:rFonts w:eastAsia="Times New Roman"/>
          <w:b/>
          <w:i/>
          <w:lang w:val="en-US" w:eastAsia="ru-RU"/>
        </w:rPr>
      </w:pPr>
    </w:p>
    <w:p w:rsidR="00B42356" w:rsidRPr="004577D3" w:rsidRDefault="002C0DB3" w:rsidP="008A4488">
      <w:pPr>
        <w:widowControl w:val="0"/>
        <w:autoSpaceDE w:val="0"/>
        <w:autoSpaceDN w:val="0"/>
        <w:adjustRightInd w:val="0"/>
        <w:ind w:firstLine="284"/>
        <w:rPr>
          <w:rFonts w:eastAsia="Times New Roman"/>
          <w:i/>
          <w:lang w:val="en-US" w:eastAsia="ru-RU"/>
        </w:rPr>
      </w:pPr>
      <w:r w:rsidRPr="002C0DB3">
        <w:rPr>
          <w:rFonts w:eastAsia="Times New Roman"/>
          <w:b/>
          <w:i/>
          <w:lang w:val="en-US" w:eastAsia="ru-RU"/>
        </w:rPr>
        <w:t xml:space="preserve">Svetlana N. </w:t>
      </w:r>
      <w:r w:rsidR="00B91B4B" w:rsidRPr="002C0DB3">
        <w:rPr>
          <w:rFonts w:eastAsia="Times New Roman"/>
          <w:b/>
          <w:i/>
          <w:lang w:val="en-US" w:eastAsia="ru-RU"/>
        </w:rPr>
        <w:t>Pryadko</w:t>
      </w:r>
      <w:r w:rsidRPr="002C0DB3">
        <w:rPr>
          <w:rFonts w:eastAsia="Times New Roman"/>
          <w:b/>
          <w:i/>
          <w:lang w:val="en-US" w:eastAsia="ru-RU"/>
        </w:rPr>
        <w:t xml:space="preserve"> </w:t>
      </w:r>
      <w:r w:rsidR="00B42356" w:rsidRPr="002C0DB3">
        <w:rPr>
          <w:rFonts w:eastAsia="Times New Roman"/>
          <w:b/>
          <w:i/>
          <w:lang w:val="en-US" w:eastAsia="ru-RU"/>
        </w:rPr>
        <w:t>–</w:t>
      </w:r>
      <w:r w:rsidR="006C680D" w:rsidRPr="002C0DB3">
        <w:rPr>
          <w:rFonts w:eastAsia="Times New Roman"/>
          <w:i/>
          <w:lang w:val="en-US" w:eastAsia="ru-RU"/>
        </w:rPr>
        <w:t xml:space="preserve"> </w:t>
      </w:r>
      <w:r w:rsidRPr="002C0DB3">
        <w:rPr>
          <w:rFonts w:eastAsia="Times New Roman"/>
          <w:i/>
          <w:lang w:val="en-US" w:eastAsia="ru-RU"/>
        </w:rPr>
        <w:t>PhD (Economics),</w:t>
      </w:r>
      <w:r w:rsidR="006C680D" w:rsidRPr="002C0DB3">
        <w:rPr>
          <w:rFonts w:eastAsia="Times New Roman"/>
          <w:i/>
          <w:lang w:val="en-US" w:eastAsia="ru-RU"/>
        </w:rPr>
        <w:t xml:space="preserve"> </w:t>
      </w:r>
      <w:r w:rsidR="00B91B4B" w:rsidRPr="002C0DB3">
        <w:rPr>
          <w:rFonts w:eastAsia="Times New Roman"/>
          <w:i/>
          <w:lang w:val="en-US" w:eastAsia="ru-RU"/>
        </w:rPr>
        <w:t>Associate</w:t>
      </w:r>
      <w:r w:rsidR="006C680D" w:rsidRPr="002C0DB3">
        <w:rPr>
          <w:rFonts w:eastAsia="Times New Roman"/>
          <w:i/>
          <w:lang w:val="en-US" w:eastAsia="ru-RU"/>
        </w:rPr>
        <w:t xml:space="preserve"> </w:t>
      </w:r>
      <w:r w:rsidR="00B91B4B" w:rsidRPr="002C0DB3">
        <w:rPr>
          <w:rFonts w:eastAsia="Times New Roman"/>
          <w:i/>
          <w:lang w:val="en-US" w:eastAsia="ru-RU"/>
        </w:rPr>
        <w:t>Professor</w:t>
      </w:r>
      <w:r w:rsidR="006C680D" w:rsidRPr="002C0DB3">
        <w:rPr>
          <w:rFonts w:eastAsia="Times New Roman"/>
          <w:i/>
          <w:lang w:val="en-US" w:eastAsia="ru-RU"/>
        </w:rPr>
        <w:t xml:space="preserve"> </w:t>
      </w:r>
      <w:r w:rsidRPr="002C0DB3">
        <w:rPr>
          <w:rFonts w:eastAsia="Times New Roman"/>
          <w:i/>
          <w:lang w:val="en-US" w:eastAsia="ru-RU"/>
        </w:rPr>
        <w:t xml:space="preserve">of the Department of Management and Marketing, Belgorod State University, 85 Pobedy Street, Belgorod, 308015, Russia; E-mail: </w:t>
      </w:r>
      <w:r w:rsidR="00B42356" w:rsidRPr="002C0DB3">
        <w:rPr>
          <w:rFonts w:eastAsia="Times New Roman"/>
          <w:i/>
          <w:lang w:val="en-US" w:eastAsia="ru-RU"/>
        </w:rPr>
        <w:t>svetatunz@</w:t>
      </w:r>
      <w:r w:rsidR="00B42356" w:rsidRPr="004577D3">
        <w:rPr>
          <w:rFonts w:eastAsia="Times New Roman"/>
          <w:i/>
          <w:lang w:val="en-US" w:eastAsia="ru-RU"/>
        </w:rPr>
        <w:t xml:space="preserve">gmail.com; </w:t>
      </w:r>
      <w:hyperlink r:id="rId49" w:history="1">
        <w:r w:rsidRPr="004577D3">
          <w:rPr>
            <w:rStyle w:val="af7"/>
            <w:rFonts w:eastAsia="Times New Roman"/>
            <w:i/>
            <w:lang w:val="en-US" w:eastAsia="ru-RU"/>
          </w:rPr>
          <w:t>https://orcid.org/0000-0003-4857-4727</w:t>
        </w:r>
      </w:hyperlink>
    </w:p>
    <w:p w:rsidR="002C0DB3" w:rsidRPr="004577D3" w:rsidRDefault="002C0DB3" w:rsidP="008A4488">
      <w:pPr>
        <w:widowControl w:val="0"/>
        <w:autoSpaceDE w:val="0"/>
        <w:autoSpaceDN w:val="0"/>
        <w:adjustRightInd w:val="0"/>
        <w:ind w:firstLine="284"/>
        <w:rPr>
          <w:rFonts w:eastAsia="Times New Roman"/>
          <w:i/>
          <w:lang w:val="en-US" w:eastAsia="ru-RU"/>
        </w:rPr>
      </w:pPr>
    </w:p>
    <w:p w:rsidR="00B42356" w:rsidRDefault="002C0DB3" w:rsidP="00B42356">
      <w:pPr>
        <w:widowControl w:val="0"/>
        <w:autoSpaceDE w:val="0"/>
        <w:autoSpaceDN w:val="0"/>
        <w:adjustRightInd w:val="0"/>
        <w:ind w:firstLine="284"/>
        <w:rPr>
          <w:rFonts w:eastAsia="Times New Roman"/>
          <w:i/>
          <w:lang w:val="en-US" w:eastAsia="ru-RU"/>
        </w:rPr>
      </w:pPr>
      <w:r w:rsidRPr="004577D3">
        <w:rPr>
          <w:rFonts w:eastAsia="Times New Roman" w:hint="cs"/>
          <w:b/>
          <w:bCs/>
          <w:i/>
          <w:lang w:val="en-US" w:eastAsia="ru-RU"/>
        </w:rPr>
        <w:t>M</w:t>
      </w:r>
      <w:r w:rsidRPr="004577D3">
        <w:rPr>
          <w:rFonts w:eastAsia="Times New Roman"/>
          <w:b/>
          <w:bCs/>
          <w:i/>
          <w:lang w:val="en-US" w:eastAsia="ru-RU"/>
        </w:rPr>
        <w:t xml:space="preserve">arina </w:t>
      </w:r>
      <w:r w:rsidRPr="004577D3">
        <w:rPr>
          <w:rFonts w:eastAsia="Times New Roman" w:hint="cs"/>
          <w:b/>
          <w:bCs/>
          <w:i/>
          <w:lang w:val="en-US" w:eastAsia="ru-RU"/>
        </w:rPr>
        <w:t>S.</w:t>
      </w:r>
      <w:r w:rsidRPr="004577D3">
        <w:rPr>
          <w:rFonts w:eastAsia="Times New Roman"/>
          <w:b/>
          <w:bCs/>
          <w:i/>
          <w:lang w:val="en-US" w:eastAsia="ru-RU"/>
        </w:rPr>
        <w:t xml:space="preserve"> </w:t>
      </w:r>
      <w:r w:rsidR="00B91B4B" w:rsidRPr="004577D3">
        <w:rPr>
          <w:rFonts w:eastAsia="Times New Roman" w:hint="cs"/>
          <w:b/>
          <w:bCs/>
          <w:i/>
          <w:lang w:val="en-US" w:eastAsia="ru-RU"/>
        </w:rPr>
        <w:t>Tretyakova</w:t>
      </w:r>
      <w:r w:rsidRPr="004577D3">
        <w:rPr>
          <w:rFonts w:eastAsia="Times New Roman"/>
          <w:b/>
          <w:bCs/>
          <w:i/>
          <w:lang w:val="en-US" w:eastAsia="ru-RU"/>
        </w:rPr>
        <w:t xml:space="preserve"> – </w:t>
      </w:r>
      <w:r w:rsidRPr="004577D3">
        <w:rPr>
          <w:rFonts w:eastAsia="Times New Roman"/>
          <w:i/>
          <w:lang w:val="en-US" w:eastAsia="ru-RU"/>
        </w:rPr>
        <w:t>Postgraduate student</w:t>
      </w:r>
      <w:r w:rsidR="006C680D" w:rsidRPr="004577D3">
        <w:rPr>
          <w:rFonts w:eastAsia="Times New Roman" w:hint="cs"/>
          <w:i/>
          <w:lang w:val="en-US" w:eastAsia="ru-RU"/>
        </w:rPr>
        <w:t xml:space="preserve"> </w:t>
      </w:r>
      <w:r w:rsidRPr="004577D3">
        <w:rPr>
          <w:rFonts w:eastAsia="Times New Roman"/>
          <w:i/>
          <w:lang w:val="en-US" w:eastAsia="ru-RU"/>
        </w:rPr>
        <w:t>of the Department of Management and Marketing, Belgorod State University, 85 Pobedy Street, Belgorod, 308015, Russia; E-mail:</w:t>
      </w:r>
      <w:r w:rsidR="004577D3">
        <w:rPr>
          <w:rFonts w:eastAsia="Times New Roman"/>
          <w:i/>
          <w:lang w:val="en-US" w:eastAsia="ru-RU"/>
        </w:rPr>
        <w:t xml:space="preserve"> </w:t>
      </w:r>
      <w:r w:rsidR="00B91B4B" w:rsidRPr="004577D3">
        <w:rPr>
          <w:rFonts w:eastAsia="Times New Roman" w:hint="cs"/>
          <w:i/>
          <w:lang w:val="en-US" w:eastAsia="ru-RU"/>
        </w:rPr>
        <w:t>mrs.tretyakova.m@yandex.ru</w:t>
      </w:r>
      <w:r w:rsidRPr="004577D3">
        <w:rPr>
          <w:rFonts w:eastAsia="Times New Roman"/>
          <w:i/>
          <w:lang w:val="en-US" w:eastAsia="ru-RU"/>
        </w:rPr>
        <w:t>, https://orcid.org/</w:t>
      </w:r>
      <w:r w:rsidR="00B91B4B" w:rsidRPr="002C0DB3">
        <w:rPr>
          <w:rFonts w:eastAsia="Times New Roman" w:hint="cs"/>
          <w:i/>
          <w:lang w:val="en-US" w:eastAsia="ru-RU"/>
        </w:rPr>
        <w:t>0009-0000-8494-9691</w:t>
      </w:r>
    </w:p>
    <w:p w:rsidR="002C0DB3" w:rsidRDefault="002C0DB3" w:rsidP="00B42356">
      <w:pPr>
        <w:widowControl w:val="0"/>
        <w:autoSpaceDE w:val="0"/>
        <w:autoSpaceDN w:val="0"/>
        <w:adjustRightInd w:val="0"/>
        <w:ind w:firstLine="284"/>
        <w:rPr>
          <w:rFonts w:eastAsia="Times New Roman"/>
          <w:i/>
          <w:lang w:val="en-US" w:eastAsia="ru-RU"/>
        </w:rPr>
      </w:pPr>
    </w:p>
    <w:p w:rsidR="002C0DB3" w:rsidRPr="00D337FA" w:rsidRDefault="002C0DB3" w:rsidP="00B42356">
      <w:pPr>
        <w:widowControl w:val="0"/>
        <w:autoSpaceDE w:val="0"/>
        <w:autoSpaceDN w:val="0"/>
        <w:adjustRightInd w:val="0"/>
        <w:ind w:firstLine="284"/>
        <w:rPr>
          <w:rFonts w:ascii="Arial" w:hAnsi="Arial" w:cs="Arial"/>
          <w:b/>
          <w:i/>
          <w:lang w:val="en-US"/>
        </w:rPr>
        <w:sectPr w:rsidR="002C0DB3" w:rsidRPr="00D337FA" w:rsidSect="009D76B0">
          <w:footnotePr>
            <w:numRestart w:val="eachPage"/>
          </w:footnotePr>
          <w:type w:val="continuous"/>
          <w:pgSz w:w="11907" w:h="16840" w:code="9"/>
          <w:pgMar w:top="1418" w:right="1134" w:bottom="1418" w:left="1134" w:header="1021" w:footer="1021" w:gutter="0"/>
          <w:cols w:num="2" w:space="708"/>
          <w:docGrid w:linePitch="360"/>
        </w:sectPr>
      </w:pPr>
    </w:p>
    <w:p w:rsidR="008A4488" w:rsidRPr="00D337FA" w:rsidRDefault="008A4488" w:rsidP="00E57478">
      <w:pPr>
        <w:ind w:firstLine="142"/>
        <w:jc w:val="right"/>
        <w:rPr>
          <w:i/>
          <w:szCs w:val="24"/>
          <w:lang w:val="en-US"/>
        </w:rPr>
      </w:pPr>
    </w:p>
    <w:p w:rsidR="006E4221" w:rsidRPr="008F0FE5" w:rsidRDefault="00E57478" w:rsidP="00E57478">
      <w:pPr>
        <w:ind w:firstLine="142"/>
        <w:jc w:val="right"/>
        <w:rPr>
          <w:i/>
          <w:sz w:val="22"/>
          <w:szCs w:val="22"/>
        </w:rPr>
      </w:pPr>
      <w:r w:rsidRPr="008F0FE5">
        <w:rPr>
          <w:i/>
          <w:sz w:val="22"/>
          <w:szCs w:val="22"/>
        </w:rPr>
        <w:t>Статья</w:t>
      </w:r>
      <w:r w:rsidR="006C680D" w:rsidRPr="008F0FE5">
        <w:rPr>
          <w:i/>
          <w:sz w:val="22"/>
          <w:szCs w:val="22"/>
        </w:rPr>
        <w:t xml:space="preserve"> </w:t>
      </w:r>
      <w:r w:rsidRPr="008F0FE5">
        <w:rPr>
          <w:i/>
          <w:sz w:val="22"/>
          <w:szCs w:val="22"/>
        </w:rPr>
        <w:t>поступила</w:t>
      </w:r>
      <w:r w:rsidR="006C680D" w:rsidRPr="008F0FE5">
        <w:rPr>
          <w:i/>
          <w:sz w:val="22"/>
          <w:szCs w:val="22"/>
        </w:rPr>
        <w:t xml:space="preserve"> </w:t>
      </w:r>
      <w:r w:rsidRPr="008F0FE5">
        <w:rPr>
          <w:i/>
          <w:sz w:val="22"/>
          <w:szCs w:val="22"/>
        </w:rPr>
        <w:t>в</w:t>
      </w:r>
      <w:r w:rsidR="00E44098" w:rsidRPr="008F0FE5">
        <w:rPr>
          <w:i/>
          <w:sz w:val="22"/>
          <w:szCs w:val="22"/>
        </w:rPr>
        <w:t xml:space="preserve"> </w:t>
      </w:r>
      <w:r w:rsidRPr="008F0FE5">
        <w:rPr>
          <w:i/>
          <w:sz w:val="22"/>
          <w:szCs w:val="22"/>
        </w:rPr>
        <w:t>редакцию</w:t>
      </w:r>
      <w:r w:rsidR="006C680D" w:rsidRPr="008F0FE5">
        <w:rPr>
          <w:i/>
          <w:sz w:val="22"/>
          <w:szCs w:val="22"/>
        </w:rPr>
        <w:t xml:space="preserve"> </w:t>
      </w:r>
      <w:r w:rsidR="008A4488" w:rsidRPr="008F0FE5">
        <w:rPr>
          <w:i/>
          <w:sz w:val="22"/>
          <w:szCs w:val="22"/>
        </w:rPr>
        <w:t>29</w:t>
      </w:r>
      <w:r w:rsidRPr="008F0FE5">
        <w:rPr>
          <w:i/>
          <w:sz w:val="22"/>
          <w:szCs w:val="22"/>
        </w:rPr>
        <w:t>.0</w:t>
      </w:r>
      <w:r w:rsidR="008A4488" w:rsidRPr="008F0FE5">
        <w:rPr>
          <w:i/>
          <w:sz w:val="22"/>
          <w:szCs w:val="22"/>
        </w:rPr>
        <w:t>1</w:t>
      </w:r>
      <w:r w:rsidRPr="008F0FE5">
        <w:rPr>
          <w:i/>
          <w:sz w:val="22"/>
          <w:szCs w:val="22"/>
        </w:rPr>
        <w:t>.2</w:t>
      </w:r>
      <w:r w:rsidR="008A4488" w:rsidRPr="008F0FE5">
        <w:rPr>
          <w:i/>
          <w:sz w:val="22"/>
          <w:szCs w:val="22"/>
        </w:rPr>
        <w:t>6</w:t>
      </w:r>
      <w:r w:rsidRPr="008F0FE5">
        <w:rPr>
          <w:i/>
          <w:sz w:val="22"/>
          <w:szCs w:val="22"/>
        </w:rPr>
        <w:t>,</w:t>
      </w:r>
      <w:r w:rsidR="006C680D" w:rsidRPr="008F0FE5">
        <w:rPr>
          <w:i/>
          <w:sz w:val="22"/>
          <w:szCs w:val="22"/>
        </w:rPr>
        <w:t xml:space="preserve"> </w:t>
      </w:r>
      <w:r w:rsidRPr="008F0FE5">
        <w:rPr>
          <w:i/>
          <w:sz w:val="22"/>
          <w:szCs w:val="22"/>
        </w:rPr>
        <w:t>принята</w:t>
      </w:r>
      <w:r w:rsidR="006C680D" w:rsidRPr="008F0FE5">
        <w:rPr>
          <w:i/>
          <w:sz w:val="22"/>
          <w:szCs w:val="22"/>
        </w:rPr>
        <w:t xml:space="preserve"> </w:t>
      </w:r>
      <w:r w:rsidRPr="008F0FE5">
        <w:rPr>
          <w:i/>
          <w:sz w:val="22"/>
          <w:szCs w:val="22"/>
        </w:rPr>
        <w:t>к</w:t>
      </w:r>
      <w:r w:rsidR="006C680D" w:rsidRPr="008F0FE5">
        <w:rPr>
          <w:i/>
          <w:sz w:val="22"/>
          <w:szCs w:val="22"/>
        </w:rPr>
        <w:t xml:space="preserve"> </w:t>
      </w:r>
      <w:r w:rsidRPr="008F0FE5">
        <w:rPr>
          <w:i/>
          <w:sz w:val="22"/>
          <w:szCs w:val="22"/>
        </w:rPr>
        <w:t>опубликованию</w:t>
      </w:r>
      <w:r w:rsidR="006C680D" w:rsidRPr="008F0FE5">
        <w:rPr>
          <w:i/>
          <w:sz w:val="22"/>
          <w:szCs w:val="22"/>
        </w:rPr>
        <w:t xml:space="preserve"> </w:t>
      </w:r>
      <w:r w:rsidRPr="008F0FE5">
        <w:rPr>
          <w:i/>
          <w:sz w:val="22"/>
          <w:szCs w:val="22"/>
        </w:rPr>
        <w:t>15.</w:t>
      </w:r>
      <w:r w:rsidR="008A4488" w:rsidRPr="008F0FE5">
        <w:rPr>
          <w:i/>
          <w:sz w:val="22"/>
          <w:szCs w:val="22"/>
        </w:rPr>
        <w:t>03</w:t>
      </w:r>
      <w:r w:rsidRPr="008F0FE5">
        <w:rPr>
          <w:i/>
          <w:sz w:val="22"/>
          <w:szCs w:val="22"/>
        </w:rPr>
        <w:t>.2</w:t>
      </w:r>
      <w:r w:rsidR="008A4488" w:rsidRPr="008F0FE5">
        <w:rPr>
          <w:i/>
          <w:sz w:val="22"/>
          <w:szCs w:val="22"/>
        </w:rPr>
        <w:t>6</w:t>
      </w:r>
    </w:p>
    <w:p w:rsidR="004A7AFB" w:rsidRPr="00D337FA" w:rsidRDefault="00771C50" w:rsidP="004A7AFB">
      <w:pPr>
        <w:ind w:firstLine="0"/>
        <w:rPr>
          <w:rFonts w:ascii="Arial" w:eastAsia="Times New Roman" w:hAnsi="Arial" w:cs="Arial"/>
          <w:i/>
          <w:szCs w:val="24"/>
          <w:lang w:eastAsia="ru-RU"/>
        </w:rPr>
      </w:pPr>
      <w:r w:rsidRPr="00D337FA">
        <w:rPr>
          <w:rFonts w:ascii="Arial" w:eastAsia="Times New Roman" w:hAnsi="Arial" w:cs="Arial"/>
          <w:i/>
          <w:szCs w:val="24"/>
          <w:lang w:eastAsia="ru-RU"/>
        </w:rPr>
        <w:lastRenderedPageBreak/>
        <w:t>УДК</w:t>
      </w:r>
      <w:r w:rsidR="006C680D" w:rsidRPr="00D337FA">
        <w:rPr>
          <w:rFonts w:ascii="Arial" w:eastAsia="Times New Roman" w:hAnsi="Arial" w:cs="Arial"/>
          <w:i/>
          <w:szCs w:val="24"/>
          <w:lang w:eastAsia="ru-RU"/>
        </w:rPr>
        <w:t xml:space="preserve"> </w:t>
      </w:r>
      <w:r w:rsidRPr="00D337FA">
        <w:rPr>
          <w:rFonts w:ascii="Arial" w:eastAsia="Times New Roman" w:hAnsi="Arial" w:cs="Arial"/>
          <w:i/>
          <w:szCs w:val="24"/>
          <w:lang w:eastAsia="ru-RU"/>
        </w:rPr>
        <w:t>33.338.36</w:t>
      </w:r>
      <w:r w:rsidR="004A7AFB" w:rsidRPr="00D337FA">
        <w:rPr>
          <w:rFonts w:ascii="Arial" w:eastAsia="Times New Roman" w:hAnsi="Arial" w:cs="Arial"/>
          <w:i/>
          <w:szCs w:val="24"/>
          <w:lang w:eastAsia="ru-RU"/>
        </w:rPr>
        <w:t>;</w:t>
      </w:r>
      <w:r w:rsidR="006C680D" w:rsidRPr="00D337FA">
        <w:rPr>
          <w:rFonts w:ascii="Arial" w:eastAsia="Times New Roman" w:hAnsi="Arial" w:cs="Arial"/>
          <w:i/>
          <w:szCs w:val="24"/>
          <w:lang w:eastAsia="ru-RU"/>
        </w:rPr>
        <w:t xml:space="preserve"> </w:t>
      </w:r>
      <w:r w:rsidR="004A7AFB" w:rsidRPr="00D337FA">
        <w:rPr>
          <w:rFonts w:ascii="Arial" w:eastAsia="Times New Roman" w:hAnsi="Arial" w:cs="Arial"/>
          <w:i/>
          <w:szCs w:val="24"/>
          <w:lang w:eastAsia="ru-RU"/>
        </w:rPr>
        <w:t>004.032.26</w:t>
      </w:r>
      <w:r w:rsidR="006C680D" w:rsidRPr="00D337FA">
        <w:rPr>
          <w:rFonts w:ascii="Arial" w:eastAsia="Times New Roman" w:hAnsi="Arial" w:cs="Arial"/>
          <w:i/>
          <w:szCs w:val="24"/>
          <w:lang w:eastAsia="ru-RU"/>
        </w:rPr>
        <w:t xml:space="preserve">                                                                                   </w:t>
      </w:r>
    </w:p>
    <w:p w:rsidR="00230516" w:rsidRPr="00D337FA" w:rsidRDefault="007A4616" w:rsidP="00230516">
      <w:pPr>
        <w:ind w:firstLine="0"/>
        <w:rPr>
          <w:rFonts w:ascii="Arial" w:eastAsia="Times New Roman" w:hAnsi="Arial" w:cs="Arial"/>
          <w:i/>
          <w:szCs w:val="24"/>
          <w:lang w:eastAsia="ru-RU"/>
        </w:rPr>
      </w:pPr>
      <w:r>
        <w:rPr>
          <w:rFonts w:ascii="Arial" w:eastAsia="Times New Roman" w:hAnsi="Arial" w:cs="Arial"/>
          <w:b/>
          <w:i/>
          <w:szCs w:val="24"/>
          <w:lang w:eastAsia="ru-RU"/>
        </w:rPr>
        <w:t xml:space="preserve">И.Г. Яковлев, </w:t>
      </w:r>
      <w:r w:rsidR="00771C50" w:rsidRPr="00D337FA">
        <w:rPr>
          <w:rFonts w:ascii="Arial" w:eastAsia="Times New Roman" w:hAnsi="Arial" w:cs="Arial"/>
          <w:b/>
          <w:i/>
          <w:szCs w:val="24"/>
          <w:lang w:eastAsia="ru-RU"/>
        </w:rPr>
        <w:t>Г.И.</w:t>
      </w:r>
      <w:r w:rsidR="006C680D" w:rsidRPr="00D337FA">
        <w:rPr>
          <w:rFonts w:ascii="Arial" w:eastAsia="Times New Roman" w:hAnsi="Arial" w:cs="Arial"/>
          <w:b/>
          <w:i/>
          <w:szCs w:val="24"/>
          <w:lang w:eastAsia="ru-RU"/>
        </w:rPr>
        <w:t xml:space="preserve"> </w:t>
      </w:r>
      <w:r w:rsidR="00771C50" w:rsidRPr="00D337FA">
        <w:rPr>
          <w:rFonts w:ascii="Arial" w:eastAsia="Times New Roman" w:hAnsi="Arial" w:cs="Arial"/>
          <w:b/>
          <w:i/>
          <w:szCs w:val="24"/>
          <w:lang w:eastAsia="ru-RU"/>
        </w:rPr>
        <w:t>Яковлев</w:t>
      </w:r>
      <w:r w:rsidR="006C680D" w:rsidRPr="00D337FA">
        <w:rPr>
          <w:rFonts w:ascii="Arial" w:eastAsia="Times New Roman" w:hAnsi="Arial" w:cs="Arial"/>
          <w:b/>
          <w:i/>
          <w:szCs w:val="24"/>
          <w:lang w:eastAsia="ru-RU"/>
        </w:rPr>
        <w:t xml:space="preserve"> </w:t>
      </w:r>
    </w:p>
    <w:p w:rsidR="00230516" w:rsidRPr="007A4616" w:rsidRDefault="00771C50" w:rsidP="00230516">
      <w:pPr>
        <w:ind w:firstLine="0"/>
        <w:rPr>
          <w:rFonts w:ascii="Arial" w:eastAsia="Times New Roman" w:hAnsi="Arial" w:cs="Arial"/>
          <w:b/>
          <w:i/>
          <w:szCs w:val="24"/>
          <w:lang w:val="en-US" w:eastAsia="ru-RU"/>
        </w:rPr>
      </w:pPr>
      <w:r w:rsidRPr="00D337FA">
        <w:rPr>
          <w:rFonts w:ascii="Arial" w:eastAsia="Times New Roman" w:hAnsi="Arial" w:cs="Arial"/>
          <w:b/>
          <w:i/>
          <w:szCs w:val="24"/>
          <w:lang w:val="en-US" w:eastAsia="ru-RU"/>
        </w:rPr>
        <w:t>I</w:t>
      </w:r>
      <w:r w:rsidRPr="007A4616">
        <w:rPr>
          <w:rFonts w:ascii="Arial" w:eastAsia="Times New Roman" w:hAnsi="Arial" w:cs="Arial"/>
          <w:b/>
          <w:i/>
          <w:szCs w:val="24"/>
          <w:lang w:val="en-US" w:eastAsia="ru-RU"/>
        </w:rPr>
        <w:t>.</w:t>
      </w:r>
      <w:r w:rsidRPr="00D337FA">
        <w:rPr>
          <w:rFonts w:ascii="Arial" w:eastAsia="Times New Roman" w:hAnsi="Arial" w:cs="Arial"/>
          <w:b/>
          <w:i/>
          <w:szCs w:val="24"/>
          <w:lang w:val="en-US" w:eastAsia="ru-RU"/>
        </w:rPr>
        <w:t>G</w:t>
      </w:r>
      <w:r w:rsidRPr="007A4616">
        <w:rPr>
          <w:rFonts w:ascii="Arial" w:eastAsia="Times New Roman" w:hAnsi="Arial" w:cs="Arial"/>
          <w:b/>
          <w:i/>
          <w:szCs w:val="24"/>
          <w:lang w:val="en-US" w:eastAsia="ru-RU"/>
        </w:rPr>
        <w:t>.</w:t>
      </w:r>
      <w:r w:rsidR="006C680D" w:rsidRPr="007A4616">
        <w:rPr>
          <w:rFonts w:ascii="Arial" w:eastAsia="Times New Roman" w:hAnsi="Arial" w:cs="Arial"/>
          <w:b/>
          <w:i/>
          <w:szCs w:val="24"/>
          <w:lang w:val="en-US" w:eastAsia="ru-RU"/>
        </w:rPr>
        <w:t xml:space="preserve"> </w:t>
      </w:r>
      <w:r w:rsidRPr="00D337FA">
        <w:rPr>
          <w:rFonts w:ascii="Arial" w:eastAsia="Times New Roman" w:hAnsi="Arial" w:cs="Arial"/>
          <w:b/>
          <w:i/>
          <w:szCs w:val="24"/>
          <w:lang w:val="en-US" w:eastAsia="ru-RU"/>
        </w:rPr>
        <w:t>Yakovlev</w:t>
      </w:r>
      <w:r w:rsidR="007A4616" w:rsidRPr="007A4616">
        <w:rPr>
          <w:rFonts w:ascii="Arial" w:eastAsia="Times New Roman" w:hAnsi="Arial" w:cs="Arial"/>
          <w:b/>
          <w:i/>
          <w:szCs w:val="24"/>
          <w:lang w:val="en-US" w:eastAsia="ru-RU"/>
        </w:rPr>
        <w:t>,</w:t>
      </w:r>
      <w:r w:rsidR="006C680D" w:rsidRPr="007A4616">
        <w:rPr>
          <w:rFonts w:ascii="Arial" w:eastAsia="Times New Roman" w:hAnsi="Arial" w:cs="Arial"/>
          <w:b/>
          <w:i/>
          <w:szCs w:val="24"/>
          <w:lang w:val="en-US" w:eastAsia="ru-RU"/>
        </w:rPr>
        <w:t xml:space="preserve"> </w:t>
      </w:r>
      <w:r w:rsidR="007A4616" w:rsidRPr="007A4616">
        <w:rPr>
          <w:rFonts w:ascii="Arial" w:eastAsia="Times New Roman" w:hAnsi="Arial" w:cs="Arial"/>
          <w:b/>
          <w:i/>
          <w:szCs w:val="24"/>
          <w:lang w:val="en-US" w:eastAsia="ru-RU"/>
        </w:rPr>
        <w:t xml:space="preserve">G. I. Yakovlev </w:t>
      </w:r>
    </w:p>
    <w:p w:rsidR="00230516" w:rsidRPr="007A4616" w:rsidRDefault="00230516" w:rsidP="00230516">
      <w:pPr>
        <w:ind w:firstLine="533"/>
        <w:rPr>
          <w:rFonts w:ascii="Arial" w:eastAsia="Times New Roman" w:hAnsi="Arial" w:cs="Arial"/>
          <w:szCs w:val="24"/>
          <w:lang w:val="en-US" w:eastAsia="ru-RU"/>
        </w:rPr>
      </w:pPr>
    </w:p>
    <w:p w:rsidR="00771C50" w:rsidRPr="00D337FA" w:rsidRDefault="00771C50" w:rsidP="00771C50">
      <w:pPr>
        <w:ind w:firstLine="0"/>
        <w:jc w:val="center"/>
        <w:rPr>
          <w:rFonts w:ascii="Arial" w:eastAsia="Times New Roman" w:hAnsi="Arial" w:cs="Arial"/>
          <w:b/>
          <w:caps/>
          <w:szCs w:val="24"/>
          <w:lang w:eastAsia="ru-RU"/>
        </w:rPr>
      </w:pPr>
      <w:r w:rsidRPr="00D337FA">
        <w:rPr>
          <w:rFonts w:ascii="Arial" w:eastAsia="Times New Roman" w:hAnsi="Arial" w:cs="Arial"/>
          <w:b/>
          <w:caps/>
          <w:szCs w:val="24"/>
          <w:lang w:eastAsia="ru-RU"/>
        </w:rPr>
        <w:t>РЕАЛИЗАЦИЯ</w:t>
      </w:r>
      <w:r w:rsidR="006C680D" w:rsidRPr="00D337FA">
        <w:rPr>
          <w:rFonts w:ascii="Arial" w:eastAsia="Times New Roman" w:hAnsi="Arial" w:cs="Arial"/>
          <w:b/>
          <w:caps/>
          <w:szCs w:val="24"/>
          <w:lang w:eastAsia="ru-RU"/>
        </w:rPr>
        <w:t xml:space="preserve"> </w:t>
      </w:r>
      <w:r w:rsidRPr="00D337FA">
        <w:rPr>
          <w:rFonts w:ascii="Arial" w:eastAsia="Times New Roman" w:hAnsi="Arial" w:cs="Arial"/>
          <w:b/>
          <w:caps/>
          <w:szCs w:val="24"/>
          <w:lang w:eastAsia="ru-RU"/>
        </w:rPr>
        <w:t>МЕТОДОВ</w:t>
      </w:r>
      <w:r w:rsidR="006C680D" w:rsidRPr="00D337FA">
        <w:rPr>
          <w:rFonts w:ascii="Arial" w:eastAsia="Times New Roman" w:hAnsi="Arial" w:cs="Arial"/>
          <w:b/>
          <w:caps/>
          <w:szCs w:val="24"/>
          <w:lang w:eastAsia="ru-RU"/>
        </w:rPr>
        <w:t xml:space="preserve"> </w:t>
      </w:r>
      <w:r w:rsidRPr="00D337FA">
        <w:rPr>
          <w:rFonts w:ascii="Arial" w:eastAsia="Times New Roman" w:hAnsi="Arial" w:cs="Arial"/>
          <w:b/>
          <w:caps/>
          <w:szCs w:val="24"/>
          <w:lang w:eastAsia="ru-RU"/>
        </w:rPr>
        <w:t>ПРОМПТ-ИНЖИНИРИНГА</w:t>
      </w:r>
      <w:r w:rsidR="006C680D" w:rsidRPr="00D337FA">
        <w:rPr>
          <w:rFonts w:ascii="Arial" w:eastAsia="Times New Roman" w:hAnsi="Arial" w:cs="Arial"/>
          <w:b/>
          <w:caps/>
          <w:szCs w:val="24"/>
          <w:lang w:eastAsia="ru-RU"/>
        </w:rPr>
        <w:t xml:space="preserve"> </w:t>
      </w:r>
      <w:r w:rsidRPr="00D337FA">
        <w:rPr>
          <w:rFonts w:ascii="Arial" w:eastAsia="Times New Roman" w:hAnsi="Arial" w:cs="Arial"/>
          <w:b/>
          <w:caps/>
          <w:szCs w:val="24"/>
          <w:lang w:eastAsia="ru-RU"/>
        </w:rPr>
        <w:t>В</w:t>
      </w:r>
      <w:r w:rsidR="006C680D" w:rsidRPr="00D337FA">
        <w:rPr>
          <w:rFonts w:ascii="Arial" w:eastAsia="Times New Roman" w:hAnsi="Arial" w:cs="Arial"/>
          <w:b/>
          <w:caps/>
          <w:szCs w:val="24"/>
          <w:lang w:eastAsia="ru-RU"/>
        </w:rPr>
        <w:t xml:space="preserve"> </w:t>
      </w:r>
      <w:r w:rsidRPr="00D337FA">
        <w:rPr>
          <w:rFonts w:ascii="Arial" w:eastAsia="Times New Roman" w:hAnsi="Arial" w:cs="Arial"/>
          <w:b/>
          <w:caps/>
          <w:szCs w:val="24"/>
          <w:lang w:eastAsia="ru-RU"/>
        </w:rPr>
        <w:t>КОНТЕКСТЕ</w:t>
      </w:r>
      <w:r w:rsidR="006C680D" w:rsidRPr="00D337FA">
        <w:rPr>
          <w:rFonts w:ascii="Arial" w:eastAsia="Times New Roman" w:hAnsi="Arial" w:cs="Arial"/>
          <w:b/>
          <w:caps/>
          <w:szCs w:val="24"/>
          <w:lang w:eastAsia="ru-RU"/>
        </w:rPr>
        <w:t xml:space="preserve"> </w:t>
      </w:r>
      <w:r w:rsidRPr="00D337FA">
        <w:rPr>
          <w:rFonts w:ascii="Arial" w:eastAsia="Times New Roman" w:hAnsi="Arial" w:cs="Arial"/>
          <w:b/>
          <w:caps/>
          <w:szCs w:val="24"/>
          <w:lang w:eastAsia="ru-RU"/>
        </w:rPr>
        <w:t>КЛАССИЧЕСКОГО</w:t>
      </w:r>
      <w:r w:rsidR="006C680D" w:rsidRPr="00D337FA">
        <w:rPr>
          <w:rFonts w:ascii="Arial" w:eastAsia="Times New Roman" w:hAnsi="Arial" w:cs="Arial"/>
          <w:b/>
          <w:caps/>
          <w:szCs w:val="24"/>
          <w:lang w:eastAsia="ru-RU"/>
        </w:rPr>
        <w:t xml:space="preserve"> </w:t>
      </w:r>
      <w:r w:rsidRPr="00D337FA">
        <w:rPr>
          <w:rFonts w:ascii="Arial" w:eastAsia="Times New Roman" w:hAnsi="Arial" w:cs="Arial"/>
          <w:b/>
          <w:caps/>
          <w:szCs w:val="24"/>
          <w:lang w:eastAsia="ru-RU"/>
        </w:rPr>
        <w:t>МЕНЕДЖМЕНТА</w:t>
      </w:r>
    </w:p>
    <w:p w:rsidR="00771C50" w:rsidRPr="00D337FA" w:rsidRDefault="00771C50" w:rsidP="00771C50">
      <w:pPr>
        <w:ind w:firstLine="0"/>
        <w:jc w:val="center"/>
        <w:rPr>
          <w:rFonts w:ascii="Arial" w:eastAsia="Times New Roman" w:hAnsi="Arial" w:cs="Arial"/>
          <w:b/>
          <w:caps/>
          <w:szCs w:val="24"/>
          <w:lang w:eastAsia="ru-RU"/>
        </w:rPr>
      </w:pPr>
    </w:p>
    <w:p w:rsidR="00230516" w:rsidRPr="00D337FA" w:rsidRDefault="00771C50" w:rsidP="00771C50">
      <w:pPr>
        <w:ind w:firstLine="0"/>
        <w:jc w:val="center"/>
        <w:rPr>
          <w:rFonts w:ascii="Arial" w:eastAsia="Times New Roman" w:hAnsi="Arial" w:cs="Arial"/>
          <w:b/>
          <w:caps/>
          <w:szCs w:val="24"/>
          <w:lang w:val="en-US" w:eastAsia="ru-RU"/>
        </w:rPr>
      </w:pPr>
      <w:r w:rsidRPr="00D337FA">
        <w:rPr>
          <w:rFonts w:ascii="Arial" w:eastAsia="Times New Roman" w:hAnsi="Arial" w:cs="Arial"/>
          <w:b/>
          <w:caps/>
          <w:szCs w:val="24"/>
          <w:lang w:val="en-US" w:eastAsia="ru-RU"/>
        </w:rPr>
        <w:t>IMPLEMENTATION</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OF</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PROMPT</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ENGINEERING</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METHODS</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IN</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THE</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CONTEXT</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OF</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CLASSICAL</w:t>
      </w:r>
      <w:r w:rsidR="006C680D" w:rsidRPr="00D337FA">
        <w:rPr>
          <w:rFonts w:ascii="Arial" w:eastAsia="Times New Roman" w:hAnsi="Arial" w:cs="Arial"/>
          <w:b/>
          <w:caps/>
          <w:szCs w:val="24"/>
          <w:lang w:val="en-US" w:eastAsia="ru-RU"/>
        </w:rPr>
        <w:t xml:space="preserve"> </w:t>
      </w:r>
      <w:r w:rsidRPr="00D337FA">
        <w:rPr>
          <w:rFonts w:ascii="Arial" w:eastAsia="Times New Roman" w:hAnsi="Arial" w:cs="Arial"/>
          <w:b/>
          <w:caps/>
          <w:szCs w:val="24"/>
          <w:lang w:val="en-US" w:eastAsia="ru-RU"/>
        </w:rPr>
        <w:t>MANAGEMENT</w:t>
      </w:r>
    </w:p>
    <w:p w:rsidR="00017F31" w:rsidRPr="00D337FA" w:rsidRDefault="00017F31" w:rsidP="00DF3213">
      <w:pPr>
        <w:pStyle w:val="afe"/>
        <w:rPr>
          <w:color w:val="auto"/>
          <w:highlight w:val="yellow"/>
          <w:lang w:val="en-US"/>
        </w:rPr>
      </w:pPr>
    </w:p>
    <w:p w:rsidR="0093400A" w:rsidRPr="00D337FA" w:rsidRDefault="0093400A" w:rsidP="00017F31">
      <w:pPr>
        <w:pBdr>
          <w:bottom w:val="double" w:sz="12" w:space="1" w:color="auto"/>
        </w:pBdr>
        <w:ind w:firstLine="0"/>
        <w:rPr>
          <w:szCs w:val="24"/>
          <w:highlight w:val="yellow"/>
          <w:lang w:val="en-US"/>
        </w:rPr>
        <w:sectPr w:rsidR="0093400A" w:rsidRPr="00D337FA" w:rsidSect="002E26D0">
          <w:headerReference w:type="default" r:id="rId50"/>
          <w:footnotePr>
            <w:numRestart w:val="eachPage"/>
          </w:footnotePr>
          <w:type w:val="continuous"/>
          <w:pgSz w:w="11907" w:h="16840" w:code="9"/>
          <w:pgMar w:top="1418" w:right="1134" w:bottom="1418" w:left="1134" w:header="1021" w:footer="1021" w:gutter="0"/>
          <w:cols w:space="708"/>
          <w:docGrid w:linePitch="360"/>
        </w:sectPr>
      </w:pPr>
    </w:p>
    <w:p w:rsidR="00300205" w:rsidRPr="00300205" w:rsidRDefault="009C4D02" w:rsidP="00300205">
      <w:pPr>
        <w:shd w:val="clear" w:color="auto" w:fill="FFFFFF"/>
        <w:ind w:firstLine="0"/>
        <w:textAlignment w:val="baseline"/>
        <w:rPr>
          <w:rFonts w:eastAsia="Times New Roman"/>
          <w:i/>
          <w:spacing w:val="-4"/>
          <w:szCs w:val="24"/>
          <w:lang w:eastAsia="ru-RU"/>
        </w:rPr>
      </w:pPr>
      <w:r w:rsidRPr="009C4D02">
        <w:rPr>
          <w:b/>
          <w:i/>
          <w:szCs w:val="24"/>
        </w:rPr>
        <w:lastRenderedPageBreak/>
        <w:t>Аннотация.</w:t>
      </w:r>
      <w:r w:rsidRPr="009C4D02">
        <w:rPr>
          <w:i/>
          <w:szCs w:val="24"/>
        </w:rPr>
        <w:t xml:space="preserve"> </w:t>
      </w:r>
      <w:r w:rsidRPr="00300205">
        <w:rPr>
          <w:i/>
          <w:spacing w:val="-4"/>
          <w:szCs w:val="24"/>
        </w:rPr>
        <w:t xml:space="preserve">Задачи повышения конкурентоспособности современных организаций требуют внедрения действенных инструментов человеко-машинного взаимодействия в поиске нетривиальных решений задач оптимизации бизнес-процессов, формируя новый вид профессиональной деятельности – промпт-инжиниринг, сфокусированного на проектировании и оптимизации входных данных (промптов) для взаимодействия с большими языковыми моделями и другими системами искусственного интеллекта. Цель исследования – проблемы и уязвимости устойчивого функционирования моделей промпт-инжиниринга в условиях повышенных требований к качеству результатов выдачи средствами ИИ. Методологическую основу исследования составляют контентный и семантический анализ источников эмпирических и теоретических данных, прогнозирование. В результате показана значимость влияния управляемого взаимодействия с искусственным интеллектом на показатели запланированной деятельности организации, выработки адекватных решений, которые приводят к росту эффективности бизнес-процессов. Применение общих принципов управления организацией должно быть гибким и учитывать конкретные условия совместной работы в режиме промт-инжиниринга. Научная и практическая значимость исследования заключается в разработке методов повышения результативности трудовых и когнитивных функций специалистов при постановке методов </w:t>
      </w:r>
      <w:r w:rsidR="00300205" w:rsidRPr="00300205">
        <w:rPr>
          <w:rFonts w:eastAsia="Times New Roman"/>
          <w:i/>
          <w:spacing w:val="-4"/>
          <w:szCs w:val="24"/>
          <w:lang w:eastAsia="ru-RU"/>
        </w:rPr>
        <w:t>на соответствующих принципах научности, единства в действиях, дисциплины, контроля и корректив результатов выдачи и т.д.</w:t>
      </w:r>
    </w:p>
    <w:p w:rsidR="00300205" w:rsidRDefault="009C4D02" w:rsidP="009C4D02">
      <w:pPr>
        <w:ind w:firstLine="0"/>
        <w:rPr>
          <w:rFonts w:eastAsia="Times New Roman"/>
          <w:i/>
          <w:szCs w:val="24"/>
          <w:lang w:val="en-US" w:eastAsia="ru-RU"/>
        </w:rPr>
      </w:pPr>
      <w:r w:rsidRPr="009C4D02">
        <w:rPr>
          <w:rFonts w:eastAsia="Times New Roman"/>
          <w:b/>
          <w:i/>
          <w:szCs w:val="24"/>
          <w:lang w:val="en-US" w:eastAsia="ru-RU"/>
        </w:rPr>
        <w:lastRenderedPageBreak/>
        <w:t>Abstract.</w:t>
      </w:r>
      <w:r w:rsidRPr="009C4D02">
        <w:rPr>
          <w:rFonts w:eastAsia="Times New Roman"/>
          <w:i/>
          <w:szCs w:val="24"/>
          <w:lang w:val="en-US" w:eastAsia="ru-RU"/>
        </w:rPr>
        <w:t xml:space="preserve"> The tasks of increasing the competitiveness of organizations require the implementation of effective tools for human-machine interaction in order to find non-trivial solutions to the optimization of business processes, forming a new type of professional activity – prompt engineering, which focuses on the design and optimization of input data (prompts) for interaction with large language models and other artificial intelligence systems. The purpose of this research is to address the challenges and vulnerabilities of the sustainable operation of prompt engineering models in the context of increased requirements for the quality of AI-generated results. The methodological basis of the study is based on content and semantic analysis of sources of empirical and theoretical data, and forecasting. As a result, the importance of the impact of controlled interaction with artificial intelligence on the performance of the organization's planned activities and the development of appropriate solutions that lead to increased efficiency of business processes has been demonstrated</w:t>
      </w: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pPr>
    </w:p>
    <w:p w:rsidR="00300205" w:rsidRDefault="00300205" w:rsidP="009C4D02">
      <w:pPr>
        <w:ind w:firstLine="0"/>
        <w:rPr>
          <w:rFonts w:eastAsia="Times New Roman"/>
          <w:i/>
          <w:szCs w:val="24"/>
          <w:lang w:val="en-US" w:eastAsia="ru-RU"/>
        </w:rPr>
        <w:sectPr w:rsidR="00300205" w:rsidSect="00300205">
          <w:footnotePr>
            <w:numRestart w:val="eachPage"/>
          </w:footnotePr>
          <w:type w:val="continuous"/>
          <w:pgSz w:w="11907" w:h="16840" w:code="9"/>
          <w:pgMar w:top="1531" w:right="1134" w:bottom="1418" w:left="1134" w:header="1021" w:footer="1021" w:gutter="0"/>
          <w:cols w:num="2" w:space="567"/>
          <w:docGrid w:linePitch="360"/>
        </w:sectPr>
      </w:pPr>
    </w:p>
    <w:p w:rsidR="009C4D02" w:rsidRDefault="009C4D02" w:rsidP="00300205">
      <w:pPr>
        <w:ind w:firstLine="0"/>
        <w:rPr>
          <w:rFonts w:eastAsia="Times New Roman"/>
          <w:i/>
          <w:szCs w:val="24"/>
          <w:lang w:val="en-US" w:eastAsia="ru-RU"/>
        </w:rPr>
      </w:pPr>
      <w:r w:rsidRPr="009C4D02">
        <w:rPr>
          <w:rFonts w:eastAsia="Times New Roman"/>
          <w:i/>
          <w:szCs w:val="24"/>
          <w:lang w:val="en-US" w:eastAsia="ru-RU"/>
        </w:rPr>
        <w:lastRenderedPageBreak/>
        <w:t>.</w:t>
      </w:r>
    </w:p>
    <w:p w:rsidR="00300205" w:rsidRPr="00300205" w:rsidRDefault="00300205" w:rsidP="009C4D02">
      <w:pPr>
        <w:shd w:val="clear" w:color="auto" w:fill="FFFFFF"/>
        <w:ind w:firstLine="0"/>
        <w:textAlignment w:val="baseline"/>
        <w:rPr>
          <w:rFonts w:eastAsia="Times New Roman"/>
          <w:i/>
          <w:szCs w:val="24"/>
          <w:lang w:eastAsia="ru-RU"/>
        </w:rPr>
      </w:pPr>
      <w:r w:rsidRPr="00300205">
        <w:rPr>
          <w:rFonts w:eastAsia="Times New Roman"/>
          <w:i/>
          <w:sz w:val="20"/>
          <w:szCs w:val="20"/>
          <w:lang w:eastAsia="ru-RU"/>
        </w:rPr>
        <w:t>© Яковлев И.Г., Яковлев Г.И., 2026</w:t>
      </w:r>
      <w:r w:rsidR="009C4D02" w:rsidRPr="00300205">
        <w:rPr>
          <w:rFonts w:eastAsia="Times New Roman"/>
          <w:i/>
          <w:sz w:val="20"/>
          <w:szCs w:val="20"/>
          <w:lang w:eastAsia="ru-RU"/>
        </w:rPr>
        <w:br w:type="page"/>
      </w:r>
    </w:p>
    <w:p w:rsidR="00300205" w:rsidRPr="00300205" w:rsidRDefault="00300205" w:rsidP="009C4D02">
      <w:pPr>
        <w:shd w:val="clear" w:color="auto" w:fill="FFFFFF"/>
        <w:ind w:firstLine="0"/>
        <w:textAlignment w:val="baseline"/>
        <w:rPr>
          <w:rFonts w:eastAsia="Times New Roman"/>
          <w:i/>
          <w:szCs w:val="24"/>
          <w:lang w:eastAsia="ru-RU"/>
        </w:rPr>
        <w:sectPr w:rsidR="00300205" w:rsidRPr="00300205" w:rsidSect="00300205">
          <w:footnotePr>
            <w:numRestart w:val="eachPage"/>
          </w:footnotePr>
          <w:type w:val="continuous"/>
          <w:pgSz w:w="11907" w:h="16840" w:code="9"/>
          <w:pgMar w:top="1531" w:right="1134" w:bottom="1418" w:left="1134" w:header="1021" w:footer="1021" w:gutter="0"/>
          <w:cols w:space="567"/>
          <w:docGrid w:linePitch="360"/>
        </w:sectPr>
      </w:pPr>
    </w:p>
    <w:p w:rsidR="00D81046" w:rsidRPr="00D81046" w:rsidRDefault="00D81046" w:rsidP="00D81046">
      <w:pPr>
        <w:ind w:firstLine="284"/>
        <w:rPr>
          <w:b/>
        </w:rPr>
      </w:pPr>
      <w:r w:rsidRPr="00D81046">
        <w:rPr>
          <w:b/>
        </w:rPr>
        <w:lastRenderedPageBreak/>
        <w:t>Введение</w:t>
      </w:r>
    </w:p>
    <w:p w:rsidR="00D81046" w:rsidRPr="00D81046" w:rsidRDefault="00D81046" w:rsidP="00D81046">
      <w:pPr>
        <w:ind w:firstLine="284"/>
      </w:pPr>
      <w:r w:rsidRPr="00D81046">
        <w:t>В настоящее время возрастет значимость человеко-машинного взаимодействия в информационных системах, рассматриваемый как процесс совместной работы человека (пользователя) и искусственного интеллекта (ИИ) при решении различных задач работы с данными. Методы ИИ используются в прикладных целях текущей работы организаций как мощный и действенный инструмент, задействованной в поиске нетривиальных решений для типовых задач: тестировании интеллектуальных решений, написании программных кодов и их последовательностей, выделения, документирования и регламентации бизнес-процессов различных уровней.</w:t>
      </w:r>
    </w:p>
    <w:p w:rsidR="00D81046" w:rsidRDefault="00D81046" w:rsidP="00D81046">
      <w:pPr>
        <w:ind w:firstLine="284"/>
      </w:pPr>
      <w:r w:rsidRPr="00D81046">
        <w:t xml:space="preserve">При том, что многие рутинные задачи стали препоручаться моделям ИИ с различной степени функциональности, остается неизменно определяющей созидательная и ведущая роль человека, его интеллектуальных возможностей. Сегодня роль творца и организатора возрастет неизмеримо благодаря высокой вооруженности средствами интеллектуального труда, что позволяет в большей степени усиливать деятельность специалиста при решении задач по стратегическому планированию, прогнозированию и оперативно-производственному планированию, целеполаганию, обеспечению системного масштабирования и безопасности, творческому использованию высокотехнологичных результатов и продуктов, генерируемых ИИ. Высокотехнологичная орудийная деятельность человека в сфере научно-исследовательских работ (НИР) путем применения современных моделей ИИ значительно повышает производительность осмысленной творческой деятельности, даже при создании новых программных продуктов, способных генерировать фрагменты и последовательности кода, подбирая автодополнения и обеспечивать реализацию целых функций на основе авторских установок. </w:t>
      </w:r>
    </w:p>
    <w:p w:rsidR="00D81046" w:rsidRPr="00D81046" w:rsidRDefault="00D81046" w:rsidP="00D81046">
      <w:pPr>
        <w:ind w:firstLine="284"/>
      </w:pPr>
    </w:p>
    <w:p w:rsidR="00D81046" w:rsidRPr="00D81046" w:rsidRDefault="00D81046" w:rsidP="00D81046">
      <w:pPr>
        <w:ind w:firstLine="284"/>
        <w:rPr>
          <w:b/>
        </w:rPr>
      </w:pPr>
      <w:r w:rsidRPr="00D81046">
        <w:rPr>
          <w:b/>
        </w:rPr>
        <w:t>Теоретический анализ</w:t>
      </w:r>
    </w:p>
    <w:p w:rsidR="00D81046" w:rsidRPr="00D81046" w:rsidRDefault="00D81046" w:rsidP="00D81046">
      <w:pPr>
        <w:ind w:firstLine="284"/>
      </w:pPr>
      <w:r w:rsidRPr="00D81046">
        <w:t xml:space="preserve">Исследовательские работы по разработке и внедрению методов и технологий ИИ, </w:t>
      </w:r>
      <w:r w:rsidRPr="00D81046">
        <w:lastRenderedPageBreak/>
        <w:t xml:space="preserve">особенно генеративных модификаций, осуществляются во всем мире уже на протяжении более чем десяти лет. Одной из таких разработок является создание </w:t>
      </w:r>
      <w:r w:rsidRPr="00D81046">
        <w:rPr>
          <w:lang w:val="en-US"/>
        </w:rPr>
        <w:t>Generative</w:t>
      </w:r>
      <w:r w:rsidRPr="00D81046">
        <w:t xml:space="preserve"> </w:t>
      </w:r>
      <w:r w:rsidRPr="00D81046">
        <w:rPr>
          <w:lang w:val="en-US"/>
        </w:rPr>
        <w:t>pre</w:t>
      </w:r>
      <w:r w:rsidRPr="00D81046">
        <w:t>-</w:t>
      </w:r>
      <w:r w:rsidRPr="00D81046">
        <w:rPr>
          <w:lang w:val="en-US"/>
        </w:rPr>
        <w:t>trained</w:t>
      </w:r>
      <w:r w:rsidRPr="00D81046">
        <w:t xml:space="preserve"> </w:t>
      </w:r>
      <w:r w:rsidRPr="00D81046">
        <w:rPr>
          <w:lang w:val="en-US"/>
        </w:rPr>
        <w:t>transformer</w:t>
      </w:r>
      <w:r w:rsidRPr="00D81046">
        <w:t xml:space="preserve"> (</w:t>
      </w:r>
      <w:r w:rsidRPr="00D81046">
        <w:rPr>
          <w:lang w:val="en-US"/>
        </w:rPr>
        <w:t>GPT</w:t>
      </w:r>
      <w:r w:rsidRPr="00D81046">
        <w:t xml:space="preserve">, генерирующий предварительно-обученный трансформер). Данные разработки изначально велись для применения в сфере программирования и решения производственных и управленческих задач в сфере военно-промышленного комплекса, отдельных гражданских отраслей экономики. </w:t>
      </w:r>
    </w:p>
    <w:p w:rsidR="00D81046" w:rsidRPr="00D81046" w:rsidRDefault="00D81046" w:rsidP="00D81046">
      <w:pPr>
        <w:ind w:firstLine="284"/>
      </w:pPr>
      <w:r w:rsidRPr="00D81046">
        <w:t>Продвинутые прототипы ИИ стали массовым и бесплатным прототипом, оптимизированным для ведения диалога: могли отвечать на уточняющие вопросы, признавать ошибки и отклонять неподходящие запросы, что сделало их самым быстрорастущим потребительским приложением в истории. Его использовали для написания и отладки программ, ответов на экзаменационные вопросы, генерации бизнес-идей, перевода и суммирования текстов и мн. др.</w:t>
      </w:r>
    </w:p>
    <w:p w:rsidR="00D81046" w:rsidRPr="00D81046" w:rsidRDefault="00D81046" w:rsidP="00D81046">
      <w:pPr>
        <w:ind w:firstLine="284"/>
      </w:pPr>
      <w:r w:rsidRPr="00D81046">
        <w:t xml:space="preserve">Высокая популярность сервиса привела к появлению в феврале 2023 года платной подписки </w:t>
      </w:r>
      <w:r w:rsidRPr="00D81046">
        <w:rPr>
          <w:lang w:val="en-US"/>
        </w:rPr>
        <w:t>ChatGPT</w:t>
      </w:r>
      <w:r w:rsidRPr="00D81046">
        <w:t xml:space="preserve"> </w:t>
      </w:r>
      <w:r w:rsidRPr="00D81046">
        <w:rPr>
          <w:lang w:val="en-US"/>
        </w:rPr>
        <w:t>Plus</w:t>
      </w:r>
      <w:r w:rsidRPr="00D81046">
        <w:t xml:space="preserve">, которая гарантировала приоритетный доступ и отсутствие сбоев. К августу 2025 года вышла уже пятая версия модели </w:t>
      </w:r>
      <w:r w:rsidRPr="00946B13">
        <w:t>–</w:t>
      </w:r>
      <w:r w:rsidRPr="00D81046">
        <w:t xml:space="preserve"> </w:t>
      </w:r>
      <w:r w:rsidRPr="00D81046">
        <w:rPr>
          <w:lang w:val="en-US"/>
        </w:rPr>
        <w:t>GPT</w:t>
      </w:r>
      <w:r w:rsidRPr="00D81046">
        <w:t xml:space="preserve">-5. Не только </w:t>
      </w:r>
      <w:r w:rsidRPr="00D81046">
        <w:rPr>
          <w:lang w:val="en-US"/>
        </w:rPr>
        <w:t>OpenAI</w:t>
      </w:r>
      <w:r w:rsidRPr="00D81046">
        <w:t xml:space="preserve"> активно развивала это направление. Крупные </w:t>
      </w:r>
      <w:r w:rsidRPr="00D81046">
        <w:rPr>
          <w:lang w:val="en-US"/>
        </w:rPr>
        <w:t>IT</w:t>
      </w:r>
      <w:r w:rsidRPr="00D81046">
        <w:t xml:space="preserve">-компании, такие как </w:t>
      </w:r>
      <w:r w:rsidRPr="00D81046">
        <w:rPr>
          <w:lang w:val="en-US"/>
        </w:rPr>
        <w:t>Google</w:t>
      </w:r>
      <w:r w:rsidRPr="00D81046">
        <w:t xml:space="preserve">, </w:t>
      </w:r>
      <w:r w:rsidRPr="00D81046">
        <w:rPr>
          <w:lang w:val="en-US"/>
        </w:rPr>
        <w:t>Microsoft</w:t>
      </w:r>
      <w:r w:rsidRPr="00D81046">
        <w:t xml:space="preserve"> и Яндекс, также представили свои языковые модели, демонстрирующие сходные показатели производительности и эффективности, хотя и с разной степенью популярности.</w:t>
      </w:r>
    </w:p>
    <w:p w:rsidR="00D81046" w:rsidRPr="00D81046" w:rsidRDefault="00D81046" w:rsidP="00D81046">
      <w:pPr>
        <w:ind w:firstLine="284"/>
      </w:pPr>
      <w:r w:rsidRPr="00D81046">
        <w:t>Отечественные разработки представлены весьма достойно среди многочисленных программных средств на целевом рынке, особенно в специфической сфере больших языковых моделей (</w:t>
      </w:r>
      <w:r w:rsidRPr="00D81046">
        <w:rPr>
          <w:lang w:val="en-US"/>
        </w:rPr>
        <w:t>LLM</w:t>
      </w:r>
      <w:r w:rsidRPr="00D81046">
        <w:t xml:space="preserve">), русифицированные и приспособленные под решение локализованных задач, предлагаемые такими корпорациями, как Сбер, Яндекс, Сколково и другими менее заметными компаниями, включая многочисленные профильные стартапы. Отдельные группы разработчиков создают собственные внутренние инструменты под узко локальные задачи, особые условия производственно-сбытовой </w:t>
      </w:r>
      <w:r w:rsidRPr="00D81046">
        <w:lastRenderedPageBreak/>
        <w:t xml:space="preserve">деятельности и соображений обеспечения безопасности конкретных предприятий. </w:t>
      </w:r>
    </w:p>
    <w:p w:rsidR="00D81046" w:rsidRPr="00D81046" w:rsidRDefault="00D81046" w:rsidP="00D81046">
      <w:pPr>
        <w:ind w:firstLine="284"/>
      </w:pPr>
      <w:r w:rsidRPr="00D81046">
        <w:t xml:space="preserve">Модели типа </w:t>
      </w:r>
      <w:r w:rsidRPr="00D81046">
        <w:rPr>
          <w:lang w:val="en-US"/>
        </w:rPr>
        <w:t>GPT</w:t>
      </w:r>
      <w:r w:rsidRPr="00D81046">
        <w:t xml:space="preserve"> относятся к категории </w:t>
      </w:r>
      <w:r w:rsidRPr="00D81046">
        <w:rPr>
          <w:lang w:val="en-US"/>
        </w:rPr>
        <w:t>LLM</w:t>
      </w:r>
      <w:r w:rsidRPr="00D81046">
        <w:t>. Они построены на архитектуре трансформера, которая использует механизм самовнимания для обработки текстовых последовательностей. Ключевые компоненты этой системы включают токенизацию (разбиение текста на слова или их части с преобразованием в числовые представления), слои самовнимания (определение значимости каждого токена в контексте) и слои прямого распространения (применение нелинейных преобразований).</w:t>
      </w:r>
    </w:p>
    <w:p w:rsidR="00D81046" w:rsidRPr="00D81046" w:rsidRDefault="00D81046" w:rsidP="00D81046">
      <w:pPr>
        <w:ind w:firstLine="284"/>
      </w:pPr>
      <w:r w:rsidRPr="00D81046">
        <w:t>Обучение таких моделей происходит на огромных массивах текстовых данных – книгах, статьях, коде и т.д. – с целью предсказания следующего токена в последовательности данных. Это позволяет им усваивать грамматику, факты и основы логических рассуждений. Кроме того, в процессе работы модель может дообучаться с учётом предпочтений пользователя, что делает диалог с ИИ более естественным и приближенным к человеческому.</w:t>
      </w:r>
    </w:p>
    <w:p w:rsidR="00D81046" w:rsidRPr="00D81046" w:rsidRDefault="00D81046" w:rsidP="00D81046">
      <w:pPr>
        <w:ind w:firstLine="284"/>
      </w:pPr>
      <w:r w:rsidRPr="00D81046">
        <w:t xml:space="preserve">Вопросы продуктивного применения интеллектуальных чат-ботов и специальных программных средств в решении исследовательских и производственных задач стали подробно освещаться в специальной литературе в последнее десятилетие. В этой связи Трегубов В.Н. [1] отмечает, что возможности генеративных моделей становятся доступными и востребованными у специалистов разных профессий, в том числе и в сфере маркетинг-менеджмента, формируется достаточная методологическая база, целостная концепция исследований с выделением собственных и специфичных объекта, предмета, целей и задач. </w:t>
      </w:r>
    </w:p>
    <w:p w:rsidR="00D81046" w:rsidRPr="00D81046" w:rsidRDefault="00D81046" w:rsidP="00D81046">
      <w:pPr>
        <w:ind w:firstLine="284"/>
      </w:pPr>
      <w:r w:rsidRPr="00D81046">
        <w:t xml:space="preserve">Результаты анализа материалов специальных публикаций показывают, что современные системы ИИ, в том числе </w:t>
      </w:r>
      <w:r w:rsidRPr="00D81046">
        <w:rPr>
          <w:lang w:val="en-US"/>
        </w:rPr>
        <w:t>ChatGPT</w:t>
      </w:r>
      <w:r w:rsidRPr="00D81046">
        <w:t xml:space="preserve"> и </w:t>
      </w:r>
      <w:r w:rsidRPr="00D81046">
        <w:rPr>
          <w:lang w:val="en-US"/>
        </w:rPr>
        <w:t>YaGPT</w:t>
      </w:r>
      <w:r w:rsidRPr="00D81046">
        <w:t xml:space="preserve">, могут быть эффективно использованы для генерации черновых вариантов вопросов для формирования опросной анкеты и для автоматизированного создания контура карты пути клиента, при постоянном сопровождении специалистом-человеком, имеющим необходимые </w:t>
      </w:r>
      <w:r w:rsidRPr="00D81046">
        <w:lastRenderedPageBreak/>
        <w:t>компетенции в области современного маркетинг-менеджмента.</w:t>
      </w:r>
    </w:p>
    <w:p w:rsidR="00D81046" w:rsidRPr="00D81046" w:rsidRDefault="00D81046" w:rsidP="00D81046">
      <w:pPr>
        <w:ind w:firstLine="284"/>
      </w:pPr>
      <w:r w:rsidRPr="00D81046">
        <w:t xml:space="preserve">Солдаткина Я.В., Чернавский А.С. [2] показали перспективы развития нейросетей, предназначенных для генерирования разного типа медиатекстов, для решения различных коммуникационных, культурных и образовательных задач с применением широкого функционала современных нейросетевых генеративных алгоритмов и сервисов на основе инновационной языковой модели </w:t>
      </w:r>
      <w:r w:rsidRPr="00D81046">
        <w:rPr>
          <w:lang w:val="en-US"/>
        </w:rPr>
        <w:t>ChatGPT</w:t>
      </w:r>
      <w:r w:rsidRPr="00D81046">
        <w:t xml:space="preserve">. А.А.Паскова [3] признает ИИ как мощный инструмент для обучения и проведения исследований, отдельно отмечая сомнения в отношении соблюдения этических норм; </w:t>
      </w:r>
    </w:p>
    <w:p w:rsidR="00D81046" w:rsidRPr="00D81046" w:rsidRDefault="00D81046" w:rsidP="00D81046">
      <w:pPr>
        <w:ind w:firstLine="284"/>
      </w:pPr>
      <w:r w:rsidRPr="00D81046">
        <w:t>Зырянова И.Н., Чернавский А.С., Трубачев С.О. [4] разработали таксономию типов атак «инъекции запросов», которая помогает понять природу уязвимости ИИ и служит основой для будущих исследований в данной области, в целях улучшения безопасности языковых моделей в условиях постоянно меняющегося технологического ландшафта. Вольчик В.В. [5] особое внимание уделял феномену промпт-знания, которое возникает в результате взаимодействия</w:t>
      </w:r>
      <w:r w:rsidRPr="00D81046">
        <w:rPr>
          <w:b/>
        </w:rPr>
        <w:t xml:space="preserve"> </w:t>
      </w:r>
      <w:r w:rsidRPr="00D81046">
        <w:t>человека и ИИ. Чрезмерное использование ИИ может привести к поверхностному восприятию знаний и снижению мотивации специалистов предприятий к творческой деятельности.</w:t>
      </w:r>
    </w:p>
    <w:p w:rsidR="00D81046" w:rsidRPr="00D81046" w:rsidRDefault="00D81046" w:rsidP="00D81046">
      <w:pPr>
        <w:ind w:firstLine="284"/>
      </w:pPr>
      <w:r w:rsidRPr="00D81046">
        <w:t xml:space="preserve">Шнайдер П.А., Чернышева А.В., Никифорова А.Д., Говоров А.И., Хлопотов М.В. [6] для формирования запросов к </w:t>
      </w:r>
      <w:r w:rsidRPr="00D81046">
        <w:rPr>
          <w:lang w:val="en-US"/>
        </w:rPr>
        <w:t>LLM</w:t>
      </w:r>
      <w:r w:rsidRPr="00D81046">
        <w:t xml:space="preserve"> использовали такие методы промпт-инжиниринга, как </w:t>
      </w:r>
      <w:r w:rsidRPr="00D81046">
        <w:rPr>
          <w:lang w:val="en-US"/>
        </w:rPr>
        <w:t>zero</w:t>
      </w:r>
      <w:r w:rsidRPr="00D81046">
        <w:t>-</w:t>
      </w:r>
      <w:r w:rsidRPr="00D81046">
        <w:rPr>
          <w:lang w:val="en-US"/>
        </w:rPr>
        <w:t>shot</w:t>
      </w:r>
      <w:r w:rsidRPr="00D81046">
        <w:t xml:space="preserve">, </w:t>
      </w:r>
      <w:r w:rsidRPr="00D81046">
        <w:rPr>
          <w:lang w:val="en-US"/>
        </w:rPr>
        <w:t>few</w:t>
      </w:r>
      <w:r w:rsidRPr="00D81046">
        <w:t>-</w:t>
      </w:r>
      <w:r w:rsidRPr="00D81046">
        <w:rPr>
          <w:lang w:val="en-US"/>
        </w:rPr>
        <w:t>shot</w:t>
      </w:r>
      <w:r w:rsidRPr="00D81046">
        <w:t xml:space="preserve">, </w:t>
      </w:r>
      <w:r w:rsidRPr="00D81046">
        <w:rPr>
          <w:lang w:val="en-US"/>
        </w:rPr>
        <w:t>chain</w:t>
      </w:r>
      <w:r w:rsidRPr="00D81046">
        <w:t>-</w:t>
      </w:r>
      <w:r w:rsidRPr="00D81046">
        <w:rPr>
          <w:lang w:val="en-US"/>
        </w:rPr>
        <w:t>of</w:t>
      </w:r>
      <w:r w:rsidRPr="00D81046">
        <w:t>-</w:t>
      </w:r>
      <w:r w:rsidRPr="00D81046">
        <w:rPr>
          <w:lang w:val="en-US"/>
        </w:rPr>
        <w:t>thought</w:t>
      </w:r>
      <w:r w:rsidRPr="00D81046">
        <w:t xml:space="preserve"> и </w:t>
      </w:r>
      <w:r w:rsidRPr="00D81046">
        <w:rPr>
          <w:lang w:val="en-US"/>
        </w:rPr>
        <w:t>tree</w:t>
      </w:r>
      <w:r w:rsidRPr="00D81046">
        <w:t>-</w:t>
      </w:r>
      <w:r w:rsidRPr="00D81046">
        <w:rPr>
          <w:lang w:val="en-US"/>
        </w:rPr>
        <w:t>of</w:t>
      </w:r>
      <w:r w:rsidRPr="00D81046">
        <w:t>-</w:t>
      </w:r>
      <w:r w:rsidRPr="00D81046">
        <w:rPr>
          <w:lang w:val="en-US"/>
        </w:rPr>
        <w:t>thought</w:t>
      </w:r>
      <w:r w:rsidRPr="00D81046">
        <w:t xml:space="preserve"> и раскрыли возможности применения </w:t>
      </w:r>
      <w:r w:rsidRPr="00D81046">
        <w:rPr>
          <w:lang w:val="en-US"/>
        </w:rPr>
        <w:t>LLM</w:t>
      </w:r>
      <w:r w:rsidRPr="00D81046">
        <w:t xml:space="preserve"> в сфере образования и перспективные направления. Л.А. Заславский [7] рассматривал вопрос применения нейронных сетей в качестве персональных ассистентов современного педагога, возможности самостоятельно создать команду виртуальных ассистентов, которые станут его надежной опорой в непрофильных для него задачах. Ворониной О.В. [8] рассмотрены основные возможности использования цифровых технологий в специальном образовании и дан прогноз, </w:t>
      </w:r>
      <w:r w:rsidRPr="00D81046">
        <w:lastRenderedPageBreak/>
        <w:t xml:space="preserve">что через пять лет искусственный интеллект станет неотъемлемой частью жизни людей, он будет помогать, советовать человеку, что касается и специального образовательного процесса. </w:t>
      </w:r>
    </w:p>
    <w:p w:rsidR="00D81046" w:rsidRPr="00D81046" w:rsidRDefault="00D81046" w:rsidP="00D81046">
      <w:pPr>
        <w:ind w:firstLine="284"/>
      </w:pPr>
      <w:r w:rsidRPr="00D81046">
        <w:t xml:space="preserve">Воронин А.Н., Палёнова В.В. [9] изучали вопросы использования больших языковых моделей, таких как </w:t>
      </w:r>
      <w:r w:rsidRPr="00D81046">
        <w:rPr>
          <w:lang w:val="en-US"/>
        </w:rPr>
        <w:t>ChatGPT</w:t>
      </w:r>
      <w:r w:rsidRPr="00D81046">
        <w:t xml:space="preserve">, перспективы для анализа научных представлений и тенденций в психологии будущего. В процессе работы оптимизировались параметры промптов для улучшения качества и полноты ответов, выявлялись ограничения модели, включая проблему «галлюцинирования». Выяснилось, что качество ответов </w:t>
      </w:r>
      <w:r w:rsidRPr="00D81046">
        <w:rPr>
          <w:lang w:val="en-US"/>
        </w:rPr>
        <w:t>ChatGPT</w:t>
      </w:r>
      <w:r w:rsidRPr="00D81046">
        <w:t xml:space="preserve"> зависит от структуры промптов, описанных ролей и контекста задачи; оптимальная длина запроса составляет до 13 тысяч знаков; ключевыми проблемами остаются поверхностные ответы на простые запросы и генерация недостоверных данных, требующая критической верификации. </w:t>
      </w:r>
    </w:p>
    <w:p w:rsidR="00D81046" w:rsidRPr="00D81046" w:rsidRDefault="00D81046" w:rsidP="00D81046">
      <w:pPr>
        <w:ind w:firstLine="284"/>
      </w:pPr>
      <w:r w:rsidRPr="00D81046">
        <w:t>А.В. Батищев, И.В. Горчаков [10] предлагается использовать ИИ для автоматизации этих процессов строительной отрасли и анализа больших объёмов данных о сотрудниках компании с целью формирования рекомендаций по развитию персонала и корректировке их должностных обязанностей. Балашова Н.В., Дементьева А.А. [11] - в управлении организацией сегодня важно изучить возможности применения цифровых технологий в управлении персоналом. М.О.Сураева [12] провела анализ влияния ИИ на систему управления предприятием, формирования единого интеграционного компонента, который упрощает работу бизнес – единиц и приводит к росту эффективности производства.</w:t>
      </w:r>
    </w:p>
    <w:p w:rsidR="00D81046" w:rsidRPr="00D81046" w:rsidRDefault="00D81046" w:rsidP="00D81046">
      <w:pPr>
        <w:ind w:firstLine="284"/>
      </w:pPr>
      <w:r w:rsidRPr="00D81046">
        <w:t xml:space="preserve">Определенно, что ИИ сегодня представляет мощный инструмент, направленный на усиление различных, в первую очередь, творческих функций человека, возникают и определенные опасности, заключающиеся в том, что генеративный ИИ может создать вредоносный код, допустить нарушение чьих-то авторских прав, предпринять небезопасные для человека действия, ложные срабатывания. Указанные недочеты и </w:t>
      </w:r>
      <w:r w:rsidRPr="00D81046">
        <w:lastRenderedPageBreak/>
        <w:t xml:space="preserve">ошибки требуют внимательной проверки специалистом - человеком, тщательного вычитывания ошибок и действенного редактирования полученных программ и алгоритмов. Следует учесть и осознать слабые стороны уязвимости ИИ и его продуктов, заключающиеся в основном в следующем: </w:t>
      </w:r>
    </w:p>
    <w:p w:rsidR="00D81046" w:rsidRPr="00D81046" w:rsidRDefault="00D81046" w:rsidP="00D81046">
      <w:pPr>
        <w:ind w:firstLine="284"/>
      </w:pPr>
      <w:r w:rsidRPr="00D81046">
        <w:t>- трудность в постановке осознанных ясных и четких задач перед ИИ, что часто приводит к логическим ошибкам, выдачи непригодных на практике результатов;</w:t>
      </w:r>
    </w:p>
    <w:p w:rsidR="00D81046" w:rsidRPr="00D81046" w:rsidRDefault="00D81046" w:rsidP="00D81046">
      <w:pPr>
        <w:ind w:firstLine="284"/>
      </w:pPr>
      <w:r w:rsidRPr="00D81046">
        <w:t>- необходимость обеспечения высокого качества исходных данных, предоставляемых для анализа ИИ, иначе будут автоматически воспроизводиться ошибки, баги и ложные срабатывания;</w:t>
      </w:r>
    </w:p>
    <w:p w:rsidR="00D81046" w:rsidRPr="00D81046" w:rsidRDefault="00D81046" w:rsidP="00D81046">
      <w:pPr>
        <w:ind w:firstLine="284"/>
      </w:pPr>
      <w:r w:rsidRPr="00D81046">
        <w:t>- обостряется проблема доверия и проверяемости, особенно при разработке и генерации нетривиального программного кода;</w:t>
      </w:r>
    </w:p>
    <w:p w:rsidR="00D81046" w:rsidRPr="00D81046" w:rsidRDefault="00D81046" w:rsidP="00D81046">
      <w:pPr>
        <w:ind w:firstLine="284"/>
      </w:pPr>
      <w:r w:rsidRPr="00D81046">
        <w:t>- отсутствие способности ИИ системно мыслить, прогнозировать отдаленные последствия принимаемых решений, в том числе осознавать морально-этические стороны предлагаемых результатов;</w:t>
      </w:r>
    </w:p>
    <w:p w:rsidR="00D81046" w:rsidRPr="00D81046" w:rsidRDefault="00D81046" w:rsidP="00D81046">
      <w:pPr>
        <w:ind w:firstLine="284"/>
      </w:pPr>
      <w:r w:rsidRPr="00D81046">
        <w:t>- ограниченность «зоны внимания» ИИ, заключающейся в относительно небольшом размере контекста диалога, который</w:t>
      </w:r>
      <w:r w:rsidRPr="00D81046">
        <w:rPr>
          <w:b/>
        </w:rPr>
        <w:t xml:space="preserve"> </w:t>
      </w:r>
      <w:r w:rsidRPr="00D81046">
        <w:t>ИИ может использовать для генерации ответа;</w:t>
      </w:r>
    </w:p>
    <w:p w:rsidR="00D81046" w:rsidRPr="00D81046" w:rsidRDefault="00D81046" w:rsidP="00D81046">
      <w:pPr>
        <w:ind w:firstLine="284"/>
      </w:pPr>
      <w:r w:rsidRPr="00D81046">
        <w:t xml:space="preserve">- невозможность оценки возможной изменений социально-культурной среды, экономической обстановки, возникающих в результате реализации продуктов ИИ в мировом сообществе; </w:t>
      </w:r>
    </w:p>
    <w:p w:rsidR="00D81046" w:rsidRPr="00D81046" w:rsidRDefault="00D81046" w:rsidP="00D81046">
      <w:pPr>
        <w:ind w:firstLine="284"/>
      </w:pPr>
      <w:r w:rsidRPr="00D81046">
        <w:t>- готовые решения и методы ИИ могут вызвать определенную деградацию уровня подготовки специалистов, снижение их когнитивных возможностей, ослабления памяти, справочных данных, банка шаблонных решений и паттернов. Это вызывает необходимость повышенную возможность концентрировать внимание на творческих аспектах деятельности, стратегического мышления, формирования архитектуры и системных связей в программировании.</w:t>
      </w:r>
    </w:p>
    <w:p w:rsidR="00D81046" w:rsidRPr="00D81046" w:rsidRDefault="00D81046" w:rsidP="00D81046">
      <w:pPr>
        <w:ind w:firstLine="284"/>
      </w:pPr>
      <w:r w:rsidRPr="00D81046">
        <w:t xml:space="preserve">- недостаток креативности, предвзятость и неточности, зависимость от перспективных технологий ограничивают применение ИИ в творческой и образовательной деятельности. </w:t>
      </w:r>
    </w:p>
    <w:p w:rsidR="00D81046" w:rsidRPr="00D81046" w:rsidRDefault="00D81046" w:rsidP="00D81046">
      <w:pPr>
        <w:ind w:firstLine="284"/>
      </w:pPr>
      <w:r w:rsidRPr="00D81046">
        <w:lastRenderedPageBreak/>
        <w:t xml:space="preserve">Указанные проблемы предполагают в качестве выхода применение ответственного и продуманного подхода к программированию, полное понимание принципов работы кода, особенностей работы, возможности проверок и выбора лучшей альтернативы из готовых решений по наиболее важным и существенным критериям. При условии выработки ответственного подхода и контроля за результатами работы ИИ, становится возможным добиться значительного повышения производительности труда в сфере НИР, организации текущих бизнес-процессов, тем более, что в ближайшей перспективе ожидается улучшение качества человеко-машинного взаимодействия на нормальном (обычном) языке. </w:t>
      </w:r>
    </w:p>
    <w:p w:rsidR="00D81046" w:rsidRPr="00D81046" w:rsidRDefault="00D81046" w:rsidP="00D81046">
      <w:pPr>
        <w:ind w:firstLine="284"/>
      </w:pPr>
      <w:r w:rsidRPr="00D81046">
        <w:t>Удобство использования средств ИИ, высокая точность и адекватность ответов обусловили становление новой востребованной профессии — промпт-инжиниринг. Промпт-инжиниринг представляет собой дисциплину, сфокусированную на проектировании и оптимизации входных данных (промптов) для взаимодействия с большими языковыми моделями и другими системами ИИ. Специалисты в этой области занимаются формулированием точных и эффективных запросов, позволяющих получать релевантные и полезные результаты интеллектуальной деятельности.</w:t>
      </w:r>
    </w:p>
    <w:p w:rsidR="00D81046" w:rsidRPr="00D81046" w:rsidRDefault="00D81046" w:rsidP="00D81046">
      <w:pPr>
        <w:ind w:firstLine="284"/>
      </w:pPr>
      <w:r w:rsidRPr="00D81046">
        <w:t xml:space="preserve">Примечательно, что сходство диалога с ИИ и общения с человеком закономерно вызывает параллели с классическим менеджментом организаций. Классический менеджмент, основанный на процессном подходе представителя административной школы Анри Файоля, представляет собой упорядоченный управленческий цикл, состоящий из нескольких последовательных этапов, укрупненно: планирование – организация – мотивация-контроль. На этапе планирования определяются цели организации и пути их достижения. Затем следует организация, которая включает распределение ресурсов и полномочий работников. Мотивация направлена на создание комфортной среды и вдохновение сотрудников на созидательный труд. Наконец, контроль </w:t>
      </w:r>
      <w:r w:rsidRPr="00D81046">
        <w:lastRenderedPageBreak/>
        <w:t>подразумевает регулярный мониторинг прогресса, сравнение результатов с планом и корректировку отклонений текущей деятельности организации от запланированных.</w:t>
      </w:r>
    </w:p>
    <w:p w:rsidR="00D81046" w:rsidRPr="00D81046" w:rsidRDefault="00D81046" w:rsidP="00D81046">
      <w:pPr>
        <w:ind w:firstLine="284"/>
      </w:pPr>
      <w:r w:rsidRPr="00D81046">
        <w:t xml:space="preserve">Промпт-инженер, в свою очередь, действует по схожей схеме. Во-первых, он должен четко сформулировать цель запроса и определить, какую задачу должен решить ИИ. Во-вторых, важно однозначно структурировать промпт — иногда для этого приводятся примеры ожидаемых ответов или выбирается подходящая модель, поскольку разные </w:t>
      </w:r>
      <w:r w:rsidRPr="00D81046">
        <w:rPr>
          <w:lang w:val="en-US"/>
        </w:rPr>
        <w:t>LLM</w:t>
      </w:r>
      <w:r w:rsidRPr="00D81046">
        <w:t xml:space="preserve"> лучше справляются с разными типами задач. Иногда требуется привлечение нескольких моделей, объединённых в систему, где вывод одной служит входом для другой. В-третьих, необходимо оценивать объём промпта, особенно при использовании платных моделей, где стоимость услуги зависит от количества токенов в запросе и ответе. И наконец, ключевым этапом является контроль: </w:t>
      </w:r>
      <w:r w:rsidRPr="00D81046">
        <w:rPr>
          <w:lang w:val="en-US"/>
        </w:rPr>
        <w:t>LLM</w:t>
      </w:r>
      <w:r w:rsidRPr="00D81046">
        <w:t xml:space="preserve"> склонны к «галлюцинациям», когда ответ выглядит логичным, но содержит фактические ошибки. Для проверки нередко привлекают другие модели, однако окончательная валидация ответа всегда должна быть за человеком.</w:t>
      </w:r>
    </w:p>
    <w:p w:rsidR="00D81046" w:rsidRPr="00D81046" w:rsidRDefault="00D81046" w:rsidP="00D81046">
      <w:pPr>
        <w:ind w:firstLine="284"/>
      </w:pPr>
      <w:r w:rsidRPr="00D81046">
        <w:t xml:space="preserve">Таким образом, промпт-инженер во многом напоминает руководителя небольшого коллектива, который грамотно ставит задачи с учётом особенностей «подчинённых» и обязательно контролирует не только результат, но и бюджет. </w:t>
      </w:r>
    </w:p>
    <w:p w:rsidR="00D81046" w:rsidRPr="00D81046" w:rsidRDefault="00D81046" w:rsidP="00D81046">
      <w:pPr>
        <w:ind w:firstLine="284"/>
      </w:pPr>
    </w:p>
    <w:p w:rsidR="00D81046" w:rsidRPr="00D81046" w:rsidRDefault="00D81046" w:rsidP="00D81046">
      <w:pPr>
        <w:ind w:firstLine="284"/>
        <w:rPr>
          <w:b/>
        </w:rPr>
      </w:pPr>
      <w:r w:rsidRPr="00D81046">
        <w:rPr>
          <w:b/>
        </w:rPr>
        <w:t>Эмпирический анализ</w:t>
      </w:r>
    </w:p>
    <w:p w:rsidR="00D81046" w:rsidRPr="00D81046" w:rsidRDefault="00D81046" w:rsidP="00D81046">
      <w:pPr>
        <w:ind w:firstLine="284"/>
      </w:pPr>
      <w:r w:rsidRPr="00D81046">
        <w:t xml:space="preserve">Методологическую основу исследования составляют: контентный и семантический анализ литературных источников, исследований научных основ управления организацией и эмпирических данных с применением системного подхода, сравнения и классификации, прогнозирования. ИИ рассматривается как оригинальный эффективный инструмент, усиливающий осознанную орудийную деятельность человека-творца, его исследовательских и когнитивных способностей, целеполагания и воли в достижении поставленных целей. В качестве </w:t>
      </w:r>
      <w:r w:rsidRPr="00D81046">
        <w:lastRenderedPageBreak/>
        <w:t xml:space="preserve">примера ИИ была использована модель </w:t>
      </w:r>
      <w:r w:rsidRPr="00D81046">
        <w:rPr>
          <w:lang w:val="en-US"/>
        </w:rPr>
        <w:t>DeepSeek</w:t>
      </w:r>
      <w:r w:rsidRPr="00D81046">
        <w:t xml:space="preserve"> </w:t>
      </w:r>
      <w:r w:rsidRPr="00D81046">
        <w:rPr>
          <w:lang w:val="en-US"/>
        </w:rPr>
        <w:t>V</w:t>
      </w:r>
      <w:r w:rsidRPr="00D81046">
        <w:t xml:space="preserve">3.2 [13]. Работа с ней осуществлялась через веб-интерфейс в стандартном (бесплатном) режиме. </w:t>
      </w:r>
    </w:p>
    <w:p w:rsidR="00D81046" w:rsidRPr="00D81046" w:rsidRDefault="00D81046" w:rsidP="00D81046">
      <w:pPr>
        <w:ind w:firstLine="284"/>
      </w:pPr>
      <w:r w:rsidRPr="00D81046">
        <w:t xml:space="preserve">Для сравнения подходов классического менеджмента и промпт-инжиниринга были составлены гипотетические задания. В первом случае использовалось гипотетическое управленческое задание по составлению сводного отчета, в котором цель была определена согласно методологии </w:t>
      </w:r>
      <w:r w:rsidRPr="00D81046">
        <w:rPr>
          <w:lang w:val="en-US"/>
        </w:rPr>
        <w:t>SMART</w:t>
      </w:r>
      <w:r w:rsidRPr="00D81046">
        <w:t>. Подобный тип управленческих задач является типовым во многих компаниях в условиях цифровой экономики.</w:t>
      </w:r>
    </w:p>
    <w:p w:rsidR="00D81046" w:rsidRPr="00D81046" w:rsidRDefault="00D81046" w:rsidP="00D81046">
      <w:pPr>
        <w:ind w:firstLine="284"/>
      </w:pPr>
      <w:r w:rsidRPr="00D81046">
        <w:t>Во втором случае для примера промпт-инжиниринга была взята задача расчета аннуитетного платежа по кредиту, которая также является часто решаемой в деловой практике. Задача отличается от первой, так как в этом случае результат работы ИИ может быть валидирован однозначно в условиях отсутствия реальной информации для составления отчета.</w:t>
      </w:r>
    </w:p>
    <w:p w:rsidR="00D81046" w:rsidRPr="00D81046" w:rsidRDefault="00D81046" w:rsidP="00D81046">
      <w:pPr>
        <w:ind w:firstLine="284"/>
      </w:pPr>
      <w:r w:rsidRPr="00D81046">
        <w:t>В соответствии с обозначенными выше гипотетическими заданиями проведем сравнение классического менеджмента и промпт-инжинеринга. Сперва посмотрим на классическое управленческое задание, которое рекомендовано признанными трудами по общему менеджменту. В общем случае управленческое задание формируется по следующим этапам:</w:t>
      </w:r>
    </w:p>
    <w:p w:rsidR="00D81046" w:rsidRPr="00D81046" w:rsidRDefault="00D81046" w:rsidP="00D81046">
      <w:pPr>
        <w:ind w:firstLine="284"/>
      </w:pPr>
      <w:r w:rsidRPr="00D81046">
        <w:t>1.</w:t>
      </w:r>
      <w:r w:rsidRPr="00D81046">
        <w:tab/>
        <w:t xml:space="preserve">Планирование, в рамках которого определяются цели и результат. </w:t>
      </w:r>
      <w:r w:rsidRPr="00D81046">
        <w:rPr>
          <w:lang w:val="en-US"/>
        </w:rPr>
        <w:t>Цели часто формиру</w:t>
      </w:r>
      <w:r w:rsidR="00BC18EC">
        <w:t>ю</w:t>
      </w:r>
      <w:r w:rsidRPr="00D81046">
        <w:rPr>
          <w:lang w:val="en-US"/>
        </w:rPr>
        <w:t xml:space="preserve">тся по методологии SMART (Specific, Measurable, Achievable, Relevant, Time-bound). </w:t>
      </w:r>
      <w:r w:rsidRPr="00D81046">
        <w:t xml:space="preserve">Этап можно проиллюстрировать следующим примером из гипотетического управленческого задания: «Итоговый результат должен быть представлен в виде сводного отчета объемом не более 2 страниц </w:t>
      </w:r>
      <w:r w:rsidRPr="00D81046">
        <w:rPr>
          <w:lang w:val="en-US"/>
        </w:rPr>
        <w:t>A</w:t>
      </w:r>
      <w:r w:rsidRPr="00D81046">
        <w:t xml:space="preserve">4, содержащего: 1) краткий </w:t>
      </w:r>
      <w:r w:rsidRPr="00D81046">
        <w:rPr>
          <w:lang w:val="en-US"/>
        </w:rPr>
        <w:t>SWOT</w:t>
      </w:r>
      <w:r w:rsidRPr="00D81046">
        <w:t>-анализ (</w:t>
      </w:r>
      <w:r w:rsidRPr="00D81046">
        <w:rPr>
          <w:lang w:val="en-US"/>
        </w:rPr>
        <w:t>Strengths</w:t>
      </w:r>
      <w:r w:rsidRPr="00D81046">
        <w:t xml:space="preserve">, </w:t>
      </w:r>
      <w:r w:rsidRPr="00D81046">
        <w:rPr>
          <w:lang w:val="en-US"/>
        </w:rPr>
        <w:t>Weaknesses</w:t>
      </w:r>
      <w:r w:rsidRPr="00D81046">
        <w:t xml:space="preserve">, </w:t>
      </w:r>
      <w:r w:rsidRPr="00D81046">
        <w:rPr>
          <w:lang w:val="en-US"/>
        </w:rPr>
        <w:t>Opportunities</w:t>
      </w:r>
      <w:r w:rsidRPr="00D81046">
        <w:t>,</w:t>
      </w:r>
      <w:r w:rsidRPr="00D81046">
        <w:rPr>
          <w:b/>
        </w:rPr>
        <w:t xml:space="preserve"> </w:t>
      </w:r>
      <w:r w:rsidRPr="00D81046">
        <w:rPr>
          <w:lang w:val="en-US"/>
        </w:rPr>
        <w:t>Threats</w:t>
      </w:r>
      <w:r w:rsidRPr="00D81046">
        <w:t xml:space="preserve">), 2) три ключевых тренда с данными, 3) две стратегические рекомендации. Тон </w:t>
      </w:r>
      <w:r w:rsidRPr="00946B13">
        <w:t>–</w:t>
      </w:r>
      <w:r w:rsidRPr="00D81046">
        <w:t xml:space="preserve"> профессиональный, для совета директоров.»</w:t>
      </w:r>
    </w:p>
    <w:p w:rsidR="00D81046" w:rsidRPr="00D81046" w:rsidRDefault="00D81046" w:rsidP="00D81046">
      <w:pPr>
        <w:ind w:firstLine="284"/>
      </w:pPr>
      <w:r w:rsidRPr="00D81046">
        <w:t>Как видно из примера, задается форма результата и измеряемые требования к нему.</w:t>
      </w:r>
    </w:p>
    <w:p w:rsidR="00D81046" w:rsidRPr="00D81046" w:rsidRDefault="00D81046" w:rsidP="00D81046">
      <w:pPr>
        <w:ind w:firstLine="284"/>
      </w:pPr>
      <w:r w:rsidRPr="00D81046">
        <w:lastRenderedPageBreak/>
        <w:t>2.</w:t>
      </w:r>
      <w:r w:rsidRPr="00D81046">
        <w:tab/>
        <w:t xml:space="preserve">Организация. В рамках данного этапа происходит распределение ролей и ресурсов, а также назначаются ответственные и проводится анализ доступности ресурсов. Приведем пример, как мог бы выглядеть этот этап в управленческом задании: </w:t>
      </w:r>
    </w:p>
    <w:p w:rsidR="00D81046" w:rsidRPr="00D81046" w:rsidRDefault="00D81046" w:rsidP="00D81046">
      <w:pPr>
        <w:ind w:firstLine="284"/>
      </w:pPr>
      <w:r w:rsidRPr="00D81046">
        <w:t>«Как ведущий стратегический аналитик нашей компании подготовь аналитический отчет по конкурентоспособности нашего основного продукта. Для получения необходимой информации предоставляются объемы продаж за период, данные по опросам пользователей, а также информация из маркетинговых исследований компаний 1, 2 и 3. Дополнительная</w:t>
      </w:r>
      <w:r w:rsidRPr="00D81046">
        <w:rPr>
          <w:b/>
        </w:rPr>
        <w:t xml:space="preserve"> </w:t>
      </w:r>
      <w:r w:rsidRPr="00D81046">
        <w:t>необходимая информация может быть запрошена у руководителей соответствующих отделов. Их контакты приведены ниже.»</w:t>
      </w:r>
    </w:p>
    <w:p w:rsidR="00D81046" w:rsidRPr="00D81046" w:rsidRDefault="00D81046" w:rsidP="00D81046">
      <w:pPr>
        <w:ind w:firstLine="284"/>
      </w:pPr>
      <w:r w:rsidRPr="00D81046">
        <w:t xml:space="preserve">Как видно из гипотетического примера, сотруднику точно сообщается его роль, предоставляются ресурсы и полномочия для выполнения задачи. </w:t>
      </w:r>
    </w:p>
    <w:p w:rsidR="00D81046" w:rsidRPr="00D81046" w:rsidRDefault="00D81046" w:rsidP="00D81046">
      <w:pPr>
        <w:ind w:firstLine="284"/>
      </w:pPr>
      <w:r w:rsidRPr="00D81046">
        <w:t>3.</w:t>
      </w:r>
      <w:r w:rsidRPr="00D81046">
        <w:tab/>
        <w:t xml:space="preserve">Следующим этапом является мотивация и руководство. На данном этапе описывается методология и примеры для обеспечения качества. Проиллюстрируем на примере: </w:t>
      </w:r>
    </w:p>
    <w:p w:rsidR="00D81046" w:rsidRPr="00D81046" w:rsidRDefault="00D81046" w:rsidP="00D81046">
      <w:pPr>
        <w:ind w:firstLine="284"/>
      </w:pPr>
      <w:r w:rsidRPr="00D81046">
        <w:t>«Для подготовки отчета: 1) Начни с анализа предоставленных данных, используя</w:t>
      </w:r>
      <w:r w:rsidRPr="00D81046">
        <w:rPr>
          <w:b/>
        </w:rPr>
        <w:t xml:space="preserve"> </w:t>
      </w:r>
      <w:r w:rsidRPr="00D81046">
        <w:t xml:space="preserve">принцип «от общего к частному». 2) При формировании рекомендаций применяй схему «Проблема </w:t>
      </w:r>
      <w:r w:rsidR="00946B13">
        <w:t>–</w:t>
      </w:r>
      <w:r w:rsidRPr="00D81046">
        <w:t xml:space="preserve"> Причина </w:t>
      </w:r>
      <w:r w:rsidR="00946B13">
        <w:t>–</w:t>
      </w:r>
      <w:r w:rsidRPr="00D81046">
        <w:t xml:space="preserve"> Решение». 3) Все выводы должны быть подкреплены указанными данными или логическим умозаключением.».</w:t>
      </w:r>
    </w:p>
    <w:p w:rsidR="00D81046" w:rsidRPr="00D81046" w:rsidRDefault="00D81046" w:rsidP="00D81046">
      <w:pPr>
        <w:ind w:firstLine="284"/>
      </w:pPr>
      <w:r w:rsidRPr="00D81046">
        <w:t>Конечно, хороший специалист должен знать методологию выполнения своей работы, но это достигается предварительным обучением, которое в любом случае должно быть проведено.</w:t>
      </w:r>
    </w:p>
    <w:p w:rsidR="00D81046" w:rsidRPr="00D81046" w:rsidRDefault="00D81046" w:rsidP="00D81046">
      <w:pPr>
        <w:ind w:firstLine="284"/>
      </w:pPr>
      <w:r w:rsidRPr="00D81046">
        <w:t>4.</w:t>
      </w:r>
      <w:r w:rsidRPr="00D81046">
        <w:tab/>
        <w:t xml:space="preserve">Последний этап – контроль. На этом этапе необходимо задать критерии оценки и обратной связи. Приведем пример: </w:t>
      </w:r>
    </w:p>
    <w:p w:rsidR="00D81046" w:rsidRPr="00D81046" w:rsidRDefault="00D81046" w:rsidP="00D81046">
      <w:pPr>
        <w:ind w:firstLine="284"/>
      </w:pPr>
      <w:r w:rsidRPr="00D81046">
        <w:t>«Перед финальной подачей проверь отчет на соответствие следующим критериям: а) каждое утверждение имеет обоснование, б) рекомендации являются конкретными и выполнимыми, в) язык изложения свободен от жаргона.»</w:t>
      </w:r>
    </w:p>
    <w:p w:rsidR="00D81046" w:rsidRPr="00D81046" w:rsidRDefault="00D81046" w:rsidP="00D81046">
      <w:pPr>
        <w:ind w:firstLine="284"/>
      </w:pPr>
      <w:r w:rsidRPr="00D81046">
        <w:lastRenderedPageBreak/>
        <w:t>Сотрудник для точного выполнения задания должен знать, как его будут оценивать, ведь в противном случае результаты работы могут быть отличными, но бесполезными с практической точки зрения.</w:t>
      </w:r>
    </w:p>
    <w:p w:rsidR="00D81046" w:rsidRPr="00D81046" w:rsidRDefault="00D81046" w:rsidP="00D81046">
      <w:pPr>
        <w:ind w:firstLine="284"/>
      </w:pPr>
      <w:r w:rsidRPr="00D81046">
        <w:t>По заданию, составленному с учетом эти аспектов, сотрудник (в данном случае аналитик) с большой долей вероятности предоставить отчет именно в той форме, в которой от него ожидается руководство.</w:t>
      </w:r>
    </w:p>
    <w:p w:rsidR="00D81046" w:rsidRPr="00D81046" w:rsidRDefault="00D81046" w:rsidP="00D81046">
      <w:pPr>
        <w:ind w:firstLine="284"/>
      </w:pPr>
      <w:r w:rsidRPr="00D81046">
        <w:t xml:space="preserve">Теперь посмотрим на принципы формирования промпта для </w:t>
      </w:r>
      <w:r w:rsidRPr="00D81046">
        <w:rPr>
          <w:lang w:val="en-US"/>
        </w:rPr>
        <w:t>LLM</w:t>
      </w:r>
      <w:r w:rsidRPr="00D81046">
        <w:t>. В соответствии с работой [14], структурированный промпт включает пять ключевых компонентов:</w:t>
      </w:r>
    </w:p>
    <w:p w:rsidR="00D81046" w:rsidRPr="00D81046" w:rsidRDefault="00D81046" w:rsidP="00D81046">
      <w:pPr>
        <w:ind w:firstLine="284"/>
      </w:pPr>
      <w:r w:rsidRPr="00D81046">
        <w:t>1.</w:t>
      </w:r>
      <w:r w:rsidRPr="00D81046">
        <w:tab/>
        <w:t>Введение и роль, в которой должен действовать ИИ-агент.</w:t>
      </w:r>
    </w:p>
    <w:p w:rsidR="00D81046" w:rsidRPr="00D81046" w:rsidRDefault="00D81046" w:rsidP="00D81046">
      <w:pPr>
        <w:ind w:firstLine="284"/>
      </w:pPr>
      <w:r w:rsidRPr="00D81046">
        <w:t>2.</w:t>
      </w:r>
      <w:r w:rsidRPr="00D81046">
        <w:tab/>
        <w:t>Задача и четкое формулирование цели запроса.</w:t>
      </w:r>
    </w:p>
    <w:p w:rsidR="00D81046" w:rsidRPr="00D81046" w:rsidRDefault="00D81046" w:rsidP="00D81046">
      <w:pPr>
        <w:ind w:firstLine="284"/>
      </w:pPr>
      <w:r w:rsidRPr="00D81046">
        <w:t>3.</w:t>
      </w:r>
      <w:r w:rsidRPr="00D81046">
        <w:tab/>
        <w:t>Контекстная информация и необходимые данные, ограничения и условия для выполнения задачи.</w:t>
      </w:r>
    </w:p>
    <w:p w:rsidR="00D81046" w:rsidRPr="00D81046" w:rsidRDefault="00D81046" w:rsidP="00D81046">
      <w:pPr>
        <w:ind w:firstLine="284"/>
      </w:pPr>
      <w:r w:rsidRPr="00D81046">
        <w:t>4.</w:t>
      </w:r>
      <w:r w:rsidRPr="00D81046">
        <w:tab/>
        <w:t>Инструкция и детальное описание шагов, формата или метода решения.</w:t>
      </w:r>
    </w:p>
    <w:p w:rsidR="00D81046" w:rsidRPr="00D81046" w:rsidRDefault="00D81046" w:rsidP="00D81046">
      <w:pPr>
        <w:ind w:firstLine="284"/>
      </w:pPr>
      <w:r w:rsidRPr="00D81046">
        <w:t>5.</w:t>
      </w:r>
      <w:r w:rsidRPr="00D81046">
        <w:tab/>
        <w:t>Заключение и указание на требуемый вид и структуру финального ответа.</w:t>
      </w:r>
    </w:p>
    <w:p w:rsidR="00D81046" w:rsidRPr="00D81046" w:rsidRDefault="00D81046" w:rsidP="00D81046">
      <w:pPr>
        <w:ind w:firstLine="284"/>
      </w:pPr>
      <w:r w:rsidRPr="00D81046">
        <w:t xml:space="preserve">Для эффективного решения комплексных задач, когда требуется много этапов, зачастую из разных областей знаний, существует два подхода: адаптация одной модели к различным ролям или использование ансамбля моделей. Современные </w:t>
      </w:r>
      <w:r w:rsidRPr="00D81046">
        <w:rPr>
          <w:lang w:val="en-US"/>
        </w:rPr>
        <w:t>LLM</w:t>
      </w:r>
      <w:r w:rsidRPr="00D81046">
        <w:t xml:space="preserve"> способны поддерживать работу с разными темами и решать последовательно задачи, кардинально отличающиеся друг от друга, однако исследования показывают, что максимальная точность достигается, когда модель действует в рамках строго определённой роли. Это связано с тем, что при увеличении контекста даже в пределах одного окна модели демонстрируют склонность к потере информации и накоплению ошибок [15]. Таким образом, сохранение </w:t>
      </w:r>
      <w:r w:rsidRPr="00D81046">
        <w:lastRenderedPageBreak/>
        <w:t>единой роли повышает устойчивость работы системы, устраняя необходимость переключения между контекстами и предотвращая конфликтующее влияние разнородных инструкций.</w:t>
      </w:r>
    </w:p>
    <w:p w:rsidR="00D81046" w:rsidRPr="00D81046" w:rsidRDefault="00D81046" w:rsidP="00D81046">
      <w:pPr>
        <w:ind w:firstLine="284"/>
      </w:pPr>
      <w:r w:rsidRPr="00D81046">
        <w:t>Для иллюстрации применения структуры промпта рассмотрим другую задачу, а именно задачу расчета аннуитетного платежа по кредиту. Сформулированный промпт в соответствии с работой [14] будет иметь следующий вид:</w:t>
      </w:r>
    </w:p>
    <w:p w:rsidR="00D81046" w:rsidRPr="00D81046" w:rsidRDefault="00D81046" w:rsidP="00D81046">
      <w:pPr>
        <w:ind w:firstLine="284"/>
      </w:pPr>
      <w:r w:rsidRPr="00D81046">
        <w:t>•</w:t>
      </w:r>
      <w:r w:rsidRPr="00D81046">
        <w:tab/>
        <w:t xml:space="preserve">Введение и роль: ты </w:t>
      </w:r>
      <w:r w:rsidR="00946B13">
        <w:t>–</w:t>
      </w:r>
      <w:r w:rsidRPr="00D81046">
        <w:t xml:space="preserve"> финансовый аналитик.</w:t>
      </w:r>
    </w:p>
    <w:p w:rsidR="00D81046" w:rsidRPr="00D81046" w:rsidRDefault="00D81046" w:rsidP="00D81046">
      <w:pPr>
        <w:ind w:firstLine="284"/>
      </w:pPr>
      <w:r w:rsidRPr="00D81046">
        <w:t>•</w:t>
      </w:r>
      <w:r w:rsidRPr="00D81046">
        <w:tab/>
        <w:t>Задача: рассчитай график ежемесячных платежей по потребительскому кредиту.</w:t>
      </w:r>
    </w:p>
    <w:p w:rsidR="00D81046" w:rsidRPr="00D81046" w:rsidRDefault="00D81046" w:rsidP="00D81046">
      <w:pPr>
        <w:ind w:firstLine="284"/>
      </w:pPr>
      <w:r w:rsidRPr="00D81046">
        <w:t>•</w:t>
      </w:r>
      <w:r w:rsidRPr="00D81046">
        <w:tab/>
        <w:t xml:space="preserve">Контекстная информация: параметры кредита: основная сумма (тело кредита) – 1 000 000 у.е., срок – 3 года (36 месяцев), годовая процентная ставка – 10%, дата выдачи – 01.01.2025. Метод погашения </w:t>
      </w:r>
      <w:r w:rsidRPr="00946B13">
        <w:t>–</w:t>
      </w:r>
      <w:r w:rsidRPr="00D81046">
        <w:t xml:space="preserve"> аннуитетные платежи.</w:t>
      </w:r>
    </w:p>
    <w:p w:rsidR="00D81046" w:rsidRPr="00D81046" w:rsidRDefault="00D81046" w:rsidP="00D81046">
      <w:pPr>
        <w:ind w:firstLine="284"/>
      </w:pPr>
      <w:r w:rsidRPr="00D81046">
        <w:t>•</w:t>
      </w:r>
      <w:r w:rsidRPr="00D81046">
        <w:tab/>
        <w:t>Инструкции: 1. Рассчитай размер ежемесячного аннуитетного платежа. 2. Для каждого месяца определи долю, идущую на погашение процентов, и долю, идущую на погашение основного долга. 3. Рассчитай остаток задолженности после каждого платежа.</w:t>
      </w:r>
    </w:p>
    <w:p w:rsidR="00D81046" w:rsidRPr="00D81046" w:rsidRDefault="00D81046" w:rsidP="00D81046">
      <w:pPr>
        <w:ind w:firstLine="284"/>
      </w:pPr>
      <w:r w:rsidRPr="00D81046">
        <w:t>•</w:t>
      </w:r>
      <w:r w:rsidRPr="00D81046">
        <w:tab/>
        <w:t>Заключение: представь результат в виде таблицы со следующими столбцами: «№ платежа», «Дата платежа», «Ежемесячный платеж», «Погашение процентов», «Погашение основного долга», «Остаток долга». Ничего, кроме таблицы не выводи. Выведи только первые 10 строк получившейся таблицы.</w:t>
      </w:r>
    </w:p>
    <w:p w:rsidR="009C4D02" w:rsidRPr="00D81046" w:rsidRDefault="00D81046" w:rsidP="00D81046">
      <w:pPr>
        <w:ind w:firstLine="284"/>
      </w:pPr>
      <w:r w:rsidRPr="00D81046">
        <w:t xml:space="preserve">Пример вывода модели </w:t>
      </w:r>
      <w:r w:rsidRPr="00D81046">
        <w:rPr>
          <w:lang w:val="en-US"/>
        </w:rPr>
        <w:t>DeepSeek</w:t>
      </w:r>
      <w:r w:rsidRPr="00D81046">
        <w:t>-</w:t>
      </w:r>
      <w:r w:rsidRPr="00D81046">
        <w:rPr>
          <w:lang w:val="en-US"/>
        </w:rPr>
        <w:t>V</w:t>
      </w:r>
      <w:r w:rsidRPr="00D81046">
        <w:t>3.2 по ук</w:t>
      </w:r>
      <w:r>
        <w:t>азанному промпту показан на рис.</w:t>
      </w:r>
      <w:r w:rsidRPr="00D81046">
        <w:t xml:space="preserve"> 1. Дата генерации 24.12.2025. Доступ осуществлялся по [13].</w:t>
      </w:r>
    </w:p>
    <w:p w:rsidR="009C4D02" w:rsidRPr="00D81046" w:rsidRDefault="009C4D02" w:rsidP="00233CA8">
      <w:pPr>
        <w:ind w:firstLine="284"/>
      </w:pPr>
    </w:p>
    <w:p w:rsidR="00D42E57" w:rsidRPr="00D81046" w:rsidRDefault="00D42E57" w:rsidP="006D3556">
      <w:pPr>
        <w:pStyle w:val="afe"/>
        <w:rPr>
          <w:color w:val="auto"/>
          <w:spacing w:val="4"/>
          <w:shd w:val="clear" w:color="auto" w:fill="FFFFFF"/>
        </w:rPr>
        <w:sectPr w:rsidR="00D42E57" w:rsidRPr="00D81046" w:rsidSect="001F5988">
          <w:footnotePr>
            <w:numRestart w:val="eachPage"/>
          </w:footnotePr>
          <w:type w:val="continuous"/>
          <w:pgSz w:w="11907" w:h="16840" w:code="9"/>
          <w:pgMar w:top="1418" w:right="1134" w:bottom="1418" w:left="1134" w:header="1021" w:footer="1021" w:gutter="0"/>
          <w:cols w:num="2" w:space="567"/>
          <w:docGrid w:linePitch="360"/>
        </w:sectPr>
      </w:pPr>
    </w:p>
    <w:p w:rsidR="00233CA8" w:rsidRPr="00D81046" w:rsidRDefault="00D81046" w:rsidP="00390EEA">
      <w:pPr>
        <w:pStyle w:val="afe"/>
        <w:ind w:firstLine="0"/>
        <w:jc w:val="center"/>
        <w:rPr>
          <w:b/>
          <w:color w:val="auto"/>
        </w:rPr>
      </w:pPr>
      <w:r w:rsidRPr="00D81046">
        <w:rPr>
          <w:b/>
          <w:noProof/>
          <w:color w:val="auto"/>
        </w:rPr>
        <w:lastRenderedPageBreak/>
        <w:drawing>
          <wp:inline distT="0" distB="0" distL="0" distR="0" wp14:anchorId="61568428">
            <wp:extent cx="5937885" cy="2926080"/>
            <wp:effectExtent l="0" t="0" r="571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7885" cy="2926080"/>
                    </a:xfrm>
                    <a:prstGeom prst="rect">
                      <a:avLst/>
                    </a:prstGeom>
                    <a:noFill/>
                  </pic:spPr>
                </pic:pic>
              </a:graphicData>
            </a:graphic>
          </wp:inline>
        </w:drawing>
      </w:r>
    </w:p>
    <w:p w:rsidR="00946B13" w:rsidRDefault="00D81046" w:rsidP="00390EEA">
      <w:pPr>
        <w:pStyle w:val="afe"/>
        <w:ind w:firstLine="0"/>
        <w:jc w:val="center"/>
        <w:rPr>
          <w:rFonts w:ascii="Arial" w:hAnsi="Arial" w:cs="Arial"/>
          <w:i/>
          <w:color w:val="auto"/>
          <w:sz w:val="22"/>
          <w:szCs w:val="22"/>
        </w:rPr>
      </w:pPr>
      <w:r w:rsidRPr="00D81046">
        <w:rPr>
          <w:rFonts w:ascii="Arial" w:hAnsi="Arial" w:cs="Arial"/>
          <w:i/>
          <w:color w:val="auto"/>
          <w:sz w:val="22"/>
          <w:szCs w:val="22"/>
        </w:rPr>
        <w:t>Рис.</w:t>
      </w:r>
      <w:r>
        <w:rPr>
          <w:rFonts w:ascii="Arial" w:hAnsi="Arial" w:cs="Arial"/>
          <w:i/>
          <w:color w:val="auto"/>
          <w:sz w:val="22"/>
          <w:szCs w:val="22"/>
        </w:rPr>
        <w:t>1.</w:t>
      </w:r>
      <w:r w:rsidRPr="00D81046">
        <w:rPr>
          <w:rFonts w:ascii="Arial" w:hAnsi="Arial" w:cs="Arial"/>
          <w:i/>
          <w:color w:val="auto"/>
          <w:sz w:val="22"/>
          <w:szCs w:val="22"/>
        </w:rPr>
        <w:t xml:space="preserve"> Результат генерации моделью DeepSeek-V3.2. Дата генерации 24.12.202</w:t>
      </w:r>
      <w:r>
        <w:rPr>
          <w:rFonts w:ascii="Arial" w:hAnsi="Arial" w:cs="Arial"/>
          <w:i/>
          <w:color w:val="auto"/>
          <w:sz w:val="22"/>
          <w:szCs w:val="22"/>
        </w:rPr>
        <w:t xml:space="preserve">5. </w:t>
      </w:r>
    </w:p>
    <w:p w:rsidR="00D81046" w:rsidRPr="00D81046" w:rsidRDefault="00D81046" w:rsidP="00390EEA">
      <w:pPr>
        <w:pStyle w:val="afe"/>
        <w:ind w:firstLine="0"/>
        <w:jc w:val="center"/>
        <w:rPr>
          <w:rFonts w:ascii="Arial" w:hAnsi="Arial" w:cs="Arial"/>
          <w:i/>
          <w:color w:val="auto"/>
          <w:sz w:val="22"/>
          <w:szCs w:val="22"/>
        </w:rPr>
      </w:pPr>
      <w:r>
        <w:rPr>
          <w:rFonts w:ascii="Arial" w:hAnsi="Arial" w:cs="Arial"/>
          <w:i/>
          <w:color w:val="auto"/>
          <w:sz w:val="22"/>
          <w:szCs w:val="22"/>
        </w:rPr>
        <w:t>Доступ осуществлялся по [13]</w:t>
      </w:r>
    </w:p>
    <w:p w:rsidR="00D81046" w:rsidRPr="00D81046" w:rsidRDefault="00D81046" w:rsidP="00390EEA">
      <w:pPr>
        <w:pStyle w:val="afe"/>
        <w:ind w:firstLine="0"/>
        <w:jc w:val="center"/>
        <w:rPr>
          <w:rFonts w:ascii="Arial" w:hAnsi="Arial" w:cs="Arial"/>
          <w:i/>
          <w:color w:val="auto"/>
          <w:sz w:val="22"/>
          <w:szCs w:val="22"/>
        </w:rPr>
      </w:pPr>
    </w:p>
    <w:p w:rsidR="00D81046" w:rsidRDefault="00D81046" w:rsidP="00D81046">
      <w:pPr>
        <w:pStyle w:val="afe"/>
        <w:ind w:firstLine="0"/>
        <w:jc w:val="center"/>
        <w:rPr>
          <w:b/>
          <w:color w:val="auto"/>
        </w:rPr>
        <w:sectPr w:rsidR="00D81046" w:rsidSect="00E61989">
          <w:headerReference w:type="even" r:id="rId52"/>
          <w:footerReference w:type="even" r:id="rId53"/>
          <w:footnotePr>
            <w:numRestart w:val="eachPage"/>
          </w:footnotePr>
          <w:type w:val="continuous"/>
          <w:pgSz w:w="11907" w:h="16840" w:code="9"/>
          <w:pgMar w:top="1418" w:right="1134" w:bottom="1418" w:left="1134" w:header="1021" w:footer="1021" w:gutter="0"/>
          <w:cols w:space="708"/>
          <w:docGrid w:linePitch="360"/>
        </w:sectPr>
      </w:pPr>
    </w:p>
    <w:p w:rsidR="00D81046" w:rsidRPr="00D81046" w:rsidRDefault="00D81046" w:rsidP="00D81046">
      <w:pPr>
        <w:pStyle w:val="afe"/>
        <w:rPr>
          <w:color w:val="auto"/>
        </w:rPr>
      </w:pPr>
      <w:r w:rsidRPr="00D81046">
        <w:rPr>
          <w:color w:val="auto"/>
        </w:rPr>
        <w:lastRenderedPageBreak/>
        <w:t xml:space="preserve">Как видно из рис. 1, модель учла пожелания пользователя и реализовала расчет именно в той форме, в которой его требовали. </w:t>
      </w:r>
    </w:p>
    <w:p w:rsidR="00D81046" w:rsidRPr="00D81046" w:rsidRDefault="00D81046" w:rsidP="00D81046">
      <w:pPr>
        <w:pStyle w:val="afe"/>
        <w:rPr>
          <w:color w:val="auto"/>
        </w:rPr>
      </w:pPr>
    </w:p>
    <w:p w:rsidR="008F0FE5" w:rsidRDefault="00D81046" w:rsidP="00D81046">
      <w:pPr>
        <w:pStyle w:val="afe"/>
        <w:rPr>
          <w:color w:val="auto"/>
        </w:rPr>
      </w:pPr>
      <w:r w:rsidRPr="00D81046">
        <w:rPr>
          <w:color w:val="auto"/>
        </w:rPr>
        <w:lastRenderedPageBreak/>
        <w:t>Результаты исследования. Сопоставление этапов управленческого задания и структуры промпта возможно представить в табл. 1.</w:t>
      </w:r>
    </w:p>
    <w:p w:rsidR="008F0FE5" w:rsidRDefault="008F0FE5" w:rsidP="00D81046">
      <w:pPr>
        <w:pStyle w:val="afe"/>
        <w:rPr>
          <w:color w:val="auto"/>
        </w:rPr>
        <w:sectPr w:rsidR="008F0FE5" w:rsidSect="008F0FE5">
          <w:footnotePr>
            <w:numRestart w:val="eachPage"/>
          </w:footnotePr>
          <w:type w:val="continuous"/>
          <w:pgSz w:w="11907" w:h="16840" w:code="9"/>
          <w:pgMar w:top="1418" w:right="1134" w:bottom="1418" w:left="1134" w:header="1021" w:footer="1021" w:gutter="0"/>
          <w:cols w:num="2" w:space="708"/>
          <w:docGrid w:linePitch="360"/>
        </w:sectPr>
      </w:pPr>
    </w:p>
    <w:p w:rsidR="001C3119" w:rsidRPr="001C3119" w:rsidRDefault="001C3119" w:rsidP="001C3119">
      <w:pPr>
        <w:pStyle w:val="afe"/>
        <w:ind w:firstLine="0"/>
        <w:jc w:val="right"/>
        <w:rPr>
          <w:rFonts w:ascii="Arial" w:hAnsi="Arial" w:cs="Arial"/>
          <w:i/>
          <w:color w:val="auto"/>
        </w:rPr>
      </w:pPr>
      <w:r w:rsidRPr="001C3119">
        <w:rPr>
          <w:rFonts w:ascii="Arial" w:hAnsi="Arial" w:cs="Arial"/>
          <w:i/>
          <w:color w:val="auto"/>
        </w:rPr>
        <w:lastRenderedPageBreak/>
        <w:t>Таблица 1</w:t>
      </w:r>
    </w:p>
    <w:p w:rsidR="008F0FE5" w:rsidRDefault="001C3119" w:rsidP="001C3119">
      <w:pPr>
        <w:pStyle w:val="afe"/>
        <w:ind w:firstLine="0"/>
        <w:jc w:val="center"/>
        <w:rPr>
          <w:b/>
          <w:color w:val="auto"/>
        </w:rPr>
        <w:sectPr w:rsidR="008F0FE5" w:rsidSect="008F0FE5">
          <w:footnotePr>
            <w:numRestart w:val="eachPage"/>
          </w:footnotePr>
          <w:type w:val="continuous"/>
          <w:pgSz w:w="11907" w:h="16840" w:code="9"/>
          <w:pgMar w:top="1418" w:right="1134" w:bottom="1418" w:left="1134" w:header="1021" w:footer="1021" w:gutter="0"/>
          <w:cols w:space="708"/>
          <w:docGrid w:linePitch="360"/>
        </w:sectPr>
      </w:pPr>
      <w:r w:rsidRPr="001C3119">
        <w:rPr>
          <w:rFonts w:ascii="Arial" w:hAnsi="Arial" w:cs="Arial"/>
          <w:i/>
          <w:color w:val="auto"/>
        </w:rPr>
        <w:t>Поэтапное сравнение подходов человеко-машинного взаимодействия и общего менеджмента (составлена авторами)</w:t>
      </w:r>
    </w:p>
    <w:tbl>
      <w:tblPr>
        <w:tblStyle w:val="afa"/>
        <w:tblW w:w="9747" w:type="dxa"/>
        <w:tblLayout w:type="fixed"/>
        <w:tblLook w:val="04A0" w:firstRow="1" w:lastRow="0" w:firstColumn="1" w:lastColumn="0" w:noHBand="0" w:noVBand="1"/>
      </w:tblPr>
      <w:tblGrid>
        <w:gridCol w:w="1701"/>
        <w:gridCol w:w="3119"/>
        <w:gridCol w:w="1701"/>
        <w:gridCol w:w="3226"/>
      </w:tblGrid>
      <w:tr w:rsidR="00D81046" w:rsidRPr="004577D3" w:rsidTr="00D81046">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lastRenderedPageBreak/>
              <w:t>Этап / функция менеджмента (классическая модель)</w:t>
            </w:r>
          </w:p>
        </w:tc>
        <w:tc>
          <w:tcPr>
            <w:tcW w:w="3119" w:type="dxa"/>
          </w:tcPr>
          <w:p w:rsidR="00D81046" w:rsidRPr="004577D3" w:rsidRDefault="00D81046" w:rsidP="00D81046">
            <w:pPr>
              <w:ind w:firstLine="0"/>
              <w:rPr>
                <w:sz w:val="20"/>
                <w:szCs w:val="20"/>
                <w:lang w:eastAsia="ru-RU"/>
              </w:rPr>
            </w:pPr>
            <w:r w:rsidRPr="004577D3">
              <w:rPr>
                <w:rFonts w:eastAsia="Times New Roman"/>
                <w:sz w:val="20"/>
                <w:szCs w:val="20"/>
                <w:lang w:eastAsia="ru-RU"/>
              </w:rPr>
              <w:t xml:space="preserve">Элементы в управленческом задании </w:t>
            </w:r>
          </w:p>
        </w:tc>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Компонент промпта</w:t>
            </w:r>
          </w:p>
        </w:tc>
        <w:tc>
          <w:tcPr>
            <w:tcW w:w="3226" w:type="dxa"/>
          </w:tcPr>
          <w:p w:rsidR="00D81046" w:rsidRPr="004577D3" w:rsidRDefault="00D81046" w:rsidP="00D81046">
            <w:pPr>
              <w:ind w:firstLine="0"/>
              <w:rPr>
                <w:sz w:val="20"/>
                <w:szCs w:val="20"/>
                <w:lang w:eastAsia="ru-RU"/>
              </w:rPr>
            </w:pPr>
            <w:r w:rsidRPr="004577D3">
              <w:rPr>
                <w:rFonts w:eastAsia="Times New Roman"/>
                <w:sz w:val="20"/>
                <w:szCs w:val="20"/>
                <w:lang w:eastAsia="ru-RU"/>
              </w:rPr>
              <w:t xml:space="preserve">Конкретные элементы в промпте </w:t>
            </w:r>
          </w:p>
        </w:tc>
      </w:tr>
      <w:tr w:rsidR="00D81046" w:rsidRPr="004577D3" w:rsidTr="00D81046">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Планирование</w:t>
            </w:r>
          </w:p>
        </w:tc>
        <w:tc>
          <w:tcPr>
            <w:tcW w:w="3119" w:type="dxa"/>
          </w:tcPr>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Цель: подготовить аналитический отчет.</w:t>
            </w:r>
          </w:p>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Формат/Ограничения: сводный отчет ≤2 стр. A4, содержащий SWOT, 3 тренда, 2 рекомендации.</w:t>
            </w:r>
          </w:p>
          <w:p w:rsidR="00D81046" w:rsidRPr="004577D3" w:rsidRDefault="00D81046" w:rsidP="00D81046">
            <w:pPr>
              <w:ind w:firstLine="0"/>
              <w:rPr>
                <w:sz w:val="20"/>
                <w:szCs w:val="20"/>
                <w:lang w:eastAsia="ru-RU"/>
              </w:rPr>
            </w:pPr>
            <w:r w:rsidRPr="004577D3">
              <w:rPr>
                <w:rFonts w:eastAsia="Times New Roman"/>
                <w:sz w:val="20"/>
                <w:szCs w:val="20"/>
                <w:lang w:eastAsia="ru-RU"/>
              </w:rPr>
              <w:t>Тон/Аудитория: профессиональный, для совета директоров.</w:t>
            </w:r>
          </w:p>
        </w:tc>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Заключение</w:t>
            </w:r>
            <w:r w:rsidRPr="004577D3">
              <w:rPr>
                <w:rFonts w:eastAsia="Times New Roman"/>
                <w:sz w:val="20"/>
                <w:szCs w:val="20"/>
                <w:lang w:eastAsia="ru-RU"/>
              </w:rPr>
              <w:br/>
              <w:t xml:space="preserve">+ контекст </w:t>
            </w:r>
          </w:p>
        </w:tc>
        <w:tc>
          <w:tcPr>
            <w:tcW w:w="3226" w:type="dxa"/>
          </w:tcPr>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Формат/Структура:</w:t>
            </w:r>
          </w:p>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«Представь результат в виде таблицы со столбцами: №, Дата, Платеж...».</w:t>
            </w:r>
          </w:p>
          <w:p w:rsidR="00D81046" w:rsidRPr="004577D3" w:rsidRDefault="00D81046" w:rsidP="00D81046">
            <w:pPr>
              <w:ind w:firstLine="0"/>
              <w:rPr>
                <w:sz w:val="20"/>
                <w:szCs w:val="20"/>
                <w:lang w:eastAsia="ru-RU"/>
              </w:rPr>
            </w:pPr>
            <w:r w:rsidRPr="004577D3">
              <w:rPr>
                <w:rFonts w:eastAsia="Times New Roman"/>
                <w:sz w:val="20"/>
                <w:szCs w:val="20"/>
                <w:lang w:eastAsia="ru-RU"/>
              </w:rPr>
              <w:t>Ограничения: «Ничего, кроме таблицы. Выведи только первые 10 строк».</w:t>
            </w:r>
          </w:p>
        </w:tc>
      </w:tr>
      <w:tr w:rsidR="00D81046" w:rsidRPr="004577D3" w:rsidTr="00D81046">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Организация</w:t>
            </w:r>
          </w:p>
        </w:tc>
        <w:tc>
          <w:tcPr>
            <w:tcW w:w="3119" w:type="dxa"/>
          </w:tcPr>
          <w:p w:rsidR="00D81046" w:rsidRPr="004577D3" w:rsidRDefault="00D81046" w:rsidP="00946B13">
            <w:pPr>
              <w:ind w:firstLine="0"/>
              <w:rPr>
                <w:sz w:val="20"/>
                <w:szCs w:val="20"/>
                <w:lang w:eastAsia="ru-RU"/>
              </w:rPr>
            </w:pPr>
            <w:r w:rsidRPr="004577D3">
              <w:rPr>
                <w:rFonts w:eastAsia="Times New Roman"/>
                <w:sz w:val="20"/>
                <w:szCs w:val="20"/>
                <w:lang w:eastAsia="ru-RU"/>
              </w:rPr>
              <w:t xml:space="preserve">Роль: «ты </w:t>
            </w:r>
            <w:r w:rsidR="00946B13" w:rsidRPr="004577D3">
              <w:rPr>
                <w:rFonts w:eastAsia="Times New Roman"/>
                <w:sz w:val="20"/>
                <w:szCs w:val="20"/>
                <w:lang w:eastAsia="ru-RU"/>
              </w:rPr>
              <w:t>–</w:t>
            </w:r>
            <w:r w:rsidRPr="004577D3">
              <w:rPr>
                <w:rFonts w:eastAsia="Times New Roman"/>
                <w:sz w:val="20"/>
                <w:szCs w:val="20"/>
                <w:lang w:eastAsia="ru-RU"/>
              </w:rPr>
              <w:t xml:space="preserve"> ведущий стратегический аналитик нашей компании".</w:t>
            </w:r>
            <w:r w:rsidRPr="004577D3">
              <w:rPr>
                <w:rFonts w:eastAsia="Times New Roman"/>
                <w:sz w:val="20"/>
                <w:szCs w:val="20"/>
                <w:lang w:eastAsia="ru-RU"/>
              </w:rPr>
              <w:br/>
              <w:t>Задача: "подготовь аналитический отчет по конкурентоспособности продукта».</w:t>
            </w:r>
            <w:r w:rsidRPr="004577D3">
              <w:rPr>
                <w:rFonts w:eastAsia="Times New Roman"/>
                <w:sz w:val="20"/>
                <w:szCs w:val="20"/>
                <w:lang w:eastAsia="ru-RU"/>
              </w:rPr>
              <w:br/>
              <w:t>Контекст/Данные: информация о продажах, данных опроса, маркетинговые исследования.</w:t>
            </w:r>
          </w:p>
        </w:tc>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 xml:space="preserve">1. Введение </w:t>
            </w:r>
            <w:r w:rsidRPr="004577D3">
              <w:rPr>
                <w:rFonts w:eastAsia="Times New Roman"/>
                <w:sz w:val="20"/>
                <w:szCs w:val="20"/>
                <w:lang w:eastAsia="ru-RU"/>
              </w:rPr>
              <w:br/>
              <w:t>2. Задача</w:t>
            </w:r>
            <w:r w:rsidRPr="004577D3">
              <w:rPr>
                <w:rFonts w:eastAsia="Times New Roman"/>
                <w:sz w:val="20"/>
                <w:szCs w:val="20"/>
                <w:lang w:eastAsia="ru-RU"/>
              </w:rPr>
              <w:br/>
              <w:t>3. Контекстная информация</w:t>
            </w:r>
          </w:p>
        </w:tc>
        <w:tc>
          <w:tcPr>
            <w:tcW w:w="3226" w:type="dxa"/>
          </w:tcPr>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Роль: «Ты — финансовый аналитик».</w:t>
            </w:r>
            <w:r w:rsidRPr="004577D3">
              <w:rPr>
                <w:rFonts w:eastAsia="Times New Roman"/>
                <w:sz w:val="20"/>
                <w:szCs w:val="20"/>
                <w:lang w:eastAsia="ru-RU"/>
              </w:rPr>
              <w:br/>
              <w:t>Задача:</w:t>
            </w:r>
            <w:r w:rsidR="00A44715" w:rsidRPr="004577D3">
              <w:rPr>
                <w:rFonts w:eastAsia="Times New Roman"/>
                <w:sz w:val="20"/>
                <w:szCs w:val="20"/>
                <w:lang w:eastAsia="ru-RU"/>
              </w:rPr>
              <w:t xml:space="preserve"> </w:t>
            </w:r>
            <w:r w:rsidRPr="004577D3">
              <w:rPr>
                <w:rFonts w:eastAsia="Times New Roman"/>
                <w:sz w:val="20"/>
                <w:szCs w:val="20"/>
                <w:lang w:eastAsia="ru-RU"/>
              </w:rPr>
              <w:t>«Рассчитай график ежемесячных платежей...».</w:t>
            </w:r>
            <w:r w:rsidRPr="004577D3">
              <w:rPr>
                <w:rFonts w:eastAsia="Times New Roman"/>
                <w:sz w:val="20"/>
                <w:szCs w:val="20"/>
                <w:lang w:eastAsia="ru-RU"/>
              </w:rPr>
              <w:br/>
              <w:t>Контекст/Данные: </w:t>
            </w:r>
          </w:p>
          <w:p w:rsidR="00D81046" w:rsidRPr="004577D3" w:rsidRDefault="00D81046" w:rsidP="00D81046">
            <w:pPr>
              <w:ind w:firstLine="0"/>
              <w:rPr>
                <w:sz w:val="20"/>
                <w:szCs w:val="20"/>
                <w:lang w:eastAsia="ru-RU"/>
              </w:rPr>
            </w:pPr>
            <w:r w:rsidRPr="004577D3">
              <w:rPr>
                <w:rFonts w:eastAsia="Times New Roman"/>
                <w:sz w:val="20"/>
                <w:szCs w:val="20"/>
                <w:lang w:eastAsia="ru-RU"/>
              </w:rPr>
              <w:t>«Параметры кредита: сумма — 1 000 000 у.е., срок — 3 года, ставка — 10%...».</w:t>
            </w:r>
          </w:p>
        </w:tc>
      </w:tr>
      <w:tr w:rsidR="00D81046" w:rsidRPr="004577D3" w:rsidTr="00D81046">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Мотивация и руководство</w:t>
            </w:r>
          </w:p>
        </w:tc>
        <w:tc>
          <w:tcPr>
            <w:tcW w:w="3119" w:type="dxa"/>
          </w:tcPr>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Методология: </w:t>
            </w:r>
          </w:p>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 xml:space="preserve">1. Проанализируй данные, двигаясь от общего к частному. </w:t>
            </w:r>
          </w:p>
          <w:p w:rsidR="00D81046" w:rsidRDefault="00D81046" w:rsidP="00946B13">
            <w:pPr>
              <w:ind w:firstLine="0"/>
              <w:rPr>
                <w:rFonts w:eastAsia="Times New Roman"/>
                <w:sz w:val="20"/>
                <w:szCs w:val="20"/>
                <w:lang w:eastAsia="ru-RU"/>
              </w:rPr>
            </w:pPr>
            <w:r w:rsidRPr="004577D3">
              <w:rPr>
                <w:rFonts w:eastAsia="Times New Roman"/>
                <w:sz w:val="20"/>
                <w:szCs w:val="20"/>
                <w:lang w:eastAsia="ru-RU"/>
              </w:rPr>
              <w:t xml:space="preserve">2. Формируй рекомендации по схеме «Проблема </w:t>
            </w:r>
            <w:r w:rsidR="00946B13" w:rsidRPr="004577D3">
              <w:rPr>
                <w:rFonts w:eastAsia="Times New Roman"/>
                <w:sz w:val="20"/>
                <w:szCs w:val="20"/>
                <w:lang w:eastAsia="ru-RU"/>
              </w:rPr>
              <w:t>–</w:t>
            </w:r>
            <w:r w:rsidRPr="004577D3">
              <w:rPr>
                <w:rFonts w:eastAsia="Times New Roman"/>
                <w:sz w:val="20"/>
                <w:szCs w:val="20"/>
                <w:lang w:eastAsia="ru-RU"/>
              </w:rPr>
              <w:t xml:space="preserve"> Причина </w:t>
            </w:r>
            <w:r w:rsidR="00946B13" w:rsidRPr="004577D3">
              <w:rPr>
                <w:rFonts w:eastAsia="Times New Roman"/>
                <w:sz w:val="20"/>
                <w:szCs w:val="20"/>
                <w:lang w:eastAsia="ru-RU"/>
              </w:rPr>
              <w:t>–</w:t>
            </w:r>
            <w:r w:rsidRPr="004577D3">
              <w:rPr>
                <w:rFonts w:eastAsia="Times New Roman"/>
                <w:sz w:val="20"/>
                <w:szCs w:val="20"/>
                <w:lang w:eastAsia="ru-RU"/>
              </w:rPr>
              <w:t xml:space="preserve"> Решение».</w:t>
            </w:r>
          </w:p>
          <w:p w:rsidR="00300205" w:rsidRPr="004577D3" w:rsidRDefault="00300205" w:rsidP="00946B13">
            <w:pPr>
              <w:ind w:firstLine="0"/>
              <w:rPr>
                <w:sz w:val="20"/>
                <w:szCs w:val="20"/>
                <w:lang w:eastAsia="ru-RU"/>
              </w:rPr>
            </w:pPr>
          </w:p>
        </w:tc>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4. Инструкции</w:t>
            </w:r>
          </w:p>
        </w:tc>
        <w:tc>
          <w:tcPr>
            <w:tcW w:w="3226" w:type="dxa"/>
          </w:tcPr>
          <w:p w:rsidR="00D81046" w:rsidRPr="004577D3" w:rsidRDefault="00D81046" w:rsidP="00D81046">
            <w:pPr>
              <w:ind w:firstLine="0"/>
              <w:rPr>
                <w:sz w:val="20"/>
                <w:szCs w:val="20"/>
                <w:lang w:eastAsia="ru-RU"/>
              </w:rPr>
            </w:pPr>
            <w:r w:rsidRPr="004577D3">
              <w:rPr>
                <w:rFonts w:eastAsia="Times New Roman"/>
                <w:sz w:val="20"/>
                <w:szCs w:val="20"/>
                <w:lang w:eastAsia="ru-RU"/>
              </w:rPr>
              <w:t>Метод: «1. Рассчитай размер платежа. 2. Для каждого месяца определи долю процентов и основного долга. 3. Рассчитай остаток...».</w:t>
            </w:r>
          </w:p>
        </w:tc>
      </w:tr>
      <w:tr w:rsidR="00D81046" w:rsidRPr="004577D3" w:rsidTr="00D81046">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lastRenderedPageBreak/>
              <w:t>Контроль</w:t>
            </w:r>
          </w:p>
        </w:tc>
        <w:tc>
          <w:tcPr>
            <w:tcW w:w="3119" w:type="dxa"/>
          </w:tcPr>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Критерии приемки: </w:t>
            </w:r>
          </w:p>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 xml:space="preserve">а) каждое утверждение обосновано, </w:t>
            </w:r>
          </w:p>
          <w:p w:rsidR="00D81046" w:rsidRPr="004577D3" w:rsidRDefault="00D81046" w:rsidP="00D81046">
            <w:pPr>
              <w:ind w:firstLine="0"/>
              <w:rPr>
                <w:rFonts w:eastAsia="Times New Roman"/>
                <w:sz w:val="20"/>
                <w:szCs w:val="20"/>
                <w:lang w:eastAsia="ru-RU"/>
              </w:rPr>
            </w:pPr>
            <w:r w:rsidRPr="004577D3">
              <w:rPr>
                <w:rFonts w:eastAsia="Times New Roman"/>
                <w:sz w:val="20"/>
                <w:szCs w:val="20"/>
                <w:lang w:eastAsia="ru-RU"/>
              </w:rPr>
              <w:t xml:space="preserve">б) рекомендации конкретны и выполнимы, </w:t>
            </w:r>
          </w:p>
          <w:p w:rsidR="00D81046" w:rsidRPr="004577D3" w:rsidRDefault="00D81046" w:rsidP="00D81046">
            <w:pPr>
              <w:ind w:firstLine="0"/>
              <w:rPr>
                <w:sz w:val="20"/>
                <w:szCs w:val="20"/>
                <w:lang w:eastAsia="ru-RU"/>
              </w:rPr>
            </w:pPr>
            <w:r w:rsidRPr="004577D3">
              <w:rPr>
                <w:rFonts w:eastAsia="Times New Roman"/>
                <w:sz w:val="20"/>
                <w:szCs w:val="20"/>
                <w:lang w:eastAsia="ru-RU"/>
              </w:rPr>
              <w:t>в) язык профессиональный.</w:t>
            </w:r>
          </w:p>
        </w:tc>
        <w:tc>
          <w:tcPr>
            <w:tcW w:w="1701" w:type="dxa"/>
          </w:tcPr>
          <w:p w:rsidR="00D81046" w:rsidRPr="004577D3" w:rsidRDefault="00D81046" w:rsidP="00D81046">
            <w:pPr>
              <w:ind w:firstLine="0"/>
              <w:rPr>
                <w:sz w:val="20"/>
                <w:szCs w:val="20"/>
                <w:lang w:eastAsia="ru-RU"/>
              </w:rPr>
            </w:pPr>
            <w:r w:rsidRPr="004577D3">
              <w:rPr>
                <w:rFonts w:eastAsia="Times New Roman"/>
                <w:sz w:val="20"/>
                <w:szCs w:val="20"/>
                <w:lang w:eastAsia="ru-RU"/>
              </w:rPr>
              <w:t>3. Контекстная информация (ограничения)</w:t>
            </w:r>
            <w:r w:rsidRPr="004577D3">
              <w:rPr>
                <w:rFonts w:eastAsia="Times New Roman"/>
                <w:sz w:val="20"/>
                <w:szCs w:val="20"/>
                <w:lang w:eastAsia="ru-RU"/>
              </w:rPr>
              <w:br/>
              <w:t xml:space="preserve">+ Заключение </w:t>
            </w:r>
          </w:p>
        </w:tc>
        <w:tc>
          <w:tcPr>
            <w:tcW w:w="3226" w:type="dxa"/>
          </w:tcPr>
          <w:p w:rsidR="00D81046" w:rsidRPr="004577D3" w:rsidRDefault="00D81046" w:rsidP="00D81046">
            <w:pPr>
              <w:ind w:firstLine="0"/>
              <w:rPr>
                <w:sz w:val="20"/>
                <w:szCs w:val="20"/>
                <w:lang w:eastAsia="ru-RU"/>
              </w:rPr>
            </w:pPr>
            <w:r w:rsidRPr="004577D3">
              <w:rPr>
                <w:rFonts w:eastAsia="Times New Roman"/>
                <w:sz w:val="20"/>
                <w:szCs w:val="20"/>
                <w:lang w:eastAsia="ru-RU"/>
              </w:rPr>
              <w:t>Критерии качества: задаются через формат и точность инструкций</w:t>
            </w:r>
          </w:p>
        </w:tc>
      </w:tr>
    </w:tbl>
    <w:p w:rsidR="00D42F8D" w:rsidRDefault="00D42F8D" w:rsidP="00D42F8D">
      <w:pPr>
        <w:pStyle w:val="afe"/>
        <w:ind w:firstLine="0"/>
        <w:rPr>
          <w:color w:val="auto"/>
        </w:rPr>
        <w:sectPr w:rsidR="00D42F8D" w:rsidSect="00E61989">
          <w:footnotePr>
            <w:numRestart w:val="eachPage"/>
          </w:footnotePr>
          <w:type w:val="continuous"/>
          <w:pgSz w:w="11907" w:h="16840" w:code="9"/>
          <w:pgMar w:top="1418" w:right="1134" w:bottom="1418" w:left="1134" w:header="1021" w:footer="1021" w:gutter="0"/>
          <w:cols w:space="708"/>
          <w:docGrid w:linePitch="360"/>
        </w:sectPr>
      </w:pPr>
    </w:p>
    <w:p w:rsidR="004577D3" w:rsidRDefault="004577D3" w:rsidP="00D42F8D">
      <w:pPr>
        <w:pStyle w:val="afe"/>
        <w:ind w:firstLine="0"/>
        <w:rPr>
          <w:color w:val="auto"/>
        </w:rPr>
      </w:pPr>
    </w:p>
    <w:p w:rsidR="00D42F8D" w:rsidRDefault="00D42F8D" w:rsidP="00390EEA">
      <w:pPr>
        <w:pStyle w:val="afe"/>
        <w:ind w:firstLine="0"/>
        <w:jc w:val="center"/>
        <w:rPr>
          <w:b/>
          <w:color w:val="auto"/>
        </w:rPr>
      </w:pPr>
    </w:p>
    <w:p w:rsidR="00D42F8D" w:rsidRDefault="00D42F8D" w:rsidP="00390EEA">
      <w:pPr>
        <w:pStyle w:val="afe"/>
        <w:ind w:firstLine="0"/>
        <w:jc w:val="center"/>
        <w:rPr>
          <w:b/>
          <w:color w:val="auto"/>
        </w:rPr>
        <w:sectPr w:rsidR="00D42F8D" w:rsidSect="00D42F8D">
          <w:footnotePr>
            <w:numRestart w:val="eachPage"/>
          </w:footnotePr>
          <w:type w:val="continuous"/>
          <w:pgSz w:w="11907" w:h="16840" w:code="9"/>
          <w:pgMar w:top="1418" w:right="1134" w:bottom="1418" w:left="1134" w:header="1021" w:footer="1021" w:gutter="0"/>
          <w:cols w:num="2" w:space="708"/>
          <w:docGrid w:linePitch="360"/>
        </w:sectPr>
      </w:pPr>
    </w:p>
    <w:p w:rsidR="004577D3" w:rsidRPr="004577D3" w:rsidRDefault="004577D3" w:rsidP="004577D3">
      <w:pPr>
        <w:rPr>
          <w:szCs w:val="24"/>
          <w:lang w:eastAsia="ru-RU"/>
        </w:rPr>
      </w:pPr>
      <w:r w:rsidRPr="004577D3">
        <w:rPr>
          <w:szCs w:val="24"/>
          <w:lang w:eastAsia="ru-RU"/>
        </w:rPr>
        <w:lastRenderedPageBreak/>
        <w:t xml:space="preserve">По данным таб. 1 нетрудно заметить принципиальное сходство этапов управленческого задания и структуры промпта. </w:t>
      </w:r>
      <w:r w:rsidRPr="004577D3">
        <w:rPr>
          <w:szCs w:val="24"/>
          <w:lang w:eastAsia="ru-RU"/>
        </w:rPr>
        <w:lastRenderedPageBreak/>
        <w:t>Итоговое сопоставление парадигм показано в табл. 2.</w:t>
      </w:r>
    </w:p>
    <w:p w:rsidR="004577D3" w:rsidRDefault="004577D3" w:rsidP="00D42F8D">
      <w:pPr>
        <w:ind w:firstLine="284"/>
        <w:jc w:val="right"/>
        <w:rPr>
          <w:szCs w:val="24"/>
          <w:lang w:eastAsia="ru-RU"/>
        </w:rPr>
        <w:sectPr w:rsidR="004577D3" w:rsidSect="004577D3">
          <w:footnotePr>
            <w:numRestart w:val="eachPage"/>
          </w:footnotePr>
          <w:type w:val="continuous"/>
          <w:pgSz w:w="11907" w:h="16840" w:code="9"/>
          <w:pgMar w:top="1418" w:right="1134" w:bottom="1418" w:left="1134" w:header="1021" w:footer="1021" w:gutter="0"/>
          <w:cols w:num="2" w:space="708"/>
          <w:docGrid w:linePitch="360"/>
        </w:sectPr>
      </w:pPr>
    </w:p>
    <w:p w:rsidR="004577D3" w:rsidRDefault="004577D3" w:rsidP="00D42F8D">
      <w:pPr>
        <w:ind w:firstLine="284"/>
        <w:jc w:val="right"/>
        <w:rPr>
          <w:szCs w:val="24"/>
          <w:lang w:eastAsia="ru-RU"/>
        </w:rPr>
      </w:pPr>
    </w:p>
    <w:p w:rsidR="00D42F8D" w:rsidRPr="001C3119" w:rsidRDefault="00D42F8D" w:rsidP="00D42F8D">
      <w:pPr>
        <w:ind w:firstLine="284"/>
        <w:jc w:val="right"/>
        <w:rPr>
          <w:rFonts w:ascii="Arial" w:hAnsi="Arial" w:cs="Arial"/>
          <w:i/>
          <w:szCs w:val="24"/>
          <w:lang w:eastAsia="ru-RU"/>
        </w:rPr>
      </w:pPr>
      <w:r w:rsidRPr="001C3119">
        <w:rPr>
          <w:rFonts w:ascii="Arial" w:hAnsi="Arial" w:cs="Arial"/>
          <w:i/>
          <w:szCs w:val="24"/>
          <w:lang w:eastAsia="ru-RU"/>
        </w:rPr>
        <w:t>Таблица 2</w:t>
      </w:r>
    </w:p>
    <w:p w:rsidR="00D81046" w:rsidRPr="001C3119" w:rsidRDefault="00D42F8D" w:rsidP="004577D3">
      <w:pPr>
        <w:shd w:val="clear" w:color="auto" w:fill="FFFFFF"/>
        <w:jc w:val="center"/>
        <w:rPr>
          <w:rFonts w:ascii="Arial" w:hAnsi="Arial" w:cs="Arial"/>
          <w:b/>
          <w:i/>
        </w:rPr>
      </w:pPr>
      <w:r w:rsidRPr="001C3119">
        <w:rPr>
          <w:rFonts w:ascii="Arial" w:hAnsi="Arial" w:cs="Arial"/>
          <w:i/>
          <w:szCs w:val="24"/>
          <w:lang w:eastAsia="ru-RU"/>
        </w:rPr>
        <w:t xml:space="preserve">Сравнение парадигм </w:t>
      </w:r>
      <w:r w:rsidRPr="001C3119">
        <w:rPr>
          <w:rFonts w:ascii="Arial" w:hAnsi="Arial" w:cs="Arial"/>
          <w:i/>
          <w:szCs w:val="24"/>
        </w:rPr>
        <w:t>(составлена авторами)</w:t>
      </w:r>
    </w:p>
    <w:tbl>
      <w:tblPr>
        <w:tblStyle w:val="afa"/>
        <w:tblW w:w="0" w:type="auto"/>
        <w:tblLook w:val="04A0" w:firstRow="1" w:lastRow="0" w:firstColumn="1" w:lastColumn="0" w:noHBand="0" w:noVBand="1"/>
      </w:tblPr>
      <w:tblGrid>
        <w:gridCol w:w="2091"/>
        <w:gridCol w:w="2752"/>
        <w:gridCol w:w="2594"/>
        <w:gridCol w:w="2418"/>
      </w:tblGrid>
      <w:tr w:rsidR="00946B13" w:rsidRPr="004577D3" w:rsidTr="00A53D60">
        <w:tc>
          <w:tcPr>
            <w:tcW w:w="0" w:type="auto"/>
          </w:tcPr>
          <w:p w:rsidR="00946B13" w:rsidRPr="004577D3" w:rsidRDefault="00946B13" w:rsidP="00946B13">
            <w:pPr>
              <w:ind w:firstLine="0"/>
              <w:rPr>
                <w:sz w:val="20"/>
                <w:szCs w:val="20"/>
              </w:rPr>
            </w:pPr>
            <w:r w:rsidRPr="004577D3">
              <w:rPr>
                <w:sz w:val="20"/>
                <w:szCs w:val="20"/>
              </w:rPr>
              <w:t>Парадигма</w:t>
            </w:r>
          </w:p>
        </w:tc>
        <w:tc>
          <w:tcPr>
            <w:tcW w:w="0" w:type="auto"/>
          </w:tcPr>
          <w:p w:rsidR="00946B13" w:rsidRPr="004577D3" w:rsidRDefault="00946B13" w:rsidP="00946B13">
            <w:pPr>
              <w:ind w:firstLine="0"/>
              <w:rPr>
                <w:sz w:val="20"/>
                <w:szCs w:val="20"/>
              </w:rPr>
            </w:pPr>
            <w:r w:rsidRPr="004577D3">
              <w:rPr>
                <w:sz w:val="20"/>
                <w:szCs w:val="20"/>
              </w:rPr>
              <w:t>Цель</w:t>
            </w:r>
          </w:p>
        </w:tc>
        <w:tc>
          <w:tcPr>
            <w:tcW w:w="0" w:type="auto"/>
          </w:tcPr>
          <w:p w:rsidR="00946B13" w:rsidRPr="004577D3" w:rsidRDefault="00946B13" w:rsidP="00946B13">
            <w:pPr>
              <w:ind w:firstLine="0"/>
              <w:rPr>
                <w:sz w:val="20"/>
                <w:szCs w:val="20"/>
              </w:rPr>
            </w:pPr>
            <w:r w:rsidRPr="004577D3">
              <w:rPr>
                <w:sz w:val="20"/>
                <w:szCs w:val="20"/>
              </w:rPr>
              <w:t>Ключевой принцип</w:t>
            </w:r>
          </w:p>
        </w:tc>
        <w:tc>
          <w:tcPr>
            <w:tcW w:w="0" w:type="auto"/>
          </w:tcPr>
          <w:p w:rsidR="00946B13" w:rsidRPr="004577D3" w:rsidRDefault="00946B13" w:rsidP="00946B13">
            <w:pPr>
              <w:ind w:firstLine="0"/>
              <w:rPr>
                <w:sz w:val="20"/>
                <w:szCs w:val="20"/>
              </w:rPr>
            </w:pPr>
            <w:r w:rsidRPr="004577D3">
              <w:rPr>
                <w:sz w:val="20"/>
                <w:szCs w:val="20"/>
              </w:rPr>
              <w:t>Итоговый артефакт</w:t>
            </w:r>
          </w:p>
        </w:tc>
      </w:tr>
      <w:tr w:rsidR="00946B13" w:rsidRPr="004577D3" w:rsidTr="00A53D60">
        <w:tc>
          <w:tcPr>
            <w:tcW w:w="0" w:type="auto"/>
          </w:tcPr>
          <w:p w:rsidR="00946B13" w:rsidRPr="004577D3" w:rsidRDefault="00946B13" w:rsidP="00946B13">
            <w:pPr>
              <w:ind w:firstLine="0"/>
              <w:rPr>
                <w:sz w:val="20"/>
                <w:szCs w:val="20"/>
              </w:rPr>
            </w:pPr>
            <w:r w:rsidRPr="004577D3">
              <w:rPr>
                <w:sz w:val="20"/>
                <w:szCs w:val="20"/>
              </w:rPr>
              <w:t>Классическое управленческое задание</w:t>
            </w:r>
          </w:p>
        </w:tc>
        <w:tc>
          <w:tcPr>
            <w:tcW w:w="0" w:type="auto"/>
          </w:tcPr>
          <w:p w:rsidR="00946B13" w:rsidRPr="004577D3" w:rsidRDefault="00946B13" w:rsidP="00946B13">
            <w:pPr>
              <w:ind w:firstLine="0"/>
              <w:rPr>
                <w:sz w:val="20"/>
                <w:szCs w:val="20"/>
              </w:rPr>
            </w:pPr>
            <w:r w:rsidRPr="004577D3">
              <w:rPr>
                <w:sz w:val="20"/>
                <w:szCs w:val="20"/>
              </w:rPr>
              <w:t>Получить от сотрудника (аналитика) четко определенный, качественный результат, соответствующий ожиданиям руководства.</w:t>
            </w:r>
          </w:p>
        </w:tc>
        <w:tc>
          <w:tcPr>
            <w:tcW w:w="0" w:type="auto"/>
          </w:tcPr>
          <w:p w:rsidR="00946B13" w:rsidRPr="004577D3" w:rsidRDefault="00946B13" w:rsidP="00946B13">
            <w:pPr>
              <w:ind w:firstLine="0"/>
              <w:rPr>
                <w:sz w:val="20"/>
                <w:szCs w:val="20"/>
              </w:rPr>
            </w:pPr>
            <w:r w:rsidRPr="004577D3">
              <w:rPr>
                <w:sz w:val="20"/>
                <w:szCs w:val="20"/>
              </w:rPr>
              <w:t>Разбивка задачи на управленческие функции (планирование, организация, руководство, контроль) для минимизации недопонимания и вариативности исполнения.</w:t>
            </w:r>
          </w:p>
        </w:tc>
        <w:tc>
          <w:tcPr>
            <w:tcW w:w="0" w:type="auto"/>
          </w:tcPr>
          <w:p w:rsidR="00946B13" w:rsidRPr="004577D3" w:rsidRDefault="00946B13" w:rsidP="00946B13">
            <w:pPr>
              <w:ind w:firstLine="0"/>
              <w:rPr>
                <w:sz w:val="20"/>
                <w:szCs w:val="20"/>
              </w:rPr>
            </w:pPr>
            <w:r w:rsidRPr="004577D3">
              <w:rPr>
                <w:sz w:val="20"/>
                <w:szCs w:val="20"/>
              </w:rPr>
              <w:t>Четко сформулированное рабочее задание, которое передается сотруднику.</w:t>
            </w:r>
          </w:p>
        </w:tc>
      </w:tr>
      <w:tr w:rsidR="00946B13" w:rsidRPr="004577D3" w:rsidTr="00A53D60">
        <w:tc>
          <w:tcPr>
            <w:tcW w:w="0" w:type="auto"/>
          </w:tcPr>
          <w:p w:rsidR="00946B13" w:rsidRPr="004577D3" w:rsidRDefault="00946B13" w:rsidP="00946B13">
            <w:pPr>
              <w:ind w:firstLine="0"/>
              <w:rPr>
                <w:sz w:val="20"/>
                <w:szCs w:val="20"/>
              </w:rPr>
            </w:pPr>
            <w:r w:rsidRPr="004577D3">
              <w:rPr>
                <w:sz w:val="20"/>
                <w:szCs w:val="20"/>
              </w:rPr>
              <w:t>Структурированный промпт</w:t>
            </w:r>
          </w:p>
        </w:tc>
        <w:tc>
          <w:tcPr>
            <w:tcW w:w="0" w:type="auto"/>
          </w:tcPr>
          <w:p w:rsidR="00946B13" w:rsidRPr="004577D3" w:rsidRDefault="00946B13" w:rsidP="00946B13">
            <w:pPr>
              <w:ind w:firstLine="0"/>
              <w:rPr>
                <w:sz w:val="20"/>
                <w:szCs w:val="20"/>
              </w:rPr>
            </w:pPr>
            <w:r w:rsidRPr="004577D3">
              <w:rPr>
                <w:sz w:val="20"/>
                <w:szCs w:val="20"/>
              </w:rPr>
              <w:t>Получить от ИИ-агента (LLM) четко определенный, релевантный и структурированный ответ, соответствующий ожиданиям пользователя.</w:t>
            </w:r>
          </w:p>
        </w:tc>
        <w:tc>
          <w:tcPr>
            <w:tcW w:w="0" w:type="auto"/>
          </w:tcPr>
          <w:p w:rsidR="00946B13" w:rsidRPr="004577D3" w:rsidRDefault="00946B13" w:rsidP="00946B13">
            <w:pPr>
              <w:ind w:firstLine="0"/>
              <w:rPr>
                <w:sz w:val="20"/>
                <w:szCs w:val="20"/>
              </w:rPr>
            </w:pPr>
            <w:r w:rsidRPr="004577D3">
              <w:rPr>
                <w:sz w:val="20"/>
                <w:szCs w:val="20"/>
              </w:rPr>
              <w:t>Разбивка запроса на компоненты (роль, задача, контекст, инструкции, вывод) для минимизации ошибок и повышения точности ответа.</w:t>
            </w:r>
          </w:p>
        </w:tc>
        <w:tc>
          <w:tcPr>
            <w:tcW w:w="0" w:type="auto"/>
          </w:tcPr>
          <w:p w:rsidR="00946B13" w:rsidRPr="004577D3" w:rsidRDefault="00946B13" w:rsidP="00946B13">
            <w:pPr>
              <w:ind w:firstLine="0"/>
              <w:rPr>
                <w:sz w:val="20"/>
                <w:szCs w:val="20"/>
              </w:rPr>
            </w:pPr>
            <w:r w:rsidRPr="004577D3">
              <w:rPr>
                <w:sz w:val="20"/>
                <w:szCs w:val="20"/>
              </w:rPr>
              <w:t>Четко сформулированный текстовый запрос (промпт), который передается языковой модели.</w:t>
            </w:r>
          </w:p>
        </w:tc>
      </w:tr>
    </w:tbl>
    <w:p w:rsidR="00D42F8D" w:rsidRDefault="00D42F8D" w:rsidP="00390EEA">
      <w:pPr>
        <w:pStyle w:val="afe"/>
        <w:ind w:firstLine="0"/>
        <w:jc w:val="center"/>
        <w:rPr>
          <w:b/>
          <w:color w:val="auto"/>
        </w:rPr>
      </w:pPr>
    </w:p>
    <w:p w:rsidR="00946B13" w:rsidRDefault="00946B13" w:rsidP="00946B13">
      <w:pPr>
        <w:shd w:val="clear" w:color="auto" w:fill="FFFFFF"/>
        <w:ind w:firstLine="284"/>
        <w:rPr>
          <w:rFonts w:eastAsia="Times New Roman"/>
          <w:szCs w:val="24"/>
          <w:lang w:eastAsia="ru-RU"/>
        </w:rPr>
        <w:sectPr w:rsidR="00946B13" w:rsidSect="00E61989">
          <w:footnotePr>
            <w:numRestart w:val="eachPage"/>
          </w:footnotePr>
          <w:type w:val="continuous"/>
          <w:pgSz w:w="11907" w:h="16840" w:code="9"/>
          <w:pgMar w:top="1418" w:right="1134" w:bottom="1418" w:left="1134" w:header="1021" w:footer="1021" w:gutter="0"/>
          <w:cols w:space="708"/>
          <w:docGrid w:linePitch="360"/>
        </w:sectPr>
      </w:pPr>
    </w:p>
    <w:p w:rsidR="00946B13" w:rsidRPr="00946B13" w:rsidRDefault="00946B13" w:rsidP="00946B13">
      <w:pPr>
        <w:shd w:val="clear" w:color="auto" w:fill="FFFFFF"/>
        <w:ind w:firstLine="284"/>
        <w:rPr>
          <w:rFonts w:eastAsia="Times New Roman"/>
          <w:szCs w:val="24"/>
          <w:lang w:eastAsia="ru-RU"/>
        </w:rPr>
      </w:pPr>
      <w:r w:rsidRPr="00946B13">
        <w:rPr>
          <w:rFonts w:eastAsia="Times New Roman"/>
          <w:szCs w:val="24"/>
          <w:lang w:eastAsia="ru-RU"/>
        </w:rPr>
        <w:lastRenderedPageBreak/>
        <w:t>Представленное сопоставление показывает, что промпт-инженерия достаточно четко операционализирует принципы классического менеджмента в цифровой среде. Работа с ИИ-агентом в общем случае требует тех же навыков, что и эффективная постановка задачи человеку: определение роли, постановка цели в контексте, предоставление ресурсов (данных), инструктаж по методологии и четкое обо</w:t>
      </w:r>
      <w:r w:rsidRPr="00946B13">
        <w:rPr>
          <w:rFonts w:eastAsia="Times New Roman"/>
          <w:szCs w:val="24"/>
          <w:lang w:eastAsia="ru-RU"/>
        </w:rPr>
        <w:lastRenderedPageBreak/>
        <w:t>значение формата и критериев итогового продукта. Таким образом, структурированный промпт можно рассматривать как цифровой аналог управленческого задания в современной организации.</w:t>
      </w:r>
    </w:p>
    <w:p w:rsidR="00946B13" w:rsidRPr="00946B13" w:rsidRDefault="00946B13" w:rsidP="00946B13">
      <w:pPr>
        <w:ind w:firstLine="284"/>
        <w:rPr>
          <w:szCs w:val="24"/>
        </w:rPr>
      </w:pPr>
      <w:r w:rsidRPr="00946B13">
        <w:rPr>
          <w:szCs w:val="24"/>
        </w:rPr>
        <w:t>На основе эмпирической части исследования, проводя прямую параллель промт-инжиниринга с типовыми функциями менеджмента по А.Файолю [16], можно выделить следующие соответствия (табл</w:t>
      </w:r>
      <w:r>
        <w:rPr>
          <w:szCs w:val="24"/>
        </w:rPr>
        <w:t>.</w:t>
      </w:r>
      <w:r w:rsidRPr="00946B13">
        <w:rPr>
          <w:szCs w:val="24"/>
        </w:rPr>
        <w:t xml:space="preserve"> 3)</w:t>
      </w:r>
      <w:r>
        <w:rPr>
          <w:szCs w:val="24"/>
        </w:rPr>
        <w:t>.</w:t>
      </w:r>
    </w:p>
    <w:p w:rsidR="00946B13" w:rsidRDefault="00946B13" w:rsidP="00946B13">
      <w:pPr>
        <w:ind w:firstLine="284"/>
        <w:rPr>
          <w:szCs w:val="24"/>
        </w:rPr>
        <w:sectPr w:rsidR="00946B13" w:rsidSect="00946B13">
          <w:footnotePr>
            <w:numRestart w:val="eachPage"/>
          </w:footnotePr>
          <w:type w:val="continuous"/>
          <w:pgSz w:w="11907" w:h="16840" w:code="9"/>
          <w:pgMar w:top="1418" w:right="1134" w:bottom="1418" w:left="1134" w:header="1021" w:footer="1021" w:gutter="0"/>
          <w:cols w:num="2" w:space="708"/>
          <w:docGrid w:linePitch="360"/>
        </w:sectPr>
      </w:pPr>
    </w:p>
    <w:p w:rsidR="00946B13" w:rsidRPr="00946B13" w:rsidRDefault="00946B13" w:rsidP="00946B13">
      <w:pPr>
        <w:ind w:firstLine="284"/>
        <w:rPr>
          <w:szCs w:val="24"/>
        </w:rPr>
      </w:pPr>
    </w:p>
    <w:p w:rsidR="00946B13" w:rsidRPr="001C3119" w:rsidRDefault="00946B13" w:rsidP="00946B13">
      <w:pPr>
        <w:ind w:firstLine="709"/>
        <w:jc w:val="right"/>
        <w:rPr>
          <w:rFonts w:ascii="Arial" w:hAnsi="Arial" w:cs="Arial"/>
          <w:i/>
          <w:szCs w:val="24"/>
        </w:rPr>
      </w:pPr>
      <w:r w:rsidRPr="001C3119">
        <w:rPr>
          <w:rFonts w:ascii="Arial" w:hAnsi="Arial" w:cs="Arial"/>
          <w:i/>
          <w:szCs w:val="24"/>
        </w:rPr>
        <w:t>Таблица 3</w:t>
      </w:r>
    </w:p>
    <w:p w:rsidR="00946B13" w:rsidRPr="001C3119" w:rsidRDefault="00946B13" w:rsidP="00946B13">
      <w:pPr>
        <w:ind w:firstLine="0"/>
        <w:jc w:val="center"/>
        <w:rPr>
          <w:rFonts w:ascii="Arial" w:hAnsi="Arial" w:cs="Arial"/>
          <w:i/>
          <w:szCs w:val="24"/>
        </w:rPr>
      </w:pPr>
      <w:r w:rsidRPr="001C3119">
        <w:rPr>
          <w:rFonts w:ascii="Arial" w:hAnsi="Arial" w:cs="Arial"/>
          <w:i/>
          <w:szCs w:val="24"/>
        </w:rPr>
        <w:t>Анализ применимости концепций управленческого цикла общего менеджмента к промт-инжинирингу (составлена авторами)</w:t>
      </w:r>
    </w:p>
    <w:tbl>
      <w:tblPr>
        <w:tblStyle w:val="afa"/>
        <w:tblW w:w="0" w:type="auto"/>
        <w:tblLook w:val="04A0" w:firstRow="1" w:lastRow="0" w:firstColumn="1" w:lastColumn="0" w:noHBand="0" w:noVBand="1"/>
      </w:tblPr>
      <w:tblGrid>
        <w:gridCol w:w="1833"/>
        <w:gridCol w:w="2620"/>
        <w:gridCol w:w="3048"/>
        <w:gridCol w:w="2354"/>
      </w:tblGrid>
      <w:tr w:rsidR="00946B13" w:rsidRPr="004577D3" w:rsidTr="00A53D60">
        <w:tc>
          <w:tcPr>
            <w:tcW w:w="0" w:type="auto"/>
          </w:tcPr>
          <w:p w:rsidR="00946B13" w:rsidRPr="004577D3" w:rsidRDefault="00946B13" w:rsidP="004577D3">
            <w:pPr>
              <w:ind w:firstLine="0"/>
              <w:jc w:val="center"/>
              <w:rPr>
                <w:sz w:val="20"/>
                <w:szCs w:val="20"/>
              </w:rPr>
            </w:pPr>
            <w:r w:rsidRPr="004577D3">
              <w:rPr>
                <w:sz w:val="20"/>
                <w:szCs w:val="20"/>
              </w:rPr>
              <w:t>Этап управленческого цикла организации</w:t>
            </w:r>
          </w:p>
        </w:tc>
        <w:tc>
          <w:tcPr>
            <w:tcW w:w="0" w:type="auto"/>
          </w:tcPr>
          <w:p w:rsidR="00946B13" w:rsidRPr="004577D3" w:rsidRDefault="00946B13" w:rsidP="004577D3">
            <w:pPr>
              <w:ind w:firstLine="0"/>
              <w:jc w:val="center"/>
              <w:rPr>
                <w:sz w:val="20"/>
                <w:szCs w:val="20"/>
              </w:rPr>
            </w:pPr>
            <w:r w:rsidRPr="004577D3">
              <w:rPr>
                <w:sz w:val="20"/>
                <w:szCs w:val="20"/>
              </w:rPr>
              <w:t>Категория общего менеджмента</w:t>
            </w:r>
          </w:p>
        </w:tc>
        <w:tc>
          <w:tcPr>
            <w:tcW w:w="0" w:type="auto"/>
          </w:tcPr>
          <w:p w:rsidR="00946B13" w:rsidRPr="004577D3" w:rsidRDefault="00946B13" w:rsidP="004577D3">
            <w:pPr>
              <w:ind w:firstLine="0"/>
              <w:jc w:val="center"/>
              <w:rPr>
                <w:sz w:val="20"/>
                <w:szCs w:val="20"/>
              </w:rPr>
            </w:pPr>
            <w:r w:rsidRPr="004577D3">
              <w:rPr>
                <w:sz w:val="20"/>
                <w:szCs w:val="20"/>
              </w:rPr>
              <w:t>Категория промт-инжиниринга</w:t>
            </w:r>
          </w:p>
        </w:tc>
        <w:tc>
          <w:tcPr>
            <w:tcW w:w="0" w:type="auto"/>
          </w:tcPr>
          <w:p w:rsidR="00946B13" w:rsidRPr="004577D3" w:rsidRDefault="00946B13" w:rsidP="004577D3">
            <w:pPr>
              <w:ind w:firstLine="0"/>
              <w:jc w:val="center"/>
              <w:rPr>
                <w:sz w:val="20"/>
                <w:szCs w:val="20"/>
              </w:rPr>
            </w:pPr>
            <w:r w:rsidRPr="004577D3">
              <w:rPr>
                <w:sz w:val="20"/>
                <w:szCs w:val="20"/>
              </w:rPr>
              <w:t>Общие характеристики</w:t>
            </w:r>
          </w:p>
        </w:tc>
      </w:tr>
      <w:tr w:rsidR="00946B13" w:rsidRPr="004577D3" w:rsidTr="00A53D60">
        <w:tc>
          <w:tcPr>
            <w:tcW w:w="0" w:type="auto"/>
          </w:tcPr>
          <w:p w:rsidR="00946B13" w:rsidRPr="004577D3" w:rsidRDefault="00946B13" w:rsidP="00946B13">
            <w:pPr>
              <w:ind w:firstLine="0"/>
              <w:rPr>
                <w:sz w:val="20"/>
                <w:szCs w:val="20"/>
              </w:rPr>
            </w:pPr>
            <w:r w:rsidRPr="004577D3">
              <w:rPr>
                <w:sz w:val="20"/>
                <w:szCs w:val="20"/>
              </w:rPr>
              <w:t xml:space="preserve">Планирование </w:t>
            </w:r>
          </w:p>
        </w:tc>
        <w:tc>
          <w:tcPr>
            <w:tcW w:w="0" w:type="auto"/>
          </w:tcPr>
          <w:p w:rsidR="00946B13" w:rsidRPr="004577D3" w:rsidRDefault="00946B13" w:rsidP="00946B13">
            <w:pPr>
              <w:ind w:firstLine="0"/>
              <w:rPr>
                <w:sz w:val="20"/>
                <w:szCs w:val="20"/>
              </w:rPr>
            </w:pPr>
            <w:r w:rsidRPr="004577D3">
              <w:rPr>
                <w:sz w:val="20"/>
                <w:szCs w:val="20"/>
              </w:rPr>
              <w:t>Установление целей  деятельности на перспективу, прогноз и составление альтернативного плана работ</w:t>
            </w:r>
          </w:p>
        </w:tc>
        <w:tc>
          <w:tcPr>
            <w:tcW w:w="0" w:type="auto"/>
          </w:tcPr>
          <w:p w:rsidR="00946B13" w:rsidRPr="004577D3" w:rsidRDefault="00946B13" w:rsidP="00946B13">
            <w:pPr>
              <w:ind w:firstLine="0"/>
              <w:rPr>
                <w:sz w:val="20"/>
                <w:szCs w:val="20"/>
              </w:rPr>
            </w:pPr>
            <w:r w:rsidRPr="004577D3">
              <w:rPr>
                <w:sz w:val="20"/>
                <w:szCs w:val="20"/>
              </w:rPr>
              <w:t>Определение цели и установление формата ответа — какой результат нужен (анализ, код, текст), в каком стиле и какого объёма</w:t>
            </w:r>
          </w:p>
        </w:tc>
        <w:tc>
          <w:tcPr>
            <w:tcW w:w="0" w:type="auto"/>
          </w:tcPr>
          <w:p w:rsidR="00946B13" w:rsidRPr="004577D3" w:rsidRDefault="00946B13" w:rsidP="00946B13">
            <w:pPr>
              <w:ind w:firstLine="0"/>
              <w:rPr>
                <w:sz w:val="20"/>
                <w:szCs w:val="20"/>
              </w:rPr>
            </w:pPr>
            <w:r w:rsidRPr="004577D3">
              <w:rPr>
                <w:sz w:val="20"/>
                <w:szCs w:val="20"/>
              </w:rPr>
              <w:t>Целеполагание, требуемые показатели деятельности, вариативность</w:t>
            </w:r>
          </w:p>
        </w:tc>
      </w:tr>
      <w:tr w:rsidR="00946B13" w:rsidRPr="004577D3" w:rsidTr="00A53D60">
        <w:tc>
          <w:tcPr>
            <w:tcW w:w="0" w:type="auto"/>
          </w:tcPr>
          <w:p w:rsidR="00946B13" w:rsidRPr="004577D3" w:rsidRDefault="00946B13" w:rsidP="00946B13">
            <w:pPr>
              <w:ind w:firstLine="0"/>
              <w:rPr>
                <w:sz w:val="20"/>
                <w:szCs w:val="20"/>
              </w:rPr>
            </w:pPr>
            <w:r w:rsidRPr="004577D3">
              <w:rPr>
                <w:sz w:val="20"/>
                <w:szCs w:val="20"/>
              </w:rPr>
              <w:t xml:space="preserve">Организация </w:t>
            </w:r>
          </w:p>
        </w:tc>
        <w:tc>
          <w:tcPr>
            <w:tcW w:w="0" w:type="auto"/>
          </w:tcPr>
          <w:p w:rsidR="00946B13" w:rsidRPr="004577D3" w:rsidRDefault="00946B13" w:rsidP="00946B13">
            <w:pPr>
              <w:ind w:firstLine="0"/>
              <w:rPr>
                <w:sz w:val="20"/>
                <w:szCs w:val="20"/>
              </w:rPr>
            </w:pPr>
            <w:r w:rsidRPr="004577D3">
              <w:rPr>
                <w:sz w:val="20"/>
                <w:szCs w:val="20"/>
              </w:rPr>
              <w:t xml:space="preserve">Установление конкретных целей на локальные задачи и постановка задач сотрудникам, в том числе определение приоритетов среди </w:t>
            </w:r>
            <w:r w:rsidRPr="004577D3">
              <w:rPr>
                <w:sz w:val="20"/>
                <w:szCs w:val="20"/>
              </w:rPr>
              <w:lastRenderedPageBreak/>
              <w:t>всех их текущих задач.</w:t>
            </w:r>
          </w:p>
        </w:tc>
        <w:tc>
          <w:tcPr>
            <w:tcW w:w="0" w:type="auto"/>
          </w:tcPr>
          <w:p w:rsidR="00946B13" w:rsidRPr="004577D3" w:rsidRDefault="00946B13" w:rsidP="00946B13">
            <w:pPr>
              <w:ind w:firstLine="0"/>
              <w:rPr>
                <w:sz w:val="20"/>
                <w:szCs w:val="20"/>
              </w:rPr>
            </w:pPr>
            <w:r w:rsidRPr="004577D3">
              <w:rPr>
                <w:sz w:val="20"/>
                <w:szCs w:val="20"/>
              </w:rPr>
              <w:lastRenderedPageBreak/>
              <w:t xml:space="preserve">Структурирование промпта, включая предоставление контекста, определение роли ИИ (например, «действуйте как опытный юрист»), постановку </w:t>
            </w:r>
            <w:r w:rsidRPr="004577D3">
              <w:rPr>
                <w:sz w:val="20"/>
                <w:szCs w:val="20"/>
              </w:rPr>
              <w:lastRenderedPageBreak/>
              <w:t>задачи и указание формата ответа</w:t>
            </w:r>
          </w:p>
        </w:tc>
        <w:tc>
          <w:tcPr>
            <w:tcW w:w="0" w:type="auto"/>
          </w:tcPr>
          <w:p w:rsidR="00946B13" w:rsidRPr="004577D3" w:rsidRDefault="00946B13" w:rsidP="00946B13">
            <w:pPr>
              <w:ind w:firstLine="0"/>
              <w:rPr>
                <w:sz w:val="20"/>
                <w:szCs w:val="20"/>
              </w:rPr>
            </w:pPr>
            <w:r w:rsidRPr="004577D3">
              <w:rPr>
                <w:sz w:val="20"/>
                <w:szCs w:val="20"/>
              </w:rPr>
              <w:lastRenderedPageBreak/>
              <w:t>Приоретизация, ресурсное обеспечение, регламенты работы</w:t>
            </w:r>
          </w:p>
        </w:tc>
      </w:tr>
      <w:tr w:rsidR="00946B13" w:rsidRPr="004577D3" w:rsidTr="00A53D60">
        <w:tc>
          <w:tcPr>
            <w:tcW w:w="0" w:type="auto"/>
          </w:tcPr>
          <w:p w:rsidR="00946B13" w:rsidRPr="004577D3" w:rsidRDefault="00946B13" w:rsidP="00946B13">
            <w:pPr>
              <w:ind w:firstLine="0"/>
              <w:rPr>
                <w:sz w:val="20"/>
                <w:szCs w:val="20"/>
              </w:rPr>
            </w:pPr>
            <w:r w:rsidRPr="004577D3">
              <w:rPr>
                <w:sz w:val="20"/>
                <w:szCs w:val="20"/>
              </w:rPr>
              <w:lastRenderedPageBreak/>
              <w:t xml:space="preserve">Мотивация </w:t>
            </w:r>
          </w:p>
        </w:tc>
        <w:tc>
          <w:tcPr>
            <w:tcW w:w="0" w:type="auto"/>
          </w:tcPr>
          <w:p w:rsidR="00946B13" w:rsidRPr="004577D3" w:rsidRDefault="00946B13" w:rsidP="00946B13">
            <w:pPr>
              <w:ind w:firstLine="0"/>
              <w:rPr>
                <w:sz w:val="20"/>
                <w:szCs w:val="20"/>
              </w:rPr>
            </w:pPr>
            <w:r w:rsidRPr="004577D3">
              <w:rPr>
                <w:sz w:val="20"/>
                <w:szCs w:val="20"/>
              </w:rPr>
              <w:t>Поддержание у сотрудников желания достигнуть поставленных результатов</w:t>
            </w:r>
          </w:p>
        </w:tc>
        <w:tc>
          <w:tcPr>
            <w:tcW w:w="0" w:type="auto"/>
          </w:tcPr>
          <w:p w:rsidR="00946B13" w:rsidRPr="004577D3" w:rsidRDefault="00946B13" w:rsidP="00946B13">
            <w:pPr>
              <w:ind w:firstLine="0"/>
              <w:rPr>
                <w:sz w:val="20"/>
                <w:szCs w:val="20"/>
              </w:rPr>
            </w:pPr>
            <w:r w:rsidRPr="004577D3">
              <w:rPr>
                <w:sz w:val="20"/>
                <w:szCs w:val="20"/>
              </w:rPr>
              <w:t>Использование специальных техник, таких как пошаговые рассуждения (chain-of-thought) или примеры готовых ответов (few-shot prompting), чтобы направить модель к более точным результатам.</w:t>
            </w:r>
          </w:p>
        </w:tc>
        <w:tc>
          <w:tcPr>
            <w:tcW w:w="0" w:type="auto"/>
          </w:tcPr>
          <w:p w:rsidR="00946B13" w:rsidRPr="004577D3" w:rsidRDefault="00946B13" w:rsidP="00946B13">
            <w:pPr>
              <w:ind w:firstLine="0"/>
              <w:rPr>
                <w:sz w:val="20"/>
                <w:szCs w:val="20"/>
              </w:rPr>
            </w:pPr>
            <w:r w:rsidRPr="004577D3">
              <w:rPr>
                <w:sz w:val="20"/>
                <w:szCs w:val="20"/>
              </w:rPr>
              <w:t xml:space="preserve">Текущее сопровождение деятельности, поддержка в принятии решений, стимулирование результативности </w:t>
            </w:r>
          </w:p>
        </w:tc>
      </w:tr>
      <w:tr w:rsidR="00946B13" w:rsidRPr="004577D3" w:rsidTr="00A53D60">
        <w:tc>
          <w:tcPr>
            <w:tcW w:w="0" w:type="auto"/>
          </w:tcPr>
          <w:p w:rsidR="00946B13" w:rsidRPr="004577D3" w:rsidRDefault="00946B13" w:rsidP="00946B13">
            <w:pPr>
              <w:ind w:firstLine="0"/>
              <w:rPr>
                <w:sz w:val="20"/>
                <w:szCs w:val="20"/>
              </w:rPr>
            </w:pPr>
            <w:r w:rsidRPr="004577D3">
              <w:rPr>
                <w:sz w:val="20"/>
                <w:szCs w:val="20"/>
              </w:rPr>
              <w:t xml:space="preserve">Контроль </w:t>
            </w:r>
          </w:p>
        </w:tc>
        <w:tc>
          <w:tcPr>
            <w:tcW w:w="0" w:type="auto"/>
          </w:tcPr>
          <w:p w:rsidR="00946B13" w:rsidRPr="004577D3" w:rsidRDefault="00946B13" w:rsidP="00946B13">
            <w:pPr>
              <w:ind w:firstLine="0"/>
              <w:rPr>
                <w:sz w:val="20"/>
                <w:szCs w:val="20"/>
              </w:rPr>
            </w:pPr>
            <w:r w:rsidRPr="004577D3">
              <w:rPr>
                <w:sz w:val="20"/>
                <w:szCs w:val="20"/>
              </w:rPr>
              <w:t>Проверка соответствия промежуточного результата составленному плану работы</w:t>
            </w:r>
          </w:p>
        </w:tc>
        <w:tc>
          <w:tcPr>
            <w:tcW w:w="0" w:type="auto"/>
          </w:tcPr>
          <w:p w:rsidR="00946B13" w:rsidRPr="004577D3" w:rsidRDefault="00946B13" w:rsidP="00946B13">
            <w:pPr>
              <w:ind w:firstLine="0"/>
              <w:rPr>
                <w:sz w:val="20"/>
                <w:szCs w:val="20"/>
              </w:rPr>
            </w:pPr>
            <w:r w:rsidRPr="004577D3">
              <w:rPr>
                <w:sz w:val="20"/>
                <w:szCs w:val="20"/>
              </w:rPr>
              <w:t>Проверка ответа на точность, релевантность и полноту с последующей корректировкой промпта</w:t>
            </w:r>
          </w:p>
        </w:tc>
        <w:tc>
          <w:tcPr>
            <w:tcW w:w="0" w:type="auto"/>
          </w:tcPr>
          <w:p w:rsidR="00946B13" w:rsidRPr="004577D3" w:rsidRDefault="00946B13" w:rsidP="00946B13">
            <w:pPr>
              <w:ind w:firstLine="0"/>
              <w:rPr>
                <w:sz w:val="20"/>
                <w:szCs w:val="20"/>
              </w:rPr>
            </w:pPr>
            <w:r w:rsidRPr="004577D3">
              <w:rPr>
                <w:sz w:val="20"/>
                <w:szCs w:val="20"/>
              </w:rPr>
              <w:t>Обратная связь, анализ итогов, корректировка изначальных плановых заданий.</w:t>
            </w:r>
          </w:p>
        </w:tc>
      </w:tr>
    </w:tbl>
    <w:p w:rsidR="00D42F8D" w:rsidRDefault="00D42F8D" w:rsidP="00390EEA">
      <w:pPr>
        <w:pStyle w:val="afe"/>
        <w:ind w:firstLine="0"/>
        <w:jc w:val="center"/>
        <w:rPr>
          <w:b/>
          <w:color w:val="auto"/>
        </w:rPr>
      </w:pPr>
    </w:p>
    <w:p w:rsidR="00946B13" w:rsidRDefault="00946B13" w:rsidP="00946B13">
      <w:pPr>
        <w:ind w:firstLine="284"/>
        <w:rPr>
          <w:szCs w:val="24"/>
        </w:rPr>
        <w:sectPr w:rsidR="00946B13" w:rsidSect="00E61989">
          <w:footnotePr>
            <w:numRestart w:val="eachPage"/>
          </w:footnotePr>
          <w:type w:val="continuous"/>
          <w:pgSz w:w="11907" w:h="16840" w:code="9"/>
          <w:pgMar w:top="1418" w:right="1134" w:bottom="1418" w:left="1134" w:header="1021" w:footer="1021" w:gutter="0"/>
          <w:cols w:space="708"/>
          <w:docGrid w:linePitch="360"/>
        </w:sectPr>
      </w:pPr>
    </w:p>
    <w:p w:rsidR="00946B13" w:rsidRDefault="00946B13" w:rsidP="00946B13">
      <w:pPr>
        <w:ind w:firstLine="284"/>
        <w:rPr>
          <w:szCs w:val="24"/>
        </w:rPr>
      </w:pPr>
      <w:r w:rsidRPr="00373F76">
        <w:rPr>
          <w:szCs w:val="24"/>
        </w:rPr>
        <w:lastRenderedPageBreak/>
        <w:t xml:space="preserve">Вышеприведенная в таблице </w:t>
      </w:r>
      <w:r>
        <w:rPr>
          <w:szCs w:val="24"/>
        </w:rPr>
        <w:t>3</w:t>
      </w:r>
      <w:r w:rsidRPr="00373F76">
        <w:rPr>
          <w:szCs w:val="24"/>
        </w:rPr>
        <w:t xml:space="preserve"> аргументация подтверждает, что промпт-инжиниринг в настоящее время представляет собой не просто интересный технический навык, но рассматривается как полноценная управленческая дисциплина, переносящая принципы классического менеджмента, разработанные еще сто лет назад, в современную цифровую эпоху. Это основа постоянной деятельности руководителя, воспроизводимой неограниченное количество раз, позволяющий сформировать и поддерживать эффективную рабочую среду: сотрудник всегда знает, к каким результатам должна привести его деятельность, по каким параметрам будет оцениваться надлежащее усердие, и на какое вознаграждение можно рассчитывать. </w:t>
      </w:r>
    </w:p>
    <w:p w:rsidR="00946B13" w:rsidRDefault="00946B13" w:rsidP="00946B13">
      <w:pPr>
        <w:ind w:firstLine="284"/>
        <w:rPr>
          <w:szCs w:val="24"/>
        </w:rPr>
      </w:pPr>
      <w:r w:rsidRPr="00373F76">
        <w:rPr>
          <w:szCs w:val="24"/>
        </w:rPr>
        <w:t>То же принципиально относится к человеко-машинному взаимодействию в режиме промпт-инжиниринга, особенно при постановке задачи, сопровождения исполнения и контроля полученных результатов. При этом оказывается справедливой для обеих рассматриваемых ситуаций востребованность таких</w:t>
      </w:r>
      <w:r w:rsidRPr="00373F76">
        <w:rPr>
          <w:rStyle w:val="aff6"/>
        </w:rPr>
        <w:t xml:space="preserve"> </w:t>
      </w:r>
      <w:r w:rsidRPr="004577D3">
        <w:rPr>
          <w:rStyle w:val="aff6"/>
          <w:b w:val="0"/>
        </w:rPr>
        <w:t>принципов управленческой деятельности, как специализация, разделение труда, кооперация, ответственность и полномочия, дисциплина, единство управления и распорядительства, порядок и т.п.</w:t>
      </w:r>
      <w:r w:rsidRPr="00373F76">
        <w:rPr>
          <w:rStyle w:val="aff6"/>
        </w:rPr>
        <w:t xml:space="preserve"> </w:t>
      </w:r>
      <w:r w:rsidRPr="00373F76">
        <w:rPr>
          <w:szCs w:val="24"/>
        </w:rPr>
        <w:t xml:space="preserve">В случае с человеко-машинным взаимодействием нельзя рассматривать указанные принципы как догму, но их применение должно быть гибким и учитывать </w:t>
      </w:r>
      <w:r w:rsidRPr="00373F76">
        <w:rPr>
          <w:szCs w:val="24"/>
        </w:rPr>
        <w:lastRenderedPageBreak/>
        <w:t xml:space="preserve">конкретные условия совместной работы в режиме промт-инжиниринга. </w:t>
      </w:r>
    </w:p>
    <w:p w:rsidR="00946B13" w:rsidRPr="00373F76" w:rsidRDefault="00946B13" w:rsidP="00946B13">
      <w:pPr>
        <w:ind w:firstLine="284"/>
        <w:rPr>
          <w:szCs w:val="24"/>
        </w:rPr>
      </w:pPr>
    </w:p>
    <w:p w:rsidR="00946B13" w:rsidRDefault="00946B13" w:rsidP="00946B13">
      <w:pPr>
        <w:ind w:firstLine="284"/>
        <w:rPr>
          <w:b/>
          <w:szCs w:val="24"/>
        </w:rPr>
      </w:pPr>
      <w:r w:rsidRPr="00373F76">
        <w:rPr>
          <w:b/>
          <w:szCs w:val="24"/>
        </w:rPr>
        <w:t>Заключение (Выводы</w:t>
      </w:r>
      <w:r>
        <w:rPr>
          <w:b/>
          <w:szCs w:val="24"/>
        </w:rPr>
        <w:t>)</w:t>
      </w:r>
    </w:p>
    <w:p w:rsidR="00946B13" w:rsidRPr="00373F76" w:rsidRDefault="00946B13" w:rsidP="00946B13">
      <w:pPr>
        <w:ind w:firstLine="284"/>
        <w:rPr>
          <w:szCs w:val="24"/>
        </w:rPr>
      </w:pPr>
      <w:r>
        <w:rPr>
          <w:szCs w:val="24"/>
        </w:rPr>
        <w:t xml:space="preserve">В деловой и общественной практике </w:t>
      </w:r>
      <w:r w:rsidRPr="00373F76">
        <w:rPr>
          <w:szCs w:val="24"/>
        </w:rPr>
        <w:t xml:space="preserve">наблюдается беспрецедентный рост развития технологий в области </w:t>
      </w:r>
      <w:r>
        <w:rPr>
          <w:szCs w:val="24"/>
        </w:rPr>
        <w:t xml:space="preserve">применения </w:t>
      </w:r>
      <w:r w:rsidRPr="00373F76">
        <w:rPr>
          <w:szCs w:val="24"/>
        </w:rPr>
        <w:t xml:space="preserve">продвинутого искусственного интеллекта, его прикладных задач в виде промпт-инжиниринга. Находясь на стадии зарождения и развития, данная технология может </w:t>
      </w:r>
      <w:r>
        <w:rPr>
          <w:szCs w:val="24"/>
        </w:rPr>
        <w:t xml:space="preserve">управляться и </w:t>
      </w:r>
      <w:r w:rsidRPr="00373F76">
        <w:rPr>
          <w:szCs w:val="24"/>
        </w:rPr>
        <w:t xml:space="preserve">совершенствоваться на принципах классического менеджмента, так как ИИ </w:t>
      </w:r>
      <w:r>
        <w:rPr>
          <w:szCs w:val="24"/>
        </w:rPr>
        <w:t xml:space="preserve">в случае плохой постановки задач и ненадлежащей мотивации </w:t>
      </w:r>
      <w:r w:rsidRPr="00373F76">
        <w:rPr>
          <w:szCs w:val="24"/>
        </w:rPr>
        <w:t xml:space="preserve">к выдаче может предложить некачественный или даже вредоносный контент, поэтому востребована контрольная функция пользователем. </w:t>
      </w:r>
      <w:r>
        <w:rPr>
          <w:szCs w:val="24"/>
        </w:rPr>
        <w:t>Важно и то</w:t>
      </w:r>
      <w:r w:rsidRPr="00373F76">
        <w:rPr>
          <w:szCs w:val="24"/>
        </w:rPr>
        <w:t xml:space="preserve"> </w:t>
      </w:r>
      <w:r>
        <w:rPr>
          <w:szCs w:val="24"/>
        </w:rPr>
        <w:t xml:space="preserve">обстоятельство </w:t>
      </w:r>
      <w:r w:rsidRPr="00373F76">
        <w:rPr>
          <w:szCs w:val="24"/>
        </w:rPr>
        <w:t>в случае с феноменом человеко-машинного взаимодействия</w:t>
      </w:r>
      <w:r>
        <w:rPr>
          <w:szCs w:val="24"/>
        </w:rPr>
        <w:t>, что</w:t>
      </w:r>
      <w:r w:rsidRPr="00373F76">
        <w:rPr>
          <w:szCs w:val="24"/>
        </w:rPr>
        <w:t xml:space="preserve"> стало возможным успешно применять общие принципы управления организацией, но их применение должно быть гибким и учитывать конкретные условия совместной работы в режиме промпт-инжиниринга. Проведенные исследования показали значимость влияния управляемого взаимодействия с ИИ на результативность работы </w:t>
      </w:r>
      <w:r>
        <w:rPr>
          <w:szCs w:val="24"/>
        </w:rPr>
        <w:t>организаций</w:t>
      </w:r>
      <w:r w:rsidRPr="00373F76">
        <w:rPr>
          <w:szCs w:val="24"/>
        </w:rPr>
        <w:t>, выработк</w:t>
      </w:r>
      <w:r>
        <w:rPr>
          <w:szCs w:val="24"/>
        </w:rPr>
        <w:t>и</w:t>
      </w:r>
      <w:r w:rsidRPr="00373F76">
        <w:rPr>
          <w:szCs w:val="24"/>
        </w:rPr>
        <w:t xml:space="preserve"> </w:t>
      </w:r>
      <w:r>
        <w:rPr>
          <w:szCs w:val="24"/>
        </w:rPr>
        <w:t xml:space="preserve">управленческих </w:t>
      </w:r>
      <w:r w:rsidRPr="00373F76">
        <w:rPr>
          <w:szCs w:val="24"/>
        </w:rPr>
        <w:t>решений</w:t>
      </w:r>
      <w:r w:rsidRPr="00E97A34">
        <w:rPr>
          <w:szCs w:val="24"/>
        </w:rPr>
        <w:t xml:space="preserve"> </w:t>
      </w:r>
      <w:r>
        <w:rPr>
          <w:szCs w:val="24"/>
        </w:rPr>
        <w:t xml:space="preserve">в </w:t>
      </w:r>
      <w:r w:rsidRPr="00373F76">
        <w:rPr>
          <w:szCs w:val="24"/>
        </w:rPr>
        <w:t xml:space="preserve">режиме промпт-инжиниринга, </w:t>
      </w:r>
      <w:r>
        <w:rPr>
          <w:szCs w:val="24"/>
        </w:rPr>
        <w:t>обеспечивающих</w:t>
      </w:r>
      <w:r w:rsidRPr="00373F76">
        <w:rPr>
          <w:szCs w:val="24"/>
        </w:rPr>
        <w:t xml:space="preserve"> эффективност</w:t>
      </w:r>
      <w:r>
        <w:rPr>
          <w:szCs w:val="24"/>
        </w:rPr>
        <w:t>ь</w:t>
      </w:r>
      <w:r w:rsidRPr="00373F76">
        <w:rPr>
          <w:szCs w:val="24"/>
        </w:rPr>
        <w:t xml:space="preserve"> бизнес-процессов под непосредственным </w:t>
      </w:r>
      <w:r>
        <w:rPr>
          <w:szCs w:val="24"/>
        </w:rPr>
        <w:t xml:space="preserve">планированием, организацией и </w:t>
      </w:r>
      <w:r w:rsidRPr="00373F76">
        <w:rPr>
          <w:szCs w:val="24"/>
        </w:rPr>
        <w:t>контролем специалиста.</w:t>
      </w:r>
    </w:p>
    <w:p w:rsidR="00946B13" w:rsidRDefault="00946B13" w:rsidP="00390EEA">
      <w:pPr>
        <w:pStyle w:val="afe"/>
        <w:ind w:firstLine="0"/>
        <w:jc w:val="center"/>
        <w:rPr>
          <w:b/>
          <w:color w:val="auto"/>
        </w:rPr>
        <w:sectPr w:rsidR="00946B13" w:rsidSect="00946B13">
          <w:footnotePr>
            <w:numRestart w:val="eachPage"/>
          </w:footnotePr>
          <w:type w:val="continuous"/>
          <w:pgSz w:w="11907" w:h="16840" w:code="9"/>
          <w:pgMar w:top="1418" w:right="1134" w:bottom="1418" w:left="1134" w:header="1021" w:footer="1021" w:gutter="0"/>
          <w:cols w:num="2" w:space="708"/>
          <w:docGrid w:linePitch="360"/>
        </w:sectPr>
      </w:pPr>
    </w:p>
    <w:p w:rsidR="00300205" w:rsidRDefault="00300205" w:rsidP="004577D3">
      <w:pPr>
        <w:ind w:firstLine="284"/>
        <w:jc w:val="center"/>
        <w:rPr>
          <w:b/>
          <w:szCs w:val="24"/>
        </w:rPr>
      </w:pPr>
    </w:p>
    <w:p w:rsidR="00300205" w:rsidRDefault="00300205" w:rsidP="004577D3">
      <w:pPr>
        <w:ind w:firstLine="284"/>
        <w:jc w:val="center"/>
        <w:rPr>
          <w:b/>
          <w:szCs w:val="24"/>
        </w:rPr>
      </w:pPr>
    </w:p>
    <w:p w:rsidR="00300205" w:rsidRDefault="00300205" w:rsidP="004577D3">
      <w:pPr>
        <w:ind w:firstLine="284"/>
        <w:jc w:val="center"/>
        <w:rPr>
          <w:b/>
          <w:szCs w:val="24"/>
        </w:rPr>
      </w:pPr>
    </w:p>
    <w:p w:rsidR="00946B13" w:rsidRPr="004577D3" w:rsidRDefault="004577D3" w:rsidP="004577D3">
      <w:pPr>
        <w:ind w:firstLine="284"/>
        <w:jc w:val="center"/>
        <w:rPr>
          <w:b/>
          <w:szCs w:val="24"/>
        </w:rPr>
      </w:pPr>
      <w:r w:rsidRPr="004577D3">
        <w:rPr>
          <w:b/>
          <w:szCs w:val="24"/>
        </w:rPr>
        <w:lastRenderedPageBreak/>
        <w:t>ЛИТЕРАТУРА</w:t>
      </w:r>
    </w:p>
    <w:p w:rsidR="00946B13" w:rsidRPr="00946B13" w:rsidRDefault="00946B13" w:rsidP="005A0605">
      <w:pPr>
        <w:numPr>
          <w:ilvl w:val="0"/>
          <w:numId w:val="14"/>
        </w:numPr>
        <w:spacing w:after="160"/>
        <w:ind w:left="0" w:firstLine="284"/>
        <w:contextualSpacing/>
        <w:rPr>
          <w:i/>
          <w:szCs w:val="24"/>
        </w:rPr>
      </w:pPr>
      <w:r w:rsidRPr="00946B13">
        <w:rPr>
          <w:i/>
          <w:szCs w:val="24"/>
        </w:rPr>
        <w:t>Трегубов В.Н. Перспективные направления исследований использования генеративного искусственного интеллекта в маркетинге // International Journal of Open Information Technologies. 2024. №5. (дата обращения: 03.09.2025).</w:t>
      </w:r>
    </w:p>
    <w:p w:rsidR="00946B13" w:rsidRPr="00946B13" w:rsidRDefault="00946B13" w:rsidP="005A0605">
      <w:pPr>
        <w:numPr>
          <w:ilvl w:val="0"/>
          <w:numId w:val="14"/>
        </w:numPr>
        <w:spacing w:after="160"/>
        <w:ind w:left="0" w:firstLine="284"/>
        <w:contextualSpacing/>
        <w:rPr>
          <w:i/>
          <w:szCs w:val="24"/>
        </w:rPr>
      </w:pPr>
      <w:r w:rsidRPr="00946B13">
        <w:rPr>
          <w:i/>
          <w:szCs w:val="24"/>
        </w:rPr>
        <w:t xml:space="preserve">Солдаткина Я.В., Чернавский А. С. Генеративные языковые модели как актуальный феномен медиакультуры в начале </w:t>
      </w:r>
      <w:r w:rsidR="00BC18EC" w:rsidRPr="00946B13">
        <w:rPr>
          <w:i/>
          <w:szCs w:val="24"/>
        </w:rPr>
        <w:t>XXI</w:t>
      </w:r>
      <w:r w:rsidRPr="00946B13">
        <w:rPr>
          <w:i/>
          <w:szCs w:val="24"/>
        </w:rPr>
        <w:t xml:space="preserve"> века // Наука и школа. 2023. №4. (дата обращения: 03.09.2025).</w:t>
      </w:r>
    </w:p>
    <w:p w:rsidR="00946B13" w:rsidRPr="00946B13" w:rsidRDefault="00946B13" w:rsidP="005A0605">
      <w:pPr>
        <w:numPr>
          <w:ilvl w:val="0"/>
          <w:numId w:val="14"/>
        </w:numPr>
        <w:spacing w:after="160"/>
        <w:ind w:left="0" w:firstLine="284"/>
        <w:contextualSpacing/>
        <w:rPr>
          <w:i/>
          <w:szCs w:val="24"/>
        </w:rPr>
      </w:pPr>
      <w:r w:rsidRPr="00946B13">
        <w:rPr>
          <w:i/>
          <w:szCs w:val="24"/>
        </w:rPr>
        <w:t>Паскова А.А. Практические аспекты применения ChatGPT в высшем образовании // Вестник Майкопского государственного технологического университета. 2023. №3. (дата обращения: 03.09.2025).</w:t>
      </w:r>
    </w:p>
    <w:p w:rsidR="00946B13" w:rsidRPr="00946B13" w:rsidRDefault="00946B13" w:rsidP="005A0605">
      <w:pPr>
        <w:numPr>
          <w:ilvl w:val="0"/>
          <w:numId w:val="14"/>
        </w:numPr>
        <w:spacing w:after="160"/>
        <w:ind w:left="0" w:firstLine="284"/>
        <w:contextualSpacing/>
        <w:rPr>
          <w:i/>
          <w:szCs w:val="24"/>
        </w:rPr>
      </w:pPr>
      <w:r w:rsidRPr="00946B13">
        <w:rPr>
          <w:i/>
          <w:szCs w:val="24"/>
        </w:rPr>
        <w:t>Зырянова И.Н., Чернавский А.С., Трубачев С.О. Prompt injection – проблема лингвистических уязвимостей больших языковых моделей на современном этапе // Научный результат. Вопросы теоретической и прикладной лингвистики. 2024. №4. (дата обращения: 03.09.2025).</w:t>
      </w:r>
    </w:p>
    <w:p w:rsidR="00946B13" w:rsidRPr="00946B13" w:rsidRDefault="00946B13" w:rsidP="005A0605">
      <w:pPr>
        <w:numPr>
          <w:ilvl w:val="0"/>
          <w:numId w:val="14"/>
        </w:numPr>
        <w:spacing w:after="160"/>
        <w:ind w:left="0" w:firstLine="284"/>
        <w:contextualSpacing/>
        <w:rPr>
          <w:i/>
          <w:szCs w:val="24"/>
        </w:rPr>
      </w:pPr>
      <w:r w:rsidRPr="00946B13">
        <w:rPr>
          <w:i/>
          <w:szCs w:val="24"/>
        </w:rPr>
        <w:t>Вольчик В.В. Идеология, цифровая экономика и промпт-знание // AlterEconomics. 2025. №1.   (дата обращения: 03.09.2025).</w:t>
      </w:r>
    </w:p>
    <w:p w:rsidR="00946B13" w:rsidRPr="00946B13" w:rsidRDefault="00946B13" w:rsidP="005A0605">
      <w:pPr>
        <w:numPr>
          <w:ilvl w:val="0"/>
          <w:numId w:val="14"/>
        </w:numPr>
        <w:spacing w:after="160"/>
        <w:ind w:left="0" w:firstLine="284"/>
        <w:contextualSpacing/>
        <w:rPr>
          <w:i/>
          <w:szCs w:val="24"/>
        </w:rPr>
      </w:pPr>
      <w:r w:rsidRPr="00946B13">
        <w:rPr>
          <w:i/>
          <w:szCs w:val="24"/>
        </w:rPr>
        <w:t>Шнайдер П.А., Чернышева А.В., Никифорова А. Д., Говоров А.И., Хлопотов М.В. Исследование эффективности промпт-инжиниринга и квантованных llm в создании структуры академических курсов // КИО. 2024. №1.   (дата обращения: 03.09.2025).</w:t>
      </w:r>
    </w:p>
    <w:p w:rsidR="00946B13" w:rsidRPr="00946B13" w:rsidRDefault="00946B13" w:rsidP="005A0605">
      <w:pPr>
        <w:numPr>
          <w:ilvl w:val="0"/>
          <w:numId w:val="14"/>
        </w:numPr>
        <w:spacing w:after="160"/>
        <w:ind w:left="0" w:firstLine="284"/>
        <w:contextualSpacing/>
        <w:rPr>
          <w:i/>
          <w:szCs w:val="24"/>
        </w:rPr>
      </w:pPr>
      <w:r w:rsidRPr="00946B13">
        <w:rPr>
          <w:i/>
          <w:szCs w:val="24"/>
        </w:rPr>
        <w:t>Заславский А.А. Создание профильных ассистентов педагога на основе чат-ботов с применением нейросетей // Образовательная политика. 2024. №4 (100). (дата обращения: 03.09.2025).</w:t>
      </w:r>
    </w:p>
    <w:p w:rsidR="00946B13" w:rsidRPr="00946B13" w:rsidRDefault="00946B13" w:rsidP="005A0605">
      <w:pPr>
        <w:numPr>
          <w:ilvl w:val="0"/>
          <w:numId w:val="14"/>
        </w:numPr>
        <w:ind w:left="0" w:firstLine="284"/>
        <w:contextualSpacing/>
        <w:rPr>
          <w:i/>
          <w:szCs w:val="24"/>
        </w:rPr>
      </w:pPr>
      <w:r w:rsidRPr="00946B13">
        <w:rPr>
          <w:i/>
          <w:szCs w:val="24"/>
        </w:rPr>
        <w:t>Воронина О.В. Цифровые технологии в дефектологическом образовании // Вестник СИБИТа. 2024. №3. (дата обращения: 03.09.2025).</w:t>
      </w:r>
    </w:p>
    <w:p w:rsidR="00946B13" w:rsidRPr="00946B13" w:rsidRDefault="00946B13" w:rsidP="005A0605">
      <w:pPr>
        <w:numPr>
          <w:ilvl w:val="0"/>
          <w:numId w:val="14"/>
        </w:numPr>
        <w:ind w:left="0" w:firstLine="284"/>
        <w:contextualSpacing/>
        <w:rPr>
          <w:i/>
          <w:szCs w:val="24"/>
        </w:rPr>
      </w:pPr>
      <w:r w:rsidRPr="00946B13">
        <w:rPr>
          <w:i/>
          <w:szCs w:val="24"/>
        </w:rPr>
        <w:t>Воронин А.Н., Палёнова В.В. Будущее психологии: эффективное взаимодействие с ChatGPT возможно? // Вестник РУДН. Серия: Психология и педагогика. 2024. №3. (дата обращения: 03.09.2025).</w:t>
      </w:r>
    </w:p>
    <w:p w:rsidR="00946B13" w:rsidRPr="00946B13" w:rsidRDefault="00946B13" w:rsidP="005A0605">
      <w:pPr>
        <w:numPr>
          <w:ilvl w:val="0"/>
          <w:numId w:val="14"/>
        </w:numPr>
        <w:ind w:left="0" w:firstLine="284"/>
        <w:contextualSpacing/>
        <w:rPr>
          <w:i/>
          <w:szCs w:val="24"/>
        </w:rPr>
      </w:pPr>
      <w:r w:rsidRPr="00946B13">
        <w:rPr>
          <w:i/>
          <w:szCs w:val="24"/>
        </w:rPr>
        <w:t>Батищев</w:t>
      </w:r>
      <w:r w:rsidR="004577D3" w:rsidRPr="004577D3">
        <w:rPr>
          <w:i/>
          <w:szCs w:val="24"/>
        </w:rPr>
        <w:t xml:space="preserve"> </w:t>
      </w:r>
      <w:r w:rsidR="004577D3" w:rsidRPr="00946B13">
        <w:rPr>
          <w:i/>
          <w:szCs w:val="24"/>
        </w:rPr>
        <w:t>А. В.</w:t>
      </w:r>
      <w:r w:rsidRPr="00946B13">
        <w:rPr>
          <w:i/>
          <w:szCs w:val="24"/>
        </w:rPr>
        <w:t xml:space="preserve">, Горчаков </w:t>
      </w:r>
      <w:r w:rsidR="004577D3" w:rsidRPr="00946B13">
        <w:rPr>
          <w:i/>
          <w:szCs w:val="24"/>
        </w:rPr>
        <w:t xml:space="preserve">И. В. </w:t>
      </w:r>
      <w:r w:rsidRPr="00946B13">
        <w:rPr>
          <w:i/>
          <w:szCs w:val="24"/>
        </w:rPr>
        <w:t xml:space="preserve">Автоматизация процесса оценки и развития персонала строительной организации с помощью искусственного интеллекта // Вестник </w:t>
      </w:r>
      <w:r w:rsidR="004577D3">
        <w:rPr>
          <w:i/>
          <w:szCs w:val="24"/>
        </w:rPr>
        <w:t>Академии знаний. 2024. №5 (64).</w:t>
      </w:r>
      <w:r w:rsidR="004577D3">
        <w:rPr>
          <w:i/>
          <w:szCs w:val="24"/>
          <w:lang w:val="en-US"/>
        </w:rPr>
        <w:t xml:space="preserve"> </w:t>
      </w:r>
      <w:r w:rsidRPr="00946B13">
        <w:rPr>
          <w:i/>
          <w:szCs w:val="24"/>
        </w:rPr>
        <w:t>(дата обращения: 03.09.2025).</w:t>
      </w:r>
    </w:p>
    <w:p w:rsidR="00946B13" w:rsidRPr="00946B13" w:rsidRDefault="00946B13" w:rsidP="005A0605">
      <w:pPr>
        <w:numPr>
          <w:ilvl w:val="0"/>
          <w:numId w:val="14"/>
        </w:numPr>
        <w:ind w:left="0" w:firstLine="284"/>
        <w:contextualSpacing/>
        <w:rPr>
          <w:i/>
          <w:szCs w:val="24"/>
        </w:rPr>
      </w:pPr>
      <w:r w:rsidRPr="00946B13">
        <w:rPr>
          <w:i/>
          <w:szCs w:val="24"/>
        </w:rPr>
        <w:t>Балашова Н. В., Дементьева А. А. Цифровизация в управлении персоналом: практический аспект // УПИРР. 2024. №</w:t>
      </w:r>
      <w:r w:rsidR="004577D3">
        <w:rPr>
          <w:i/>
          <w:szCs w:val="24"/>
          <w:lang w:val="en-US"/>
        </w:rPr>
        <w:t xml:space="preserve"> </w:t>
      </w:r>
      <w:r w:rsidRPr="00946B13">
        <w:rPr>
          <w:i/>
          <w:szCs w:val="24"/>
        </w:rPr>
        <w:t>6. (дата обращения: 03.09.2025).</w:t>
      </w:r>
    </w:p>
    <w:p w:rsidR="00946B13" w:rsidRPr="00946B13" w:rsidRDefault="00946B13" w:rsidP="005A0605">
      <w:pPr>
        <w:numPr>
          <w:ilvl w:val="0"/>
          <w:numId w:val="14"/>
        </w:numPr>
        <w:ind w:left="0" w:firstLine="284"/>
        <w:contextualSpacing/>
        <w:rPr>
          <w:i/>
          <w:szCs w:val="24"/>
        </w:rPr>
      </w:pPr>
      <w:r w:rsidRPr="00946B13">
        <w:rPr>
          <w:i/>
          <w:szCs w:val="24"/>
        </w:rPr>
        <w:t>Сураева М.О. Влияние инноваций на систему управления бизнесом: парадигма искусственного интеллекта и цифрового личного ассистирования // ЕГИ. 2024. №</w:t>
      </w:r>
      <w:r w:rsidR="003E3A6F">
        <w:rPr>
          <w:i/>
          <w:szCs w:val="24"/>
        </w:rPr>
        <w:t xml:space="preserve"> </w:t>
      </w:r>
      <w:r w:rsidRPr="00946B13">
        <w:rPr>
          <w:i/>
          <w:szCs w:val="24"/>
        </w:rPr>
        <w:t>3 (53). (дата обращения: 03.09.2025).</w:t>
      </w:r>
    </w:p>
    <w:p w:rsidR="00946B13" w:rsidRPr="00946B13" w:rsidRDefault="00946B13" w:rsidP="005A0605">
      <w:pPr>
        <w:numPr>
          <w:ilvl w:val="0"/>
          <w:numId w:val="14"/>
        </w:numPr>
        <w:ind w:left="0" w:firstLine="284"/>
        <w:rPr>
          <w:i/>
          <w:szCs w:val="24"/>
        </w:rPr>
      </w:pPr>
      <w:r w:rsidRPr="00946B13">
        <w:rPr>
          <w:i/>
          <w:szCs w:val="24"/>
          <w:lang w:val="en-US"/>
        </w:rPr>
        <w:t>DeepSeek</w:t>
      </w:r>
      <w:r w:rsidRPr="00946B13">
        <w:rPr>
          <w:i/>
          <w:szCs w:val="24"/>
        </w:rPr>
        <w:t xml:space="preserve"> </w:t>
      </w:r>
      <w:r w:rsidRPr="00946B13">
        <w:rPr>
          <w:i/>
          <w:szCs w:val="24"/>
          <w:lang w:val="en-US"/>
        </w:rPr>
        <w:t>V</w:t>
      </w:r>
      <w:r w:rsidRPr="00946B13">
        <w:rPr>
          <w:i/>
          <w:szCs w:val="24"/>
        </w:rPr>
        <w:t xml:space="preserve">3.2. Электронный ресурс. Доступно по </w:t>
      </w:r>
      <w:hyperlink r:id="rId54" w:history="1">
        <w:r w:rsidRPr="00946B13">
          <w:rPr>
            <w:i/>
            <w:color w:val="006697"/>
            <w:szCs w:val="24"/>
            <w:lang w:val="en-US"/>
          </w:rPr>
          <w:t>https</w:t>
        </w:r>
        <w:r w:rsidRPr="00946B13">
          <w:rPr>
            <w:i/>
            <w:color w:val="006697"/>
            <w:szCs w:val="24"/>
          </w:rPr>
          <w:t>://</w:t>
        </w:r>
        <w:r w:rsidRPr="00946B13">
          <w:rPr>
            <w:i/>
            <w:color w:val="006697"/>
            <w:szCs w:val="24"/>
            <w:lang w:val="en-US"/>
          </w:rPr>
          <w:t>chat</w:t>
        </w:r>
        <w:r w:rsidRPr="00946B13">
          <w:rPr>
            <w:i/>
            <w:color w:val="006697"/>
            <w:szCs w:val="24"/>
          </w:rPr>
          <w:t>.</w:t>
        </w:r>
        <w:r w:rsidRPr="00946B13">
          <w:rPr>
            <w:i/>
            <w:color w:val="006697"/>
            <w:szCs w:val="24"/>
            <w:lang w:val="en-US"/>
          </w:rPr>
          <w:t>deepseek</w:t>
        </w:r>
        <w:r w:rsidRPr="00946B13">
          <w:rPr>
            <w:i/>
            <w:color w:val="006697"/>
            <w:szCs w:val="24"/>
          </w:rPr>
          <w:t>.</w:t>
        </w:r>
        <w:r w:rsidRPr="00946B13">
          <w:rPr>
            <w:i/>
            <w:color w:val="006697"/>
            <w:szCs w:val="24"/>
            <w:lang w:val="en-US"/>
          </w:rPr>
          <w:t>com</w:t>
        </w:r>
      </w:hyperlink>
      <w:r w:rsidRPr="00946B13">
        <w:rPr>
          <w:i/>
          <w:szCs w:val="24"/>
        </w:rPr>
        <w:t>. (дата обращения 24.12.2025).</w:t>
      </w:r>
    </w:p>
    <w:p w:rsidR="00946B13" w:rsidRPr="00946B13" w:rsidRDefault="00946B13" w:rsidP="005A0605">
      <w:pPr>
        <w:numPr>
          <w:ilvl w:val="0"/>
          <w:numId w:val="14"/>
        </w:numPr>
        <w:ind w:left="0" w:firstLine="284"/>
        <w:contextualSpacing/>
        <w:rPr>
          <w:i/>
          <w:szCs w:val="24"/>
        </w:rPr>
      </w:pPr>
      <w:r w:rsidRPr="00946B13">
        <w:rPr>
          <w:i/>
          <w:szCs w:val="24"/>
          <w:lang w:val="en-US"/>
        </w:rPr>
        <w:t xml:space="preserve">Samir Lemeš. Prompt Engineering. Conference: ARTIFICIAL INTELLIGENCE IN INDUSTRY 4.0: The future that comes trueAt: Sarajevo. </w:t>
      </w:r>
      <w:r w:rsidRPr="00946B13">
        <w:rPr>
          <w:i/>
          <w:szCs w:val="24"/>
        </w:rPr>
        <w:t>2024. DOI:10.5644/PI2024.215.08</w:t>
      </w:r>
    </w:p>
    <w:p w:rsidR="00946B13" w:rsidRPr="00946B13" w:rsidRDefault="00946B13" w:rsidP="005A0605">
      <w:pPr>
        <w:numPr>
          <w:ilvl w:val="0"/>
          <w:numId w:val="14"/>
        </w:numPr>
        <w:ind w:left="0" w:firstLine="284"/>
        <w:contextualSpacing/>
        <w:rPr>
          <w:i/>
          <w:szCs w:val="24"/>
        </w:rPr>
      </w:pPr>
      <w:r w:rsidRPr="00946B13">
        <w:rPr>
          <w:i/>
          <w:szCs w:val="24"/>
          <w:lang w:val="en-US"/>
        </w:rPr>
        <w:t xml:space="preserve">Chroma Technical Report. Context Rot: How Increasing Input Tokens Impacts LLM Performance. </w:t>
      </w:r>
      <w:r w:rsidRPr="00946B13">
        <w:rPr>
          <w:i/>
          <w:szCs w:val="24"/>
        </w:rPr>
        <w:t>July 14, 2025. Доступно по https://research.trychroma.com/context-rot. (дата обращения 24.12.2025)</w:t>
      </w:r>
    </w:p>
    <w:p w:rsidR="00946B13" w:rsidRPr="00946B13" w:rsidRDefault="00946B13" w:rsidP="005A0605">
      <w:pPr>
        <w:numPr>
          <w:ilvl w:val="0"/>
          <w:numId w:val="14"/>
        </w:numPr>
        <w:ind w:left="0" w:firstLine="284"/>
        <w:rPr>
          <w:i/>
          <w:szCs w:val="24"/>
          <w:lang w:val="en-US"/>
        </w:rPr>
      </w:pPr>
      <w:r w:rsidRPr="00946B13">
        <w:rPr>
          <w:i/>
          <w:iCs/>
          <w:szCs w:val="24"/>
          <w:shd w:val="clear" w:color="auto" w:fill="FFFFFF"/>
          <w:lang w:val="en-US"/>
        </w:rPr>
        <w:t>Fayol H</w:t>
      </w:r>
      <w:r w:rsidR="004577D3" w:rsidRPr="004577D3">
        <w:rPr>
          <w:i/>
          <w:iCs/>
          <w:szCs w:val="24"/>
          <w:shd w:val="clear" w:color="auto" w:fill="FFFFFF"/>
          <w:lang w:val="en-US"/>
        </w:rPr>
        <w:t>.</w:t>
      </w:r>
      <w:r w:rsidRPr="00946B13">
        <w:rPr>
          <w:i/>
          <w:szCs w:val="24"/>
          <w:shd w:val="clear" w:color="auto" w:fill="FFFFFF"/>
          <w:lang w:val="en-US"/>
        </w:rPr>
        <w:t> Administration industrielle et générale. Paris. Dunod et Pinat</w:t>
      </w:r>
      <w:r w:rsidR="004577D3" w:rsidRPr="00D74067">
        <w:rPr>
          <w:i/>
          <w:szCs w:val="24"/>
          <w:shd w:val="clear" w:color="auto" w:fill="FFFFFF"/>
          <w:lang w:val="en-US"/>
        </w:rPr>
        <w:t>,</w:t>
      </w:r>
      <w:r w:rsidRPr="00946B13">
        <w:rPr>
          <w:i/>
          <w:szCs w:val="24"/>
          <w:shd w:val="clear" w:color="auto" w:fill="FFFFFF"/>
          <w:lang w:val="en-US"/>
        </w:rPr>
        <w:t xml:space="preserve"> 1916.  174 p.</w:t>
      </w:r>
    </w:p>
    <w:p w:rsidR="005C6561" w:rsidRDefault="005C6561" w:rsidP="00946B13">
      <w:pPr>
        <w:ind w:firstLine="284"/>
        <w:jc w:val="center"/>
        <w:rPr>
          <w:szCs w:val="24"/>
          <w:lang w:val="en-US"/>
        </w:rPr>
      </w:pPr>
    </w:p>
    <w:p w:rsidR="00946B13" w:rsidRPr="005C6561" w:rsidRDefault="00946B13" w:rsidP="00946B13">
      <w:pPr>
        <w:ind w:firstLine="284"/>
        <w:jc w:val="center"/>
        <w:rPr>
          <w:b/>
          <w:szCs w:val="24"/>
          <w:lang w:val="en-US"/>
        </w:rPr>
      </w:pPr>
      <w:r w:rsidRPr="005C6561">
        <w:rPr>
          <w:b/>
          <w:szCs w:val="24"/>
          <w:lang w:val="en-US"/>
        </w:rPr>
        <w:t>REFERENCES</w:t>
      </w:r>
    </w:p>
    <w:p w:rsidR="00946B13" w:rsidRPr="00946B13" w:rsidRDefault="00946B13" w:rsidP="00946B13">
      <w:pPr>
        <w:ind w:firstLine="284"/>
        <w:rPr>
          <w:i/>
          <w:szCs w:val="24"/>
          <w:lang w:val="en-US"/>
        </w:rPr>
      </w:pPr>
      <w:r w:rsidRPr="00946B13">
        <w:rPr>
          <w:szCs w:val="24"/>
          <w:lang w:val="en-US"/>
        </w:rPr>
        <w:t xml:space="preserve">1. </w:t>
      </w:r>
      <w:r w:rsidRPr="00946B13">
        <w:rPr>
          <w:i/>
          <w:szCs w:val="24"/>
          <w:lang w:val="en-US"/>
        </w:rPr>
        <w:t xml:space="preserve">Tregubov V.N. </w:t>
      </w:r>
      <w:r w:rsidR="00F15DFB" w:rsidRPr="00F15DFB">
        <w:rPr>
          <w:i/>
          <w:szCs w:val="24"/>
          <w:lang w:val="en-US"/>
        </w:rPr>
        <w:t xml:space="preserve">Perspektivnye napravleniya issledovanij ispol'zovaniya generativnogo iskusstvennogo intellekta v marketinge </w:t>
      </w:r>
      <w:r w:rsidR="00F15DFB">
        <w:rPr>
          <w:i/>
          <w:szCs w:val="24"/>
          <w:lang w:val="en-US"/>
        </w:rPr>
        <w:t>[</w:t>
      </w:r>
      <w:r w:rsidRPr="00946B13">
        <w:rPr>
          <w:i/>
          <w:szCs w:val="24"/>
          <w:lang w:val="en-US"/>
        </w:rPr>
        <w:t>Promising Research Directions for the Use of Generative Artificial Intelligence in Marketing</w:t>
      </w:r>
      <w:r w:rsidR="00F15DFB">
        <w:rPr>
          <w:i/>
          <w:szCs w:val="24"/>
          <w:lang w:val="en-US"/>
        </w:rPr>
        <w:t>]</w:t>
      </w:r>
      <w:r w:rsidRPr="00946B13">
        <w:rPr>
          <w:i/>
          <w:szCs w:val="24"/>
          <w:lang w:val="en-US"/>
        </w:rPr>
        <w:t xml:space="preserve"> // International Journal of Open Information Technologies. 2024. No. 5. (accessed on 03.09.2025).</w:t>
      </w:r>
    </w:p>
    <w:p w:rsidR="00946B13" w:rsidRPr="00946B13" w:rsidRDefault="00946B13" w:rsidP="00946B13">
      <w:pPr>
        <w:ind w:firstLine="284"/>
        <w:rPr>
          <w:i/>
          <w:szCs w:val="24"/>
          <w:lang w:val="en-US"/>
        </w:rPr>
      </w:pPr>
      <w:r w:rsidRPr="00946B13">
        <w:rPr>
          <w:i/>
          <w:szCs w:val="24"/>
          <w:lang w:val="en-US"/>
        </w:rPr>
        <w:lastRenderedPageBreak/>
        <w:t xml:space="preserve">2. Soldatkina Ya.V., Chernavsky A.S. </w:t>
      </w:r>
      <w:r w:rsidR="00F15DFB" w:rsidRPr="00F15DFB">
        <w:rPr>
          <w:i/>
          <w:szCs w:val="24"/>
          <w:lang w:val="en-US"/>
        </w:rPr>
        <w:t xml:space="preserve">Generativnye yazykovye modeli kak aktual'nyj fenomen mediakul'tury v nachale </w:t>
      </w:r>
      <w:r w:rsidR="00F15DFB">
        <w:rPr>
          <w:i/>
          <w:szCs w:val="24"/>
          <w:lang w:val="en-US"/>
        </w:rPr>
        <w:t>21</w:t>
      </w:r>
      <w:r w:rsidR="00F15DFB" w:rsidRPr="00F15DFB">
        <w:rPr>
          <w:i/>
          <w:szCs w:val="24"/>
          <w:lang w:val="en-US"/>
        </w:rPr>
        <w:t xml:space="preserve"> veka </w:t>
      </w:r>
      <w:r w:rsidR="00F15DFB">
        <w:rPr>
          <w:i/>
          <w:szCs w:val="24"/>
          <w:lang w:val="en-US"/>
        </w:rPr>
        <w:t>[</w:t>
      </w:r>
      <w:r w:rsidRPr="00946B13">
        <w:rPr>
          <w:i/>
          <w:szCs w:val="24"/>
          <w:lang w:val="en-US"/>
        </w:rPr>
        <w:t>Generative Language Models as a Relevant Phenomenon of Media Culture at the Beginning of the 21st Century</w:t>
      </w:r>
      <w:r w:rsidR="00F15DFB">
        <w:rPr>
          <w:i/>
          <w:szCs w:val="24"/>
          <w:lang w:val="en-US"/>
        </w:rPr>
        <w:t>]</w:t>
      </w:r>
      <w:r w:rsidRPr="00946B13">
        <w:rPr>
          <w:i/>
          <w:szCs w:val="24"/>
          <w:lang w:val="en-US"/>
        </w:rPr>
        <w:t xml:space="preserve"> // </w:t>
      </w:r>
      <w:r w:rsidR="00F15DFB" w:rsidRPr="00F15DFB">
        <w:rPr>
          <w:i/>
          <w:szCs w:val="24"/>
          <w:lang w:val="en-US"/>
        </w:rPr>
        <w:t>Nauka i shkola</w:t>
      </w:r>
      <w:r w:rsidR="00F15DFB">
        <w:rPr>
          <w:i/>
          <w:szCs w:val="24"/>
          <w:lang w:val="en-US"/>
        </w:rPr>
        <w:t xml:space="preserve"> – </w:t>
      </w:r>
      <w:r w:rsidRPr="00946B13">
        <w:rPr>
          <w:i/>
          <w:szCs w:val="24"/>
          <w:lang w:val="en-US"/>
        </w:rPr>
        <w:t>Science and School. 2023. No. 4. (accessed on 03.09.2025).</w:t>
      </w:r>
    </w:p>
    <w:p w:rsidR="00946B13" w:rsidRPr="00946B13" w:rsidRDefault="00946B13" w:rsidP="00946B13">
      <w:pPr>
        <w:ind w:firstLine="284"/>
        <w:rPr>
          <w:i/>
          <w:szCs w:val="24"/>
          <w:lang w:val="en-US"/>
        </w:rPr>
      </w:pPr>
      <w:r w:rsidRPr="00946B13">
        <w:rPr>
          <w:i/>
          <w:szCs w:val="24"/>
          <w:lang w:val="en-US"/>
        </w:rPr>
        <w:t xml:space="preserve">3. Paskova A.A. </w:t>
      </w:r>
      <w:r w:rsidR="00F15DFB" w:rsidRPr="00F15DFB">
        <w:rPr>
          <w:i/>
          <w:szCs w:val="24"/>
          <w:lang w:val="en-US"/>
        </w:rPr>
        <w:t>Prakticheskie aspekty primeneniya ChatGPT v vysshem obrazovanii</w:t>
      </w:r>
      <w:r w:rsidR="00F15DFB">
        <w:rPr>
          <w:i/>
          <w:szCs w:val="24"/>
          <w:lang w:val="en-US"/>
        </w:rPr>
        <w:t xml:space="preserve"> [</w:t>
      </w:r>
      <w:r w:rsidRPr="00946B13">
        <w:rPr>
          <w:i/>
          <w:szCs w:val="24"/>
          <w:lang w:val="en-US"/>
        </w:rPr>
        <w:t>Practical Aspects of Using ChatGPT in Higher Education</w:t>
      </w:r>
      <w:r w:rsidR="00F15DFB">
        <w:rPr>
          <w:i/>
          <w:szCs w:val="24"/>
          <w:lang w:val="en-US"/>
        </w:rPr>
        <w:t>]</w:t>
      </w:r>
      <w:r w:rsidRPr="00946B13">
        <w:rPr>
          <w:i/>
          <w:szCs w:val="24"/>
          <w:lang w:val="en-US"/>
        </w:rPr>
        <w:t xml:space="preserve"> // </w:t>
      </w:r>
      <w:r w:rsidR="00F15DFB" w:rsidRPr="00F15DFB">
        <w:rPr>
          <w:i/>
          <w:szCs w:val="24"/>
          <w:lang w:val="en-US"/>
        </w:rPr>
        <w:t>Vestnik Majkopskogo gosudarstvennogo tekhnologicheskogo universiteta</w:t>
      </w:r>
      <w:r w:rsidR="00F15DFB">
        <w:rPr>
          <w:i/>
          <w:szCs w:val="24"/>
          <w:lang w:val="en-US"/>
        </w:rPr>
        <w:t xml:space="preserve"> – </w:t>
      </w:r>
      <w:r w:rsidRPr="00946B13">
        <w:rPr>
          <w:i/>
          <w:szCs w:val="24"/>
          <w:lang w:val="en-US"/>
        </w:rPr>
        <w:t>Bulletin of Maikop State Technological University. 2023. No. 3. (accessed on 03.09.2025).</w:t>
      </w:r>
    </w:p>
    <w:p w:rsidR="00946B13" w:rsidRPr="00946B13" w:rsidRDefault="00946B13" w:rsidP="00946B13">
      <w:pPr>
        <w:ind w:firstLine="284"/>
        <w:rPr>
          <w:i/>
          <w:szCs w:val="24"/>
          <w:lang w:val="en-US"/>
        </w:rPr>
      </w:pPr>
      <w:r w:rsidRPr="00946B13">
        <w:rPr>
          <w:i/>
          <w:szCs w:val="24"/>
          <w:lang w:val="en-US"/>
        </w:rPr>
        <w:t xml:space="preserve">4. Zyryanova I.N., Chernavsky A.S., Trubachev S.O. </w:t>
      </w:r>
      <w:r w:rsidR="00F15DFB" w:rsidRPr="00F15DFB">
        <w:rPr>
          <w:i/>
          <w:szCs w:val="24"/>
          <w:lang w:val="en-US"/>
        </w:rPr>
        <w:t>Prompt injection – problema lingvisticheskih uyazvimostej bol'shih yazykovyh modelej na sovremennom etape</w:t>
      </w:r>
      <w:r w:rsidR="00F15DFB">
        <w:rPr>
          <w:i/>
          <w:szCs w:val="24"/>
          <w:lang w:val="en-US"/>
        </w:rPr>
        <w:t xml:space="preserve"> [</w:t>
      </w:r>
      <w:r w:rsidRPr="00946B13">
        <w:rPr>
          <w:i/>
          <w:szCs w:val="24"/>
          <w:lang w:val="en-US"/>
        </w:rPr>
        <w:t>Prompt injection – the problem of linguistic vulnerabilities of large language models at the current stage</w:t>
      </w:r>
      <w:r w:rsidR="00F15DFB">
        <w:rPr>
          <w:i/>
          <w:szCs w:val="24"/>
          <w:lang w:val="en-US"/>
        </w:rPr>
        <w:t>]</w:t>
      </w:r>
      <w:r w:rsidRPr="00946B13">
        <w:rPr>
          <w:i/>
          <w:szCs w:val="24"/>
          <w:lang w:val="en-US"/>
        </w:rPr>
        <w:t xml:space="preserve"> // </w:t>
      </w:r>
      <w:r w:rsidR="00F15DFB" w:rsidRPr="00F15DFB">
        <w:rPr>
          <w:i/>
          <w:szCs w:val="24"/>
          <w:lang w:val="en-US"/>
        </w:rPr>
        <w:t>Nauchnyj rezul'tat. Voprosy teoreticheskoj i prikladnoj lingvistiki</w:t>
      </w:r>
      <w:r w:rsidR="00F15DFB">
        <w:rPr>
          <w:i/>
          <w:szCs w:val="24"/>
          <w:lang w:val="en-US"/>
        </w:rPr>
        <w:t xml:space="preserve"> – </w:t>
      </w:r>
      <w:r w:rsidRPr="00946B13">
        <w:rPr>
          <w:i/>
          <w:szCs w:val="24"/>
          <w:lang w:val="en-US"/>
        </w:rPr>
        <w:t>Scientific result. Issues of theoretical and applied linguistics. 2024. No. 4. (accessed on 03.09.2025).</w:t>
      </w:r>
    </w:p>
    <w:p w:rsidR="00946B13" w:rsidRPr="00946B13" w:rsidRDefault="00946B13" w:rsidP="00946B13">
      <w:pPr>
        <w:ind w:firstLine="284"/>
        <w:rPr>
          <w:i/>
          <w:szCs w:val="24"/>
          <w:lang w:val="en-US"/>
        </w:rPr>
      </w:pPr>
      <w:r w:rsidRPr="00946B13">
        <w:rPr>
          <w:i/>
          <w:szCs w:val="24"/>
          <w:lang w:val="en-US"/>
        </w:rPr>
        <w:t xml:space="preserve">5. Volchik V.V. </w:t>
      </w:r>
      <w:r w:rsidR="00F15DFB" w:rsidRPr="00F15DFB">
        <w:rPr>
          <w:i/>
          <w:szCs w:val="24"/>
          <w:lang w:val="en-US"/>
        </w:rPr>
        <w:t>Ideologiya, cifrovaya ekonomika i prompt-znanie</w:t>
      </w:r>
      <w:r w:rsidR="00F15DFB">
        <w:rPr>
          <w:i/>
          <w:szCs w:val="24"/>
          <w:lang w:val="en-US"/>
        </w:rPr>
        <w:t xml:space="preserve"> [</w:t>
      </w:r>
      <w:r w:rsidRPr="00946B13">
        <w:rPr>
          <w:i/>
          <w:szCs w:val="24"/>
          <w:lang w:val="en-US"/>
        </w:rPr>
        <w:t>Ideology, Digital Economy, and Industrial Knowledge</w:t>
      </w:r>
      <w:r w:rsidR="00F15DFB">
        <w:rPr>
          <w:i/>
          <w:szCs w:val="24"/>
          <w:lang w:val="en-US"/>
        </w:rPr>
        <w:t>]</w:t>
      </w:r>
      <w:r w:rsidRPr="00946B13">
        <w:rPr>
          <w:i/>
          <w:szCs w:val="24"/>
          <w:lang w:val="en-US"/>
        </w:rPr>
        <w:t xml:space="preserve"> // AlterEconomics. 2025. No. 1. (accessed on 03.09.2025).</w:t>
      </w:r>
    </w:p>
    <w:p w:rsidR="00946B13" w:rsidRPr="00946B13" w:rsidRDefault="00946B13" w:rsidP="00946B13">
      <w:pPr>
        <w:ind w:firstLine="284"/>
        <w:rPr>
          <w:i/>
          <w:szCs w:val="24"/>
          <w:lang w:val="en-US"/>
        </w:rPr>
      </w:pPr>
      <w:r w:rsidRPr="00946B13">
        <w:rPr>
          <w:i/>
          <w:szCs w:val="24"/>
          <w:lang w:val="en-US"/>
        </w:rPr>
        <w:t xml:space="preserve">6. Schneider P.A., Chernysheva A.V., Nikiforova A.D., Govorov A.I., Khlopotov M.V. </w:t>
      </w:r>
      <w:r w:rsidR="00F15DFB" w:rsidRPr="00F15DFB">
        <w:rPr>
          <w:i/>
          <w:szCs w:val="24"/>
          <w:lang w:val="en-US"/>
        </w:rPr>
        <w:t>Issledovanie effektivnosti prompt-inzhiniringa i kvantovannyh llm v sozdanii struktury akademicheskih kursov</w:t>
      </w:r>
      <w:r w:rsidR="00F15DFB">
        <w:rPr>
          <w:i/>
          <w:szCs w:val="24"/>
          <w:lang w:val="en-US"/>
        </w:rPr>
        <w:t xml:space="preserve"> [</w:t>
      </w:r>
      <w:r w:rsidRPr="00946B13">
        <w:rPr>
          <w:i/>
          <w:szCs w:val="24"/>
          <w:lang w:val="en-US"/>
        </w:rPr>
        <w:t>Research on the Effectiveness of Industrial Engineering and Quantified LLMs in Creating the Structure of Academic Courses</w:t>
      </w:r>
      <w:r w:rsidR="00F15DFB">
        <w:rPr>
          <w:i/>
          <w:szCs w:val="24"/>
          <w:lang w:val="en-US"/>
        </w:rPr>
        <w:t>]</w:t>
      </w:r>
      <w:r w:rsidRPr="00946B13">
        <w:rPr>
          <w:i/>
          <w:szCs w:val="24"/>
          <w:lang w:val="en-US"/>
        </w:rPr>
        <w:t xml:space="preserve"> // KIO. 2024. No. 1. (accessed on September 3, 2025).</w:t>
      </w:r>
    </w:p>
    <w:p w:rsidR="00946B13" w:rsidRPr="00946B13" w:rsidRDefault="00946B13" w:rsidP="00946B13">
      <w:pPr>
        <w:ind w:firstLine="284"/>
        <w:rPr>
          <w:i/>
          <w:szCs w:val="24"/>
          <w:lang w:val="en-US"/>
        </w:rPr>
      </w:pPr>
      <w:r w:rsidRPr="00946B13">
        <w:rPr>
          <w:i/>
          <w:szCs w:val="24"/>
          <w:lang w:val="en-US"/>
        </w:rPr>
        <w:t xml:space="preserve">7. Zaslavsky A.A. </w:t>
      </w:r>
      <w:r w:rsidR="00F15DFB" w:rsidRPr="00F15DFB">
        <w:rPr>
          <w:i/>
          <w:szCs w:val="24"/>
          <w:lang w:val="en-US"/>
        </w:rPr>
        <w:t>Sozdanie profil'nyh assistentov pedagoga na osnove chat-botov s primeneniem nejrosetej</w:t>
      </w:r>
      <w:r w:rsidR="00F15DFB">
        <w:rPr>
          <w:i/>
          <w:szCs w:val="24"/>
          <w:lang w:val="en-US"/>
        </w:rPr>
        <w:t xml:space="preserve"> [</w:t>
      </w:r>
      <w:r w:rsidRPr="00946B13">
        <w:rPr>
          <w:i/>
          <w:szCs w:val="24"/>
          <w:lang w:val="en-US"/>
        </w:rPr>
        <w:t>Creating Specialized Teacher Assistants Based on Chatbots Using Neural Networks</w:t>
      </w:r>
      <w:r w:rsidR="00F15DFB">
        <w:rPr>
          <w:i/>
          <w:szCs w:val="24"/>
          <w:lang w:val="en-US"/>
        </w:rPr>
        <w:t>]</w:t>
      </w:r>
      <w:r w:rsidRPr="00946B13">
        <w:rPr>
          <w:i/>
          <w:szCs w:val="24"/>
          <w:lang w:val="en-US"/>
        </w:rPr>
        <w:t xml:space="preserve"> // </w:t>
      </w:r>
      <w:r w:rsidR="005C6561" w:rsidRPr="005C6561">
        <w:rPr>
          <w:i/>
          <w:szCs w:val="24"/>
          <w:lang w:val="en-US"/>
        </w:rPr>
        <w:t>Obrazovatel'naya politika</w:t>
      </w:r>
      <w:r w:rsidR="005C6561">
        <w:rPr>
          <w:i/>
          <w:szCs w:val="24"/>
          <w:lang w:val="en-US"/>
        </w:rPr>
        <w:t xml:space="preserve"> – </w:t>
      </w:r>
      <w:r w:rsidRPr="00946B13">
        <w:rPr>
          <w:i/>
          <w:szCs w:val="24"/>
          <w:lang w:val="en-US"/>
        </w:rPr>
        <w:t>Educational Policy. 2024. No. 4 (100). (accessed on 03.09.2025).</w:t>
      </w:r>
    </w:p>
    <w:p w:rsidR="00946B13" w:rsidRPr="00946B13" w:rsidRDefault="00946B13" w:rsidP="00946B13">
      <w:pPr>
        <w:ind w:firstLine="284"/>
        <w:rPr>
          <w:i/>
          <w:szCs w:val="24"/>
          <w:lang w:val="en-US"/>
        </w:rPr>
      </w:pPr>
      <w:r w:rsidRPr="00946B13">
        <w:rPr>
          <w:i/>
          <w:szCs w:val="24"/>
          <w:lang w:val="en-US"/>
        </w:rPr>
        <w:t xml:space="preserve">8. Voronina O.V. </w:t>
      </w:r>
      <w:r w:rsidR="005C6561" w:rsidRPr="005C6561">
        <w:rPr>
          <w:i/>
          <w:szCs w:val="24"/>
          <w:lang w:val="en-US"/>
        </w:rPr>
        <w:t>Cifrovye tekhnologii v defektologicheskom obrazovanii</w:t>
      </w:r>
      <w:r w:rsidR="005C6561">
        <w:rPr>
          <w:i/>
          <w:szCs w:val="24"/>
          <w:lang w:val="en-US"/>
        </w:rPr>
        <w:t xml:space="preserve"> [</w:t>
      </w:r>
      <w:r w:rsidRPr="00946B13">
        <w:rPr>
          <w:i/>
          <w:szCs w:val="24"/>
          <w:lang w:val="en-US"/>
        </w:rPr>
        <w:t>Digital Technologies in Defectological Education</w:t>
      </w:r>
      <w:r w:rsidR="005C6561">
        <w:rPr>
          <w:i/>
          <w:szCs w:val="24"/>
          <w:lang w:val="en-US"/>
        </w:rPr>
        <w:t>]</w:t>
      </w:r>
      <w:r w:rsidRPr="00946B13">
        <w:rPr>
          <w:i/>
          <w:szCs w:val="24"/>
          <w:lang w:val="en-US"/>
        </w:rPr>
        <w:t xml:space="preserve"> // Vestnik SIBITA. 2024. No. 3. (accessed on 03.09.2025).</w:t>
      </w:r>
    </w:p>
    <w:p w:rsidR="00946B13" w:rsidRPr="00946B13" w:rsidRDefault="00946B13" w:rsidP="004577D3">
      <w:pPr>
        <w:ind w:firstLine="284"/>
        <w:rPr>
          <w:i/>
          <w:szCs w:val="24"/>
          <w:lang w:val="en-US"/>
        </w:rPr>
      </w:pPr>
      <w:r w:rsidRPr="00946B13">
        <w:rPr>
          <w:i/>
          <w:szCs w:val="24"/>
          <w:lang w:val="en-US"/>
        </w:rPr>
        <w:t xml:space="preserve">9. Voronin A.N., Palyonova V.V. </w:t>
      </w:r>
      <w:r w:rsidR="005C6561" w:rsidRPr="005C6561">
        <w:rPr>
          <w:i/>
          <w:szCs w:val="24"/>
          <w:lang w:val="en-US"/>
        </w:rPr>
        <w:t xml:space="preserve">Budushchee psihologii: effektivnoe vzaimodejstvie s ChatGPT vozmozhno? </w:t>
      </w:r>
      <w:r w:rsidR="005C6561">
        <w:rPr>
          <w:i/>
          <w:szCs w:val="24"/>
          <w:lang w:val="en-US"/>
        </w:rPr>
        <w:t xml:space="preserve"> [</w:t>
      </w:r>
      <w:r w:rsidRPr="00946B13">
        <w:rPr>
          <w:i/>
          <w:szCs w:val="24"/>
          <w:lang w:val="en-US"/>
        </w:rPr>
        <w:t>The Future of Psychology: Is Effective Interaction with ChatGPT Possible?</w:t>
      </w:r>
      <w:r w:rsidR="005C6561">
        <w:rPr>
          <w:i/>
          <w:szCs w:val="24"/>
          <w:lang w:val="en-US"/>
        </w:rPr>
        <w:t>]</w:t>
      </w:r>
      <w:r w:rsidRPr="00946B13">
        <w:rPr>
          <w:i/>
          <w:szCs w:val="24"/>
          <w:lang w:val="en-US"/>
        </w:rPr>
        <w:t xml:space="preserve"> // </w:t>
      </w:r>
      <w:r w:rsidR="005C6561" w:rsidRPr="005C6561">
        <w:rPr>
          <w:i/>
          <w:szCs w:val="24"/>
          <w:lang w:val="en-US"/>
        </w:rPr>
        <w:t>Vestnik RUDN. Seriya: Psihologiya i pedagogika</w:t>
      </w:r>
      <w:r w:rsidR="005C6561">
        <w:rPr>
          <w:i/>
          <w:szCs w:val="24"/>
          <w:lang w:val="en-US"/>
        </w:rPr>
        <w:t xml:space="preserve"> – </w:t>
      </w:r>
      <w:r w:rsidRPr="00946B13">
        <w:rPr>
          <w:i/>
          <w:szCs w:val="24"/>
          <w:lang w:val="en-US"/>
        </w:rPr>
        <w:t>Vestnik RUDN. Series: Psychology and Pedagogy. 2024. No. 3. (accessed on 03.09.2025).</w:t>
      </w:r>
    </w:p>
    <w:p w:rsidR="00946B13" w:rsidRPr="00946B13" w:rsidRDefault="00946B13" w:rsidP="004577D3">
      <w:pPr>
        <w:ind w:firstLine="284"/>
        <w:rPr>
          <w:i/>
          <w:szCs w:val="24"/>
          <w:lang w:val="en-US"/>
        </w:rPr>
      </w:pPr>
      <w:r w:rsidRPr="00946B13">
        <w:rPr>
          <w:i/>
          <w:szCs w:val="24"/>
          <w:lang w:val="en-US"/>
        </w:rPr>
        <w:t>10. Batishchev</w:t>
      </w:r>
      <w:r w:rsidR="004577D3" w:rsidRPr="004577D3">
        <w:rPr>
          <w:i/>
          <w:szCs w:val="24"/>
          <w:lang w:val="en-US"/>
        </w:rPr>
        <w:t xml:space="preserve"> </w:t>
      </w:r>
      <w:r w:rsidR="004577D3" w:rsidRPr="00946B13">
        <w:rPr>
          <w:i/>
          <w:szCs w:val="24"/>
          <w:lang w:val="en-US"/>
        </w:rPr>
        <w:t>A. V.</w:t>
      </w:r>
      <w:r w:rsidRPr="00946B13">
        <w:rPr>
          <w:i/>
          <w:szCs w:val="24"/>
          <w:lang w:val="en-US"/>
        </w:rPr>
        <w:t>, Gorchakov</w:t>
      </w:r>
      <w:r w:rsidR="004577D3" w:rsidRPr="004577D3">
        <w:rPr>
          <w:i/>
          <w:szCs w:val="24"/>
          <w:lang w:val="en-US"/>
        </w:rPr>
        <w:t xml:space="preserve"> </w:t>
      </w:r>
      <w:r w:rsidR="004577D3" w:rsidRPr="00946B13">
        <w:rPr>
          <w:i/>
          <w:szCs w:val="24"/>
          <w:lang w:val="en-US"/>
        </w:rPr>
        <w:t>I. V</w:t>
      </w:r>
      <w:r w:rsidRPr="00946B13">
        <w:rPr>
          <w:i/>
          <w:szCs w:val="24"/>
          <w:lang w:val="en-US"/>
        </w:rPr>
        <w:t xml:space="preserve">. </w:t>
      </w:r>
      <w:r w:rsidR="005C6561" w:rsidRPr="005C6561">
        <w:rPr>
          <w:i/>
          <w:szCs w:val="24"/>
          <w:lang w:val="en-US"/>
        </w:rPr>
        <w:t>Avtomatizaciya processa ocenki i razvitiya personala stroitel'noj organizacii s pomoshch'yu iskusstvennogo intellekta</w:t>
      </w:r>
      <w:r w:rsidR="005C6561">
        <w:rPr>
          <w:i/>
          <w:szCs w:val="24"/>
          <w:lang w:val="en-US"/>
        </w:rPr>
        <w:t xml:space="preserve"> [</w:t>
      </w:r>
      <w:r w:rsidRPr="00946B13">
        <w:rPr>
          <w:i/>
          <w:szCs w:val="24"/>
          <w:lang w:val="en-US"/>
        </w:rPr>
        <w:t>Automation of the process of assessing and developing the personnel of a construction organization using artificial intelligence</w:t>
      </w:r>
      <w:r w:rsidR="005C6561">
        <w:rPr>
          <w:i/>
          <w:szCs w:val="24"/>
          <w:lang w:val="en-US"/>
        </w:rPr>
        <w:t>]</w:t>
      </w:r>
      <w:r w:rsidRPr="00946B13">
        <w:rPr>
          <w:i/>
          <w:szCs w:val="24"/>
          <w:lang w:val="en-US"/>
        </w:rPr>
        <w:t xml:space="preserve"> // </w:t>
      </w:r>
      <w:r w:rsidR="005C6561" w:rsidRPr="005C6561">
        <w:rPr>
          <w:i/>
          <w:szCs w:val="24"/>
          <w:lang w:val="en-US"/>
        </w:rPr>
        <w:t>Vestnik Akademii znanij</w:t>
      </w:r>
      <w:r w:rsidR="005C6561">
        <w:rPr>
          <w:i/>
          <w:szCs w:val="24"/>
          <w:lang w:val="en-US"/>
        </w:rPr>
        <w:t xml:space="preserve"> – </w:t>
      </w:r>
      <w:r w:rsidRPr="00946B13">
        <w:rPr>
          <w:i/>
          <w:szCs w:val="24"/>
          <w:lang w:val="en-US"/>
        </w:rPr>
        <w:t>Bulletin of the Academy of Knowledge. 2024. No. 5 (64). (accessed on 03.09.2025).</w:t>
      </w:r>
    </w:p>
    <w:p w:rsidR="00946B13" w:rsidRPr="00946B13" w:rsidRDefault="00946B13" w:rsidP="004577D3">
      <w:pPr>
        <w:ind w:firstLine="284"/>
        <w:rPr>
          <w:i/>
          <w:szCs w:val="24"/>
          <w:lang w:val="en-US"/>
        </w:rPr>
      </w:pPr>
      <w:r w:rsidRPr="00946B13">
        <w:rPr>
          <w:i/>
          <w:szCs w:val="24"/>
          <w:lang w:val="en-US"/>
        </w:rPr>
        <w:t xml:space="preserve">11. Balashova N. V., Dementyeva A. A. </w:t>
      </w:r>
      <w:r w:rsidR="005C6561" w:rsidRPr="005C6561">
        <w:rPr>
          <w:i/>
          <w:szCs w:val="24"/>
          <w:lang w:val="en-US"/>
        </w:rPr>
        <w:t xml:space="preserve">Cifrovizaciya v upravlenii personalom: prakticheskij </w:t>
      </w:r>
      <w:r w:rsidR="005C6561">
        <w:rPr>
          <w:i/>
          <w:szCs w:val="24"/>
          <w:lang w:val="en-US"/>
        </w:rPr>
        <w:t>aspect [</w:t>
      </w:r>
      <w:r w:rsidRPr="00946B13">
        <w:rPr>
          <w:i/>
          <w:szCs w:val="24"/>
          <w:lang w:val="en-US"/>
        </w:rPr>
        <w:t>Digitalization in Human Resource Management: A Practical Aspect</w:t>
      </w:r>
      <w:r w:rsidR="005C6561">
        <w:rPr>
          <w:i/>
          <w:szCs w:val="24"/>
          <w:lang w:val="en-US"/>
        </w:rPr>
        <w:t>]</w:t>
      </w:r>
      <w:r w:rsidRPr="00946B13">
        <w:rPr>
          <w:i/>
          <w:szCs w:val="24"/>
          <w:lang w:val="en-US"/>
        </w:rPr>
        <w:t xml:space="preserve"> // UPIRR. 2024. No. 6. (accessed on 03.09.2025).</w:t>
      </w:r>
    </w:p>
    <w:p w:rsidR="00946B13" w:rsidRPr="00946B13" w:rsidRDefault="00946B13" w:rsidP="004577D3">
      <w:pPr>
        <w:ind w:firstLine="284"/>
        <w:rPr>
          <w:i/>
          <w:szCs w:val="24"/>
          <w:lang w:val="en-US"/>
        </w:rPr>
      </w:pPr>
      <w:r w:rsidRPr="00946B13">
        <w:rPr>
          <w:i/>
          <w:szCs w:val="24"/>
          <w:lang w:val="en-US"/>
        </w:rPr>
        <w:t xml:space="preserve">12. Surayeva M.O. </w:t>
      </w:r>
      <w:r w:rsidR="005C6561" w:rsidRPr="005C6561">
        <w:rPr>
          <w:i/>
          <w:szCs w:val="24"/>
          <w:lang w:val="en-US"/>
        </w:rPr>
        <w:t>Vliyanie innovacij na sistemu upravleniya biznesom: paradigma iskusstvennogo intellekta i cifrovogo lichnogo assistirovaniya</w:t>
      </w:r>
      <w:r w:rsidR="005C6561">
        <w:rPr>
          <w:i/>
          <w:szCs w:val="24"/>
          <w:lang w:val="en-US"/>
        </w:rPr>
        <w:t xml:space="preserve"> [</w:t>
      </w:r>
      <w:r w:rsidRPr="00946B13">
        <w:rPr>
          <w:i/>
          <w:szCs w:val="24"/>
          <w:lang w:val="en-US"/>
        </w:rPr>
        <w:t>The Impact of Innovations on Business Management: The Paradigm of Artificial Intelligence and Digital Personal Assistance</w:t>
      </w:r>
      <w:r w:rsidR="005C6561">
        <w:rPr>
          <w:i/>
          <w:szCs w:val="24"/>
          <w:lang w:val="en-US"/>
        </w:rPr>
        <w:t>]</w:t>
      </w:r>
      <w:r w:rsidRPr="00946B13">
        <w:rPr>
          <w:i/>
          <w:szCs w:val="24"/>
          <w:lang w:val="en-US"/>
        </w:rPr>
        <w:t xml:space="preserve"> // EGI. 2024. No. 3 (53). (accessed on 03.09.2025).</w:t>
      </w:r>
    </w:p>
    <w:p w:rsidR="00946B13" w:rsidRPr="00946B13" w:rsidRDefault="00946B13" w:rsidP="005A0605">
      <w:pPr>
        <w:numPr>
          <w:ilvl w:val="0"/>
          <w:numId w:val="15"/>
        </w:numPr>
        <w:ind w:left="0" w:firstLine="284"/>
        <w:rPr>
          <w:i/>
          <w:szCs w:val="24"/>
        </w:rPr>
      </w:pPr>
      <w:r w:rsidRPr="00946B13">
        <w:rPr>
          <w:i/>
          <w:szCs w:val="24"/>
          <w:lang w:val="en-US"/>
        </w:rPr>
        <w:t xml:space="preserve">DeepSeek V3.2. Electronic resource. </w:t>
      </w:r>
      <w:hyperlink r:id="rId55" w:history="1">
        <w:r w:rsidRPr="00946B13">
          <w:rPr>
            <w:i/>
            <w:color w:val="006697"/>
            <w:szCs w:val="24"/>
            <w:lang w:val="en-US"/>
          </w:rPr>
          <w:t>https://chat.deepseek.com</w:t>
        </w:r>
      </w:hyperlink>
      <w:r w:rsidRPr="00946B13">
        <w:rPr>
          <w:i/>
          <w:szCs w:val="24"/>
          <w:lang w:val="en-US"/>
        </w:rPr>
        <w:t xml:space="preserve">. </w:t>
      </w:r>
      <w:r w:rsidRPr="00946B13">
        <w:rPr>
          <w:i/>
          <w:szCs w:val="24"/>
        </w:rPr>
        <w:t>(</w:t>
      </w:r>
      <w:r w:rsidRPr="00946B13">
        <w:rPr>
          <w:i/>
          <w:szCs w:val="24"/>
          <w:lang w:val="en-US"/>
        </w:rPr>
        <w:t xml:space="preserve">accessed on </w:t>
      </w:r>
      <w:r w:rsidRPr="00946B13">
        <w:rPr>
          <w:i/>
          <w:szCs w:val="24"/>
        </w:rPr>
        <w:t>24.12.2025).</w:t>
      </w:r>
    </w:p>
    <w:p w:rsidR="00946B13" w:rsidRPr="00946B13" w:rsidRDefault="00946B13" w:rsidP="005A0605">
      <w:pPr>
        <w:numPr>
          <w:ilvl w:val="0"/>
          <w:numId w:val="15"/>
        </w:numPr>
        <w:ind w:left="0" w:firstLine="284"/>
        <w:contextualSpacing/>
        <w:rPr>
          <w:i/>
          <w:szCs w:val="24"/>
        </w:rPr>
      </w:pPr>
      <w:r w:rsidRPr="00946B13">
        <w:rPr>
          <w:i/>
          <w:szCs w:val="24"/>
          <w:lang w:val="en-US"/>
        </w:rPr>
        <w:t xml:space="preserve">Samir Lemeš. Prompt Engineering. Conference: ARTIFICIAL INTELLIGENCE IN INDUSTRY 4.0: The future that comes trueAt: Sarajevo. </w:t>
      </w:r>
      <w:r w:rsidRPr="00946B13">
        <w:rPr>
          <w:i/>
          <w:szCs w:val="24"/>
        </w:rPr>
        <w:t>2024. DOI:10.5644/PI2024.215.08</w:t>
      </w:r>
    </w:p>
    <w:p w:rsidR="00946B13" w:rsidRPr="00946B13" w:rsidRDefault="00946B13" w:rsidP="005A0605">
      <w:pPr>
        <w:numPr>
          <w:ilvl w:val="0"/>
          <w:numId w:val="15"/>
        </w:numPr>
        <w:ind w:left="0" w:firstLine="284"/>
        <w:contextualSpacing/>
        <w:rPr>
          <w:i/>
          <w:szCs w:val="24"/>
        </w:rPr>
      </w:pPr>
      <w:r w:rsidRPr="00946B13">
        <w:rPr>
          <w:i/>
          <w:szCs w:val="24"/>
          <w:lang w:val="en-US"/>
        </w:rPr>
        <w:t xml:space="preserve">Chroma Technical Report. Context Rot: How Increasing Input Tokens Impacts LLM Performance. </w:t>
      </w:r>
      <w:r w:rsidRPr="00946B13">
        <w:rPr>
          <w:i/>
          <w:szCs w:val="24"/>
        </w:rPr>
        <w:t>July 14, 2025. https://research.trychroma.com/context-rot. (</w:t>
      </w:r>
      <w:r w:rsidRPr="00946B13">
        <w:rPr>
          <w:i/>
          <w:szCs w:val="24"/>
          <w:lang w:val="en-US"/>
        </w:rPr>
        <w:t xml:space="preserve">accessed on </w:t>
      </w:r>
      <w:r w:rsidRPr="00946B13">
        <w:rPr>
          <w:i/>
          <w:szCs w:val="24"/>
        </w:rPr>
        <w:t>24.12.2025)</w:t>
      </w:r>
    </w:p>
    <w:p w:rsidR="00946B13" w:rsidRPr="00946B13" w:rsidRDefault="00946B13" w:rsidP="005A0605">
      <w:pPr>
        <w:numPr>
          <w:ilvl w:val="0"/>
          <w:numId w:val="15"/>
        </w:numPr>
        <w:ind w:left="0" w:firstLine="284"/>
        <w:rPr>
          <w:i/>
          <w:szCs w:val="24"/>
          <w:lang w:val="en-US"/>
        </w:rPr>
      </w:pPr>
      <w:r w:rsidRPr="00946B13">
        <w:rPr>
          <w:i/>
          <w:iCs/>
          <w:szCs w:val="24"/>
          <w:shd w:val="clear" w:color="auto" w:fill="FFFFFF"/>
          <w:lang w:val="en-US"/>
        </w:rPr>
        <w:t>Fayol, Henri</w:t>
      </w:r>
      <w:r w:rsidRPr="00946B13">
        <w:rPr>
          <w:i/>
          <w:szCs w:val="24"/>
          <w:shd w:val="clear" w:color="auto" w:fill="FFFFFF"/>
          <w:lang w:val="en-US"/>
        </w:rPr>
        <w:t> Administration industrielle et générale. Paris. Dunod et Pinat. 1916. 174 p.</w:t>
      </w:r>
    </w:p>
    <w:p w:rsidR="00946B13" w:rsidRDefault="00946B13" w:rsidP="00946B13">
      <w:pPr>
        <w:ind w:firstLine="0"/>
        <w:rPr>
          <w:szCs w:val="24"/>
          <w:lang w:val="en-US"/>
        </w:rPr>
      </w:pPr>
    </w:p>
    <w:p w:rsidR="005C6561" w:rsidRPr="00946B13" w:rsidRDefault="005C6561" w:rsidP="00946B13">
      <w:pPr>
        <w:ind w:firstLine="0"/>
        <w:rPr>
          <w:szCs w:val="24"/>
          <w:lang w:val="en-US"/>
        </w:rPr>
      </w:pPr>
    </w:p>
    <w:p w:rsidR="00AF7F33" w:rsidRPr="00D337FA" w:rsidRDefault="00AF7F33" w:rsidP="00AF7F33">
      <w:pPr>
        <w:rPr>
          <w:i/>
          <w:iCs/>
          <w:szCs w:val="24"/>
          <w:lang w:val="en-US" w:eastAsia="ru-RU"/>
        </w:rPr>
      </w:pPr>
    </w:p>
    <w:p w:rsidR="004577D3" w:rsidRPr="00D74067" w:rsidRDefault="004577D3" w:rsidP="00946B13">
      <w:pPr>
        <w:ind w:firstLine="709"/>
        <w:rPr>
          <w:b/>
          <w:szCs w:val="24"/>
          <w:vertAlign w:val="superscript"/>
          <w:lang w:val="en-US"/>
        </w:rPr>
        <w:sectPr w:rsidR="004577D3" w:rsidRPr="00D74067" w:rsidSect="00E61989">
          <w:footnotePr>
            <w:numRestart w:val="eachPage"/>
          </w:footnotePr>
          <w:type w:val="continuous"/>
          <w:pgSz w:w="11907" w:h="16840" w:code="9"/>
          <w:pgMar w:top="1418" w:right="1134" w:bottom="1418" w:left="1134" w:header="1021" w:footer="1021" w:gutter="0"/>
          <w:cols w:space="708"/>
          <w:docGrid w:linePitch="360"/>
        </w:sectPr>
      </w:pPr>
    </w:p>
    <w:p w:rsidR="00946B13" w:rsidRPr="001B6DB3" w:rsidRDefault="00946B13" w:rsidP="006C1F21">
      <w:pPr>
        <w:ind w:firstLine="284"/>
        <w:rPr>
          <w:i/>
          <w:color w:val="006697"/>
          <w:szCs w:val="24"/>
        </w:rPr>
      </w:pPr>
      <w:r w:rsidRPr="001B6DB3">
        <w:rPr>
          <w:b/>
          <w:i/>
          <w:szCs w:val="24"/>
        </w:rPr>
        <w:lastRenderedPageBreak/>
        <w:t xml:space="preserve">Яковлев </w:t>
      </w:r>
      <w:r w:rsidR="00F15DFB" w:rsidRPr="001B6DB3">
        <w:rPr>
          <w:b/>
          <w:i/>
          <w:szCs w:val="24"/>
        </w:rPr>
        <w:t>Иван Геннад</w:t>
      </w:r>
      <w:r w:rsidR="001B6DB3" w:rsidRPr="001B6DB3">
        <w:rPr>
          <w:b/>
          <w:i/>
          <w:szCs w:val="24"/>
        </w:rPr>
        <w:t>и</w:t>
      </w:r>
      <w:r w:rsidR="00F15DFB" w:rsidRPr="001B6DB3">
        <w:rPr>
          <w:b/>
          <w:i/>
          <w:szCs w:val="24"/>
        </w:rPr>
        <w:t xml:space="preserve">евич </w:t>
      </w:r>
      <w:r w:rsidR="00F15DFB" w:rsidRPr="001B6DB3">
        <w:rPr>
          <w:i/>
          <w:szCs w:val="24"/>
        </w:rPr>
        <w:t>– кандидат химических наук</w:t>
      </w:r>
      <w:r w:rsidRPr="001B6DB3">
        <w:rPr>
          <w:i/>
          <w:szCs w:val="24"/>
        </w:rPr>
        <w:t xml:space="preserve">, </w:t>
      </w:r>
      <w:r w:rsidR="006C1F21" w:rsidRPr="001B6DB3">
        <w:rPr>
          <w:i/>
          <w:szCs w:val="24"/>
        </w:rPr>
        <w:t xml:space="preserve">преподаватель кафедры научных и инновационных технологий в здравоохранении, </w:t>
      </w:r>
      <w:r w:rsidRPr="001B6DB3">
        <w:rPr>
          <w:i/>
          <w:szCs w:val="24"/>
        </w:rPr>
        <w:t>Самарский государственный медицинский университет, Россия, 443099, г.</w:t>
      </w:r>
      <w:r w:rsidR="001B6DB3" w:rsidRPr="001B6DB3">
        <w:rPr>
          <w:i/>
          <w:szCs w:val="24"/>
        </w:rPr>
        <w:t xml:space="preserve"> </w:t>
      </w:r>
      <w:r w:rsidRPr="001B6DB3">
        <w:rPr>
          <w:i/>
          <w:szCs w:val="24"/>
        </w:rPr>
        <w:t>Самара, ул. Чапаевская, 89</w:t>
      </w:r>
      <w:r w:rsidR="00F15DFB" w:rsidRPr="001B6DB3">
        <w:rPr>
          <w:i/>
          <w:szCs w:val="24"/>
        </w:rPr>
        <w:t>;</w:t>
      </w:r>
      <w:r w:rsidRPr="001B6DB3">
        <w:rPr>
          <w:i/>
          <w:szCs w:val="24"/>
        </w:rPr>
        <w:t xml:space="preserve"> е-</w:t>
      </w:r>
      <w:r w:rsidRPr="001B6DB3">
        <w:rPr>
          <w:i/>
          <w:szCs w:val="24"/>
          <w:lang w:val="en-US"/>
        </w:rPr>
        <w:t>mail</w:t>
      </w:r>
      <w:r w:rsidRPr="001B6DB3">
        <w:rPr>
          <w:i/>
          <w:szCs w:val="24"/>
        </w:rPr>
        <w:t>:</w:t>
      </w:r>
      <w:r w:rsidRPr="001B6DB3">
        <w:rPr>
          <w:i/>
          <w:color w:val="006697"/>
          <w:szCs w:val="24"/>
        </w:rPr>
        <w:t xml:space="preserve"> </w:t>
      </w:r>
      <w:r w:rsidRPr="001B6DB3">
        <w:rPr>
          <w:i/>
          <w:color w:val="006697"/>
          <w:szCs w:val="24"/>
          <w:lang w:val="en-US"/>
        </w:rPr>
        <w:t>yakovlev</w:t>
      </w:r>
      <w:r w:rsidRPr="001B6DB3">
        <w:rPr>
          <w:i/>
          <w:color w:val="006697"/>
          <w:szCs w:val="24"/>
        </w:rPr>
        <w:t>.</w:t>
      </w:r>
      <w:r w:rsidRPr="001B6DB3">
        <w:rPr>
          <w:i/>
          <w:color w:val="006697"/>
          <w:szCs w:val="24"/>
          <w:lang w:val="en-US"/>
        </w:rPr>
        <w:t>ivan</w:t>
      </w:r>
      <w:r w:rsidRPr="001B6DB3">
        <w:rPr>
          <w:i/>
          <w:color w:val="006697"/>
          <w:szCs w:val="24"/>
        </w:rPr>
        <w:t>.</w:t>
      </w:r>
      <w:r w:rsidRPr="001B6DB3">
        <w:rPr>
          <w:i/>
          <w:color w:val="006697"/>
          <w:szCs w:val="24"/>
          <w:lang w:val="en-US"/>
        </w:rPr>
        <w:t>g</w:t>
      </w:r>
      <w:r w:rsidRPr="001B6DB3">
        <w:rPr>
          <w:i/>
          <w:color w:val="006697"/>
          <w:szCs w:val="24"/>
        </w:rPr>
        <w:t>@</w:t>
      </w:r>
      <w:r w:rsidRPr="001B6DB3">
        <w:rPr>
          <w:i/>
          <w:color w:val="006697"/>
          <w:szCs w:val="24"/>
          <w:lang w:val="en-US"/>
        </w:rPr>
        <w:t>gmail</w:t>
      </w:r>
      <w:r w:rsidRPr="001B6DB3">
        <w:rPr>
          <w:i/>
          <w:color w:val="006697"/>
          <w:szCs w:val="24"/>
        </w:rPr>
        <w:t>.</w:t>
      </w:r>
      <w:r w:rsidRPr="001B6DB3">
        <w:rPr>
          <w:i/>
          <w:color w:val="006697"/>
          <w:szCs w:val="24"/>
          <w:lang w:val="en-US"/>
        </w:rPr>
        <w:t>com</w:t>
      </w:r>
    </w:p>
    <w:p w:rsidR="00946B13" w:rsidRPr="007A4616" w:rsidRDefault="00946B13" w:rsidP="007A4616">
      <w:pPr>
        <w:tabs>
          <w:tab w:val="left" w:pos="709"/>
        </w:tabs>
        <w:ind w:firstLine="284"/>
        <w:rPr>
          <w:i/>
          <w:color w:val="006697"/>
          <w:szCs w:val="24"/>
        </w:rPr>
      </w:pPr>
      <w:r w:rsidRPr="007A4616">
        <w:rPr>
          <w:b/>
          <w:i/>
          <w:szCs w:val="24"/>
        </w:rPr>
        <w:t>Яковлев Г</w:t>
      </w:r>
      <w:r w:rsidR="00F15DFB" w:rsidRPr="007A4616">
        <w:rPr>
          <w:b/>
          <w:i/>
          <w:szCs w:val="24"/>
        </w:rPr>
        <w:t xml:space="preserve">еннадий Иванович </w:t>
      </w:r>
      <w:r w:rsidR="00F15DFB" w:rsidRPr="007A4616">
        <w:rPr>
          <w:i/>
          <w:szCs w:val="24"/>
        </w:rPr>
        <w:t>– доктор экономических наук</w:t>
      </w:r>
      <w:r w:rsidRPr="007A4616">
        <w:rPr>
          <w:i/>
          <w:szCs w:val="24"/>
        </w:rPr>
        <w:t xml:space="preserve">, </w:t>
      </w:r>
      <w:r w:rsidR="007A4616" w:rsidRPr="007A4616">
        <w:rPr>
          <w:i/>
          <w:szCs w:val="24"/>
        </w:rPr>
        <w:t>профессор кафедры «</w:t>
      </w:r>
      <w:r w:rsidR="007A4616">
        <w:rPr>
          <w:i/>
          <w:szCs w:val="24"/>
        </w:rPr>
        <w:t>Э</w:t>
      </w:r>
      <w:r w:rsidR="007A4616" w:rsidRPr="007A4616">
        <w:rPr>
          <w:i/>
          <w:szCs w:val="24"/>
        </w:rPr>
        <w:t>кономик</w:t>
      </w:r>
      <w:r w:rsidR="007A4616">
        <w:rPr>
          <w:i/>
          <w:szCs w:val="24"/>
        </w:rPr>
        <w:t>а</w:t>
      </w:r>
      <w:r w:rsidR="007A4616" w:rsidRPr="007A4616">
        <w:rPr>
          <w:i/>
          <w:szCs w:val="24"/>
        </w:rPr>
        <w:t>, организаци</w:t>
      </w:r>
      <w:r w:rsidR="007A4616">
        <w:rPr>
          <w:i/>
          <w:szCs w:val="24"/>
        </w:rPr>
        <w:t>я</w:t>
      </w:r>
      <w:r w:rsidR="007A4616" w:rsidRPr="007A4616">
        <w:rPr>
          <w:i/>
          <w:szCs w:val="24"/>
        </w:rPr>
        <w:t xml:space="preserve"> и стратегии развития предприятия», </w:t>
      </w:r>
      <w:r w:rsidRPr="007A4616">
        <w:rPr>
          <w:i/>
          <w:szCs w:val="24"/>
        </w:rPr>
        <w:t>Самарский государственный экономический университет, Россия, 443090, г.</w:t>
      </w:r>
      <w:r w:rsidR="007A4616" w:rsidRPr="007A4616">
        <w:rPr>
          <w:i/>
          <w:szCs w:val="24"/>
        </w:rPr>
        <w:t xml:space="preserve"> </w:t>
      </w:r>
      <w:r w:rsidRPr="007A4616">
        <w:rPr>
          <w:i/>
          <w:szCs w:val="24"/>
        </w:rPr>
        <w:t>Самара, ул. Советской Армии, 141</w:t>
      </w:r>
      <w:r w:rsidR="007A4616" w:rsidRPr="007A4616">
        <w:rPr>
          <w:i/>
          <w:szCs w:val="24"/>
        </w:rPr>
        <w:t xml:space="preserve">; </w:t>
      </w:r>
      <w:r w:rsidR="007A4616" w:rsidRPr="007A4616">
        <w:rPr>
          <w:i/>
          <w:szCs w:val="24"/>
          <w:lang w:val="en-US"/>
        </w:rPr>
        <w:t>e</w:t>
      </w:r>
      <w:r w:rsidR="007A4616" w:rsidRPr="007A4616">
        <w:rPr>
          <w:i/>
          <w:szCs w:val="24"/>
        </w:rPr>
        <w:t>-</w:t>
      </w:r>
      <w:r w:rsidR="007A4616" w:rsidRPr="007A4616">
        <w:rPr>
          <w:i/>
          <w:szCs w:val="24"/>
          <w:lang w:val="en-US"/>
        </w:rPr>
        <w:t>mail</w:t>
      </w:r>
      <w:r w:rsidR="007A4616" w:rsidRPr="007A4616">
        <w:rPr>
          <w:i/>
          <w:szCs w:val="24"/>
        </w:rPr>
        <w:t xml:space="preserve">: </w:t>
      </w:r>
      <w:r w:rsidR="007A4616" w:rsidRPr="007A4616">
        <w:rPr>
          <w:i/>
          <w:szCs w:val="24"/>
          <w:lang w:val="en-US"/>
        </w:rPr>
        <w:t>dmms</w:t>
      </w:r>
      <w:r w:rsidR="007A4616" w:rsidRPr="007A4616">
        <w:rPr>
          <w:i/>
          <w:szCs w:val="24"/>
        </w:rPr>
        <w:t>7@</w:t>
      </w:r>
      <w:r w:rsidR="007A4616" w:rsidRPr="007A4616">
        <w:rPr>
          <w:i/>
          <w:szCs w:val="24"/>
          <w:lang w:val="en-US"/>
        </w:rPr>
        <w:t>rambler</w:t>
      </w:r>
      <w:r w:rsidR="007A4616" w:rsidRPr="007A4616">
        <w:rPr>
          <w:i/>
          <w:szCs w:val="24"/>
        </w:rPr>
        <w:t>.</w:t>
      </w:r>
      <w:r w:rsidR="007A4616" w:rsidRPr="007A4616">
        <w:rPr>
          <w:i/>
          <w:szCs w:val="24"/>
          <w:lang w:val="en-US"/>
        </w:rPr>
        <w:t>ru</w:t>
      </w:r>
      <w:r w:rsidR="007A4616" w:rsidRPr="007A4616">
        <w:rPr>
          <w:i/>
          <w:szCs w:val="24"/>
        </w:rPr>
        <w:t xml:space="preserve">; </w:t>
      </w:r>
      <w:r w:rsidR="007A4616" w:rsidRPr="007A4616">
        <w:rPr>
          <w:i/>
          <w:szCs w:val="24"/>
          <w:lang w:val="en-US"/>
        </w:rPr>
        <w:t>ttps</w:t>
      </w:r>
      <w:r w:rsidR="007A4616" w:rsidRPr="007A4616">
        <w:rPr>
          <w:i/>
          <w:szCs w:val="24"/>
        </w:rPr>
        <w:t>://</w:t>
      </w:r>
      <w:r w:rsidR="007A4616" w:rsidRPr="007A4616">
        <w:rPr>
          <w:i/>
          <w:szCs w:val="24"/>
          <w:lang w:val="en-US"/>
        </w:rPr>
        <w:t>orcid</w:t>
      </w:r>
      <w:r w:rsidR="007A4616" w:rsidRPr="007A4616">
        <w:rPr>
          <w:i/>
          <w:szCs w:val="24"/>
        </w:rPr>
        <w:t>.</w:t>
      </w:r>
      <w:r w:rsidR="007A4616" w:rsidRPr="007A4616">
        <w:rPr>
          <w:i/>
          <w:szCs w:val="24"/>
          <w:lang w:val="en-US"/>
        </w:rPr>
        <w:t>org</w:t>
      </w:r>
      <w:r w:rsidR="007A4616" w:rsidRPr="007A4616">
        <w:rPr>
          <w:i/>
          <w:szCs w:val="24"/>
        </w:rPr>
        <w:t>/0000-0002-7507-3613</w:t>
      </w:r>
    </w:p>
    <w:p w:rsidR="00946B13" w:rsidRDefault="00946B13" w:rsidP="00F15DFB">
      <w:pPr>
        <w:ind w:firstLine="284"/>
        <w:rPr>
          <w:rFonts w:eastAsia="Times New Roman"/>
          <w:i/>
          <w:szCs w:val="24"/>
          <w:lang w:val="en-US" w:eastAsia="ru-RU"/>
        </w:rPr>
      </w:pPr>
      <w:r w:rsidRPr="001B6DB3">
        <w:rPr>
          <w:b/>
          <w:i/>
          <w:szCs w:val="24"/>
          <w:lang w:val="en-US"/>
        </w:rPr>
        <w:lastRenderedPageBreak/>
        <w:t>I</w:t>
      </w:r>
      <w:r w:rsidR="00F15DFB" w:rsidRPr="001B6DB3">
        <w:rPr>
          <w:b/>
          <w:i/>
          <w:szCs w:val="24"/>
          <w:lang w:val="en-US"/>
        </w:rPr>
        <w:t xml:space="preserve">van </w:t>
      </w:r>
      <w:r w:rsidRPr="001B6DB3">
        <w:rPr>
          <w:b/>
          <w:i/>
          <w:szCs w:val="24"/>
          <w:lang w:val="en-US"/>
        </w:rPr>
        <w:t>G</w:t>
      </w:r>
      <w:r w:rsidR="00F15DFB" w:rsidRPr="001B6DB3">
        <w:rPr>
          <w:b/>
          <w:i/>
          <w:szCs w:val="24"/>
          <w:lang w:val="en-US"/>
        </w:rPr>
        <w:t>. Yakovlev –</w:t>
      </w:r>
      <w:r w:rsidR="001B6DB3" w:rsidRPr="001B6DB3">
        <w:rPr>
          <w:lang w:val="en-US"/>
        </w:rPr>
        <w:t xml:space="preserve"> </w:t>
      </w:r>
      <w:r w:rsidR="001B6DB3" w:rsidRPr="001B6DB3">
        <w:rPr>
          <w:i/>
          <w:szCs w:val="24"/>
          <w:lang w:val="en-US"/>
        </w:rPr>
        <w:t xml:space="preserve">PhD </w:t>
      </w:r>
      <w:r w:rsidR="001B6DB3">
        <w:rPr>
          <w:i/>
          <w:szCs w:val="24"/>
          <w:lang w:val="en-US"/>
        </w:rPr>
        <w:t>(Chemicals</w:t>
      </w:r>
      <w:r w:rsidR="001B6DB3" w:rsidRPr="001B6DB3">
        <w:rPr>
          <w:i/>
          <w:szCs w:val="24"/>
          <w:lang w:val="en-US"/>
        </w:rPr>
        <w:t>),</w:t>
      </w:r>
      <w:r w:rsidR="007A4616" w:rsidRPr="001B6DB3">
        <w:rPr>
          <w:i/>
          <w:szCs w:val="24"/>
          <w:lang w:val="en-US"/>
        </w:rPr>
        <w:t xml:space="preserve"> </w:t>
      </w:r>
      <w:r w:rsidR="001B6DB3" w:rsidRPr="001B6DB3">
        <w:rPr>
          <w:rStyle w:val="ypks7kbdpwfgdykd3qb9"/>
          <w:i/>
          <w:lang w:val="en-US"/>
        </w:rPr>
        <w:t>Lecturer</w:t>
      </w:r>
      <w:r w:rsidR="001B6DB3" w:rsidRPr="001B6DB3">
        <w:rPr>
          <w:i/>
          <w:lang w:val="en-US"/>
        </w:rPr>
        <w:t xml:space="preserve"> of the </w:t>
      </w:r>
      <w:r w:rsidR="001B6DB3" w:rsidRPr="001B6DB3">
        <w:rPr>
          <w:rStyle w:val="ypks7kbdpwfgdykd3qb9"/>
          <w:i/>
          <w:lang w:val="en-US"/>
        </w:rPr>
        <w:t>Department</w:t>
      </w:r>
      <w:r w:rsidR="001B6DB3" w:rsidRPr="001B6DB3">
        <w:rPr>
          <w:i/>
          <w:lang w:val="en-US"/>
        </w:rPr>
        <w:t xml:space="preserve"> of </w:t>
      </w:r>
      <w:r w:rsidR="001B6DB3" w:rsidRPr="001B6DB3">
        <w:rPr>
          <w:rStyle w:val="ypks7kbdpwfgdykd3qb9"/>
          <w:i/>
          <w:lang w:val="en-US"/>
        </w:rPr>
        <w:t>Scientific</w:t>
      </w:r>
      <w:r w:rsidR="001B6DB3" w:rsidRPr="001B6DB3">
        <w:rPr>
          <w:i/>
          <w:lang w:val="en-US"/>
        </w:rPr>
        <w:t xml:space="preserve"> </w:t>
      </w:r>
      <w:r w:rsidR="001B6DB3" w:rsidRPr="001B6DB3">
        <w:rPr>
          <w:rStyle w:val="ypks7kbdpwfgdykd3qb9"/>
          <w:i/>
          <w:lang w:val="en-US"/>
        </w:rPr>
        <w:t>and</w:t>
      </w:r>
      <w:r w:rsidR="001B6DB3" w:rsidRPr="001B6DB3">
        <w:rPr>
          <w:i/>
          <w:lang w:val="en-US"/>
        </w:rPr>
        <w:t xml:space="preserve"> </w:t>
      </w:r>
      <w:r w:rsidR="001B6DB3" w:rsidRPr="001B6DB3">
        <w:rPr>
          <w:rStyle w:val="ypks7kbdpwfgdykd3qb9"/>
          <w:i/>
          <w:lang w:val="en-US"/>
        </w:rPr>
        <w:t>Innovative</w:t>
      </w:r>
      <w:r w:rsidR="001B6DB3" w:rsidRPr="001B6DB3">
        <w:rPr>
          <w:i/>
          <w:lang w:val="en-US"/>
        </w:rPr>
        <w:t xml:space="preserve"> </w:t>
      </w:r>
      <w:r w:rsidR="001B6DB3" w:rsidRPr="001B6DB3">
        <w:rPr>
          <w:rStyle w:val="ypks7kbdpwfgdykd3qb9"/>
          <w:i/>
          <w:lang w:val="en-US"/>
        </w:rPr>
        <w:t>Technologies</w:t>
      </w:r>
      <w:r w:rsidR="001B6DB3" w:rsidRPr="001B6DB3">
        <w:rPr>
          <w:i/>
          <w:lang w:val="en-US"/>
        </w:rPr>
        <w:t xml:space="preserve"> </w:t>
      </w:r>
      <w:r w:rsidR="001B6DB3" w:rsidRPr="001B6DB3">
        <w:rPr>
          <w:rStyle w:val="ypks7kbdpwfgdykd3qb9"/>
          <w:i/>
          <w:lang w:val="en-US"/>
        </w:rPr>
        <w:t>in</w:t>
      </w:r>
      <w:r w:rsidR="001B6DB3" w:rsidRPr="001B6DB3">
        <w:rPr>
          <w:i/>
          <w:lang w:val="en-US"/>
        </w:rPr>
        <w:t xml:space="preserve"> </w:t>
      </w:r>
      <w:r w:rsidR="001B6DB3" w:rsidRPr="001B6DB3">
        <w:rPr>
          <w:rStyle w:val="ypks7kbdpwfgdykd3qb9"/>
          <w:i/>
          <w:lang w:val="en-US"/>
        </w:rPr>
        <w:t>Healthcare</w:t>
      </w:r>
      <w:r w:rsidR="001B6DB3" w:rsidRPr="001B6DB3">
        <w:rPr>
          <w:i/>
          <w:lang w:val="en-US"/>
        </w:rPr>
        <w:t xml:space="preserve">, </w:t>
      </w:r>
      <w:r w:rsidR="007A4616" w:rsidRPr="001B6DB3">
        <w:rPr>
          <w:rFonts w:eastAsia="Times New Roman"/>
          <w:i/>
          <w:szCs w:val="24"/>
          <w:lang w:val="en-US" w:eastAsia="ru-RU"/>
        </w:rPr>
        <w:t>Samara State Medical University, 89 Chapaevskaya st., Samara, 443099</w:t>
      </w:r>
      <w:r w:rsidR="007A4616" w:rsidRPr="007A4616">
        <w:rPr>
          <w:rFonts w:eastAsia="Times New Roman"/>
          <w:i/>
          <w:szCs w:val="24"/>
          <w:lang w:val="en-US" w:eastAsia="ru-RU"/>
        </w:rPr>
        <w:t xml:space="preserve">, Russia; е-mail: </w:t>
      </w:r>
      <w:hyperlink r:id="rId56" w:history="1">
        <w:r w:rsidR="001B6DB3" w:rsidRPr="00E20B6F">
          <w:rPr>
            <w:rStyle w:val="af7"/>
            <w:rFonts w:eastAsia="Times New Roman"/>
            <w:i/>
            <w:szCs w:val="24"/>
            <w:lang w:val="en-US" w:eastAsia="ru-RU"/>
          </w:rPr>
          <w:t>yakovlev.ivan.g@gmail.com</w:t>
        </w:r>
      </w:hyperlink>
    </w:p>
    <w:p w:rsidR="001B6DB3" w:rsidRDefault="001B6DB3" w:rsidP="00F15DFB">
      <w:pPr>
        <w:ind w:firstLine="284"/>
        <w:rPr>
          <w:rFonts w:eastAsia="Times New Roman"/>
          <w:i/>
          <w:szCs w:val="24"/>
          <w:lang w:val="en-US" w:eastAsia="ru-RU"/>
        </w:rPr>
      </w:pPr>
    </w:p>
    <w:p w:rsidR="007A4616" w:rsidRDefault="007A4616" w:rsidP="007A4616">
      <w:pPr>
        <w:shd w:val="clear" w:color="auto" w:fill="FFFFFF"/>
        <w:ind w:firstLine="284"/>
        <w:textAlignment w:val="baseline"/>
        <w:rPr>
          <w:i/>
          <w:lang w:val="en-US"/>
        </w:rPr>
      </w:pPr>
      <w:r w:rsidRPr="007A4616">
        <w:rPr>
          <w:b/>
          <w:i/>
          <w:lang w:val="en-US"/>
        </w:rPr>
        <w:t>Gennady I. Yakovlev</w:t>
      </w:r>
      <w:r w:rsidRPr="007A4616">
        <w:rPr>
          <w:i/>
          <w:lang w:val="en-US"/>
        </w:rPr>
        <w:t xml:space="preserve"> – Dr. Sc. (Economics), </w:t>
      </w:r>
      <w:r w:rsidR="006C1F21" w:rsidRPr="006C1F21">
        <w:rPr>
          <w:i/>
          <w:lang w:val="en-US"/>
        </w:rPr>
        <w:t>Professor of the Department of Economics, Organization and Enterprise Development Strategies</w:t>
      </w:r>
      <w:r w:rsidRPr="006C1F21">
        <w:rPr>
          <w:i/>
          <w:lang w:val="en-US"/>
        </w:rPr>
        <w:t xml:space="preserve">, 141 Sovetskoi Armii St, Samara, 443090, Russia; e-mail: dmms7@rambler.ru; </w:t>
      </w:r>
      <w:hyperlink r:id="rId57" w:history="1">
        <w:r w:rsidR="001B6DB3" w:rsidRPr="00E20B6F">
          <w:rPr>
            <w:rStyle w:val="af7"/>
            <w:i/>
            <w:lang w:val="en-US"/>
          </w:rPr>
          <w:t>https://orcid.org/0000-0002- 7507-3613</w:t>
        </w:r>
      </w:hyperlink>
    </w:p>
    <w:p w:rsidR="001B6DB3" w:rsidRPr="007A4616" w:rsidRDefault="001B6DB3" w:rsidP="007A4616">
      <w:pPr>
        <w:shd w:val="clear" w:color="auto" w:fill="FFFFFF"/>
        <w:ind w:firstLine="284"/>
        <w:textAlignment w:val="baseline"/>
        <w:rPr>
          <w:b/>
          <w:szCs w:val="24"/>
          <w:lang w:val="en-US"/>
        </w:rPr>
      </w:pPr>
    </w:p>
    <w:p w:rsidR="007A4616" w:rsidRDefault="007A4616" w:rsidP="00946B13">
      <w:pPr>
        <w:ind w:firstLine="709"/>
        <w:rPr>
          <w:b/>
          <w:szCs w:val="24"/>
          <w:lang w:val="en-US"/>
        </w:rPr>
        <w:sectPr w:rsidR="007A4616" w:rsidSect="004577D3">
          <w:footnotePr>
            <w:numRestart w:val="eachPage"/>
          </w:footnotePr>
          <w:type w:val="continuous"/>
          <w:pgSz w:w="11907" w:h="16840" w:code="9"/>
          <w:pgMar w:top="1418" w:right="1134" w:bottom="1418" w:left="1134" w:header="1021" w:footer="1021" w:gutter="0"/>
          <w:cols w:num="2" w:space="708"/>
          <w:docGrid w:linePitch="360"/>
        </w:sectPr>
      </w:pPr>
    </w:p>
    <w:p w:rsidR="00017F31" w:rsidRPr="003E3A6F" w:rsidRDefault="00017F31" w:rsidP="00CC2A37">
      <w:pPr>
        <w:kinsoku w:val="0"/>
        <w:overflowPunct w:val="0"/>
        <w:autoSpaceDE w:val="0"/>
        <w:autoSpaceDN w:val="0"/>
        <w:spacing w:before="120"/>
        <w:ind w:firstLine="0"/>
        <w:jc w:val="right"/>
        <w:outlineLvl w:val="0"/>
        <w:rPr>
          <w:i/>
          <w:sz w:val="22"/>
          <w:szCs w:val="22"/>
        </w:rPr>
      </w:pPr>
      <w:r w:rsidRPr="003E3A6F">
        <w:rPr>
          <w:i/>
          <w:sz w:val="22"/>
          <w:szCs w:val="22"/>
        </w:rPr>
        <w:lastRenderedPageBreak/>
        <w:t>Статья</w:t>
      </w:r>
      <w:r w:rsidR="006C680D" w:rsidRPr="003E3A6F">
        <w:rPr>
          <w:i/>
          <w:sz w:val="22"/>
          <w:szCs w:val="22"/>
        </w:rPr>
        <w:t xml:space="preserve"> </w:t>
      </w:r>
      <w:r w:rsidRPr="003E3A6F">
        <w:rPr>
          <w:i/>
          <w:sz w:val="22"/>
          <w:szCs w:val="22"/>
        </w:rPr>
        <w:t>поступила</w:t>
      </w:r>
      <w:r w:rsidR="006C680D" w:rsidRPr="003E3A6F">
        <w:rPr>
          <w:i/>
          <w:sz w:val="22"/>
          <w:szCs w:val="22"/>
        </w:rPr>
        <w:t xml:space="preserve"> </w:t>
      </w:r>
      <w:r w:rsidRPr="003E3A6F">
        <w:rPr>
          <w:i/>
          <w:sz w:val="22"/>
          <w:szCs w:val="22"/>
        </w:rPr>
        <w:t>в</w:t>
      </w:r>
      <w:r w:rsidR="00BC18EC">
        <w:rPr>
          <w:i/>
          <w:sz w:val="22"/>
          <w:szCs w:val="22"/>
        </w:rPr>
        <w:t xml:space="preserve"> </w:t>
      </w:r>
      <w:r w:rsidRPr="003E3A6F">
        <w:rPr>
          <w:i/>
          <w:sz w:val="22"/>
          <w:szCs w:val="22"/>
        </w:rPr>
        <w:t>редакцию</w:t>
      </w:r>
      <w:r w:rsidR="006C680D" w:rsidRPr="003E3A6F">
        <w:rPr>
          <w:i/>
          <w:sz w:val="22"/>
          <w:szCs w:val="22"/>
        </w:rPr>
        <w:t xml:space="preserve"> </w:t>
      </w:r>
      <w:r w:rsidR="008A4488" w:rsidRPr="003E3A6F">
        <w:rPr>
          <w:i/>
          <w:sz w:val="22"/>
          <w:szCs w:val="22"/>
        </w:rPr>
        <w:t>04</w:t>
      </w:r>
      <w:r w:rsidRPr="003E3A6F">
        <w:rPr>
          <w:i/>
          <w:sz w:val="22"/>
          <w:szCs w:val="22"/>
        </w:rPr>
        <w:t>.</w:t>
      </w:r>
      <w:r w:rsidR="00E57478" w:rsidRPr="003E3A6F">
        <w:rPr>
          <w:i/>
          <w:sz w:val="22"/>
          <w:szCs w:val="22"/>
        </w:rPr>
        <w:t>1</w:t>
      </w:r>
      <w:r w:rsidR="008A4488" w:rsidRPr="003E3A6F">
        <w:rPr>
          <w:i/>
          <w:sz w:val="22"/>
          <w:szCs w:val="22"/>
        </w:rPr>
        <w:t>2</w:t>
      </w:r>
      <w:r w:rsidRPr="003E3A6F">
        <w:rPr>
          <w:i/>
          <w:sz w:val="22"/>
          <w:szCs w:val="22"/>
        </w:rPr>
        <w:t>.25,</w:t>
      </w:r>
      <w:r w:rsidR="006C680D" w:rsidRPr="003E3A6F">
        <w:rPr>
          <w:i/>
          <w:sz w:val="22"/>
          <w:szCs w:val="22"/>
        </w:rPr>
        <w:t xml:space="preserve"> </w:t>
      </w:r>
      <w:r w:rsidRPr="003E3A6F">
        <w:rPr>
          <w:i/>
          <w:sz w:val="22"/>
          <w:szCs w:val="22"/>
        </w:rPr>
        <w:t>принята</w:t>
      </w:r>
      <w:r w:rsidR="006C680D" w:rsidRPr="003E3A6F">
        <w:rPr>
          <w:i/>
          <w:sz w:val="22"/>
          <w:szCs w:val="22"/>
        </w:rPr>
        <w:t xml:space="preserve"> </w:t>
      </w:r>
      <w:r w:rsidRPr="003E3A6F">
        <w:rPr>
          <w:i/>
          <w:sz w:val="22"/>
          <w:szCs w:val="22"/>
        </w:rPr>
        <w:t>к</w:t>
      </w:r>
      <w:r w:rsidR="006C680D" w:rsidRPr="003E3A6F">
        <w:rPr>
          <w:i/>
          <w:sz w:val="22"/>
          <w:szCs w:val="22"/>
        </w:rPr>
        <w:t xml:space="preserve"> </w:t>
      </w:r>
      <w:r w:rsidRPr="003E3A6F">
        <w:rPr>
          <w:i/>
          <w:sz w:val="22"/>
          <w:szCs w:val="22"/>
        </w:rPr>
        <w:t>опубликованию</w:t>
      </w:r>
      <w:r w:rsidR="006C680D" w:rsidRPr="003E3A6F">
        <w:rPr>
          <w:i/>
          <w:sz w:val="22"/>
          <w:szCs w:val="22"/>
        </w:rPr>
        <w:t xml:space="preserve"> </w:t>
      </w:r>
      <w:r w:rsidR="00E57478" w:rsidRPr="003E3A6F">
        <w:rPr>
          <w:i/>
          <w:sz w:val="22"/>
          <w:szCs w:val="22"/>
        </w:rPr>
        <w:t>15</w:t>
      </w:r>
      <w:r w:rsidRPr="003E3A6F">
        <w:rPr>
          <w:i/>
          <w:sz w:val="22"/>
          <w:szCs w:val="22"/>
        </w:rPr>
        <w:t>.</w:t>
      </w:r>
      <w:r w:rsidR="008A4488" w:rsidRPr="003E3A6F">
        <w:rPr>
          <w:i/>
          <w:sz w:val="22"/>
          <w:szCs w:val="22"/>
        </w:rPr>
        <w:t>03</w:t>
      </w:r>
      <w:r w:rsidRPr="003E3A6F">
        <w:rPr>
          <w:i/>
          <w:sz w:val="22"/>
          <w:szCs w:val="22"/>
        </w:rPr>
        <w:t>.2</w:t>
      </w:r>
      <w:r w:rsidR="008A4488" w:rsidRPr="003E3A6F">
        <w:rPr>
          <w:i/>
          <w:sz w:val="22"/>
          <w:szCs w:val="22"/>
        </w:rPr>
        <w:t>6</w:t>
      </w:r>
    </w:p>
    <w:p w:rsidR="008A4488" w:rsidRPr="00D337FA" w:rsidRDefault="008A4488" w:rsidP="00CC2A37">
      <w:pPr>
        <w:kinsoku w:val="0"/>
        <w:overflowPunct w:val="0"/>
        <w:autoSpaceDE w:val="0"/>
        <w:autoSpaceDN w:val="0"/>
        <w:spacing w:before="120"/>
        <w:ind w:firstLine="0"/>
        <w:jc w:val="right"/>
        <w:outlineLvl w:val="0"/>
        <w:rPr>
          <w:i/>
          <w:sz w:val="22"/>
          <w:szCs w:val="22"/>
        </w:rPr>
      </w:pPr>
    </w:p>
    <w:p w:rsidR="008A4488" w:rsidRDefault="008A4488"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5C6561" w:rsidRDefault="005C6561" w:rsidP="00CC2A37">
      <w:pPr>
        <w:kinsoku w:val="0"/>
        <w:overflowPunct w:val="0"/>
        <w:autoSpaceDE w:val="0"/>
        <w:autoSpaceDN w:val="0"/>
        <w:spacing w:before="120"/>
        <w:ind w:firstLine="0"/>
        <w:jc w:val="right"/>
        <w:outlineLvl w:val="0"/>
        <w:rPr>
          <w:i/>
          <w:sz w:val="22"/>
          <w:szCs w:val="22"/>
        </w:rPr>
      </w:pPr>
    </w:p>
    <w:p w:rsidR="00CC2A37" w:rsidRPr="00D337FA" w:rsidRDefault="00CC2A37" w:rsidP="00017F31">
      <w:pPr>
        <w:pStyle w:val="afd"/>
        <w:jc w:val="both"/>
        <w:rPr>
          <w:b w:val="0"/>
          <w:i/>
          <w:color w:val="auto"/>
          <w:highlight w:val="yellow"/>
        </w:rPr>
        <w:sectPr w:rsidR="00CC2A37" w:rsidRPr="00D337FA" w:rsidSect="00CC2A37">
          <w:headerReference w:type="even" r:id="rId58"/>
          <w:headerReference w:type="default" r:id="rId59"/>
          <w:footnotePr>
            <w:numRestart w:val="eachPage"/>
          </w:footnotePr>
          <w:type w:val="continuous"/>
          <w:pgSz w:w="11907" w:h="16840" w:code="9"/>
          <w:pgMar w:top="1418" w:right="1134" w:bottom="1418" w:left="1134" w:header="1021" w:footer="1021" w:gutter="0"/>
          <w:cols w:space="567"/>
          <w:noEndnote/>
          <w:docGrid w:linePitch="65"/>
        </w:sectPr>
      </w:pPr>
    </w:p>
    <w:p w:rsidR="00250468" w:rsidRPr="00D337FA" w:rsidRDefault="00250468" w:rsidP="00A3493D">
      <w:pPr>
        <w:pStyle w:val="afe"/>
        <w:ind w:firstLine="0"/>
        <w:jc w:val="center"/>
        <w:rPr>
          <w:b/>
          <w:color w:val="auto"/>
          <w:sz w:val="20"/>
        </w:rPr>
      </w:pPr>
      <w:r w:rsidRPr="00D337FA">
        <w:rPr>
          <w:b/>
          <w:color w:val="auto"/>
          <w:sz w:val="20"/>
        </w:rPr>
        <w:lastRenderedPageBreak/>
        <w:t>Правила</w:t>
      </w:r>
      <w:r w:rsidR="006C680D" w:rsidRPr="00D337FA">
        <w:rPr>
          <w:b/>
          <w:color w:val="auto"/>
          <w:sz w:val="20"/>
        </w:rPr>
        <w:t xml:space="preserve"> </w:t>
      </w:r>
      <w:r w:rsidRPr="00D337FA">
        <w:rPr>
          <w:b/>
          <w:color w:val="auto"/>
          <w:sz w:val="20"/>
        </w:rPr>
        <w:t>оформления</w:t>
      </w:r>
      <w:r w:rsidR="006C680D" w:rsidRPr="00D337FA">
        <w:rPr>
          <w:b/>
          <w:color w:val="auto"/>
          <w:sz w:val="20"/>
        </w:rPr>
        <w:t xml:space="preserve"> </w:t>
      </w:r>
      <w:r w:rsidRPr="00D337FA">
        <w:rPr>
          <w:b/>
          <w:color w:val="auto"/>
          <w:sz w:val="20"/>
        </w:rPr>
        <w:t>статей</w:t>
      </w:r>
      <w:r w:rsidR="00A3493D" w:rsidRPr="00D337FA">
        <w:rPr>
          <w:b/>
          <w:color w:val="auto"/>
          <w:sz w:val="20"/>
        </w:rPr>
        <w:br/>
      </w:r>
      <w:r w:rsidRPr="00D337FA">
        <w:rPr>
          <w:b/>
          <w:color w:val="auto"/>
          <w:sz w:val="20"/>
        </w:rPr>
        <w:t>для</w:t>
      </w:r>
      <w:r w:rsidR="006C680D" w:rsidRPr="00D337FA">
        <w:rPr>
          <w:b/>
          <w:color w:val="auto"/>
          <w:sz w:val="20"/>
        </w:rPr>
        <w:t xml:space="preserve"> </w:t>
      </w:r>
      <w:r w:rsidRPr="00D337FA">
        <w:rPr>
          <w:b/>
          <w:color w:val="auto"/>
          <w:sz w:val="20"/>
        </w:rPr>
        <w:t>публикации</w:t>
      </w:r>
      <w:r w:rsidR="006C680D" w:rsidRPr="00D337FA">
        <w:rPr>
          <w:b/>
          <w:color w:val="auto"/>
          <w:sz w:val="20"/>
        </w:rPr>
        <w:t xml:space="preserve"> </w:t>
      </w:r>
      <w:r w:rsidRPr="00D337FA">
        <w:rPr>
          <w:b/>
          <w:color w:val="auto"/>
          <w:sz w:val="20"/>
        </w:rPr>
        <w:t>в</w:t>
      </w:r>
      <w:r w:rsidR="006C680D" w:rsidRPr="00D337FA">
        <w:rPr>
          <w:b/>
          <w:color w:val="auto"/>
          <w:sz w:val="20"/>
        </w:rPr>
        <w:t xml:space="preserve"> </w:t>
      </w:r>
      <w:r w:rsidRPr="00D337FA">
        <w:rPr>
          <w:b/>
          <w:color w:val="auto"/>
          <w:sz w:val="20"/>
        </w:rPr>
        <w:t>научном</w:t>
      </w:r>
      <w:r w:rsidR="006C680D" w:rsidRPr="00D337FA">
        <w:rPr>
          <w:b/>
          <w:color w:val="auto"/>
          <w:sz w:val="20"/>
        </w:rPr>
        <w:t xml:space="preserve"> </w:t>
      </w:r>
      <w:r w:rsidRPr="00D337FA">
        <w:rPr>
          <w:b/>
          <w:color w:val="auto"/>
          <w:sz w:val="20"/>
        </w:rPr>
        <w:t>рецензируемом</w:t>
      </w:r>
      <w:r w:rsidR="006C680D" w:rsidRPr="00D337FA">
        <w:rPr>
          <w:b/>
          <w:color w:val="auto"/>
          <w:sz w:val="20"/>
        </w:rPr>
        <w:t xml:space="preserve"> </w:t>
      </w:r>
      <w:r w:rsidRPr="00D337FA">
        <w:rPr>
          <w:b/>
          <w:color w:val="auto"/>
          <w:sz w:val="20"/>
        </w:rPr>
        <w:t>журнале</w:t>
      </w:r>
      <w:r w:rsidR="006C680D" w:rsidRPr="00D337FA">
        <w:rPr>
          <w:b/>
          <w:color w:val="auto"/>
          <w:sz w:val="20"/>
        </w:rPr>
        <w:t xml:space="preserve"> </w:t>
      </w:r>
      <w:r w:rsidRPr="00D337FA">
        <w:rPr>
          <w:b/>
          <w:color w:val="auto"/>
          <w:sz w:val="20"/>
        </w:rPr>
        <w:t>«Инновационная</w:t>
      </w:r>
      <w:r w:rsidR="006C680D" w:rsidRPr="00D337FA">
        <w:rPr>
          <w:b/>
          <w:color w:val="auto"/>
          <w:sz w:val="20"/>
        </w:rPr>
        <w:t xml:space="preserve"> </w:t>
      </w:r>
      <w:r w:rsidRPr="00D337FA">
        <w:rPr>
          <w:b/>
          <w:color w:val="auto"/>
          <w:sz w:val="20"/>
        </w:rPr>
        <w:t>деятельность»</w:t>
      </w:r>
    </w:p>
    <w:p w:rsidR="00250468" w:rsidRPr="00D337FA" w:rsidRDefault="00250468" w:rsidP="00A3493D">
      <w:pPr>
        <w:pStyle w:val="afe"/>
        <w:rPr>
          <w:color w:val="auto"/>
          <w:spacing w:val="-4"/>
          <w:sz w:val="19"/>
          <w:szCs w:val="19"/>
        </w:rPr>
      </w:pPr>
      <w:r w:rsidRPr="00D337FA">
        <w:rPr>
          <w:color w:val="auto"/>
          <w:spacing w:val="-4"/>
          <w:sz w:val="19"/>
          <w:szCs w:val="19"/>
        </w:rPr>
        <w:t>1.</w:t>
      </w:r>
      <w:r w:rsidR="006C680D" w:rsidRPr="00D337FA">
        <w:rPr>
          <w:color w:val="auto"/>
          <w:spacing w:val="-4"/>
          <w:sz w:val="19"/>
          <w:szCs w:val="19"/>
        </w:rPr>
        <w:t xml:space="preserve"> </w:t>
      </w:r>
      <w:r w:rsidRPr="00D337FA">
        <w:rPr>
          <w:color w:val="auto"/>
          <w:spacing w:val="-4"/>
          <w:sz w:val="19"/>
          <w:szCs w:val="19"/>
        </w:rPr>
        <w:t>Основной</w:t>
      </w:r>
      <w:r w:rsidR="006C680D" w:rsidRPr="00D337FA">
        <w:rPr>
          <w:color w:val="auto"/>
          <w:spacing w:val="-4"/>
          <w:sz w:val="19"/>
          <w:szCs w:val="19"/>
        </w:rPr>
        <w:t xml:space="preserve"> </w:t>
      </w:r>
      <w:r w:rsidRPr="00D337FA">
        <w:rPr>
          <w:color w:val="auto"/>
          <w:spacing w:val="-4"/>
          <w:sz w:val="19"/>
          <w:szCs w:val="19"/>
        </w:rPr>
        <w:t>текст</w:t>
      </w:r>
      <w:r w:rsidR="006C680D" w:rsidRPr="00D337FA">
        <w:rPr>
          <w:color w:val="auto"/>
          <w:spacing w:val="-4"/>
          <w:sz w:val="19"/>
          <w:szCs w:val="19"/>
        </w:rPr>
        <w:t xml:space="preserve"> </w:t>
      </w:r>
      <w:r w:rsidRPr="00D337FA">
        <w:rPr>
          <w:color w:val="auto"/>
          <w:spacing w:val="-4"/>
          <w:sz w:val="19"/>
          <w:szCs w:val="19"/>
        </w:rPr>
        <w:t>рукописи</w:t>
      </w:r>
      <w:r w:rsidR="006C680D" w:rsidRPr="00D337FA">
        <w:rPr>
          <w:color w:val="auto"/>
          <w:spacing w:val="-4"/>
          <w:sz w:val="19"/>
          <w:szCs w:val="19"/>
        </w:rPr>
        <w:t xml:space="preserve"> </w:t>
      </w:r>
      <w:r w:rsidRPr="00D337FA">
        <w:rPr>
          <w:color w:val="auto"/>
          <w:spacing w:val="-4"/>
          <w:sz w:val="19"/>
          <w:szCs w:val="19"/>
        </w:rPr>
        <w:t>статьи</w:t>
      </w:r>
      <w:r w:rsidR="006C680D" w:rsidRPr="00D337FA">
        <w:rPr>
          <w:color w:val="auto"/>
          <w:spacing w:val="-4"/>
          <w:sz w:val="19"/>
          <w:szCs w:val="19"/>
        </w:rPr>
        <w:t xml:space="preserve"> </w:t>
      </w:r>
      <w:r w:rsidRPr="00D337FA">
        <w:rPr>
          <w:color w:val="auto"/>
          <w:spacing w:val="-4"/>
          <w:sz w:val="19"/>
          <w:szCs w:val="19"/>
        </w:rPr>
        <w:t>(кроме</w:t>
      </w:r>
      <w:r w:rsidR="006C680D" w:rsidRPr="00D337FA">
        <w:rPr>
          <w:color w:val="auto"/>
          <w:spacing w:val="-4"/>
          <w:sz w:val="19"/>
          <w:szCs w:val="19"/>
        </w:rPr>
        <w:t xml:space="preserve"> </w:t>
      </w:r>
      <w:r w:rsidRPr="00D337FA">
        <w:rPr>
          <w:color w:val="auto"/>
          <w:spacing w:val="-4"/>
          <w:sz w:val="19"/>
          <w:szCs w:val="19"/>
        </w:rPr>
        <w:t>аннотации</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ключевых</w:t>
      </w:r>
      <w:r w:rsidR="006C680D" w:rsidRPr="00D337FA">
        <w:rPr>
          <w:color w:val="auto"/>
          <w:spacing w:val="-4"/>
          <w:sz w:val="19"/>
          <w:szCs w:val="19"/>
        </w:rPr>
        <w:t xml:space="preserve"> </w:t>
      </w:r>
      <w:r w:rsidRPr="00D337FA">
        <w:rPr>
          <w:color w:val="auto"/>
          <w:spacing w:val="-4"/>
          <w:sz w:val="19"/>
          <w:szCs w:val="19"/>
        </w:rPr>
        <w:t>слов)</w:t>
      </w:r>
      <w:r w:rsidR="006C680D" w:rsidRPr="00D337FA">
        <w:rPr>
          <w:color w:val="auto"/>
          <w:spacing w:val="-4"/>
          <w:sz w:val="19"/>
          <w:szCs w:val="19"/>
        </w:rPr>
        <w:t xml:space="preserve"> </w:t>
      </w:r>
      <w:r w:rsidRPr="00D337FA">
        <w:rPr>
          <w:color w:val="auto"/>
          <w:spacing w:val="-4"/>
          <w:sz w:val="19"/>
          <w:szCs w:val="19"/>
        </w:rPr>
        <w:t>набирают</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текстовом</w:t>
      </w:r>
      <w:r w:rsidR="006C680D" w:rsidRPr="00D337FA">
        <w:rPr>
          <w:color w:val="auto"/>
          <w:spacing w:val="-4"/>
          <w:sz w:val="19"/>
          <w:szCs w:val="19"/>
        </w:rPr>
        <w:t xml:space="preserve"> </w:t>
      </w:r>
      <w:r w:rsidRPr="00D337FA">
        <w:rPr>
          <w:color w:val="auto"/>
          <w:spacing w:val="-4"/>
          <w:sz w:val="19"/>
          <w:szCs w:val="19"/>
        </w:rPr>
        <w:t>редакторе</w:t>
      </w:r>
      <w:r w:rsidR="006C680D" w:rsidRPr="00D337FA">
        <w:rPr>
          <w:color w:val="auto"/>
          <w:spacing w:val="-4"/>
          <w:sz w:val="19"/>
          <w:szCs w:val="19"/>
        </w:rPr>
        <w:t xml:space="preserve"> </w:t>
      </w:r>
      <w:r w:rsidRPr="00D337FA">
        <w:rPr>
          <w:color w:val="auto"/>
          <w:spacing w:val="-4"/>
          <w:sz w:val="19"/>
          <w:szCs w:val="19"/>
        </w:rPr>
        <w:t>MS</w:t>
      </w:r>
      <w:r w:rsidR="006C680D" w:rsidRPr="00D337FA">
        <w:rPr>
          <w:color w:val="auto"/>
          <w:spacing w:val="-4"/>
          <w:sz w:val="19"/>
          <w:szCs w:val="19"/>
        </w:rPr>
        <w:t xml:space="preserve"> </w:t>
      </w:r>
      <w:r w:rsidRPr="00D337FA">
        <w:rPr>
          <w:color w:val="auto"/>
          <w:spacing w:val="-4"/>
          <w:sz w:val="19"/>
          <w:szCs w:val="19"/>
        </w:rPr>
        <w:t>WORD</w:t>
      </w:r>
      <w:r w:rsidR="006C680D" w:rsidRPr="00D337FA">
        <w:rPr>
          <w:color w:val="auto"/>
          <w:spacing w:val="-4"/>
          <w:sz w:val="19"/>
          <w:szCs w:val="19"/>
        </w:rPr>
        <w:t xml:space="preserve"> </w:t>
      </w:r>
      <w:r w:rsidRPr="00D337FA">
        <w:rPr>
          <w:color w:val="auto"/>
          <w:spacing w:val="-4"/>
          <w:sz w:val="19"/>
          <w:szCs w:val="19"/>
        </w:rPr>
        <w:t>шрифтом</w:t>
      </w:r>
      <w:r w:rsidR="006C680D" w:rsidRPr="00D337FA">
        <w:rPr>
          <w:color w:val="auto"/>
          <w:spacing w:val="-4"/>
          <w:sz w:val="19"/>
          <w:szCs w:val="19"/>
        </w:rPr>
        <w:t xml:space="preserve"> </w:t>
      </w:r>
      <w:r w:rsidRPr="00D337FA">
        <w:rPr>
          <w:color w:val="auto"/>
          <w:spacing w:val="-4"/>
          <w:sz w:val="19"/>
          <w:szCs w:val="19"/>
        </w:rPr>
        <w:t>Times</w:t>
      </w:r>
      <w:r w:rsidR="006C680D" w:rsidRPr="00D337FA">
        <w:rPr>
          <w:color w:val="auto"/>
          <w:spacing w:val="-4"/>
          <w:sz w:val="19"/>
          <w:szCs w:val="19"/>
        </w:rPr>
        <w:t xml:space="preserve"> </w:t>
      </w:r>
      <w:r w:rsidRPr="00D337FA">
        <w:rPr>
          <w:color w:val="auto"/>
          <w:spacing w:val="-4"/>
          <w:sz w:val="19"/>
          <w:szCs w:val="19"/>
        </w:rPr>
        <w:t>New</w:t>
      </w:r>
      <w:r w:rsidR="006C680D" w:rsidRPr="00D337FA">
        <w:rPr>
          <w:color w:val="auto"/>
          <w:spacing w:val="-4"/>
          <w:sz w:val="19"/>
          <w:szCs w:val="19"/>
        </w:rPr>
        <w:t xml:space="preserve"> </w:t>
      </w:r>
      <w:r w:rsidRPr="00D337FA">
        <w:rPr>
          <w:color w:val="auto"/>
          <w:spacing w:val="-4"/>
          <w:sz w:val="19"/>
          <w:szCs w:val="19"/>
        </w:rPr>
        <w:t>Roman</w:t>
      </w:r>
      <w:r w:rsidR="006C680D" w:rsidRPr="00D337FA">
        <w:rPr>
          <w:color w:val="auto"/>
          <w:spacing w:val="-4"/>
          <w:sz w:val="19"/>
          <w:szCs w:val="19"/>
        </w:rPr>
        <w:t xml:space="preserve"> </w:t>
      </w:r>
      <w:r w:rsidRPr="00D337FA">
        <w:rPr>
          <w:color w:val="auto"/>
          <w:spacing w:val="-4"/>
          <w:sz w:val="19"/>
          <w:szCs w:val="19"/>
        </w:rPr>
        <w:t>размером</w:t>
      </w:r>
      <w:r w:rsidR="006C680D" w:rsidRPr="00D337FA">
        <w:rPr>
          <w:color w:val="auto"/>
          <w:spacing w:val="-4"/>
          <w:sz w:val="19"/>
          <w:szCs w:val="19"/>
        </w:rPr>
        <w:t xml:space="preserve"> </w:t>
      </w:r>
      <w:r w:rsidRPr="00D337FA">
        <w:rPr>
          <w:color w:val="auto"/>
          <w:spacing w:val="-4"/>
          <w:sz w:val="19"/>
          <w:szCs w:val="19"/>
        </w:rPr>
        <w:t>1</w:t>
      </w:r>
      <w:r w:rsidR="00184000" w:rsidRPr="00D337FA">
        <w:rPr>
          <w:color w:val="auto"/>
          <w:spacing w:val="-4"/>
          <w:sz w:val="19"/>
          <w:szCs w:val="19"/>
        </w:rPr>
        <w:t>2</w:t>
      </w:r>
      <w:r w:rsidR="006C680D" w:rsidRPr="00D337FA">
        <w:rPr>
          <w:color w:val="auto"/>
          <w:spacing w:val="-4"/>
          <w:sz w:val="19"/>
          <w:szCs w:val="19"/>
        </w:rPr>
        <w:t xml:space="preserve"> </w:t>
      </w:r>
      <w:r w:rsidRPr="00D337FA">
        <w:rPr>
          <w:color w:val="auto"/>
          <w:spacing w:val="-4"/>
          <w:sz w:val="19"/>
          <w:szCs w:val="19"/>
        </w:rPr>
        <w:t>пт</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одинарным</w:t>
      </w:r>
      <w:r w:rsidR="006C680D" w:rsidRPr="00D337FA">
        <w:rPr>
          <w:color w:val="auto"/>
          <w:spacing w:val="-4"/>
          <w:sz w:val="19"/>
          <w:szCs w:val="19"/>
        </w:rPr>
        <w:t xml:space="preserve"> </w:t>
      </w:r>
      <w:r w:rsidRPr="00D337FA">
        <w:rPr>
          <w:color w:val="auto"/>
          <w:spacing w:val="-4"/>
          <w:sz w:val="19"/>
          <w:szCs w:val="19"/>
        </w:rPr>
        <w:t>интервалом,</w:t>
      </w:r>
      <w:r w:rsidR="006C680D" w:rsidRPr="00D337FA">
        <w:rPr>
          <w:color w:val="auto"/>
          <w:spacing w:val="-4"/>
          <w:sz w:val="19"/>
          <w:szCs w:val="19"/>
        </w:rPr>
        <w:t xml:space="preserve"> </w:t>
      </w:r>
      <w:r w:rsidRPr="00D337FA">
        <w:rPr>
          <w:color w:val="auto"/>
          <w:spacing w:val="-4"/>
          <w:sz w:val="19"/>
          <w:szCs w:val="19"/>
        </w:rPr>
        <w:t>выравнивание</w:t>
      </w:r>
      <w:r w:rsidR="006C680D" w:rsidRPr="00D337FA">
        <w:rPr>
          <w:color w:val="auto"/>
          <w:spacing w:val="-4"/>
          <w:sz w:val="19"/>
          <w:szCs w:val="19"/>
        </w:rPr>
        <w:t xml:space="preserve"> </w:t>
      </w:r>
      <w:r w:rsidRPr="00D337FA">
        <w:rPr>
          <w:color w:val="auto"/>
          <w:spacing w:val="-4"/>
          <w:sz w:val="19"/>
          <w:szCs w:val="19"/>
        </w:rPr>
        <w:t>по</w:t>
      </w:r>
      <w:r w:rsidR="006C680D" w:rsidRPr="00D337FA">
        <w:rPr>
          <w:color w:val="auto"/>
          <w:spacing w:val="-4"/>
          <w:sz w:val="19"/>
          <w:szCs w:val="19"/>
        </w:rPr>
        <w:t xml:space="preserve"> </w:t>
      </w:r>
      <w:r w:rsidRPr="00D337FA">
        <w:rPr>
          <w:color w:val="auto"/>
          <w:spacing w:val="-4"/>
          <w:sz w:val="19"/>
          <w:szCs w:val="19"/>
        </w:rPr>
        <w:t>ширине.</w:t>
      </w:r>
      <w:r w:rsidR="006C680D" w:rsidRPr="00D337FA">
        <w:rPr>
          <w:color w:val="auto"/>
          <w:spacing w:val="-4"/>
          <w:sz w:val="19"/>
          <w:szCs w:val="19"/>
        </w:rPr>
        <w:t xml:space="preserve"> </w:t>
      </w:r>
      <w:r w:rsidRPr="00D337FA">
        <w:rPr>
          <w:color w:val="auto"/>
          <w:spacing w:val="-4"/>
          <w:sz w:val="19"/>
          <w:szCs w:val="19"/>
        </w:rPr>
        <w:t>Поля</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левой</w:t>
      </w:r>
      <w:r w:rsidR="00184000" w:rsidRPr="00D337FA">
        <w:rPr>
          <w:color w:val="auto"/>
          <w:spacing w:val="-4"/>
          <w:sz w:val="19"/>
          <w:szCs w:val="19"/>
        </w:rPr>
        <w:t>,</w:t>
      </w:r>
      <w:r w:rsidR="006C680D" w:rsidRPr="00D337FA">
        <w:rPr>
          <w:color w:val="auto"/>
          <w:spacing w:val="-4"/>
          <w:sz w:val="19"/>
          <w:szCs w:val="19"/>
        </w:rPr>
        <w:t xml:space="preserve"> </w:t>
      </w:r>
      <w:r w:rsidR="00184000" w:rsidRPr="00D337FA">
        <w:rPr>
          <w:color w:val="auto"/>
          <w:spacing w:val="-4"/>
          <w:sz w:val="19"/>
          <w:szCs w:val="19"/>
        </w:rPr>
        <w:t>правой</w:t>
      </w:r>
      <w:r w:rsidR="006C680D" w:rsidRPr="00D337FA">
        <w:rPr>
          <w:color w:val="auto"/>
          <w:spacing w:val="-4"/>
          <w:sz w:val="19"/>
          <w:szCs w:val="19"/>
        </w:rPr>
        <w:t xml:space="preserve"> </w:t>
      </w:r>
      <w:r w:rsidR="00184000" w:rsidRPr="00D337FA">
        <w:rPr>
          <w:color w:val="auto"/>
          <w:spacing w:val="-4"/>
          <w:sz w:val="19"/>
          <w:szCs w:val="19"/>
        </w:rPr>
        <w:t>сторон</w:t>
      </w:r>
      <w:r w:rsidR="006C680D" w:rsidRPr="00D337FA">
        <w:rPr>
          <w:color w:val="auto"/>
          <w:spacing w:val="-4"/>
          <w:sz w:val="19"/>
          <w:szCs w:val="19"/>
        </w:rPr>
        <w:t xml:space="preserve"> </w:t>
      </w:r>
      <w:r w:rsidR="00184000"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сверху</w:t>
      </w:r>
      <w:r w:rsidR="006C680D" w:rsidRPr="00D337FA">
        <w:rPr>
          <w:color w:val="auto"/>
          <w:spacing w:val="-4"/>
          <w:sz w:val="19"/>
          <w:szCs w:val="19"/>
        </w:rPr>
        <w:t xml:space="preserve"> </w:t>
      </w:r>
      <w:r w:rsidR="00184000" w:rsidRPr="00D337FA">
        <w:rPr>
          <w:color w:val="auto"/>
          <w:spacing w:val="-4"/>
          <w:sz w:val="19"/>
          <w:szCs w:val="19"/>
        </w:rPr>
        <w:t>листа</w:t>
      </w:r>
      <w:r w:rsidR="006C680D" w:rsidRPr="00D337FA">
        <w:rPr>
          <w:color w:val="auto"/>
          <w:spacing w:val="-4"/>
          <w:sz w:val="19"/>
          <w:szCs w:val="19"/>
        </w:rPr>
        <w:t xml:space="preserve"> </w:t>
      </w:r>
      <w:r w:rsidR="00184000"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2,</w:t>
      </w:r>
      <w:r w:rsidR="00184000" w:rsidRPr="00D337FA">
        <w:rPr>
          <w:color w:val="auto"/>
          <w:spacing w:val="-4"/>
          <w:sz w:val="19"/>
          <w:szCs w:val="19"/>
        </w:rPr>
        <w:t>0</w:t>
      </w:r>
      <w:r w:rsidR="006C680D" w:rsidRPr="00D337FA">
        <w:rPr>
          <w:color w:val="auto"/>
          <w:spacing w:val="-4"/>
          <w:sz w:val="19"/>
          <w:szCs w:val="19"/>
        </w:rPr>
        <w:t xml:space="preserve"> </w:t>
      </w:r>
      <w:r w:rsidRPr="00D337FA">
        <w:rPr>
          <w:color w:val="auto"/>
          <w:spacing w:val="-4"/>
          <w:sz w:val="19"/>
          <w:szCs w:val="19"/>
        </w:rPr>
        <w:t>см,</w:t>
      </w:r>
      <w:r w:rsidR="006C680D" w:rsidRPr="00D337FA">
        <w:rPr>
          <w:color w:val="auto"/>
          <w:spacing w:val="-4"/>
          <w:sz w:val="19"/>
          <w:szCs w:val="19"/>
        </w:rPr>
        <w:t xml:space="preserve"> </w:t>
      </w:r>
      <w:r w:rsidR="00184000" w:rsidRPr="00D337FA">
        <w:rPr>
          <w:color w:val="auto"/>
          <w:spacing w:val="-4"/>
          <w:sz w:val="19"/>
          <w:szCs w:val="19"/>
        </w:rPr>
        <w:t>снизу</w:t>
      </w:r>
      <w:r w:rsidR="006C680D" w:rsidRPr="00D337FA">
        <w:rPr>
          <w:color w:val="auto"/>
          <w:spacing w:val="-4"/>
          <w:sz w:val="19"/>
          <w:szCs w:val="19"/>
        </w:rPr>
        <w:t xml:space="preserve"> </w:t>
      </w:r>
      <w:r w:rsidR="00184000"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2</w:t>
      </w:r>
      <w:r w:rsidR="00184000" w:rsidRPr="00D337FA">
        <w:rPr>
          <w:color w:val="auto"/>
          <w:spacing w:val="-4"/>
          <w:sz w:val="19"/>
          <w:szCs w:val="19"/>
        </w:rPr>
        <w:t>,5</w:t>
      </w:r>
      <w:r w:rsidR="006C680D" w:rsidRPr="00D337FA">
        <w:rPr>
          <w:color w:val="auto"/>
          <w:spacing w:val="-4"/>
          <w:sz w:val="19"/>
          <w:szCs w:val="19"/>
        </w:rPr>
        <w:t xml:space="preserve"> </w:t>
      </w:r>
      <w:r w:rsidRPr="00D337FA">
        <w:rPr>
          <w:color w:val="auto"/>
          <w:spacing w:val="-4"/>
          <w:sz w:val="19"/>
          <w:szCs w:val="19"/>
        </w:rPr>
        <w:t>см.</w:t>
      </w:r>
      <w:r w:rsidR="006C680D" w:rsidRPr="00D337FA">
        <w:rPr>
          <w:color w:val="auto"/>
          <w:spacing w:val="-4"/>
          <w:sz w:val="19"/>
          <w:szCs w:val="19"/>
        </w:rPr>
        <w:t xml:space="preserve"> </w:t>
      </w:r>
      <w:r w:rsidRPr="00D337FA">
        <w:rPr>
          <w:color w:val="auto"/>
          <w:spacing w:val="-4"/>
          <w:sz w:val="19"/>
          <w:szCs w:val="19"/>
        </w:rPr>
        <w:t>Абзацный</w:t>
      </w:r>
      <w:r w:rsidR="006C680D" w:rsidRPr="00D337FA">
        <w:rPr>
          <w:color w:val="auto"/>
          <w:spacing w:val="-4"/>
          <w:sz w:val="19"/>
          <w:szCs w:val="19"/>
        </w:rPr>
        <w:t xml:space="preserve"> </w:t>
      </w:r>
      <w:r w:rsidRPr="00D337FA">
        <w:rPr>
          <w:color w:val="auto"/>
          <w:spacing w:val="-4"/>
          <w:sz w:val="19"/>
          <w:szCs w:val="19"/>
        </w:rPr>
        <w:t>отступ</w:t>
      </w:r>
      <w:r w:rsidR="006C680D" w:rsidRPr="00D337FA">
        <w:rPr>
          <w:color w:val="auto"/>
          <w:spacing w:val="-4"/>
          <w:sz w:val="19"/>
          <w:szCs w:val="19"/>
        </w:rPr>
        <w:t xml:space="preserve"> </w:t>
      </w:r>
      <w:r w:rsidRPr="00D337FA">
        <w:rPr>
          <w:color w:val="auto"/>
          <w:spacing w:val="-4"/>
          <w:sz w:val="19"/>
          <w:szCs w:val="19"/>
        </w:rPr>
        <w:t>–</w:t>
      </w:r>
      <w:r w:rsidR="006C680D" w:rsidRPr="00D337FA">
        <w:rPr>
          <w:color w:val="auto"/>
          <w:spacing w:val="-4"/>
          <w:sz w:val="19"/>
          <w:szCs w:val="19"/>
        </w:rPr>
        <w:t xml:space="preserve"> </w:t>
      </w:r>
      <w:r w:rsidR="00184000" w:rsidRPr="00D337FA">
        <w:rPr>
          <w:color w:val="auto"/>
          <w:spacing w:val="-4"/>
          <w:sz w:val="19"/>
          <w:szCs w:val="19"/>
        </w:rPr>
        <w:t>0,5</w:t>
      </w:r>
      <w:r w:rsidR="006C680D" w:rsidRPr="00D337FA">
        <w:rPr>
          <w:color w:val="auto"/>
          <w:spacing w:val="-4"/>
          <w:sz w:val="19"/>
          <w:szCs w:val="19"/>
        </w:rPr>
        <w:t xml:space="preserve"> </w:t>
      </w:r>
      <w:r w:rsidRPr="00D337FA">
        <w:rPr>
          <w:color w:val="auto"/>
          <w:spacing w:val="-4"/>
          <w:sz w:val="19"/>
          <w:szCs w:val="19"/>
        </w:rPr>
        <w:t>см.</w:t>
      </w:r>
    </w:p>
    <w:p w:rsidR="00250468" w:rsidRPr="00D337FA" w:rsidRDefault="00250468" w:rsidP="00A3493D">
      <w:pPr>
        <w:pStyle w:val="afe"/>
        <w:rPr>
          <w:color w:val="auto"/>
          <w:spacing w:val="-4"/>
          <w:sz w:val="19"/>
          <w:szCs w:val="19"/>
        </w:rPr>
      </w:pPr>
      <w:r w:rsidRPr="00D337FA">
        <w:rPr>
          <w:color w:val="auto"/>
          <w:spacing w:val="-4"/>
          <w:sz w:val="19"/>
          <w:szCs w:val="19"/>
        </w:rPr>
        <w:t>2.</w:t>
      </w:r>
      <w:r w:rsidR="006C680D" w:rsidRPr="00D337FA">
        <w:rPr>
          <w:color w:val="auto"/>
          <w:spacing w:val="-4"/>
          <w:sz w:val="19"/>
          <w:szCs w:val="19"/>
        </w:rPr>
        <w:t xml:space="preserve"> </w:t>
      </w:r>
      <w:r w:rsidRPr="00D337FA">
        <w:rPr>
          <w:color w:val="auto"/>
          <w:spacing w:val="-4"/>
          <w:sz w:val="19"/>
          <w:szCs w:val="19"/>
        </w:rPr>
        <w:t>Схема</w:t>
      </w:r>
      <w:r w:rsidR="006C680D" w:rsidRPr="00D337FA">
        <w:rPr>
          <w:color w:val="auto"/>
          <w:spacing w:val="-4"/>
          <w:sz w:val="19"/>
          <w:szCs w:val="19"/>
        </w:rPr>
        <w:t xml:space="preserve"> </w:t>
      </w:r>
      <w:r w:rsidRPr="00D337FA">
        <w:rPr>
          <w:color w:val="auto"/>
          <w:spacing w:val="-4"/>
          <w:sz w:val="19"/>
          <w:szCs w:val="19"/>
        </w:rPr>
        <w:t>построения</w:t>
      </w:r>
      <w:r w:rsidR="006C680D" w:rsidRPr="00D337FA">
        <w:rPr>
          <w:color w:val="auto"/>
          <w:spacing w:val="-4"/>
          <w:sz w:val="19"/>
          <w:szCs w:val="19"/>
        </w:rPr>
        <w:t xml:space="preserve"> </w:t>
      </w:r>
      <w:r w:rsidRPr="00D337FA">
        <w:rPr>
          <w:color w:val="auto"/>
          <w:spacing w:val="-4"/>
          <w:sz w:val="19"/>
          <w:szCs w:val="19"/>
        </w:rPr>
        <w:t>публикации:</w:t>
      </w:r>
      <w:r w:rsidR="006C680D" w:rsidRPr="00D337FA">
        <w:rPr>
          <w:color w:val="auto"/>
          <w:spacing w:val="-4"/>
          <w:sz w:val="19"/>
          <w:szCs w:val="19"/>
        </w:rPr>
        <w:t xml:space="preserve"> </w:t>
      </w:r>
      <w:r w:rsidRPr="00D337FA">
        <w:rPr>
          <w:color w:val="auto"/>
          <w:spacing w:val="-4"/>
          <w:sz w:val="19"/>
          <w:szCs w:val="19"/>
        </w:rPr>
        <w:t>УДК</w:t>
      </w:r>
      <w:r w:rsidR="006C680D" w:rsidRPr="00D337FA">
        <w:rPr>
          <w:color w:val="auto"/>
          <w:spacing w:val="-4"/>
          <w:sz w:val="19"/>
          <w:szCs w:val="19"/>
        </w:rPr>
        <w:t xml:space="preserve"> </w:t>
      </w:r>
      <w:r w:rsidRPr="00D337FA">
        <w:rPr>
          <w:color w:val="auto"/>
          <w:spacing w:val="-4"/>
          <w:sz w:val="19"/>
          <w:szCs w:val="19"/>
        </w:rPr>
        <w:t>(индекс</w:t>
      </w:r>
      <w:r w:rsidR="006C680D" w:rsidRPr="00D337FA">
        <w:rPr>
          <w:color w:val="auto"/>
          <w:spacing w:val="-4"/>
          <w:sz w:val="19"/>
          <w:szCs w:val="19"/>
        </w:rPr>
        <w:t xml:space="preserve"> </w:t>
      </w:r>
      <w:r w:rsidRPr="00D337FA">
        <w:rPr>
          <w:color w:val="auto"/>
          <w:spacing w:val="-4"/>
          <w:sz w:val="19"/>
          <w:szCs w:val="19"/>
        </w:rPr>
        <w:t>по</w:t>
      </w:r>
      <w:r w:rsidR="006C680D" w:rsidRPr="00D337FA">
        <w:rPr>
          <w:color w:val="auto"/>
          <w:spacing w:val="-4"/>
          <w:sz w:val="19"/>
          <w:szCs w:val="19"/>
        </w:rPr>
        <w:t xml:space="preserve"> </w:t>
      </w:r>
      <w:r w:rsidRPr="00D337FA">
        <w:rPr>
          <w:color w:val="auto"/>
          <w:spacing w:val="-4"/>
          <w:sz w:val="19"/>
          <w:szCs w:val="19"/>
        </w:rPr>
        <w:t>универсальной</w:t>
      </w:r>
      <w:r w:rsidR="006C680D" w:rsidRPr="00D337FA">
        <w:rPr>
          <w:color w:val="auto"/>
          <w:spacing w:val="-4"/>
          <w:sz w:val="19"/>
          <w:szCs w:val="19"/>
        </w:rPr>
        <w:t xml:space="preserve"> </w:t>
      </w:r>
      <w:r w:rsidRPr="00D337FA">
        <w:rPr>
          <w:color w:val="auto"/>
          <w:spacing w:val="-4"/>
          <w:sz w:val="19"/>
          <w:szCs w:val="19"/>
        </w:rPr>
        <w:t>десятичной</w:t>
      </w:r>
      <w:r w:rsidR="006C680D" w:rsidRPr="00D337FA">
        <w:rPr>
          <w:color w:val="auto"/>
          <w:spacing w:val="-4"/>
          <w:sz w:val="19"/>
          <w:szCs w:val="19"/>
        </w:rPr>
        <w:t xml:space="preserve"> </w:t>
      </w:r>
      <w:r w:rsidRPr="00D337FA">
        <w:rPr>
          <w:color w:val="auto"/>
          <w:spacing w:val="-4"/>
          <w:sz w:val="19"/>
          <w:szCs w:val="19"/>
        </w:rPr>
        <w:t>классификации),</w:t>
      </w:r>
      <w:r w:rsidR="006C680D" w:rsidRPr="00D337FA">
        <w:rPr>
          <w:color w:val="auto"/>
          <w:spacing w:val="-4"/>
          <w:sz w:val="19"/>
          <w:szCs w:val="19"/>
        </w:rPr>
        <w:t xml:space="preserve"> </w:t>
      </w:r>
      <w:r w:rsidRPr="00D337FA">
        <w:rPr>
          <w:color w:val="auto"/>
          <w:spacing w:val="-4"/>
          <w:sz w:val="19"/>
          <w:szCs w:val="19"/>
        </w:rPr>
        <w:t>фамилия</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инициалы</w:t>
      </w:r>
      <w:r w:rsidR="006C680D" w:rsidRPr="00D337FA">
        <w:rPr>
          <w:color w:val="auto"/>
          <w:spacing w:val="-4"/>
          <w:sz w:val="19"/>
          <w:szCs w:val="19"/>
        </w:rPr>
        <w:t xml:space="preserve"> </w:t>
      </w:r>
      <w:r w:rsidRPr="00D337FA">
        <w:rPr>
          <w:color w:val="auto"/>
          <w:spacing w:val="-4"/>
          <w:sz w:val="19"/>
          <w:szCs w:val="19"/>
        </w:rPr>
        <w:t>автора(ов)</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указанием</w:t>
      </w:r>
      <w:r w:rsidR="006C680D" w:rsidRPr="00D337FA">
        <w:rPr>
          <w:color w:val="auto"/>
          <w:spacing w:val="-4"/>
          <w:sz w:val="19"/>
          <w:szCs w:val="19"/>
        </w:rPr>
        <w:t xml:space="preserve"> </w:t>
      </w:r>
      <w:r w:rsidRPr="00D337FA">
        <w:rPr>
          <w:color w:val="auto"/>
          <w:spacing w:val="-4"/>
          <w:sz w:val="19"/>
          <w:szCs w:val="19"/>
        </w:rPr>
        <w:t>ученой</w:t>
      </w:r>
      <w:r w:rsidR="006C680D" w:rsidRPr="00D337FA">
        <w:rPr>
          <w:color w:val="auto"/>
          <w:spacing w:val="-4"/>
          <w:sz w:val="19"/>
          <w:szCs w:val="19"/>
        </w:rPr>
        <w:t xml:space="preserve"> </w:t>
      </w:r>
      <w:r w:rsidRPr="00D337FA">
        <w:rPr>
          <w:color w:val="auto"/>
          <w:spacing w:val="-4"/>
          <w:sz w:val="19"/>
          <w:szCs w:val="19"/>
        </w:rPr>
        <w:t>степени,</w:t>
      </w:r>
      <w:r w:rsidR="006C680D" w:rsidRPr="00D337FA">
        <w:rPr>
          <w:color w:val="auto"/>
          <w:spacing w:val="-4"/>
          <w:sz w:val="19"/>
          <w:szCs w:val="19"/>
        </w:rPr>
        <w:t xml:space="preserve"> </w:t>
      </w:r>
      <w:r w:rsidRPr="00D337FA">
        <w:rPr>
          <w:color w:val="auto"/>
          <w:spacing w:val="-4"/>
          <w:sz w:val="19"/>
          <w:szCs w:val="19"/>
        </w:rPr>
        <w:t>звания,</w:t>
      </w:r>
      <w:r w:rsidR="006C680D" w:rsidRPr="00D337FA">
        <w:rPr>
          <w:color w:val="auto"/>
          <w:spacing w:val="-4"/>
          <w:sz w:val="19"/>
          <w:szCs w:val="19"/>
        </w:rPr>
        <w:t xml:space="preserve"> </w:t>
      </w:r>
      <w:r w:rsidRPr="00D337FA">
        <w:rPr>
          <w:color w:val="auto"/>
          <w:spacing w:val="-4"/>
          <w:sz w:val="19"/>
          <w:szCs w:val="19"/>
        </w:rPr>
        <w:t>места</w:t>
      </w:r>
      <w:r w:rsidR="006C680D" w:rsidRPr="00D337FA">
        <w:rPr>
          <w:color w:val="auto"/>
          <w:spacing w:val="-4"/>
          <w:sz w:val="19"/>
          <w:szCs w:val="19"/>
        </w:rPr>
        <w:t xml:space="preserve"> </w:t>
      </w:r>
      <w:r w:rsidRPr="00D337FA">
        <w:rPr>
          <w:color w:val="auto"/>
          <w:spacing w:val="-4"/>
          <w:sz w:val="19"/>
          <w:szCs w:val="19"/>
        </w:rPr>
        <w:t>работы</w:t>
      </w:r>
      <w:r w:rsidR="006C680D" w:rsidRPr="00D337FA">
        <w:rPr>
          <w:color w:val="auto"/>
          <w:spacing w:val="-4"/>
          <w:sz w:val="19"/>
          <w:szCs w:val="19"/>
        </w:rPr>
        <w:t xml:space="preserve"> </w:t>
      </w:r>
      <w:r w:rsidRPr="00D337FA">
        <w:rPr>
          <w:color w:val="auto"/>
          <w:spacing w:val="-4"/>
          <w:sz w:val="19"/>
          <w:szCs w:val="19"/>
        </w:rPr>
        <w:t>(полностью),</w:t>
      </w:r>
      <w:r w:rsidR="006C680D" w:rsidRPr="00D337FA">
        <w:rPr>
          <w:color w:val="auto"/>
          <w:spacing w:val="-4"/>
          <w:sz w:val="19"/>
          <w:szCs w:val="19"/>
        </w:rPr>
        <w:t xml:space="preserve"> </w:t>
      </w:r>
      <w:r w:rsidRPr="00D337FA">
        <w:rPr>
          <w:color w:val="auto"/>
          <w:spacing w:val="-4"/>
          <w:sz w:val="19"/>
          <w:szCs w:val="19"/>
        </w:rPr>
        <w:t>электронного</w:t>
      </w:r>
      <w:r w:rsidR="006C680D" w:rsidRPr="00D337FA">
        <w:rPr>
          <w:color w:val="auto"/>
          <w:spacing w:val="-4"/>
          <w:sz w:val="19"/>
          <w:szCs w:val="19"/>
        </w:rPr>
        <w:t xml:space="preserve"> </w:t>
      </w:r>
      <w:r w:rsidRPr="00D337FA">
        <w:rPr>
          <w:color w:val="auto"/>
          <w:spacing w:val="-4"/>
          <w:sz w:val="19"/>
          <w:szCs w:val="19"/>
        </w:rPr>
        <w:t>адреса</w:t>
      </w:r>
      <w:r w:rsidR="006C680D" w:rsidRPr="00D337FA">
        <w:rPr>
          <w:color w:val="auto"/>
          <w:spacing w:val="-4"/>
          <w:sz w:val="19"/>
          <w:szCs w:val="19"/>
        </w:rPr>
        <w:t xml:space="preserve"> </w:t>
      </w:r>
      <w:r w:rsidRPr="00D337FA">
        <w:rPr>
          <w:color w:val="auto"/>
          <w:spacing w:val="-4"/>
          <w:sz w:val="19"/>
          <w:szCs w:val="19"/>
        </w:rPr>
        <w:t>(телефона),</w:t>
      </w:r>
      <w:r w:rsidR="006C680D" w:rsidRPr="00D337FA">
        <w:rPr>
          <w:color w:val="auto"/>
          <w:spacing w:val="-4"/>
          <w:sz w:val="19"/>
          <w:szCs w:val="19"/>
        </w:rPr>
        <w:t xml:space="preserve"> </w:t>
      </w:r>
      <w:r w:rsidRPr="00D337FA">
        <w:rPr>
          <w:color w:val="auto"/>
          <w:spacing w:val="-4"/>
          <w:sz w:val="19"/>
          <w:szCs w:val="19"/>
        </w:rPr>
        <w:t>название</w:t>
      </w:r>
      <w:r w:rsidR="006C680D" w:rsidRPr="00D337FA">
        <w:rPr>
          <w:color w:val="auto"/>
          <w:spacing w:val="-4"/>
          <w:sz w:val="19"/>
          <w:szCs w:val="19"/>
        </w:rPr>
        <w:t xml:space="preserve"> </w:t>
      </w:r>
      <w:r w:rsidRPr="00D337FA">
        <w:rPr>
          <w:color w:val="auto"/>
          <w:spacing w:val="-4"/>
          <w:sz w:val="19"/>
          <w:szCs w:val="19"/>
        </w:rPr>
        <w:t>(полужирный,</w:t>
      </w:r>
      <w:r w:rsidR="006C680D" w:rsidRPr="00D337FA">
        <w:rPr>
          <w:color w:val="auto"/>
          <w:spacing w:val="-4"/>
          <w:sz w:val="19"/>
          <w:szCs w:val="19"/>
        </w:rPr>
        <w:t xml:space="preserve"> </w:t>
      </w:r>
      <w:r w:rsidRPr="00D337FA">
        <w:rPr>
          <w:color w:val="auto"/>
          <w:spacing w:val="-4"/>
          <w:sz w:val="19"/>
          <w:szCs w:val="19"/>
        </w:rPr>
        <w:t>прописные),</w:t>
      </w:r>
      <w:r w:rsidR="006C680D" w:rsidRPr="00D337FA">
        <w:rPr>
          <w:color w:val="auto"/>
          <w:spacing w:val="-4"/>
          <w:sz w:val="19"/>
          <w:szCs w:val="19"/>
        </w:rPr>
        <w:t xml:space="preserve"> </w:t>
      </w:r>
      <w:r w:rsidRPr="00D337FA">
        <w:rPr>
          <w:color w:val="auto"/>
          <w:spacing w:val="-4"/>
          <w:sz w:val="19"/>
          <w:szCs w:val="19"/>
        </w:rPr>
        <w:t>аннотация</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ключевые</w:t>
      </w:r>
      <w:r w:rsidR="006C680D" w:rsidRPr="00D337FA">
        <w:rPr>
          <w:color w:val="auto"/>
          <w:spacing w:val="-4"/>
          <w:sz w:val="19"/>
          <w:szCs w:val="19"/>
        </w:rPr>
        <w:t xml:space="preserve"> </w:t>
      </w:r>
      <w:r w:rsidRPr="00D337FA">
        <w:rPr>
          <w:color w:val="auto"/>
          <w:spacing w:val="-4"/>
          <w:sz w:val="19"/>
          <w:szCs w:val="19"/>
        </w:rPr>
        <w:t>слова,</w:t>
      </w:r>
      <w:r w:rsidR="006C680D" w:rsidRPr="00D337FA">
        <w:rPr>
          <w:color w:val="auto"/>
          <w:spacing w:val="-4"/>
          <w:sz w:val="19"/>
          <w:szCs w:val="19"/>
        </w:rPr>
        <w:t xml:space="preserve"> </w:t>
      </w:r>
      <w:r w:rsidRPr="00D337FA">
        <w:rPr>
          <w:color w:val="auto"/>
          <w:spacing w:val="-4"/>
          <w:sz w:val="19"/>
          <w:szCs w:val="19"/>
        </w:rPr>
        <w:t>текст</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рисунками</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таблицами,</w:t>
      </w:r>
      <w:r w:rsidR="006C680D" w:rsidRPr="00D337FA">
        <w:rPr>
          <w:color w:val="auto"/>
          <w:spacing w:val="-4"/>
          <w:sz w:val="19"/>
          <w:szCs w:val="19"/>
        </w:rPr>
        <w:t xml:space="preserve"> </w:t>
      </w:r>
      <w:r w:rsidRPr="00D337FA">
        <w:rPr>
          <w:color w:val="auto"/>
          <w:spacing w:val="-4"/>
          <w:sz w:val="19"/>
          <w:szCs w:val="19"/>
        </w:rPr>
        <w:t>литература.</w:t>
      </w:r>
      <w:r w:rsidR="006C680D" w:rsidRPr="00D337FA">
        <w:rPr>
          <w:color w:val="auto"/>
          <w:spacing w:val="-4"/>
          <w:sz w:val="19"/>
          <w:szCs w:val="19"/>
        </w:rPr>
        <w:t xml:space="preserve"> </w:t>
      </w:r>
      <w:r w:rsidRPr="00D337FA">
        <w:rPr>
          <w:color w:val="auto"/>
          <w:spacing w:val="-4"/>
          <w:sz w:val="19"/>
          <w:szCs w:val="19"/>
        </w:rPr>
        <w:t>Авторы,</w:t>
      </w:r>
      <w:r w:rsidR="006C680D" w:rsidRPr="00D337FA">
        <w:rPr>
          <w:color w:val="auto"/>
          <w:spacing w:val="-4"/>
          <w:sz w:val="19"/>
          <w:szCs w:val="19"/>
        </w:rPr>
        <w:t xml:space="preserve"> </w:t>
      </w:r>
      <w:r w:rsidRPr="00D337FA">
        <w:rPr>
          <w:color w:val="auto"/>
          <w:spacing w:val="-4"/>
          <w:sz w:val="19"/>
          <w:szCs w:val="19"/>
        </w:rPr>
        <w:t>название,</w:t>
      </w:r>
      <w:r w:rsidR="006C680D" w:rsidRPr="00D337FA">
        <w:rPr>
          <w:color w:val="auto"/>
          <w:spacing w:val="-4"/>
          <w:sz w:val="19"/>
          <w:szCs w:val="19"/>
        </w:rPr>
        <w:t xml:space="preserve"> </w:t>
      </w:r>
      <w:r w:rsidRPr="00D337FA">
        <w:rPr>
          <w:color w:val="auto"/>
          <w:spacing w:val="-4"/>
          <w:sz w:val="19"/>
          <w:szCs w:val="19"/>
        </w:rPr>
        <w:t>аннотация,</w:t>
      </w:r>
      <w:r w:rsidR="006C680D" w:rsidRPr="00D337FA">
        <w:rPr>
          <w:color w:val="auto"/>
          <w:spacing w:val="-4"/>
          <w:sz w:val="19"/>
          <w:szCs w:val="19"/>
        </w:rPr>
        <w:t xml:space="preserve"> </w:t>
      </w:r>
      <w:r w:rsidRPr="00D337FA">
        <w:rPr>
          <w:color w:val="auto"/>
          <w:spacing w:val="-4"/>
          <w:sz w:val="19"/>
          <w:szCs w:val="19"/>
        </w:rPr>
        <w:t>ключевые</w:t>
      </w:r>
      <w:r w:rsidR="006C680D" w:rsidRPr="00D337FA">
        <w:rPr>
          <w:color w:val="auto"/>
          <w:spacing w:val="-4"/>
          <w:sz w:val="19"/>
          <w:szCs w:val="19"/>
        </w:rPr>
        <w:t xml:space="preserve"> </w:t>
      </w:r>
      <w:r w:rsidRPr="00D337FA">
        <w:rPr>
          <w:color w:val="auto"/>
          <w:spacing w:val="-4"/>
          <w:sz w:val="19"/>
          <w:szCs w:val="19"/>
        </w:rPr>
        <w:t>слова,</w:t>
      </w:r>
      <w:r w:rsidR="006C680D" w:rsidRPr="00D337FA">
        <w:rPr>
          <w:color w:val="auto"/>
          <w:spacing w:val="-4"/>
          <w:sz w:val="19"/>
          <w:szCs w:val="19"/>
        </w:rPr>
        <w:t xml:space="preserve"> </w:t>
      </w:r>
      <w:r w:rsidRPr="00D337FA">
        <w:rPr>
          <w:color w:val="auto"/>
          <w:spacing w:val="-4"/>
          <w:sz w:val="19"/>
          <w:szCs w:val="19"/>
        </w:rPr>
        <w:t>литература</w:t>
      </w:r>
      <w:r w:rsidR="006C680D" w:rsidRPr="00D337FA">
        <w:rPr>
          <w:color w:val="auto"/>
          <w:spacing w:val="-4"/>
          <w:sz w:val="19"/>
          <w:szCs w:val="19"/>
        </w:rPr>
        <w:t xml:space="preserve"> </w:t>
      </w:r>
      <w:r w:rsidRPr="00D337FA">
        <w:rPr>
          <w:color w:val="auto"/>
          <w:spacing w:val="-4"/>
          <w:sz w:val="19"/>
          <w:szCs w:val="19"/>
        </w:rPr>
        <w:t>приводятся</w:t>
      </w:r>
      <w:r w:rsidR="006C680D" w:rsidRPr="00D337FA">
        <w:rPr>
          <w:color w:val="auto"/>
          <w:spacing w:val="-4"/>
          <w:sz w:val="19"/>
          <w:szCs w:val="19"/>
        </w:rPr>
        <w:t xml:space="preserve"> </w:t>
      </w:r>
      <w:r w:rsidRPr="00D337FA">
        <w:rPr>
          <w:color w:val="auto"/>
          <w:spacing w:val="-4"/>
          <w:sz w:val="19"/>
          <w:szCs w:val="19"/>
        </w:rPr>
        <w:t>на</w:t>
      </w:r>
      <w:r w:rsidR="006C680D" w:rsidRPr="00D337FA">
        <w:rPr>
          <w:color w:val="auto"/>
          <w:spacing w:val="-4"/>
          <w:sz w:val="19"/>
          <w:szCs w:val="19"/>
        </w:rPr>
        <w:t xml:space="preserve"> </w:t>
      </w:r>
      <w:r w:rsidRPr="00D337FA">
        <w:rPr>
          <w:color w:val="auto"/>
          <w:spacing w:val="-4"/>
          <w:sz w:val="19"/>
          <w:szCs w:val="19"/>
        </w:rPr>
        <w:t>русском</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английском</w:t>
      </w:r>
      <w:r w:rsidR="006C680D" w:rsidRPr="00D337FA">
        <w:rPr>
          <w:color w:val="auto"/>
          <w:spacing w:val="-4"/>
          <w:sz w:val="19"/>
          <w:szCs w:val="19"/>
        </w:rPr>
        <w:t xml:space="preserve"> </w:t>
      </w:r>
      <w:r w:rsidRPr="00D337FA">
        <w:rPr>
          <w:color w:val="auto"/>
          <w:spacing w:val="-4"/>
          <w:sz w:val="19"/>
          <w:szCs w:val="19"/>
        </w:rPr>
        <w:t>языках.</w:t>
      </w:r>
    </w:p>
    <w:p w:rsidR="00250468" w:rsidRPr="00D337FA" w:rsidRDefault="00250468" w:rsidP="00A3493D">
      <w:pPr>
        <w:pStyle w:val="afe"/>
        <w:rPr>
          <w:color w:val="auto"/>
          <w:spacing w:val="-4"/>
          <w:sz w:val="19"/>
          <w:szCs w:val="19"/>
        </w:rPr>
      </w:pPr>
      <w:r w:rsidRPr="00D337FA">
        <w:rPr>
          <w:color w:val="auto"/>
          <w:spacing w:val="-4"/>
          <w:sz w:val="19"/>
          <w:szCs w:val="19"/>
        </w:rPr>
        <w:t>3.</w:t>
      </w:r>
      <w:r w:rsidR="006C680D" w:rsidRPr="00D337FA">
        <w:rPr>
          <w:color w:val="auto"/>
          <w:spacing w:val="-4"/>
          <w:sz w:val="19"/>
          <w:szCs w:val="19"/>
        </w:rPr>
        <w:t xml:space="preserve"> </w:t>
      </w:r>
      <w:r w:rsidRPr="00D337FA">
        <w:rPr>
          <w:color w:val="auto"/>
          <w:spacing w:val="-4"/>
          <w:sz w:val="19"/>
          <w:szCs w:val="19"/>
        </w:rPr>
        <w:t>При</w:t>
      </w:r>
      <w:r w:rsidR="006C680D" w:rsidRPr="00D337FA">
        <w:rPr>
          <w:color w:val="auto"/>
          <w:spacing w:val="-4"/>
          <w:sz w:val="19"/>
          <w:szCs w:val="19"/>
        </w:rPr>
        <w:t xml:space="preserve"> </w:t>
      </w:r>
      <w:r w:rsidRPr="00D337FA">
        <w:rPr>
          <w:color w:val="auto"/>
          <w:spacing w:val="-4"/>
          <w:sz w:val="19"/>
          <w:szCs w:val="19"/>
        </w:rPr>
        <w:t>формировании</w:t>
      </w:r>
      <w:r w:rsidR="006C680D" w:rsidRPr="00D337FA">
        <w:rPr>
          <w:color w:val="auto"/>
          <w:spacing w:val="-4"/>
          <w:sz w:val="19"/>
          <w:szCs w:val="19"/>
        </w:rPr>
        <w:t xml:space="preserve"> </w:t>
      </w:r>
      <w:r w:rsidRPr="00D337FA">
        <w:rPr>
          <w:color w:val="auto"/>
          <w:spacing w:val="-4"/>
          <w:sz w:val="19"/>
          <w:szCs w:val="19"/>
        </w:rPr>
        <w:t>текста</w:t>
      </w:r>
      <w:r w:rsidR="006C680D" w:rsidRPr="00D337FA">
        <w:rPr>
          <w:color w:val="auto"/>
          <w:spacing w:val="-4"/>
          <w:sz w:val="19"/>
          <w:szCs w:val="19"/>
        </w:rPr>
        <w:t xml:space="preserve"> </w:t>
      </w:r>
      <w:r w:rsidRPr="00D337FA">
        <w:rPr>
          <w:color w:val="auto"/>
          <w:spacing w:val="-4"/>
          <w:sz w:val="19"/>
          <w:szCs w:val="19"/>
        </w:rPr>
        <w:t>не</w:t>
      </w:r>
      <w:r w:rsidR="006C680D" w:rsidRPr="00D337FA">
        <w:rPr>
          <w:color w:val="auto"/>
          <w:spacing w:val="-4"/>
          <w:sz w:val="19"/>
          <w:szCs w:val="19"/>
        </w:rPr>
        <w:t xml:space="preserve"> </w:t>
      </w:r>
      <w:r w:rsidRPr="00D337FA">
        <w:rPr>
          <w:color w:val="auto"/>
          <w:spacing w:val="-4"/>
          <w:sz w:val="19"/>
          <w:szCs w:val="19"/>
        </w:rPr>
        <w:t>допускается</w:t>
      </w:r>
      <w:r w:rsidR="006C680D" w:rsidRPr="00D337FA">
        <w:rPr>
          <w:color w:val="auto"/>
          <w:spacing w:val="-4"/>
          <w:sz w:val="19"/>
          <w:szCs w:val="19"/>
        </w:rPr>
        <w:t xml:space="preserve"> </w:t>
      </w:r>
      <w:r w:rsidRPr="00D337FA">
        <w:rPr>
          <w:color w:val="auto"/>
          <w:spacing w:val="-4"/>
          <w:sz w:val="19"/>
          <w:szCs w:val="19"/>
        </w:rPr>
        <w:t>применение</w:t>
      </w:r>
      <w:r w:rsidR="006C680D" w:rsidRPr="00D337FA">
        <w:rPr>
          <w:color w:val="auto"/>
          <w:spacing w:val="-4"/>
          <w:sz w:val="19"/>
          <w:szCs w:val="19"/>
        </w:rPr>
        <w:t xml:space="preserve"> </w:t>
      </w:r>
      <w:r w:rsidRPr="00D337FA">
        <w:rPr>
          <w:color w:val="auto"/>
          <w:spacing w:val="-4"/>
          <w:sz w:val="19"/>
          <w:szCs w:val="19"/>
        </w:rPr>
        <w:t>стилей,</w:t>
      </w:r>
      <w:r w:rsidR="006C680D" w:rsidRPr="00D337FA">
        <w:rPr>
          <w:color w:val="auto"/>
          <w:spacing w:val="-4"/>
          <w:sz w:val="19"/>
          <w:szCs w:val="19"/>
        </w:rPr>
        <w:t xml:space="preserve"> </w:t>
      </w:r>
      <w:r w:rsidRPr="00D337FA">
        <w:rPr>
          <w:color w:val="auto"/>
          <w:spacing w:val="-4"/>
          <w:sz w:val="19"/>
          <w:szCs w:val="19"/>
        </w:rPr>
        <w:t>а</w:t>
      </w:r>
      <w:r w:rsidR="006C680D" w:rsidRPr="00D337FA">
        <w:rPr>
          <w:color w:val="auto"/>
          <w:spacing w:val="-4"/>
          <w:sz w:val="19"/>
          <w:szCs w:val="19"/>
        </w:rPr>
        <w:t xml:space="preserve"> </w:t>
      </w:r>
      <w:r w:rsidRPr="00D337FA">
        <w:rPr>
          <w:color w:val="auto"/>
          <w:spacing w:val="-4"/>
          <w:sz w:val="19"/>
          <w:szCs w:val="19"/>
        </w:rPr>
        <w:t>также</w:t>
      </w:r>
      <w:r w:rsidR="006C680D" w:rsidRPr="00D337FA">
        <w:rPr>
          <w:color w:val="auto"/>
          <w:spacing w:val="-4"/>
          <w:sz w:val="19"/>
          <w:szCs w:val="19"/>
        </w:rPr>
        <w:t xml:space="preserve"> </w:t>
      </w:r>
      <w:r w:rsidRPr="00D337FA">
        <w:rPr>
          <w:color w:val="auto"/>
          <w:spacing w:val="-4"/>
          <w:sz w:val="19"/>
          <w:szCs w:val="19"/>
        </w:rPr>
        <w:t>внесение</w:t>
      </w:r>
      <w:r w:rsidR="006C680D" w:rsidRPr="00D337FA">
        <w:rPr>
          <w:color w:val="auto"/>
          <w:spacing w:val="-4"/>
          <w:sz w:val="19"/>
          <w:szCs w:val="19"/>
        </w:rPr>
        <w:t xml:space="preserve"> </w:t>
      </w:r>
      <w:r w:rsidRPr="00D337FA">
        <w:rPr>
          <w:color w:val="auto"/>
          <w:spacing w:val="-4"/>
          <w:sz w:val="19"/>
          <w:szCs w:val="19"/>
        </w:rPr>
        <w:t>изменения</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шаблон</w:t>
      </w:r>
      <w:r w:rsidR="006C680D" w:rsidRPr="00D337FA">
        <w:rPr>
          <w:color w:val="auto"/>
          <w:spacing w:val="-4"/>
          <w:sz w:val="19"/>
          <w:szCs w:val="19"/>
        </w:rPr>
        <w:t xml:space="preserve"> </w:t>
      </w:r>
      <w:r w:rsidRPr="00D337FA">
        <w:rPr>
          <w:color w:val="auto"/>
          <w:spacing w:val="-4"/>
          <w:sz w:val="19"/>
          <w:szCs w:val="19"/>
        </w:rPr>
        <w:t>или</w:t>
      </w:r>
      <w:r w:rsidR="006C680D" w:rsidRPr="00D337FA">
        <w:rPr>
          <w:color w:val="auto"/>
          <w:spacing w:val="-4"/>
          <w:sz w:val="19"/>
          <w:szCs w:val="19"/>
        </w:rPr>
        <w:t xml:space="preserve"> </w:t>
      </w:r>
      <w:r w:rsidRPr="00D337FA">
        <w:rPr>
          <w:color w:val="auto"/>
          <w:spacing w:val="-4"/>
          <w:sz w:val="19"/>
          <w:szCs w:val="19"/>
        </w:rPr>
        <w:t>создание</w:t>
      </w:r>
      <w:r w:rsidR="006C680D" w:rsidRPr="00D337FA">
        <w:rPr>
          <w:color w:val="auto"/>
          <w:spacing w:val="-4"/>
          <w:sz w:val="19"/>
          <w:szCs w:val="19"/>
        </w:rPr>
        <w:t xml:space="preserve"> </w:t>
      </w:r>
      <w:r w:rsidRPr="00D337FA">
        <w:rPr>
          <w:color w:val="auto"/>
          <w:spacing w:val="-4"/>
          <w:sz w:val="19"/>
          <w:szCs w:val="19"/>
        </w:rPr>
        <w:t>собственного</w:t>
      </w:r>
      <w:r w:rsidR="006C680D" w:rsidRPr="00D337FA">
        <w:rPr>
          <w:color w:val="auto"/>
          <w:spacing w:val="-4"/>
          <w:sz w:val="19"/>
          <w:szCs w:val="19"/>
        </w:rPr>
        <w:t xml:space="preserve"> </w:t>
      </w:r>
      <w:r w:rsidRPr="00D337FA">
        <w:rPr>
          <w:color w:val="auto"/>
          <w:spacing w:val="-4"/>
          <w:sz w:val="19"/>
          <w:szCs w:val="19"/>
        </w:rPr>
        <w:t>шаблона.</w:t>
      </w:r>
      <w:r w:rsidR="006C680D" w:rsidRPr="00D337FA">
        <w:rPr>
          <w:color w:val="auto"/>
          <w:spacing w:val="-4"/>
          <w:sz w:val="19"/>
          <w:szCs w:val="19"/>
        </w:rPr>
        <w:t xml:space="preserve"> </w:t>
      </w:r>
      <w:r w:rsidRPr="00D337FA">
        <w:rPr>
          <w:color w:val="auto"/>
          <w:spacing w:val="-4"/>
          <w:sz w:val="19"/>
          <w:szCs w:val="19"/>
        </w:rPr>
        <w:t>Слова</w:t>
      </w:r>
      <w:r w:rsidR="006C680D" w:rsidRPr="00D337FA">
        <w:rPr>
          <w:color w:val="auto"/>
          <w:spacing w:val="-4"/>
          <w:sz w:val="19"/>
          <w:szCs w:val="19"/>
        </w:rPr>
        <w:t xml:space="preserve"> </w:t>
      </w:r>
      <w:r w:rsidRPr="00D337FA">
        <w:rPr>
          <w:color w:val="auto"/>
          <w:spacing w:val="-4"/>
          <w:sz w:val="19"/>
          <w:szCs w:val="19"/>
        </w:rPr>
        <w:t>внутри</w:t>
      </w:r>
      <w:r w:rsidR="006C680D" w:rsidRPr="00D337FA">
        <w:rPr>
          <w:color w:val="auto"/>
          <w:spacing w:val="-4"/>
          <w:sz w:val="19"/>
          <w:szCs w:val="19"/>
        </w:rPr>
        <w:t xml:space="preserve"> </w:t>
      </w:r>
      <w:r w:rsidRPr="00D337FA">
        <w:rPr>
          <w:color w:val="auto"/>
          <w:spacing w:val="-4"/>
          <w:sz w:val="19"/>
          <w:szCs w:val="19"/>
        </w:rPr>
        <w:t>абзаца</w:t>
      </w:r>
      <w:r w:rsidR="006C680D" w:rsidRPr="00D337FA">
        <w:rPr>
          <w:color w:val="auto"/>
          <w:spacing w:val="-4"/>
          <w:sz w:val="19"/>
          <w:szCs w:val="19"/>
        </w:rPr>
        <w:t xml:space="preserve"> </w:t>
      </w:r>
      <w:r w:rsidRPr="00D337FA">
        <w:rPr>
          <w:color w:val="auto"/>
          <w:spacing w:val="-4"/>
          <w:sz w:val="19"/>
          <w:szCs w:val="19"/>
        </w:rPr>
        <w:t>следует</w:t>
      </w:r>
      <w:r w:rsidR="006C680D" w:rsidRPr="00D337FA">
        <w:rPr>
          <w:color w:val="auto"/>
          <w:spacing w:val="-4"/>
          <w:sz w:val="19"/>
          <w:szCs w:val="19"/>
        </w:rPr>
        <w:t xml:space="preserve"> </w:t>
      </w:r>
      <w:r w:rsidRPr="00D337FA">
        <w:rPr>
          <w:color w:val="auto"/>
          <w:spacing w:val="-4"/>
          <w:sz w:val="19"/>
          <w:szCs w:val="19"/>
        </w:rPr>
        <w:t>разделять</w:t>
      </w:r>
      <w:r w:rsidR="006C680D" w:rsidRPr="00D337FA">
        <w:rPr>
          <w:color w:val="auto"/>
          <w:spacing w:val="-4"/>
          <w:sz w:val="19"/>
          <w:szCs w:val="19"/>
        </w:rPr>
        <w:t xml:space="preserve"> </w:t>
      </w:r>
      <w:r w:rsidRPr="00D337FA">
        <w:rPr>
          <w:color w:val="auto"/>
          <w:spacing w:val="-4"/>
          <w:sz w:val="19"/>
          <w:szCs w:val="19"/>
        </w:rPr>
        <w:t>одним</w:t>
      </w:r>
      <w:r w:rsidR="006C680D" w:rsidRPr="00D337FA">
        <w:rPr>
          <w:color w:val="auto"/>
          <w:spacing w:val="-4"/>
          <w:sz w:val="19"/>
          <w:szCs w:val="19"/>
        </w:rPr>
        <w:t xml:space="preserve"> </w:t>
      </w:r>
      <w:r w:rsidRPr="00D337FA">
        <w:rPr>
          <w:color w:val="auto"/>
          <w:spacing w:val="-4"/>
          <w:sz w:val="19"/>
          <w:szCs w:val="19"/>
        </w:rPr>
        <w:t>пробелом;</w:t>
      </w:r>
      <w:r w:rsidR="006C680D" w:rsidRPr="00D337FA">
        <w:rPr>
          <w:color w:val="auto"/>
          <w:spacing w:val="-4"/>
          <w:sz w:val="19"/>
          <w:szCs w:val="19"/>
        </w:rPr>
        <w:t xml:space="preserve"> </w:t>
      </w:r>
      <w:r w:rsidRPr="00D337FA">
        <w:rPr>
          <w:color w:val="auto"/>
          <w:spacing w:val="-4"/>
          <w:sz w:val="19"/>
          <w:szCs w:val="19"/>
        </w:rPr>
        <w:t>набирать</w:t>
      </w:r>
      <w:r w:rsidR="006C680D" w:rsidRPr="00D337FA">
        <w:rPr>
          <w:color w:val="auto"/>
          <w:spacing w:val="-4"/>
          <w:sz w:val="19"/>
          <w:szCs w:val="19"/>
        </w:rPr>
        <w:t xml:space="preserve"> </w:t>
      </w:r>
      <w:r w:rsidRPr="00D337FA">
        <w:rPr>
          <w:color w:val="auto"/>
          <w:spacing w:val="-4"/>
          <w:sz w:val="19"/>
          <w:szCs w:val="19"/>
        </w:rPr>
        <w:t>текст</w:t>
      </w:r>
      <w:r w:rsidR="006C680D" w:rsidRPr="00D337FA">
        <w:rPr>
          <w:color w:val="auto"/>
          <w:spacing w:val="-4"/>
          <w:sz w:val="19"/>
          <w:szCs w:val="19"/>
        </w:rPr>
        <w:t xml:space="preserve"> </w:t>
      </w:r>
      <w:r w:rsidRPr="00D337FA">
        <w:rPr>
          <w:color w:val="auto"/>
          <w:spacing w:val="-4"/>
          <w:sz w:val="19"/>
          <w:szCs w:val="19"/>
        </w:rPr>
        <w:t>без</w:t>
      </w:r>
      <w:r w:rsidR="006C680D" w:rsidRPr="00D337FA">
        <w:rPr>
          <w:color w:val="auto"/>
          <w:spacing w:val="-4"/>
          <w:sz w:val="19"/>
          <w:szCs w:val="19"/>
        </w:rPr>
        <w:t xml:space="preserve"> </w:t>
      </w:r>
      <w:r w:rsidRPr="00D337FA">
        <w:rPr>
          <w:color w:val="auto"/>
          <w:spacing w:val="-4"/>
          <w:sz w:val="19"/>
          <w:szCs w:val="19"/>
        </w:rPr>
        <w:t>принудительных</w:t>
      </w:r>
      <w:r w:rsidR="006C680D" w:rsidRPr="00D337FA">
        <w:rPr>
          <w:color w:val="auto"/>
          <w:spacing w:val="-4"/>
          <w:sz w:val="19"/>
          <w:szCs w:val="19"/>
        </w:rPr>
        <w:t xml:space="preserve"> </w:t>
      </w:r>
      <w:r w:rsidRPr="00D337FA">
        <w:rPr>
          <w:color w:val="auto"/>
          <w:spacing w:val="-4"/>
          <w:sz w:val="19"/>
          <w:szCs w:val="19"/>
        </w:rPr>
        <w:t>переносов;</w:t>
      </w:r>
      <w:r w:rsidR="006C680D" w:rsidRPr="00D337FA">
        <w:rPr>
          <w:color w:val="auto"/>
          <w:spacing w:val="-4"/>
          <w:sz w:val="19"/>
          <w:szCs w:val="19"/>
        </w:rPr>
        <w:t xml:space="preserve"> </w:t>
      </w:r>
      <w:r w:rsidRPr="00D337FA">
        <w:rPr>
          <w:color w:val="auto"/>
          <w:spacing w:val="-4"/>
          <w:sz w:val="19"/>
          <w:szCs w:val="19"/>
        </w:rPr>
        <w:t>не</w:t>
      </w:r>
      <w:r w:rsidR="006C680D" w:rsidRPr="00D337FA">
        <w:rPr>
          <w:color w:val="auto"/>
          <w:spacing w:val="-4"/>
          <w:sz w:val="19"/>
          <w:szCs w:val="19"/>
        </w:rPr>
        <w:t xml:space="preserve"> </w:t>
      </w:r>
      <w:r w:rsidRPr="00D337FA">
        <w:rPr>
          <w:color w:val="auto"/>
          <w:spacing w:val="-4"/>
          <w:sz w:val="19"/>
          <w:szCs w:val="19"/>
        </w:rPr>
        <w:t>допускаются</w:t>
      </w:r>
      <w:r w:rsidR="006C680D" w:rsidRPr="00D337FA">
        <w:rPr>
          <w:color w:val="auto"/>
          <w:spacing w:val="-4"/>
          <w:sz w:val="19"/>
          <w:szCs w:val="19"/>
        </w:rPr>
        <w:t xml:space="preserve"> </w:t>
      </w:r>
      <w:r w:rsidRPr="00D337FA">
        <w:rPr>
          <w:color w:val="auto"/>
          <w:spacing w:val="-4"/>
          <w:sz w:val="19"/>
          <w:szCs w:val="19"/>
        </w:rPr>
        <w:t>разрядки</w:t>
      </w:r>
      <w:r w:rsidR="006C680D" w:rsidRPr="00D337FA">
        <w:rPr>
          <w:color w:val="auto"/>
          <w:spacing w:val="-4"/>
          <w:sz w:val="19"/>
          <w:szCs w:val="19"/>
        </w:rPr>
        <w:t xml:space="preserve"> </w:t>
      </w:r>
      <w:r w:rsidRPr="00D337FA">
        <w:rPr>
          <w:color w:val="auto"/>
          <w:spacing w:val="-4"/>
          <w:sz w:val="19"/>
          <w:szCs w:val="19"/>
        </w:rPr>
        <w:t>слов.</w:t>
      </w:r>
    </w:p>
    <w:p w:rsidR="00250468" w:rsidRPr="00D337FA" w:rsidRDefault="00250468" w:rsidP="00A3493D">
      <w:pPr>
        <w:pStyle w:val="afe"/>
        <w:rPr>
          <w:color w:val="auto"/>
          <w:spacing w:val="-4"/>
          <w:sz w:val="19"/>
          <w:szCs w:val="19"/>
        </w:rPr>
      </w:pPr>
      <w:r w:rsidRPr="00D337FA">
        <w:rPr>
          <w:color w:val="auto"/>
          <w:spacing w:val="-4"/>
          <w:sz w:val="19"/>
          <w:szCs w:val="19"/>
        </w:rPr>
        <w:t>4.</w:t>
      </w:r>
      <w:r w:rsidR="006C680D" w:rsidRPr="00D337FA">
        <w:rPr>
          <w:color w:val="auto"/>
          <w:spacing w:val="-4"/>
          <w:sz w:val="19"/>
          <w:szCs w:val="19"/>
        </w:rPr>
        <w:t xml:space="preserve"> </w:t>
      </w:r>
      <w:r w:rsidRPr="00D337FA">
        <w:rPr>
          <w:color w:val="auto"/>
          <w:spacing w:val="-4"/>
          <w:sz w:val="19"/>
          <w:szCs w:val="19"/>
        </w:rPr>
        <w:t>Для</w:t>
      </w:r>
      <w:r w:rsidR="006C680D" w:rsidRPr="00D337FA">
        <w:rPr>
          <w:color w:val="auto"/>
          <w:spacing w:val="-4"/>
          <w:sz w:val="19"/>
          <w:szCs w:val="19"/>
        </w:rPr>
        <w:t xml:space="preserve"> </w:t>
      </w:r>
      <w:r w:rsidRPr="00D337FA">
        <w:rPr>
          <w:color w:val="auto"/>
          <w:spacing w:val="-4"/>
          <w:sz w:val="19"/>
          <w:szCs w:val="19"/>
        </w:rPr>
        <w:t>набора</w:t>
      </w:r>
      <w:r w:rsidR="006C680D" w:rsidRPr="00D337FA">
        <w:rPr>
          <w:color w:val="auto"/>
          <w:spacing w:val="-4"/>
          <w:sz w:val="19"/>
          <w:szCs w:val="19"/>
        </w:rPr>
        <w:t xml:space="preserve"> </w:t>
      </w:r>
      <w:r w:rsidRPr="00D337FA">
        <w:rPr>
          <w:color w:val="auto"/>
          <w:spacing w:val="-4"/>
          <w:sz w:val="19"/>
          <w:szCs w:val="19"/>
        </w:rPr>
        <w:t>формул</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переменных</w:t>
      </w:r>
      <w:r w:rsidR="006C680D" w:rsidRPr="00D337FA">
        <w:rPr>
          <w:color w:val="auto"/>
          <w:spacing w:val="-4"/>
          <w:sz w:val="19"/>
          <w:szCs w:val="19"/>
        </w:rPr>
        <w:t xml:space="preserve"> </w:t>
      </w:r>
      <w:r w:rsidRPr="00D337FA">
        <w:rPr>
          <w:color w:val="auto"/>
          <w:spacing w:val="-4"/>
          <w:sz w:val="19"/>
          <w:szCs w:val="19"/>
        </w:rPr>
        <w:t>следует</w:t>
      </w:r>
      <w:r w:rsidR="006C680D" w:rsidRPr="00D337FA">
        <w:rPr>
          <w:color w:val="auto"/>
          <w:spacing w:val="-4"/>
          <w:sz w:val="19"/>
          <w:szCs w:val="19"/>
        </w:rPr>
        <w:t xml:space="preserve"> </w:t>
      </w:r>
      <w:r w:rsidRPr="00D337FA">
        <w:rPr>
          <w:color w:val="auto"/>
          <w:spacing w:val="-4"/>
          <w:sz w:val="19"/>
          <w:szCs w:val="19"/>
        </w:rPr>
        <w:t>использовать</w:t>
      </w:r>
      <w:r w:rsidR="006C680D" w:rsidRPr="00D337FA">
        <w:rPr>
          <w:color w:val="auto"/>
          <w:spacing w:val="-4"/>
          <w:sz w:val="19"/>
          <w:szCs w:val="19"/>
        </w:rPr>
        <w:t xml:space="preserve"> </w:t>
      </w:r>
      <w:r w:rsidRPr="00D337FA">
        <w:rPr>
          <w:color w:val="auto"/>
          <w:spacing w:val="-4"/>
          <w:sz w:val="19"/>
          <w:szCs w:val="19"/>
        </w:rPr>
        <w:t>редактор</w:t>
      </w:r>
      <w:r w:rsidR="006C680D" w:rsidRPr="00D337FA">
        <w:rPr>
          <w:color w:val="auto"/>
          <w:spacing w:val="-4"/>
          <w:sz w:val="19"/>
          <w:szCs w:val="19"/>
        </w:rPr>
        <w:t xml:space="preserve"> </w:t>
      </w:r>
      <w:r w:rsidRPr="00D337FA">
        <w:rPr>
          <w:color w:val="auto"/>
          <w:spacing w:val="-4"/>
          <w:sz w:val="19"/>
          <w:szCs w:val="19"/>
        </w:rPr>
        <w:t>формул</w:t>
      </w:r>
      <w:r w:rsidR="006C680D" w:rsidRPr="00D337FA">
        <w:rPr>
          <w:color w:val="auto"/>
          <w:spacing w:val="-4"/>
          <w:sz w:val="19"/>
          <w:szCs w:val="19"/>
        </w:rPr>
        <w:t xml:space="preserve"> </w:t>
      </w:r>
      <w:r w:rsidRPr="00D337FA">
        <w:rPr>
          <w:color w:val="auto"/>
          <w:spacing w:val="-4"/>
          <w:sz w:val="19"/>
          <w:szCs w:val="19"/>
        </w:rPr>
        <w:t>MathType</w:t>
      </w:r>
      <w:r w:rsidR="006C680D" w:rsidRPr="00D337FA">
        <w:rPr>
          <w:color w:val="auto"/>
          <w:spacing w:val="-4"/>
          <w:sz w:val="19"/>
          <w:szCs w:val="19"/>
        </w:rPr>
        <w:t xml:space="preserve"> </w:t>
      </w:r>
      <w:r w:rsidRPr="00D337FA">
        <w:rPr>
          <w:color w:val="auto"/>
          <w:spacing w:val="-4"/>
          <w:sz w:val="19"/>
          <w:szCs w:val="19"/>
        </w:rPr>
        <w:t>версии</w:t>
      </w:r>
      <w:r w:rsidR="006C680D" w:rsidRPr="00D337FA">
        <w:rPr>
          <w:color w:val="auto"/>
          <w:spacing w:val="-4"/>
          <w:sz w:val="19"/>
          <w:szCs w:val="19"/>
        </w:rPr>
        <w:t xml:space="preserve"> </w:t>
      </w:r>
      <w:r w:rsidRPr="00D337FA">
        <w:rPr>
          <w:color w:val="auto"/>
          <w:spacing w:val="-4"/>
          <w:sz w:val="19"/>
          <w:szCs w:val="19"/>
        </w:rPr>
        <w:t>5.2</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выше</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размерами:</w:t>
      </w:r>
      <w:r w:rsidR="006C680D" w:rsidRPr="00D337FA">
        <w:rPr>
          <w:color w:val="auto"/>
          <w:spacing w:val="-4"/>
          <w:sz w:val="19"/>
          <w:szCs w:val="19"/>
        </w:rPr>
        <w:t xml:space="preserve"> </w:t>
      </w:r>
      <w:r w:rsidRPr="00D337FA">
        <w:rPr>
          <w:color w:val="auto"/>
          <w:spacing w:val="-4"/>
          <w:sz w:val="19"/>
          <w:szCs w:val="19"/>
        </w:rPr>
        <w:t>обычный</w:t>
      </w:r>
      <w:r w:rsidR="006C680D" w:rsidRPr="00D337FA">
        <w:rPr>
          <w:color w:val="auto"/>
          <w:spacing w:val="-4"/>
          <w:sz w:val="19"/>
          <w:szCs w:val="19"/>
        </w:rPr>
        <w:t xml:space="preserve"> </w:t>
      </w:r>
      <w:r w:rsidRPr="00D337FA">
        <w:rPr>
          <w:color w:val="auto"/>
          <w:spacing w:val="-4"/>
          <w:sz w:val="19"/>
          <w:szCs w:val="19"/>
        </w:rPr>
        <w:t>–</w:t>
      </w:r>
      <w:r w:rsidR="006C680D" w:rsidRPr="00D337FA">
        <w:rPr>
          <w:b/>
          <w:bCs/>
          <w:color w:val="auto"/>
          <w:spacing w:val="-4"/>
          <w:sz w:val="19"/>
          <w:szCs w:val="19"/>
        </w:rPr>
        <w:t xml:space="preserve"> </w:t>
      </w:r>
      <w:r w:rsidRPr="00D337FA">
        <w:rPr>
          <w:color w:val="auto"/>
          <w:spacing w:val="-4"/>
          <w:sz w:val="19"/>
          <w:szCs w:val="19"/>
        </w:rPr>
        <w:t>12</w:t>
      </w:r>
      <w:r w:rsidR="006C680D" w:rsidRPr="00D337FA">
        <w:rPr>
          <w:color w:val="auto"/>
          <w:spacing w:val="-4"/>
          <w:sz w:val="19"/>
          <w:szCs w:val="19"/>
        </w:rPr>
        <w:t xml:space="preserve"> </w:t>
      </w:r>
      <w:r w:rsidRPr="00D337FA">
        <w:rPr>
          <w:color w:val="auto"/>
          <w:spacing w:val="-4"/>
          <w:sz w:val="19"/>
          <w:szCs w:val="19"/>
        </w:rPr>
        <w:t>пт;</w:t>
      </w:r>
      <w:r w:rsidR="006C680D" w:rsidRPr="00D337FA">
        <w:rPr>
          <w:color w:val="auto"/>
          <w:spacing w:val="-4"/>
          <w:sz w:val="19"/>
          <w:szCs w:val="19"/>
        </w:rPr>
        <w:t xml:space="preserve"> </w:t>
      </w:r>
      <w:r w:rsidRPr="00D337FA">
        <w:rPr>
          <w:color w:val="auto"/>
          <w:spacing w:val="-4"/>
          <w:sz w:val="19"/>
          <w:szCs w:val="19"/>
        </w:rPr>
        <w:t>крупный</w:t>
      </w:r>
      <w:r w:rsidR="006C680D" w:rsidRPr="00D337FA">
        <w:rPr>
          <w:color w:val="auto"/>
          <w:spacing w:val="-4"/>
          <w:sz w:val="19"/>
          <w:szCs w:val="19"/>
        </w:rPr>
        <w:t xml:space="preserve"> </w:t>
      </w:r>
      <w:r w:rsidRPr="00D337FA">
        <w:rPr>
          <w:color w:val="auto"/>
          <w:spacing w:val="-4"/>
          <w:sz w:val="19"/>
          <w:szCs w:val="19"/>
        </w:rPr>
        <w:t>индекс</w:t>
      </w:r>
      <w:r w:rsidR="006C680D" w:rsidRPr="00D337FA">
        <w:rPr>
          <w:color w:val="auto"/>
          <w:spacing w:val="-4"/>
          <w:sz w:val="19"/>
          <w:szCs w:val="19"/>
        </w:rPr>
        <w:t xml:space="preserve"> </w:t>
      </w:r>
      <w:r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7</w:t>
      </w:r>
      <w:r w:rsidR="006C680D" w:rsidRPr="00D337FA">
        <w:rPr>
          <w:color w:val="auto"/>
          <w:spacing w:val="-4"/>
          <w:sz w:val="19"/>
          <w:szCs w:val="19"/>
        </w:rPr>
        <w:t xml:space="preserve"> </w:t>
      </w:r>
      <w:r w:rsidRPr="00D337FA">
        <w:rPr>
          <w:color w:val="auto"/>
          <w:spacing w:val="-4"/>
          <w:sz w:val="19"/>
          <w:szCs w:val="19"/>
        </w:rPr>
        <w:t>пт,</w:t>
      </w:r>
      <w:r w:rsidR="006C680D" w:rsidRPr="00D337FA">
        <w:rPr>
          <w:color w:val="auto"/>
          <w:spacing w:val="-4"/>
          <w:sz w:val="19"/>
          <w:szCs w:val="19"/>
        </w:rPr>
        <w:t xml:space="preserve"> </w:t>
      </w:r>
      <w:r w:rsidRPr="00D337FA">
        <w:rPr>
          <w:color w:val="auto"/>
          <w:spacing w:val="-4"/>
          <w:sz w:val="19"/>
          <w:szCs w:val="19"/>
        </w:rPr>
        <w:t>мелкий</w:t>
      </w:r>
      <w:r w:rsidR="006C680D" w:rsidRPr="00D337FA">
        <w:rPr>
          <w:color w:val="auto"/>
          <w:spacing w:val="-4"/>
          <w:sz w:val="19"/>
          <w:szCs w:val="19"/>
        </w:rPr>
        <w:t xml:space="preserve"> </w:t>
      </w:r>
      <w:r w:rsidRPr="00D337FA">
        <w:rPr>
          <w:color w:val="auto"/>
          <w:spacing w:val="-4"/>
          <w:sz w:val="19"/>
          <w:szCs w:val="19"/>
        </w:rPr>
        <w:t>индекс</w:t>
      </w:r>
      <w:r w:rsidR="006C680D" w:rsidRPr="00D337FA">
        <w:rPr>
          <w:color w:val="auto"/>
          <w:spacing w:val="-4"/>
          <w:sz w:val="19"/>
          <w:szCs w:val="19"/>
        </w:rPr>
        <w:t xml:space="preserve"> </w:t>
      </w:r>
      <w:r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5</w:t>
      </w:r>
      <w:r w:rsidR="006C680D" w:rsidRPr="00D337FA">
        <w:rPr>
          <w:color w:val="auto"/>
          <w:spacing w:val="-4"/>
          <w:sz w:val="19"/>
          <w:szCs w:val="19"/>
        </w:rPr>
        <w:t xml:space="preserve"> </w:t>
      </w:r>
      <w:r w:rsidRPr="00D337FA">
        <w:rPr>
          <w:color w:val="auto"/>
          <w:spacing w:val="-4"/>
          <w:sz w:val="19"/>
          <w:szCs w:val="19"/>
        </w:rPr>
        <w:t>пт;</w:t>
      </w:r>
      <w:r w:rsidR="006C680D" w:rsidRPr="00D337FA">
        <w:rPr>
          <w:color w:val="auto"/>
          <w:spacing w:val="-4"/>
          <w:sz w:val="19"/>
          <w:szCs w:val="19"/>
        </w:rPr>
        <w:t xml:space="preserve"> </w:t>
      </w:r>
      <w:r w:rsidRPr="00D337FA">
        <w:rPr>
          <w:color w:val="auto"/>
          <w:spacing w:val="-4"/>
          <w:sz w:val="19"/>
          <w:szCs w:val="19"/>
        </w:rPr>
        <w:t>крупный</w:t>
      </w:r>
      <w:r w:rsidR="006C680D" w:rsidRPr="00D337FA">
        <w:rPr>
          <w:color w:val="auto"/>
          <w:spacing w:val="-4"/>
          <w:sz w:val="19"/>
          <w:szCs w:val="19"/>
        </w:rPr>
        <w:t xml:space="preserve"> </w:t>
      </w:r>
      <w:r w:rsidRPr="00D337FA">
        <w:rPr>
          <w:color w:val="auto"/>
          <w:spacing w:val="-4"/>
          <w:sz w:val="19"/>
          <w:szCs w:val="19"/>
        </w:rPr>
        <w:t>символ</w:t>
      </w:r>
      <w:r w:rsidR="006C680D" w:rsidRPr="00D337FA">
        <w:rPr>
          <w:color w:val="auto"/>
          <w:spacing w:val="-4"/>
          <w:sz w:val="19"/>
          <w:szCs w:val="19"/>
        </w:rPr>
        <w:t xml:space="preserve"> </w:t>
      </w:r>
      <w:r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18</w:t>
      </w:r>
      <w:r w:rsidR="006C680D" w:rsidRPr="00D337FA">
        <w:rPr>
          <w:color w:val="auto"/>
          <w:spacing w:val="-4"/>
          <w:sz w:val="19"/>
          <w:szCs w:val="19"/>
        </w:rPr>
        <w:t xml:space="preserve"> </w:t>
      </w:r>
      <w:r w:rsidRPr="00D337FA">
        <w:rPr>
          <w:color w:val="auto"/>
          <w:spacing w:val="-4"/>
          <w:sz w:val="19"/>
          <w:szCs w:val="19"/>
        </w:rPr>
        <w:t>пт;</w:t>
      </w:r>
      <w:r w:rsidR="006C680D" w:rsidRPr="00D337FA">
        <w:rPr>
          <w:color w:val="auto"/>
          <w:spacing w:val="-4"/>
          <w:sz w:val="19"/>
          <w:szCs w:val="19"/>
        </w:rPr>
        <w:t xml:space="preserve"> </w:t>
      </w:r>
      <w:r w:rsidRPr="00D337FA">
        <w:rPr>
          <w:color w:val="auto"/>
          <w:spacing w:val="-4"/>
          <w:sz w:val="19"/>
          <w:szCs w:val="19"/>
        </w:rPr>
        <w:t>мелкий</w:t>
      </w:r>
      <w:r w:rsidR="006C680D" w:rsidRPr="00D337FA">
        <w:rPr>
          <w:color w:val="auto"/>
          <w:spacing w:val="-4"/>
          <w:sz w:val="19"/>
          <w:szCs w:val="19"/>
        </w:rPr>
        <w:t xml:space="preserve"> </w:t>
      </w:r>
      <w:r w:rsidRPr="00D337FA">
        <w:rPr>
          <w:color w:val="auto"/>
          <w:spacing w:val="-4"/>
          <w:sz w:val="19"/>
          <w:szCs w:val="19"/>
        </w:rPr>
        <w:t>символ</w:t>
      </w:r>
      <w:r w:rsidR="006C680D" w:rsidRPr="00D337FA">
        <w:rPr>
          <w:color w:val="auto"/>
          <w:spacing w:val="-4"/>
          <w:sz w:val="19"/>
          <w:szCs w:val="19"/>
        </w:rPr>
        <w:t xml:space="preserve"> </w:t>
      </w:r>
      <w:r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12</w:t>
      </w:r>
      <w:r w:rsidR="006C680D" w:rsidRPr="00D337FA">
        <w:rPr>
          <w:color w:val="auto"/>
          <w:spacing w:val="-4"/>
          <w:sz w:val="19"/>
          <w:szCs w:val="19"/>
        </w:rPr>
        <w:t xml:space="preserve"> </w:t>
      </w:r>
      <w:r w:rsidRPr="00D337FA">
        <w:rPr>
          <w:color w:val="auto"/>
          <w:spacing w:val="-4"/>
          <w:sz w:val="19"/>
          <w:szCs w:val="19"/>
        </w:rPr>
        <w:t>пт.</w:t>
      </w:r>
    </w:p>
    <w:p w:rsidR="00250468" w:rsidRPr="00D337FA" w:rsidRDefault="00250468" w:rsidP="00A3493D">
      <w:pPr>
        <w:pStyle w:val="afe"/>
        <w:rPr>
          <w:color w:val="auto"/>
          <w:spacing w:val="-4"/>
          <w:sz w:val="19"/>
          <w:szCs w:val="19"/>
        </w:rPr>
      </w:pPr>
      <w:r w:rsidRPr="00D337FA">
        <w:rPr>
          <w:color w:val="auto"/>
          <w:spacing w:val="-4"/>
          <w:sz w:val="19"/>
          <w:szCs w:val="19"/>
        </w:rPr>
        <w:t>Необходимо</w:t>
      </w:r>
      <w:r w:rsidR="006C680D" w:rsidRPr="00D337FA">
        <w:rPr>
          <w:color w:val="auto"/>
          <w:spacing w:val="-4"/>
          <w:sz w:val="19"/>
          <w:szCs w:val="19"/>
        </w:rPr>
        <w:t xml:space="preserve"> </w:t>
      </w:r>
      <w:r w:rsidRPr="00D337FA">
        <w:rPr>
          <w:color w:val="auto"/>
          <w:spacing w:val="-4"/>
          <w:sz w:val="19"/>
          <w:szCs w:val="19"/>
        </w:rPr>
        <w:t>учитывать,</w:t>
      </w:r>
      <w:r w:rsidR="006C680D" w:rsidRPr="00D337FA">
        <w:rPr>
          <w:color w:val="auto"/>
          <w:spacing w:val="-4"/>
          <w:sz w:val="19"/>
          <w:szCs w:val="19"/>
        </w:rPr>
        <w:t xml:space="preserve"> </w:t>
      </w:r>
      <w:r w:rsidRPr="00D337FA">
        <w:rPr>
          <w:color w:val="auto"/>
          <w:spacing w:val="-4"/>
          <w:sz w:val="19"/>
          <w:szCs w:val="19"/>
        </w:rPr>
        <w:t>что</w:t>
      </w:r>
      <w:r w:rsidR="006C680D" w:rsidRPr="00D337FA">
        <w:rPr>
          <w:color w:val="auto"/>
          <w:spacing w:val="-4"/>
          <w:sz w:val="19"/>
          <w:szCs w:val="19"/>
        </w:rPr>
        <w:t xml:space="preserve"> </w:t>
      </w:r>
      <w:r w:rsidRPr="00D337FA">
        <w:rPr>
          <w:color w:val="auto"/>
          <w:spacing w:val="-4"/>
          <w:sz w:val="19"/>
          <w:szCs w:val="19"/>
        </w:rPr>
        <w:t>полоса</w:t>
      </w:r>
      <w:r w:rsidR="006C680D" w:rsidRPr="00D337FA">
        <w:rPr>
          <w:color w:val="auto"/>
          <w:spacing w:val="-4"/>
          <w:sz w:val="19"/>
          <w:szCs w:val="19"/>
        </w:rPr>
        <w:t xml:space="preserve"> </w:t>
      </w:r>
      <w:r w:rsidRPr="00D337FA">
        <w:rPr>
          <w:color w:val="auto"/>
          <w:spacing w:val="-4"/>
          <w:sz w:val="19"/>
          <w:szCs w:val="19"/>
        </w:rPr>
        <w:t>набора</w:t>
      </w:r>
      <w:r w:rsidR="006C680D" w:rsidRPr="00D337FA">
        <w:rPr>
          <w:color w:val="auto"/>
          <w:spacing w:val="-4"/>
          <w:sz w:val="19"/>
          <w:szCs w:val="19"/>
        </w:rPr>
        <w:t xml:space="preserve"> </w:t>
      </w:r>
      <w:r w:rsidRPr="00D337FA">
        <w:rPr>
          <w:i/>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75</w:t>
      </w:r>
      <w:r w:rsidR="006C680D" w:rsidRPr="00D337FA">
        <w:rPr>
          <w:color w:val="auto"/>
          <w:spacing w:val="-4"/>
          <w:sz w:val="19"/>
          <w:szCs w:val="19"/>
        </w:rPr>
        <w:t xml:space="preserve"> </w:t>
      </w:r>
      <w:r w:rsidRPr="00D337FA">
        <w:rPr>
          <w:color w:val="auto"/>
          <w:spacing w:val="-4"/>
          <w:sz w:val="19"/>
          <w:szCs w:val="19"/>
        </w:rPr>
        <w:t>мм.</w:t>
      </w:r>
      <w:r w:rsidR="006C680D" w:rsidRPr="00D337FA">
        <w:rPr>
          <w:color w:val="auto"/>
          <w:spacing w:val="-4"/>
          <w:sz w:val="19"/>
          <w:szCs w:val="19"/>
        </w:rPr>
        <w:t xml:space="preserve"> </w:t>
      </w:r>
      <w:r w:rsidRPr="00D337FA">
        <w:rPr>
          <w:color w:val="auto"/>
          <w:spacing w:val="-4"/>
          <w:sz w:val="19"/>
          <w:szCs w:val="19"/>
        </w:rPr>
        <w:t>Если</w:t>
      </w:r>
      <w:r w:rsidR="006C680D" w:rsidRPr="00D337FA">
        <w:rPr>
          <w:color w:val="auto"/>
          <w:spacing w:val="-4"/>
          <w:sz w:val="19"/>
          <w:szCs w:val="19"/>
        </w:rPr>
        <w:t xml:space="preserve"> </w:t>
      </w:r>
      <w:r w:rsidRPr="00D337FA">
        <w:rPr>
          <w:color w:val="auto"/>
          <w:spacing w:val="-4"/>
          <w:sz w:val="19"/>
          <w:szCs w:val="19"/>
        </w:rPr>
        <w:t>формула</w:t>
      </w:r>
      <w:r w:rsidR="006C680D" w:rsidRPr="00D337FA">
        <w:rPr>
          <w:color w:val="auto"/>
          <w:spacing w:val="-4"/>
          <w:sz w:val="19"/>
          <w:szCs w:val="19"/>
        </w:rPr>
        <w:t xml:space="preserve"> </w:t>
      </w:r>
      <w:r w:rsidRPr="00D337FA">
        <w:rPr>
          <w:color w:val="auto"/>
          <w:spacing w:val="-4"/>
          <w:sz w:val="19"/>
          <w:szCs w:val="19"/>
        </w:rPr>
        <w:t>имеет</w:t>
      </w:r>
      <w:r w:rsidR="006C680D" w:rsidRPr="00D337FA">
        <w:rPr>
          <w:color w:val="auto"/>
          <w:spacing w:val="-4"/>
          <w:sz w:val="19"/>
          <w:szCs w:val="19"/>
        </w:rPr>
        <w:t xml:space="preserve"> </w:t>
      </w:r>
      <w:r w:rsidRPr="00D337FA">
        <w:rPr>
          <w:color w:val="auto"/>
          <w:spacing w:val="-4"/>
          <w:sz w:val="19"/>
          <w:szCs w:val="19"/>
        </w:rPr>
        <w:t>больший</w:t>
      </w:r>
      <w:r w:rsidR="006C680D" w:rsidRPr="00D337FA">
        <w:rPr>
          <w:color w:val="auto"/>
          <w:spacing w:val="-4"/>
          <w:sz w:val="19"/>
          <w:szCs w:val="19"/>
        </w:rPr>
        <w:t xml:space="preserve"> </w:t>
      </w:r>
      <w:r w:rsidRPr="00D337FA">
        <w:rPr>
          <w:color w:val="auto"/>
          <w:spacing w:val="-4"/>
          <w:sz w:val="19"/>
          <w:szCs w:val="19"/>
        </w:rPr>
        <w:t>размер,</w:t>
      </w:r>
      <w:r w:rsidR="006C680D" w:rsidRPr="00D337FA">
        <w:rPr>
          <w:color w:val="auto"/>
          <w:spacing w:val="-4"/>
          <w:sz w:val="19"/>
          <w:szCs w:val="19"/>
        </w:rPr>
        <w:t xml:space="preserve"> </w:t>
      </w:r>
      <w:r w:rsidRPr="00D337FA">
        <w:rPr>
          <w:color w:val="auto"/>
          <w:spacing w:val="-4"/>
          <w:sz w:val="19"/>
          <w:szCs w:val="19"/>
        </w:rPr>
        <w:t>ее</w:t>
      </w:r>
      <w:r w:rsidR="006C680D" w:rsidRPr="00D337FA">
        <w:rPr>
          <w:color w:val="auto"/>
          <w:spacing w:val="-4"/>
          <w:sz w:val="19"/>
          <w:szCs w:val="19"/>
        </w:rPr>
        <w:t xml:space="preserve"> </w:t>
      </w:r>
      <w:r w:rsidRPr="00D337FA">
        <w:rPr>
          <w:color w:val="auto"/>
          <w:spacing w:val="-4"/>
          <w:sz w:val="19"/>
          <w:szCs w:val="19"/>
        </w:rPr>
        <w:t>необходимо</w:t>
      </w:r>
      <w:r w:rsidR="006C680D" w:rsidRPr="00D337FA">
        <w:rPr>
          <w:color w:val="auto"/>
          <w:spacing w:val="-4"/>
          <w:sz w:val="19"/>
          <w:szCs w:val="19"/>
        </w:rPr>
        <w:t xml:space="preserve"> </w:t>
      </w:r>
      <w:r w:rsidRPr="00D337FA">
        <w:rPr>
          <w:color w:val="auto"/>
          <w:spacing w:val="-4"/>
          <w:sz w:val="19"/>
          <w:szCs w:val="19"/>
        </w:rPr>
        <w:t>упростить</w:t>
      </w:r>
      <w:r w:rsidR="006C680D" w:rsidRPr="00D337FA">
        <w:rPr>
          <w:color w:val="auto"/>
          <w:spacing w:val="-4"/>
          <w:sz w:val="19"/>
          <w:szCs w:val="19"/>
        </w:rPr>
        <w:t xml:space="preserve"> </w:t>
      </w:r>
      <w:r w:rsidRPr="00D337FA">
        <w:rPr>
          <w:color w:val="auto"/>
          <w:spacing w:val="-4"/>
          <w:sz w:val="19"/>
          <w:szCs w:val="19"/>
        </w:rPr>
        <w:t>или</w:t>
      </w:r>
      <w:r w:rsidR="006C680D" w:rsidRPr="00D337FA">
        <w:rPr>
          <w:color w:val="auto"/>
          <w:spacing w:val="-4"/>
          <w:sz w:val="19"/>
          <w:szCs w:val="19"/>
        </w:rPr>
        <w:t xml:space="preserve"> </w:t>
      </w:r>
      <w:r w:rsidRPr="00D337FA">
        <w:rPr>
          <w:color w:val="auto"/>
          <w:spacing w:val="-4"/>
          <w:sz w:val="19"/>
          <w:szCs w:val="19"/>
        </w:rPr>
        <w:t>разбить</w:t>
      </w:r>
      <w:r w:rsidR="006C680D" w:rsidRPr="00D337FA">
        <w:rPr>
          <w:color w:val="auto"/>
          <w:spacing w:val="-4"/>
          <w:sz w:val="19"/>
          <w:szCs w:val="19"/>
        </w:rPr>
        <w:t xml:space="preserve"> </w:t>
      </w:r>
      <w:r w:rsidRPr="00D337FA">
        <w:rPr>
          <w:color w:val="auto"/>
          <w:spacing w:val="-4"/>
          <w:sz w:val="19"/>
          <w:szCs w:val="19"/>
        </w:rPr>
        <w:t>на</w:t>
      </w:r>
      <w:r w:rsidR="006C680D" w:rsidRPr="00D337FA">
        <w:rPr>
          <w:color w:val="auto"/>
          <w:spacing w:val="-4"/>
          <w:sz w:val="19"/>
          <w:szCs w:val="19"/>
        </w:rPr>
        <w:t xml:space="preserve"> </w:t>
      </w:r>
      <w:r w:rsidRPr="00D337FA">
        <w:rPr>
          <w:color w:val="auto"/>
          <w:spacing w:val="-4"/>
          <w:sz w:val="19"/>
          <w:szCs w:val="19"/>
        </w:rPr>
        <w:t>несколько</w:t>
      </w:r>
      <w:r w:rsidR="006C680D" w:rsidRPr="00D337FA">
        <w:rPr>
          <w:color w:val="auto"/>
          <w:spacing w:val="-4"/>
          <w:sz w:val="19"/>
          <w:szCs w:val="19"/>
        </w:rPr>
        <w:t xml:space="preserve"> </w:t>
      </w:r>
      <w:r w:rsidRPr="00D337FA">
        <w:rPr>
          <w:color w:val="auto"/>
          <w:spacing w:val="-4"/>
          <w:sz w:val="19"/>
          <w:szCs w:val="19"/>
        </w:rPr>
        <w:t>строк.</w:t>
      </w:r>
      <w:r w:rsidR="006C680D" w:rsidRPr="00D337FA">
        <w:rPr>
          <w:color w:val="auto"/>
          <w:spacing w:val="-4"/>
          <w:sz w:val="19"/>
          <w:szCs w:val="19"/>
        </w:rPr>
        <w:t xml:space="preserve"> </w:t>
      </w:r>
      <w:r w:rsidRPr="00D337FA">
        <w:rPr>
          <w:color w:val="auto"/>
          <w:spacing w:val="-4"/>
          <w:sz w:val="19"/>
          <w:szCs w:val="19"/>
        </w:rPr>
        <w:t>Формулы,</w:t>
      </w:r>
      <w:r w:rsidR="006C680D" w:rsidRPr="00D337FA">
        <w:rPr>
          <w:color w:val="auto"/>
          <w:spacing w:val="-4"/>
          <w:sz w:val="19"/>
          <w:szCs w:val="19"/>
        </w:rPr>
        <w:t xml:space="preserve"> </w:t>
      </w:r>
      <w:r w:rsidRPr="00D337FA">
        <w:rPr>
          <w:color w:val="auto"/>
          <w:spacing w:val="-4"/>
          <w:sz w:val="19"/>
          <w:szCs w:val="19"/>
        </w:rPr>
        <w:t>внедренные</w:t>
      </w:r>
      <w:r w:rsidR="006C680D" w:rsidRPr="00D337FA">
        <w:rPr>
          <w:color w:val="auto"/>
          <w:spacing w:val="-4"/>
          <w:sz w:val="19"/>
          <w:szCs w:val="19"/>
        </w:rPr>
        <w:t xml:space="preserve"> </w:t>
      </w:r>
      <w:r w:rsidRPr="00D337FA">
        <w:rPr>
          <w:color w:val="auto"/>
          <w:spacing w:val="-4"/>
          <w:sz w:val="19"/>
          <w:szCs w:val="19"/>
        </w:rPr>
        <w:t>как</w:t>
      </w:r>
      <w:r w:rsidR="006C680D" w:rsidRPr="00D337FA">
        <w:rPr>
          <w:color w:val="auto"/>
          <w:spacing w:val="-4"/>
          <w:sz w:val="19"/>
          <w:szCs w:val="19"/>
        </w:rPr>
        <w:t xml:space="preserve"> </w:t>
      </w:r>
      <w:r w:rsidRPr="00D337FA">
        <w:rPr>
          <w:color w:val="auto"/>
          <w:spacing w:val="-4"/>
          <w:sz w:val="19"/>
          <w:szCs w:val="19"/>
        </w:rPr>
        <w:t>изображение,</w:t>
      </w:r>
      <w:r w:rsidR="006C680D" w:rsidRPr="00D337FA">
        <w:rPr>
          <w:color w:val="auto"/>
          <w:spacing w:val="-4"/>
          <w:sz w:val="19"/>
          <w:szCs w:val="19"/>
        </w:rPr>
        <w:t xml:space="preserve"> </w:t>
      </w:r>
      <w:r w:rsidRPr="00D337FA">
        <w:rPr>
          <w:color w:val="auto"/>
          <w:spacing w:val="-4"/>
          <w:sz w:val="19"/>
          <w:szCs w:val="19"/>
        </w:rPr>
        <w:t>не</w:t>
      </w:r>
      <w:r w:rsidR="006C680D" w:rsidRPr="00D337FA">
        <w:rPr>
          <w:color w:val="auto"/>
          <w:spacing w:val="-4"/>
          <w:sz w:val="19"/>
          <w:szCs w:val="19"/>
        </w:rPr>
        <w:t xml:space="preserve"> </w:t>
      </w:r>
      <w:r w:rsidRPr="00D337FA">
        <w:rPr>
          <w:color w:val="auto"/>
          <w:spacing w:val="-4"/>
          <w:sz w:val="19"/>
          <w:szCs w:val="19"/>
        </w:rPr>
        <w:t>допускаются!</w:t>
      </w:r>
    </w:p>
    <w:p w:rsidR="00250468" w:rsidRPr="00D337FA" w:rsidRDefault="00250468" w:rsidP="00A3493D">
      <w:pPr>
        <w:pStyle w:val="afe"/>
        <w:rPr>
          <w:color w:val="auto"/>
          <w:spacing w:val="-4"/>
          <w:sz w:val="19"/>
          <w:szCs w:val="19"/>
        </w:rPr>
      </w:pPr>
      <w:r w:rsidRPr="00D337FA">
        <w:rPr>
          <w:color w:val="auto"/>
          <w:spacing w:val="-4"/>
          <w:sz w:val="19"/>
          <w:szCs w:val="19"/>
        </w:rPr>
        <w:t>Все</w:t>
      </w:r>
      <w:r w:rsidR="006C680D" w:rsidRPr="00D337FA">
        <w:rPr>
          <w:color w:val="auto"/>
          <w:spacing w:val="-4"/>
          <w:sz w:val="19"/>
          <w:szCs w:val="19"/>
        </w:rPr>
        <w:t xml:space="preserve"> </w:t>
      </w:r>
      <w:r w:rsidRPr="00D337FA">
        <w:rPr>
          <w:color w:val="auto"/>
          <w:spacing w:val="-4"/>
          <w:sz w:val="19"/>
          <w:szCs w:val="19"/>
        </w:rPr>
        <w:t>русские</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греческие</w:t>
      </w:r>
      <w:r w:rsidR="006C680D" w:rsidRPr="00D337FA">
        <w:rPr>
          <w:color w:val="auto"/>
          <w:spacing w:val="-4"/>
          <w:sz w:val="19"/>
          <w:szCs w:val="19"/>
        </w:rPr>
        <w:t xml:space="preserve"> </w:t>
      </w:r>
      <w:r w:rsidRPr="00D337FA">
        <w:rPr>
          <w:color w:val="auto"/>
          <w:spacing w:val="-4"/>
          <w:sz w:val="19"/>
          <w:szCs w:val="19"/>
        </w:rPr>
        <w:t>буквы</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формулах</w:t>
      </w:r>
      <w:r w:rsidR="006C680D" w:rsidRPr="00D337FA">
        <w:rPr>
          <w:color w:val="auto"/>
          <w:spacing w:val="-4"/>
          <w:sz w:val="19"/>
          <w:szCs w:val="19"/>
        </w:rPr>
        <w:t xml:space="preserve"> </w:t>
      </w:r>
      <w:r w:rsidRPr="00D337FA">
        <w:rPr>
          <w:color w:val="auto"/>
          <w:spacing w:val="-4"/>
          <w:sz w:val="19"/>
          <w:szCs w:val="19"/>
        </w:rPr>
        <w:t>должны</w:t>
      </w:r>
      <w:r w:rsidR="006C680D" w:rsidRPr="00D337FA">
        <w:rPr>
          <w:color w:val="auto"/>
          <w:spacing w:val="-4"/>
          <w:sz w:val="19"/>
          <w:szCs w:val="19"/>
        </w:rPr>
        <w:t xml:space="preserve"> </w:t>
      </w:r>
      <w:r w:rsidRPr="00D337FA">
        <w:rPr>
          <w:color w:val="auto"/>
          <w:spacing w:val="-4"/>
          <w:sz w:val="19"/>
          <w:szCs w:val="19"/>
        </w:rPr>
        <w:t>быть</w:t>
      </w:r>
      <w:r w:rsidR="006C680D" w:rsidRPr="00D337FA">
        <w:rPr>
          <w:color w:val="auto"/>
          <w:spacing w:val="-4"/>
          <w:sz w:val="19"/>
          <w:szCs w:val="19"/>
        </w:rPr>
        <w:t xml:space="preserve"> </w:t>
      </w:r>
      <w:r w:rsidRPr="00D337FA">
        <w:rPr>
          <w:color w:val="auto"/>
          <w:spacing w:val="-4"/>
          <w:sz w:val="19"/>
          <w:szCs w:val="19"/>
        </w:rPr>
        <w:t>набраны</w:t>
      </w:r>
      <w:r w:rsidR="006C680D" w:rsidRPr="00D337FA">
        <w:rPr>
          <w:color w:val="auto"/>
          <w:spacing w:val="-4"/>
          <w:sz w:val="19"/>
          <w:szCs w:val="19"/>
        </w:rPr>
        <w:t xml:space="preserve"> </w:t>
      </w:r>
      <w:r w:rsidRPr="00D337FA">
        <w:rPr>
          <w:color w:val="auto"/>
          <w:spacing w:val="-4"/>
          <w:sz w:val="19"/>
          <w:szCs w:val="19"/>
        </w:rPr>
        <w:t>прямым</w:t>
      </w:r>
      <w:r w:rsidR="006C680D" w:rsidRPr="00D337FA">
        <w:rPr>
          <w:color w:val="auto"/>
          <w:spacing w:val="-4"/>
          <w:sz w:val="19"/>
          <w:szCs w:val="19"/>
        </w:rPr>
        <w:t xml:space="preserve"> </w:t>
      </w:r>
      <w:r w:rsidRPr="00D337FA">
        <w:rPr>
          <w:color w:val="auto"/>
          <w:spacing w:val="-4"/>
          <w:sz w:val="19"/>
          <w:szCs w:val="19"/>
        </w:rPr>
        <w:t>шрифтом.</w:t>
      </w:r>
      <w:r w:rsidR="006C680D" w:rsidRPr="00D337FA">
        <w:rPr>
          <w:color w:val="auto"/>
          <w:spacing w:val="-4"/>
          <w:sz w:val="19"/>
          <w:szCs w:val="19"/>
        </w:rPr>
        <w:t xml:space="preserve"> </w:t>
      </w:r>
      <w:r w:rsidRPr="00D337FA">
        <w:rPr>
          <w:color w:val="auto"/>
          <w:spacing w:val="-4"/>
          <w:sz w:val="19"/>
          <w:szCs w:val="19"/>
        </w:rPr>
        <w:t>Обозначения</w:t>
      </w:r>
      <w:r w:rsidR="006C680D" w:rsidRPr="00D337FA">
        <w:rPr>
          <w:color w:val="auto"/>
          <w:spacing w:val="-4"/>
          <w:sz w:val="19"/>
          <w:szCs w:val="19"/>
        </w:rPr>
        <w:t xml:space="preserve"> </w:t>
      </w:r>
      <w:r w:rsidRPr="00D337FA">
        <w:rPr>
          <w:color w:val="auto"/>
          <w:spacing w:val="-4"/>
          <w:sz w:val="19"/>
          <w:szCs w:val="19"/>
        </w:rPr>
        <w:t>тригонометрических</w:t>
      </w:r>
      <w:r w:rsidR="006C680D" w:rsidRPr="00D337FA">
        <w:rPr>
          <w:color w:val="auto"/>
          <w:spacing w:val="-4"/>
          <w:sz w:val="19"/>
          <w:szCs w:val="19"/>
        </w:rPr>
        <w:t xml:space="preserve"> </w:t>
      </w:r>
      <w:r w:rsidRPr="00D337FA">
        <w:rPr>
          <w:color w:val="auto"/>
          <w:spacing w:val="-4"/>
          <w:sz w:val="19"/>
          <w:szCs w:val="19"/>
        </w:rPr>
        <w:t>функций</w:t>
      </w:r>
      <w:r w:rsidR="006C680D" w:rsidRPr="00D337FA">
        <w:rPr>
          <w:color w:val="auto"/>
          <w:spacing w:val="-4"/>
          <w:sz w:val="19"/>
          <w:szCs w:val="19"/>
        </w:rPr>
        <w:t xml:space="preserve"> </w:t>
      </w:r>
      <w:r w:rsidRPr="00D337FA">
        <w:rPr>
          <w:color w:val="auto"/>
          <w:spacing w:val="-4"/>
          <w:sz w:val="19"/>
          <w:szCs w:val="19"/>
        </w:rPr>
        <w:t>(sin,</w:t>
      </w:r>
      <w:r w:rsidR="006C680D" w:rsidRPr="00D337FA">
        <w:rPr>
          <w:color w:val="auto"/>
          <w:spacing w:val="-4"/>
          <w:sz w:val="19"/>
          <w:szCs w:val="19"/>
        </w:rPr>
        <w:t xml:space="preserve"> </w:t>
      </w:r>
      <w:r w:rsidRPr="00D337FA">
        <w:rPr>
          <w:color w:val="auto"/>
          <w:spacing w:val="-4"/>
          <w:sz w:val="19"/>
          <w:szCs w:val="19"/>
        </w:rPr>
        <w:t>cos,</w:t>
      </w:r>
      <w:r w:rsidR="006C680D" w:rsidRPr="00D337FA">
        <w:rPr>
          <w:color w:val="auto"/>
          <w:spacing w:val="-4"/>
          <w:sz w:val="19"/>
          <w:szCs w:val="19"/>
        </w:rPr>
        <w:t xml:space="preserve"> </w:t>
      </w:r>
      <w:r w:rsidRPr="00D337FA">
        <w:rPr>
          <w:color w:val="auto"/>
          <w:spacing w:val="-4"/>
          <w:sz w:val="19"/>
          <w:szCs w:val="19"/>
        </w:rPr>
        <w:t>tg</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т.д.)</w:t>
      </w:r>
      <w:r w:rsidR="006C680D" w:rsidRPr="00D337FA">
        <w:rPr>
          <w:color w:val="auto"/>
          <w:spacing w:val="-4"/>
          <w:sz w:val="19"/>
          <w:szCs w:val="19"/>
        </w:rPr>
        <w:t xml:space="preserve"> </w:t>
      </w:r>
      <w:r w:rsidRPr="00D337FA">
        <w:rPr>
          <w:i/>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прямым</w:t>
      </w:r>
      <w:r w:rsidR="006C680D" w:rsidRPr="00D337FA">
        <w:rPr>
          <w:color w:val="auto"/>
          <w:spacing w:val="-4"/>
          <w:sz w:val="19"/>
          <w:szCs w:val="19"/>
        </w:rPr>
        <w:t xml:space="preserve"> </w:t>
      </w:r>
      <w:r w:rsidRPr="00D337FA">
        <w:rPr>
          <w:color w:val="auto"/>
          <w:spacing w:val="-4"/>
          <w:sz w:val="19"/>
          <w:szCs w:val="19"/>
        </w:rPr>
        <w:t>шрифтом.</w:t>
      </w:r>
      <w:r w:rsidR="006C680D" w:rsidRPr="00D337FA">
        <w:rPr>
          <w:color w:val="auto"/>
          <w:spacing w:val="-4"/>
          <w:sz w:val="19"/>
          <w:szCs w:val="19"/>
        </w:rPr>
        <w:t xml:space="preserve"> </w:t>
      </w:r>
      <w:r w:rsidRPr="00D337FA">
        <w:rPr>
          <w:color w:val="auto"/>
          <w:spacing w:val="-4"/>
          <w:sz w:val="19"/>
          <w:szCs w:val="19"/>
        </w:rPr>
        <w:t>Латинские</w:t>
      </w:r>
      <w:r w:rsidR="006C680D" w:rsidRPr="00D337FA">
        <w:rPr>
          <w:color w:val="auto"/>
          <w:spacing w:val="-4"/>
          <w:sz w:val="19"/>
          <w:szCs w:val="19"/>
        </w:rPr>
        <w:t xml:space="preserve"> </w:t>
      </w:r>
      <w:r w:rsidRPr="00D337FA">
        <w:rPr>
          <w:color w:val="auto"/>
          <w:spacing w:val="-4"/>
          <w:sz w:val="19"/>
          <w:szCs w:val="19"/>
        </w:rPr>
        <w:t>буквы</w:t>
      </w:r>
      <w:r w:rsidR="006C680D" w:rsidRPr="00D337FA">
        <w:rPr>
          <w:color w:val="auto"/>
          <w:spacing w:val="-4"/>
          <w:sz w:val="19"/>
          <w:szCs w:val="19"/>
        </w:rPr>
        <w:t xml:space="preserve"> </w:t>
      </w:r>
      <w:r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курсивом.</w:t>
      </w:r>
      <w:r w:rsidR="006C680D" w:rsidRPr="00D337FA">
        <w:rPr>
          <w:color w:val="auto"/>
          <w:spacing w:val="-4"/>
          <w:sz w:val="19"/>
          <w:szCs w:val="19"/>
        </w:rPr>
        <w:t xml:space="preserve"> </w:t>
      </w:r>
      <w:r w:rsidRPr="00D337FA">
        <w:rPr>
          <w:color w:val="auto"/>
          <w:spacing w:val="-4"/>
          <w:sz w:val="19"/>
          <w:szCs w:val="19"/>
        </w:rPr>
        <w:t>Химические</w:t>
      </w:r>
      <w:r w:rsidR="006C680D" w:rsidRPr="00D337FA">
        <w:rPr>
          <w:color w:val="auto"/>
          <w:spacing w:val="-4"/>
          <w:sz w:val="19"/>
          <w:szCs w:val="19"/>
        </w:rPr>
        <w:t xml:space="preserve"> </w:t>
      </w:r>
      <w:r w:rsidRPr="00D337FA">
        <w:rPr>
          <w:color w:val="auto"/>
          <w:spacing w:val="-4"/>
          <w:sz w:val="19"/>
          <w:szCs w:val="19"/>
        </w:rPr>
        <w:t>формулы</w:t>
      </w:r>
      <w:r w:rsidR="006C680D" w:rsidRPr="00D337FA">
        <w:rPr>
          <w:color w:val="auto"/>
          <w:spacing w:val="-4"/>
          <w:sz w:val="19"/>
          <w:szCs w:val="19"/>
        </w:rPr>
        <w:t xml:space="preserve"> </w:t>
      </w:r>
      <w:r w:rsidRPr="00D337FA">
        <w:rPr>
          <w:color w:val="auto"/>
          <w:spacing w:val="-4"/>
          <w:sz w:val="19"/>
          <w:szCs w:val="19"/>
        </w:rPr>
        <w:t>набираются</w:t>
      </w:r>
      <w:r w:rsidR="006C680D" w:rsidRPr="00D337FA">
        <w:rPr>
          <w:color w:val="auto"/>
          <w:spacing w:val="-4"/>
          <w:sz w:val="19"/>
          <w:szCs w:val="19"/>
        </w:rPr>
        <w:t xml:space="preserve"> </w:t>
      </w:r>
      <w:r w:rsidRPr="00D337FA">
        <w:rPr>
          <w:color w:val="auto"/>
          <w:spacing w:val="-4"/>
          <w:sz w:val="19"/>
          <w:szCs w:val="19"/>
        </w:rPr>
        <w:t>прямым</w:t>
      </w:r>
      <w:r w:rsidR="006C680D" w:rsidRPr="00D337FA">
        <w:rPr>
          <w:color w:val="auto"/>
          <w:spacing w:val="-4"/>
          <w:sz w:val="19"/>
          <w:szCs w:val="19"/>
        </w:rPr>
        <w:t xml:space="preserve"> </w:t>
      </w:r>
      <w:r w:rsidRPr="00D337FA">
        <w:rPr>
          <w:color w:val="auto"/>
          <w:spacing w:val="-4"/>
          <w:sz w:val="19"/>
          <w:szCs w:val="19"/>
        </w:rPr>
        <w:t>шрифтом.</w:t>
      </w:r>
    </w:p>
    <w:p w:rsidR="00250468" w:rsidRPr="00D337FA" w:rsidRDefault="00250468" w:rsidP="00A3493D">
      <w:pPr>
        <w:pStyle w:val="afe"/>
        <w:rPr>
          <w:color w:val="auto"/>
          <w:spacing w:val="-4"/>
          <w:sz w:val="19"/>
          <w:szCs w:val="19"/>
        </w:rPr>
      </w:pPr>
      <w:r w:rsidRPr="00D337FA">
        <w:rPr>
          <w:color w:val="auto"/>
          <w:spacing w:val="-4"/>
          <w:sz w:val="19"/>
          <w:szCs w:val="19"/>
        </w:rPr>
        <w:t>Статья</w:t>
      </w:r>
      <w:r w:rsidR="006C680D" w:rsidRPr="00D337FA">
        <w:rPr>
          <w:color w:val="auto"/>
          <w:spacing w:val="-4"/>
          <w:sz w:val="19"/>
          <w:szCs w:val="19"/>
        </w:rPr>
        <w:t xml:space="preserve"> </w:t>
      </w:r>
      <w:r w:rsidRPr="00D337FA">
        <w:rPr>
          <w:color w:val="auto"/>
          <w:spacing w:val="-4"/>
          <w:sz w:val="19"/>
          <w:szCs w:val="19"/>
        </w:rPr>
        <w:t>должна</w:t>
      </w:r>
      <w:r w:rsidR="006C680D" w:rsidRPr="00D337FA">
        <w:rPr>
          <w:color w:val="auto"/>
          <w:spacing w:val="-4"/>
          <w:sz w:val="19"/>
          <w:szCs w:val="19"/>
        </w:rPr>
        <w:t xml:space="preserve"> </w:t>
      </w:r>
      <w:r w:rsidRPr="00D337FA">
        <w:rPr>
          <w:color w:val="auto"/>
          <w:spacing w:val="-4"/>
          <w:sz w:val="19"/>
          <w:szCs w:val="19"/>
        </w:rPr>
        <w:t>содержать</w:t>
      </w:r>
      <w:r w:rsidR="006C680D" w:rsidRPr="00D337FA">
        <w:rPr>
          <w:color w:val="auto"/>
          <w:spacing w:val="-4"/>
          <w:sz w:val="19"/>
          <w:szCs w:val="19"/>
        </w:rPr>
        <w:t xml:space="preserve"> </w:t>
      </w:r>
      <w:r w:rsidRPr="00D337FA">
        <w:rPr>
          <w:color w:val="auto"/>
          <w:spacing w:val="-4"/>
          <w:sz w:val="19"/>
          <w:szCs w:val="19"/>
        </w:rPr>
        <w:t>лишь</w:t>
      </w:r>
      <w:r w:rsidR="006C680D" w:rsidRPr="00D337FA">
        <w:rPr>
          <w:color w:val="auto"/>
          <w:spacing w:val="-4"/>
          <w:sz w:val="19"/>
          <w:szCs w:val="19"/>
        </w:rPr>
        <w:t xml:space="preserve"> </w:t>
      </w:r>
      <w:r w:rsidRPr="00D337FA">
        <w:rPr>
          <w:color w:val="auto"/>
          <w:spacing w:val="-4"/>
          <w:sz w:val="19"/>
          <w:szCs w:val="19"/>
        </w:rPr>
        <w:t>самые</w:t>
      </w:r>
      <w:r w:rsidR="006C680D" w:rsidRPr="00D337FA">
        <w:rPr>
          <w:color w:val="auto"/>
          <w:spacing w:val="-4"/>
          <w:sz w:val="19"/>
          <w:szCs w:val="19"/>
        </w:rPr>
        <w:t xml:space="preserve"> </w:t>
      </w:r>
      <w:r w:rsidRPr="00D337FA">
        <w:rPr>
          <w:color w:val="auto"/>
          <w:spacing w:val="-4"/>
          <w:sz w:val="19"/>
          <w:szCs w:val="19"/>
        </w:rPr>
        <w:t>необходимые</w:t>
      </w:r>
      <w:r w:rsidR="006C680D" w:rsidRPr="00D337FA">
        <w:rPr>
          <w:color w:val="auto"/>
          <w:spacing w:val="-4"/>
          <w:sz w:val="19"/>
          <w:szCs w:val="19"/>
        </w:rPr>
        <w:t xml:space="preserve"> </w:t>
      </w:r>
      <w:r w:rsidRPr="00D337FA">
        <w:rPr>
          <w:color w:val="auto"/>
          <w:spacing w:val="-4"/>
          <w:sz w:val="19"/>
          <w:szCs w:val="19"/>
        </w:rPr>
        <w:t>формулы,</w:t>
      </w:r>
      <w:r w:rsidR="006C680D" w:rsidRPr="00D337FA">
        <w:rPr>
          <w:color w:val="auto"/>
          <w:spacing w:val="-4"/>
          <w:sz w:val="19"/>
          <w:szCs w:val="19"/>
        </w:rPr>
        <w:t xml:space="preserve"> </w:t>
      </w:r>
      <w:r w:rsidRPr="00D337FA">
        <w:rPr>
          <w:color w:val="auto"/>
          <w:spacing w:val="-4"/>
          <w:sz w:val="19"/>
          <w:szCs w:val="19"/>
        </w:rPr>
        <w:t>от</w:t>
      </w:r>
      <w:r w:rsidR="006C680D" w:rsidRPr="00D337FA">
        <w:rPr>
          <w:color w:val="auto"/>
          <w:spacing w:val="-4"/>
          <w:sz w:val="19"/>
          <w:szCs w:val="19"/>
        </w:rPr>
        <w:t xml:space="preserve"> </w:t>
      </w:r>
      <w:r w:rsidRPr="00D337FA">
        <w:rPr>
          <w:color w:val="auto"/>
          <w:spacing w:val="-4"/>
          <w:sz w:val="19"/>
          <w:szCs w:val="19"/>
        </w:rPr>
        <w:t>промежуточных</w:t>
      </w:r>
      <w:r w:rsidR="006C680D" w:rsidRPr="00D337FA">
        <w:rPr>
          <w:color w:val="auto"/>
          <w:spacing w:val="-4"/>
          <w:sz w:val="19"/>
          <w:szCs w:val="19"/>
        </w:rPr>
        <w:t xml:space="preserve"> </w:t>
      </w:r>
      <w:r w:rsidRPr="00D337FA">
        <w:rPr>
          <w:color w:val="auto"/>
          <w:spacing w:val="-4"/>
          <w:sz w:val="19"/>
          <w:szCs w:val="19"/>
        </w:rPr>
        <w:t>выкладок</w:t>
      </w:r>
      <w:r w:rsidR="006C680D" w:rsidRPr="00D337FA">
        <w:rPr>
          <w:color w:val="auto"/>
          <w:spacing w:val="-4"/>
          <w:sz w:val="19"/>
          <w:szCs w:val="19"/>
        </w:rPr>
        <w:t xml:space="preserve"> </w:t>
      </w:r>
      <w:r w:rsidRPr="00D337FA">
        <w:rPr>
          <w:color w:val="auto"/>
          <w:spacing w:val="-4"/>
          <w:sz w:val="19"/>
          <w:szCs w:val="19"/>
        </w:rPr>
        <w:t>желательно</w:t>
      </w:r>
      <w:r w:rsidR="006C680D" w:rsidRPr="00D337FA">
        <w:rPr>
          <w:color w:val="auto"/>
          <w:spacing w:val="-4"/>
          <w:sz w:val="19"/>
          <w:szCs w:val="19"/>
        </w:rPr>
        <w:t xml:space="preserve"> </w:t>
      </w:r>
      <w:r w:rsidRPr="00D337FA">
        <w:rPr>
          <w:color w:val="auto"/>
          <w:spacing w:val="-4"/>
          <w:sz w:val="19"/>
          <w:szCs w:val="19"/>
        </w:rPr>
        <w:t>отказаться.</w:t>
      </w:r>
    </w:p>
    <w:p w:rsidR="00250468" w:rsidRPr="00D337FA" w:rsidRDefault="00250468" w:rsidP="00A3493D">
      <w:pPr>
        <w:pStyle w:val="afe"/>
        <w:rPr>
          <w:color w:val="auto"/>
          <w:spacing w:val="-4"/>
          <w:sz w:val="19"/>
          <w:szCs w:val="19"/>
        </w:rPr>
      </w:pPr>
      <w:r w:rsidRPr="00D337FA">
        <w:rPr>
          <w:color w:val="auto"/>
          <w:spacing w:val="-4"/>
          <w:sz w:val="19"/>
          <w:szCs w:val="19"/>
        </w:rPr>
        <w:t>5.</w:t>
      </w:r>
      <w:r w:rsidR="006C680D" w:rsidRPr="00D337FA">
        <w:rPr>
          <w:color w:val="auto"/>
          <w:spacing w:val="-4"/>
          <w:sz w:val="19"/>
          <w:szCs w:val="19"/>
        </w:rPr>
        <w:t xml:space="preserve"> </w:t>
      </w:r>
      <w:r w:rsidRPr="00D337FA">
        <w:rPr>
          <w:color w:val="auto"/>
          <w:spacing w:val="-4"/>
          <w:sz w:val="19"/>
          <w:szCs w:val="19"/>
        </w:rPr>
        <w:t>Размерность</w:t>
      </w:r>
      <w:r w:rsidR="006C680D" w:rsidRPr="00D337FA">
        <w:rPr>
          <w:color w:val="auto"/>
          <w:spacing w:val="-4"/>
          <w:sz w:val="19"/>
          <w:szCs w:val="19"/>
        </w:rPr>
        <w:t xml:space="preserve"> </w:t>
      </w:r>
      <w:r w:rsidRPr="00D337FA">
        <w:rPr>
          <w:color w:val="auto"/>
          <w:spacing w:val="-4"/>
          <w:sz w:val="19"/>
          <w:szCs w:val="19"/>
        </w:rPr>
        <w:t>всех</w:t>
      </w:r>
      <w:r w:rsidR="006C680D" w:rsidRPr="00D337FA">
        <w:rPr>
          <w:color w:val="auto"/>
          <w:spacing w:val="-4"/>
          <w:sz w:val="19"/>
          <w:szCs w:val="19"/>
        </w:rPr>
        <w:t xml:space="preserve"> </w:t>
      </w:r>
      <w:r w:rsidRPr="00D337FA">
        <w:rPr>
          <w:color w:val="auto"/>
          <w:spacing w:val="-4"/>
          <w:sz w:val="19"/>
          <w:szCs w:val="19"/>
        </w:rPr>
        <w:t>величин,</w:t>
      </w:r>
      <w:r w:rsidR="006C680D" w:rsidRPr="00D337FA">
        <w:rPr>
          <w:color w:val="auto"/>
          <w:spacing w:val="-4"/>
          <w:sz w:val="19"/>
          <w:szCs w:val="19"/>
        </w:rPr>
        <w:t xml:space="preserve"> </w:t>
      </w:r>
      <w:r w:rsidRPr="00D337FA">
        <w:rPr>
          <w:color w:val="auto"/>
          <w:spacing w:val="-4"/>
          <w:sz w:val="19"/>
          <w:szCs w:val="19"/>
        </w:rPr>
        <w:t>принятых</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статье,</w:t>
      </w:r>
      <w:r w:rsidR="006C680D" w:rsidRPr="00D337FA">
        <w:rPr>
          <w:color w:val="auto"/>
          <w:spacing w:val="-4"/>
          <w:sz w:val="19"/>
          <w:szCs w:val="19"/>
        </w:rPr>
        <w:t xml:space="preserve"> </w:t>
      </w:r>
      <w:r w:rsidRPr="00D337FA">
        <w:rPr>
          <w:color w:val="auto"/>
          <w:spacing w:val="-4"/>
          <w:sz w:val="19"/>
          <w:szCs w:val="19"/>
        </w:rPr>
        <w:t>должна</w:t>
      </w:r>
      <w:r w:rsidR="006C680D" w:rsidRPr="00D337FA">
        <w:rPr>
          <w:color w:val="auto"/>
          <w:spacing w:val="-4"/>
          <w:sz w:val="19"/>
          <w:szCs w:val="19"/>
        </w:rPr>
        <w:t xml:space="preserve"> </w:t>
      </w:r>
      <w:r w:rsidRPr="00D337FA">
        <w:rPr>
          <w:color w:val="auto"/>
          <w:spacing w:val="-4"/>
          <w:sz w:val="19"/>
          <w:szCs w:val="19"/>
        </w:rPr>
        <w:t>соответствовать</w:t>
      </w:r>
      <w:r w:rsidR="006C680D" w:rsidRPr="00D337FA">
        <w:rPr>
          <w:color w:val="auto"/>
          <w:spacing w:val="-4"/>
          <w:sz w:val="19"/>
          <w:szCs w:val="19"/>
        </w:rPr>
        <w:t xml:space="preserve"> </w:t>
      </w:r>
      <w:r w:rsidRPr="00D337FA">
        <w:rPr>
          <w:color w:val="auto"/>
          <w:spacing w:val="-4"/>
          <w:sz w:val="19"/>
          <w:szCs w:val="19"/>
        </w:rPr>
        <w:t>Международной</w:t>
      </w:r>
      <w:r w:rsidR="006C680D" w:rsidRPr="00D337FA">
        <w:rPr>
          <w:color w:val="auto"/>
          <w:spacing w:val="-4"/>
          <w:sz w:val="19"/>
          <w:szCs w:val="19"/>
        </w:rPr>
        <w:t xml:space="preserve"> </w:t>
      </w:r>
      <w:r w:rsidRPr="00D337FA">
        <w:rPr>
          <w:color w:val="auto"/>
          <w:spacing w:val="-4"/>
          <w:sz w:val="19"/>
          <w:szCs w:val="19"/>
        </w:rPr>
        <w:t>системе</w:t>
      </w:r>
      <w:r w:rsidR="006C680D" w:rsidRPr="00D337FA">
        <w:rPr>
          <w:color w:val="auto"/>
          <w:spacing w:val="-4"/>
          <w:sz w:val="19"/>
          <w:szCs w:val="19"/>
        </w:rPr>
        <w:t xml:space="preserve"> </w:t>
      </w:r>
      <w:r w:rsidRPr="00D337FA">
        <w:rPr>
          <w:color w:val="auto"/>
          <w:spacing w:val="-4"/>
          <w:sz w:val="19"/>
          <w:szCs w:val="19"/>
        </w:rPr>
        <w:t>единиц</w:t>
      </w:r>
      <w:r w:rsidR="006C680D" w:rsidRPr="00D337FA">
        <w:rPr>
          <w:color w:val="auto"/>
          <w:spacing w:val="-4"/>
          <w:sz w:val="19"/>
          <w:szCs w:val="19"/>
        </w:rPr>
        <w:t xml:space="preserve"> </w:t>
      </w:r>
      <w:r w:rsidRPr="00D337FA">
        <w:rPr>
          <w:color w:val="auto"/>
          <w:spacing w:val="-4"/>
          <w:sz w:val="19"/>
          <w:szCs w:val="19"/>
        </w:rPr>
        <w:t>измерений</w:t>
      </w:r>
      <w:r w:rsidR="006C680D" w:rsidRPr="00D337FA">
        <w:rPr>
          <w:color w:val="auto"/>
          <w:spacing w:val="-4"/>
          <w:sz w:val="19"/>
          <w:szCs w:val="19"/>
        </w:rPr>
        <w:t xml:space="preserve"> </w:t>
      </w:r>
      <w:r w:rsidRPr="00D337FA">
        <w:rPr>
          <w:color w:val="auto"/>
          <w:spacing w:val="-4"/>
          <w:sz w:val="19"/>
          <w:szCs w:val="19"/>
        </w:rPr>
        <w:t>(СИ).</w:t>
      </w:r>
    </w:p>
    <w:p w:rsidR="00250468" w:rsidRPr="00D337FA" w:rsidRDefault="00250468" w:rsidP="00A3493D">
      <w:pPr>
        <w:pStyle w:val="afe"/>
        <w:rPr>
          <w:color w:val="auto"/>
          <w:spacing w:val="-4"/>
          <w:sz w:val="19"/>
          <w:szCs w:val="19"/>
        </w:rPr>
      </w:pPr>
      <w:r w:rsidRPr="00D337FA">
        <w:rPr>
          <w:color w:val="auto"/>
          <w:spacing w:val="-4"/>
          <w:sz w:val="19"/>
          <w:szCs w:val="19"/>
        </w:rPr>
        <w:t>6.</w:t>
      </w:r>
      <w:r w:rsidR="006C680D" w:rsidRPr="00D337FA">
        <w:rPr>
          <w:color w:val="auto"/>
          <w:spacing w:val="-4"/>
          <w:sz w:val="19"/>
          <w:szCs w:val="19"/>
        </w:rPr>
        <w:t xml:space="preserve"> </w:t>
      </w:r>
      <w:r w:rsidRPr="00D337FA">
        <w:rPr>
          <w:color w:val="auto"/>
          <w:spacing w:val="-4"/>
          <w:sz w:val="19"/>
          <w:szCs w:val="19"/>
        </w:rPr>
        <w:t>Рисунки</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таблицы</w:t>
      </w:r>
      <w:r w:rsidR="006C680D" w:rsidRPr="00D337FA">
        <w:rPr>
          <w:color w:val="auto"/>
          <w:spacing w:val="-4"/>
          <w:sz w:val="19"/>
          <w:szCs w:val="19"/>
        </w:rPr>
        <w:t xml:space="preserve"> </w:t>
      </w:r>
      <w:r w:rsidRPr="00D337FA">
        <w:rPr>
          <w:color w:val="auto"/>
          <w:spacing w:val="-4"/>
          <w:sz w:val="19"/>
          <w:szCs w:val="19"/>
        </w:rPr>
        <w:t>располагаются</w:t>
      </w:r>
      <w:r w:rsidR="006C680D" w:rsidRPr="00D337FA">
        <w:rPr>
          <w:color w:val="auto"/>
          <w:spacing w:val="-4"/>
          <w:sz w:val="19"/>
          <w:szCs w:val="19"/>
        </w:rPr>
        <w:t xml:space="preserve"> </w:t>
      </w:r>
      <w:r w:rsidRPr="00D337FA">
        <w:rPr>
          <w:color w:val="auto"/>
          <w:spacing w:val="-4"/>
          <w:sz w:val="19"/>
          <w:szCs w:val="19"/>
        </w:rPr>
        <w:t>по</w:t>
      </w:r>
      <w:r w:rsidR="006C680D" w:rsidRPr="00D337FA">
        <w:rPr>
          <w:color w:val="auto"/>
          <w:spacing w:val="-4"/>
          <w:sz w:val="19"/>
          <w:szCs w:val="19"/>
        </w:rPr>
        <w:t xml:space="preserve"> </w:t>
      </w:r>
      <w:r w:rsidRPr="00D337FA">
        <w:rPr>
          <w:color w:val="auto"/>
          <w:spacing w:val="-4"/>
          <w:sz w:val="19"/>
          <w:szCs w:val="19"/>
        </w:rPr>
        <w:t>тексту.</w:t>
      </w:r>
      <w:r w:rsidR="006C680D" w:rsidRPr="00D337FA">
        <w:rPr>
          <w:color w:val="auto"/>
          <w:spacing w:val="-4"/>
          <w:sz w:val="19"/>
          <w:szCs w:val="19"/>
        </w:rPr>
        <w:t xml:space="preserve"> </w:t>
      </w:r>
      <w:r w:rsidRPr="00D337FA">
        <w:rPr>
          <w:color w:val="auto"/>
          <w:spacing w:val="-4"/>
          <w:sz w:val="19"/>
          <w:szCs w:val="19"/>
        </w:rPr>
        <w:t>Таблицы</w:t>
      </w:r>
      <w:r w:rsidR="006C680D" w:rsidRPr="00D337FA">
        <w:rPr>
          <w:color w:val="auto"/>
          <w:spacing w:val="-4"/>
          <w:sz w:val="19"/>
          <w:szCs w:val="19"/>
        </w:rPr>
        <w:t xml:space="preserve"> </w:t>
      </w:r>
      <w:r w:rsidRPr="00D337FA">
        <w:rPr>
          <w:color w:val="auto"/>
          <w:spacing w:val="-4"/>
          <w:sz w:val="19"/>
          <w:szCs w:val="19"/>
        </w:rPr>
        <w:t>должны</w:t>
      </w:r>
      <w:r w:rsidR="006C680D" w:rsidRPr="00D337FA">
        <w:rPr>
          <w:color w:val="auto"/>
          <w:spacing w:val="-4"/>
          <w:sz w:val="19"/>
          <w:szCs w:val="19"/>
        </w:rPr>
        <w:t xml:space="preserve"> </w:t>
      </w:r>
      <w:r w:rsidRPr="00D337FA">
        <w:rPr>
          <w:color w:val="auto"/>
          <w:spacing w:val="-4"/>
          <w:sz w:val="19"/>
          <w:szCs w:val="19"/>
        </w:rPr>
        <w:t>иметь</w:t>
      </w:r>
      <w:r w:rsidR="006C680D" w:rsidRPr="00D337FA">
        <w:rPr>
          <w:color w:val="auto"/>
          <w:spacing w:val="-4"/>
          <w:sz w:val="19"/>
          <w:szCs w:val="19"/>
        </w:rPr>
        <w:t xml:space="preserve"> </w:t>
      </w:r>
      <w:r w:rsidRPr="00D337FA">
        <w:rPr>
          <w:color w:val="auto"/>
          <w:spacing w:val="-4"/>
          <w:sz w:val="19"/>
          <w:szCs w:val="19"/>
        </w:rPr>
        <w:t>тематические</w:t>
      </w:r>
      <w:r w:rsidR="006C680D" w:rsidRPr="00D337FA">
        <w:rPr>
          <w:color w:val="auto"/>
          <w:spacing w:val="-4"/>
          <w:sz w:val="19"/>
          <w:szCs w:val="19"/>
        </w:rPr>
        <w:t xml:space="preserve"> </w:t>
      </w:r>
      <w:r w:rsidRPr="00D337FA">
        <w:rPr>
          <w:color w:val="auto"/>
          <w:spacing w:val="-4"/>
          <w:sz w:val="19"/>
          <w:szCs w:val="19"/>
        </w:rPr>
        <w:t>заголовки.</w:t>
      </w:r>
      <w:r w:rsidR="006C680D" w:rsidRPr="00D337FA">
        <w:rPr>
          <w:color w:val="auto"/>
          <w:spacing w:val="-4"/>
          <w:sz w:val="19"/>
          <w:szCs w:val="19"/>
        </w:rPr>
        <w:t xml:space="preserve"> </w:t>
      </w:r>
      <w:r w:rsidRPr="00D337FA">
        <w:rPr>
          <w:color w:val="auto"/>
          <w:spacing w:val="-4"/>
          <w:sz w:val="19"/>
          <w:szCs w:val="19"/>
        </w:rPr>
        <w:t>Иллюстрации,</w:t>
      </w:r>
      <w:r w:rsidR="006C680D" w:rsidRPr="00D337FA">
        <w:rPr>
          <w:color w:val="auto"/>
          <w:spacing w:val="-4"/>
          <w:sz w:val="19"/>
          <w:szCs w:val="19"/>
        </w:rPr>
        <w:t xml:space="preserve"> </w:t>
      </w:r>
      <w:r w:rsidRPr="00D337FA">
        <w:rPr>
          <w:color w:val="auto"/>
          <w:spacing w:val="-4"/>
          <w:sz w:val="19"/>
          <w:szCs w:val="19"/>
        </w:rPr>
        <w:t>встраиваемые</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текст,</w:t>
      </w:r>
      <w:r w:rsidR="006C680D" w:rsidRPr="00D337FA">
        <w:rPr>
          <w:color w:val="auto"/>
          <w:spacing w:val="-4"/>
          <w:sz w:val="19"/>
          <w:szCs w:val="19"/>
        </w:rPr>
        <w:t xml:space="preserve"> </w:t>
      </w:r>
      <w:r w:rsidRPr="00D337FA">
        <w:rPr>
          <w:color w:val="auto"/>
          <w:spacing w:val="-4"/>
          <w:sz w:val="19"/>
          <w:szCs w:val="19"/>
        </w:rPr>
        <w:t>должны</w:t>
      </w:r>
      <w:r w:rsidR="006C680D" w:rsidRPr="00D337FA">
        <w:rPr>
          <w:color w:val="auto"/>
          <w:spacing w:val="-4"/>
          <w:sz w:val="19"/>
          <w:szCs w:val="19"/>
        </w:rPr>
        <w:t xml:space="preserve"> </w:t>
      </w:r>
      <w:r w:rsidRPr="00D337FA">
        <w:rPr>
          <w:color w:val="auto"/>
          <w:spacing w:val="-4"/>
          <w:sz w:val="19"/>
          <w:szCs w:val="19"/>
        </w:rPr>
        <w:t>быть</w:t>
      </w:r>
      <w:r w:rsidR="006C680D" w:rsidRPr="00D337FA">
        <w:rPr>
          <w:color w:val="auto"/>
          <w:spacing w:val="-4"/>
          <w:sz w:val="19"/>
          <w:szCs w:val="19"/>
        </w:rPr>
        <w:t xml:space="preserve"> </w:t>
      </w:r>
      <w:r w:rsidRPr="00D337FA">
        <w:rPr>
          <w:color w:val="auto"/>
          <w:spacing w:val="-4"/>
          <w:sz w:val="19"/>
          <w:szCs w:val="19"/>
        </w:rPr>
        <w:t>выполнены</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одном</w:t>
      </w:r>
      <w:r w:rsidR="006C680D" w:rsidRPr="00D337FA">
        <w:rPr>
          <w:color w:val="auto"/>
          <w:spacing w:val="-4"/>
          <w:sz w:val="19"/>
          <w:szCs w:val="19"/>
        </w:rPr>
        <w:t xml:space="preserve"> </w:t>
      </w:r>
      <w:r w:rsidRPr="00D337FA">
        <w:rPr>
          <w:color w:val="auto"/>
          <w:spacing w:val="-4"/>
          <w:sz w:val="19"/>
          <w:szCs w:val="19"/>
        </w:rPr>
        <w:t>из</w:t>
      </w:r>
      <w:r w:rsidR="006C680D" w:rsidRPr="00D337FA">
        <w:rPr>
          <w:color w:val="auto"/>
          <w:spacing w:val="-4"/>
          <w:sz w:val="19"/>
          <w:szCs w:val="19"/>
        </w:rPr>
        <w:t xml:space="preserve"> </w:t>
      </w:r>
      <w:r w:rsidRPr="00D337FA">
        <w:rPr>
          <w:color w:val="auto"/>
          <w:spacing w:val="-4"/>
          <w:sz w:val="19"/>
          <w:szCs w:val="19"/>
        </w:rPr>
        <w:t>стандартных</w:t>
      </w:r>
      <w:r w:rsidR="006C680D" w:rsidRPr="00D337FA">
        <w:rPr>
          <w:color w:val="auto"/>
          <w:spacing w:val="-4"/>
          <w:sz w:val="19"/>
          <w:szCs w:val="19"/>
        </w:rPr>
        <w:t xml:space="preserve"> </w:t>
      </w:r>
      <w:r w:rsidRPr="00D337FA">
        <w:rPr>
          <w:color w:val="auto"/>
          <w:spacing w:val="-4"/>
          <w:sz w:val="19"/>
          <w:szCs w:val="19"/>
        </w:rPr>
        <w:t>форматов</w:t>
      </w:r>
      <w:r w:rsidR="006C680D" w:rsidRPr="00D337FA">
        <w:rPr>
          <w:color w:val="auto"/>
          <w:spacing w:val="-4"/>
          <w:sz w:val="19"/>
          <w:szCs w:val="19"/>
        </w:rPr>
        <w:t xml:space="preserve"> </w:t>
      </w:r>
      <w:r w:rsidRPr="00D337FA">
        <w:rPr>
          <w:color w:val="auto"/>
          <w:spacing w:val="-4"/>
          <w:sz w:val="19"/>
          <w:szCs w:val="19"/>
        </w:rPr>
        <w:t>(TIFF,</w:t>
      </w:r>
      <w:r w:rsidR="006C680D" w:rsidRPr="00D337FA">
        <w:rPr>
          <w:color w:val="auto"/>
          <w:spacing w:val="-4"/>
          <w:sz w:val="19"/>
          <w:szCs w:val="19"/>
        </w:rPr>
        <w:t xml:space="preserve"> </w:t>
      </w:r>
      <w:r w:rsidRPr="00D337FA">
        <w:rPr>
          <w:color w:val="auto"/>
          <w:spacing w:val="-4"/>
          <w:sz w:val="19"/>
          <w:szCs w:val="19"/>
        </w:rPr>
        <w:t>JPEG,</w:t>
      </w:r>
      <w:r w:rsidR="006C680D" w:rsidRPr="00D337FA">
        <w:rPr>
          <w:color w:val="auto"/>
          <w:spacing w:val="-4"/>
          <w:sz w:val="19"/>
          <w:szCs w:val="19"/>
        </w:rPr>
        <w:t xml:space="preserve"> </w:t>
      </w:r>
      <w:r w:rsidRPr="00D337FA">
        <w:rPr>
          <w:color w:val="auto"/>
          <w:spacing w:val="-4"/>
          <w:sz w:val="19"/>
          <w:szCs w:val="19"/>
        </w:rPr>
        <w:t>PNG)</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разрешением</w:t>
      </w:r>
      <w:r w:rsidR="006C680D" w:rsidRPr="00D337FA">
        <w:rPr>
          <w:color w:val="auto"/>
          <w:spacing w:val="-4"/>
          <w:sz w:val="19"/>
          <w:szCs w:val="19"/>
        </w:rPr>
        <w:t xml:space="preserve"> </w:t>
      </w:r>
      <w:r w:rsidRPr="00D337FA">
        <w:rPr>
          <w:color w:val="auto"/>
          <w:spacing w:val="-4"/>
          <w:sz w:val="19"/>
          <w:szCs w:val="19"/>
        </w:rPr>
        <w:t>не</w:t>
      </w:r>
      <w:r w:rsidR="006C680D" w:rsidRPr="00D337FA">
        <w:rPr>
          <w:color w:val="auto"/>
          <w:spacing w:val="-4"/>
          <w:sz w:val="19"/>
          <w:szCs w:val="19"/>
        </w:rPr>
        <w:t xml:space="preserve"> </w:t>
      </w:r>
      <w:r w:rsidRPr="00D337FA">
        <w:rPr>
          <w:color w:val="auto"/>
          <w:spacing w:val="-4"/>
          <w:sz w:val="19"/>
          <w:szCs w:val="19"/>
        </w:rPr>
        <w:t>ниже</w:t>
      </w:r>
      <w:r w:rsidR="006C680D" w:rsidRPr="00D337FA">
        <w:rPr>
          <w:color w:val="auto"/>
          <w:spacing w:val="-4"/>
          <w:sz w:val="19"/>
          <w:szCs w:val="19"/>
        </w:rPr>
        <w:t xml:space="preserve"> </w:t>
      </w:r>
      <w:r w:rsidRPr="00D337FA">
        <w:rPr>
          <w:color w:val="auto"/>
          <w:spacing w:val="-4"/>
          <w:sz w:val="19"/>
          <w:szCs w:val="19"/>
        </w:rPr>
        <w:t>300</w:t>
      </w:r>
      <w:r w:rsidR="006C680D" w:rsidRPr="00D337FA">
        <w:rPr>
          <w:color w:val="auto"/>
          <w:spacing w:val="-4"/>
          <w:sz w:val="19"/>
          <w:szCs w:val="19"/>
        </w:rPr>
        <w:t xml:space="preserve"> </w:t>
      </w:r>
      <w:r w:rsidRPr="00D337FA">
        <w:rPr>
          <w:color w:val="auto"/>
          <w:spacing w:val="-4"/>
          <w:sz w:val="19"/>
          <w:szCs w:val="19"/>
        </w:rPr>
        <w:t>dpi</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публикуются</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черно-белом</w:t>
      </w:r>
      <w:r w:rsidR="006C680D" w:rsidRPr="00D337FA">
        <w:rPr>
          <w:color w:val="auto"/>
          <w:spacing w:val="-4"/>
          <w:sz w:val="19"/>
          <w:szCs w:val="19"/>
        </w:rPr>
        <w:t xml:space="preserve"> </w:t>
      </w:r>
      <w:r w:rsidRPr="00D337FA">
        <w:rPr>
          <w:color w:val="auto"/>
          <w:spacing w:val="-4"/>
          <w:sz w:val="19"/>
          <w:szCs w:val="19"/>
        </w:rPr>
        <w:t>(градации</w:t>
      </w:r>
      <w:r w:rsidR="006C680D" w:rsidRPr="00D337FA">
        <w:rPr>
          <w:color w:val="auto"/>
          <w:spacing w:val="-4"/>
          <w:sz w:val="19"/>
          <w:szCs w:val="19"/>
        </w:rPr>
        <w:t xml:space="preserve"> </w:t>
      </w:r>
      <w:r w:rsidRPr="00D337FA">
        <w:rPr>
          <w:color w:val="auto"/>
          <w:spacing w:val="-4"/>
          <w:sz w:val="19"/>
          <w:szCs w:val="19"/>
        </w:rPr>
        <w:t>серого)</w:t>
      </w:r>
      <w:r w:rsidR="006C680D" w:rsidRPr="00D337FA">
        <w:rPr>
          <w:color w:val="auto"/>
          <w:spacing w:val="-4"/>
          <w:sz w:val="19"/>
          <w:szCs w:val="19"/>
        </w:rPr>
        <w:t xml:space="preserve"> </w:t>
      </w:r>
      <w:r w:rsidRPr="00D337FA">
        <w:rPr>
          <w:color w:val="auto"/>
          <w:spacing w:val="-4"/>
          <w:sz w:val="19"/>
          <w:szCs w:val="19"/>
        </w:rPr>
        <w:t>варианте.</w:t>
      </w:r>
      <w:r w:rsidR="006C680D" w:rsidRPr="00D337FA">
        <w:rPr>
          <w:color w:val="auto"/>
          <w:spacing w:val="-4"/>
          <w:sz w:val="19"/>
          <w:szCs w:val="19"/>
        </w:rPr>
        <w:t xml:space="preserve"> </w:t>
      </w:r>
      <w:r w:rsidRPr="00D337FA">
        <w:rPr>
          <w:color w:val="auto"/>
          <w:spacing w:val="-4"/>
          <w:sz w:val="19"/>
          <w:szCs w:val="19"/>
        </w:rPr>
        <w:t>Качество</w:t>
      </w:r>
      <w:r w:rsidR="006C680D" w:rsidRPr="00D337FA">
        <w:rPr>
          <w:color w:val="auto"/>
          <w:spacing w:val="-4"/>
          <w:sz w:val="19"/>
          <w:szCs w:val="19"/>
        </w:rPr>
        <w:t xml:space="preserve"> </w:t>
      </w:r>
      <w:r w:rsidRPr="00D337FA">
        <w:rPr>
          <w:color w:val="auto"/>
          <w:spacing w:val="-4"/>
          <w:sz w:val="19"/>
          <w:szCs w:val="19"/>
        </w:rPr>
        <w:t>рисунков</w:t>
      </w:r>
      <w:r w:rsidR="006C680D" w:rsidRPr="00D337FA">
        <w:rPr>
          <w:color w:val="auto"/>
          <w:spacing w:val="-4"/>
          <w:sz w:val="19"/>
          <w:szCs w:val="19"/>
        </w:rPr>
        <w:t xml:space="preserve"> </w:t>
      </w:r>
      <w:r w:rsidRPr="00D337FA">
        <w:rPr>
          <w:color w:val="auto"/>
          <w:spacing w:val="-4"/>
          <w:sz w:val="19"/>
          <w:szCs w:val="19"/>
        </w:rPr>
        <w:t>должно</w:t>
      </w:r>
      <w:r w:rsidR="006C680D" w:rsidRPr="00D337FA">
        <w:rPr>
          <w:color w:val="auto"/>
          <w:spacing w:val="-4"/>
          <w:sz w:val="19"/>
          <w:szCs w:val="19"/>
        </w:rPr>
        <w:t xml:space="preserve"> </w:t>
      </w:r>
      <w:r w:rsidRPr="00D337FA">
        <w:rPr>
          <w:color w:val="auto"/>
          <w:spacing w:val="-4"/>
          <w:sz w:val="19"/>
          <w:szCs w:val="19"/>
        </w:rPr>
        <w:t>обеспечивать</w:t>
      </w:r>
      <w:r w:rsidR="006C680D" w:rsidRPr="00D337FA">
        <w:rPr>
          <w:color w:val="auto"/>
          <w:spacing w:val="-4"/>
          <w:sz w:val="19"/>
          <w:szCs w:val="19"/>
        </w:rPr>
        <w:t xml:space="preserve"> </w:t>
      </w:r>
      <w:r w:rsidRPr="00D337FA">
        <w:rPr>
          <w:color w:val="auto"/>
          <w:spacing w:val="-4"/>
          <w:sz w:val="19"/>
          <w:szCs w:val="19"/>
        </w:rPr>
        <w:t>возможность</w:t>
      </w:r>
      <w:r w:rsidR="006C680D" w:rsidRPr="00D337FA">
        <w:rPr>
          <w:color w:val="auto"/>
          <w:spacing w:val="-4"/>
          <w:sz w:val="19"/>
          <w:szCs w:val="19"/>
        </w:rPr>
        <w:t xml:space="preserve"> </w:t>
      </w:r>
      <w:r w:rsidRPr="00D337FA">
        <w:rPr>
          <w:color w:val="auto"/>
          <w:spacing w:val="-4"/>
          <w:sz w:val="19"/>
          <w:szCs w:val="19"/>
        </w:rPr>
        <w:t>их</w:t>
      </w:r>
      <w:r w:rsidR="006C680D" w:rsidRPr="00D337FA">
        <w:rPr>
          <w:color w:val="auto"/>
          <w:spacing w:val="-4"/>
          <w:sz w:val="19"/>
          <w:szCs w:val="19"/>
        </w:rPr>
        <w:t xml:space="preserve"> </w:t>
      </w:r>
      <w:r w:rsidRPr="00D337FA">
        <w:rPr>
          <w:color w:val="auto"/>
          <w:spacing w:val="-4"/>
          <w:sz w:val="19"/>
          <w:szCs w:val="19"/>
        </w:rPr>
        <w:t>полиграфического</w:t>
      </w:r>
      <w:r w:rsidR="006C680D" w:rsidRPr="00D337FA">
        <w:rPr>
          <w:color w:val="auto"/>
          <w:spacing w:val="-4"/>
          <w:sz w:val="19"/>
          <w:szCs w:val="19"/>
        </w:rPr>
        <w:t xml:space="preserve"> </w:t>
      </w:r>
      <w:r w:rsidRPr="00D337FA">
        <w:rPr>
          <w:color w:val="auto"/>
          <w:spacing w:val="-4"/>
          <w:sz w:val="19"/>
          <w:szCs w:val="19"/>
        </w:rPr>
        <w:t>воспроизведения</w:t>
      </w:r>
      <w:r w:rsidR="006C680D" w:rsidRPr="00D337FA">
        <w:rPr>
          <w:color w:val="auto"/>
          <w:spacing w:val="-4"/>
          <w:sz w:val="19"/>
          <w:szCs w:val="19"/>
        </w:rPr>
        <w:t xml:space="preserve"> </w:t>
      </w:r>
      <w:r w:rsidRPr="00D337FA">
        <w:rPr>
          <w:color w:val="auto"/>
          <w:spacing w:val="-4"/>
          <w:sz w:val="19"/>
          <w:szCs w:val="19"/>
        </w:rPr>
        <w:t>без</w:t>
      </w:r>
      <w:r w:rsidR="006C680D" w:rsidRPr="00D337FA">
        <w:rPr>
          <w:color w:val="auto"/>
          <w:spacing w:val="-4"/>
          <w:sz w:val="19"/>
          <w:szCs w:val="19"/>
        </w:rPr>
        <w:t xml:space="preserve"> </w:t>
      </w:r>
      <w:r w:rsidRPr="00D337FA">
        <w:rPr>
          <w:color w:val="auto"/>
          <w:spacing w:val="-4"/>
          <w:sz w:val="19"/>
          <w:szCs w:val="19"/>
        </w:rPr>
        <w:t>дополнительной</w:t>
      </w:r>
      <w:r w:rsidR="006C680D" w:rsidRPr="00D337FA">
        <w:rPr>
          <w:color w:val="auto"/>
          <w:spacing w:val="-4"/>
          <w:sz w:val="19"/>
          <w:szCs w:val="19"/>
        </w:rPr>
        <w:t xml:space="preserve"> </w:t>
      </w:r>
      <w:r w:rsidRPr="00D337FA">
        <w:rPr>
          <w:color w:val="auto"/>
          <w:spacing w:val="-4"/>
          <w:sz w:val="19"/>
          <w:szCs w:val="19"/>
        </w:rPr>
        <w:t>обработки.</w:t>
      </w:r>
      <w:r w:rsidR="006C680D" w:rsidRPr="00D337FA">
        <w:rPr>
          <w:color w:val="auto"/>
          <w:spacing w:val="-4"/>
          <w:sz w:val="19"/>
          <w:szCs w:val="19"/>
        </w:rPr>
        <w:t xml:space="preserve"> </w:t>
      </w:r>
      <w:r w:rsidRPr="00D337FA">
        <w:rPr>
          <w:color w:val="auto"/>
          <w:spacing w:val="-4"/>
          <w:sz w:val="19"/>
          <w:szCs w:val="19"/>
        </w:rPr>
        <w:t>Рисунки,</w:t>
      </w:r>
      <w:r w:rsidR="006C680D" w:rsidRPr="00D337FA">
        <w:rPr>
          <w:color w:val="auto"/>
          <w:spacing w:val="-4"/>
          <w:sz w:val="19"/>
          <w:szCs w:val="19"/>
        </w:rPr>
        <w:t xml:space="preserve"> </w:t>
      </w:r>
      <w:r w:rsidRPr="00D337FA">
        <w:rPr>
          <w:color w:val="auto"/>
          <w:spacing w:val="-4"/>
          <w:sz w:val="19"/>
          <w:szCs w:val="19"/>
        </w:rPr>
        <w:t>выполненные</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MSWord,</w:t>
      </w:r>
      <w:r w:rsidR="006C680D" w:rsidRPr="00D337FA">
        <w:rPr>
          <w:color w:val="auto"/>
          <w:spacing w:val="-4"/>
          <w:sz w:val="19"/>
          <w:szCs w:val="19"/>
        </w:rPr>
        <w:t xml:space="preserve"> </w:t>
      </w:r>
      <w:r w:rsidRPr="00D337FA">
        <w:rPr>
          <w:color w:val="auto"/>
          <w:spacing w:val="-4"/>
          <w:sz w:val="19"/>
          <w:szCs w:val="19"/>
        </w:rPr>
        <w:t>недопустимы.</w:t>
      </w:r>
    </w:p>
    <w:p w:rsidR="00250468" w:rsidRPr="00D337FA" w:rsidRDefault="00250468" w:rsidP="00A3493D">
      <w:pPr>
        <w:pStyle w:val="afe"/>
        <w:rPr>
          <w:color w:val="auto"/>
          <w:spacing w:val="-4"/>
          <w:sz w:val="19"/>
          <w:szCs w:val="19"/>
        </w:rPr>
      </w:pPr>
      <w:r w:rsidRPr="00D337FA">
        <w:rPr>
          <w:color w:val="auto"/>
          <w:spacing w:val="-4"/>
          <w:sz w:val="19"/>
          <w:szCs w:val="19"/>
        </w:rPr>
        <w:t>Рисунки</w:t>
      </w:r>
      <w:r w:rsidR="006C680D" w:rsidRPr="00D337FA">
        <w:rPr>
          <w:color w:val="auto"/>
          <w:spacing w:val="-4"/>
          <w:sz w:val="19"/>
          <w:szCs w:val="19"/>
        </w:rPr>
        <w:t xml:space="preserve"> </w:t>
      </w:r>
      <w:r w:rsidRPr="00D337FA">
        <w:rPr>
          <w:color w:val="auto"/>
          <w:spacing w:val="-4"/>
          <w:sz w:val="19"/>
          <w:szCs w:val="19"/>
        </w:rPr>
        <w:t>встраиваются</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текст</w:t>
      </w:r>
      <w:r w:rsidR="006C680D" w:rsidRPr="00D337FA">
        <w:rPr>
          <w:color w:val="auto"/>
          <w:spacing w:val="-4"/>
          <w:sz w:val="19"/>
          <w:szCs w:val="19"/>
        </w:rPr>
        <w:t xml:space="preserve"> </w:t>
      </w:r>
      <w:r w:rsidRPr="00D337FA">
        <w:rPr>
          <w:color w:val="auto"/>
          <w:spacing w:val="-4"/>
          <w:sz w:val="19"/>
          <w:szCs w:val="19"/>
        </w:rPr>
        <w:t>через</w:t>
      </w:r>
      <w:r w:rsidR="006C680D" w:rsidRPr="00D337FA">
        <w:rPr>
          <w:color w:val="auto"/>
          <w:spacing w:val="-4"/>
          <w:sz w:val="19"/>
          <w:szCs w:val="19"/>
        </w:rPr>
        <w:t xml:space="preserve"> </w:t>
      </w:r>
      <w:r w:rsidRPr="00D337FA">
        <w:rPr>
          <w:color w:val="auto"/>
          <w:spacing w:val="-4"/>
          <w:sz w:val="19"/>
          <w:szCs w:val="19"/>
        </w:rPr>
        <w:t>опцию</w:t>
      </w:r>
      <w:r w:rsidR="006C680D" w:rsidRPr="00D337FA">
        <w:rPr>
          <w:color w:val="auto"/>
          <w:spacing w:val="-4"/>
          <w:sz w:val="19"/>
          <w:szCs w:val="19"/>
        </w:rPr>
        <w:t xml:space="preserve"> </w:t>
      </w:r>
      <w:r w:rsidRPr="00D337FA">
        <w:rPr>
          <w:color w:val="auto"/>
          <w:spacing w:val="-4"/>
          <w:sz w:val="19"/>
          <w:szCs w:val="19"/>
        </w:rPr>
        <w:t>«Вставка</w:t>
      </w:r>
      <w:r w:rsidR="006C680D" w:rsidRPr="00D337FA">
        <w:rPr>
          <w:color w:val="auto"/>
          <w:spacing w:val="-4"/>
          <w:sz w:val="19"/>
          <w:szCs w:val="19"/>
        </w:rPr>
        <w:t xml:space="preserve"> </w:t>
      </w:r>
      <w:r w:rsidR="00B32FD0"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Рисунок</w:t>
      </w:r>
      <w:r w:rsidR="006C680D" w:rsidRPr="00D337FA">
        <w:rPr>
          <w:color w:val="auto"/>
          <w:spacing w:val="-4"/>
          <w:sz w:val="19"/>
          <w:szCs w:val="19"/>
        </w:rPr>
        <w:t xml:space="preserve"> </w:t>
      </w:r>
      <w:r w:rsidR="00B32FD0" w:rsidRPr="00D337FA">
        <w:rPr>
          <w:color w:val="auto"/>
          <w:spacing w:val="-4"/>
          <w:sz w:val="19"/>
          <w:szCs w:val="19"/>
        </w:rPr>
        <w:t>–</w:t>
      </w:r>
      <w:r w:rsidR="006C680D" w:rsidRPr="00D337FA">
        <w:rPr>
          <w:color w:val="auto"/>
          <w:spacing w:val="-4"/>
          <w:sz w:val="19"/>
          <w:szCs w:val="19"/>
        </w:rPr>
        <w:t xml:space="preserve"> </w:t>
      </w:r>
      <w:r w:rsidRPr="00D337FA">
        <w:rPr>
          <w:color w:val="auto"/>
          <w:spacing w:val="-4"/>
          <w:sz w:val="19"/>
          <w:szCs w:val="19"/>
        </w:rPr>
        <w:t>Из</w:t>
      </w:r>
      <w:r w:rsidR="006C680D" w:rsidRPr="00D337FA">
        <w:rPr>
          <w:color w:val="auto"/>
          <w:spacing w:val="-4"/>
          <w:sz w:val="19"/>
          <w:szCs w:val="19"/>
        </w:rPr>
        <w:t xml:space="preserve"> </w:t>
      </w:r>
      <w:r w:rsidRPr="00D337FA">
        <w:rPr>
          <w:color w:val="auto"/>
          <w:spacing w:val="-4"/>
          <w:sz w:val="19"/>
          <w:szCs w:val="19"/>
        </w:rPr>
        <w:t>файла»</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обтеканием</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тексте»</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выравниванием</w:t>
      </w:r>
      <w:r w:rsidR="006C680D" w:rsidRPr="00D337FA">
        <w:rPr>
          <w:color w:val="auto"/>
          <w:spacing w:val="-4"/>
          <w:sz w:val="19"/>
          <w:szCs w:val="19"/>
        </w:rPr>
        <w:t xml:space="preserve"> </w:t>
      </w:r>
      <w:r w:rsidRPr="00D337FA">
        <w:rPr>
          <w:color w:val="auto"/>
          <w:spacing w:val="-4"/>
          <w:sz w:val="19"/>
          <w:szCs w:val="19"/>
        </w:rPr>
        <w:t>по</w:t>
      </w:r>
      <w:r w:rsidR="006C680D" w:rsidRPr="00D337FA">
        <w:rPr>
          <w:color w:val="auto"/>
          <w:spacing w:val="-4"/>
          <w:sz w:val="19"/>
          <w:szCs w:val="19"/>
        </w:rPr>
        <w:t xml:space="preserve"> </w:t>
      </w:r>
      <w:r w:rsidRPr="00D337FA">
        <w:rPr>
          <w:color w:val="auto"/>
          <w:spacing w:val="-4"/>
          <w:sz w:val="19"/>
          <w:szCs w:val="19"/>
        </w:rPr>
        <w:t>центру</w:t>
      </w:r>
      <w:r w:rsidR="006C680D" w:rsidRPr="00D337FA">
        <w:rPr>
          <w:color w:val="auto"/>
          <w:spacing w:val="-4"/>
          <w:sz w:val="19"/>
          <w:szCs w:val="19"/>
        </w:rPr>
        <w:t xml:space="preserve"> </w:t>
      </w:r>
      <w:r w:rsidRPr="00D337FA">
        <w:rPr>
          <w:color w:val="auto"/>
          <w:spacing w:val="-4"/>
          <w:sz w:val="19"/>
          <w:szCs w:val="19"/>
        </w:rPr>
        <w:t>страницы</w:t>
      </w:r>
      <w:r w:rsidR="006C680D" w:rsidRPr="00D337FA">
        <w:rPr>
          <w:color w:val="auto"/>
          <w:spacing w:val="-4"/>
          <w:sz w:val="19"/>
          <w:szCs w:val="19"/>
        </w:rPr>
        <w:t xml:space="preserve"> </w:t>
      </w:r>
      <w:r w:rsidRPr="00D337FA">
        <w:rPr>
          <w:color w:val="auto"/>
          <w:spacing w:val="-4"/>
          <w:sz w:val="19"/>
          <w:szCs w:val="19"/>
        </w:rPr>
        <w:t>без</w:t>
      </w:r>
      <w:r w:rsidR="006C680D" w:rsidRPr="00D337FA">
        <w:rPr>
          <w:color w:val="auto"/>
          <w:spacing w:val="-4"/>
          <w:sz w:val="19"/>
          <w:szCs w:val="19"/>
        </w:rPr>
        <w:t xml:space="preserve"> </w:t>
      </w:r>
      <w:r w:rsidRPr="00D337FA">
        <w:rPr>
          <w:color w:val="auto"/>
          <w:spacing w:val="-4"/>
          <w:sz w:val="19"/>
          <w:szCs w:val="19"/>
        </w:rPr>
        <w:t>абзацного</w:t>
      </w:r>
      <w:r w:rsidR="006C680D" w:rsidRPr="00D337FA">
        <w:rPr>
          <w:color w:val="auto"/>
          <w:spacing w:val="-4"/>
          <w:sz w:val="19"/>
          <w:szCs w:val="19"/>
        </w:rPr>
        <w:t xml:space="preserve"> </w:t>
      </w:r>
      <w:r w:rsidRPr="00D337FA">
        <w:rPr>
          <w:color w:val="auto"/>
          <w:spacing w:val="-4"/>
          <w:sz w:val="19"/>
          <w:szCs w:val="19"/>
        </w:rPr>
        <w:t>отступа.</w:t>
      </w:r>
      <w:r w:rsidR="006C680D" w:rsidRPr="00D337FA">
        <w:rPr>
          <w:color w:val="auto"/>
          <w:spacing w:val="-4"/>
          <w:sz w:val="19"/>
          <w:szCs w:val="19"/>
        </w:rPr>
        <w:t xml:space="preserve"> </w:t>
      </w:r>
      <w:r w:rsidRPr="00D337FA">
        <w:rPr>
          <w:color w:val="auto"/>
          <w:spacing w:val="-4"/>
          <w:sz w:val="19"/>
          <w:szCs w:val="19"/>
        </w:rPr>
        <w:t>Иные</w:t>
      </w:r>
      <w:r w:rsidR="006C680D" w:rsidRPr="00D337FA">
        <w:rPr>
          <w:color w:val="auto"/>
          <w:spacing w:val="-4"/>
          <w:sz w:val="19"/>
          <w:szCs w:val="19"/>
        </w:rPr>
        <w:t xml:space="preserve"> </w:t>
      </w:r>
      <w:r w:rsidRPr="00D337FA">
        <w:rPr>
          <w:color w:val="auto"/>
          <w:spacing w:val="-4"/>
          <w:sz w:val="19"/>
          <w:szCs w:val="19"/>
        </w:rPr>
        <w:t>технологии</w:t>
      </w:r>
      <w:r w:rsidR="006C680D" w:rsidRPr="00D337FA">
        <w:rPr>
          <w:color w:val="auto"/>
          <w:spacing w:val="-4"/>
          <w:sz w:val="19"/>
          <w:szCs w:val="19"/>
        </w:rPr>
        <w:t xml:space="preserve"> </w:t>
      </w:r>
      <w:r w:rsidRPr="00D337FA">
        <w:rPr>
          <w:color w:val="auto"/>
          <w:spacing w:val="-4"/>
          <w:sz w:val="19"/>
          <w:szCs w:val="19"/>
        </w:rPr>
        <w:t>вставки</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обтекания</w:t>
      </w:r>
      <w:r w:rsidR="006C680D" w:rsidRPr="00D337FA">
        <w:rPr>
          <w:color w:val="auto"/>
          <w:spacing w:val="-4"/>
          <w:sz w:val="19"/>
          <w:szCs w:val="19"/>
        </w:rPr>
        <w:t xml:space="preserve"> </w:t>
      </w:r>
      <w:r w:rsidRPr="00D337FA">
        <w:rPr>
          <w:color w:val="auto"/>
          <w:spacing w:val="-4"/>
          <w:sz w:val="19"/>
          <w:szCs w:val="19"/>
        </w:rPr>
        <w:t>не</w:t>
      </w:r>
      <w:r w:rsidR="006C680D" w:rsidRPr="00D337FA">
        <w:rPr>
          <w:color w:val="auto"/>
          <w:spacing w:val="-4"/>
          <w:sz w:val="19"/>
          <w:szCs w:val="19"/>
        </w:rPr>
        <w:t xml:space="preserve"> </w:t>
      </w:r>
      <w:r w:rsidRPr="00D337FA">
        <w:rPr>
          <w:color w:val="auto"/>
          <w:spacing w:val="-4"/>
          <w:sz w:val="19"/>
          <w:szCs w:val="19"/>
        </w:rPr>
        <w:t>допускаются.</w:t>
      </w:r>
    </w:p>
    <w:p w:rsidR="00250468" w:rsidRPr="00D337FA" w:rsidRDefault="00250468" w:rsidP="00A3493D">
      <w:pPr>
        <w:pStyle w:val="afe"/>
        <w:rPr>
          <w:color w:val="auto"/>
          <w:spacing w:val="-4"/>
          <w:sz w:val="19"/>
          <w:szCs w:val="19"/>
        </w:rPr>
      </w:pPr>
      <w:r w:rsidRPr="00D337FA">
        <w:rPr>
          <w:color w:val="auto"/>
          <w:spacing w:val="-4"/>
          <w:sz w:val="19"/>
          <w:szCs w:val="19"/>
        </w:rPr>
        <w:t>7.</w:t>
      </w:r>
      <w:r w:rsidR="006C680D" w:rsidRPr="00D337FA">
        <w:rPr>
          <w:color w:val="auto"/>
          <w:spacing w:val="-4"/>
          <w:sz w:val="19"/>
          <w:szCs w:val="19"/>
        </w:rPr>
        <w:t xml:space="preserve"> </w:t>
      </w:r>
      <w:r w:rsidRPr="00D337FA">
        <w:rPr>
          <w:color w:val="auto"/>
          <w:spacing w:val="-4"/>
          <w:sz w:val="19"/>
          <w:szCs w:val="19"/>
        </w:rPr>
        <w:t>Список</w:t>
      </w:r>
      <w:r w:rsidR="006C680D" w:rsidRPr="00D337FA">
        <w:rPr>
          <w:color w:val="auto"/>
          <w:spacing w:val="-4"/>
          <w:sz w:val="19"/>
          <w:szCs w:val="19"/>
        </w:rPr>
        <w:t xml:space="preserve"> </w:t>
      </w:r>
      <w:r w:rsidRPr="00D337FA">
        <w:rPr>
          <w:color w:val="auto"/>
          <w:spacing w:val="-4"/>
          <w:sz w:val="19"/>
          <w:szCs w:val="19"/>
        </w:rPr>
        <w:t>литературы</w:t>
      </w:r>
      <w:r w:rsidR="006C680D" w:rsidRPr="00D337FA">
        <w:rPr>
          <w:color w:val="auto"/>
          <w:spacing w:val="-4"/>
          <w:sz w:val="19"/>
          <w:szCs w:val="19"/>
        </w:rPr>
        <w:t xml:space="preserve"> </w:t>
      </w:r>
      <w:r w:rsidRPr="00D337FA">
        <w:rPr>
          <w:color w:val="auto"/>
          <w:spacing w:val="-4"/>
          <w:sz w:val="19"/>
          <w:szCs w:val="19"/>
        </w:rPr>
        <w:t>к</w:t>
      </w:r>
      <w:r w:rsidR="006C680D" w:rsidRPr="00D337FA">
        <w:rPr>
          <w:color w:val="auto"/>
          <w:spacing w:val="-4"/>
          <w:sz w:val="19"/>
          <w:szCs w:val="19"/>
        </w:rPr>
        <w:t xml:space="preserve"> </w:t>
      </w:r>
      <w:r w:rsidRPr="00D337FA">
        <w:rPr>
          <w:color w:val="auto"/>
          <w:spacing w:val="-4"/>
          <w:sz w:val="19"/>
          <w:szCs w:val="19"/>
        </w:rPr>
        <w:t>статье</w:t>
      </w:r>
      <w:r w:rsidR="006C680D" w:rsidRPr="00D337FA">
        <w:rPr>
          <w:color w:val="auto"/>
          <w:spacing w:val="-4"/>
          <w:sz w:val="19"/>
          <w:szCs w:val="19"/>
        </w:rPr>
        <w:t xml:space="preserve"> </w:t>
      </w:r>
      <w:r w:rsidRPr="00D337FA">
        <w:rPr>
          <w:color w:val="auto"/>
          <w:spacing w:val="-4"/>
          <w:sz w:val="19"/>
          <w:szCs w:val="19"/>
        </w:rPr>
        <w:t>обязателен</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должен</w:t>
      </w:r>
      <w:r w:rsidR="006C680D" w:rsidRPr="00D337FA">
        <w:rPr>
          <w:color w:val="auto"/>
          <w:spacing w:val="-4"/>
          <w:sz w:val="19"/>
          <w:szCs w:val="19"/>
        </w:rPr>
        <w:t xml:space="preserve"> </w:t>
      </w:r>
      <w:r w:rsidRPr="00D337FA">
        <w:rPr>
          <w:color w:val="auto"/>
          <w:spacing w:val="-4"/>
          <w:sz w:val="19"/>
          <w:szCs w:val="19"/>
        </w:rPr>
        <w:t>содержать</w:t>
      </w:r>
      <w:r w:rsidR="006C680D" w:rsidRPr="00D337FA">
        <w:rPr>
          <w:color w:val="auto"/>
          <w:spacing w:val="-4"/>
          <w:sz w:val="19"/>
          <w:szCs w:val="19"/>
        </w:rPr>
        <w:t xml:space="preserve"> </w:t>
      </w:r>
      <w:r w:rsidRPr="00D337FA">
        <w:rPr>
          <w:color w:val="auto"/>
          <w:spacing w:val="-4"/>
          <w:sz w:val="19"/>
          <w:szCs w:val="19"/>
        </w:rPr>
        <w:t>все</w:t>
      </w:r>
      <w:r w:rsidR="006C680D" w:rsidRPr="00D337FA">
        <w:rPr>
          <w:color w:val="auto"/>
          <w:spacing w:val="-4"/>
          <w:sz w:val="19"/>
          <w:szCs w:val="19"/>
        </w:rPr>
        <w:t xml:space="preserve"> </w:t>
      </w:r>
      <w:r w:rsidRPr="00D337FA">
        <w:rPr>
          <w:color w:val="auto"/>
          <w:spacing w:val="-4"/>
          <w:sz w:val="19"/>
          <w:szCs w:val="19"/>
        </w:rPr>
        <w:t>цитируемые</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упоминаемые</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тексте</w:t>
      </w:r>
      <w:r w:rsidR="006C680D" w:rsidRPr="00D337FA">
        <w:rPr>
          <w:color w:val="auto"/>
          <w:spacing w:val="-4"/>
          <w:sz w:val="19"/>
          <w:szCs w:val="19"/>
        </w:rPr>
        <w:t xml:space="preserve"> </w:t>
      </w:r>
      <w:r w:rsidRPr="00D337FA">
        <w:rPr>
          <w:color w:val="auto"/>
          <w:spacing w:val="-4"/>
          <w:sz w:val="19"/>
          <w:szCs w:val="19"/>
        </w:rPr>
        <w:t>работы.</w:t>
      </w:r>
      <w:r w:rsidR="006C680D" w:rsidRPr="00D337FA">
        <w:rPr>
          <w:color w:val="auto"/>
          <w:spacing w:val="-4"/>
          <w:sz w:val="19"/>
          <w:szCs w:val="19"/>
        </w:rPr>
        <w:t xml:space="preserve"> </w:t>
      </w:r>
      <w:r w:rsidRPr="00D337FA">
        <w:rPr>
          <w:color w:val="auto"/>
          <w:spacing w:val="-4"/>
          <w:sz w:val="19"/>
          <w:szCs w:val="19"/>
        </w:rPr>
        <w:t>Пристатейные</w:t>
      </w:r>
      <w:r w:rsidR="006C680D" w:rsidRPr="00D337FA">
        <w:rPr>
          <w:color w:val="auto"/>
          <w:spacing w:val="-4"/>
          <w:sz w:val="19"/>
          <w:szCs w:val="19"/>
        </w:rPr>
        <w:t xml:space="preserve"> </w:t>
      </w:r>
      <w:r w:rsidRPr="00D337FA">
        <w:rPr>
          <w:color w:val="auto"/>
          <w:spacing w:val="-4"/>
          <w:sz w:val="19"/>
          <w:szCs w:val="19"/>
        </w:rPr>
        <w:t>библиографические</w:t>
      </w:r>
      <w:r w:rsidR="006C680D" w:rsidRPr="00D337FA">
        <w:rPr>
          <w:color w:val="auto"/>
          <w:spacing w:val="-4"/>
          <w:sz w:val="19"/>
          <w:szCs w:val="19"/>
        </w:rPr>
        <w:t xml:space="preserve"> </w:t>
      </w:r>
      <w:r w:rsidRPr="00D337FA">
        <w:rPr>
          <w:color w:val="auto"/>
          <w:spacing w:val="-4"/>
          <w:sz w:val="19"/>
          <w:szCs w:val="19"/>
        </w:rPr>
        <w:t>списки</w:t>
      </w:r>
      <w:r w:rsidR="006C680D" w:rsidRPr="00D337FA">
        <w:rPr>
          <w:color w:val="auto"/>
          <w:spacing w:val="-4"/>
          <w:sz w:val="19"/>
          <w:szCs w:val="19"/>
        </w:rPr>
        <w:t xml:space="preserve"> </w:t>
      </w:r>
      <w:r w:rsidRPr="00D337FA">
        <w:rPr>
          <w:color w:val="auto"/>
          <w:spacing w:val="-4"/>
          <w:sz w:val="19"/>
          <w:szCs w:val="19"/>
        </w:rPr>
        <w:t>оформляются</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соответствии</w:t>
      </w:r>
      <w:r w:rsidR="006C680D" w:rsidRPr="00D337FA">
        <w:rPr>
          <w:color w:val="auto"/>
          <w:spacing w:val="-4"/>
          <w:sz w:val="19"/>
          <w:szCs w:val="19"/>
        </w:rPr>
        <w:t xml:space="preserve"> </w:t>
      </w:r>
      <w:r w:rsidRPr="00D337FA">
        <w:rPr>
          <w:color w:val="auto"/>
          <w:spacing w:val="-4"/>
          <w:sz w:val="19"/>
          <w:szCs w:val="19"/>
        </w:rPr>
        <w:t>с</w:t>
      </w:r>
      <w:r w:rsidR="006C680D" w:rsidRPr="00D337FA">
        <w:rPr>
          <w:color w:val="auto"/>
          <w:spacing w:val="-4"/>
          <w:sz w:val="19"/>
          <w:szCs w:val="19"/>
        </w:rPr>
        <w:t xml:space="preserve"> </w:t>
      </w:r>
      <w:r w:rsidRPr="00D337FA">
        <w:rPr>
          <w:color w:val="auto"/>
          <w:spacing w:val="-4"/>
          <w:sz w:val="19"/>
          <w:szCs w:val="19"/>
        </w:rPr>
        <w:t>ГОСТ</w:t>
      </w:r>
      <w:r w:rsidR="006C680D" w:rsidRPr="00D337FA">
        <w:rPr>
          <w:color w:val="auto"/>
          <w:spacing w:val="-4"/>
          <w:sz w:val="19"/>
          <w:szCs w:val="19"/>
        </w:rPr>
        <w:t xml:space="preserve"> </w:t>
      </w:r>
      <w:r w:rsidRPr="00D337FA">
        <w:rPr>
          <w:color w:val="auto"/>
          <w:spacing w:val="-4"/>
          <w:sz w:val="19"/>
          <w:szCs w:val="19"/>
        </w:rPr>
        <w:t>Р</w:t>
      </w:r>
      <w:r w:rsidR="006C680D" w:rsidRPr="00D337FA">
        <w:rPr>
          <w:color w:val="auto"/>
          <w:spacing w:val="-4"/>
          <w:sz w:val="19"/>
          <w:szCs w:val="19"/>
        </w:rPr>
        <w:t xml:space="preserve"> </w:t>
      </w:r>
      <w:r w:rsidRPr="00D337FA">
        <w:rPr>
          <w:color w:val="auto"/>
          <w:spacing w:val="-4"/>
          <w:sz w:val="19"/>
          <w:szCs w:val="19"/>
        </w:rPr>
        <w:t>7.0.5-2008</w:t>
      </w:r>
      <w:r w:rsidR="006C680D" w:rsidRPr="00D337FA">
        <w:rPr>
          <w:color w:val="auto"/>
          <w:spacing w:val="-4"/>
          <w:sz w:val="19"/>
          <w:szCs w:val="19"/>
        </w:rPr>
        <w:t xml:space="preserve"> </w:t>
      </w:r>
      <w:r w:rsidRPr="00D337FA">
        <w:rPr>
          <w:color w:val="auto"/>
          <w:spacing w:val="-4"/>
          <w:sz w:val="19"/>
          <w:szCs w:val="19"/>
        </w:rPr>
        <w:t>«Библиографическая</w:t>
      </w:r>
      <w:r w:rsidR="006C680D" w:rsidRPr="00D337FA">
        <w:rPr>
          <w:color w:val="auto"/>
          <w:spacing w:val="-4"/>
          <w:sz w:val="19"/>
          <w:szCs w:val="19"/>
        </w:rPr>
        <w:t xml:space="preserve"> </w:t>
      </w:r>
      <w:r w:rsidRPr="00D337FA">
        <w:rPr>
          <w:color w:val="auto"/>
          <w:spacing w:val="-4"/>
          <w:sz w:val="19"/>
          <w:szCs w:val="19"/>
        </w:rPr>
        <w:t>ссылка.</w:t>
      </w:r>
      <w:r w:rsidR="006C680D" w:rsidRPr="00D337FA">
        <w:rPr>
          <w:color w:val="auto"/>
          <w:spacing w:val="-4"/>
          <w:sz w:val="19"/>
          <w:szCs w:val="19"/>
        </w:rPr>
        <w:t xml:space="preserve"> </w:t>
      </w:r>
      <w:r w:rsidRPr="00D337FA">
        <w:rPr>
          <w:color w:val="auto"/>
          <w:spacing w:val="-4"/>
          <w:sz w:val="19"/>
          <w:szCs w:val="19"/>
        </w:rPr>
        <w:t>Общие</w:t>
      </w:r>
      <w:r w:rsidR="006C680D" w:rsidRPr="00D337FA">
        <w:rPr>
          <w:color w:val="auto"/>
          <w:spacing w:val="-4"/>
          <w:sz w:val="19"/>
          <w:szCs w:val="19"/>
        </w:rPr>
        <w:t xml:space="preserve"> </w:t>
      </w:r>
      <w:r w:rsidRPr="00D337FA">
        <w:rPr>
          <w:color w:val="auto"/>
          <w:spacing w:val="-4"/>
          <w:sz w:val="19"/>
          <w:szCs w:val="19"/>
        </w:rPr>
        <w:t>требования</w:t>
      </w:r>
      <w:r w:rsidR="006C680D" w:rsidRPr="00D337FA">
        <w:rPr>
          <w:color w:val="auto"/>
          <w:spacing w:val="-4"/>
          <w:sz w:val="19"/>
          <w:szCs w:val="19"/>
        </w:rPr>
        <w:t xml:space="preserve"> </w:t>
      </w:r>
      <w:r w:rsidRPr="00D337FA">
        <w:rPr>
          <w:color w:val="auto"/>
          <w:spacing w:val="-4"/>
          <w:sz w:val="19"/>
          <w:szCs w:val="19"/>
        </w:rPr>
        <w:t>и</w:t>
      </w:r>
      <w:r w:rsidR="006C680D" w:rsidRPr="00D337FA">
        <w:rPr>
          <w:color w:val="auto"/>
          <w:spacing w:val="-4"/>
          <w:sz w:val="19"/>
          <w:szCs w:val="19"/>
        </w:rPr>
        <w:t xml:space="preserve"> </w:t>
      </w:r>
      <w:r w:rsidRPr="00D337FA">
        <w:rPr>
          <w:color w:val="auto"/>
          <w:spacing w:val="-4"/>
          <w:sz w:val="19"/>
          <w:szCs w:val="19"/>
        </w:rPr>
        <w:t>правила</w:t>
      </w:r>
      <w:r w:rsidR="006C680D" w:rsidRPr="00D337FA">
        <w:rPr>
          <w:color w:val="auto"/>
          <w:spacing w:val="-4"/>
          <w:sz w:val="19"/>
          <w:szCs w:val="19"/>
        </w:rPr>
        <w:t xml:space="preserve"> </w:t>
      </w:r>
      <w:r w:rsidRPr="00D337FA">
        <w:rPr>
          <w:color w:val="auto"/>
          <w:spacing w:val="-4"/>
          <w:sz w:val="19"/>
          <w:szCs w:val="19"/>
        </w:rPr>
        <w:t>составления».</w:t>
      </w:r>
      <w:r w:rsidR="006C680D" w:rsidRPr="00D337FA">
        <w:rPr>
          <w:color w:val="auto"/>
          <w:spacing w:val="-4"/>
          <w:sz w:val="19"/>
          <w:szCs w:val="19"/>
        </w:rPr>
        <w:t xml:space="preserve"> </w:t>
      </w:r>
      <w:r w:rsidRPr="00D337FA">
        <w:rPr>
          <w:color w:val="auto"/>
          <w:spacing w:val="-4"/>
          <w:sz w:val="19"/>
          <w:szCs w:val="19"/>
        </w:rPr>
        <w:t>Ссылки</w:t>
      </w:r>
      <w:r w:rsidR="006C680D" w:rsidRPr="00D337FA">
        <w:rPr>
          <w:color w:val="auto"/>
          <w:spacing w:val="-4"/>
          <w:sz w:val="19"/>
          <w:szCs w:val="19"/>
        </w:rPr>
        <w:t xml:space="preserve"> </w:t>
      </w:r>
      <w:r w:rsidRPr="00D337FA">
        <w:rPr>
          <w:color w:val="auto"/>
          <w:spacing w:val="-4"/>
          <w:sz w:val="19"/>
          <w:szCs w:val="19"/>
        </w:rPr>
        <w:t>на</w:t>
      </w:r>
      <w:r w:rsidR="006C680D" w:rsidRPr="00D337FA">
        <w:rPr>
          <w:color w:val="auto"/>
          <w:spacing w:val="-4"/>
          <w:sz w:val="19"/>
          <w:szCs w:val="19"/>
        </w:rPr>
        <w:t xml:space="preserve"> </w:t>
      </w:r>
      <w:r w:rsidRPr="00D337FA">
        <w:rPr>
          <w:color w:val="auto"/>
          <w:spacing w:val="-4"/>
          <w:sz w:val="19"/>
          <w:szCs w:val="19"/>
        </w:rPr>
        <w:t>работы,</w:t>
      </w:r>
      <w:r w:rsidR="006C680D" w:rsidRPr="00D337FA">
        <w:rPr>
          <w:color w:val="auto"/>
          <w:spacing w:val="-4"/>
          <w:sz w:val="19"/>
          <w:szCs w:val="19"/>
        </w:rPr>
        <w:t xml:space="preserve"> </w:t>
      </w:r>
      <w:r w:rsidRPr="00D337FA">
        <w:rPr>
          <w:color w:val="auto"/>
          <w:spacing w:val="-4"/>
          <w:sz w:val="19"/>
          <w:szCs w:val="19"/>
        </w:rPr>
        <w:t>находящиеся</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печати,</w:t>
      </w:r>
      <w:r w:rsidR="006C680D" w:rsidRPr="00D337FA">
        <w:rPr>
          <w:color w:val="auto"/>
          <w:spacing w:val="-4"/>
          <w:sz w:val="19"/>
          <w:szCs w:val="19"/>
        </w:rPr>
        <w:t xml:space="preserve"> </w:t>
      </w:r>
      <w:r w:rsidRPr="00D337FA">
        <w:rPr>
          <w:color w:val="auto"/>
          <w:spacing w:val="-4"/>
          <w:sz w:val="19"/>
          <w:szCs w:val="19"/>
        </w:rPr>
        <w:t>не</w:t>
      </w:r>
      <w:r w:rsidR="006C680D" w:rsidRPr="00D337FA">
        <w:rPr>
          <w:color w:val="auto"/>
          <w:spacing w:val="-4"/>
          <w:sz w:val="19"/>
          <w:szCs w:val="19"/>
        </w:rPr>
        <w:t xml:space="preserve"> </w:t>
      </w:r>
      <w:r w:rsidRPr="00D337FA">
        <w:rPr>
          <w:color w:val="auto"/>
          <w:spacing w:val="-4"/>
          <w:sz w:val="19"/>
          <w:szCs w:val="19"/>
        </w:rPr>
        <w:t>допускаются.</w:t>
      </w:r>
      <w:r w:rsidR="006C680D" w:rsidRPr="00D337FA">
        <w:rPr>
          <w:color w:val="auto"/>
          <w:spacing w:val="-4"/>
          <w:sz w:val="19"/>
          <w:szCs w:val="19"/>
        </w:rPr>
        <w:t xml:space="preserve"> </w:t>
      </w:r>
      <w:r w:rsidRPr="00D337FA">
        <w:rPr>
          <w:color w:val="auto"/>
          <w:spacing w:val="-4"/>
          <w:sz w:val="19"/>
          <w:szCs w:val="19"/>
        </w:rPr>
        <w:t>При</w:t>
      </w:r>
      <w:r w:rsidR="006C680D" w:rsidRPr="00D337FA">
        <w:rPr>
          <w:color w:val="auto"/>
          <w:spacing w:val="-4"/>
          <w:sz w:val="19"/>
          <w:szCs w:val="19"/>
        </w:rPr>
        <w:t xml:space="preserve"> </w:t>
      </w:r>
      <w:r w:rsidRPr="00D337FA">
        <w:rPr>
          <w:color w:val="auto"/>
          <w:spacing w:val="-4"/>
          <w:sz w:val="19"/>
          <w:szCs w:val="19"/>
        </w:rPr>
        <w:t>ссылке</w:t>
      </w:r>
      <w:r w:rsidR="006C680D" w:rsidRPr="00D337FA">
        <w:rPr>
          <w:color w:val="auto"/>
          <w:spacing w:val="-4"/>
          <w:sz w:val="19"/>
          <w:szCs w:val="19"/>
        </w:rPr>
        <w:t xml:space="preserve"> </w:t>
      </w:r>
      <w:r w:rsidRPr="00D337FA">
        <w:rPr>
          <w:color w:val="auto"/>
          <w:spacing w:val="-4"/>
          <w:sz w:val="19"/>
          <w:szCs w:val="19"/>
        </w:rPr>
        <w:t>на</w:t>
      </w:r>
      <w:r w:rsidR="006C680D" w:rsidRPr="00D337FA">
        <w:rPr>
          <w:color w:val="auto"/>
          <w:spacing w:val="-4"/>
          <w:sz w:val="19"/>
          <w:szCs w:val="19"/>
        </w:rPr>
        <w:t xml:space="preserve"> </w:t>
      </w:r>
      <w:r w:rsidRPr="00D337FA">
        <w:rPr>
          <w:color w:val="auto"/>
          <w:spacing w:val="-4"/>
          <w:sz w:val="19"/>
          <w:szCs w:val="19"/>
        </w:rPr>
        <w:t>литературный</w:t>
      </w:r>
      <w:r w:rsidR="006C680D" w:rsidRPr="00D337FA">
        <w:rPr>
          <w:color w:val="auto"/>
          <w:spacing w:val="-4"/>
          <w:sz w:val="19"/>
          <w:szCs w:val="19"/>
        </w:rPr>
        <w:t xml:space="preserve"> </w:t>
      </w:r>
      <w:r w:rsidRPr="00D337FA">
        <w:rPr>
          <w:color w:val="auto"/>
          <w:spacing w:val="-4"/>
          <w:sz w:val="19"/>
          <w:szCs w:val="19"/>
        </w:rPr>
        <w:t>источник</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lastRenderedPageBreak/>
        <w:t>тексте</w:t>
      </w:r>
      <w:r w:rsidR="006C680D" w:rsidRPr="00D337FA">
        <w:rPr>
          <w:color w:val="auto"/>
          <w:spacing w:val="-4"/>
          <w:sz w:val="19"/>
          <w:szCs w:val="19"/>
        </w:rPr>
        <w:t xml:space="preserve"> </w:t>
      </w:r>
      <w:r w:rsidRPr="00D337FA">
        <w:rPr>
          <w:color w:val="auto"/>
          <w:spacing w:val="-4"/>
          <w:sz w:val="19"/>
          <w:szCs w:val="19"/>
        </w:rPr>
        <w:t>приводится</w:t>
      </w:r>
      <w:r w:rsidR="006C680D" w:rsidRPr="00D337FA">
        <w:rPr>
          <w:color w:val="auto"/>
          <w:spacing w:val="-4"/>
          <w:sz w:val="19"/>
          <w:szCs w:val="19"/>
        </w:rPr>
        <w:t xml:space="preserve"> </w:t>
      </w:r>
      <w:r w:rsidRPr="00D337FA">
        <w:rPr>
          <w:color w:val="auto"/>
          <w:spacing w:val="-4"/>
          <w:sz w:val="19"/>
          <w:szCs w:val="19"/>
        </w:rPr>
        <w:t>порядковый</w:t>
      </w:r>
      <w:r w:rsidR="006C680D" w:rsidRPr="00D337FA">
        <w:rPr>
          <w:color w:val="auto"/>
          <w:spacing w:val="-4"/>
          <w:sz w:val="19"/>
          <w:szCs w:val="19"/>
        </w:rPr>
        <w:t xml:space="preserve"> </w:t>
      </w:r>
      <w:r w:rsidRPr="00D337FA">
        <w:rPr>
          <w:color w:val="auto"/>
          <w:spacing w:val="-4"/>
          <w:sz w:val="19"/>
          <w:szCs w:val="19"/>
        </w:rPr>
        <w:t>номер</w:t>
      </w:r>
      <w:r w:rsidR="006C680D" w:rsidRPr="00D337FA">
        <w:rPr>
          <w:color w:val="auto"/>
          <w:spacing w:val="-4"/>
          <w:sz w:val="19"/>
          <w:szCs w:val="19"/>
        </w:rPr>
        <w:t xml:space="preserve"> </w:t>
      </w:r>
      <w:r w:rsidRPr="00D337FA">
        <w:rPr>
          <w:color w:val="auto"/>
          <w:spacing w:val="-4"/>
          <w:sz w:val="19"/>
          <w:szCs w:val="19"/>
        </w:rPr>
        <w:t>работы</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квадратных</w:t>
      </w:r>
      <w:r w:rsidR="006C680D" w:rsidRPr="00D337FA">
        <w:rPr>
          <w:color w:val="auto"/>
          <w:spacing w:val="-4"/>
          <w:sz w:val="19"/>
          <w:szCs w:val="19"/>
        </w:rPr>
        <w:t xml:space="preserve"> </w:t>
      </w:r>
      <w:r w:rsidRPr="00D337FA">
        <w:rPr>
          <w:color w:val="auto"/>
          <w:spacing w:val="-4"/>
          <w:sz w:val="19"/>
          <w:szCs w:val="19"/>
        </w:rPr>
        <w:t>скобках.</w:t>
      </w:r>
    </w:p>
    <w:p w:rsidR="00250468" w:rsidRPr="00D337FA" w:rsidRDefault="00250468" w:rsidP="00A3493D">
      <w:pPr>
        <w:pStyle w:val="afe"/>
        <w:rPr>
          <w:color w:val="auto"/>
          <w:spacing w:val="-4"/>
          <w:sz w:val="19"/>
          <w:szCs w:val="19"/>
        </w:rPr>
      </w:pPr>
      <w:r w:rsidRPr="00D337FA">
        <w:rPr>
          <w:color w:val="auto"/>
          <w:spacing w:val="-4"/>
          <w:sz w:val="19"/>
          <w:szCs w:val="19"/>
        </w:rPr>
        <w:t>8.</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материале</w:t>
      </w:r>
      <w:r w:rsidR="006C680D" w:rsidRPr="00D337FA">
        <w:rPr>
          <w:color w:val="auto"/>
          <w:spacing w:val="-4"/>
          <w:sz w:val="19"/>
          <w:szCs w:val="19"/>
        </w:rPr>
        <w:t xml:space="preserve"> </w:t>
      </w:r>
      <w:r w:rsidRPr="00D337FA">
        <w:rPr>
          <w:color w:val="auto"/>
          <w:spacing w:val="-4"/>
          <w:sz w:val="19"/>
          <w:szCs w:val="19"/>
        </w:rPr>
        <w:t>для</w:t>
      </w:r>
      <w:r w:rsidR="006C680D" w:rsidRPr="00D337FA">
        <w:rPr>
          <w:color w:val="auto"/>
          <w:spacing w:val="-4"/>
          <w:sz w:val="19"/>
          <w:szCs w:val="19"/>
        </w:rPr>
        <w:t xml:space="preserve"> </w:t>
      </w:r>
      <w:r w:rsidRPr="00D337FA">
        <w:rPr>
          <w:color w:val="auto"/>
          <w:spacing w:val="-4"/>
          <w:sz w:val="19"/>
          <w:szCs w:val="19"/>
        </w:rPr>
        <w:t>публикации</w:t>
      </w:r>
      <w:r w:rsidR="006C680D" w:rsidRPr="00D337FA">
        <w:rPr>
          <w:color w:val="auto"/>
          <w:spacing w:val="-4"/>
          <w:sz w:val="19"/>
          <w:szCs w:val="19"/>
        </w:rPr>
        <w:t xml:space="preserve"> </w:t>
      </w:r>
      <w:r w:rsidRPr="00D337FA">
        <w:rPr>
          <w:color w:val="auto"/>
          <w:spacing w:val="-4"/>
          <w:sz w:val="19"/>
          <w:szCs w:val="19"/>
        </w:rPr>
        <w:t>следует</w:t>
      </w:r>
      <w:r w:rsidR="006C680D" w:rsidRPr="00D337FA">
        <w:rPr>
          <w:color w:val="auto"/>
          <w:spacing w:val="-4"/>
          <w:sz w:val="19"/>
          <w:szCs w:val="19"/>
        </w:rPr>
        <w:t xml:space="preserve"> </w:t>
      </w:r>
      <w:r w:rsidRPr="00D337FA">
        <w:rPr>
          <w:color w:val="auto"/>
          <w:spacing w:val="-4"/>
          <w:sz w:val="19"/>
          <w:szCs w:val="19"/>
        </w:rPr>
        <w:t>использовать</w:t>
      </w:r>
      <w:r w:rsidR="006C680D" w:rsidRPr="00D337FA">
        <w:rPr>
          <w:color w:val="auto"/>
          <w:spacing w:val="-4"/>
          <w:sz w:val="19"/>
          <w:szCs w:val="19"/>
        </w:rPr>
        <w:t xml:space="preserve"> </w:t>
      </w:r>
      <w:r w:rsidRPr="00D337FA">
        <w:rPr>
          <w:color w:val="auto"/>
          <w:spacing w:val="-4"/>
          <w:sz w:val="19"/>
          <w:szCs w:val="19"/>
        </w:rPr>
        <w:t>только</w:t>
      </w:r>
      <w:r w:rsidR="006C680D" w:rsidRPr="00D337FA">
        <w:rPr>
          <w:color w:val="auto"/>
          <w:spacing w:val="-4"/>
          <w:sz w:val="19"/>
          <w:szCs w:val="19"/>
        </w:rPr>
        <w:t xml:space="preserve"> </w:t>
      </w:r>
      <w:r w:rsidRPr="00D337FA">
        <w:rPr>
          <w:color w:val="auto"/>
          <w:spacing w:val="-4"/>
          <w:sz w:val="19"/>
          <w:szCs w:val="19"/>
        </w:rPr>
        <w:t>общепринятые</w:t>
      </w:r>
      <w:r w:rsidR="006C680D" w:rsidRPr="00D337FA">
        <w:rPr>
          <w:color w:val="auto"/>
          <w:spacing w:val="-4"/>
          <w:sz w:val="19"/>
          <w:szCs w:val="19"/>
        </w:rPr>
        <w:t xml:space="preserve"> </w:t>
      </w:r>
      <w:r w:rsidRPr="00D337FA">
        <w:rPr>
          <w:color w:val="auto"/>
          <w:spacing w:val="-4"/>
          <w:sz w:val="19"/>
          <w:szCs w:val="19"/>
        </w:rPr>
        <w:t>сокращения.</w:t>
      </w:r>
    </w:p>
    <w:p w:rsidR="00637B7A" w:rsidRPr="00D337FA" w:rsidRDefault="00250468" w:rsidP="00A3493D">
      <w:pPr>
        <w:pStyle w:val="afe"/>
        <w:rPr>
          <w:color w:val="auto"/>
          <w:spacing w:val="-4"/>
          <w:sz w:val="19"/>
          <w:szCs w:val="19"/>
        </w:rPr>
      </w:pPr>
      <w:r w:rsidRPr="00D337FA">
        <w:rPr>
          <w:color w:val="auto"/>
          <w:spacing w:val="-4"/>
          <w:sz w:val="19"/>
          <w:szCs w:val="19"/>
        </w:rPr>
        <w:t>9.</w:t>
      </w:r>
      <w:r w:rsidR="006C680D" w:rsidRPr="00D337FA">
        <w:rPr>
          <w:color w:val="auto"/>
          <w:spacing w:val="-4"/>
          <w:sz w:val="19"/>
          <w:szCs w:val="19"/>
        </w:rPr>
        <w:t xml:space="preserve"> </w:t>
      </w:r>
      <w:r w:rsidRPr="00D337FA">
        <w:rPr>
          <w:color w:val="auto"/>
          <w:spacing w:val="-4"/>
          <w:sz w:val="19"/>
          <w:szCs w:val="19"/>
        </w:rPr>
        <w:t>Публикация</w:t>
      </w:r>
      <w:r w:rsidR="006C680D" w:rsidRPr="00D337FA">
        <w:rPr>
          <w:color w:val="auto"/>
          <w:spacing w:val="-4"/>
          <w:sz w:val="19"/>
          <w:szCs w:val="19"/>
        </w:rPr>
        <w:t xml:space="preserve"> </w:t>
      </w:r>
      <w:r w:rsidRPr="00D337FA">
        <w:rPr>
          <w:color w:val="auto"/>
          <w:spacing w:val="-4"/>
          <w:sz w:val="19"/>
          <w:szCs w:val="19"/>
        </w:rPr>
        <w:t>предоставляется</w:t>
      </w:r>
      <w:r w:rsidR="006C680D" w:rsidRPr="00D337FA">
        <w:rPr>
          <w:color w:val="auto"/>
          <w:spacing w:val="-4"/>
          <w:sz w:val="19"/>
          <w:szCs w:val="19"/>
        </w:rPr>
        <w:t xml:space="preserve"> </w:t>
      </w:r>
      <w:r w:rsidRPr="00D337FA">
        <w:rPr>
          <w:color w:val="auto"/>
          <w:spacing w:val="-4"/>
          <w:sz w:val="19"/>
          <w:szCs w:val="19"/>
        </w:rPr>
        <w:t>в</w:t>
      </w:r>
      <w:r w:rsidR="006C680D" w:rsidRPr="00D337FA">
        <w:rPr>
          <w:color w:val="auto"/>
          <w:spacing w:val="-4"/>
          <w:sz w:val="19"/>
          <w:szCs w:val="19"/>
        </w:rPr>
        <w:t xml:space="preserve"> </w:t>
      </w:r>
      <w:r w:rsidRPr="00D337FA">
        <w:rPr>
          <w:color w:val="auto"/>
          <w:spacing w:val="-4"/>
          <w:sz w:val="19"/>
          <w:szCs w:val="19"/>
        </w:rPr>
        <w:t>редакцию</w:t>
      </w:r>
      <w:r w:rsidR="006C680D" w:rsidRPr="00D337FA">
        <w:rPr>
          <w:color w:val="auto"/>
          <w:spacing w:val="-4"/>
          <w:sz w:val="19"/>
          <w:szCs w:val="19"/>
        </w:rPr>
        <w:t xml:space="preserve"> </w:t>
      </w:r>
      <w:r w:rsidRPr="00D337FA">
        <w:rPr>
          <w:color w:val="auto"/>
          <w:spacing w:val="-4"/>
          <w:sz w:val="19"/>
          <w:szCs w:val="19"/>
        </w:rPr>
        <w:t>журнала</w:t>
      </w:r>
      <w:r w:rsidR="006C680D" w:rsidRPr="00D337FA">
        <w:rPr>
          <w:color w:val="auto"/>
          <w:spacing w:val="-4"/>
          <w:sz w:val="19"/>
          <w:szCs w:val="19"/>
        </w:rPr>
        <w:t xml:space="preserve"> </w:t>
      </w:r>
      <w:r w:rsidRPr="00D337FA">
        <w:rPr>
          <w:color w:val="auto"/>
          <w:spacing w:val="-4"/>
          <w:sz w:val="19"/>
          <w:szCs w:val="19"/>
        </w:rPr>
        <w:t>лично</w:t>
      </w:r>
      <w:r w:rsidR="006C680D" w:rsidRPr="00D337FA">
        <w:rPr>
          <w:color w:val="auto"/>
          <w:spacing w:val="-4"/>
          <w:sz w:val="19"/>
          <w:szCs w:val="19"/>
        </w:rPr>
        <w:t xml:space="preserve"> </w:t>
      </w:r>
      <w:r w:rsidRPr="00D337FA">
        <w:rPr>
          <w:color w:val="auto"/>
          <w:spacing w:val="-4"/>
          <w:sz w:val="19"/>
          <w:szCs w:val="19"/>
        </w:rPr>
        <w:t>либо</w:t>
      </w:r>
      <w:r w:rsidR="006C680D" w:rsidRPr="00D337FA">
        <w:rPr>
          <w:color w:val="auto"/>
          <w:spacing w:val="-4"/>
          <w:sz w:val="19"/>
          <w:szCs w:val="19"/>
        </w:rPr>
        <w:t xml:space="preserve"> </w:t>
      </w:r>
      <w:r w:rsidRPr="00D337FA">
        <w:rPr>
          <w:color w:val="auto"/>
          <w:spacing w:val="-4"/>
          <w:sz w:val="19"/>
          <w:szCs w:val="19"/>
        </w:rPr>
        <w:t>отправляется</w:t>
      </w:r>
      <w:r w:rsidR="006C680D" w:rsidRPr="00D337FA">
        <w:rPr>
          <w:color w:val="auto"/>
          <w:spacing w:val="-4"/>
          <w:sz w:val="19"/>
          <w:szCs w:val="19"/>
        </w:rPr>
        <w:t xml:space="preserve"> </w:t>
      </w:r>
      <w:r w:rsidRPr="00D337FA">
        <w:rPr>
          <w:color w:val="auto"/>
          <w:spacing w:val="-4"/>
          <w:sz w:val="19"/>
          <w:szCs w:val="19"/>
        </w:rPr>
        <w:t>на</w:t>
      </w:r>
      <w:r w:rsidR="006C680D" w:rsidRPr="00D337FA">
        <w:rPr>
          <w:color w:val="auto"/>
          <w:spacing w:val="-4"/>
          <w:sz w:val="19"/>
          <w:szCs w:val="19"/>
        </w:rPr>
        <w:t xml:space="preserve"> </w:t>
      </w:r>
      <w:r w:rsidRPr="00D337FA">
        <w:rPr>
          <w:color w:val="auto"/>
          <w:spacing w:val="-4"/>
          <w:sz w:val="19"/>
          <w:szCs w:val="19"/>
        </w:rPr>
        <w:t>электронную</w:t>
      </w:r>
      <w:r w:rsidR="006C680D" w:rsidRPr="00D337FA">
        <w:rPr>
          <w:color w:val="auto"/>
          <w:spacing w:val="-4"/>
          <w:sz w:val="19"/>
          <w:szCs w:val="19"/>
        </w:rPr>
        <w:t xml:space="preserve"> </w:t>
      </w:r>
      <w:r w:rsidRPr="00D337FA">
        <w:rPr>
          <w:color w:val="auto"/>
          <w:spacing w:val="-4"/>
          <w:sz w:val="19"/>
          <w:szCs w:val="19"/>
        </w:rPr>
        <w:t>почту.</w:t>
      </w:r>
    </w:p>
    <w:p w:rsidR="00A3493D" w:rsidRPr="00D337FA" w:rsidRDefault="00A3493D" w:rsidP="00A3493D">
      <w:pPr>
        <w:pStyle w:val="afe"/>
        <w:rPr>
          <w:color w:val="auto"/>
          <w:spacing w:val="-4"/>
          <w:sz w:val="19"/>
          <w:szCs w:val="19"/>
        </w:rPr>
      </w:pPr>
    </w:p>
    <w:p w:rsidR="00250468" w:rsidRPr="00D337FA" w:rsidRDefault="00250468" w:rsidP="00A3493D">
      <w:pPr>
        <w:pStyle w:val="afe"/>
        <w:ind w:firstLine="0"/>
        <w:jc w:val="center"/>
        <w:rPr>
          <w:b/>
          <w:color w:val="auto"/>
          <w:spacing w:val="-4"/>
          <w:sz w:val="19"/>
          <w:szCs w:val="19"/>
          <w:lang w:val="en-US"/>
        </w:rPr>
      </w:pPr>
      <w:r w:rsidRPr="00D337FA">
        <w:rPr>
          <w:b/>
          <w:color w:val="auto"/>
          <w:spacing w:val="-4"/>
          <w:sz w:val="19"/>
          <w:szCs w:val="19"/>
          <w:lang w:val="en-US"/>
        </w:rPr>
        <w:t>Requirements</w:t>
      </w:r>
      <w:r w:rsidR="006C680D" w:rsidRPr="00D337FA">
        <w:rPr>
          <w:b/>
          <w:color w:val="auto"/>
          <w:spacing w:val="-4"/>
          <w:sz w:val="19"/>
          <w:szCs w:val="19"/>
          <w:lang w:val="en-US"/>
        </w:rPr>
        <w:t xml:space="preserve"> </w:t>
      </w:r>
      <w:r w:rsidRPr="00D337FA">
        <w:rPr>
          <w:b/>
          <w:color w:val="auto"/>
          <w:spacing w:val="-4"/>
          <w:sz w:val="19"/>
          <w:szCs w:val="19"/>
          <w:lang w:val="en-US"/>
        </w:rPr>
        <w:t>for</w:t>
      </w:r>
      <w:r w:rsidR="006C680D" w:rsidRPr="00D337FA">
        <w:rPr>
          <w:b/>
          <w:color w:val="auto"/>
          <w:spacing w:val="-4"/>
          <w:sz w:val="19"/>
          <w:szCs w:val="19"/>
          <w:lang w:val="en-US"/>
        </w:rPr>
        <w:t xml:space="preserve"> </w:t>
      </w:r>
      <w:r w:rsidRPr="00D337FA">
        <w:rPr>
          <w:b/>
          <w:color w:val="auto"/>
          <w:spacing w:val="-4"/>
          <w:sz w:val="19"/>
          <w:szCs w:val="19"/>
          <w:lang w:val="en-US"/>
        </w:rPr>
        <w:t>submitting</w:t>
      </w:r>
      <w:r w:rsidR="006C680D" w:rsidRPr="00D337FA">
        <w:rPr>
          <w:b/>
          <w:color w:val="auto"/>
          <w:spacing w:val="-4"/>
          <w:sz w:val="19"/>
          <w:szCs w:val="19"/>
          <w:lang w:val="en-US"/>
        </w:rPr>
        <w:t xml:space="preserve"> </w:t>
      </w:r>
      <w:r w:rsidRPr="00D337FA">
        <w:rPr>
          <w:b/>
          <w:color w:val="auto"/>
          <w:spacing w:val="-4"/>
          <w:sz w:val="19"/>
          <w:szCs w:val="19"/>
          <w:lang w:val="en-US"/>
        </w:rPr>
        <w:t>articles</w:t>
      </w:r>
      <w:r w:rsidR="006C680D" w:rsidRPr="00D337FA">
        <w:rPr>
          <w:b/>
          <w:color w:val="auto"/>
          <w:spacing w:val="-4"/>
          <w:sz w:val="19"/>
          <w:szCs w:val="19"/>
          <w:lang w:val="en-US"/>
        </w:rPr>
        <w:t xml:space="preserve"> </w:t>
      </w:r>
      <w:r w:rsidR="00A3493D" w:rsidRPr="00D337FA">
        <w:rPr>
          <w:b/>
          <w:color w:val="auto"/>
          <w:spacing w:val="-4"/>
          <w:sz w:val="19"/>
          <w:szCs w:val="19"/>
          <w:lang w:val="en-US"/>
        </w:rPr>
        <w:br/>
      </w:r>
      <w:r w:rsidRPr="00D337FA">
        <w:rPr>
          <w:b/>
          <w:color w:val="auto"/>
          <w:spacing w:val="-4"/>
          <w:sz w:val="19"/>
          <w:szCs w:val="19"/>
          <w:lang w:val="en-US"/>
        </w:rPr>
        <w:t>to</w:t>
      </w:r>
      <w:r w:rsidR="006C680D" w:rsidRPr="00D337FA">
        <w:rPr>
          <w:b/>
          <w:color w:val="auto"/>
          <w:spacing w:val="-4"/>
          <w:sz w:val="19"/>
          <w:szCs w:val="19"/>
          <w:lang w:val="en-US"/>
        </w:rPr>
        <w:t xml:space="preserve"> </w:t>
      </w:r>
      <w:r w:rsidRPr="00D337FA">
        <w:rPr>
          <w:b/>
          <w:color w:val="auto"/>
          <w:spacing w:val="-4"/>
          <w:sz w:val="19"/>
          <w:szCs w:val="19"/>
          <w:lang w:val="en-US"/>
        </w:rPr>
        <w:t>the</w:t>
      </w:r>
      <w:r w:rsidR="006C680D" w:rsidRPr="00D337FA">
        <w:rPr>
          <w:b/>
          <w:color w:val="auto"/>
          <w:spacing w:val="-4"/>
          <w:sz w:val="19"/>
          <w:szCs w:val="19"/>
          <w:lang w:val="en-US"/>
        </w:rPr>
        <w:t xml:space="preserve"> </w:t>
      </w:r>
      <w:r w:rsidRPr="00D337FA">
        <w:rPr>
          <w:b/>
          <w:color w:val="auto"/>
          <w:spacing w:val="-4"/>
          <w:sz w:val="19"/>
          <w:szCs w:val="19"/>
          <w:lang w:val="en-US"/>
        </w:rPr>
        <w:t>scientific</w:t>
      </w:r>
      <w:r w:rsidR="006C680D" w:rsidRPr="00D337FA">
        <w:rPr>
          <w:b/>
          <w:color w:val="auto"/>
          <w:spacing w:val="-4"/>
          <w:sz w:val="19"/>
          <w:szCs w:val="19"/>
          <w:lang w:val="en-US"/>
        </w:rPr>
        <w:t xml:space="preserve"> </w:t>
      </w:r>
      <w:r w:rsidRPr="00D337FA">
        <w:rPr>
          <w:b/>
          <w:color w:val="auto"/>
          <w:spacing w:val="-4"/>
          <w:sz w:val="19"/>
          <w:szCs w:val="19"/>
          <w:lang w:val="en-US"/>
        </w:rPr>
        <w:t>journal</w:t>
      </w:r>
      <w:r w:rsidR="006C680D" w:rsidRPr="00D337FA">
        <w:rPr>
          <w:b/>
          <w:color w:val="auto"/>
          <w:spacing w:val="-4"/>
          <w:sz w:val="19"/>
          <w:szCs w:val="19"/>
          <w:lang w:val="en-US"/>
        </w:rPr>
        <w:t xml:space="preserve"> </w:t>
      </w:r>
      <w:r w:rsidRPr="00D337FA">
        <w:rPr>
          <w:b/>
          <w:color w:val="auto"/>
          <w:spacing w:val="-4"/>
          <w:sz w:val="19"/>
          <w:szCs w:val="19"/>
          <w:lang w:val="en-US"/>
        </w:rPr>
        <w:t>Innovation</w:t>
      </w:r>
      <w:r w:rsidR="006C680D" w:rsidRPr="00D337FA">
        <w:rPr>
          <w:b/>
          <w:color w:val="auto"/>
          <w:spacing w:val="-4"/>
          <w:sz w:val="19"/>
          <w:szCs w:val="19"/>
          <w:lang w:val="en-US"/>
        </w:rPr>
        <w:t xml:space="preserve"> </w:t>
      </w:r>
      <w:r w:rsidRPr="00D337FA">
        <w:rPr>
          <w:b/>
          <w:color w:val="auto"/>
          <w:spacing w:val="-4"/>
          <w:sz w:val="19"/>
          <w:szCs w:val="19"/>
          <w:lang w:val="en-US"/>
        </w:rPr>
        <w:t>Activity</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1.</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main</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manuscript</w:t>
      </w:r>
      <w:r w:rsidR="006C680D" w:rsidRPr="00D337FA">
        <w:rPr>
          <w:color w:val="auto"/>
          <w:spacing w:val="-4"/>
          <w:sz w:val="19"/>
          <w:szCs w:val="19"/>
          <w:lang w:val="en-US"/>
        </w:rPr>
        <w:t xml:space="preserve"> </w:t>
      </w:r>
      <w:r w:rsidRPr="00D337FA">
        <w:rPr>
          <w:color w:val="auto"/>
          <w:spacing w:val="-4"/>
          <w:sz w:val="19"/>
          <w:szCs w:val="19"/>
          <w:lang w:val="en-US"/>
        </w:rPr>
        <w:t>(except</w:t>
      </w:r>
      <w:r w:rsidR="006C680D" w:rsidRPr="00D337FA">
        <w:rPr>
          <w:color w:val="auto"/>
          <w:spacing w:val="-4"/>
          <w:sz w:val="19"/>
          <w:szCs w:val="19"/>
          <w:lang w:val="en-US"/>
        </w:rPr>
        <w:t xml:space="preserve"> </w:t>
      </w:r>
      <w:r w:rsidRPr="00D337FA">
        <w:rPr>
          <w:color w:val="auto"/>
          <w:spacing w:val="-4"/>
          <w:sz w:val="19"/>
          <w:szCs w:val="19"/>
          <w:lang w:val="en-US"/>
        </w:rPr>
        <w:t>for</w:t>
      </w:r>
      <w:r w:rsidR="006C680D" w:rsidRPr="00D337FA">
        <w:rPr>
          <w:color w:val="auto"/>
          <w:spacing w:val="-4"/>
          <w:sz w:val="19"/>
          <w:szCs w:val="19"/>
          <w:lang w:val="en-US"/>
        </w:rPr>
        <w:t xml:space="preserve"> </w:t>
      </w:r>
      <w:r w:rsidRPr="00D337FA">
        <w:rPr>
          <w:color w:val="auto"/>
          <w:spacing w:val="-4"/>
          <w:sz w:val="19"/>
          <w:szCs w:val="19"/>
          <w:lang w:val="en-US"/>
        </w:rPr>
        <w:t>abstracts</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keywords)</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typed</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editor</w:t>
      </w:r>
      <w:r w:rsidR="006C680D" w:rsidRPr="00D337FA">
        <w:rPr>
          <w:color w:val="auto"/>
          <w:spacing w:val="-4"/>
          <w:sz w:val="19"/>
          <w:szCs w:val="19"/>
          <w:lang w:val="en-US"/>
        </w:rPr>
        <w:t xml:space="preserve"> </w:t>
      </w:r>
      <w:r w:rsidRPr="00D337FA">
        <w:rPr>
          <w:color w:val="auto"/>
          <w:spacing w:val="-4"/>
          <w:sz w:val="19"/>
          <w:szCs w:val="19"/>
          <w:lang w:val="en-US"/>
        </w:rPr>
        <w:t>MS</w:t>
      </w:r>
      <w:r w:rsidR="006C680D" w:rsidRPr="00D337FA">
        <w:rPr>
          <w:color w:val="auto"/>
          <w:spacing w:val="-4"/>
          <w:sz w:val="19"/>
          <w:szCs w:val="19"/>
          <w:lang w:val="en-US"/>
        </w:rPr>
        <w:t xml:space="preserve"> </w:t>
      </w:r>
      <w:r w:rsidRPr="00D337FA">
        <w:rPr>
          <w:color w:val="auto"/>
          <w:spacing w:val="-4"/>
          <w:sz w:val="19"/>
          <w:szCs w:val="19"/>
          <w:lang w:val="en-US"/>
        </w:rPr>
        <w:t>WORD,</w:t>
      </w:r>
      <w:r w:rsidR="006C680D" w:rsidRPr="00D337FA">
        <w:rPr>
          <w:color w:val="auto"/>
          <w:spacing w:val="-4"/>
          <w:sz w:val="19"/>
          <w:szCs w:val="19"/>
          <w:lang w:val="en-US"/>
        </w:rPr>
        <w:t xml:space="preserve"> </w:t>
      </w:r>
      <w:r w:rsidRPr="00D337FA">
        <w:rPr>
          <w:color w:val="auto"/>
          <w:spacing w:val="-4"/>
          <w:sz w:val="19"/>
          <w:szCs w:val="19"/>
          <w:lang w:val="en-US"/>
        </w:rPr>
        <w:t>type</w:t>
      </w:r>
      <w:r w:rsidR="006C680D" w:rsidRPr="00D337FA">
        <w:rPr>
          <w:color w:val="auto"/>
          <w:spacing w:val="-4"/>
          <w:sz w:val="19"/>
          <w:szCs w:val="19"/>
          <w:lang w:val="en-US"/>
        </w:rPr>
        <w:t xml:space="preserve"> </w:t>
      </w:r>
      <w:r w:rsidRPr="00D337FA">
        <w:rPr>
          <w:color w:val="auto"/>
          <w:spacing w:val="-4"/>
          <w:sz w:val="19"/>
          <w:szCs w:val="19"/>
          <w:lang w:val="en-US"/>
        </w:rPr>
        <w:t>Times</w:t>
      </w:r>
      <w:r w:rsidR="006C680D" w:rsidRPr="00D337FA">
        <w:rPr>
          <w:color w:val="auto"/>
          <w:spacing w:val="-4"/>
          <w:sz w:val="19"/>
          <w:szCs w:val="19"/>
          <w:lang w:val="en-US"/>
        </w:rPr>
        <w:t xml:space="preserve"> </w:t>
      </w:r>
      <w:r w:rsidRPr="00D337FA">
        <w:rPr>
          <w:color w:val="auto"/>
          <w:spacing w:val="-4"/>
          <w:sz w:val="19"/>
          <w:szCs w:val="19"/>
          <w:lang w:val="en-US"/>
        </w:rPr>
        <w:t>New</w:t>
      </w:r>
      <w:r w:rsidR="006C680D" w:rsidRPr="00D337FA">
        <w:rPr>
          <w:color w:val="auto"/>
          <w:spacing w:val="-4"/>
          <w:sz w:val="19"/>
          <w:szCs w:val="19"/>
          <w:lang w:val="en-US"/>
        </w:rPr>
        <w:t xml:space="preserve"> </w:t>
      </w:r>
      <w:r w:rsidRPr="00D337FA">
        <w:rPr>
          <w:color w:val="auto"/>
          <w:spacing w:val="-4"/>
          <w:sz w:val="19"/>
          <w:szCs w:val="19"/>
          <w:lang w:val="en-US"/>
        </w:rPr>
        <w:t>Roman</w:t>
      </w:r>
      <w:r w:rsidR="006C680D" w:rsidRPr="00D337FA">
        <w:rPr>
          <w:color w:val="auto"/>
          <w:spacing w:val="-4"/>
          <w:sz w:val="19"/>
          <w:szCs w:val="19"/>
          <w:lang w:val="en-US"/>
        </w:rPr>
        <w:t xml:space="preserve"> </w:t>
      </w:r>
      <w:r w:rsidRPr="00D337FA">
        <w:rPr>
          <w:color w:val="auto"/>
          <w:spacing w:val="-4"/>
          <w:sz w:val="19"/>
          <w:szCs w:val="19"/>
          <w:lang w:val="en-US"/>
        </w:rPr>
        <w:t>14</w:t>
      </w:r>
      <w:r w:rsidR="006C680D" w:rsidRPr="00D337FA">
        <w:rPr>
          <w:color w:val="auto"/>
          <w:spacing w:val="-4"/>
          <w:sz w:val="19"/>
          <w:szCs w:val="19"/>
          <w:lang w:val="en-US"/>
        </w:rPr>
        <w:t xml:space="preserve"> </w:t>
      </w:r>
      <w:r w:rsidRPr="00D337FA">
        <w:rPr>
          <w:color w:val="auto"/>
          <w:spacing w:val="-4"/>
          <w:sz w:val="19"/>
          <w:szCs w:val="19"/>
          <w:lang w:val="en-US"/>
        </w:rPr>
        <w:t>pt</w:t>
      </w:r>
      <w:r w:rsidR="006C680D" w:rsidRPr="00D337FA">
        <w:rPr>
          <w:color w:val="auto"/>
          <w:spacing w:val="-4"/>
          <w:sz w:val="19"/>
          <w:szCs w:val="19"/>
          <w:lang w:val="en-US"/>
        </w:rPr>
        <w:t xml:space="preserve"> </w:t>
      </w:r>
      <w:r w:rsidRPr="00D337FA">
        <w:rPr>
          <w:color w:val="auto"/>
          <w:spacing w:val="-4"/>
          <w:sz w:val="19"/>
          <w:szCs w:val="19"/>
          <w:lang w:val="en-US"/>
        </w:rPr>
        <w:t>with</w:t>
      </w:r>
      <w:r w:rsidR="006C680D" w:rsidRPr="00D337FA">
        <w:rPr>
          <w:color w:val="auto"/>
          <w:spacing w:val="-4"/>
          <w:sz w:val="19"/>
          <w:szCs w:val="19"/>
          <w:lang w:val="en-US"/>
        </w:rPr>
        <w:t xml:space="preserve"> </w:t>
      </w:r>
      <w:r w:rsidRPr="00D337FA">
        <w:rPr>
          <w:color w:val="auto"/>
          <w:spacing w:val="-4"/>
          <w:sz w:val="19"/>
          <w:szCs w:val="19"/>
          <w:lang w:val="en-US"/>
        </w:rPr>
        <w:t>single</w:t>
      </w:r>
      <w:r w:rsidR="006C680D" w:rsidRPr="00D337FA">
        <w:rPr>
          <w:color w:val="auto"/>
          <w:spacing w:val="-4"/>
          <w:sz w:val="19"/>
          <w:szCs w:val="19"/>
          <w:lang w:val="en-US"/>
        </w:rPr>
        <w:t xml:space="preserve"> </w:t>
      </w:r>
      <w:r w:rsidRPr="00D337FA">
        <w:rPr>
          <w:color w:val="auto"/>
          <w:spacing w:val="-4"/>
          <w:sz w:val="19"/>
          <w:szCs w:val="19"/>
          <w:lang w:val="en-US"/>
        </w:rPr>
        <w:t>spacing,</w:t>
      </w:r>
      <w:r w:rsidR="006C680D" w:rsidRPr="00D337FA">
        <w:rPr>
          <w:color w:val="auto"/>
          <w:spacing w:val="-4"/>
          <w:sz w:val="19"/>
          <w:szCs w:val="19"/>
          <w:lang w:val="en-US"/>
        </w:rPr>
        <w:t xml:space="preserve"> </w:t>
      </w:r>
      <w:r w:rsidRPr="00D337FA">
        <w:rPr>
          <w:color w:val="auto"/>
          <w:spacing w:val="-4"/>
          <w:sz w:val="19"/>
          <w:szCs w:val="19"/>
          <w:lang w:val="en-US"/>
        </w:rPr>
        <w:t>width</w:t>
      </w:r>
      <w:r w:rsidR="006C680D" w:rsidRPr="00D337FA">
        <w:rPr>
          <w:color w:val="auto"/>
          <w:spacing w:val="-4"/>
          <w:sz w:val="19"/>
          <w:szCs w:val="19"/>
          <w:lang w:val="en-US"/>
        </w:rPr>
        <w:t xml:space="preserve"> </w:t>
      </w:r>
      <w:r w:rsidRPr="00D337FA">
        <w:rPr>
          <w:color w:val="auto"/>
          <w:spacing w:val="-4"/>
          <w:sz w:val="19"/>
          <w:szCs w:val="19"/>
          <w:lang w:val="en-US"/>
        </w:rPr>
        <w:t>alignment.</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margins</w:t>
      </w:r>
      <w:r w:rsidR="006C680D" w:rsidRPr="00D337FA">
        <w:rPr>
          <w:color w:val="auto"/>
          <w:spacing w:val="-4"/>
          <w:sz w:val="19"/>
          <w:szCs w:val="19"/>
          <w:lang w:val="en-US"/>
        </w:rPr>
        <w:t xml:space="preserve"> </w:t>
      </w:r>
      <w:r w:rsidRPr="00D337FA">
        <w:rPr>
          <w:color w:val="auto"/>
          <w:spacing w:val="-4"/>
          <w:sz w:val="19"/>
          <w:szCs w:val="19"/>
          <w:lang w:val="en-US"/>
        </w:rPr>
        <w:t>on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left</w:t>
      </w:r>
      <w:r w:rsidR="006C680D" w:rsidRPr="00D337FA">
        <w:rPr>
          <w:color w:val="auto"/>
          <w:spacing w:val="-4"/>
          <w:sz w:val="19"/>
          <w:szCs w:val="19"/>
          <w:lang w:val="en-US"/>
        </w:rPr>
        <w:t xml:space="preserve"> </w:t>
      </w:r>
      <w:r w:rsidRPr="00D337FA">
        <w:rPr>
          <w:color w:val="auto"/>
          <w:spacing w:val="-4"/>
          <w:sz w:val="19"/>
          <w:szCs w:val="19"/>
          <w:lang w:val="en-US"/>
        </w:rPr>
        <w:t>side</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sheet,</w:t>
      </w:r>
      <w:r w:rsidR="006C680D" w:rsidRPr="00D337FA">
        <w:rPr>
          <w:color w:val="auto"/>
          <w:spacing w:val="-4"/>
          <w:sz w:val="19"/>
          <w:szCs w:val="19"/>
          <w:lang w:val="en-US"/>
        </w:rPr>
        <w:t xml:space="preserve"> </w:t>
      </w:r>
      <w:r w:rsidRPr="00D337FA">
        <w:rPr>
          <w:color w:val="auto"/>
          <w:spacing w:val="-4"/>
          <w:sz w:val="19"/>
          <w:szCs w:val="19"/>
          <w:lang w:val="en-US"/>
        </w:rPr>
        <w:t>above</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below</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2,5</w:t>
      </w:r>
      <w:r w:rsidR="006C680D" w:rsidRPr="00D337FA">
        <w:rPr>
          <w:color w:val="auto"/>
          <w:spacing w:val="-4"/>
          <w:sz w:val="19"/>
          <w:szCs w:val="19"/>
          <w:lang w:val="en-US"/>
        </w:rPr>
        <w:t xml:space="preserve"> </w:t>
      </w:r>
      <w:r w:rsidRPr="00D337FA">
        <w:rPr>
          <w:color w:val="auto"/>
          <w:spacing w:val="-4"/>
          <w:sz w:val="19"/>
          <w:szCs w:val="19"/>
          <w:lang w:val="en-US"/>
        </w:rPr>
        <w:t>cm,</w:t>
      </w:r>
      <w:r w:rsidR="006C680D" w:rsidRPr="00D337FA">
        <w:rPr>
          <w:color w:val="auto"/>
          <w:spacing w:val="-4"/>
          <w:sz w:val="19"/>
          <w:szCs w:val="19"/>
          <w:lang w:val="en-US"/>
        </w:rPr>
        <w:t xml:space="preserve"> </w:t>
      </w:r>
      <w:r w:rsidRPr="00D337FA">
        <w:rPr>
          <w:color w:val="auto"/>
          <w:spacing w:val="-4"/>
          <w:sz w:val="19"/>
          <w:szCs w:val="19"/>
          <w:lang w:val="en-US"/>
        </w:rPr>
        <w:t>on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right</w:t>
      </w:r>
      <w:r w:rsidR="006C680D" w:rsidRPr="00D337FA">
        <w:rPr>
          <w:color w:val="auto"/>
          <w:spacing w:val="-4"/>
          <w:sz w:val="19"/>
          <w:szCs w:val="19"/>
          <w:lang w:val="en-US"/>
        </w:rPr>
        <w:t xml:space="preserve"> </w:t>
      </w:r>
      <w:r w:rsidRPr="00D337FA">
        <w:rPr>
          <w:color w:val="auto"/>
          <w:spacing w:val="-4"/>
          <w:sz w:val="19"/>
          <w:szCs w:val="19"/>
          <w:lang w:val="en-US"/>
        </w:rPr>
        <w:t>side</w:t>
      </w:r>
      <w:r w:rsidR="006C680D" w:rsidRPr="00D337FA">
        <w:rPr>
          <w:color w:val="auto"/>
          <w:spacing w:val="-4"/>
          <w:sz w:val="19"/>
          <w:szCs w:val="19"/>
          <w:lang w:val="en-US"/>
        </w:rPr>
        <w:t xml:space="preserve"> </w:t>
      </w:r>
      <w:r w:rsidRPr="00D337FA">
        <w:rPr>
          <w:color w:val="auto"/>
          <w:spacing w:val="-4"/>
          <w:sz w:val="19"/>
          <w:szCs w:val="19"/>
          <w:lang w:val="en-US"/>
        </w:rPr>
        <w:t>2</w:t>
      </w:r>
      <w:r w:rsidR="006C680D" w:rsidRPr="00D337FA">
        <w:rPr>
          <w:color w:val="auto"/>
          <w:spacing w:val="-4"/>
          <w:sz w:val="19"/>
          <w:szCs w:val="19"/>
          <w:lang w:val="en-US"/>
        </w:rPr>
        <w:t xml:space="preserve"> </w:t>
      </w:r>
      <w:r w:rsidRPr="00D337FA">
        <w:rPr>
          <w:color w:val="auto"/>
          <w:spacing w:val="-4"/>
          <w:sz w:val="19"/>
          <w:szCs w:val="19"/>
          <w:lang w:val="en-US"/>
        </w:rPr>
        <w:t>cm.</w:t>
      </w:r>
      <w:r w:rsidR="006C680D" w:rsidRPr="00D337FA">
        <w:rPr>
          <w:color w:val="auto"/>
          <w:spacing w:val="-4"/>
          <w:sz w:val="19"/>
          <w:szCs w:val="19"/>
          <w:lang w:val="en-US"/>
        </w:rPr>
        <w:t xml:space="preserve"> </w:t>
      </w:r>
      <w:r w:rsidRPr="00D337FA">
        <w:rPr>
          <w:color w:val="auto"/>
          <w:spacing w:val="-4"/>
          <w:sz w:val="19"/>
          <w:szCs w:val="19"/>
          <w:lang w:val="en-US"/>
        </w:rPr>
        <w:t>Indentation</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1</w:t>
      </w:r>
      <w:r w:rsidR="00A3493D" w:rsidRPr="00D337FA">
        <w:rPr>
          <w:color w:val="auto"/>
          <w:spacing w:val="-4"/>
          <w:sz w:val="19"/>
          <w:szCs w:val="19"/>
          <w:lang w:val="en-US"/>
        </w:rPr>
        <w:t>,</w:t>
      </w:r>
      <w:r w:rsidRPr="00D337FA">
        <w:rPr>
          <w:color w:val="auto"/>
          <w:spacing w:val="-4"/>
          <w:sz w:val="19"/>
          <w:szCs w:val="19"/>
          <w:lang w:val="en-US"/>
        </w:rPr>
        <w:t>5</w:t>
      </w:r>
      <w:r w:rsidR="006C680D" w:rsidRPr="00D337FA">
        <w:rPr>
          <w:color w:val="auto"/>
          <w:spacing w:val="-4"/>
          <w:sz w:val="19"/>
          <w:szCs w:val="19"/>
          <w:lang w:val="en-US"/>
        </w:rPr>
        <w:t xml:space="preserve"> </w:t>
      </w:r>
      <w:r w:rsidRPr="00D337FA">
        <w:rPr>
          <w:color w:val="auto"/>
          <w:spacing w:val="-4"/>
          <w:sz w:val="19"/>
          <w:szCs w:val="19"/>
          <w:lang w:val="en-US"/>
        </w:rPr>
        <w:t>cm.</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2.</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scheme</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publication:</w:t>
      </w:r>
      <w:r w:rsidR="006C680D" w:rsidRPr="00D337FA">
        <w:rPr>
          <w:color w:val="auto"/>
          <w:spacing w:val="-4"/>
          <w:sz w:val="19"/>
          <w:szCs w:val="19"/>
          <w:lang w:val="en-US"/>
        </w:rPr>
        <w:t xml:space="preserve"> </w:t>
      </w:r>
      <w:r w:rsidRPr="00D337FA">
        <w:rPr>
          <w:color w:val="auto"/>
          <w:spacing w:val="-4"/>
          <w:sz w:val="19"/>
          <w:szCs w:val="19"/>
          <w:lang w:val="en-US"/>
        </w:rPr>
        <w:t>UDC</w:t>
      </w:r>
      <w:r w:rsidR="006C680D" w:rsidRPr="00D337FA">
        <w:rPr>
          <w:color w:val="auto"/>
          <w:spacing w:val="-4"/>
          <w:sz w:val="19"/>
          <w:szCs w:val="19"/>
          <w:lang w:val="en-US"/>
        </w:rPr>
        <w:t xml:space="preserve"> </w:t>
      </w:r>
      <w:r w:rsidRPr="00D337FA">
        <w:rPr>
          <w:color w:val="auto"/>
          <w:spacing w:val="-4"/>
          <w:sz w:val="19"/>
          <w:szCs w:val="19"/>
          <w:lang w:val="en-US"/>
        </w:rPr>
        <w:t>(index</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Universal</w:t>
      </w:r>
      <w:r w:rsidR="006C680D" w:rsidRPr="00D337FA">
        <w:rPr>
          <w:color w:val="auto"/>
          <w:spacing w:val="-4"/>
          <w:sz w:val="19"/>
          <w:szCs w:val="19"/>
          <w:lang w:val="en-US"/>
        </w:rPr>
        <w:t xml:space="preserve"> </w:t>
      </w:r>
      <w:r w:rsidRPr="00D337FA">
        <w:rPr>
          <w:color w:val="auto"/>
          <w:spacing w:val="-4"/>
          <w:sz w:val="19"/>
          <w:szCs w:val="19"/>
          <w:lang w:val="en-US"/>
        </w:rPr>
        <w:t>Decimal</w:t>
      </w:r>
      <w:r w:rsidR="006C680D" w:rsidRPr="00D337FA">
        <w:rPr>
          <w:color w:val="auto"/>
          <w:spacing w:val="-4"/>
          <w:sz w:val="19"/>
          <w:szCs w:val="19"/>
          <w:lang w:val="en-US"/>
        </w:rPr>
        <w:t xml:space="preserve"> </w:t>
      </w:r>
      <w:r w:rsidRPr="00D337FA">
        <w:rPr>
          <w:color w:val="auto"/>
          <w:spacing w:val="-4"/>
          <w:sz w:val="19"/>
          <w:szCs w:val="19"/>
          <w:lang w:val="en-US"/>
        </w:rPr>
        <w:t>Classification),</w:t>
      </w:r>
      <w:r w:rsidR="006C680D" w:rsidRPr="00D337FA">
        <w:rPr>
          <w:color w:val="auto"/>
          <w:spacing w:val="-4"/>
          <w:sz w:val="19"/>
          <w:szCs w:val="19"/>
          <w:lang w:val="en-US"/>
        </w:rPr>
        <w:t xml:space="preserve"> </w:t>
      </w:r>
      <w:r w:rsidRPr="00D337FA">
        <w:rPr>
          <w:color w:val="auto"/>
          <w:spacing w:val="-4"/>
          <w:sz w:val="19"/>
          <w:szCs w:val="19"/>
          <w:lang w:val="en-US"/>
        </w:rPr>
        <w:t>surname</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initials</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author(s)</w:t>
      </w:r>
      <w:r w:rsidR="006C680D" w:rsidRPr="00D337FA">
        <w:rPr>
          <w:color w:val="auto"/>
          <w:spacing w:val="-4"/>
          <w:sz w:val="19"/>
          <w:szCs w:val="19"/>
          <w:lang w:val="en-US"/>
        </w:rPr>
        <w:t xml:space="preserve"> </w:t>
      </w:r>
      <w:r w:rsidRPr="00D337FA">
        <w:rPr>
          <w:color w:val="auto"/>
          <w:spacing w:val="-4"/>
          <w:sz w:val="19"/>
          <w:szCs w:val="19"/>
          <w:lang w:val="en-US"/>
        </w:rPr>
        <w:t>indicating</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degree,</w:t>
      </w:r>
      <w:r w:rsidR="006C680D" w:rsidRPr="00D337FA">
        <w:rPr>
          <w:color w:val="auto"/>
          <w:spacing w:val="-4"/>
          <w:sz w:val="19"/>
          <w:szCs w:val="19"/>
          <w:lang w:val="en-US"/>
        </w:rPr>
        <w:t xml:space="preserve"> </w:t>
      </w:r>
      <w:r w:rsidRPr="00D337FA">
        <w:rPr>
          <w:color w:val="auto"/>
          <w:spacing w:val="-4"/>
          <w:sz w:val="19"/>
          <w:szCs w:val="19"/>
          <w:lang w:val="en-US"/>
        </w:rPr>
        <w:t>rank,</w:t>
      </w:r>
      <w:r w:rsidR="006C680D" w:rsidRPr="00D337FA">
        <w:rPr>
          <w:color w:val="auto"/>
          <w:spacing w:val="-4"/>
          <w:sz w:val="19"/>
          <w:szCs w:val="19"/>
          <w:lang w:val="en-US"/>
        </w:rPr>
        <w:t xml:space="preserve"> </w:t>
      </w:r>
      <w:r w:rsidRPr="00D337FA">
        <w:rPr>
          <w:color w:val="auto"/>
          <w:spacing w:val="-4"/>
          <w:sz w:val="19"/>
          <w:szCs w:val="19"/>
          <w:lang w:val="en-US"/>
        </w:rPr>
        <w:t>place</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work</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full),</w:t>
      </w:r>
      <w:r w:rsidR="006C680D" w:rsidRPr="00D337FA">
        <w:rPr>
          <w:color w:val="auto"/>
          <w:spacing w:val="-4"/>
          <w:sz w:val="19"/>
          <w:szCs w:val="19"/>
          <w:lang w:val="en-US"/>
        </w:rPr>
        <w:t xml:space="preserve"> </w:t>
      </w:r>
      <w:r w:rsidRPr="00D337FA">
        <w:rPr>
          <w:color w:val="auto"/>
          <w:spacing w:val="-4"/>
          <w:sz w:val="19"/>
          <w:szCs w:val="19"/>
          <w:lang w:val="en-US"/>
        </w:rPr>
        <w:t>email</w:t>
      </w:r>
      <w:r w:rsidR="006C680D" w:rsidRPr="00D337FA">
        <w:rPr>
          <w:color w:val="auto"/>
          <w:spacing w:val="-4"/>
          <w:sz w:val="19"/>
          <w:szCs w:val="19"/>
          <w:lang w:val="en-US"/>
        </w:rPr>
        <w:t xml:space="preserve"> </w:t>
      </w:r>
      <w:r w:rsidRPr="00D337FA">
        <w:rPr>
          <w:color w:val="auto"/>
          <w:spacing w:val="-4"/>
          <w:sz w:val="19"/>
          <w:szCs w:val="19"/>
          <w:lang w:val="en-US"/>
        </w:rPr>
        <w:t>address</w:t>
      </w:r>
      <w:r w:rsidR="006C680D" w:rsidRPr="00D337FA">
        <w:rPr>
          <w:color w:val="auto"/>
          <w:spacing w:val="-4"/>
          <w:sz w:val="19"/>
          <w:szCs w:val="19"/>
          <w:lang w:val="en-US"/>
        </w:rPr>
        <w:t xml:space="preserve"> </w:t>
      </w:r>
      <w:r w:rsidRPr="00D337FA">
        <w:rPr>
          <w:color w:val="auto"/>
          <w:spacing w:val="-4"/>
          <w:sz w:val="19"/>
          <w:szCs w:val="19"/>
          <w:lang w:val="en-US"/>
        </w:rPr>
        <w:t>(phone</w:t>
      </w:r>
      <w:r w:rsidR="006C680D" w:rsidRPr="00D337FA">
        <w:rPr>
          <w:color w:val="auto"/>
          <w:spacing w:val="-4"/>
          <w:sz w:val="19"/>
          <w:szCs w:val="19"/>
          <w:lang w:val="en-US"/>
        </w:rPr>
        <w:t xml:space="preserve"> </w:t>
      </w:r>
      <w:r w:rsidRPr="00D337FA">
        <w:rPr>
          <w:color w:val="auto"/>
          <w:spacing w:val="-4"/>
          <w:sz w:val="19"/>
          <w:szCs w:val="19"/>
          <w:lang w:val="en-US"/>
        </w:rPr>
        <w:t>number),</w:t>
      </w:r>
      <w:r w:rsidR="006C680D" w:rsidRPr="00D337FA">
        <w:rPr>
          <w:color w:val="auto"/>
          <w:spacing w:val="-4"/>
          <w:sz w:val="19"/>
          <w:szCs w:val="19"/>
          <w:lang w:val="en-US"/>
        </w:rPr>
        <w:t xml:space="preserve"> </w:t>
      </w:r>
      <w:r w:rsidRPr="00D337FA">
        <w:rPr>
          <w:color w:val="auto"/>
          <w:spacing w:val="-4"/>
          <w:sz w:val="19"/>
          <w:szCs w:val="19"/>
          <w:lang w:val="en-US"/>
        </w:rPr>
        <w:t>name</w:t>
      </w:r>
      <w:r w:rsidR="006C680D" w:rsidRPr="00D337FA">
        <w:rPr>
          <w:color w:val="auto"/>
          <w:spacing w:val="-4"/>
          <w:sz w:val="19"/>
          <w:szCs w:val="19"/>
          <w:lang w:val="en-US"/>
        </w:rPr>
        <w:t xml:space="preserve"> </w:t>
      </w:r>
      <w:r w:rsidRPr="00D337FA">
        <w:rPr>
          <w:color w:val="auto"/>
          <w:spacing w:val="-4"/>
          <w:sz w:val="19"/>
          <w:szCs w:val="19"/>
          <w:lang w:val="en-US"/>
        </w:rPr>
        <w:t>(bold,</w:t>
      </w:r>
      <w:r w:rsidR="006C680D" w:rsidRPr="00D337FA">
        <w:rPr>
          <w:color w:val="auto"/>
          <w:spacing w:val="-4"/>
          <w:sz w:val="19"/>
          <w:szCs w:val="19"/>
          <w:lang w:val="en-US"/>
        </w:rPr>
        <w:t xml:space="preserve"> </w:t>
      </w:r>
      <w:r w:rsidRPr="00D337FA">
        <w:rPr>
          <w:color w:val="auto"/>
          <w:spacing w:val="-4"/>
          <w:sz w:val="19"/>
          <w:szCs w:val="19"/>
          <w:lang w:val="en-US"/>
        </w:rPr>
        <w:t>italic),</w:t>
      </w:r>
      <w:r w:rsidR="006C680D" w:rsidRPr="00D337FA">
        <w:rPr>
          <w:color w:val="auto"/>
          <w:spacing w:val="-4"/>
          <w:sz w:val="19"/>
          <w:szCs w:val="19"/>
          <w:lang w:val="en-US"/>
        </w:rPr>
        <w:t xml:space="preserve"> </w:t>
      </w:r>
      <w:r w:rsidRPr="00D337FA">
        <w:rPr>
          <w:color w:val="auto"/>
          <w:spacing w:val="-4"/>
          <w:sz w:val="19"/>
          <w:szCs w:val="19"/>
          <w:lang w:val="en-US"/>
        </w:rPr>
        <w:t>abstract</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keywords,</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with</w:t>
      </w:r>
      <w:r w:rsidR="006C680D" w:rsidRPr="00D337FA">
        <w:rPr>
          <w:color w:val="auto"/>
          <w:spacing w:val="-4"/>
          <w:sz w:val="19"/>
          <w:szCs w:val="19"/>
          <w:lang w:val="en-US"/>
        </w:rPr>
        <w:t xml:space="preserve"> </w:t>
      </w:r>
      <w:r w:rsidRPr="00D337FA">
        <w:rPr>
          <w:color w:val="auto"/>
          <w:spacing w:val="-4"/>
          <w:sz w:val="19"/>
          <w:szCs w:val="19"/>
          <w:lang w:val="en-US"/>
        </w:rPr>
        <w:t>figures</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tables,</w:t>
      </w:r>
      <w:r w:rsidR="006C680D" w:rsidRPr="00D337FA">
        <w:rPr>
          <w:color w:val="auto"/>
          <w:spacing w:val="-4"/>
          <w:sz w:val="19"/>
          <w:szCs w:val="19"/>
          <w:lang w:val="en-US"/>
        </w:rPr>
        <w:t xml:space="preserve"> </w:t>
      </w:r>
      <w:r w:rsidRPr="00D337FA">
        <w:rPr>
          <w:color w:val="auto"/>
          <w:spacing w:val="-4"/>
          <w:sz w:val="19"/>
          <w:szCs w:val="19"/>
          <w:lang w:val="en-US"/>
        </w:rPr>
        <w:t>references.</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authors,</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title,</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abstract,</w:t>
      </w:r>
      <w:r w:rsidR="006C680D" w:rsidRPr="00D337FA">
        <w:rPr>
          <w:color w:val="auto"/>
          <w:spacing w:val="-4"/>
          <w:sz w:val="19"/>
          <w:szCs w:val="19"/>
          <w:lang w:val="en-US"/>
        </w:rPr>
        <w:t xml:space="preserve"> </w:t>
      </w:r>
      <w:r w:rsidRPr="00D337FA">
        <w:rPr>
          <w:color w:val="auto"/>
          <w:spacing w:val="-4"/>
          <w:sz w:val="19"/>
          <w:szCs w:val="19"/>
          <w:lang w:val="en-US"/>
        </w:rPr>
        <w:t>keywords,</w:t>
      </w:r>
      <w:r w:rsidR="006C680D" w:rsidRPr="00D337FA">
        <w:rPr>
          <w:color w:val="auto"/>
          <w:spacing w:val="-4"/>
          <w:sz w:val="19"/>
          <w:szCs w:val="19"/>
          <w:lang w:val="en-US"/>
        </w:rPr>
        <w:t xml:space="preserve"> </w:t>
      </w:r>
      <w:r w:rsidRPr="00D337FA">
        <w:rPr>
          <w:color w:val="auto"/>
          <w:spacing w:val="-4"/>
          <w:sz w:val="19"/>
          <w:szCs w:val="19"/>
          <w:lang w:val="en-US"/>
        </w:rPr>
        <w:t>references</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given</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Russian</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English</w:t>
      </w:r>
      <w:r w:rsidR="006C680D" w:rsidRPr="00D337FA">
        <w:rPr>
          <w:color w:val="auto"/>
          <w:spacing w:val="-4"/>
          <w:sz w:val="19"/>
          <w:szCs w:val="19"/>
          <w:lang w:val="en-US"/>
        </w:rPr>
        <w:t xml:space="preserve"> </w:t>
      </w:r>
      <w:r w:rsidRPr="00D337FA">
        <w:rPr>
          <w:color w:val="auto"/>
          <w:spacing w:val="-4"/>
          <w:sz w:val="19"/>
          <w:szCs w:val="19"/>
          <w:lang w:val="en-US"/>
        </w:rPr>
        <w:t>languages.</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3.</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it</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not</w:t>
      </w:r>
      <w:r w:rsidR="006C680D" w:rsidRPr="00D337FA">
        <w:rPr>
          <w:color w:val="auto"/>
          <w:spacing w:val="-4"/>
          <w:sz w:val="19"/>
          <w:szCs w:val="19"/>
          <w:lang w:val="en-US"/>
        </w:rPr>
        <w:t xml:space="preserve"> </w:t>
      </w:r>
      <w:r w:rsidRPr="00D337FA">
        <w:rPr>
          <w:color w:val="auto"/>
          <w:spacing w:val="-4"/>
          <w:sz w:val="19"/>
          <w:szCs w:val="19"/>
          <w:lang w:val="en-US"/>
        </w:rPr>
        <w:t>allowed</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use</w:t>
      </w:r>
      <w:r w:rsidR="006C680D" w:rsidRPr="00D337FA">
        <w:rPr>
          <w:color w:val="auto"/>
          <w:spacing w:val="-4"/>
          <w:sz w:val="19"/>
          <w:szCs w:val="19"/>
          <w:lang w:val="en-US"/>
        </w:rPr>
        <w:t xml:space="preserve"> </w:t>
      </w:r>
      <w:r w:rsidRPr="00D337FA">
        <w:rPr>
          <w:color w:val="auto"/>
          <w:spacing w:val="-4"/>
          <w:sz w:val="19"/>
          <w:szCs w:val="19"/>
          <w:lang w:val="en-US"/>
        </w:rPr>
        <w:t>styles,</w:t>
      </w:r>
      <w:r w:rsidR="006C680D" w:rsidRPr="00D337FA">
        <w:rPr>
          <w:color w:val="auto"/>
          <w:spacing w:val="-4"/>
          <w:sz w:val="19"/>
          <w:szCs w:val="19"/>
          <w:lang w:val="en-US"/>
        </w:rPr>
        <w:t xml:space="preserve"> </w:t>
      </w:r>
      <w:r w:rsidRPr="00D337FA">
        <w:rPr>
          <w:color w:val="auto"/>
          <w:spacing w:val="-4"/>
          <w:sz w:val="19"/>
          <w:szCs w:val="19"/>
          <w:lang w:val="en-US"/>
        </w:rPr>
        <w:t>as</w:t>
      </w:r>
      <w:r w:rsidR="006C680D" w:rsidRPr="00D337FA">
        <w:rPr>
          <w:color w:val="auto"/>
          <w:spacing w:val="-4"/>
          <w:sz w:val="19"/>
          <w:szCs w:val="19"/>
          <w:lang w:val="en-US"/>
        </w:rPr>
        <w:t xml:space="preserve"> </w:t>
      </w:r>
      <w:r w:rsidRPr="00D337FA">
        <w:rPr>
          <w:color w:val="auto"/>
          <w:spacing w:val="-4"/>
          <w:sz w:val="19"/>
          <w:szCs w:val="19"/>
          <w:lang w:val="en-US"/>
        </w:rPr>
        <w:t>well</w:t>
      </w:r>
      <w:r w:rsidR="006C680D" w:rsidRPr="00D337FA">
        <w:rPr>
          <w:color w:val="auto"/>
          <w:spacing w:val="-4"/>
          <w:sz w:val="19"/>
          <w:szCs w:val="19"/>
          <w:lang w:val="en-US"/>
        </w:rPr>
        <w:t xml:space="preserve"> </w:t>
      </w:r>
      <w:r w:rsidRPr="00D337FA">
        <w:rPr>
          <w:color w:val="auto"/>
          <w:spacing w:val="-4"/>
          <w:sz w:val="19"/>
          <w:szCs w:val="19"/>
          <w:lang w:val="en-US"/>
        </w:rPr>
        <w:t>as</w:t>
      </w:r>
      <w:r w:rsidR="006C680D" w:rsidRPr="00D337FA">
        <w:rPr>
          <w:color w:val="auto"/>
          <w:spacing w:val="-4"/>
          <w:sz w:val="19"/>
          <w:szCs w:val="19"/>
          <w:lang w:val="en-US"/>
        </w:rPr>
        <w:t xml:space="preserve"> </w:t>
      </w:r>
      <w:r w:rsidRPr="00D337FA">
        <w:rPr>
          <w:color w:val="auto"/>
          <w:spacing w:val="-4"/>
          <w:sz w:val="19"/>
          <w:szCs w:val="19"/>
          <w:lang w:val="en-US"/>
        </w:rPr>
        <w:t>modify</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template</w:t>
      </w:r>
      <w:r w:rsidR="006C680D" w:rsidRPr="00D337FA">
        <w:rPr>
          <w:color w:val="auto"/>
          <w:spacing w:val="-4"/>
          <w:sz w:val="19"/>
          <w:szCs w:val="19"/>
          <w:lang w:val="en-US"/>
        </w:rPr>
        <w:t xml:space="preserve"> </w:t>
      </w:r>
      <w:r w:rsidRPr="00D337FA">
        <w:rPr>
          <w:color w:val="auto"/>
          <w:spacing w:val="-4"/>
          <w:sz w:val="19"/>
          <w:szCs w:val="19"/>
          <w:lang w:val="en-US"/>
        </w:rPr>
        <w:t>or</w:t>
      </w:r>
      <w:r w:rsidR="006C680D" w:rsidRPr="00D337FA">
        <w:rPr>
          <w:color w:val="auto"/>
          <w:spacing w:val="-4"/>
          <w:sz w:val="19"/>
          <w:szCs w:val="19"/>
          <w:lang w:val="en-US"/>
        </w:rPr>
        <w:t xml:space="preserve"> </w:t>
      </w:r>
      <w:r w:rsidRPr="00D337FA">
        <w:rPr>
          <w:color w:val="auto"/>
          <w:spacing w:val="-4"/>
          <w:sz w:val="19"/>
          <w:szCs w:val="19"/>
          <w:lang w:val="en-US"/>
        </w:rPr>
        <w:t>create</w:t>
      </w:r>
      <w:r w:rsidR="006C680D" w:rsidRPr="00D337FA">
        <w:rPr>
          <w:color w:val="auto"/>
          <w:spacing w:val="-4"/>
          <w:sz w:val="19"/>
          <w:szCs w:val="19"/>
          <w:lang w:val="en-US"/>
        </w:rPr>
        <w:t xml:space="preserve"> </w:t>
      </w:r>
      <w:r w:rsidRPr="00D337FA">
        <w:rPr>
          <w:color w:val="auto"/>
          <w:spacing w:val="-4"/>
          <w:sz w:val="19"/>
          <w:szCs w:val="19"/>
          <w:lang w:val="en-US"/>
        </w:rPr>
        <w:t>your</w:t>
      </w:r>
      <w:r w:rsidR="006C680D" w:rsidRPr="00D337FA">
        <w:rPr>
          <w:color w:val="auto"/>
          <w:spacing w:val="-4"/>
          <w:sz w:val="19"/>
          <w:szCs w:val="19"/>
          <w:lang w:val="en-US"/>
        </w:rPr>
        <w:t xml:space="preserve"> </w:t>
      </w:r>
      <w:r w:rsidRPr="00D337FA">
        <w:rPr>
          <w:color w:val="auto"/>
          <w:spacing w:val="-4"/>
          <w:sz w:val="19"/>
          <w:szCs w:val="19"/>
          <w:lang w:val="en-US"/>
        </w:rPr>
        <w:t>own</w:t>
      </w:r>
      <w:r w:rsidR="006C680D" w:rsidRPr="00D337FA">
        <w:rPr>
          <w:color w:val="auto"/>
          <w:spacing w:val="-4"/>
          <w:sz w:val="19"/>
          <w:szCs w:val="19"/>
          <w:lang w:val="en-US"/>
        </w:rPr>
        <w:t xml:space="preserve"> </w:t>
      </w:r>
      <w:r w:rsidRPr="00D337FA">
        <w:rPr>
          <w:color w:val="auto"/>
          <w:spacing w:val="-4"/>
          <w:sz w:val="19"/>
          <w:szCs w:val="19"/>
          <w:lang w:val="en-US"/>
        </w:rPr>
        <w:t>template.</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words</w:t>
      </w:r>
      <w:r w:rsidR="006C680D" w:rsidRPr="00D337FA">
        <w:rPr>
          <w:color w:val="auto"/>
          <w:spacing w:val="-4"/>
          <w:sz w:val="19"/>
          <w:szCs w:val="19"/>
          <w:lang w:val="en-US"/>
        </w:rPr>
        <w:t xml:space="preserve"> </w:t>
      </w:r>
      <w:r w:rsidRPr="00D337FA">
        <w:rPr>
          <w:color w:val="auto"/>
          <w:spacing w:val="-4"/>
          <w:sz w:val="19"/>
          <w:szCs w:val="19"/>
          <w:lang w:val="en-US"/>
        </w:rPr>
        <w:t>within</w:t>
      </w:r>
      <w:r w:rsidR="006C680D" w:rsidRPr="00D337FA">
        <w:rPr>
          <w:color w:val="auto"/>
          <w:spacing w:val="-4"/>
          <w:sz w:val="19"/>
          <w:szCs w:val="19"/>
          <w:lang w:val="en-US"/>
        </w:rPr>
        <w:t xml:space="preserve"> </w:t>
      </w:r>
      <w:r w:rsidRPr="00D337FA">
        <w:rPr>
          <w:color w:val="auto"/>
          <w:spacing w:val="-4"/>
          <w:sz w:val="19"/>
          <w:szCs w:val="19"/>
          <w:lang w:val="en-US"/>
        </w:rPr>
        <w:t>a</w:t>
      </w:r>
      <w:r w:rsidR="006C680D" w:rsidRPr="00D337FA">
        <w:rPr>
          <w:color w:val="auto"/>
          <w:spacing w:val="-4"/>
          <w:sz w:val="19"/>
          <w:szCs w:val="19"/>
          <w:lang w:val="en-US"/>
        </w:rPr>
        <w:t xml:space="preserve"> </w:t>
      </w:r>
      <w:r w:rsidRPr="00D337FA">
        <w:rPr>
          <w:color w:val="auto"/>
          <w:spacing w:val="-4"/>
          <w:sz w:val="19"/>
          <w:szCs w:val="19"/>
          <w:lang w:val="en-US"/>
        </w:rPr>
        <w:t>paragraph</w:t>
      </w:r>
      <w:r w:rsidR="006C680D" w:rsidRPr="00D337FA">
        <w:rPr>
          <w:color w:val="auto"/>
          <w:spacing w:val="-4"/>
          <w:sz w:val="19"/>
          <w:szCs w:val="19"/>
          <w:lang w:val="en-US"/>
        </w:rPr>
        <w:t xml:space="preserve"> </w:t>
      </w:r>
      <w:r w:rsidRPr="00D337FA">
        <w:rPr>
          <w:color w:val="auto"/>
          <w:spacing w:val="-4"/>
          <w:sz w:val="19"/>
          <w:szCs w:val="19"/>
          <w:lang w:val="en-US"/>
        </w:rPr>
        <w:t>should</w:t>
      </w:r>
      <w:r w:rsidR="006C680D" w:rsidRPr="00D337FA">
        <w:rPr>
          <w:color w:val="auto"/>
          <w:spacing w:val="-4"/>
          <w:sz w:val="19"/>
          <w:szCs w:val="19"/>
          <w:lang w:val="en-US"/>
        </w:rPr>
        <w:t xml:space="preserve"> </w:t>
      </w:r>
      <w:r w:rsidRPr="00D337FA">
        <w:rPr>
          <w:color w:val="auto"/>
          <w:spacing w:val="-4"/>
          <w:sz w:val="19"/>
          <w:szCs w:val="19"/>
          <w:lang w:val="en-US"/>
        </w:rPr>
        <w:t>be</w:t>
      </w:r>
      <w:r w:rsidR="006C680D" w:rsidRPr="00D337FA">
        <w:rPr>
          <w:color w:val="auto"/>
          <w:spacing w:val="-4"/>
          <w:sz w:val="19"/>
          <w:szCs w:val="19"/>
          <w:lang w:val="en-US"/>
        </w:rPr>
        <w:t xml:space="preserve"> </w:t>
      </w:r>
      <w:r w:rsidRPr="00D337FA">
        <w:rPr>
          <w:color w:val="auto"/>
          <w:spacing w:val="-4"/>
          <w:sz w:val="19"/>
          <w:szCs w:val="19"/>
          <w:lang w:val="en-US"/>
        </w:rPr>
        <w:t>separated</w:t>
      </w:r>
      <w:r w:rsidR="006C680D" w:rsidRPr="00D337FA">
        <w:rPr>
          <w:color w:val="auto"/>
          <w:spacing w:val="-4"/>
          <w:sz w:val="19"/>
          <w:szCs w:val="19"/>
          <w:lang w:val="en-US"/>
        </w:rPr>
        <w:t xml:space="preserve"> </w:t>
      </w:r>
      <w:r w:rsidRPr="00D337FA">
        <w:rPr>
          <w:color w:val="auto"/>
          <w:spacing w:val="-4"/>
          <w:sz w:val="19"/>
          <w:szCs w:val="19"/>
          <w:lang w:val="en-US"/>
        </w:rPr>
        <w:t>by</w:t>
      </w:r>
      <w:r w:rsidR="006C680D" w:rsidRPr="00D337FA">
        <w:rPr>
          <w:color w:val="auto"/>
          <w:spacing w:val="-4"/>
          <w:sz w:val="19"/>
          <w:szCs w:val="19"/>
          <w:lang w:val="en-US"/>
        </w:rPr>
        <w:t xml:space="preserve"> </w:t>
      </w:r>
      <w:r w:rsidRPr="00D337FA">
        <w:rPr>
          <w:color w:val="auto"/>
          <w:spacing w:val="-4"/>
          <w:sz w:val="19"/>
          <w:szCs w:val="19"/>
          <w:lang w:val="en-US"/>
        </w:rPr>
        <w:t>a</w:t>
      </w:r>
      <w:r w:rsidR="006C680D" w:rsidRPr="00D337FA">
        <w:rPr>
          <w:color w:val="auto"/>
          <w:spacing w:val="-4"/>
          <w:sz w:val="19"/>
          <w:szCs w:val="19"/>
          <w:lang w:val="en-US"/>
        </w:rPr>
        <w:t xml:space="preserve"> </w:t>
      </w:r>
      <w:r w:rsidRPr="00D337FA">
        <w:rPr>
          <w:color w:val="auto"/>
          <w:spacing w:val="-4"/>
          <w:sz w:val="19"/>
          <w:szCs w:val="19"/>
          <w:lang w:val="en-US"/>
        </w:rPr>
        <w:t>single</w:t>
      </w:r>
      <w:r w:rsidR="006C680D" w:rsidRPr="00D337FA">
        <w:rPr>
          <w:color w:val="auto"/>
          <w:spacing w:val="-4"/>
          <w:sz w:val="19"/>
          <w:szCs w:val="19"/>
          <w:lang w:val="en-US"/>
        </w:rPr>
        <w:t xml:space="preserve"> </w:t>
      </w:r>
      <w:r w:rsidRPr="00D337FA">
        <w:rPr>
          <w:color w:val="auto"/>
          <w:spacing w:val="-4"/>
          <w:sz w:val="19"/>
          <w:szCs w:val="19"/>
          <w:lang w:val="en-US"/>
        </w:rPr>
        <w:t>space;</w:t>
      </w:r>
      <w:r w:rsidR="006C680D" w:rsidRPr="00D337FA">
        <w:rPr>
          <w:color w:val="auto"/>
          <w:spacing w:val="-4"/>
          <w:sz w:val="19"/>
          <w:szCs w:val="19"/>
          <w:lang w:val="en-US"/>
        </w:rPr>
        <w:t xml:space="preserve"> </w:t>
      </w:r>
      <w:r w:rsidRPr="00D337FA">
        <w:rPr>
          <w:color w:val="auto"/>
          <w:spacing w:val="-4"/>
          <w:sz w:val="19"/>
          <w:szCs w:val="19"/>
          <w:lang w:val="en-US"/>
        </w:rPr>
        <w:t>typing</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without</w:t>
      </w:r>
      <w:r w:rsidR="006C680D" w:rsidRPr="00D337FA">
        <w:rPr>
          <w:color w:val="auto"/>
          <w:spacing w:val="-4"/>
          <w:sz w:val="19"/>
          <w:szCs w:val="19"/>
          <w:lang w:val="en-US"/>
        </w:rPr>
        <w:t xml:space="preserve"> </w:t>
      </w:r>
      <w:r w:rsidRPr="00D337FA">
        <w:rPr>
          <w:color w:val="auto"/>
          <w:spacing w:val="-4"/>
          <w:sz w:val="19"/>
          <w:szCs w:val="19"/>
          <w:lang w:val="en-US"/>
        </w:rPr>
        <w:t>forced</w:t>
      </w:r>
      <w:r w:rsidR="006C680D" w:rsidRPr="00D337FA">
        <w:rPr>
          <w:color w:val="auto"/>
          <w:spacing w:val="-4"/>
          <w:sz w:val="19"/>
          <w:szCs w:val="19"/>
          <w:lang w:val="en-US"/>
        </w:rPr>
        <w:t xml:space="preserve"> </w:t>
      </w:r>
      <w:r w:rsidRPr="00D337FA">
        <w:rPr>
          <w:color w:val="auto"/>
          <w:spacing w:val="-4"/>
          <w:sz w:val="19"/>
          <w:szCs w:val="19"/>
          <w:lang w:val="en-US"/>
        </w:rPr>
        <w:t>hyphenation;</w:t>
      </w:r>
      <w:r w:rsidR="006C680D" w:rsidRPr="00D337FA">
        <w:rPr>
          <w:color w:val="auto"/>
          <w:spacing w:val="-4"/>
          <w:sz w:val="19"/>
          <w:szCs w:val="19"/>
          <w:lang w:val="en-US"/>
        </w:rPr>
        <w:t xml:space="preserve"> </w:t>
      </w:r>
      <w:r w:rsidRPr="00D337FA">
        <w:rPr>
          <w:color w:val="auto"/>
          <w:spacing w:val="-4"/>
          <w:sz w:val="19"/>
          <w:szCs w:val="19"/>
          <w:lang w:val="en-US"/>
        </w:rPr>
        <w:t>discharge</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words</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not</w:t>
      </w:r>
      <w:r w:rsidR="006C680D" w:rsidRPr="00D337FA">
        <w:rPr>
          <w:color w:val="auto"/>
          <w:spacing w:val="-4"/>
          <w:sz w:val="19"/>
          <w:szCs w:val="19"/>
          <w:lang w:val="en-US"/>
        </w:rPr>
        <w:t xml:space="preserve"> </w:t>
      </w:r>
      <w:r w:rsidRPr="00D337FA">
        <w:rPr>
          <w:color w:val="auto"/>
          <w:spacing w:val="-4"/>
          <w:sz w:val="19"/>
          <w:szCs w:val="19"/>
          <w:lang w:val="en-US"/>
        </w:rPr>
        <w:t>allowed.</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4.</w:t>
      </w:r>
      <w:r w:rsidR="006C680D" w:rsidRPr="00D337FA">
        <w:rPr>
          <w:color w:val="auto"/>
          <w:spacing w:val="-4"/>
          <w:sz w:val="19"/>
          <w:szCs w:val="19"/>
          <w:lang w:val="en-US"/>
        </w:rPr>
        <w:t xml:space="preserve"> </w:t>
      </w:r>
      <w:r w:rsidRPr="00D337FA">
        <w:rPr>
          <w:color w:val="auto"/>
          <w:spacing w:val="-4"/>
          <w:sz w:val="19"/>
          <w:szCs w:val="19"/>
          <w:lang w:val="en-US"/>
        </w:rPr>
        <w:t>For</w:t>
      </w:r>
      <w:r w:rsidR="006C680D" w:rsidRPr="00D337FA">
        <w:rPr>
          <w:color w:val="auto"/>
          <w:spacing w:val="-4"/>
          <w:sz w:val="19"/>
          <w:szCs w:val="19"/>
          <w:lang w:val="en-US"/>
        </w:rPr>
        <w:t xml:space="preserve"> </w:t>
      </w:r>
      <w:r w:rsidRPr="00D337FA">
        <w:rPr>
          <w:color w:val="auto"/>
          <w:spacing w:val="-4"/>
          <w:sz w:val="19"/>
          <w:szCs w:val="19"/>
          <w:lang w:val="en-US"/>
        </w:rPr>
        <w:t>typing</w:t>
      </w:r>
      <w:r w:rsidR="006C680D" w:rsidRPr="00D337FA">
        <w:rPr>
          <w:color w:val="auto"/>
          <w:spacing w:val="-4"/>
          <w:sz w:val="19"/>
          <w:szCs w:val="19"/>
          <w:lang w:val="en-US"/>
        </w:rPr>
        <w:t xml:space="preserve"> </w:t>
      </w:r>
      <w:r w:rsidRPr="00D337FA">
        <w:rPr>
          <w:color w:val="auto"/>
          <w:spacing w:val="-4"/>
          <w:sz w:val="19"/>
          <w:szCs w:val="19"/>
          <w:lang w:val="en-US"/>
        </w:rPr>
        <w:t>formulas</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variables</w:t>
      </w:r>
      <w:r w:rsidR="006C680D" w:rsidRPr="00D337FA">
        <w:rPr>
          <w:color w:val="auto"/>
          <w:spacing w:val="-4"/>
          <w:sz w:val="19"/>
          <w:szCs w:val="19"/>
          <w:lang w:val="en-US"/>
        </w:rPr>
        <w:t xml:space="preserve"> </w:t>
      </w:r>
      <w:r w:rsidRPr="00D337FA">
        <w:rPr>
          <w:color w:val="auto"/>
          <w:spacing w:val="-4"/>
          <w:sz w:val="19"/>
          <w:szCs w:val="19"/>
          <w:lang w:val="en-US"/>
        </w:rPr>
        <w:t>use</w:t>
      </w:r>
      <w:r w:rsidR="006C680D" w:rsidRPr="00D337FA">
        <w:rPr>
          <w:color w:val="auto"/>
          <w:spacing w:val="-4"/>
          <w:sz w:val="19"/>
          <w:szCs w:val="19"/>
          <w:lang w:val="en-US"/>
        </w:rPr>
        <w:t xml:space="preserve"> </w:t>
      </w:r>
      <w:r w:rsidRPr="00D337FA">
        <w:rPr>
          <w:color w:val="auto"/>
          <w:spacing w:val="-4"/>
          <w:sz w:val="19"/>
          <w:szCs w:val="19"/>
          <w:lang w:val="en-US"/>
        </w:rPr>
        <w:t>MathType</w:t>
      </w:r>
      <w:r w:rsidR="006C680D" w:rsidRPr="00D337FA">
        <w:rPr>
          <w:color w:val="auto"/>
          <w:spacing w:val="-4"/>
          <w:sz w:val="19"/>
          <w:szCs w:val="19"/>
          <w:lang w:val="en-US"/>
        </w:rPr>
        <w:t xml:space="preserve"> </w:t>
      </w:r>
      <w:r w:rsidRPr="00D337FA">
        <w:rPr>
          <w:color w:val="auto"/>
          <w:spacing w:val="-4"/>
          <w:sz w:val="19"/>
          <w:szCs w:val="19"/>
          <w:lang w:val="en-US"/>
        </w:rPr>
        <w:t>Equation</w:t>
      </w:r>
      <w:r w:rsidR="006C680D" w:rsidRPr="00D337FA">
        <w:rPr>
          <w:color w:val="auto"/>
          <w:spacing w:val="-4"/>
          <w:sz w:val="19"/>
          <w:szCs w:val="19"/>
          <w:lang w:val="en-US"/>
        </w:rPr>
        <w:t xml:space="preserve"> </w:t>
      </w:r>
      <w:r w:rsidRPr="00D337FA">
        <w:rPr>
          <w:color w:val="auto"/>
          <w:spacing w:val="-4"/>
          <w:sz w:val="19"/>
          <w:szCs w:val="19"/>
          <w:lang w:val="en-US"/>
        </w:rPr>
        <w:t>Editor</w:t>
      </w:r>
      <w:r w:rsidR="006C680D" w:rsidRPr="00D337FA">
        <w:rPr>
          <w:color w:val="auto"/>
          <w:spacing w:val="-4"/>
          <w:sz w:val="19"/>
          <w:szCs w:val="19"/>
          <w:lang w:val="en-US"/>
        </w:rPr>
        <w:t xml:space="preserve"> </w:t>
      </w:r>
      <w:r w:rsidRPr="00D337FA">
        <w:rPr>
          <w:color w:val="auto"/>
          <w:spacing w:val="-4"/>
          <w:sz w:val="19"/>
          <w:szCs w:val="19"/>
          <w:lang w:val="en-US"/>
        </w:rPr>
        <w:t>version</w:t>
      </w:r>
      <w:r w:rsidR="006C680D" w:rsidRPr="00D337FA">
        <w:rPr>
          <w:color w:val="auto"/>
          <w:spacing w:val="-4"/>
          <w:sz w:val="19"/>
          <w:szCs w:val="19"/>
          <w:lang w:val="en-US"/>
        </w:rPr>
        <w:t xml:space="preserve"> </w:t>
      </w:r>
      <w:r w:rsidRPr="00D337FA">
        <w:rPr>
          <w:color w:val="auto"/>
          <w:spacing w:val="-4"/>
          <w:sz w:val="19"/>
          <w:szCs w:val="19"/>
          <w:lang w:val="en-US"/>
        </w:rPr>
        <w:t>5.2</w:t>
      </w:r>
      <w:r w:rsidR="006C680D" w:rsidRPr="00D337FA">
        <w:rPr>
          <w:color w:val="auto"/>
          <w:spacing w:val="-4"/>
          <w:sz w:val="19"/>
          <w:szCs w:val="19"/>
          <w:lang w:val="en-US"/>
        </w:rPr>
        <w:t xml:space="preserve"> </w:t>
      </w:r>
      <w:r w:rsidRPr="00D337FA">
        <w:rPr>
          <w:color w:val="auto"/>
          <w:spacing w:val="-4"/>
          <w:sz w:val="19"/>
          <w:szCs w:val="19"/>
          <w:lang w:val="en-US"/>
        </w:rPr>
        <w:t>at</w:t>
      </w:r>
      <w:r w:rsidR="006C680D" w:rsidRPr="00D337FA">
        <w:rPr>
          <w:color w:val="auto"/>
          <w:spacing w:val="-4"/>
          <w:sz w:val="19"/>
          <w:szCs w:val="19"/>
          <w:lang w:val="en-US"/>
        </w:rPr>
        <w:t xml:space="preserve"> </w:t>
      </w:r>
      <w:r w:rsidRPr="00D337FA">
        <w:rPr>
          <w:color w:val="auto"/>
          <w:spacing w:val="-4"/>
          <w:sz w:val="19"/>
          <w:szCs w:val="19"/>
          <w:lang w:val="en-US"/>
        </w:rPr>
        <w:t>least</w:t>
      </w:r>
      <w:r w:rsidR="006C680D" w:rsidRPr="00D337FA">
        <w:rPr>
          <w:color w:val="auto"/>
          <w:spacing w:val="-4"/>
          <w:sz w:val="19"/>
          <w:szCs w:val="19"/>
          <w:lang w:val="en-US"/>
        </w:rPr>
        <w:t xml:space="preserve"> </w:t>
      </w:r>
      <w:r w:rsidRPr="00D337FA">
        <w:rPr>
          <w:color w:val="auto"/>
          <w:spacing w:val="-4"/>
          <w:sz w:val="19"/>
          <w:szCs w:val="19"/>
          <w:lang w:val="en-US"/>
        </w:rPr>
        <w:t>with</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sizes:</w:t>
      </w:r>
      <w:r w:rsidR="006C680D" w:rsidRPr="00D337FA">
        <w:rPr>
          <w:color w:val="auto"/>
          <w:spacing w:val="-4"/>
          <w:sz w:val="19"/>
          <w:szCs w:val="19"/>
          <w:lang w:val="en-US"/>
        </w:rPr>
        <w:t xml:space="preserve"> </w:t>
      </w:r>
      <w:r w:rsidRPr="00D337FA">
        <w:rPr>
          <w:color w:val="auto"/>
          <w:spacing w:val="-4"/>
          <w:sz w:val="19"/>
          <w:szCs w:val="19"/>
          <w:lang w:val="en-US"/>
        </w:rPr>
        <w:t>normal</w:t>
      </w:r>
      <w:r w:rsidR="006C680D" w:rsidRPr="00D337FA">
        <w:rPr>
          <w:color w:val="auto"/>
          <w:spacing w:val="-4"/>
          <w:sz w:val="19"/>
          <w:szCs w:val="19"/>
          <w:lang w:val="en-US"/>
        </w:rPr>
        <w:t xml:space="preserve"> </w:t>
      </w:r>
      <w:r w:rsidRPr="00D337FA">
        <w:rPr>
          <w:color w:val="auto"/>
          <w:spacing w:val="-4"/>
          <w:sz w:val="19"/>
          <w:szCs w:val="19"/>
          <w:lang w:val="en-US"/>
        </w:rPr>
        <w:t>–</w:t>
      </w:r>
      <w:r w:rsidR="006C680D" w:rsidRPr="00D337FA">
        <w:rPr>
          <w:color w:val="auto"/>
          <w:spacing w:val="-4"/>
          <w:sz w:val="19"/>
          <w:szCs w:val="19"/>
          <w:lang w:val="en-US"/>
        </w:rPr>
        <w:t xml:space="preserve"> </w:t>
      </w:r>
      <w:r w:rsidRPr="00D337FA">
        <w:rPr>
          <w:color w:val="auto"/>
          <w:spacing w:val="-4"/>
          <w:sz w:val="19"/>
          <w:szCs w:val="19"/>
          <w:lang w:val="en-US"/>
        </w:rPr>
        <w:t>12</w:t>
      </w:r>
      <w:r w:rsidR="006C680D" w:rsidRPr="00D337FA">
        <w:rPr>
          <w:color w:val="auto"/>
          <w:spacing w:val="-4"/>
          <w:sz w:val="19"/>
          <w:szCs w:val="19"/>
          <w:lang w:val="en-US"/>
        </w:rPr>
        <w:t xml:space="preserve"> </w:t>
      </w:r>
      <w:r w:rsidRPr="00D337FA">
        <w:rPr>
          <w:color w:val="auto"/>
          <w:spacing w:val="-4"/>
          <w:sz w:val="19"/>
          <w:szCs w:val="19"/>
          <w:lang w:val="en-US"/>
        </w:rPr>
        <w:t>pt;</w:t>
      </w:r>
      <w:r w:rsidR="006C680D" w:rsidRPr="00D337FA">
        <w:rPr>
          <w:color w:val="auto"/>
          <w:spacing w:val="-4"/>
          <w:sz w:val="19"/>
          <w:szCs w:val="19"/>
          <w:lang w:val="en-US"/>
        </w:rPr>
        <w:t xml:space="preserve"> </w:t>
      </w:r>
      <w:r w:rsidRPr="00D337FA">
        <w:rPr>
          <w:color w:val="auto"/>
          <w:spacing w:val="-4"/>
          <w:sz w:val="19"/>
          <w:szCs w:val="19"/>
          <w:lang w:val="en-US"/>
        </w:rPr>
        <w:t>major</w:t>
      </w:r>
      <w:r w:rsidR="006C680D" w:rsidRPr="00D337FA">
        <w:rPr>
          <w:color w:val="auto"/>
          <w:spacing w:val="-4"/>
          <w:sz w:val="19"/>
          <w:szCs w:val="19"/>
          <w:lang w:val="en-US"/>
        </w:rPr>
        <w:t xml:space="preserve"> </w:t>
      </w:r>
      <w:r w:rsidRPr="00D337FA">
        <w:rPr>
          <w:color w:val="auto"/>
          <w:spacing w:val="-4"/>
          <w:sz w:val="19"/>
          <w:szCs w:val="19"/>
          <w:lang w:val="en-US"/>
        </w:rPr>
        <w:t>index</w:t>
      </w:r>
      <w:r w:rsidR="006C680D" w:rsidRPr="00D337FA">
        <w:rPr>
          <w:color w:val="auto"/>
          <w:spacing w:val="-4"/>
          <w:sz w:val="19"/>
          <w:szCs w:val="19"/>
          <w:lang w:val="en-US"/>
        </w:rPr>
        <w:t xml:space="preserve"> </w:t>
      </w:r>
      <w:r w:rsidRPr="00D337FA">
        <w:rPr>
          <w:color w:val="auto"/>
          <w:spacing w:val="-4"/>
          <w:sz w:val="19"/>
          <w:szCs w:val="19"/>
          <w:lang w:val="en-US"/>
        </w:rPr>
        <w:t>–</w:t>
      </w:r>
      <w:r w:rsidR="006C680D" w:rsidRPr="00D337FA">
        <w:rPr>
          <w:color w:val="auto"/>
          <w:spacing w:val="-4"/>
          <w:sz w:val="19"/>
          <w:szCs w:val="19"/>
          <w:lang w:val="en-US"/>
        </w:rPr>
        <w:t xml:space="preserve"> </w:t>
      </w:r>
      <w:r w:rsidRPr="00D337FA">
        <w:rPr>
          <w:color w:val="auto"/>
          <w:spacing w:val="-4"/>
          <w:sz w:val="19"/>
          <w:szCs w:val="19"/>
          <w:lang w:val="en-US"/>
        </w:rPr>
        <w:t>7</w:t>
      </w:r>
      <w:r w:rsidR="006C680D" w:rsidRPr="00D337FA">
        <w:rPr>
          <w:color w:val="auto"/>
          <w:spacing w:val="-4"/>
          <w:sz w:val="19"/>
          <w:szCs w:val="19"/>
          <w:lang w:val="en-US"/>
        </w:rPr>
        <w:t xml:space="preserve"> </w:t>
      </w:r>
      <w:r w:rsidRPr="00D337FA">
        <w:rPr>
          <w:color w:val="auto"/>
          <w:spacing w:val="-4"/>
          <w:sz w:val="19"/>
          <w:szCs w:val="19"/>
          <w:lang w:val="en-US"/>
        </w:rPr>
        <w:t>pt,</w:t>
      </w:r>
      <w:r w:rsidR="006C680D" w:rsidRPr="00D337FA">
        <w:rPr>
          <w:color w:val="auto"/>
          <w:spacing w:val="-4"/>
          <w:sz w:val="19"/>
          <w:szCs w:val="19"/>
          <w:lang w:val="en-US"/>
        </w:rPr>
        <w:t xml:space="preserve"> </w:t>
      </w:r>
      <w:r w:rsidRPr="00D337FA">
        <w:rPr>
          <w:color w:val="auto"/>
          <w:spacing w:val="-4"/>
          <w:sz w:val="19"/>
          <w:szCs w:val="19"/>
          <w:lang w:val="en-US"/>
        </w:rPr>
        <w:t>small</w:t>
      </w:r>
      <w:r w:rsidR="006C680D" w:rsidRPr="00D337FA">
        <w:rPr>
          <w:color w:val="auto"/>
          <w:spacing w:val="-4"/>
          <w:sz w:val="19"/>
          <w:szCs w:val="19"/>
          <w:lang w:val="en-US"/>
        </w:rPr>
        <w:t xml:space="preserve"> </w:t>
      </w:r>
      <w:r w:rsidRPr="00D337FA">
        <w:rPr>
          <w:color w:val="auto"/>
          <w:spacing w:val="-4"/>
          <w:sz w:val="19"/>
          <w:szCs w:val="19"/>
          <w:lang w:val="en-US"/>
        </w:rPr>
        <w:t>index</w:t>
      </w:r>
      <w:r w:rsidR="006C680D" w:rsidRPr="00D337FA">
        <w:rPr>
          <w:color w:val="auto"/>
          <w:spacing w:val="-4"/>
          <w:sz w:val="19"/>
          <w:szCs w:val="19"/>
          <w:lang w:val="en-US"/>
        </w:rPr>
        <w:t xml:space="preserve"> </w:t>
      </w:r>
      <w:r w:rsidRPr="00D337FA">
        <w:rPr>
          <w:color w:val="auto"/>
          <w:spacing w:val="-4"/>
          <w:sz w:val="19"/>
          <w:szCs w:val="19"/>
          <w:lang w:val="en-US"/>
        </w:rPr>
        <w:t>–</w:t>
      </w:r>
      <w:r w:rsidR="006C680D" w:rsidRPr="00D337FA">
        <w:rPr>
          <w:color w:val="auto"/>
          <w:spacing w:val="-4"/>
          <w:sz w:val="19"/>
          <w:szCs w:val="19"/>
          <w:lang w:val="en-US"/>
        </w:rPr>
        <w:t xml:space="preserve"> </w:t>
      </w:r>
      <w:r w:rsidRPr="00D337FA">
        <w:rPr>
          <w:color w:val="auto"/>
          <w:spacing w:val="-4"/>
          <w:sz w:val="19"/>
          <w:szCs w:val="19"/>
          <w:lang w:val="en-US"/>
        </w:rPr>
        <w:t>5</w:t>
      </w:r>
      <w:r w:rsidR="006C680D" w:rsidRPr="00D337FA">
        <w:rPr>
          <w:color w:val="auto"/>
          <w:spacing w:val="-4"/>
          <w:sz w:val="19"/>
          <w:szCs w:val="19"/>
          <w:lang w:val="en-US"/>
        </w:rPr>
        <w:t xml:space="preserve"> </w:t>
      </w:r>
      <w:r w:rsidRPr="00D337FA">
        <w:rPr>
          <w:color w:val="auto"/>
          <w:spacing w:val="-4"/>
          <w:sz w:val="19"/>
          <w:szCs w:val="19"/>
          <w:lang w:val="en-US"/>
        </w:rPr>
        <w:t>pt;</w:t>
      </w:r>
      <w:r w:rsidR="006C680D" w:rsidRPr="00D337FA">
        <w:rPr>
          <w:color w:val="auto"/>
          <w:spacing w:val="-4"/>
          <w:sz w:val="19"/>
          <w:szCs w:val="19"/>
          <w:lang w:val="en-US"/>
        </w:rPr>
        <w:t xml:space="preserve"> </w:t>
      </w:r>
      <w:r w:rsidRPr="00D337FA">
        <w:rPr>
          <w:color w:val="auto"/>
          <w:spacing w:val="-4"/>
          <w:sz w:val="19"/>
          <w:szCs w:val="19"/>
          <w:lang w:val="en-US"/>
        </w:rPr>
        <w:t>major</w:t>
      </w:r>
      <w:r w:rsidR="006C680D" w:rsidRPr="00D337FA">
        <w:rPr>
          <w:color w:val="auto"/>
          <w:spacing w:val="-4"/>
          <w:sz w:val="19"/>
          <w:szCs w:val="19"/>
          <w:lang w:val="en-US"/>
        </w:rPr>
        <w:t xml:space="preserve"> </w:t>
      </w:r>
      <w:r w:rsidRPr="00D337FA">
        <w:rPr>
          <w:color w:val="auto"/>
          <w:spacing w:val="-4"/>
          <w:sz w:val="19"/>
          <w:szCs w:val="19"/>
          <w:lang w:val="en-US"/>
        </w:rPr>
        <w:t>symbol</w:t>
      </w:r>
      <w:r w:rsidR="006C680D" w:rsidRPr="00D337FA">
        <w:rPr>
          <w:color w:val="auto"/>
          <w:spacing w:val="-4"/>
          <w:sz w:val="19"/>
          <w:szCs w:val="19"/>
          <w:lang w:val="en-US"/>
        </w:rPr>
        <w:t xml:space="preserve"> </w:t>
      </w:r>
      <w:r w:rsidRPr="00D337FA">
        <w:rPr>
          <w:color w:val="auto"/>
          <w:spacing w:val="-4"/>
          <w:sz w:val="19"/>
          <w:szCs w:val="19"/>
          <w:lang w:val="en-US"/>
        </w:rPr>
        <w:t>–</w:t>
      </w:r>
      <w:r w:rsidR="006C680D" w:rsidRPr="00D337FA">
        <w:rPr>
          <w:color w:val="auto"/>
          <w:spacing w:val="-4"/>
          <w:sz w:val="19"/>
          <w:szCs w:val="19"/>
          <w:lang w:val="en-US"/>
        </w:rPr>
        <w:t xml:space="preserve"> </w:t>
      </w:r>
      <w:r w:rsidRPr="00D337FA">
        <w:rPr>
          <w:color w:val="auto"/>
          <w:spacing w:val="-4"/>
          <w:sz w:val="19"/>
          <w:szCs w:val="19"/>
          <w:lang w:val="en-US"/>
        </w:rPr>
        <w:t>18</w:t>
      </w:r>
      <w:r w:rsidR="006C680D" w:rsidRPr="00D337FA">
        <w:rPr>
          <w:color w:val="auto"/>
          <w:spacing w:val="-4"/>
          <w:sz w:val="19"/>
          <w:szCs w:val="19"/>
          <w:lang w:val="en-US"/>
        </w:rPr>
        <w:t xml:space="preserve"> </w:t>
      </w:r>
      <w:r w:rsidRPr="00D337FA">
        <w:rPr>
          <w:color w:val="auto"/>
          <w:spacing w:val="-4"/>
          <w:sz w:val="19"/>
          <w:szCs w:val="19"/>
          <w:lang w:val="en-US"/>
        </w:rPr>
        <w:t>pt;</w:t>
      </w:r>
      <w:r w:rsidR="006C680D" w:rsidRPr="00D337FA">
        <w:rPr>
          <w:color w:val="auto"/>
          <w:spacing w:val="-4"/>
          <w:sz w:val="19"/>
          <w:szCs w:val="19"/>
          <w:lang w:val="en-US"/>
        </w:rPr>
        <w:t xml:space="preserve"> </w:t>
      </w:r>
      <w:r w:rsidRPr="00D337FA">
        <w:rPr>
          <w:color w:val="auto"/>
          <w:spacing w:val="-4"/>
          <w:sz w:val="19"/>
          <w:szCs w:val="19"/>
          <w:lang w:val="en-US"/>
        </w:rPr>
        <w:t>small</w:t>
      </w:r>
      <w:r w:rsidR="006C680D" w:rsidRPr="00D337FA">
        <w:rPr>
          <w:color w:val="auto"/>
          <w:spacing w:val="-4"/>
          <w:sz w:val="19"/>
          <w:szCs w:val="19"/>
          <w:lang w:val="en-US"/>
        </w:rPr>
        <w:t xml:space="preserve"> </w:t>
      </w:r>
      <w:r w:rsidRPr="00D337FA">
        <w:rPr>
          <w:color w:val="auto"/>
          <w:spacing w:val="-4"/>
          <w:sz w:val="19"/>
          <w:szCs w:val="19"/>
          <w:lang w:val="en-US"/>
        </w:rPr>
        <w:t>symbol</w:t>
      </w:r>
      <w:r w:rsidR="006C680D" w:rsidRPr="00D337FA">
        <w:rPr>
          <w:color w:val="auto"/>
          <w:spacing w:val="-4"/>
          <w:sz w:val="19"/>
          <w:szCs w:val="19"/>
          <w:lang w:val="en-US"/>
        </w:rPr>
        <w:t xml:space="preserve"> </w:t>
      </w:r>
      <w:r w:rsidRPr="00D337FA">
        <w:rPr>
          <w:color w:val="auto"/>
          <w:spacing w:val="-4"/>
          <w:sz w:val="19"/>
          <w:szCs w:val="19"/>
          <w:lang w:val="en-US"/>
        </w:rPr>
        <w:t>–</w:t>
      </w:r>
      <w:r w:rsidR="006C680D" w:rsidRPr="00D337FA">
        <w:rPr>
          <w:color w:val="auto"/>
          <w:spacing w:val="-4"/>
          <w:sz w:val="19"/>
          <w:szCs w:val="19"/>
          <w:lang w:val="en-US"/>
        </w:rPr>
        <w:t xml:space="preserve"> </w:t>
      </w:r>
      <w:r w:rsidRPr="00D337FA">
        <w:rPr>
          <w:color w:val="auto"/>
          <w:spacing w:val="-4"/>
          <w:sz w:val="19"/>
          <w:szCs w:val="19"/>
          <w:lang w:val="en-US"/>
        </w:rPr>
        <w:t>12</w:t>
      </w:r>
      <w:r w:rsidR="006C680D" w:rsidRPr="00D337FA">
        <w:rPr>
          <w:color w:val="auto"/>
          <w:spacing w:val="-4"/>
          <w:sz w:val="19"/>
          <w:szCs w:val="19"/>
          <w:lang w:val="en-US"/>
        </w:rPr>
        <w:t xml:space="preserve"> </w:t>
      </w:r>
      <w:r w:rsidRPr="00D337FA">
        <w:rPr>
          <w:color w:val="auto"/>
          <w:spacing w:val="-4"/>
          <w:sz w:val="19"/>
          <w:szCs w:val="19"/>
          <w:lang w:val="en-US"/>
        </w:rPr>
        <w:t>pt.</w:t>
      </w:r>
      <w:r w:rsidR="006C680D" w:rsidRPr="00D337FA">
        <w:rPr>
          <w:color w:val="auto"/>
          <w:spacing w:val="-4"/>
          <w:sz w:val="19"/>
          <w:szCs w:val="19"/>
          <w:lang w:val="en-US"/>
        </w:rPr>
        <w:t xml:space="preserve"> </w:t>
      </w:r>
      <w:r w:rsidRPr="00D337FA">
        <w:rPr>
          <w:color w:val="auto"/>
          <w:spacing w:val="-4"/>
          <w:sz w:val="19"/>
          <w:szCs w:val="19"/>
          <w:lang w:val="en-US"/>
        </w:rPr>
        <w:t>Please</w:t>
      </w:r>
      <w:r w:rsidR="006C680D" w:rsidRPr="00D337FA">
        <w:rPr>
          <w:color w:val="auto"/>
          <w:spacing w:val="-4"/>
          <w:sz w:val="19"/>
          <w:szCs w:val="19"/>
          <w:lang w:val="en-US"/>
        </w:rPr>
        <w:t xml:space="preserve"> </w:t>
      </w:r>
      <w:r w:rsidRPr="00D337FA">
        <w:rPr>
          <w:color w:val="auto"/>
          <w:spacing w:val="-4"/>
          <w:sz w:val="19"/>
          <w:szCs w:val="19"/>
          <w:lang w:val="en-US"/>
        </w:rPr>
        <w:t>be</w:t>
      </w:r>
      <w:r w:rsidR="006C680D" w:rsidRPr="00D337FA">
        <w:rPr>
          <w:color w:val="auto"/>
          <w:spacing w:val="-4"/>
          <w:sz w:val="19"/>
          <w:szCs w:val="19"/>
          <w:lang w:val="en-US"/>
        </w:rPr>
        <w:t xml:space="preserve"> </w:t>
      </w:r>
      <w:r w:rsidRPr="00D337FA">
        <w:rPr>
          <w:color w:val="auto"/>
          <w:spacing w:val="-4"/>
          <w:sz w:val="19"/>
          <w:szCs w:val="19"/>
          <w:lang w:val="en-US"/>
        </w:rPr>
        <w:t>aware</w:t>
      </w:r>
      <w:r w:rsidR="006C680D" w:rsidRPr="00D337FA">
        <w:rPr>
          <w:color w:val="auto"/>
          <w:spacing w:val="-4"/>
          <w:sz w:val="19"/>
          <w:szCs w:val="19"/>
          <w:lang w:val="en-US"/>
        </w:rPr>
        <w:t xml:space="preserve"> </w:t>
      </w:r>
      <w:r w:rsidRPr="00D337FA">
        <w:rPr>
          <w:color w:val="auto"/>
          <w:spacing w:val="-4"/>
          <w:sz w:val="19"/>
          <w:szCs w:val="19"/>
          <w:lang w:val="en-US"/>
        </w:rPr>
        <w:t>that</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band</w:t>
      </w:r>
      <w:r w:rsidR="006C680D" w:rsidRPr="00D337FA">
        <w:rPr>
          <w:color w:val="auto"/>
          <w:spacing w:val="-4"/>
          <w:sz w:val="19"/>
          <w:szCs w:val="19"/>
          <w:lang w:val="en-US"/>
        </w:rPr>
        <w:t xml:space="preserve"> </w:t>
      </w:r>
      <w:r w:rsidRPr="00D337FA">
        <w:rPr>
          <w:color w:val="auto"/>
          <w:spacing w:val="-4"/>
          <w:sz w:val="19"/>
          <w:szCs w:val="19"/>
          <w:lang w:val="en-US"/>
        </w:rPr>
        <w:t>typing</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75</w:t>
      </w:r>
      <w:r w:rsidR="006C680D" w:rsidRPr="00D337FA">
        <w:rPr>
          <w:color w:val="auto"/>
          <w:spacing w:val="-4"/>
          <w:sz w:val="19"/>
          <w:szCs w:val="19"/>
          <w:lang w:val="en-US"/>
        </w:rPr>
        <w:t xml:space="preserve"> </w:t>
      </w:r>
      <w:r w:rsidRPr="00D337FA">
        <w:rPr>
          <w:color w:val="auto"/>
          <w:spacing w:val="-4"/>
          <w:sz w:val="19"/>
          <w:szCs w:val="19"/>
          <w:lang w:val="en-US"/>
        </w:rPr>
        <w:t>mm.</w:t>
      </w:r>
      <w:r w:rsidR="006C680D" w:rsidRPr="00D337FA">
        <w:rPr>
          <w:color w:val="auto"/>
          <w:spacing w:val="-4"/>
          <w:sz w:val="19"/>
          <w:szCs w:val="19"/>
          <w:lang w:val="en-US"/>
        </w:rPr>
        <w:t xml:space="preserve"> </w:t>
      </w:r>
      <w:r w:rsidRPr="00D337FA">
        <w:rPr>
          <w:color w:val="auto"/>
          <w:spacing w:val="-4"/>
          <w:sz w:val="19"/>
          <w:szCs w:val="19"/>
          <w:lang w:val="en-US"/>
        </w:rPr>
        <w:t>If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formula</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larger,</w:t>
      </w:r>
      <w:r w:rsidR="006C680D" w:rsidRPr="00D337FA">
        <w:rPr>
          <w:color w:val="auto"/>
          <w:spacing w:val="-4"/>
          <w:sz w:val="19"/>
          <w:szCs w:val="19"/>
          <w:lang w:val="en-US"/>
        </w:rPr>
        <w:t xml:space="preserve"> </w:t>
      </w:r>
      <w:r w:rsidRPr="00D337FA">
        <w:rPr>
          <w:color w:val="auto"/>
          <w:spacing w:val="-4"/>
          <w:sz w:val="19"/>
          <w:szCs w:val="19"/>
          <w:lang w:val="en-US"/>
        </w:rPr>
        <w:t>it</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necessary</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simplify</w:t>
      </w:r>
      <w:r w:rsidR="006C680D" w:rsidRPr="00D337FA">
        <w:rPr>
          <w:color w:val="auto"/>
          <w:spacing w:val="-4"/>
          <w:sz w:val="19"/>
          <w:szCs w:val="19"/>
          <w:lang w:val="en-US"/>
        </w:rPr>
        <w:t xml:space="preserve"> </w:t>
      </w:r>
      <w:r w:rsidRPr="00D337FA">
        <w:rPr>
          <w:color w:val="auto"/>
          <w:spacing w:val="-4"/>
          <w:sz w:val="19"/>
          <w:szCs w:val="19"/>
          <w:lang w:val="en-US"/>
        </w:rPr>
        <w:t>or</w:t>
      </w:r>
      <w:r w:rsidR="006C680D" w:rsidRPr="00D337FA">
        <w:rPr>
          <w:color w:val="auto"/>
          <w:spacing w:val="-4"/>
          <w:sz w:val="19"/>
          <w:szCs w:val="19"/>
          <w:lang w:val="en-US"/>
        </w:rPr>
        <w:t xml:space="preserve"> </w:t>
      </w:r>
      <w:r w:rsidRPr="00D337FA">
        <w:rPr>
          <w:color w:val="auto"/>
          <w:spacing w:val="-4"/>
          <w:sz w:val="19"/>
          <w:szCs w:val="19"/>
          <w:lang w:val="en-US"/>
        </w:rPr>
        <w:t>split</w:t>
      </w:r>
      <w:r w:rsidR="006C680D" w:rsidRPr="00D337FA">
        <w:rPr>
          <w:color w:val="auto"/>
          <w:spacing w:val="-4"/>
          <w:sz w:val="19"/>
          <w:szCs w:val="19"/>
          <w:lang w:val="en-US"/>
        </w:rPr>
        <w:t xml:space="preserve"> </w:t>
      </w:r>
      <w:r w:rsidRPr="00D337FA">
        <w:rPr>
          <w:color w:val="auto"/>
          <w:spacing w:val="-4"/>
          <w:sz w:val="19"/>
          <w:szCs w:val="19"/>
          <w:lang w:val="en-US"/>
        </w:rPr>
        <w:t>it</w:t>
      </w:r>
      <w:r w:rsidR="006C680D" w:rsidRPr="00D337FA">
        <w:rPr>
          <w:color w:val="auto"/>
          <w:spacing w:val="-4"/>
          <w:sz w:val="19"/>
          <w:szCs w:val="19"/>
          <w:lang w:val="en-US"/>
        </w:rPr>
        <w:t xml:space="preserve"> </w:t>
      </w:r>
      <w:r w:rsidRPr="00D337FA">
        <w:rPr>
          <w:color w:val="auto"/>
          <w:spacing w:val="-4"/>
          <w:sz w:val="19"/>
          <w:szCs w:val="19"/>
          <w:lang w:val="en-US"/>
        </w:rPr>
        <w:t>into</w:t>
      </w:r>
      <w:r w:rsidR="006C680D" w:rsidRPr="00D337FA">
        <w:rPr>
          <w:color w:val="auto"/>
          <w:spacing w:val="-4"/>
          <w:sz w:val="19"/>
          <w:szCs w:val="19"/>
          <w:lang w:val="en-US"/>
        </w:rPr>
        <w:t xml:space="preserve"> </w:t>
      </w:r>
      <w:r w:rsidRPr="00D337FA">
        <w:rPr>
          <w:color w:val="auto"/>
          <w:spacing w:val="-4"/>
          <w:sz w:val="19"/>
          <w:szCs w:val="19"/>
          <w:lang w:val="en-US"/>
        </w:rPr>
        <w:t>multiple</w:t>
      </w:r>
      <w:r w:rsidR="006C680D" w:rsidRPr="00D337FA">
        <w:rPr>
          <w:color w:val="auto"/>
          <w:spacing w:val="-4"/>
          <w:sz w:val="19"/>
          <w:szCs w:val="19"/>
          <w:lang w:val="en-US"/>
        </w:rPr>
        <w:t xml:space="preserve"> </w:t>
      </w:r>
      <w:r w:rsidRPr="00D337FA">
        <w:rPr>
          <w:color w:val="auto"/>
          <w:spacing w:val="-4"/>
          <w:sz w:val="19"/>
          <w:szCs w:val="19"/>
          <w:lang w:val="en-US"/>
        </w:rPr>
        <w:t>lines.</w:t>
      </w:r>
      <w:r w:rsidR="006C680D" w:rsidRPr="00D337FA">
        <w:rPr>
          <w:color w:val="auto"/>
          <w:spacing w:val="-4"/>
          <w:sz w:val="19"/>
          <w:szCs w:val="19"/>
          <w:lang w:val="en-US"/>
        </w:rPr>
        <w:t xml:space="preserve"> </w:t>
      </w:r>
      <w:r w:rsidRPr="00D337FA">
        <w:rPr>
          <w:color w:val="auto"/>
          <w:spacing w:val="-4"/>
          <w:sz w:val="19"/>
          <w:szCs w:val="19"/>
          <w:lang w:val="en-US"/>
        </w:rPr>
        <w:t>Formulas</w:t>
      </w:r>
      <w:r w:rsidR="006C680D" w:rsidRPr="00D337FA">
        <w:rPr>
          <w:color w:val="auto"/>
          <w:spacing w:val="-4"/>
          <w:sz w:val="19"/>
          <w:szCs w:val="19"/>
          <w:lang w:val="en-US"/>
        </w:rPr>
        <w:t xml:space="preserve"> </w:t>
      </w:r>
      <w:r w:rsidRPr="00D337FA">
        <w:rPr>
          <w:color w:val="auto"/>
          <w:spacing w:val="-4"/>
          <w:sz w:val="19"/>
          <w:szCs w:val="19"/>
          <w:lang w:val="en-US"/>
        </w:rPr>
        <w:t>inserted</w:t>
      </w:r>
      <w:r w:rsidR="006C680D" w:rsidRPr="00D337FA">
        <w:rPr>
          <w:color w:val="auto"/>
          <w:spacing w:val="-4"/>
          <w:sz w:val="19"/>
          <w:szCs w:val="19"/>
          <w:lang w:val="en-US"/>
        </w:rPr>
        <w:t xml:space="preserve"> </w:t>
      </w:r>
      <w:r w:rsidRPr="00D337FA">
        <w:rPr>
          <w:color w:val="auto"/>
          <w:spacing w:val="-4"/>
          <w:sz w:val="19"/>
          <w:szCs w:val="19"/>
          <w:lang w:val="en-US"/>
        </w:rPr>
        <w:t>as</w:t>
      </w:r>
      <w:r w:rsidR="006C680D" w:rsidRPr="00D337FA">
        <w:rPr>
          <w:color w:val="auto"/>
          <w:spacing w:val="-4"/>
          <w:sz w:val="19"/>
          <w:szCs w:val="19"/>
          <w:lang w:val="en-US"/>
        </w:rPr>
        <w:t xml:space="preserve"> </w:t>
      </w:r>
      <w:r w:rsidRPr="00D337FA">
        <w:rPr>
          <w:color w:val="auto"/>
          <w:spacing w:val="-4"/>
          <w:sz w:val="19"/>
          <w:szCs w:val="19"/>
          <w:lang w:val="en-US"/>
        </w:rPr>
        <w:t>a</w:t>
      </w:r>
      <w:r w:rsidR="006C680D" w:rsidRPr="00D337FA">
        <w:rPr>
          <w:color w:val="auto"/>
          <w:spacing w:val="-4"/>
          <w:sz w:val="19"/>
          <w:szCs w:val="19"/>
          <w:lang w:val="en-US"/>
        </w:rPr>
        <w:t xml:space="preserve"> </w:t>
      </w:r>
      <w:r w:rsidRPr="00D337FA">
        <w:rPr>
          <w:color w:val="auto"/>
          <w:spacing w:val="-4"/>
          <w:sz w:val="19"/>
          <w:szCs w:val="19"/>
          <w:lang w:val="en-US"/>
        </w:rPr>
        <w:t>picture</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not</w:t>
      </w:r>
      <w:r w:rsidR="006C680D" w:rsidRPr="00D337FA">
        <w:rPr>
          <w:color w:val="auto"/>
          <w:spacing w:val="-4"/>
          <w:sz w:val="19"/>
          <w:szCs w:val="19"/>
          <w:lang w:val="en-US"/>
        </w:rPr>
        <w:t xml:space="preserve"> </w:t>
      </w:r>
      <w:r w:rsidRPr="00D337FA">
        <w:rPr>
          <w:color w:val="auto"/>
          <w:spacing w:val="-4"/>
          <w:sz w:val="19"/>
          <w:szCs w:val="19"/>
          <w:lang w:val="en-US"/>
        </w:rPr>
        <w:t>allowed!</w:t>
      </w:r>
      <w:r w:rsidR="006C680D" w:rsidRPr="00D337FA">
        <w:rPr>
          <w:color w:val="auto"/>
          <w:spacing w:val="-4"/>
          <w:sz w:val="19"/>
          <w:szCs w:val="19"/>
          <w:lang w:val="en-US"/>
        </w:rPr>
        <w:t xml:space="preserve"> </w:t>
      </w:r>
      <w:r w:rsidRPr="00D337FA">
        <w:rPr>
          <w:color w:val="auto"/>
          <w:spacing w:val="-4"/>
          <w:sz w:val="19"/>
          <w:szCs w:val="19"/>
          <w:lang w:val="en-US"/>
        </w:rPr>
        <w:t>All</w:t>
      </w:r>
      <w:r w:rsidR="006C680D" w:rsidRPr="00D337FA">
        <w:rPr>
          <w:color w:val="auto"/>
          <w:spacing w:val="-4"/>
          <w:sz w:val="19"/>
          <w:szCs w:val="19"/>
          <w:lang w:val="en-US"/>
        </w:rPr>
        <w:t xml:space="preserve"> </w:t>
      </w:r>
      <w:r w:rsidRPr="00D337FA">
        <w:rPr>
          <w:color w:val="auto"/>
          <w:spacing w:val="-4"/>
          <w:sz w:val="19"/>
          <w:szCs w:val="19"/>
          <w:lang w:val="en-US"/>
        </w:rPr>
        <w:t>Russian</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Greek</w:t>
      </w:r>
      <w:r w:rsidR="006C680D" w:rsidRPr="00D337FA">
        <w:rPr>
          <w:color w:val="auto"/>
          <w:spacing w:val="-4"/>
          <w:sz w:val="19"/>
          <w:szCs w:val="19"/>
          <w:lang w:val="en-US"/>
        </w:rPr>
        <w:t xml:space="preserve"> </w:t>
      </w:r>
      <w:r w:rsidRPr="00D337FA">
        <w:rPr>
          <w:color w:val="auto"/>
          <w:spacing w:val="-4"/>
          <w:sz w:val="19"/>
          <w:szCs w:val="19"/>
          <w:lang w:val="en-US"/>
        </w:rPr>
        <w:t>letters</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formulas</w:t>
      </w:r>
      <w:r w:rsidR="006C680D" w:rsidRPr="00D337FA">
        <w:rPr>
          <w:color w:val="auto"/>
          <w:spacing w:val="-4"/>
          <w:sz w:val="19"/>
          <w:szCs w:val="19"/>
          <w:lang w:val="en-US"/>
        </w:rPr>
        <w:t xml:space="preserve"> </w:t>
      </w:r>
      <w:r w:rsidRPr="00D337FA">
        <w:rPr>
          <w:color w:val="auto"/>
          <w:spacing w:val="-4"/>
          <w:sz w:val="19"/>
          <w:szCs w:val="19"/>
          <w:lang w:val="en-US"/>
        </w:rPr>
        <w:t>should</w:t>
      </w:r>
      <w:r w:rsidR="006C680D" w:rsidRPr="00D337FA">
        <w:rPr>
          <w:color w:val="auto"/>
          <w:spacing w:val="-4"/>
          <w:sz w:val="19"/>
          <w:szCs w:val="19"/>
          <w:lang w:val="en-US"/>
        </w:rPr>
        <w:t xml:space="preserve"> </w:t>
      </w:r>
      <w:r w:rsidRPr="00D337FA">
        <w:rPr>
          <w:color w:val="auto"/>
          <w:spacing w:val="-4"/>
          <w:sz w:val="19"/>
          <w:szCs w:val="19"/>
          <w:lang w:val="en-US"/>
        </w:rPr>
        <w:t>be</w:t>
      </w:r>
      <w:r w:rsidR="006C680D" w:rsidRPr="00D337FA">
        <w:rPr>
          <w:color w:val="auto"/>
          <w:spacing w:val="-4"/>
          <w:sz w:val="19"/>
          <w:szCs w:val="19"/>
          <w:lang w:val="en-US"/>
        </w:rPr>
        <w:t xml:space="preserve"> </w:t>
      </w:r>
      <w:r w:rsidRPr="00D337FA">
        <w:rPr>
          <w:color w:val="auto"/>
          <w:spacing w:val="-4"/>
          <w:sz w:val="19"/>
          <w:szCs w:val="19"/>
          <w:lang w:val="en-US"/>
        </w:rPr>
        <w:t>typed</w:t>
      </w:r>
      <w:r w:rsidR="006C680D" w:rsidRPr="00D337FA">
        <w:rPr>
          <w:color w:val="auto"/>
          <w:spacing w:val="-4"/>
          <w:sz w:val="19"/>
          <w:szCs w:val="19"/>
          <w:lang w:val="en-US"/>
        </w:rPr>
        <w:t xml:space="preserve"> </w:t>
      </w:r>
      <w:r w:rsidRPr="00D337FA">
        <w:rPr>
          <w:color w:val="auto"/>
          <w:spacing w:val="-4"/>
          <w:sz w:val="19"/>
          <w:szCs w:val="19"/>
          <w:lang w:val="en-US"/>
        </w:rPr>
        <w:t>font.</w:t>
      </w:r>
      <w:r w:rsidR="006C680D" w:rsidRPr="00D337FA">
        <w:rPr>
          <w:color w:val="auto"/>
          <w:spacing w:val="-4"/>
          <w:sz w:val="19"/>
          <w:szCs w:val="19"/>
          <w:lang w:val="en-US"/>
        </w:rPr>
        <w:t xml:space="preserve"> </w:t>
      </w:r>
      <w:r w:rsidRPr="00D337FA">
        <w:rPr>
          <w:color w:val="auto"/>
          <w:spacing w:val="-4"/>
          <w:sz w:val="19"/>
          <w:szCs w:val="19"/>
          <w:lang w:val="en-US"/>
        </w:rPr>
        <w:t>Designations</w:t>
      </w:r>
      <w:r w:rsidR="006C680D" w:rsidRPr="00D337FA">
        <w:rPr>
          <w:color w:val="auto"/>
          <w:spacing w:val="-4"/>
          <w:sz w:val="19"/>
          <w:szCs w:val="19"/>
          <w:lang w:val="en-US"/>
        </w:rPr>
        <w:t xml:space="preserve"> </w:t>
      </w:r>
      <w:r w:rsidRPr="00D337FA">
        <w:rPr>
          <w:color w:val="auto"/>
          <w:spacing w:val="-4"/>
          <w:sz w:val="19"/>
          <w:szCs w:val="19"/>
          <w:lang w:val="en-US"/>
        </w:rPr>
        <w:t>trigonometric</w:t>
      </w:r>
      <w:r w:rsidR="006C680D" w:rsidRPr="00D337FA">
        <w:rPr>
          <w:color w:val="auto"/>
          <w:spacing w:val="-4"/>
          <w:sz w:val="19"/>
          <w:szCs w:val="19"/>
          <w:lang w:val="en-US"/>
        </w:rPr>
        <w:t xml:space="preserve"> </w:t>
      </w:r>
      <w:r w:rsidRPr="00D337FA">
        <w:rPr>
          <w:color w:val="auto"/>
          <w:spacing w:val="-4"/>
          <w:sz w:val="19"/>
          <w:szCs w:val="19"/>
          <w:lang w:val="en-US"/>
        </w:rPr>
        <w:t>functions</w:t>
      </w:r>
      <w:r w:rsidR="006C680D" w:rsidRPr="00D337FA">
        <w:rPr>
          <w:color w:val="auto"/>
          <w:spacing w:val="-4"/>
          <w:sz w:val="19"/>
          <w:szCs w:val="19"/>
          <w:lang w:val="en-US"/>
        </w:rPr>
        <w:t xml:space="preserve"> </w:t>
      </w:r>
      <w:r w:rsidRPr="00D337FA">
        <w:rPr>
          <w:color w:val="auto"/>
          <w:spacing w:val="-4"/>
          <w:sz w:val="19"/>
          <w:szCs w:val="19"/>
          <w:lang w:val="en-US"/>
        </w:rPr>
        <w:t>(sin,</w:t>
      </w:r>
      <w:r w:rsidR="006C680D" w:rsidRPr="00D337FA">
        <w:rPr>
          <w:color w:val="auto"/>
          <w:spacing w:val="-4"/>
          <w:sz w:val="19"/>
          <w:szCs w:val="19"/>
          <w:lang w:val="en-US"/>
        </w:rPr>
        <w:t xml:space="preserve"> </w:t>
      </w:r>
      <w:r w:rsidRPr="00D337FA">
        <w:rPr>
          <w:color w:val="auto"/>
          <w:spacing w:val="-4"/>
          <w:sz w:val="19"/>
          <w:szCs w:val="19"/>
          <w:lang w:val="en-US"/>
        </w:rPr>
        <w:t>cos,</w:t>
      </w:r>
      <w:r w:rsidR="006C680D" w:rsidRPr="00D337FA">
        <w:rPr>
          <w:color w:val="auto"/>
          <w:spacing w:val="-4"/>
          <w:sz w:val="19"/>
          <w:szCs w:val="19"/>
          <w:lang w:val="en-US"/>
        </w:rPr>
        <w:t xml:space="preserve"> </w:t>
      </w:r>
      <w:r w:rsidRPr="00D337FA">
        <w:rPr>
          <w:color w:val="auto"/>
          <w:spacing w:val="-4"/>
          <w:sz w:val="19"/>
          <w:szCs w:val="19"/>
          <w:lang w:val="en-US"/>
        </w:rPr>
        <w:t>tg,</w:t>
      </w:r>
      <w:r w:rsidR="006C680D" w:rsidRPr="00D337FA">
        <w:rPr>
          <w:color w:val="auto"/>
          <w:spacing w:val="-4"/>
          <w:sz w:val="19"/>
          <w:szCs w:val="19"/>
          <w:lang w:val="en-US"/>
        </w:rPr>
        <w:t xml:space="preserve"> </w:t>
      </w:r>
      <w:r w:rsidRPr="00D337FA">
        <w:rPr>
          <w:color w:val="auto"/>
          <w:spacing w:val="-4"/>
          <w:sz w:val="19"/>
          <w:szCs w:val="19"/>
          <w:lang w:val="en-US"/>
        </w:rPr>
        <w:t>etc.)</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font,</w:t>
      </w:r>
      <w:r w:rsidR="006C680D" w:rsidRPr="00D337FA">
        <w:rPr>
          <w:color w:val="auto"/>
          <w:spacing w:val="-4"/>
          <w:sz w:val="19"/>
          <w:szCs w:val="19"/>
          <w:lang w:val="en-US"/>
        </w:rPr>
        <w:t xml:space="preserve"> </w:t>
      </w:r>
      <w:r w:rsidRPr="00D337FA">
        <w:rPr>
          <w:color w:val="auto"/>
          <w:spacing w:val="-4"/>
          <w:sz w:val="19"/>
          <w:szCs w:val="19"/>
          <w:lang w:val="en-US"/>
        </w:rPr>
        <w:t>letters</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italics.</w:t>
      </w:r>
      <w:r w:rsidR="006C680D" w:rsidRPr="00D337FA">
        <w:rPr>
          <w:color w:val="auto"/>
          <w:spacing w:val="-4"/>
          <w:sz w:val="19"/>
          <w:szCs w:val="19"/>
          <w:lang w:val="en-US"/>
        </w:rPr>
        <w:t xml:space="preserve"> </w:t>
      </w:r>
      <w:r w:rsidRPr="00D337FA">
        <w:rPr>
          <w:color w:val="auto"/>
          <w:spacing w:val="-4"/>
          <w:sz w:val="19"/>
          <w:szCs w:val="19"/>
          <w:lang w:val="en-US"/>
        </w:rPr>
        <w:t>Chemical</w:t>
      </w:r>
      <w:r w:rsidR="006C680D" w:rsidRPr="00D337FA">
        <w:rPr>
          <w:color w:val="auto"/>
          <w:spacing w:val="-4"/>
          <w:sz w:val="19"/>
          <w:szCs w:val="19"/>
          <w:lang w:val="en-US"/>
        </w:rPr>
        <w:t xml:space="preserve"> </w:t>
      </w:r>
      <w:r w:rsidRPr="00D337FA">
        <w:rPr>
          <w:color w:val="auto"/>
          <w:spacing w:val="-4"/>
          <w:sz w:val="19"/>
          <w:szCs w:val="19"/>
          <w:lang w:val="en-US"/>
        </w:rPr>
        <w:t>formulas</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typed</w:t>
      </w:r>
      <w:r w:rsidR="006C680D" w:rsidRPr="00D337FA">
        <w:rPr>
          <w:color w:val="auto"/>
          <w:spacing w:val="-4"/>
          <w:sz w:val="19"/>
          <w:szCs w:val="19"/>
          <w:lang w:val="en-US"/>
        </w:rPr>
        <w:t xml:space="preserve"> </w:t>
      </w:r>
      <w:r w:rsidRPr="00D337FA">
        <w:rPr>
          <w:color w:val="auto"/>
          <w:spacing w:val="-4"/>
          <w:sz w:val="19"/>
          <w:szCs w:val="19"/>
          <w:lang w:val="en-US"/>
        </w:rPr>
        <w:t>font.</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article</w:t>
      </w:r>
      <w:r w:rsidR="006C680D" w:rsidRPr="00D337FA">
        <w:rPr>
          <w:color w:val="auto"/>
          <w:spacing w:val="-4"/>
          <w:sz w:val="19"/>
          <w:szCs w:val="19"/>
          <w:lang w:val="en-US"/>
        </w:rPr>
        <w:t xml:space="preserve"> </w:t>
      </w:r>
      <w:r w:rsidRPr="00D337FA">
        <w:rPr>
          <w:color w:val="auto"/>
          <w:spacing w:val="-4"/>
          <w:sz w:val="19"/>
          <w:szCs w:val="19"/>
          <w:lang w:val="en-US"/>
        </w:rPr>
        <w:t>should</w:t>
      </w:r>
      <w:r w:rsidR="006C680D" w:rsidRPr="00D337FA">
        <w:rPr>
          <w:color w:val="auto"/>
          <w:spacing w:val="-4"/>
          <w:sz w:val="19"/>
          <w:szCs w:val="19"/>
          <w:lang w:val="en-US"/>
        </w:rPr>
        <w:t xml:space="preserve"> </w:t>
      </w:r>
      <w:r w:rsidRPr="00D337FA">
        <w:rPr>
          <w:color w:val="auto"/>
          <w:spacing w:val="-4"/>
          <w:sz w:val="19"/>
          <w:szCs w:val="19"/>
          <w:lang w:val="en-US"/>
        </w:rPr>
        <w:t>contain</w:t>
      </w:r>
      <w:r w:rsidR="006C680D" w:rsidRPr="00D337FA">
        <w:rPr>
          <w:color w:val="auto"/>
          <w:spacing w:val="-4"/>
          <w:sz w:val="19"/>
          <w:szCs w:val="19"/>
          <w:lang w:val="en-US"/>
        </w:rPr>
        <w:t xml:space="preserve"> </w:t>
      </w:r>
      <w:r w:rsidRPr="00D337FA">
        <w:rPr>
          <w:color w:val="auto"/>
          <w:spacing w:val="-4"/>
          <w:sz w:val="19"/>
          <w:szCs w:val="19"/>
          <w:lang w:val="en-US"/>
        </w:rPr>
        <w:t>only</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most</w:t>
      </w:r>
      <w:r w:rsidR="006C680D" w:rsidRPr="00D337FA">
        <w:rPr>
          <w:color w:val="auto"/>
          <w:spacing w:val="-4"/>
          <w:sz w:val="19"/>
          <w:szCs w:val="19"/>
          <w:lang w:val="en-US"/>
        </w:rPr>
        <w:t xml:space="preserve"> </w:t>
      </w:r>
      <w:r w:rsidRPr="00D337FA">
        <w:rPr>
          <w:color w:val="auto"/>
          <w:spacing w:val="-4"/>
          <w:sz w:val="19"/>
          <w:szCs w:val="19"/>
          <w:lang w:val="en-US"/>
        </w:rPr>
        <w:t>essential</w:t>
      </w:r>
      <w:r w:rsidR="006C680D" w:rsidRPr="00D337FA">
        <w:rPr>
          <w:color w:val="auto"/>
          <w:spacing w:val="-4"/>
          <w:sz w:val="19"/>
          <w:szCs w:val="19"/>
          <w:lang w:val="en-US"/>
        </w:rPr>
        <w:t xml:space="preserve"> </w:t>
      </w:r>
      <w:r w:rsidRPr="00D337FA">
        <w:rPr>
          <w:color w:val="auto"/>
          <w:spacing w:val="-4"/>
          <w:sz w:val="19"/>
          <w:szCs w:val="19"/>
          <w:lang w:val="en-US"/>
        </w:rPr>
        <w:t>formulas,</w:t>
      </w:r>
      <w:r w:rsidR="006C680D" w:rsidRPr="00D337FA">
        <w:rPr>
          <w:color w:val="auto"/>
          <w:spacing w:val="-4"/>
          <w:sz w:val="19"/>
          <w:szCs w:val="19"/>
          <w:lang w:val="en-US"/>
        </w:rPr>
        <w:t xml:space="preserve"> </w:t>
      </w:r>
      <w:r w:rsidRPr="00D337FA">
        <w:rPr>
          <w:color w:val="auto"/>
          <w:spacing w:val="-4"/>
          <w:sz w:val="19"/>
          <w:szCs w:val="19"/>
          <w:lang w:val="en-US"/>
        </w:rPr>
        <w:t>it</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desirable</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give</w:t>
      </w:r>
      <w:r w:rsidR="006C680D" w:rsidRPr="00D337FA">
        <w:rPr>
          <w:color w:val="auto"/>
          <w:spacing w:val="-4"/>
          <w:sz w:val="19"/>
          <w:szCs w:val="19"/>
          <w:lang w:val="en-US"/>
        </w:rPr>
        <w:t xml:space="preserve"> </w:t>
      </w:r>
      <w:r w:rsidRPr="00D337FA">
        <w:rPr>
          <w:color w:val="auto"/>
          <w:spacing w:val="-4"/>
          <w:sz w:val="19"/>
          <w:szCs w:val="19"/>
          <w:lang w:val="en-US"/>
        </w:rPr>
        <w:t>up</w:t>
      </w:r>
      <w:r w:rsidR="006C680D" w:rsidRPr="00D337FA">
        <w:rPr>
          <w:color w:val="auto"/>
          <w:spacing w:val="-4"/>
          <w:sz w:val="19"/>
          <w:szCs w:val="19"/>
          <w:lang w:val="en-US"/>
        </w:rPr>
        <w:t xml:space="preserve"> </w:t>
      </w:r>
      <w:r w:rsidRPr="00D337FA">
        <w:rPr>
          <w:color w:val="auto"/>
          <w:spacing w:val="-4"/>
          <w:sz w:val="19"/>
          <w:szCs w:val="19"/>
          <w:lang w:val="en-US"/>
        </w:rPr>
        <w:t>intermediate</w:t>
      </w:r>
      <w:r w:rsidR="006C680D" w:rsidRPr="00D337FA">
        <w:rPr>
          <w:color w:val="auto"/>
          <w:spacing w:val="-4"/>
          <w:sz w:val="19"/>
          <w:szCs w:val="19"/>
          <w:lang w:val="en-US"/>
        </w:rPr>
        <w:t xml:space="preserve"> </w:t>
      </w:r>
      <w:r w:rsidRPr="00D337FA">
        <w:rPr>
          <w:color w:val="auto"/>
          <w:spacing w:val="-4"/>
          <w:sz w:val="19"/>
          <w:szCs w:val="19"/>
          <w:lang w:val="en-US"/>
        </w:rPr>
        <w:t>calculations.</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5.</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size</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all</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values</w:t>
      </w:r>
      <w:r w:rsidR="006C680D" w:rsidRPr="00D337FA">
        <w:rPr>
          <w:color w:val="auto"/>
          <w:spacing w:val="-4"/>
          <w:sz w:val="19"/>
          <w:szCs w:val="19"/>
          <w:lang w:val="en-US"/>
        </w:rPr>
        <w:t xml:space="preserve"> </w:t>
      </w:r>
      <w:r w:rsidRPr="00D337FA">
        <w:rPr>
          <w:color w:val="auto"/>
          <w:spacing w:val="-4"/>
          <w:sz w:val="19"/>
          <w:szCs w:val="19"/>
          <w:lang w:val="en-US"/>
        </w:rPr>
        <w:t>adopted</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paper</w:t>
      </w:r>
      <w:r w:rsidR="006C680D" w:rsidRPr="00D337FA">
        <w:rPr>
          <w:color w:val="auto"/>
          <w:spacing w:val="-4"/>
          <w:sz w:val="19"/>
          <w:szCs w:val="19"/>
          <w:lang w:val="en-US"/>
        </w:rPr>
        <w:t xml:space="preserve"> </w:t>
      </w:r>
      <w:r w:rsidRPr="00D337FA">
        <w:rPr>
          <w:color w:val="auto"/>
          <w:spacing w:val="-4"/>
          <w:sz w:val="19"/>
          <w:szCs w:val="19"/>
          <w:lang w:val="en-US"/>
        </w:rPr>
        <w:t>must</w:t>
      </w:r>
      <w:r w:rsidR="006C680D" w:rsidRPr="00D337FA">
        <w:rPr>
          <w:color w:val="auto"/>
          <w:spacing w:val="-4"/>
          <w:sz w:val="19"/>
          <w:szCs w:val="19"/>
          <w:lang w:val="en-US"/>
        </w:rPr>
        <w:t xml:space="preserve"> </w:t>
      </w:r>
      <w:r w:rsidRPr="00D337FA">
        <w:rPr>
          <w:color w:val="auto"/>
          <w:spacing w:val="-4"/>
          <w:sz w:val="19"/>
          <w:szCs w:val="19"/>
          <w:lang w:val="en-US"/>
        </w:rPr>
        <w:t>fit</w:t>
      </w:r>
      <w:r w:rsidR="006C680D" w:rsidRPr="00D337FA">
        <w:rPr>
          <w:color w:val="auto"/>
          <w:spacing w:val="-4"/>
          <w:sz w:val="19"/>
          <w:szCs w:val="19"/>
          <w:lang w:val="en-US"/>
        </w:rPr>
        <w:t xml:space="preserve"> </w:t>
      </w:r>
      <w:r w:rsidRPr="00D337FA">
        <w:rPr>
          <w:color w:val="auto"/>
          <w:spacing w:val="-4"/>
          <w:sz w:val="19"/>
          <w:szCs w:val="19"/>
          <w:lang w:val="en-US"/>
        </w:rPr>
        <w:t>into</w:t>
      </w:r>
      <w:r w:rsidR="006C680D" w:rsidRPr="00D337FA">
        <w:rPr>
          <w:color w:val="auto"/>
          <w:spacing w:val="-4"/>
          <w:sz w:val="19"/>
          <w:szCs w:val="19"/>
          <w:lang w:val="en-US"/>
        </w:rPr>
        <w:t xml:space="preserve"> </w:t>
      </w:r>
      <w:r w:rsidRPr="00D337FA">
        <w:rPr>
          <w:color w:val="auto"/>
          <w:spacing w:val="-4"/>
          <w:sz w:val="19"/>
          <w:szCs w:val="19"/>
          <w:lang w:val="en-US"/>
        </w:rPr>
        <w:t>format</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International</w:t>
      </w:r>
      <w:r w:rsidR="006C680D" w:rsidRPr="00D337FA">
        <w:rPr>
          <w:color w:val="auto"/>
          <w:spacing w:val="-4"/>
          <w:sz w:val="19"/>
          <w:szCs w:val="19"/>
          <w:lang w:val="en-US"/>
        </w:rPr>
        <w:t xml:space="preserve"> </w:t>
      </w:r>
      <w:r w:rsidRPr="00D337FA">
        <w:rPr>
          <w:color w:val="auto"/>
          <w:spacing w:val="-4"/>
          <w:sz w:val="19"/>
          <w:szCs w:val="19"/>
          <w:lang w:val="en-US"/>
        </w:rPr>
        <w:t>System</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Units</w:t>
      </w:r>
      <w:r w:rsidR="006C680D" w:rsidRPr="00D337FA">
        <w:rPr>
          <w:color w:val="auto"/>
          <w:spacing w:val="-4"/>
          <w:sz w:val="19"/>
          <w:szCs w:val="19"/>
          <w:lang w:val="en-US"/>
        </w:rPr>
        <w:t xml:space="preserve"> </w:t>
      </w:r>
      <w:r w:rsidRPr="00D337FA">
        <w:rPr>
          <w:color w:val="auto"/>
          <w:spacing w:val="-4"/>
          <w:sz w:val="19"/>
          <w:szCs w:val="19"/>
          <w:lang w:val="en-US"/>
        </w:rPr>
        <w:t>(SI).</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6.</w:t>
      </w:r>
      <w:r w:rsidR="006C680D" w:rsidRPr="00D337FA">
        <w:rPr>
          <w:color w:val="auto"/>
          <w:spacing w:val="-4"/>
          <w:sz w:val="19"/>
          <w:szCs w:val="19"/>
          <w:lang w:val="en-US"/>
        </w:rPr>
        <w:t xml:space="preserve"> </w:t>
      </w:r>
      <w:r w:rsidRPr="00D337FA">
        <w:rPr>
          <w:color w:val="auto"/>
          <w:spacing w:val="-4"/>
          <w:sz w:val="19"/>
          <w:szCs w:val="19"/>
          <w:lang w:val="en-US"/>
        </w:rPr>
        <w:t>Figures</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tables</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placed</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Tables</w:t>
      </w:r>
      <w:r w:rsidR="006C680D" w:rsidRPr="00D337FA">
        <w:rPr>
          <w:color w:val="auto"/>
          <w:spacing w:val="-4"/>
          <w:sz w:val="19"/>
          <w:szCs w:val="19"/>
          <w:lang w:val="en-US"/>
        </w:rPr>
        <w:t xml:space="preserve"> </w:t>
      </w:r>
      <w:r w:rsidRPr="00D337FA">
        <w:rPr>
          <w:color w:val="auto"/>
          <w:spacing w:val="-4"/>
          <w:sz w:val="19"/>
          <w:szCs w:val="19"/>
          <w:lang w:val="en-US"/>
        </w:rPr>
        <w:t>should</w:t>
      </w:r>
      <w:r w:rsidR="006C680D" w:rsidRPr="00D337FA">
        <w:rPr>
          <w:color w:val="auto"/>
          <w:spacing w:val="-4"/>
          <w:sz w:val="19"/>
          <w:szCs w:val="19"/>
          <w:lang w:val="en-US"/>
        </w:rPr>
        <w:t xml:space="preserve"> </w:t>
      </w:r>
      <w:r w:rsidRPr="00D337FA">
        <w:rPr>
          <w:color w:val="auto"/>
          <w:spacing w:val="-4"/>
          <w:sz w:val="19"/>
          <w:szCs w:val="19"/>
          <w:lang w:val="en-US"/>
        </w:rPr>
        <w:t>have</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theme</w:t>
      </w:r>
      <w:r w:rsidR="006C680D" w:rsidRPr="00D337FA">
        <w:rPr>
          <w:color w:val="auto"/>
          <w:spacing w:val="-4"/>
          <w:sz w:val="19"/>
          <w:szCs w:val="19"/>
          <w:lang w:val="en-US"/>
        </w:rPr>
        <w:t xml:space="preserve"> </w:t>
      </w:r>
      <w:r w:rsidRPr="00D337FA">
        <w:rPr>
          <w:color w:val="auto"/>
          <w:spacing w:val="-4"/>
          <w:sz w:val="19"/>
          <w:szCs w:val="19"/>
          <w:lang w:val="en-US"/>
        </w:rPr>
        <w:t>headings.</w:t>
      </w:r>
      <w:r w:rsidR="006C680D" w:rsidRPr="00D337FA">
        <w:rPr>
          <w:color w:val="auto"/>
          <w:spacing w:val="-4"/>
          <w:sz w:val="19"/>
          <w:szCs w:val="19"/>
          <w:lang w:val="en-US"/>
        </w:rPr>
        <w:t xml:space="preserve"> </w:t>
      </w:r>
      <w:r w:rsidRPr="00D337FA">
        <w:rPr>
          <w:color w:val="auto"/>
          <w:spacing w:val="-4"/>
          <w:sz w:val="19"/>
          <w:szCs w:val="19"/>
          <w:lang w:val="en-US"/>
        </w:rPr>
        <w:t>Illustration</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must</w:t>
      </w:r>
      <w:r w:rsidR="006C680D" w:rsidRPr="00D337FA">
        <w:rPr>
          <w:color w:val="auto"/>
          <w:spacing w:val="-4"/>
          <w:sz w:val="19"/>
          <w:szCs w:val="19"/>
          <w:lang w:val="en-US"/>
        </w:rPr>
        <w:t xml:space="preserve"> </w:t>
      </w:r>
      <w:r w:rsidRPr="00D337FA">
        <w:rPr>
          <w:color w:val="auto"/>
          <w:spacing w:val="-4"/>
          <w:sz w:val="19"/>
          <w:szCs w:val="19"/>
          <w:lang w:val="en-US"/>
        </w:rPr>
        <w:t>fit</w:t>
      </w:r>
      <w:r w:rsidR="006C680D" w:rsidRPr="00D337FA">
        <w:rPr>
          <w:color w:val="auto"/>
          <w:spacing w:val="-4"/>
          <w:sz w:val="19"/>
          <w:szCs w:val="19"/>
          <w:lang w:val="en-US"/>
        </w:rPr>
        <w:t xml:space="preserve"> </w:t>
      </w:r>
      <w:r w:rsidRPr="00D337FA">
        <w:rPr>
          <w:color w:val="auto"/>
          <w:spacing w:val="-4"/>
          <w:sz w:val="19"/>
          <w:szCs w:val="19"/>
          <w:lang w:val="en-US"/>
        </w:rPr>
        <w:t>into</w:t>
      </w:r>
      <w:r w:rsidR="006C680D" w:rsidRPr="00D337FA">
        <w:rPr>
          <w:color w:val="auto"/>
          <w:spacing w:val="-4"/>
          <w:sz w:val="19"/>
          <w:szCs w:val="19"/>
          <w:lang w:val="en-US"/>
        </w:rPr>
        <w:t xml:space="preserve"> </w:t>
      </w:r>
      <w:r w:rsidRPr="00D337FA">
        <w:rPr>
          <w:color w:val="auto"/>
          <w:spacing w:val="-4"/>
          <w:sz w:val="19"/>
          <w:szCs w:val="19"/>
          <w:lang w:val="en-US"/>
        </w:rPr>
        <w:t>one</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standard</w:t>
      </w:r>
      <w:r w:rsidR="006C680D" w:rsidRPr="00D337FA">
        <w:rPr>
          <w:color w:val="auto"/>
          <w:spacing w:val="-4"/>
          <w:sz w:val="19"/>
          <w:szCs w:val="19"/>
          <w:lang w:val="en-US"/>
        </w:rPr>
        <w:t xml:space="preserve"> </w:t>
      </w:r>
      <w:r w:rsidRPr="00D337FA">
        <w:rPr>
          <w:color w:val="auto"/>
          <w:spacing w:val="-4"/>
          <w:sz w:val="19"/>
          <w:szCs w:val="19"/>
          <w:lang w:val="en-US"/>
        </w:rPr>
        <w:t>formats</w:t>
      </w:r>
      <w:r w:rsidR="006C680D" w:rsidRPr="00D337FA">
        <w:rPr>
          <w:color w:val="auto"/>
          <w:spacing w:val="-4"/>
          <w:sz w:val="19"/>
          <w:szCs w:val="19"/>
          <w:lang w:val="en-US"/>
        </w:rPr>
        <w:t xml:space="preserve"> </w:t>
      </w:r>
      <w:r w:rsidRPr="00D337FA">
        <w:rPr>
          <w:color w:val="auto"/>
          <w:spacing w:val="-4"/>
          <w:sz w:val="19"/>
          <w:szCs w:val="19"/>
          <w:lang w:val="en-US"/>
        </w:rPr>
        <w:t>(TIFF,</w:t>
      </w:r>
      <w:r w:rsidR="006C680D" w:rsidRPr="00D337FA">
        <w:rPr>
          <w:color w:val="auto"/>
          <w:spacing w:val="-4"/>
          <w:sz w:val="19"/>
          <w:szCs w:val="19"/>
          <w:lang w:val="en-US"/>
        </w:rPr>
        <w:t xml:space="preserve"> </w:t>
      </w:r>
      <w:r w:rsidRPr="00D337FA">
        <w:rPr>
          <w:color w:val="auto"/>
          <w:spacing w:val="-4"/>
          <w:sz w:val="19"/>
          <w:szCs w:val="19"/>
          <w:lang w:val="en-US"/>
        </w:rPr>
        <w:t>JPEG,</w:t>
      </w:r>
      <w:r w:rsidR="006C680D" w:rsidRPr="00D337FA">
        <w:rPr>
          <w:color w:val="auto"/>
          <w:spacing w:val="-4"/>
          <w:sz w:val="19"/>
          <w:szCs w:val="19"/>
          <w:lang w:val="en-US"/>
        </w:rPr>
        <w:t xml:space="preserve"> </w:t>
      </w:r>
      <w:r w:rsidRPr="00D337FA">
        <w:rPr>
          <w:color w:val="auto"/>
          <w:spacing w:val="-4"/>
          <w:sz w:val="19"/>
          <w:szCs w:val="19"/>
          <w:lang w:val="en-US"/>
        </w:rPr>
        <w:t>PNG)</w:t>
      </w:r>
      <w:r w:rsidR="006C680D" w:rsidRPr="00D337FA">
        <w:rPr>
          <w:color w:val="auto"/>
          <w:spacing w:val="-4"/>
          <w:sz w:val="19"/>
          <w:szCs w:val="19"/>
          <w:lang w:val="en-US"/>
        </w:rPr>
        <w:t xml:space="preserve"> </w:t>
      </w:r>
      <w:r w:rsidRPr="00D337FA">
        <w:rPr>
          <w:color w:val="auto"/>
          <w:spacing w:val="-4"/>
          <w:sz w:val="19"/>
          <w:szCs w:val="19"/>
          <w:lang w:val="en-US"/>
        </w:rPr>
        <w:t>with</w:t>
      </w:r>
      <w:r w:rsidR="006C680D" w:rsidRPr="00D337FA">
        <w:rPr>
          <w:color w:val="auto"/>
          <w:spacing w:val="-4"/>
          <w:sz w:val="19"/>
          <w:szCs w:val="19"/>
          <w:lang w:val="en-US"/>
        </w:rPr>
        <w:t xml:space="preserve"> </w:t>
      </w:r>
      <w:r w:rsidRPr="00D337FA">
        <w:rPr>
          <w:color w:val="auto"/>
          <w:spacing w:val="-4"/>
          <w:sz w:val="19"/>
          <w:szCs w:val="19"/>
          <w:lang w:val="en-US"/>
        </w:rPr>
        <w:t>dimension</w:t>
      </w:r>
      <w:r w:rsidR="006C680D" w:rsidRPr="00D337FA">
        <w:rPr>
          <w:color w:val="auto"/>
          <w:spacing w:val="-4"/>
          <w:sz w:val="19"/>
          <w:szCs w:val="19"/>
          <w:lang w:val="en-US"/>
        </w:rPr>
        <w:t xml:space="preserve"> </w:t>
      </w:r>
      <w:r w:rsidRPr="00D337FA">
        <w:rPr>
          <w:color w:val="auto"/>
          <w:spacing w:val="-4"/>
          <w:sz w:val="19"/>
          <w:szCs w:val="19"/>
          <w:lang w:val="en-US"/>
        </w:rPr>
        <w:t>at</w:t>
      </w:r>
      <w:r w:rsidR="006C680D" w:rsidRPr="00D337FA">
        <w:rPr>
          <w:color w:val="auto"/>
          <w:spacing w:val="-4"/>
          <w:sz w:val="19"/>
          <w:szCs w:val="19"/>
          <w:lang w:val="en-US"/>
        </w:rPr>
        <w:t xml:space="preserve"> </w:t>
      </w:r>
      <w:r w:rsidRPr="00D337FA">
        <w:rPr>
          <w:color w:val="auto"/>
          <w:spacing w:val="-4"/>
          <w:sz w:val="19"/>
          <w:szCs w:val="19"/>
          <w:lang w:val="en-US"/>
        </w:rPr>
        <w:t>least</w:t>
      </w:r>
      <w:r w:rsidR="006C680D" w:rsidRPr="00D337FA">
        <w:rPr>
          <w:color w:val="auto"/>
          <w:spacing w:val="-4"/>
          <w:sz w:val="19"/>
          <w:szCs w:val="19"/>
          <w:lang w:val="en-US"/>
        </w:rPr>
        <w:t xml:space="preserve"> </w:t>
      </w:r>
      <w:r w:rsidRPr="00D337FA">
        <w:rPr>
          <w:color w:val="auto"/>
          <w:spacing w:val="-4"/>
          <w:sz w:val="19"/>
          <w:szCs w:val="19"/>
          <w:lang w:val="en-US"/>
        </w:rPr>
        <w:t>300</w:t>
      </w:r>
      <w:r w:rsidR="006C680D" w:rsidRPr="00D337FA">
        <w:rPr>
          <w:color w:val="auto"/>
          <w:spacing w:val="-4"/>
          <w:sz w:val="19"/>
          <w:szCs w:val="19"/>
          <w:lang w:val="en-US"/>
        </w:rPr>
        <w:t xml:space="preserve"> </w:t>
      </w:r>
      <w:r w:rsidRPr="00D337FA">
        <w:rPr>
          <w:color w:val="auto"/>
          <w:spacing w:val="-4"/>
          <w:sz w:val="19"/>
          <w:szCs w:val="19"/>
          <w:lang w:val="en-US"/>
        </w:rPr>
        <w:t>dpi</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published</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black</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white</w:t>
      </w:r>
      <w:r w:rsidR="006C680D" w:rsidRPr="00D337FA">
        <w:rPr>
          <w:color w:val="auto"/>
          <w:spacing w:val="-4"/>
          <w:sz w:val="19"/>
          <w:szCs w:val="19"/>
          <w:lang w:val="en-US"/>
        </w:rPr>
        <w:t xml:space="preserve"> </w:t>
      </w:r>
      <w:r w:rsidRPr="00D337FA">
        <w:rPr>
          <w:color w:val="auto"/>
          <w:spacing w:val="-4"/>
          <w:sz w:val="19"/>
          <w:szCs w:val="19"/>
          <w:lang w:val="en-US"/>
        </w:rPr>
        <w:t>(gray</w:t>
      </w:r>
      <w:r w:rsidR="006C680D" w:rsidRPr="00D337FA">
        <w:rPr>
          <w:color w:val="auto"/>
          <w:spacing w:val="-4"/>
          <w:sz w:val="19"/>
          <w:szCs w:val="19"/>
          <w:lang w:val="en-US"/>
        </w:rPr>
        <w:t xml:space="preserve"> </w:t>
      </w:r>
      <w:r w:rsidRPr="00D337FA">
        <w:rPr>
          <w:color w:val="auto"/>
          <w:spacing w:val="-4"/>
          <w:sz w:val="19"/>
          <w:szCs w:val="19"/>
          <w:lang w:val="en-US"/>
        </w:rPr>
        <w:t>scale)</w:t>
      </w:r>
      <w:r w:rsidR="006C680D" w:rsidRPr="00D337FA">
        <w:rPr>
          <w:color w:val="auto"/>
          <w:spacing w:val="-4"/>
          <w:sz w:val="19"/>
          <w:szCs w:val="19"/>
          <w:lang w:val="en-US"/>
        </w:rPr>
        <w:t xml:space="preserve"> </w:t>
      </w:r>
      <w:r w:rsidRPr="00D337FA">
        <w:rPr>
          <w:color w:val="auto"/>
          <w:spacing w:val="-4"/>
          <w:sz w:val="19"/>
          <w:szCs w:val="19"/>
          <w:lang w:val="en-US"/>
        </w:rPr>
        <w:t>version.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quality</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pictures</w:t>
      </w:r>
      <w:r w:rsidR="006C680D" w:rsidRPr="00D337FA">
        <w:rPr>
          <w:color w:val="auto"/>
          <w:spacing w:val="-4"/>
          <w:sz w:val="19"/>
          <w:szCs w:val="19"/>
          <w:lang w:val="en-US"/>
        </w:rPr>
        <w:t xml:space="preserve"> </w:t>
      </w:r>
      <w:r w:rsidRPr="00D337FA">
        <w:rPr>
          <w:color w:val="auto"/>
          <w:spacing w:val="-4"/>
          <w:sz w:val="19"/>
          <w:szCs w:val="19"/>
          <w:lang w:val="en-US"/>
        </w:rPr>
        <w:t>should</w:t>
      </w:r>
      <w:r w:rsidR="006C680D" w:rsidRPr="00D337FA">
        <w:rPr>
          <w:color w:val="auto"/>
          <w:spacing w:val="-4"/>
          <w:sz w:val="19"/>
          <w:szCs w:val="19"/>
          <w:lang w:val="en-US"/>
        </w:rPr>
        <w:t xml:space="preserve"> </w:t>
      </w:r>
      <w:r w:rsidRPr="00D337FA">
        <w:rPr>
          <w:color w:val="auto"/>
          <w:spacing w:val="-4"/>
          <w:sz w:val="19"/>
          <w:szCs w:val="19"/>
          <w:lang w:val="en-US"/>
        </w:rPr>
        <w:t>enable</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print</w:t>
      </w:r>
      <w:r w:rsidR="006C680D" w:rsidRPr="00D337FA">
        <w:rPr>
          <w:color w:val="auto"/>
          <w:spacing w:val="-4"/>
          <w:sz w:val="19"/>
          <w:szCs w:val="19"/>
          <w:lang w:val="en-US"/>
        </w:rPr>
        <w:t xml:space="preserve"> </w:t>
      </w:r>
      <w:r w:rsidRPr="00D337FA">
        <w:rPr>
          <w:color w:val="auto"/>
          <w:spacing w:val="-4"/>
          <w:sz w:val="19"/>
          <w:szCs w:val="19"/>
          <w:lang w:val="en-US"/>
        </w:rPr>
        <w:t>them</w:t>
      </w:r>
      <w:r w:rsidR="006C680D" w:rsidRPr="00D337FA">
        <w:rPr>
          <w:color w:val="auto"/>
          <w:spacing w:val="-4"/>
          <w:sz w:val="19"/>
          <w:szCs w:val="19"/>
          <w:lang w:val="en-US"/>
        </w:rPr>
        <w:t xml:space="preserve"> </w:t>
      </w:r>
      <w:r w:rsidRPr="00D337FA">
        <w:rPr>
          <w:color w:val="auto"/>
          <w:spacing w:val="-4"/>
          <w:sz w:val="19"/>
          <w:szCs w:val="19"/>
          <w:lang w:val="en-US"/>
        </w:rPr>
        <w:t>without</w:t>
      </w:r>
      <w:r w:rsidR="006C680D" w:rsidRPr="00D337FA">
        <w:rPr>
          <w:color w:val="auto"/>
          <w:spacing w:val="-4"/>
          <w:sz w:val="19"/>
          <w:szCs w:val="19"/>
          <w:lang w:val="en-US"/>
        </w:rPr>
        <w:t xml:space="preserve"> </w:t>
      </w:r>
      <w:r w:rsidRPr="00D337FA">
        <w:rPr>
          <w:color w:val="auto"/>
          <w:spacing w:val="-4"/>
          <w:sz w:val="19"/>
          <w:szCs w:val="19"/>
          <w:lang w:val="en-US"/>
        </w:rPr>
        <w:t>further</w:t>
      </w:r>
      <w:r w:rsidR="006C680D" w:rsidRPr="00D337FA">
        <w:rPr>
          <w:color w:val="auto"/>
          <w:spacing w:val="-4"/>
          <w:sz w:val="19"/>
          <w:szCs w:val="19"/>
          <w:lang w:val="en-US"/>
        </w:rPr>
        <w:t xml:space="preserve"> </w:t>
      </w:r>
      <w:r w:rsidRPr="00D337FA">
        <w:rPr>
          <w:color w:val="auto"/>
          <w:spacing w:val="-4"/>
          <w:sz w:val="19"/>
          <w:szCs w:val="19"/>
          <w:lang w:val="en-US"/>
        </w:rPr>
        <w:t>processing.</w:t>
      </w:r>
      <w:r w:rsidR="006C680D" w:rsidRPr="00D337FA">
        <w:rPr>
          <w:color w:val="auto"/>
          <w:spacing w:val="-4"/>
          <w:sz w:val="19"/>
          <w:szCs w:val="19"/>
          <w:lang w:val="en-US"/>
        </w:rPr>
        <w:t xml:space="preserve"> </w:t>
      </w:r>
      <w:r w:rsidRPr="00D337FA">
        <w:rPr>
          <w:color w:val="auto"/>
          <w:spacing w:val="-4"/>
          <w:sz w:val="19"/>
          <w:szCs w:val="19"/>
          <w:lang w:val="en-US"/>
        </w:rPr>
        <w:t>Pictures</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MSWord</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notacceptable.</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«Insert-Picture-From</w:t>
      </w:r>
      <w:r w:rsidR="006C680D" w:rsidRPr="00D337FA">
        <w:rPr>
          <w:color w:val="auto"/>
          <w:spacing w:val="-4"/>
          <w:sz w:val="19"/>
          <w:szCs w:val="19"/>
          <w:lang w:val="en-US"/>
        </w:rPr>
        <w:t xml:space="preserve"> </w:t>
      </w:r>
      <w:r w:rsidRPr="00D337FA">
        <w:rPr>
          <w:color w:val="auto"/>
          <w:spacing w:val="-4"/>
          <w:sz w:val="19"/>
          <w:szCs w:val="19"/>
          <w:lang w:val="en-US"/>
        </w:rPr>
        <w:t>File"</w:t>
      </w:r>
      <w:r w:rsidR="006C680D" w:rsidRPr="00D337FA">
        <w:rPr>
          <w:color w:val="auto"/>
          <w:spacing w:val="-4"/>
          <w:sz w:val="19"/>
          <w:szCs w:val="19"/>
          <w:lang w:val="en-US"/>
        </w:rPr>
        <w:t xml:space="preserve"> </w:t>
      </w:r>
      <w:r w:rsidRPr="00D337FA">
        <w:rPr>
          <w:color w:val="auto"/>
          <w:spacing w:val="-4"/>
          <w:sz w:val="19"/>
          <w:szCs w:val="19"/>
          <w:lang w:val="en-US"/>
        </w:rPr>
        <w:t>wrapped</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centered</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page,</w:t>
      </w:r>
      <w:r w:rsidR="006C680D" w:rsidRPr="00D337FA">
        <w:rPr>
          <w:color w:val="auto"/>
          <w:spacing w:val="-4"/>
          <w:sz w:val="19"/>
          <w:szCs w:val="19"/>
          <w:lang w:val="en-US"/>
        </w:rPr>
        <w:t xml:space="preserve"> </w:t>
      </w:r>
      <w:r w:rsidRPr="00D337FA">
        <w:rPr>
          <w:color w:val="auto"/>
          <w:spacing w:val="-4"/>
          <w:sz w:val="19"/>
          <w:szCs w:val="19"/>
          <w:lang w:val="en-US"/>
        </w:rPr>
        <w:t>without</w:t>
      </w:r>
      <w:r w:rsidR="006C680D" w:rsidRPr="00D337FA">
        <w:rPr>
          <w:color w:val="auto"/>
          <w:spacing w:val="-4"/>
          <w:sz w:val="19"/>
          <w:szCs w:val="19"/>
          <w:lang w:val="en-US"/>
        </w:rPr>
        <w:t xml:space="preserve"> </w:t>
      </w:r>
      <w:r w:rsidRPr="00D337FA">
        <w:rPr>
          <w:color w:val="auto"/>
          <w:spacing w:val="-4"/>
          <w:sz w:val="19"/>
          <w:szCs w:val="19"/>
          <w:lang w:val="en-US"/>
        </w:rPr>
        <w:t>indentation.</w:t>
      </w:r>
      <w:r w:rsidR="006C680D" w:rsidRPr="00D337FA">
        <w:rPr>
          <w:color w:val="auto"/>
          <w:spacing w:val="-4"/>
          <w:sz w:val="19"/>
          <w:szCs w:val="19"/>
          <w:lang w:val="en-US"/>
        </w:rPr>
        <w:t xml:space="preserve"> </w:t>
      </w:r>
      <w:r w:rsidRPr="00D337FA">
        <w:rPr>
          <w:color w:val="auto"/>
          <w:spacing w:val="-4"/>
          <w:sz w:val="19"/>
          <w:szCs w:val="19"/>
          <w:lang w:val="en-US"/>
        </w:rPr>
        <w:t>Other</w:t>
      </w:r>
      <w:r w:rsidR="006C680D" w:rsidRPr="00D337FA">
        <w:rPr>
          <w:color w:val="auto"/>
          <w:spacing w:val="-4"/>
          <w:sz w:val="19"/>
          <w:szCs w:val="19"/>
          <w:lang w:val="en-US"/>
        </w:rPr>
        <w:t xml:space="preserve"> </w:t>
      </w:r>
      <w:r w:rsidRPr="00D337FA">
        <w:rPr>
          <w:color w:val="auto"/>
          <w:spacing w:val="-4"/>
          <w:sz w:val="19"/>
          <w:szCs w:val="19"/>
          <w:lang w:val="en-US"/>
        </w:rPr>
        <w:t>technologies</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insertion</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not</w:t>
      </w:r>
      <w:r w:rsidR="006C680D" w:rsidRPr="00D337FA">
        <w:rPr>
          <w:color w:val="auto"/>
          <w:spacing w:val="-4"/>
          <w:sz w:val="19"/>
          <w:szCs w:val="19"/>
          <w:lang w:val="en-US"/>
        </w:rPr>
        <w:t xml:space="preserve"> </w:t>
      </w:r>
      <w:r w:rsidRPr="00D337FA">
        <w:rPr>
          <w:color w:val="auto"/>
          <w:spacing w:val="-4"/>
          <w:sz w:val="19"/>
          <w:szCs w:val="19"/>
          <w:lang w:val="en-US"/>
        </w:rPr>
        <w:t>allowed.</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7.</w:t>
      </w:r>
      <w:r w:rsidR="006C680D" w:rsidRPr="00D337FA">
        <w:rPr>
          <w:color w:val="auto"/>
          <w:spacing w:val="-4"/>
          <w:sz w:val="19"/>
          <w:szCs w:val="19"/>
          <w:lang w:val="en-US"/>
        </w:rPr>
        <w:t xml:space="preserve"> </w:t>
      </w:r>
      <w:r w:rsidRPr="00D337FA">
        <w:rPr>
          <w:color w:val="auto"/>
          <w:spacing w:val="-4"/>
          <w:sz w:val="19"/>
          <w:szCs w:val="19"/>
          <w:lang w:val="en-US"/>
        </w:rPr>
        <w:t>References</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article</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required,</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must</w:t>
      </w:r>
      <w:r w:rsidR="006C680D" w:rsidRPr="00D337FA">
        <w:rPr>
          <w:color w:val="auto"/>
          <w:spacing w:val="-4"/>
          <w:sz w:val="19"/>
          <w:szCs w:val="19"/>
          <w:lang w:val="en-US"/>
        </w:rPr>
        <w:t xml:space="preserve"> </w:t>
      </w:r>
      <w:r w:rsidRPr="00D337FA">
        <w:rPr>
          <w:color w:val="auto"/>
          <w:spacing w:val="-4"/>
          <w:sz w:val="19"/>
          <w:szCs w:val="19"/>
          <w:lang w:val="en-US"/>
        </w:rPr>
        <w:t>include</w:t>
      </w:r>
      <w:r w:rsidR="006C680D" w:rsidRPr="00D337FA">
        <w:rPr>
          <w:color w:val="auto"/>
          <w:spacing w:val="-4"/>
          <w:sz w:val="19"/>
          <w:szCs w:val="19"/>
          <w:lang w:val="en-US"/>
        </w:rPr>
        <w:t xml:space="preserve"> </w:t>
      </w:r>
      <w:r w:rsidRPr="00D337FA">
        <w:rPr>
          <w:color w:val="auto"/>
          <w:spacing w:val="-4"/>
          <w:sz w:val="19"/>
          <w:szCs w:val="19"/>
          <w:lang w:val="en-US"/>
        </w:rPr>
        <w:t>all</w:t>
      </w:r>
      <w:r w:rsidR="006C680D" w:rsidRPr="00D337FA">
        <w:rPr>
          <w:color w:val="auto"/>
          <w:spacing w:val="-4"/>
          <w:sz w:val="19"/>
          <w:szCs w:val="19"/>
          <w:lang w:val="en-US"/>
        </w:rPr>
        <w:t xml:space="preserve"> </w:t>
      </w:r>
      <w:r w:rsidRPr="00D337FA">
        <w:rPr>
          <w:color w:val="auto"/>
          <w:spacing w:val="-4"/>
          <w:sz w:val="19"/>
          <w:szCs w:val="19"/>
          <w:lang w:val="en-US"/>
        </w:rPr>
        <w:t>cited</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referred</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works</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paper.</w:t>
      </w:r>
      <w:r w:rsidR="006C680D" w:rsidRPr="00D337FA">
        <w:rPr>
          <w:color w:val="auto"/>
          <w:spacing w:val="-4"/>
          <w:sz w:val="19"/>
          <w:szCs w:val="19"/>
          <w:lang w:val="en-US"/>
        </w:rPr>
        <w:t xml:space="preserve"> </w:t>
      </w:r>
      <w:r w:rsidRPr="00D337FA">
        <w:rPr>
          <w:color w:val="auto"/>
          <w:spacing w:val="-4"/>
          <w:sz w:val="19"/>
          <w:szCs w:val="19"/>
          <w:lang w:val="en-US"/>
        </w:rPr>
        <w:t>Bibliographic</w:t>
      </w:r>
      <w:r w:rsidR="006C680D" w:rsidRPr="00D337FA">
        <w:rPr>
          <w:color w:val="auto"/>
          <w:spacing w:val="-4"/>
          <w:sz w:val="19"/>
          <w:szCs w:val="19"/>
          <w:lang w:val="en-US"/>
        </w:rPr>
        <w:t xml:space="preserve"> </w:t>
      </w:r>
      <w:r w:rsidRPr="00D337FA">
        <w:rPr>
          <w:color w:val="auto"/>
          <w:spacing w:val="-4"/>
          <w:sz w:val="19"/>
          <w:szCs w:val="19"/>
          <w:lang w:val="en-US"/>
        </w:rPr>
        <w:t>list</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be</w:t>
      </w:r>
      <w:r w:rsidR="006C680D" w:rsidRPr="00D337FA">
        <w:rPr>
          <w:color w:val="auto"/>
          <w:spacing w:val="-4"/>
          <w:sz w:val="19"/>
          <w:szCs w:val="19"/>
          <w:lang w:val="en-US"/>
        </w:rPr>
        <w:t xml:space="preserve"> </w:t>
      </w:r>
      <w:r w:rsidRPr="00D337FA">
        <w:rPr>
          <w:color w:val="auto"/>
          <w:spacing w:val="-4"/>
          <w:sz w:val="19"/>
          <w:szCs w:val="19"/>
          <w:lang w:val="en-US"/>
        </w:rPr>
        <w:t>drawn</w:t>
      </w:r>
      <w:r w:rsidR="006C680D" w:rsidRPr="00D337FA">
        <w:rPr>
          <w:color w:val="auto"/>
          <w:spacing w:val="-4"/>
          <w:sz w:val="19"/>
          <w:szCs w:val="19"/>
          <w:lang w:val="en-US"/>
        </w:rPr>
        <w:t xml:space="preserve"> </w:t>
      </w:r>
      <w:r w:rsidRPr="00D337FA">
        <w:rPr>
          <w:color w:val="auto"/>
          <w:spacing w:val="-4"/>
          <w:sz w:val="19"/>
          <w:szCs w:val="19"/>
          <w:lang w:val="en-US"/>
        </w:rPr>
        <w:t>up</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accordance</w:t>
      </w:r>
      <w:r w:rsidR="006C680D" w:rsidRPr="00D337FA">
        <w:rPr>
          <w:color w:val="auto"/>
          <w:spacing w:val="-4"/>
          <w:sz w:val="19"/>
          <w:szCs w:val="19"/>
          <w:lang w:val="en-US"/>
        </w:rPr>
        <w:t xml:space="preserve"> </w:t>
      </w:r>
      <w:r w:rsidRPr="00D337FA">
        <w:rPr>
          <w:color w:val="auto"/>
          <w:spacing w:val="-4"/>
          <w:sz w:val="19"/>
          <w:szCs w:val="19"/>
          <w:lang w:val="en-US"/>
        </w:rPr>
        <w:t>with</w:t>
      </w:r>
      <w:r w:rsidR="006C680D" w:rsidRPr="00D337FA">
        <w:rPr>
          <w:color w:val="auto"/>
          <w:spacing w:val="-4"/>
          <w:sz w:val="19"/>
          <w:szCs w:val="19"/>
          <w:lang w:val="en-US"/>
        </w:rPr>
        <w:t xml:space="preserve"> </w:t>
      </w:r>
      <w:r w:rsidRPr="00D337FA">
        <w:rPr>
          <w:color w:val="auto"/>
          <w:spacing w:val="-4"/>
          <w:sz w:val="19"/>
          <w:szCs w:val="19"/>
          <w:lang w:val="en-US"/>
        </w:rPr>
        <w:t>GOST</w:t>
      </w:r>
      <w:r w:rsidR="006C680D" w:rsidRPr="00D337FA">
        <w:rPr>
          <w:color w:val="auto"/>
          <w:spacing w:val="-4"/>
          <w:sz w:val="19"/>
          <w:szCs w:val="19"/>
          <w:lang w:val="en-US"/>
        </w:rPr>
        <w:t xml:space="preserve"> </w:t>
      </w:r>
      <w:r w:rsidRPr="00D337FA">
        <w:rPr>
          <w:color w:val="auto"/>
          <w:spacing w:val="-4"/>
          <w:sz w:val="19"/>
          <w:szCs w:val="19"/>
          <w:lang w:val="en-US"/>
        </w:rPr>
        <w:t>R</w:t>
      </w:r>
      <w:r w:rsidR="006C680D" w:rsidRPr="00D337FA">
        <w:rPr>
          <w:color w:val="auto"/>
          <w:spacing w:val="-4"/>
          <w:sz w:val="19"/>
          <w:szCs w:val="19"/>
          <w:lang w:val="en-US"/>
        </w:rPr>
        <w:t xml:space="preserve"> </w:t>
      </w:r>
      <w:r w:rsidRPr="00D337FA">
        <w:rPr>
          <w:color w:val="auto"/>
          <w:spacing w:val="-4"/>
          <w:sz w:val="19"/>
          <w:szCs w:val="19"/>
          <w:lang w:val="en-US"/>
        </w:rPr>
        <w:t>7.0.5-2008.</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«Bibliographic</w:t>
      </w:r>
      <w:r w:rsidR="006C680D" w:rsidRPr="00D337FA">
        <w:rPr>
          <w:color w:val="auto"/>
          <w:spacing w:val="-4"/>
          <w:sz w:val="19"/>
          <w:szCs w:val="19"/>
          <w:lang w:val="en-US"/>
        </w:rPr>
        <w:t xml:space="preserve"> </w:t>
      </w:r>
      <w:r w:rsidRPr="00D337FA">
        <w:rPr>
          <w:color w:val="auto"/>
          <w:spacing w:val="-4"/>
          <w:sz w:val="19"/>
          <w:szCs w:val="19"/>
          <w:lang w:val="en-US"/>
        </w:rPr>
        <w:t>references.</w:t>
      </w:r>
      <w:r w:rsidR="006C680D" w:rsidRPr="00D337FA">
        <w:rPr>
          <w:color w:val="auto"/>
          <w:spacing w:val="-4"/>
          <w:sz w:val="19"/>
          <w:szCs w:val="19"/>
          <w:lang w:val="en-US"/>
        </w:rPr>
        <w:t xml:space="preserve"> </w:t>
      </w:r>
      <w:r w:rsidRPr="00D337FA">
        <w:rPr>
          <w:color w:val="auto"/>
          <w:spacing w:val="-4"/>
          <w:sz w:val="19"/>
          <w:szCs w:val="19"/>
          <w:lang w:val="en-US"/>
        </w:rPr>
        <w:t>General</w:t>
      </w:r>
      <w:r w:rsidR="006C680D" w:rsidRPr="00D337FA">
        <w:rPr>
          <w:color w:val="auto"/>
          <w:spacing w:val="-4"/>
          <w:sz w:val="19"/>
          <w:szCs w:val="19"/>
          <w:lang w:val="en-US"/>
        </w:rPr>
        <w:t xml:space="preserve"> </w:t>
      </w:r>
      <w:r w:rsidRPr="00D337FA">
        <w:rPr>
          <w:color w:val="auto"/>
          <w:spacing w:val="-4"/>
          <w:sz w:val="19"/>
          <w:szCs w:val="19"/>
          <w:lang w:val="en-US"/>
        </w:rPr>
        <w:t>requirements</w:t>
      </w:r>
      <w:r w:rsidR="006C680D" w:rsidRPr="00D337FA">
        <w:rPr>
          <w:color w:val="auto"/>
          <w:spacing w:val="-4"/>
          <w:sz w:val="19"/>
          <w:szCs w:val="19"/>
          <w:lang w:val="en-US"/>
        </w:rPr>
        <w:t xml:space="preserve"> </w:t>
      </w:r>
      <w:r w:rsidRPr="00D337FA">
        <w:rPr>
          <w:color w:val="auto"/>
          <w:spacing w:val="-4"/>
          <w:sz w:val="19"/>
          <w:szCs w:val="19"/>
          <w:lang w:val="en-US"/>
        </w:rPr>
        <w:t>and</w:t>
      </w:r>
      <w:r w:rsidR="006C680D" w:rsidRPr="00D337FA">
        <w:rPr>
          <w:color w:val="auto"/>
          <w:spacing w:val="-4"/>
          <w:sz w:val="19"/>
          <w:szCs w:val="19"/>
          <w:lang w:val="en-US"/>
        </w:rPr>
        <w:t xml:space="preserve"> </w:t>
      </w:r>
      <w:r w:rsidRPr="00D337FA">
        <w:rPr>
          <w:color w:val="auto"/>
          <w:spacing w:val="-4"/>
          <w:sz w:val="19"/>
          <w:szCs w:val="19"/>
          <w:lang w:val="en-US"/>
        </w:rPr>
        <w:t>rules».</w:t>
      </w:r>
      <w:r w:rsidR="006C680D" w:rsidRPr="00D337FA">
        <w:rPr>
          <w:color w:val="auto"/>
          <w:spacing w:val="-4"/>
          <w:sz w:val="19"/>
          <w:szCs w:val="19"/>
          <w:lang w:val="en-US"/>
        </w:rPr>
        <w:t xml:space="preserve"> </w:t>
      </w:r>
      <w:r w:rsidRPr="00D337FA">
        <w:rPr>
          <w:color w:val="auto"/>
          <w:spacing w:val="-4"/>
          <w:sz w:val="19"/>
          <w:szCs w:val="19"/>
          <w:lang w:val="en-US"/>
        </w:rPr>
        <w:t>Links</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works</w:t>
      </w:r>
      <w:r w:rsidR="006C680D" w:rsidRPr="00D337FA">
        <w:rPr>
          <w:color w:val="auto"/>
          <w:spacing w:val="-4"/>
          <w:sz w:val="19"/>
          <w:szCs w:val="19"/>
          <w:lang w:val="en-US"/>
        </w:rPr>
        <w:t xml:space="preserve"> </w:t>
      </w:r>
      <w:r w:rsidRPr="00D337FA">
        <w:rPr>
          <w:color w:val="auto"/>
          <w:spacing w:val="-4"/>
          <w:sz w:val="19"/>
          <w:szCs w:val="19"/>
          <w:lang w:val="en-US"/>
        </w:rPr>
        <w:t>that</w:t>
      </w:r>
      <w:r w:rsidR="006C680D" w:rsidRPr="00D337FA">
        <w:rPr>
          <w:color w:val="auto"/>
          <w:spacing w:val="-4"/>
          <w:sz w:val="19"/>
          <w:szCs w:val="19"/>
          <w:lang w:val="en-US"/>
        </w:rPr>
        <w:t xml:space="preserve"> </w:t>
      </w:r>
      <w:r w:rsidRPr="00D337FA">
        <w:rPr>
          <w:color w:val="auto"/>
          <w:spacing w:val="-4"/>
          <w:sz w:val="19"/>
          <w:szCs w:val="19"/>
          <w:lang w:val="en-US"/>
        </w:rPr>
        <w:t>have</w:t>
      </w:r>
      <w:r w:rsidR="006C680D" w:rsidRPr="00D337FA">
        <w:rPr>
          <w:color w:val="auto"/>
          <w:spacing w:val="-4"/>
          <w:sz w:val="19"/>
          <w:szCs w:val="19"/>
          <w:lang w:val="en-US"/>
        </w:rPr>
        <w:t xml:space="preserve"> </w:t>
      </w:r>
      <w:r w:rsidRPr="00D337FA">
        <w:rPr>
          <w:color w:val="auto"/>
          <w:spacing w:val="-4"/>
          <w:sz w:val="19"/>
          <w:szCs w:val="19"/>
          <w:lang w:val="en-US"/>
        </w:rPr>
        <w:t>not</w:t>
      </w:r>
      <w:r w:rsidR="006C680D" w:rsidRPr="00D337FA">
        <w:rPr>
          <w:color w:val="auto"/>
          <w:spacing w:val="-4"/>
          <w:sz w:val="19"/>
          <w:szCs w:val="19"/>
          <w:lang w:val="en-US"/>
        </w:rPr>
        <w:t xml:space="preserve"> </w:t>
      </w:r>
      <w:r w:rsidRPr="00D337FA">
        <w:rPr>
          <w:color w:val="auto"/>
          <w:spacing w:val="-4"/>
          <w:sz w:val="19"/>
          <w:szCs w:val="19"/>
          <w:lang w:val="en-US"/>
        </w:rPr>
        <w:t>been</w:t>
      </w:r>
      <w:r w:rsidR="006C680D" w:rsidRPr="00D337FA">
        <w:rPr>
          <w:color w:val="auto"/>
          <w:spacing w:val="-4"/>
          <w:sz w:val="19"/>
          <w:szCs w:val="19"/>
          <w:lang w:val="en-US"/>
        </w:rPr>
        <w:t xml:space="preserve"> </w:t>
      </w:r>
      <w:r w:rsidRPr="00D337FA">
        <w:rPr>
          <w:color w:val="auto"/>
          <w:spacing w:val="-4"/>
          <w:sz w:val="19"/>
          <w:szCs w:val="19"/>
          <w:lang w:val="en-US"/>
        </w:rPr>
        <w:t>published</w:t>
      </w:r>
      <w:r w:rsidR="006C680D" w:rsidRPr="00D337FA">
        <w:rPr>
          <w:color w:val="auto"/>
          <w:spacing w:val="-4"/>
          <w:sz w:val="19"/>
          <w:szCs w:val="19"/>
          <w:lang w:val="en-US"/>
        </w:rPr>
        <w:t xml:space="preserve"> </w:t>
      </w:r>
      <w:r w:rsidRPr="00D337FA">
        <w:rPr>
          <w:color w:val="auto"/>
          <w:spacing w:val="-4"/>
          <w:sz w:val="19"/>
          <w:szCs w:val="19"/>
          <w:lang w:val="en-US"/>
        </w:rPr>
        <w:t>yet</w:t>
      </w:r>
      <w:r w:rsidR="006C680D" w:rsidRPr="00D337FA">
        <w:rPr>
          <w:color w:val="auto"/>
          <w:spacing w:val="-4"/>
          <w:sz w:val="19"/>
          <w:szCs w:val="19"/>
          <w:lang w:val="en-US"/>
        </w:rPr>
        <w:t xml:space="preserve"> </w:t>
      </w:r>
      <w:r w:rsidRPr="00D337FA">
        <w:rPr>
          <w:color w:val="auto"/>
          <w:spacing w:val="-4"/>
          <w:sz w:val="19"/>
          <w:szCs w:val="19"/>
          <w:lang w:val="en-US"/>
        </w:rPr>
        <w:t>are</w:t>
      </w:r>
      <w:r w:rsidR="006C680D" w:rsidRPr="00D337FA">
        <w:rPr>
          <w:color w:val="auto"/>
          <w:spacing w:val="-4"/>
          <w:sz w:val="19"/>
          <w:szCs w:val="19"/>
          <w:lang w:val="en-US"/>
        </w:rPr>
        <w:t xml:space="preserve"> </w:t>
      </w:r>
      <w:r w:rsidRPr="00D337FA">
        <w:rPr>
          <w:color w:val="auto"/>
          <w:spacing w:val="-4"/>
          <w:sz w:val="19"/>
          <w:szCs w:val="19"/>
          <w:lang w:val="en-US"/>
        </w:rPr>
        <w:t>not</w:t>
      </w:r>
      <w:r w:rsidR="006C680D" w:rsidRPr="00D337FA">
        <w:rPr>
          <w:color w:val="auto"/>
          <w:spacing w:val="-4"/>
          <w:sz w:val="19"/>
          <w:szCs w:val="19"/>
          <w:lang w:val="en-US"/>
        </w:rPr>
        <w:t xml:space="preserve"> </w:t>
      </w:r>
      <w:r w:rsidRPr="00D337FA">
        <w:rPr>
          <w:color w:val="auto"/>
          <w:spacing w:val="-4"/>
          <w:sz w:val="19"/>
          <w:szCs w:val="19"/>
          <w:lang w:val="en-US"/>
        </w:rPr>
        <w:t>allowed.</w:t>
      </w:r>
      <w:r w:rsidR="006C680D" w:rsidRPr="00D337FA">
        <w:rPr>
          <w:color w:val="auto"/>
          <w:spacing w:val="-4"/>
          <w:sz w:val="19"/>
          <w:szCs w:val="19"/>
          <w:lang w:val="en-US"/>
        </w:rPr>
        <w:t xml:space="preserve"> </w:t>
      </w:r>
      <w:r w:rsidRPr="00D337FA">
        <w:rPr>
          <w:color w:val="auto"/>
          <w:spacing w:val="-4"/>
          <w:sz w:val="19"/>
          <w:szCs w:val="19"/>
          <w:lang w:val="en-US"/>
        </w:rPr>
        <w:t>When</w:t>
      </w:r>
      <w:r w:rsidR="006C680D" w:rsidRPr="00D337FA">
        <w:rPr>
          <w:color w:val="auto"/>
          <w:spacing w:val="-4"/>
          <w:sz w:val="19"/>
          <w:szCs w:val="19"/>
          <w:lang w:val="en-US"/>
        </w:rPr>
        <w:t xml:space="preserve"> </w:t>
      </w:r>
      <w:r w:rsidRPr="00D337FA">
        <w:rPr>
          <w:color w:val="auto"/>
          <w:spacing w:val="-4"/>
          <w:sz w:val="19"/>
          <w:szCs w:val="19"/>
          <w:lang w:val="en-US"/>
        </w:rPr>
        <w:t>referring</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literature</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text</w:t>
      </w:r>
      <w:r w:rsidR="006C680D" w:rsidRPr="00D337FA">
        <w:rPr>
          <w:color w:val="auto"/>
          <w:spacing w:val="-4"/>
          <w:sz w:val="19"/>
          <w:szCs w:val="19"/>
          <w:lang w:val="en-US"/>
        </w:rPr>
        <w:t xml:space="preserve"> </w:t>
      </w:r>
      <w:r w:rsidRPr="00D337FA">
        <w:rPr>
          <w:color w:val="auto"/>
          <w:spacing w:val="-4"/>
          <w:sz w:val="19"/>
          <w:szCs w:val="19"/>
          <w:lang w:val="en-US"/>
        </w:rPr>
        <w:t>a</w:t>
      </w:r>
      <w:r w:rsidR="006C680D" w:rsidRPr="00D337FA">
        <w:rPr>
          <w:color w:val="auto"/>
          <w:spacing w:val="-4"/>
          <w:sz w:val="19"/>
          <w:szCs w:val="19"/>
          <w:lang w:val="en-US"/>
        </w:rPr>
        <w:t xml:space="preserve"> </w:t>
      </w:r>
      <w:r w:rsidRPr="00D337FA">
        <w:rPr>
          <w:color w:val="auto"/>
          <w:spacing w:val="-4"/>
          <w:sz w:val="19"/>
          <w:szCs w:val="19"/>
          <w:lang w:val="en-US"/>
        </w:rPr>
        <w:t>serial</w:t>
      </w:r>
      <w:r w:rsidR="006C680D" w:rsidRPr="00D337FA">
        <w:rPr>
          <w:color w:val="auto"/>
          <w:spacing w:val="-4"/>
          <w:sz w:val="19"/>
          <w:szCs w:val="19"/>
          <w:lang w:val="en-US"/>
        </w:rPr>
        <w:t xml:space="preserve"> </w:t>
      </w:r>
      <w:r w:rsidRPr="00D337FA">
        <w:rPr>
          <w:color w:val="auto"/>
          <w:spacing w:val="-4"/>
          <w:sz w:val="19"/>
          <w:szCs w:val="19"/>
          <w:lang w:val="en-US"/>
        </w:rPr>
        <w:t>number</w:t>
      </w:r>
      <w:r w:rsidR="006C680D" w:rsidRPr="00D337FA">
        <w:rPr>
          <w:color w:val="auto"/>
          <w:spacing w:val="-4"/>
          <w:sz w:val="19"/>
          <w:szCs w:val="19"/>
          <w:lang w:val="en-US"/>
        </w:rPr>
        <w:t xml:space="preserve"> </w:t>
      </w:r>
      <w:r w:rsidRPr="00D337FA">
        <w:rPr>
          <w:color w:val="auto"/>
          <w:spacing w:val="-4"/>
          <w:sz w:val="19"/>
          <w:szCs w:val="19"/>
          <w:lang w:val="en-US"/>
        </w:rPr>
        <w:t>of</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work</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be</w:t>
      </w:r>
      <w:r w:rsidR="006C680D" w:rsidRPr="00D337FA">
        <w:rPr>
          <w:color w:val="auto"/>
          <w:spacing w:val="-4"/>
          <w:sz w:val="19"/>
          <w:szCs w:val="19"/>
          <w:lang w:val="en-US"/>
        </w:rPr>
        <w:t xml:space="preserve"> </w:t>
      </w:r>
      <w:r w:rsidRPr="00D337FA">
        <w:rPr>
          <w:color w:val="auto"/>
          <w:spacing w:val="-4"/>
          <w:sz w:val="19"/>
          <w:szCs w:val="19"/>
          <w:lang w:val="en-US"/>
        </w:rPr>
        <w:t>given</w:t>
      </w:r>
      <w:r w:rsidR="006C680D" w:rsidRPr="00D337FA">
        <w:rPr>
          <w:color w:val="auto"/>
          <w:spacing w:val="-4"/>
          <w:sz w:val="19"/>
          <w:szCs w:val="19"/>
          <w:lang w:val="en-US"/>
        </w:rPr>
        <w:t xml:space="preserve"> </w:t>
      </w:r>
      <w:r w:rsidRPr="00D337FA">
        <w:rPr>
          <w:color w:val="auto"/>
          <w:spacing w:val="-4"/>
          <w:sz w:val="19"/>
          <w:szCs w:val="19"/>
          <w:lang w:val="en-US"/>
        </w:rPr>
        <w:t>in</w:t>
      </w:r>
      <w:r w:rsidR="006C680D" w:rsidRPr="00D337FA">
        <w:rPr>
          <w:color w:val="auto"/>
          <w:spacing w:val="-4"/>
          <w:sz w:val="19"/>
          <w:szCs w:val="19"/>
          <w:lang w:val="en-US"/>
        </w:rPr>
        <w:t xml:space="preserve"> </w:t>
      </w:r>
      <w:r w:rsidRPr="00D337FA">
        <w:rPr>
          <w:color w:val="auto"/>
          <w:spacing w:val="-4"/>
          <w:sz w:val="19"/>
          <w:szCs w:val="19"/>
          <w:lang w:val="en-US"/>
        </w:rPr>
        <w:t>square</w:t>
      </w:r>
      <w:r w:rsidR="006C680D" w:rsidRPr="00D337FA">
        <w:rPr>
          <w:color w:val="auto"/>
          <w:spacing w:val="-4"/>
          <w:sz w:val="19"/>
          <w:szCs w:val="19"/>
          <w:lang w:val="en-US"/>
        </w:rPr>
        <w:t xml:space="preserve"> </w:t>
      </w:r>
      <w:r w:rsidRPr="00D337FA">
        <w:rPr>
          <w:color w:val="auto"/>
          <w:spacing w:val="-4"/>
          <w:sz w:val="19"/>
          <w:szCs w:val="19"/>
          <w:lang w:val="en-US"/>
        </w:rPr>
        <w:t>brackets.</w:t>
      </w:r>
    </w:p>
    <w:p w:rsidR="00250468" w:rsidRPr="00D337FA" w:rsidRDefault="00A3493D" w:rsidP="00A3493D">
      <w:pPr>
        <w:pStyle w:val="afe"/>
        <w:rPr>
          <w:color w:val="auto"/>
          <w:spacing w:val="-4"/>
          <w:sz w:val="19"/>
          <w:szCs w:val="19"/>
          <w:lang w:val="en-US"/>
        </w:rPr>
      </w:pPr>
      <w:r w:rsidRPr="00D337FA">
        <w:rPr>
          <w:color w:val="auto"/>
          <w:spacing w:val="-4"/>
          <w:sz w:val="19"/>
          <w:szCs w:val="19"/>
          <w:lang w:val="en-US"/>
        </w:rPr>
        <w:t>8.</w:t>
      </w:r>
      <w:r w:rsidR="006C680D" w:rsidRPr="00D337FA">
        <w:rPr>
          <w:color w:val="auto"/>
          <w:spacing w:val="-4"/>
          <w:sz w:val="19"/>
          <w:szCs w:val="19"/>
          <w:lang w:val="en-US"/>
        </w:rPr>
        <w:t xml:space="preserve"> </w:t>
      </w:r>
      <w:r w:rsidR="00250468" w:rsidRPr="00D337FA">
        <w:rPr>
          <w:color w:val="auto"/>
          <w:spacing w:val="-4"/>
          <w:sz w:val="19"/>
          <w:szCs w:val="19"/>
          <w:lang w:val="en-US"/>
        </w:rPr>
        <w:t>In</w:t>
      </w:r>
      <w:r w:rsidR="006C680D" w:rsidRPr="00D337FA">
        <w:rPr>
          <w:color w:val="auto"/>
          <w:spacing w:val="-4"/>
          <w:sz w:val="19"/>
          <w:szCs w:val="19"/>
          <w:lang w:val="en-US"/>
        </w:rPr>
        <w:t xml:space="preserve"> </w:t>
      </w:r>
      <w:r w:rsidR="00250468" w:rsidRPr="00D337FA">
        <w:rPr>
          <w:color w:val="auto"/>
          <w:spacing w:val="-4"/>
          <w:sz w:val="19"/>
          <w:szCs w:val="19"/>
          <w:lang w:val="en-US"/>
        </w:rPr>
        <w:t>the</w:t>
      </w:r>
      <w:r w:rsidR="006C680D" w:rsidRPr="00D337FA">
        <w:rPr>
          <w:color w:val="auto"/>
          <w:spacing w:val="-4"/>
          <w:sz w:val="19"/>
          <w:szCs w:val="19"/>
          <w:lang w:val="en-US"/>
        </w:rPr>
        <w:t xml:space="preserve"> </w:t>
      </w:r>
      <w:r w:rsidR="00250468" w:rsidRPr="00D337FA">
        <w:rPr>
          <w:color w:val="auto"/>
          <w:spacing w:val="-4"/>
          <w:sz w:val="19"/>
          <w:szCs w:val="19"/>
          <w:lang w:val="en-US"/>
        </w:rPr>
        <w:t>material</w:t>
      </w:r>
      <w:r w:rsidR="006C680D" w:rsidRPr="00D337FA">
        <w:rPr>
          <w:color w:val="auto"/>
          <w:spacing w:val="-4"/>
          <w:sz w:val="19"/>
          <w:szCs w:val="19"/>
          <w:lang w:val="en-US"/>
        </w:rPr>
        <w:t xml:space="preserve"> </w:t>
      </w:r>
      <w:r w:rsidR="00250468" w:rsidRPr="00D337FA">
        <w:rPr>
          <w:color w:val="auto"/>
          <w:spacing w:val="-4"/>
          <w:sz w:val="19"/>
          <w:szCs w:val="19"/>
          <w:lang w:val="en-US"/>
        </w:rPr>
        <w:t>for</w:t>
      </w:r>
      <w:r w:rsidR="006C680D" w:rsidRPr="00D337FA">
        <w:rPr>
          <w:color w:val="auto"/>
          <w:spacing w:val="-4"/>
          <w:sz w:val="19"/>
          <w:szCs w:val="19"/>
          <w:lang w:val="en-US"/>
        </w:rPr>
        <w:t xml:space="preserve"> </w:t>
      </w:r>
      <w:r w:rsidR="00250468" w:rsidRPr="00D337FA">
        <w:rPr>
          <w:color w:val="auto"/>
          <w:spacing w:val="-4"/>
          <w:sz w:val="19"/>
          <w:szCs w:val="19"/>
          <w:lang w:val="en-US"/>
        </w:rPr>
        <w:t>publication</w:t>
      </w:r>
      <w:r w:rsidR="006C680D" w:rsidRPr="00D337FA">
        <w:rPr>
          <w:color w:val="auto"/>
          <w:spacing w:val="-4"/>
          <w:sz w:val="19"/>
          <w:szCs w:val="19"/>
          <w:lang w:val="en-US"/>
        </w:rPr>
        <w:t xml:space="preserve"> </w:t>
      </w:r>
      <w:r w:rsidR="00250468" w:rsidRPr="00D337FA">
        <w:rPr>
          <w:color w:val="auto"/>
          <w:spacing w:val="-4"/>
          <w:sz w:val="19"/>
          <w:szCs w:val="19"/>
          <w:lang w:val="en-US"/>
        </w:rPr>
        <w:t>only</w:t>
      </w:r>
      <w:r w:rsidR="006C680D" w:rsidRPr="00D337FA">
        <w:rPr>
          <w:color w:val="auto"/>
          <w:spacing w:val="-4"/>
          <w:sz w:val="19"/>
          <w:szCs w:val="19"/>
          <w:lang w:val="en-US"/>
        </w:rPr>
        <w:t xml:space="preserve"> </w:t>
      </w:r>
      <w:r w:rsidR="00250468" w:rsidRPr="00D337FA">
        <w:rPr>
          <w:color w:val="auto"/>
          <w:spacing w:val="-4"/>
          <w:sz w:val="19"/>
          <w:szCs w:val="19"/>
          <w:lang w:val="en-US"/>
        </w:rPr>
        <w:t>standard</w:t>
      </w:r>
      <w:r w:rsidR="006C680D" w:rsidRPr="00D337FA">
        <w:rPr>
          <w:color w:val="auto"/>
          <w:spacing w:val="-4"/>
          <w:sz w:val="19"/>
          <w:szCs w:val="19"/>
          <w:lang w:val="en-US"/>
        </w:rPr>
        <w:t xml:space="preserve"> </w:t>
      </w:r>
      <w:r w:rsidR="00250468" w:rsidRPr="00D337FA">
        <w:rPr>
          <w:color w:val="auto"/>
          <w:spacing w:val="-4"/>
          <w:sz w:val="19"/>
          <w:szCs w:val="19"/>
          <w:lang w:val="en-US"/>
        </w:rPr>
        <w:t>abbreviations</w:t>
      </w:r>
      <w:r w:rsidR="006C680D" w:rsidRPr="00D337FA">
        <w:rPr>
          <w:color w:val="auto"/>
          <w:spacing w:val="-4"/>
          <w:sz w:val="19"/>
          <w:szCs w:val="19"/>
          <w:lang w:val="en-US"/>
        </w:rPr>
        <w:t xml:space="preserve"> </w:t>
      </w:r>
      <w:r w:rsidR="00250468" w:rsidRPr="00D337FA">
        <w:rPr>
          <w:color w:val="auto"/>
          <w:spacing w:val="-4"/>
          <w:sz w:val="19"/>
          <w:szCs w:val="19"/>
          <w:lang w:val="en-US"/>
        </w:rPr>
        <w:t>should</w:t>
      </w:r>
      <w:r w:rsidR="006C680D" w:rsidRPr="00D337FA">
        <w:rPr>
          <w:color w:val="auto"/>
          <w:spacing w:val="-4"/>
          <w:sz w:val="19"/>
          <w:szCs w:val="19"/>
          <w:lang w:val="en-US"/>
        </w:rPr>
        <w:t xml:space="preserve"> </w:t>
      </w:r>
      <w:r w:rsidR="00250468" w:rsidRPr="00D337FA">
        <w:rPr>
          <w:color w:val="auto"/>
          <w:spacing w:val="-4"/>
          <w:sz w:val="19"/>
          <w:szCs w:val="19"/>
          <w:lang w:val="en-US"/>
        </w:rPr>
        <w:t>be</w:t>
      </w:r>
      <w:r w:rsidR="006C680D" w:rsidRPr="00D337FA">
        <w:rPr>
          <w:color w:val="auto"/>
          <w:spacing w:val="-4"/>
          <w:sz w:val="19"/>
          <w:szCs w:val="19"/>
          <w:lang w:val="en-US"/>
        </w:rPr>
        <w:t xml:space="preserve"> </w:t>
      </w:r>
      <w:r w:rsidR="00250468" w:rsidRPr="00D337FA">
        <w:rPr>
          <w:color w:val="auto"/>
          <w:spacing w:val="-4"/>
          <w:sz w:val="19"/>
          <w:szCs w:val="19"/>
          <w:lang w:val="en-US"/>
        </w:rPr>
        <w:t>used.</w:t>
      </w:r>
    </w:p>
    <w:p w:rsidR="00250468" w:rsidRPr="00D337FA" w:rsidRDefault="00250468" w:rsidP="00A3493D">
      <w:pPr>
        <w:pStyle w:val="afe"/>
        <w:rPr>
          <w:color w:val="auto"/>
          <w:spacing w:val="-4"/>
          <w:sz w:val="19"/>
          <w:szCs w:val="19"/>
          <w:lang w:val="en-US"/>
        </w:rPr>
      </w:pPr>
      <w:r w:rsidRPr="00D337FA">
        <w:rPr>
          <w:color w:val="auto"/>
          <w:spacing w:val="-4"/>
          <w:sz w:val="19"/>
          <w:szCs w:val="19"/>
          <w:lang w:val="en-US"/>
        </w:rPr>
        <w:t>9.</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publication</w:t>
      </w:r>
      <w:r w:rsidR="006C680D" w:rsidRPr="00D337FA">
        <w:rPr>
          <w:color w:val="auto"/>
          <w:spacing w:val="-4"/>
          <w:sz w:val="19"/>
          <w:szCs w:val="19"/>
          <w:lang w:val="en-US"/>
        </w:rPr>
        <w:t xml:space="preserve"> </w:t>
      </w:r>
      <w:r w:rsidRPr="00D337FA">
        <w:rPr>
          <w:color w:val="auto"/>
          <w:spacing w:val="-4"/>
          <w:sz w:val="19"/>
          <w:szCs w:val="19"/>
          <w:lang w:val="en-US"/>
        </w:rPr>
        <w:t>is</w:t>
      </w:r>
      <w:r w:rsidR="006C680D" w:rsidRPr="00D337FA">
        <w:rPr>
          <w:color w:val="auto"/>
          <w:spacing w:val="-4"/>
          <w:sz w:val="19"/>
          <w:szCs w:val="19"/>
          <w:lang w:val="en-US"/>
        </w:rPr>
        <w:t xml:space="preserve"> </w:t>
      </w:r>
      <w:r w:rsidRPr="00D337FA">
        <w:rPr>
          <w:color w:val="auto"/>
          <w:spacing w:val="-4"/>
          <w:sz w:val="19"/>
          <w:szCs w:val="19"/>
          <w:lang w:val="en-US"/>
        </w:rPr>
        <w:t>submitted</w:t>
      </w:r>
      <w:r w:rsidR="006C680D" w:rsidRPr="00D337FA">
        <w:rPr>
          <w:color w:val="auto"/>
          <w:spacing w:val="-4"/>
          <w:sz w:val="19"/>
          <w:szCs w:val="19"/>
          <w:lang w:val="en-US"/>
        </w:rPr>
        <w:t xml:space="preserve"> </w:t>
      </w:r>
      <w:r w:rsidRPr="00D337FA">
        <w:rPr>
          <w:color w:val="auto"/>
          <w:spacing w:val="-4"/>
          <w:sz w:val="19"/>
          <w:szCs w:val="19"/>
          <w:lang w:val="en-US"/>
        </w:rPr>
        <w:t>to</w:t>
      </w:r>
      <w:r w:rsidR="006C680D" w:rsidRPr="00D337FA">
        <w:rPr>
          <w:color w:val="auto"/>
          <w:spacing w:val="-4"/>
          <w:sz w:val="19"/>
          <w:szCs w:val="19"/>
          <w:lang w:val="en-US"/>
        </w:rPr>
        <w:t xml:space="preserve"> </w:t>
      </w:r>
      <w:r w:rsidRPr="00D337FA">
        <w:rPr>
          <w:color w:val="auto"/>
          <w:spacing w:val="-4"/>
          <w:sz w:val="19"/>
          <w:szCs w:val="19"/>
          <w:lang w:val="en-US"/>
        </w:rPr>
        <w:t>the</w:t>
      </w:r>
      <w:r w:rsidR="006C680D" w:rsidRPr="00D337FA">
        <w:rPr>
          <w:color w:val="auto"/>
          <w:spacing w:val="-4"/>
          <w:sz w:val="19"/>
          <w:szCs w:val="19"/>
          <w:lang w:val="en-US"/>
        </w:rPr>
        <w:t xml:space="preserve"> </w:t>
      </w:r>
      <w:r w:rsidRPr="00D337FA">
        <w:rPr>
          <w:color w:val="auto"/>
          <w:spacing w:val="-4"/>
          <w:sz w:val="19"/>
          <w:szCs w:val="19"/>
          <w:lang w:val="en-US"/>
        </w:rPr>
        <w:t>journal</w:t>
      </w:r>
      <w:r w:rsidR="006C680D" w:rsidRPr="00D337FA">
        <w:rPr>
          <w:color w:val="auto"/>
          <w:spacing w:val="-4"/>
          <w:sz w:val="19"/>
          <w:szCs w:val="19"/>
          <w:lang w:val="en-US"/>
        </w:rPr>
        <w:t xml:space="preserve"> </w:t>
      </w:r>
      <w:r w:rsidRPr="00D337FA">
        <w:rPr>
          <w:color w:val="auto"/>
          <w:spacing w:val="-4"/>
          <w:sz w:val="19"/>
          <w:szCs w:val="19"/>
          <w:lang w:val="en-US"/>
        </w:rPr>
        <w:t>personally</w:t>
      </w:r>
    </w:p>
    <w:p w:rsidR="00250468" w:rsidRPr="00D337FA" w:rsidRDefault="00250468" w:rsidP="00A3493D">
      <w:pPr>
        <w:pStyle w:val="afe"/>
        <w:rPr>
          <w:color w:val="auto"/>
          <w:sz w:val="22"/>
        </w:rPr>
      </w:pPr>
      <w:r w:rsidRPr="00D337FA">
        <w:rPr>
          <w:color w:val="auto"/>
          <w:spacing w:val="-4"/>
          <w:sz w:val="22"/>
        </w:rPr>
        <w:lastRenderedPageBreak/>
        <w:t>Журнал</w:t>
      </w:r>
      <w:r w:rsidR="006C680D" w:rsidRPr="00D337FA">
        <w:rPr>
          <w:color w:val="auto"/>
          <w:spacing w:val="-4"/>
          <w:sz w:val="22"/>
        </w:rPr>
        <w:t xml:space="preserve"> </w:t>
      </w:r>
      <w:r w:rsidRPr="00D337FA">
        <w:rPr>
          <w:color w:val="auto"/>
          <w:spacing w:val="-4"/>
          <w:sz w:val="22"/>
        </w:rPr>
        <w:t>посвящен</w:t>
      </w:r>
      <w:r w:rsidR="006C680D" w:rsidRPr="00D337FA">
        <w:rPr>
          <w:color w:val="auto"/>
          <w:spacing w:val="-4"/>
          <w:sz w:val="22"/>
        </w:rPr>
        <w:t xml:space="preserve"> </w:t>
      </w:r>
      <w:r w:rsidRPr="00D337FA">
        <w:rPr>
          <w:color w:val="auto"/>
          <w:spacing w:val="-4"/>
          <w:sz w:val="22"/>
        </w:rPr>
        <w:t>вопросам</w:t>
      </w:r>
      <w:r w:rsidR="006C680D" w:rsidRPr="00D337FA">
        <w:rPr>
          <w:color w:val="auto"/>
          <w:spacing w:val="-4"/>
          <w:sz w:val="22"/>
        </w:rPr>
        <w:t xml:space="preserve"> </w:t>
      </w:r>
      <w:r w:rsidRPr="00D337FA">
        <w:rPr>
          <w:color w:val="auto"/>
          <w:spacing w:val="-4"/>
          <w:sz w:val="22"/>
        </w:rPr>
        <w:t>развития</w:t>
      </w:r>
      <w:r w:rsidR="006C680D" w:rsidRPr="00D337FA">
        <w:rPr>
          <w:color w:val="auto"/>
          <w:spacing w:val="-4"/>
          <w:sz w:val="22"/>
        </w:rPr>
        <w:t xml:space="preserve"> </w:t>
      </w:r>
      <w:r w:rsidRPr="00D337FA">
        <w:rPr>
          <w:color w:val="auto"/>
          <w:spacing w:val="-4"/>
          <w:sz w:val="22"/>
        </w:rPr>
        <w:t>инновационной</w:t>
      </w:r>
      <w:r w:rsidR="006C680D" w:rsidRPr="00D337FA">
        <w:rPr>
          <w:color w:val="auto"/>
          <w:spacing w:val="-4"/>
          <w:sz w:val="22"/>
        </w:rPr>
        <w:t xml:space="preserve"> </w:t>
      </w:r>
      <w:r w:rsidRPr="00D337FA">
        <w:rPr>
          <w:color w:val="auto"/>
          <w:spacing w:val="-4"/>
          <w:sz w:val="22"/>
        </w:rPr>
        <w:t>деятельности,</w:t>
      </w:r>
      <w:r w:rsidR="006C680D" w:rsidRPr="00D337FA">
        <w:rPr>
          <w:color w:val="auto"/>
          <w:spacing w:val="-4"/>
          <w:sz w:val="22"/>
        </w:rPr>
        <w:t xml:space="preserve"> </w:t>
      </w:r>
      <w:r w:rsidRPr="00D337FA">
        <w:rPr>
          <w:color w:val="auto"/>
          <w:spacing w:val="-4"/>
          <w:sz w:val="22"/>
        </w:rPr>
        <w:t>внедрения</w:t>
      </w:r>
      <w:r w:rsidR="006C680D" w:rsidRPr="00D337FA">
        <w:rPr>
          <w:color w:val="auto"/>
          <w:spacing w:val="-4"/>
          <w:sz w:val="22"/>
        </w:rPr>
        <w:t xml:space="preserve"> </w:t>
      </w:r>
      <w:r w:rsidRPr="00D337FA">
        <w:rPr>
          <w:color w:val="auto"/>
          <w:spacing w:val="-4"/>
          <w:sz w:val="22"/>
        </w:rPr>
        <w:t>научных</w:t>
      </w:r>
      <w:r w:rsidR="006C680D" w:rsidRPr="00D337FA">
        <w:rPr>
          <w:color w:val="auto"/>
          <w:spacing w:val="-4"/>
          <w:sz w:val="22"/>
        </w:rPr>
        <w:t xml:space="preserve"> </w:t>
      </w:r>
      <w:r w:rsidRPr="00D337FA">
        <w:rPr>
          <w:color w:val="auto"/>
          <w:spacing w:val="-4"/>
          <w:sz w:val="22"/>
        </w:rPr>
        <w:t>и</w:t>
      </w:r>
      <w:r w:rsidR="006C680D" w:rsidRPr="00D337FA">
        <w:rPr>
          <w:color w:val="auto"/>
          <w:spacing w:val="-4"/>
          <w:sz w:val="22"/>
        </w:rPr>
        <w:t xml:space="preserve"> </w:t>
      </w:r>
      <w:r w:rsidRPr="00D337FA">
        <w:rPr>
          <w:color w:val="auto"/>
          <w:spacing w:val="-4"/>
          <w:sz w:val="22"/>
        </w:rPr>
        <w:t>технических</w:t>
      </w:r>
      <w:r w:rsidR="006C680D" w:rsidRPr="00D337FA">
        <w:rPr>
          <w:color w:val="auto"/>
          <w:spacing w:val="-4"/>
          <w:sz w:val="22"/>
        </w:rPr>
        <w:t xml:space="preserve"> </w:t>
      </w:r>
      <w:r w:rsidRPr="00D337FA">
        <w:rPr>
          <w:color w:val="auto"/>
          <w:spacing w:val="-4"/>
          <w:sz w:val="22"/>
        </w:rPr>
        <w:t>достижений</w:t>
      </w:r>
      <w:r w:rsidR="006C680D" w:rsidRPr="00D337FA">
        <w:rPr>
          <w:color w:val="auto"/>
          <w:spacing w:val="-4"/>
          <w:sz w:val="22"/>
        </w:rPr>
        <w:t xml:space="preserve"> </w:t>
      </w:r>
      <w:r w:rsidRPr="00D337FA">
        <w:rPr>
          <w:color w:val="auto"/>
          <w:spacing w:val="-4"/>
          <w:sz w:val="22"/>
        </w:rPr>
        <w:t>в</w:t>
      </w:r>
      <w:r w:rsidR="006C680D" w:rsidRPr="00D337FA">
        <w:rPr>
          <w:color w:val="auto"/>
          <w:spacing w:val="-4"/>
          <w:sz w:val="22"/>
        </w:rPr>
        <w:t xml:space="preserve"> </w:t>
      </w:r>
      <w:r w:rsidRPr="00D337FA">
        <w:rPr>
          <w:color w:val="auto"/>
          <w:spacing w:val="-4"/>
          <w:sz w:val="22"/>
        </w:rPr>
        <w:t>хозяйственную</w:t>
      </w:r>
      <w:r w:rsidR="006C680D" w:rsidRPr="00D337FA">
        <w:rPr>
          <w:color w:val="auto"/>
          <w:spacing w:val="-4"/>
          <w:sz w:val="22"/>
        </w:rPr>
        <w:t xml:space="preserve"> </w:t>
      </w:r>
      <w:r w:rsidRPr="00D337FA">
        <w:rPr>
          <w:color w:val="auto"/>
          <w:spacing w:val="-4"/>
          <w:sz w:val="22"/>
        </w:rPr>
        <w:t>практику,</w:t>
      </w:r>
      <w:r w:rsidR="006C680D" w:rsidRPr="00D337FA">
        <w:rPr>
          <w:color w:val="auto"/>
          <w:spacing w:val="-4"/>
          <w:sz w:val="22"/>
        </w:rPr>
        <w:t xml:space="preserve"> </w:t>
      </w:r>
      <w:r w:rsidRPr="00D337FA">
        <w:rPr>
          <w:color w:val="auto"/>
          <w:spacing w:val="-4"/>
          <w:sz w:val="22"/>
        </w:rPr>
        <w:t>особенностям</w:t>
      </w:r>
      <w:r w:rsidR="006C680D" w:rsidRPr="00D337FA">
        <w:rPr>
          <w:color w:val="auto"/>
          <w:spacing w:val="-4"/>
          <w:sz w:val="22"/>
        </w:rPr>
        <w:t xml:space="preserve"> </w:t>
      </w:r>
      <w:r w:rsidRPr="00D337FA">
        <w:rPr>
          <w:color w:val="auto"/>
          <w:spacing w:val="-4"/>
          <w:sz w:val="22"/>
        </w:rPr>
        <w:t>развития</w:t>
      </w:r>
      <w:r w:rsidR="006C680D" w:rsidRPr="00D337FA">
        <w:rPr>
          <w:color w:val="auto"/>
          <w:spacing w:val="-4"/>
          <w:sz w:val="22"/>
        </w:rPr>
        <w:t xml:space="preserve"> </w:t>
      </w:r>
      <w:r w:rsidRPr="00D337FA">
        <w:rPr>
          <w:color w:val="auto"/>
          <w:spacing w:val="-4"/>
          <w:sz w:val="22"/>
        </w:rPr>
        <w:t>научно-технической</w:t>
      </w:r>
      <w:r w:rsidR="006C680D" w:rsidRPr="00D337FA">
        <w:rPr>
          <w:color w:val="auto"/>
          <w:spacing w:val="-4"/>
          <w:sz w:val="22"/>
        </w:rPr>
        <w:t xml:space="preserve"> </w:t>
      </w:r>
      <w:r w:rsidRPr="00D337FA">
        <w:rPr>
          <w:color w:val="auto"/>
          <w:spacing w:val="-4"/>
          <w:sz w:val="22"/>
        </w:rPr>
        <w:t>деятельности</w:t>
      </w:r>
      <w:r w:rsidR="006C680D" w:rsidRPr="00D337FA">
        <w:rPr>
          <w:color w:val="auto"/>
          <w:sz w:val="22"/>
        </w:rPr>
        <w:t xml:space="preserve"> </w:t>
      </w:r>
      <w:r w:rsidRPr="00D337FA">
        <w:rPr>
          <w:color w:val="auto"/>
          <w:sz w:val="22"/>
        </w:rPr>
        <w:t>в</w:t>
      </w:r>
      <w:r w:rsidR="006C680D" w:rsidRPr="00D337FA">
        <w:rPr>
          <w:color w:val="auto"/>
          <w:sz w:val="22"/>
        </w:rPr>
        <w:t xml:space="preserve"> </w:t>
      </w:r>
      <w:r w:rsidRPr="00D337FA">
        <w:rPr>
          <w:color w:val="auto"/>
          <w:sz w:val="22"/>
        </w:rPr>
        <w:t>новых</w:t>
      </w:r>
      <w:r w:rsidR="006C680D" w:rsidRPr="00D337FA">
        <w:rPr>
          <w:color w:val="auto"/>
          <w:sz w:val="22"/>
        </w:rPr>
        <w:t xml:space="preserve"> </w:t>
      </w:r>
      <w:r w:rsidRPr="00D337FA">
        <w:rPr>
          <w:color w:val="auto"/>
          <w:sz w:val="22"/>
        </w:rPr>
        <w:t>условиях,</w:t>
      </w:r>
      <w:r w:rsidR="006C680D" w:rsidRPr="00D337FA">
        <w:rPr>
          <w:color w:val="auto"/>
          <w:sz w:val="22"/>
        </w:rPr>
        <w:t xml:space="preserve"> </w:t>
      </w:r>
      <w:r w:rsidRPr="00D337FA">
        <w:rPr>
          <w:color w:val="auto"/>
          <w:sz w:val="22"/>
        </w:rPr>
        <w:t>развитию</w:t>
      </w:r>
      <w:r w:rsidR="006C680D" w:rsidRPr="00D337FA">
        <w:rPr>
          <w:color w:val="auto"/>
          <w:sz w:val="22"/>
        </w:rPr>
        <w:t xml:space="preserve"> </w:t>
      </w:r>
      <w:r w:rsidRPr="00D337FA">
        <w:rPr>
          <w:color w:val="auto"/>
          <w:sz w:val="22"/>
        </w:rPr>
        <w:t>процессов</w:t>
      </w:r>
      <w:r w:rsidR="006C680D" w:rsidRPr="00D337FA">
        <w:rPr>
          <w:color w:val="auto"/>
          <w:sz w:val="22"/>
        </w:rPr>
        <w:t xml:space="preserve"> </w:t>
      </w:r>
      <w:r w:rsidRPr="00D337FA">
        <w:rPr>
          <w:color w:val="auto"/>
          <w:sz w:val="22"/>
        </w:rPr>
        <w:t>передачи</w:t>
      </w:r>
      <w:r w:rsidR="006C680D" w:rsidRPr="00D337FA">
        <w:rPr>
          <w:color w:val="auto"/>
          <w:sz w:val="22"/>
        </w:rPr>
        <w:t xml:space="preserve"> </w:t>
      </w:r>
      <w:r w:rsidRPr="00D337FA">
        <w:rPr>
          <w:color w:val="auto"/>
          <w:sz w:val="22"/>
        </w:rPr>
        <w:t>технологий.</w:t>
      </w:r>
      <w:r w:rsidR="006C680D" w:rsidRPr="00D337FA">
        <w:rPr>
          <w:color w:val="auto"/>
          <w:sz w:val="22"/>
        </w:rPr>
        <w:t xml:space="preserve"> </w:t>
      </w:r>
    </w:p>
    <w:p w:rsidR="00250468" w:rsidRPr="00D337FA" w:rsidRDefault="00250468" w:rsidP="00A3493D">
      <w:pPr>
        <w:pStyle w:val="afe"/>
        <w:rPr>
          <w:color w:val="auto"/>
          <w:sz w:val="22"/>
        </w:rPr>
      </w:pPr>
      <w:r w:rsidRPr="00D337FA">
        <w:rPr>
          <w:color w:val="auto"/>
          <w:sz w:val="22"/>
        </w:rPr>
        <w:t>Приглашаем</w:t>
      </w:r>
      <w:r w:rsidR="006C680D" w:rsidRPr="00D337FA">
        <w:rPr>
          <w:color w:val="auto"/>
          <w:sz w:val="22"/>
        </w:rPr>
        <w:t xml:space="preserve"> </w:t>
      </w:r>
      <w:r w:rsidRPr="00D337FA">
        <w:rPr>
          <w:color w:val="auto"/>
          <w:sz w:val="22"/>
        </w:rPr>
        <w:t>к</w:t>
      </w:r>
      <w:r w:rsidR="006C680D" w:rsidRPr="00D337FA">
        <w:rPr>
          <w:color w:val="auto"/>
          <w:sz w:val="22"/>
        </w:rPr>
        <w:t xml:space="preserve"> </w:t>
      </w:r>
      <w:r w:rsidRPr="00D337FA">
        <w:rPr>
          <w:color w:val="auto"/>
          <w:sz w:val="22"/>
        </w:rPr>
        <w:t>сотрудничеству</w:t>
      </w:r>
      <w:r w:rsidR="006C680D" w:rsidRPr="00D337FA">
        <w:rPr>
          <w:color w:val="auto"/>
          <w:sz w:val="22"/>
        </w:rPr>
        <w:t xml:space="preserve"> </w:t>
      </w:r>
      <w:r w:rsidRPr="00D337FA">
        <w:rPr>
          <w:color w:val="auto"/>
          <w:sz w:val="22"/>
        </w:rPr>
        <w:t>ученых,</w:t>
      </w:r>
      <w:r w:rsidR="006C680D" w:rsidRPr="00D337FA">
        <w:rPr>
          <w:color w:val="auto"/>
          <w:sz w:val="22"/>
        </w:rPr>
        <w:t xml:space="preserve"> </w:t>
      </w:r>
      <w:r w:rsidRPr="00D337FA">
        <w:rPr>
          <w:color w:val="auto"/>
          <w:sz w:val="22"/>
        </w:rPr>
        <w:t>экономистов,</w:t>
      </w:r>
      <w:r w:rsidR="006C680D" w:rsidRPr="00D337FA">
        <w:rPr>
          <w:color w:val="auto"/>
          <w:sz w:val="22"/>
        </w:rPr>
        <w:t xml:space="preserve"> </w:t>
      </w:r>
      <w:r w:rsidRPr="00D337FA">
        <w:rPr>
          <w:color w:val="auto"/>
          <w:sz w:val="22"/>
        </w:rPr>
        <w:t>преподавателей,</w:t>
      </w:r>
      <w:r w:rsidR="006C680D" w:rsidRPr="00D337FA">
        <w:rPr>
          <w:color w:val="auto"/>
          <w:sz w:val="22"/>
        </w:rPr>
        <w:t xml:space="preserve"> </w:t>
      </w:r>
      <w:r w:rsidRPr="00D337FA">
        <w:rPr>
          <w:color w:val="auto"/>
          <w:sz w:val="22"/>
        </w:rPr>
        <w:t>научные</w:t>
      </w:r>
      <w:r w:rsidR="006C680D" w:rsidRPr="00D337FA">
        <w:rPr>
          <w:color w:val="auto"/>
          <w:sz w:val="22"/>
        </w:rPr>
        <w:t xml:space="preserve"> </w:t>
      </w:r>
      <w:r w:rsidRPr="00D337FA">
        <w:rPr>
          <w:color w:val="auto"/>
          <w:sz w:val="22"/>
        </w:rPr>
        <w:t>коллективы</w:t>
      </w:r>
      <w:r w:rsidR="006C680D" w:rsidRPr="00D337FA">
        <w:rPr>
          <w:color w:val="auto"/>
          <w:sz w:val="22"/>
        </w:rPr>
        <w:t xml:space="preserve"> </w:t>
      </w:r>
      <w:r w:rsidRPr="00D337FA">
        <w:rPr>
          <w:color w:val="auto"/>
          <w:sz w:val="22"/>
        </w:rPr>
        <w:t>кафедр</w:t>
      </w:r>
      <w:r w:rsidR="006C680D" w:rsidRPr="00D337FA">
        <w:rPr>
          <w:color w:val="auto"/>
          <w:sz w:val="22"/>
        </w:rPr>
        <w:t xml:space="preserve"> </w:t>
      </w:r>
      <w:r w:rsidRPr="00D337FA">
        <w:rPr>
          <w:color w:val="auto"/>
          <w:sz w:val="22"/>
        </w:rPr>
        <w:t>и</w:t>
      </w:r>
      <w:r w:rsidR="006C680D" w:rsidRPr="00D337FA">
        <w:rPr>
          <w:color w:val="auto"/>
          <w:sz w:val="22"/>
        </w:rPr>
        <w:t xml:space="preserve"> </w:t>
      </w:r>
      <w:r w:rsidRPr="00D337FA">
        <w:rPr>
          <w:color w:val="auto"/>
          <w:sz w:val="22"/>
        </w:rPr>
        <w:t>лабораторий</w:t>
      </w:r>
      <w:r w:rsidR="006C680D" w:rsidRPr="00D337FA">
        <w:rPr>
          <w:color w:val="auto"/>
          <w:sz w:val="22"/>
        </w:rPr>
        <w:t xml:space="preserve"> </w:t>
      </w:r>
      <w:r w:rsidRPr="00D337FA">
        <w:rPr>
          <w:color w:val="auto"/>
          <w:sz w:val="22"/>
        </w:rPr>
        <w:t>вузов,</w:t>
      </w:r>
      <w:r w:rsidR="006C680D" w:rsidRPr="00D337FA">
        <w:rPr>
          <w:color w:val="auto"/>
          <w:sz w:val="22"/>
        </w:rPr>
        <w:t xml:space="preserve"> </w:t>
      </w:r>
      <w:r w:rsidRPr="00D337FA">
        <w:rPr>
          <w:color w:val="auto"/>
          <w:sz w:val="22"/>
        </w:rPr>
        <w:t>научно-исследовательских</w:t>
      </w:r>
      <w:r w:rsidR="006C680D" w:rsidRPr="00D337FA">
        <w:rPr>
          <w:color w:val="auto"/>
          <w:sz w:val="22"/>
        </w:rPr>
        <w:t xml:space="preserve"> </w:t>
      </w:r>
      <w:r w:rsidRPr="00D337FA">
        <w:rPr>
          <w:color w:val="auto"/>
          <w:sz w:val="22"/>
        </w:rPr>
        <w:t>институтов,</w:t>
      </w:r>
      <w:r w:rsidR="006C680D" w:rsidRPr="00D337FA">
        <w:rPr>
          <w:color w:val="auto"/>
          <w:sz w:val="22"/>
        </w:rPr>
        <w:t xml:space="preserve"> </w:t>
      </w:r>
      <w:r w:rsidRPr="00D337FA">
        <w:rPr>
          <w:color w:val="auto"/>
          <w:sz w:val="22"/>
        </w:rPr>
        <w:t>аспирантов,</w:t>
      </w:r>
      <w:r w:rsidR="006C680D" w:rsidRPr="00D337FA">
        <w:rPr>
          <w:color w:val="auto"/>
          <w:sz w:val="22"/>
        </w:rPr>
        <w:t xml:space="preserve"> </w:t>
      </w:r>
      <w:r w:rsidRPr="00D337FA">
        <w:rPr>
          <w:color w:val="auto"/>
          <w:sz w:val="22"/>
        </w:rPr>
        <w:t>руководителей</w:t>
      </w:r>
      <w:r w:rsidR="006C680D" w:rsidRPr="00D337FA">
        <w:rPr>
          <w:color w:val="auto"/>
          <w:sz w:val="22"/>
        </w:rPr>
        <w:t xml:space="preserve"> </w:t>
      </w:r>
      <w:r w:rsidRPr="00D337FA">
        <w:rPr>
          <w:color w:val="auto"/>
          <w:sz w:val="22"/>
        </w:rPr>
        <w:t>промышленных</w:t>
      </w:r>
      <w:r w:rsidR="006C680D" w:rsidRPr="00D337FA">
        <w:rPr>
          <w:color w:val="auto"/>
          <w:sz w:val="22"/>
        </w:rPr>
        <w:t xml:space="preserve"> </w:t>
      </w:r>
      <w:r w:rsidRPr="00D337FA">
        <w:rPr>
          <w:color w:val="auto"/>
          <w:sz w:val="22"/>
        </w:rPr>
        <w:t>предприятий,</w:t>
      </w:r>
      <w:r w:rsidR="006C680D" w:rsidRPr="00D337FA">
        <w:rPr>
          <w:color w:val="auto"/>
          <w:sz w:val="22"/>
        </w:rPr>
        <w:t xml:space="preserve"> </w:t>
      </w:r>
      <w:r w:rsidRPr="00D337FA">
        <w:rPr>
          <w:color w:val="auto"/>
          <w:sz w:val="22"/>
        </w:rPr>
        <w:t>раз</w:t>
      </w:r>
      <w:r w:rsidRPr="00D337FA">
        <w:rPr>
          <w:color w:val="auto"/>
          <w:sz w:val="22"/>
        </w:rPr>
        <w:lastRenderedPageBreak/>
        <w:t>работчиков</w:t>
      </w:r>
      <w:r w:rsidR="006C680D" w:rsidRPr="00D337FA">
        <w:rPr>
          <w:color w:val="auto"/>
          <w:sz w:val="22"/>
        </w:rPr>
        <w:t xml:space="preserve"> </w:t>
      </w:r>
      <w:r w:rsidRPr="00D337FA">
        <w:rPr>
          <w:color w:val="auto"/>
          <w:sz w:val="22"/>
        </w:rPr>
        <w:t>новой</w:t>
      </w:r>
      <w:r w:rsidR="006C680D" w:rsidRPr="00D337FA">
        <w:rPr>
          <w:color w:val="auto"/>
          <w:sz w:val="22"/>
        </w:rPr>
        <w:t xml:space="preserve"> </w:t>
      </w:r>
      <w:r w:rsidRPr="00D337FA">
        <w:rPr>
          <w:color w:val="auto"/>
          <w:sz w:val="22"/>
        </w:rPr>
        <w:t>продукции,</w:t>
      </w:r>
      <w:r w:rsidR="006C680D" w:rsidRPr="00D337FA">
        <w:rPr>
          <w:color w:val="auto"/>
          <w:sz w:val="22"/>
        </w:rPr>
        <w:t xml:space="preserve"> </w:t>
      </w:r>
      <w:r w:rsidRPr="00D337FA">
        <w:rPr>
          <w:color w:val="auto"/>
          <w:sz w:val="22"/>
        </w:rPr>
        <w:t>инвесторов,</w:t>
      </w:r>
      <w:r w:rsidR="006C680D" w:rsidRPr="00D337FA">
        <w:rPr>
          <w:color w:val="auto"/>
          <w:sz w:val="22"/>
        </w:rPr>
        <w:t xml:space="preserve"> </w:t>
      </w:r>
      <w:r w:rsidRPr="00D337FA">
        <w:rPr>
          <w:color w:val="auto"/>
          <w:sz w:val="22"/>
        </w:rPr>
        <w:t>представителей</w:t>
      </w:r>
      <w:r w:rsidR="006C680D" w:rsidRPr="00D337FA">
        <w:rPr>
          <w:color w:val="auto"/>
          <w:sz w:val="22"/>
        </w:rPr>
        <w:t xml:space="preserve"> </w:t>
      </w:r>
      <w:r w:rsidRPr="00D337FA">
        <w:rPr>
          <w:color w:val="auto"/>
          <w:sz w:val="22"/>
        </w:rPr>
        <w:t>органов</w:t>
      </w:r>
      <w:r w:rsidR="006C680D" w:rsidRPr="00D337FA">
        <w:rPr>
          <w:color w:val="auto"/>
          <w:sz w:val="22"/>
        </w:rPr>
        <w:t xml:space="preserve"> </w:t>
      </w:r>
      <w:r w:rsidRPr="00D337FA">
        <w:rPr>
          <w:color w:val="auto"/>
          <w:sz w:val="22"/>
        </w:rPr>
        <w:t>власти</w:t>
      </w:r>
      <w:r w:rsidR="006C680D" w:rsidRPr="00D337FA">
        <w:rPr>
          <w:color w:val="auto"/>
          <w:sz w:val="22"/>
        </w:rPr>
        <w:t xml:space="preserve"> </w:t>
      </w:r>
      <w:r w:rsidRPr="00D337FA">
        <w:rPr>
          <w:color w:val="auto"/>
          <w:sz w:val="22"/>
        </w:rPr>
        <w:t>и</w:t>
      </w:r>
      <w:r w:rsidR="006C680D" w:rsidRPr="00D337FA">
        <w:rPr>
          <w:color w:val="auto"/>
          <w:sz w:val="22"/>
        </w:rPr>
        <w:t xml:space="preserve"> </w:t>
      </w:r>
      <w:r w:rsidRPr="00D337FA">
        <w:rPr>
          <w:color w:val="auto"/>
          <w:sz w:val="22"/>
        </w:rPr>
        <w:t>организаторов</w:t>
      </w:r>
      <w:r w:rsidR="006C680D" w:rsidRPr="00D337FA">
        <w:rPr>
          <w:color w:val="auto"/>
          <w:sz w:val="22"/>
        </w:rPr>
        <w:t xml:space="preserve"> </w:t>
      </w:r>
      <w:r w:rsidRPr="00D337FA">
        <w:rPr>
          <w:color w:val="auto"/>
          <w:sz w:val="22"/>
        </w:rPr>
        <w:t>инновационной</w:t>
      </w:r>
      <w:r w:rsidR="006C680D" w:rsidRPr="00D337FA">
        <w:rPr>
          <w:color w:val="auto"/>
          <w:sz w:val="22"/>
        </w:rPr>
        <w:t xml:space="preserve"> </w:t>
      </w:r>
      <w:r w:rsidRPr="00D337FA">
        <w:rPr>
          <w:color w:val="auto"/>
          <w:sz w:val="22"/>
        </w:rPr>
        <w:t>деятельности,</w:t>
      </w:r>
      <w:r w:rsidR="006C680D" w:rsidRPr="00D337FA">
        <w:rPr>
          <w:color w:val="auto"/>
          <w:sz w:val="22"/>
        </w:rPr>
        <w:t xml:space="preserve"> </w:t>
      </w:r>
      <w:r w:rsidRPr="00D337FA">
        <w:rPr>
          <w:color w:val="auto"/>
          <w:sz w:val="22"/>
        </w:rPr>
        <w:t>зарубежных</w:t>
      </w:r>
      <w:r w:rsidR="006C680D" w:rsidRPr="00D337FA">
        <w:rPr>
          <w:color w:val="auto"/>
          <w:sz w:val="22"/>
        </w:rPr>
        <w:t xml:space="preserve"> </w:t>
      </w:r>
      <w:r w:rsidRPr="00D337FA">
        <w:rPr>
          <w:color w:val="auto"/>
          <w:sz w:val="22"/>
        </w:rPr>
        <w:t>партнеров.</w:t>
      </w:r>
      <w:r w:rsidR="006C680D" w:rsidRPr="00D337FA">
        <w:rPr>
          <w:color w:val="auto"/>
          <w:sz w:val="22"/>
        </w:rPr>
        <w:t xml:space="preserve"> </w:t>
      </w:r>
    </w:p>
    <w:p w:rsidR="00250468" w:rsidRPr="00D337FA" w:rsidRDefault="00250468" w:rsidP="00A3493D">
      <w:pPr>
        <w:pStyle w:val="afe"/>
        <w:rPr>
          <w:color w:val="auto"/>
          <w:sz w:val="22"/>
        </w:rPr>
      </w:pPr>
      <w:r w:rsidRPr="00D337FA">
        <w:rPr>
          <w:color w:val="auto"/>
          <w:sz w:val="22"/>
        </w:rPr>
        <w:t>Приглашаем</w:t>
      </w:r>
      <w:r w:rsidR="006C680D" w:rsidRPr="00D337FA">
        <w:rPr>
          <w:color w:val="auto"/>
          <w:sz w:val="22"/>
        </w:rPr>
        <w:t xml:space="preserve"> </w:t>
      </w:r>
      <w:r w:rsidRPr="00D337FA">
        <w:rPr>
          <w:color w:val="auto"/>
          <w:sz w:val="22"/>
        </w:rPr>
        <w:t>также</w:t>
      </w:r>
      <w:r w:rsidR="006C680D" w:rsidRPr="00D337FA">
        <w:rPr>
          <w:color w:val="auto"/>
          <w:sz w:val="22"/>
        </w:rPr>
        <w:t xml:space="preserve"> </w:t>
      </w:r>
      <w:r w:rsidRPr="00D337FA">
        <w:rPr>
          <w:color w:val="auto"/>
          <w:sz w:val="22"/>
        </w:rPr>
        <w:t>предприятия</w:t>
      </w:r>
      <w:r w:rsidR="006C680D" w:rsidRPr="00D337FA">
        <w:rPr>
          <w:color w:val="auto"/>
          <w:sz w:val="22"/>
        </w:rPr>
        <w:t xml:space="preserve"> </w:t>
      </w:r>
      <w:r w:rsidRPr="00D337FA">
        <w:rPr>
          <w:color w:val="auto"/>
          <w:sz w:val="22"/>
        </w:rPr>
        <w:t>к</w:t>
      </w:r>
      <w:r w:rsidR="006C680D" w:rsidRPr="00D337FA">
        <w:rPr>
          <w:color w:val="auto"/>
          <w:sz w:val="22"/>
        </w:rPr>
        <w:t xml:space="preserve"> </w:t>
      </w:r>
      <w:r w:rsidRPr="00D337FA">
        <w:rPr>
          <w:color w:val="auto"/>
          <w:sz w:val="22"/>
        </w:rPr>
        <w:t>сотрудничеству</w:t>
      </w:r>
      <w:r w:rsidR="006C680D" w:rsidRPr="00D337FA">
        <w:rPr>
          <w:color w:val="auto"/>
          <w:sz w:val="22"/>
        </w:rPr>
        <w:t xml:space="preserve"> </w:t>
      </w:r>
      <w:r w:rsidRPr="00D337FA">
        <w:rPr>
          <w:color w:val="auto"/>
          <w:sz w:val="22"/>
        </w:rPr>
        <w:t>в</w:t>
      </w:r>
      <w:r w:rsidR="006C680D" w:rsidRPr="00D337FA">
        <w:rPr>
          <w:color w:val="auto"/>
          <w:sz w:val="22"/>
        </w:rPr>
        <w:t xml:space="preserve"> </w:t>
      </w:r>
      <w:r w:rsidRPr="00D337FA">
        <w:rPr>
          <w:color w:val="auto"/>
          <w:sz w:val="22"/>
        </w:rPr>
        <w:t>качестве</w:t>
      </w:r>
      <w:r w:rsidR="006C680D" w:rsidRPr="00D337FA">
        <w:rPr>
          <w:color w:val="auto"/>
          <w:sz w:val="22"/>
        </w:rPr>
        <w:t xml:space="preserve"> </w:t>
      </w:r>
      <w:r w:rsidRPr="00D337FA">
        <w:rPr>
          <w:color w:val="auto"/>
          <w:sz w:val="22"/>
        </w:rPr>
        <w:t>спонсоров</w:t>
      </w:r>
      <w:r w:rsidR="006C680D" w:rsidRPr="00D337FA">
        <w:rPr>
          <w:color w:val="auto"/>
          <w:sz w:val="22"/>
        </w:rPr>
        <w:t xml:space="preserve"> </w:t>
      </w:r>
      <w:r w:rsidRPr="00D337FA">
        <w:rPr>
          <w:color w:val="auto"/>
          <w:sz w:val="22"/>
        </w:rPr>
        <w:t>журнала.</w:t>
      </w:r>
    </w:p>
    <w:p w:rsidR="00713BBA" w:rsidRPr="00D337FA" w:rsidRDefault="00713BBA" w:rsidP="00A3493D">
      <w:pPr>
        <w:pStyle w:val="afe"/>
        <w:rPr>
          <w:color w:val="auto"/>
          <w:sz w:val="22"/>
        </w:rPr>
      </w:pPr>
    </w:p>
    <w:p w:rsidR="00713BBA" w:rsidRPr="00D337FA" w:rsidRDefault="00713BBA" w:rsidP="00A3493D">
      <w:pPr>
        <w:pStyle w:val="afe"/>
        <w:rPr>
          <w:color w:val="auto"/>
          <w:sz w:val="22"/>
        </w:rPr>
      </w:pPr>
    </w:p>
    <w:p w:rsidR="00942756" w:rsidRPr="00D337FA" w:rsidRDefault="00A3493D" w:rsidP="00A3493D">
      <w:pPr>
        <w:pStyle w:val="afe"/>
        <w:rPr>
          <w:color w:val="auto"/>
          <w:sz w:val="22"/>
        </w:rPr>
      </w:pPr>
      <w:r w:rsidRPr="00D337FA">
        <w:rPr>
          <w:color w:val="auto"/>
          <w:spacing w:val="-4"/>
          <w:sz w:val="22"/>
        </w:rPr>
        <w:t>Публикации</w:t>
      </w:r>
      <w:r w:rsidR="006C680D" w:rsidRPr="00D337FA">
        <w:rPr>
          <w:color w:val="auto"/>
          <w:spacing w:val="-4"/>
          <w:sz w:val="22"/>
        </w:rPr>
        <w:t xml:space="preserve"> </w:t>
      </w:r>
      <w:r w:rsidR="00250468" w:rsidRPr="00D337FA">
        <w:rPr>
          <w:color w:val="auto"/>
          <w:spacing w:val="-4"/>
          <w:sz w:val="22"/>
        </w:rPr>
        <w:t>просьба</w:t>
      </w:r>
      <w:r w:rsidR="006C680D" w:rsidRPr="00D337FA">
        <w:rPr>
          <w:color w:val="auto"/>
          <w:spacing w:val="-4"/>
          <w:sz w:val="22"/>
        </w:rPr>
        <w:t xml:space="preserve"> </w:t>
      </w:r>
      <w:r w:rsidR="00250468" w:rsidRPr="00D337FA">
        <w:rPr>
          <w:color w:val="auto"/>
          <w:spacing w:val="-4"/>
          <w:sz w:val="22"/>
        </w:rPr>
        <w:t>направлять</w:t>
      </w:r>
      <w:r w:rsidR="006C680D" w:rsidRPr="00D337FA">
        <w:rPr>
          <w:color w:val="auto"/>
          <w:spacing w:val="-4"/>
          <w:sz w:val="22"/>
        </w:rPr>
        <w:t xml:space="preserve"> </w:t>
      </w:r>
      <w:r w:rsidR="00250468" w:rsidRPr="00D337FA">
        <w:rPr>
          <w:color w:val="auto"/>
          <w:spacing w:val="-4"/>
          <w:sz w:val="22"/>
        </w:rPr>
        <w:t>по</w:t>
      </w:r>
      <w:r w:rsidR="006C680D" w:rsidRPr="00D337FA">
        <w:rPr>
          <w:color w:val="auto"/>
          <w:spacing w:val="-4"/>
          <w:sz w:val="22"/>
        </w:rPr>
        <w:t xml:space="preserve"> </w:t>
      </w:r>
      <w:r w:rsidR="00250468" w:rsidRPr="00D337FA">
        <w:rPr>
          <w:color w:val="auto"/>
          <w:spacing w:val="-4"/>
          <w:sz w:val="22"/>
        </w:rPr>
        <w:t>адресу:</w:t>
      </w:r>
      <w:r w:rsidR="006C680D" w:rsidRPr="00D337FA">
        <w:rPr>
          <w:color w:val="auto"/>
          <w:spacing w:val="-4"/>
          <w:sz w:val="22"/>
        </w:rPr>
        <w:t xml:space="preserve"> </w:t>
      </w:r>
      <w:r w:rsidR="00250468" w:rsidRPr="00D337FA">
        <w:rPr>
          <w:color w:val="auto"/>
          <w:spacing w:val="-4"/>
          <w:sz w:val="22"/>
        </w:rPr>
        <w:t>Россия,</w:t>
      </w:r>
      <w:r w:rsidR="006C680D" w:rsidRPr="00D337FA">
        <w:rPr>
          <w:color w:val="auto"/>
          <w:sz w:val="22"/>
        </w:rPr>
        <w:t xml:space="preserve"> </w:t>
      </w:r>
      <w:r w:rsidR="00250468" w:rsidRPr="00D337FA">
        <w:rPr>
          <w:color w:val="auto"/>
          <w:sz w:val="22"/>
        </w:rPr>
        <w:t>410054,</w:t>
      </w:r>
      <w:r w:rsidR="006C680D" w:rsidRPr="00D337FA">
        <w:rPr>
          <w:color w:val="auto"/>
          <w:sz w:val="22"/>
        </w:rPr>
        <w:t xml:space="preserve"> </w:t>
      </w:r>
      <w:r w:rsidR="00250468" w:rsidRPr="00D337FA">
        <w:rPr>
          <w:color w:val="auto"/>
          <w:sz w:val="22"/>
        </w:rPr>
        <w:t>г.</w:t>
      </w:r>
      <w:r w:rsidR="006C680D" w:rsidRPr="00D337FA">
        <w:rPr>
          <w:color w:val="auto"/>
          <w:sz w:val="22"/>
        </w:rPr>
        <w:t xml:space="preserve"> </w:t>
      </w:r>
      <w:r w:rsidR="00250468" w:rsidRPr="00D337FA">
        <w:rPr>
          <w:color w:val="auto"/>
          <w:sz w:val="22"/>
        </w:rPr>
        <w:t>Саратов,</w:t>
      </w:r>
      <w:r w:rsidR="006C680D" w:rsidRPr="00D337FA">
        <w:rPr>
          <w:color w:val="auto"/>
          <w:sz w:val="22"/>
        </w:rPr>
        <w:t xml:space="preserve"> </w:t>
      </w:r>
      <w:r w:rsidR="00250468" w:rsidRPr="00D337FA">
        <w:rPr>
          <w:color w:val="auto"/>
          <w:sz w:val="22"/>
        </w:rPr>
        <w:t>ул.</w:t>
      </w:r>
      <w:r w:rsidR="006C680D" w:rsidRPr="00D337FA">
        <w:rPr>
          <w:color w:val="auto"/>
          <w:sz w:val="22"/>
        </w:rPr>
        <w:t xml:space="preserve"> </w:t>
      </w:r>
      <w:r w:rsidR="00250468" w:rsidRPr="00D337FA">
        <w:rPr>
          <w:color w:val="auto"/>
          <w:sz w:val="22"/>
        </w:rPr>
        <w:t>Поли</w:t>
      </w:r>
      <w:r w:rsidRPr="00D337FA">
        <w:rPr>
          <w:color w:val="auto"/>
          <w:sz w:val="22"/>
        </w:rPr>
        <w:t>техническая,</w:t>
      </w:r>
      <w:r w:rsidR="006C680D" w:rsidRPr="00D337FA">
        <w:rPr>
          <w:color w:val="auto"/>
          <w:sz w:val="22"/>
        </w:rPr>
        <w:t xml:space="preserve"> </w:t>
      </w:r>
      <w:r w:rsidRPr="00D337FA">
        <w:rPr>
          <w:color w:val="auto"/>
          <w:sz w:val="22"/>
        </w:rPr>
        <w:t>77</w:t>
      </w:r>
      <w:r w:rsidR="006C680D" w:rsidRPr="00D337FA">
        <w:rPr>
          <w:color w:val="auto"/>
          <w:sz w:val="22"/>
        </w:rPr>
        <w:t xml:space="preserve"> </w:t>
      </w:r>
      <w:r w:rsidR="00250468" w:rsidRPr="00D337FA">
        <w:rPr>
          <w:color w:val="auto"/>
          <w:sz w:val="22"/>
        </w:rPr>
        <w:t>либо</w:t>
      </w:r>
      <w:r w:rsidR="006C680D" w:rsidRPr="00D337FA">
        <w:rPr>
          <w:color w:val="auto"/>
          <w:sz w:val="22"/>
        </w:rPr>
        <w:t xml:space="preserve"> </w:t>
      </w:r>
      <w:r w:rsidR="00F26EEA" w:rsidRPr="00D337FA">
        <w:rPr>
          <w:color w:val="auto"/>
          <w:sz w:val="22"/>
        </w:rPr>
        <w:t>на</w:t>
      </w:r>
      <w:r w:rsidR="006C680D" w:rsidRPr="00D337FA">
        <w:rPr>
          <w:color w:val="auto"/>
          <w:sz w:val="22"/>
        </w:rPr>
        <w:t xml:space="preserve"> </w:t>
      </w:r>
      <w:r w:rsidR="00250468" w:rsidRPr="00D337FA">
        <w:rPr>
          <w:color w:val="auto"/>
          <w:sz w:val="22"/>
        </w:rPr>
        <w:t>e-mail:</w:t>
      </w:r>
      <w:r w:rsidR="006C680D" w:rsidRPr="00D337FA">
        <w:rPr>
          <w:color w:val="auto"/>
          <w:sz w:val="22"/>
        </w:rPr>
        <w:t xml:space="preserve"> </w:t>
      </w:r>
      <w:r w:rsidR="00250468" w:rsidRPr="00D337FA">
        <w:rPr>
          <w:color w:val="auto"/>
          <w:sz w:val="22"/>
        </w:rPr>
        <w:t>innovation@sstu.ru</w:t>
      </w:r>
    </w:p>
    <w:p w:rsidR="00552DCF" w:rsidRPr="00D337FA" w:rsidRDefault="00552DCF" w:rsidP="00250468">
      <w:pPr>
        <w:pStyle w:val="afc"/>
        <w:spacing w:line="240" w:lineRule="auto"/>
        <w:ind w:firstLine="170"/>
        <w:jc w:val="both"/>
        <w:rPr>
          <w:color w:val="auto"/>
        </w:rPr>
        <w:sectPr w:rsidR="00552DCF" w:rsidRPr="00D337FA" w:rsidSect="00CC3B65">
          <w:footnotePr>
            <w:numRestart w:val="eachPage"/>
          </w:footnotePr>
          <w:type w:val="continuous"/>
          <w:pgSz w:w="11907" w:h="16840" w:code="9"/>
          <w:pgMar w:top="1418" w:right="1134" w:bottom="1418" w:left="1134" w:header="1021" w:footer="1021" w:gutter="0"/>
          <w:cols w:num="2" w:space="567"/>
          <w:noEndnote/>
          <w:docGrid w:linePitch="65"/>
        </w:sectPr>
      </w:pPr>
    </w:p>
    <w:p w:rsidR="00DF68F1" w:rsidRPr="00D337FA" w:rsidRDefault="00DF68F1" w:rsidP="00F26EEA">
      <w:pPr>
        <w:pStyle w:val="aff0"/>
        <w:pBdr>
          <w:bottom w:val="double" w:sz="12" w:space="0" w:color="auto"/>
        </w:pBdr>
        <w:rPr>
          <w:lang w:val="ru-RU"/>
        </w:rPr>
      </w:pPr>
    </w:p>
    <w:p w:rsidR="00FD5D9B" w:rsidRPr="00D337FA" w:rsidRDefault="00FD5D9B" w:rsidP="00297143">
      <w:pPr>
        <w:pStyle w:val="aff0"/>
        <w:rPr>
          <w:highlight w:val="yellow"/>
          <w:lang w:val="ru-RU"/>
        </w:rPr>
        <w:sectPr w:rsidR="00FD5D9B" w:rsidRPr="00D337FA" w:rsidSect="00FD5D9B">
          <w:headerReference w:type="even" r:id="rId60"/>
          <w:headerReference w:type="default" r:id="rId61"/>
          <w:footerReference w:type="even" r:id="rId62"/>
          <w:footnotePr>
            <w:numRestart w:val="eachPage"/>
          </w:footnotePr>
          <w:type w:val="continuous"/>
          <w:pgSz w:w="11907" w:h="16840" w:code="9"/>
          <w:pgMar w:top="1418" w:right="1134" w:bottom="1418" w:left="1134" w:header="1021" w:footer="1021" w:gutter="0"/>
          <w:cols w:space="567"/>
          <w:noEndnote/>
          <w:docGrid w:linePitch="65"/>
        </w:sectPr>
      </w:pPr>
    </w:p>
    <w:p w:rsidR="00250468" w:rsidRPr="00D337FA" w:rsidRDefault="00250468" w:rsidP="00F26E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ind w:firstLine="0"/>
        <w:rPr>
          <w:rFonts w:ascii="Times New Roman CYR" w:hAnsi="Times New Roman CYR" w:cs="Times New Roman CYR"/>
          <w:b/>
          <w:bCs/>
          <w:i/>
          <w:iCs/>
          <w:szCs w:val="24"/>
          <w:lang w:eastAsia="ru-RU"/>
        </w:rPr>
      </w:pPr>
      <w:r w:rsidRPr="00D337FA">
        <w:rPr>
          <w:rFonts w:ascii="Times New Roman CYR" w:hAnsi="Times New Roman CYR" w:cs="Times New Roman CYR"/>
          <w:b/>
          <w:bCs/>
          <w:i/>
          <w:iCs/>
          <w:szCs w:val="24"/>
          <w:lang w:eastAsia="ru-RU"/>
        </w:rPr>
        <w:lastRenderedPageBreak/>
        <w:t>Инновационная</w:t>
      </w:r>
      <w:r w:rsidR="006C680D" w:rsidRPr="00D337FA">
        <w:rPr>
          <w:rFonts w:ascii="Times New Roman CYR" w:hAnsi="Times New Roman CYR" w:cs="Times New Roman CYR"/>
          <w:b/>
          <w:bCs/>
          <w:i/>
          <w:iCs/>
          <w:szCs w:val="24"/>
          <w:lang w:eastAsia="ru-RU"/>
        </w:rPr>
        <w:t xml:space="preserve"> </w:t>
      </w:r>
      <w:r w:rsidRPr="00D337FA">
        <w:rPr>
          <w:rFonts w:ascii="Times New Roman CYR" w:hAnsi="Times New Roman CYR" w:cs="Times New Roman CYR"/>
          <w:b/>
          <w:bCs/>
          <w:i/>
          <w:iCs/>
          <w:szCs w:val="24"/>
          <w:lang w:eastAsia="ru-RU"/>
        </w:rPr>
        <w:t>деятельность.</w:t>
      </w:r>
    </w:p>
    <w:p w:rsidR="00250468" w:rsidRPr="00D337FA"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i/>
          <w:iCs/>
          <w:szCs w:val="24"/>
          <w:lang w:eastAsia="ru-RU"/>
        </w:rPr>
      </w:pPr>
      <w:r w:rsidRPr="00D337FA">
        <w:rPr>
          <w:rFonts w:ascii="Times New Roman CYR" w:hAnsi="Times New Roman CYR" w:cs="Times New Roman CYR"/>
          <w:b/>
          <w:bCs/>
          <w:i/>
          <w:iCs/>
          <w:szCs w:val="24"/>
          <w:lang w:eastAsia="ru-RU"/>
        </w:rPr>
        <w:t>202</w:t>
      </w:r>
      <w:r w:rsidR="008A4488" w:rsidRPr="00D337FA">
        <w:rPr>
          <w:rFonts w:ascii="Times New Roman CYR" w:hAnsi="Times New Roman CYR" w:cs="Times New Roman CYR"/>
          <w:b/>
          <w:bCs/>
          <w:i/>
          <w:iCs/>
          <w:szCs w:val="24"/>
          <w:lang w:eastAsia="ru-RU"/>
        </w:rPr>
        <w:t>6</w:t>
      </w:r>
      <w:r w:rsidRPr="00D337FA">
        <w:rPr>
          <w:rFonts w:ascii="Times New Roman CYR" w:hAnsi="Times New Roman CYR" w:cs="Times New Roman CYR"/>
          <w:b/>
          <w:bCs/>
          <w:i/>
          <w:iCs/>
          <w:szCs w:val="24"/>
          <w:lang w:eastAsia="ru-RU"/>
        </w:rPr>
        <w:t>.</w:t>
      </w:r>
      <w:r w:rsidR="006C680D" w:rsidRPr="00D337FA">
        <w:rPr>
          <w:rFonts w:ascii="Times New Roman CYR" w:hAnsi="Times New Roman CYR" w:cs="Times New Roman CYR"/>
          <w:b/>
          <w:bCs/>
          <w:i/>
          <w:iCs/>
          <w:szCs w:val="24"/>
          <w:lang w:eastAsia="ru-RU"/>
        </w:rPr>
        <w:t xml:space="preserve"> </w:t>
      </w:r>
      <w:r w:rsidRPr="00D337FA">
        <w:rPr>
          <w:rFonts w:ascii="Times New Roman CYR" w:hAnsi="Times New Roman CYR" w:cs="Times New Roman CYR"/>
          <w:b/>
          <w:bCs/>
          <w:i/>
          <w:iCs/>
          <w:szCs w:val="24"/>
          <w:lang w:eastAsia="ru-RU"/>
        </w:rPr>
        <w:t>№</w:t>
      </w:r>
      <w:r w:rsidR="006C680D" w:rsidRPr="00D337FA">
        <w:rPr>
          <w:rFonts w:ascii="Times New Roman CYR" w:hAnsi="Times New Roman CYR" w:cs="Times New Roman CYR"/>
          <w:b/>
          <w:bCs/>
          <w:i/>
          <w:iCs/>
          <w:szCs w:val="24"/>
          <w:lang w:eastAsia="ru-RU"/>
        </w:rPr>
        <w:t xml:space="preserve"> </w:t>
      </w:r>
      <w:r w:rsidR="008A4488" w:rsidRPr="00D337FA">
        <w:rPr>
          <w:rFonts w:ascii="Times New Roman CYR" w:hAnsi="Times New Roman CYR" w:cs="Times New Roman CYR"/>
          <w:b/>
          <w:bCs/>
          <w:i/>
          <w:iCs/>
          <w:szCs w:val="24"/>
          <w:lang w:eastAsia="ru-RU"/>
        </w:rPr>
        <w:t>1</w:t>
      </w:r>
      <w:r w:rsidR="006C680D" w:rsidRPr="00D337FA">
        <w:rPr>
          <w:rFonts w:ascii="Times New Roman CYR" w:hAnsi="Times New Roman CYR" w:cs="Times New Roman CYR"/>
          <w:b/>
          <w:bCs/>
          <w:i/>
          <w:iCs/>
          <w:szCs w:val="24"/>
          <w:lang w:eastAsia="ru-RU"/>
        </w:rPr>
        <w:t xml:space="preserve"> </w:t>
      </w:r>
      <w:r w:rsidRPr="00D337FA">
        <w:rPr>
          <w:rFonts w:ascii="Times New Roman CYR" w:hAnsi="Times New Roman CYR" w:cs="Times New Roman CYR"/>
          <w:b/>
          <w:bCs/>
          <w:i/>
          <w:iCs/>
          <w:szCs w:val="24"/>
          <w:lang w:eastAsia="ru-RU"/>
        </w:rPr>
        <w:t>(7</w:t>
      </w:r>
      <w:r w:rsidR="008A4488" w:rsidRPr="00D337FA">
        <w:rPr>
          <w:rFonts w:ascii="Times New Roman CYR" w:hAnsi="Times New Roman CYR" w:cs="Times New Roman CYR"/>
          <w:b/>
          <w:bCs/>
          <w:i/>
          <w:iCs/>
          <w:szCs w:val="24"/>
          <w:lang w:eastAsia="ru-RU"/>
        </w:rPr>
        <w:t>6</w:t>
      </w:r>
      <w:r w:rsidRPr="00D337FA">
        <w:rPr>
          <w:rFonts w:ascii="Times New Roman CYR" w:hAnsi="Times New Roman CYR" w:cs="Times New Roman CYR"/>
          <w:b/>
          <w:bCs/>
          <w:i/>
          <w:iCs/>
          <w:szCs w:val="24"/>
          <w:lang w:eastAsia="ru-RU"/>
        </w:rPr>
        <w:t>)</w:t>
      </w:r>
      <w:r w:rsidR="006C680D" w:rsidRPr="00D337FA">
        <w:rPr>
          <w:rFonts w:ascii="Times New Roman CYR" w:hAnsi="Times New Roman CYR" w:cs="Times New Roman CYR"/>
          <w:b/>
          <w:bCs/>
          <w:i/>
          <w:iCs/>
          <w:szCs w:val="24"/>
          <w:lang w:eastAsia="ru-RU"/>
        </w:rPr>
        <w:t xml:space="preserve">   </w:t>
      </w:r>
      <w:r w:rsidRPr="00D337FA">
        <w:rPr>
          <w:rFonts w:ascii="Times New Roman CYR" w:hAnsi="Times New Roman CYR" w:cs="Times New Roman CYR"/>
          <w:b/>
          <w:bCs/>
          <w:i/>
          <w:iCs/>
          <w:szCs w:val="24"/>
          <w:lang w:eastAsia="ru-RU"/>
        </w:rPr>
        <w:t>12+</w:t>
      </w:r>
    </w:p>
    <w:p w:rsidR="00250468" w:rsidRPr="00D337FA"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szCs w:val="24"/>
          <w:lang w:eastAsia="ru-RU"/>
        </w:rPr>
      </w:pPr>
      <w:r w:rsidRPr="00D337FA">
        <w:rPr>
          <w:rFonts w:ascii="Times New Roman CYR" w:hAnsi="Times New Roman CYR" w:cs="Times New Roman CYR"/>
          <w:b/>
          <w:bCs/>
          <w:szCs w:val="24"/>
          <w:lang w:eastAsia="ru-RU"/>
        </w:rPr>
        <w:t>Учредитель</w:t>
      </w:r>
      <w:r w:rsidR="006C680D" w:rsidRPr="00D337FA">
        <w:rPr>
          <w:rFonts w:ascii="Times New Roman CYR" w:hAnsi="Times New Roman CYR" w:cs="Times New Roman CYR"/>
          <w:b/>
          <w:bCs/>
          <w:szCs w:val="24"/>
          <w:lang w:eastAsia="ru-RU"/>
        </w:rPr>
        <w:t xml:space="preserve"> </w:t>
      </w:r>
      <w:r w:rsidRPr="00D337FA">
        <w:rPr>
          <w:rFonts w:ascii="Times New Roman CYR" w:hAnsi="Times New Roman CYR" w:cs="Times New Roman CYR"/>
          <w:b/>
          <w:bCs/>
          <w:szCs w:val="24"/>
          <w:lang w:eastAsia="ru-RU"/>
        </w:rPr>
        <w:t>и</w:t>
      </w:r>
      <w:r w:rsidR="006C680D" w:rsidRPr="00D337FA">
        <w:rPr>
          <w:rFonts w:ascii="Times New Roman CYR" w:hAnsi="Times New Roman CYR" w:cs="Times New Roman CYR"/>
          <w:b/>
          <w:bCs/>
          <w:szCs w:val="24"/>
          <w:lang w:eastAsia="ru-RU"/>
        </w:rPr>
        <w:t xml:space="preserve"> </w:t>
      </w:r>
      <w:r w:rsidRPr="00D337FA">
        <w:rPr>
          <w:rFonts w:ascii="Times New Roman CYR" w:hAnsi="Times New Roman CYR" w:cs="Times New Roman CYR"/>
          <w:b/>
          <w:bCs/>
          <w:szCs w:val="24"/>
          <w:lang w:eastAsia="ru-RU"/>
        </w:rPr>
        <w:t>издатель:</w:t>
      </w:r>
      <w:r w:rsidR="006C680D" w:rsidRPr="00D337FA">
        <w:rPr>
          <w:rFonts w:ascii="Times New Roman CYR" w:hAnsi="Times New Roman CYR" w:cs="Times New Roman CYR"/>
          <w:b/>
          <w:bCs/>
          <w:szCs w:val="24"/>
          <w:lang w:eastAsia="ru-RU"/>
        </w:rPr>
        <w:t xml:space="preserve"> </w:t>
      </w:r>
      <w:r w:rsidRPr="00D337FA">
        <w:rPr>
          <w:rFonts w:ascii="Times New Roman CYR" w:hAnsi="Times New Roman CYR" w:cs="Times New Roman CYR"/>
          <w:szCs w:val="24"/>
          <w:lang w:eastAsia="ru-RU"/>
        </w:rPr>
        <w:t>Саратовский</w:t>
      </w:r>
      <w:r w:rsidR="006C680D" w:rsidRPr="00D337FA">
        <w:rPr>
          <w:rFonts w:ascii="Times New Roman CYR" w:hAnsi="Times New Roman CYR" w:cs="Times New Roman CYR"/>
          <w:szCs w:val="24"/>
          <w:lang w:eastAsia="ru-RU"/>
        </w:rPr>
        <w:t xml:space="preserve"> </w:t>
      </w:r>
      <w:r w:rsidR="00184000" w:rsidRPr="00D337FA">
        <w:rPr>
          <w:rFonts w:ascii="Times New Roman CYR" w:hAnsi="Times New Roman CYR" w:cs="Times New Roman CYR"/>
          <w:szCs w:val="24"/>
          <w:lang w:eastAsia="ru-RU"/>
        </w:rPr>
        <w:br/>
      </w:r>
      <w:r w:rsidRPr="00D337FA">
        <w:rPr>
          <w:rFonts w:ascii="Times New Roman CYR" w:hAnsi="Times New Roman CYR" w:cs="Times New Roman CYR"/>
          <w:szCs w:val="24"/>
          <w:lang w:eastAsia="ru-RU"/>
        </w:rPr>
        <w:t>государственный</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технический</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университет</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имени</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Гагарина</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Ю.А.</w:t>
      </w:r>
    </w:p>
    <w:p w:rsidR="00250468" w:rsidRPr="00D337FA" w:rsidRDefault="00250468" w:rsidP="00552D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left"/>
        <w:rPr>
          <w:rFonts w:ascii="Times New Roman CYR" w:hAnsi="Times New Roman CYR" w:cs="Times New Roman CYR"/>
          <w:b/>
          <w:bCs/>
          <w:i/>
          <w:iCs/>
          <w:szCs w:val="24"/>
          <w:lang w:eastAsia="ru-RU"/>
        </w:rPr>
      </w:pPr>
      <w:r w:rsidRPr="00D337FA">
        <w:rPr>
          <w:rFonts w:ascii="Times New Roman CYR" w:hAnsi="Times New Roman CYR" w:cs="Times New Roman CYR"/>
          <w:b/>
          <w:i/>
        </w:rPr>
        <w:t>Главный</w:t>
      </w:r>
      <w:r w:rsidR="006C680D" w:rsidRPr="00D337FA">
        <w:rPr>
          <w:rFonts w:ascii="Times New Roman CYR" w:hAnsi="Times New Roman CYR" w:cs="Times New Roman CYR"/>
          <w:b/>
          <w:i/>
        </w:rPr>
        <w:t xml:space="preserve"> </w:t>
      </w:r>
      <w:r w:rsidRPr="00D337FA">
        <w:rPr>
          <w:rFonts w:ascii="Times New Roman CYR" w:hAnsi="Times New Roman CYR" w:cs="Times New Roman CYR"/>
          <w:b/>
          <w:i/>
        </w:rPr>
        <w:t>редактор:</w:t>
      </w:r>
      <w:r w:rsidR="006C680D" w:rsidRPr="00D337FA">
        <w:rPr>
          <w:rFonts w:ascii="Times New Roman CYR" w:hAnsi="Times New Roman CYR" w:cs="Times New Roman CYR"/>
          <w:b/>
          <w:i/>
        </w:rPr>
        <w:t xml:space="preserve"> </w:t>
      </w:r>
      <w:r w:rsidR="00552DCF" w:rsidRPr="00D337FA">
        <w:rPr>
          <w:rFonts w:ascii="Times New Roman CYR" w:hAnsi="Times New Roman CYR" w:cs="Times New Roman CYR"/>
          <w:b/>
          <w:i/>
        </w:rPr>
        <w:br/>
      </w:r>
      <w:r w:rsidRPr="00D337FA">
        <w:rPr>
          <w:rFonts w:ascii="Times New Roman CYR" w:hAnsi="Times New Roman CYR" w:cs="Times New Roman CYR"/>
          <w:i/>
        </w:rPr>
        <w:t>Горячева</w:t>
      </w:r>
      <w:r w:rsidR="006C680D" w:rsidRPr="00D337FA">
        <w:rPr>
          <w:rFonts w:ascii="Times New Roman CYR" w:hAnsi="Times New Roman CYR" w:cs="Times New Roman CYR"/>
          <w:i/>
        </w:rPr>
        <w:t xml:space="preserve"> </w:t>
      </w:r>
      <w:r w:rsidRPr="00D337FA">
        <w:rPr>
          <w:rFonts w:ascii="Times New Roman CYR" w:hAnsi="Times New Roman CYR" w:cs="Times New Roman CYR"/>
          <w:i/>
        </w:rPr>
        <w:t>Татьяна</w:t>
      </w:r>
      <w:r w:rsidR="006C680D" w:rsidRPr="00D337FA">
        <w:rPr>
          <w:rFonts w:ascii="Times New Roman CYR" w:hAnsi="Times New Roman CYR" w:cs="Times New Roman CYR"/>
          <w:i/>
        </w:rPr>
        <w:t xml:space="preserve"> </w:t>
      </w:r>
      <w:r w:rsidRPr="00D337FA">
        <w:rPr>
          <w:rFonts w:ascii="Times New Roman CYR" w:hAnsi="Times New Roman CYR" w:cs="Times New Roman CYR"/>
          <w:i/>
        </w:rPr>
        <w:t>Владимировна</w:t>
      </w:r>
      <w:r w:rsidR="006C680D" w:rsidRPr="00D337FA">
        <w:rPr>
          <w:rFonts w:ascii="Times New Roman CYR" w:hAnsi="Times New Roman CYR" w:cs="Times New Roman CYR"/>
          <w:i/>
        </w:rPr>
        <w:t xml:space="preserve"> </w:t>
      </w:r>
    </w:p>
    <w:p w:rsidR="00184000" w:rsidRPr="00D337FA" w:rsidRDefault="00184000" w:rsidP="00F26E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ind w:firstLine="0"/>
        <w:rPr>
          <w:b/>
          <w:bCs/>
          <w:i/>
          <w:iCs/>
          <w:sz w:val="32"/>
          <w:szCs w:val="24"/>
          <w:lang w:eastAsia="ru-RU"/>
        </w:rPr>
      </w:pPr>
      <w:r w:rsidRPr="00D337FA">
        <w:rPr>
          <w:b/>
          <w:bCs/>
          <w:i/>
          <w:iCs/>
          <w:szCs w:val="20"/>
          <w:lang w:val="en-US" w:eastAsia="ru-RU"/>
        </w:rPr>
        <w:lastRenderedPageBreak/>
        <w:t>Innovation</w:t>
      </w:r>
      <w:r w:rsidR="006C680D" w:rsidRPr="00D337FA">
        <w:rPr>
          <w:b/>
          <w:bCs/>
          <w:i/>
          <w:iCs/>
          <w:szCs w:val="20"/>
          <w:lang w:eastAsia="ru-RU"/>
        </w:rPr>
        <w:t xml:space="preserve"> </w:t>
      </w:r>
      <w:r w:rsidRPr="00D337FA">
        <w:rPr>
          <w:b/>
          <w:bCs/>
          <w:i/>
          <w:iCs/>
          <w:szCs w:val="20"/>
          <w:lang w:val="en-US" w:eastAsia="ru-RU"/>
        </w:rPr>
        <w:t>Activity</w:t>
      </w:r>
    </w:p>
    <w:p w:rsidR="00250468" w:rsidRPr="00D337FA"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i/>
          <w:iCs/>
          <w:szCs w:val="24"/>
          <w:lang w:val="en-US" w:eastAsia="ru-RU"/>
        </w:rPr>
      </w:pPr>
      <w:r w:rsidRPr="00D337FA">
        <w:rPr>
          <w:rFonts w:ascii="Times New Roman CYR" w:hAnsi="Times New Roman CYR" w:cs="Times New Roman CYR"/>
          <w:b/>
          <w:bCs/>
          <w:i/>
          <w:iCs/>
          <w:szCs w:val="24"/>
          <w:lang w:val="en-US" w:eastAsia="ru-RU"/>
        </w:rPr>
        <w:t>202</w:t>
      </w:r>
      <w:r w:rsidR="008A4488" w:rsidRPr="00D337FA">
        <w:rPr>
          <w:rFonts w:ascii="Times New Roman CYR" w:hAnsi="Times New Roman CYR" w:cs="Times New Roman CYR"/>
          <w:b/>
          <w:bCs/>
          <w:i/>
          <w:iCs/>
          <w:szCs w:val="24"/>
          <w:lang w:val="en-US" w:eastAsia="ru-RU"/>
        </w:rPr>
        <w:t>6</w:t>
      </w:r>
      <w:r w:rsidRPr="00D337FA">
        <w:rPr>
          <w:rFonts w:ascii="Times New Roman CYR" w:hAnsi="Times New Roman CYR" w:cs="Times New Roman CYR"/>
          <w:b/>
          <w:bCs/>
          <w:i/>
          <w:iCs/>
          <w:szCs w:val="24"/>
          <w:lang w:val="en-US" w:eastAsia="ru-RU"/>
        </w:rPr>
        <w:t>.</w:t>
      </w:r>
      <w:r w:rsidR="006C680D" w:rsidRPr="00D337FA">
        <w:rPr>
          <w:rFonts w:ascii="Times New Roman CYR" w:hAnsi="Times New Roman CYR" w:cs="Times New Roman CYR"/>
          <w:b/>
          <w:bCs/>
          <w:i/>
          <w:iCs/>
          <w:szCs w:val="24"/>
          <w:lang w:val="en-US" w:eastAsia="ru-RU"/>
        </w:rPr>
        <w:t xml:space="preserve"> </w:t>
      </w:r>
      <w:r w:rsidRPr="00D337FA">
        <w:rPr>
          <w:rFonts w:ascii="Times New Roman CYR" w:hAnsi="Times New Roman CYR" w:cs="Times New Roman CYR"/>
          <w:b/>
          <w:bCs/>
          <w:i/>
          <w:iCs/>
          <w:szCs w:val="24"/>
          <w:lang w:val="en-US" w:eastAsia="ru-RU"/>
        </w:rPr>
        <w:t>№</w:t>
      </w:r>
      <w:r w:rsidR="006C680D" w:rsidRPr="00D337FA">
        <w:rPr>
          <w:rFonts w:ascii="Times New Roman CYR" w:hAnsi="Times New Roman CYR" w:cs="Times New Roman CYR"/>
          <w:b/>
          <w:bCs/>
          <w:i/>
          <w:iCs/>
          <w:szCs w:val="24"/>
          <w:lang w:val="en-US" w:eastAsia="ru-RU"/>
        </w:rPr>
        <w:t xml:space="preserve"> </w:t>
      </w:r>
      <w:r w:rsidR="008A4488" w:rsidRPr="00D337FA">
        <w:rPr>
          <w:rFonts w:ascii="Times New Roman CYR" w:hAnsi="Times New Roman CYR" w:cs="Times New Roman CYR"/>
          <w:b/>
          <w:bCs/>
          <w:i/>
          <w:iCs/>
          <w:szCs w:val="24"/>
          <w:lang w:val="en-US" w:eastAsia="ru-RU"/>
        </w:rPr>
        <w:t>1</w:t>
      </w:r>
      <w:r w:rsidR="006C680D" w:rsidRPr="00D337FA">
        <w:rPr>
          <w:rFonts w:ascii="Times New Roman CYR" w:hAnsi="Times New Roman CYR" w:cs="Times New Roman CYR"/>
          <w:b/>
          <w:bCs/>
          <w:i/>
          <w:iCs/>
          <w:szCs w:val="24"/>
          <w:lang w:val="en-US" w:eastAsia="ru-RU"/>
        </w:rPr>
        <w:t xml:space="preserve"> </w:t>
      </w:r>
      <w:r w:rsidRPr="00D337FA">
        <w:rPr>
          <w:rFonts w:ascii="Times New Roman CYR" w:hAnsi="Times New Roman CYR" w:cs="Times New Roman CYR"/>
          <w:b/>
          <w:bCs/>
          <w:i/>
          <w:iCs/>
          <w:szCs w:val="24"/>
          <w:lang w:val="en-US" w:eastAsia="ru-RU"/>
        </w:rPr>
        <w:t>(7</w:t>
      </w:r>
      <w:r w:rsidR="008A4488" w:rsidRPr="00D337FA">
        <w:rPr>
          <w:rFonts w:ascii="Times New Roman CYR" w:hAnsi="Times New Roman CYR" w:cs="Times New Roman CYR"/>
          <w:b/>
          <w:bCs/>
          <w:i/>
          <w:iCs/>
          <w:szCs w:val="24"/>
          <w:lang w:val="en-US" w:eastAsia="ru-RU"/>
        </w:rPr>
        <w:t>6</w:t>
      </w:r>
      <w:r w:rsidRPr="00D337FA">
        <w:rPr>
          <w:rFonts w:ascii="Times New Roman CYR" w:hAnsi="Times New Roman CYR" w:cs="Times New Roman CYR"/>
          <w:b/>
          <w:bCs/>
          <w:i/>
          <w:iCs/>
          <w:szCs w:val="24"/>
          <w:lang w:val="en-US" w:eastAsia="ru-RU"/>
        </w:rPr>
        <w:t>)</w:t>
      </w:r>
    </w:p>
    <w:p w:rsidR="00250468" w:rsidRPr="00D337FA"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i/>
          <w:iCs/>
          <w:szCs w:val="24"/>
          <w:lang w:val="en-US" w:eastAsia="ru-RU"/>
        </w:rPr>
      </w:pPr>
      <w:r w:rsidRPr="00D337FA">
        <w:rPr>
          <w:rFonts w:ascii="Times New Roman CYR" w:hAnsi="Times New Roman CYR" w:cs="Times New Roman CYR"/>
          <w:b/>
          <w:bCs/>
          <w:szCs w:val="24"/>
          <w:lang w:val="en-US" w:eastAsia="ru-RU"/>
        </w:rPr>
        <w:t>Founder</w:t>
      </w:r>
      <w:r w:rsidR="006C680D" w:rsidRPr="00D337FA">
        <w:rPr>
          <w:rFonts w:ascii="Times New Roman CYR" w:hAnsi="Times New Roman CYR" w:cs="Times New Roman CYR"/>
          <w:b/>
          <w:bCs/>
          <w:szCs w:val="24"/>
          <w:lang w:val="en-US" w:eastAsia="ru-RU"/>
        </w:rPr>
        <w:t xml:space="preserve"> </w:t>
      </w:r>
      <w:r w:rsidRPr="00D337FA">
        <w:rPr>
          <w:rFonts w:ascii="Times New Roman CYR" w:hAnsi="Times New Roman CYR" w:cs="Times New Roman CYR"/>
          <w:b/>
          <w:bCs/>
          <w:szCs w:val="24"/>
          <w:lang w:val="en-US" w:eastAsia="ru-RU"/>
        </w:rPr>
        <w:t>and</w:t>
      </w:r>
      <w:r w:rsidR="006C680D" w:rsidRPr="00D337FA">
        <w:rPr>
          <w:rFonts w:ascii="Times New Roman CYR" w:hAnsi="Times New Roman CYR" w:cs="Times New Roman CYR"/>
          <w:b/>
          <w:bCs/>
          <w:szCs w:val="24"/>
          <w:lang w:val="en-US" w:eastAsia="ru-RU"/>
        </w:rPr>
        <w:t xml:space="preserve"> </w:t>
      </w:r>
      <w:r w:rsidRPr="00D337FA">
        <w:rPr>
          <w:rFonts w:ascii="Times New Roman CYR" w:hAnsi="Times New Roman CYR" w:cs="Times New Roman CYR"/>
          <w:b/>
          <w:bCs/>
          <w:szCs w:val="24"/>
          <w:lang w:val="en-US" w:eastAsia="ru-RU"/>
        </w:rPr>
        <w:t>publisher:</w:t>
      </w:r>
      <w:r w:rsidR="006C680D" w:rsidRPr="00D337FA">
        <w:rPr>
          <w:rFonts w:ascii="Times New Roman CYR" w:hAnsi="Times New Roman CYR" w:cs="Times New Roman CYR"/>
          <w:b/>
          <w:bCs/>
          <w:szCs w:val="24"/>
          <w:lang w:val="en-US" w:eastAsia="ru-RU"/>
        </w:rPr>
        <w:t xml:space="preserve"> </w:t>
      </w:r>
      <w:r w:rsidRPr="00D337FA">
        <w:rPr>
          <w:rFonts w:ascii="Times New Roman CYR" w:hAnsi="Times New Roman CYR" w:cs="Times New Roman CYR"/>
          <w:szCs w:val="24"/>
          <w:lang w:val="en-US" w:eastAsia="ru-RU"/>
        </w:rPr>
        <w:t>Yuri</w:t>
      </w:r>
      <w:r w:rsidR="006C680D" w:rsidRPr="00D337FA">
        <w:rPr>
          <w:rFonts w:ascii="Times New Roman CYR" w:hAnsi="Times New Roman CYR" w:cs="Times New Roman CYR"/>
          <w:szCs w:val="24"/>
          <w:lang w:val="en-US" w:eastAsia="ru-RU"/>
        </w:rPr>
        <w:t xml:space="preserve"> </w:t>
      </w:r>
      <w:r w:rsidRPr="00D337FA">
        <w:rPr>
          <w:rFonts w:ascii="Times New Roman CYR" w:hAnsi="Times New Roman CYR" w:cs="Times New Roman CYR"/>
          <w:szCs w:val="24"/>
          <w:lang w:val="en-US" w:eastAsia="ru-RU"/>
        </w:rPr>
        <w:t>Gagarin</w:t>
      </w:r>
      <w:r w:rsidR="006C680D" w:rsidRPr="00D337FA">
        <w:rPr>
          <w:rFonts w:ascii="Times New Roman CYR" w:hAnsi="Times New Roman CYR" w:cs="Times New Roman CYR"/>
          <w:szCs w:val="24"/>
          <w:lang w:val="en-US" w:eastAsia="ru-RU"/>
        </w:rPr>
        <w:t xml:space="preserve"> </w:t>
      </w:r>
      <w:r w:rsidRPr="00D337FA">
        <w:rPr>
          <w:rFonts w:ascii="Times New Roman CYR" w:hAnsi="Times New Roman CYR" w:cs="Times New Roman CYR"/>
          <w:szCs w:val="24"/>
          <w:lang w:val="en-US" w:eastAsia="ru-RU"/>
        </w:rPr>
        <w:t>State</w:t>
      </w:r>
      <w:r w:rsidR="006C680D" w:rsidRPr="00D337FA">
        <w:rPr>
          <w:rFonts w:ascii="Times New Roman CYR" w:hAnsi="Times New Roman CYR" w:cs="Times New Roman CYR"/>
          <w:szCs w:val="24"/>
          <w:lang w:val="en-US" w:eastAsia="ru-RU"/>
        </w:rPr>
        <w:t xml:space="preserve"> </w:t>
      </w:r>
      <w:r w:rsidRPr="00D337FA">
        <w:rPr>
          <w:rFonts w:ascii="Times New Roman CYR" w:hAnsi="Times New Roman CYR" w:cs="Times New Roman CYR"/>
          <w:szCs w:val="24"/>
          <w:lang w:val="en-US" w:eastAsia="ru-RU"/>
        </w:rPr>
        <w:t>Technical</w:t>
      </w:r>
      <w:r w:rsidR="006C680D" w:rsidRPr="00D337FA">
        <w:rPr>
          <w:rFonts w:ascii="Times New Roman CYR" w:hAnsi="Times New Roman CYR" w:cs="Times New Roman CYR"/>
          <w:szCs w:val="24"/>
          <w:lang w:val="en-US" w:eastAsia="ru-RU"/>
        </w:rPr>
        <w:t xml:space="preserve"> </w:t>
      </w:r>
      <w:r w:rsidRPr="00D337FA">
        <w:rPr>
          <w:rFonts w:ascii="Times New Roman CYR" w:hAnsi="Times New Roman CYR" w:cs="Times New Roman CYR"/>
          <w:szCs w:val="24"/>
          <w:lang w:val="en-US" w:eastAsia="ru-RU"/>
        </w:rPr>
        <w:t>University</w:t>
      </w:r>
      <w:r w:rsidR="006C680D" w:rsidRPr="00D337FA">
        <w:rPr>
          <w:rFonts w:ascii="Times New Roman CYR" w:hAnsi="Times New Roman CYR" w:cs="Times New Roman CYR"/>
          <w:szCs w:val="24"/>
          <w:lang w:val="en-US" w:eastAsia="ru-RU"/>
        </w:rPr>
        <w:t xml:space="preserve"> </w:t>
      </w:r>
      <w:r w:rsidRPr="00D337FA">
        <w:rPr>
          <w:rFonts w:ascii="Times New Roman CYR" w:hAnsi="Times New Roman CYR" w:cs="Times New Roman CYR"/>
          <w:szCs w:val="24"/>
          <w:lang w:val="en-US" w:eastAsia="ru-RU"/>
        </w:rPr>
        <w:t>of</w:t>
      </w:r>
      <w:r w:rsidR="006C680D" w:rsidRPr="00D337FA">
        <w:rPr>
          <w:rFonts w:ascii="Times New Roman CYR" w:hAnsi="Times New Roman CYR" w:cs="Times New Roman CYR"/>
          <w:szCs w:val="24"/>
          <w:lang w:val="en-US" w:eastAsia="ru-RU"/>
        </w:rPr>
        <w:t xml:space="preserve"> </w:t>
      </w:r>
      <w:r w:rsidRPr="00D337FA">
        <w:rPr>
          <w:rFonts w:ascii="Times New Roman CYR" w:hAnsi="Times New Roman CYR" w:cs="Times New Roman CYR"/>
          <w:szCs w:val="24"/>
          <w:lang w:val="en-US" w:eastAsia="ru-RU"/>
        </w:rPr>
        <w:t>Saratov</w:t>
      </w:r>
    </w:p>
    <w:p w:rsidR="00250468" w:rsidRPr="00D337FA"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b/>
          <w:bCs/>
          <w:i/>
          <w:iCs/>
          <w:szCs w:val="24"/>
          <w:lang w:val="en-US" w:eastAsia="ru-RU"/>
        </w:rPr>
      </w:pPr>
    </w:p>
    <w:p w:rsidR="00713BBA" w:rsidRPr="00D337FA" w:rsidRDefault="00250468" w:rsidP="00552DCF">
      <w:pPr>
        <w:pStyle w:val="aff3"/>
        <w:jc w:val="left"/>
        <w:rPr>
          <w:rFonts w:ascii="Times New Roman CYR" w:hAnsi="Times New Roman CYR" w:cs="Times New Roman CYR"/>
          <w:b/>
          <w:i/>
          <w:color w:val="auto"/>
          <w:lang w:val="en-US"/>
        </w:rPr>
      </w:pPr>
      <w:r w:rsidRPr="00D337FA">
        <w:rPr>
          <w:rFonts w:ascii="Times New Roman CYR" w:hAnsi="Times New Roman CYR" w:cs="Times New Roman CYR"/>
          <w:b/>
          <w:i/>
          <w:color w:val="auto"/>
          <w:lang w:val="en-US"/>
        </w:rPr>
        <w:t>Editor-in-Chief:</w:t>
      </w:r>
      <w:r w:rsidR="006C680D" w:rsidRPr="00D337FA">
        <w:rPr>
          <w:rFonts w:ascii="Times New Roman CYR" w:hAnsi="Times New Roman CYR" w:cs="Times New Roman CYR"/>
          <w:b/>
          <w:i/>
          <w:color w:val="auto"/>
          <w:lang w:val="en-US"/>
        </w:rPr>
        <w:t xml:space="preserve"> </w:t>
      </w:r>
    </w:p>
    <w:p w:rsidR="00FD5D9B" w:rsidRPr="00D337FA" w:rsidRDefault="00250468" w:rsidP="00552DCF">
      <w:pPr>
        <w:pStyle w:val="aff3"/>
        <w:jc w:val="left"/>
        <w:rPr>
          <w:color w:val="auto"/>
          <w:sz w:val="22"/>
          <w:szCs w:val="22"/>
          <w:lang w:val="en-US"/>
        </w:rPr>
        <w:sectPr w:rsidR="00FD5D9B" w:rsidRPr="00D337FA" w:rsidSect="00FD5D9B">
          <w:footnotePr>
            <w:numRestart w:val="eachPage"/>
          </w:footnotePr>
          <w:type w:val="continuous"/>
          <w:pgSz w:w="11907" w:h="16840" w:code="9"/>
          <w:pgMar w:top="1418" w:right="1134" w:bottom="1418" w:left="1134" w:header="1021" w:footer="1021" w:gutter="0"/>
          <w:cols w:num="2" w:space="567"/>
          <w:noEndnote/>
          <w:docGrid w:linePitch="65"/>
        </w:sectPr>
      </w:pPr>
      <w:r w:rsidRPr="00D337FA">
        <w:rPr>
          <w:rFonts w:ascii="Times New Roman CYR" w:hAnsi="Times New Roman CYR" w:cs="Times New Roman CYR"/>
          <w:bCs w:val="0"/>
          <w:i/>
          <w:color w:val="auto"/>
          <w:lang w:val="en-US"/>
        </w:rPr>
        <w:t>Tatyana</w:t>
      </w:r>
      <w:r w:rsidR="006C680D" w:rsidRPr="00D337FA">
        <w:rPr>
          <w:rFonts w:ascii="Times New Roman CYR" w:hAnsi="Times New Roman CYR" w:cs="Times New Roman CYR"/>
          <w:bCs w:val="0"/>
          <w:i/>
          <w:color w:val="auto"/>
          <w:lang w:val="en-US"/>
        </w:rPr>
        <w:t xml:space="preserve"> </w:t>
      </w:r>
      <w:r w:rsidRPr="00D337FA">
        <w:rPr>
          <w:rFonts w:ascii="Times New Roman CYR" w:hAnsi="Times New Roman CYR" w:cs="Times New Roman CYR"/>
          <w:bCs w:val="0"/>
          <w:i/>
          <w:color w:val="auto"/>
          <w:lang w:val="en-US"/>
        </w:rPr>
        <w:t>V.</w:t>
      </w:r>
      <w:r w:rsidR="006C680D" w:rsidRPr="00D337FA">
        <w:rPr>
          <w:rFonts w:ascii="Times New Roman CYR" w:hAnsi="Times New Roman CYR" w:cs="Times New Roman CYR"/>
          <w:bCs w:val="0"/>
          <w:i/>
          <w:color w:val="auto"/>
          <w:lang w:val="en-US"/>
        </w:rPr>
        <w:t xml:space="preserve"> </w:t>
      </w:r>
      <w:r w:rsidRPr="00D337FA">
        <w:rPr>
          <w:rFonts w:ascii="Times New Roman CYR" w:hAnsi="Times New Roman CYR" w:cs="Times New Roman CYR"/>
          <w:bCs w:val="0"/>
          <w:i/>
          <w:color w:val="auto"/>
          <w:lang w:val="en-US"/>
        </w:rPr>
        <w:t>Goryacheva</w:t>
      </w:r>
    </w:p>
    <w:p w:rsidR="00FD5D9B" w:rsidRPr="00D337FA" w:rsidRDefault="00FD5D9B" w:rsidP="00297143">
      <w:pPr>
        <w:pStyle w:val="aff0"/>
      </w:pPr>
    </w:p>
    <w:p w:rsidR="00FD5D9B" w:rsidRPr="00D337FA" w:rsidRDefault="00FD5D9B" w:rsidP="00297143">
      <w:pPr>
        <w:pStyle w:val="aff0"/>
        <w:rPr>
          <w:highlight w:val="yellow"/>
        </w:rPr>
        <w:sectPr w:rsidR="00FD5D9B" w:rsidRPr="00D337FA" w:rsidSect="00FD5D9B">
          <w:footnotePr>
            <w:numRestart w:val="eachPage"/>
          </w:footnotePr>
          <w:type w:val="continuous"/>
          <w:pgSz w:w="11907" w:h="16840" w:code="9"/>
          <w:pgMar w:top="1418" w:right="1134" w:bottom="1418" w:left="1134" w:header="1021" w:footer="1021" w:gutter="0"/>
          <w:cols w:space="567"/>
          <w:noEndnote/>
          <w:docGrid w:linePitch="65"/>
        </w:sectPr>
      </w:pPr>
    </w:p>
    <w:p w:rsidR="00250468" w:rsidRPr="00D337FA" w:rsidRDefault="00250468" w:rsidP="00F26E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ind w:firstLine="0"/>
        <w:rPr>
          <w:rFonts w:ascii="Times New Roman CYR" w:hAnsi="Times New Roman CYR" w:cs="Times New Roman CYR"/>
          <w:szCs w:val="24"/>
          <w:lang w:eastAsia="ru-RU"/>
        </w:rPr>
      </w:pPr>
      <w:r w:rsidRPr="00D337FA">
        <w:rPr>
          <w:rFonts w:ascii="Times New Roman CYR" w:hAnsi="Times New Roman CYR" w:cs="Times New Roman CYR"/>
          <w:b/>
          <w:bCs/>
          <w:szCs w:val="24"/>
          <w:lang w:eastAsia="ru-RU"/>
        </w:rPr>
        <w:lastRenderedPageBreak/>
        <w:t>Адрес</w:t>
      </w:r>
      <w:r w:rsidR="006C680D" w:rsidRPr="00D337FA">
        <w:rPr>
          <w:rFonts w:ascii="Times New Roman CYR" w:hAnsi="Times New Roman CYR" w:cs="Times New Roman CYR"/>
          <w:b/>
          <w:bCs/>
          <w:szCs w:val="24"/>
          <w:lang w:eastAsia="ru-RU"/>
        </w:rPr>
        <w:t xml:space="preserve"> </w:t>
      </w:r>
      <w:r w:rsidRPr="00D337FA">
        <w:rPr>
          <w:rFonts w:ascii="Times New Roman CYR" w:hAnsi="Times New Roman CYR" w:cs="Times New Roman CYR"/>
          <w:b/>
          <w:bCs/>
          <w:szCs w:val="24"/>
          <w:lang w:eastAsia="ru-RU"/>
        </w:rPr>
        <w:t>редакции</w:t>
      </w:r>
      <w:r w:rsidR="006C680D" w:rsidRPr="00D337FA">
        <w:rPr>
          <w:rFonts w:ascii="Times New Roman CYR" w:hAnsi="Times New Roman CYR" w:cs="Times New Roman CYR"/>
          <w:b/>
          <w:bCs/>
          <w:szCs w:val="24"/>
          <w:lang w:eastAsia="ru-RU"/>
        </w:rPr>
        <w:t xml:space="preserve"> </w:t>
      </w:r>
      <w:r w:rsidRPr="00D337FA">
        <w:rPr>
          <w:rFonts w:ascii="Times New Roman CYR" w:hAnsi="Times New Roman CYR" w:cs="Times New Roman CYR"/>
          <w:b/>
          <w:bCs/>
          <w:szCs w:val="24"/>
          <w:lang w:eastAsia="ru-RU"/>
        </w:rPr>
        <w:t>и</w:t>
      </w:r>
      <w:r w:rsidR="006C680D" w:rsidRPr="00D337FA">
        <w:rPr>
          <w:rFonts w:ascii="Times New Roman CYR" w:hAnsi="Times New Roman CYR" w:cs="Times New Roman CYR"/>
          <w:b/>
          <w:bCs/>
          <w:szCs w:val="24"/>
          <w:lang w:eastAsia="ru-RU"/>
        </w:rPr>
        <w:t xml:space="preserve"> </w:t>
      </w:r>
      <w:r w:rsidRPr="00D337FA">
        <w:rPr>
          <w:rFonts w:ascii="Times New Roman CYR" w:hAnsi="Times New Roman CYR" w:cs="Times New Roman CYR"/>
          <w:b/>
          <w:bCs/>
          <w:szCs w:val="24"/>
          <w:lang w:eastAsia="ru-RU"/>
        </w:rPr>
        <w:t>издателя:</w:t>
      </w:r>
      <w:r w:rsidR="006C680D" w:rsidRPr="00D337FA">
        <w:rPr>
          <w:rFonts w:ascii="Times New Roman CYR" w:hAnsi="Times New Roman CYR" w:cs="Times New Roman CYR"/>
          <w:szCs w:val="24"/>
          <w:lang w:eastAsia="ru-RU"/>
        </w:rPr>
        <w:t xml:space="preserve"> </w:t>
      </w:r>
    </w:p>
    <w:p w:rsidR="00250468" w:rsidRPr="00D337FA"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CYR" w:hAnsi="Times New Roman CYR" w:cs="Times New Roman CYR"/>
          <w:spacing w:val="-4"/>
          <w:szCs w:val="24"/>
          <w:lang w:eastAsia="ru-RU"/>
        </w:rPr>
      </w:pPr>
      <w:r w:rsidRPr="00D337FA">
        <w:rPr>
          <w:rFonts w:ascii="Times New Roman CYR" w:hAnsi="Times New Roman CYR" w:cs="Times New Roman CYR"/>
          <w:spacing w:val="-4"/>
          <w:szCs w:val="24"/>
          <w:lang w:eastAsia="ru-RU"/>
        </w:rPr>
        <w:t>410054,</w:t>
      </w:r>
      <w:r w:rsidR="006C680D" w:rsidRPr="00D337FA">
        <w:rPr>
          <w:rFonts w:ascii="Times New Roman CYR" w:hAnsi="Times New Roman CYR" w:cs="Times New Roman CYR"/>
          <w:spacing w:val="-4"/>
          <w:szCs w:val="24"/>
          <w:lang w:eastAsia="ru-RU"/>
        </w:rPr>
        <w:t xml:space="preserve"> </w:t>
      </w:r>
      <w:r w:rsidRPr="00D337FA">
        <w:rPr>
          <w:rFonts w:ascii="Times New Roman CYR" w:hAnsi="Times New Roman CYR" w:cs="Times New Roman CYR"/>
          <w:spacing w:val="-4"/>
          <w:szCs w:val="24"/>
          <w:lang w:eastAsia="ru-RU"/>
        </w:rPr>
        <w:t>г.</w:t>
      </w:r>
      <w:r w:rsidR="006C680D" w:rsidRPr="00D337FA">
        <w:rPr>
          <w:rFonts w:ascii="Times New Roman CYR" w:hAnsi="Times New Roman CYR" w:cs="Times New Roman CYR"/>
          <w:spacing w:val="-4"/>
          <w:szCs w:val="24"/>
          <w:lang w:eastAsia="ru-RU"/>
        </w:rPr>
        <w:t xml:space="preserve"> </w:t>
      </w:r>
      <w:r w:rsidRPr="00D337FA">
        <w:rPr>
          <w:rFonts w:ascii="Times New Roman CYR" w:hAnsi="Times New Roman CYR" w:cs="Times New Roman CYR"/>
          <w:spacing w:val="-4"/>
          <w:szCs w:val="24"/>
          <w:lang w:eastAsia="ru-RU"/>
        </w:rPr>
        <w:t>Саратов,</w:t>
      </w:r>
      <w:r w:rsidR="006C680D" w:rsidRPr="00D337FA">
        <w:rPr>
          <w:rFonts w:ascii="Times New Roman CYR" w:hAnsi="Times New Roman CYR" w:cs="Times New Roman CYR"/>
          <w:spacing w:val="-4"/>
          <w:szCs w:val="24"/>
          <w:lang w:eastAsia="ru-RU"/>
        </w:rPr>
        <w:t xml:space="preserve"> </w:t>
      </w:r>
      <w:r w:rsidRPr="00D337FA">
        <w:rPr>
          <w:rFonts w:ascii="Times New Roman CYR" w:hAnsi="Times New Roman CYR" w:cs="Times New Roman CYR"/>
          <w:spacing w:val="-4"/>
          <w:szCs w:val="24"/>
          <w:lang w:eastAsia="ru-RU"/>
        </w:rPr>
        <w:t>ул.</w:t>
      </w:r>
      <w:r w:rsidR="006C680D" w:rsidRPr="00D337FA">
        <w:rPr>
          <w:rFonts w:ascii="Times New Roman CYR" w:hAnsi="Times New Roman CYR" w:cs="Times New Roman CYR"/>
          <w:spacing w:val="-4"/>
          <w:szCs w:val="24"/>
          <w:lang w:eastAsia="ru-RU"/>
        </w:rPr>
        <w:t xml:space="preserve"> </w:t>
      </w:r>
      <w:r w:rsidRPr="00D337FA">
        <w:rPr>
          <w:rFonts w:ascii="Times New Roman CYR" w:hAnsi="Times New Roman CYR" w:cs="Times New Roman CYR"/>
          <w:spacing w:val="-4"/>
          <w:szCs w:val="24"/>
          <w:lang w:eastAsia="ru-RU"/>
        </w:rPr>
        <w:t>Политехническая,</w:t>
      </w:r>
      <w:r w:rsidR="006C680D" w:rsidRPr="00D337FA">
        <w:rPr>
          <w:rFonts w:ascii="Times New Roman CYR" w:hAnsi="Times New Roman CYR" w:cs="Times New Roman CYR"/>
          <w:spacing w:val="-4"/>
          <w:szCs w:val="24"/>
          <w:lang w:eastAsia="ru-RU"/>
        </w:rPr>
        <w:t xml:space="preserve"> </w:t>
      </w:r>
      <w:r w:rsidRPr="00D337FA">
        <w:rPr>
          <w:rFonts w:ascii="Times New Roman CYR" w:hAnsi="Times New Roman CYR" w:cs="Times New Roman CYR"/>
          <w:spacing w:val="-4"/>
          <w:szCs w:val="24"/>
          <w:lang w:eastAsia="ru-RU"/>
        </w:rPr>
        <w:t>77.</w:t>
      </w:r>
    </w:p>
    <w:p w:rsidR="00250468" w:rsidRPr="00D337FA"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szCs w:val="24"/>
          <w:lang w:eastAsia="ru-RU"/>
        </w:rPr>
      </w:pPr>
      <w:r w:rsidRPr="00D337FA">
        <w:rPr>
          <w:rFonts w:ascii="Times New Roman CYR" w:hAnsi="Times New Roman CYR" w:cs="Times New Roman CYR"/>
          <w:szCs w:val="24"/>
          <w:lang w:eastAsia="ru-RU"/>
        </w:rPr>
        <w:t>Телефон:</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(845-2)</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99-85-48</w:t>
      </w:r>
      <w:r w:rsidR="006C680D" w:rsidRPr="00D337FA">
        <w:rPr>
          <w:rFonts w:ascii="Times New Roman CYR" w:hAnsi="Times New Roman CYR" w:cs="Times New Roman CYR"/>
          <w:szCs w:val="24"/>
          <w:lang w:eastAsia="ru-RU"/>
        </w:rPr>
        <w:t xml:space="preserve">  </w:t>
      </w:r>
    </w:p>
    <w:p w:rsidR="00250468" w:rsidRPr="00D337FA"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szCs w:val="24"/>
          <w:lang w:eastAsia="ru-RU"/>
        </w:rPr>
      </w:pPr>
      <w:r w:rsidRPr="00D337FA">
        <w:rPr>
          <w:rFonts w:ascii="Times New Roman CYR" w:hAnsi="Times New Roman CYR" w:cs="Times New Roman CYR"/>
          <w:szCs w:val="24"/>
          <w:lang w:eastAsia="ru-RU"/>
        </w:rPr>
        <w:t>Е-</w:t>
      </w:r>
      <w:r w:rsidRPr="00D337FA">
        <w:rPr>
          <w:rFonts w:ascii="Times New Roman CYR" w:hAnsi="Times New Roman CYR" w:cs="Times New Roman CYR"/>
          <w:szCs w:val="24"/>
          <w:lang w:val="en-US" w:eastAsia="ru-RU"/>
        </w:rPr>
        <w:t>mail</w:t>
      </w:r>
      <w:r w:rsidRPr="00D337FA">
        <w:rPr>
          <w:rFonts w:ascii="Times New Roman CYR" w:hAnsi="Times New Roman CYR" w:cs="Times New Roman CYR"/>
          <w:szCs w:val="24"/>
          <w:lang w:eastAsia="ru-RU"/>
        </w:rPr>
        <w:t>:</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val="en-US" w:eastAsia="ru-RU"/>
        </w:rPr>
        <w:t>innovation</w:t>
      </w:r>
      <w:r w:rsidRPr="00D337FA">
        <w:rPr>
          <w:rFonts w:ascii="Times New Roman CYR" w:hAnsi="Times New Roman CYR" w:cs="Times New Roman CYR"/>
          <w:szCs w:val="24"/>
          <w:lang w:eastAsia="ru-RU"/>
        </w:rPr>
        <w:t>@</w:t>
      </w:r>
      <w:r w:rsidRPr="00D337FA">
        <w:rPr>
          <w:rFonts w:ascii="Times New Roman CYR" w:hAnsi="Times New Roman CYR" w:cs="Times New Roman CYR"/>
          <w:szCs w:val="24"/>
          <w:lang w:val="en-US" w:eastAsia="ru-RU"/>
        </w:rPr>
        <w:t>sstu</w:t>
      </w:r>
      <w:r w:rsidRPr="00D337FA">
        <w:rPr>
          <w:rFonts w:ascii="Times New Roman CYR" w:hAnsi="Times New Roman CYR" w:cs="Times New Roman CYR"/>
          <w:szCs w:val="24"/>
          <w:lang w:eastAsia="ru-RU"/>
        </w:rPr>
        <w:t>.</w:t>
      </w:r>
      <w:r w:rsidRPr="00D337FA">
        <w:rPr>
          <w:rFonts w:ascii="Times New Roman CYR" w:hAnsi="Times New Roman CYR" w:cs="Times New Roman CYR"/>
          <w:szCs w:val="24"/>
          <w:lang w:val="en-US" w:eastAsia="ru-RU"/>
        </w:rPr>
        <w:t>ru</w:t>
      </w:r>
    </w:p>
    <w:p w:rsidR="00250468" w:rsidRPr="00D337FA"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ind w:firstLine="0"/>
        <w:jc w:val="left"/>
        <w:rPr>
          <w:rFonts w:ascii="Times New Roman CYR" w:hAnsi="Times New Roman CYR" w:cs="Times New Roman CYR"/>
          <w:sz w:val="18"/>
          <w:szCs w:val="18"/>
          <w:lang w:eastAsia="ru-RU"/>
        </w:rPr>
      </w:pPr>
      <w:r w:rsidRPr="00D337FA">
        <w:rPr>
          <w:rFonts w:ascii="Times New Roman CYR" w:hAnsi="Times New Roman CYR" w:cs="Times New Roman CYR"/>
          <w:bCs/>
          <w:szCs w:val="24"/>
          <w:lang w:eastAsia="ru-RU"/>
        </w:rPr>
        <w:t>Редактор</w:t>
      </w:r>
      <w:r w:rsidRPr="00D337FA">
        <w:rPr>
          <w:rFonts w:ascii="Times New Roman CYR" w:hAnsi="Times New Roman CYR" w:cs="Times New Roman CYR"/>
          <w:szCs w:val="24"/>
          <w:lang w:eastAsia="ru-RU"/>
        </w:rPr>
        <w:t>:</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Л.А.</w:t>
      </w:r>
      <w:r w:rsidR="006C680D" w:rsidRPr="00D337FA">
        <w:rPr>
          <w:rFonts w:ascii="Times New Roman CYR" w:hAnsi="Times New Roman CYR" w:cs="Times New Roman CYR"/>
          <w:szCs w:val="24"/>
          <w:lang w:eastAsia="ru-RU"/>
        </w:rPr>
        <w:t xml:space="preserve"> </w:t>
      </w:r>
      <w:r w:rsidR="00847380" w:rsidRPr="00D337FA">
        <w:rPr>
          <w:rFonts w:ascii="Times New Roman CYR" w:hAnsi="Times New Roman CYR" w:cs="Times New Roman CYR"/>
          <w:szCs w:val="24"/>
          <w:lang w:eastAsia="ru-RU"/>
        </w:rPr>
        <w:t>Скворцова</w:t>
      </w:r>
    </w:p>
    <w:p w:rsidR="00250468" w:rsidRPr="00D337FA"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szCs w:val="24"/>
          <w:lang w:eastAsia="ru-RU"/>
        </w:rPr>
      </w:pPr>
      <w:r w:rsidRPr="00D337FA">
        <w:rPr>
          <w:rFonts w:ascii="Times New Roman CYR" w:hAnsi="Times New Roman CYR" w:cs="Times New Roman CYR"/>
          <w:iCs/>
          <w:szCs w:val="24"/>
          <w:lang w:eastAsia="ru-RU"/>
        </w:rPr>
        <w:t>Компьютерная</w:t>
      </w:r>
      <w:r w:rsidR="006C680D" w:rsidRPr="00D337FA">
        <w:rPr>
          <w:rFonts w:ascii="Times New Roman CYR" w:hAnsi="Times New Roman CYR" w:cs="Times New Roman CYR"/>
          <w:iCs/>
          <w:szCs w:val="24"/>
          <w:lang w:eastAsia="ru-RU"/>
        </w:rPr>
        <w:t xml:space="preserve"> </w:t>
      </w:r>
      <w:r w:rsidRPr="00D337FA">
        <w:rPr>
          <w:rFonts w:ascii="Times New Roman CYR" w:hAnsi="Times New Roman CYR" w:cs="Times New Roman CYR"/>
          <w:iCs/>
          <w:szCs w:val="24"/>
          <w:lang w:eastAsia="ru-RU"/>
        </w:rPr>
        <w:t>верстка</w:t>
      </w:r>
      <w:r w:rsidR="006C680D" w:rsidRPr="00D337FA">
        <w:rPr>
          <w:rFonts w:ascii="Times New Roman CYR" w:hAnsi="Times New Roman CYR" w:cs="Times New Roman CYR"/>
          <w:szCs w:val="24"/>
          <w:lang w:eastAsia="ru-RU"/>
        </w:rPr>
        <w:t xml:space="preserve"> </w:t>
      </w:r>
      <w:r w:rsidR="00847380" w:rsidRPr="00D337FA">
        <w:rPr>
          <w:rFonts w:ascii="Times New Roman CYR" w:hAnsi="Times New Roman CYR" w:cs="Times New Roman CYR"/>
          <w:szCs w:val="24"/>
          <w:lang w:eastAsia="ru-RU"/>
        </w:rPr>
        <w:t>Ю.Л.</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Жупиловой</w:t>
      </w:r>
      <w:r w:rsidR="006C680D" w:rsidRPr="00D337FA">
        <w:rPr>
          <w:rFonts w:ascii="Times New Roman CYR" w:hAnsi="Times New Roman CYR" w:cs="Times New Roman CYR"/>
          <w:szCs w:val="24"/>
          <w:lang w:eastAsia="ru-RU"/>
        </w:rPr>
        <w:t xml:space="preserve"> </w:t>
      </w:r>
    </w:p>
    <w:p w:rsidR="00250468" w:rsidRPr="00D337FA" w:rsidRDefault="00250468" w:rsidP="00713BBA">
      <w:pPr>
        <w:autoSpaceDE w:val="0"/>
        <w:autoSpaceDN w:val="0"/>
        <w:adjustRightInd w:val="0"/>
        <w:ind w:firstLine="0"/>
        <w:jc w:val="left"/>
        <w:rPr>
          <w:rFonts w:ascii="Times New Roman CYR" w:hAnsi="Times New Roman CYR" w:cs="Times New Roman CYR"/>
          <w:iCs/>
          <w:szCs w:val="24"/>
          <w:lang w:eastAsia="ru-RU"/>
        </w:rPr>
      </w:pPr>
      <w:r w:rsidRPr="00D337FA">
        <w:rPr>
          <w:rFonts w:ascii="Times New Roman CYR" w:hAnsi="Times New Roman CYR" w:cs="Times New Roman CYR"/>
          <w:iCs/>
          <w:szCs w:val="24"/>
          <w:lang w:eastAsia="ru-RU"/>
        </w:rPr>
        <w:t>Редактирование</w:t>
      </w:r>
      <w:r w:rsidR="006C680D" w:rsidRPr="00D337FA">
        <w:rPr>
          <w:rFonts w:ascii="Times New Roman CYR" w:hAnsi="Times New Roman CYR" w:cs="Times New Roman CYR"/>
          <w:iCs/>
          <w:szCs w:val="24"/>
          <w:lang w:eastAsia="ru-RU"/>
        </w:rPr>
        <w:t xml:space="preserve"> </w:t>
      </w:r>
      <w:r w:rsidRPr="00D337FA">
        <w:rPr>
          <w:rFonts w:ascii="Times New Roman CYR" w:hAnsi="Times New Roman CYR" w:cs="Times New Roman CYR"/>
          <w:iCs/>
          <w:szCs w:val="24"/>
          <w:lang w:eastAsia="ru-RU"/>
        </w:rPr>
        <w:t>перевода</w:t>
      </w:r>
    </w:p>
    <w:p w:rsidR="00250468" w:rsidRPr="00D337FA" w:rsidRDefault="00250468" w:rsidP="00713BBA">
      <w:pPr>
        <w:autoSpaceDE w:val="0"/>
        <w:autoSpaceDN w:val="0"/>
        <w:adjustRightInd w:val="0"/>
        <w:ind w:firstLine="0"/>
        <w:jc w:val="left"/>
        <w:rPr>
          <w:szCs w:val="24"/>
          <w:lang w:eastAsia="ru-RU"/>
        </w:rPr>
      </w:pPr>
      <w:r w:rsidRPr="00D337FA">
        <w:rPr>
          <w:rFonts w:ascii="Times New Roman CYR" w:hAnsi="Times New Roman CYR" w:cs="Times New Roman CYR"/>
          <w:iCs/>
          <w:szCs w:val="24"/>
          <w:lang w:eastAsia="ru-RU"/>
        </w:rPr>
        <w:t>на</w:t>
      </w:r>
      <w:r w:rsidR="006C680D" w:rsidRPr="00D337FA">
        <w:rPr>
          <w:rFonts w:ascii="Times New Roman CYR" w:hAnsi="Times New Roman CYR" w:cs="Times New Roman CYR"/>
          <w:iCs/>
          <w:szCs w:val="24"/>
          <w:lang w:eastAsia="ru-RU"/>
        </w:rPr>
        <w:t xml:space="preserve"> </w:t>
      </w:r>
      <w:r w:rsidRPr="00D337FA">
        <w:rPr>
          <w:rFonts w:ascii="Times New Roman CYR" w:hAnsi="Times New Roman CYR" w:cs="Times New Roman CYR"/>
          <w:iCs/>
          <w:szCs w:val="24"/>
          <w:lang w:eastAsia="ru-RU"/>
        </w:rPr>
        <w:t>английский</w:t>
      </w:r>
      <w:r w:rsidR="006C680D" w:rsidRPr="00D337FA">
        <w:rPr>
          <w:rFonts w:ascii="Times New Roman CYR" w:hAnsi="Times New Roman CYR" w:cs="Times New Roman CYR"/>
          <w:iCs/>
          <w:szCs w:val="24"/>
          <w:lang w:eastAsia="ru-RU"/>
        </w:rPr>
        <w:t xml:space="preserve"> </w:t>
      </w:r>
      <w:r w:rsidRPr="00D337FA">
        <w:rPr>
          <w:rFonts w:ascii="Times New Roman CYR" w:hAnsi="Times New Roman CYR" w:cs="Times New Roman CYR"/>
          <w:iCs/>
          <w:szCs w:val="24"/>
          <w:lang w:eastAsia="ru-RU"/>
        </w:rPr>
        <w:t>язык</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А.Х.</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Аскаровой</w:t>
      </w:r>
    </w:p>
    <w:p w:rsidR="00250468" w:rsidRPr="00C2048E" w:rsidRDefault="00713BBA"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ind w:firstLine="0"/>
        <w:jc w:val="left"/>
        <w:rPr>
          <w:rFonts w:ascii="Times New Roman CYR" w:hAnsi="Times New Roman CYR" w:cs="Times New Roman CYR"/>
          <w:szCs w:val="24"/>
          <w:lang w:eastAsia="ru-RU"/>
        </w:rPr>
      </w:pPr>
      <w:r w:rsidRPr="00D337FA">
        <w:rPr>
          <w:rFonts w:ascii="Times New Roman CYR" w:hAnsi="Times New Roman CYR" w:cs="Times New Roman CYR"/>
          <w:iCs/>
          <w:szCs w:val="24"/>
          <w:lang w:eastAsia="ru-RU"/>
        </w:rPr>
        <w:t>Подписано</w:t>
      </w:r>
      <w:r w:rsidR="006C680D" w:rsidRPr="00D337FA">
        <w:rPr>
          <w:rFonts w:ascii="Times New Roman CYR" w:hAnsi="Times New Roman CYR" w:cs="Times New Roman CYR"/>
          <w:iCs/>
          <w:szCs w:val="24"/>
          <w:lang w:eastAsia="ru-RU"/>
        </w:rPr>
        <w:t xml:space="preserve"> </w:t>
      </w:r>
      <w:r w:rsidRPr="00D337FA">
        <w:rPr>
          <w:rFonts w:ascii="Times New Roman CYR" w:hAnsi="Times New Roman CYR" w:cs="Times New Roman CYR"/>
          <w:iCs/>
          <w:szCs w:val="24"/>
          <w:lang w:eastAsia="ru-RU"/>
        </w:rPr>
        <w:t>в</w:t>
      </w:r>
      <w:r w:rsidR="006C680D" w:rsidRPr="00D337FA">
        <w:rPr>
          <w:rFonts w:ascii="Times New Roman CYR" w:hAnsi="Times New Roman CYR" w:cs="Times New Roman CYR"/>
          <w:iCs/>
          <w:szCs w:val="24"/>
          <w:lang w:eastAsia="ru-RU"/>
        </w:rPr>
        <w:t xml:space="preserve"> </w:t>
      </w:r>
      <w:r w:rsidRPr="00D337FA">
        <w:rPr>
          <w:rFonts w:ascii="Times New Roman CYR" w:hAnsi="Times New Roman CYR" w:cs="Times New Roman CYR"/>
          <w:iCs/>
          <w:szCs w:val="24"/>
          <w:lang w:eastAsia="ru-RU"/>
        </w:rPr>
        <w:t>печать</w:t>
      </w:r>
      <w:r w:rsidR="006C680D" w:rsidRPr="00D337FA">
        <w:rPr>
          <w:rFonts w:ascii="Times New Roman CYR" w:hAnsi="Times New Roman CYR" w:cs="Times New Roman CYR"/>
          <w:szCs w:val="24"/>
          <w:lang w:eastAsia="ru-RU"/>
        </w:rPr>
        <w:t xml:space="preserve"> </w:t>
      </w:r>
      <w:r w:rsidRPr="00D337FA">
        <w:rPr>
          <w:rFonts w:ascii="Times New Roman CYR" w:hAnsi="Times New Roman CYR" w:cs="Times New Roman CYR"/>
          <w:szCs w:val="24"/>
          <w:lang w:eastAsia="ru-RU"/>
        </w:rPr>
        <w:t>22.</w:t>
      </w:r>
      <w:r w:rsidR="008A4488" w:rsidRPr="00D337FA">
        <w:rPr>
          <w:rFonts w:ascii="Times New Roman CYR" w:hAnsi="Times New Roman CYR" w:cs="Times New Roman CYR"/>
          <w:szCs w:val="24"/>
          <w:lang w:eastAsia="ru-RU"/>
        </w:rPr>
        <w:t>03</w:t>
      </w:r>
      <w:r w:rsidRPr="00D337FA">
        <w:rPr>
          <w:rFonts w:ascii="Times New Roman CYR" w:hAnsi="Times New Roman CYR" w:cs="Times New Roman CYR"/>
          <w:szCs w:val="24"/>
          <w:lang w:eastAsia="ru-RU"/>
        </w:rPr>
        <w:t>.</w:t>
      </w:r>
      <w:r w:rsidRPr="00C2048E">
        <w:rPr>
          <w:rFonts w:ascii="Times New Roman CYR" w:hAnsi="Times New Roman CYR" w:cs="Times New Roman CYR"/>
          <w:szCs w:val="24"/>
          <w:lang w:eastAsia="ru-RU"/>
        </w:rPr>
        <w:t>202</w:t>
      </w:r>
      <w:r w:rsidR="008A4488" w:rsidRPr="00C2048E">
        <w:rPr>
          <w:rFonts w:ascii="Times New Roman CYR" w:hAnsi="Times New Roman CYR" w:cs="Times New Roman CYR"/>
          <w:szCs w:val="24"/>
          <w:lang w:eastAsia="ru-RU"/>
        </w:rPr>
        <w:t>6</w:t>
      </w:r>
      <w:r w:rsidRPr="00C2048E">
        <w:rPr>
          <w:rFonts w:ascii="Times New Roman CYR" w:hAnsi="Times New Roman CYR" w:cs="Times New Roman CYR"/>
          <w:szCs w:val="24"/>
          <w:lang w:eastAsia="ru-RU"/>
        </w:rPr>
        <w:t>.</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br/>
        <w:t>Дата</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выхода</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в</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свет</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3</w:t>
      </w:r>
      <w:r w:rsidR="008A4488" w:rsidRPr="00C2048E">
        <w:rPr>
          <w:rFonts w:ascii="Times New Roman CYR" w:hAnsi="Times New Roman CYR" w:cs="Times New Roman CYR"/>
          <w:szCs w:val="24"/>
          <w:lang w:eastAsia="ru-RU"/>
        </w:rPr>
        <w:t>1</w:t>
      </w:r>
      <w:r w:rsidRPr="00C2048E">
        <w:rPr>
          <w:rFonts w:ascii="Times New Roman CYR" w:hAnsi="Times New Roman CYR" w:cs="Times New Roman CYR"/>
          <w:szCs w:val="24"/>
          <w:lang w:eastAsia="ru-RU"/>
        </w:rPr>
        <w:t>.</w:t>
      </w:r>
      <w:r w:rsidR="008A4488" w:rsidRPr="00C2048E">
        <w:rPr>
          <w:rFonts w:ascii="Times New Roman CYR" w:hAnsi="Times New Roman CYR" w:cs="Times New Roman CYR"/>
          <w:szCs w:val="24"/>
          <w:lang w:eastAsia="ru-RU"/>
        </w:rPr>
        <w:t>03.</w:t>
      </w:r>
      <w:r w:rsidRPr="00C2048E">
        <w:rPr>
          <w:rFonts w:ascii="Times New Roman CYR" w:hAnsi="Times New Roman CYR" w:cs="Times New Roman CYR"/>
          <w:szCs w:val="24"/>
          <w:lang w:eastAsia="ru-RU"/>
        </w:rPr>
        <w:t>202</w:t>
      </w:r>
      <w:r w:rsidR="008A4488" w:rsidRPr="00C2048E">
        <w:rPr>
          <w:rFonts w:ascii="Times New Roman CYR" w:hAnsi="Times New Roman CYR" w:cs="Times New Roman CYR"/>
          <w:szCs w:val="24"/>
          <w:lang w:eastAsia="ru-RU"/>
        </w:rPr>
        <w:t>6/</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br/>
      </w:r>
      <w:r w:rsidR="00250468" w:rsidRPr="00C2048E">
        <w:rPr>
          <w:rFonts w:ascii="Times New Roman CYR" w:hAnsi="Times New Roman CYR" w:cs="Times New Roman CYR"/>
          <w:iCs/>
          <w:szCs w:val="24"/>
          <w:lang w:eastAsia="ru-RU"/>
        </w:rPr>
        <w:t>Формат</w:t>
      </w:r>
      <w:r w:rsidR="006C680D" w:rsidRPr="00C2048E">
        <w:rPr>
          <w:rFonts w:ascii="Times New Roman CYR" w:hAnsi="Times New Roman CYR" w:cs="Times New Roman CYR"/>
          <w:i/>
          <w:iCs/>
          <w:szCs w:val="24"/>
          <w:lang w:eastAsia="ru-RU"/>
        </w:rPr>
        <w:t xml:space="preserve"> </w:t>
      </w:r>
      <w:r w:rsidR="00250468" w:rsidRPr="00C2048E">
        <w:rPr>
          <w:rFonts w:ascii="Times New Roman CYR" w:hAnsi="Times New Roman CYR" w:cs="Times New Roman CYR"/>
          <w:szCs w:val="24"/>
          <w:lang w:eastAsia="ru-RU"/>
        </w:rPr>
        <w:t>60</w:t>
      </w:r>
      <w:r w:rsidR="00DF68F1" w:rsidRPr="00C2048E">
        <w:rPr>
          <w:rFonts w:ascii="Times New Roman CYR" w:hAnsi="Times New Roman CYR" w:cs="Times New Roman CYR"/>
          <w:szCs w:val="24"/>
          <w:lang w:eastAsia="ru-RU"/>
        </w:rPr>
        <w:sym w:font="Symbol" w:char="F0B4"/>
      </w:r>
      <w:r w:rsidR="00250468" w:rsidRPr="00C2048E">
        <w:rPr>
          <w:rFonts w:ascii="Times New Roman CYR" w:hAnsi="Times New Roman CYR" w:cs="Times New Roman CYR"/>
          <w:szCs w:val="24"/>
          <w:lang w:eastAsia="ru-RU"/>
        </w:rPr>
        <w:t>84</w:t>
      </w:r>
      <w:r w:rsidR="006C680D" w:rsidRPr="00C2048E">
        <w:rPr>
          <w:rFonts w:ascii="Times New Roman CYR" w:hAnsi="Times New Roman CYR" w:cs="Times New Roman CYR"/>
          <w:szCs w:val="24"/>
          <w:lang w:eastAsia="ru-RU"/>
        </w:rPr>
        <w:t xml:space="preserve"> </w:t>
      </w:r>
      <w:r w:rsidR="00250468" w:rsidRPr="00C2048E">
        <w:rPr>
          <w:rFonts w:ascii="Times New Roman CYR" w:hAnsi="Times New Roman CYR" w:cs="Times New Roman CYR"/>
          <w:szCs w:val="24"/>
          <w:lang w:eastAsia="ru-RU"/>
        </w:rPr>
        <w:t>1/8.</w:t>
      </w:r>
      <w:r w:rsidR="006C680D" w:rsidRPr="00C2048E">
        <w:rPr>
          <w:rFonts w:ascii="Times New Roman CYR" w:hAnsi="Times New Roman CYR" w:cs="Times New Roman CYR"/>
          <w:szCs w:val="24"/>
          <w:lang w:eastAsia="ru-RU"/>
        </w:rPr>
        <w:t xml:space="preserve"> </w:t>
      </w:r>
      <w:r w:rsidR="00250468" w:rsidRPr="00C2048E">
        <w:rPr>
          <w:rFonts w:ascii="Times New Roman CYR" w:hAnsi="Times New Roman CYR" w:cs="Times New Roman CYR"/>
          <w:szCs w:val="24"/>
          <w:lang w:eastAsia="ru-RU"/>
        </w:rPr>
        <w:t>Усл.</w:t>
      </w:r>
      <w:r w:rsidR="006C680D" w:rsidRPr="00C2048E">
        <w:rPr>
          <w:rFonts w:ascii="Times New Roman CYR" w:hAnsi="Times New Roman CYR" w:cs="Times New Roman CYR"/>
          <w:szCs w:val="24"/>
          <w:lang w:eastAsia="ru-RU"/>
        </w:rPr>
        <w:t xml:space="preserve"> </w:t>
      </w:r>
      <w:r w:rsidR="00250468" w:rsidRPr="00C2048E">
        <w:rPr>
          <w:rFonts w:ascii="Times New Roman CYR" w:hAnsi="Times New Roman CYR" w:cs="Times New Roman CYR"/>
          <w:szCs w:val="24"/>
          <w:lang w:eastAsia="ru-RU"/>
        </w:rPr>
        <w:t>печ.</w:t>
      </w:r>
      <w:r w:rsidR="006C680D" w:rsidRPr="00C2048E">
        <w:rPr>
          <w:rFonts w:ascii="Times New Roman CYR" w:hAnsi="Times New Roman CYR" w:cs="Times New Roman CYR"/>
          <w:szCs w:val="24"/>
          <w:lang w:eastAsia="ru-RU"/>
        </w:rPr>
        <w:t xml:space="preserve"> </w:t>
      </w:r>
      <w:r w:rsidR="00250468" w:rsidRPr="00C2048E">
        <w:rPr>
          <w:rFonts w:ascii="Times New Roman CYR" w:hAnsi="Times New Roman CYR" w:cs="Times New Roman CYR"/>
          <w:szCs w:val="24"/>
          <w:lang w:eastAsia="ru-RU"/>
        </w:rPr>
        <w:t>л.</w:t>
      </w:r>
      <w:r w:rsidR="006C680D" w:rsidRPr="00C2048E">
        <w:rPr>
          <w:rFonts w:ascii="Times New Roman CYR" w:hAnsi="Times New Roman CYR" w:cs="Times New Roman CYR"/>
          <w:szCs w:val="24"/>
          <w:lang w:eastAsia="ru-RU"/>
        </w:rPr>
        <w:t xml:space="preserve"> </w:t>
      </w:r>
      <w:r w:rsidR="00250468" w:rsidRPr="00C2048E">
        <w:rPr>
          <w:rFonts w:ascii="Times New Roman CYR" w:hAnsi="Times New Roman CYR" w:cs="Times New Roman CYR"/>
          <w:szCs w:val="24"/>
          <w:lang w:eastAsia="ru-RU"/>
        </w:rPr>
        <w:t>1</w:t>
      </w:r>
      <w:r w:rsidRPr="00C2048E">
        <w:rPr>
          <w:rFonts w:ascii="Times New Roman CYR" w:hAnsi="Times New Roman CYR" w:cs="Times New Roman CYR"/>
          <w:szCs w:val="24"/>
          <w:lang w:eastAsia="ru-RU"/>
        </w:rPr>
        <w:t>1</w:t>
      </w:r>
      <w:r w:rsidR="00250468" w:rsidRPr="00C2048E">
        <w:rPr>
          <w:rFonts w:ascii="Times New Roman CYR" w:hAnsi="Times New Roman CYR" w:cs="Times New Roman CYR"/>
          <w:szCs w:val="24"/>
          <w:lang w:eastAsia="ru-RU"/>
        </w:rPr>
        <w:t>,</w:t>
      </w:r>
      <w:r w:rsidRPr="00C2048E">
        <w:rPr>
          <w:rFonts w:ascii="Times New Roman CYR" w:hAnsi="Times New Roman CYR" w:cs="Times New Roman CYR"/>
          <w:szCs w:val="24"/>
          <w:lang w:eastAsia="ru-RU"/>
        </w:rPr>
        <w:t>2</w:t>
      </w:r>
      <w:r w:rsidR="00250468" w:rsidRPr="00C2048E">
        <w:rPr>
          <w:rFonts w:ascii="Times New Roman CYR" w:hAnsi="Times New Roman CYR" w:cs="Times New Roman CYR"/>
          <w:szCs w:val="24"/>
          <w:lang w:eastAsia="ru-RU"/>
        </w:rPr>
        <w:t>5.</w:t>
      </w:r>
      <w:r w:rsidR="006C680D" w:rsidRPr="00C2048E">
        <w:rPr>
          <w:rFonts w:ascii="Times New Roman CYR" w:hAnsi="Times New Roman CYR" w:cs="Times New Roman CYR"/>
          <w:szCs w:val="24"/>
          <w:lang w:eastAsia="ru-RU"/>
        </w:rPr>
        <w:t xml:space="preserve"> </w:t>
      </w:r>
      <w:r w:rsidR="00DF68F1" w:rsidRPr="00C2048E">
        <w:rPr>
          <w:rFonts w:ascii="Times New Roman CYR" w:hAnsi="Times New Roman CYR" w:cs="Times New Roman CYR"/>
          <w:szCs w:val="24"/>
          <w:lang w:eastAsia="ru-RU"/>
        </w:rPr>
        <w:br/>
      </w:r>
      <w:r w:rsidR="00250468" w:rsidRPr="00C2048E">
        <w:rPr>
          <w:rFonts w:ascii="Times New Roman CYR" w:hAnsi="Times New Roman CYR" w:cs="Times New Roman CYR"/>
          <w:szCs w:val="24"/>
          <w:lang w:eastAsia="ru-RU"/>
        </w:rPr>
        <w:t>Уч.-изд.</w:t>
      </w:r>
      <w:r w:rsidR="006C680D" w:rsidRPr="00C2048E">
        <w:rPr>
          <w:rFonts w:ascii="Times New Roman CYR" w:hAnsi="Times New Roman CYR" w:cs="Times New Roman CYR"/>
          <w:szCs w:val="24"/>
          <w:lang w:eastAsia="ru-RU"/>
        </w:rPr>
        <w:t xml:space="preserve"> </w:t>
      </w:r>
      <w:r w:rsidR="00250468" w:rsidRPr="00C2048E">
        <w:rPr>
          <w:rFonts w:ascii="Times New Roman CYR" w:hAnsi="Times New Roman CYR" w:cs="Times New Roman CYR"/>
          <w:szCs w:val="24"/>
          <w:lang w:eastAsia="ru-RU"/>
        </w:rPr>
        <w:t>л.</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6,8</w:t>
      </w:r>
      <w:r w:rsidR="00761FB2" w:rsidRPr="00C2048E">
        <w:rPr>
          <w:rFonts w:ascii="Times New Roman CYR" w:hAnsi="Times New Roman CYR" w:cs="Times New Roman CYR"/>
          <w:szCs w:val="24"/>
          <w:lang w:eastAsia="ru-RU"/>
        </w:rPr>
        <w:t>.</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szCs w:val="24"/>
          <w:lang w:eastAsia="ru-RU"/>
        </w:rPr>
      </w:pPr>
      <w:r w:rsidRPr="00C2048E">
        <w:rPr>
          <w:rFonts w:ascii="Times New Roman CYR" w:hAnsi="Times New Roman CYR" w:cs="Times New Roman CYR"/>
          <w:iCs/>
          <w:szCs w:val="24"/>
          <w:lang w:eastAsia="ru-RU"/>
        </w:rPr>
        <w:t>Тираж</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500</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экз.</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Заказ</w:t>
      </w:r>
      <w:r w:rsidR="006C680D" w:rsidRPr="00C2048E">
        <w:rPr>
          <w:rFonts w:ascii="Times New Roman CYR" w:hAnsi="Times New Roman CYR" w:cs="Times New Roman CYR"/>
          <w:szCs w:val="24"/>
          <w:lang w:eastAsia="ru-RU"/>
        </w:rPr>
        <w:t xml:space="preserve"> </w:t>
      </w:r>
      <w:r w:rsidR="00713BBA" w:rsidRPr="00C2048E">
        <w:rPr>
          <w:rFonts w:ascii="Times New Roman CYR" w:hAnsi="Times New Roman CYR" w:cs="Times New Roman CYR"/>
          <w:szCs w:val="24"/>
          <w:lang w:eastAsia="ru-RU"/>
        </w:rPr>
        <w:t>32</w:t>
      </w:r>
      <w:r w:rsidRPr="00C2048E">
        <w:rPr>
          <w:rFonts w:ascii="Times New Roman CYR" w:hAnsi="Times New Roman CYR" w:cs="Times New Roman CYR"/>
          <w:szCs w:val="24"/>
          <w:lang w:eastAsia="ru-RU"/>
        </w:rPr>
        <w:t>.</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ISSN</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2071-5226</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CYR" w:hAnsi="Times New Roman CYR" w:cs="Times New Roman CYR"/>
          <w:szCs w:val="24"/>
          <w:lang w:eastAsia="ru-RU"/>
        </w:rPr>
      </w:pPr>
      <w:r w:rsidRPr="00C2048E">
        <w:rPr>
          <w:rFonts w:ascii="Times New Roman CYR" w:hAnsi="Times New Roman CYR" w:cs="Times New Roman CYR"/>
          <w:szCs w:val="24"/>
          <w:lang w:eastAsia="ru-RU"/>
        </w:rPr>
        <w:t>Цена</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свободная.</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ind w:firstLine="0"/>
        <w:jc w:val="left"/>
        <w:rPr>
          <w:rFonts w:ascii="Times New Roman CYR" w:hAnsi="Times New Roman CYR" w:cs="Times New Roman CYR"/>
          <w:szCs w:val="24"/>
          <w:lang w:eastAsia="ru-RU"/>
        </w:rPr>
      </w:pPr>
      <w:r w:rsidRPr="00C2048E">
        <w:rPr>
          <w:rFonts w:ascii="Times New Roman CYR" w:hAnsi="Times New Roman CYR" w:cs="Times New Roman CYR"/>
          <w:szCs w:val="24"/>
          <w:lang w:eastAsia="ru-RU"/>
        </w:rPr>
        <w:t>Отпечатано</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в</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Издательстве</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СГТУ:</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410054,</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г.</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Саратов,</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Политехническая</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ул.,</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77.</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ind w:firstLine="0"/>
        <w:rPr>
          <w:rFonts w:ascii="Times New Roman CYR" w:hAnsi="Times New Roman CYR" w:cs="Times New Roman CYR"/>
          <w:szCs w:val="24"/>
          <w:lang w:eastAsia="ru-RU"/>
        </w:rPr>
      </w:pPr>
      <w:r w:rsidRPr="00C2048E">
        <w:rPr>
          <w:rFonts w:ascii="Times New Roman CYR" w:hAnsi="Times New Roman CYR" w:cs="Times New Roman CYR"/>
          <w:b/>
          <w:bCs/>
          <w:szCs w:val="24"/>
          <w:lang w:eastAsia="ru-RU"/>
        </w:rPr>
        <w:t>Свидетельство</w:t>
      </w:r>
      <w:r w:rsidR="006C680D" w:rsidRPr="00C2048E">
        <w:rPr>
          <w:rFonts w:ascii="Times New Roman CYR" w:hAnsi="Times New Roman CYR" w:cs="Times New Roman CYR"/>
          <w:b/>
          <w:bCs/>
          <w:szCs w:val="24"/>
          <w:lang w:eastAsia="ru-RU"/>
        </w:rPr>
        <w:t xml:space="preserve"> </w:t>
      </w:r>
      <w:r w:rsidRPr="00C2048E">
        <w:rPr>
          <w:rFonts w:ascii="Times New Roman CYR" w:hAnsi="Times New Roman CYR" w:cs="Times New Roman CYR"/>
          <w:b/>
          <w:bCs/>
          <w:szCs w:val="24"/>
          <w:lang w:eastAsia="ru-RU"/>
        </w:rPr>
        <w:t>о</w:t>
      </w:r>
      <w:r w:rsidR="006C680D" w:rsidRPr="00C2048E">
        <w:rPr>
          <w:rFonts w:ascii="Times New Roman CYR" w:hAnsi="Times New Roman CYR" w:cs="Times New Roman CYR"/>
          <w:b/>
          <w:bCs/>
          <w:szCs w:val="24"/>
          <w:lang w:eastAsia="ru-RU"/>
        </w:rPr>
        <w:t xml:space="preserve"> </w:t>
      </w:r>
      <w:r w:rsidRPr="00C2048E">
        <w:rPr>
          <w:rFonts w:ascii="Times New Roman CYR" w:hAnsi="Times New Roman CYR" w:cs="Times New Roman CYR"/>
          <w:b/>
          <w:bCs/>
          <w:szCs w:val="24"/>
          <w:lang w:eastAsia="ru-RU"/>
        </w:rPr>
        <w:t>регистрации</w:t>
      </w:r>
      <w:r w:rsidR="006C680D" w:rsidRPr="00C2048E">
        <w:rPr>
          <w:rFonts w:ascii="Times New Roman CYR" w:hAnsi="Times New Roman CYR" w:cs="Times New Roman CYR"/>
          <w:b/>
          <w:bCs/>
          <w:szCs w:val="24"/>
          <w:lang w:eastAsia="ru-RU"/>
        </w:rPr>
        <w:t xml:space="preserve"> </w:t>
      </w:r>
      <w:r w:rsidRPr="00C2048E">
        <w:rPr>
          <w:rFonts w:ascii="Times New Roman CYR" w:hAnsi="Times New Roman CYR" w:cs="Times New Roman CYR"/>
          <w:szCs w:val="24"/>
          <w:lang w:eastAsia="ru-RU"/>
        </w:rPr>
        <w:t>средства</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массовой</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информации</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ПИ</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№ФС77-37236</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от</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18</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августа</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2009</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г.</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выдано</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Федеральной</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службой</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по</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надзору</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в</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сфере</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связи,</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информационных</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технологий</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и</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массовых</w:t>
      </w:r>
      <w:r w:rsidR="006C680D" w:rsidRPr="00C2048E">
        <w:rPr>
          <w:rFonts w:ascii="Times New Roman CYR" w:hAnsi="Times New Roman CYR" w:cs="Times New Roman CYR"/>
          <w:szCs w:val="24"/>
          <w:lang w:eastAsia="ru-RU"/>
        </w:rPr>
        <w:t xml:space="preserve"> </w:t>
      </w:r>
      <w:r w:rsidRPr="00C2048E">
        <w:rPr>
          <w:rFonts w:ascii="Times New Roman CYR" w:hAnsi="Times New Roman CYR" w:cs="Times New Roman CYR"/>
          <w:szCs w:val="24"/>
          <w:lang w:eastAsia="ru-RU"/>
        </w:rPr>
        <w:t>коммуникаций.</w:t>
      </w:r>
    </w:p>
    <w:p w:rsidR="002B2501" w:rsidRPr="00C2048E" w:rsidRDefault="00250468" w:rsidP="00713BBA">
      <w:pPr>
        <w:pStyle w:val="aff3"/>
        <w:spacing w:before="120"/>
        <w:jc w:val="center"/>
        <w:rPr>
          <w:color w:val="auto"/>
          <w:sz w:val="20"/>
          <w:szCs w:val="20"/>
        </w:rPr>
      </w:pPr>
      <w:r w:rsidRPr="00C2048E">
        <w:rPr>
          <w:rFonts w:ascii="Times New Roman CYR" w:hAnsi="Times New Roman CYR" w:cs="Times New Roman CYR"/>
          <w:b/>
          <w:i/>
          <w:color w:val="auto"/>
        </w:rPr>
        <w:t>Подписной</w:t>
      </w:r>
      <w:r w:rsidR="006C680D" w:rsidRPr="00C2048E">
        <w:rPr>
          <w:rFonts w:ascii="Times New Roman CYR" w:hAnsi="Times New Roman CYR" w:cs="Times New Roman CYR"/>
          <w:b/>
          <w:i/>
          <w:color w:val="auto"/>
        </w:rPr>
        <w:t xml:space="preserve"> </w:t>
      </w:r>
      <w:r w:rsidRPr="00C2048E">
        <w:rPr>
          <w:rFonts w:ascii="Times New Roman CYR" w:hAnsi="Times New Roman CYR" w:cs="Times New Roman CYR"/>
          <w:b/>
          <w:i/>
          <w:color w:val="auto"/>
        </w:rPr>
        <w:t>индекс</w:t>
      </w:r>
      <w:r w:rsidR="006C680D" w:rsidRPr="00C2048E">
        <w:rPr>
          <w:rFonts w:ascii="Times New Roman CYR" w:hAnsi="Times New Roman CYR" w:cs="Times New Roman CYR"/>
          <w:b/>
          <w:i/>
          <w:color w:val="auto"/>
        </w:rPr>
        <w:t xml:space="preserve"> </w:t>
      </w:r>
      <w:r w:rsidRPr="00C2048E">
        <w:rPr>
          <w:rFonts w:ascii="Times New Roman CYR" w:hAnsi="Times New Roman CYR" w:cs="Times New Roman CYR"/>
          <w:b/>
          <w:i/>
          <w:color w:val="auto"/>
        </w:rPr>
        <w:t>65037</w:t>
      </w:r>
      <w:r w:rsidR="006C680D" w:rsidRPr="00C2048E">
        <w:rPr>
          <w:rFonts w:ascii="Times New Roman CYR" w:hAnsi="Times New Roman CYR" w:cs="Times New Roman CYR"/>
          <w:b/>
          <w:i/>
          <w:color w:val="auto"/>
        </w:rPr>
        <w:t xml:space="preserve">  </w:t>
      </w:r>
      <w:r w:rsidR="00552DCF" w:rsidRPr="00C2048E">
        <w:rPr>
          <w:rFonts w:ascii="Times New Roman CYR" w:hAnsi="Times New Roman CYR" w:cs="Times New Roman CYR"/>
          <w:b/>
          <w:i/>
          <w:color w:val="auto"/>
        </w:rPr>
        <w:br/>
      </w:r>
      <w:r w:rsidRPr="00C2048E">
        <w:rPr>
          <w:rFonts w:ascii="Times New Roman CYR" w:hAnsi="Times New Roman CYR" w:cs="Times New Roman CYR"/>
          <w:bCs w:val="0"/>
          <w:i/>
          <w:color w:val="auto"/>
        </w:rPr>
        <w:t>(каталог</w:t>
      </w:r>
      <w:r w:rsidR="006C680D" w:rsidRPr="00C2048E">
        <w:rPr>
          <w:rFonts w:ascii="Times New Roman CYR" w:hAnsi="Times New Roman CYR" w:cs="Times New Roman CYR"/>
          <w:bCs w:val="0"/>
          <w:i/>
          <w:color w:val="auto"/>
        </w:rPr>
        <w:t xml:space="preserve"> </w:t>
      </w:r>
      <w:r w:rsidRPr="00C2048E">
        <w:rPr>
          <w:rFonts w:ascii="Times New Roman CYR" w:hAnsi="Times New Roman CYR" w:cs="Times New Roman CYR"/>
          <w:bCs w:val="0"/>
          <w:i/>
          <w:color w:val="auto"/>
        </w:rPr>
        <w:t>«Газеты,</w:t>
      </w:r>
      <w:r w:rsidR="006C680D" w:rsidRPr="00C2048E">
        <w:rPr>
          <w:rFonts w:ascii="Times New Roman CYR" w:hAnsi="Times New Roman CYR" w:cs="Times New Roman CYR"/>
          <w:bCs w:val="0"/>
          <w:i/>
          <w:color w:val="auto"/>
        </w:rPr>
        <w:t xml:space="preserve"> </w:t>
      </w:r>
      <w:r w:rsidRPr="00C2048E">
        <w:rPr>
          <w:rFonts w:ascii="Times New Roman CYR" w:hAnsi="Times New Roman CYR" w:cs="Times New Roman CYR"/>
          <w:bCs w:val="0"/>
          <w:i/>
          <w:color w:val="auto"/>
        </w:rPr>
        <w:t>Журналы»</w:t>
      </w:r>
      <w:r w:rsidR="006C680D" w:rsidRPr="00C2048E">
        <w:rPr>
          <w:rFonts w:ascii="Times New Roman CYR" w:hAnsi="Times New Roman CYR" w:cs="Times New Roman CYR"/>
          <w:bCs w:val="0"/>
          <w:i/>
          <w:color w:val="auto"/>
        </w:rPr>
        <w:t xml:space="preserve">  </w:t>
      </w:r>
      <w:r w:rsidR="00552DCF" w:rsidRPr="00C2048E">
        <w:rPr>
          <w:rFonts w:ascii="Times New Roman CYR" w:hAnsi="Times New Roman CYR" w:cs="Times New Roman CYR"/>
          <w:bCs w:val="0"/>
          <w:i/>
          <w:color w:val="auto"/>
        </w:rPr>
        <w:br/>
      </w:r>
      <w:r w:rsidRPr="00C2048E">
        <w:rPr>
          <w:rFonts w:ascii="Times New Roman CYR" w:hAnsi="Times New Roman CYR" w:cs="Times New Roman CYR"/>
          <w:bCs w:val="0"/>
          <w:i/>
          <w:color w:val="auto"/>
        </w:rPr>
        <w:t>на</w:t>
      </w:r>
      <w:r w:rsidR="006C680D" w:rsidRPr="00C2048E">
        <w:rPr>
          <w:rFonts w:ascii="Times New Roman CYR" w:hAnsi="Times New Roman CYR" w:cs="Times New Roman CYR"/>
          <w:bCs w:val="0"/>
          <w:i/>
          <w:color w:val="auto"/>
        </w:rPr>
        <w:t xml:space="preserve"> </w:t>
      </w:r>
      <w:r w:rsidR="008A4488" w:rsidRPr="00C2048E">
        <w:rPr>
          <w:rFonts w:ascii="Times New Roman CYR" w:hAnsi="Times New Roman CYR" w:cs="Times New Roman CYR"/>
          <w:bCs w:val="0"/>
          <w:i/>
          <w:color w:val="auto"/>
        </w:rPr>
        <w:t>1</w:t>
      </w:r>
      <w:r w:rsidRPr="00C2048E">
        <w:rPr>
          <w:rFonts w:ascii="Times New Roman CYR" w:hAnsi="Times New Roman CYR" w:cs="Times New Roman CYR"/>
          <w:bCs w:val="0"/>
          <w:i/>
          <w:color w:val="auto"/>
        </w:rPr>
        <w:t>-е</w:t>
      </w:r>
      <w:r w:rsidR="006C680D" w:rsidRPr="00C2048E">
        <w:rPr>
          <w:rFonts w:ascii="Times New Roman CYR" w:hAnsi="Times New Roman CYR" w:cs="Times New Roman CYR"/>
          <w:bCs w:val="0"/>
          <w:i/>
          <w:color w:val="auto"/>
        </w:rPr>
        <w:t xml:space="preserve"> </w:t>
      </w:r>
      <w:r w:rsidRPr="00C2048E">
        <w:rPr>
          <w:rFonts w:ascii="Times New Roman CYR" w:hAnsi="Times New Roman CYR" w:cs="Times New Roman CYR"/>
          <w:bCs w:val="0"/>
          <w:i/>
          <w:color w:val="auto"/>
        </w:rPr>
        <w:t>полугодие</w:t>
      </w:r>
      <w:r w:rsidR="006C680D" w:rsidRPr="00C2048E">
        <w:rPr>
          <w:rFonts w:ascii="Times New Roman CYR" w:hAnsi="Times New Roman CYR" w:cs="Times New Roman CYR"/>
          <w:bCs w:val="0"/>
          <w:i/>
          <w:color w:val="auto"/>
        </w:rPr>
        <w:t xml:space="preserve"> </w:t>
      </w:r>
      <w:r w:rsidR="008A4488" w:rsidRPr="00C2048E">
        <w:rPr>
          <w:rFonts w:ascii="Times New Roman CYR" w:hAnsi="Times New Roman CYR" w:cs="Times New Roman CYR"/>
          <w:bCs w:val="0"/>
          <w:i/>
          <w:color w:val="auto"/>
        </w:rPr>
        <w:t>2026</w:t>
      </w:r>
      <w:r w:rsidR="006C680D" w:rsidRPr="00C2048E">
        <w:rPr>
          <w:rFonts w:ascii="Times New Roman CYR" w:hAnsi="Times New Roman CYR" w:cs="Times New Roman CYR"/>
          <w:bCs w:val="0"/>
          <w:i/>
          <w:color w:val="auto"/>
        </w:rPr>
        <w:t xml:space="preserve"> </w:t>
      </w:r>
      <w:r w:rsidRPr="00C2048E">
        <w:rPr>
          <w:rFonts w:ascii="Times New Roman CYR" w:hAnsi="Times New Roman CYR" w:cs="Times New Roman CYR"/>
          <w:bCs w:val="0"/>
          <w:i/>
          <w:color w:val="auto"/>
        </w:rPr>
        <w:t>г.)</w:t>
      </w:r>
    </w:p>
    <w:p w:rsidR="00250468" w:rsidRPr="00C2048E" w:rsidRDefault="002B2501" w:rsidP="00F26E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ind w:firstLine="0"/>
        <w:rPr>
          <w:lang w:val="en-US"/>
        </w:rPr>
      </w:pPr>
      <w:r w:rsidRPr="00300205">
        <w:rPr>
          <w:i/>
          <w:lang w:val="en-US"/>
        </w:rPr>
        <w:br w:type="column"/>
      </w:r>
      <w:r w:rsidR="00250468" w:rsidRPr="00C2048E">
        <w:rPr>
          <w:b/>
          <w:bCs/>
          <w:lang w:val="en-US"/>
        </w:rPr>
        <w:lastRenderedPageBreak/>
        <w:t>Editorial</w:t>
      </w:r>
      <w:r w:rsidR="006C680D" w:rsidRPr="00C2048E">
        <w:rPr>
          <w:b/>
          <w:bCs/>
          <w:lang w:val="en-US"/>
        </w:rPr>
        <w:t xml:space="preserve"> </w:t>
      </w:r>
      <w:r w:rsidR="00250468" w:rsidRPr="00C2048E">
        <w:rPr>
          <w:b/>
          <w:bCs/>
          <w:lang w:val="en-US"/>
        </w:rPr>
        <w:t>and</w:t>
      </w:r>
      <w:r w:rsidR="006C680D" w:rsidRPr="00C2048E">
        <w:rPr>
          <w:b/>
          <w:bCs/>
          <w:lang w:val="en-US"/>
        </w:rPr>
        <w:t xml:space="preserve"> </w:t>
      </w:r>
      <w:r w:rsidR="00250468" w:rsidRPr="00C2048E">
        <w:rPr>
          <w:b/>
          <w:bCs/>
          <w:lang w:val="en-US"/>
        </w:rPr>
        <w:t>publisher</w:t>
      </w:r>
      <w:r w:rsidR="006C680D" w:rsidRPr="00C2048E">
        <w:rPr>
          <w:b/>
          <w:bCs/>
          <w:lang w:val="en-US"/>
        </w:rPr>
        <w:t xml:space="preserve"> </w:t>
      </w:r>
      <w:r w:rsidR="00250468" w:rsidRPr="00C2048E">
        <w:rPr>
          <w:b/>
          <w:bCs/>
          <w:lang w:val="en-US"/>
        </w:rPr>
        <w:t>office:</w:t>
      </w:r>
    </w:p>
    <w:p w:rsidR="00250468" w:rsidRPr="00C2048E"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lang w:val="en-US"/>
        </w:rPr>
      </w:pPr>
      <w:r w:rsidRPr="00C2048E">
        <w:rPr>
          <w:lang w:val="en-US"/>
        </w:rPr>
        <w:t>77</w:t>
      </w:r>
      <w:r w:rsidR="006C680D" w:rsidRPr="00C2048E">
        <w:rPr>
          <w:lang w:val="en-US"/>
        </w:rPr>
        <w:t xml:space="preserve"> </w:t>
      </w:r>
      <w:r w:rsidRPr="00C2048E">
        <w:rPr>
          <w:lang w:val="en-US"/>
        </w:rPr>
        <w:t>Politekhnicheskaya</w:t>
      </w:r>
      <w:r w:rsidR="006C680D" w:rsidRPr="00C2048E">
        <w:rPr>
          <w:lang w:val="en-US"/>
        </w:rPr>
        <w:t xml:space="preserve"> </w:t>
      </w:r>
      <w:r w:rsidRPr="00C2048E">
        <w:rPr>
          <w:lang w:val="en-US"/>
        </w:rPr>
        <w:t>Street,</w:t>
      </w:r>
      <w:r w:rsidR="006C680D" w:rsidRPr="00C2048E">
        <w:rPr>
          <w:lang w:val="en-US"/>
        </w:rPr>
        <w:t xml:space="preserve"> </w:t>
      </w:r>
      <w:r w:rsidRPr="00C2048E">
        <w:rPr>
          <w:lang w:val="en-US"/>
        </w:rPr>
        <w:t>410054</w:t>
      </w:r>
      <w:r w:rsidR="006C680D" w:rsidRPr="00C2048E">
        <w:rPr>
          <w:lang w:val="en-US"/>
        </w:rPr>
        <w:t xml:space="preserve"> </w:t>
      </w:r>
      <w:r w:rsidRPr="00C2048E">
        <w:rPr>
          <w:lang w:val="en-US"/>
        </w:rPr>
        <w:t>Saratov</w:t>
      </w:r>
    </w:p>
    <w:p w:rsidR="00250468" w:rsidRPr="00C2048E"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lang w:val="en-US"/>
        </w:rPr>
      </w:pPr>
      <w:r w:rsidRPr="00C2048E">
        <w:rPr>
          <w:lang w:val="en-US"/>
        </w:rPr>
        <w:t>Telephone:</w:t>
      </w:r>
      <w:r w:rsidR="006C680D" w:rsidRPr="00C2048E">
        <w:rPr>
          <w:lang w:val="en-US"/>
        </w:rPr>
        <w:t xml:space="preserve"> </w:t>
      </w:r>
      <w:r w:rsidRPr="00C2048E">
        <w:rPr>
          <w:lang w:val="en-US"/>
        </w:rPr>
        <w:t>(845-2)</w:t>
      </w:r>
      <w:r w:rsidR="006C680D" w:rsidRPr="00C2048E">
        <w:rPr>
          <w:lang w:val="en-US"/>
        </w:rPr>
        <w:t xml:space="preserve"> </w:t>
      </w:r>
      <w:r w:rsidRPr="00C2048E">
        <w:rPr>
          <w:lang w:val="en-US"/>
        </w:rPr>
        <w:t>99-85-48</w:t>
      </w:r>
    </w:p>
    <w:p w:rsidR="00250468" w:rsidRPr="00C2048E"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lang w:val="en-US"/>
        </w:rPr>
      </w:pPr>
      <w:r w:rsidRPr="00C2048E">
        <w:t>Е</w:t>
      </w:r>
      <w:r w:rsidRPr="00C2048E">
        <w:rPr>
          <w:lang w:val="en-US"/>
        </w:rPr>
        <w:t>-mail:</w:t>
      </w:r>
      <w:r w:rsidR="006C680D" w:rsidRPr="00C2048E">
        <w:rPr>
          <w:lang w:val="en-US"/>
        </w:rPr>
        <w:t xml:space="preserve"> </w:t>
      </w:r>
      <w:r w:rsidRPr="00C2048E">
        <w:rPr>
          <w:lang w:val="en-US"/>
        </w:rPr>
        <w:t>innovation@sstu.ru</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ind w:firstLine="0"/>
        <w:rPr>
          <w:lang w:val="en-US"/>
        </w:rPr>
      </w:pPr>
      <w:r w:rsidRPr="00C2048E">
        <w:rPr>
          <w:bCs/>
          <w:lang w:val="en-US"/>
        </w:rPr>
        <w:t>Editor:</w:t>
      </w:r>
      <w:r w:rsidR="006C680D" w:rsidRPr="00C2048E">
        <w:rPr>
          <w:lang w:val="en-US"/>
        </w:rPr>
        <w:t xml:space="preserve"> </w:t>
      </w:r>
      <w:r w:rsidRPr="00C2048E">
        <w:rPr>
          <w:lang w:val="en-US"/>
        </w:rPr>
        <w:t>L.A.</w:t>
      </w:r>
      <w:r w:rsidR="006C680D" w:rsidRPr="00C2048E">
        <w:rPr>
          <w:lang w:val="en-US"/>
        </w:rPr>
        <w:t xml:space="preserve"> </w:t>
      </w:r>
      <w:r w:rsidR="00847380" w:rsidRPr="00C2048E">
        <w:rPr>
          <w:lang w:val="en-US"/>
        </w:rPr>
        <w:t>Skvortsova</w:t>
      </w:r>
    </w:p>
    <w:p w:rsidR="00250468" w:rsidRPr="00C2048E"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lang w:val="en-US"/>
        </w:rPr>
      </w:pPr>
      <w:r w:rsidRPr="00C2048E">
        <w:rPr>
          <w:lang w:val="en-US"/>
        </w:rPr>
        <w:t>Computer-based</w:t>
      </w:r>
      <w:r w:rsidR="006C680D" w:rsidRPr="00C2048E">
        <w:rPr>
          <w:lang w:val="en-US"/>
        </w:rPr>
        <w:t xml:space="preserve"> </w:t>
      </w:r>
      <w:r w:rsidRPr="00C2048E">
        <w:rPr>
          <w:lang w:val="en-US"/>
        </w:rPr>
        <w:t>page-proof:</w:t>
      </w:r>
      <w:r w:rsidR="006C680D" w:rsidRPr="00C2048E">
        <w:rPr>
          <w:lang w:val="en-US"/>
        </w:rPr>
        <w:t xml:space="preserve"> </w:t>
      </w:r>
      <w:r w:rsidRPr="00C2048E">
        <w:rPr>
          <w:lang w:val="en-US"/>
        </w:rPr>
        <w:t>Yu.L.</w:t>
      </w:r>
      <w:r w:rsidR="006C680D" w:rsidRPr="00C2048E">
        <w:rPr>
          <w:lang w:val="en-US"/>
        </w:rPr>
        <w:t xml:space="preserve"> </w:t>
      </w:r>
      <w:r w:rsidR="00847380" w:rsidRPr="00C2048E">
        <w:rPr>
          <w:lang w:val="en-US"/>
        </w:rPr>
        <w:t>Zhupilova</w:t>
      </w:r>
    </w:p>
    <w:p w:rsidR="00250468" w:rsidRPr="00C2048E"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lang w:val="en-US"/>
        </w:rPr>
      </w:pPr>
      <w:r w:rsidRPr="00C2048E">
        <w:rPr>
          <w:lang w:val="en-US"/>
        </w:rPr>
        <w:t>Proof</w:t>
      </w:r>
      <w:r w:rsidR="006C680D" w:rsidRPr="00C2048E">
        <w:rPr>
          <w:lang w:val="en-US"/>
        </w:rPr>
        <w:t xml:space="preserve"> </w:t>
      </w:r>
      <w:r w:rsidRPr="00C2048E">
        <w:rPr>
          <w:lang w:val="en-US"/>
        </w:rPr>
        <w:t>reading:</w:t>
      </w:r>
      <w:r w:rsidR="006C680D" w:rsidRPr="00C2048E">
        <w:rPr>
          <w:lang w:val="en-US"/>
        </w:rPr>
        <w:t xml:space="preserve"> </w:t>
      </w:r>
      <w:r w:rsidRPr="00C2048E">
        <w:rPr>
          <w:lang w:val="en-US"/>
        </w:rPr>
        <w:t>A.Kh.</w:t>
      </w:r>
      <w:r w:rsidR="006C680D" w:rsidRPr="00C2048E">
        <w:rPr>
          <w:lang w:val="en-US"/>
        </w:rPr>
        <w:t xml:space="preserve"> </w:t>
      </w:r>
      <w:r w:rsidRPr="00C2048E">
        <w:rPr>
          <w:lang w:val="en-US"/>
        </w:rPr>
        <w:t>Askarova</w:t>
      </w:r>
    </w:p>
    <w:p w:rsidR="00250468" w:rsidRPr="00C2048E" w:rsidRDefault="00713BBA"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ind w:firstLine="0"/>
        <w:jc w:val="left"/>
        <w:rPr>
          <w:lang w:val="en-US"/>
        </w:rPr>
      </w:pPr>
      <w:r w:rsidRPr="00C2048E">
        <w:rPr>
          <w:lang w:val="en-US"/>
        </w:rPr>
        <w:t>Signed</w:t>
      </w:r>
      <w:r w:rsidR="006C680D" w:rsidRPr="00C2048E">
        <w:rPr>
          <w:lang w:val="en-US"/>
        </w:rPr>
        <w:t xml:space="preserve"> </w:t>
      </w:r>
      <w:r w:rsidRPr="00C2048E">
        <w:rPr>
          <w:lang w:val="en-US"/>
        </w:rPr>
        <w:t>for</w:t>
      </w:r>
      <w:r w:rsidR="006C680D" w:rsidRPr="00C2048E">
        <w:rPr>
          <w:lang w:val="en-US"/>
        </w:rPr>
        <w:t xml:space="preserve"> </w:t>
      </w:r>
      <w:r w:rsidRPr="00C2048E">
        <w:rPr>
          <w:lang w:val="en-US"/>
        </w:rPr>
        <w:t>publishing</w:t>
      </w:r>
      <w:r w:rsidR="006C680D" w:rsidRPr="00C2048E">
        <w:rPr>
          <w:lang w:val="en-US"/>
        </w:rPr>
        <w:t xml:space="preserve"> </w:t>
      </w:r>
      <w:r w:rsidRPr="00C2048E">
        <w:rPr>
          <w:lang w:val="en-US"/>
        </w:rPr>
        <w:t>22.</w:t>
      </w:r>
      <w:r w:rsidR="008A4488" w:rsidRPr="00C2048E">
        <w:rPr>
          <w:lang w:val="en-US"/>
        </w:rPr>
        <w:t>03</w:t>
      </w:r>
      <w:r w:rsidRPr="00C2048E">
        <w:rPr>
          <w:lang w:val="en-US"/>
        </w:rPr>
        <w:t>.202</w:t>
      </w:r>
      <w:r w:rsidR="008A4488" w:rsidRPr="00C2048E">
        <w:rPr>
          <w:lang w:val="en-US"/>
        </w:rPr>
        <w:t>6</w:t>
      </w:r>
      <w:r w:rsidRPr="00C2048E">
        <w:rPr>
          <w:lang w:val="en-US"/>
        </w:rPr>
        <w:t>.</w:t>
      </w:r>
      <w:r w:rsidR="006C680D" w:rsidRPr="00C2048E">
        <w:rPr>
          <w:lang w:val="en-US"/>
        </w:rPr>
        <w:t xml:space="preserve"> </w:t>
      </w:r>
      <w:r w:rsidRPr="00C2048E">
        <w:rPr>
          <w:lang w:val="en-US"/>
        </w:rPr>
        <w:br/>
        <w:t>Date</w:t>
      </w:r>
      <w:r w:rsidR="006C680D" w:rsidRPr="00C2048E">
        <w:rPr>
          <w:lang w:val="en-US"/>
        </w:rPr>
        <w:t xml:space="preserve"> </w:t>
      </w:r>
      <w:r w:rsidRPr="00C2048E">
        <w:rPr>
          <w:lang w:val="en-US"/>
        </w:rPr>
        <w:t>of</w:t>
      </w:r>
      <w:r w:rsidR="006C680D" w:rsidRPr="00C2048E">
        <w:rPr>
          <w:lang w:val="en-US"/>
        </w:rPr>
        <w:t xml:space="preserve"> </w:t>
      </w:r>
      <w:r w:rsidRPr="00C2048E">
        <w:rPr>
          <w:lang w:val="en-US"/>
        </w:rPr>
        <w:t>publication</w:t>
      </w:r>
      <w:r w:rsidR="006C680D" w:rsidRPr="00C2048E">
        <w:rPr>
          <w:lang w:val="en-US"/>
        </w:rPr>
        <w:t xml:space="preserve"> </w:t>
      </w:r>
      <w:r w:rsidRPr="00C2048E">
        <w:rPr>
          <w:lang w:val="en-US"/>
        </w:rPr>
        <w:t>3</w:t>
      </w:r>
      <w:r w:rsidR="008A4488" w:rsidRPr="00C2048E">
        <w:rPr>
          <w:lang w:val="en-US"/>
        </w:rPr>
        <w:t>1</w:t>
      </w:r>
      <w:r w:rsidRPr="00C2048E">
        <w:rPr>
          <w:lang w:val="en-US"/>
        </w:rPr>
        <w:t>.</w:t>
      </w:r>
      <w:r w:rsidR="008A4488" w:rsidRPr="00C2048E">
        <w:rPr>
          <w:lang w:val="en-US"/>
        </w:rPr>
        <w:t>03</w:t>
      </w:r>
      <w:r w:rsidRPr="00C2048E">
        <w:rPr>
          <w:lang w:val="en-US"/>
        </w:rPr>
        <w:t>.202</w:t>
      </w:r>
      <w:r w:rsidR="008A4488" w:rsidRPr="00C2048E">
        <w:rPr>
          <w:lang w:val="en-US"/>
        </w:rPr>
        <w:t>6</w:t>
      </w:r>
      <w:r w:rsidRPr="00C2048E">
        <w:rPr>
          <w:lang w:val="en-US"/>
        </w:rPr>
        <w:t>.</w:t>
      </w:r>
      <w:r w:rsidR="006C680D" w:rsidRPr="00C2048E">
        <w:rPr>
          <w:lang w:val="en-US"/>
        </w:rPr>
        <w:t xml:space="preserve"> </w:t>
      </w:r>
      <w:r w:rsidRPr="00C2048E">
        <w:rPr>
          <w:lang w:val="en-US"/>
        </w:rPr>
        <w:br/>
      </w:r>
      <w:r w:rsidR="00250468" w:rsidRPr="00C2048E">
        <w:rPr>
          <w:lang w:val="en-US"/>
        </w:rPr>
        <w:t>Full</w:t>
      </w:r>
      <w:r w:rsidR="006C680D" w:rsidRPr="00C2048E">
        <w:rPr>
          <w:lang w:val="en-US"/>
        </w:rPr>
        <w:t xml:space="preserve"> </w:t>
      </w:r>
      <w:r w:rsidR="00250468" w:rsidRPr="00C2048E">
        <w:rPr>
          <w:lang w:val="en-US"/>
        </w:rPr>
        <w:t>page</w:t>
      </w:r>
      <w:r w:rsidR="006C680D" w:rsidRPr="00C2048E">
        <w:rPr>
          <w:lang w:val="en-US"/>
        </w:rPr>
        <w:t xml:space="preserve"> </w:t>
      </w:r>
      <w:r w:rsidR="00250468" w:rsidRPr="00C2048E">
        <w:rPr>
          <w:lang w:val="en-US"/>
        </w:rPr>
        <w:t>spread:</w:t>
      </w:r>
      <w:r w:rsidR="006C680D" w:rsidRPr="00C2048E">
        <w:rPr>
          <w:lang w:val="en-US"/>
        </w:rPr>
        <w:t xml:space="preserve"> </w:t>
      </w:r>
      <w:r w:rsidR="00250468" w:rsidRPr="00C2048E">
        <w:rPr>
          <w:lang w:val="en-US"/>
        </w:rPr>
        <w:t>60</w:t>
      </w:r>
      <w:r w:rsidRPr="00C2048E">
        <w:rPr>
          <w:lang w:val="en-US"/>
        </w:rPr>
        <w:sym w:font="Symbol" w:char="F0B4"/>
      </w:r>
      <w:r w:rsidR="00250468" w:rsidRPr="00C2048E">
        <w:rPr>
          <w:lang w:val="en-US"/>
        </w:rPr>
        <w:t>84</w:t>
      </w:r>
      <w:r w:rsidR="006C680D" w:rsidRPr="00C2048E">
        <w:rPr>
          <w:lang w:val="en-US"/>
        </w:rPr>
        <w:t xml:space="preserve"> </w:t>
      </w:r>
      <w:r w:rsidR="00250468" w:rsidRPr="00C2048E">
        <w:rPr>
          <w:lang w:val="en-US"/>
        </w:rPr>
        <w:t>1/8.</w:t>
      </w:r>
      <w:r w:rsidR="006C680D" w:rsidRPr="00C2048E">
        <w:rPr>
          <w:lang w:val="en-US"/>
        </w:rPr>
        <w:t xml:space="preserve"> </w:t>
      </w:r>
      <w:r w:rsidR="00250468" w:rsidRPr="00C2048E">
        <w:rPr>
          <w:lang w:val="en-US"/>
        </w:rPr>
        <w:t>Apr.tp.</w:t>
      </w:r>
      <w:r w:rsidR="006C680D" w:rsidRPr="00C2048E">
        <w:rPr>
          <w:lang w:val="en-US"/>
        </w:rPr>
        <w:t xml:space="preserve"> </w:t>
      </w:r>
      <w:r w:rsidRPr="00C2048E">
        <w:rPr>
          <w:lang w:val="en-US"/>
        </w:rPr>
        <w:t>11,25.</w:t>
      </w:r>
      <w:r w:rsidR="006C680D" w:rsidRPr="00C2048E">
        <w:rPr>
          <w:lang w:val="en-US"/>
        </w:rPr>
        <w:t xml:space="preserve"> </w:t>
      </w:r>
      <w:r w:rsidR="00250468" w:rsidRPr="00C2048E">
        <w:rPr>
          <w:lang w:val="en-US"/>
        </w:rPr>
        <w:t>Acc.-pbl.</w:t>
      </w:r>
      <w:r w:rsidR="006C680D" w:rsidRPr="00C2048E">
        <w:rPr>
          <w:lang w:val="en-US"/>
        </w:rPr>
        <w:t xml:space="preserve"> </w:t>
      </w:r>
      <w:r w:rsidRPr="00C2048E">
        <w:rPr>
          <w:lang w:val="en-US"/>
        </w:rPr>
        <w:t>6,8</w:t>
      </w:r>
      <w:r w:rsidR="00761FB2" w:rsidRPr="00C2048E">
        <w:rPr>
          <w:lang w:val="en-US"/>
        </w:rPr>
        <w:t>.</w:t>
      </w:r>
    </w:p>
    <w:p w:rsidR="00250468" w:rsidRPr="00C2048E"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lang w:val="en-US"/>
        </w:rPr>
      </w:pPr>
      <w:r w:rsidRPr="00C2048E">
        <w:rPr>
          <w:lang w:val="en-US"/>
        </w:rPr>
        <w:t>Print</w:t>
      </w:r>
      <w:r w:rsidR="006C680D" w:rsidRPr="00C2048E">
        <w:rPr>
          <w:lang w:val="en-US"/>
        </w:rPr>
        <w:t xml:space="preserve"> </w:t>
      </w:r>
      <w:r w:rsidRPr="00C2048E">
        <w:rPr>
          <w:lang w:val="en-US"/>
        </w:rPr>
        <w:t>circulation:</w:t>
      </w:r>
      <w:r w:rsidR="006C680D" w:rsidRPr="00C2048E">
        <w:rPr>
          <w:lang w:val="en-US"/>
        </w:rPr>
        <w:t xml:space="preserve"> </w:t>
      </w:r>
      <w:r w:rsidRPr="00C2048E">
        <w:rPr>
          <w:lang w:val="en-US"/>
        </w:rPr>
        <w:t>500</w:t>
      </w:r>
      <w:r w:rsidR="006C680D" w:rsidRPr="00C2048E">
        <w:rPr>
          <w:lang w:val="en-US"/>
        </w:rPr>
        <w:t xml:space="preserve"> </w:t>
      </w:r>
      <w:r w:rsidRPr="00C2048E">
        <w:rPr>
          <w:lang w:val="en-US"/>
        </w:rPr>
        <w:t>copies.</w:t>
      </w:r>
      <w:r w:rsidR="006C680D" w:rsidRPr="00C2048E">
        <w:rPr>
          <w:lang w:val="en-US"/>
        </w:rPr>
        <w:t xml:space="preserve"> </w:t>
      </w:r>
      <w:r w:rsidRPr="00C2048E">
        <w:rPr>
          <w:lang w:val="en-US"/>
        </w:rPr>
        <w:t>Order</w:t>
      </w:r>
      <w:r w:rsidR="006C680D" w:rsidRPr="00C2048E">
        <w:rPr>
          <w:lang w:val="en-US"/>
        </w:rPr>
        <w:t xml:space="preserve"> </w:t>
      </w:r>
      <w:r w:rsidR="00713BBA" w:rsidRPr="00C2048E">
        <w:rPr>
          <w:lang w:val="en-US"/>
        </w:rPr>
        <w:t>32.</w:t>
      </w:r>
      <w:r w:rsidR="006C680D" w:rsidRPr="00C2048E">
        <w:rPr>
          <w:lang w:val="en-US"/>
        </w:rPr>
        <w:t xml:space="preserve"> </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left"/>
        <w:rPr>
          <w:lang w:val="en-US"/>
        </w:rPr>
      </w:pPr>
      <w:r w:rsidRPr="00C2048E">
        <w:rPr>
          <w:lang w:val="en-US"/>
        </w:rPr>
        <w:t>ISSN</w:t>
      </w:r>
      <w:r w:rsidR="006C680D" w:rsidRPr="00C2048E">
        <w:rPr>
          <w:lang w:val="en-US"/>
        </w:rPr>
        <w:t xml:space="preserve"> </w:t>
      </w:r>
      <w:r w:rsidRPr="00C2048E">
        <w:rPr>
          <w:lang w:val="en-US"/>
        </w:rPr>
        <w:t>2071-5226</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jc w:val="left"/>
        <w:rPr>
          <w:lang w:val="en-US"/>
        </w:rPr>
      </w:pPr>
      <w:r w:rsidRPr="00C2048E">
        <w:rPr>
          <w:lang w:val="en-US"/>
        </w:rPr>
        <w:t>Contracted</w:t>
      </w:r>
      <w:r w:rsidR="006C680D" w:rsidRPr="00C2048E">
        <w:rPr>
          <w:lang w:val="en-US"/>
        </w:rPr>
        <w:t xml:space="preserve"> </w:t>
      </w:r>
      <w:r w:rsidRPr="00C2048E">
        <w:rPr>
          <w:lang w:val="en-US"/>
        </w:rPr>
        <w:t>price.</w:t>
      </w:r>
    </w:p>
    <w:p w:rsidR="00250468" w:rsidRPr="00C2048E"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ind w:firstLine="0"/>
        <w:rPr>
          <w:lang w:val="en-US"/>
        </w:rPr>
      </w:pPr>
      <w:r w:rsidRPr="00C2048E">
        <w:rPr>
          <w:lang w:val="en-US"/>
        </w:rPr>
        <w:t>Printed</w:t>
      </w:r>
      <w:r w:rsidR="006C680D" w:rsidRPr="00C2048E">
        <w:rPr>
          <w:lang w:val="en-US"/>
        </w:rPr>
        <w:t xml:space="preserve"> </w:t>
      </w:r>
      <w:r w:rsidRPr="00C2048E">
        <w:rPr>
          <w:lang w:val="en-US"/>
        </w:rPr>
        <w:t>at</w:t>
      </w:r>
      <w:r w:rsidR="006C680D" w:rsidRPr="00C2048E">
        <w:rPr>
          <w:lang w:val="en-US"/>
        </w:rPr>
        <w:t xml:space="preserve"> </w:t>
      </w:r>
      <w:r w:rsidRPr="00C2048E">
        <w:rPr>
          <w:lang w:val="en-US"/>
        </w:rPr>
        <w:t>SSTU</w:t>
      </w:r>
      <w:r w:rsidR="006C680D" w:rsidRPr="00C2048E">
        <w:rPr>
          <w:lang w:val="en-US"/>
        </w:rPr>
        <w:t xml:space="preserve"> </w:t>
      </w:r>
      <w:r w:rsidRPr="00C2048E">
        <w:rPr>
          <w:lang w:val="en-US"/>
        </w:rPr>
        <w:t>University</w:t>
      </w:r>
      <w:r w:rsidR="006C680D" w:rsidRPr="00C2048E">
        <w:rPr>
          <w:lang w:val="en-US"/>
        </w:rPr>
        <w:t xml:space="preserve"> </w:t>
      </w:r>
      <w:r w:rsidRPr="00C2048E">
        <w:rPr>
          <w:lang w:val="en-US"/>
        </w:rPr>
        <w:t>Press,</w:t>
      </w:r>
      <w:r w:rsidR="006C680D" w:rsidRPr="00C2048E">
        <w:rPr>
          <w:lang w:val="en-US"/>
        </w:rPr>
        <w:t xml:space="preserve"> </w:t>
      </w:r>
      <w:r w:rsidRPr="00C2048E">
        <w:rPr>
          <w:lang w:val="en-US"/>
        </w:rPr>
        <w:t>Saratov</w:t>
      </w:r>
      <w:r w:rsidR="006C680D" w:rsidRPr="00C2048E">
        <w:rPr>
          <w:lang w:val="en-US"/>
        </w:rPr>
        <w:t xml:space="preserve"> </w:t>
      </w:r>
    </w:p>
    <w:p w:rsidR="00250468" w:rsidRPr="00D337FA" w:rsidRDefault="00250468" w:rsidP="00250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0"/>
        <w:rPr>
          <w:lang w:val="en-US"/>
        </w:rPr>
      </w:pPr>
      <w:r w:rsidRPr="00C2048E">
        <w:rPr>
          <w:lang w:val="en-US"/>
        </w:rPr>
        <w:t>77</w:t>
      </w:r>
      <w:r w:rsidR="006C680D" w:rsidRPr="00C2048E">
        <w:rPr>
          <w:lang w:val="en-US"/>
        </w:rPr>
        <w:t xml:space="preserve"> </w:t>
      </w:r>
      <w:r w:rsidRPr="00C2048E">
        <w:rPr>
          <w:lang w:val="en-US"/>
        </w:rPr>
        <w:t>Politekhnicheskay</w:t>
      </w:r>
      <w:r w:rsidRPr="00D337FA">
        <w:rPr>
          <w:lang w:val="en-US"/>
        </w:rPr>
        <w:t>a</w:t>
      </w:r>
      <w:r w:rsidR="006C680D" w:rsidRPr="00D337FA">
        <w:rPr>
          <w:lang w:val="en-US"/>
        </w:rPr>
        <w:t xml:space="preserve"> </w:t>
      </w:r>
      <w:r w:rsidRPr="00D337FA">
        <w:rPr>
          <w:lang w:val="en-US"/>
        </w:rPr>
        <w:t>St.,</w:t>
      </w:r>
      <w:r w:rsidR="006C680D" w:rsidRPr="00D337FA">
        <w:rPr>
          <w:lang w:val="en-US"/>
        </w:rPr>
        <w:t xml:space="preserve"> </w:t>
      </w:r>
      <w:r w:rsidRPr="00D337FA">
        <w:rPr>
          <w:lang w:val="en-US"/>
        </w:rPr>
        <w:t>410054</w:t>
      </w:r>
      <w:r w:rsidR="006C680D" w:rsidRPr="00D337FA">
        <w:rPr>
          <w:lang w:val="en-US"/>
        </w:rPr>
        <w:t xml:space="preserve"> </w:t>
      </w:r>
      <w:r w:rsidRPr="00D337FA">
        <w:rPr>
          <w:lang w:val="en-US"/>
        </w:rPr>
        <w:t>Saratov,</w:t>
      </w:r>
      <w:r w:rsidR="006C680D" w:rsidRPr="00D337FA">
        <w:rPr>
          <w:lang w:val="en-US"/>
        </w:rPr>
        <w:t xml:space="preserve"> </w:t>
      </w:r>
      <w:r w:rsidRPr="00D337FA">
        <w:rPr>
          <w:lang w:val="en-US"/>
        </w:rPr>
        <w:t>Russia</w:t>
      </w:r>
    </w:p>
    <w:p w:rsidR="00250468" w:rsidRPr="00D337FA" w:rsidRDefault="00250468" w:rsidP="00713B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ind w:firstLine="0"/>
        <w:rPr>
          <w:lang w:val="en-US"/>
        </w:rPr>
      </w:pPr>
      <w:r w:rsidRPr="00D337FA">
        <w:rPr>
          <w:b/>
          <w:bCs/>
          <w:lang w:val="en-US"/>
        </w:rPr>
        <w:t>Certificate</w:t>
      </w:r>
      <w:r w:rsidR="006C680D" w:rsidRPr="00D337FA">
        <w:rPr>
          <w:b/>
          <w:bCs/>
          <w:lang w:val="en-US"/>
        </w:rPr>
        <w:t xml:space="preserve"> </w:t>
      </w:r>
      <w:r w:rsidRPr="00D337FA">
        <w:rPr>
          <w:b/>
          <w:bCs/>
          <w:lang w:val="en-US"/>
        </w:rPr>
        <w:t>on</w:t>
      </w:r>
      <w:r w:rsidR="006C680D" w:rsidRPr="00D337FA">
        <w:rPr>
          <w:b/>
          <w:bCs/>
          <w:lang w:val="en-US"/>
        </w:rPr>
        <w:t xml:space="preserve"> </w:t>
      </w:r>
      <w:r w:rsidRPr="00D337FA">
        <w:rPr>
          <w:b/>
          <w:bCs/>
          <w:lang w:val="en-US"/>
        </w:rPr>
        <w:t>registration</w:t>
      </w:r>
      <w:r w:rsidR="006C680D" w:rsidRPr="00D337FA">
        <w:rPr>
          <w:b/>
          <w:bCs/>
          <w:lang w:val="en-US"/>
        </w:rPr>
        <w:t xml:space="preserve"> </w:t>
      </w:r>
      <w:r w:rsidRPr="00D337FA">
        <w:rPr>
          <w:lang w:val="en-US"/>
        </w:rPr>
        <w:t>of</w:t>
      </w:r>
      <w:r w:rsidR="006C680D" w:rsidRPr="00D337FA">
        <w:rPr>
          <w:lang w:val="en-US"/>
        </w:rPr>
        <w:t xml:space="preserve"> </w:t>
      </w:r>
      <w:r w:rsidRPr="00D337FA">
        <w:rPr>
          <w:lang w:val="en-US"/>
        </w:rPr>
        <w:t>mass</w:t>
      </w:r>
      <w:r w:rsidR="006C680D" w:rsidRPr="00D337FA">
        <w:rPr>
          <w:lang w:val="en-US"/>
        </w:rPr>
        <w:t xml:space="preserve"> </w:t>
      </w:r>
      <w:r w:rsidRPr="00D337FA">
        <w:rPr>
          <w:lang w:val="en-US"/>
        </w:rPr>
        <w:t>media</w:t>
      </w:r>
      <w:r w:rsidR="006C680D" w:rsidRPr="00D337FA">
        <w:rPr>
          <w:lang w:val="en-US"/>
        </w:rPr>
        <w:t xml:space="preserve"> </w:t>
      </w:r>
      <w:r w:rsidRPr="00D337FA">
        <w:rPr>
          <w:lang w:val="en-US"/>
        </w:rPr>
        <w:t>PI</w:t>
      </w:r>
      <w:r w:rsidR="006C680D" w:rsidRPr="00D337FA">
        <w:rPr>
          <w:lang w:val="en-US"/>
        </w:rPr>
        <w:t xml:space="preserve"> </w:t>
      </w:r>
      <w:r w:rsidRPr="00D337FA">
        <w:rPr>
          <w:lang w:val="en-US"/>
        </w:rPr>
        <w:t>№</w:t>
      </w:r>
      <w:r w:rsidR="006C680D" w:rsidRPr="00D337FA">
        <w:rPr>
          <w:lang w:val="en-US"/>
        </w:rPr>
        <w:t xml:space="preserve"> </w:t>
      </w:r>
      <w:r w:rsidRPr="00D337FA">
        <w:rPr>
          <w:lang w:val="en-US"/>
        </w:rPr>
        <w:t>FS77-372336</w:t>
      </w:r>
      <w:r w:rsidR="006C680D" w:rsidRPr="00D337FA">
        <w:rPr>
          <w:lang w:val="en-US"/>
        </w:rPr>
        <w:t xml:space="preserve"> </w:t>
      </w:r>
      <w:r w:rsidRPr="00D337FA">
        <w:rPr>
          <w:lang w:val="en-US"/>
        </w:rPr>
        <w:t>of</w:t>
      </w:r>
      <w:r w:rsidR="006C680D" w:rsidRPr="00D337FA">
        <w:rPr>
          <w:lang w:val="en-US"/>
        </w:rPr>
        <w:t xml:space="preserve"> </w:t>
      </w:r>
      <w:r w:rsidRPr="00D337FA">
        <w:rPr>
          <w:lang w:val="en-US"/>
        </w:rPr>
        <w:t>18</w:t>
      </w:r>
      <w:r w:rsidR="006C680D" w:rsidRPr="00D337FA">
        <w:rPr>
          <w:lang w:val="en-US"/>
        </w:rPr>
        <w:t xml:space="preserve"> </w:t>
      </w:r>
      <w:r w:rsidRPr="00D337FA">
        <w:rPr>
          <w:lang w:val="en-US"/>
        </w:rPr>
        <w:t>August</w:t>
      </w:r>
      <w:r w:rsidR="006C680D" w:rsidRPr="00D337FA">
        <w:rPr>
          <w:lang w:val="en-US"/>
        </w:rPr>
        <w:t xml:space="preserve"> </w:t>
      </w:r>
      <w:r w:rsidRPr="00D337FA">
        <w:rPr>
          <w:lang w:val="en-US"/>
        </w:rPr>
        <w:t>2009</w:t>
      </w:r>
      <w:r w:rsidR="006C680D" w:rsidRPr="00D337FA">
        <w:rPr>
          <w:lang w:val="en-US"/>
        </w:rPr>
        <w:t xml:space="preserve"> </w:t>
      </w:r>
      <w:r w:rsidRPr="00D337FA">
        <w:rPr>
          <w:lang w:val="en-US"/>
        </w:rPr>
        <w:t>issued</w:t>
      </w:r>
      <w:r w:rsidR="006C680D" w:rsidRPr="00D337FA">
        <w:rPr>
          <w:lang w:val="en-US"/>
        </w:rPr>
        <w:t xml:space="preserve"> </w:t>
      </w:r>
      <w:r w:rsidRPr="00D337FA">
        <w:rPr>
          <w:lang w:val="en-US"/>
        </w:rPr>
        <w:t>by</w:t>
      </w:r>
      <w:r w:rsidR="006C680D" w:rsidRPr="00D337FA">
        <w:rPr>
          <w:lang w:val="en-US"/>
        </w:rPr>
        <w:t xml:space="preserve"> </w:t>
      </w:r>
      <w:r w:rsidRPr="00D337FA">
        <w:rPr>
          <w:lang w:val="en-US"/>
        </w:rPr>
        <w:t>the</w:t>
      </w:r>
      <w:r w:rsidR="006C680D" w:rsidRPr="00D337FA">
        <w:rPr>
          <w:lang w:val="en-US"/>
        </w:rPr>
        <w:t xml:space="preserve"> </w:t>
      </w:r>
      <w:r w:rsidRPr="00D337FA">
        <w:rPr>
          <w:lang w:val="en-US"/>
        </w:rPr>
        <w:t>Federal</w:t>
      </w:r>
      <w:r w:rsidR="006C680D" w:rsidRPr="00D337FA">
        <w:rPr>
          <w:lang w:val="en-US"/>
        </w:rPr>
        <w:t xml:space="preserve"> </w:t>
      </w:r>
      <w:r w:rsidRPr="00D337FA">
        <w:rPr>
          <w:lang w:val="en-US"/>
        </w:rPr>
        <w:t>Supervision</w:t>
      </w:r>
      <w:r w:rsidR="006C680D" w:rsidRPr="00D337FA">
        <w:rPr>
          <w:lang w:val="en-US"/>
        </w:rPr>
        <w:t xml:space="preserve"> </w:t>
      </w:r>
      <w:r w:rsidRPr="00D337FA">
        <w:rPr>
          <w:lang w:val="en-US"/>
        </w:rPr>
        <w:t>Agency</w:t>
      </w:r>
      <w:r w:rsidR="006C680D" w:rsidRPr="00D337FA">
        <w:rPr>
          <w:lang w:val="en-US"/>
        </w:rPr>
        <w:t xml:space="preserve"> </w:t>
      </w:r>
      <w:r w:rsidRPr="00D337FA">
        <w:rPr>
          <w:lang w:val="en-US"/>
        </w:rPr>
        <w:t>for</w:t>
      </w:r>
      <w:r w:rsidR="006C680D" w:rsidRPr="00D337FA">
        <w:rPr>
          <w:lang w:val="en-US"/>
        </w:rPr>
        <w:t xml:space="preserve"> </w:t>
      </w:r>
      <w:r w:rsidRPr="00D337FA">
        <w:rPr>
          <w:lang w:val="en-US"/>
        </w:rPr>
        <w:t>Information</w:t>
      </w:r>
      <w:r w:rsidR="006C680D" w:rsidRPr="00D337FA">
        <w:rPr>
          <w:lang w:val="en-US"/>
        </w:rPr>
        <w:t xml:space="preserve"> </w:t>
      </w:r>
      <w:r w:rsidRPr="00D337FA">
        <w:rPr>
          <w:lang w:val="en-US"/>
        </w:rPr>
        <w:t>Technologies</w:t>
      </w:r>
      <w:r w:rsidR="006C680D" w:rsidRPr="00D337FA">
        <w:rPr>
          <w:lang w:val="en-US"/>
        </w:rPr>
        <w:t xml:space="preserve"> </w:t>
      </w:r>
      <w:r w:rsidRPr="00D337FA">
        <w:rPr>
          <w:lang w:val="en-US"/>
        </w:rPr>
        <w:t>and</w:t>
      </w:r>
      <w:r w:rsidR="006C680D" w:rsidRPr="00D337FA">
        <w:rPr>
          <w:lang w:val="en-US"/>
        </w:rPr>
        <w:t xml:space="preserve"> </w:t>
      </w:r>
      <w:r w:rsidRPr="00D337FA">
        <w:rPr>
          <w:lang w:val="en-US"/>
        </w:rPr>
        <w:t>Communications</w:t>
      </w:r>
      <w:r w:rsidR="006C680D" w:rsidRPr="00D337FA">
        <w:rPr>
          <w:lang w:val="en-US"/>
        </w:rPr>
        <w:t xml:space="preserve"> </w:t>
      </w:r>
    </w:p>
    <w:p w:rsidR="00713BBA" w:rsidRPr="00D337FA" w:rsidRDefault="00713BBA" w:rsidP="00250468">
      <w:pPr>
        <w:pStyle w:val="aff3"/>
        <w:rPr>
          <w:b/>
          <w:bCs w:val="0"/>
          <w:i/>
          <w:iCs w:val="0"/>
          <w:color w:val="auto"/>
          <w:lang w:val="en-US"/>
        </w:rPr>
      </w:pPr>
    </w:p>
    <w:p w:rsidR="000A0E65" w:rsidRPr="00D337FA" w:rsidRDefault="00250468" w:rsidP="00713BBA">
      <w:pPr>
        <w:pStyle w:val="aff3"/>
        <w:jc w:val="center"/>
        <w:rPr>
          <w:color w:val="auto"/>
          <w:lang w:val="en-US"/>
        </w:rPr>
      </w:pPr>
      <w:r w:rsidRPr="00D337FA">
        <w:rPr>
          <w:b/>
          <w:bCs w:val="0"/>
          <w:i/>
          <w:iCs w:val="0"/>
          <w:color w:val="auto"/>
          <w:lang w:val="en-US"/>
        </w:rPr>
        <w:t>Subscription</w:t>
      </w:r>
      <w:r w:rsidR="006C680D" w:rsidRPr="00D337FA">
        <w:rPr>
          <w:b/>
          <w:bCs w:val="0"/>
          <w:i/>
          <w:iCs w:val="0"/>
          <w:color w:val="auto"/>
          <w:lang w:val="en-US"/>
        </w:rPr>
        <w:t xml:space="preserve"> </w:t>
      </w:r>
      <w:r w:rsidRPr="00D337FA">
        <w:rPr>
          <w:b/>
          <w:bCs w:val="0"/>
          <w:i/>
          <w:iCs w:val="0"/>
          <w:color w:val="auto"/>
          <w:lang w:val="en-US"/>
        </w:rPr>
        <w:t>code</w:t>
      </w:r>
      <w:r w:rsidR="006C680D" w:rsidRPr="00D337FA">
        <w:rPr>
          <w:i/>
          <w:iCs w:val="0"/>
          <w:color w:val="auto"/>
          <w:lang w:val="en-US"/>
        </w:rPr>
        <w:t xml:space="preserve"> </w:t>
      </w:r>
      <w:r w:rsidRPr="00D337FA">
        <w:rPr>
          <w:b/>
          <w:bCs w:val="0"/>
          <w:i/>
          <w:iCs w:val="0"/>
          <w:color w:val="auto"/>
          <w:lang w:val="en-US"/>
        </w:rPr>
        <w:t>65037</w:t>
      </w:r>
      <w:r w:rsidR="006C680D" w:rsidRPr="00D337FA">
        <w:rPr>
          <w:i/>
          <w:iCs w:val="0"/>
          <w:color w:val="auto"/>
          <w:lang w:val="en-US"/>
        </w:rPr>
        <w:t xml:space="preserve"> </w:t>
      </w:r>
      <w:r w:rsidRPr="00D337FA">
        <w:rPr>
          <w:i/>
          <w:iCs w:val="0"/>
          <w:color w:val="auto"/>
          <w:lang w:val="en-US"/>
        </w:rPr>
        <w:t>(Magazines</w:t>
      </w:r>
      <w:r w:rsidR="006C680D" w:rsidRPr="00D337FA">
        <w:rPr>
          <w:i/>
          <w:iCs w:val="0"/>
          <w:color w:val="auto"/>
          <w:lang w:val="en-US"/>
        </w:rPr>
        <w:t xml:space="preserve"> </w:t>
      </w:r>
      <w:r w:rsidRPr="00D337FA">
        <w:rPr>
          <w:i/>
          <w:iCs w:val="0"/>
          <w:color w:val="auto"/>
          <w:lang w:val="en-US"/>
        </w:rPr>
        <w:t>/</w:t>
      </w:r>
      <w:r w:rsidR="006C680D" w:rsidRPr="00D337FA">
        <w:rPr>
          <w:i/>
          <w:iCs w:val="0"/>
          <w:color w:val="auto"/>
          <w:lang w:val="en-US"/>
        </w:rPr>
        <w:t xml:space="preserve"> </w:t>
      </w:r>
      <w:r w:rsidRPr="00D337FA">
        <w:rPr>
          <w:i/>
          <w:iCs w:val="0"/>
          <w:color w:val="auto"/>
          <w:lang w:val="en-US"/>
        </w:rPr>
        <w:t>Newspapers</w:t>
      </w:r>
      <w:r w:rsidR="006C680D" w:rsidRPr="00D337FA">
        <w:rPr>
          <w:i/>
          <w:iCs w:val="0"/>
          <w:color w:val="auto"/>
          <w:lang w:val="en-US"/>
        </w:rPr>
        <w:t xml:space="preserve"> </w:t>
      </w:r>
      <w:r w:rsidRPr="00D337FA">
        <w:rPr>
          <w:i/>
          <w:iCs w:val="0"/>
          <w:color w:val="auto"/>
          <w:lang w:val="en-US"/>
        </w:rPr>
        <w:t>Catalogue</w:t>
      </w:r>
      <w:r w:rsidR="006C680D" w:rsidRPr="00D337FA">
        <w:rPr>
          <w:i/>
          <w:iCs w:val="0"/>
          <w:color w:val="auto"/>
          <w:lang w:val="en-US"/>
        </w:rPr>
        <w:t xml:space="preserve"> </w:t>
      </w:r>
      <w:r w:rsidRPr="00D337FA">
        <w:rPr>
          <w:i/>
          <w:iCs w:val="0"/>
          <w:color w:val="auto"/>
          <w:lang w:val="en-US"/>
        </w:rPr>
        <w:t>of</w:t>
      </w:r>
      <w:r w:rsidR="006C680D" w:rsidRPr="00D337FA">
        <w:rPr>
          <w:i/>
          <w:iCs w:val="0"/>
          <w:color w:val="auto"/>
          <w:lang w:val="en-US"/>
        </w:rPr>
        <w:t xml:space="preserve"> </w:t>
      </w:r>
      <w:r w:rsidRPr="00D337FA">
        <w:rPr>
          <w:i/>
          <w:iCs w:val="0"/>
          <w:color w:val="auto"/>
          <w:lang w:val="en-US"/>
        </w:rPr>
        <w:t>202</w:t>
      </w:r>
      <w:r w:rsidR="008A4488" w:rsidRPr="00D337FA">
        <w:rPr>
          <w:i/>
          <w:iCs w:val="0"/>
          <w:color w:val="auto"/>
          <w:lang w:val="en-US"/>
        </w:rPr>
        <w:t>6</w:t>
      </w:r>
      <w:r w:rsidR="006C680D" w:rsidRPr="00D337FA">
        <w:rPr>
          <w:i/>
          <w:iCs w:val="0"/>
          <w:color w:val="auto"/>
          <w:lang w:val="en-US"/>
        </w:rPr>
        <w:t xml:space="preserve"> </w:t>
      </w:r>
      <w:r w:rsidRPr="00D337FA">
        <w:rPr>
          <w:i/>
          <w:iCs w:val="0"/>
          <w:color w:val="auto"/>
          <w:lang w:val="en-US"/>
        </w:rPr>
        <w:t>(</w:t>
      </w:r>
      <w:r w:rsidR="008A4488" w:rsidRPr="00D337FA">
        <w:rPr>
          <w:i/>
          <w:iCs w:val="0"/>
          <w:color w:val="auto"/>
          <w:lang w:val="en-US"/>
        </w:rPr>
        <w:t>First</w:t>
      </w:r>
      <w:r w:rsidR="006C680D" w:rsidRPr="00D337FA">
        <w:rPr>
          <w:i/>
          <w:iCs w:val="0"/>
          <w:color w:val="auto"/>
          <w:lang w:val="en-US"/>
        </w:rPr>
        <w:t xml:space="preserve"> </w:t>
      </w:r>
      <w:r w:rsidRPr="00D337FA">
        <w:rPr>
          <w:i/>
          <w:iCs w:val="0"/>
          <w:color w:val="auto"/>
          <w:lang w:val="en-US"/>
        </w:rPr>
        <w:t>Half)</w:t>
      </w:r>
    </w:p>
    <w:sectPr w:rsidR="000A0E65" w:rsidRPr="00D337FA" w:rsidSect="00FD5D9B">
      <w:footnotePr>
        <w:numRestart w:val="eachPage"/>
      </w:footnotePr>
      <w:type w:val="continuous"/>
      <w:pgSz w:w="11907" w:h="16840" w:code="9"/>
      <w:pgMar w:top="1418" w:right="1134" w:bottom="1418" w:left="1134" w:header="1021" w:footer="1021" w:gutter="0"/>
      <w:cols w:num="2" w:space="567"/>
      <w:noEndnote/>
      <w:docGrid w:linePitch="65"/>
    </w:sectPr>
  </w:body>
</w:document>
</file>

<file path=word/customizations.xml><?xml version="1.0" encoding="utf-8"?>
<wne:tcg xmlns:r="http://schemas.openxmlformats.org/officeDocument/2006/relationships" xmlns:wne="http://schemas.microsoft.com/office/word/2006/wordml">
  <wne:keymaps>
    <wne:keymap wne:kcmPrimary="0451">
      <wne:macro wne:macroName="NORMAL.NEWMACROS.ПЕРЕНОС"/>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06E" w:rsidRDefault="00BB606E" w:rsidP="009372F1">
      <w:r>
        <w:separator/>
      </w:r>
    </w:p>
    <w:p w:rsidR="00BB606E" w:rsidRDefault="00BB606E"/>
    <w:p w:rsidR="00BB606E" w:rsidRDefault="00BB606E"/>
    <w:p w:rsidR="00BB606E" w:rsidRDefault="00BB606E"/>
    <w:p w:rsidR="00BB606E" w:rsidRDefault="00BB606E"/>
    <w:p w:rsidR="00BB606E" w:rsidRDefault="00BB606E"/>
    <w:p w:rsidR="00BB606E" w:rsidRDefault="00BB606E"/>
  </w:endnote>
  <w:endnote w:type="continuationSeparator" w:id="0">
    <w:p w:rsidR="00BB606E" w:rsidRDefault="00BB606E" w:rsidP="009372F1">
      <w:r>
        <w:continuationSeparator/>
      </w:r>
    </w:p>
    <w:p w:rsidR="00BB606E" w:rsidRDefault="00BB606E"/>
    <w:p w:rsidR="00BB606E" w:rsidRDefault="00BB606E"/>
    <w:p w:rsidR="00BB606E" w:rsidRDefault="00BB606E"/>
    <w:p w:rsidR="00BB606E" w:rsidRDefault="00BB606E"/>
    <w:p w:rsidR="00BB606E" w:rsidRDefault="00BB606E"/>
    <w:p w:rsidR="00BB606E" w:rsidRDefault="00BB6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Default="002C7AB0" w:rsidP="00B83210">
    <w:pPr>
      <w:pStyle w:val="af2"/>
      <w:pBdr>
        <w:top w:val="thickThinSmallGap" w:sz="24" w:space="1" w:color="auto"/>
      </w:pBdr>
      <w:spacing w:before="120"/>
      <w:ind w:firstLine="0"/>
      <w:jc w:val="center"/>
    </w:pPr>
    <w:r w:rsidRPr="006C3524">
      <w:rPr>
        <w:rFonts w:ascii="Arial" w:hAnsi="Arial" w:cs="Arial"/>
        <w:b/>
        <w:sz w:val="26"/>
        <w:szCs w:val="26"/>
      </w:rPr>
      <w:t xml:space="preserve">- </w:t>
    </w:r>
    <w:sdt>
      <w:sdtPr>
        <w:rPr>
          <w:rFonts w:ascii="Arial" w:hAnsi="Arial" w:cs="Arial"/>
          <w:b/>
          <w:sz w:val="26"/>
          <w:szCs w:val="26"/>
        </w:rPr>
        <w:id w:val="475270899"/>
        <w:docPartObj>
          <w:docPartGallery w:val="Page Numbers (Bottom of Page)"/>
          <w:docPartUnique/>
        </w:docPartObj>
      </w:sdtPr>
      <w:sdtEndPr/>
      <w:sdtContent>
        <w:r w:rsidRPr="006C3524">
          <w:rPr>
            <w:rFonts w:ascii="Arial" w:hAnsi="Arial" w:cs="Arial"/>
            <w:b/>
            <w:sz w:val="26"/>
            <w:szCs w:val="26"/>
          </w:rPr>
          <w:fldChar w:fldCharType="begin"/>
        </w:r>
        <w:r w:rsidRPr="006C3524">
          <w:rPr>
            <w:rFonts w:ascii="Arial" w:hAnsi="Arial" w:cs="Arial"/>
            <w:b/>
            <w:sz w:val="26"/>
            <w:szCs w:val="26"/>
          </w:rPr>
          <w:instrText>PAGE   \* MERGEFORMAT</w:instrText>
        </w:r>
        <w:r w:rsidRPr="006C3524">
          <w:rPr>
            <w:rFonts w:ascii="Arial" w:hAnsi="Arial" w:cs="Arial"/>
            <w:b/>
            <w:sz w:val="26"/>
            <w:szCs w:val="26"/>
          </w:rPr>
          <w:fldChar w:fldCharType="separate"/>
        </w:r>
        <w:r w:rsidR="009B6005">
          <w:rPr>
            <w:rFonts w:ascii="Arial" w:hAnsi="Arial" w:cs="Arial"/>
            <w:b/>
            <w:noProof/>
            <w:sz w:val="26"/>
            <w:szCs w:val="26"/>
          </w:rPr>
          <w:t>2</w:t>
        </w:r>
        <w:r w:rsidRPr="006C3524">
          <w:rPr>
            <w:rFonts w:ascii="Arial" w:hAnsi="Arial" w:cs="Arial"/>
            <w:b/>
            <w:noProof/>
            <w:sz w:val="26"/>
            <w:szCs w:val="26"/>
          </w:rPr>
          <w:fldChar w:fldCharType="end"/>
        </w:r>
        <w:r w:rsidRPr="006C3524">
          <w:rPr>
            <w:rFonts w:ascii="Arial" w:hAnsi="Arial" w:cs="Arial"/>
            <w:b/>
            <w:noProof/>
            <w:sz w:val="26"/>
            <w:szCs w:val="26"/>
          </w:rPr>
          <w:t xml:space="preserve"> -</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6"/>
        <w:szCs w:val="26"/>
      </w:rPr>
      <w:id w:val="-1477675691"/>
      <w:docPartObj>
        <w:docPartGallery w:val="Page Numbers (Bottom of Page)"/>
        <w:docPartUnique/>
      </w:docPartObj>
    </w:sdtPr>
    <w:sdtEndPr>
      <w:rPr>
        <w:b/>
      </w:rPr>
    </w:sdtEndPr>
    <w:sdtContent>
      <w:p w:rsidR="002C7AB0" w:rsidRDefault="002C7AB0" w:rsidP="005158BC">
        <w:pPr>
          <w:pStyle w:val="af2"/>
          <w:pBdr>
            <w:top w:val="thickThinSmallGap" w:sz="24" w:space="1" w:color="auto"/>
          </w:pBdr>
          <w:tabs>
            <w:tab w:val="clear" w:pos="4677"/>
            <w:tab w:val="clear" w:pos="9355"/>
          </w:tabs>
          <w:spacing w:before="120"/>
          <w:ind w:firstLine="0"/>
          <w:jc w:val="center"/>
        </w:pPr>
        <w:r w:rsidRPr="00054D80">
          <w:rPr>
            <w:rFonts w:ascii="Arial" w:hAnsi="Arial" w:cs="Arial"/>
            <w:b/>
            <w:sz w:val="26"/>
            <w:szCs w:val="26"/>
          </w:rPr>
          <w:t xml:space="preserve">- </w:t>
        </w:r>
        <w:r w:rsidRPr="00054D80">
          <w:rPr>
            <w:rFonts w:ascii="Arial" w:hAnsi="Arial" w:cs="Arial"/>
            <w:b/>
            <w:sz w:val="26"/>
            <w:szCs w:val="26"/>
          </w:rPr>
          <w:fldChar w:fldCharType="begin"/>
        </w:r>
        <w:r w:rsidRPr="00054D80">
          <w:rPr>
            <w:rFonts w:ascii="Arial" w:hAnsi="Arial" w:cs="Arial"/>
            <w:b/>
            <w:sz w:val="26"/>
            <w:szCs w:val="26"/>
          </w:rPr>
          <w:instrText>PAGE   \* MERGEFORMAT</w:instrText>
        </w:r>
        <w:r w:rsidRPr="00054D80">
          <w:rPr>
            <w:rFonts w:ascii="Arial" w:hAnsi="Arial" w:cs="Arial"/>
            <w:b/>
            <w:sz w:val="26"/>
            <w:szCs w:val="26"/>
          </w:rPr>
          <w:fldChar w:fldCharType="separate"/>
        </w:r>
        <w:r w:rsidR="009B6005">
          <w:rPr>
            <w:rFonts w:ascii="Arial" w:hAnsi="Arial" w:cs="Arial"/>
            <w:b/>
            <w:noProof/>
            <w:sz w:val="26"/>
            <w:szCs w:val="26"/>
          </w:rPr>
          <w:t>1</w:t>
        </w:r>
        <w:r w:rsidRPr="00054D80">
          <w:rPr>
            <w:rFonts w:ascii="Arial" w:hAnsi="Arial" w:cs="Arial"/>
            <w:b/>
            <w:noProof/>
            <w:sz w:val="26"/>
            <w:szCs w:val="26"/>
          </w:rPr>
          <w:fldChar w:fldCharType="end"/>
        </w:r>
        <w:r w:rsidRPr="00054D80">
          <w:rPr>
            <w:rFonts w:ascii="Arial" w:hAnsi="Arial" w:cs="Arial"/>
            <w:b/>
            <w:noProof/>
            <w:sz w:val="26"/>
            <w:szCs w:val="26"/>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Default="002C7AB0" w:rsidP="00B83210">
    <w:pPr>
      <w:pStyle w:val="af2"/>
      <w:pBdr>
        <w:top w:val="thickThinSmallGap" w:sz="24" w:space="1" w:color="auto"/>
      </w:pBdr>
      <w:spacing w:before="120"/>
      <w:ind w:firstLine="0"/>
      <w:jc w:val="center"/>
    </w:pPr>
    <w:r w:rsidRPr="006C3524">
      <w:rPr>
        <w:rFonts w:ascii="Arial" w:hAnsi="Arial" w:cs="Arial"/>
        <w:b/>
        <w:sz w:val="26"/>
        <w:szCs w:val="26"/>
      </w:rPr>
      <w:t xml:space="preserve">- </w:t>
    </w:r>
    <w:sdt>
      <w:sdtPr>
        <w:rPr>
          <w:rFonts w:ascii="Arial" w:hAnsi="Arial" w:cs="Arial"/>
          <w:b/>
          <w:sz w:val="26"/>
          <w:szCs w:val="26"/>
        </w:rPr>
        <w:id w:val="-746267079"/>
        <w:docPartObj>
          <w:docPartGallery w:val="Page Numbers (Bottom of Page)"/>
          <w:docPartUnique/>
        </w:docPartObj>
      </w:sdtPr>
      <w:sdtEndPr/>
      <w:sdtContent>
        <w:r w:rsidRPr="006C3524">
          <w:rPr>
            <w:rFonts w:ascii="Arial" w:hAnsi="Arial" w:cs="Arial"/>
            <w:b/>
            <w:sz w:val="26"/>
            <w:szCs w:val="26"/>
          </w:rPr>
          <w:fldChar w:fldCharType="begin"/>
        </w:r>
        <w:r w:rsidRPr="006C3524">
          <w:rPr>
            <w:rFonts w:ascii="Arial" w:hAnsi="Arial" w:cs="Arial"/>
            <w:b/>
            <w:sz w:val="26"/>
            <w:szCs w:val="26"/>
          </w:rPr>
          <w:instrText>PAGE   \* MERGEFORMAT</w:instrText>
        </w:r>
        <w:r w:rsidRPr="006C3524">
          <w:rPr>
            <w:rFonts w:ascii="Arial" w:hAnsi="Arial" w:cs="Arial"/>
            <w:b/>
            <w:sz w:val="26"/>
            <w:szCs w:val="26"/>
          </w:rPr>
          <w:fldChar w:fldCharType="separate"/>
        </w:r>
        <w:r w:rsidR="009B6005">
          <w:rPr>
            <w:rFonts w:ascii="Arial" w:hAnsi="Arial" w:cs="Arial"/>
            <w:b/>
            <w:noProof/>
            <w:sz w:val="26"/>
            <w:szCs w:val="26"/>
          </w:rPr>
          <w:t>4</w:t>
        </w:r>
        <w:r w:rsidRPr="006C3524">
          <w:rPr>
            <w:rFonts w:ascii="Arial" w:hAnsi="Arial" w:cs="Arial"/>
            <w:b/>
            <w:noProof/>
            <w:sz w:val="26"/>
            <w:szCs w:val="26"/>
          </w:rPr>
          <w:fldChar w:fldCharType="end"/>
        </w:r>
        <w:r w:rsidRPr="006C3524">
          <w:rPr>
            <w:rFonts w:ascii="Arial" w:hAnsi="Arial" w:cs="Arial"/>
            <w:b/>
            <w:noProof/>
            <w:sz w:val="26"/>
            <w:szCs w:val="26"/>
          </w:rPr>
          <w:t xml:space="preserve"> -</w:t>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6"/>
        <w:szCs w:val="26"/>
      </w:rPr>
      <w:id w:val="-1806613663"/>
      <w:docPartObj>
        <w:docPartGallery w:val="Page Numbers (Bottom of Page)"/>
        <w:docPartUnique/>
      </w:docPartObj>
    </w:sdtPr>
    <w:sdtEndPr>
      <w:rPr>
        <w:b/>
      </w:rPr>
    </w:sdtEndPr>
    <w:sdtContent>
      <w:p w:rsidR="002C7AB0" w:rsidRPr="00A36F69" w:rsidRDefault="002C7AB0" w:rsidP="00B83210">
        <w:pPr>
          <w:pStyle w:val="af2"/>
          <w:pBdr>
            <w:top w:val="thickThinSmallGap" w:sz="24" w:space="1" w:color="auto"/>
          </w:pBdr>
          <w:spacing w:before="120"/>
          <w:ind w:firstLine="0"/>
          <w:jc w:val="center"/>
          <w:rPr>
            <w:b/>
            <w:sz w:val="28"/>
            <w:szCs w:val="28"/>
            <w:lang w:val="en-US"/>
          </w:rPr>
        </w:pPr>
        <w:r w:rsidRPr="00054D80">
          <w:rPr>
            <w:rFonts w:ascii="Arial" w:hAnsi="Arial" w:cs="Arial"/>
            <w:b/>
            <w:sz w:val="26"/>
            <w:szCs w:val="26"/>
          </w:rPr>
          <w:t xml:space="preserve">- </w:t>
        </w:r>
        <w:r w:rsidRPr="00054D80">
          <w:rPr>
            <w:rFonts w:ascii="Arial" w:hAnsi="Arial" w:cs="Arial"/>
            <w:b/>
            <w:sz w:val="26"/>
            <w:szCs w:val="26"/>
          </w:rPr>
          <w:fldChar w:fldCharType="begin"/>
        </w:r>
        <w:r w:rsidRPr="00054D80">
          <w:rPr>
            <w:rFonts w:ascii="Arial" w:hAnsi="Arial" w:cs="Arial"/>
            <w:b/>
            <w:sz w:val="26"/>
            <w:szCs w:val="26"/>
          </w:rPr>
          <w:instrText>PAGE   \* MERGEFORMAT</w:instrText>
        </w:r>
        <w:r w:rsidRPr="00054D80">
          <w:rPr>
            <w:rFonts w:ascii="Arial" w:hAnsi="Arial" w:cs="Arial"/>
            <w:b/>
            <w:sz w:val="26"/>
            <w:szCs w:val="26"/>
          </w:rPr>
          <w:fldChar w:fldCharType="separate"/>
        </w:r>
        <w:r w:rsidR="009B6005">
          <w:rPr>
            <w:rFonts w:ascii="Arial" w:hAnsi="Arial" w:cs="Arial"/>
            <w:b/>
            <w:noProof/>
            <w:sz w:val="26"/>
            <w:szCs w:val="26"/>
          </w:rPr>
          <w:t>3</w:t>
        </w:r>
        <w:r w:rsidRPr="00054D80">
          <w:rPr>
            <w:rFonts w:ascii="Arial" w:hAnsi="Arial" w:cs="Arial"/>
            <w:b/>
            <w:noProof/>
            <w:sz w:val="26"/>
            <w:szCs w:val="26"/>
          </w:rPr>
          <w:fldChar w:fldCharType="end"/>
        </w:r>
        <w:r w:rsidRPr="00054D80">
          <w:rPr>
            <w:rFonts w:ascii="Arial" w:hAnsi="Arial" w:cs="Arial"/>
            <w:b/>
            <w:noProof/>
            <w:sz w:val="26"/>
            <w:szCs w:val="26"/>
          </w:rPr>
          <w:t xml:space="preserve"> -</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6C3524" w:rsidRDefault="002C7AB0" w:rsidP="00B83210">
    <w:pPr>
      <w:pStyle w:val="af2"/>
      <w:pBdr>
        <w:top w:val="thickThinSmallGap" w:sz="24" w:space="1" w:color="auto"/>
      </w:pBdr>
      <w:spacing w:before="120"/>
      <w:ind w:firstLine="0"/>
      <w:jc w:val="center"/>
      <w:rPr>
        <w:rFonts w:ascii="Arial" w:hAnsi="Arial" w:cs="Arial"/>
        <w:b/>
        <w:sz w:val="26"/>
        <w:szCs w:val="26"/>
      </w:rPr>
    </w:pPr>
    <w:r w:rsidRPr="006C3524">
      <w:rPr>
        <w:rFonts w:ascii="Arial" w:hAnsi="Arial" w:cs="Arial"/>
        <w:b/>
        <w:sz w:val="26"/>
        <w:szCs w:val="26"/>
      </w:rPr>
      <w:t xml:space="preserve">- </w:t>
    </w:r>
    <w:sdt>
      <w:sdtPr>
        <w:rPr>
          <w:rFonts w:ascii="Arial" w:hAnsi="Arial" w:cs="Arial"/>
          <w:b/>
          <w:sz w:val="26"/>
          <w:szCs w:val="26"/>
        </w:rPr>
        <w:id w:val="706231573"/>
        <w:docPartObj>
          <w:docPartGallery w:val="Page Numbers (Bottom of Page)"/>
          <w:docPartUnique/>
        </w:docPartObj>
      </w:sdtPr>
      <w:sdtEndPr/>
      <w:sdtContent>
        <w:r w:rsidRPr="006C3524">
          <w:rPr>
            <w:rFonts w:ascii="Arial" w:hAnsi="Arial" w:cs="Arial"/>
            <w:b/>
            <w:sz w:val="26"/>
            <w:szCs w:val="26"/>
          </w:rPr>
          <w:fldChar w:fldCharType="begin"/>
        </w:r>
        <w:r w:rsidRPr="006C3524">
          <w:rPr>
            <w:rFonts w:ascii="Arial" w:hAnsi="Arial" w:cs="Arial"/>
            <w:b/>
            <w:sz w:val="26"/>
            <w:szCs w:val="26"/>
          </w:rPr>
          <w:instrText>PAGE   \* MERGEFORMAT</w:instrText>
        </w:r>
        <w:r w:rsidRPr="006C3524">
          <w:rPr>
            <w:rFonts w:ascii="Arial" w:hAnsi="Arial" w:cs="Arial"/>
            <w:b/>
            <w:sz w:val="26"/>
            <w:szCs w:val="26"/>
          </w:rPr>
          <w:fldChar w:fldCharType="separate"/>
        </w:r>
        <w:r w:rsidR="009B6005">
          <w:rPr>
            <w:rFonts w:ascii="Arial" w:hAnsi="Arial" w:cs="Arial"/>
            <w:b/>
            <w:noProof/>
            <w:sz w:val="26"/>
            <w:szCs w:val="26"/>
          </w:rPr>
          <w:t>12</w:t>
        </w:r>
        <w:r w:rsidRPr="006C3524">
          <w:rPr>
            <w:rFonts w:ascii="Arial" w:hAnsi="Arial" w:cs="Arial"/>
            <w:b/>
            <w:noProof/>
            <w:sz w:val="26"/>
            <w:szCs w:val="26"/>
          </w:rPr>
          <w:fldChar w:fldCharType="end"/>
        </w:r>
        <w:r w:rsidRPr="006C3524">
          <w:rPr>
            <w:rFonts w:ascii="Arial" w:hAnsi="Arial" w:cs="Arial"/>
            <w:b/>
            <w:noProof/>
            <w:sz w:val="26"/>
            <w:szCs w:val="26"/>
          </w:rPr>
          <w:t xml:space="preserve"> -</w:t>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6"/>
        <w:szCs w:val="26"/>
      </w:rPr>
      <w:id w:val="1527448676"/>
      <w:docPartObj>
        <w:docPartGallery w:val="Page Numbers (Bottom of Page)"/>
        <w:docPartUnique/>
      </w:docPartObj>
    </w:sdtPr>
    <w:sdtEndPr>
      <w:rPr>
        <w:b/>
      </w:rPr>
    </w:sdtEndPr>
    <w:sdtContent>
      <w:p w:rsidR="002C7AB0" w:rsidRPr="00054D80" w:rsidRDefault="002C7AB0" w:rsidP="00B83210">
        <w:pPr>
          <w:pStyle w:val="af2"/>
          <w:pBdr>
            <w:top w:val="thickThinSmallGap" w:sz="24" w:space="1" w:color="auto"/>
          </w:pBdr>
          <w:spacing w:before="120"/>
          <w:ind w:firstLine="0"/>
          <w:jc w:val="center"/>
          <w:rPr>
            <w:rFonts w:ascii="Arial" w:hAnsi="Arial" w:cs="Arial"/>
            <w:b/>
            <w:sz w:val="26"/>
            <w:szCs w:val="26"/>
          </w:rPr>
        </w:pPr>
        <w:r w:rsidRPr="00054D80">
          <w:rPr>
            <w:rFonts w:ascii="Arial" w:hAnsi="Arial" w:cs="Arial"/>
            <w:b/>
            <w:sz w:val="26"/>
            <w:szCs w:val="26"/>
          </w:rPr>
          <w:t xml:space="preserve">- </w:t>
        </w:r>
        <w:r w:rsidRPr="00054D80">
          <w:rPr>
            <w:rFonts w:ascii="Arial" w:hAnsi="Arial" w:cs="Arial"/>
            <w:b/>
            <w:sz w:val="26"/>
            <w:szCs w:val="26"/>
          </w:rPr>
          <w:fldChar w:fldCharType="begin"/>
        </w:r>
        <w:r w:rsidRPr="00054D80">
          <w:rPr>
            <w:rFonts w:ascii="Arial" w:hAnsi="Arial" w:cs="Arial"/>
            <w:b/>
            <w:sz w:val="26"/>
            <w:szCs w:val="26"/>
          </w:rPr>
          <w:instrText>PAGE   \* MERGEFORMAT</w:instrText>
        </w:r>
        <w:r w:rsidRPr="00054D80">
          <w:rPr>
            <w:rFonts w:ascii="Arial" w:hAnsi="Arial" w:cs="Arial"/>
            <w:b/>
            <w:sz w:val="26"/>
            <w:szCs w:val="26"/>
          </w:rPr>
          <w:fldChar w:fldCharType="separate"/>
        </w:r>
        <w:r w:rsidR="009B6005">
          <w:rPr>
            <w:rFonts w:ascii="Arial" w:hAnsi="Arial" w:cs="Arial"/>
            <w:b/>
            <w:noProof/>
            <w:sz w:val="26"/>
            <w:szCs w:val="26"/>
          </w:rPr>
          <w:t>11</w:t>
        </w:r>
        <w:r w:rsidRPr="00054D80">
          <w:rPr>
            <w:rFonts w:ascii="Arial" w:hAnsi="Arial" w:cs="Arial"/>
            <w:b/>
            <w:noProof/>
            <w:sz w:val="26"/>
            <w:szCs w:val="26"/>
          </w:rPr>
          <w:fldChar w:fldCharType="end"/>
        </w:r>
        <w:r w:rsidRPr="00054D80">
          <w:rPr>
            <w:rFonts w:ascii="Arial" w:hAnsi="Arial" w:cs="Arial"/>
            <w:b/>
            <w:noProof/>
            <w:sz w:val="26"/>
            <w:szCs w:val="26"/>
          </w:rPr>
          <w:t xml:space="preserve"> -</w:t>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6C3524" w:rsidRDefault="002C7AB0" w:rsidP="00B83210">
    <w:pPr>
      <w:pStyle w:val="af2"/>
      <w:pBdr>
        <w:top w:val="thickThinSmallGap" w:sz="24" w:space="1" w:color="auto"/>
      </w:pBdr>
      <w:spacing w:before="120"/>
      <w:ind w:firstLine="0"/>
      <w:jc w:val="center"/>
      <w:rPr>
        <w:rFonts w:ascii="Arial" w:hAnsi="Arial" w:cs="Arial"/>
        <w:b/>
        <w:sz w:val="26"/>
        <w:szCs w:val="26"/>
      </w:rPr>
    </w:pPr>
    <w:r w:rsidRPr="006C3524">
      <w:rPr>
        <w:rFonts w:ascii="Arial" w:hAnsi="Arial" w:cs="Arial"/>
        <w:b/>
        <w:sz w:val="26"/>
        <w:szCs w:val="26"/>
      </w:rPr>
      <w:t xml:space="preserve">- </w:t>
    </w:r>
    <w:sdt>
      <w:sdtPr>
        <w:rPr>
          <w:rFonts w:ascii="Arial" w:hAnsi="Arial" w:cs="Arial"/>
          <w:b/>
          <w:sz w:val="26"/>
          <w:szCs w:val="26"/>
        </w:rPr>
        <w:id w:val="1005788001"/>
        <w:docPartObj>
          <w:docPartGallery w:val="Page Numbers (Bottom of Page)"/>
          <w:docPartUnique/>
        </w:docPartObj>
      </w:sdtPr>
      <w:sdtEndPr/>
      <w:sdtContent>
        <w:r w:rsidRPr="006C3524">
          <w:rPr>
            <w:rFonts w:ascii="Arial" w:hAnsi="Arial" w:cs="Arial"/>
            <w:b/>
            <w:sz w:val="26"/>
            <w:szCs w:val="26"/>
          </w:rPr>
          <w:fldChar w:fldCharType="begin"/>
        </w:r>
        <w:r w:rsidRPr="006C3524">
          <w:rPr>
            <w:rFonts w:ascii="Arial" w:hAnsi="Arial" w:cs="Arial"/>
            <w:b/>
            <w:sz w:val="26"/>
            <w:szCs w:val="26"/>
          </w:rPr>
          <w:instrText>PAGE   \* MERGEFORMAT</w:instrText>
        </w:r>
        <w:r w:rsidRPr="006C3524">
          <w:rPr>
            <w:rFonts w:ascii="Arial" w:hAnsi="Arial" w:cs="Arial"/>
            <w:b/>
            <w:sz w:val="26"/>
            <w:szCs w:val="26"/>
          </w:rPr>
          <w:fldChar w:fldCharType="separate"/>
        </w:r>
        <w:r w:rsidR="00300205">
          <w:rPr>
            <w:rFonts w:ascii="Arial" w:hAnsi="Arial" w:cs="Arial"/>
            <w:b/>
            <w:noProof/>
            <w:sz w:val="26"/>
            <w:szCs w:val="26"/>
          </w:rPr>
          <w:t>116</w:t>
        </w:r>
        <w:r w:rsidRPr="006C3524">
          <w:rPr>
            <w:rFonts w:ascii="Arial" w:hAnsi="Arial" w:cs="Arial"/>
            <w:b/>
            <w:noProof/>
            <w:sz w:val="26"/>
            <w:szCs w:val="26"/>
          </w:rPr>
          <w:fldChar w:fldCharType="end"/>
        </w:r>
        <w:r w:rsidRPr="006C3524">
          <w:rPr>
            <w:rFonts w:ascii="Arial" w:hAnsi="Arial" w:cs="Arial"/>
            <w:b/>
            <w:noProof/>
            <w:sz w:val="26"/>
            <w:szCs w:val="26"/>
          </w:rPr>
          <w:t xml:space="preserve"> -</w:t>
        </w:r>
      </w:sdtContent>
    </w:sdt>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942756" w:rsidRDefault="002C7AB0" w:rsidP="0094275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06E" w:rsidRDefault="00BB606E" w:rsidP="001E7688">
      <w:pPr>
        <w:ind w:firstLine="0"/>
      </w:pPr>
      <w:r>
        <w:separator/>
      </w:r>
    </w:p>
  </w:footnote>
  <w:footnote w:type="continuationSeparator" w:id="0">
    <w:p w:rsidR="00BB606E" w:rsidRDefault="00BB606E" w:rsidP="001E7688">
      <w:pPr>
        <w:ind w:firstLine="0"/>
      </w:pPr>
      <w:r>
        <w:continuationSeparator/>
      </w:r>
    </w:p>
  </w:footnote>
  <w:footnote w:type="continuationNotice" w:id="1">
    <w:p w:rsidR="00BB606E" w:rsidRDefault="00BB606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8A595E" w:rsidRDefault="002C7AB0" w:rsidP="00C91EA8">
    <w:pPr>
      <w:pStyle w:val="ac"/>
      <w:pBdr>
        <w:bottom w:val="thinThickSmallGap" w:sz="24" w:space="1" w:color="auto"/>
      </w:pBdr>
      <w:tabs>
        <w:tab w:val="clear" w:pos="9355"/>
      </w:tabs>
      <w:ind w:right="-1"/>
      <w:jc w:val="right"/>
      <w:rPr>
        <w:b/>
        <w:sz w:val="22"/>
        <w:szCs w:val="2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F450AD">
    <w:pPr>
      <w:pStyle w:val="ac"/>
      <w:pBdr>
        <w:bottom w:val="thinThickSmallGap" w:sz="24" w:space="1" w:color="auto"/>
      </w:pBdr>
      <w:tabs>
        <w:tab w:val="clear" w:pos="4677"/>
        <w:tab w:val="clear" w:pos="9355"/>
        <w:tab w:val="right" w:pos="9639"/>
      </w:tabs>
      <w:ind w:right="-1"/>
      <w:rPr>
        <w:rFonts w:ascii="Arial" w:hAnsi="Arial" w:cs="Arial"/>
        <w:b/>
        <w:i/>
        <w:sz w:val="22"/>
        <w:lang w:val="en-US"/>
      </w:rPr>
    </w:pPr>
    <w:r w:rsidRPr="00F450AD">
      <w:rPr>
        <w:rFonts w:ascii="Arial" w:hAnsi="Arial" w:cs="Arial"/>
        <w:b/>
        <w:i/>
        <w:sz w:val="22"/>
      </w:rPr>
      <w:t>Инновационная деятельность</w:t>
    </w:r>
    <w:r>
      <w:rPr>
        <w:rFonts w:ascii="Arial" w:hAnsi="Arial" w:cs="Arial"/>
        <w:b/>
        <w:i/>
        <w:sz w:val="22"/>
      </w:rPr>
      <w:tab/>
      <w:t>20</w:t>
    </w:r>
    <w:r>
      <w:rPr>
        <w:rFonts w:ascii="Arial" w:hAnsi="Arial" w:cs="Arial"/>
        <w:b/>
        <w:i/>
        <w:sz w:val="22"/>
        <w:lang w:val="en-US"/>
      </w:rPr>
      <w:t>25</w:t>
    </w:r>
    <w:r>
      <w:rPr>
        <w:rFonts w:ascii="Arial" w:hAnsi="Arial" w:cs="Arial"/>
        <w:b/>
        <w:i/>
        <w:sz w:val="22"/>
      </w:rPr>
      <w:t>. № 3</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F450AD">
    <w:pPr>
      <w:pStyle w:val="ac"/>
      <w:pBdr>
        <w:bottom w:val="thinThickSmallGap" w:sz="24" w:space="1" w:color="auto"/>
      </w:pBdr>
      <w:tabs>
        <w:tab w:val="clear" w:pos="4677"/>
        <w:tab w:val="clear" w:pos="9355"/>
        <w:tab w:val="right" w:pos="9639"/>
      </w:tabs>
      <w:ind w:right="-1"/>
      <w:rPr>
        <w:rFonts w:ascii="Arial" w:hAnsi="Arial" w:cs="Arial"/>
        <w:b/>
        <w:i/>
        <w:sz w:val="22"/>
        <w:lang w:val="en-US"/>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C91EA8">
    <w:pPr>
      <w:pStyle w:val="ac"/>
      <w:pBdr>
        <w:bottom w:val="thinThickSmallGap" w:sz="24" w:space="1" w:color="auto"/>
      </w:pBdr>
      <w:tabs>
        <w:tab w:val="clear" w:pos="9355"/>
      </w:tabs>
      <w:ind w:right="-1"/>
      <w:jc w:val="right"/>
      <w:rPr>
        <w:rFonts w:ascii="Arial" w:hAnsi="Arial" w:cs="Arial"/>
        <w:b/>
        <w:i/>
        <w:sz w:val="22"/>
        <w:szCs w:val="2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942756" w:rsidRDefault="002C7AB0" w:rsidP="00942756">
    <w:pPr>
      <w:pStyle w:val="ac"/>
      <w:rPr>
        <w:szCs w:val="2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8A28E4" w:rsidRDefault="002C7AB0" w:rsidP="008A28E4">
    <w:pPr>
      <w:pStyle w:val="ac"/>
      <w:rPr>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215A14" w:rsidRDefault="002C7AB0" w:rsidP="00C91EA8">
    <w:pPr>
      <w:pStyle w:val="ac"/>
      <w:pBdr>
        <w:bottom w:val="thinThickSmallGap" w:sz="24" w:space="1" w:color="auto"/>
      </w:pBdr>
      <w:tabs>
        <w:tab w:val="clear" w:pos="9355"/>
      </w:tabs>
      <w:ind w:right="-1"/>
      <w:rPr>
        <w:b/>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F450AD">
    <w:pPr>
      <w:pStyle w:val="ac"/>
      <w:pBdr>
        <w:bottom w:val="thinThickSmallGap" w:sz="24" w:space="1" w:color="auto"/>
      </w:pBdr>
      <w:tabs>
        <w:tab w:val="clear" w:pos="4677"/>
        <w:tab w:val="clear" w:pos="9355"/>
        <w:tab w:val="right" w:pos="9639"/>
      </w:tabs>
      <w:ind w:right="-1"/>
      <w:rPr>
        <w:rFonts w:ascii="Arial" w:hAnsi="Arial" w:cs="Arial"/>
        <w:b/>
        <w:i/>
        <w:sz w:val="22"/>
        <w:lang w:val="en-US"/>
      </w:rPr>
    </w:pPr>
    <w:r w:rsidRPr="00F450AD">
      <w:rPr>
        <w:rFonts w:ascii="Arial" w:hAnsi="Arial" w:cs="Arial"/>
        <w:b/>
        <w:i/>
        <w:sz w:val="22"/>
      </w:rPr>
      <w:t>Инновационная деятельность</w:t>
    </w:r>
    <w:r>
      <w:rPr>
        <w:rFonts w:ascii="Arial" w:hAnsi="Arial" w:cs="Arial"/>
        <w:b/>
        <w:i/>
        <w:sz w:val="22"/>
      </w:rPr>
      <w:tab/>
      <w:t>20</w:t>
    </w:r>
    <w:r>
      <w:rPr>
        <w:rFonts w:ascii="Arial" w:hAnsi="Arial" w:cs="Arial"/>
        <w:b/>
        <w:i/>
        <w:sz w:val="22"/>
        <w:lang w:val="en-US"/>
      </w:rPr>
      <w:t>2</w:t>
    </w:r>
    <w:r>
      <w:rPr>
        <w:rFonts w:ascii="Arial" w:hAnsi="Arial" w:cs="Arial"/>
        <w:b/>
        <w:i/>
        <w:sz w:val="22"/>
      </w:rPr>
      <w:t>6. № 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C91EA8">
    <w:pPr>
      <w:pStyle w:val="ac"/>
      <w:pBdr>
        <w:bottom w:val="thinThickSmallGap" w:sz="24" w:space="1" w:color="auto"/>
      </w:pBdr>
      <w:tabs>
        <w:tab w:val="clear" w:pos="9355"/>
      </w:tabs>
      <w:ind w:right="-1"/>
      <w:jc w:val="right"/>
      <w:rPr>
        <w:rFonts w:ascii="Arial" w:hAnsi="Arial" w:cs="Arial"/>
        <w:b/>
        <w:i/>
        <w:sz w:val="22"/>
        <w:szCs w:val="22"/>
      </w:rPr>
    </w:pPr>
    <w:r>
      <w:rPr>
        <w:rFonts w:ascii="Arial CYR" w:hAnsi="Arial CYR" w:cs="Arial CYR"/>
        <w:b/>
        <w:bCs/>
        <w:i/>
        <w:iCs/>
        <w:caps/>
        <w:color w:val="000000"/>
        <w:u w:val="single"/>
      </w:rPr>
      <w:t>ЭКОНОМИЧЕСКИЕ НАУКИ</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C91EA8">
    <w:pPr>
      <w:pStyle w:val="ac"/>
      <w:pBdr>
        <w:bottom w:val="thinThickSmallGap" w:sz="24" w:space="1" w:color="auto"/>
      </w:pBdr>
      <w:tabs>
        <w:tab w:val="clear" w:pos="9355"/>
      </w:tabs>
      <w:ind w:right="-1"/>
      <w:jc w:val="right"/>
      <w:rPr>
        <w:rFonts w:ascii="Arial" w:hAnsi="Arial" w:cs="Arial"/>
        <w:b/>
        <w:i/>
        <w:sz w:val="22"/>
        <w:szCs w:val="22"/>
      </w:rPr>
    </w:pPr>
    <w:r>
      <w:rPr>
        <w:rFonts w:ascii="Arial CYR" w:hAnsi="Arial CYR" w:cs="Arial CYR"/>
        <w:b/>
        <w:bCs/>
        <w:i/>
        <w:iCs/>
        <w:caps/>
        <w:color w:val="000000"/>
        <w:u w:val="single"/>
      </w:rPr>
      <w:t>ЭКОНОМИЧЕСКИЕ НАУКИ</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C91EA8">
    <w:pPr>
      <w:pStyle w:val="ac"/>
      <w:pBdr>
        <w:bottom w:val="thinThickSmallGap" w:sz="24" w:space="1" w:color="auto"/>
      </w:pBdr>
      <w:tabs>
        <w:tab w:val="clear" w:pos="9355"/>
      </w:tabs>
      <w:ind w:right="-1"/>
      <w:jc w:val="right"/>
      <w:rPr>
        <w:rFonts w:ascii="Arial" w:hAnsi="Arial" w:cs="Arial"/>
        <w:b/>
        <w:i/>
        <w:sz w:val="22"/>
        <w:szCs w:val="22"/>
      </w:rPr>
    </w:pPr>
    <w:r>
      <w:rPr>
        <w:rFonts w:ascii="Arial CYR" w:hAnsi="Arial CYR" w:cs="Arial CYR"/>
        <w:b/>
        <w:bCs/>
        <w:i/>
        <w:iCs/>
        <w:caps/>
        <w:color w:val="000000"/>
        <w:u w:val="single"/>
      </w:rPr>
      <w:t>ЭКОНОМИЧЕСКИЕ НАУКИ</w:t>
    </w:r>
  </w:p>
  <w:p w:rsidR="002C7AB0" w:rsidRDefault="002C7AB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C91EA8">
    <w:pPr>
      <w:pStyle w:val="ac"/>
      <w:pBdr>
        <w:bottom w:val="thinThickSmallGap" w:sz="24" w:space="1" w:color="auto"/>
      </w:pBdr>
      <w:tabs>
        <w:tab w:val="clear" w:pos="9355"/>
      </w:tabs>
      <w:ind w:right="-1"/>
      <w:jc w:val="right"/>
      <w:rPr>
        <w:rFonts w:ascii="Arial" w:hAnsi="Arial" w:cs="Arial"/>
        <w:b/>
        <w:i/>
        <w:sz w:val="22"/>
        <w:szCs w:val="22"/>
      </w:rPr>
    </w:pPr>
    <w:r>
      <w:rPr>
        <w:rFonts w:ascii="Arial CYR" w:hAnsi="Arial CYR" w:cs="Arial CYR"/>
        <w:b/>
        <w:bCs/>
        <w:i/>
        <w:iCs/>
        <w:caps/>
        <w:color w:val="000000"/>
        <w:u w:val="single"/>
      </w:rPr>
      <w:t>ЭКОНОМИЧЕСКИЕ НАУКИ</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C91EA8">
    <w:pPr>
      <w:pStyle w:val="ac"/>
      <w:pBdr>
        <w:bottom w:val="thinThickSmallGap" w:sz="24" w:space="1" w:color="auto"/>
      </w:pBdr>
      <w:tabs>
        <w:tab w:val="clear" w:pos="9355"/>
      </w:tabs>
      <w:ind w:right="-1"/>
      <w:jc w:val="right"/>
      <w:rPr>
        <w:rFonts w:ascii="Arial" w:hAnsi="Arial" w:cs="Arial"/>
        <w:b/>
        <w:i/>
        <w:sz w:val="22"/>
        <w:szCs w:val="22"/>
      </w:rPr>
    </w:pPr>
    <w:r>
      <w:rPr>
        <w:rFonts w:ascii="Arial CYR" w:hAnsi="Arial CYR" w:cs="Arial CYR"/>
        <w:b/>
        <w:bCs/>
        <w:i/>
        <w:iCs/>
        <w:caps/>
        <w:color w:val="000000"/>
        <w:u w:val="single"/>
      </w:rPr>
      <w:t>ЭКОНОМИЧЕСКИЕ НАУКИ</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0" w:rsidRPr="00F450AD" w:rsidRDefault="002C7AB0" w:rsidP="00C91EA8">
    <w:pPr>
      <w:pStyle w:val="ac"/>
      <w:pBdr>
        <w:bottom w:val="thinThickSmallGap" w:sz="24" w:space="1" w:color="auto"/>
      </w:pBdr>
      <w:tabs>
        <w:tab w:val="clear" w:pos="9355"/>
      </w:tabs>
      <w:ind w:right="-1"/>
      <w:jc w:val="right"/>
      <w:rPr>
        <w:rFonts w:ascii="Arial" w:hAnsi="Arial" w:cs="Arial"/>
        <w:b/>
        <w:i/>
        <w:sz w:val="22"/>
        <w:szCs w:val="22"/>
      </w:rPr>
    </w:pPr>
    <w:r>
      <w:rPr>
        <w:rFonts w:ascii="Arial CYR" w:hAnsi="Arial CYR" w:cs="Arial CYR"/>
        <w:b/>
        <w:bCs/>
        <w:i/>
        <w:iCs/>
        <w:caps/>
        <w:color w:val="000000"/>
        <w:u w:val="single"/>
      </w:rPr>
      <w:t>ЭКОНОМИЧЕСКИЕ НАУКИ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Symbol" w:eastAsia="Times New Roman" w:hAnsi="Symbol" w:cs="Symbol" w:hint="default"/>
        <w:caps/>
        <w:spacing w:val="-1"/>
        <w:sz w:val="28"/>
        <w:szCs w:val="28"/>
        <w:lang w:val="en-US"/>
      </w:rPr>
    </w:lvl>
  </w:abstractNum>
  <w:abstractNum w:abstractNumId="1" w15:restartNumberingAfterBreak="0">
    <w:nsid w:val="03A34504"/>
    <w:multiLevelType w:val="multilevel"/>
    <w:tmpl w:val="DAE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26138"/>
    <w:multiLevelType w:val="multilevel"/>
    <w:tmpl w:val="C234E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A2F69"/>
    <w:multiLevelType w:val="hybridMultilevel"/>
    <w:tmpl w:val="68E0BBD6"/>
    <w:lvl w:ilvl="0" w:tplc="61A8EE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1295617"/>
    <w:multiLevelType w:val="hybridMultilevel"/>
    <w:tmpl w:val="6AFA5D9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28A506DF"/>
    <w:multiLevelType w:val="hybridMultilevel"/>
    <w:tmpl w:val="A82E8418"/>
    <w:lvl w:ilvl="0" w:tplc="48681A9E">
      <w:start w:val="1"/>
      <w:numFmt w:val="decimal"/>
      <w:lvlText w:val="%1."/>
      <w:lvlJc w:val="left"/>
      <w:pPr>
        <w:ind w:left="549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B92C02"/>
    <w:multiLevelType w:val="hybridMultilevel"/>
    <w:tmpl w:val="EBB2C4C8"/>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15:restartNumberingAfterBreak="0">
    <w:nsid w:val="3ABE404B"/>
    <w:multiLevelType w:val="hybridMultilevel"/>
    <w:tmpl w:val="435A5090"/>
    <w:lvl w:ilvl="0" w:tplc="FFFFFFF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3B404EB7"/>
    <w:multiLevelType w:val="multilevel"/>
    <w:tmpl w:val="299E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C203AE"/>
    <w:multiLevelType w:val="hybridMultilevel"/>
    <w:tmpl w:val="C93CA9BA"/>
    <w:lvl w:ilvl="0" w:tplc="1A08FD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12655B6"/>
    <w:multiLevelType w:val="multilevel"/>
    <w:tmpl w:val="E172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2D3591"/>
    <w:multiLevelType w:val="multilevel"/>
    <w:tmpl w:val="6D7492F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15655"/>
    <w:multiLevelType w:val="hybridMultilevel"/>
    <w:tmpl w:val="96C800BC"/>
    <w:lvl w:ilvl="0" w:tplc="C78A968A">
      <w:start w:val="1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B2A3558"/>
    <w:multiLevelType w:val="hybridMultilevel"/>
    <w:tmpl w:val="62AE19D2"/>
    <w:lvl w:ilvl="0" w:tplc="C5469E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7D3B7A"/>
    <w:multiLevelType w:val="hybridMultilevel"/>
    <w:tmpl w:val="280CC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D2B40"/>
    <w:multiLevelType w:val="hybridMultilevel"/>
    <w:tmpl w:val="C9FC6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686DEB"/>
    <w:multiLevelType w:val="multilevel"/>
    <w:tmpl w:val="2050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4C6EAC"/>
    <w:multiLevelType w:val="hybridMultilevel"/>
    <w:tmpl w:val="68922930"/>
    <w:lvl w:ilvl="0" w:tplc="9B8CD47C">
      <w:start w:val="1"/>
      <w:numFmt w:val="decimal"/>
      <w:lvlText w:val="%1."/>
      <w:lvlJc w:val="left"/>
      <w:pPr>
        <w:ind w:left="2629" w:hanging="360"/>
      </w:pPr>
      <w:rPr>
        <w:rFonts w:ascii="Times New Roman" w:hAnsi="Times New Roman" w:cs="Times New Roman" w:hint="default"/>
        <w:b w:val="0"/>
        <w:color w:val="000000" w:themeColor="text1"/>
        <w:sz w:val="24"/>
        <w:szCs w:val="24"/>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783C6207"/>
    <w:multiLevelType w:val="hybridMultilevel"/>
    <w:tmpl w:val="CDFCF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8"/>
  </w:num>
  <w:num w:numId="4">
    <w:abstractNumId w:val="14"/>
  </w:num>
  <w:num w:numId="5">
    <w:abstractNumId w:val="7"/>
  </w:num>
  <w:num w:numId="6">
    <w:abstractNumId w:val="8"/>
  </w:num>
  <w:num w:numId="7">
    <w:abstractNumId w:val="10"/>
  </w:num>
  <w:num w:numId="8">
    <w:abstractNumId w:val="16"/>
  </w:num>
  <w:num w:numId="9">
    <w:abstractNumId w:val="9"/>
  </w:num>
  <w:num w:numId="10">
    <w:abstractNumId w:val="2"/>
  </w:num>
  <w:num w:numId="11">
    <w:abstractNumId w:val="1"/>
  </w:num>
  <w:num w:numId="12">
    <w:abstractNumId w:val="11"/>
  </w:num>
  <w:num w:numId="13">
    <w:abstractNumId w:val="17"/>
  </w:num>
  <w:num w:numId="14">
    <w:abstractNumId w:val="6"/>
  </w:num>
  <w:num w:numId="15">
    <w:abstractNumId w:val="12"/>
  </w:num>
  <w:num w:numId="16">
    <w:abstractNumId w:val="3"/>
  </w:num>
  <w:num w:numId="17">
    <w:abstractNumId w:val="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hideSpellingErrors/>
  <w:activeWritingStyle w:appName="MSWord" w:lang="ru-RU" w:vendorID="1" w:dllVersion="512"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consecutiveHyphenLimit w:val="3"/>
  <w:hyphenationZone w:val="340"/>
  <w:doNotHyphenateCaps/>
  <w:evenAndOddHeaders/>
  <w:drawingGridHorizontalSpacing w:val="120"/>
  <w:displayHorizontalDrawingGridEvery w:val="2"/>
  <w:characterSpacingControl w:val="compressPunctuation"/>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44F"/>
    <w:rsid w:val="000000FD"/>
    <w:rsid w:val="0000024D"/>
    <w:rsid w:val="00000279"/>
    <w:rsid w:val="000008AD"/>
    <w:rsid w:val="00001A7C"/>
    <w:rsid w:val="00001CAB"/>
    <w:rsid w:val="00002DC7"/>
    <w:rsid w:val="000030F0"/>
    <w:rsid w:val="00003F1D"/>
    <w:rsid w:val="0000416C"/>
    <w:rsid w:val="00004C3D"/>
    <w:rsid w:val="00004E92"/>
    <w:rsid w:val="00005355"/>
    <w:rsid w:val="00005DA0"/>
    <w:rsid w:val="00005E34"/>
    <w:rsid w:val="0000622F"/>
    <w:rsid w:val="00006A54"/>
    <w:rsid w:val="0000781A"/>
    <w:rsid w:val="00007ABB"/>
    <w:rsid w:val="000110EA"/>
    <w:rsid w:val="000125F1"/>
    <w:rsid w:val="0001304A"/>
    <w:rsid w:val="0001306F"/>
    <w:rsid w:val="00013410"/>
    <w:rsid w:val="00013447"/>
    <w:rsid w:val="00013E3C"/>
    <w:rsid w:val="00013E6E"/>
    <w:rsid w:val="0001400E"/>
    <w:rsid w:val="0001487A"/>
    <w:rsid w:val="00015497"/>
    <w:rsid w:val="00015553"/>
    <w:rsid w:val="000155C4"/>
    <w:rsid w:val="0001588A"/>
    <w:rsid w:val="00015B9C"/>
    <w:rsid w:val="00015C33"/>
    <w:rsid w:val="00017864"/>
    <w:rsid w:val="00017B27"/>
    <w:rsid w:val="00017F31"/>
    <w:rsid w:val="00020547"/>
    <w:rsid w:val="000209C0"/>
    <w:rsid w:val="000212D7"/>
    <w:rsid w:val="00021D3F"/>
    <w:rsid w:val="00022BB7"/>
    <w:rsid w:val="00022F6F"/>
    <w:rsid w:val="000232CC"/>
    <w:rsid w:val="00023A30"/>
    <w:rsid w:val="00023D14"/>
    <w:rsid w:val="000244EF"/>
    <w:rsid w:val="0002458D"/>
    <w:rsid w:val="00024AFB"/>
    <w:rsid w:val="00024E2C"/>
    <w:rsid w:val="00025082"/>
    <w:rsid w:val="00025215"/>
    <w:rsid w:val="00025303"/>
    <w:rsid w:val="00025C93"/>
    <w:rsid w:val="00026526"/>
    <w:rsid w:val="00026B67"/>
    <w:rsid w:val="000271A3"/>
    <w:rsid w:val="0002772A"/>
    <w:rsid w:val="0002797A"/>
    <w:rsid w:val="00027C08"/>
    <w:rsid w:val="00027CE1"/>
    <w:rsid w:val="00030B54"/>
    <w:rsid w:val="00030CA4"/>
    <w:rsid w:val="00031F4A"/>
    <w:rsid w:val="000321A7"/>
    <w:rsid w:val="00032471"/>
    <w:rsid w:val="0003253A"/>
    <w:rsid w:val="0003373B"/>
    <w:rsid w:val="000339D6"/>
    <w:rsid w:val="000341D5"/>
    <w:rsid w:val="000349E1"/>
    <w:rsid w:val="00034E17"/>
    <w:rsid w:val="000352D5"/>
    <w:rsid w:val="00035693"/>
    <w:rsid w:val="00035695"/>
    <w:rsid w:val="00035C91"/>
    <w:rsid w:val="00035E9C"/>
    <w:rsid w:val="00035EA5"/>
    <w:rsid w:val="00036363"/>
    <w:rsid w:val="00037A33"/>
    <w:rsid w:val="00037AA9"/>
    <w:rsid w:val="00040FE0"/>
    <w:rsid w:val="000414EC"/>
    <w:rsid w:val="00041B58"/>
    <w:rsid w:val="00041DF3"/>
    <w:rsid w:val="00041F51"/>
    <w:rsid w:val="00042738"/>
    <w:rsid w:val="00043611"/>
    <w:rsid w:val="00043D1F"/>
    <w:rsid w:val="00043D90"/>
    <w:rsid w:val="00043E21"/>
    <w:rsid w:val="00044070"/>
    <w:rsid w:val="00044462"/>
    <w:rsid w:val="00044811"/>
    <w:rsid w:val="00044D69"/>
    <w:rsid w:val="00045015"/>
    <w:rsid w:val="00045AC4"/>
    <w:rsid w:val="00046117"/>
    <w:rsid w:val="000466CB"/>
    <w:rsid w:val="00047143"/>
    <w:rsid w:val="00047478"/>
    <w:rsid w:val="0004749A"/>
    <w:rsid w:val="00047919"/>
    <w:rsid w:val="00047E4D"/>
    <w:rsid w:val="00050207"/>
    <w:rsid w:val="00050597"/>
    <w:rsid w:val="000506C0"/>
    <w:rsid w:val="00050E65"/>
    <w:rsid w:val="000512DB"/>
    <w:rsid w:val="000515B5"/>
    <w:rsid w:val="00051D6B"/>
    <w:rsid w:val="0005269E"/>
    <w:rsid w:val="00052C59"/>
    <w:rsid w:val="00053098"/>
    <w:rsid w:val="00053599"/>
    <w:rsid w:val="00053695"/>
    <w:rsid w:val="00053740"/>
    <w:rsid w:val="00053A85"/>
    <w:rsid w:val="00053DDA"/>
    <w:rsid w:val="00054CA0"/>
    <w:rsid w:val="00054D80"/>
    <w:rsid w:val="00054D8C"/>
    <w:rsid w:val="00055484"/>
    <w:rsid w:val="00055648"/>
    <w:rsid w:val="00055805"/>
    <w:rsid w:val="00055D0C"/>
    <w:rsid w:val="00056314"/>
    <w:rsid w:val="0005653A"/>
    <w:rsid w:val="0005670F"/>
    <w:rsid w:val="000568E2"/>
    <w:rsid w:val="000568ED"/>
    <w:rsid w:val="00057030"/>
    <w:rsid w:val="0005776D"/>
    <w:rsid w:val="000577B9"/>
    <w:rsid w:val="00057A60"/>
    <w:rsid w:val="0006018C"/>
    <w:rsid w:val="000614D3"/>
    <w:rsid w:val="000616AA"/>
    <w:rsid w:val="000624B2"/>
    <w:rsid w:val="00062668"/>
    <w:rsid w:val="00062797"/>
    <w:rsid w:val="00062983"/>
    <w:rsid w:val="00062E12"/>
    <w:rsid w:val="000631EA"/>
    <w:rsid w:val="00063379"/>
    <w:rsid w:val="00063761"/>
    <w:rsid w:val="00063C84"/>
    <w:rsid w:val="00064022"/>
    <w:rsid w:val="000646C9"/>
    <w:rsid w:val="000651BF"/>
    <w:rsid w:val="0006540D"/>
    <w:rsid w:val="00065625"/>
    <w:rsid w:val="000656F3"/>
    <w:rsid w:val="000657DE"/>
    <w:rsid w:val="00065C81"/>
    <w:rsid w:val="0006645D"/>
    <w:rsid w:val="0006658C"/>
    <w:rsid w:val="000665F9"/>
    <w:rsid w:val="00066893"/>
    <w:rsid w:val="00066A3E"/>
    <w:rsid w:val="00066D0D"/>
    <w:rsid w:val="00067AAF"/>
    <w:rsid w:val="00067E7C"/>
    <w:rsid w:val="00070A51"/>
    <w:rsid w:val="00070C13"/>
    <w:rsid w:val="00070DC5"/>
    <w:rsid w:val="00071277"/>
    <w:rsid w:val="00071C85"/>
    <w:rsid w:val="00071D86"/>
    <w:rsid w:val="00073569"/>
    <w:rsid w:val="0007386C"/>
    <w:rsid w:val="00073E7E"/>
    <w:rsid w:val="000765B8"/>
    <w:rsid w:val="00076BE2"/>
    <w:rsid w:val="000775E5"/>
    <w:rsid w:val="00077ED2"/>
    <w:rsid w:val="0008000C"/>
    <w:rsid w:val="000800E6"/>
    <w:rsid w:val="00080359"/>
    <w:rsid w:val="00080690"/>
    <w:rsid w:val="00080E28"/>
    <w:rsid w:val="00080FC8"/>
    <w:rsid w:val="00081637"/>
    <w:rsid w:val="000817F6"/>
    <w:rsid w:val="00082749"/>
    <w:rsid w:val="0008294C"/>
    <w:rsid w:val="00082A82"/>
    <w:rsid w:val="00082D2B"/>
    <w:rsid w:val="00082E08"/>
    <w:rsid w:val="00082F99"/>
    <w:rsid w:val="00083D4A"/>
    <w:rsid w:val="00083F50"/>
    <w:rsid w:val="000847C5"/>
    <w:rsid w:val="000847FF"/>
    <w:rsid w:val="000849DA"/>
    <w:rsid w:val="00084AB9"/>
    <w:rsid w:val="000850BD"/>
    <w:rsid w:val="00085781"/>
    <w:rsid w:val="0008599A"/>
    <w:rsid w:val="00085B1C"/>
    <w:rsid w:val="00085DCB"/>
    <w:rsid w:val="00085EC6"/>
    <w:rsid w:val="00086844"/>
    <w:rsid w:val="00086C99"/>
    <w:rsid w:val="000874DC"/>
    <w:rsid w:val="00087998"/>
    <w:rsid w:val="00087C8A"/>
    <w:rsid w:val="00091310"/>
    <w:rsid w:val="000917EA"/>
    <w:rsid w:val="00091988"/>
    <w:rsid w:val="00091A7D"/>
    <w:rsid w:val="00091E1A"/>
    <w:rsid w:val="00092BCD"/>
    <w:rsid w:val="00093350"/>
    <w:rsid w:val="00093ACC"/>
    <w:rsid w:val="0009454A"/>
    <w:rsid w:val="00094D7A"/>
    <w:rsid w:val="00095264"/>
    <w:rsid w:val="00095EC9"/>
    <w:rsid w:val="0009668A"/>
    <w:rsid w:val="00096E26"/>
    <w:rsid w:val="00097586"/>
    <w:rsid w:val="000977C9"/>
    <w:rsid w:val="0009781F"/>
    <w:rsid w:val="000979B7"/>
    <w:rsid w:val="00097CFC"/>
    <w:rsid w:val="000A0486"/>
    <w:rsid w:val="000A0685"/>
    <w:rsid w:val="000A0E65"/>
    <w:rsid w:val="000A1869"/>
    <w:rsid w:val="000A1AA1"/>
    <w:rsid w:val="000A1BAB"/>
    <w:rsid w:val="000A207B"/>
    <w:rsid w:val="000A20B3"/>
    <w:rsid w:val="000A2CCB"/>
    <w:rsid w:val="000A2E45"/>
    <w:rsid w:val="000A2F6C"/>
    <w:rsid w:val="000A3244"/>
    <w:rsid w:val="000A3647"/>
    <w:rsid w:val="000A378C"/>
    <w:rsid w:val="000A40C9"/>
    <w:rsid w:val="000A4504"/>
    <w:rsid w:val="000A4A90"/>
    <w:rsid w:val="000A57A4"/>
    <w:rsid w:val="000A5E79"/>
    <w:rsid w:val="000A604C"/>
    <w:rsid w:val="000A64BC"/>
    <w:rsid w:val="000A6649"/>
    <w:rsid w:val="000A665F"/>
    <w:rsid w:val="000A6D9A"/>
    <w:rsid w:val="000A6FCA"/>
    <w:rsid w:val="000A78DF"/>
    <w:rsid w:val="000A7ADF"/>
    <w:rsid w:val="000A7CE9"/>
    <w:rsid w:val="000A7DF4"/>
    <w:rsid w:val="000B0B1D"/>
    <w:rsid w:val="000B0C47"/>
    <w:rsid w:val="000B0FEF"/>
    <w:rsid w:val="000B155F"/>
    <w:rsid w:val="000B1A29"/>
    <w:rsid w:val="000B1EC7"/>
    <w:rsid w:val="000B2058"/>
    <w:rsid w:val="000B2A38"/>
    <w:rsid w:val="000B3581"/>
    <w:rsid w:val="000B36CD"/>
    <w:rsid w:val="000B3998"/>
    <w:rsid w:val="000B3B42"/>
    <w:rsid w:val="000B4430"/>
    <w:rsid w:val="000B46F5"/>
    <w:rsid w:val="000B48BE"/>
    <w:rsid w:val="000B495A"/>
    <w:rsid w:val="000B4F15"/>
    <w:rsid w:val="000B5038"/>
    <w:rsid w:val="000B594F"/>
    <w:rsid w:val="000B5D15"/>
    <w:rsid w:val="000B5DA6"/>
    <w:rsid w:val="000B5E59"/>
    <w:rsid w:val="000B60A3"/>
    <w:rsid w:val="000B60C3"/>
    <w:rsid w:val="000B6206"/>
    <w:rsid w:val="000B6A83"/>
    <w:rsid w:val="000B6CE8"/>
    <w:rsid w:val="000B7271"/>
    <w:rsid w:val="000B7280"/>
    <w:rsid w:val="000B74BB"/>
    <w:rsid w:val="000B7A55"/>
    <w:rsid w:val="000B7F0B"/>
    <w:rsid w:val="000B7F8D"/>
    <w:rsid w:val="000C0358"/>
    <w:rsid w:val="000C049B"/>
    <w:rsid w:val="000C0537"/>
    <w:rsid w:val="000C0997"/>
    <w:rsid w:val="000C0D37"/>
    <w:rsid w:val="000C0F17"/>
    <w:rsid w:val="000C1C40"/>
    <w:rsid w:val="000C1D6F"/>
    <w:rsid w:val="000C1FE6"/>
    <w:rsid w:val="000C2647"/>
    <w:rsid w:val="000C268D"/>
    <w:rsid w:val="000C29E7"/>
    <w:rsid w:val="000C2F3E"/>
    <w:rsid w:val="000C3485"/>
    <w:rsid w:val="000C3C5B"/>
    <w:rsid w:val="000C3C9F"/>
    <w:rsid w:val="000C3CF7"/>
    <w:rsid w:val="000C3FE1"/>
    <w:rsid w:val="000C3FEC"/>
    <w:rsid w:val="000C44C0"/>
    <w:rsid w:val="000C46B9"/>
    <w:rsid w:val="000C4844"/>
    <w:rsid w:val="000C49F5"/>
    <w:rsid w:val="000C50AA"/>
    <w:rsid w:val="000C50AC"/>
    <w:rsid w:val="000C5A82"/>
    <w:rsid w:val="000C5B3D"/>
    <w:rsid w:val="000C6876"/>
    <w:rsid w:val="000C708D"/>
    <w:rsid w:val="000C70FF"/>
    <w:rsid w:val="000C7873"/>
    <w:rsid w:val="000C7F3A"/>
    <w:rsid w:val="000D0794"/>
    <w:rsid w:val="000D0D49"/>
    <w:rsid w:val="000D167C"/>
    <w:rsid w:val="000D172D"/>
    <w:rsid w:val="000D1AB1"/>
    <w:rsid w:val="000D1BF1"/>
    <w:rsid w:val="000D2158"/>
    <w:rsid w:val="000D277F"/>
    <w:rsid w:val="000D289E"/>
    <w:rsid w:val="000D2953"/>
    <w:rsid w:val="000D2AA2"/>
    <w:rsid w:val="000D308C"/>
    <w:rsid w:val="000D33B2"/>
    <w:rsid w:val="000D33CE"/>
    <w:rsid w:val="000D3F27"/>
    <w:rsid w:val="000D4BD4"/>
    <w:rsid w:val="000D65AF"/>
    <w:rsid w:val="000D666D"/>
    <w:rsid w:val="000D6719"/>
    <w:rsid w:val="000D6CBC"/>
    <w:rsid w:val="000D70FA"/>
    <w:rsid w:val="000D737B"/>
    <w:rsid w:val="000E03DC"/>
    <w:rsid w:val="000E0775"/>
    <w:rsid w:val="000E099C"/>
    <w:rsid w:val="000E0BB5"/>
    <w:rsid w:val="000E0D09"/>
    <w:rsid w:val="000E1335"/>
    <w:rsid w:val="000E34D1"/>
    <w:rsid w:val="000E34EE"/>
    <w:rsid w:val="000E3919"/>
    <w:rsid w:val="000E3C62"/>
    <w:rsid w:val="000E41AE"/>
    <w:rsid w:val="000E4A2F"/>
    <w:rsid w:val="000E57C0"/>
    <w:rsid w:val="000E58BC"/>
    <w:rsid w:val="000E5B53"/>
    <w:rsid w:val="000E5CF3"/>
    <w:rsid w:val="000E6F4D"/>
    <w:rsid w:val="000E70F8"/>
    <w:rsid w:val="000E75BA"/>
    <w:rsid w:val="000E7768"/>
    <w:rsid w:val="000E7B1C"/>
    <w:rsid w:val="000F0A77"/>
    <w:rsid w:val="000F0F91"/>
    <w:rsid w:val="000F1359"/>
    <w:rsid w:val="000F15F1"/>
    <w:rsid w:val="000F1A14"/>
    <w:rsid w:val="000F1D98"/>
    <w:rsid w:val="000F1DBA"/>
    <w:rsid w:val="000F22D5"/>
    <w:rsid w:val="000F23A6"/>
    <w:rsid w:val="000F3042"/>
    <w:rsid w:val="000F3161"/>
    <w:rsid w:val="000F31DB"/>
    <w:rsid w:val="000F3D80"/>
    <w:rsid w:val="000F3F7C"/>
    <w:rsid w:val="000F49EC"/>
    <w:rsid w:val="000F4A0F"/>
    <w:rsid w:val="000F4A7E"/>
    <w:rsid w:val="000F4D1D"/>
    <w:rsid w:val="000F4EC8"/>
    <w:rsid w:val="000F5BAF"/>
    <w:rsid w:val="000F5E73"/>
    <w:rsid w:val="000F7855"/>
    <w:rsid w:val="000F7A16"/>
    <w:rsid w:val="000F7ABB"/>
    <w:rsid w:val="000F7B42"/>
    <w:rsid w:val="001004A4"/>
    <w:rsid w:val="00100AA7"/>
    <w:rsid w:val="00100AFF"/>
    <w:rsid w:val="00100DAB"/>
    <w:rsid w:val="0010118F"/>
    <w:rsid w:val="0010140A"/>
    <w:rsid w:val="0010176D"/>
    <w:rsid w:val="00102098"/>
    <w:rsid w:val="00102561"/>
    <w:rsid w:val="001027D2"/>
    <w:rsid w:val="0010346C"/>
    <w:rsid w:val="001037D9"/>
    <w:rsid w:val="001037F8"/>
    <w:rsid w:val="001038D4"/>
    <w:rsid w:val="00103A96"/>
    <w:rsid w:val="00103BC8"/>
    <w:rsid w:val="00103F18"/>
    <w:rsid w:val="0010430F"/>
    <w:rsid w:val="0010440A"/>
    <w:rsid w:val="0010476D"/>
    <w:rsid w:val="0010515B"/>
    <w:rsid w:val="00105838"/>
    <w:rsid w:val="001065AA"/>
    <w:rsid w:val="00106F3B"/>
    <w:rsid w:val="00107978"/>
    <w:rsid w:val="00110308"/>
    <w:rsid w:val="001105DB"/>
    <w:rsid w:val="00110877"/>
    <w:rsid w:val="00110CA5"/>
    <w:rsid w:val="00111BC6"/>
    <w:rsid w:val="00112411"/>
    <w:rsid w:val="00112423"/>
    <w:rsid w:val="001127D5"/>
    <w:rsid w:val="00112BC8"/>
    <w:rsid w:val="0011352E"/>
    <w:rsid w:val="00113E0A"/>
    <w:rsid w:val="00114094"/>
    <w:rsid w:val="001149E5"/>
    <w:rsid w:val="00114AD9"/>
    <w:rsid w:val="00114E86"/>
    <w:rsid w:val="0011553C"/>
    <w:rsid w:val="00115F36"/>
    <w:rsid w:val="00116938"/>
    <w:rsid w:val="001169E5"/>
    <w:rsid w:val="00116C22"/>
    <w:rsid w:val="00116EFE"/>
    <w:rsid w:val="001171AB"/>
    <w:rsid w:val="00117A99"/>
    <w:rsid w:val="00117ACE"/>
    <w:rsid w:val="0012132E"/>
    <w:rsid w:val="0012148B"/>
    <w:rsid w:val="00121836"/>
    <w:rsid w:val="00121C6F"/>
    <w:rsid w:val="00122C90"/>
    <w:rsid w:val="00122EED"/>
    <w:rsid w:val="00122FD1"/>
    <w:rsid w:val="0012305F"/>
    <w:rsid w:val="0012323D"/>
    <w:rsid w:val="0012333B"/>
    <w:rsid w:val="001234A9"/>
    <w:rsid w:val="00124BF8"/>
    <w:rsid w:val="00124EED"/>
    <w:rsid w:val="00124F42"/>
    <w:rsid w:val="00124FF7"/>
    <w:rsid w:val="00125412"/>
    <w:rsid w:val="0012541B"/>
    <w:rsid w:val="00125721"/>
    <w:rsid w:val="00125CA3"/>
    <w:rsid w:val="00125E64"/>
    <w:rsid w:val="001263BD"/>
    <w:rsid w:val="00126A80"/>
    <w:rsid w:val="00126B87"/>
    <w:rsid w:val="00126E4C"/>
    <w:rsid w:val="001270EB"/>
    <w:rsid w:val="0012728B"/>
    <w:rsid w:val="001309E2"/>
    <w:rsid w:val="00131250"/>
    <w:rsid w:val="00131527"/>
    <w:rsid w:val="001325F3"/>
    <w:rsid w:val="00132A0E"/>
    <w:rsid w:val="00132A65"/>
    <w:rsid w:val="00132D8A"/>
    <w:rsid w:val="00133203"/>
    <w:rsid w:val="00133380"/>
    <w:rsid w:val="00133405"/>
    <w:rsid w:val="00133648"/>
    <w:rsid w:val="00133706"/>
    <w:rsid w:val="0013400D"/>
    <w:rsid w:val="001354A5"/>
    <w:rsid w:val="00135745"/>
    <w:rsid w:val="00135D4D"/>
    <w:rsid w:val="00136297"/>
    <w:rsid w:val="0013772A"/>
    <w:rsid w:val="00137969"/>
    <w:rsid w:val="001402C0"/>
    <w:rsid w:val="00140499"/>
    <w:rsid w:val="0014057A"/>
    <w:rsid w:val="0014081D"/>
    <w:rsid w:val="00140915"/>
    <w:rsid w:val="00140F59"/>
    <w:rsid w:val="00141616"/>
    <w:rsid w:val="001417CA"/>
    <w:rsid w:val="001419FE"/>
    <w:rsid w:val="00141B17"/>
    <w:rsid w:val="0014253D"/>
    <w:rsid w:val="00142653"/>
    <w:rsid w:val="001426E7"/>
    <w:rsid w:val="00142C24"/>
    <w:rsid w:val="00143158"/>
    <w:rsid w:val="00143A4E"/>
    <w:rsid w:val="00143C2F"/>
    <w:rsid w:val="00143ED8"/>
    <w:rsid w:val="00144423"/>
    <w:rsid w:val="0014477B"/>
    <w:rsid w:val="00144C12"/>
    <w:rsid w:val="001451BF"/>
    <w:rsid w:val="00145ECD"/>
    <w:rsid w:val="001461CF"/>
    <w:rsid w:val="00146679"/>
    <w:rsid w:val="001466D0"/>
    <w:rsid w:val="0014676E"/>
    <w:rsid w:val="001468D4"/>
    <w:rsid w:val="00146965"/>
    <w:rsid w:val="00146E27"/>
    <w:rsid w:val="00146FF3"/>
    <w:rsid w:val="001475AC"/>
    <w:rsid w:val="00147A8F"/>
    <w:rsid w:val="00147CFB"/>
    <w:rsid w:val="00150511"/>
    <w:rsid w:val="00150A03"/>
    <w:rsid w:val="001511F2"/>
    <w:rsid w:val="00151239"/>
    <w:rsid w:val="00151C3D"/>
    <w:rsid w:val="0015227F"/>
    <w:rsid w:val="0015240E"/>
    <w:rsid w:val="00152786"/>
    <w:rsid w:val="00152A1D"/>
    <w:rsid w:val="00152AFC"/>
    <w:rsid w:val="00152B53"/>
    <w:rsid w:val="00152EDC"/>
    <w:rsid w:val="001534B9"/>
    <w:rsid w:val="00153740"/>
    <w:rsid w:val="0015383B"/>
    <w:rsid w:val="001539AA"/>
    <w:rsid w:val="001539FB"/>
    <w:rsid w:val="0015410F"/>
    <w:rsid w:val="00154572"/>
    <w:rsid w:val="001547A7"/>
    <w:rsid w:val="00155EB2"/>
    <w:rsid w:val="0015635F"/>
    <w:rsid w:val="001563C1"/>
    <w:rsid w:val="0015641A"/>
    <w:rsid w:val="00156677"/>
    <w:rsid w:val="00156795"/>
    <w:rsid w:val="00156828"/>
    <w:rsid w:val="00156EEB"/>
    <w:rsid w:val="00157399"/>
    <w:rsid w:val="001573F9"/>
    <w:rsid w:val="00157776"/>
    <w:rsid w:val="00157C12"/>
    <w:rsid w:val="001604EE"/>
    <w:rsid w:val="00160808"/>
    <w:rsid w:val="00160947"/>
    <w:rsid w:val="00160DF8"/>
    <w:rsid w:val="00161185"/>
    <w:rsid w:val="00161547"/>
    <w:rsid w:val="001617EE"/>
    <w:rsid w:val="00161A2A"/>
    <w:rsid w:val="00162C95"/>
    <w:rsid w:val="00162E8E"/>
    <w:rsid w:val="00163833"/>
    <w:rsid w:val="00163AEC"/>
    <w:rsid w:val="00163B06"/>
    <w:rsid w:val="00163C77"/>
    <w:rsid w:val="00164341"/>
    <w:rsid w:val="00164632"/>
    <w:rsid w:val="00164997"/>
    <w:rsid w:val="00164D30"/>
    <w:rsid w:val="0016544A"/>
    <w:rsid w:val="00165CF6"/>
    <w:rsid w:val="00165EA6"/>
    <w:rsid w:val="001663EE"/>
    <w:rsid w:val="00166848"/>
    <w:rsid w:val="00167034"/>
    <w:rsid w:val="001672ED"/>
    <w:rsid w:val="001709F5"/>
    <w:rsid w:val="0017104F"/>
    <w:rsid w:val="001713CE"/>
    <w:rsid w:val="00171836"/>
    <w:rsid w:val="00171930"/>
    <w:rsid w:val="00171A43"/>
    <w:rsid w:val="00172172"/>
    <w:rsid w:val="00173006"/>
    <w:rsid w:val="001740E3"/>
    <w:rsid w:val="00174454"/>
    <w:rsid w:val="00174796"/>
    <w:rsid w:val="001749CB"/>
    <w:rsid w:val="0017524E"/>
    <w:rsid w:val="00175904"/>
    <w:rsid w:val="001765AC"/>
    <w:rsid w:val="001765E2"/>
    <w:rsid w:val="001769B2"/>
    <w:rsid w:val="00176A70"/>
    <w:rsid w:val="001776E9"/>
    <w:rsid w:val="001803F8"/>
    <w:rsid w:val="00180496"/>
    <w:rsid w:val="001804C2"/>
    <w:rsid w:val="00180C14"/>
    <w:rsid w:val="00181A57"/>
    <w:rsid w:val="00181CEF"/>
    <w:rsid w:val="00181E21"/>
    <w:rsid w:val="00181F63"/>
    <w:rsid w:val="0018246C"/>
    <w:rsid w:val="001826D5"/>
    <w:rsid w:val="001829FD"/>
    <w:rsid w:val="00182DBA"/>
    <w:rsid w:val="00183337"/>
    <w:rsid w:val="00183CB9"/>
    <w:rsid w:val="00183EF9"/>
    <w:rsid w:val="00184000"/>
    <w:rsid w:val="00184E6C"/>
    <w:rsid w:val="0018502A"/>
    <w:rsid w:val="001852D5"/>
    <w:rsid w:val="00185787"/>
    <w:rsid w:val="0018699A"/>
    <w:rsid w:val="001870F8"/>
    <w:rsid w:val="001872F3"/>
    <w:rsid w:val="00187BB3"/>
    <w:rsid w:val="00191038"/>
    <w:rsid w:val="00191239"/>
    <w:rsid w:val="001912E3"/>
    <w:rsid w:val="00192A63"/>
    <w:rsid w:val="00192C60"/>
    <w:rsid w:val="00192C90"/>
    <w:rsid w:val="0019344F"/>
    <w:rsid w:val="001937CF"/>
    <w:rsid w:val="00193B8F"/>
    <w:rsid w:val="00194ADE"/>
    <w:rsid w:val="00194F56"/>
    <w:rsid w:val="00195581"/>
    <w:rsid w:val="00195594"/>
    <w:rsid w:val="0019599B"/>
    <w:rsid w:val="00195C1F"/>
    <w:rsid w:val="00195C36"/>
    <w:rsid w:val="001962A0"/>
    <w:rsid w:val="00196612"/>
    <w:rsid w:val="0019666F"/>
    <w:rsid w:val="00196F0C"/>
    <w:rsid w:val="00197082"/>
    <w:rsid w:val="0019732C"/>
    <w:rsid w:val="00197344"/>
    <w:rsid w:val="00197579"/>
    <w:rsid w:val="00197872"/>
    <w:rsid w:val="00197DAA"/>
    <w:rsid w:val="00197DD9"/>
    <w:rsid w:val="00197EAA"/>
    <w:rsid w:val="001A00AF"/>
    <w:rsid w:val="001A0231"/>
    <w:rsid w:val="001A039D"/>
    <w:rsid w:val="001A042F"/>
    <w:rsid w:val="001A1AA4"/>
    <w:rsid w:val="001A1B35"/>
    <w:rsid w:val="001A1C25"/>
    <w:rsid w:val="001A1E2B"/>
    <w:rsid w:val="001A1E68"/>
    <w:rsid w:val="001A1E92"/>
    <w:rsid w:val="001A27E7"/>
    <w:rsid w:val="001A3486"/>
    <w:rsid w:val="001A34B2"/>
    <w:rsid w:val="001A3915"/>
    <w:rsid w:val="001A4362"/>
    <w:rsid w:val="001A4C3D"/>
    <w:rsid w:val="001A4E07"/>
    <w:rsid w:val="001A4EEB"/>
    <w:rsid w:val="001A507B"/>
    <w:rsid w:val="001A5401"/>
    <w:rsid w:val="001A5525"/>
    <w:rsid w:val="001A597C"/>
    <w:rsid w:val="001A5B27"/>
    <w:rsid w:val="001A5EBD"/>
    <w:rsid w:val="001A5FC1"/>
    <w:rsid w:val="001A6157"/>
    <w:rsid w:val="001A65C7"/>
    <w:rsid w:val="001A6964"/>
    <w:rsid w:val="001A6B7F"/>
    <w:rsid w:val="001A74FD"/>
    <w:rsid w:val="001A7621"/>
    <w:rsid w:val="001A7C8E"/>
    <w:rsid w:val="001B02F4"/>
    <w:rsid w:val="001B0B90"/>
    <w:rsid w:val="001B0BF3"/>
    <w:rsid w:val="001B1160"/>
    <w:rsid w:val="001B13A9"/>
    <w:rsid w:val="001B1F97"/>
    <w:rsid w:val="001B22B4"/>
    <w:rsid w:val="001B2337"/>
    <w:rsid w:val="001B24B8"/>
    <w:rsid w:val="001B2908"/>
    <w:rsid w:val="001B2DF4"/>
    <w:rsid w:val="001B388A"/>
    <w:rsid w:val="001B3F95"/>
    <w:rsid w:val="001B4007"/>
    <w:rsid w:val="001B4AED"/>
    <w:rsid w:val="001B5328"/>
    <w:rsid w:val="001B539C"/>
    <w:rsid w:val="001B57A1"/>
    <w:rsid w:val="001B582A"/>
    <w:rsid w:val="001B5A58"/>
    <w:rsid w:val="001B6237"/>
    <w:rsid w:val="001B6783"/>
    <w:rsid w:val="001B6DB3"/>
    <w:rsid w:val="001B7044"/>
    <w:rsid w:val="001B748F"/>
    <w:rsid w:val="001C01D6"/>
    <w:rsid w:val="001C0B41"/>
    <w:rsid w:val="001C0C72"/>
    <w:rsid w:val="001C17B3"/>
    <w:rsid w:val="001C183B"/>
    <w:rsid w:val="001C1D4A"/>
    <w:rsid w:val="001C1FE4"/>
    <w:rsid w:val="001C2138"/>
    <w:rsid w:val="001C218F"/>
    <w:rsid w:val="001C2B9B"/>
    <w:rsid w:val="001C2C00"/>
    <w:rsid w:val="001C2FBD"/>
    <w:rsid w:val="001C30BA"/>
    <w:rsid w:val="001C3119"/>
    <w:rsid w:val="001C34EE"/>
    <w:rsid w:val="001C3D29"/>
    <w:rsid w:val="001C4335"/>
    <w:rsid w:val="001C440D"/>
    <w:rsid w:val="001C4B1E"/>
    <w:rsid w:val="001C50C8"/>
    <w:rsid w:val="001C518D"/>
    <w:rsid w:val="001C583F"/>
    <w:rsid w:val="001C5C03"/>
    <w:rsid w:val="001C68D4"/>
    <w:rsid w:val="001C7198"/>
    <w:rsid w:val="001C7538"/>
    <w:rsid w:val="001C762D"/>
    <w:rsid w:val="001C79D3"/>
    <w:rsid w:val="001D003B"/>
    <w:rsid w:val="001D11EA"/>
    <w:rsid w:val="001D1BB1"/>
    <w:rsid w:val="001D1E67"/>
    <w:rsid w:val="001D1F7C"/>
    <w:rsid w:val="001D1FF3"/>
    <w:rsid w:val="001D21C9"/>
    <w:rsid w:val="001D26FB"/>
    <w:rsid w:val="001D2C77"/>
    <w:rsid w:val="001D38CC"/>
    <w:rsid w:val="001D3E18"/>
    <w:rsid w:val="001D4599"/>
    <w:rsid w:val="001D4B44"/>
    <w:rsid w:val="001D4D2D"/>
    <w:rsid w:val="001D4E4F"/>
    <w:rsid w:val="001D4ED6"/>
    <w:rsid w:val="001D50EA"/>
    <w:rsid w:val="001D522A"/>
    <w:rsid w:val="001D57ED"/>
    <w:rsid w:val="001D5ADD"/>
    <w:rsid w:val="001D5CB0"/>
    <w:rsid w:val="001D6663"/>
    <w:rsid w:val="001D6B39"/>
    <w:rsid w:val="001D6CC5"/>
    <w:rsid w:val="001D6D6C"/>
    <w:rsid w:val="001D74B8"/>
    <w:rsid w:val="001E05CA"/>
    <w:rsid w:val="001E1BE7"/>
    <w:rsid w:val="001E1DD1"/>
    <w:rsid w:val="001E207C"/>
    <w:rsid w:val="001E24D1"/>
    <w:rsid w:val="001E2579"/>
    <w:rsid w:val="001E293F"/>
    <w:rsid w:val="001E295F"/>
    <w:rsid w:val="001E2B42"/>
    <w:rsid w:val="001E2CC3"/>
    <w:rsid w:val="001E2F81"/>
    <w:rsid w:val="001E342E"/>
    <w:rsid w:val="001E444D"/>
    <w:rsid w:val="001E4B15"/>
    <w:rsid w:val="001E4E03"/>
    <w:rsid w:val="001E515B"/>
    <w:rsid w:val="001E5456"/>
    <w:rsid w:val="001E5AF4"/>
    <w:rsid w:val="001E5E33"/>
    <w:rsid w:val="001E5FD7"/>
    <w:rsid w:val="001E661B"/>
    <w:rsid w:val="001E6F78"/>
    <w:rsid w:val="001E7688"/>
    <w:rsid w:val="001E7A68"/>
    <w:rsid w:val="001E7E16"/>
    <w:rsid w:val="001F0055"/>
    <w:rsid w:val="001F056E"/>
    <w:rsid w:val="001F0E35"/>
    <w:rsid w:val="001F15B2"/>
    <w:rsid w:val="001F1AC0"/>
    <w:rsid w:val="001F25F8"/>
    <w:rsid w:val="001F296D"/>
    <w:rsid w:val="001F2F1F"/>
    <w:rsid w:val="001F30BD"/>
    <w:rsid w:val="001F30DA"/>
    <w:rsid w:val="001F3962"/>
    <w:rsid w:val="001F39D5"/>
    <w:rsid w:val="001F41FA"/>
    <w:rsid w:val="001F4773"/>
    <w:rsid w:val="001F4ABF"/>
    <w:rsid w:val="001F55BA"/>
    <w:rsid w:val="001F5988"/>
    <w:rsid w:val="001F5A75"/>
    <w:rsid w:val="001F669C"/>
    <w:rsid w:val="001F66AD"/>
    <w:rsid w:val="001F67C6"/>
    <w:rsid w:val="001F6A38"/>
    <w:rsid w:val="001F705C"/>
    <w:rsid w:val="001F7364"/>
    <w:rsid w:val="001F7C8F"/>
    <w:rsid w:val="001F7DA9"/>
    <w:rsid w:val="001F7F36"/>
    <w:rsid w:val="00200345"/>
    <w:rsid w:val="002003A8"/>
    <w:rsid w:val="002004AA"/>
    <w:rsid w:val="00200E42"/>
    <w:rsid w:val="00201353"/>
    <w:rsid w:val="0020298D"/>
    <w:rsid w:val="00202F94"/>
    <w:rsid w:val="00203449"/>
    <w:rsid w:val="00203786"/>
    <w:rsid w:val="00203B41"/>
    <w:rsid w:val="00203CB9"/>
    <w:rsid w:val="00203F20"/>
    <w:rsid w:val="002046B4"/>
    <w:rsid w:val="0020477F"/>
    <w:rsid w:val="00204ED4"/>
    <w:rsid w:val="00205540"/>
    <w:rsid w:val="00205D9D"/>
    <w:rsid w:val="0020629B"/>
    <w:rsid w:val="00206C1A"/>
    <w:rsid w:val="00207747"/>
    <w:rsid w:val="00207A5E"/>
    <w:rsid w:val="00207D97"/>
    <w:rsid w:val="00207E58"/>
    <w:rsid w:val="002103DA"/>
    <w:rsid w:val="0021042D"/>
    <w:rsid w:val="00210E89"/>
    <w:rsid w:val="002111BD"/>
    <w:rsid w:val="002118CE"/>
    <w:rsid w:val="00211935"/>
    <w:rsid w:val="00211E62"/>
    <w:rsid w:val="00211E93"/>
    <w:rsid w:val="002126A3"/>
    <w:rsid w:val="00212F7D"/>
    <w:rsid w:val="0021449F"/>
    <w:rsid w:val="00214700"/>
    <w:rsid w:val="00214815"/>
    <w:rsid w:val="002148EB"/>
    <w:rsid w:val="00214B8C"/>
    <w:rsid w:val="0021518B"/>
    <w:rsid w:val="002156D3"/>
    <w:rsid w:val="00215A14"/>
    <w:rsid w:val="00215B48"/>
    <w:rsid w:val="00215CB4"/>
    <w:rsid w:val="002176F7"/>
    <w:rsid w:val="00217A28"/>
    <w:rsid w:val="00217AA0"/>
    <w:rsid w:val="00220270"/>
    <w:rsid w:val="002206DF"/>
    <w:rsid w:val="00220AFF"/>
    <w:rsid w:val="002212EE"/>
    <w:rsid w:val="00221316"/>
    <w:rsid w:val="0022168A"/>
    <w:rsid w:val="002217E0"/>
    <w:rsid w:val="00221D2B"/>
    <w:rsid w:val="0022205D"/>
    <w:rsid w:val="00222FCC"/>
    <w:rsid w:val="00224A40"/>
    <w:rsid w:val="002250B2"/>
    <w:rsid w:val="002254B3"/>
    <w:rsid w:val="002255B7"/>
    <w:rsid w:val="002258B9"/>
    <w:rsid w:val="002260BA"/>
    <w:rsid w:val="0022693A"/>
    <w:rsid w:val="00226A21"/>
    <w:rsid w:val="00226C6E"/>
    <w:rsid w:val="00226DA9"/>
    <w:rsid w:val="00227740"/>
    <w:rsid w:val="002278D8"/>
    <w:rsid w:val="00227DE6"/>
    <w:rsid w:val="00227F80"/>
    <w:rsid w:val="002300AD"/>
    <w:rsid w:val="002302CB"/>
    <w:rsid w:val="00230516"/>
    <w:rsid w:val="002306A4"/>
    <w:rsid w:val="00230720"/>
    <w:rsid w:val="00230C22"/>
    <w:rsid w:val="00231102"/>
    <w:rsid w:val="002313CE"/>
    <w:rsid w:val="00231534"/>
    <w:rsid w:val="00231602"/>
    <w:rsid w:val="002316BD"/>
    <w:rsid w:val="00231BDD"/>
    <w:rsid w:val="00231C21"/>
    <w:rsid w:val="00231FC4"/>
    <w:rsid w:val="00233CA8"/>
    <w:rsid w:val="00234B7F"/>
    <w:rsid w:val="00234F25"/>
    <w:rsid w:val="002350B5"/>
    <w:rsid w:val="00235481"/>
    <w:rsid w:val="002354BF"/>
    <w:rsid w:val="002355D1"/>
    <w:rsid w:val="00235EC9"/>
    <w:rsid w:val="00236002"/>
    <w:rsid w:val="002371C1"/>
    <w:rsid w:val="0023721A"/>
    <w:rsid w:val="00237797"/>
    <w:rsid w:val="00237F14"/>
    <w:rsid w:val="002401B7"/>
    <w:rsid w:val="002404F3"/>
    <w:rsid w:val="002409DA"/>
    <w:rsid w:val="00240BBB"/>
    <w:rsid w:val="00240BD9"/>
    <w:rsid w:val="00240E5A"/>
    <w:rsid w:val="0024241A"/>
    <w:rsid w:val="00242B0F"/>
    <w:rsid w:val="00242F66"/>
    <w:rsid w:val="00242F81"/>
    <w:rsid w:val="002432D9"/>
    <w:rsid w:val="00243E30"/>
    <w:rsid w:val="002441C9"/>
    <w:rsid w:val="002446EF"/>
    <w:rsid w:val="002451CB"/>
    <w:rsid w:val="002457F8"/>
    <w:rsid w:val="002466C5"/>
    <w:rsid w:val="00246800"/>
    <w:rsid w:val="0024680E"/>
    <w:rsid w:val="002468F7"/>
    <w:rsid w:val="00246CDA"/>
    <w:rsid w:val="00247164"/>
    <w:rsid w:val="00247252"/>
    <w:rsid w:val="0024777A"/>
    <w:rsid w:val="00250259"/>
    <w:rsid w:val="00250468"/>
    <w:rsid w:val="00250604"/>
    <w:rsid w:val="0025126B"/>
    <w:rsid w:val="00251415"/>
    <w:rsid w:val="00251815"/>
    <w:rsid w:val="00251A78"/>
    <w:rsid w:val="00253534"/>
    <w:rsid w:val="0025382D"/>
    <w:rsid w:val="0025402B"/>
    <w:rsid w:val="002544F9"/>
    <w:rsid w:val="002547BF"/>
    <w:rsid w:val="00254BE5"/>
    <w:rsid w:val="00254F15"/>
    <w:rsid w:val="00254F20"/>
    <w:rsid w:val="00255200"/>
    <w:rsid w:val="00255228"/>
    <w:rsid w:val="0025561A"/>
    <w:rsid w:val="00255848"/>
    <w:rsid w:val="00255FAE"/>
    <w:rsid w:val="0025638B"/>
    <w:rsid w:val="00256E85"/>
    <w:rsid w:val="002570AD"/>
    <w:rsid w:val="002570DA"/>
    <w:rsid w:val="002571C3"/>
    <w:rsid w:val="0025721B"/>
    <w:rsid w:val="0025734C"/>
    <w:rsid w:val="0025751E"/>
    <w:rsid w:val="0025757E"/>
    <w:rsid w:val="00257CBE"/>
    <w:rsid w:val="00257D03"/>
    <w:rsid w:val="00260251"/>
    <w:rsid w:val="0026050D"/>
    <w:rsid w:val="00260DBA"/>
    <w:rsid w:val="002611AD"/>
    <w:rsid w:val="0026159D"/>
    <w:rsid w:val="002619D2"/>
    <w:rsid w:val="00262A3F"/>
    <w:rsid w:val="002636F7"/>
    <w:rsid w:val="00263743"/>
    <w:rsid w:val="00263FB2"/>
    <w:rsid w:val="00264FA4"/>
    <w:rsid w:val="002654FC"/>
    <w:rsid w:val="00265719"/>
    <w:rsid w:val="00265C58"/>
    <w:rsid w:val="002660DE"/>
    <w:rsid w:val="00266146"/>
    <w:rsid w:val="002667C7"/>
    <w:rsid w:val="00266CB6"/>
    <w:rsid w:val="00267204"/>
    <w:rsid w:val="00267939"/>
    <w:rsid w:val="00267CFA"/>
    <w:rsid w:val="00267E17"/>
    <w:rsid w:val="00270141"/>
    <w:rsid w:val="00270424"/>
    <w:rsid w:val="0027043D"/>
    <w:rsid w:val="0027066A"/>
    <w:rsid w:val="00270FB2"/>
    <w:rsid w:val="002717F4"/>
    <w:rsid w:val="00271AF2"/>
    <w:rsid w:val="00271EC3"/>
    <w:rsid w:val="00271F8D"/>
    <w:rsid w:val="00273647"/>
    <w:rsid w:val="002737FE"/>
    <w:rsid w:val="00273E3F"/>
    <w:rsid w:val="00274462"/>
    <w:rsid w:val="002744B3"/>
    <w:rsid w:val="002749A8"/>
    <w:rsid w:val="00274B6B"/>
    <w:rsid w:val="00274D91"/>
    <w:rsid w:val="002755FE"/>
    <w:rsid w:val="00275B8D"/>
    <w:rsid w:val="00275E60"/>
    <w:rsid w:val="00276352"/>
    <w:rsid w:val="00276844"/>
    <w:rsid w:val="00276BB1"/>
    <w:rsid w:val="00277383"/>
    <w:rsid w:val="00277916"/>
    <w:rsid w:val="00280063"/>
    <w:rsid w:val="0028024B"/>
    <w:rsid w:val="0028027F"/>
    <w:rsid w:val="0028038F"/>
    <w:rsid w:val="002806FC"/>
    <w:rsid w:val="00280969"/>
    <w:rsid w:val="00280C35"/>
    <w:rsid w:val="00281A3E"/>
    <w:rsid w:val="00281D47"/>
    <w:rsid w:val="00282608"/>
    <w:rsid w:val="00282CF9"/>
    <w:rsid w:val="00283538"/>
    <w:rsid w:val="002836AD"/>
    <w:rsid w:val="00283943"/>
    <w:rsid w:val="00283A0B"/>
    <w:rsid w:val="00283E53"/>
    <w:rsid w:val="00283F95"/>
    <w:rsid w:val="00284AF2"/>
    <w:rsid w:val="002859DA"/>
    <w:rsid w:val="00285C2A"/>
    <w:rsid w:val="00285ED6"/>
    <w:rsid w:val="00286B08"/>
    <w:rsid w:val="002878BB"/>
    <w:rsid w:val="00287B4C"/>
    <w:rsid w:val="00287C2B"/>
    <w:rsid w:val="00290784"/>
    <w:rsid w:val="00290CD8"/>
    <w:rsid w:val="002910F1"/>
    <w:rsid w:val="002912D3"/>
    <w:rsid w:val="00291BC0"/>
    <w:rsid w:val="00291DCB"/>
    <w:rsid w:val="00291E1F"/>
    <w:rsid w:val="002922ED"/>
    <w:rsid w:val="00292429"/>
    <w:rsid w:val="00292537"/>
    <w:rsid w:val="00292A87"/>
    <w:rsid w:val="00292ABC"/>
    <w:rsid w:val="00292D01"/>
    <w:rsid w:val="00293B39"/>
    <w:rsid w:val="00293E92"/>
    <w:rsid w:val="00295013"/>
    <w:rsid w:val="002953E6"/>
    <w:rsid w:val="00295414"/>
    <w:rsid w:val="002955AB"/>
    <w:rsid w:val="0029581E"/>
    <w:rsid w:val="00295C73"/>
    <w:rsid w:val="00296384"/>
    <w:rsid w:val="002963FA"/>
    <w:rsid w:val="002969EF"/>
    <w:rsid w:val="00296B0F"/>
    <w:rsid w:val="00296C36"/>
    <w:rsid w:val="00296C4C"/>
    <w:rsid w:val="00297143"/>
    <w:rsid w:val="002A0CD8"/>
    <w:rsid w:val="002A0E86"/>
    <w:rsid w:val="002A11ED"/>
    <w:rsid w:val="002A180D"/>
    <w:rsid w:val="002A1965"/>
    <w:rsid w:val="002A1F19"/>
    <w:rsid w:val="002A2909"/>
    <w:rsid w:val="002A2B49"/>
    <w:rsid w:val="002A43F6"/>
    <w:rsid w:val="002A5230"/>
    <w:rsid w:val="002A5938"/>
    <w:rsid w:val="002A5EF4"/>
    <w:rsid w:val="002A6004"/>
    <w:rsid w:val="002A63A2"/>
    <w:rsid w:val="002A6EE5"/>
    <w:rsid w:val="002A6FC0"/>
    <w:rsid w:val="002A7255"/>
    <w:rsid w:val="002A751C"/>
    <w:rsid w:val="002B0579"/>
    <w:rsid w:val="002B0C46"/>
    <w:rsid w:val="002B152B"/>
    <w:rsid w:val="002B1E3E"/>
    <w:rsid w:val="002B2501"/>
    <w:rsid w:val="002B2CCD"/>
    <w:rsid w:val="002B3153"/>
    <w:rsid w:val="002B339C"/>
    <w:rsid w:val="002B3750"/>
    <w:rsid w:val="002B3A4C"/>
    <w:rsid w:val="002B453C"/>
    <w:rsid w:val="002B474F"/>
    <w:rsid w:val="002B48BA"/>
    <w:rsid w:val="002B4BC0"/>
    <w:rsid w:val="002B544E"/>
    <w:rsid w:val="002B6A57"/>
    <w:rsid w:val="002B6F7C"/>
    <w:rsid w:val="002B7059"/>
    <w:rsid w:val="002B706A"/>
    <w:rsid w:val="002B710F"/>
    <w:rsid w:val="002B727F"/>
    <w:rsid w:val="002B743F"/>
    <w:rsid w:val="002B7CE0"/>
    <w:rsid w:val="002B7D0B"/>
    <w:rsid w:val="002C049F"/>
    <w:rsid w:val="002C055F"/>
    <w:rsid w:val="002C05B9"/>
    <w:rsid w:val="002C09E9"/>
    <w:rsid w:val="002C0DB3"/>
    <w:rsid w:val="002C120E"/>
    <w:rsid w:val="002C145F"/>
    <w:rsid w:val="002C160A"/>
    <w:rsid w:val="002C1980"/>
    <w:rsid w:val="002C1C59"/>
    <w:rsid w:val="002C2223"/>
    <w:rsid w:val="002C227F"/>
    <w:rsid w:val="002C22C8"/>
    <w:rsid w:val="002C2640"/>
    <w:rsid w:val="002C27FE"/>
    <w:rsid w:val="002C3B4D"/>
    <w:rsid w:val="002C4EDB"/>
    <w:rsid w:val="002C5415"/>
    <w:rsid w:val="002C5936"/>
    <w:rsid w:val="002C5E2E"/>
    <w:rsid w:val="002C6145"/>
    <w:rsid w:val="002C6B43"/>
    <w:rsid w:val="002C6CB3"/>
    <w:rsid w:val="002C6F62"/>
    <w:rsid w:val="002C7072"/>
    <w:rsid w:val="002C735C"/>
    <w:rsid w:val="002C7739"/>
    <w:rsid w:val="002C7AB0"/>
    <w:rsid w:val="002C7B49"/>
    <w:rsid w:val="002D0E71"/>
    <w:rsid w:val="002D117E"/>
    <w:rsid w:val="002D11C6"/>
    <w:rsid w:val="002D129A"/>
    <w:rsid w:val="002D15D6"/>
    <w:rsid w:val="002D1A24"/>
    <w:rsid w:val="002D2051"/>
    <w:rsid w:val="002D2A7B"/>
    <w:rsid w:val="002D2C68"/>
    <w:rsid w:val="002D2E35"/>
    <w:rsid w:val="002D2F2D"/>
    <w:rsid w:val="002D31D1"/>
    <w:rsid w:val="002D38E0"/>
    <w:rsid w:val="002D3AB0"/>
    <w:rsid w:val="002D3C42"/>
    <w:rsid w:val="002D3F89"/>
    <w:rsid w:val="002D409A"/>
    <w:rsid w:val="002D41F9"/>
    <w:rsid w:val="002D4A90"/>
    <w:rsid w:val="002D5002"/>
    <w:rsid w:val="002D516D"/>
    <w:rsid w:val="002D5735"/>
    <w:rsid w:val="002D5A42"/>
    <w:rsid w:val="002D7A80"/>
    <w:rsid w:val="002E0FD8"/>
    <w:rsid w:val="002E143A"/>
    <w:rsid w:val="002E14C3"/>
    <w:rsid w:val="002E180A"/>
    <w:rsid w:val="002E23FA"/>
    <w:rsid w:val="002E24FD"/>
    <w:rsid w:val="002E26D0"/>
    <w:rsid w:val="002E2ACF"/>
    <w:rsid w:val="002E3938"/>
    <w:rsid w:val="002E486D"/>
    <w:rsid w:val="002E4CC2"/>
    <w:rsid w:val="002E4DBF"/>
    <w:rsid w:val="002E4FAD"/>
    <w:rsid w:val="002E56D0"/>
    <w:rsid w:val="002E6579"/>
    <w:rsid w:val="002E66BC"/>
    <w:rsid w:val="002E6938"/>
    <w:rsid w:val="002E699A"/>
    <w:rsid w:val="002E6BC2"/>
    <w:rsid w:val="002E6E8C"/>
    <w:rsid w:val="002E7F33"/>
    <w:rsid w:val="002E7F86"/>
    <w:rsid w:val="002F01F3"/>
    <w:rsid w:val="002F0A68"/>
    <w:rsid w:val="002F19A3"/>
    <w:rsid w:val="002F1C8F"/>
    <w:rsid w:val="002F1F63"/>
    <w:rsid w:val="002F2FF0"/>
    <w:rsid w:val="002F3ADD"/>
    <w:rsid w:val="002F3B61"/>
    <w:rsid w:val="002F3F87"/>
    <w:rsid w:val="002F4B6D"/>
    <w:rsid w:val="002F4FBA"/>
    <w:rsid w:val="002F52B4"/>
    <w:rsid w:val="002F58FB"/>
    <w:rsid w:val="002F5A08"/>
    <w:rsid w:val="002F5A2D"/>
    <w:rsid w:val="002F5A73"/>
    <w:rsid w:val="002F5C77"/>
    <w:rsid w:val="002F5E50"/>
    <w:rsid w:val="002F6B6B"/>
    <w:rsid w:val="002F6CEE"/>
    <w:rsid w:val="002F6EEC"/>
    <w:rsid w:val="002F767C"/>
    <w:rsid w:val="00300205"/>
    <w:rsid w:val="003008EF"/>
    <w:rsid w:val="00300CFE"/>
    <w:rsid w:val="003010B7"/>
    <w:rsid w:val="0030139B"/>
    <w:rsid w:val="003016E8"/>
    <w:rsid w:val="00301F83"/>
    <w:rsid w:val="00302316"/>
    <w:rsid w:val="0030247F"/>
    <w:rsid w:val="003028C0"/>
    <w:rsid w:val="00302C16"/>
    <w:rsid w:val="00303075"/>
    <w:rsid w:val="00303B4D"/>
    <w:rsid w:val="0030413E"/>
    <w:rsid w:val="00304240"/>
    <w:rsid w:val="003045F8"/>
    <w:rsid w:val="00304EE5"/>
    <w:rsid w:val="00304F9A"/>
    <w:rsid w:val="00304FDA"/>
    <w:rsid w:val="0030538A"/>
    <w:rsid w:val="0030578C"/>
    <w:rsid w:val="00305A37"/>
    <w:rsid w:val="00305E58"/>
    <w:rsid w:val="00305E69"/>
    <w:rsid w:val="003073C3"/>
    <w:rsid w:val="00307F4A"/>
    <w:rsid w:val="00310169"/>
    <w:rsid w:val="003103AE"/>
    <w:rsid w:val="00310977"/>
    <w:rsid w:val="003113BC"/>
    <w:rsid w:val="003115EA"/>
    <w:rsid w:val="003117D9"/>
    <w:rsid w:val="003119F4"/>
    <w:rsid w:val="00311B9B"/>
    <w:rsid w:val="00311E11"/>
    <w:rsid w:val="0031207A"/>
    <w:rsid w:val="00312ACA"/>
    <w:rsid w:val="00312C32"/>
    <w:rsid w:val="003130C5"/>
    <w:rsid w:val="003134CD"/>
    <w:rsid w:val="003135E9"/>
    <w:rsid w:val="003136CD"/>
    <w:rsid w:val="00313A19"/>
    <w:rsid w:val="00313D69"/>
    <w:rsid w:val="00314124"/>
    <w:rsid w:val="0031434E"/>
    <w:rsid w:val="00314590"/>
    <w:rsid w:val="00315541"/>
    <w:rsid w:val="0031584F"/>
    <w:rsid w:val="00315984"/>
    <w:rsid w:val="00315C08"/>
    <w:rsid w:val="00315D0A"/>
    <w:rsid w:val="003162EF"/>
    <w:rsid w:val="00316F9B"/>
    <w:rsid w:val="00317E6F"/>
    <w:rsid w:val="00317EB7"/>
    <w:rsid w:val="0032041E"/>
    <w:rsid w:val="00320746"/>
    <w:rsid w:val="00320BD1"/>
    <w:rsid w:val="0032100A"/>
    <w:rsid w:val="00321172"/>
    <w:rsid w:val="0032191D"/>
    <w:rsid w:val="003219EB"/>
    <w:rsid w:val="00321D3D"/>
    <w:rsid w:val="00321F4A"/>
    <w:rsid w:val="00322295"/>
    <w:rsid w:val="00322301"/>
    <w:rsid w:val="00322532"/>
    <w:rsid w:val="003229B7"/>
    <w:rsid w:val="00322C72"/>
    <w:rsid w:val="003238A0"/>
    <w:rsid w:val="00324CB0"/>
    <w:rsid w:val="00325257"/>
    <w:rsid w:val="00325510"/>
    <w:rsid w:val="0032599F"/>
    <w:rsid w:val="00325DF5"/>
    <w:rsid w:val="003260D6"/>
    <w:rsid w:val="0032613A"/>
    <w:rsid w:val="003262FB"/>
    <w:rsid w:val="00326325"/>
    <w:rsid w:val="0032672D"/>
    <w:rsid w:val="00326A50"/>
    <w:rsid w:val="00326C18"/>
    <w:rsid w:val="00326C72"/>
    <w:rsid w:val="00326CC8"/>
    <w:rsid w:val="00327091"/>
    <w:rsid w:val="0032755A"/>
    <w:rsid w:val="00327797"/>
    <w:rsid w:val="0033013C"/>
    <w:rsid w:val="00330140"/>
    <w:rsid w:val="00330416"/>
    <w:rsid w:val="003308A6"/>
    <w:rsid w:val="00330AE2"/>
    <w:rsid w:val="00330FAF"/>
    <w:rsid w:val="00331BC1"/>
    <w:rsid w:val="00331E70"/>
    <w:rsid w:val="003325B9"/>
    <w:rsid w:val="00332794"/>
    <w:rsid w:val="00332A7F"/>
    <w:rsid w:val="00332C55"/>
    <w:rsid w:val="00333C46"/>
    <w:rsid w:val="003340E3"/>
    <w:rsid w:val="0033474A"/>
    <w:rsid w:val="003356FE"/>
    <w:rsid w:val="00335D41"/>
    <w:rsid w:val="00336051"/>
    <w:rsid w:val="00336F7F"/>
    <w:rsid w:val="00336FBE"/>
    <w:rsid w:val="003372A9"/>
    <w:rsid w:val="00337E4E"/>
    <w:rsid w:val="00341B98"/>
    <w:rsid w:val="00341DD4"/>
    <w:rsid w:val="003424D7"/>
    <w:rsid w:val="003429A3"/>
    <w:rsid w:val="00342B74"/>
    <w:rsid w:val="00342D7F"/>
    <w:rsid w:val="00342F4F"/>
    <w:rsid w:val="00342F6C"/>
    <w:rsid w:val="00343470"/>
    <w:rsid w:val="00343787"/>
    <w:rsid w:val="00343A2C"/>
    <w:rsid w:val="00343AB8"/>
    <w:rsid w:val="00343AC4"/>
    <w:rsid w:val="00343B4F"/>
    <w:rsid w:val="003441A9"/>
    <w:rsid w:val="00344209"/>
    <w:rsid w:val="003444BE"/>
    <w:rsid w:val="0034524F"/>
    <w:rsid w:val="0034551E"/>
    <w:rsid w:val="00345747"/>
    <w:rsid w:val="00345A2E"/>
    <w:rsid w:val="003461A7"/>
    <w:rsid w:val="00346222"/>
    <w:rsid w:val="00346899"/>
    <w:rsid w:val="003469EF"/>
    <w:rsid w:val="00347208"/>
    <w:rsid w:val="00347344"/>
    <w:rsid w:val="003479E6"/>
    <w:rsid w:val="00347C86"/>
    <w:rsid w:val="00347F9D"/>
    <w:rsid w:val="003501EC"/>
    <w:rsid w:val="003504A5"/>
    <w:rsid w:val="0035081C"/>
    <w:rsid w:val="00350B47"/>
    <w:rsid w:val="00350D0A"/>
    <w:rsid w:val="00350D44"/>
    <w:rsid w:val="00351FDD"/>
    <w:rsid w:val="00352469"/>
    <w:rsid w:val="003532F4"/>
    <w:rsid w:val="00353811"/>
    <w:rsid w:val="003539D8"/>
    <w:rsid w:val="00353B70"/>
    <w:rsid w:val="00353CD8"/>
    <w:rsid w:val="00354471"/>
    <w:rsid w:val="00354665"/>
    <w:rsid w:val="003547E7"/>
    <w:rsid w:val="003557E5"/>
    <w:rsid w:val="00355BCF"/>
    <w:rsid w:val="0035624C"/>
    <w:rsid w:val="003562F7"/>
    <w:rsid w:val="003563E3"/>
    <w:rsid w:val="00357A43"/>
    <w:rsid w:val="00361748"/>
    <w:rsid w:val="00361C3C"/>
    <w:rsid w:val="00361F16"/>
    <w:rsid w:val="0036209C"/>
    <w:rsid w:val="0036245A"/>
    <w:rsid w:val="00362E5D"/>
    <w:rsid w:val="00363190"/>
    <w:rsid w:val="0036322B"/>
    <w:rsid w:val="00363693"/>
    <w:rsid w:val="00363BC5"/>
    <w:rsid w:val="0036401C"/>
    <w:rsid w:val="00366406"/>
    <w:rsid w:val="00366E12"/>
    <w:rsid w:val="00366EFA"/>
    <w:rsid w:val="00366FDA"/>
    <w:rsid w:val="003671F3"/>
    <w:rsid w:val="003675BE"/>
    <w:rsid w:val="00367CAA"/>
    <w:rsid w:val="00370164"/>
    <w:rsid w:val="00370847"/>
    <w:rsid w:val="003708FA"/>
    <w:rsid w:val="00371920"/>
    <w:rsid w:val="00371C5B"/>
    <w:rsid w:val="00372099"/>
    <w:rsid w:val="003723B1"/>
    <w:rsid w:val="003723FB"/>
    <w:rsid w:val="00373944"/>
    <w:rsid w:val="00373EA8"/>
    <w:rsid w:val="00373EE9"/>
    <w:rsid w:val="00374BB7"/>
    <w:rsid w:val="003750B0"/>
    <w:rsid w:val="003750F7"/>
    <w:rsid w:val="0037567E"/>
    <w:rsid w:val="003756E0"/>
    <w:rsid w:val="00375845"/>
    <w:rsid w:val="003765BA"/>
    <w:rsid w:val="003802B5"/>
    <w:rsid w:val="0038087D"/>
    <w:rsid w:val="00380B10"/>
    <w:rsid w:val="00380E81"/>
    <w:rsid w:val="0038114E"/>
    <w:rsid w:val="003813D5"/>
    <w:rsid w:val="0038159C"/>
    <w:rsid w:val="00381667"/>
    <w:rsid w:val="003816CE"/>
    <w:rsid w:val="003818B4"/>
    <w:rsid w:val="003819B0"/>
    <w:rsid w:val="003821FC"/>
    <w:rsid w:val="0038222F"/>
    <w:rsid w:val="00382355"/>
    <w:rsid w:val="0038245E"/>
    <w:rsid w:val="00382A49"/>
    <w:rsid w:val="0038306A"/>
    <w:rsid w:val="003830C0"/>
    <w:rsid w:val="00383BD7"/>
    <w:rsid w:val="0038404F"/>
    <w:rsid w:val="0038405E"/>
    <w:rsid w:val="00384694"/>
    <w:rsid w:val="003849DC"/>
    <w:rsid w:val="00385093"/>
    <w:rsid w:val="00385A9E"/>
    <w:rsid w:val="00385DCA"/>
    <w:rsid w:val="00386308"/>
    <w:rsid w:val="0038668F"/>
    <w:rsid w:val="003866C3"/>
    <w:rsid w:val="00386CBE"/>
    <w:rsid w:val="003874A2"/>
    <w:rsid w:val="0038762A"/>
    <w:rsid w:val="00387808"/>
    <w:rsid w:val="0038787D"/>
    <w:rsid w:val="0039057F"/>
    <w:rsid w:val="003905CE"/>
    <w:rsid w:val="003907A8"/>
    <w:rsid w:val="00390EEA"/>
    <w:rsid w:val="00391953"/>
    <w:rsid w:val="00391A39"/>
    <w:rsid w:val="00392159"/>
    <w:rsid w:val="00392247"/>
    <w:rsid w:val="0039236F"/>
    <w:rsid w:val="00392796"/>
    <w:rsid w:val="00393462"/>
    <w:rsid w:val="00393812"/>
    <w:rsid w:val="00393813"/>
    <w:rsid w:val="0039411D"/>
    <w:rsid w:val="003943FE"/>
    <w:rsid w:val="00394698"/>
    <w:rsid w:val="00394C10"/>
    <w:rsid w:val="00395579"/>
    <w:rsid w:val="003956C8"/>
    <w:rsid w:val="003964DA"/>
    <w:rsid w:val="00396BF3"/>
    <w:rsid w:val="00396BF6"/>
    <w:rsid w:val="003A0567"/>
    <w:rsid w:val="003A089C"/>
    <w:rsid w:val="003A1239"/>
    <w:rsid w:val="003A16E1"/>
    <w:rsid w:val="003A23F0"/>
    <w:rsid w:val="003A26E1"/>
    <w:rsid w:val="003A2A80"/>
    <w:rsid w:val="003A2DD6"/>
    <w:rsid w:val="003A34FE"/>
    <w:rsid w:val="003A3892"/>
    <w:rsid w:val="003A4236"/>
    <w:rsid w:val="003A45ED"/>
    <w:rsid w:val="003A4ED6"/>
    <w:rsid w:val="003A54E8"/>
    <w:rsid w:val="003A55A2"/>
    <w:rsid w:val="003A563D"/>
    <w:rsid w:val="003A6DC3"/>
    <w:rsid w:val="003A707E"/>
    <w:rsid w:val="003A7B31"/>
    <w:rsid w:val="003B08AF"/>
    <w:rsid w:val="003B176C"/>
    <w:rsid w:val="003B181F"/>
    <w:rsid w:val="003B1C05"/>
    <w:rsid w:val="003B1D4A"/>
    <w:rsid w:val="003B1F21"/>
    <w:rsid w:val="003B225D"/>
    <w:rsid w:val="003B2ED2"/>
    <w:rsid w:val="003B3187"/>
    <w:rsid w:val="003B3860"/>
    <w:rsid w:val="003B3CC9"/>
    <w:rsid w:val="003B44CC"/>
    <w:rsid w:val="003B46D0"/>
    <w:rsid w:val="003B46FF"/>
    <w:rsid w:val="003B4B68"/>
    <w:rsid w:val="003B524D"/>
    <w:rsid w:val="003B550C"/>
    <w:rsid w:val="003B6211"/>
    <w:rsid w:val="003B67C6"/>
    <w:rsid w:val="003B67C8"/>
    <w:rsid w:val="003B737C"/>
    <w:rsid w:val="003B7A1F"/>
    <w:rsid w:val="003C055E"/>
    <w:rsid w:val="003C069E"/>
    <w:rsid w:val="003C0783"/>
    <w:rsid w:val="003C07D9"/>
    <w:rsid w:val="003C0B8A"/>
    <w:rsid w:val="003C1028"/>
    <w:rsid w:val="003C15F4"/>
    <w:rsid w:val="003C1917"/>
    <w:rsid w:val="003C21B3"/>
    <w:rsid w:val="003C2915"/>
    <w:rsid w:val="003C297C"/>
    <w:rsid w:val="003C2C62"/>
    <w:rsid w:val="003C2EDB"/>
    <w:rsid w:val="003C33D3"/>
    <w:rsid w:val="003C34F7"/>
    <w:rsid w:val="003C3742"/>
    <w:rsid w:val="003C3E42"/>
    <w:rsid w:val="003C5CCB"/>
    <w:rsid w:val="003C6368"/>
    <w:rsid w:val="003C63B3"/>
    <w:rsid w:val="003C63E0"/>
    <w:rsid w:val="003C65BD"/>
    <w:rsid w:val="003C6E79"/>
    <w:rsid w:val="003C6FD3"/>
    <w:rsid w:val="003C7CA5"/>
    <w:rsid w:val="003C7DCC"/>
    <w:rsid w:val="003D04AE"/>
    <w:rsid w:val="003D0940"/>
    <w:rsid w:val="003D17F3"/>
    <w:rsid w:val="003D1A73"/>
    <w:rsid w:val="003D25B2"/>
    <w:rsid w:val="003D305A"/>
    <w:rsid w:val="003D32D2"/>
    <w:rsid w:val="003D4517"/>
    <w:rsid w:val="003D46D3"/>
    <w:rsid w:val="003D49F1"/>
    <w:rsid w:val="003D4A70"/>
    <w:rsid w:val="003D53C4"/>
    <w:rsid w:val="003D5507"/>
    <w:rsid w:val="003D5A32"/>
    <w:rsid w:val="003D5D0C"/>
    <w:rsid w:val="003D5FCD"/>
    <w:rsid w:val="003D60BB"/>
    <w:rsid w:val="003D6540"/>
    <w:rsid w:val="003D6725"/>
    <w:rsid w:val="003D6AFF"/>
    <w:rsid w:val="003D6F0F"/>
    <w:rsid w:val="003D6F95"/>
    <w:rsid w:val="003E0266"/>
    <w:rsid w:val="003E0D0A"/>
    <w:rsid w:val="003E18A2"/>
    <w:rsid w:val="003E1990"/>
    <w:rsid w:val="003E1A82"/>
    <w:rsid w:val="003E299D"/>
    <w:rsid w:val="003E2AAF"/>
    <w:rsid w:val="003E2CA5"/>
    <w:rsid w:val="003E309F"/>
    <w:rsid w:val="003E36FA"/>
    <w:rsid w:val="003E3A6F"/>
    <w:rsid w:val="003E3B5D"/>
    <w:rsid w:val="003E40DB"/>
    <w:rsid w:val="003E433C"/>
    <w:rsid w:val="003E4463"/>
    <w:rsid w:val="003E4565"/>
    <w:rsid w:val="003E4E4C"/>
    <w:rsid w:val="003E50CA"/>
    <w:rsid w:val="003E5876"/>
    <w:rsid w:val="003E59C6"/>
    <w:rsid w:val="003E5B56"/>
    <w:rsid w:val="003E5F3A"/>
    <w:rsid w:val="003E6AA3"/>
    <w:rsid w:val="003E6B75"/>
    <w:rsid w:val="003E6FDF"/>
    <w:rsid w:val="003E748B"/>
    <w:rsid w:val="003E76B1"/>
    <w:rsid w:val="003E776F"/>
    <w:rsid w:val="003E7D81"/>
    <w:rsid w:val="003E7F3D"/>
    <w:rsid w:val="003F0011"/>
    <w:rsid w:val="003F0BAF"/>
    <w:rsid w:val="003F1344"/>
    <w:rsid w:val="003F2EBD"/>
    <w:rsid w:val="003F30DF"/>
    <w:rsid w:val="003F3620"/>
    <w:rsid w:val="003F3B2B"/>
    <w:rsid w:val="003F4494"/>
    <w:rsid w:val="003F4C4C"/>
    <w:rsid w:val="003F557A"/>
    <w:rsid w:val="003F5C22"/>
    <w:rsid w:val="003F5E4E"/>
    <w:rsid w:val="003F6733"/>
    <w:rsid w:val="003F68C2"/>
    <w:rsid w:val="003F6A6E"/>
    <w:rsid w:val="003F7055"/>
    <w:rsid w:val="004000CF"/>
    <w:rsid w:val="004002DD"/>
    <w:rsid w:val="00400306"/>
    <w:rsid w:val="004004F9"/>
    <w:rsid w:val="00400557"/>
    <w:rsid w:val="00400A5C"/>
    <w:rsid w:val="00400F54"/>
    <w:rsid w:val="0040176B"/>
    <w:rsid w:val="00401782"/>
    <w:rsid w:val="00402591"/>
    <w:rsid w:val="00402674"/>
    <w:rsid w:val="004026F8"/>
    <w:rsid w:val="00403D51"/>
    <w:rsid w:val="00403DDB"/>
    <w:rsid w:val="00404076"/>
    <w:rsid w:val="00404213"/>
    <w:rsid w:val="00404370"/>
    <w:rsid w:val="00404A18"/>
    <w:rsid w:val="00404A56"/>
    <w:rsid w:val="00405152"/>
    <w:rsid w:val="004055AC"/>
    <w:rsid w:val="00405A45"/>
    <w:rsid w:val="00405C04"/>
    <w:rsid w:val="00406889"/>
    <w:rsid w:val="00407019"/>
    <w:rsid w:val="00407A00"/>
    <w:rsid w:val="0041021E"/>
    <w:rsid w:val="0041062B"/>
    <w:rsid w:val="00410718"/>
    <w:rsid w:val="00410C2C"/>
    <w:rsid w:val="00410CAD"/>
    <w:rsid w:val="00411252"/>
    <w:rsid w:val="0041207F"/>
    <w:rsid w:val="00412290"/>
    <w:rsid w:val="004123EB"/>
    <w:rsid w:val="00412D64"/>
    <w:rsid w:val="00413396"/>
    <w:rsid w:val="004135C0"/>
    <w:rsid w:val="00413D57"/>
    <w:rsid w:val="00413FBD"/>
    <w:rsid w:val="004144F3"/>
    <w:rsid w:val="00414823"/>
    <w:rsid w:val="00415005"/>
    <w:rsid w:val="0041535D"/>
    <w:rsid w:val="0041570D"/>
    <w:rsid w:val="0041587F"/>
    <w:rsid w:val="004159DB"/>
    <w:rsid w:val="00415D71"/>
    <w:rsid w:val="00416461"/>
    <w:rsid w:val="00416554"/>
    <w:rsid w:val="0041714D"/>
    <w:rsid w:val="004171F7"/>
    <w:rsid w:val="004176BE"/>
    <w:rsid w:val="004178CC"/>
    <w:rsid w:val="004179A5"/>
    <w:rsid w:val="00417D14"/>
    <w:rsid w:val="00417D59"/>
    <w:rsid w:val="00417D79"/>
    <w:rsid w:val="00417E33"/>
    <w:rsid w:val="00420AC0"/>
    <w:rsid w:val="00420BD8"/>
    <w:rsid w:val="004214E4"/>
    <w:rsid w:val="0042161F"/>
    <w:rsid w:val="00421A74"/>
    <w:rsid w:val="00421F1B"/>
    <w:rsid w:val="004223CC"/>
    <w:rsid w:val="0042271B"/>
    <w:rsid w:val="00422AFB"/>
    <w:rsid w:val="0042333B"/>
    <w:rsid w:val="004244A5"/>
    <w:rsid w:val="00425220"/>
    <w:rsid w:val="0042524E"/>
    <w:rsid w:val="004252D0"/>
    <w:rsid w:val="0042536D"/>
    <w:rsid w:val="004255D1"/>
    <w:rsid w:val="00425B1F"/>
    <w:rsid w:val="00425DD7"/>
    <w:rsid w:val="00425EAE"/>
    <w:rsid w:val="0042656C"/>
    <w:rsid w:val="00426699"/>
    <w:rsid w:val="004266A7"/>
    <w:rsid w:val="00427671"/>
    <w:rsid w:val="0042767D"/>
    <w:rsid w:val="00427F66"/>
    <w:rsid w:val="004311F8"/>
    <w:rsid w:val="00431F87"/>
    <w:rsid w:val="004325C9"/>
    <w:rsid w:val="004327B8"/>
    <w:rsid w:val="0043287D"/>
    <w:rsid w:val="00433C15"/>
    <w:rsid w:val="00433CCC"/>
    <w:rsid w:val="00433CE6"/>
    <w:rsid w:val="0043433E"/>
    <w:rsid w:val="004344F3"/>
    <w:rsid w:val="00434DE2"/>
    <w:rsid w:val="004354AD"/>
    <w:rsid w:val="0043566C"/>
    <w:rsid w:val="00435754"/>
    <w:rsid w:val="00435A81"/>
    <w:rsid w:val="004363D0"/>
    <w:rsid w:val="0043665D"/>
    <w:rsid w:val="00436AE4"/>
    <w:rsid w:val="0043711E"/>
    <w:rsid w:val="00437704"/>
    <w:rsid w:val="00437816"/>
    <w:rsid w:val="00437C50"/>
    <w:rsid w:val="004405BC"/>
    <w:rsid w:val="00440F77"/>
    <w:rsid w:val="004412B1"/>
    <w:rsid w:val="00442049"/>
    <w:rsid w:val="004420B4"/>
    <w:rsid w:val="0044221B"/>
    <w:rsid w:val="00442441"/>
    <w:rsid w:val="0044260B"/>
    <w:rsid w:val="00442EC0"/>
    <w:rsid w:val="00443D9B"/>
    <w:rsid w:val="0044414B"/>
    <w:rsid w:val="00444328"/>
    <w:rsid w:val="00444590"/>
    <w:rsid w:val="00444CC8"/>
    <w:rsid w:val="00444CD5"/>
    <w:rsid w:val="00444EF0"/>
    <w:rsid w:val="004453DC"/>
    <w:rsid w:val="004454FD"/>
    <w:rsid w:val="00445DCF"/>
    <w:rsid w:val="00445E5B"/>
    <w:rsid w:val="0044679B"/>
    <w:rsid w:val="00446AE7"/>
    <w:rsid w:val="0044718F"/>
    <w:rsid w:val="00447375"/>
    <w:rsid w:val="00447404"/>
    <w:rsid w:val="004475CF"/>
    <w:rsid w:val="00447F5F"/>
    <w:rsid w:val="004501AC"/>
    <w:rsid w:val="004506C1"/>
    <w:rsid w:val="004506CB"/>
    <w:rsid w:val="004508FC"/>
    <w:rsid w:val="00450B70"/>
    <w:rsid w:val="00450CA2"/>
    <w:rsid w:val="00450E83"/>
    <w:rsid w:val="004512D5"/>
    <w:rsid w:val="00451550"/>
    <w:rsid w:val="00452097"/>
    <w:rsid w:val="00452B08"/>
    <w:rsid w:val="00453354"/>
    <w:rsid w:val="0045361C"/>
    <w:rsid w:val="00453838"/>
    <w:rsid w:val="0045446F"/>
    <w:rsid w:val="0045462B"/>
    <w:rsid w:val="00454CCF"/>
    <w:rsid w:val="004556E7"/>
    <w:rsid w:val="00455EA3"/>
    <w:rsid w:val="0045611E"/>
    <w:rsid w:val="00456D56"/>
    <w:rsid w:val="00457500"/>
    <w:rsid w:val="004575A4"/>
    <w:rsid w:val="004576BC"/>
    <w:rsid w:val="004577D3"/>
    <w:rsid w:val="00457AE4"/>
    <w:rsid w:val="00460019"/>
    <w:rsid w:val="00460485"/>
    <w:rsid w:val="00460A5E"/>
    <w:rsid w:val="0046190C"/>
    <w:rsid w:val="00461981"/>
    <w:rsid w:val="00461A02"/>
    <w:rsid w:val="00461CF0"/>
    <w:rsid w:val="00461EA7"/>
    <w:rsid w:val="00461F55"/>
    <w:rsid w:val="00462D78"/>
    <w:rsid w:val="00462FCA"/>
    <w:rsid w:val="004633E6"/>
    <w:rsid w:val="00463698"/>
    <w:rsid w:val="00463B55"/>
    <w:rsid w:val="00463E70"/>
    <w:rsid w:val="00463F30"/>
    <w:rsid w:val="00463F40"/>
    <w:rsid w:val="00463FA4"/>
    <w:rsid w:val="00464173"/>
    <w:rsid w:val="004642CE"/>
    <w:rsid w:val="00464511"/>
    <w:rsid w:val="00465146"/>
    <w:rsid w:val="004654C8"/>
    <w:rsid w:val="0046583A"/>
    <w:rsid w:val="00465CA7"/>
    <w:rsid w:val="00467125"/>
    <w:rsid w:val="004676CE"/>
    <w:rsid w:val="004676D4"/>
    <w:rsid w:val="0046788B"/>
    <w:rsid w:val="0047037A"/>
    <w:rsid w:val="004703CC"/>
    <w:rsid w:val="00470974"/>
    <w:rsid w:val="004709D6"/>
    <w:rsid w:val="00470F65"/>
    <w:rsid w:val="00471364"/>
    <w:rsid w:val="004714CE"/>
    <w:rsid w:val="00471A34"/>
    <w:rsid w:val="00471F4F"/>
    <w:rsid w:val="004724A7"/>
    <w:rsid w:val="0047265D"/>
    <w:rsid w:val="00472E28"/>
    <w:rsid w:val="00473323"/>
    <w:rsid w:val="00473343"/>
    <w:rsid w:val="004734B4"/>
    <w:rsid w:val="004735F8"/>
    <w:rsid w:val="004739C0"/>
    <w:rsid w:val="00473B60"/>
    <w:rsid w:val="00473BE0"/>
    <w:rsid w:val="00473C79"/>
    <w:rsid w:val="0047432B"/>
    <w:rsid w:val="004750DC"/>
    <w:rsid w:val="0047561C"/>
    <w:rsid w:val="00476435"/>
    <w:rsid w:val="00476941"/>
    <w:rsid w:val="004776CC"/>
    <w:rsid w:val="00480084"/>
    <w:rsid w:val="004819D1"/>
    <w:rsid w:val="00481C0A"/>
    <w:rsid w:val="004825F2"/>
    <w:rsid w:val="00482856"/>
    <w:rsid w:val="00482D6B"/>
    <w:rsid w:val="004830AB"/>
    <w:rsid w:val="00483676"/>
    <w:rsid w:val="004838B8"/>
    <w:rsid w:val="00483C32"/>
    <w:rsid w:val="00483DEF"/>
    <w:rsid w:val="004843E7"/>
    <w:rsid w:val="00484765"/>
    <w:rsid w:val="004851CC"/>
    <w:rsid w:val="004852E5"/>
    <w:rsid w:val="00485CCC"/>
    <w:rsid w:val="00486015"/>
    <w:rsid w:val="0048662D"/>
    <w:rsid w:val="00486662"/>
    <w:rsid w:val="00486FA4"/>
    <w:rsid w:val="00487471"/>
    <w:rsid w:val="00487BAD"/>
    <w:rsid w:val="00490A9F"/>
    <w:rsid w:val="00490C9D"/>
    <w:rsid w:val="0049164C"/>
    <w:rsid w:val="00491B2C"/>
    <w:rsid w:val="00491B7C"/>
    <w:rsid w:val="00491D6F"/>
    <w:rsid w:val="004920FB"/>
    <w:rsid w:val="004927D2"/>
    <w:rsid w:val="00492FEE"/>
    <w:rsid w:val="0049319D"/>
    <w:rsid w:val="0049367D"/>
    <w:rsid w:val="00494714"/>
    <w:rsid w:val="004947C8"/>
    <w:rsid w:val="004947F2"/>
    <w:rsid w:val="00494AB3"/>
    <w:rsid w:val="00494DB1"/>
    <w:rsid w:val="00495C59"/>
    <w:rsid w:val="00496045"/>
    <w:rsid w:val="00496364"/>
    <w:rsid w:val="004965EC"/>
    <w:rsid w:val="00496ADB"/>
    <w:rsid w:val="00496AFD"/>
    <w:rsid w:val="00496B2F"/>
    <w:rsid w:val="00496C81"/>
    <w:rsid w:val="00496D85"/>
    <w:rsid w:val="00497A60"/>
    <w:rsid w:val="00497B7D"/>
    <w:rsid w:val="00497E40"/>
    <w:rsid w:val="004A03FE"/>
    <w:rsid w:val="004A065C"/>
    <w:rsid w:val="004A1173"/>
    <w:rsid w:val="004A1229"/>
    <w:rsid w:val="004A1AB7"/>
    <w:rsid w:val="004A1DD1"/>
    <w:rsid w:val="004A24F4"/>
    <w:rsid w:val="004A2781"/>
    <w:rsid w:val="004A2EA9"/>
    <w:rsid w:val="004A39EE"/>
    <w:rsid w:val="004A3C95"/>
    <w:rsid w:val="004A3F76"/>
    <w:rsid w:val="004A4061"/>
    <w:rsid w:val="004A4E3D"/>
    <w:rsid w:val="004A5273"/>
    <w:rsid w:val="004A6128"/>
    <w:rsid w:val="004A6453"/>
    <w:rsid w:val="004A6968"/>
    <w:rsid w:val="004A7AFB"/>
    <w:rsid w:val="004A7C27"/>
    <w:rsid w:val="004B018D"/>
    <w:rsid w:val="004B049B"/>
    <w:rsid w:val="004B084A"/>
    <w:rsid w:val="004B14FE"/>
    <w:rsid w:val="004B1550"/>
    <w:rsid w:val="004B18E9"/>
    <w:rsid w:val="004B1AC8"/>
    <w:rsid w:val="004B1B05"/>
    <w:rsid w:val="004B3024"/>
    <w:rsid w:val="004B30B3"/>
    <w:rsid w:val="004B54D2"/>
    <w:rsid w:val="004B56D5"/>
    <w:rsid w:val="004B5D13"/>
    <w:rsid w:val="004B65BA"/>
    <w:rsid w:val="004B6F12"/>
    <w:rsid w:val="004B6F98"/>
    <w:rsid w:val="004B7509"/>
    <w:rsid w:val="004B787E"/>
    <w:rsid w:val="004B793A"/>
    <w:rsid w:val="004B7C05"/>
    <w:rsid w:val="004C09CC"/>
    <w:rsid w:val="004C0D16"/>
    <w:rsid w:val="004C0E8B"/>
    <w:rsid w:val="004C1165"/>
    <w:rsid w:val="004C1672"/>
    <w:rsid w:val="004C182D"/>
    <w:rsid w:val="004C19C5"/>
    <w:rsid w:val="004C1C6E"/>
    <w:rsid w:val="004C1F74"/>
    <w:rsid w:val="004C2687"/>
    <w:rsid w:val="004C2773"/>
    <w:rsid w:val="004C27B2"/>
    <w:rsid w:val="004C3ECC"/>
    <w:rsid w:val="004C4116"/>
    <w:rsid w:val="004C4522"/>
    <w:rsid w:val="004C4CDB"/>
    <w:rsid w:val="004C5F29"/>
    <w:rsid w:val="004C62B6"/>
    <w:rsid w:val="004C6BE4"/>
    <w:rsid w:val="004C6CDB"/>
    <w:rsid w:val="004C6F11"/>
    <w:rsid w:val="004C7320"/>
    <w:rsid w:val="004C7343"/>
    <w:rsid w:val="004C7AC0"/>
    <w:rsid w:val="004D0DA1"/>
    <w:rsid w:val="004D1457"/>
    <w:rsid w:val="004D186E"/>
    <w:rsid w:val="004D1EF1"/>
    <w:rsid w:val="004D21AD"/>
    <w:rsid w:val="004D25DA"/>
    <w:rsid w:val="004D314D"/>
    <w:rsid w:val="004D32F4"/>
    <w:rsid w:val="004D33AA"/>
    <w:rsid w:val="004D3489"/>
    <w:rsid w:val="004D38D7"/>
    <w:rsid w:val="004D3D63"/>
    <w:rsid w:val="004D3E70"/>
    <w:rsid w:val="004D41CE"/>
    <w:rsid w:val="004D4CE2"/>
    <w:rsid w:val="004D4E74"/>
    <w:rsid w:val="004D4EAE"/>
    <w:rsid w:val="004D5714"/>
    <w:rsid w:val="004D5810"/>
    <w:rsid w:val="004D5BFF"/>
    <w:rsid w:val="004D5E4A"/>
    <w:rsid w:val="004D6646"/>
    <w:rsid w:val="004D6A64"/>
    <w:rsid w:val="004D6A98"/>
    <w:rsid w:val="004D6F70"/>
    <w:rsid w:val="004D7291"/>
    <w:rsid w:val="004D735D"/>
    <w:rsid w:val="004D7727"/>
    <w:rsid w:val="004D7A4C"/>
    <w:rsid w:val="004E09E7"/>
    <w:rsid w:val="004E0A03"/>
    <w:rsid w:val="004E0CAE"/>
    <w:rsid w:val="004E0EAB"/>
    <w:rsid w:val="004E0F4B"/>
    <w:rsid w:val="004E0F5E"/>
    <w:rsid w:val="004E1428"/>
    <w:rsid w:val="004E165B"/>
    <w:rsid w:val="004E1FC9"/>
    <w:rsid w:val="004E2185"/>
    <w:rsid w:val="004E3030"/>
    <w:rsid w:val="004E338F"/>
    <w:rsid w:val="004E36D4"/>
    <w:rsid w:val="004E3A4D"/>
    <w:rsid w:val="004E437A"/>
    <w:rsid w:val="004E490E"/>
    <w:rsid w:val="004E49E8"/>
    <w:rsid w:val="004E4EED"/>
    <w:rsid w:val="004E5D19"/>
    <w:rsid w:val="004E6289"/>
    <w:rsid w:val="004E672F"/>
    <w:rsid w:val="004E674D"/>
    <w:rsid w:val="004E6956"/>
    <w:rsid w:val="004E6BE7"/>
    <w:rsid w:val="004E6C48"/>
    <w:rsid w:val="004E6C96"/>
    <w:rsid w:val="004E70A4"/>
    <w:rsid w:val="004E7C44"/>
    <w:rsid w:val="004E7D0F"/>
    <w:rsid w:val="004F001D"/>
    <w:rsid w:val="004F02BB"/>
    <w:rsid w:val="004F0AF0"/>
    <w:rsid w:val="004F149B"/>
    <w:rsid w:val="004F19F8"/>
    <w:rsid w:val="004F1FAC"/>
    <w:rsid w:val="004F22C8"/>
    <w:rsid w:val="004F26D4"/>
    <w:rsid w:val="004F2940"/>
    <w:rsid w:val="004F2C3A"/>
    <w:rsid w:val="004F2FDD"/>
    <w:rsid w:val="004F3A93"/>
    <w:rsid w:val="004F3C24"/>
    <w:rsid w:val="004F473A"/>
    <w:rsid w:val="004F4FA5"/>
    <w:rsid w:val="004F51AF"/>
    <w:rsid w:val="004F523E"/>
    <w:rsid w:val="004F5E19"/>
    <w:rsid w:val="004F5FCA"/>
    <w:rsid w:val="004F73C9"/>
    <w:rsid w:val="004F7976"/>
    <w:rsid w:val="004F7B3C"/>
    <w:rsid w:val="004F7BF6"/>
    <w:rsid w:val="00500A05"/>
    <w:rsid w:val="00500C03"/>
    <w:rsid w:val="00500F30"/>
    <w:rsid w:val="005012DB"/>
    <w:rsid w:val="005028C9"/>
    <w:rsid w:val="00502A33"/>
    <w:rsid w:val="00502CBE"/>
    <w:rsid w:val="00503962"/>
    <w:rsid w:val="00503A00"/>
    <w:rsid w:val="00503DB1"/>
    <w:rsid w:val="00504698"/>
    <w:rsid w:val="005046A9"/>
    <w:rsid w:val="00504F37"/>
    <w:rsid w:val="00505E0C"/>
    <w:rsid w:val="00505FA1"/>
    <w:rsid w:val="0050603A"/>
    <w:rsid w:val="00506053"/>
    <w:rsid w:val="0050629C"/>
    <w:rsid w:val="0050667E"/>
    <w:rsid w:val="00507064"/>
    <w:rsid w:val="005073C0"/>
    <w:rsid w:val="0050748B"/>
    <w:rsid w:val="00507B50"/>
    <w:rsid w:val="00510AD9"/>
    <w:rsid w:val="00510B76"/>
    <w:rsid w:val="00510C85"/>
    <w:rsid w:val="00511124"/>
    <w:rsid w:val="0051131D"/>
    <w:rsid w:val="00511A72"/>
    <w:rsid w:val="00511B5E"/>
    <w:rsid w:val="00512CB7"/>
    <w:rsid w:val="00512DF8"/>
    <w:rsid w:val="005134B4"/>
    <w:rsid w:val="00513562"/>
    <w:rsid w:val="00513992"/>
    <w:rsid w:val="005141E9"/>
    <w:rsid w:val="0051487A"/>
    <w:rsid w:val="005149F5"/>
    <w:rsid w:val="00514A88"/>
    <w:rsid w:val="00514CA9"/>
    <w:rsid w:val="00514E79"/>
    <w:rsid w:val="0051584F"/>
    <w:rsid w:val="005158BC"/>
    <w:rsid w:val="005158D2"/>
    <w:rsid w:val="00516102"/>
    <w:rsid w:val="0051672B"/>
    <w:rsid w:val="00517042"/>
    <w:rsid w:val="00517E4D"/>
    <w:rsid w:val="005200D1"/>
    <w:rsid w:val="005201BF"/>
    <w:rsid w:val="005202D0"/>
    <w:rsid w:val="0052064F"/>
    <w:rsid w:val="00520761"/>
    <w:rsid w:val="0052185D"/>
    <w:rsid w:val="00521E62"/>
    <w:rsid w:val="00522312"/>
    <w:rsid w:val="00522919"/>
    <w:rsid w:val="00522B36"/>
    <w:rsid w:val="00522FE4"/>
    <w:rsid w:val="00523A0B"/>
    <w:rsid w:val="00523E4B"/>
    <w:rsid w:val="00524296"/>
    <w:rsid w:val="00524E3A"/>
    <w:rsid w:val="00525053"/>
    <w:rsid w:val="0052518F"/>
    <w:rsid w:val="00525485"/>
    <w:rsid w:val="0052597D"/>
    <w:rsid w:val="00525F52"/>
    <w:rsid w:val="005261A0"/>
    <w:rsid w:val="00526367"/>
    <w:rsid w:val="005277BD"/>
    <w:rsid w:val="00527866"/>
    <w:rsid w:val="005306B2"/>
    <w:rsid w:val="00530CDE"/>
    <w:rsid w:val="00530EB6"/>
    <w:rsid w:val="00530EDA"/>
    <w:rsid w:val="0053129D"/>
    <w:rsid w:val="00531549"/>
    <w:rsid w:val="0053210D"/>
    <w:rsid w:val="00532172"/>
    <w:rsid w:val="00532508"/>
    <w:rsid w:val="00532961"/>
    <w:rsid w:val="005334B3"/>
    <w:rsid w:val="0053355C"/>
    <w:rsid w:val="005339DA"/>
    <w:rsid w:val="005340A2"/>
    <w:rsid w:val="00534164"/>
    <w:rsid w:val="00534551"/>
    <w:rsid w:val="0053500B"/>
    <w:rsid w:val="00535043"/>
    <w:rsid w:val="005353B3"/>
    <w:rsid w:val="00535861"/>
    <w:rsid w:val="005358AE"/>
    <w:rsid w:val="0053599E"/>
    <w:rsid w:val="00536916"/>
    <w:rsid w:val="00536969"/>
    <w:rsid w:val="00536FAB"/>
    <w:rsid w:val="00537381"/>
    <w:rsid w:val="005375C4"/>
    <w:rsid w:val="00537670"/>
    <w:rsid w:val="005376DB"/>
    <w:rsid w:val="005377B6"/>
    <w:rsid w:val="00537A77"/>
    <w:rsid w:val="00537EF2"/>
    <w:rsid w:val="0054074C"/>
    <w:rsid w:val="00540CFD"/>
    <w:rsid w:val="005411F4"/>
    <w:rsid w:val="00541697"/>
    <w:rsid w:val="00541894"/>
    <w:rsid w:val="00541F63"/>
    <w:rsid w:val="00542E56"/>
    <w:rsid w:val="00542FC4"/>
    <w:rsid w:val="00543E9D"/>
    <w:rsid w:val="005447A4"/>
    <w:rsid w:val="00544904"/>
    <w:rsid w:val="00544DA0"/>
    <w:rsid w:val="00544DD6"/>
    <w:rsid w:val="00546C14"/>
    <w:rsid w:val="005508BC"/>
    <w:rsid w:val="00550A3D"/>
    <w:rsid w:val="00551628"/>
    <w:rsid w:val="005519D6"/>
    <w:rsid w:val="00551BF4"/>
    <w:rsid w:val="00552256"/>
    <w:rsid w:val="005524B2"/>
    <w:rsid w:val="00552794"/>
    <w:rsid w:val="00552CF0"/>
    <w:rsid w:val="00552D6B"/>
    <w:rsid w:val="00552DCF"/>
    <w:rsid w:val="00553297"/>
    <w:rsid w:val="00553ACA"/>
    <w:rsid w:val="00553D00"/>
    <w:rsid w:val="00553D7C"/>
    <w:rsid w:val="00553FF9"/>
    <w:rsid w:val="0055418C"/>
    <w:rsid w:val="005546C7"/>
    <w:rsid w:val="0055485B"/>
    <w:rsid w:val="00554C9E"/>
    <w:rsid w:val="0055545F"/>
    <w:rsid w:val="0055554F"/>
    <w:rsid w:val="0055566D"/>
    <w:rsid w:val="00555869"/>
    <w:rsid w:val="00555F37"/>
    <w:rsid w:val="00556CFF"/>
    <w:rsid w:val="005571EE"/>
    <w:rsid w:val="005574F4"/>
    <w:rsid w:val="005575A9"/>
    <w:rsid w:val="00557D5C"/>
    <w:rsid w:val="00560663"/>
    <w:rsid w:val="00560728"/>
    <w:rsid w:val="00560B15"/>
    <w:rsid w:val="00560F71"/>
    <w:rsid w:val="005611DD"/>
    <w:rsid w:val="005617C8"/>
    <w:rsid w:val="005619E3"/>
    <w:rsid w:val="00561A0A"/>
    <w:rsid w:val="00562251"/>
    <w:rsid w:val="0056237D"/>
    <w:rsid w:val="00564388"/>
    <w:rsid w:val="00564410"/>
    <w:rsid w:val="00565A06"/>
    <w:rsid w:val="00565B7E"/>
    <w:rsid w:val="005667D1"/>
    <w:rsid w:val="00567529"/>
    <w:rsid w:val="00567B40"/>
    <w:rsid w:val="00567C47"/>
    <w:rsid w:val="005707D9"/>
    <w:rsid w:val="00571AE0"/>
    <w:rsid w:val="0057256C"/>
    <w:rsid w:val="00572E78"/>
    <w:rsid w:val="00573036"/>
    <w:rsid w:val="00573AE8"/>
    <w:rsid w:val="005741AA"/>
    <w:rsid w:val="00574B9F"/>
    <w:rsid w:val="00575901"/>
    <w:rsid w:val="005763EA"/>
    <w:rsid w:val="00576CC1"/>
    <w:rsid w:val="00577955"/>
    <w:rsid w:val="00580301"/>
    <w:rsid w:val="0058092B"/>
    <w:rsid w:val="00580A29"/>
    <w:rsid w:val="00580E28"/>
    <w:rsid w:val="00580E76"/>
    <w:rsid w:val="00581430"/>
    <w:rsid w:val="00581A32"/>
    <w:rsid w:val="00581D96"/>
    <w:rsid w:val="00582787"/>
    <w:rsid w:val="005831CB"/>
    <w:rsid w:val="005832E4"/>
    <w:rsid w:val="0058389F"/>
    <w:rsid w:val="00583E47"/>
    <w:rsid w:val="00583F5B"/>
    <w:rsid w:val="00584387"/>
    <w:rsid w:val="00584411"/>
    <w:rsid w:val="00584811"/>
    <w:rsid w:val="00584ECB"/>
    <w:rsid w:val="005851D5"/>
    <w:rsid w:val="0058560B"/>
    <w:rsid w:val="00585853"/>
    <w:rsid w:val="00586288"/>
    <w:rsid w:val="005863B8"/>
    <w:rsid w:val="0058651F"/>
    <w:rsid w:val="00586906"/>
    <w:rsid w:val="00586A0A"/>
    <w:rsid w:val="00586A27"/>
    <w:rsid w:val="0059003E"/>
    <w:rsid w:val="00590299"/>
    <w:rsid w:val="0059043C"/>
    <w:rsid w:val="00591917"/>
    <w:rsid w:val="00591E51"/>
    <w:rsid w:val="005925E9"/>
    <w:rsid w:val="0059267D"/>
    <w:rsid w:val="00593968"/>
    <w:rsid w:val="00594275"/>
    <w:rsid w:val="00594389"/>
    <w:rsid w:val="0059456F"/>
    <w:rsid w:val="00594DF5"/>
    <w:rsid w:val="00595379"/>
    <w:rsid w:val="00596A1B"/>
    <w:rsid w:val="00596A6E"/>
    <w:rsid w:val="0059713A"/>
    <w:rsid w:val="005974F1"/>
    <w:rsid w:val="0059752A"/>
    <w:rsid w:val="0059754E"/>
    <w:rsid w:val="005975A8"/>
    <w:rsid w:val="00597979"/>
    <w:rsid w:val="00597F9A"/>
    <w:rsid w:val="005A027E"/>
    <w:rsid w:val="005A0605"/>
    <w:rsid w:val="005A0CB0"/>
    <w:rsid w:val="005A10D5"/>
    <w:rsid w:val="005A114A"/>
    <w:rsid w:val="005A1205"/>
    <w:rsid w:val="005A1469"/>
    <w:rsid w:val="005A1693"/>
    <w:rsid w:val="005A1C38"/>
    <w:rsid w:val="005A1F72"/>
    <w:rsid w:val="005A2117"/>
    <w:rsid w:val="005A278A"/>
    <w:rsid w:val="005A29DB"/>
    <w:rsid w:val="005A2C9C"/>
    <w:rsid w:val="005A3018"/>
    <w:rsid w:val="005A479B"/>
    <w:rsid w:val="005A4BBF"/>
    <w:rsid w:val="005A4F72"/>
    <w:rsid w:val="005A5456"/>
    <w:rsid w:val="005A5B03"/>
    <w:rsid w:val="005A5F83"/>
    <w:rsid w:val="005A6DFE"/>
    <w:rsid w:val="005A6E21"/>
    <w:rsid w:val="005A755C"/>
    <w:rsid w:val="005A7A83"/>
    <w:rsid w:val="005A7BCA"/>
    <w:rsid w:val="005B0280"/>
    <w:rsid w:val="005B0AD2"/>
    <w:rsid w:val="005B10B6"/>
    <w:rsid w:val="005B12C0"/>
    <w:rsid w:val="005B1EE4"/>
    <w:rsid w:val="005B1F6C"/>
    <w:rsid w:val="005B247E"/>
    <w:rsid w:val="005B2AE7"/>
    <w:rsid w:val="005B2DB1"/>
    <w:rsid w:val="005B2EF1"/>
    <w:rsid w:val="005B328D"/>
    <w:rsid w:val="005B363E"/>
    <w:rsid w:val="005B3B19"/>
    <w:rsid w:val="005B3B6B"/>
    <w:rsid w:val="005B3BFB"/>
    <w:rsid w:val="005B3EC4"/>
    <w:rsid w:val="005B45ED"/>
    <w:rsid w:val="005B45FA"/>
    <w:rsid w:val="005B4E91"/>
    <w:rsid w:val="005B5075"/>
    <w:rsid w:val="005B5258"/>
    <w:rsid w:val="005B55F7"/>
    <w:rsid w:val="005B576C"/>
    <w:rsid w:val="005B57DA"/>
    <w:rsid w:val="005B5B3D"/>
    <w:rsid w:val="005B5F9A"/>
    <w:rsid w:val="005B602C"/>
    <w:rsid w:val="005B702F"/>
    <w:rsid w:val="005B7125"/>
    <w:rsid w:val="005B7A1E"/>
    <w:rsid w:val="005B7BC7"/>
    <w:rsid w:val="005C10A1"/>
    <w:rsid w:val="005C1369"/>
    <w:rsid w:val="005C15EC"/>
    <w:rsid w:val="005C1874"/>
    <w:rsid w:val="005C1A99"/>
    <w:rsid w:val="005C2065"/>
    <w:rsid w:val="005C327C"/>
    <w:rsid w:val="005C36F3"/>
    <w:rsid w:val="005C4216"/>
    <w:rsid w:val="005C53E7"/>
    <w:rsid w:val="005C6064"/>
    <w:rsid w:val="005C615F"/>
    <w:rsid w:val="005C6235"/>
    <w:rsid w:val="005C6238"/>
    <w:rsid w:val="005C6561"/>
    <w:rsid w:val="005C7503"/>
    <w:rsid w:val="005D026F"/>
    <w:rsid w:val="005D111B"/>
    <w:rsid w:val="005D1BDE"/>
    <w:rsid w:val="005D1E2B"/>
    <w:rsid w:val="005D1FD3"/>
    <w:rsid w:val="005D2685"/>
    <w:rsid w:val="005D29A0"/>
    <w:rsid w:val="005D3423"/>
    <w:rsid w:val="005D357C"/>
    <w:rsid w:val="005D358C"/>
    <w:rsid w:val="005D3B99"/>
    <w:rsid w:val="005D4534"/>
    <w:rsid w:val="005D4B13"/>
    <w:rsid w:val="005D4DD4"/>
    <w:rsid w:val="005D542D"/>
    <w:rsid w:val="005D643C"/>
    <w:rsid w:val="005D64FD"/>
    <w:rsid w:val="005D7741"/>
    <w:rsid w:val="005D7E82"/>
    <w:rsid w:val="005E0632"/>
    <w:rsid w:val="005E0DAD"/>
    <w:rsid w:val="005E0FED"/>
    <w:rsid w:val="005E1286"/>
    <w:rsid w:val="005E2A07"/>
    <w:rsid w:val="005E2F3A"/>
    <w:rsid w:val="005E3D5D"/>
    <w:rsid w:val="005E45B9"/>
    <w:rsid w:val="005E49A6"/>
    <w:rsid w:val="005E4A22"/>
    <w:rsid w:val="005E4A58"/>
    <w:rsid w:val="005E4B0F"/>
    <w:rsid w:val="005E4D13"/>
    <w:rsid w:val="005E4F4D"/>
    <w:rsid w:val="005E5211"/>
    <w:rsid w:val="005E5217"/>
    <w:rsid w:val="005E5A88"/>
    <w:rsid w:val="005E5BD7"/>
    <w:rsid w:val="005E5D5D"/>
    <w:rsid w:val="005E6158"/>
    <w:rsid w:val="005E6274"/>
    <w:rsid w:val="005E6A89"/>
    <w:rsid w:val="005E6EBA"/>
    <w:rsid w:val="005F00C3"/>
    <w:rsid w:val="005F042B"/>
    <w:rsid w:val="005F0560"/>
    <w:rsid w:val="005F07D9"/>
    <w:rsid w:val="005F0A71"/>
    <w:rsid w:val="005F1DB5"/>
    <w:rsid w:val="005F1E77"/>
    <w:rsid w:val="005F2370"/>
    <w:rsid w:val="005F2CAA"/>
    <w:rsid w:val="005F368B"/>
    <w:rsid w:val="005F4481"/>
    <w:rsid w:val="005F44B6"/>
    <w:rsid w:val="005F4874"/>
    <w:rsid w:val="005F4945"/>
    <w:rsid w:val="005F5553"/>
    <w:rsid w:val="005F5B86"/>
    <w:rsid w:val="005F6CCB"/>
    <w:rsid w:val="005F6D5C"/>
    <w:rsid w:val="005F6E80"/>
    <w:rsid w:val="005F737D"/>
    <w:rsid w:val="005F75BC"/>
    <w:rsid w:val="005F7EFF"/>
    <w:rsid w:val="005F7F87"/>
    <w:rsid w:val="00600255"/>
    <w:rsid w:val="0060057F"/>
    <w:rsid w:val="00600FB1"/>
    <w:rsid w:val="006010E5"/>
    <w:rsid w:val="00601476"/>
    <w:rsid w:val="00601523"/>
    <w:rsid w:val="00601BD4"/>
    <w:rsid w:val="0060220E"/>
    <w:rsid w:val="00602625"/>
    <w:rsid w:val="00602F72"/>
    <w:rsid w:val="0060354F"/>
    <w:rsid w:val="0060455A"/>
    <w:rsid w:val="0060459F"/>
    <w:rsid w:val="00604A5A"/>
    <w:rsid w:val="00604BC0"/>
    <w:rsid w:val="00605AFF"/>
    <w:rsid w:val="00605F81"/>
    <w:rsid w:val="006069C8"/>
    <w:rsid w:val="00606CA8"/>
    <w:rsid w:val="0060715E"/>
    <w:rsid w:val="006073FA"/>
    <w:rsid w:val="00607411"/>
    <w:rsid w:val="006074A7"/>
    <w:rsid w:val="006074AC"/>
    <w:rsid w:val="0061076E"/>
    <w:rsid w:val="006107E8"/>
    <w:rsid w:val="0061080B"/>
    <w:rsid w:val="00610817"/>
    <w:rsid w:val="00611408"/>
    <w:rsid w:val="00611E42"/>
    <w:rsid w:val="006123C0"/>
    <w:rsid w:val="006129D8"/>
    <w:rsid w:val="00612AA8"/>
    <w:rsid w:val="0061310B"/>
    <w:rsid w:val="00613799"/>
    <w:rsid w:val="00613A47"/>
    <w:rsid w:val="00613C2C"/>
    <w:rsid w:val="00614495"/>
    <w:rsid w:val="006145D8"/>
    <w:rsid w:val="006148FF"/>
    <w:rsid w:val="00614BDB"/>
    <w:rsid w:val="00614F3E"/>
    <w:rsid w:val="00615025"/>
    <w:rsid w:val="006152D2"/>
    <w:rsid w:val="00615593"/>
    <w:rsid w:val="0061583B"/>
    <w:rsid w:val="00615E73"/>
    <w:rsid w:val="00616975"/>
    <w:rsid w:val="0061711B"/>
    <w:rsid w:val="00617268"/>
    <w:rsid w:val="00617838"/>
    <w:rsid w:val="00617B8D"/>
    <w:rsid w:val="006207A5"/>
    <w:rsid w:val="00620DA8"/>
    <w:rsid w:val="00621234"/>
    <w:rsid w:val="00621557"/>
    <w:rsid w:val="00621733"/>
    <w:rsid w:val="00621B8F"/>
    <w:rsid w:val="006222C6"/>
    <w:rsid w:val="00622940"/>
    <w:rsid w:val="00622DAB"/>
    <w:rsid w:val="00623A51"/>
    <w:rsid w:val="00624702"/>
    <w:rsid w:val="00624C12"/>
    <w:rsid w:val="00624F6B"/>
    <w:rsid w:val="00625515"/>
    <w:rsid w:val="0062576F"/>
    <w:rsid w:val="00625AB3"/>
    <w:rsid w:val="00625AB6"/>
    <w:rsid w:val="006268DB"/>
    <w:rsid w:val="00626946"/>
    <w:rsid w:val="006269A6"/>
    <w:rsid w:val="00626EB9"/>
    <w:rsid w:val="00627728"/>
    <w:rsid w:val="00627BA6"/>
    <w:rsid w:val="00627C2B"/>
    <w:rsid w:val="00627CE5"/>
    <w:rsid w:val="00627DFC"/>
    <w:rsid w:val="00630071"/>
    <w:rsid w:val="006300B2"/>
    <w:rsid w:val="00630B6E"/>
    <w:rsid w:val="00630FDD"/>
    <w:rsid w:val="006310D0"/>
    <w:rsid w:val="0063158C"/>
    <w:rsid w:val="006317FD"/>
    <w:rsid w:val="00631B84"/>
    <w:rsid w:val="00632454"/>
    <w:rsid w:val="006325D9"/>
    <w:rsid w:val="00632AE2"/>
    <w:rsid w:val="00632BC3"/>
    <w:rsid w:val="00632DBA"/>
    <w:rsid w:val="0063306B"/>
    <w:rsid w:val="006331AF"/>
    <w:rsid w:val="00633314"/>
    <w:rsid w:val="00633599"/>
    <w:rsid w:val="006337AE"/>
    <w:rsid w:val="0063398F"/>
    <w:rsid w:val="0063442A"/>
    <w:rsid w:val="006345FD"/>
    <w:rsid w:val="00634B57"/>
    <w:rsid w:val="00634C0C"/>
    <w:rsid w:val="00635C06"/>
    <w:rsid w:val="00635E0C"/>
    <w:rsid w:val="0063603F"/>
    <w:rsid w:val="006365A2"/>
    <w:rsid w:val="006365F4"/>
    <w:rsid w:val="006366E7"/>
    <w:rsid w:val="00636AF7"/>
    <w:rsid w:val="00636D91"/>
    <w:rsid w:val="00636ED5"/>
    <w:rsid w:val="00636FB1"/>
    <w:rsid w:val="0063752D"/>
    <w:rsid w:val="006377DA"/>
    <w:rsid w:val="00637B7A"/>
    <w:rsid w:val="00637BCC"/>
    <w:rsid w:val="00637D74"/>
    <w:rsid w:val="00637EED"/>
    <w:rsid w:val="00640058"/>
    <w:rsid w:val="006407DB"/>
    <w:rsid w:val="0064080B"/>
    <w:rsid w:val="00640B2D"/>
    <w:rsid w:val="00640C4C"/>
    <w:rsid w:val="00641CC9"/>
    <w:rsid w:val="00641E90"/>
    <w:rsid w:val="00642161"/>
    <w:rsid w:val="00642806"/>
    <w:rsid w:val="00642D94"/>
    <w:rsid w:val="006431AF"/>
    <w:rsid w:val="006434A1"/>
    <w:rsid w:val="00643509"/>
    <w:rsid w:val="00643F01"/>
    <w:rsid w:val="0064424A"/>
    <w:rsid w:val="00644743"/>
    <w:rsid w:val="00644CF8"/>
    <w:rsid w:val="00644D4E"/>
    <w:rsid w:val="00645802"/>
    <w:rsid w:val="00645C1C"/>
    <w:rsid w:val="00646588"/>
    <w:rsid w:val="00646589"/>
    <w:rsid w:val="006466F1"/>
    <w:rsid w:val="006468AF"/>
    <w:rsid w:val="00646AB0"/>
    <w:rsid w:val="00646F46"/>
    <w:rsid w:val="00647695"/>
    <w:rsid w:val="00650801"/>
    <w:rsid w:val="0065097E"/>
    <w:rsid w:val="00650D53"/>
    <w:rsid w:val="00650F4D"/>
    <w:rsid w:val="00651076"/>
    <w:rsid w:val="00651692"/>
    <w:rsid w:val="00651755"/>
    <w:rsid w:val="00651939"/>
    <w:rsid w:val="00651AC1"/>
    <w:rsid w:val="00652FDF"/>
    <w:rsid w:val="006536A4"/>
    <w:rsid w:val="00653EF7"/>
    <w:rsid w:val="00653F9A"/>
    <w:rsid w:val="00653FDF"/>
    <w:rsid w:val="006546C9"/>
    <w:rsid w:val="006550B4"/>
    <w:rsid w:val="006554C0"/>
    <w:rsid w:val="00655A06"/>
    <w:rsid w:val="006560A3"/>
    <w:rsid w:val="0065611F"/>
    <w:rsid w:val="00656FF6"/>
    <w:rsid w:val="00657499"/>
    <w:rsid w:val="00657E85"/>
    <w:rsid w:val="00657EDC"/>
    <w:rsid w:val="00657F64"/>
    <w:rsid w:val="00660231"/>
    <w:rsid w:val="0066028D"/>
    <w:rsid w:val="006603B1"/>
    <w:rsid w:val="00660729"/>
    <w:rsid w:val="006608AF"/>
    <w:rsid w:val="006608E4"/>
    <w:rsid w:val="00660F3F"/>
    <w:rsid w:val="00660FCD"/>
    <w:rsid w:val="00661441"/>
    <w:rsid w:val="006615C4"/>
    <w:rsid w:val="00661F53"/>
    <w:rsid w:val="00662006"/>
    <w:rsid w:val="006621D2"/>
    <w:rsid w:val="00662287"/>
    <w:rsid w:val="00662368"/>
    <w:rsid w:val="00663986"/>
    <w:rsid w:val="00664091"/>
    <w:rsid w:val="00664154"/>
    <w:rsid w:val="006646A8"/>
    <w:rsid w:val="00664786"/>
    <w:rsid w:val="0066497A"/>
    <w:rsid w:val="00665282"/>
    <w:rsid w:val="00665582"/>
    <w:rsid w:val="0066607A"/>
    <w:rsid w:val="00666473"/>
    <w:rsid w:val="00666745"/>
    <w:rsid w:val="00666B44"/>
    <w:rsid w:val="00667461"/>
    <w:rsid w:val="00667725"/>
    <w:rsid w:val="00667E61"/>
    <w:rsid w:val="00670023"/>
    <w:rsid w:val="00670294"/>
    <w:rsid w:val="006705EB"/>
    <w:rsid w:val="0067095B"/>
    <w:rsid w:val="006713AD"/>
    <w:rsid w:val="0067187D"/>
    <w:rsid w:val="006724D0"/>
    <w:rsid w:val="006724D2"/>
    <w:rsid w:val="00672C43"/>
    <w:rsid w:val="00672E4C"/>
    <w:rsid w:val="00672F5D"/>
    <w:rsid w:val="006731D5"/>
    <w:rsid w:val="0067340C"/>
    <w:rsid w:val="006738C9"/>
    <w:rsid w:val="00674429"/>
    <w:rsid w:val="0067507C"/>
    <w:rsid w:val="00675944"/>
    <w:rsid w:val="0067703C"/>
    <w:rsid w:val="00677396"/>
    <w:rsid w:val="0067746C"/>
    <w:rsid w:val="00677C8A"/>
    <w:rsid w:val="00677DB0"/>
    <w:rsid w:val="00680CD1"/>
    <w:rsid w:val="00680D00"/>
    <w:rsid w:val="00681A75"/>
    <w:rsid w:val="006820C7"/>
    <w:rsid w:val="00682518"/>
    <w:rsid w:val="006826E5"/>
    <w:rsid w:val="00682A37"/>
    <w:rsid w:val="006831EA"/>
    <w:rsid w:val="00683895"/>
    <w:rsid w:val="00683BF7"/>
    <w:rsid w:val="006848C0"/>
    <w:rsid w:val="0068538C"/>
    <w:rsid w:val="00686929"/>
    <w:rsid w:val="00686A54"/>
    <w:rsid w:val="00686B98"/>
    <w:rsid w:val="006871E5"/>
    <w:rsid w:val="0068760D"/>
    <w:rsid w:val="00690080"/>
    <w:rsid w:val="0069056B"/>
    <w:rsid w:val="006911A1"/>
    <w:rsid w:val="006915D5"/>
    <w:rsid w:val="00691637"/>
    <w:rsid w:val="00691984"/>
    <w:rsid w:val="00691DF5"/>
    <w:rsid w:val="00691F19"/>
    <w:rsid w:val="006925E5"/>
    <w:rsid w:val="00692976"/>
    <w:rsid w:val="00692FC8"/>
    <w:rsid w:val="006947B4"/>
    <w:rsid w:val="006947E2"/>
    <w:rsid w:val="00694B09"/>
    <w:rsid w:val="00694D0F"/>
    <w:rsid w:val="00694EF7"/>
    <w:rsid w:val="00695789"/>
    <w:rsid w:val="00695BDD"/>
    <w:rsid w:val="00695E85"/>
    <w:rsid w:val="00695F10"/>
    <w:rsid w:val="00696601"/>
    <w:rsid w:val="006969F2"/>
    <w:rsid w:val="00696FEA"/>
    <w:rsid w:val="006970D2"/>
    <w:rsid w:val="006972B7"/>
    <w:rsid w:val="006975A9"/>
    <w:rsid w:val="0069783A"/>
    <w:rsid w:val="00697B4D"/>
    <w:rsid w:val="00697BE7"/>
    <w:rsid w:val="00697C1A"/>
    <w:rsid w:val="00697D58"/>
    <w:rsid w:val="006A009A"/>
    <w:rsid w:val="006A0311"/>
    <w:rsid w:val="006A0CE2"/>
    <w:rsid w:val="006A0D05"/>
    <w:rsid w:val="006A0F47"/>
    <w:rsid w:val="006A0F6C"/>
    <w:rsid w:val="006A0FB0"/>
    <w:rsid w:val="006A135E"/>
    <w:rsid w:val="006A1542"/>
    <w:rsid w:val="006A1BF6"/>
    <w:rsid w:val="006A1E05"/>
    <w:rsid w:val="006A1E50"/>
    <w:rsid w:val="006A20EE"/>
    <w:rsid w:val="006A20FF"/>
    <w:rsid w:val="006A241E"/>
    <w:rsid w:val="006A32D8"/>
    <w:rsid w:val="006A3462"/>
    <w:rsid w:val="006A3719"/>
    <w:rsid w:val="006A426D"/>
    <w:rsid w:val="006A4FE7"/>
    <w:rsid w:val="006A55EB"/>
    <w:rsid w:val="006A58E1"/>
    <w:rsid w:val="006A6797"/>
    <w:rsid w:val="006A6957"/>
    <w:rsid w:val="006A773E"/>
    <w:rsid w:val="006A7B63"/>
    <w:rsid w:val="006B01C4"/>
    <w:rsid w:val="006B0567"/>
    <w:rsid w:val="006B101B"/>
    <w:rsid w:val="006B161C"/>
    <w:rsid w:val="006B1755"/>
    <w:rsid w:val="006B17C9"/>
    <w:rsid w:val="006B2E50"/>
    <w:rsid w:val="006B3A9C"/>
    <w:rsid w:val="006B3ACD"/>
    <w:rsid w:val="006B4378"/>
    <w:rsid w:val="006B5372"/>
    <w:rsid w:val="006B549C"/>
    <w:rsid w:val="006B556D"/>
    <w:rsid w:val="006B7042"/>
    <w:rsid w:val="006B7261"/>
    <w:rsid w:val="006B7477"/>
    <w:rsid w:val="006C0695"/>
    <w:rsid w:val="006C11C1"/>
    <w:rsid w:val="006C140D"/>
    <w:rsid w:val="006C1D92"/>
    <w:rsid w:val="006C1F21"/>
    <w:rsid w:val="006C2002"/>
    <w:rsid w:val="006C208D"/>
    <w:rsid w:val="006C2675"/>
    <w:rsid w:val="006C2AF5"/>
    <w:rsid w:val="006C31F9"/>
    <w:rsid w:val="006C3524"/>
    <w:rsid w:val="006C383D"/>
    <w:rsid w:val="006C392E"/>
    <w:rsid w:val="006C3DB5"/>
    <w:rsid w:val="006C3F9C"/>
    <w:rsid w:val="006C419E"/>
    <w:rsid w:val="006C44F3"/>
    <w:rsid w:val="006C4AB0"/>
    <w:rsid w:val="006C6659"/>
    <w:rsid w:val="006C680D"/>
    <w:rsid w:val="006C71BC"/>
    <w:rsid w:val="006C7500"/>
    <w:rsid w:val="006C775A"/>
    <w:rsid w:val="006C7F87"/>
    <w:rsid w:val="006D070C"/>
    <w:rsid w:val="006D0F10"/>
    <w:rsid w:val="006D174F"/>
    <w:rsid w:val="006D1BB7"/>
    <w:rsid w:val="006D1DEB"/>
    <w:rsid w:val="006D1F02"/>
    <w:rsid w:val="006D1F9B"/>
    <w:rsid w:val="006D2357"/>
    <w:rsid w:val="006D2380"/>
    <w:rsid w:val="006D25F7"/>
    <w:rsid w:val="006D2645"/>
    <w:rsid w:val="006D2F6A"/>
    <w:rsid w:val="006D2FD7"/>
    <w:rsid w:val="006D313A"/>
    <w:rsid w:val="006D31FB"/>
    <w:rsid w:val="006D3556"/>
    <w:rsid w:val="006D3DF8"/>
    <w:rsid w:val="006D49A1"/>
    <w:rsid w:val="006D4BB6"/>
    <w:rsid w:val="006D4CAE"/>
    <w:rsid w:val="006D5CB2"/>
    <w:rsid w:val="006D5EC1"/>
    <w:rsid w:val="006D624B"/>
    <w:rsid w:val="006D667B"/>
    <w:rsid w:val="006D6729"/>
    <w:rsid w:val="006D6786"/>
    <w:rsid w:val="006D711C"/>
    <w:rsid w:val="006D7B37"/>
    <w:rsid w:val="006E0775"/>
    <w:rsid w:val="006E0EC3"/>
    <w:rsid w:val="006E0F69"/>
    <w:rsid w:val="006E1291"/>
    <w:rsid w:val="006E1CC6"/>
    <w:rsid w:val="006E2402"/>
    <w:rsid w:val="006E262E"/>
    <w:rsid w:val="006E28F9"/>
    <w:rsid w:val="006E293E"/>
    <w:rsid w:val="006E2A83"/>
    <w:rsid w:val="006E2C6E"/>
    <w:rsid w:val="006E2C73"/>
    <w:rsid w:val="006E30B6"/>
    <w:rsid w:val="006E38D1"/>
    <w:rsid w:val="006E4221"/>
    <w:rsid w:val="006E43DF"/>
    <w:rsid w:val="006E4B50"/>
    <w:rsid w:val="006E5036"/>
    <w:rsid w:val="006E50F5"/>
    <w:rsid w:val="006E52B9"/>
    <w:rsid w:val="006E5469"/>
    <w:rsid w:val="006E58FD"/>
    <w:rsid w:val="006E6422"/>
    <w:rsid w:val="006E652A"/>
    <w:rsid w:val="006E65AC"/>
    <w:rsid w:val="006E6BE2"/>
    <w:rsid w:val="006E6EB8"/>
    <w:rsid w:val="006E6F5F"/>
    <w:rsid w:val="006E731D"/>
    <w:rsid w:val="006E7A87"/>
    <w:rsid w:val="006E7B37"/>
    <w:rsid w:val="006E7D14"/>
    <w:rsid w:val="006F1376"/>
    <w:rsid w:val="006F16C9"/>
    <w:rsid w:val="006F1881"/>
    <w:rsid w:val="006F199C"/>
    <w:rsid w:val="006F1F26"/>
    <w:rsid w:val="006F2601"/>
    <w:rsid w:val="006F2E4D"/>
    <w:rsid w:val="006F31BA"/>
    <w:rsid w:val="006F36DC"/>
    <w:rsid w:val="006F39D8"/>
    <w:rsid w:val="006F3AE9"/>
    <w:rsid w:val="006F446D"/>
    <w:rsid w:val="006F447D"/>
    <w:rsid w:val="006F4499"/>
    <w:rsid w:val="006F4BCC"/>
    <w:rsid w:val="006F4CFC"/>
    <w:rsid w:val="006F64ED"/>
    <w:rsid w:val="006F6B23"/>
    <w:rsid w:val="006F6F3E"/>
    <w:rsid w:val="006F7740"/>
    <w:rsid w:val="006F7F66"/>
    <w:rsid w:val="00700E52"/>
    <w:rsid w:val="00701441"/>
    <w:rsid w:val="00701956"/>
    <w:rsid w:val="00702260"/>
    <w:rsid w:val="00702571"/>
    <w:rsid w:val="00702627"/>
    <w:rsid w:val="00702C2A"/>
    <w:rsid w:val="0070329D"/>
    <w:rsid w:val="0070334D"/>
    <w:rsid w:val="007034E4"/>
    <w:rsid w:val="00703A8E"/>
    <w:rsid w:val="00704575"/>
    <w:rsid w:val="00704A6B"/>
    <w:rsid w:val="007050CF"/>
    <w:rsid w:val="00705973"/>
    <w:rsid w:val="007061DB"/>
    <w:rsid w:val="00706326"/>
    <w:rsid w:val="00706AED"/>
    <w:rsid w:val="00706C00"/>
    <w:rsid w:val="00706CF8"/>
    <w:rsid w:val="00706E63"/>
    <w:rsid w:val="00707036"/>
    <w:rsid w:val="007071BF"/>
    <w:rsid w:val="00707D4F"/>
    <w:rsid w:val="007102F7"/>
    <w:rsid w:val="00710809"/>
    <w:rsid w:val="0071085D"/>
    <w:rsid w:val="00710F27"/>
    <w:rsid w:val="00710F39"/>
    <w:rsid w:val="0071135A"/>
    <w:rsid w:val="00711D0C"/>
    <w:rsid w:val="007121CD"/>
    <w:rsid w:val="00712E5E"/>
    <w:rsid w:val="0071307A"/>
    <w:rsid w:val="007130A1"/>
    <w:rsid w:val="007136D4"/>
    <w:rsid w:val="00713BBA"/>
    <w:rsid w:val="007144B4"/>
    <w:rsid w:val="0071484B"/>
    <w:rsid w:val="007151FF"/>
    <w:rsid w:val="00715840"/>
    <w:rsid w:val="00715B9C"/>
    <w:rsid w:val="007162CD"/>
    <w:rsid w:val="00717AC9"/>
    <w:rsid w:val="00717E01"/>
    <w:rsid w:val="007207BD"/>
    <w:rsid w:val="007210E2"/>
    <w:rsid w:val="007211AD"/>
    <w:rsid w:val="007218C6"/>
    <w:rsid w:val="00721BD3"/>
    <w:rsid w:val="00722DD6"/>
    <w:rsid w:val="00723A28"/>
    <w:rsid w:val="00723A99"/>
    <w:rsid w:val="00724095"/>
    <w:rsid w:val="00724475"/>
    <w:rsid w:val="00724ED4"/>
    <w:rsid w:val="00725132"/>
    <w:rsid w:val="00725183"/>
    <w:rsid w:val="00725EA3"/>
    <w:rsid w:val="0072670F"/>
    <w:rsid w:val="00726855"/>
    <w:rsid w:val="00726A61"/>
    <w:rsid w:val="00726B32"/>
    <w:rsid w:val="00726CF8"/>
    <w:rsid w:val="00727045"/>
    <w:rsid w:val="007271EE"/>
    <w:rsid w:val="0072729B"/>
    <w:rsid w:val="007278EB"/>
    <w:rsid w:val="00727A4A"/>
    <w:rsid w:val="00730737"/>
    <w:rsid w:val="00730AE6"/>
    <w:rsid w:val="00730E0A"/>
    <w:rsid w:val="0073152C"/>
    <w:rsid w:val="00732103"/>
    <w:rsid w:val="0073218A"/>
    <w:rsid w:val="007323DF"/>
    <w:rsid w:val="0073277F"/>
    <w:rsid w:val="00733C49"/>
    <w:rsid w:val="00733F3A"/>
    <w:rsid w:val="00734CE7"/>
    <w:rsid w:val="00736032"/>
    <w:rsid w:val="0073697B"/>
    <w:rsid w:val="007370AF"/>
    <w:rsid w:val="0073757C"/>
    <w:rsid w:val="0074088C"/>
    <w:rsid w:val="00741BF9"/>
    <w:rsid w:val="007423E6"/>
    <w:rsid w:val="0074286A"/>
    <w:rsid w:val="0074297F"/>
    <w:rsid w:val="007429ED"/>
    <w:rsid w:val="00742FE3"/>
    <w:rsid w:val="00743439"/>
    <w:rsid w:val="0074377B"/>
    <w:rsid w:val="0074383E"/>
    <w:rsid w:val="00744296"/>
    <w:rsid w:val="0074454D"/>
    <w:rsid w:val="00744F86"/>
    <w:rsid w:val="007452F9"/>
    <w:rsid w:val="007456FC"/>
    <w:rsid w:val="0074580D"/>
    <w:rsid w:val="00745F7B"/>
    <w:rsid w:val="00746694"/>
    <w:rsid w:val="00747094"/>
    <w:rsid w:val="0074730D"/>
    <w:rsid w:val="0075003E"/>
    <w:rsid w:val="007500B4"/>
    <w:rsid w:val="0075050D"/>
    <w:rsid w:val="00750533"/>
    <w:rsid w:val="0075068A"/>
    <w:rsid w:val="00751156"/>
    <w:rsid w:val="00751794"/>
    <w:rsid w:val="007517A2"/>
    <w:rsid w:val="007521B9"/>
    <w:rsid w:val="007522AF"/>
    <w:rsid w:val="00752AC4"/>
    <w:rsid w:val="00752D03"/>
    <w:rsid w:val="00752DFD"/>
    <w:rsid w:val="00752EF3"/>
    <w:rsid w:val="007531B9"/>
    <w:rsid w:val="007536B2"/>
    <w:rsid w:val="00753BF6"/>
    <w:rsid w:val="007541FB"/>
    <w:rsid w:val="007542C5"/>
    <w:rsid w:val="00754475"/>
    <w:rsid w:val="0075535A"/>
    <w:rsid w:val="00755B13"/>
    <w:rsid w:val="007562CD"/>
    <w:rsid w:val="0075638B"/>
    <w:rsid w:val="00756A9C"/>
    <w:rsid w:val="00757150"/>
    <w:rsid w:val="0075727A"/>
    <w:rsid w:val="00757444"/>
    <w:rsid w:val="007574E4"/>
    <w:rsid w:val="0075784D"/>
    <w:rsid w:val="0075794E"/>
    <w:rsid w:val="007605E2"/>
    <w:rsid w:val="00760936"/>
    <w:rsid w:val="00761152"/>
    <w:rsid w:val="00761315"/>
    <w:rsid w:val="007616DF"/>
    <w:rsid w:val="00761C43"/>
    <w:rsid w:val="00761FB2"/>
    <w:rsid w:val="00762A31"/>
    <w:rsid w:val="00763345"/>
    <w:rsid w:val="007639C2"/>
    <w:rsid w:val="00763DC7"/>
    <w:rsid w:val="00764A23"/>
    <w:rsid w:val="00764E08"/>
    <w:rsid w:val="00764F74"/>
    <w:rsid w:val="00765370"/>
    <w:rsid w:val="007655AD"/>
    <w:rsid w:val="00765B32"/>
    <w:rsid w:val="0076603F"/>
    <w:rsid w:val="00766173"/>
    <w:rsid w:val="007661DC"/>
    <w:rsid w:val="007663FE"/>
    <w:rsid w:val="007667EF"/>
    <w:rsid w:val="00766A1C"/>
    <w:rsid w:val="00766E48"/>
    <w:rsid w:val="00766F18"/>
    <w:rsid w:val="00767051"/>
    <w:rsid w:val="00767122"/>
    <w:rsid w:val="007672E9"/>
    <w:rsid w:val="007678B2"/>
    <w:rsid w:val="00767BFE"/>
    <w:rsid w:val="00770071"/>
    <w:rsid w:val="00770D2E"/>
    <w:rsid w:val="00770F78"/>
    <w:rsid w:val="007714A5"/>
    <w:rsid w:val="00771517"/>
    <w:rsid w:val="00771910"/>
    <w:rsid w:val="00771C50"/>
    <w:rsid w:val="00771F4D"/>
    <w:rsid w:val="00772051"/>
    <w:rsid w:val="007720D2"/>
    <w:rsid w:val="00772C27"/>
    <w:rsid w:val="00772EFC"/>
    <w:rsid w:val="00773D15"/>
    <w:rsid w:val="007742A2"/>
    <w:rsid w:val="00774554"/>
    <w:rsid w:val="00774571"/>
    <w:rsid w:val="007748CD"/>
    <w:rsid w:val="00774A6D"/>
    <w:rsid w:val="00774E29"/>
    <w:rsid w:val="00775505"/>
    <w:rsid w:val="00775E72"/>
    <w:rsid w:val="00776315"/>
    <w:rsid w:val="0077635C"/>
    <w:rsid w:val="007766EC"/>
    <w:rsid w:val="007768EB"/>
    <w:rsid w:val="00776FD7"/>
    <w:rsid w:val="00777017"/>
    <w:rsid w:val="0077790C"/>
    <w:rsid w:val="00777B86"/>
    <w:rsid w:val="00777F41"/>
    <w:rsid w:val="0078025A"/>
    <w:rsid w:val="007804B0"/>
    <w:rsid w:val="00780AB3"/>
    <w:rsid w:val="0078106B"/>
    <w:rsid w:val="0078137D"/>
    <w:rsid w:val="0078236C"/>
    <w:rsid w:val="00782411"/>
    <w:rsid w:val="00782546"/>
    <w:rsid w:val="00782925"/>
    <w:rsid w:val="00782B45"/>
    <w:rsid w:val="00782E04"/>
    <w:rsid w:val="00782F7E"/>
    <w:rsid w:val="00782F87"/>
    <w:rsid w:val="00783474"/>
    <w:rsid w:val="0078394D"/>
    <w:rsid w:val="00783978"/>
    <w:rsid w:val="00783CE2"/>
    <w:rsid w:val="007846F2"/>
    <w:rsid w:val="00784C09"/>
    <w:rsid w:val="00785ABE"/>
    <w:rsid w:val="00785BB7"/>
    <w:rsid w:val="00785EFF"/>
    <w:rsid w:val="00786066"/>
    <w:rsid w:val="00787208"/>
    <w:rsid w:val="00787435"/>
    <w:rsid w:val="00787876"/>
    <w:rsid w:val="00787A29"/>
    <w:rsid w:val="00787A2B"/>
    <w:rsid w:val="007906FC"/>
    <w:rsid w:val="00790CB6"/>
    <w:rsid w:val="007910EB"/>
    <w:rsid w:val="007911A7"/>
    <w:rsid w:val="00791550"/>
    <w:rsid w:val="00791731"/>
    <w:rsid w:val="00791821"/>
    <w:rsid w:val="00791CED"/>
    <w:rsid w:val="00792E4A"/>
    <w:rsid w:val="007937BA"/>
    <w:rsid w:val="00793F17"/>
    <w:rsid w:val="00794378"/>
    <w:rsid w:val="0079452C"/>
    <w:rsid w:val="0079542D"/>
    <w:rsid w:val="007956C6"/>
    <w:rsid w:val="00795CBC"/>
    <w:rsid w:val="00796F0B"/>
    <w:rsid w:val="0079710C"/>
    <w:rsid w:val="00797972"/>
    <w:rsid w:val="007A0532"/>
    <w:rsid w:val="007A0B8A"/>
    <w:rsid w:val="007A1259"/>
    <w:rsid w:val="007A15B5"/>
    <w:rsid w:val="007A1985"/>
    <w:rsid w:val="007A1E36"/>
    <w:rsid w:val="007A2AC8"/>
    <w:rsid w:val="007A30AD"/>
    <w:rsid w:val="007A3C73"/>
    <w:rsid w:val="007A3D69"/>
    <w:rsid w:val="007A418C"/>
    <w:rsid w:val="007A43BE"/>
    <w:rsid w:val="007A456D"/>
    <w:rsid w:val="007A4616"/>
    <w:rsid w:val="007A4ABD"/>
    <w:rsid w:val="007A516D"/>
    <w:rsid w:val="007A520B"/>
    <w:rsid w:val="007A5888"/>
    <w:rsid w:val="007A5A16"/>
    <w:rsid w:val="007A5B21"/>
    <w:rsid w:val="007A5EB9"/>
    <w:rsid w:val="007A5EFF"/>
    <w:rsid w:val="007A6119"/>
    <w:rsid w:val="007A6703"/>
    <w:rsid w:val="007A69CB"/>
    <w:rsid w:val="007A6C90"/>
    <w:rsid w:val="007A6E77"/>
    <w:rsid w:val="007A73D6"/>
    <w:rsid w:val="007A765A"/>
    <w:rsid w:val="007A7A54"/>
    <w:rsid w:val="007A7A88"/>
    <w:rsid w:val="007B01AB"/>
    <w:rsid w:val="007B0ED8"/>
    <w:rsid w:val="007B1215"/>
    <w:rsid w:val="007B1620"/>
    <w:rsid w:val="007B21FE"/>
    <w:rsid w:val="007B2330"/>
    <w:rsid w:val="007B233F"/>
    <w:rsid w:val="007B24ED"/>
    <w:rsid w:val="007B25C0"/>
    <w:rsid w:val="007B27F4"/>
    <w:rsid w:val="007B2E4C"/>
    <w:rsid w:val="007B37AA"/>
    <w:rsid w:val="007B3C4F"/>
    <w:rsid w:val="007B4677"/>
    <w:rsid w:val="007B4998"/>
    <w:rsid w:val="007B501E"/>
    <w:rsid w:val="007B5089"/>
    <w:rsid w:val="007B554A"/>
    <w:rsid w:val="007B6527"/>
    <w:rsid w:val="007B68BA"/>
    <w:rsid w:val="007B6D13"/>
    <w:rsid w:val="007B6F0E"/>
    <w:rsid w:val="007B7E13"/>
    <w:rsid w:val="007C02FF"/>
    <w:rsid w:val="007C082B"/>
    <w:rsid w:val="007C08C5"/>
    <w:rsid w:val="007C1554"/>
    <w:rsid w:val="007C162B"/>
    <w:rsid w:val="007C1C9B"/>
    <w:rsid w:val="007C1FFC"/>
    <w:rsid w:val="007C2573"/>
    <w:rsid w:val="007C25B5"/>
    <w:rsid w:val="007C28B4"/>
    <w:rsid w:val="007C293C"/>
    <w:rsid w:val="007C2AC6"/>
    <w:rsid w:val="007C43C2"/>
    <w:rsid w:val="007C5352"/>
    <w:rsid w:val="007C5ACC"/>
    <w:rsid w:val="007C65E5"/>
    <w:rsid w:val="007C66E8"/>
    <w:rsid w:val="007C6ADD"/>
    <w:rsid w:val="007C6CDD"/>
    <w:rsid w:val="007C6E83"/>
    <w:rsid w:val="007C7BEA"/>
    <w:rsid w:val="007C7C5D"/>
    <w:rsid w:val="007D17BF"/>
    <w:rsid w:val="007D19B0"/>
    <w:rsid w:val="007D1EDB"/>
    <w:rsid w:val="007D25F8"/>
    <w:rsid w:val="007D2718"/>
    <w:rsid w:val="007D4116"/>
    <w:rsid w:val="007D5403"/>
    <w:rsid w:val="007D5484"/>
    <w:rsid w:val="007D550A"/>
    <w:rsid w:val="007D56D3"/>
    <w:rsid w:val="007D59B7"/>
    <w:rsid w:val="007D5FEE"/>
    <w:rsid w:val="007D6035"/>
    <w:rsid w:val="007D6287"/>
    <w:rsid w:val="007D6E54"/>
    <w:rsid w:val="007D6F54"/>
    <w:rsid w:val="007D737D"/>
    <w:rsid w:val="007D7771"/>
    <w:rsid w:val="007D7942"/>
    <w:rsid w:val="007D7CC6"/>
    <w:rsid w:val="007E00E5"/>
    <w:rsid w:val="007E0546"/>
    <w:rsid w:val="007E0C1E"/>
    <w:rsid w:val="007E10EE"/>
    <w:rsid w:val="007E1211"/>
    <w:rsid w:val="007E1456"/>
    <w:rsid w:val="007E1ED4"/>
    <w:rsid w:val="007E2DBF"/>
    <w:rsid w:val="007E3037"/>
    <w:rsid w:val="007E348A"/>
    <w:rsid w:val="007E3B55"/>
    <w:rsid w:val="007E3FC4"/>
    <w:rsid w:val="007E4476"/>
    <w:rsid w:val="007E4EC1"/>
    <w:rsid w:val="007E5134"/>
    <w:rsid w:val="007E531D"/>
    <w:rsid w:val="007E5676"/>
    <w:rsid w:val="007E5DE3"/>
    <w:rsid w:val="007E6572"/>
    <w:rsid w:val="007E6F0D"/>
    <w:rsid w:val="007E7F8F"/>
    <w:rsid w:val="007F042B"/>
    <w:rsid w:val="007F0861"/>
    <w:rsid w:val="007F0A35"/>
    <w:rsid w:val="007F0B79"/>
    <w:rsid w:val="007F0BF2"/>
    <w:rsid w:val="007F0C62"/>
    <w:rsid w:val="007F13B4"/>
    <w:rsid w:val="007F1F9E"/>
    <w:rsid w:val="007F1FC4"/>
    <w:rsid w:val="007F2430"/>
    <w:rsid w:val="007F292B"/>
    <w:rsid w:val="007F4A88"/>
    <w:rsid w:val="007F54C0"/>
    <w:rsid w:val="007F565A"/>
    <w:rsid w:val="007F59D4"/>
    <w:rsid w:val="007F6A34"/>
    <w:rsid w:val="007F7E7C"/>
    <w:rsid w:val="007F7EB5"/>
    <w:rsid w:val="0080014D"/>
    <w:rsid w:val="008009E3"/>
    <w:rsid w:val="00801245"/>
    <w:rsid w:val="008014B4"/>
    <w:rsid w:val="008018A5"/>
    <w:rsid w:val="00801F18"/>
    <w:rsid w:val="00802275"/>
    <w:rsid w:val="00802459"/>
    <w:rsid w:val="0080331A"/>
    <w:rsid w:val="00803BF7"/>
    <w:rsid w:val="00803DD7"/>
    <w:rsid w:val="008042E1"/>
    <w:rsid w:val="008048B2"/>
    <w:rsid w:val="00805576"/>
    <w:rsid w:val="0080586B"/>
    <w:rsid w:val="00806138"/>
    <w:rsid w:val="00806DAE"/>
    <w:rsid w:val="00807474"/>
    <w:rsid w:val="00807699"/>
    <w:rsid w:val="00807C2B"/>
    <w:rsid w:val="00810141"/>
    <w:rsid w:val="008102E3"/>
    <w:rsid w:val="00810480"/>
    <w:rsid w:val="00810B71"/>
    <w:rsid w:val="00810C25"/>
    <w:rsid w:val="00811704"/>
    <w:rsid w:val="00811E7C"/>
    <w:rsid w:val="008120AC"/>
    <w:rsid w:val="008121AD"/>
    <w:rsid w:val="0081249F"/>
    <w:rsid w:val="00812765"/>
    <w:rsid w:val="00812B68"/>
    <w:rsid w:val="00812FCB"/>
    <w:rsid w:val="0081343D"/>
    <w:rsid w:val="00813DDC"/>
    <w:rsid w:val="0081484B"/>
    <w:rsid w:val="00815353"/>
    <w:rsid w:val="008155A5"/>
    <w:rsid w:val="00815993"/>
    <w:rsid w:val="00815BC2"/>
    <w:rsid w:val="00815DD4"/>
    <w:rsid w:val="00815EB5"/>
    <w:rsid w:val="00816606"/>
    <w:rsid w:val="008166F0"/>
    <w:rsid w:val="00816E16"/>
    <w:rsid w:val="0081735C"/>
    <w:rsid w:val="008203C1"/>
    <w:rsid w:val="008203F6"/>
    <w:rsid w:val="0082161A"/>
    <w:rsid w:val="00821F8B"/>
    <w:rsid w:val="00822312"/>
    <w:rsid w:val="0082235A"/>
    <w:rsid w:val="008223F4"/>
    <w:rsid w:val="008224D0"/>
    <w:rsid w:val="00822A48"/>
    <w:rsid w:val="00822FF6"/>
    <w:rsid w:val="00823966"/>
    <w:rsid w:val="00823A5B"/>
    <w:rsid w:val="008247C3"/>
    <w:rsid w:val="00824CA5"/>
    <w:rsid w:val="00824DD3"/>
    <w:rsid w:val="00824EA7"/>
    <w:rsid w:val="00825120"/>
    <w:rsid w:val="00825E3D"/>
    <w:rsid w:val="00825FD6"/>
    <w:rsid w:val="0082617F"/>
    <w:rsid w:val="008268E9"/>
    <w:rsid w:val="00826ADE"/>
    <w:rsid w:val="00826B11"/>
    <w:rsid w:val="00826C2E"/>
    <w:rsid w:val="00826CDA"/>
    <w:rsid w:val="00826D3F"/>
    <w:rsid w:val="00826D5B"/>
    <w:rsid w:val="00827522"/>
    <w:rsid w:val="008277A2"/>
    <w:rsid w:val="008278AC"/>
    <w:rsid w:val="00827987"/>
    <w:rsid w:val="00827C1C"/>
    <w:rsid w:val="00827FFD"/>
    <w:rsid w:val="0083044D"/>
    <w:rsid w:val="008316E6"/>
    <w:rsid w:val="00831B16"/>
    <w:rsid w:val="00831CD1"/>
    <w:rsid w:val="00832C66"/>
    <w:rsid w:val="00833252"/>
    <w:rsid w:val="00833594"/>
    <w:rsid w:val="008337FA"/>
    <w:rsid w:val="0083444B"/>
    <w:rsid w:val="0083449F"/>
    <w:rsid w:val="008348AF"/>
    <w:rsid w:val="00834C49"/>
    <w:rsid w:val="00834D21"/>
    <w:rsid w:val="0083537E"/>
    <w:rsid w:val="00835EED"/>
    <w:rsid w:val="0083627E"/>
    <w:rsid w:val="008369B4"/>
    <w:rsid w:val="00836DBF"/>
    <w:rsid w:val="0083784C"/>
    <w:rsid w:val="008403F6"/>
    <w:rsid w:val="00840764"/>
    <w:rsid w:val="00841175"/>
    <w:rsid w:val="008419F7"/>
    <w:rsid w:val="00841F8E"/>
    <w:rsid w:val="0084245D"/>
    <w:rsid w:val="00842AE4"/>
    <w:rsid w:val="00843069"/>
    <w:rsid w:val="00843208"/>
    <w:rsid w:val="00843567"/>
    <w:rsid w:val="0084359D"/>
    <w:rsid w:val="00843F93"/>
    <w:rsid w:val="00844BAE"/>
    <w:rsid w:val="00845477"/>
    <w:rsid w:val="008454BF"/>
    <w:rsid w:val="008454D1"/>
    <w:rsid w:val="008455B5"/>
    <w:rsid w:val="008456CE"/>
    <w:rsid w:val="0084596C"/>
    <w:rsid w:val="00845A3D"/>
    <w:rsid w:val="00845C58"/>
    <w:rsid w:val="00845E65"/>
    <w:rsid w:val="008460D3"/>
    <w:rsid w:val="008467E0"/>
    <w:rsid w:val="00846F0E"/>
    <w:rsid w:val="00847021"/>
    <w:rsid w:val="00847380"/>
    <w:rsid w:val="008475BD"/>
    <w:rsid w:val="00847874"/>
    <w:rsid w:val="00847DB7"/>
    <w:rsid w:val="008502E2"/>
    <w:rsid w:val="0085031A"/>
    <w:rsid w:val="00850A71"/>
    <w:rsid w:val="008529CC"/>
    <w:rsid w:val="00852EBB"/>
    <w:rsid w:val="00853AC6"/>
    <w:rsid w:val="00853DEF"/>
    <w:rsid w:val="00853F21"/>
    <w:rsid w:val="0085422F"/>
    <w:rsid w:val="0085424B"/>
    <w:rsid w:val="008548C8"/>
    <w:rsid w:val="008548D2"/>
    <w:rsid w:val="0085513E"/>
    <w:rsid w:val="00855789"/>
    <w:rsid w:val="0085601D"/>
    <w:rsid w:val="00856E39"/>
    <w:rsid w:val="00857A25"/>
    <w:rsid w:val="00860524"/>
    <w:rsid w:val="0086058A"/>
    <w:rsid w:val="0086069D"/>
    <w:rsid w:val="00860BF8"/>
    <w:rsid w:val="00860E36"/>
    <w:rsid w:val="00861CB8"/>
    <w:rsid w:val="00861EC8"/>
    <w:rsid w:val="008625E0"/>
    <w:rsid w:val="00862B8B"/>
    <w:rsid w:val="008633F6"/>
    <w:rsid w:val="008635B2"/>
    <w:rsid w:val="00863785"/>
    <w:rsid w:val="00863FA1"/>
    <w:rsid w:val="00864E66"/>
    <w:rsid w:val="00864F8D"/>
    <w:rsid w:val="008652C6"/>
    <w:rsid w:val="008659A7"/>
    <w:rsid w:val="00865A0F"/>
    <w:rsid w:val="00865DE3"/>
    <w:rsid w:val="00865F29"/>
    <w:rsid w:val="0086618B"/>
    <w:rsid w:val="00866F3E"/>
    <w:rsid w:val="00867009"/>
    <w:rsid w:val="008706B6"/>
    <w:rsid w:val="0087093E"/>
    <w:rsid w:val="00870E65"/>
    <w:rsid w:val="0087155C"/>
    <w:rsid w:val="0087202F"/>
    <w:rsid w:val="0087224A"/>
    <w:rsid w:val="0087231B"/>
    <w:rsid w:val="00872BA0"/>
    <w:rsid w:val="008732C9"/>
    <w:rsid w:val="008735E0"/>
    <w:rsid w:val="00873D99"/>
    <w:rsid w:val="008741DE"/>
    <w:rsid w:val="00874381"/>
    <w:rsid w:val="008744C0"/>
    <w:rsid w:val="008748BD"/>
    <w:rsid w:val="0087491A"/>
    <w:rsid w:val="00874D61"/>
    <w:rsid w:val="00875521"/>
    <w:rsid w:val="00875CC0"/>
    <w:rsid w:val="00875CD5"/>
    <w:rsid w:val="008760F7"/>
    <w:rsid w:val="0087644A"/>
    <w:rsid w:val="0087652C"/>
    <w:rsid w:val="00876A6E"/>
    <w:rsid w:val="008775DD"/>
    <w:rsid w:val="008776A7"/>
    <w:rsid w:val="008800F0"/>
    <w:rsid w:val="0088072E"/>
    <w:rsid w:val="0088081A"/>
    <w:rsid w:val="00880B14"/>
    <w:rsid w:val="008816CB"/>
    <w:rsid w:val="00881C64"/>
    <w:rsid w:val="0088209D"/>
    <w:rsid w:val="008820B6"/>
    <w:rsid w:val="008824D8"/>
    <w:rsid w:val="0088272F"/>
    <w:rsid w:val="008833FE"/>
    <w:rsid w:val="0088388F"/>
    <w:rsid w:val="00883AAA"/>
    <w:rsid w:val="00883CAA"/>
    <w:rsid w:val="00883CAE"/>
    <w:rsid w:val="00884998"/>
    <w:rsid w:val="00884EC2"/>
    <w:rsid w:val="00884FE7"/>
    <w:rsid w:val="0088509D"/>
    <w:rsid w:val="008857CC"/>
    <w:rsid w:val="00885DBD"/>
    <w:rsid w:val="008861EC"/>
    <w:rsid w:val="0088657A"/>
    <w:rsid w:val="00886A30"/>
    <w:rsid w:val="00886E79"/>
    <w:rsid w:val="008870BA"/>
    <w:rsid w:val="00887700"/>
    <w:rsid w:val="00887988"/>
    <w:rsid w:val="00887A41"/>
    <w:rsid w:val="00887AAF"/>
    <w:rsid w:val="00887E58"/>
    <w:rsid w:val="00890241"/>
    <w:rsid w:val="0089043A"/>
    <w:rsid w:val="00890961"/>
    <w:rsid w:val="00890EDB"/>
    <w:rsid w:val="00890EF0"/>
    <w:rsid w:val="00891364"/>
    <w:rsid w:val="008916CA"/>
    <w:rsid w:val="008918EC"/>
    <w:rsid w:val="0089197B"/>
    <w:rsid w:val="00891C1C"/>
    <w:rsid w:val="00891C73"/>
    <w:rsid w:val="00891DB4"/>
    <w:rsid w:val="00892E83"/>
    <w:rsid w:val="008932D6"/>
    <w:rsid w:val="00893B00"/>
    <w:rsid w:val="008946F9"/>
    <w:rsid w:val="00894AED"/>
    <w:rsid w:val="00894FBE"/>
    <w:rsid w:val="0089565A"/>
    <w:rsid w:val="00895667"/>
    <w:rsid w:val="00895932"/>
    <w:rsid w:val="008959EA"/>
    <w:rsid w:val="0089603A"/>
    <w:rsid w:val="00896D52"/>
    <w:rsid w:val="0089709A"/>
    <w:rsid w:val="0089751E"/>
    <w:rsid w:val="00897877"/>
    <w:rsid w:val="00897FF2"/>
    <w:rsid w:val="008A0A4B"/>
    <w:rsid w:val="008A0BAE"/>
    <w:rsid w:val="008A0D19"/>
    <w:rsid w:val="008A18F9"/>
    <w:rsid w:val="008A1BC2"/>
    <w:rsid w:val="008A224A"/>
    <w:rsid w:val="008A2802"/>
    <w:rsid w:val="008A28E4"/>
    <w:rsid w:val="008A2D3F"/>
    <w:rsid w:val="008A2E07"/>
    <w:rsid w:val="008A2FB0"/>
    <w:rsid w:val="008A3071"/>
    <w:rsid w:val="008A39EA"/>
    <w:rsid w:val="008A3F72"/>
    <w:rsid w:val="008A4271"/>
    <w:rsid w:val="008A4488"/>
    <w:rsid w:val="008A4FD2"/>
    <w:rsid w:val="008A565F"/>
    <w:rsid w:val="008A595E"/>
    <w:rsid w:val="008A5AE7"/>
    <w:rsid w:val="008A5C6A"/>
    <w:rsid w:val="008A5FD7"/>
    <w:rsid w:val="008A6170"/>
    <w:rsid w:val="008A6A4C"/>
    <w:rsid w:val="008A76C3"/>
    <w:rsid w:val="008A7875"/>
    <w:rsid w:val="008A78C1"/>
    <w:rsid w:val="008A79B0"/>
    <w:rsid w:val="008B00EB"/>
    <w:rsid w:val="008B0816"/>
    <w:rsid w:val="008B0AEC"/>
    <w:rsid w:val="008B0DE3"/>
    <w:rsid w:val="008B1392"/>
    <w:rsid w:val="008B1C7C"/>
    <w:rsid w:val="008B2B86"/>
    <w:rsid w:val="008B339D"/>
    <w:rsid w:val="008B33CE"/>
    <w:rsid w:val="008B36C1"/>
    <w:rsid w:val="008B4AD1"/>
    <w:rsid w:val="008B55C1"/>
    <w:rsid w:val="008B5774"/>
    <w:rsid w:val="008B5A8D"/>
    <w:rsid w:val="008B6713"/>
    <w:rsid w:val="008B6F1A"/>
    <w:rsid w:val="008C00B8"/>
    <w:rsid w:val="008C0231"/>
    <w:rsid w:val="008C0EF8"/>
    <w:rsid w:val="008C25E5"/>
    <w:rsid w:val="008C2672"/>
    <w:rsid w:val="008C3146"/>
    <w:rsid w:val="008C369E"/>
    <w:rsid w:val="008C3945"/>
    <w:rsid w:val="008C443B"/>
    <w:rsid w:val="008C4699"/>
    <w:rsid w:val="008C4DC2"/>
    <w:rsid w:val="008C4FC6"/>
    <w:rsid w:val="008C5041"/>
    <w:rsid w:val="008C5119"/>
    <w:rsid w:val="008C544F"/>
    <w:rsid w:val="008C54A3"/>
    <w:rsid w:val="008C55EF"/>
    <w:rsid w:val="008C5C78"/>
    <w:rsid w:val="008C5EB0"/>
    <w:rsid w:val="008C5EDC"/>
    <w:rsid w:val="008C614D"/>
    <w:rsid w:val="008C63DB"/>
    <w:rsid w:val="008C65DE"/>
    <w:rsid w:val="008C75D3"/>
    <w:rsid w:val="008C7912"/>
    <w:rsid w:val="008C7934"/>
    <w:rsid w:val="008D0249"/>
    <w:rsid w:val="008D0CE5"/>
    <w:rsid w:val="008D10EE"/>
    <w:rsid w:val="008D1BC6"/>
    <w:rsid w:val="008D1D17"/>
    <w:rsid w:val="008D21D2"/>
    <w:rsid w:val="008D22C3"/>
    <w:rsid w:val="008D28AE"/>
    <w:rsid w:val="008D3ACB"/>
    <w:rsid w:val="008D4635"/>
    <w:rsid w:val="008D4913"/>
    <w:rsid w:val="008D4BB6"/>
    <w:rsid w:val="008D4F8A"/>
    <w:rsid w:val="008D5572"/>
    <w:rsid w:val="008D57C3"/>
    <w:rsid w:val="008D7119"/>
    <w:rsid w:val="008D773F"/>
    <w:rsid w:val="008D77A6"/>
    <w:rsid w:val="008D7F20"/>
    <w:rsid w:val="008E0296"/>
    <w:rsid w:val="008E051D"/>
    <w:rsid w:val="008E07AE"/>
    <w:rsid w:val="008E081B"/>
    <w:rsid w:val="008E0C45"/>
    <w:rsid w:val="008E0EFD"/>
    <w:rsid w:val="008E1424"/>
    <w:rsid w:val="008E149F"/>
    <w:rsid w:val="008E206E"/>
    <w:rsid w:val="008E2166"/>
    <w:rsid w:val="008E21A1"/>
    <w:rsid w:val="008E2618"/>
    <w:rsid w:val="008E2A55"/>
    <w:rsid w:val="008E2B7B"/>
    <w:rsid w:val="008E2E8D"/>
    <w:rsid w:val="008E3263"/>
    <w:rsid w:val="008E334C"/>
    <w:rsid w:val="008E36BF"/>
    <w:rsid w:val="008E3713"/>
    <w:rsid w:val="008E3A38"/>
    <w:rsid w:val="008E3AF0"/>
    <w:rsid w:val="008E3B9A"/>
    <w:rsid w:val="008E3D38"/>
    <w:rsid w:val="008E48E6"/>
    <w:rsid w:val="008E4F8D"/>
    <w:rsid w:val="008E5286"/>
    <w:rsid w:val="008E54E4"/>
    <w:rsid w:val="008E5FE5"/>
    <w:rsid w:val="008E6306"/>
    <w:rsid w:val="008E6A76"/>
    <w:rsid w:val="008E6AD4"/>
    <w:rsid w:val="008E6B59"/>
    <w:rsid w:val="008E7186"/>
    <w:rsid w:val="008F0BE4"/>
    <w:rsid w:val="008F0FE5"/>
    <w:rsid w:val="008F205C"/>
    <w:rsid w:val="008F20AE"/>
    <w:rsid w:val="008F2C3F"/>
    <w:rsid w:val="008F30B2"/>
    <w:rsid w:val="008F3225"/>
    <w:rsid w:val="008F372E"/>
    <w:rsid w:val="008F389B"/>
    <w:rsid w:val="008F3DD8"/>
    <w:rsid w:val="008F46CF"/>
    <w:rsid w:val="008F5816"/>
    <w:rsid w:val="008F6C01"/>
    <w:rsid w:val="008F71B9"/>
    <w:rsid w:val="008F733C"/>
    <w:rsid w:val="008F73EE"/>
    <w:rsid w:val="008F763B"/>
    <w:rsid w:val="0090038B"/>
    <w:rsid w:val="00900AFB"/>
    <w:rsid w:val="0090109E"/>
    <w:rsid w:val="00901291"/>
    <w:rsid w:val="00901F95"/>
    <w:rsid w:val="00902F01"/>
    <w:rsid w:val="009032B1"/>
    <w:rsid w:val="00903414"/>
    <w:rsid w:val="00903F64"/>
    <w:rsid w:val="009042E3"/>
    <w:rsid w:val="00904365"/>
    <w:rsid w:val="009048DD"/>
    <w:rsid w:val="00904C77"/>
    <w:rsid w:val="0090514F"/>
    <w:rsid w:val="00905BC3"/>
    <w:rsid w:val="00905E02"/>
    <w:rsid w:val="009061BA"/>
    <w:rsid w:val="009061D7"/>
    <w:rsid w:val="0090639A"/>
    <w:rsid w:val="00906445"/>
    <w:rsid w:val="009067C3"/>
    <w:rsid w:val="009074BD"/>
    <w:rsid w:val="00907530"/>
    <w:rsid w:val="009077E4"/>
    <w:rsid w:val="00907D0E"/>
    <w:rsid w:val="0091010B"/>
    <w:rsid w:val="0091051D"/>
    <w:rsid w:val="009117E4"/>
    <w:rsid w:val="00911C82"/>
    <w:rsid w:val="00911E1B"/>
    <w:rsid w:val="009120C1"/>
    <w:rsid w:val="009128AD"/>
    <w:rsid w:val="009128B7"/>
    <w:rsid w:val="00912CFE"/>
    <w:rsid w:val="009138E9"/>
    <w:rsid w:val="00913BE7"/>
    <w:rsid w:val="00913EFB"/>
    <w:rsid w:val="009143EA"/>
    <w:rsid w:val="0091472C"/>
    <w:rsid w:val="00914A95"/>
    <w:rsid w:val="00915772"/>
    <w:rsid w:val="00915818"/>
    <w:rsid w:val="00915916"/>
    <w:rsid w:val="00915E80"/>
    <w:rsid w:val="00916296"/>
    <w:rsid w:val="009164CE"/>
    <w:rsid w:val="009169CD"/>
    <w:rsid w:val="009171F3"/>
    <w:rsid w:val="0091744F"/>
    <w:rsid w:val="009175D0"/>
    <w:rsid w:val="00917C87"/>
    <w:rsid w:val="009204DA"/>
    <w:rsid w:val="009205C4"/>
    <w:rsid w:val="0092107C"/>
    <w:rsid w:val="00922133"/>
    <w:rsid w:val="009226E1"/>
    <w:rsid w:val="00922D37"/>
    <w:rsid w:val="00922F6A"/>
    <w:rsid w:val="00922FE8"/>
    <w:rsid w:val="00923C21"/>
    <w:rsid w:val="00923CC9"/>
    <w:rsid w:val="0092408C"/>
    <w:rsid w:val="009243E7"/>
    <w:rsid w:val="00924C86"/>
    <w:rsid w:val="009257F5"/>
    <w:rsid w:val="00925DFB"/>
    <w:rsid w:val="009269C4"/>
    <w:rsid w:val="00926CA3"/>
    <w:rsid w:val="00930609"/>
    <w:rsid w:val="00930CB9"/>
    <w:rsid w:val="00930D70"/>
    <w:rsid w:val="00930FD1"/>
    <w:rsid w:val="009310BA"/>
    <w:rsid w:val="00931324"/>
    <w:rsid w:val="0093172B"/>
    <w:rsid w:val="00932558"/>
    <w:rsid w:val="00932AC3"/>
    <w:rsid w:val="00932D72"/>
    <w:rsid w:val="00932E5A"/>
    <w:rsid w:val="00932FC3"/>
    <w:rsid w:val="0093400A"/>
    <w:rsid w:val="009340BA"/>
    <w:rsid w:val="00935051"/>
    <w:rsid w:val="00935E0A"/>
    <w:rsid w:val="00936948"/>
    <w:rsid w:val="009369C6"/>
    <w:rsid w:val="009369C9"/>
    <w:rsid w:val="00937068"/>
    <w:rsid w:val="009372F1"/>
    <w:rsid w:val="009402AC"/>
    <w:rsid w:val="00940720"/>
    <w:rsid w:val="00940733"/>
    <w:rsid w:val="00940D0A"/>
    <w:rsid w:val="00940E11"/>
    <w:rsid w:val="0094193F"/>
    <w:rsid w:val="00941B61"/>
    <w:rsid w:val="0094218C"/>
    <w:rsid w:val="00942756"/>
    <w:rsid w:val="00942B2C"/>
    <w:rsid w:val="0094339E"/>
    <w:rsid w:val="00943CCB"/>
    <w:rsid w:val="00943E9E"/>
    <w:rsid w:val="009455F3"/>
    <w:rsid w:val="009459AF"/>
    <w:rsid w:val="00945D94"/>
    <w:rsid w:val="00945FAA"/>
    <w:rsid w:val="00946B13"/>
    <w:rsid w:val="00946F71"/>
    <w:rsid w:val="00947D03"/>
    <w:rsid w:val="00947DEC"/>
    <w:rsid w:val="009501AF"/>
    <w:rsid w:val="00950972"/>
    <w:rsid w:val="0095124D"/>
    <w:rsid w:val="00951466"/>
    <w:rsid w:val="0095147C"/>
    <w:rsid w:val="009517D0"/>
    <w:rsid w:val="00952668"/>
    <w:rsid w:val="00952F00"/>
    <w:rsid w:val="00953C15"/>
    <w:rsid w:val="00953E4C"/>
    <w:rsid w:val="00954A6F"/>
    <w:rsid w:val="00954AD7"/>
    <w:rsid w:val="00954C6B"/>
    <w:rsid w:val="00954D68"/>
    <w:rsid w:val="009554DB"/>
    <w:rsid w:val="00956025"/>
    <w:rsid w:val="0095609B"/>
    <w:rsid w:val="009567A7"/>
    <w:rsid w:val="00956955"/>
    <w:rsid w:val="00956D3F"/>
    <w:rsid w:val="00957334"/>
    <w:rsid w:val="0095798D"/>
    <w:rsid w:val="0096026A"/>
    <w:rsid w:val="00960D4A"/>
    <w:rsid w:val="00961C7C"/>
    <w:rsid w:val="00961E8D"/>
    <w:rsid w:val="0096294A"/>
    <w:rsid w:val="00962E18"/>
    <w:rsid w:val="00963676"/>
    <w:rsid w:val="009636FA"/>
    <w:rsid w:val="009637B8"/>
    <w:rsid w:val="009638BF"/>
    <w:rsid w:val="00964101"/>
    <w:rsid w:val="00964261"/>
    <w:rsid w:val="0096451C"/>
    <w:rsid w:val="0096469C"/>
    <w:rsid w:val="009646A2"/>
    <w:rsid w:val="0096489E"/>
    <w:rsid w:val="0096490B"/>
    <w:rsid w:val="009654E8"/>
    <w:rsid w:val="00965626"/>
    <w:rsid w:val="009656F8"/>
    <w:rsid w:val="009658D9"/>
    <w:rsid w:val="009659DF"/>
    <w:rsid w:val="00965F60"/>
    <w:rsid w:val="00965FE0"/>
    <w:rsid w:val="0096607D"/>
    <w:rsid w:val="00967103"/>
    <w:rsid w:val="009677E8"/>
    <w:rsid w:val="009677F6"/>
    <w:rsid w:val="00967C9C"/>
    <w:rsid w:val="00970194"/>
    <w:rsid w:val="009701FF"/>
    <w:rsid w:val="0097075D"/>
    <w:rsid w:val="00970971"/>
    <w:rsid w:val="00970AD8"/>
    <w:rsid w:val="00971A79"/>
    <w:rsid w:val="00971CCF"/>
    <w:rsid w:val="00972041"/>
    <w:rsid w:val="00972B88"/>
    <w:rsid w:val="0097317F"/>
    <w:rsid w:val="00973D2F"/>
    <w:rsid w:val="00974442"/>
    <w:rsid w:val="0097535E"/>
    <w:rsid w:val="009759E0"/>
    <w:rsid w:val="00975CC2"/>
    <w:rsid w:val="00976DBA"/>
    <w:rsid w:val="009772D1"/>
    <w:rsid w:val="00977CB8"/>
    <w:rsid w:val="00977CCA"/>
    <w:rsid w:val="00977FC5"/>
    <w:rsid w:val="00980918"/>
    <w:rsid w:val="00981B22"/>
    <w:rsid w:val="00982355"/>
    <w:rsid w:val="0098267C"/>
    <w:rsid w:val="00983694"/>
    <w:rsid w:val="009854BE"/>
    <w:rsid w:val="0098576C"/>
    <w:rsid w:val="00985C6B"/>
    <w:rsid w:val="00985CA8"/>
    <w:rsid w:val="0098667F"/>
    <w:rsid w:val="00986D83"/>
    <w:rsid w:val="00987480"/>
    <w:rsid w:val="00987985"/>
    <w:rsid w:val="00987B4B"/>
    <w:rsid w:val="00987D15"/>
    <w:rsid w:val="00987DA1"/>
    <w:rsid w:val="00990405"/>
    <w:rsid w:val="009905C7"/>
    <w:rsid w:val="0099071A"/>
    <w:rsid w:val="00990C9F"/>
    <w:rsid w:val="00990EEC"/>
    <w:rsid w:val="009916D5"/>
    <w:rsid w:val="00991708"/>
    <w:rsid w:val="00991D74"/>
    <w:rsid w:val="00991D7E"/>
    <w:rsid w:val="00992376"/>
    <w:rsid w:val="009924E4"/>
    <w:rsid w:val="00992668"/>
    <w:rsid w:val="009928D0"/>
    <w:rsid w:val="00992C65"/>
    <w:rsid w:val="009930F0"/>
    <w:rsid w:val="0099357A"/>
    <w:rsid w:val="00993879"/>
    <w:rsid w:val="00993CBE"/>
    <w:rsid w:val="00994DB7"/>
    <w:rsid w:val="00994F3B"/>
    <w:rsid w:val="00995330"/>
    <w:rsid w:val="00995975"/>
    <w:rsid w:val="009960A2"/>
    <w:rsid w:val="00996124"/>
    <w:rsid w:val="009972E2"/>
    <w:rsid w:val="00997C42"/>
    <w:rsid w:val="009A0185"/>
    <w:rsid w:val="009A09B9"/>
    <w:rsid w:val="009A111C"/>
    <w:rsid w:val="009A12F4"/>
    <w:rsid w:val="009A149B"/>
    <w:rsid w:val="009A157F"/>
    <w:rsid w:val="009A2498"/>
    <w:rsid w:val="009A276F"/>
    <w:rsid w:val="009A27BC"/>
    <w:rsid w:val="009A296D"/>
    <w:rsid w:val="009A2DB1"/>
    <w:rsid w:val="009A39DA"/>
    <w:rsid w:val="009A3C4D"/>
    <w:rsid w:val="009A42E8"/>
    <w:rsid w:val="009A48D9"/>
    <w:rsid w:val="009A5365"/>
    <w:rsid w:val="009A5718"/>
    <w:rsid w:val="009A588B"/>
    <w:rsid w:val="009A5916"/>
    <w:rsid w:val="009A640B"/>
    <w:rsid w:val="009A6545"/>
    <w:rsid w:val="009A6941"/>
    <w:rsid w:val="009A6E8B"/>
    <w:rsid w:val="009A7E48"/>
    <w:rsid w:val="009B0491"/>
    <w:rsid w:val="009B0554"/>
    <w:rsid w:val="009B0937"/>
    <w:rsid w:val="009B0FA5"/>
    <w:rsid w:val="009B14A4"/>
    <w:rsid w:val="009B263C"/>
    <w:rsid w:val="009B293A"/>
    <w:rsid w:val="009B2B8F"/>
    <w:rsid w:val="009B2E61"/>
    <w:rsid w:val="009B3539"/>
    <w:rsid w:val="009B3734"/>
    <w:rsid w:val="009B394B"/>
    <w:rsid w:val="009B3A92"/>
    <w:rsid w:val="009B4015"/>
    <w:rsid w:val="009B40A9"/>
    <w:rsid w:val="009B4DB5"/>
    <w:rsid w:val="009B54DA"/>
    <w:rsid w:val="009B582B"/>
    <w:rsid w:val="009B5E71"/>
    <w:rsid w:val="009B6005"/>
    <w:rsid w:val="009B616D"/>
    <w:rsid w:val="009B6649"/>
    <w:rsid w:val="009B75B5"/>
    <w:rsid w:val="009B7C02"/>
    <w:rsid w:val="009C02E0"/>
    <w:rsid w:val="009C04C9"/>
    <w:rsid w:val="009C0A06"/>
    <w:rsid w:val="009C19AB"/>
    <w:rsid w:val="009C1D02"/>
    <w:rsid w:val="009C1D34"/>
    <w:rsid w:val="009C225A"/>
    <w:rsid w:val="009C2607"/>
    <w:rsid w:val="009C2DFB"/>
    <w:rsid w:val="009C2F4E"/>
    <w:rsid w:val="009C3B28"/>
    <w:rsid w:val="009C3C3E"/>
    <w:rsid w:val="009C44C9"/>
    <w:rsid w:val="009C4D02"/>
    <w:rsid w:val="009C4F77"/>
    <w:rsid w:val="009C5581"/>
    <w:rsid w:val="009C5AE3"/>
    <w:rsid w:val="009C5FD7"/>
    <w:rsid w:val="009C656C"/>
    <w:rsid w:val="009C78F1"/>
    <w:rsid w:val="009C7B5C"/>
    <w:rsid w:val="009D0165"/>
    <w:rsid w:val="009D0205"/>
    <w:rsid w:val="009D0658"/>
    <w:rsid w:val="009D0925"/>
    <w:rsid w:val="009D0A78"/>
    <w:rsid w:val="009D20DE"/>
    <w:rsid w:val="009D2173"/>
    <w:rsid w:val="009D2AD1"/>
    <w:rsid w:val="009D2DEF"/>
    <w:rsid w:val="009D373D"/>
    <w:rsid w:val="009D3D2F"/>
    <w:rsid w:val="009D4141"/>
    <w:rsid w:val="009D4B3B"/>
    <w:rsid w:val="009D4DF1"/>
    <w:rsid w:val="009D5C85"/>
    <w:rsid w:val="009D5CDF"/>
    <w:rsid w:val="009D71C2"/>
    <w:rsid w:val="009D7496"/>
    <w:rsid w:val="009D76B0"/>
    <w:rsid w:val="009D792E"/>
    <w:rsid w:val="009D7DFA"/>
    <w:rsid w:val="009D7F20"/>
    <w:rsid w:val="009E002B"/>
    <w:rsid w:val="009E01C3"/>
    <w:rsid w:val="009E0237"/>
    <w:rsid w:val="009E030A"/>
    <w:rsid w:val="009E0F55"/>
    <w:rsid w:val="009E106D"/>
    <w:rsid w:val="009E1099"/>
    <w:rsid w:val="009E10F3"/>
    <w:rsid w:val="009E11C6"/>
    <w:rsid w:val="009E18AD"/>
    <w:rsid w:val="009E21BC"/>
    <w:rsid w:val="009E28E0"/>
    <w:rsid w:val="009E2ACC"/>
    <w:rsid w:val="009E2E52"/>
    <w:rsid w:val="009E345F"/>
    <w:rsid w:val="009E35A9"/>
    <w:rsid w:val="009E364C"/>
    <w:rsid w:val="009E3C92"/>
    <w:rsid w:val="009E3CB1"/>
    <w:rsid w:val="009E48D8"/>
    <w:rsid w:val="009E4C40"/>
    <w:rsid w:val="009E4D5F"/>
    <w:rsid w:val="009E4D77"/>
    <w:rsid w:val="009E4F60"/>
    <w:rsid w:val="009E51BB"/>
    <w:rsid w:val="009E578D"/>
    <w:rsid w:val="009E5D8C"/>
    <w:rsid w:val="009E633D"/>
    <w:rsid w:val="009E65F3"/>
    <w:rsid w:val="009E6B71"/>
    <w:rsid w:val="009E6EAF"/>
    <w:rsid w:val="009E6EE3"/>
    <w:rsid w:val="009E724A"/>
    <w:rsid w:val="009E72E9"/>
    <w:rsid w:val="009F00A2"/>
    <w:rsid w:val="009F0536"/>
    <w:rsid w:val="009F0680"/>
    <w:rsid w:val="009F06BC"/>
    <w:rsid w:val="009F09D9"/>
    <w:rsid w:val="009F125B"/>
    <w:rsid w:val="009F17C7"/>
    <w:rsid w:val="009F2423"/>
    <w:rsid w:val="009F24F5"/>
    <w:rsid w:val="009F2B4B"/>
    <w:rsid w:val="009F2C21"/>
    <w:rsid w:val="009F2EDE"/>
    <w:rsid w:val="009F3428"/>
    <w:rsid w:val="009F3548"/>
    <w:rsid w:val="009F3A21"/>
    <w:rsid w:val="009F3C4D"/>
    <w:rsid w:val="009F422B"/>
    <w:rsid w:val="009F44C7"/>
    <w:rsid w:val="009F4580"/>
    <w:rsid w:val="009F4832"/>
    <w:rsid w:val="009F4980"/>
    <w:rsid w:val="009F5672"/>
    <w:rsid w:val="009F5C73"/>
    <w:rsid w:val="009F5ECE"/>
    <w:rsid w:val="009F6358"/>
    <w:rsid w:val="009F648E"/>
    <w:rsid w:val="009F6D32"/>
    <w:rsid w:val="00A00604"/>
    <w:rsid w:val="00A00670"/>
    <w:rsid w:val="00A00B0C"/>
    <w:rsid w:val="00A00F42"/>
    <w:rsid w:val="00A010F2"/>
    <w:rsid w:val="00A01870"/>
    <w:rsid w:val="00A01DFD"/>
    <w:rsid w:val="00A01E6D"/>
    <w:rsid w:val="00A02069"/>
    <w:rsid w:val="00A02732"/>
    <w:rsid w:val="00A02CCC"/>
    <w:rsid w:val="00A030C9"/>
    <w:rsid w:val="00A03385"/>
    <w:rsid w:val="00A03575"/>
    <w:rsid w:val="00A0396B"/>
    <w:rsid w:val="00A04F7C"/>
    <w:rsid w:val="00A0529A"/>
    <w:rsid w:val="00A053BB"/>
    <w:rsid w:val="00A05562"/>
    <w:rsid w:val="00A059F7"/>
    <w:rsid w:val="00A05B06"/>
    <w:rsid w:val="00A0649C"/>
    <w:rsid w:val="00A06C26"/>
    <w:rsid w:val="00A06DD3"/>
    <w:rsid w:val="00A070CC"/>
    <w:rsid w:val="00A0721C"/>
    <w:rsid w:val="00A076DD"/>
    <w:rsid w:val="00A07CB0"/>
    <w:rsid w:val="00A07EC3"/>
    <w:rsid w:val="00A10627"/>
    <w:rsid w:val="00A10634"/>
    <w:rsid w:val="00A10DA6"/>
    <w:rsid w:val="00A10DAD"/>
    <w:rsid w:val="00A11E04"/>
    <w:rsid w:val="00A1205E"/>
    <w:rsid w:val="00A12125"/>
    <w:rsid w:val="00A12132"/>
    <w:rsid w:val="00A1217A"/>
    <w:rsid w:val="00A1220A"/>
    <w:rsid w:val="00A12234"/>
    <w:rsid w:val="00A12666"/>
    <w:rsid w:val="00A129C2"/>
    <w:rsid w:val="00A12C75"/>
    <w:rsid w:val="00A12FA9"/>
    <w:rsid w:val="00A130C1"/>
    <w:rsid w:val="00A1468F"/>
    <w:rsid w:val="00A14FEE"/>
    <w:rsid w:val="00A150D9"/>
    <w:rsid w:val="00A1577B"/>
    <w:rsid w:val="00A15D75"/>
    <w:rsid w:val="00A1611F"/>
    <w:rsid w:val="00A17143"/>
    <w:rsid w:val="00A17202"/>
    <w:rsid w:val="00A174BC"/>
    <w:rsid w:val="00A17A6E"/>
    <w:rsid w:val="00A200BB"/>
    <w:rsid w:val="00A203A3"/>
    <w:rsid w:val="00A20F26"/>
    <w:rsid w:val="00A2121F"/>
    <w:rsid w:val="00A2135E"/>
    <w:rsid w:val="00A21B86"/>
    <w:rsid w:val="00A21BFE"/>
    <w:rsid w:val="00A21C4E"/>
    <w:rsid w:val="00A21E31"/>
    <w:rsid w:val="00A22502"/>
    <w:rsid w:val="00A23183"/>
    <w:rsid w:val="00A231A3"/>
    <w:rsid w:val="00A2407C"/>
    <w:rsid w:val="00A2412F"/>
    <w:rsid w:val="00A24758"/>
    <w:rsid w:val="00A24B76"/>
    <w:rsid w:val="00A24EEC"/>
    <w:rsid w:val="00A25072"/>
    <w:rsid w:val="00A25988"/>
    <w:rsid w:val="00A25AB1"/>
    <w:rsid w:val="00A26401"/>
    <w:rsid w:val="00A265D1"/>
    <w:rsid w:val="00A26AF5"/>
    <w:rsid w:val="00A26D4A"/>
    <w:rsid w:val="00A273F2"/>
    <w:rsid w:val="00A2750B"/>
    <w:rsid w:val="00A27B2F"/>
    <w:rsid w:val="00A3009F"/>
    <w:rsid w:val="00A302B0"/>
    <w:rsid w:val="00A3060A"/>
    <w:rsid w:val="00A30757"/>
    <w:rsid w:val="00A30765"/>
    <w:rsid w:val="00A30E01"/>
    <w:rsid w:val="00A315B6"/>
    <w:rsid w:val="00A3193F"/>
    <w:rsid w:val="00A3219A"/>
    <w:rsid w:val="00A321C3"/>
    <w:rsid w:val="00A323E9"/>
    <w:rsid w:val="00A326FF"/>
    <w:rsid w:val="00A331BA"/>
    <w:rsid w:val="00A33E77"/>
    <w:rsid w:val="00A33ED4"/>
    <w:rsid w:val="00A34708"/>
    <w:rsid w:val="00A3493A"/>
    <w:rsid w:val="00A3493D"/>
    <w:rsid w:val="00A34B60"/>
    <w:rsid w:val="00A34BE3"/>
    <w:rsid w:val="00A34CEE"/>
    <w:rsid w:val="00A34EA3"/>
    <w:rsid w:val="00A36192"/>
    <w:rsid w:val="00A36957"/>
    <w:rsid w:val="00A36F69"/>
    <w:rsid w:val="00A37395"/>
    <w:rsid w:val="00A373D9"/>
    <w:rsid w:val="00A37480"/>
    <w:rsid w:val="00A37613"/>
    <w:rsid w:val="00A37CD2"/>
    <w:rsid w:val="00A40008"/>
    <w:rsid w:val="00A402C0"/>
    <w:rsid w:val="00A40B70"/>
    <w:rsid w:val="00A40D67"/>
    <w:rsid w:val="00A4155F"/>
    <w:rsid w:val="00A415C5"/>
    <w:rsid w:val="00A41F75"/>
    <w:rsid w:val="00A4241C"/>
    <w:rsid w:val="00A42465"/>
    <w:rsid w:val="00A42536"/>
    <w:rsid w:val="00A42DB5"/>
    <w:rsid w:val="00A431D7"/>
    <w:rsid w:val="00A43981"/>
    <w:rsid w:val="00A440E5"/>
    <w:rsid w:val="00A44715"/>
    <w:rsid w:val="00A44B49"/>
    <w:rsid w:val="00A44D92"/>
    <w:rsid w:val="00A44E79"/>
    <w:rsid w:val="00A44FC8"/>
    <w:rsid w:val="00A45326"/>
    <w:rsid w:val="00A46878"/>
    <w:rsid w:val="00A46970"/>
    <w:rsid w:val="00A4703B"/>
    <w:rsid w:val="00A472B7"/>
    <w:rsid w:val="00A474CD"/>
    <w:rsid w:val="00A477A9"/>
    <w:rsid w:val="00A47918"/>
    <w:rsid w:val="00A479CA"/>
    <w:rsid w:val="00A5009B"/>
    <w:rsid w:val="00A5050E"/>
    <w:rsid w:val="00A50DB8"/>
    <w:rsid w:val="00A51E23"/>
    <w:rsid w:val="00A51FB0"/>
    <w:rsid w:val="00A52859"/>
    <w:rsid w:val="00A52F23"/>
    <w:rsid w:val="00A53291"/>
    <w:rsid w:val="00A53326"/>
    <w:rsid w:val="00A5377A"/>
    <w:rsid w:val="00A53AAC"/>
    <w:rsid w:val="00A53D60"/>
    <w:rsid w:val="00A542B4"/>
    <w:rsid w:val="00A543ED"/>
    <w:rsid w:val="00A54AF0"/>
    <w:rsid w:val="00A54E66"/>
    <w:rsid w:val="00A555B5"/>
    <w:rsid w:val="00A55649"/>
    <w:rsid w:val="00A5648E"/>
    <w:rsid w:val="00A565EC"/>
    <w:rsid w:val="00A57778"/>
    <w:rsid w:val="00A60932"/>
    <w:rsid w:val="00A60B67"/>
    <w:rsid w:val="00A60DB2"/>
    <w:rsid w:val="00A61397"/>
    <w:rsid w:val="00A6154C"/>
    <w:rsid w:val="00A61B16"/>
    <w:rsid w:val="00A6249A"/>
    <w:rsid w:val="00A62C1A"/>
    <w:rsid w:val="00A62DE0"/>
    <w:rsid w:val="00A62FDE"/>
    <w:rsid w:val="00A63727"/>
    <w:rsid w:val="00A63923"/>
    <w:rsid w:val="00A6479F"/>
    <w:rsid w:val="00A64BC1"/>
    <w:rsid w:val="00A6520C"/>
    <w:rsid w:val="00A65492"/>
    <w:rsid w:val="00A656F0"/>
    <w:rsid w:val="00A66A3B"/>
    <w:rsid w:val="00A66D29"/>
    <w:rsid w:val="00A66D65"/>
    <w:rsid w:val="00A6798A"/>
    <w:rsid w:val="00A679D1"/>
    <w:rsid w:val="00A67B08"/>
    <w:rsid w:val="00A700E8"/>
    <w:rsid w:val="00A70454"/>
    <w:rsid w:val="00A706EE"/>
    <w:rsid w:val="00A70C44"/>
    <w:rsid w:val="00A7207B"/>
    <w:rsid w:val="00A726F2"/>
    <w:rsid w:val="00A732E0"/>
    <w:rsid w:val="00A734C9"/>
    <w:rsid w:val="00A736A9"/>
    <w:rsid w:val="00A73F3D"/>
    <w:rsid w:val="00A74706"/>
    <w:rsid w:val="00A7473E"/>
    <w:rsid w:val="00A74E4D"/>
    <w:rsid w:val="00A752B2"/>
    <w:rsid w:val="00A75337"/>
    <w:rsid w:val="00A75766"/>
    <w:rsid w:val="00A75FEE"/>
    <w:rsid w:val="00A76425"/>
    <w:rsid w:val="00A77CEB"/>
    <w:rsid w:val="00A80338"/>
    <w:rsid w:val="00A8044C"/>
    <w:rsid w:val="00A80510"/>
    <w:rsid w:val="00A80633"/>
    <w:rsid w:val="00A8101C"/>
    <w:rsid w:val="00A813D4"/>
    <w:rsid w:val="00A818F8"/>
    <w:rsid w:val="00A8210B"/>
    <w:rsid w:val="00A82210"/>
    <w:rsid w:val="00A827C2"/>
    <w:rsid w:val="00A82E15"/>
    <w:rsid w:val="00A834BF"/>
    <w:rsid w:val="00A836E3"/>
    <w:rsid w:val="00A83F4D"/>
    <w:rsid w:val="00A83F50"/>
    <w:rsid w:val="00A84537"/>
    <w:rsid w:val="00A84568"/>
    <w:rsid w:val="00A84A2D"/>
    <w:rsid w:val="00A84E5A"/>
    <w:rsid w:val="00A857A3"/>
    <w:rsid w:val="00A85B98"/>
    <w:rsid w:val="00A86B27"/>
    <w:rsid w:val="00A86D18"/>
    <w:rsid w:val="00A8729D"/>
    <w:rsid w:val="00A87724"/>
    <w:rsid w:val="00A877A3"/>
    <w:rsid w:val="00A8791B"/>
    <w:rsid w:val="00A87E50"/>
    <w:rsid w:val="00A90580"/>
    <w:rsid w:val="00A91326"/>
    <w:rsid w:val="00A9176A"/>
    <w:rsid w:val="00A91D5C"/>
    <w:rsid w:val="00A91DB3"/>
    <w:rsid w:val="00A9221C"/>
    <w:rsid w:val="00A92273"/>
    <w:rsid w:val="00A92C31"/>
    <w:rsid w:val="00A93105"/>
    <w:rsid w:val="00A942D3"/>
    <w:rsid w:val="00A95AD4"/>
    <w:rsid w:val="00A9667C"/>
    <w:rsid w:val="00A96D8F"/>
    <w:rsid w:val="00A9754B"/>
    <w:rsid w:val="00A97AE0"/>
    <w:rsid w:val="00A97D8F"/>
    <w:rsid w:val="00AA0370"/>
    <w:rsid w:val="00AA0389"/>
    <w:rsid w:val="00AA072C"/>
    <w:rsid w:val="00AA167A"/>
    <w:rsid w:val="00AA1F15"/>
    <w:rsid w:val="00AA1F31"/>
    <w:rsid w:val="00AA211A"/>
    <w:rsid w:val="00AA257E"/>
    <w:rsid w:val="00AA29B7"/>
    <w:rsid w:val="00AA3514"/>
    <w:rsid w:val="00AA38F8"/>
    <w:rsid w:val="00AA3EB3"/>
    <w:rsid w:val="00AA537B"/>
    <w:rsid w:val="00AA580A"/>
    <w:rsid w:val="00AA5E4C"/>
    <w:rsid w:val="00AA6956"/>
    <w:rsid w:val="00AA74E3"/>
    <w:rsid w:val="00AA7CE0"/>
    <w:rsid w:val="00AA7F53"/>
    <w:rsid w:val="00AB09BA"/>
    <w:rsid w:val="00AB0B15"/>
    <w:rsid w:val="00AB13B6"/>
    <w:rsid w:val="00AB1781"/>
    <w:rsid w:val="00AB2115"/>
    <w:rsid w:val="00AB25EF"/>
    <w:rsid w:val="00AB2759"/>
    <w:rsid w:val="00AB2AC7"/>
    <w:rsid w:val="00AB32A8"/>
    <w:rsid w:val="00AB3651"/>
    <w:rsid w:val="00AB3A86"/>
    <w:rsid w:val="00AB45A0"/>
    <w:rsid w:val="00AB4C7D"/>
    <w:rsid w:val="00AB5115"/>
    <w:rsid w:val="00AB51A8"/>
    <w:rsid w:val="00AB5662"/>
    <w:rsid w:val="00AB56FB"/>
    <w:rsid w:val="00AB593E"/>
    <w:rsid w:val="00AB6738"/>
    <w:rsid w:val="00AC0888"/>
    <w:rsid w:val="00AC0E53"/>
    <w:rsid w:val="00AC0FE2"/>
    <w:rsid w:val="00AC1413"/>
    <w:rsid w:val="00AC20AC"/>
    <w:rsid w:val="00AC268A"/>
    <w:rsid w:val="00AC3C22"/>
    <w:rsid w:val="00AC410F"/>
    <w:rsid w:val="00AC4699"/>
    <w:rsid w:val="00AC4804"/>
    <w:rsid w:val="00AC52D7"/>
    <w:rsid w:val="00AC54D7"/>
    <w:rsid w:val="00AC567C"/>
    <w:rsid w:val="00AC5F4D"/>
    <w:rsid w:val="00AC6018"/>
    <w:rsid w:val="00AC6958"/>
    <w:rsid w:val="00AC6A46"/>
    <w:rsid w:val="00AC764A"/>
    <w:rsid w:val="00AD04CB"/>
    <w:rsid w:val="00AD0B71"/>
    <w:rsid w:val="00AD1040"/>
    <w:rsid w:val="00AD113A"/>
    <w:rsid w:val="00AD129C"/>
    <w:rsid w:val="00AD18FA"/>
    <w:rsid w:val="00AD2090"/>
    <w:rsid w:val="00AD2704"/>
    <w:rsid w:val="00AD2EA8"/>
    <w:rsid w:val="00AD4135"/>
    <w:rsid w:val="00AD4EEA"/>
    <w:rsid w:val="00AD4F09"/>
    <w:rsid w:val="00AD4FF8"/>
    <w:rsid w:val="00AD516A"/>
    <w:rsid w:val="00AD55AD"/>
    <w:rsid w:val="00AD5797"/>
    <w:rsid w:val="00AD5E6B"/>
    <w:rsid w:val="00AD64BC"/>
    <w:rsid w:val="00AD667F"/>
    <w:rsid w:val="00AD6B4A"/>
    <w:rsid w:val="00AD6BCB"/>
    <w:rsid w:val="00AD701E"/>
    <w:rsid w:val="00AD7C16"/>
    <w:rsid w:val="00AD7D23"/>
    <w:rsid w:val="00AD7D71"/>
    <w:rsid w:val="00AE0E43"/>
    <w:rsid w:val="00AE15D8"/>
    <w:rsid w:val="00AE18AA"/>
    <w:rsid w:val="00AE1B06"/>
    <w:rsid w:val="00AE215D"/>
    <w:rsid w:val="00AE2B65"/>
    <w:rsid w:val="00AE2EE8"/>
    <w:rsid w:val="00AE3075"/>
    <w:rsid w:val="00AE38B1"/>
    <w:rsid w:val="00AE4002"/>
    <w:rsid w:val="00AE4E60"/>
    <w:rsid w:val="00AE4F28"/>
    <w:rsid w:val="00AE54DE"/>
    <w:rsid w:val="00AE5971"/>
    <w:rsid w:val="00AE5DB7"/>
    <w:rsid w:val="00AE603C"/>
    <w:rsid w:val="00AE667F"/>
    <w:rsid w:val="00AE6B50"/>
    <w:rsid w:val="00AE71BA"/>
    <w:rsid w:val="00AE7286"/>
    <w:rsid w:val="00AE766E"/>
    <w:rsid w:val="00AE7897"/>
    <w:rsid w:val="00AF015A"/>
    <w:rsid w:val="00AF019F"/>
    <w:rsid w:val="00AF0579"/>
    <w:rsid w:val="00AF0D07"/>
    <w:rsid w:val="00AF0D23"/>
    <w:rsid w:val="00AF11DB"/>
    <w:rsid w:val="00AF1712"/>
    <w:rsid w:val="00AF1B12"/>
    <w:rsid w:val="00AF1B79"/>
    <w:rsid w:val="00AF1BDB"/>
    <w:rsid w:val="00AF1EE3"/>
    <w:rsid w:val="00AF2DA0"/>
    <w:rsid w:val="00AF33F0"/>
    <w:rsid w:val="00AF3470"/>
    <w:rsid w:val="00AF3ACA"/>
    <w:rsid w:val="00AF3E9D"/>
    <w:rsid w:val="00AF42C4"/>
    <w:rsid w:val="00AF47BD"/>
    <w:rsid w:val="00AF4E50"/>
    <w:rsid w:val="00AF5A36"/>
    <w:rsid w:val="00AF73F8"/>
    <w:rsid w:val="00AF7F33"/>
    <w:rsid w:val="00B007A1"/>
    <w:rsid w:val="00B00A0D"/>
    <w:rsid w:val="00B00C78"/>
    <w:rsid w:val="00B01888"/>
    <w:rsid w:val="00B0193E"/>
    <w:rsid w:val="00B01CAD"/>
    <w:rsid w:val="00B026BD"/>
    <w:rsid w:val="00B0333B"/>
    <w:rsid w:val="00B03829"/>
    <w:rsid w:val="00B03863"/>
    <w:rsid w:val="00B03AC4"/>
    <w:rsid w:val="00B03BBB"/>
    <w:rsid w:val="00B03C6D"/>
    <w:rsid w:val="00B03CAA"/>
    <w:rsid w:val="00B03FBE"/>
    <w:rsid w:val="00B04317"/>
    <w:rsid w:val="00B04AB3"/>
    <w:rsid w:val="00B04D5E"/>
    <w:rsid w:val="00B04DE6"/>
    <w:rsid w:val="00B057D7"/>
    <w:rsid w:val="00B05FFE"/>
    <w:rsid w:val="00B0650C"/>
    <w:rsid w:val="00B068FC"/>
    <w:rsid w:val="00B0737D"/>
    <w:rsid w:val="00B075C1"/>
    <w:rsid w:val="00B07E32"/>
    <w:rsid w:val="00B07F94"/>
    <w:rsid w:val="00B10467"/>
    <w:rsid w:val="00B104A4"/>
    <w:rsid w:val="00B10643"/>
    <w:rsid w:val="00B106C0"/>
    <w:rsid w:val="00B11332"/>
    <w:rsid w:val="00B12161"/>
    <w:rsid w:val="00B127C1"/>
    <w:rsid w:val="00B12EB5"/>
    <w:rsid w:val="00B13263"/>
    <w:rsid w:val="00B1338D"/>
    <w:rsid w:val="00B1338F"/>
    <w:rsid w:val="00B138A4"/>
    <w:rsid w:val="00B13B9C"/>
    <w:rsid w:val="00B13C61"/>
    <w:rsid w:val="00B13EE8"/>
    <w:rsid w:val="00B14716"/>
    <w:rsid w:val="00B1499D"/>
    <w:rsid w:val="00B15464"/>
    <w:rsid w:val="00B15832"/>
    <w:rsid w:val="00B1599B"/>
    <w:rsid w:val="00B15A7C"/>
    <w:rsid w:val="00B16375"/>
    <w:rsid w:val="00B166D2"/>
    <w:rsid w:val="00B1675E"/>
    <w:rsid w:val="00B16D2D"/>
    <w:rsid w:val="00B176DE"/>
    <w:rsid w:val="00B177CC"/>
    <w:rsid w:val="00B200AA"/>
    <w:rsid w:val="00B201E3"/>
    <w:rsid w:val="00B2084C"/>
    <w:rsid w:val="00B20B49"/>
    <w:rsid w:val="00B20F4F"/>
    <w:rsid w:val="00B215D1"/>
    <w:rsid w:val="00B21834"/>
    <w:rsid w:val="00B21C80"/>
    <w:rsid w:val="00B21F2D"/>
    <w:rsid w:val="00B2272D"/>
    <w:rsid w:val="00B22966"/>
    <w:rsid w:val="00B22D37"/>
    <w:rsid w:val="00B22E3A"/>
    <w:rsid w:val="00B231EA"/>
    <w:rsid w:val="00B23E12"/>
    <w:rsid w:val="00B255ED"/>
    <w:rsid w:val="00B2598C"/>
    <w:rsid w:val="00B25A35"/>
    <w:rsid w:val="00B26680"/>
    <w:rsid w:val="00B26687"/>
    <w:rsid w:val="00B26A14"/>
    <w:rsid w:val="00B271E3"/>
    <w:rsid w:val="00B278D0"/>
    <w:rsid w:val="00B30BCC"/>
    <w:rsid w:val="00B32670"/>
    <w:rsid w:val="00B32817"/>
    <w:rsid w:val="00B32A84"/>
    <w:rsid w:val="00B32FD0"/>
    <w:rsid w:val="00B32FF9"/>
    <w:rsid w:val="00B342A1"/>
    <w:rsid w:val="00B34DB7"/>
    <w:rsid w:val="00B34DDF"/>
    <w:rsid w:val="00B35559"/>
    <w:rsid w:val="00B35720"/>
    <w:rsid w:val="00B35CAE"/>
    <w:rsid w:val="00B367B9"/>
    <w:rsid w:val="00B373B3"/>
    <w:rsid w:val="00B37B50"/>
    <w:rsid w:val="00B37BE0"/>
    <w:rsid w:val="00B37C5E"/>
    <w:rsid w:val="00B400B4"/>
    <w:rsid w:val="00B409C1"/>
    <w:rsid w:val="00B411BE"/>
    <w:rsid w:val="00B416EC"/>
    <w:rsid w:val="00B41B1F"/>
    <w:rsid w:val="00B422E2"/>
    <w:rsid w:val="00B42356"/>
    <w:rsid w:val="00B426DD"/>
    <w:rsid w:val="00B43673"/>
    <w:rsid w:val="00B438E4"/>
    <w:rsid w:val="00B43EAD"/>
    <w:rsid w:val="00B43F4C"/>
    <w:rsid w:val="00B44597"/>
    <w:rsid w:val="00B44DC6"/>
    <w:rsid w:val="00B45672"/>
    <w:rsid w:val="00B45965"/>
    <w:rsid w:val="00B45ECA"/>
    <w:rsid w:val="00B46092"/>
    <w:rsid w:val="00B46ECF"/>
    <w:rsid w:val="00B47688"/>
    <w:rsid w:val="00B477BD"/>
    <w:rsid w:val="00B503A0"/>
    <w:rsid w:val="00B507D6"/>
    <w:rsid w:val="00B50EDD"/>
    <w:rsid w:val="00B5106C"/>
    <w:rsid w:val="00B5186E"/>
    <w:rsid w:val="00B51E1F"/>
    <w:rsid w:val="00B5237A"/>
    <w:rsid w:val="00B524E5"/>
    <w:rsid w:val="00B52BBD"/>
    <w:rsid w:val="00B53055"/>
    <w:rsid w:val="00B537DD"/>
    <w:rsid w:val="00B53BDA"/>
    <w:rsid w:val="00B53E7A"/>
    <w:rsid w:val="00B541DD"/>
    <w:rsid w:val="00B54AC4"/>
    <w:rsid w:val="00B55E78"/>
    <w:rsid w:val="00B56208"/>
    <w:rsid w:val="00B56489"/>
    <w:rsid w:val="00B56CE2"/>
    <w:rsid w:val="00B577DA"/>
    <w:rsid w:val="00B6029F"/>
    <w:rsid w:val="00B602C1"/>
    <w:rsid w:val="00B60427"/>
    <w:rsid w:val="00B614C2"/>
    <w:rsid w:val="00B617F3"/>
    <w:rsid w:val="00B61AE6"/>
    <w:rsid w:val="00B61CB5"/>
    <w:rsid w:val="00B62327"/>
    <w:rsid w:val="00B6270F"/>
    <w:rsid w:val="00B644A5"/>
    <w:rsid w:val="00B646C7"/>
    <w:rsid w:val="00B64B8A"/>
    <w:rsid w:val="00B64C72"/>
    <w:rsid w:val="00B64FF4"/>
    <w:rsid w:val="00B6584F"/>
    <w:rsid w:val="00B65AEA"/>
    <w:rsid w:val="00B661D9"/>
    <w:rsid w:val="00B6631A"/>
    <w:rsid w:val="00B668EF"/>
    <w:rsid w:val="00B66C11"/>
    <w:rsid w:val="00B67652"/>
    <w:rsid w:val="00B67D82"/>
    <w:rsid w:val="00B701DF"/>
    <w:rsid w:val="00B702C1"/>
    <w:rsid w:val="00B704FB"/>
    <w:rsid w:val="00B7060E"/>
    <w:rsid w:val="00B706E9"/>
    <w:rsid w:val="00B70707"/>
    <w:rsid w:val="00B70861"/>
    <w:rsid w:val="00B7086B"/>
    <w:rsid w:val="00B70B05"/>
    <w:rsid w:val="00B70CDC"/>
    <w:rsid w:val="00B712EA"/>
    <w:rsid w:val="00B718A5"/>
    <w:rsid w:val="00B71A02"/>
    <w:rsid w:val="00B71D91"/>
    <w:rsid w:val="00B720E9"/>
    <w:rsid w:val="00B7220F"/>
    <w:rsid w:val="00B72275"/>
    <w:rsid w:val="00B724F9"/>
    <w:rsid w:val="00B7334D"/>
    <w:rsid w:val="00B7358C"/>
    <w:rsid w:val="00B73BDA"/>
    <w:rsid w:val="00B7440C"/>
    <w:rsid w:val="00B75271"/>
    <w:rsid w:val="00B75AA6"/>
    <w:rsid w:val="00B75F65"/>
    <w:rsid w:val="00B762EA"/>
    <w:rsid w:val="00B766FE"/>
    <w:rsid w:val="00B767C9"/>
    <w:rsid w:val="00B76DAE"/>
    <w:rsid w:val="00B779DD"/>
    <w:rsid w:val="00B802E6"/>
    <w:rsid w:val="00B807BE"/>
    <w:rsid w:val="00B80B34"/>
    <w:rsid w:val="00B80D62"/>
    <w:rsid w:val="00B8101D"/>
    <w:rsid w:val="00B81199"/>
    <w:rsid w:val="00B813D1"/>
    <w:rsid w:val="00B81598"/>
    <w:rsid w:val="00B81717"/>
    <w:rsid w:val="00B81B90"/>
    <w:rsid w:val="00B81F10"/>
    <w:rsid w:val="00B82F91"/>
    <w:rsid w:val="00B8308C"/>
    <w:rsid w:val="00B8312E"/>
    <w:rsid w:val="00B83210"/>
    <w:rsid w:val="00B839E4"/>
    <w:rsid w:val="00B842C2"/>
    <w:rsid w:val="00B844A3"/>
    <w:rsid w:val="00B84B84"/>
    <w:rsid w:val="00B84C53"/>
    <w:rsid w:val="00B85013"/>
    <w:rsid w:val="00B8687A"/>
    <w:rsid w:val="00B86FB2"/>
    <w:rsid w:val="00B8755C"/>
    <w:rsid w:val="00B87930"/>
    <w:rsid w:val="00B87AF3"/>
    <w:rsid w:val="00B87F65"/>
    <w:rsid w:val="00B90365"/>
    <w:rsid w:val="00B9089E"/>
    <w:rsid w:val="00B90D7D"/>
    <w:rsid w:val="00B90F76"/>
    <w:rsid w:val="00B9135D"/>
    <w:rsid w:val="00B91874"/>
    <w:rsid w:val="00B91A2D"/>
    <w:rsid w:val="00B91B4B"/>
    <w:rsid w:val="00B92150"/>
    <w:rsid w:val="00B92225"/>
    <w:rsid w:val="00B92AF7"/>
    <w:rsid w:val="00B933E2"/>
    <w:rsid w:val="00B93EBA"/>
    <w:rsid w:val="00B93F8A"/>
    <w:rsid w:val="00B9461C"/>
    <w:rsid w:val="00B947D6"/>
    <w:rsid w:val="00B95C28"/>
    <w:rsid w:val="00B96443"/>
    <w:rsid w:val="00B96F0F"/>
    <w:rsid w:val="00B9718E"/>
    <w:rsid w:val="00B975B4"/>
    <w:rsid w:val="00B976AF"/>
    <w:rsid w:val="00B9794A"/>
    <w:rsid w:val="00BA0B62"/>
    <w:rsid w:val="00BA10CC"/>
    <w:rsid w:val="00BA2A46"/>
    <w:rsid w:val="00BA2B53"/>
    <w:rsid w:val="00BA3689"/>
    <w:rsid w:val="00BA36DE"/>
    <w:rsid w:val="00BA484D"/>
    <w:rsid w:val="00BA4DBE"/>
    <w:rsid w:val="00BA55E4"/>
    <w:rsid w:val="00BA5696"/>
    <w:rsid w:val="00BA5A32"/>
    <w:rsid w:val="00BA5B24"/>
    <w:rsid w:val="00BA66A6"/>
    <w:rsid w:val="00BA6A36"/>
    <w:rsid w:val="00BA6ABC"/>
    <w:rsid w:val="00BA6FA8"/>
    <w:rsid w:val="00BA74D9"/>
    <w:rsid w:val="00BA7674"/>
    <w:rsid w:val="00BA7AAC"/>
    <w:rsid w:val="00BA7D17"/>
    <w:rsid w:val="00BB12E7"/>
    <w:rsid w:val="00BB188A"/>
    <w:rsid w:val="00BB1909"/>
    <w:rsid w:val="00BB19FF"/>
    <w:rsid w:val="00BB1EBD"/>
    <w:rsid w:val="00BB2509"/>
    <w:rsid w:val="00BB27FA"/>
    <w:rsid w:val="00BB29F0"/>
    <w:rsid w:val="00BB2E79"/>
    <w:rsid w:val="00BB2EB9"/>
    <w:rsid w:val="00BB4AF4"/>
    <w:rsid w:val="00BB4C3D"/>
    <w:rsid w:val="00BB4D2F"/>
    <w:rsid w:val="00BB4ED8"/>
    <w:rsid w:val="00BB4F50"/>
    <w:rsid w:val="00BB5053"/>
    <w:rsid w:val="00BB50C8"/>
    <w:rsid w:val="00BB5548"/>
    <w:rsid w:val="00BB599D"/>
    <w:rsid w:val="00BB606E"/>
    <w:rsid w:val="00BB613E"/>
    <w:rsid w:val="00BB6679"/>
    <w:rsid w:val="00BB7106"/>
    <w:rsid w:val="00BB7178"/>
    <w:rsid w:val="00BB74E4"/>
    <w:rsid w:val="00BB7AAC"/>
    <w:rsid w:val="00BB7CD0"/>
    <w:rsid w:val="00BB7DBB"/>
    <w:rsid w:val="00BC0220"/>
    <w:rsid w:val="00BC12F2"/>
    <w:rsid w:val="00BC1690"/>
    <w:rsid w:val="00BC18AF"/>
    <w:rsid w:val="00BC18EC"/>
    <w:rsid w:val="00BC24CB"/>
    <w:rsid w:val="00BC2659"/>
    <w:rsid w:val="00BC28E8"/>
    <w:rsid w:val="00BC29E5"/>
    <w:rsid w:val="00BC4857"/>
    <w:rsid w:val="00BC48D4"/>
    <w:rsid w:val="00BC4C84"/>
    <w:rsid w:val="00BC52A3"/>
    <w:rsid w:val="00BC575C"/>
    <w:rsid w:val="00BC6356"/>
    <w:rsid w:val="00BC69CF"/>
    <w:rsid w:val="00BC78E8"/>
    <w:rsid w:val="00BC7AD1"/>
    <w:rsid w:val="00BD03A9"/>
    <w:rsid w:val="00BD0AE9"/>
    <w:rsid w:val="00BD0CA9"/>
    <w:rsid w:val="00BD10DF"/>
    <w:rsid w:val="00BD13D1"/>
    <w:rsid w:val="00BD2145"/>
    <w:rsid w:val="00BD2F51"/>
    <w:rsid w:val="00BD3199"/>
    <w:rsid w:val="00BD31B2"/>
    <w:rsid w:val="00BD40B9"/>
    <w:rsid w:val="00BD436A"/>
    <w:rsid w:val="00BD4825"/>
    <w:rsid w:val="00BD4A8F"/>
    <w:rsid w:val="00BD4CD6"/>
    <w:rsid w:val="00BD4F98"/>
    <w:rsid w:val="00BD52D7"/>
    <w:rsid w:val="00BD5669"/>
    <w:rsid w:val="00BD61BE"/>
    <w:rsid w:val="00BD6311"/>
    <w:rsid w:val="00BD6396"/>
    <w:rsid w:val="00BD6C6D"/>
    <w:rsid w:val="00BD6F30"/>
    <w:rsid w:val="00BD6FEA"/>
    <w:rsid w:val="00BE00B8"/>
    <w:rsid w:val="00BE06D4"/>
    <w:rsid w:val="00BE0C26"/>
    <w:rsid w:val="00BE11E8"/>
    <w:rsid w:val="00BE253D"/>
    <w:rsid w:val="00BE2B29"/>
    <w:rsid w:val="00BE2E84"/>
    <w:rsid w:val="00BE2F71"/>
    <w:rsid w:val="00BE3638"/>
    <w:rsid w:val="00BE37A6"/>
    <w:rsid w:val="00BE5509"/>
    <w:rsid w:val="00BE5C01"/>
    <w:rsid w:val="00BE641C"/>
    <w:rsid w:val="00BE65AF"/>
    <w:rsid w:val="00BE6AA6"/>
    <w:rsid w:val="00BE6B89"/>
    <w:rsid w:val="00BE6BDE"/>
    <w:rsid w:val="00BE7974"/>
    <w:rsid w:val="00BE7E19"/>
    <w:rsid w:val="00BF02C6"/>
    <w:rsid w:val="00BF05B8"/>
    <w:rsid w:val="00BF0AC1"/>
    <w:rsid w:val="00BF10DB"/>
    <w:rsid w:val="00BF15C5"/>
    <w:rsid w:val="00BF1CBB"/>
    <w:rsid w:val="00BF1D0C"/>
    <w:rsid w:val="00BF2E27"/>
    <w:rsid w:val="00BF30C1"/>
    <w:rsid w:val="00BF35BD"/>
    <w:rsid w:val="00BF3CDF"/>
    <w:rsid w:val="00BF4254"/>
    <w:rsid w:val="00BF46B9"/>
    <w:rsid w:val="00BF4EBE"/>
    <w:rsid w:val="00BF4FC7"/>
    <w:rsid w:val="00BF54AA"/>
    <w:rsid w:val="00BF5A75"/>
    <w:rsid w:val="00BF6139"/>
    <w:rsid w:val="00BF62C3"/>
    <w:rsid w:val="00BF662D"/>
    <w:rsid w:val="00BF680E"/>
    <w:rsid w:val="00BF70D3"/>
    <w:rsid w:val="00BF7B94"/>
    <w:rsid w:val="00C000AF"/>
    <w:rsid w:val="00C006BE"/>
    <w:rsid w:val="00C00849"/>
    <w:rsid w:val="00C00D78"/>
    <w:rsid w:val="00C0116C"/>
    <w:rsid w:val="00C0249F"/>
    <w:rsid w:val="00C029B2"/>
    <w:rsid w:val="00C02E5D"/>
    <w:rsid w:val="00C02F20"/>
    <w:rsid w:val="00C03494"/>
    <w:rsid w:val="00C037ED"/>
    <w:rsid w:val="00C03A4A"/>
    <w:rsid w:val="00C03CF0"/>
    <w:rsid w:val="00C03F09"/>
    <w:rsid w:val="00C04587"/>
    <w:rsid w:val="00C04CD3"/>
    <w:rsid w:val="00C04D00"/>
    <w:rsid w:val="00C051B3"/>
    <w:rsid w:val="00C053A3"/>
    <w:rsid w:val="00C06321"/>
    <w:rsid w:val="00C0790D"/>
    <w:rsid w:val="00C079C8"/>
    <w:rsid w:val="00C07FF7"/>
    <w:rsid w:val="00C10128"/>
    <w:rsid w:val="00C10815"/>
    <w:rsid w:val="00C10834"/>
    <w:rsid w:val="00C10BD2"/>
    <w:rsid w:val="00C112C4"/>
    <w:rsid w:val="00C112FE"/>
    <w:rsid w:val="00C11544"/>
    <w:rsid w:val="00C11699"/>
    <w:rsid w:val="00C11788"/>
    <w:rsid w:val="00C117DD"/>
    <w:rsid w:val="00C118F8"/>
    <w:rsid w:val="00C11C25"/>
    <w:rsid w:val="00C1209D"/>
    <w:rsid w:val="00C1209F"/>
    <w:rsid w:val="00C12F56"/>
    <w:rsid w:val="00C12FD7"/>
    <w:rsid w:val="00C13316"/>
    <w:rsid w:val="00C13A65"/>
    <w:rsid w:val="00C13C7F"/>
    <w:rsid w:val="00C149A8"/>
    <w:rsid w:val="00C152A1"/>
    <w:rsid w:val="00C1564B"/>
    <w:rsid w:val="00C1621F"/>
    <w:rsid w:val="00C16406"/>
    <w:rsid w:val="00C16B84"/>
    <w:rsid w:val="00C16C6F"/>
    <w:rsid w:val="00C17217"/>
    <w:rsid w:val="00C1729B"/>
    <w:rsid w:val="00C172BB"/>
    <w:rsid w:val="00C1756F"/>
    <w:rsid w:val="00C17E61"/>
    <w:rsid w:val="00C17F80"/>
    <w:rsid w:val="00C20273"/>
    <w:rsid w:val="00C2048E"/>
    <w:rsid w:val="00C207DD"/>
    <w:rsid w:val="00C21079"/>
    <w:rsid w:val="00C2155E"/>
    <w:rsid w:val="00C21CA2"/>
    <w:rsid w:val="00C22430"/>
    <w:rsid w:val="00C230AD"/>
    <w:rsid w:val="00C2355E"/>
    <w:rsid w:val="00C238C7"/>
    <w:rsid w:val="00C23DB2"/>
    <w:rsid w:val="00C23E47"/>
    <w:rsid w:val="00C23FD1"/>
    <w:rsid w:val="00C241FA"/>
    <w:rsid w:val="00C24275"/>
    <w:rsid w:val="00C2461B"/>
    <w:rsid w:val="00C24C52"/>
    <w:rsid w:val="00C24C7F"/>
    <w:rsid w:val="00C2509E"/>
    <w:rsid w:val="00C256A6"/>
    <w:rsid w:val="00C25ABA"/>
    <w:rsid w:val="00C25DD6"/>
    <w:rsid w:val="00C261B9"/>
    <w:rsid w:val="00C26935"/>
    <w:rsid w:val="00C26DC6"/>
    <w:rsid w:val="00C26FFF"/>
    <w:rsid w:val="00C279B9"/>
    <w:rsid w:val="00C27DF3"/>
    <w:rsid w:val="00C27E09"/>
    <w:rsid w:val="00C27F02"/>
    <w:rsid w:val="00C302AD"/>
    <w:rsid w:val="00C308F9"/>
    <w:rsid w:val="00C30B65"/>
    <w:rsid w:val="00C30CB2"/>
    <w:rsid w:val="00C30E13"/>
    <w:rsid w:val="00C313B1"/>
    <w:rsid w:val="00C31874"/>
    <w:rsid w:val="00C3188B"/>
    <w:rsid w:val="00C31C62"/>
    <w:rsid w:val="00C3287E"/>
    <w:rsid w:val="00C329CF"/>
    <w:rsid w:val="00C333AD"/>
    <w:rsid w:val="00C33C89"/>
    <w:rsid w:val="00C345BD"/>
    <w:rsid w:val="00C34F53"/>
    <w:rsid w:val="00C354F6"/>
    <w:rsid w:val="00C35CFC"/>
    <w:rsid w:val="00C3658A"/>
    <w:rsid w:val="00C365A3"/>
    <w:rsid w:val="00C373F7"/>
    <w:rsid w:val="00C37411"/>
    <w:rsid w:val="00C3771B"/>
    <w:rsid w:val="00C37782"/>
    <w:rsid w:val="00C40B54"/>
    <w:rsid w:val="00C41E16"/>
    <w:rsid w:val="00C42241"/>
    <w:rsid w:val="00C427DC"/>
    <w:rsid w:val="00C42A3A"/>
    <w:rsid w:val="00C42C5B"/>
    <w:rsid w:val="00C442BC"/>
    <w:rsid w:val="00C44FEC"/>
    <w:rsid w:val="00C4567B"/>
    <w:rsid w:val="00C45FE7"/>
    <w:rsid w:val="00C463C2"/>
    <w:rsid w:val="00C46645"/>
    <w:rsid w:val="00C46A20"/>
    <w:rsid w:val="00C47111"/>
    <w:rsid w:val="00C478A3"/>
    <w:rsid w:val="00C50342"/>
    <w:rsid w:val="00C504CE"/>
    <w:rsid w:val="00C506A8"/>
    <w:rsid w:val="00C515DE"/>
    <w:rsid w:val="00C519C5"/>
    <w:rsid w:val="00C51B6A"/>
    <w:rsid w:val="00C5356D"/>
    <w:rsid w:val="00C536E9"/>
    <w:rsid w:val="00C53F7E"/>
    <w:rsid w:val="00C551AB"/>
    <w:rsid w:val="00C55C67"/>
    <w:rsid w:val="00C55F10"/>
    <w:rsid w:val="00C562E1"/>
    <w:rsid w:val="00C56F1A"/>
    <w:rsid w:val="00C606B6"/>
    <w:rsid w:val="00C606C0"/>
    <w:rsid w:val="00C60FF7"/>
    <w:rsid w:val="00C613A8"/>
    <w:rsid w:val="00C61653"/>
    <w:rsid w:val="00C61A51"/>
    <w:rsid w:val="00C62604"/>
    <w:rsid w:val="00C627F7"/>
    <w:rsid w:val="00C6282C"/>
    <w:rsid w:val="00C62BED"/>
    <w:rsid w:val="00C63177"/>
    <w:rsid w:val="00C63869"/>
    <w:rsid w:val="00C6415C"/>
    <w:rsid w:val="00C64E36"/>
    <w:rsid w:val="00C64F75"/>
    <w:rsid w:val="00C653B7"/>
    <w:rsid w:val="00C65ACC"/>
    <w:rsid w:val="00C65CB2"/>
    <w:rsid w:val="00C6621E"/>
    <w:rsid w:val="00C66872"/>
    <w:rsid w:val="00C66C10"/>
    <w:rsid w:val="00C67AEF"/>
    <w:rsid w:val="00C70647"/>
    <w:rsid w:val="00C708B5"/>
    <w:rsid w:val="00C71030"/>
    <w:rsid w:val="00C71819"/>
    <w:rsid w:val="00C71EC3"/>
    <w:rsid w:val="00C7204A"/>
    <w:rsid w:val="00C7299F"/>
    <w:rsid w:val="00C72A01"/>
    <w:rsid w:val="00C731D0"/>
    <w:rsid w:val="00C735A7"/>
    <w:rsid w:val="00C73E87"/>
    <w:rsid w:val="00C73FA8"/>
    <w:rsid w:val="00C740A1"/>
    <w:rsid w:val="00C74526"/>
    <w:rsid w:val="00C74541"/>
    <w:rsid w:val="00C7656D"/>
    <w:rsid w:val="00C76DB1"/>
    <w:rsid w:val="00C76FD4"/>
    <w:rsid w:val="00C77362"/>
    <w:rsid w:val="00C77B4C"/>
    <w:rsid w:val="00C8058B"/>
    <w:rsid w:val="00C80D42"/>
    <w:rsid w:val="00C8137B"/>
    <w:rsid w:val="00C81D66"/>
    <w:rsid w:val="00C8246F"/>
    <w:rsid w:val="00C824EE"/>
    <w:rsid w:val="00C82778"/>
    <w:rsid w:val="00C8298C"/>
    <w:rsid w:val="00C82F45"/>
    <w:rsid w:val="00C8345D"/>
    <w:rsid w:val="00C83CA2"/>
    <w:rsid w:val="00C83D27"/>
    <w:rsid w:val="00C83ECD"/>
    <w:rsid w:val="00C83F05"/>
    <w:rsid w:val="00C83F44"/>
    <w:rsid w:val="00C83F52"/>
    <w:rsid w:val="00C83F60"/>
    <w:rsid w:val="00C83FE6"/>
    <w:rsid w:val="00C84ED3"/>
    <w:rsid w:val="00C84F25"/>
    <w:rsid w:val="00C853A1"/>
    <w:rsid w:val="00C85592"/>
    <w:rsid w:val="00C8559B"/>
    <w:rsid w:val="00C85675"/>
    <w:rsid w:val="00C864C9"/>
    <w:rsid w:val="00C8673A"/>
    <w:rsid w:val="00C8684B"/>
    <w:rsid w:val="00C869A6"/>
    <w:rsid w:val="00C86A63"/>
    <w:rsid w:val="00C86D97"/>
    <w:rsid w:val="00C871B6"/>
    <w:rsid w:val="00C909EF"/>
    <w:rsid w:val="00C91EA8"/>
    <w:rsid w:val="00C920E9"/>
    <w:rsid w:val="00C92BE1"/>
    <w:rsid w:val="00C92E1F"/>
    <w:rsid w:val="00C92EB0"/>
    <w:rsid w:val="00C93018"/>
    <w:rsid w:val="00C9396E"/>
    <w:rsid w:val="00C93974"/>
    <w:rsid w:val="00C94235"/>
    <w:rsid w:val="00C942EC"/>
    <w:rsid w:val="00C94A7B"/>
    <w:rsid w:val="00C952BB"/>
    <w:rsid w:val="00C952DB"/>
    <w:rsid w:val="00C9586F"/>
    <w:rsid w:val="00C96555"/>
    <w:rsid w:val="00C96890"/>
    <w:rsid w:val="00C96C7A"/>
    <w:rsid w:val="00C96D49"/>
    <w:rsid w:val="00C97361"/>
    <w:rsid w:val="00C9796F"/>
    <w:rsid w:val="00C97BD4"/>
    <w:rsid w:val="00C97F5C"/>
    <w:rsid w:val="00C97FC5"/>
    <w:rsid w:val="00CA04C3"/>
    <w:rsid w:val="00CA0A15"/>
    <w:rsid w:val="00CA0A6E"/>
    <w:rsid w:val="00CA0F1F"/>
    <w:rsid w:val="00CA1925"/>
    <w:rsid w:val="00CA2503"/>
    <w:rsid w:val="00CA267A"/>
    <w:rsid w:val="00CA2C55"/>
    <w:rsid w:val="00CA3889"/>
    <w:rsid w:val="00CA48B5"/>
    <w:rsid w:val="00CA48C1"/>
    <w:rsid w:val="00CA493D"/>
    <w:rsid w:val="00CA4D2D"/>
    <w:rsid w:val="00CA4D8A"/>
    <w:rsid w:val="00CA5879"/>
    <w:rsid w:val="00CA59C1"/>
    <w:rsid w:val="00CA59E4"/>
    <w:rsid w:val="00CA5A4A"/>
    <w:rsid w:val="00CA5B21"/>
    <w:rsid w:val="00CA5D05"/>
    <w:rsid w:val="00CA6091"/>
    <w:rsid w:val="00CA6298"/>
    <w:rsid w:val="00CA6952"/>
    <w:rsid w:val="00CA6D82"/>
    <w:rsid w:val="00CA6DFD"/>
    <w:rsid w:val="00CA75F7"/>
    <w:rsid w:val="00CB10D7"/>
    <w:rsid w:val="00CB1565"/>
    <w:rsid w:val="00CB1662"/>
    <w:rsid w:val="00CB18A2"/>
    <w:rsid w:val="00CB1CB6"/>
    <w:rsid w:val="00CB27EF"/>
    <w:rsid w:val="00CB28A1"/>
    <w:rsid w:val="00CB302A"/>
    <w:rsid w:val="00CB3062"/>
    <w:rsid w:val="00CB3E24"/>
    <w:rsid w:val="00CB3FDB"/>
    <w:rsid w:val="00CB4577"/>
    <w:rsid w:val="00CB565E"/>
    <w:rsid w:val="00CB61FF"/>
    <w:rsid w:val="00CB62CA"/>
    <w:rsid w:val="00CB6FF7"/>
    <w:rsid w:val="00CB71B8"/>
    <w:rsid w:val="00CB7D7B"/>
    <w:rsid w:val="00CB7EA3"/>
    <w:rsid w:val="00CC015A"/>
    <w:rsid w:val="00CC062D"/>
    <w:rsid w:val="00CC138E"/>
    <w:rsid w:val="00CC13BD"/>
    <w:rsid w:val="00CC1548"/>
    <w:rsid w:val="00CC1811"/>
    <w:rsid w:val="00CC2581"/>
    <w:rsid w:val="00CC262B"/>
    <w:rsid w:val="00CC2A37"/>
    <w:rsid w:val="00CC2C08"/>
    <w:rsid w:val="00CC34FB"/>
    <w:rsid w:val="00CC397F"/>
    <w:rsid w:val="00CC3985"/>
    <w:rsid w:val="00CC3B65"/>
    <w:rsid w:val="00CC4240"/>
    <w:rsid w:val="00CC434A"/>
    <w:rsid w:val="00CC4D12"/>
    <w:rsid w:val="00CC5451"/>
    <w:rsid w:val="00CC5513"/>
    <w:rsid w:val="00CC5585"/>
    <w:rsid w:val="00CC5BFA"/>
    <w:rsid w:val="00CC6082"/>
    <w:rsid w:val="00CC6A55"/>
    <w:rsid w:val="00CC7ECC"/>
    <w:rsid w:val="00CD12F5"/>
    <w:rsid w:val="00CD1397"/>
    <w:rsid w:val="00CD18E9"/>
    <w:rsid w:val="00CD27F1"/>
    <w:rsid w:val="00CD288D"/>
    <w:rsid w:val="00CD3018"/>
    <w:rsid w:val="00CD3512"/>
    <w:rsid w:val="00CD398A"/>
    <w:rsid w:val="00CD3A7D"/>
    <w:rsid w:val="00CD43BE"/>
    <w:rsid w:val="00CD49C3"/>
    <w:rsid w:val="00CD515F"/>
    <w:rsid w:val="00CD5841"/>
    <w:rsid w:val="00CD5929"/>
    <w:rsid w:val="00CD6460"/>
    <w:rsid w:val="00CD6466"/>
    <w:rsid w:val="00CD64FA"/>
    <w:rsid w:val="00CD6F13"/>
    <w:rsid w:val="00CD7518"/>
    <w:rsid w:val="00CD78C1"/>
    <w:rsid w:val="00CE06BE"/>
    <w:rsid w:val="00CE0A28"/>
    <w:rsid w:val="00CE0BD5"/>
    <w:rsid w:val="00CE0EE6"/>
    <w:rsid w:val="00CE1086"/>
    <w:rsid w:val="00CE1967"/>
    <w:rsid w:val="00CE1F11"/>
    <w:rsid w:val="00CE22C3"/>
    <w:rsid w:val="00CE28A1"/>
    <w:rsid w:val="00CE37F2"/>
    <w:rsid w:val="00CE3AC1"/>
    <w:rsid w:val="00CE4201"/>
    <w:rsid w:val="00CE4CC6"/>
    <w:rsid w:val="00CE50B8"/>
    <w:rsid w:val="00CE517A"/>
    <w:rsid w:val="00CE531A"/>
    <w:rsid w:val="00CE5D38"/>
    <w:rsid w:val="00CE60DC"/>
    <w:rsid w:val="00CE6194"/>
    <w:rsid w:val="00CE643A"/>
    <w:rsid w:val="00CE649D"/>
    <w:rsid w:val="00CE69B8"/>
    <w:rsid w:val="00CE6B51"/>
    <w:rsid w:val="00CE6C0E"/>
    <w:rsid w:val="00CE7695"/>
    <w:rsid w:val="00CE7A34"/>
    <w:rsid w:val="00CE7FDA"/>
    <w:rsid w:val="00CF0337"/>
    <w:rsid w:val="00CF078C"/>
    <w:rsid w:val="00CF0EE8"/>
    <w:rsid w:val="00CF1B55"/>
    <w:rsid w:val="00CF1DBE"/>
    <w:rsid w:val="00CF1DEC"/>
    <w:rsid w:val="00CF207A"/>
    <w:rsid w:val="00CF2225"/>
    <w:rsid w:val="00CF251D"/>
    <w:rsid w:val="00CF2949"/>
    <w:rsid w:val="00CF33BC"/>
    <w:rsid w:val="00CF36AC"/>
    <w:rsid w:val="00CF379A"/>
    <w:rsid w:val="00CF3E82"/>
    <w:rsid w:val="00CF4C02"/>
    <w:rsid w:val="00CF537D"/>
    <w:rsid w:val="00CF55BD"/>
    <w:rsid w:val="00CF5EC1"/>
    <w:rsid w:val="00CF63D3"/>
    <w:rsid w:val="00CF66BF"/>
    <w:rsid w:val="00CF692B"/>
    <w:rsid w:val="00CF6A6B"/>
    <w:rsid w:val="00CF746F"/>
    <w:rsid w:val="00CF7AFA"/>
    <w:rsid w:val="00D008F8"/>
    <w:rsid w:val="00D00A88"/>
    <w:rsid w:val="00D00E3E"/>
    <w:rsid w:val="00D01310"/>
    <w:rsid w:val="00D01453"/>
    <w:rsid w:val="00D01AA6"/>
    <w:rsid w:val="00D01AC6"/>
    <w:rsid w:val="00D02618"/>
    <w:rsid w:val="00D026A4"/>
    <w:rsid w:val="00D0290F"/>
    <w:rsid w:val="00D02BF4"/>
    <w:rsid w:val="00D02C36"/>
    <w:rsid w:val="00D02D53"/>
    <w:rsid w:val="00D03141"/>
    <w:rsid w:val="00D03225"/>
    <w:rsid w:val="00D036F9"/>
    <w:rsid w:val="00D03ED0"/>
    <w:rsid w:val="00D04B8F"/>
    <w:rsid w:val="00D054A5"/>
    <w:rsid w:val="00D05E41"/>
    <w:rsid w:val="00D0635C"/>
    <w:rsid w:val="00D06668"/>
    <w:rsid w:val="00D06C79"/>
    <w:rsid w:val="00D07178"/>
    <w:rsid w:val="00D07B5C"/>
    <w:rsid w:val="00D10F95"/>
    <w:rsid w:val="00D110FB"/>
    <w:rsid w:val="00D121E9"/>
    <w:rsid w:val="00D1295B"/>
    <w:rsid w:val="00D12EAA"/>
    <w:rsid w:val="00D132D8"/>
    <w:rsid w:val="00D133ED"/>
    <w:rsid w:val="00D13E72"/>
    <w:rsid w:val="00D1492E"/>
    <w:rsid w:val="00D154C3"/>
    <w:rsid w:val="00D1553F"/>
    <w:rsid w:val="00D161C2"/>
    <w:rsid w:val="00D161F4"/>
    <w:rsid w:val="00D16640"/>
    <w:rsid w:val="00D169F4"/>
    <w:rsid w:val="00D16B5B"/>
    <w:rsid w:val="00D16CD0"/>
    <w:rsid w:val="00D16D78"/>
    <w:rsid w:val="00D1732C"/>
    <w:rsid w:val="00D1752B"/>
    <w:rsid w:val="00D17963"/>
    <w:rsid w:val="00D17BD2"/>
    <w:rsid w:val="00D20383"/>
    <w:rsid w:val="00D2044D"/>
    <w:rsid w:val="00D207AF"/>
    <w:rsid w:val="00D20C25"/>
    <w:rsid w:val="00D20D53"/>
    <w:rsid w:val="00D22482"/>
    <w:rsid w:val="00D22D2F"/>
    <w:rsid w:val="00D23212"/>
    <w:rsid w:val="00D23381"/>
    <w:rsid w:val="00D2361C"/>
    <w:rsid w:val="00D24CC4"/>
    <w:rsid w:val="00D24F26"/>
    <w:rsid w:val="00D260E6"/>
    <w:rsid w:val="00D265F5"/>
    <w:rsid w:val="00D2671B"/>
    <w:rsid w:val="00D26E57"/>
    <w:rsid w:val="00D27422"/>
    <w:rsid w:val="00D27586"/>
    <w:rsid w:val="00D278F4"/>
    <w:rsid w:val="00D30F90"/>
    <w:rsid w:val="00D3189E"/>
    <w:rsid w:val="00D31B35"/>
    <w:rsid w:val="00D31CA4"/>
    <w:rsid w:val="00D31E36"/>
    <w:rsid w:val="00D323FD"/>
    <w:rsid w:val="00D325A9"/>
    <w:rsid w:val="00D326A7"/>
    <w:rsid w:val="00D329E7"/>
    <w:rsid w:val="00D334B5"/>
    <w:rsid w:val="00D337FA"/>
    <w:rsid w:val="00D33863"/>
    <w:rsid w:val="00D3434B"/>
    <w:rsid w:val="00D34C0B"/>
    <w:rsid w:val="00D3672A"/>
    <w:rsid w:val="00D367B6"/>
    <w:rsid w:val="00D37929"/>
    <w:rsid w:val="00D37B45"/>
    <w:rsid w:val="00D4014F"/>
    <w:rsid w:val="00D40224"/>
    <w:rsid w:val="00D409E1"/>
    <w:rsid w:val="00D409FF"/>
    <w:rsid w:val="00D417B4"/>
    <w:rsid w:val="00D418AB"/>
    <w:rsid w:val="00D41A76"/>
    <w:rsid w:val="00D41AB8"/>
    <w:rsid w:val="00D41FAE"/>
    <w:rsid w:val="00D42E57"/>
    <w:rsid w:val="00D42F8D"/>
    <w:rsid w:val="00D43368"/>
    <w:rsid w:val="00D43425"/>
    <w:rsid w:val="00D4349D"/>
    <w:rsid w:val="00D43A36"/>
    <w:rsid w:val="00D44B4D"/>
    <w:rsid w:val="00D453BC"/>
    <w:rsid w:val="00D453E7"/>
    <w:rsid w:val="00D462A0"/>
    <w:rsid w:val="00D466F9"/>
    <w:rsid w:val="00D479FB"/>
    <w:rsid w:val="00D47B5B"/>
    <w:rsid w:val="00D47D27"/>
    <w:rsid w:val="00D5027D"/>
    <w:rsid w:val="00D50468"/>
    <w:rsid w:val="00D509C4"/>
    <w:rsid w:val="00D50C3B"/>
    <w:rsid w:val="00D50DE4"/>
    <w:rsid w:val="00D51199"/>
    <w:rsid w:val="00D51756"/>
    <w:rsid w:val="00D51A2E"/>
    <w:rsid w:val="00D52DB1"/>
    <w:rsid w:val="00D53AF1"/>
    <w:rsid w:val="00D53BC0"/>
    <w:rsid w:val="00D54BA4"/>
    <w:rsid w:val="00D54D8A"/>
    <w:rsid w:val="00D551D1"/>
    <w:rsid w:val="00D55473"/>
    <w:rsid w:val="00D556B8"/>
    <w:rsid w:val="00D56048"/>
    <w:rsid w:val="00D563A2"/>
    <w:rsid w:val="00D565B4"/>
    <w:rsid w:val="00D56D10"/>
    <w:rsid w:val="00D5790B"/>
    <w:rsid w:val="00D57A1D"/>
    <w:rsid w:val="00D60376"/>
    <w:rsid w:val="00D60E77"/>
    <w:rsid w:val="00D61011"/>
    <w:rsid w:val="00D61EDB"/>
    <w:rsid w:val="00D6210F"/>
    <w:rsid w:val="00D62AFD"/>
    <w:rsid w:val="00D63B1B"/>
    <w:rsid w:val="00D643C2"/>
    <w:rsid w:val="00D646EB"/>
    <w:rsid w:val="00D64818"/>
    <w:rsid w:val="00D64885"/>
    <w:rsid w:val="00D64C47"/>
    <w:rsid w:val="00D64FAE"/>
    <w:rsid w:val="00D6573C"/>
    <w:rsid w:val="00D65F06"/>
    <w:rsid w:val="00D662A3"/>
    <w:rsid w:val="00D663EA"/>
    <w:rsid w:val="00D66E90"/>
    <w:rsid w:val="00D671C0"/>
    <w:rsid w:val="00D67634"/>
    <w:rsid w:val="00D700BE"/>
    <w:rsid w:val="00D703A9"/>
    <w:rsid w:val="00D705F9"/>
    <w:rsid w:val="00D70AAE"/>
    <w:rsid w:val="00D70D32"/>
    <w:rsid w:val="00D711D2"/>
    <w:rsid w:val="00D7184C"/>
    <w:rsid w:val="00D71B4A"/>
    <w:rsid w:val="00D71B4E"/>
    <w:rsid w:val="00D71C27"/>
    <w:rsid w:val="00D72004"/>
    <w:rsid w:val="00D7227E"/>
    <w:rsid w:val="00D72542"/>
    <w:rsid w:val="00D72B6F"/>
    <w:rsid w:val="00D72E59"/>
    <w:rsid w:val="00D7372D"/>
    <w:rsid w:val="00D73CFB"/>
    <w:rsid w:val="00D73FE7"/>
    <w:rsid w:val="00D7404C"/>
    <w:rsid w:val="00D74067"/>
    <w:rsid w:val="00D74335"/>
    <w:rsid w:val="00D74BB5"/>
    <w:rsid w:val="00D75524"/>
    <w:rsid w:val="00D75567"/>
    <w:rsid w:val="00D75C95"/>
    <w:rsid w:val="00D766BF"/>
    <w:rsid w:val="00D76B8E"/>
    <w:rsid w:val="00D77B4A"/>
    <w:rsid w:val="00D81046"/>
    <w:rsid w:val="00D827C9"/>
    <w:rsid w:val="00D82D4D"/>
    <w:rsid w:val="00D82E5B"/>
    <w:rsid w:val="00D831E7"/>
    <w:rsid w:val="00D837E6"/>
    <w:rsid w:val="00D83B37"/>
    <w:rsid w:val="00D84268"/>
    <w:rsid w:val="00D84426"/>
    <w:rsid w:val="00D84A74"/>
    <w:rsid w:val="00D84BF0"/>
    <w:rsid w:val="00D84D40"/>
    <w:rsid w:val="00D8502C"/>
    <w:rsid w:val="00D85579"/>
    <w:rsid w:val="00D85991"/>
    <w:rsid w:val="00D86042"/>
    <w:rsid w:val="00D865C2"/>
    <w:rsid w:val="00D86A69"/>
    <w:rsid w:val="00D872B1"/>
    <w:rsid w:val="00D87A54"/>
    <w:rsid w:val="00D90344"/>
    <w:rsid w:val="00D90369"/>
    <w:rsid w:val="00D90F99"/>
    <w:rsid w:val="00D910C3"/>
    <w:rsid w:val="00D91EF7"/>
    <w:rsid w:val="00D9270E"/>
    <w:rsid w:val="00D928C1"/>
    <w:rsid w:val="00D92A25"/>
    <w:rsid w:val="00D932A1"/>
    <w:rsid w:val="00D934A2"/>
    <w:rsid w:val="00D93775"/>
    <w:rsid w:val="00D94137"/>
    <w:rsid w:val="00D944D4"/>
    <w:rsid w:val="00D95178"/>
    <w:rsid w:val="00D953F1"/>
    <w:rsid w:val="00D95662"/>
    <w:rsid w:val="00D96775"/>
    <w:rsid w:val="00DA04B0"/>
    <w:rsid w:val="00DA0D93"/>
    <w:rsid w:val="00DA0F40"/>
    <w:rsid w:val="00DA104E"/>
    <w:rsid w:val="00DA125F"/>
    <w:rsid w:val="00DA1518"/>
    <w:rsid w:val="00DA15A5"/>
    <w:rsid w:val="00DA1819"/>
    <w:rsid w:val="00DA18B9"/>
    <w:rsid w:val="00DA1B77"/>
    <w:rsid w:val="00DA1E9F"/>
    <w:rsid w:val="00DA1F24"/>
    <w:rsid w:val="00DA272F"/>
    <w:rsid w:val="00DA2EE5"/>
    <w:rsid w:val="00DA390D"/>
    <w:rsid w:val="00DA3EFD"/>
    <w:rsid w:val="00DA4343"/>
    <w:rsid w:val="00DA45E6"/>
    <w:rsid w:val="00DA4E1B"/>
    <w:rsid w:val="00DA515E"/>
    <w:rsid w:val="00DA54A8"/>
    <w:rsid w:val="00DA560A"/>
    <w:rsid w:val="00DA5616"/>
    <w:rsid w:val="00DA5909"/>
    <w:rsid w:val="00DA5EA2"/>
    <w:rsid w:val="00DA5F44"/>
    <w:rsid w:val="00DA6272"/>
    <w:rsid w:val="00DA68A4"/>
    <w:rsid w:val="00DA6C51"/>
    <w:rsid w:val="00DA73C3"/>
    <w:rsid w:val="00DA7962"/>
    <w:rsid w:val="00DA7E48"/>
    <w:rsid w:val="00DB084B"/>
    <w:rsid w:val="00DB0ABB"/>
    <w:rsid w:val="00DB0C13"/>
    <w:rsid w:val="00DB0F5A"/>
    <w:rsid w:val="00DB10CE"/>
    <w:rsid w:val="00DB1D42"/>
    <w:rsid w:val="00DB2641"/>
    <w:rsid w:val="00DB29C0"/>
    <w:rsid w:val="00DB2A45"/>
    <w:rsid w:val="00DB2DD5"/>
    <w:rsid w:val="00DB2E45"/>
    <w:rsid w:val="00DB32A3"/>
    <w:rsid w:val="00DB3940"/>
    <w:rsid w:val="00DB4584"/>
    <w:rsid w:val="00DB48AC"/>
    <w:rsid w:val="00DB4CFF"/>
    <w:rsid w:val="00DB52D9"/>
    <w:rsid w:val="00DB5443"/>
    <w:rsid w:val="00DB5956"/>
    <w:rsid w:val="00DB596D"/>
    <w:rsid w:val="00DB5C9E"/>
    <w:rsid w:val="00DB5CEF"/>
    <w:rsid w:val="00DB6A28"/>
    <w:rsid w:val="00DB7065"/>
    <w:rsid w:val="00DB79A1"/>
    <w:rsid w:val="00DC0081"/>
    <w:rsid w:val="00DC04FA"/>
    <w:rsid w:val="00DC0A41"/>
    <w:rsid w:val="00DC1060"/>
    <w:rsid w:val="00DC120F"/>
    <w:rsid w:val="00DC1EC1"/>
    <w:rsid w:val="00DC2541"/>
    <w:rsid w:val="00DC2697"/>
    <w:rsid w:val="00DC26CD"/>
    <w:rsid w:val="00DC2711"/>
    <w:rsid w:val="00DC2733"/>
    <w:rsid w:val="00DC2A36"/>
    <w:rsid w:val="00DC2FE2"/>
    <w:rsid w:val="00DC306E"/>
    <w:rsid w:val="00DC309B"/>
    <w:rsid w:val="00DC3897"/>
    <w:rsid w:val="00DC3D71"/>
    <w:rsid w:val="00DC493D"/>
    <w:rsid w:val="00DC4E86"/>
    <w:rsid w:val="00DC5104"/>
    <w:rsid w:val="00DC5559"/>
    <w:rsid w:val="00DC5859"/>
    <w:rsid w:val="00DC5F15"/>
    <w:rsid w:val="00DC5FDE"/>
    <w:rsid w:val="00DC665C"/>
    <w:rsid w:val="00DC6780"/>
    <w:rsid w:val="00DC685E"/>
    <w:rsid w:val="00DC6BE3"/>
    <w:rsid w:val="00DC7844"/>
    <w:rsid w:val="00DD078E"/>
    <w:rsid w:val="00DD0DDC"/>
    <w:rsid w:val="00DD11DE"/>
    <w:rsid w:val="00DD131E"/>
    <w:rsid w:val="00DD13F8"/>
    <w:rsid w:val="00DD140E"/>
    <w:rsid w:val="00DD1698"/>
    <w:rsid w:val="00DD19BE"/>
    <w:rsid w:val="00DD2AEB"/>
    <w:rsid w:val="00DD2B97"/>
    <w:rsid w:val="00DD38C9"/>
    <w:rsid w:val="00DD3A57"/>
    <w:rsid w:val="00DD3E63"/>
    <w:rsid w:val="00DD468B"/>
    <w:rsid w:val="00DD4A83"/>
    <w:rsid w:val="00DD4C6C"/>
    <w:rsid w:val="00DD5157"/>
    <w:rsid w:val="00DD58CE"/>
    <w:rsid w:val="00DD591E"/>
    <w:rsid w:val="00DD5AEB"/>
    <w:rsid w:val="00DD5C80"/>
    <w:rsid w:val="00DD5F34"/>
    <w:rsid w:val="00DD6289"/>
    <w:rsid w:val="00DD6311"/>
    <w:rsid w:val="00DD6B33"/>
    <w:rsid w:val="00DD7497"/>
    <w:rsid w:val="00DD75D3"/>
    <w:rsid w:val="00DD76C1"/>
    <w:rsid w:val="00DD77EC"/>
    <w:rsid w:val="00DD78D7"/>
    <w:rsid w:val="00DE0317"/>
    <w:rsid w:val="00DE0B76"/>
    <w:rsid w:val="00DE1471"/>
    <w:rsid w:val="00DE1481"/>
    <w:rsid w:val="00DE175B"/>
    <w:rsid w:val="00DE25EB"/>
    <w:rsid w:val="00DE29B5"/>
    <w:rsid w:val="00DE2E27"/>
    <w:rsid w:val="00DE2FBA"/>
    <w:rsid w:val="00DE38BB"/>
    <w:rsid w:val="00DE3CC5"/>
    <w:rsid w:val="00DE43C9"/>
    <w:rsid w:val="00DE46DC"/>
    <w:rsid w:val="00DE47B3"/>
    <w:rsid w:val="00DE49E0"/>
    <w:rsid w:val="00DE4F0F"/>
    <w:rsid w:val="00DE57E8"/>
    <w:rsid w:val="00DE6401"/>
    <w:rsid w:val="00DE6812"/>
    <w:rsid w:val="00DE6A0A"/>
    <w:rsid w:val="00DE6F2E"/>
    <w:rsid w:val="00DE70BB"/>
    <w:rsid w:val="00DE74FF"/>
    <w:rsid w:val="00DE777D"/>
    <w:rsid w:val="00DE799A"/>
    <w:rsid w:val="00DE7B23"/>
    <w:rsid w:val="00DF0F9F"/>
    <w:rsid w:val="00DF106F"/>
    <w:rsid w:val="00DF11BD"/>
    <w:rsid w:val="00DF1813"/>
    <w:rsid w:val="00DF31C1"/>
    <w:rsid w:val="00DF3213"/>
    <w:rsid w:val="00DF3C50"/>
    <w:rsid w:val="00DF3C57"/>
    <w:rsid w:val="00DF4265"/>
    <w:rsid w:val="00DF4D34"/>
    <w:rsid w:val="00DF4E3A"/>
    <w:rsid w:val="00DF53A3"/>
    <w:rsid w:val="00DF53B2"/>
    <w:rsid w:val="00DF5907"/>
    <w:rsid w:val="00DF5B88"/>
    <w:rsid w:val="00DF5CE8"/>
    <w:rsid w:val="00DF60F1"/>
    <w:rsid w:val="00DF68F1"/>
    <w:rsid w:val="00DF6F12"/>
    <w:rsid w:val="00DF79AB"/>
    <w:rsid w:val="00DF7B13"/>
    <w:rsid w:val="00E000F5"/>
    <w:rsid w:val="00E0095F"/>
    <w:rsid w:val="00E01048"/>
    <w:rsid w:val="00E01694"/>
    <w:rsid w:val="00E01803"/>
    <w:rsid w:val="00E02751"/>
    <w:rsid w:val="00E02D8E"/>
    <w:rsid w:val="00E03498"/>
    <w:rsid w:val="00E035CE"/>
    <w:rsid w:val="00E038F3"/>
    <w:rsid w:val="00E03CD0"/>
    <w:rsid w:val="00E0405D"/>
    <w:rsid w:val="00E043DC"/>
    <w:rsid w:val="00E04C0B"/>
    <w:rsid w:val="00E05433"/>
    <w:rsid w:val="00E054D9"/>
    <w:rsid w:val="00E054E7"/>
    <w:rsid w:val="00E05A8B"/>
    <w:rsid w:val="00E05F13"/>
    <w:rsid w:val="00E063B3"/>
    <w:rsid w:val="00E07B06"/>
    <w:rsid w:val="00E07F0C"/>
    <w:rsid w:val="00E10EAE"/>
    <w:rsid w:val="00E11256"/>
    <w:rsid w:val="00E118A4"/>
    <w:rsid w:val="00E11BFD"/>
    <w:rsid w:val="00E12809"/>
    <w:rsid w:val="00E12956"/>
    <w:rsid w:val="00E12D55"/>
    <w:rsid w:val="00E130A9"/>
    <w:rsid w:val="00E13389"/>
    <w:rsid w:val="00E1384F"/>
    <w:rsid w:val="00E139C4"/>
    <w:rsid w:val="00E13BB4"/>
    <w:rsid w:val="00E14168"/>
    <w:rsid w:val="00E141C2"/>
    <w:rsid w:val="00E14370"/>
    <w:rsid w:val="00E14791"/>
    <w:rsid w:val="00E14807"/>
    <w:rsid w:val="00E1537E"/>
    <w:rsid w:val="00E158C8"/>
    <w:rsid w:val="00E15AE9"/>
    <w:rsid w:val="00E15BE7"/>
    <w:rsid w:val="00E162CB"/>
    <w:rsid w:val="00E16393"/>
    <w:rsid w:val="00E1642D"/>
    <w:rsid w:val="00E16BA6"/>
    <w:rsid w:val="00E172C4"/>
    <w:rsid w:val="00E17962"/>
    <w:rsid w:val="00E17CB5"/>
    <w:rsid w:val="00E17E5D"/>
    <w:rsid w:val="00E200EA"/>
    <w:rsid w:val="00E20109"/>
    <w:rsid w:val="00E20340"/>
    <w:rsid w:val="00E20B6F"/>
    <w:rsid w:val="00E20CD6"/>
    <w:rsid w:val="00E21070"/>
    <w:rsid w:val="00E21A7F"/>
    <w:rsid w:val="00E22298"/>
    <w:rsid w:val="00E22832"/>
    <w:rsid w:val="00E22D8A"/>
    <w:rsid w:val="00E23360"/>
    <w:rsid w:val="00E2418D"/>
    <w:rsid w:val="00E25093"/>
    <w:rsid w:val="00E250E4"/>
    <w:rsid w:val="00E25FE9"/>
    <w:rsid w:val="00E260C3"/>
    <w:rsid w:val="00E26C3D"/>
    <w:rsid w:val="00E26F39"/>
    <w:rsid w:val="00E27865"/>
    <w:rsid w:val="00E27C5A"/>
    <w:rsid w:val="00E27FC5"/>
    <w:rsid w:val="00E3032D"/>
    <w:rsid w:val="00E3083C"/>
    <w:rsid w:val="00E30E4D"/>
    <w:rsid w:val="00E315A6"/>
    <w:rsid w:val="00E3177B"/>
    <w:rsid w:val="00E3193A"/>
    <w:rsid w:val="00E31DA8"/>
    <w:rsid w:val="00E32153"/>
    <w:rsid w:val="00E32257"/>
    <w:rsid w:val="00E32439"/>
    <w:rsid w:val="00E32467"/>
    <w:rsid w:val="00E324F4"/>
    <w:rsid w:val="00E32B75"/>
    <w:rsid w:val="00E33065"/>
    <w:rsid w:val="00E34A94"/>
    <w:rsid w:val="00E34B07"/>
    <w:rsid w:val="00E3501F"/>
    <w:rsid w:val="00E37043"/>
    <w:rsid w:val="00E4032F"/>
    <w:rsid w:val="00E40AA9"/>
    <w:rsid w:val="00E40B48"/>
    <w:rsid w:val="00E40CCA"/>
    <w:rsid w:val="00E416F5"/>
    <w:rsid w:val="00E4173E"/>
    <w:rsid w:val="00E41923"/>
    <w:rsid w:val="00E419E2"/>
    <w:rsid w:val="00E41DB3"/>
    <w:rsid w:val="00E42FF8"/>
    <w:rsid w:val="00E4327E"/>
    <w:rsid w:val="00E43A9C"/>
    <w:rsid w:val="00E43AEE"/>
    <w:rsid w:val="00E43C57"/>
    <w:rsid w:val="00E43E14"/>
    <w:rsid w:val="00E43E72"/>
    <w:rsid w:val="00E44098"/>
    <w:rsid w:val="00E441FB"/>
    <w:rsid w:val="00E4447B"/>
    <w:rsid w:val="00E44492"/>
    <w:rsid w:val="00E446BD"/>
    <w:rsid w:val="00E44CA4"/>
    <w:rsid w:val="00E44E6E"/>
    <w:rsid w:val="00E45758"/>
    <w:rsid w:val="00E45833"/>
    <w:rsid w:val="00E4661F"/>
    <w:rsid w:val="00E46A40"/>
    <w:rsid w:val="00E470FE"/>
    <w:rsid w:val="00E47CBE"/>
    <w:rsid w:val="00E50065"/>
    <w:rsid w:val="00E5024C"/>
    <w:rsid w:val="00E50BCE"/>
    <w:rsid w:val="00E5106D"/>
    <w:rsid w:val="00E51224"/>
    <w:rsid w:val="00E51273"/>
    <w:rsid w:val="00E51B89"/>
    <w:rsid w:val="00E51D8F"/>
    <w:rsid w:val="00E51FC0"/>
    <w:rsid w:val="00E52636"/>
    <w:rsid w:val="00E5321C"/>
    <w:rsid w:val="00E539F8"/>
    <w:rsid w:val="00E54428"/>
    <w:rsid w:val="00E545DB"/>
    <w:rsid w:val="00E54628"/>
    <w:rsid w:val="00E55182"/>
    <w:rsid w:val="00E552AA"/>
    <w:rsid w:val="00E555EE"/>
    <w:rsid w:val="00E55742"/>
    <w:rsid w:val="00E55BFD"/>
    <w:rsid w:val="00E55E1A"/>
    <w:rsid w:val="00E56107"/>
    <w:rsid w:val="00E562B5"/>
    <w:rsid w:val="00E56936"/>
    <w:rsid w:val="00E56CF8"/>
    <w:rsid w:val="00E56DE7"/>
    <w:rsid w:val="00E570A6"/>
    <w:rsid w:val="00E57478"/>
    <w:rsid w:val="00E575B6"/>
    <w:rsid w:val="00E57906"/>
    <w:rsid w:val="00E605AC"/>
    <w:rsid w:val="00E61763"/>
    <w:rsid w:val="00E61989"/>
    <w:rsid w:val="00E619F1"/>
    <w:rsid w:val="00E6247B"/>
    <w:rsid w:val="00E62CEA"/>
    <w:rsid w:val="00E62E32"/>
    <w:rsid w:val="00E63138"/>
    <w:rsid w:val="00E6327B"/>
    <w:rsid w:val="00E64449"/>
    <w:rsid w:val="00E6470E"/>
    <w:rsid w:val="00E64BC5"/>
    <w:rsid w:val="00E658EB"/>
    <w:rsid w:val="00E65FB7"/>
    <w:rsid w:val="00E6708C"/>
    <w:rsid w:val="00E675AB"/>
    <w:rsid w:val="00E67BC7"/>
    <w:rsid w:val="00E70065"/>
    <w:rsid w:val="00E70176"/>
    <w:rsid w:val="00E70850"/>
    <w:rsid w:val="00E708E6"/>
    <w:rsid w:val="00E70B49"/>
    <w:rsid w:val="00E70CAD"/>
    <w:rsid w:val="00E7115A"/>
    <w:rsid w:val="00E71223"/>
    <w:rsid w:val="00E714CC"/>
    <w:rsid w:val="00E71964"/>
    <w:rsid w:val="00E719C5"/>
    <w:rsid w:val="00E71AB9"/>
    <w:rsid w:val="00E71E27"/>
    <w:rsid w:val="00E71EA4"/>
    <w:rsid w:val="00E725E6"/>
    <w:rsid w:val="00E72BDB"/>
    <w:rsid w:val="00E73218"/>
    <w:rsid w:val="00E73246"/>
    <w:rsid w:val="00E7479A"/>
    <w:rsid w:val="00E74957"/>
    <w:rsid w:val="00E74A57"/>
    <w:rsid w:val="00E74A6A"/>
    <w:rsid w:val="00E7542F"/>
    <w:rsid w:val="00E75AF2"/>
    <w:rsid w:val="00E76771"/>
    <w:rsid w:val="00E76DAF"/>
    <w:rsid w:val="00E806BF"/>
    <w:rsid w:val="00E807FF"/>
    <w:rsid w:val="00E808CC"/>
    <w:rsid w:val="00E80F1C"/>
    <w:rsid w:val="00E80F94"/>
    <w:rsid w:val="00E813E0"/>
    <w:rsid w:val="00E81B28"/>
    <w:rsid w:val="00E81CD1"/>
    <w:rsid w:val="00E81EBC"/>
    <w:rsid w:val="00E8215D"/>
    <w:rsid w:val="00E8286B"/>
    <w:rsid w:val="00E82886"/>
    <w:rsid w:val="00E82BA2"/>
    <w:rsid w:val="00E830B5"/>
    <w:rsid w:val="00E83419"/>
    <w:rsid w:val="00E83F51"/>
    <w:rsid w:val="00E8472B"/>
    <w:rsid w:val="00E865E7"/>
    <w:rsid w:val="00E869D4"/>
    <w:rsid w:val="00E873D7"/>
    <w:rsid w:val="00E90A78"/>
    <w:rsid w:val="00E90FB1"/>
    <w:rsid w:val="00E90FF3"/>
    <w:rsid w:val="00E914F8"/>
    <w:rsid w:val="00E916CE"/>
    <w:rsid w:val="00E91CFB"/>
    <w:rsid w:val="00E91D01"/>
    <w:rsid w:val="00E91EE1"/>
    <w:rsid w:val="00E924A8"/>
    <w:rsid w:val="00E925DE"/>
    <w:rsid w:val="00E92F2F"/>
    <w:rsid w:val="00E93B78"/>
    <w:rsid w:val="00E940D4"/>
    <w:rsid w:val="00E940E1"/>
    <w:rsid w:val="00E944C1"/>
    <w:rsid w:val="00E94B83"/>
    <w:rsid w:val="00E94CE2"/>
    <w:rsid w:val="00E94D03"/>
    <w:rsid w:val="00E9504D"/>
    <w:rsid w:val="00E95177"/>
    <w:rsid w:val="00E95380"/>
    <w:rsid w:val="00E95693"/>
    <w:rsid w:val="00E956D3"/>
    <w:rsid w:val="00E95995"/>
    <w:rsid w:val="00E95AAD"/>
    <w:rsid w:val="00E95AD0"/>
    <w:rsid w:val="00E95AEE"/>
    <w:rsid w:val="00E95F62"/>
    <w:rsid w:val="00E96127"/>
    <w:rsid w:val="00E9641B"/>
    <w:rsid w:val="00E9649F"/>
    <w:rsid w:val="00E96960"/>
    <w:rsid w:val="00E96B9C"/>
    <w:rsid w:val="00E972B7"/>
    <w:rsid w:val="00E9740B"/>
    <w:rsid w:val="00E97D4C"/>
    <w:rsid w:val="00E97EE6"/>
    <w:rsid w:val="00EA002B"/>
    <w:rsid w:val="00EA05DC"/>
    <w:rsid w:val="00EA078D"/>
    <w:rsid w:val="00EA07B9"/>
    <w:rsid w:val="00EA0AE8"/>
    <w:rsid w:val="00EA12A8"/>
    <w:rsid w:val="00EA1F78"/>
    <w:rsid w:val="00EA2169"/>
    <w:rsid w:val="00EA232F"/>
    <w:rsid w:val="00EA312C"/>
    <w:rsid w:val="00EA36BB"/>
    <w:rsid w:val="00EA3984"/>
    <w:rsid w:val="00EA3C1B"/>
    <w:rsid w:val="00EA3F2B"/>
    <w:rsid w:val="00EA44B3"/>
    <w:rsid w:val="00EA466B"/>
    <w:rsid w:val="00EA49B3"/>
    <w:rsid w:val="00EA4B84"/>
    <w:rsid w:val="00EA68C8"/>
    <w:rsid w:val="00EA6D69"/>
    <w:rsid w:val="00EA7790"/>
    <w:rsid w:val="00EA77D2"/>
    <w:rsid w:val="00EB02CD"/>
    <w:rsid w:val="00EB07A0"/>
    <w:rsid w:val="00EB08A1"/>
    <w:rsid w:val="00EB0D9F"/>
    <w:rsid w:val="00EB14B7"/>
    <w:rsid w:val="00EB1865"/>
    <w:rsid w:val="00EB1A02"/>
    <w:rsid w:val="00EB1FA2"/>
    <w:rsid w:val="00EB2829"/>
    <w:rsid w:val="00EB2B08"/>
    <w:rsid w:val="00EB3E68"/>
    <w:rsid w:val="00EB41AE"/>
    <w:rsid w:val="00EB4838"/>
    <w:rsid w:val="00EB4B4A"/>
    <w:rsid w:val="00EB57BF"/>
    <w:rsid w:val="00EB5CA0"/>
    <w:rsid w:val="00EB60E7"/>
    <w:rsid w:val="00EB6263"/>
    <w:rsid w:val="00EB6D8C"/>
    <w:rsid w:val="00EB751C"/>
    <w:rsid w:val="00EB7811"/>
    <w:rsid w:val="00EB79A1"/>
    <w:rsid w:val="00EC0527"/>
    <w:rsid w:val="00EC0E8E"/>
    <w:rsid w:val="00EC1839"/>
    <w:rsid w:val="00EC19E1"/>
    <w:rsid w:val="00EC1C5F"/>
    <w:rsid w:val="00EC23F8"/>
    <w:rsid w:val="00EC2580"/>
    <w:rsid w:val="00EC2753"/>
    <w:rsid w:val="00EC280E"/>
    <w:rsid w:val="00EC28D2"/>
    <w:rsid w:val="00EC2B31"/>
    <w:rsid w:val="00EC3C50"/>
    <w:rsid w:val="00EC3E75"/>
    <w:rsid w:val="00EC41FF"/>
    <w:rsid w:val="00EC45B3"/>
    <w:rsid w:val="00EC45F1"/>
    <w:rsid w:val="00EC486E"/>
    <w:rsid w:val="00EC5FB8"/>
    <w:rsid w:val="00EC601A"/>
    <w:rsid w:val="00EC702F"/>
    <w:rsid w:val="00EC71B1"/>
    <w:rsid w:val="00EC7436"/>
    <w:rsid w:val="00EC7BB0"/>
    <w:rsid w:val="00EC7EDB"/>
    <w:rsid w:val="00ED057F"/>
    <w:rsid w:val="00ED0C3E"/>
    <w:rsid w:val="00ED1FC3"/>
    <w:rsid w:val="00ED2784"/>
    <w:rsid w:val="00ED3010"/>
    <w:rsid w:val="00ED3415"/>
    <w:rsid w:val="00ED386C"/>
    <w:rsid w:val="00ED3A8A"/>
    <w:rsid w:val="00ED3E13"/>
    <w:rsid w:val="00ED4097"/>
    <w:rsid w:val="00ED4885"/>
    <w:rsid w:val="00ED4FA7"/>
    <w:rsid w:val="00ED5489"/>
    <w:rsid w:val="00ED54E7"/>
    <w:rsid w:val="00ED58C9"/>
    <w:rsid w:val="00ED5C6C"/>
    <w:rsid w:val="00ED5EB8"/>
    <w:rsid w:val="00ED5ECD"/>
    <w:rsid w:val="00ED604A"/>
    <w:rsid w:val="00ED63EA"/>
    <w:rsid w:val="00ED7136"/>
    <w:rsid w:val="00ED7434"/>
    <w:rsid w:val="00ED76B4"/>
    <w:rsid w:val="00ED78DC"/>
    <w:rsid w:val="00ED7956"/>
    <w:rsid w:val="00EE0886"/>
    <w:rsid w:val="00EE0EAE"/>
    <w:rsid w:val="00EE0FA7"/>
    <w:rsid w:val="00EE114E"/>
    <w:rsid w:val="00EE1ACA"/>
    <w:rsid w:val="00EE2F85"/>
    <w:rsid w:val="00EE30AD"/>
    <w:rsid w:val="00EE342B"/>
    <w:rsid w:val="00EE37D9"/>
    <w:rsid w:val="00EE3ACE"/>
    <w:rsid w:val="00EE4B04"/>
    <w:rsid w:val="00EE4CF4"/>
    <w:rsid w:val="00EE58C3"/>
    <w:rsid w:val="00EE622E"/>
    <w:rsid w:val="00EE6273"/>
    <w:rsid w:val="00EE64F3"/>
    <w:rsid w:val="00EE669B"/>
    <w:rsid w:val="00EE67BD"/>
    <w:rsid w:val="00EE6A7E"/>
    <w:rsid w:val="00EE6D05"/>
    <w:rsid w:val="00EE71A0"/>
    <w:rsid w:val="00EE7DDC"/>
    <w:rsid w:val="00EF05E1"/>
    <w:rsid w:val="00EF12D1"/>
    <w:rsid w:val="00EF1ED5"/>
    <w:rsid w:val="00EF21E6"/>
    <w:rsid w:val="00EF22C0"/>
    <w:rsid w:val="00EF2492"/>
    <w:rsid w:val="00EF2681"/>
    <w:rsid w:val="00EF27FE"/>
    <w:rsid w:val="00EF2A67"/>
    <w:rsid w:val="00EF2D49"/>
    <w:rsid w:val="00EF3FA9"/>
    <w:rsid w:val="00EF46BB"/>
    <w:rsid w:val="00EF483E"/>
    <w:rsid w:val="00EF485C"/>
    <w:rsid w:val="00EF48E7"/>
    <w:rsid w:val="00EF59C9"/>
    <w:rsid w:val="00EF5E2F"/>
    <w:rsid w:val="00EF65F5"/>
    <w:rsid w:val="00EF6823"/>
    <w:rsid w:val="00EF6C0F"/>
    <w:rsid w:val="00EF747D"/>
    <w:rsid w:val="00F0022F"/>
    <w:rsid w:val="00F0026F"/>
    <w:rsid w:val="00F00A71"/>
    <w:rsid w:val="00F01024"/>
    <w:rsid w:val="00F01168"/>
    <w:rsid w:val="00F01212"/>
    <w:rsid w:val="00F018A2"/>
    <w:rsid w:val="00F01CC7"/>
    <w:rsid w:val="00F031AF"/>
    <w:rsid w:val="00F0355B"/>
    <w:rsid w:val="00F038A1"/>
    <w:rsid w:val="00F03F43"/>
    <w:rsid w:val="00F04F55"/>
    <w:rsid w:val="00F0533C"/>
    <w:rsid w:val="00F05665"/>
    <w:rsid w:val="00F05EF0"/>
    <w:rsid w:val="00F06310"/>
    <w:rsid w:val="00F06D5E"/>
    <w:rsid w:val="00F06D8B"/>
    <w:rsid w:val="00F0735A"/>
    <w:rsid w:val="00F07B5D"/>
    <w:rsid w:val="00F07E6D"/>
    <w:rsid w:val="00F10682"/>
    <w:rsid w:val="00F1096B"/>
    <w:rsid w:val="00F109A7"/>
    <w:rsid w:val="00F10AD7"/>
    <w:rsid w:val="00F10D68"/>
    <w:rsid w:val="00F10F5E"/>
    <w:rsid w:val="00F11A7F"/>
    <w:rsid w:val="00F11D15"/>
    <w:rsid w:val="00F125DA"/>
    <w:rsid w:val="00F128C7"/>
    <w:rsid w:val="00F12969"/>
    <w:rsid w:val="00F13798"/>
    <w:rsid w:val="00F142A0"/>
    <w:rsid w:val="00F14C9A"/>
    <w:rsid w:val="00F15008"/>
    <w:rsid w:val="00F15DFB"/>
    <w:rsid w:val="00F1626A"/>
    <w:rsid w:val="00F16303"/>
    <w:rsid w:val="00F16447"/>
    <w:rsid w:val="00F173F8"/>
    <w:rsid w:val="00F17776"/>
    <w:rsid w:val="00F17E56"/>
    <w:rsid w:val="00F17E76"/>
    <w:rsid w:val="00F20072"/>
    <w:rsid w:val="00F2033D"/>
    <w:rsid w:val="00F20396"/>
    <w:rsid w:val="00F2055C"/>
    <w:rsid w:val="00F206D1"/>
    <w:rsid w:val="00F207F1"/>
    <w:rsid w:val="00F20C68"/>
    <w:rsid w:val="00F217F0"/>
    <w:rsid w:val="00F21E57"/>
    <w:rsid w:val="00F2208C"/>
    <w:rsid w:val="00F22092"/>
    <w:rsid w:val="00F220BC"/>
    <w:rsid w:val="00F231A2"/>
    <w:rsid w:val="00F23D0B"/>
    <w:rsid w:val="00F23D50"/>
    <w:rsid w:val="00F23DA6"/>
    <w:rsid w:val="00F23DF2"/>
    <w:rsid w:val="00F24DDC"/>
    <w:rsid w:val="00F25767"/>
    <w:rsid w:val="00F258C0"/>
    <w:rsid w:val="00F25BB2"/>
    <w:rsid w:val="00F26477"/>
    <w:rsid w:val="00F26541"/>
    <w:rsid w:val="00F26EEA"/>
    <w:rsid w:val="00F2701B"/>
    <w:rsid w:val="00F2745D"/>
    <w:rsid w:val="00F279F7"/>
    <w:rsid w:val="00F27C20"/>
    <w:rsid w:val="00F27FED"/>
    <w:rsid w:val="00F30347"/>
    <w:rsid w:val="00F30997"/>
    <w:rsid w:val="00F30DD2"/>
    <w:rsid w:val="00F3105C"/>
    <w:rsid w:val="00F3170E"/>
    <w:rsid w:val="00F31EFE"/>
    <w:rsid w:val="00F31F91"/>
    <w:rsid w:val="00F3201D"/>
    <w:rsid w:val="00F320B1"/>
    <w:rsid w:val="00F3275F"/>
    <w:rsid w:val="00F32B3B"/>
    <w:rsid w:val="00F32B50"/>
    <w:rsid w:val="00F33C60"/>
    <w:rsid w:val="00F33D5C"/>
    <w:rsid w:val="00F33F62"/>
    <w:rsid w:val="00F340DB"/>
    <w:rsid w:val="00F340F8"/>
    <w:rsid w:val="00F3417D"/>
    <w:rsid w:val="00F35252"/>
    <w:rsid w:val="00F35652"/>
    <w:rsid w:val="00F3607E"/>
    <w:rsid w:val="00F3638F"/>
    <w:rsid w:val="00F365A0"/>
    <w:rsid w:val="00F374C0"/>
    <w:rsid w:val="00F376D0"/>
    <w:rsid w:val="00F37EAE"/>
    <w:rsid w:val="00F40B92"/>
    <w:rsid w:val="00F41A17"/>
    <w:rsid w:val="00F41C8C"/>
    <w:rsid w:val="00F41D74"/>
    <w:rsid w:val="00F421DA"/>
    <w:rsid w:val="00F427D1"/>
    <w:rsid w:val="00F430F4"/>
    <w:rsid w:val="00F43336"/>
    <w:rsid w:val="00F435BC"/>
    <w:rsid w:val="00F43FC3"/>
    <w:rsid w:val="00F44497"/>
    <w:rsid w:val="00F444A2"/>
    <w:rsid w:val="00F44F63"/>
    <w:rsid w:val="00F44FEA"/>
    <w:rsid w:val="00F450AD"/>
    <w:rsid w:val="00F45836"/>
    <w:rsid w:val="00F46516"/>
    <w:rsid w:val="00F46FD1"/>
    <w:rsid w:val="00F4724A"/>
    <w:rsid w:val="00F4725B"/>
    <w:rsid w:val="00F474B9"/>
    <w:rsid w:val="00F501EE"/>
    <w:rsid w:val="00F504D6"/>
    <w:rsid w:val="00F5095F"/>
    <w:rsid w:val="00F5135F"/>
    <w:rsid w:val="00F51B34"/>
    <w:rsid w:val="00F52AE4"/>
    <w:rsid w:val="00F534FB"/>
    <w:rsid w:val="00F53733"/>
    <w:rsid w:val="00F5376D"/>
    <w:rsid w:val="00F53928"/>
    <w:rsid w:val="00F53BCC"/>
    <w:rsid w:val="00F54559"/>
    <w:rsid w:val="00F54A18"/>
    <w:rsid w:val="00F54BED"/>
    <w:rsid w:val="00F54F86"/>
    <w:rsid w:val="00F5537E"/>
    <w:rsid w:val="00F55679"/>
    <w:rsid w:val="00F55EE3"/>
    <w:rsid w:val="00F562C4"/>
    <w:rsid w:val="00F56819"/>
    <w:rsid w:val="00F56A22"/>
    <w:rsid w:val="00F56D11"/>
    <w:rsid w:val="00F57A25"/>
    <w:rsid w:val="00F6039D"/>
    <w:rsid w:val="00F6083D"/>
    <w:rsid w:val="00F60C37"/>
    <w:rsid w:val="00F61CB1"/>
    <w:rsid w:val="00F61EAC"/>
    <w:rsid w:val="00F61FBA"/>
    <w:rsid w:val="00F62473"/>
    <w:rsid w:val="00F629E0"/>
    <w:rsid w:val="00F63390"/>
    <w:rsid w:val="00F63D9B"/>
    <w:rsid w:val="00F65375"/>
    <w:rsid w:val="00F65EDF"/>
    <w:rsid w:val="00F6765D"/>
    <w:rsid w:val="00F67990"/>
    <w:rsid w:val="00F70991"/>
    <w:rsid w:val="00F70D03"/>
    <w:rsid w:val="00F70F58"/>
    <w:rsid w:val="00F71774"/>
    <w:rsid w:val="00F728C0"/>
    <w:rsid w:val="00F729E3"/>
    <w:rsid w:val="00F72AB4"/>
    <w:rsid w:val="00F730FB"/>
    <w:rsid w:val="00F73C0D"/>
    <w:rsid w:val="00F746C4"/>
    <w:rsid w:val="00F7493F"/>
    <w:rsid w:val="00F766E4"/>
    <w:rsid w:val="00F76956"/>
    <w:rsid w:val="00F76B46"/>
    <w:rsid w:val="00F76D1F"/>
    <w:rsid w:val="00F770E0"/>
    <w:rsid w:val="00F77303"/>
    <w:rsid w:val="00F773EC"/>
    <w:rsid w:val="00F776B1"/>
    <w:rsid w:val="00F77968"/>
    <w:rsid w:val="00F7797F"/>
    <w:rsid w:val="00F77A47"/>
    <w:rsid w:val="00F77C18"/>
    <w:rsid w:val="00F77CF0"/>
    <w:rsid w:val="00F8067A"/>
    <w:rsid w:val="00F81124"/>
    <w:rsid w:val="00F81191"/>
    <w:rsid w:val="00F8128E"/>
    <w:rsid w:val="00F81A08"/>
    <w:rsid w:val="00F82013"/>
    <w:rsid w:val="00F82774"/>
    <w:rsid w:val="00F828A0"/>
    <w:rsid w:val="00F82C65"/>
    <w:rsid w:val="00F8357A"/>
    <w:rsid w:val="00F83BE8"/>
    <w:rsid w:val="00F83E19"/>
    <w:rsid w:val="00F83E24"/>
    <w:rsid w:val="00F85515"/>
    <w:rsid w:val="00F85695"/>
    <w:rsid w:val="00F8601E"/>
    <w:rsid w:val="00F86173"/>
    <w:rsid w:val="00F863E6"/>
    <w:rsid w:val="00F86453"/>
    <w:rsid w:val="00F87190"/>
    <w:rsid w:val="00F87565"/>
    <w:rsid w:val="00F8769A"/>
    <w:rsid w:val="00F905DC"/>
    <w:rsid w:val="00F90A02"/>
    <w:rsid w:val="00F91203"/>
    <w:rsid w:val="00F91D67"/>
    <w:rsid w:val="00F91F8C"/>
    <w:rsid w:val="00F9200B"/>
    <w:rsid w:val="00F92188"/>
    <w:rsid w:val="00F92725"/>
    <w:rsid w:val="00F927F9"/>
    <w:rsid w:val="00F92CF0"/>
    <w:rsid w:val="00F93460"/>
    <w:rsid w:val="00F93755"/>
    <w:rsid w:val="00F939BF"/>
    <w:rsid w:val="00F93CAA"/>
    <w:rsid w:val="00F94115"/>
    <w:rsid w:val="00F94E53"/>
    <w:rsid w:val="00F94F4D"/>
    <w:rsid w:val="00F9562F"/>
    <w:rsid w:val="00F956C7"/>
    <w:rsid w:val="00F96377"/>
    <w:rsid w:val="00F9668E"/>
    <w:rsid w:val="00F96792"/>
    <w:rsid w:val="00F96BBA"/>
    <w:rsid w:val="00F974AE"/>
    <w:rsid w:val="00F97E83"/>
    <w:rsid w:val="00FA0681"/>
    <w:rsid w:val="00FA0908"/>
    <w:rsid w:val="00FA16B0"/>
    <w:rsid w:val="00FA17C0"/>
    <w:rsid w:val="00FA1858"/>
    <w:rsid w:val="00FA1D64"/>
    <w:rsid w:val="00FA20E6"/>
    <w:rsid w:val="00FA2468"/>
    <w:rsid w:val="00FA33E3"/>
    <w:rsid w:val="00FA3B99"/>
    <w:rsid w:val="00FA4A37"/>
    <w:rsid w:val="00FA4DB0"/>
    <w:rsid w:val="00FA5019"/>
    <w:rsid w:val="00FA52D8"/>
    <w:rsid w:val="00FA5535"/>
    <w:rsid w:val="00FA5A67"/>
    <w:rsid w:val="00FA5B52"/>
    <w:rsid w:val="00FA609D"/>
    <w:rsid w:val="00FA6251"/>
    <w:rsid w:val="00FA6DAF"/>
    <w:rsid w:val="00FB01E4"/>
    <w:rsid w:val="00FB0738"/>
    <w:rsid w:val="00FB0923"/>
    <w:rsid w:val="00FB0F85"/>
    <w:rsid w:val="00FB0FD7"/>
    <w:rsid w:val="00FB1BAB"/>
    <w:rsid w:val="00FB21A1"/>
    <w:rsid w:val="00FB2463"/>
    <w:rsid w:val="00FB3706"/>
    <w:rsid w:val="00FB3A44"/>
    <w:rsid w:val="00FB43C5"/>
    <w:rsid w:val="00FB44B8"/>
    <w:rsid w:val="00FB4606"/>
    <w:rsid w:val="00FB49A6"/>
    <w:rsid w:val="00FB49C1"/>
    <w:rsid w:val="00FB5197"/>
    <w:rsid w:val="00FB5AF7"/>
    <w:rsid w:val="00FB5B13"/>
    <w:rsid w:val="00FB6165"/>
    <w:rsid w:val="00FB6215"/>
    <w:rsid w:val="00FB6468"/>
    <w:rsid w:val="00FB7913"/>
    <w:rsid w:val="00FB7BF6"/>
    <w:rsid w:val="00FB7D93"/>
    <w:rsid w:val="00FC0D88"/>
    <w:rsid w:val="00FC0E9C"/>
    <w:rsid w:val="00FC11E6"/>
    <w:rsid w:val="00FC11EC"/>
    <w:rsid w:val="00FC1EFB"/>
    <w:rsid w:val="00FC25E4"/>
    <w:rsid w:val="00FC2DDB"/>
    <w:rsid w:val="00FC2E19"/>
    <w:rsid w:val="00FC2EFB"/>
    <w:rsid w:val="00FC32E2"/>
    <w:rsid w:val="00FC35AD"/>
    <w:rsid w:val="00FC3731"/>
    <w:rsid w:val="00FC3CDB"/>
    <w:rsid w:val="00FC41AF"/>
    <w:rsid w:val="00FC448C"/>
    <w:rsid w:val="00FC44EE"/>
    <w:rsid w:val="00FC49AA"/>
    <w:rsid w:val="00FC4E33"/>
    <w:rsid w:val="00FC528D"/>
    <w:rsid w:val="00FC7221"/>
    <w:rsid w:val="00FC75C0"/>
    <w:rsid w:val="00FC7AC6"/>
    <w:rsid w:val="00FC7BAC"/>
    <w:rsid w:val="00FC7E9C"/>
    <w:rsid w:val="00FC7EDB"/>
    <w:rsid w:val="00FD0388"/>
    <w:rsid w:val="00FD098B"/>
    <w:rsid w:val="00FD0DB9"/>
    <w:rsid w:val="00FD0EB8"/>
    <w:rsid w:val="00FD102A"/>
    <w:rsid w:val="00FD14E3"/>
    <w:rsid w:val="00FD1DAD"/>
    <w:rsid w:val="00FD1EC4"/>
    <w:rsid w:val="00FD230A"/>
    <w:rsid w:val="00FD2AEE"/>
    <w:rsid w:val="00FD2F4A"/>
    <w:rsid w:val="00FD3B2E"/>
    <w:rsid w:val="00FD4346"/>
    <w:rsid w:val="00FD4C05"/>
    <w:rsid w:val="00FD5D9B"/>
    <w:rsid w:val="00FD5ECB"/>
    <w:rsid w:val="00FD6DB1"/>
    <w:rsid w:val="00FD706B"/>
    <w:rsid w:val="00FD728F"/>
    <w:rsid w:val="00FD7BC9"/>
    <w:rsid w:val="00FD7F35"/>
    <w:rsid w:val="00FE03A3"/>
    <w:rsid w:val="00FE08C3"/>
    <w:rsid w:val="00FE08DB"/>
    <w:rsid w:val="00FE0A1F"/>
    <w:rsid w:val="00FE0EF6"/>
    <w:rsid w:val="00FE0F57"/>
    <w:rsid w:val="00FE1553"/>
    <w:rsid w:val="00FE1678"/>
    <w:rsid w:val="00FE18E6"/>
    <w:rsid w:val="00FE2015"/>
    <w:rsid w:val="00FE24A3"/>
    <w:rsid w:val="00FE2501"/>
    <w:rsid w:val="00FE2635"/>
    <w:rsid w:val="00FE29AF"/>
    <w:rsid w:val="00FE2E83"/>
    <w:rsid w:val="00FE361A"/>
    <w:rsid w:val="00FE45A2"/>
    <w:rsid w:val="00FE517A"/>
    <w:rsid w:val="00FE5315"/>
    <w:rsid w:val="00FE5539"/>
    <w:rsid w:val="00FE56D8"/>
    <w:rsid w:val="00FE5717"/>
    <w:rsid w:val="00FE5BC8"/>
    <w:rsid w:val="00FE628E"/>
    <w:rsid w:val="00FE6D1E"/>
    <w:rsid w:val="00FE6EAF"/>
    <w:rsid w:val="00FE6F60"/>
    <w:rsid w:val="00FE7212"/>
    <w:rsid w:val="00FF034A"/>
    <w:rsid w:val="00FF04C8"/>
    <w:rsid w:val="00FF0511"/>
    <w:rsid w:val="00FF22A9"/>
    <w:rsid w:val="00FF341C"/>
    <w:rsid w:val="00FF402B"/>
    <w:rsid w:val="00FF4143"/>
    <w:rsid w:val="00FF42CE"/>
    <w:rsid w:val="00FF43DA"/>
    <w:rsid w:val="00FF4547"/>
    <w:rsid w:val="00FF4610"/>
    <w:rsid w:val="00FF46C4"/>
    <w:rsid w:val="00FF4A31"/>
    <w:rsid w:val="00FF4DBF"/>
    <w:rsid w:val="00FF4F49"/>
    <w:rsid w:val="00FF583E"/>
    <w:rsid w:val="00FF58C6"/>
    <w:rsid w:val="00FF5BD1"/>
    <w:rsid w:val="00FF5F06"/>
    <w:rsid w:val="00FF5F70"/>
    <w:rsid w:val="00FF5FB7"/>
    <w:rsid w:val="00FF683F"/>
    <w:rsid w:val="00FF6C16"/>
    <w:rsid w:val="00FF70C6"/>
    <w:rsid w:val="00FF70C8"/>
    <w:rsid w:val="00FF7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5032C"/>
  <w15:docId w15:val="{DC468BF1-68CC-4FDF-A474-E23C92CA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_Текст абзаца"/>
    <w:qFormat/>
    <w:rsid w:val="007C1C9B"/>
    <w:pPr>
      <w:ind w:firstLine="340"/>
      <w:jc w:val="both"/>
    </w:pPr>
    <w:rPr>
      <w:sz w:val="24"/>
      <w:szCs w:val="32"/>
      <w:lang w:eastAsia="en-US"/>
    </w:rPr>
  </w:style>
  <w:style w:type="paragraph" w:styleId="1">
    <w:name w:val="heading 1"/>
    <w:basedOn w:val="a"/>
    <w:link w:val="10"/>
    <w:uiPriority w:val="9"/>
    <w:qFormat/>
    <w:rsid w:val="00861CB8"/>
    <w:pPr>
      <w:spacing w:before="100" w:beforeAutospacing="1" w:after="100" w:afterAutospacing="1"/>
      <w:ind w:firstLine="0"/>
      <w:jc w:val="left"/>
      <w:outlineLvl w:val="0"/>
    </w:pPr>
    <w:rPr>
      <w:b/>
      <w:bCs/>
      <w:kern w:val="36"/>
      <w:sz w:val="48"/>
      <w:szCs w:val="48"/>
    </w:rPr>
  </w:style>
  <w:style w:type="paragraph" w:styleId="2">
    <w:name w:val="heading 2"/>
    <w:basedOn w:val="a"/>
    <w:next w:val="a"/>
    <w:link w:val="20"/>
    <w:qFormat/>
    <w:rsid w:val="009372F1"/>
    <w:pPr>
      <w:keepNext/>
      <w:keepLines/>
      <w:suppressAutoHyphens/>
      <w:spacing w:before="240" w:after="120"/>
      <w:ind w:firstLine="0"/>
      <w:jc w:val="center"/>
      <w:outlineLvl w:val="1"/>
    </w:pPr>
    <w:rPr>
      <w:rFonts w:eastAsia="Times New Roman"/>
      <w:b/>
      <w:kern w:val="20"/>
      <w:sz w:val="28"/>
      <w:szCs w:val="20"/>
      <w:lang w:eastAsia="ru-RU"/>
    </w:rPr>
  </w:style>
  <w:style w:type="paragraph" w:styleId="3">
    <w:name w:val="heading 3"/>
    <w:basedOn w:val="a"/>
    <w:next w:val="a"/>
    <w:link w:val="30"/>
    <w:qFormat/>
    <w:rsid w:val="007D7CC6"/>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
    <w:next w:val="a"/>
    <w:link w:val="40"/>
    <w:qFormat/>
    <w:rsid w:val="00845C58"/>
    <w:pPr>
      <w:ind w:left="354" w:firstLine="0"/>
      <w:jc w:val="left"/>
      <w:outlineLvl w:val="3"/>
    </w:pPr>
    <w:rPr>
      <w:rFonts w:eastAsia="Times New Roman"/>
      <w:szCs w:val="24"/>
      <w:u w:val="single"/>
    </w:rPr>
  </w:style>
  <w:style w:type="paragraph" w:styleId="5">
    <w:name w:val="heading 5"/>
    <w:basedOn w:val="a"/>
    <w:next w:val="a"/>
    <w:link w:val="50"/>
    <w:uiPriority w:val="9"/>
    <w:qFormat/>
    <w:rsid w:val="00845C58"/>
    <w:pPr>
      <w:ind w:left="708" w:firstLine="0"/>
      <w:jc w:val="left"/>
      <w:outlineLvl w:val="4"/>
    </w:pPr>
    <w:rPr>
      <w:rFonts w:eastAsia="Times New Roman"/>
      <w:b/>
      <w:bCs/>
      <w:sz w:val="20"/>
      <w:szCs w:val="20"/>
    </w:rPr>
  </w:style>
  <w:style w:type="paragraph" w:styleId="6">
    <w:name w:val="heading 6"/>
    <w:basedOn w:val="a"/>
    <w:next w:val="a"/>
    <w:link w:val="60"/>
    <w:unhideWhenUsed/>
    <w:qFormat/>
    <w:rsid w:val="00946F71"/>
    <w:pPr>
      <w:spacing w:before="240" w:after="60"/>
      <w:outlineLvl w:val="5"/>
    </w:pPr>
    <w:rPr>
      <w:rFonts w:ascii="Calibri" w:eastAsia="Times New Roman" w:hAnsi="Calibri"/>
      <w:b/>
      <w:bCs/>
      <w:sz w:val="22"/>
      <w:szCs w:val="22"/>
    </w:rPr>
  </w:style>
  <w:style w:type="paragraph" w:styleId="7">
    <w:name w:val="heading 7"/>
    <w:basedOn w:val="a"/>
    <w:next w:val="a"/>
    <w:link w:val="70"/>
    <w:qFormat/>
    <w:rsid w:val="00845C58"/>
    <w:pPr>
      <w:ind w:left="708" w:firstLine="0"/>
      <w:jc w:val="left"/>
      <w:outlineLvl w:val="6"/>
    </w:pPr>
    <w:rPr>
      <w:rFonts w:eastAsia="Times New Roman"/>
      <w:i/>
      <w:iCs/>
      <w:sz w:val="20"/>
      <w:szCs w:val="20"/>
    </w:rPr>
  </w:style>
  <w:style w:type="paragraph" w:styleId="8">
    <w:name w:val="heading 8"/>
    <w:basedOn w:val="a"/>
    <w:next w:val="a"/>
    <w:qFormat/>
    <w:rsid w:val="00FD3B2E"/>
    <w:pPr>
      <w:spacing w:before="240" w:after="60"/>
      <w:outlineLvl w:val="7"/>
    </w:pPr>
    <w:rPr>
      <w:i/>
      <w:iCs/>
      <w:szCs w:val="24"/>
    </w:rPr>
  </w:style>
  <w:style w:type="paragraph" w:styleId="9">
    <w:name w:val="heading 9"/>
    <w:basedOn w:val="a"/>
    <w:next w:val="a"/>
    <w:link w:val="90"/>
    <w:qFormat/>
    <w:rsid w:val="00845C58"/>
    <w:pPr>
      <w:ind w:left="708" w:firstLine="0"/>
      <w:jc w:val="left"/>
      <w:outlineLvl w:val="8"/>
    </w:pPr>
    <w:rPr>
      <w:rFonts w:eastAsia="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C50AC"/>
    <w:rPr>
      <w:b/>
      <w:bCs/>
      <w:kern w:val="36"/>
      <w:sz w:val="48"/>
      <w:szCs w:val="48"/>
      <w:lang w:bidi="ar-SA"/>
    </w:rPr>
  </w:style>
  <w:style w:type="character" w:customStyle="1" w:styleId="20">
    <w:name w:val="Заголовок 2 Знак"/>
    <w:link w:val="2"/>
    <w:rsid w:val="00004C3D"/>
    <w:rPr>
      <w:rFonts w:eastAsia="Times New Roman"/>
      <w:b/>
      <w:kern w:val="20"/>
      <w:sz w:val="28"/>
    </w:rPr>
  </w:style>
  <w:style w:type="character" w:customStyle="1" w:styleId="30">
    <w:name w:val="Заголовок 3 Знак"/>
    <w:basedOn w:val="a0"/>
    <w:link w:val="3"/>
    <w:rsid w:val="009E0F55"/>
    <w:rPr>
      <w:rFonts w:ascii="Arial" w:eastAsia="Times New Roman" w:hAnsi="Arial" w:cs="Arial"/>
      <w:b/>
      <w:bCs/>
      <w:sz w:val="26"/>
      <w:szCs w:val="26"/>
    </w:rPr>
  </w:style>
  <w:style w:type="character" w:customStyle="1" w:styleId="40">
    <w:name w:val="Заголовок 4 Знак"/>
    <w:link w:val="4"/>
    <w:rsid w:val="00845C58"/>
    <w:rPr>
      <w:rFonts w:eastAsia="Times New Roman"/>
      <w:sz w:val="24"/>
      <w:szCs w:val="24"/>
      <w:u w:val="single"/>
    </w:rPr>
  </w:style>
  <w:style w:type="character" w:customStyle="1" w:styleId="50">
    <w:name w:val="Заголовок 5 Знак"/>
    <w:link w:val="5"/>
    <w:rsid w:val="00845C58"/>
    <w:rPr>
      <w:rFonts w:eastAsia="Times New Roman"/>
      <w:b/>
      <w:bCs/>
    </w:rPr>
  </w:style>
  <w:style w:type="character" w:customStyle="1" w:styleId="60">
    <w:name w:val="Заголовок 6 Знак"/>
    <w:link w:val="6"/>
    <w:semiHidden/>
    <w:rsid w:val="00946F71"/>
    <w:rPr>
      <w:rFonts w:ascii="Calibri" w:eastAsia="Times New Roman" w:hAnsi="Calibri" w:cs="Times New Roman"/>
      <w:b/>
      <w:bCs/>
      <w:sz w:val="22"/>
      <w:szCs w:val="22"/>
      <w:lang w:eastAsia="en-US"/>
    </w:rPr>
  </w:style>
  <w:style w:type="character" w:customStyle="1" w:styleId="70">
    <w:name w:val="Заголовок 7 Знак"/>
    <w:link w:val="7"/>
    <w:rsid w:val="00845C58"/>
    <w:rPr>
      <w:rFonts w:eastAsia="Times New Roman"/>
      <w:i/>
      <w:iCs/>
    </w:rPr>
  </w:style>
  <w:style w:type="character" w:customStyle="1" w:styleId="90">
    <w:name w:val="Заголовок 9 Знак"/>
    <w:link w:val="9"/>
    <w:rsid w:val="00845C58"/>
    <w:rPr>
      <w:rFonts w:eastAsia="Times New Roman"/>
    </w:rPr>
  </w:style>
  <w:style w:type="paragraph" w:customStyle="1" w:styleId="a3">
    <w:name w:val="Э_подрисуночная статьи"/>
    <w:basedOn w:val="a4"/>
    <w:rsid w:val="0009781F"/>
    <w:pPr>
      <w:spacing w:before="120" w:after="240"/>
      <w:ind w:firstLine="0"/>
      <w:jc w:val="center"/>
    </w:pPr>
    <w:rPr>
      <w:sz w:val="22"/>
    </w:rPr>
  </w:style>
  <w:style w:type="paragraph" w:customStyle="1" w:styleId="a4">
    <w:name w:val="Э_текст статьи"/>
    <w:next w:val="a"/>
    <w:link w:val="a5"/>
    <w:rsid w:val="0009781F"/>
    <w:pPr>
      <w:ind w:firstLine="340"/>
      <w:jc w:val="both"/>
    </w:pPr>
    <w:rPr>
      <w:sz w:val="24"/>
      <w:szCs w:val="32"/>
      <w:lang w:eastAsia="en-US"/>
    </w:rPr>
  </w:style>
  <w:style w:type="character" w:customStyle="1" w:styleId="a5">
    <w:name w:val="Э_текст статьи Знак"/>
    <w:link w:val="a4"/>
    <w:locked/>
    <w:rsid w:val="0009781F"/>
    <w:rPr>
      <w:sz w:val="24"/>
      <w:szCs w:val="32"/>
      <w:lang w:eastAsia="en-US"/>
    </w:rPr>
  </w:style>
  <w:style w:type="paragraph" w:customStyle="1" w:styleId="a6">
    <w:name w:val="Э_рисунок"/>
    <w:basedOn w:val="a"/>
    <w:rsid w:val="0009781F"/>
    <w:pPr>
      <w:ind w:firstLine="0"/>
      <w:jc w:val="center"/>
    </w:pPr>
    <w:rPr>
      <w:rFonts w:eastAsia="Times New Roman"/>
      <w:sz w:val="22"/>
      <w:szCs w:val="24"/>
      <w:lang w:eastAsia="ru-RU"/>
    </w:rPr>
  </w:style>
  <w:style w:type="paragraph" w:customStyle="1" w:styleId="a7">
    <w:name w:val="Э_текст сноски"/>
    <w:basedOn w:val="a8"/>
    <w:rsid w:val="0009781F"/>
    <w:pPr>
      <w:jc w:val="both"/>
    </w:pPr>
    <w:rPr>
      <w:color w:val="000000" w:themeColor="text1"/>
      <w:sz w:val="22"/>
      <w:szCs w:val="16"/>
    </w:rPr>
  </w:style>
  <w:style w:type="paragraph" w:styleId="a8">
    <w:name w:val="footnote text"/>
    <w:basedOn w:val="a"/>
    <w:link w:val="a9"/>
    <w:uiPriority w:val="99"/>
    <w:semiHidden/>
    <w:rsid w:val="0024777A"/>
    <w:pPr>
      <w:ind w:firstLine="0"/>
      <w:jc w:val="left"/>
    </w:pPr>
    <w:rPr>
      <w:sz w:val="20"/>
      <w:szCs w:val="20"/>
      <w:lang w:eastAsia="ru-RU"/>
    </w:rPr>
  </w:style>
  <w:style w:type="character" w:customStyle="1" w:styleId="a9">
    <w:name w:val="Текст сноски Знак"/>
    <w:link w:val="a8"/>
    <w:uiPriority w:val="99"/>
    <w:semiHidden/>
    <w:locked/>
    <w:rsid w:val="003C63E0"/>
    <w:rPr>
      <w:lang w:val="ru-RU" w:eastAsia="ru-RU" w:bidi="ar-SA"/>
    </w:rPr>
  </w:style>
  <w:style w:type="paragraph" w:customStyle="1" w:styleId="aa">
    <w:name w:val="Э_текст таблицы статьи"/>
    <w:basedOn w:val="a"/>
    <w:rsid w:val="0009781F"/>
    <w:pPr>
      <w:ind w:firstLine="0"/>
      <w:jc w:val="center"/>
    </w:pPr>
    <w:rPr>
      <w:sz w:val="23"/>
      <w:szCs w:val="22"/>
    </w:rPr>
  </w:style>
  <w:style w:type="paragraph" w:customStyle="1" w:styleId="ab">
    <w:name w:val="Э_формула статьи"/>
    <w:basedOn w:val="a"/>
    <w:rsid w:val="0009781F"/>
    <w:pPr>
      <w:widowControl w:val="0"/>
      <w:tabs>
        <w:tab w:val="center" w:pos="2268"/>
        <w:tab w:val="right" w:pos="4536"/>
      </w:tabs>
      <w:spacing w:before="120" w:after="120"/>
      <w:ind w:firstLine="0"/>
      <w:jc w:val="left"/>
    </w:pPr>
    <w:rPr>
      <w:szCs w:val="24"/>
    </w:rPr>
  </w:style>
  <w:style w:type="paragraph" w:styleId="ac">
    <w:name w:val="header"/>
    <w:basedOn w:val="a"/>
    <w:link w:val="ad"/>
    <w:uiPriority w:val="99"/>
    <w:rsid w:val="009372F1"/>
    <w:pPr>
      <w:tabs>
        <w:tab w:val="center" w:pos="4677"/>
        <w:tab w:val="right" w:pos="9355"/>
      </w:tabs>
      <w:ind w:firstLine="0"/>
      <w:jc w:val="left"/>
    </w:pPr>
    <w:rPr>
      <w:szCs w:val="24"/>
      <w:lang w:eastAsia="ru-RU"/>
    </w:rPr>
  </w:style>
  <w:style w:type="character" w:customStyle="1" w:styleId="ad">
    <w:name w:val="Верхний колонтитул Знак"/>
    <w:link w:val="ac"/>
    <w:uiPriority w:val="99"/>
    <w:rsid w:val="00AC764A"/>
    <w:rPr>
      <w:sz w:val="24"/>
      <w:szCs w:val="24"/>
      <w:lang w:val="ru-RU" w:eastAsia="ru-RU" w:bidi="ar-SA"/>
    </w:rPr>
  </w:style>
  <w:style w:type="character" w:styleId="ae">
    <w:name w:val="page number"/>
    <w:basedOn w:val="a0"/>
    <w:rsid w:val="009372F1"/>
  </w:style>
  <w:style w:type="paragraph" w:customStyle="1" w:styleId="af">
    <w:name w:val="Э_формула широкая"/>
    <w:rsid w:val="0009781F"/>
    <w:pPr>
      <w:tabs>
        <w:tab w:val="center" w:pos="4820"/>
        <w:tab w:val="right" w:pos="9639"/>
      </w:tabs>
      <w:spacing w:before="120" w:after="120"/>
    </w:pPr>
    <w:rPr>
      <w:sz w:val="24"/>
      <w:szCs w:val="24"/>
      <w:lang w:eastAsia="en-US"/>
    </w:rPr>
  </w:style>
  <w:style w:type="paragraph" w:styleId="af0">
    <w:name w:val="Balloon Text"/>
    <w:basedOn w:val="a"/>
    <w:link w:val="af1"/>
    <w:uiPriority w:val="99"/>
    <w:rsid w:val="00B96F0F"/>
    <w:rPr>
      <w:rFonts w:ascii="Tahoma" w:hAnsi="Tahoma" w:cs="Tahoma"/>
      <w:sz w:val="16"/>
      <w:szCs w:val="16"/>
    </w:rPr>
  </w:style>
  <w:style w:type="character" w:customStyle="1" w:styleId="af1">
    <w:name w:val="Текст выноски Знак"/>
    <w:basedOn w:val="a0"/>
    <w:link w:val="af0"/>
    <w:uiPriority w:val="99"/>
    <w:rsid w:val="00B96F0F"/>
    <w:rPr>
      <w:rFonts w:ascii="Tahoma" w:hAnsi="Tahoma" w:cs="Tahoma"/>
      <w:sz w:val="16"/>
      <w:szCs w:val="16"/>
      <w:lang w:eastAsia="en-US"/>
    </w:rPr>
  </w:style>
  <w:style w:type="paragraph" w:styleId="af2">
    <w:name w:val="footer"/>
    <w:basedOn w:val="a"/>
    <w:link w:val="af3"/>
    <w:uiPriority w:val="99"/>
    <w:rsid w:val="00A129C2"/>
    <w:pPr>
      <w:tabs>
        <w:tab w:val="center" w:pos="4677"/>
        <w:tab w:val="right" w:pos="9355"/>
      </w:tabs>
    </w:pPr>
  </w:style>
  <w:style w:type="character" w:customStyle="1" w:styleId="af3">
    <w:name w:val="Нижний колонтитул Знак"/>
    <w:link w:val="af2"/>
    <w:uiPriority w:val="99"/>
    <w:rsid w:val="00D52DB1"/>
    <w:rPr>
      <w:sz w:val="24"/>
      <w:szCs w:val="32"/>
      <w:lang w:eastAsia="en-US"/>
    </w:rPr>
  </w:style>
  <w:style w:type="character" w:styleId="af4">
    <w:name w:val="footnote reference"/>
    <w:uiPriority w:val="99"/>
    <w:rsid w:val="00296B0F"/>
    <w:rPr>
      <w:vertAlign w:val="superscript"/>
    </w:rPr>
  </w:style>
  <w:style w:type="character" w:customStyle="1" w:styleId="8pt">
    <w:name w:val="Основной текст + 8 pt;Полужирный"/>
    <w:rsid w:val="00001A7C"/>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115pt">
    <w:name w:val="Основной текст + 11;5 pt;Полужирный"/>
    <w:rsid w:val="00001A7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75pt">
    <w:name w:val="Основной текст + 7;5 pt;Полужирный"/>
    <w:rsid w:val="00001A7C"/>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105pt">
    <w:name w:val="Основной текст + 10;5 pt"/>
    <w:rsid w:val="00001A7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20pt">
    <w:name w:val="Основной текст (2) + Не полужирный;Курсив;Интервал 0 pt"/>
    <w:basedOn w:val="a0"/>
    <w:rsid w:val="0009781F"/>
    <w:rPr>
      <w:rFonts w:ascii="Times New Roman" w:eastAsia="Times New Roman" w:hAnsi="Times New Roman" w:cs="Times New Roman"/>
      <w:b/>
      <w:bCs/>
      <w:i/>
      <w:iCs/>
      <w:color w:val="000000"/>
      <w:spacing w:val="1"/>
      <w:w w:val="100"/>
      <w:position w:val="0"/>
      <w:sz w:val="17"/>
      <w:szCs w:val="17"/>
      <w:shd w:val="clear" w:color="auto" w:fill="FFFFFF"/>
      <w:lang w:val="ru-RU" w:bidi="ar-SA"/>
    </w:rPr>
  </w:style>
  <w:style w:type="character" w:customStyle="1" w:styleId="0pt">
    <w:name w:val="Основной текст + Курсив;Интервал 0 pt"/>
    <w:basedOn w:val="a0"/>
    <w:rsid w:val="0009781F"/>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paragraph" w:customStyle="1" w:styleId="af5">
    <w:name w:val="Э_авторы"/>
    <w:basedOn w:val="a"/>
    <w:rsid w:val="0009781F"/>
    <w:pPr>
      <w:widowControl w:val="0"/>
      <w:spacing w:before="240" w:after="240"/>
      <w:ind w:firstLine="0"/>
      <w:jc w:val="center"/>
    </w:pPr>
    <w:rPr>
      <w:rFonts w:eastAsia="Times New Roman" w:cs="Arial"/>
      <w:b/>
      <w:color w:val="000000"/>
      <w:sz w:val="28"/>
      <w:szCs w:val="24"/>
      <w:lang w:eastAsia="ru-RU"/>
    </w:rPr>
  </w:style>
  <w:style w:type="paragraph" w:customStyle="1" w:styleId="af6">
    <w:name w:val="Э_название статьи"/>
    <w:basedOn w:val="a"/>
    <w:rsid w:val="0009781F"/>
    <w:pPr>
      <w:widowControl w:val="0"/>
      <w:spacing w:line="288" w:lineRule="auto"/>
      <w:ind w:firstLine="0"/>
      <w:jc w:val="center"/>
    </w:pPr>
    <w:rPr>
      <w:b/>
      <w:sz w:val="28"/>
    </w:rPr>
  </w:style>
  <w:style w:type="character" w:styleId="af7">
    <w:name w:val="Hyperlink"/>
    <w:basedOn w:val="a0"/>
    <w:uiPriority w:val="99"/>
    <w:rsid w:val="00E54428"/>
    <w:rPr>
      <w:color w:val="0000FF" w:themeColor="hyperlink"/>
      <w:u w:val="single"/>
    </w:rPr>
  </w:style>
  <w:style w:type="paragraph" w:customStyle="1" w:styleId="af8">
    <w:name w:val="Ссылка"/>
    <w:basedOn w:val="a"/>
    <w:link w:val="af9"/>
    <w:rsid w:val="004676CE"/>
    <w:rPr>
      <w:sz w:val="22"/>
    </w:rPr>
  </w:style>
  <w:style w:type="character" w:customStyle="1" w:styleId="af9">
    <w:name w:val="Ссылка Знак"/>
    <w:basedOn w:val="a0"/>
    <w:link w:val="af8"/>
    <w:rsid w:val="004676CE"/>
    <w:rPr>
      <w:sz w:val="22"/>
      <w:szCs w:val="32"/>
      <w:lang w:eastAsia="en-US"/>
    </w:rPr>
  </w:style>
  <w:style w:type="table" w:styleId="afa">
    <w:name w:val="Table Grid"/>
    <w:basedOn w:val="a1"/>
    <w:uiPriority w:val="59"/>
    <w:rsid w:val="000C7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Журнал"/>
    <w:basedOn w:val="a"/>
    <w:next w:val="a"/>
    <w:rsid w:val="00B10467"/>
    <w:pPr>
      <w:autoSpaceDE w:val="0"/>
      <w:autoSpaceDN w:val="0"/>
      <w:adjustRightInd w:val="0"/>
      <w:spacing w:line="288" w:lineRule="auto"/>
      <w:ind w:firstLine="170"/>
      <w:textAlignment w:val="center"/>
    </w:pPr>
    <w:rPr>
      <w:rFonts w:ascii="Arial" w:hAnsi="Arial" w:cs="Arial"/>
      <w:b/>
      <w:bCs/>
      <w:color w:val="000000"/>
      <w:sz w:val="18"/>
      <w:szCs w:val="18"/>
      <w:lang w:eastAsia="ru-RU"/>
    </w:rPr>
  </w:style>
  <w:style w:type="paragraph" w:customStyle="1" w:styleId="afc">
    <w:name w:val="[Без стиля]"/>
    <w:rsid w:val="00B10467"/>
    <w:pPr>
      <w:autoSpaceDE w:val="0"/>
      <w:autoSpaceDN w:val="0"/>
      <w:adjustRightInd w:val="0"/>
      <w:spacing w:line="288" w:lineRule="auto"/>
      <w:textAlignment w:val="center"/>
    </w:pPr>
    <w:rPr>
      <w:color w:val="000000"/>
      <w:sz w:val="24"/>
      <w:szCs w:val="24"/>
    </w:rPr>
  </w:style>
  <w:style w:type="paragraph" w:customStyle="1" w:styleId="afd">
    <w:name w:val="И_заголовок"/>
    <w:basedOn w:val="a"/>
    <w:rsid w:val="00F450AD"/>
    <w:pPr>
      <w:autoSpaceDE w:val="0"/>
      <w:autoSpaceDN w:val="0"/>
      <w:adjustRightInd w:val="0"/>
      <w:ind w:firstLine="0"/>
      <w:jc w:val="center"/>
      <w:textAlignment w:val="center"/>
    </w:pPr>
    <w:rPr>
      <w:rFonts w:ascii="Arial" w:hAnsi="Arial" w:cs="Arial"/>
      <w:b/>
      <w:bCs/>
      <w:iCs/>
      <w:color w:val="000000"/>
      <w:szCs w:val="28"/>
      <w:lang w:eastAsia="ru-RU"/>
    </w:rPr>
  </w:style>
  <w:style w:type="paragraph" w:customStyle="1" w:styleId="afe">
    <w:name w:val="И_текст"/>
    <w:basedOn w:val="afc"/>
    <w:rsid w:val="00812765"/>
    <w:pPr>
      <w:spacing w:line="240" w:lineRule="auto"/>
      <w:ind w:firstLine="284"/>
      <w:jc w:val="both"/>
    </w:pPr>
    <w:rPr>
      <w:iCs/>
    </w:rPr>
  </w:style>
  <w:style w:type="paragraph" w:customStyle="1" w:styleId="aff">
    <w:name w:val="И_аннотация"/>
    <w:basedOn w:val="afe"/>
    <w:rsid w:val="00B779DD"/>
    <w:pPr>
      <w:ind w:firstLine="0"/>
    </w:pPr>
  </w:style>
  <w:style w:type="paragraph" w:customStyle="1" w:styleId="aff0">
    <w:name w:val="И_черта"/>
    <w:basedOn w:val="a"/>
    <w:rsid w:val="00FC35AD"/>
    <w:pPr>
      <w:pBdr>
        <w:bottom w:val="double" w:sz="12" w:space="1" w:color="auto"/>
      </w:pBdr>
      <w:ind w:firstLine="0"/>
    </w:pPr>
    <w:rPr>
      <w:szCs w:val="24"/>
      <w:lang w:val="en-US"/>
    </w:rPr>
  </w:style>
  <w:style w:type="paragraph" w:customStyle="1" w:styleId="aff1">
    <w:name w:val="И_сноска"/>
    <w:basedOn w:val="afc"/>
    <w:rsid w:val="00B704FB"/>
    <w:pPr>
      <w:spacing w:line="240" w:lineRule="auto"/>
    </w:pPr>
    <w:rPr>
      <w:sz w:val="22"/>
    </w:rPr>
  </w:style>
  <w:style w:type="paragraph" w:customStyle="1" w:styleId="aff2">
    <w:name w:val="И_подрисуночная"/>
    <w:basedOn w:val="a3"/>
    <w:rsid w:val="0041587F"/>
    <w:pPr>
      <w:spacing w:after="360"/>
    </w:pPr>
    <w:rPr>
      <w:rFonts w:ascii="Arial" w:hAnsi="Arial"/>
      <w:i/>
      <w:sz w:val="24"/>
    </w:rPr>
  </w:style>
  <w:style w:type="paragraph" w:customStyle="1" w:styleId="aff3">
    <w:name w:val="И_авторы"/>
    <w:basedOn w:val="afc"/>
    <w:rsid w:val="00FC35AD"/>
    <w:pPr>
      <w:spacing w:line="240" w:lineRule="auto"/>
      <w:jc w:val="both"/>
    </w:pPr>
    <w:rPr>
      <w:bCs/>
      <w:iCs/>
    </w:rPr>
  </w:style>
  <w:style w:type="paragraph" w:customStyle="1" w:styleId="aff4">
    <w:name w:val="И_содержание"/>
    <w:basedOn w:val="afc"/>
    <w:rsid w:val="00565A06"/>
    <w:pPr>
      <w:tabs>
        <w:tab w:val="right" w:pos="9639"/>
      </w:tabs>
    </w:pPr>
    <w:rPr>
      <w:rFonts w:ascii="Arial" w:hAnsi="Arial" w:cs="Arial"/>
      <w:bCs/>
      <w:i/>
      <w:iCs/>
      <w:u w:color="000000"/>
      <w:lang w:val="en-GB"/>
    </w:rPr>
  </w:style>
  <w:style w:type="character" w:customStyle="1" w:styleId="anegp0gi0b9av8jahpyh">
    <w:name w:val="anegp0gi0b9av8jahpyh"/>
    <w:basedOn w:val="a0"/>
    <w:rsid w:val="00253534"/>
  </w:style>
  <w:style w:type="table" w:customStyle="1" w:styleId="Style30">
    <w:name w:val="_Style 30"/>
    <w:basedOn w:val="a1"/>
    <w:rsid w:val="00253534"/>
    <w:rPr>
      <w:rFonts w:ascii="Calibri" w:hAnsi="Calibri"/>
    </w:rPr>
    <w:tblPr>
      <w:tblInd w:w="0" w:type="nil"/>
      <w:tblCellMar>
        <w:top w:w="15" w:type="dxa"/>
        <w:left w:w="15" w:type="dxa"/>
        <w:bottom w:w="15" w:type="dxa"/>
        <w:right w:w="15" w:type="dxa"/>
      </w:tblCellMar>
    </w:tblPr>
  </w:style>
  <w:style w:type="paragraph" w:styleId="aff5">
    <w:name w:val="Normal (Web)"/>
    <w:basedOn w:val="a"/>
    <w:uiPriority w:val="99"/>
    <w:unhideWhenUsed/>
    <w:rsid w:val="00540CFD"/>
    <w:pPr>
      <w:spacing w:before="100" w:beforeAutospacing="1" w:after="100" w:afterAutospacing="1"/>
      <w:ind w:firstLine="0"/>
      <w:jc w:val="left"/>
    </w:pPr>
    <w:rPr>
      <w:rFonts w:eastAsia="Times New Roman"/>
      <w:szCs w:val="24"/>
      <w:lang w:eastAsia="ru-RU"/>
    </w:rPr>
  </w:style>
  <w:style w:type="paragraph" w:customStyle="1" w:styleId="docdata">
    <w:name w:val="docdata"/>
    <w:aliases w:val="docy,v5,2112,bqiaagaaeyqcaaagiaiaaaonbwaabbuhaaaaaaaaaaaaaaaaaaaaaaaaaaaaaaaaaaaaaaaaaaaaaaaaaaaaaaaaaaaaaaaaaaaaaaaaaaaaaaaaaaaaaaaaaaaaaaaaaaaaaaaaaaaaaaaaaaaaaaaaaaaaaaaaaaaaaaaaaaaaaaaaaaaaaaaaaaaaaaaaaaaaaaaaaaaaaaaaaaaaaaaaaaaaaaaaaaaaaaaa"/>
    <w:basedOn w:val="a"/>
    <w:rsid w:val="00540CFD"/>
    <w:pPr>
      <w:spacing w:before="100" w:beforeAutospacing="1" w:after="100" w:afterAutospacing="1"/>
      <w:ind w:firstLine="0"/>
      <w:jc w:val="left"/>
    </w:pPr>
    <w:rPr>
      <w:rFonts w:eastAsia="Times New Roman"/>
      <w:szCs w:val="24"/>
      <w:lang w:eastAsia="ru-RU"/>
    </w:rPr>
  </w:style>
  <w:style w:type="character" w:styleId="aff6">
    <w:name w:val="Strong"/>
    <w:basedOn w:val="a0"/>
    <w:uiPriority w:val="22"/>
    <w:qFormat/>
    <w:rsid w:val="004D5BFF"/>
    <w:rPr>
      <w:b/>
      <w:bCs/>
    </w:rPr>
  </w:style>
  <w:style w:type="table" w:customStyle="1" w:styleId="11">
    <w:name w:val="Сетка таблицы1"/>
    <w:basedOn w:val="a1"/>
    <w:next w:val="afa"/>
    <w:uiPriority w:val="59"/>
    <w:rsid w:val="00192A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a"/>
    <w:uiPriority w:val="39"/>
    <w:rsid w:val="0081660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a"/>
    <w:uiPriority w:val="39"/>
    <w:rsid w:val="000D67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a"/>
    <w:uiPriority w:val="39"/>
    <w:rsid w:val="000D67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a"/>
    <w:uiPriority w:val="39"/>
    <w:rsid w:val="000D67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a"/>
    <w:uiPriority w:val="39"/>
    <w:rsid w:val="000D67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a"/>
    <w:uiPriority w:val="39"/>
    <w:rsid w:val="00A21B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a"/>
    <w:uiPriority w:val="39"/>
    <w:rsid w:val="00A21B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И_рисунок"/>
    <w:basedOn w:val="afe"/>
    <w:rsid w:val="00C17217"/>
    <w:pPr>
      <w:ind w:firstLine="0"/>
      <w:jc w:val="center"/>
    </w:pPr>
    <w:rPr>
      <w:sz w:val="23"/>
    </w:rPr>
  </w:style>
  <w:style w:type="paragraph" w:customStyle="1" w:styleId="aff8">
    <w:name w:val="И_заголовок таблицы"/>
    <w:basedOn w:val="a"/>
    <w:rsid w:val="0041587F"/>
    <w:pPr>
      <w:spacing w:after="120"/>
      <w:ind w:firstLine="0"/>
      <w:jc w:val="center"/>
    </w:pPr>
    <w:rPr>
      <w:rFonts w:ascii="Arial" w:hAnsi="Arial" w:cs="Arial"/>
      <w:i/>
      <w:szCs w:val="24"/>
    </w:rPr>
  </w:style>
  <w:style w:type="paragraph" w:customStyle="1" w:styleId="aff9">
    <w:name w:val="И_таблица"/>
    <w:next w:val="afc"/>
    <w:rsid w:val="006B7042"/>
    <w:rPr>
      <w:sz w:val="23"/>
      <w:lang w:eastAsia="en-US"/>
    </w:rPr>
  </w:style>
  <w:style w:type="paragraph" w:customStyle="1" w:styleId="affa">
    <w:name w:val="И_формула"/>
    <w:basedOn w:val="afe"/>
    <w:rsid w:val="006D3556"/>
    <w:pPr>
      <w:tabs>
        <w:tab w:val="center" w:pos="2268"/>
        <w:tab w:val="right" w:pos="4536"/>
      </w:tabs>
      <w:spacing w:before="120" w:after="120"/>
      <w:ind w:firstLine="0"/>
    </w:pPr>
  </w:style>
  <w:style w:type="paragraph" w:styleId="affb">
    <w:name w:val="List Paragraph"/>
    <w:basedOn w:val="a"/>
    <w:link w:val="affc"/>
    <w:uiPriority w:val="34"/>
    <w:qFormat/>
    <w:rsid w:val="008932D6"/>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table" w:customStyle="1" w:styleId="80">
    <w:name w:val="Сетка таблицы8"/>
    <w:basedOn w:val="a1"/>
    <w:next w:val="afa"/>
    <w:uiPriority w:val="39"/>
    <w:rsid w:val="00544DD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E70CAD"/>
    <w:pPr>
      <w:spacing w:before="100" w:beforeAutospacing="1" w:after="100" w:afterAutospacing="1"/>
      <w:ind w:firstLine="0"/>
      <w:jc w:val="left"/>
    </w:pPr>
    <w:rPr>
      <w:rFonts w:eastAsia="Times New Roman"/>
      <w:szCs w:val="24"/>
      <w:lang w:eastAsia="ru-RU"/>
    </w:rPr>
  </w:style>
  <w:style w:type="character" w:customStyle="1" w:styleId="ypks7kbdpwfgdykd3qb9">
    <w:name w:val="ypks7kbdpwfgdykd3qb9"/>
    <w:basedOn w:val="a0"/>
    <w:rsid w:val="001B6DB3"/>
  </w:style>
  <w:style w:type="character" w:customStyle="1" w:styleId="affc">
    <w:name w:val="Абзац списка Знак"/>
    <w:link w:val="affb"/>
    <w:uiPriority w:val="34"/>
    <w:qFormat/>
    <w:locked/>
    <w:rsid w:val="00316F9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117">
      <w:bodyDiv w:val="1"/>
      <w:marLeft w:val="0"/>
      <w:marRight w:val="0"/>
      <w:marTop w:val="0"/>
      <w:marBottom w:val="0"/>
      <w:divBdr>
        <w:top w:val="none" w:sz="0" w:space="0" w:color="auto"/>
        <w:left w:val="none" w:sz="0" w:space="0" w:color="auto"/>
        <w:bottom w:val="none" w:sz="0" w:space="0" w:color="auto"/>
        <w:right w:val="none" w:sz="0" w:space="0" w:color="auto"/>
      </w:divBdr>
    </w:div>
    <w:div w:id="4524068">
      <w:bodyDiv w:val="1"/>
      <w:marLeft w:val="0"/>
      <w:marRight w:val="0"/>
      <w:marTop w:val="0"/>
      <w:marBottom w:val="0"/>
      <w:divBdr>
        <w:top w:val="none" w:sz="0" w:space="0" w:color="auto"/>
        <w:left w:val="none" w:sz="0" w:space="0" w:color="auto"/>
        <w:bottom w:val="none" w:sz="0" w:space="0" w:color="auto"/>
        <w:right w:val="none" w:sz="0" w:space="0" w:color="auto"/>
      </w:divBdr>
    </w:div>
    <w:div w:id="5400436">
      <w:bodyDiv w:val="1"/>
      <w:marLeft w:val="0"/>
      <w:marRight w:val="0"/>
      <w:marTop w:val="0"/>
      <w:marBottom w:val="0"/>
      <w:divBdr>
        <w:top w:val="none" w:sz="0" w:space="0" w:color="auto"/>
        <w:left w:val="none" w:sz="0" w:space="0" w:color="auto"/>
        <w:bottom w:val="none" w:sz="0" w:space="0" w:color="auto"/>
        <w:right w:val="none" w:sz="0" w:space="0" w:color="auto"/>
      </w:divBdr>
    </w:div>
    <w:div w:id="14888786">
      <w:bodyDiv w:val="1"/>
      <w:marLeft w:val="0"/>
      <w:marRight w:val="0"/>
      <w:marTop w:val="0"/>
      <w:marBottom w:val="0"/>
      <w:divBdr>
        <w:top w:val="none" w:sz="0" w:space="0" w:color="auto"/>
        <w:left w:val="none" w:sz="0" w:space="0" w:color="auto"/>
        <w:bottom w:val="none" w:sz="0" w:space="0" w:color="auto"/>
        <w:right w:val="none" w:sz="0" w:space="0" w:color="auto"/>
      </w:divBdr>
    </w:div>
    <w:div w:id="18316644">
      <w:bodyDiv w:val="1"/>
      <w:marLeft w:val="0"/>
      <w:marRight w:val="0"/>
      <w:marTop w:val="0"/>
      <w:marBottom w:val="0"/>
      <w:divBdr>
        <w:top w:val="none" w:sz="0" w:space="0" w:color="auto"/>
        <w:left w:val="none" w:sz="0" w:space="0" w:color="auto"/>
        <w:bottom w:val="none" w:sz="0" w:space="0" w:color="auto"/>
        <w:right w:val="none" w:sz="0" w:space="0" w:color="auto"/>
      </w:divBdr>
    </w:div>
    <w:div w:id="29765906">
      <w:bodyDiv w:val="1"/>
      <w:marLeft w:val="0"/>
      <w:marRight w:val="0"/>
      <w:marTop w:val="0"/>
      <w:marBottom w:val="0"/>
      <w:divBdr>
        <w:top w:val="none" w:sz="0" w:space="0" w:color="auto"/>
        <w:left w:val="none" w:sz="0" w:space="0" w:color="auto"/>
        <w:bottom w:val="none" w:sz="0" w:space="0" w:color="auto"/>
        <w:right w:val="none" w:sz="0" w:space="0" w:color="auto"/>
      </w:divBdr>
    </w:div>
    <w:div w:id="35205305">
      <w:bodyDiv w:val="1"/>
      <w:marLeft w:val="0"/>
      <w:marRight w:val="0"/>
      <w:marTop w:val="0"/>
      <w:marBottom w:val="0"/>
      <w:divBdr>
        <w:top w:val="none" w:sz="0" w:space="0" w:color="auto"/>
        <w:left w:val="none" w:sz="0" w:space="0" w:color="auto"/>
        <w:bottom w:val="none" w:sz="0" w:space="0" w:color="auto"/>
        <w:right w:val="none" w:sz="0" w:space="0" w:color="auto"/>
      </w:divBdr>
    </w:div>
    <w:div w:id="39788305">
      <w:bodyDiv w:val="1"/>
      <w:marLeft w:val="0"/>
      <w:marRight w:val="0"/>
      <w:marTop w:val="0"/>
      <w:marBottom w:val="0"/>
      <w:divBdr>
        <w:top w:val="none" w:sz="0" w:space="0" w:color="auto"/>
        <w:left w:val="none" w:sz="0" w:space="0" w:color="auto"/>
        <w:bottom w:val="none" w:sz="0" w:space="0" w:color="auto"/>
        <w:right w:val="none" w:sz="0" w:space="0" w:color="auto"/>
      </w:divBdr>
    </w:div>
    <w:div w:id="43260714">
      <w:bodyDiv w:val="1"/>
      <w:marLeft w:val="0"/>
      <w:marRight w:val="0"/>
      <w:marTop w:val="0"/>
      <w:marBottom w:val="0"/>
      <w:divBdr>
        <w:top w:val="none" w:sz="0" w:space="0" w:color="auto"/>
        <w:left w:val="none" w:sz="0" w:space="0" w:color="auto"/>
        <w:bottom w:val="none" w:sz="0" w:space="0" w:color="auto"/>
        <w:right w:val="none" w:sz="0" w:space="0" w:color="auto"/>
      </w:divBdr>
    </w:div>
    <w:div w:id="50615214">
      <w:bodyDiv w:val="1"/>
      <w:marLeft w:val="0"/>
      <w:marRight w:val="0"/>
      <w:marTop w:val="0"/>
      <w:marBottom w:val="0"/>
      <w:divBdr>
        <w:top w:val="none" w:sz="0" w:space="0" w:color="auto"/>
        <w:left w:val="none" w:sz="0" w:space="0" w:color="auto"/>
        <w:bottom w:val="none" w:sz="0" w:space="0" w:color="auto"/>
        <w:right w:val="none" w:sz="0" w:space="0" w:color="auto"/>
      </w:divBdr>
    </w:div>
    <w:div w:id="55783221">
      <w:bodyDiv w:val="1"/>
      <w:marLeft w:val="0"/>
      <w:marRight w:val="0"/>
      <w:marTop w:val="0"/>
      <w:marBottom w:val="0"/>
      <w:divBdr>
        <w:top w:val="none" w:sz="0" w:space="0" w:color="auto"/>
        <w:left w:val="none" w:sz="0" w:space="0" w:color="auto"/>
        <w:bottom w:val="none" w:sz="0" w:space="0" w:color="auto"/>
        <w:right w:val="none" w:sz="0" w:space="0" w:color="auto"/>
      </w:divBdr>
    </w:div>
    <w:div w:id="64643804">
      <w:bodyDiv w:val="1"/>
      <w:marLeft w:val="0"/>
      <w:marRight w:val="0"/>
      <w:marTop w:val="0"/>
      <w:marBottom w:val="0"/>
      <w:divBdr>
        <w:top w:val="none" w:sz="0" w:space="0" w:color="auto"/>
        <w:left w:val="none" w:sz="0" w:space="0" w:color="auto"/>
        <w:bottom w:val="none" w:sz="0" w:space="0" w:color="auto"/>
        <w:right w:val="none" w:sz="0" w:space="0" w:color="auto"/>
      </w:divBdr>
    </w:div>
    <w:div w:id="66149238">
      <w:bodyDiv w:val="1"/>
      <w:marLeft w:val="0"/>
      <w:marRight w:val="0"/>
      <w:marTop w:val="0"/>
      <w:marBottom w:val="0"/>
      <w:divBdr>
        <w:top w:val="none" w:sz="0" w:space="0" w:color="auto"/>
        <w:left w:val="none" w:sz="0" w:space="0" w:color="auto"/>
        <w:bottom w:val="none" w:sz="0" w:space="0" w:color="auto"/>
        <w:right w:val="none" w:sz="0" w:space="0" w:color="auto"/>
      </w:divBdr>
    </w:div>
    <w:div w:id="73552914">
      <w:bodyDiv w:val="1"/>
      <w:marLeft w:val="0"/>
      <w:marRight w:val="0"/>
      <w:marTop w:val="0"/>
      <w:marBottom w:val="0"/>
      <w:divBdr>
        <w:top w:val="none" w:sz="0" w:space="0" w:color="auto"/>
        <w:left w:val="none" w:sz="0" w:space="0" w:color="auto"/>
        <w:bottom w:val="none" w:sz="0" w:space="0" w:color="auto"/>
        <w:right w:val="none" w:sz="0" w:space="0" w:color="auto"/>
      </w:divBdr>
    </w:div>
    <w:div w:id="89740569">
      <w:bodyDiv w:val="1"/>
      <w:marLeft w:val="0"/>
      <w:marRight w:val="0"/>
      <w:marTop w:val="0"/>
      <w:marBottom w:val="0"/>
      <w:divBdr>
        <w:top w:val="none" w:sz="0" w:space="0" w:color="auto"/>
        <w:left w:val="none" w:sz="0" w:space="0" w:color="auto"/>
        <w:bottom w:val="none" w:sz="0" w:space="0" w:color="auto"/>
        <w:right w:val="none" w:sz="0" w:space="0" w:color="auto"/>
      </w:divBdr>
    </w:div>
    <w:div w:id="97337377">
      <w:bodyDiv w:val="1"/>
      <w:marLeft w:val="0"/>
      <w:marRight w:val="0"/>
      <w:marTop w:val="0"/>
      <w:marBottom w:val="0"/>
      <w:divBdr>
        <w:top w:val="none" w:sz="0" w:space="0" w:color="auto"/>
        <w:left w:val="none" w:sz="0" w:space="0" w:color="auto"/>
        <w:bottom w:val="none" w:sz="0" w:space="0" w:color="auto"/>
        <w:right w:val="none" w:sz="0" w:space="0" w:color="auto"/>
      </w:divBdr>
    </w:div>
    <w:div w:id="98528911">
      <w:bodyDiv w:val="1"/>
      <w:marLeft w:val="0"/>
      <w:marRight w:val="0"/>
      <w:marTop w:val="0"/>
      <w:marBottom w:val="0"/>
      <w:divBdr>
        <w:top w:val="none" w:sz="0" w:space="0" w:color="auto"/>
        <w:left w:val="none" w:sz="0" w:space="0" w:color="auto"/>
        <w:bottom w:val="none" w:sz="0" w:space="0" w:color="auto"/>
        <w:right w:val="none" w:sz="0" w:space="0" w:color="auto"/>
      </w:divBdr>
    </w:div>
    <w:div w:id="121774011">
      <w:bodyDiv w:val="1"/>
      <w:marLeft w:val="0"/>
      <w:marRight w:val="0"/>
      <w:marTop w:val="0"/>
      <w:marBottom w:val="0"/>
      <w:divBdr>
        <w:top w:val="none" w:sz="0" w:space="0" w:color="auto"/>
        <w:left w:val="none" w:sz="0" w:space="0" w:color="auto"/>
        <w:bottom w:val="none" w:sz="0" w:space="0" w:color="auto"/>
        <w:right w:val="none" w:sz="0" w:space="0" w:color="auto"/>
      </w:divBdr>
    </w:div>
    <w:div w:id="132721739">
      <w:bodyDiv w:val="1"/>
      <w:marLeft w:val="0"/>
      <w:marRight w:val="0"/>
      <w:marTop w:val="0"/>
      <w:marBottom w:val="0"/>
      <w:divBdr>
        <w:top w:val="none" w:sz="0" w:space="0" w:color="auto"/>
        <w:left w:val="none" w:sz="0" w:space="0" w:color="auto"/>
        <w:bottom w:val="none" w:sz="0" w:space="0" w:color="auto"/>
        <w:right w:val="none" w:sz="0" w:space="0" w:color="auto"/>
      </w:divBdr>
    </w:div>
    <w:div w:id="145049387">
      <w:bodyDiv w:val="1"/>
      <w:marLeft w:val="0"/>
      <w:marRight w:val="0"/>
      <w:marTop w:val="0"/>
      <w:marBottom w:val="0"/>
      <w:divBdr>
        <w:top w:val="none" w:sz="0" w:space="0" w:color="auto"/>
        <w:left w:val="none" w:sz="0" w:space="0" w:color="auto"/>
        <w:bottom w:val="none" w:sz="0" w:space="0" w:color="auto"/>
        <w:right w:val="none" w:sz="0" w:space="0" w:color="auto"/>
      </w:divBdr>
    </w:div>
    <w:div w:id="145049763">
      <w:bodyDiv w:val="1"/>
      <w:marLeft w:val="0"/>
      <w:marRight w:val="0"/>
      <w:marTop w:val="0"/>
      <w:marBottom w:val="0"/>
      <w:divBdr>
        <w:top w:val="none" w:sz="0" w:space="0" w:color="auto"/>
        <w:left w:val="none" w:sz="0" w:space="0" w:color="auto"/>
        <w:bottom w:val="none" w:sz="0" w:space="0" w:color="auto"/>
        <w:right w:val="none" w:sz="0" w:space="0" w:color="auto"/>
      </w:divBdr>
    </w:div>
    <w:div w:id="155415805">
      <w:bodyDiv w:val="1"/>
      <w:marLeft w:val="0"/>
      <w:marRight w:val="0"/>
      <w:marTop w:val="0"/>
      <w:marBottom w:val="0"/>
      <w:divBdr>
        <w:top w:val="none" w:sz="0" w:space="0" w:color="auto"/>
        <w:left w:val="none" w:sz="0" w:space="0" w:color="auto"/>
        <w:bottom w:val="none" w:sz="0" w:space="0" w:color="auto"/>
        <w:right w:val="none" w:sz="0" w:space="0" w:color="auto"/>
      </w:divBdr>
    </w:div>
    <w:div w:id="162744266">
      <w:bodyDiv w:val="1"/>
      <w:marLeft w:val="0"/>
      <w:marRight w:val="0"/>
      <w:marTop w:val="0"/>
      <w:marBottom w:val="0"/>
      <w:divBdr>
        <w:top w:val="none" w:sz="0" w:space="0" w:color="auto"/>
        <w:left w:val="none" w:sz="0" w:space="0" w:color="auto"/>
        <w:bottom w:val="none" w:sz="0" w:space="0" w:color="auto"/>
        <w:right w:val="none" w:sz="0" w:space="0" w:color="auto"/>
      </w:divBdr>
    </w:div>
    <w:div w:id="163473099">
      <w:bodyDiv w:val="1"/>
      <w:marLeft w:val="0"/>
      <w:marRight w:val="0"/>
      <w:marTop w:val="0"/>
      <w:marBottom w:val="0"/>
      <w:divBdr>
        <w:top w:val="none" w:sz="0" w:space="0" w:color="auto"/>
        <w:left w:val="none" w:sz="0" w:space="0" w:color="auto"/>
        <w:bottom w:val="none" w:sz="0" w:space="0" w:color="auto"/>
        <w:right w:val="none" w:sz="0" w:space="0" w:color="auto"/>
      </w:divBdr>
    </w:div>
    <w:div w:id="168833770">
      <w:bodyDiv w:val="1"/>
      <w:marLeft w:val="0"/>
      <w:marRight w:val="0"/>
      <w:marTop w:val="0"/>
      <w:marBottom w:val="0"/>
      <w:divBdr>
        <w:top w:val="none" w:sz="0" w:space="0" w:color="auto"/>
        <w:left w:val="none" w:sz="0" w:space="0" w:color="auto"/>
        <w:bottom w:val="none" w:sz="0" w:space="0" w:color="auto"/>
        <w:right w:val="none" w:sz="0" w:space="0" w:color="auto"/>
      </w:divBdr>
    </w:div>
    <w:div w:id="170610039">
      <w:bodyDiv w:val="1"/>
      <w:marLeft w:val="0"/>
      <w:marRight w:val="0"/>
      <w:marTop w:val="0"/>
      <w:marBottom w:val="0"/>
      <w:divBdr>
        <w:top w:val="none" w:sz="0" w:space="0" w:color="auto"/>
        <w:left w:val="none" w:sz="0" w:space="0" w:color="auto"/>
        <w:bottom w:val="none" w:sz="0" w:space="0" w:color="auto"/>
        <w:right w:val="none" w:sz="0" w:space="0" w:color="auto"/>
      </w:divBdr>
    </w:div>
    <w:div w:id="174422891">
      <w:bodyDiv w:val="1"/>
      <w:marLeft w:val="0"/>
      <w:marRight w:val="0"/>
      <w:marTop w:val="0"/>
      <w:marBottom w:val="0"/>
      <w:divBdr>
        <w:top w:val="none" w:sz="0" w:space="0" w:color="auto"/>
        <w:left w:val="none" w:sz="0" w:space="0" w:color="auto"/>
        <w:bottom w:val="none" w:sz="0" w:space="0" w:color="auto"/>
        <w:right w:val="none" w:sz="0" w:space="0" w:color="auto"/>
      </w:divBdr>
    </w:div>
    <w:div w:id="175996374">
      <w:bodyDiv w:val="1"/>
      <w:marLeft w:val="0"/>
      <w:marRight w:val="0"/>
      <w:marTop w:val="0"/>
      <w:marBottom w:val="0"/>
      <w:divBdr>
        <w:top w:val="none" w:sz="0" w:space="0" w:color="auto"/>
        <w:left w:val="none" w:sz="0" w:space="0" w:color="auto"/>
        <w:bottom w:val="none" w:sz="0" w:space="0" w:color="auto"/>
        <w:right w:val="none" w:sz="0" w:space="0" w:color="auto"/>
      </w:divBdr>
    </w:div>
    <w:div w:id="178664473">
      <w:bodyDiv w:val="1"/>
      <w:marLeft w:val="0"/>
      <w:marRight w:val="0"/>
      <w:marTop w:val="0"/>
      <w:marBottom w:val="0"/>
      <w:divBdr>
        <w:top w:val="none" w:sz="0" w:space="0" w:color="auto"/>
        <w:left w:val="none" w:sz="0" w:space="0" w:color="auto"/>
        <w:bottom w:val="none" w:sz="0" w:space="0" w:color="auto"/>
        <w:right w:val="none" w:sz="0" w:space="0" w:color="auto"/>
      </w:divBdr>
    </w:div>
    <w:div w:id="180559299">
      <w:bodyDiv w:val="1"/>
      <w:marLeft w:val="0"/>
      <w:marRight w:val="0"/>
      <w:marTop w:val="0"/>
      <w:marBottom w:val="0"/>
      <w:divBdr>
        <w:top w:val="none" w:sz="0" w:space="0" w:color="auto"/>
        <w:left w:val="none" w:sz="0" w:space="0" w:color="auto"/>
        <w:bottom w:val="none" w:sz="0" w:space="0" w:color="auto"/>
        <w:right w:val="none" w:sz="0" w:space="0" w:color="auto"/>
      </w:divBdr>
    </w:div>
    <w:div w:id="181164706">
      <w:bodyDiv w:val="1"/>
      <w:marLeft w:val="0"/>
      <w:marRight w:val="0"/>
      <w:marTop w:val="0"/>
      <w:marBottom w:val="0"/>
      <w:divBdr>
        <w:top w:val="none" w:sz="0" w:space="0" w:color="auto"/>
        <w:left w:val="none" w:sz="0" w:space="0" w:color="auto"/>
        <w:bottom w:val="none" w:sz="0" w:space="0" w:color="auto"/>
        <w:right w:val="none" w:sz="0" w:space="0" w:color="auto"/>
      </w:divBdr>
    </w:div>
    <w:div w:id="189874712">
      <w:bodyDiv w:val="1"/>
      <w:marLeft w:val="0"/>
      <w:marRight w:val="0"/>
      <w:marTop w:val="0"/>
      <w:marBottom w:val="0"/>
      <w:divBdr>
        <w:top w:val="none" w:sz="0" w:space="0" w:color="auto"/>
        <w:left w:val="none" w:sz="0" w:space="0" w:color="auto"/>
        <w:bottom w:val="none" w:sz="0" w:space="0" w:color="auto"/>
        <w:right w:val="none" w:sz="0" w:space="0" w:color="auto"/>
      </w:divBdr>
    </w:div>
    <w:div w:id="190387153">
      <w:bodyDiv w:val="1"/>
      <w:marLeft w:val="0"/>
      <w:marRight w:val="0"/>
      <w:marTop w:val="0"/>
      <w:marBottom w:val="0"/>
      <w:divBdr>
        <w:top w:val="none" w:sz="0" w:space="0" w:color="auto"/>
        <w:left w:val="none" w:sz="0" w:space="0" w:color="auto"/>
        <w:bottom w:val="none" w:sz="0" w:space="0" w:color="auto"/>
        <w:right w:val="none" w:sz="0" w:space="0" w:color="auto"/>
      </w:divBdr>
    </w:div>
    <w:div w:id="193081838">
      <w:bodyDiv w:val="1"/>
      <w:marLeft w:val="0"/>
      <w:marRight w:val="0"/>
      <w:marTop w:val="0"/>
      <w:marBottom w:val="0"/>
      <w:divBdr>
        <w:top w:val="none" w:sz="0" w:space="0" w:color="auto"/>
        <w:left w:val="none" w:sz="0" w:space="0" w:color="auto"/>
        <w:bottom w:val="none" w:sz="0" w:space="0" w:color="auto"/>
        <w:right w:val="none" w:sz="0" w:space="0" w:color="auto"/>
      </w:divBdr>
    </w:div>
    <w:div w:id="196814006">
      <w:bodyDiv w:val="1"/>
      <w:marLeft w:val="0"/>
      <w:marRight w:val="0"/>
      <w:marTop w:val="0"/>
      <w:marBottom w:val="0"/>
      <w:divBdr>
        <w:top w:val="none" w:sz="0" w:space="0" w:color="auto"/>
        <w:left w:val="none" w:sz="0" w:space="0" w:color="auto"/>
        <w:bottom w:val="none" w:sz="0" w:space="0" w:color="auto"/>
        <w:right w:val="none" w:sz="0" w:space="0" w:color="auto"/>
      </w:divBdr>
    </w:div>
    <w:div w:id="209729919">
      <w:bodyDiv w:val="1"/>
      <w:marLeft w:val="0"/>
      <w:marRight w:val="0"/>
      <w:marTop w:val="0"/>
      <w:marBottom w:val="0"/>
      <w:divBdr>
        <w:top w:val="none" w:sz="0" w:space="0" w:color="auto"/>
        <w:left w:val="none" w:sz="0" w:space="0" w:color="auto"/>
        <w:bottom w:val="none" w:sz="0" w:space="0" w:color="auto"/>
        <w:right w:val="none" w:sz="0" w:space="0" w:color="auto"/>
      </w:divBdr>
    </w:div>
    <w:div w:id="245697163">
      <w:bodyDiv w:val="1"/>
      <w:marLeft w:val="0"/>
      <w:marRight w:val="0"/>
      <w:marTop w:val="0"/>
      <w:marBottom w:val="0"/>
      <w:divBdr>
        <w:top w:val="none" w:sz="0" w:space="0" w:color="auto"/>
        <w:left w:val="none" w:sz="0" w:space="0" w:color="auto"/>
        <w:bottom w:val="none" w:sz="0" w:space="0" w:color="auto"/>
        <w:right w:val="none" w:sz="0" w:space="0" w:color="auto"/>
      </w:divBdr>
    </w:div>
    <w:div w:id="260375956">
      <w:bodyDiv w:val="1"/>
      <w:marLeft w:val="0"/>
      <w:marRight w:val="0"/>
      <w:marTop w:val="0"/>
      <w:marBottom w:val="0"/>
      <w:divBdr>
        <w:top w:val="none" w:sz="0" w:space="0" w:color="auto"/>
        <w:left w:val="none" w:sz="0" w:space="0" w:color="auto"/>
        <w:bottom w:val="none" w:sz="0" w:space="0" w:color="auto"/>
        <w:right w:val="none" w:sz="0" w:space="0" w:color="auto"/>
      </w:divBdr>
    </w:div>
    <w:div w:id="301228636">
      <w:bodyDiv w:val="1"/>
      <w:marLeft w:val="0"/>
      <w:marRight w:val="0"/>
      <w:marTop w:val="0"/>
      <w:marBottom w:val="0"/>
      <w:divBdr>
        <w:top w:val="none" w:sz="0" w:space="0" w:color="auto"/>
        <w:left w:val="none" w:sz="0" w:space="0" w:color="auto"/>
        <w:bottom w:val="none" w:sz="0" w:space="0" w:color="auto"/>
        <w:right w:val="none" w:sz="0" w:space="0" w:color="auto"/>
      </w:divBdr>
    </w:div>
    <w:div w:id="303968539">
      <w:bodyDiv w:val="1"/>
      <w:marLeft w:val="0"/>
      <w:marRight w:val="0"/>
      <w:marTop w:val="0"/>
      <w:marBottom w:val="0"/>
      <w:divBdr>
        <w:top w:val="none" w:sz="0" w:space="0" w:color="auto"/>
        <w:left w:val="none" w:sz="0" w:space="0" w:color="auto"/>
        <w:bottom w:val="none" w:sz="0" w:space="0" w:color="auto"/>
        <w:right w:val="none" w:sz="0" w:space="0" w:color="auto"/>
      </w:divBdr>
    </w:div>
    <w:div w:id="340668930">
      <w:bodyDiv w:val="1"/>
      <w:marLeft w:val="0"/>
      <w:marRight w:val="0"/>
      <w:marTop w:val="0"/>
      <w:marBottom w:val="0"/>
      <w:divBdr>
        <w:top w:val="none" w:sz="0" w:space="0" w:color="auto"/>
        <w:left w:val="none" w:sz="0" w:space="0" w:color="auto"/>
        <w:bottom w:val="none" w:sz="0" w:space="0" w:color="auto"/>
        <w:right w:val="none" w:sz="0" w:space="0" w:color="auto"/>
      </w:divBdr>
    </w:div>
    <w:div w:id="341006424">
      <w:bodyDiv w:val="1"/>
      <w:marLeft w:val="0"/>
      <w:marRight w:val="0"/>
      <w:marTop w:val="0"/>
      <w:marBottom w:val="0"/>
      <w:divBdr>
        <w:top w:val="none" w:sz="0" w:space="0" w:color="auto"/>
        <w:left w:val="none" w:sz="0" w:space="0" w:color="auto"/>
        <w:bottom w:val="none" w:sz="0" w:space="0" w:color="auto"/>
        <w:right w:val="none" w:sz="0" w:space="0" w:color="auto"/>
      </w:divBdr>
    </w:div>
    <w:div w:id="358704827">
      <w:bodyDiv w:val="1"/>
      <w:marLeft w:val="0"/>
      <w:marRight w:val="0"/>
      <w:marTop w:val="0"/>
      <w:marBottom w:val="0"/>
      <w:divBdr>
        <w:top w:val="none" w:sz="0" w:space="0" w:color="auto"/>
        <w:left w:val="none" w:sz="0" w:space="0" w:color="auto"/>
        <w:bottom w:val="none" w:sz="0" w:space="0" w:color="auto"/>
        <w:right w:val="none" w:sz="0" w:space="0" w:color="auto"/>
      </w:divBdr>
    </w:div>
    <w:div w:id="360711136">
      <w:bodyDiv w:val="1"/>
      <w:marLeft w:val="0"/>
      <w:marRight w:val="0"/>
      <w:marTop w:val="0"/>
      <w:marBottom w:val="0"/>
      <w:divBdr>
        <w:top w:val="none" w:sz="0" w:space="0" w:color="auto"/>
        <w:left w:val="none" w:sz="0" w:space="0" w:color="auto"/>
        <w:bottom w:val="none" w:sz="0" w:space="0" w:color="auto"/>
        <w:right w:val="none" w:sz="0" w:space="0" w:color="auto"/>
      </w:divBdr>
    </w:div>
    <w:div w:id="381633750">
      <w:bodyDiv w:val="1"/>
      <w:marLeft w:val="0"/>
      <w:marRight w:val="0"/>
      <w:marTop w:val="0"/>
      <w:marBottom w:val="0"/>
      <w:divBdr>
        <w:top w:val="none" w:sz="0" w:space="0" w:color="auto"/>
        <w:left w:val="none" w:sz="0" w:space="0" w:color="auto"/>
        <w:bottom w:val="none" w:sz="0" w:space="0" w:color="auto"/>
        <w:right w:val="none" w:sz="0" w:space="0" w:color="auto"/>
      </w:divBdr>
    </w:div>
    <w:div w:id="387143353">
      <w:bodyDiv w:val="1"/>
      <w:marLeft w:val="0"/>
      <w:marRight w:val="0"/>
      <w:marTop w:val="0"/>
      <w:marBottom w:val="0"/>
      <w:divBdr>
        <w:top w:val="none" w:sz="0" w:space="0" w:color="auto"/>
        <w:left w:val="none" w:sz="0" w:space="0" w:color="auto"/>
        <w:bottom w:val="none" w:sz="0" w:space="0" w:color="auto"/>
        <w:right w:val="none" w:sz="0" w:space="0" w:color="auto"/>
      </w:divBdr>
    </w:div>
    <w:div w:id="390739181">
      <w:bodyDiv w:val="1"/>
      <w:marLeft w:val="0"/>
      <w:marRight w:val="0"/>
      <w:marTop w:val="0"/>
      <w:marBottom w:val="0"/>
      <w:divBdr>
        <w:top w:val="none" w:sz="0" w:space="0" w:color="auto"/>
        <w:left w:val="none" w:sz="0" w:space="0" w:color="auto"/>
        <w:bottom w:val="none" w:sz="0" w:space="0" w:color="auto"/>
        <w:right w:val="none" w:sz="0" w:space="0" w:color="auto"/>
      </w:divBdr>
    </w:div>
    <w:div w:id="417869412">
      <w:bodyDiv w:val="1"/>
      <w:marLeft w:val="0"/>
      <w:marRight w:val="0"/>
      <w:marTop w:val="0"/>
      <w:marBottom w:val="0"/>
      <w:divBdr>
        <w:top w:val="none" w:sz="0" w:space="0" w:color="auto"/>
        <w:left w:val="none" w:sz="0" w:space="0" w:color="auto"/>
        <w:bottom w:val="none" w:sz="0" w:space="0" w:color="auto"/>
        <w:right w:val="none" w:sz="0" w:space="0" w:color="auto"/>
      </w:divBdr>
    </w:div>
    <w:div w:id="419448698">
      <w:bodyDiv w:val="1"/>
      <w:marLeft w:val="0"/>
      <w:marRight w:val="0"/>
      <w:marTop w:val="0"/>
      <w:marBottom w:val="0"/>
      <w:divBdr>
        <w:top w:val="none" w:sz="0" w:space="0" w:color="auto"/>
        <w:left w:val="none" w:sz="0" w:space="0" w:color="auto"/>
        <w:bottom w:val="none" w:sz="0" w:space="0" w:color="auto"/>
        <w:right w:val="none" w:sz="0" w:space="0" w:color="auto"/>
      </w:divBdr>
    </w:div>
    <w:div w:id="422187135">
      <w:bodyDiv w:val="1"/>
      <w:marLeft w:val="0"/>
      <w:marRight w:val="0"/>
      <w:marTop w:val="0"/>
      <w:marBottom w:val="0"/>
      <w:divBdr>
        <w:top w:val="none" w:sz="0" w:space="0" w:color="auto"/>
        <w:left w:val="none" w:sz="0" w:space="0" w:color="auto"/>
        <w:bottom w:val="none" w:sz="0" w:space="0" w:color="auto"/>
        <w:right w:val="none" w:sz="0" w:space="0" w:color="auto"/>
      </w:divBdr>
    </w:div>
    <w:div w:id="427427642">
      <w:bodyDiv w:val="1"/>
      <w:marLeft w:val="0"/>
      <w:marRight w:val="0"/>
      <w:marTop w:val="0"/>
      <w:marBottom w:val="0"/>
      <w:divBdr>
        <w:top w:val="none" w:sz="0" w:space="0" w:color="auto"/>
        <w:left w:val="none" w:sz="0" w:space="0" w:color="auto"/>
        <w:bottom w:val="none" w:sz="0" w:space="0" w:color="auto"/>
        <w:right w:val="none" w:sz="0" w:space="0" w:color="auto"/>
      </w:divBdr>
    </w:div>
    <w:div w:id="428816559">
      <w:bodyDiv w:val="1"/>
      <w:marLeft w:val="0"/>
      <w:marRight w:val="0"/>
      <w:marTop w:val="0"/>
      <w:marBottom w:val="0"/>
      <w:divBdr>
        <w:top w:val="none" w:sz="0" w:space="0" w:color="auto"/>
        <w:left w:val="none" w:sz="0" w:space="0" w:color="auto"/>
        <w:bottom w:val="none" w:sz="0" w:space="0" w:color="auto"/>
        <w:right w:val="none" w:sz="0" w:space="0" w:color="auto"/>
      </w:divBdr>
    </w:div>
    <w:div w:id="439107372">
      <w:bodyDiv w:val="1"/>
      <w:marLeft w:val="0"/>
      <w:marRight w:val="0"/>
      <w:marTop w:val="0"/>
      <w:marBottom w:val="0"/>
      <w:divBdr>
        <w:top w:val="none" w:sz="0" w:space="0" w:color="auto"/>
        <w:left w:val="none" w:sz="0" w:space="0" w:color="auto"/>
        <w:bottom w:val="none" w:sz="0" w:space="0" w:color="auto"/>
        <w:right w:val="none" w:sz="0" w:space="0" w:color="auto"/>
      </w:divBdr>
    </w:div>
    <w:div w:id="440147043">
      <w:bodyDiv w:val="1"/>
      <w:marLeft w:val="0"/>
      <w:marRight w:val="0"/>
      <w:marTop w:val="0"/>
      <w:marBottom w:val="0"/>
      <w:divBdr>
        <w:top w:val="none" w:sz="0" w:space="0" w:color="auto"/>
        <w:left w:val="none" w:sz="0" w:space="0" w:color="auto"/>
        <w:bottom w:val="none" w:sz="0" w:space="0" w:color="auto"/>
        <w:right w:val="none" w:sz="0" w:space="0" w:color="auto"/>
      </w:divBdr>
    </w:div>
    <w:div w:id="442188870">
      <w:bodyDiv w:val="1"/>
      <w:marLeft w:val="0"/>
      <w:marRight w:val="0"/>
      <w:marTop w:val="0"/>
      <w:marBottom w:val="0"/>
      <w:divBdr>
        <w:top w:val="none" w:sz="0" w:space="0" w:color="auto"/>
        <w:left w:val="none" w:sz="0" w:space="0" w:color="auto"/>
        <w:bottom w:val="none" w:sz="0" w:space="0" w:color="auto"/>
        <w:right w:val="none" w:sz="0" w:space="0" w:color="auto"/>
      </w:divBdr>
    </w:div>
    <w:div w:id="456879053">
      <w:bodyDiv w:val="1"/>
      <w:marLeft w:val="0"/>
      <w:marRight w:val="0"/>
      <w:marTop w:val="0"/>
      <w:marBottom w:val="0"/>
      <w:divBdr>
        <w:top w:val="none" w:sz="0" w:space="0" w:color="auto"/>
        <w:left w:val="none" w:sz="0" w:space="0" w:color="auto"/>
        <w:bottom w:val="none" w:sz="0" w:space="0" w:color="auto"/>
        <w:right w:val="none" w:sz="0" w:space="0" w:color="auto"/>
      </w:divBdr>
    </w:div>
    <w:div w:id="458497674">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69977802">
      <w:bodyDiv w:val="1"/>
      <w:marLeft w:val="0"/>
      <w:marRight w:val="0"/>
      <w:marTop w:val="0"/>
      <w:marBottom w:val="0"/>
      <w:divBdr>
        <w:top w:val="none" w:sz="0" w:space="0" w:color="auto"/>
        <w:left w:val="none" w:sz="0" w:space="0" w:color="auto"/>
        <w:bottom w:val="none" w:sz="0" w:space="0" w:color="auto"/>
        <w:right w:val="none" w:sz="0" w:space="0" w:color="auto"/>
      </w:divBdr>
    </w:div>
    <w:div w:id="479075242">
      <w:bodyDiv w:val="1"/>
      <w:marLeft w:val="0"/>
      <w:marRight w:val="0"/>
      <w:marTop w:val="0"/>
      <w:marBottom w:val="0"/>
      <w:divBdr>
        <w:top w:val="none" w:sz="0" w:space="0" w:color="auto"/>
        <w:left w:val="none" w:sz="0" w:space="0" w:color="auto"/>
        <w:bottom w:val="none" w:sz="0" w:space="0" w:color="auto"/>
        <w:right w:val="none" w:sz="0" w:space="0" w:color="auto"/>
      </w:divBdr>
    </w:div>
    <w:div w:id="484860773">
      <w:bodyDiv w:val="1"/>
      <w:marLeft w:val="0"/>
      <w:marRight w:val="0"/>
      <w:marTop w:val="0"/>
      <w:marBottom w:val="0"/>
      <w:divBdr>
        <w:top w:val="none" w:sz="0" w:space="0" w:color="auto"/>
        <w:left w:val="none" w:sz="0" w:space="0" w:color="auto"/>
        <w:bottom w:val="none" w:sz="0" w:space="0" w:color="auto"/>
        <w:right w:val="none" w:sz="0" w:space="0" w:color="auto"/>
      </w:divBdr>
    </w:div>
    <w:div w:id="495612576">
      <w:bodyDiv w:val="1"/>
      <w:marLeft w:val="0"/>
      <w:marRight w:val="0"/>
      <w:marTop w:val="0"/>
      <w:marBottom w:val="0"/>
      <w:divBdr>
        <w:top w:val="none" w:sz="0" w:space="0" w:color="auto"/>
        <w:left w:val="none" w:sz="0" w:space="0" w:color="auto"/>
        <w:bottom w:val="none" w:sz="0" w:space="0" w:color="auto"/>
        <w:right w:val="none" w:sz="0" w:space="0" w:color="auto"/>
      </w:divBdr>
    </w:div>
    <w:div w:id="499783413">
      <w:bodyDiv w:val="1"/>
      <w:marLeft w:val="0"/>
      <w:marRight w:val="0"/>
      <w:marTop w:val="0"/>
      <w:marBottom w:val="0"/>
      <w:divBdr>
        <w:top w:val="none" w:sz="0" w:space="0" w:color="auto"/>
        <w:left w:val="none" w:sz="0" w:space="0" w:color="auto"/>
        <w:bottom w:val="none" w:sz="0" w:space="0" w:color="auto"/>
        <w:right w:val="none" w:sz="0" w:space="0" w:color="auto"/>
      </w:divBdr>
    </w:div>
    <w:div w:id="501241227">
      <w:bodyDiv w:val="1"/>
      <w:marLeft w:val="0"/>
      <w:marRight w:val="0"/>
      <w:marTop w:val="0"/>
      <w:marBottom w:val="0"/>
      <w:divBdr>
        <w:top w:val="none" w:sz="0" w:space="0" w:color="auto"/>
        <w:left w:val="none" w:sz="0" w:space="0" w:color="auto"/>
        <w:bottom w:val="none" w:sz="0" w:space="0" w:color="auto"/>
        <w:right w:val="none" w:sz="0" w:space="0" w:color="auto"/>
      </w:divBdr>
    </w:div>
    <w:div w:id="504369206">
      <w:bodyDiv w:val="1"/>
      <w:marLeft w:val="0"/>
      <w:marRight w:val="0"/>
      <w:marTop w:val="0"/>
      <w:marBottom w:val="0"/>
      <w:divBdr>
        <w:top w:val="none" w:sz="0" w:space="0" w:color="auto"/>
        <w:left w:val="none" w:sz="0" w:space="0" w:color="auto"/>
        <w:bottom w:val="none" w:sz="0" w:space="0" w:color="auto"/>
        <w:right w:val="none" w:sz="0" w:space="0" w:color="auto"/>
      </w:divBdr>
    </w:div>
    <w:div w:id="509414664">
      <w:bodyDiv w:val="1"/>
      <w:marLeft w:val="0"/>
      <w:marRight w:val="0"/>
      <w:marTop w:val="0"/>
      <w:marBottom w:val="0"/>
      <w:divBdr>
        <w:top w:val="none" w:sz="0" w:space="0" w:color="auto"/>
        <w:left w:val="none" w:sz="0" w:space="0" w:color="auto"/>
        <w:bottom w:val="none" w:sz="0" w:space="0" w:color="auto"/>
        <w:right w:val="none" w:sz="0" w:space="0" w:color="auto"/>
      </w:divBdr>
    </w:div>
    <w:div w:id="512378681">
      <w:bodyDiv w:val="1"/>
      <w:marLeft w:val="0"/>
      <w:marRight w:val="0"/>
      <w:marTop w:val="0"/>
      <w:marBottom w:val="0"/>
      <w:divBdr>
        <w:top w:val="none" w:sz="0" w:space="0" w:color="auto"/>
        <w:left w:val="none" w:sz="0" w:space="0" w:color="auto"/>
        <w:bottom w:val="none" w:sz="0" w:space="0" w:color="auto"/>
        <w:right w:val="none" w:sz="0" w:space="0" w:color="auto"/>
      </w:divBdr>
    </w:div>
    <w:div w:id="525023800">
      <w:bodyDiv w:val="1"/>
      <w:marLeft w:val="0"/>
      <w:marRight w:val="0"/>
      <w:marTop w:val="0"/>
      <w:marBottom w:val="0"/>
      <w:divBdr>
        <w:top w:val="none" w:sz="0" w:space="0" w:color="auto"/>
        <w:left w:val="none" w:sz="0" w:space="0" w:color="auto"/>
        <w:bottom w:val="none" w:sz="0" w:space="0" w:color="auto"/>
        <w:right w:val="none" w:sz="0" w:space="0" w:color="auto"/>
      </w:divBdr>
    </w:div>
    <w:div w:id="548033334">
      <w:bodyDiv w:val="1"/>
      <w:marLeft w:val="0"/>
      <w:marRight w:val="0"/>
      <w:marTop w:val="0"/>
      <w:marBottom w:val="0"/>
      <w:divBdr>
        <w:top w:val="none" w:sz="0" w:space="0" w:color="auto"/>
        <w:left w:val="none" w:sz="0" w:space="0" w:color="auto"/>
        <w:bottom w:val="none" w:sz="0" w:space="0" w:color="auto"/>
        <w:right w:val="none" w:sz="0" w:space="0" w:color="auto"/>
      </w:divBdr>
    </w:div>
    <w:div w:id="554586250">
      <w:bodyDiv w:val="1"/>
      <w:marLeft w:val="0"/>
      <w:marRight w:val="0"/>
      <w:marTop w:val="0"/>
      <w:marBottom w:val="0"/>
      <w:divBdr>
        <w:top w:val="none" w:sz="0" w:space="0" w:color="auto"/>
        <w:left w:val="none" w:sz="0" w:space="0" w:color="auto"/>
        <w:bottom w:val="none" w:sz="0" w:space="0" w:color="auto"/>
        <w:right w:val="none" w:sz="0" w:space="0" w:color="auto"/>
      </w:divBdr>
      <w:divsChild>
        <w:div w:id="184254086">
          <w:marLeft w:val="0"/>
          <w:marRight w:val="0"/>
          <w:marTop w:val="0"/>
          <w:marBottom w:val="0"/>
          <w:divBdr>
            <w:top w:val="none" w:sz="0" w:space="0" w:color="auto"/>
            <w:left w:val="none" w:sz="0" w:space="0" w:color="auto"/>
            <w:bottom w:val="none" w:sz="0" w:space="0" w:color="auto"/>
            <w:right w:val="none" w:sz="0" w:space="0" w:color="auto"/>
          </w:divBdr>
        </w:div>
        <w:div w:id="227693450">
          <w:marLeft w:val="0"/>
          <w:marRight w:val="0"/>
          <w:marTop w:val="0"/>
          <w:marBottom w:val="0"/>
          <w:divBdr>
            <w:top w:val="none" w:sz="0" w:space="0" w:color="auto"/>
            <w:left w:val="none" w:sz="0" w:space="0" w:color="auto"/>
            <w:bottom w:val="none" w:sz="0" w:space="0" w:color="auto"/>
            <w:right w:val="none" w:sz="0" w:space="0" w:color="auto"/>
          </w:divBdr>
        </w:div>
        <w:div w:id="1797482250">
          <w:marLeft w:val="0"/>
          <w:marRight w:val="0"/>
          <w:marTop w:val="0"/>
          <w:marBottom w:val="0"/>
          <w:divBdr>
            <w:top w:val="none" w:sz="0" w:space="0" w:color="auto"/>
            <w:left w:val="none" w:sz="0" w:space="0" w:color="auto"/>
            <w:bottom w:val="none" w:sz="0" w:space="0" w:color="auto"/>
            <w:right w:val="none" w:sz="0" w:space="0" w:color="auto"/>
          </w:divBdr>
        </w:div>
        <w:div w:id="508446969">
          <w:marLeft w:val="0"/>
          <w:marRight w:val="0"/>
          <w:marTop w:val="0"/>
          <w:marBottom w:val="0"/>
          <w:divBdr>
            <w:top w:val="none" w:sz="0" w:space="0" w:color="auto"/>
            <w:left w:val="none" w:sz="0" w:space="0" w:color="auto"/>
            <w:bottom w:val="none" w:sz="0" w:space="0" w:color="auto"/>
            <w:right w:val="none" w:sz="0" w:space="0" w:color="auto"/>
          </w:divBdr>
        </w:div>
      </w:divsChild>
    </w:div>
    <w:div w:id="559440745">
      <w:bodyDiv w:val="1"/>
      <w:marLeft w:val="0"/>
      <w:marRight w:val="0"/>
      <w:marTop w:val="0"/>
      <w:marBottom w:val="0"/>
      <w:divBdr>
        <w:top w:val="none" w:sz="0" w:space="0" w:color="auto"/>
        <w:left w:val="none" w:sz="0" w:space="0" w:color="auto"/>
        <w:bottom w:val="none" w:sz="0" w:space="0" w:color="auto"/>
        <w:right w:val="none" w:sz="0" w:space="0" w:color="auto"/>
      </w:divBdr>
    </w:div>
    <w:div w:id="563032780">
      <w:bodyDiv w:val="1"/>
      <w:marLeft w:val="0"/>
      <w:marRight w:val="0"/>
      <w:marTop w:val="0"/>
      <w:marBottom w:val="0"/>
      <w:divBdr>
        <w:top w:val="none" w:sz="0" w:space="0" w:color="auto"/>
        <w:left w:val="none" w:sz="0" w:space="0" w:color="auto"/>
        <w:bottom w:val="none" w:sz="0" w:space="0" w:color="auto"/>
        <w:right w:val="none" w:sz="0" w:space="0" w:color="auto"/>
      </w:divBdr>
    </w:div>
    <w:div w:id="570849011">
      <w:bodyDiv w:val="1"/>
      <w:marLeft w:val="0"/>
      <w:marRight w:val="0"/>
      <w:marTop w:val="0"/>
      <w:marBottom w:val="0"/>
      <w:divBdr>
        <w:top w:val="none" w:sz="0" w:space="0" w:color="auto"/>
        <w:left w:val="none" w:sz="0" w:space="0" w:color="auto"/>
        <w:bottom w:val="none" w:sz="0" w:space="0" w:color="auto"/>
        <w:right w:val="none" w:sz="0" w:space="0" w:color="auto"/>
      </w:divBdr>
    </w:div>
    <w:div w:id="577638278">
      <w:bodyDiv w:val="1"/>
      <w:marLeft w:val="0"/>
      <w:marRight w:val="0"/>
      <w:marTop w:val="0"/>
      <w:marBottom w:val="0"/>
      <w:divBdr>
        <w:top w:val="none" w:sz="0" w:space="0" w:color="auto"/>
        <w:left w:val="none" w:sz="0" w:space="0" w:color="auto"/>
        <w:bottom w:val="none" w:sz="0" w:space="0" w:color="auto"/>
        <w:right w:val="none" w:sz="0" w:space="0" w:color="auto"/>
      </w:divBdr>
    </w:div>
    <w:div w:id="577714653">
      <w:bodyDiv w:val="1"/>
      <w:marLeft w:val="0"/>
      <w:marRight w:val="0"/>
      <w:marTop w:val="0"/>
      <w:marBottom w:val="0"/>
      <w:divBdr>
        <w:top w:val="none" w:sz="0" w:space="0" w:color="auto"/>
        <w:left w:val="none" w:sz="0" w:space="0" w:color="auto"/>
        <w:bottom w:val="none" w:sz="0" w:space="0" w:color="auto"/>
        <w:right w:val="none" w:sz="0" w:space="0" w:color="auto"/>
      </w:divBdr>
    </w:div>
    <w:div w:id="582883607">
      <w:bodyDiv w:val="1"/>
      <w:marLeft w:val="0"/>
      <w:marRight w:val="0"/>
      <w:marTop w:val="0"/>
      <w:marBottom w:val="0"/>
      <w:divBdr>
        <w:top w:val="none" w:sz="0" w:space="0" w:color="auto"/>
        <w:left w:val="none" w:sz="0" w:space="0" w:color="auto"/>
        <w:bottom w:val="none" w:sz="0" w:space="0" w:color="auto"/>
        <w:right w:val="none" w:sz="0" w:space="0" w:color="auto"/>
      </w:divBdr>
    </w:div>
    <w:div w:id="583997965">
      <w:bodyDiv w:val="1"/>
      <w:marLeft w:val="0"/>
      <w:marRight w:val="0"/>
      <w:marTop w:val="0"/>
      <w:marBottom w:val="0"/>
      <w:divBdr>
        <w:top w:val="none" w:sz="0" w:space="0" w:color="auto"/>
        <w:left w:val="none" w:sz="0" w:space="0" w:color="auto"/>
        <w:bottom w:val="none" w:sz="0" w:space="0" w:color="auto"/>
        <w:right w:val="none" w:sz="0" w:space="0" w:color="auto"/>
      </w:divBdr>
    </w:div>
    <w:div w:id="602033377">
      <w:bodyDiv w:val="1"/>
      <w:marLeft w:val="0"/>
      <w:marRight w:val="0"/>
      <w:marTop w:val="0"/>
      <w:marBottom w:val="0"/>
      <w:divBdr>
        <w:top w:val="none" w:sz="0" w:space="0" w:color="auto"/>
        <w:left w:val="none" w:sz="0" w:space="0" w:color="auto"/>
        <w:bottom w:val="none" w:sz="0" w:space="0" w:color="auto"/>
        <w:right w:val="none" w:sz="0" w:space="0" w:color="auto"/>
      </w:divBdr>
    </w:div>
    <w:div w:id="603421057">
      <w:bodyDiv w:val="1"/>
      <w:marLeft w:val="0"/>
      <w:marRight w:val="0"/>
      <w:marTop w:val="0"/>
      <w:marBottom w:val="0"/>
      <w:divBdr>
        <w:top w:val="none" w:sz="0" w:space="0" w:color="auto"/>
        <w:left w:val="none" w:sz="0" w:space="0" w:color="auto"/>
        <w:bottom w:val="none" w:sz="0" w:space="0" w:color="auto"/>
        <w:right w:val="none" w:sz="0" w:space="0" w:color="auto"/>
      </w:divBdr>
    </w:div>
    <w:div w:id="603461519">
      <w:bodyDiv w:val="1"/>
      <w:marLeft w:val="0"/>
      <w:marRight w:val="0"/>
      <w:marTop w:val="0"/>
      <w:marBottom w:val="0"/>
      <w:divBdr>
        <w:top w:val="none" w:sz="0" w:space="0" w:color="auto"/>
        <w:left w:val="none" w:sz="0" w:space="0" w:color="auto"/>
        <w:bottom w:val="none" w:sz="0" w:space="0" w:color="auto"/>
        <w:right w:val="none" w:sz="0" w:space="0" w:color="auto"/>
      </w:divBdr>
    </w:div>
    <w:div w:id="607280455">
      <w:bodyDiv w:val="1"/>
      <w:marLeft w:val="0"/>
      <w:marRight w:val="0"/>
      <w:marTop w:val="0"/>
      <w:marBottom w:val="0"/>
      <w:divBdr>
        <w:top w:val="none" w:sz="0" w:space="0" w:color="auto"/>
        <w:left w:val="none" w:sz="0" w:space="0" w:color="auto"/>
        <w:bottom w:val="none" w:sz="0" w:space="0" w:color="auto"/>
        <w:right w:val="none" w:sz="0" w:space="0" w:color="auto"/>
      </w:divBdr>
    </w:div>
    <w:div w:id="609895229">
      <w:bodyDiv w:val="1"/>
      <w:marLeft w:val="0"/>
      <w:marRight w:val="0"/>
      <w:marTop w:val="0"/>
      <w:marBottom w:val="0"/>
      <w:divBdr>
        <w:top w:val="none" w:sz="0" w:space="0" w:color="auto"/>
        <w:left w:val="none" w:sz="0" w:space="0" w:color="auto"/>
        <w:bottom w:val="none" w:sz="0" w:space="0" w:color="auto"/>
        <w:right w:val="none" w:sz="0" w:space="0" w:color="auto"/>
      </w:divBdr>
    </w:div>
    <w:div w:id="644312635">
      <w:bodyDiv w:val="1"/>
      <w:marLeft w:val="0"/>
      <w:marRight w:val="0"/>
      <w:marTop w:val="0"/>
      <w:marBottom w:val="0"/>
      <w:divBdr>
        <w:top w:val="none" w:sz="0" w:space="0" w:color="auto"/>
        <w:left w:val="none" w:sz="0" w:space="0" w:color="auto"/>
        <w:bottom w:val="none" w:sz="0" w:space="0" w:color="auto"/>
        <w:right w:val="none" w:sz="0" w:space="0" w:color="auto"/>
      </w:divBdr>
    </w:div>
    <w:div w:id="651064639">
      <w:bodyDiv w:val="1"/>
      <w:marLeft w:val="0"/>
      <w:marRight w:val="0"/>
      <w:marTop w:val="0"/>
      <w:marBottom w:val="0"/>
      <w:divBdr>
        <w:top w:val="none" w:sz="0" w:space="0" w:color="auto"/>
        <w:left w:val="none" w:sz="0" w:space="0" w:color="auto"/>
        <w:bottom w:val="none" w:sz="0" w:space="0" w:color="auto"/>
        <w:right w:val="none" w:sz="0" w:space="0" w:color="auto"/>
      </w:divBdr>
    </w:div>
    <w:div w:id="655962300">
      <w:bodyDiv w:val="1"/>
      <w:marLeft w:val="0"/>
      <w:marRight w:val="0"/>
      <w:marTop w:val="0"/>
      <w:marBottom w:val="0"/>
      <w:divBdr>
        <w:top w:val="none" w:sz="0" w:space="0" w:color="auto"/>
        <w:left w:val="none" w:sz="0" w:space="0" w:color="auto"/>
        <w:bottom w:val="none" w:sz="0" w:space="0" w:color="auto"/>
        <w:right w:val="none" w:sz="0" w:space="0" w:color="auto"/>
      </w:divBdr>
    </w:div>
    <w:div w:id="660894626">
      <w:bodyDiv w:val="1"/>
      <w:marLeft w:val="0"/>
      <w:marRight w:val="0"/>
      <w:marTop w:val="0"/>
      <w:marBottom w:val="0"/>
      <w:divBdr>
        <w:top w:val="none" w:sz="0" w:space="0" w:color="auto"/>
        <w:left w:val="none" w:sz="0" w:space="0" w:color="auto"/>
        <w:bottom w:val="none" w:sz="0" w:space="0" w:color="auto"/>
        <w:right w:val="none" w:sz="0" w:space="0" w:color="auto"/>
      </w:divBdr>
    </w:div>
    <w:div w:id="668405364">
      <w:bodyDiv w:val="1"/>
      <w:marLeft w:val="0"/>
      <w:marRight w:val="0"/>
      <w:marTop w:val="0"/>
      <w:marBottom w:val="0"/>
      <w:divBdr>
        <w:top w:val="none" w:sz="0" w:space="0" w:color="auto"/>
        <w:left w:val="none" w:sz="0" w:space="0" w:color="auto"/>
        <w:bottom w:val="none" w:sz="0" w:space="0" w:color="auto"/>
        <w:right w:val="none" w:sz="0" w:space="0" w:color="auto"/>
      </w:divBdr>
    </w:div>
    <w:div w:id="695545854">
      <w:bodyDiv w:val="1"/>
      <w:marLeft w:val="0"/>
      <w:marRight w:val="0"/>
      <w:marTop w:val="0"/>
      <w:marBottom w:val="0"/>
      <w:divBdr>
        <w:top w:val="none" w:sz="0" w:space="0" w:color="auto"/>
        <w:left w:val="none" w:sz="0" w:space="0" w:color="auto"/>
        <w:bottom w:val="none" w:sz="0" w:space="0" w:color="auto"/>
        <w:right w:val="none" w:sz="0" w:space="0" w:color="auto"/>
      </w:divBdr>
    </w:div>
    <w:div w:id="701591958">
      <w:bodyDiv w:val="1"/>
      <w:marLeft w:val="0"/>
      <w:marRight w:val="0"/>
      <w:marTop w:val="0"/>
      <w:marBottom w:val="0"/>
      <w:divBdr>
        <w:top w:val="none" w:sz="0" w:space="0" w:color="auto"/>
        <w:left w:val="none" w:sz="0" w:space="0" w:color="auto"/>
        <w:bottom w:val="none" w:sz="0" w:space="0" w:color="auto"/>
        <w:right w:val="none" w:sz="0" w:space="0" w:color="auto"/>
      </w:divBdr>
    </w:div>
    <w:div w:id="703555468">
      <w:bodyDiv w:val="1"/>
      <w:marLeft w:val="0"/>
      <w:marRight w:val="0"/>
      <w:marTop w:val="0"/>
      <w:marBottom w:val="0"/>
      <w:divBdr>
        <w:top w:val="none" w:sz="0" w:space="0" w:color="auto"/>
        <w:left w:val="none" w:sz="0" w:space="0" w:color="auto"/>
        <w:bottom w:val="none" w:sz="0" w:space="0" w:color="auto"/>
        <w:right w:val="none" w:sz="0" w:space="0" w:color="auto"/>
      </w:divBdr>
    </w:div>
    <w:div w:id="718557327">
      <w:bodyDiv w:val="1"/>
      <w:marLeft w:val="0"/>
      <w:marRight w:val="0"/>
      <w:marTop w:val="0"/>
      <w:marBottom w:val="0"/>
      <w:divBdr>
        <w:top w:val="none" w:sz="0" w:space="0" w:color="auto"/>
        <w:left w:val="none" w:sz="0" w:space="0" w:color="auto"/>
        <w:bottom w:val="none" w:sz="0" w:space="0" w:color="auto"/>
        <w:right w:val="none" w:sz="0" w:space="0" w:color="auto"/>
      </w:divBdr>
    </w:div>
    <w:div w:id="723023984">
      <w:bodyDiv w:val="1"/>
      <w:marLeft w:val="0"/>
      <w:marRight w:val="0"/>
      <w:marTop w:val="0"/>
      <w:marBottom w:val="0"/>
      <w:divBdr>
        <w:top w:val="none" w:sz="0" w:space="0" w:color="auto"/>
        <w:left w:val="none" w:sz="0" w:space="0" w:color="auto"/>
        <w:bottom w:val="none" w:sz="0" w:space="0" w:color="auto"/>
        <w:right w:val="none" w:sz="0" w:space="0" w:color="auto"/>
      </w:divBdr>
    </w:div>
    <w:div w:id="724792139">
      <w:bodyDiv w:val="1"/>
      <w:marLeft w:val="0"/>
      <w:marRight w:val="0"/>
      <w:marTop w:val="0"/>
      <w:marBottom w:val="0"/>
      <w:divBdr>
        <w:top w:val="none" w:sz="0" w:space="0" w:color="auto"/>
        <w:left w:val="none" w:sz="0" w:space="0" w:color="auto"/>
        <w:bottom w:val="none" w:sz="0" w:space="0" w:color="auto"/>
        <w:right w:val="none" w:sz="0" w:space="0" w:color="auto"/>
      </w:divBdr>
    </w:div>
    <w:div w:id="725107099">
      <w:bodyDiv w:val="1"/>
      <w:marLeft w:val="0"/>
      <w:marRight w:val="0"/>
      <w:marTop w:val="0"/>
      <w:marBottom w:val="0"/>
      <w:divBdr>
        <w:top w:val="none" w:sz="0" w:space="0" w:color="auto"/>
        <w:left w:val="none" w:sz="0" w:space="0" w:color="auto"/>
        <w:bottom w:val="none" w:sz="0" w:space="0" w:color="auto"/>
        <w:right w:val="none" w:sz="0" w:space="0" w:color="auto"/>
      </w:divBdr>
    </w:div>
    <w:div w:id="750278726">
      <w:bodyDiv w:val="1"/>
      <w:marLeft w:val="0"/>
      <w:marRight w:val="0"/>
      <w:marTop w:val="0"/>
      <w:marBottom w:val="0"/>
      <w:divBdr>
        <w:top w:val="none" w:sz="0" w:space="0" w:color="auto"/>
        <w:left w:val="none" w:sz="0" w:space="0" w:color="auto"/>
        <w:bottom w:val="none" w:sz="0" w:space="0" w:color="auto"/>
        <w:right w:val="none" w:sz="0" w:space="0" w:color="auto"/>
      </w:divBdr>
    </w:div>
    <w:div w:id="791097252">
      <w:bodyDiv w:val="1"/>
      <w:marLeft w:val="0"/>
      <w:marRight w:val="0"/>
      <w:marTop w:val="0"/>
      <w:marBottom w:val="0"/>
      <w:divBdr>
        <w:top w:val="none" w:sz="0" w:space="0" w:color="auto"/>
        <w:left w:val="none" w:sz="0" w:space="0" w:color="auto"/>
        <w:bottom w:val="none" w:sz="0" w:space="0" w:color="auto"/>
        <w:right w:val="none" w:sz="0" w:space="0" w:color="auto"/>
      </w:divBdr>
    </w:div>
    <w:div w:id="797917649">
      <w:bodyDiv w:val="1"/>
      <w:marLeft w:val="0"/>
      <w:marRight w:val="0"/>
      <w:marTop w:val="0"/>
      <w:marBottom w:val="0"/>
      <w:divBdr>
        <w:top w:val="none" w:sz="0" w:space="0" w:color="auto"/>
        <w:left w:val="none" w:sz="0" w:space="0" w:color="auto"/>
        <w:bottom w:val="none" w:sz="0" w:space="0" w:color="auto"/>
        <w:right w:val="none" w:sz="0" w:space="0" w:color="auto"/>
      </w:divBdr>
    </w:div>
    <w:div w:id="810827044">
      <w:bodyDiv w:val="1"/>
      <w:marLeft w:val="0"/>
      <w:marRight w:val="0"/>
      <w:marTop w:val="0"/>
      <w:marBottom w:val="0"/>
      <w:divBdr>
        <w:top w:val="none" w:sz="0" w:space="0" w:color="auto"/>
        <w:left w:val="none" w:sz="0" w:space="0" w:color="auto"/>
        <w:bottom w:val="none" w:sz="0" w:space="0" w:color="auto"/>
        <w:right w:val="none" w:sz="0" w:space="0" w:color="auto"/>
      </w:divBdr>
    </w:div>
    <w:div w:id="811798958">
      <w:bodyDiv w:val="1"/>
      <w:marLeft w:val="0"/>
      <w:marRight w:val="0"/>
      <w:marTop w:val="0"/>
      <w:marBottom w:val="0"/>
      <w:divBdr>
        <w:top w:val="none" w:sz="0" w:space="0" w:color="auto"/>
        <w:left w:val="none" w:sz="0" w:space="0" w:color="auto"/>
        <w:bottom w:val="none" w:sz="0" w:space="0" w:color="auto"/>
        <w:right w:val="none" w:sz="0" w:space="0" w:color="auto"/>
      </w:divBdr>
    </w:div>
    <w:div w:id="812259529">
      <w:bodyDiv w:val="1"/>
      <w:marLeft w:val="0"/>
      <w:marRight w:val="0"/>
      <w:marTop w:val="0"/>
      <w:marBottom w:val="0"/>
      <w:divBdr>
        <w:top w:val="none" w:sz="0" w:space="0" w:color="auto"/>
        <w:left w:val="none" w:sz="0" w:space="0" w:color="auto"/>
        <w:bottom w:val="none" w:sz="0" w:space="0" w:color="auto"/>
        <w:right w:val="none" w:sz="0" w:space="0" w:color="auto"/>
      </w:divBdr>
    </w:div>
    <w:div w:id="813911302">
      <w:bodyDiv w:val="1"/>
      <w:marLeft w:val="0"/>
      <w:marRight w:val="0"/>
      <w:marTop w:val="0"/>
      <w:marBottom w:val="0"/>
      <w:divBdr>
        <w:top w:val="none" w:sz="0" w:space="0" w:color="auto"/>
        <w:left w:val="none" w:sz="0" w:space="0" w:color="auto"/>
        <w:bottom w:val="none" w:sz="0" w:space="0" w:color="auto"/>
        <w:right w:val="none" w:sz="0" w:space="0" w:color="auto"/>
      </w:divBdr>
    </w:div>
    <w:div w:id="828448439">
      <w:bodyDiv w:val="1"/>
      <w:marLeft w:val="0"/>
      <w:marRight w:val="0"/>
      <w:marTop w:val="0"/>
      <w:marBottom w:val="0"/>
      <w:divBdr>
        <w:top w:val="none" w:sz="0" w:space="0" w:color="auto"/>
        <w:left w:val="none" w:sz="0" w:space="0" w:color="auto"/>
        <w:bottom w:val="none" w:sz="0" w:space="0" w:color="auto"/>
        <w:right w:val="none" w:sz="0" w:space="0" w:color="auto"/>
      </w:divBdr>
    </w:div>
    <w:div w:id="830951434">
      <w:bodyDiv w:val="1"/>
      <w:marLeft w:val="0"/>
      <w:marRight w:val="0"/>
      <w:marTop w:val="0"/>
      <w:marBottom w:val="0"/>
      <w:divBdr>
        <w:top w:val="none" w:sz="0" w:space="0" w:color="auto"/>
        <w:left w:val="none" w:sz="0" w:space="0" w:color="auto"/>
        <w:bottom w:val="none" w:sz="0" w:space="0" w:color="auto"/>
        <w:right w:val="none" w:sz="0" w:space="0" w:color="auto"/>
      </w:divBdr>
    </w:div>
    <w:div w:id="834805005">
      <w:bodyDiv w:val="1"/>
      <w:marLeft w:val="0"/>
      <w:marRight w:val="0"/>
      <w:marTop w:val="0"/>
      <w:marBottom w:val="0"/>
      <w:divBdr>
        <w:top w:val="none" w:sz="0" w:space="0" w:color="auto"/>
        <w:left w:val="none" w:sz="0" w:space="0" w:color="auto"/>
        <w:bottom w:val="none" w:sz="0" w:space="0" w:color="auto"/>
        <w:right w:val="none" w:sz="0" w:space="0" w:color="auto"/>
      </w:divBdr>
    </w:div>
    <w:div w:id="849023226">
      <w:bodyDiv w:val="1"/>
      <w:marLeft w:val="0"/>
      <w:marRight w:val="0"/>
      <w:marTop w:val="0"/>
      <w:marBottom w:val="0"/>
      <w:divBdr>
        <w:top w:val="none" w:sz="0" w:space="0" w:color="auto"/>
        <w:left w:val="none" w:sz="0" w:space="0" w:color="auto"/>
        <w:bottom w:val="none" w:sz="0" w:space="0" w:color="auto"/>
        <w:right w:val="none" w:sz="0" w:space="0" w:color="auto"/>
      </w:divBdr>
    </w:div>
    <w:div w:id="855272538">
      <w:bodyDiv w:val="1"/>
      <w:marLeft w:val="0"/>
      <w:marRight w:val="0"/>
      <w:marTop w:val="0"/>
      <w:marBottom w:val="0"/>
      <w:divBdr>
        <w:top w:val="none" w:sz="0" w:space="0" w:color="auto"/>
        <w:left w:val="none" w:sz="0" w:space="0" w:color="auto"/>
        <w:bottom w:val="none" w:sz="0" w:space="0" w:color="auto"/>
        <w:right w:val="none" w:sz="0" w:space="0" w:color="auto"/>
      </w:divBdr>
    </w:div>
    <w:div w:id="855535677">
      <w:bodyDiv w:val="1"/>
      <w:marLeft w:val="0"/>
      <w:marRight w:val="0"/>
      <w:marTop w:val="0"/>
      <w:marBottom w:val="0"/>
      <w:divBdr>
        <w:top w:val="none" w:sz="0" w:space="0" w:color="auto"/>
        <w:left w:val="none" w:sz="0" w:space="0" w:color="auto"/>
        <w:bottom w:val="none" w:sz="0" w:space="0" w:color="auto"/>
        <w:right w:val="none" w:sz="0" w:space="0" w:color="auto"/>
      </w:divBdr>
    </w:div>
    <w:div w:id="860900058">
      <w:bodyDiv w:val="1"/>
      <w:marLeft w:val="0"/>
      <w:marRight w:val="0"/>
      <w:marTop w:val="0"/>
      <w:marBottom w:val="0"/>
      <w:divBdr>
        <w:top w:val="none" w:sz="0" w:space="0" w:color="auto"/>
        <w:left w:val="none" w:sz="0" w:space="0" w:color="auto"/>
        <w:bottom w:val="none" w:sz="0" w:space="0" w:color="auto"/>
        <w:right w:val="none" w:sz="0" w:space="0" w:color="auto"/>
      </w:divBdr>
    </w:div>
    <w:div w:id="862476014">
      <w:bodyDiv w:val="1"/>
      <w:marLeft w:val="0"/>
      <w:marRight w:val="0"/>
      <w:marTop w:val="0"/>
      <w:marBottom w:val="0"/>
      <w:divBdr>
        <w:top w:val="none" w:sz="0" w:space="0" w:color="auto"/>
        <w:left w:val="none" w:sz="0" w:space="0" w:color="auto"/>
        <w:bottom w:val="none" w:sz="0" w:space="0" w:color="auto"/>
        <w:right w:val="none" w:sz="0" w:space="0" w:color="auto"/>
      </w:divBdr>
    </w:div>
    <w:div w:id="864907528">
      <w:bodyDiv w:val="1"/>
      <w:marLeft w:val="0"/>
      <w:marRight w:val="0"/>
      <w:marTop w:val="0"/>
      <w:marBottom w:val="0"/>
      <w:divBdr>
        <w:top w:val="none" w:sz="0" w:space="0" w:color="auto"/>
        <w:left w:val="none" w:sz="0" w:space="0" w:color="auto"/>
        <w:bottom w:val="none" w:sz="0" w:space="0" w:color="auto"/>
        <w:right w:val="none" w:sz="0" w:space="0" w:color="auto"/>
      </w:divBdr>
    </w:div>
    <w:div w:id="878471388">
      <w:bodyDiv w:val="1"/>
      <w:marLeft w:val="0"/>
      <w:marRight w:val="0"/>
      <w:marTop w:val="0"/>
      <w:marBottom w:val="0"/>
      <w:divBdr>
        <w:top w:val="none" w:sz="0" w:space="0" w:color="auto"/>
        <w:left w:val="none" w:sz="0" w:space="0" w:color="auto"/>
        <w:bottom w:val="none" w:sz="0" w:space="0" w:color="auto"/>
        <w:right w:val="none" w:sz="0" w:space="0" w:color="auto"/>
      </w:divBdr>
    </w:div>
    <w:div w:id="878709149">
      <w:bodyDiv w:val="1"/>
      <w:marLeft w:val="0"/>
      <w:marRight w:val="0"/>
      <w:marTop w:val="0"/>
      <w:marBottom w:val="0"/>
      <w:divBdr>
        <w:top w:val="none" w:sz="0" w:space="0" w:color="auto"/>
        <w:left w:val="none" w:sz="0" w:space="0" w:color="auto"/>
        <w:bottom w:val="none" w:sz="0" w:space="0" w:color="auto"/>
        <w:right w:val="none" w:sz="0" w:space="0" w:color="auto"/>
      </w:divBdr>
    </w:div>
    <w:div w:id="882209346">
      <w:bodyDiv w:val="1"/>
      <w:marLeft w:val="0"/>
      <w:marRight w:val="0"/>
      <w:marTop w:val="0"/>
      <w:marBottom w:val="0"/>
      <w:divBdr>
        <w:top w:val="none" w:sz="0" w:space="0" w:color="auto"/>
        <w:left w:val="none" w:sz="0" w:space="0" w:color="auto"/>
        <w:bottom w:val="none" w:sz="0" w:space="0" w:color="auto"/>
        <w:right w:val="none" w:sz="0" w:space="0" w:color="auto"/>
      </w:divBdr>
    </w:div>
    <w:div w:id="888759670">
      <w:bodyDiv w:val="1"/>
      <w:marLeft w:val="0"/>
      <w:marRight w:val="0"/>
      <w:marTop w:val="0"/>
      <w:marBottom w:val="0"/>
      <w:divBdr>
        <w:top w:val="none" w:sz="0" w:space="0" w:color="auto"/>
        <w:left w:val="none" w:sz="0" w:space="0" w:color="auto"/>
        <w:bottom w:val="none" w:sz="0" w:space="0" w:color="auto"/>
        <w:right w:val="none" w:sz="0" w:space="0" w:color="auto"/>
      </w:divBdr>
    </w:div>
    <w:div w:id="893663125">
      <w:bodyDiv w:val="1"/>
      <w:marLeft w:val="0"/>
      <w:marRight w:val="0"/>
      <w:marTop w:val="0"/>
      <w:marBottom w:val="0"/>
      <w:divBdr>
        <w:top w:val="none" w:sz="0" w:space="0" w:color="auto"/>
        <w:left w:val="none" w:sz="0" w:space="0" w:color="auto"/>
        <w:bottom w:val="none" w:sz="0" w:space="0" w:color="auto"/>
        <w:right w:val="none" w:sz="0" w:space="0" w:color="auto"/>
      </w:divBdr>
    </w:div>
    <w:div w:id="898980989">
      <w:bodyDiv w:val="1"/>
      <w:marLeft w:val="0"/>
      <w:marRight w:val="0"/>
      <w:marTop w:val="0"/>
      <w:marBottom w:val="0"/>
      <w:divBdr>
        <w:top w:val="none" w:sz="0" w:space="0" w:color="auto"/>
        <w:left w:val="none" w:sz="0" w:space="0" w:color="auto"/>
        <w:bottom w:val="none" w:sz="0" w:space="0" w:color="auto"/>
        <w:right w:val="none" w:sz="0" w:space="0" w:color="auto"/>
      </w:divBdr>
    </w:div>
    <w:div w:id="903103641">
      <w:bodyDiv w:val="1"/>
      <w:marLeft w:val="0"/>
      <w:marRight w:val="0"/>
      <w:marTop w:val="0"/>
      <w:marBottom w:val="0"/>
      <w:divBdr>
        <w:top w:val="none" w:sz="0" w:space="0" w:color="auto"/>
        <w:left w:val="none" w:sz="0" w:space="0" w:color="auto"/>
        <w:bottom w:val="none" w:sz="0" w:space="0" w:color="auto"/>
        <w:right w:val="none" w:sz="0" w:space="0" w:color="auto"/>
      </w:divBdr>
    </w:div>
    <w:div w:id="907229369">
      <w:bodyDiv w:val="1"/>
      <w:marLeft w:val="0"/>
      <w:marRight w:val="0"/>
      <w:marTop w:val="0"/>
      <w:marBottom w:val="0"/>
      <w:divBdr>
        <w:top w:val="none" w:sz="0" w:space="0" w:color="auto"/>
        <w:left w:val="none" w:sz="0" w:space="0" w:color="auto"/>
        <w:bottom w:val="none" w:sz="0" w:space="0" w:color="auto"/>
        <w:right w:val="none" w:sz="0" w:space="0" w:color="auto"/>
      </w:divBdr>
    </w:div>
    <w:div w:id="926040587">
      <w:bodyDiv w:val="1"/>
      <w:marLeft w:val="0"/>
      <w:marRight w:val="0"/>
      <w:marTop w:val="0"/>
      <w:marBottom w:val="0"/>
      <w:divBdr>
        <w:top w:val="none" w:sz="0" w:space="0" w:color="auto"/>
        <w:left w:val="none" w:sz="0" w:space="0" w:color="auto"/>
        <w:bottom w:val="none" w:sz="0" w:space="0" w:color="auto"/>
        <w:right w:val="none" w:sz="0" w:space="0" w:color="auto"/>
      </w:divBdr>
    </w:div>
    <w:div w:id="942611084">
      <w:bodyDiv w:val="1"/>
      <w:marLeft w:val="0"/>
      <w:marRight w:val="0"/>
      <w:marTop w:val="0"/>
      <w:marBottom w:val="0"/>
      <w:divBdr>
        <w:top w:val="none" w:sz="0" w:space="0" w:color="auto"/>
        <w:left w:val="none" w:sz="0" w:space="0" w:color="auto"/>
        <w:bottom w:val="none" w:sz="0" w:space="0" w:color="auto"/>
        <w:right w:val="none" w:sz="0" w:space="0" w:color="auto"/>
      </w:divBdr>
    </w:div>
    <w:div w:id="949553931">
      <w:bodyDiv w:val="1"/>
      <w:marLeft w:val="0"/>
      <w:marRight w:val="0"/>
      <w:marTop w:val="0"/>
      <w:marBottom w:val="0"/>
      <w:divBdr>
        <w:top w:val="none" w:sz="0" w:space="0" w:color="auto"/>
        <w:left w:val="none" w:sz="0" w:space="0" w:color="auto"/>
        <w:bottom w:val="none" w:sz="0" w:space="0" w:color="auto"/>
        <w:right w:val="none" w:sz="0" w:space="0" w:color="auto"/>
      </w:divBdr>
    </w:div>
    <w:div w:id="956331242">
      <w:bodyDiv w:val="1"/>
      <w:marLeft w:val="0"/>
      <w:marRight w:val="0"/>
      <w:marTop w:val="0"/>
      <w:marBottom w:val="0"/>
      <w:divBdr>
        <w:top w:val="none" w:sz="0" w:space="0" w:color="auto"/>
        <w:left w:val="none" w:sz="0" w:space="0" w:color="auto"/>
        <w:bottom w:val="none" w:sz="0" w:space="0" w:color="auto"/>
        <w:right w:val="none" w:sz="0" w:space="0" w:color="auto"/>
      </w:divBdr>
    </w:div>
    <w:div w:id="957417286">
      <w:bodyDiv w:val="1"/>
      <w:marLeft w:val="0"/>
      <w:marRight w:val="0"/>
      <w:marTop w:val="0"/>
      <w:marBottom w:val="0"/>
      <w:divBdr>
        <w:top w:val="none" w:sz="0" w:space="0" w:color="auto"/>
        <w:left w:val="none" w:sz="0" w:space="0" w:color="auto"/>
        <w:bottom w:val="none" w:sz="0" w:space="0" w:color="auto"/>
        <w:right w:val="none" w:sz="0" w:space="0" w:color="auto"/>
      </w:divBdr>
    </w:div>
    <w:div w:id="960459343">
      <w:bodyDiv w:val="1"/>
      <w:marLeft w:val="0"/>
      <w:marRight w:val="0"/>
      <w:marTop w:val="0"/>
      <w:marBottom w:val="0"/>
      <w:divBdr>
        <w:top w:val="none" w:sz="0" w:space="0" w:color="auto"/>
        <w:left w:val="none" w:sz="0" w:space="0" w:color="auto"/>
        <w:bottom w:val="none" w:sz="0" w:space="0" w:color="auto"/>
        <w:right w:val="none" w:sz="0" w:space="0" w:color="auto"/>
      </w:divBdr>
    </w:div>
    <w:div w:id="967469425">
      <w:bodyDiv w:val="1"/>
      <w:marLeft w:val="0"/>
      <w:marRight w:val="0"/>
      <w:marTop w:val="0"/>
      <w:marBottom w:val="0"/>
      <w:divBdr>
        <w:top w:val="none" w:sz="0" w:space="0" w:color="auto"/>
        <w:left w:val="none" w:sz="0" w:space="0" w:color="auto"/>
        <w:bottom w:val="none" w:sz="0" w:space="0" w:color="auto"/>
        <w:right w:val="none" w:sz="0" w:space="0" w:color="auto"/>
      </w:divBdr>
    </w:div>
    <w:div w:id="969283108">
      <w:bodyDiv w:val="1"/>
      <w:marLeft w:val="0"/>
      <w:marRight w:val="0"/>
      <w:marTop w:val="0"/>
      <w:marBottom w:val="0"/>
      <w:divBdr>
        <w:top w:val="none" w:sz="0" w:space="0" w:color="auto"/>
        <w:left w:val="none" w:sz="0" w:space="0" w:color="auto"/>
        <w:bottom w:val="none" w:sz="0" w:space="0" w:color="auto"/>
        <w:right w:val="none" w:sz="0" w:space="0" w:color="auto"/>
      </w:divBdr>
    </w:div>
    <w:div w:id="972637119">
      <w:bodyDiv w:val="1"/>
      <w:marLeft w:val="0"/>
      <w:marRight w:val="0"/>
      <w:marTop w:val="0"/>
      <w:marBottom w:val="0"/>
      <w:divBdr>
        <w:top w:val="none" w:sz="0" w:space="0" w:color="auto"/>
        <w:left w:val="none" w:sz="0" w:space="0" w:color="auto"/>
        <w:bottom w:val="none" w:sz="0" w:space="0" w:color="auto"/>
        <w:right w:val="none" w:sz="0" w:space="0" w:color="auto"/>
      </w:divBdr>
    </w:div>
    <w:div w:id="981806462">
      <w:bodyDiv w:val="1"/>
      <w:marLeft w:val="0"/>
      <w:marRight w:val="0"/>
      <w:marTop w:val="0"/>
      <w:marBottom w:val="0"/>
      <w:divBdr>
        <w:top w:val="none" w:sz="0" w:space="0" w:color="auto"/>
        <w:left w:val="none" w:sz="0" w:space="0" w:color="auto"/>
        <w:bottom w:val="none" w:sz="0" w:space="0" w:color="auto"/>
        <w:right w:val="none" w:sz="0" w:space="0" w:color="auto"/>
      </w:divBdr>
    </w:div>
    <w:div w:id="988751272">
      <w:bodyDiv w:val="1"/>
      <w:marLeft w:val="0"/>
      <w:marRight w:val="0"/>
      <w:marTop w:val="0"/>
      <w:marBottom w:val="0"/>
      <w:divBdr>
        <w:top w:val="none" w:sz="0" w:space="0" w:color="auto"/>
        <w:left w:val="none" w:sz="0" w:space="0" w:color="auto"/>
        <w:bottom w:val="none" w:sz="0" w:space="0" w:color="auto"/>
        <w:right w:val="none" w:sz="0" w:space="0" w:color="auto"/>
      </w:divBdr>
    </w:div>
    <w:div w:id="995836226">
      <w:bodyDiv w:val="1"/>
      <w:marLeft w:val="0"/>
      <w:marRight w:val="0"/>
      <w:marTop w:val="0"/>
      <w:marBottom w:val="0"/>
      <w:divBdr>
        <w:top w:val="none" w:sz="0" w:space="0" w:color="auto"/>
        <w:left w:val="none" w:sz="0" w:space="0" w:color="auto"/>
        <w:bottom w:val="none" w:sz="0" w:space="0" w:color="auto"/>
        <w:right w:val="none" w:sz="0" w:space="0" w:color="auto"/>
      </w:divBdr>
    </w:div>
    <w:div w:id="996348501">
      <w:bodyDiv w:val="1"/>
      <w:marLeft w:val="0"/>
      <w:marRight w:val="0"/>
      <w:marTop w:val="0"/>
      <w:marBottom w:val="0"/>
      <w:divBdr>
        <w:top w:val="none" w:sz="0" w:space="0" w:color="auto"/>
        <w:left w:val="none" w:sz="0" w:space="0" w:color="auto"/>
        <w:bottom w:val="none" w:sz="0" w:space="0" w:color="auto"/>
        <w:right w:val="none" w:sz="0" w:space="0" w:color="auto"/>
      </w:divBdr>
    </w:div>
    <w:div w:id="1002859675">
      <w:bodyDiv w:val="1"/>
      <w:marLeft w:val="0"/>
      <w:marRight w:val="0"/>
      <w:marTop w:val="0"/>
      <w:marBottom w:val="0"/>
      <w:divBdr>
        <w:top w:val="none" w:sz="0" w:space="0" w:color="auto"/>
        <w:left w:val="none" w:sz="0" w:space="0" w:color="auto"/>
        <w:bottom w:val="none" w:sz="0" w:space="0" w:color="auto"/>
        <w:right w:val="none" w:sz="0" w:space="0" w:color="auto"/>
      </w:divBdr>
    </w:div>
    <w:div w:id="1005128157">
      <w:bodyDiv w:val="1"/>
      <w:marLeft w:val="0"/>
      <w:marRight w:val="0"/>
      <w:marTop w:val="0"/>
      <w:marBottom w:val="0"/>
      <w:divBdr>
        <w:top w:val="none" w:sz="0" w:space="0" w:color="auto"/>
        <w:left w:val="none" w:sz="0" w:space="0" w:color="auto"/>
        <w:bottom w:val="none" w:sz="0" w:space="0" w:color="auto"/>
        <w:right w:val="none" w:sz="0" w:space="0" w:color="auto"/>
      </w:divBdr>
    </w:div>
    <w:div w:id="1021206246">
      <w:bodyDiv w:val="1"/>
      <w:marLeft w:val="0"/>
      <w:marRight w:val="0"/>
      <w:marTop w:val="0"/>
      <w:marBottom w:val="0"/>
      <w:divBdr>
        <w:top w:val="none" w:sz="0" w:space="0" w:color="auto"/>
        <w:left w:val="none" w:sz="0" w:space="0" w:color="auto"/>
        <w:bottom w:val="none" w:sz="0" w:space="0" w:color="auto"/>
        <w:right w:val="none" w:sz="0" w:space="0" w:color="auto"/>
      </w:divBdr>
    </w:div>
    <w:div w:id="1051150789">
      <w:bodyDiv w:val="1"/>
      <w:marLeft w:val="0"/>
      <w:marRight w:val="0"/>
      <w:marTop w:val="0"/>
      <w:marBottom w:val="0"/>
      <w:divBdr>
        <w:top w:val="none" w:sz="0" w:space="0" w:color="auto"/>
        <w:left w:val="none" w:sz="0" w:space="0" w:color="auto"/>
        <w:bottom w:val="none" w:sz="0" w:space="0" w:color="auto"/>
        <w:right w:val="none" w:sz="0" w:space="0" w:color="auto"/>
      </w:divBdr>
    </w:div>
    <w:div w:id="1058940009">
      <w:bodyDiv w:val="1"/>
      <w:marLeft w:val="0"/>
      <w:marRight w:val="0"/>
      <w:marTop w:val="0"/>
      <w:marBottom w:val="0"/>
      <w:divBdr>
        <w:top w:val="none" w:sz="0" w:space="0" w:color="auto"/>
        <w:left w:val="none" w:sz="0" w:space="0" w:color="auto"/>
        <w:bottom w:val="none" w:sz="0" w:space="0" w:color="auto"/>
        <w:right w:val="none" w:sz="0" w:space="0" w:color="auto"/>
      </w:divBdr>
    </w:div>
    <w:div w:id="1059085582">
      <w:bodyDiv w:val="1"/>
      <w:marLeft w:val="0"/>
      <w:marRight w:val="0"/>
      <w:marTop w:val="0"/>
      <w:marBottom w:val="0"/>
      <w:divBdr>
        <w:top w:val="none" w:sz="0" w:space="0" w:color="auto"/>
        <w:left w:val="none" w:sz="0" w:space="0" w:color="auto"/>
        <w:bottom w:val="none" w:sz="0" w:space="0" w:color="auto"/>
        <w:right w:val="none" w:sz="0" w:space="0" w:color="auto"/>
      </w:divBdr>
    </w:div>
    <w:div w:id="1065379015">
      <w:bodyDiv w:val="1"/>
      <w:marLeft w:val="0"/>
      <w:marRight w:val="0"/>
      <w:marTop w:val="0"/>
      <w:marBottom w:val="0"/>
      <w:divBdr>
        <w:top w:val="none" w:sz="0" w:space="0" w:color="auto"/>
        <w:left w:val="none" w:sz="0" w:space="0" w:color="auto"/>
        <w:bottom w:val="none" w:sz="0" w:space="0" w:color="auto"/>
        <w:right w:val="none" w:sz="0" w:space="0" w:color="auto"/>
      </w:divBdr>
    </w:div>
    <w:div w:id="1067723127">
      <w:bodyDiv w:val="1"/>
      <w:marLeft w:val="0"/>
      <w:marRight w:val="0"/>
      <w:marTop w:val="0"/>
      <w:marBottom w:val="0"/>
      <w:divBdr>
        <w:top w:val="none" w:sz="0" w:space="0" w:color="auto"/>
        <w:left w:val="none" w:sz="0" w:space="0" w:color="auto"/>
        <w:bottom w:val="none" w:sz="0" w:space="0" w:color="auto"/>
        <w:right w:val="none" w:sz="0" w:space="0" w:color="auto"/>
      </w:divBdr>
    </w:div>
    <w:div w:id="1071848056">
      <w:bodyDiv w:val="1"/>
      <w:marLeft w:val="0"/>
      <w:marRight w:val="0"/>
      <w:marTop w:val="0"/>
      <w:marBottom w:val="0"/>
      <w:divBdr>
        <w:top w:val="none" w:sz="0" w:space="0" w:color="auto"/>
        <w:left w:val="none" w:sz="0" w:space="0" w:color="auto"/>
        <w:bottom w:val="none" w:sz="0" w:space="0" w:color="auto"/>
        <w:right w:val="none" w:sz="0" w:space="0" w:color="auto"/>
      </w:divBdr>
    </w:div>
    <w:div w:id="1079642437">
      <w:bodyDiv w:val="1"/>
      <w:marLeft w:val="0"/>
      <w:marRight w:val="0"/>
      <w:marTop w:val="0"/>
      <w:marBottom w:val="0"/>
      <w:divBdr>
        <w:top w:val="none" w:sz="0" w:space="0" w:color="auto"/>
        <w:left w:val="none" w:sz="0" w:space="0" w:color="auto"/>
        <w:bottom w:val="none" w:sz="0" w:space="0" w:color="auto"/>
        <w:right w:val="none" w:sz="0" w:space="0" w:color="auto"/>
      </w:divBdr>
    </w:div>
    <w:div w:id="1085417320">
      <w:bodyDiv w:val="1"/>
      <w:marLeft w:val="0"/>
      <w:marRight w:val="0"/>
      <w:marTop w:val="0"/>
      <w:marBottom w:val="0"/>
      <w:divBdr>
        <w:top w:val="none" w:sz="0" w:space="0" w:color="auto"/>
        <w:left w:val="none" w:sz="0" w:space="0" w:color="auto"/>
        <w:bottom w:val="none" w:sz="0" w:space="0" w:color="auto"/>
        <w:right w:val="none" w:sz="0" w:space="0" w:color="auto"/>
      </w:divBdr>
    </w:div>
    <w:div w:id="1087113827">
      <w:bodyDiv w:val="1"/>
      <w:marLeft w:val="0"/>
      <w:marRight w:val="0"/>
      <w:marTop w:val="0"/>
      <w:marBottom w:val="0"/>
      <w:divBdr>
        <w:top w:val="none" w:sz="0" w:space="0" w:color="auto"/>
        <w:left w:val="none" w:sz="0" w:space="0" w:color="auto"/>
        <w:bottom w:val="none" w:sz="0" w:space="0" w:color="auto"/>
        <w:right w:val="none" w:sz="0" w:space="0" w:color="auto"/>
      </w:divBdr>
    </w:div>
    <w:div w:id="1093168323">
      <w:bodyDiv w:val="1"/>
      <w:marLeft w:val="0"/>
      <w:marRight w:val="0"/>
      <w:marTop w:val="0"/>
      <w:marBottom w:val="0"/>
      <w:divBdr>
        <w:top w:val="none" w:sz="0" w:space="0" w:color="auto"/>
        <w:left w:val="none" w:sz="0" w:space="0" w:color="auto"/>
        <w:bottom w:val="none" w:sz="0" w:space="0" w:color="auto"/>
        <w:right w:val="none" w:sz="0" w:space="0" w:color="auto"/>
      </w:divBdr>
    </w:div>
    <w:div w:id="1094475881">
      <w:bodyDiv w:val="1"/>
      <w:marLeft w:val="0"/>
      <w:marRight w:val="0"/>
      <w:marTop w:val="0"/>
      <w:marBottom w:val="0"/>
      <w:divBdr>
        <w:top w:val="none" w:sz="0" w:space="0" w:color="auto"/>
        <w:left w:val="none" w:sz="0" w:space="0" w:color="auto"/>
        <w:bottom w:val="none" w:sz="0" w:space="0" w:color="auto"/>
        <w:right w:val="none" w:sz="0" w:space="0" w:color="auto"/>
      </w:divBdr>
    </w:div>
    <w:div w:id="1103459910">
      <w:bodyDiv w:val="1"/>
      <w:marLeft w:val="0"/>
      <w:marRight w:val="0"/>
      <w:marTop w:val="0"/>
      <w:marBottom w:val="0"/>
      <w:divBdr>
        <w:top w:val="none" w:sz="0" w:space="0" w:color="auto"/>
        <w:left w:val="none" w:sz="0" w:space="0" w:color="auto"/>
        <w:bottom w:val="none" w:sz="0" w:space="0" w:color="auto"/>
        <w:right w:val="none" w:sz="0" w:space="0" w:color="auto"/>
      </w:divBdr>
    </w:div>
    <w:div w:id="1105229757">
      <w:bodyDiv w:val="1"/>
      <w:marLeft w:val="0"/>
      <w:marRight w:val="0"/>
      <w:marTop w:val="0"/>
      <w:marBottom w:val="0"/>
      <w:divBdr>
        <w:top w:val="none" w:sz="0" w:space="0" w:color="auto"/>
        <w:left w:val="none" w:sz="0" w:space="0" w:color="auto"/>
        <w:bottom w:val="none" w:sz="0" w:space="0" w:color="auto"/>
        <w:right w:val="none" w:sz="0" w:space="0" w:color="auto"/>
      </w:divBdr>
    </w:div>
    <w:div w:id="1125663693">
      <w:bodyDiv w:val="1"/>
      <w:marLeft w:val="0"/>
      <w:marRight w:val="0"/>
      <w:marTop w:val="0"/>
      <w:marBottom w:val="0"/>
      <w:divBdr>
        <w:top w:val="none" w:sz="0" w:space="0" w:color="auto"/>
        <w:left w:val="none" w:sz="0" w:space="0" w:color="auto"/>
        <w:bottom w:val="none" w:sz="0" w:space="0" w:color="auto"/>
        <w:right w:val="none" w:sz="0" w:space="0" w:color="auto"/>
      </w:divBdr>
    </w:div>
    <w:div w:id="1134759043">
      <w:bodyDiv w:val="1"/>
      <w:marLeft w:val="0"/>
      <w:marRight w:val="0"/>
      <w:marTop w:val="0"/>
      <w:marBottom w:val="0"/>
      <w:divBdr>
        <w:top w:val="none" w:sz="0" w:space="0" w:color="auto"/>
        <w:left w:val="none" w:sz="0" w:space="0" w:color="auto"/>
        <w:bottom w:val="none" w:sz="0" w:space="0" w:color="auto"/>
        <w:right w:val="none" w:sz="0" w:space="0" w:color="auto"/>
      </w:divBdr>
    </w:div>
    <w:div w:id="1144739400">
      <w:bodyDiv w:val="1"/>
      <w:marLeft w:val="0"/>
      <w:marRight w:val="0"/>
      <w:marTop w:val="0"/>
      <w:marBottom w:val="0"/>
      <w:divBdr>
        <w:top w:val="none" w:sz="0" w:space="0" w:color="auto"/>
        <w:left w:val="none" w:sz="0" w:space="0" w:color="auto"/>
        <w:bottom w:val="none" w:sz="0" w:space="0" w:color="auto"/>
        <w:right w:val="none" w:sz="0" w:space="0" w:color="auto"/>
      </w:divBdr>
    </w:div>
    <w:div w:id="1166747694">
      <w:bodyDiv w:val="1"/>
      <w:marLeft w:val="0"/>
      <w:marRight w:val="0"/>
      <w:marTop w:val="0"/>
      <w:marBottom w:val="0"/>
      <w:divBdr>
        <w:top w:val="none" w:sz="0" w:space="0" w:color="auto"/>
        <w:left w:val="none" w:sz="0" w:space="0" w:color="auto"/>
        <w:bottom w:val="none" w:sz="0" w:space="0" w:color="auto"/>
        <w:right w:val="none" w:sz="0" w:space="0" w:color="auto"/>
      </w:divBdr>
    </w:div>
    <w:div w:id="1170757461">
      <w:bodyDiv w:val="1"/>
      <w:marLeft w:val="0"/>
      <w:marRight w:val="0"/>
      <w:marTop w:val="0"/>
      <w:marBottom w:val="0"/>
      <w:divBdr>
        <w:top w:val="none" w:sz="0" w:space="0" w:color="auto"/>
        <w:left w:val="none" w:sz="0" w:space="0" w:color="auto"/>
        <w:bottom w:val="none" w:sz="0" w:space="0" w:color="auto"/>
        <w:right w:val="none" w:sz="0" w:space="0" w:color="auto"/>
      </w:divBdr>
    </w:div>
    <w:div w:id="1177425711">
      <w:bodyDiv w:val="1"/>
      <w:marLeft w:val="0"/>
      <w:marRight w:val="0"/>
      <w:marTop w:val="0"/>
      <w:marBottom w:val="0"/>
      <w:divBdr>
        <w:top w:val="none" w:sz="0" w:space="0" w:color="auto"/>
        <w:left w:val="none" w:sz="0" w:space="0" w:color="auto"/>
        <w:bottom w:val="none" w:sz="0" w:space="0" w:color="auto"/>
        <w:right w:val="none" w:sz="0" w:space="0" w:color="auto"/>
      </w:divBdr>
    </w:div>
    <w:div w:id="1180895864">
      <w:bodyDiv w:val="1"/>
      <w:marLeft w:val="0"/>
      <w:marRight w:val="0"/>
      <w:marTop w:val="0"/>
      <w:marBottom w:val="0"/>
      <w:divBdr>
        <w:top w:val="none" w:sz="0" w:space="0" w:color="auto"/>
        <w:left w:val="none" w:sz="0" w:space="0" w:color="auto"/>
        <w:bottom w:val="none" w:sz="0" w:space="0" w:color="auto"/>
        <w:right w:val="none" w:sz="0" w:space="0" w:color="auto"/>
      </w:divBdr>
    </w:div>
    <w:div w:id="1183858406">
      <w:bodyDiv w:val="1"/>
      <w:marLeft w:val="0"/>
      <w:marRight w:val="0"/>
      <w:marTop w:val="0"/>
      <w:marBottom w:val="0"/>
      <w:divBdr>
        <w:top w:val="none" w:sz="0" w:space="0" w:color="auto"/>
        <w:left w:val="none" w:sz="0" w:space="0" w:color="auto"/>
        <w:bottom w:val="none" w:sz="0" w:space="0" w:color="auto"/>
        <w:right w:val="none" w:sz="0" w:space="0" w:color="auto"/>
      </w:divBdr>
    </w:div>
    <w:div w:id="1184786512">
      <w:bodyDiv w:val="1"/>
      <w:marLeft w:val="0"/>
      <w:marRight w:val="0"/>
      <w:marTop w:val="0"/>
      <w:marBottom w:val="0"/>
      <w:divBdr>
        <w:top w:val="none" w:sz="0" w:space="0" w:color="auto"/>
        <w:left w:val="none" w:sz="0" w:space="0" w:color="auto"/>
        <w:bottom w:val="none" w:sz="0" w:space="0" w:color="auto"/>
        <w:right w:val="none" w:sz="0" w:space="0" w:color="auto"/>
      </w:divBdr>
    </w:div>
    <w:div w:id="1188758031">
      <w:bodyDiv w:val="1"/>
      <w:marLeft w:val="0"/>
      <w:marRight w:val="0"/>
      <w:marTop w:val="0"/>
      <w:marBottom w:val="0"/>
      <w:divBdr>
        <w:top w:val="none" w:sz="0" w:space="0" w:color="auto"/>
        <w:left w:val="none" w:sz="0" w:space="0" w:color="auto"/>
        <w:bottom w:val="none" w:sz="0" w:space="0" w:color="auto"/>
        <w:right w:val="none" w:sz="0" w:space="0" w:color="auto"/>
      </w:divBdr>
    </w:div>
    <w:div w:id="1195114652">
      <w:bodyDiv w:val="1"/>
      <w:marLeft w:val="0"/>
      <w:marRight w:val="0"/>
      <w:marTop w:val="0"/>
      <w:marBottom w:val="0"/>
      <w:divBdr>
        <w:top w:val="none" w:sz="0" w:space="0" w:color="auto"/>
        <w:left w:val="none" w:sz="0" w:space="0" w:color="auto"/>
        <w:bottom w:val="none" w:sz="0" w:space="0" w:color="auto"/>
        <w:right w:val="none" w:sz="0" w:space="0" w:color="auto"/>
      </w:divBdr>
    </w:div>
    <w:div w:id="1208377052">
      <w:bodyDiv w:val="1"/>
      <w:marLeft w:val="0"/>
      <w:marRight w:val="0"/>
      <w:marTop w:val="0"/>
      <w:marBottom w:val="0"/>
      <w:divBdr>
        <w:top w:val="none" w:sz="0" w:space="0" w:color="auto"/>
        <w:left w:val="none" w:sz="0" w:space="0" w:color="auto"/>
        <w:bottom w:val="none" w:sz="0" w:space="0" w:color="auto"/>
        <w:right w:val="none" w:sz="0" w:space="0" w:color="auto"/>
      </w:divBdr>
    </w:div>
    <w:div w:id="1208758863">
      <w:bodyDiv w:val="1"/>
      <w:marLeft w:val="0"/>
      <w:marRight w:val="0"/>
      <w:marTop w:val="0"/>
      <w:marBottom w:val="0"/>
      <w:divBdr>
        <w:top w:val="none" w:sz="0" w:space="0" w:color="auto"/>
        <w:left w:val="none" w:sz="0" w:space="0" w:color="auto"/>
        <w:bottom w:val="none" w:sz="0" w:space="0" w:color="auto"/>
        <w:right w:val="none" w:sz="0" w:space="0" w:color="auto"/>
      </w:divBdr>
    </w:div>
    <w:div w:id="1208877729">
      <w:bodyDiv w:val="1"/>
      <w:marLeft w:val="0"/>
      <w:marRight w:val="0"/>
      <w:marTop w:val="0"/>
      <w:marBottom w:val="0"/>
      <w:divBdr>
        <w:top w:val="none" w:sz="0" w:space="0" w:color="auto"/>
        <w:left w:val="none" w:sz="0" w:space="0" w:color="auto"/>
        <w:bottom w:val="none" w:sz="0" w:space="0" w:color="auto"/>
        <w:right w:val="none" w:sz="0" w:space="0" w:color="auto"/>
      </w:divBdr>
    </w:div>
    <w:div w:id="1213274105">
      <w:bodyDiv w:val="1"/>
      <w:marLeft w:val="0"/>
      <w:marRight w:val="0"/>
      <w:marTop w:val="0"/>
      <w:marBottom w:val="0"/>
      <w:divBdr>
        <w:top w:val="none" w:sz="0" w:space="0" w:color="auto"/>
        <w:left w:val="none" w:sz="0" w:space="0" w:color="auto"/>
        <w:bottom w:val="none" w:sz="0" w:space="0" w:color="auto"/>
        <w:right w:val="none" w:sz="0" w:space="0" w:color="auto"/>
      </w:divBdr>
    </w:div>
    <w:div w:id="1224102679">
      <w:bodyDiv w:val="1"/>
      <w:marLeft w:val="0"/>
      <w:marRight w:val="0"/>
      <w:marTop w:val="0"/>
      <w:marBottom w:val="0"/>
      <w:divBdr>
        <w:top w:val="none" w:sz="0" w:space="0" w:color="auto"/>
        <w:left w:val="none" w:sz="0" w:space="0" w:color="auto"/>
        <w:bottom w:val="none" w:sz="0" w:space="0" w:color="auto"/>
        <w:right w:val="none" w:sz="0" w:space="0" w:color="auto"/>
      </w:divBdr>
    </w:div>
    <w:div w:id="1224636224">
      <w:bodyDiv w:val="1"/>
      <w:marLeft w:val="0"/>
      <w:marRight w:val="0"/>
      <w:marTop w:val="0"/>
      <w:marBottom w:val="0"/>
      <w:divBdr>
        <w:top w:val="none" w:sz="0" w:space="0" w:color="auto"/>
        <w:left w:val="none" w:sz="0" w:space="0" w:color="auto"/>
        <w:bottom w:val="none" w:sz="0" w:space="0" w:color="auto"/>
        <w:right w:val="none" w:sz="0" w:space="0" w:color="auto"/>
      </w:divBdr>
    </w:div>
    <w:div w:id="1228802581">
      <w:bodyDiv w:val="1"/>
      <w:marLeft w:val="0"/>
      <w:marRight w:val="0"/>
      <w:marTop w:val="0"/>
      <w:marBottom w:val="0"/>
      <w:divBdr>
        <w:top w:val="none" w:sz="0" w:space="0" w:color="auto"/>
        <w:left w:val="none" w:sz="0" w:space="0" w:color="auto"/>
        <w:bottom w:val="none" w:sz="0" w:space="0" w:color="auto"/>
        <w:right w:val="none" w:sz="0" w:space="0" w:color="auto"/>
      </w:divBdr>
    </w:div>
    <w:div w:id="1242136072">
      <w:bodyDiv w:val="1"/>
      <w:marLeft w:val="0"/>
      <w:marRight w:val="0"/>
      <w:marTop w:val="0"/>
      <w:marBottom w:val="0"/>
      <w:divBdr>
        <w:top w:val="none" w:sz="0" w:space="0" w:color="auto"/>
        <w:left w:val="none" w:sz="0" w:space="0" w:color="auto"/>
        <w:bottom w:val="none" w:sz="0" w:space="0" w:color="auto"/>
        <w:right w:val="none" w:sz="0" w:space="0" w:color="auto"/>
      </w:divBdr>
    </w:div>
    <w:div w:id="1248034050">
      <w:bodyDiv w:val="1"/>
      <w:marLeft w:val="0"/>
      <w:marRight w:val="0"/>
      <w:marTop w:val="0"/>
      <w:marBottom w:val="0"/>
      <w:divBdr>
        <w:top w:val="none" w:sz="0" w:space="0" w:color="auto"/>
        <w:left w:val="none" w:sz="0" w:space="0" w:color="auto"/>
        <w:bottom w:val="none" w:sz="0" w:space="0" w:color="auto"/>
        <w:right w:val="none" w:sz="0" w:space="0" w:color="auto"/>
      </w:divBdr>
    </w:div>
    <w:div w:id="1248534709">
      <w:bodyDiv w:val="1"/>
      <w:marLeft w:val="0"/>
      <w:marRight w:val="0"/>
      <w:marTop w:val="0"/>
      <w:marBottom w:val="0"/>
      <w:divBdr>
        <w:top w:val="none" w:sz="0" w:space="0" w:color="auto"/>
        <w:left w:val="none" w:sz="0" w:space="0" w:color="auto"/>
        <w:bottom w:val="none" w:sz="0" w:space="0" w:color="auto"/>
        <w:right w:val="none" w:sz="0" w:space="0" w:color="auto"/>
      </w:divBdr>
    </w:div>
    <w:div w:id="1251353425">
      <w:bodyDiv w:val="1"/>
      <w:marLeft w:val="0"/>
      <w:marRight w:val="0"/>
      <w:marTop w:val="0"/>
      <w:marBottom w:val="0"/>
      <w:divBdr>
        <w:top w:val="none" w:sz="0" w:space="0" w:color="auto"/>
        <w:left w:val="none" w:sz="0" w:space="0" w:color="auto"/>
        <w:bottom w:val="none" w:sz="0" w:space="0" w:color="auto"/>
        <w:right w:val="none" w:sz="0" w:space="0" w:color="auto"/>
      </w:divBdr>
    </w:div>
    <w:div w:id="1255169047">
      <w:bodyDiv w:val="1"/>
      <w:marLeft w:val="0"/>
      <w:marRight w:val="0"/>
      <w:marTop w:val="0"/>
      <w:marBottom w:val="0"/>
      <w:divBdr>
        <w:top w:val="none" w:sz="0" w:space="0" w:color="auto"/>
        <w:left w:val="none" w:sz="0" w:space="0" w:color="auto"/>
        <w:bottom w:val="none" w:sz="0" w:space="0" w:color="auto"/>
        <w:right w:val="none" w:sz="0" w:space="0" w:color="auto"/>
      </w:divBdr>
    </w:div>
    <w:div w:id="1259407889">
      <w:bodyDiv w:val="1"/>
      <w:marLeft w:val="0"/>
      <w:marRight w:val="0"/>
      <w:marTop w:val="0"/>
      <w:marBottom w:val="0"/>
      <w:divBdr>
        <w:top w:val="none" w:sz="0" w:space="0" w:color="auto"/>
        <w:left w:val="none" w:sz="0" w:space="0" w:color="auto"/>
        <w:bottom w:val="none" w:sz="0" w:space="0" w:color="auto"/>
        <w:right w:val="none" w:sz="0" w:space="0" w:color="auto"/>
      </w:divBdr>
    </w:div>
    <w:div w:id="1281105201">
      <w:bodyDiv w:val="1"/>
      <w:marLeft w:val="0"/>
      <w:marRight w:val="0"/>
      <w:marTop w:val="0"/>
      <w:marBottom w:val="0"/>
      <w:divBdr>
        <w:top w:val="none" w:sz="0" w:space="0" w:color="auto"/>
        <w:left w:val="none" w:sz="0" w:space="0" w:color="auto"/>
        <w:bottom w:val="none" w:sz="0" w:space="0" w:color="auto"/>
        <w:right w:val="none" w:sz="0" w:space="0" w:color="auto"/>
      </w:divBdr>
    </w:div>
    <w:div w:id="1282767065">
      <w:bodyDiv w:val="1"/>
      <w:marLeft w:val="0"/>
      <w:marRight w:val="0"/>
      <w:marTop w:val="0"/>
      <w:marBottom w:val="0"/>
      <w:divBdr>
        <w:top w:val="none" w:sz="0" w:space="0" w:color="auto"/>
        <w:left w:val="none" w:sz="0" w:space="0" w:color="auto"/>
        <w:bottom w:val="none" w:sz="0" w:space="0" w:color="auto"/>
        <w:right w:val="none" w:sz="0" w:space="0" w:color="auto"/>
      </w:divBdr>
    </w:div>
    <w:div w:id="1285119685">
      <w:bodyDiv w:val="1"/>
      <w:marLeft w:val="0"/>
      <w:marRight w:val="0"/>
      <w:marTop w:val="0"/>
      <w:marBottom w:val="0"/>
      <w:divBdr>
        <w:top w:val="none" w:sz="0" w:space="0" w:color="auto"/>
        <w:left w:val="none" w:sz="0" w:space="0" w:color="auto"/>
        <w:bottom w:val="none" w:sz="0" w:space="0" w:color="auto"/>
        <w:right w:val="none" w:sz="0" w:space="0" w:color="auto"/>
      </w:divBdr>
    </w:div>
    <w:div w:id="1286159557">
      <w:bodyDiv w:val="1"/>
      <w:marLeft w:val="0"/>
      <w:marRight w:val="0"/>
      <w:marTop w:val="0"/>
      <w:marBottom w:val="0"/>
      <w:divBdr>
        <w:top w:val="none" w:sz="0" w:space="0" w:color="auto"/>
        <w:left w:val="none" w:sz="0" w:space="0" w:color="auto"/>
        <w:bottom w:val="none" w:sz="0" w:space="0" w:color="auto"/>
        <w:right w:val="none" w:sz="0" w:space="0" w:color="auto"/>
      </w:divBdr>
    </w:div>
    <w:div w:id="1298730192">
      <w:bodyDiv w:val="1"/>
      <w:marLeft w:val="0"/>
      <w:marRight w:val="0"/>
      <w:marTop w:val="0"/>
      <w:marBottom w:val="0"/>
      <w:divBdr>
        <w:top w:val="none" w:sz="0" w:space="0" w:color="auto"/>
        <w:left w:val="none" w:sz="0" w:space="0" w:color="auto"/>
        <w:bottom w:val="none" w:sz="0" w:space="0" w:color="auto"/>
        <w:right w:val="none" w:sz="0" w:space="0" w:color="auto"/>
      </w:divBdr>
    </w:div>
    <w:div w:id="1310555926">
      <w:bodyDiv w:val="1"/>
      <w:marLeft w:val="0"/>
      <w:marRight w:val="0"/>
      <w:marTop w:val="0"/>
      <w:marBottom w:val="0"/>
      <w:divBdr>
        <w:top w:val="none" w:sz="0" w:space="0" w:color="auto"/>
        <w:left w:val="none" w:sz="0" w:space="0" w:color="auto"/>
        <w:bottom w:val="none" w:sz="0" w:space="0" w:color="auto"/>
        <w:right w:val="none" w:sz="0" w:space="0" w:color="auto"/>
      </w:divBdr>
    </w:div>
    <w:div w:id="1316448250">
      <w:bodyDiv w:val="1"/>
      <w:marLeft w:val="0"/>
      <w:marRight w:val="0"/>
      <w:marTop w:val="0"/>
      <w:marBottom w:val="0"/>
      <w:divBdr>
        <w:top w:val="none" w:sz="0" w:space="0" w:color="auto"/>
        <w:left w:val="none" w:sz="0" w:space="0" w:color="auto"/>
        <w:bottom w:val="none" w:sz="0" w:space="0" w:color="auto"/>
        <w:right w:val="none" w:sz="0" w:space="0" w:color="auto"/>
      </w:divBdr>
    </w:div>
    <w:div w:id="1316451653">
      <w:bodyDiv w:val="1"/>
      <w:marLeft w:val="0"/>
      <w:marRight w:val="0"/>
      <w:marTop w:val="0"/>
      <w:marBottom w:val="0"/>
      <w:divBdr>
        <w:top w:val="none" w:sz="0" w:space="0" w:color="auto"/>
        <w:left w:val="none" w:sz="0" w:space="0" w:color="auto"/>
        <w:bottom w:val="none" w:sz="0" w:space="0" w:color="auto"/>
        <w:right w:val="none" w:sz="0" w:space="0" w:color="auto"/>
      </w:divBdr>
    </w:div>
    <w:div w:id="1319966892">
      <w:bodyDiv w:val="1"/>
      <w:marLeft w:val="0"/>
      <w:marRight w:val="0"/>
      <w:marTop w:val="0"/>
      <w:marBottom w:val="0"/>
      <w:divBdr>
        <w:top w:val="none" w:sz="0" w:space="0" w:color="auto"/>
        <w:left w:val="none" w:sz="0" w:space="0" w:color="auto"/>
        <w:bottom w:val="none" w:sz="0" w:space="0" w:color="auto"/>
        <w:right w:val="none" w:sz="0" w:space="0" w:color="auto"/>
      </w:divBdr>
    </w:div>
    <w:div w:id="1322545244">
      <w:bodyDiv w:val="1"/>
      <w:marLeft w:val="0"/>
      <w:marRight w:val="0"/>
      <w:marTop w:val="0"/>
      <w:marBottom w:val="0"/>
      <w:divBdr>
        <w:top w:val="none" w:sz="0" w:space="0" w:color="auto"/>
        <w:left w:val="none" w:sz="0" w:space="0" w:color="auto"/>
        <w:bottom w:val="none" w:sz="0" w:space="0" w:color="auto"/>
        <w:right w:val="none" w:sz="0" w:space="0" w:color="auto"/>
      </w:divBdr>
    </w:div>
    <w:div w:id="1323895063">
      <w:bodyDiv w:val="1"/>
      <w:marLeft w:val="0"/>
      <w:marRight w:val="0"/>
      <w:marTop w:val="0"/>
      <w:marBottom w:val="0"/>
      <w:divBdr>
        <w:top w:val="none" w:sz="0" w:space="0" w:color="auto"/>
        <w:left w:val="none" w:sz="0" w:space="0" w:color="auto"/>
        <w:bottom w:val="none" w:sz="0" w:space="0" w:color="auto"/>
        <w:right w:val="none" w:sz="0" w:space="0" w:color="auto"/>
      </w:divBdr>
    </w:div>
    <w:div w:id="1328244745">
      <w:bodyDiv w:val="1"/>
      <w:marLeft w:val="0"/>
      <w:marRight w:val="0"/>
      <w:marTop w:val="0"/>
      <w:marBottom w:val="0"/>
      <w:divBdr>
        <w:top w:val="none" w:sz="0" w:space="0" w:color="auto"/>
        <w:left w:val="none" w:sz="0" w:space="0" w:color="auto"/>
        <w:bottom w:val="none" w:sz="0" w:space="0" w:color="auto"/>
        <w:right w:val="none" w:sz="0" w:space="0" w:color="auto"/>
      </w:divBdr>
    </w:div>
    <w:div w:id="1328904280">
      <w:bodyDiv w:val="1"/>
      <w:marLeft w:val="0"/>
      <w:marRight w:val="0"/>
      <w:marTop w:val="0"/>
      <w:marBottom w:val="0"/>
      <w:divBdr>
        <w:top w:val="none" w:sz="0" w:space="0" w:color="auto"/>
        <w:left w:val="none" w:sz="0" w:space="0" w:color="auto"/>
        <w:bottom w:val="none" w:sz="0" w:space="0" w:color="auto"/>
        <w:right w:val="none" w:sz="0" w:space="0" w:color="auto"/>
      </w:divBdr>
    </w:div>
    <w:div w:id="1333610102">
      <w:bodyDiv w:val="1"/>
      <w:marLeft w:val="0"/>
      <w:marRight w:val="0"/>
      <w:marTop w:val="0"/>
      <w:marBottom w:val="0"/>
      <w:divBdr>
        <w:top w:val="none" w:sz="0" w:space="0" w:color="auto"/>
        <w:left w:val="none" w:sz="0" w:space="0" w:color="auto"/>
        <w:bottom w:val="none" w:sz="0" w:space="0" w:color="auto"/>
        <w:right w:val="none" w:sz="0" w:space="0" w:color="auto"/>
      </w:divBdr>
    </w:div>
    <w:div w:id="1364162360">
      <w:bodyDiv w:val="1"/>
      <w:marLeft w:val="0"/>
      <w:marRight w:val="0"/>
      <w:marTop w:val="0"/>
      <w:marBottom w:val="0"/>
      <w:divBdr>
        <w:top w:val="none" w:sz="0" w:space="0" w:color="auto"/>
        <w:left w:val="none" w:sz="0" w:space="0" w:color="auto"/>
        <w:bottom w:val="none" w:sz="0" w:space="0" w:color="auto"/>
        <w:right w:val="none" w:sz="0" w:space="0" w:color="auto"/>
      </w:divBdr>
    </w:div>
    <w:div w:id="1375697594">
      <w:bodyDiv w:val="1"/>
      <w:marLeft w:val="0"/>
      <w:marRight w:val="0"/>
      <w:marTop w:val="0"/>
      <w:marBottom w:val="0"/>
      <w:divBdr>
        <w:top w:val="none" w:sz="0" w:space="0" w:color="auto"/>
        <w:left w:val="none" w:sz="0" w:space="0" w:color="auto"/>
        <w:bottom w:val="none" w:sz="0" w:space="0" w:color="auto"/>
        <w:right w:val="none" w:sz="0" w:space="0" w:color="auto"/>
      </w:divBdr>
    </w:div>
    <w:div w:id="1379813435">
      <w:bodyDiv w:val="1"/>
      <w:marLeft w:val="0"/>
      <w:marRight w:val="0"/>
      <w:marTop w:val="0"/>
      <w:marBottom w:val="0"/>
      <w:divBdr>
        <w:top w:val="none" w:sz="0" w:space="0" w:color="auto"/>
        <w:left w:val="none" w:sz="0" w:space="0" w:color="auto"/>
        <w:bottom w:val="none" w:sz="0" w:space="0" w:color="auto"/>
        <w:right w:val="none" w:sz="0" w:space="0" w:color="auto"/>
      </w:divBdr>
    </w:div>
    <w:div w:id="1380589541">
      <w:bodyDiv w:val="1"/>
      <w:marLeft w:val="0"/>
      <w:marRight w:val="0"/>
      <w:marTop w:val="0"/>
      <w:marBottom w:val="0"/>
      <w:divBdr>
        <w:top w:val="none" w:sz="0" w:space="0" w:color="auto"/>
        <w:left w:val="none" w:sz="0" w:space="0" w:color="auto"/>
        <w:bottom w:val="none" w:sz="0" w:space="0" w:color="auto"/>
        <w:right w:val="none" w:sz="0" w:space="0" w:color="auto"/>
      </w:divBdr>
    </w:div>
    <w:div w:id="1381325609">
      <w:bodyDiv w:val="1"/>
      <w:marLeft w:val="0"/>
      <w:marRight w:val="0"/>
      <w:marTop w:val="0"/>
      <w:marBottom w:val="0"/>
      <w:divBdr>
        <w:top w:val="none" w:sz="0" w:space="0" w:color="auto"/>
        <w:left w:val="none" w:sz="0" w:space="0" w:color="auto"/>
        <w:bottom w:val="none" w:sz="0" w:space="0" w:color="auto"/>
        <w:right w:val="none" w:sz="0" w:space="0" w:color="auto"/>
      </w:divBdr>
    </w:div>
    <w:div w:id="1401709279">
      <w:bodyDiv w:val="1"/>
      <w:marLeft w:val="0"/>
      <w:marRight w:val="0"/>
      <w:marTop w:val="0"/>
      <w:marBottom w:val="0"/>
      <w:divBdr>
        <w:top w:val="none" w:sz="0" w:space="0" w:color="auto"/>
        <w:left w:val="none" w:sz="0" w:space="0" w:color="auto"/>
        <w:bottom w:val="none" w:sz="0" w:space="0" w:color="auto"/>
        <w:right w:val="none" w:sz="0" w:space="0" w:color="auto"/>
      </w:divBdr>
    </w:div>
    <w:div w:id="1403024311">
      <w:bodyDiv w:val="1"/>
      <w:marLeft w:val="0"/>
      <w:marRight w:val="0"/>
      <w:marTop w:val="0"/>
      <w:marBottom w:val="0"/>
      <w:divBdr>
        <w:top w:val="none" w:sz="0" w:space="0" w:color="auto"/>
        <w:left w:val="none" w:sz="0" w:space="0" w:color="auto"/>
        <w:bottom w:val="none" w:sz="0" w:space="0" w:color="auto"/>
        <w:right w:val="none" w:sz="0" w:space="0" w:color="auto"/>
      </w:divBdr>
    </w:div>
    <w:div w:id="1403137901">
      <w:bodyDiv w:val="1"/>
      <w:marLeft w:val="0"/>
      <w:marRight w:val="0"/>
      <w:marTop w:val="0"/>
      <w:marBottom w:val="0"/>
      <w:divBdr>
        <w:top w:val="none" w:sz="0" w:space="0" w:color="auto"/>
        <w:left w:val="none" w:sz="0" w:space="0" w:color="auto"/>
        <w:bottom w:val="none" w:sz="0" w:space="0" w:color="auto"/>
        <w:right w:val="none" w:sz="0" w:space="0" w:color="auto"/>
      </w:divBdr>
    </w:div>
    <w:div w:id="1413162435">
      <w:bodyDiv w:val="1"/>
      <w:marLeft w:val="0"/>
      <w:marRight w:val="0"/>
      <w:marTop w:val="0"/>
      <w:marBottom w:val="0"/>
      <w:divBdr>
        <w:top w:val="none" w:sz="0" w:space="0" w:color="auto"/>
        <w:left w:val="none" w:sz="0" w:space="0" w:color="auto"/>
        <w:bottom w:val="none" w:sz="0" w:space="0" w:color="auto"/>
        <w:right w:val="none" w:sz="0" w:space="0" w:color="auto"/>
      </w:divBdr>
    </w:div>
    <w:div w:id="1425612244">
      <w:bodyDiv w:val="1"/>
      <w:marLeft w:val="0"/>
      <w:marRight w:val="0"/>
      <w:marTop w:val="0"/>
      <w:marBottom w:val="0"/>
      <w:divBdr>
        <w:top w:val="none" w:sz="0" w:space="0" w:color="auto"/>
        <w:left w:val="none" w:sz="0" w:space="0" w:color="auto"/>
        <w:bottom w:val="none" w:sz="0" w:space="0" w:color="auto"/>
        <w:right w:val="none" w:sz="0" w:space="0" w:color="auto"/>
      </w:divBdr>
    </w:div>
    <w:div w:id="1442191695">
      <w:bodyDiv w:val="1"/>
      <w:marLeft w:val="0"/>
      <w:marRight w:val="0"/>
      <w:marTop w:val="0"/>
      <w:marBottom w:val="0"/>
      <w:divBdr>
        <w:top w:val="none" w:sz="0" w:space="0" w:color="auto"/>
        <w:left w:val="none" w:sz="0" w:space="0" w:color="auto"/>
        <w:bottom w:val="none" w:sz="0" w:space="0" w:color="auto"/>
        <w:right w:val="none" w:sz="0" w:space="0" w:color="auto"/>
      </w:divBdr>
    </w:div>
    <w:div w:id="1445227591">
      <w:bodyDiv w:val="1"/>
      <w:marLeft w:val="0"/>
      <w:marRight w:val="0"/>
      <w:marTop w:val="0"/>
      <w:marBottom w:val="0"/>
      <w:divBdr>
        <w:top w:val="none" w:sz="0" w:space="0" w:color="auto"/>
        <w:left w:val="none" w:sz="0" w:space="0" w:color="auto"/>
        <w:bottom w:val="none" w:sz="0" w:space="0" w:color="auto"/>
        <w:right w:val="none" w:sz="0" w:space="0" w:color="auto"/>
      </w:divBdr>
    </w:div>
    <w:div w:id="1455709492">
      <w:bodyDiv w:val="1"/>
      <w:marLeft w:val="0"/>
      <w:marRight w:val="0"/>
      <w:marTop w:val="0"/>
      <w:marBottom w:val="0"/>
      <w:divBdr>
        <w:top w:val="none" w:sz="0" w:space="0" w:color="auto"/>
        <w:left w:val="none" w:sz="0" w:space="0" w:color="auto"/>
        <w:bottom w:val="none" w:sz="0" w:space="0" w:color="auto"/>
        <w:right w:val="none" w:sz="0" w:space="0" w:color="auto"/>
      </w:divBdr>
    </w:div>
    <w:div w:id="1458721355">
      <w:bodyDiv w:val="1"/>
      <w:marLeft w:val="0"/>
      <w:marRight w:val="0"/>
      <w:marTop w:val="0"/>
      <w:marBottom w:val="0"/>
      <w:divBdr>
        <w:top w:val="none" w:sz="0" w:space="0" w:color="auto"/>
        <w:left w:val="none" w:sz="0" w:space="0" w:color="auto"/>
        <w:bottom w:val="none" w:sz="0" w:space="0" w:color="auto"/>
        <w:right w:val="none" w:sz="0" w:space="0" w:color="auto"/>
      </w:divBdr>
    </w:div>
    <w:div w:id="1462923209">
      <w:bodyDiv w:val="1"/>
      <w:marLeft w:val="0"/>
      <w:marRight w:val="0"/>
      <w:marTop w:val="0"/>
      <w:marBottom w:val="0"/>
      <w:divBdr>
        <w:top w:val="none" w:sz="0" w:space="0" w:color="auto"/>
        <w:left w:val="none" w:sz="0" w:space="0" w:color="auto"/>
        <w:bottom w:val="none" w:sz="0" w:space="0" w:color="auto"/>
        <w:right w:val="none" w:sz="0" w:space="0" w:color="auto"/>
      </w:divBdr>
    </w:div>
    <w:div w:id="1473250202">
      <w:bodyDiv w:val="1"/>
      <w:marLeft w:val="0"/>
      <w:marRight w:val="0"/>
      <w:marTop w:val="0"/>
      <w:marBottom w:val="0"/>
      <w:divBdr>
        <w:top w:val="none" w:sz="0" w:space="0" w:color="auto"/>
        <w:left w:val="none" w:sz="0" w:space="0" w:color="auto"/>
        <w:bottom w:val="none" w:sz="0" w:space="0" w:color="auto"/>
        <w:right w:val="none" w:sz="0" w:space="0" w:color="auto"/>
      </w:divBdr>
    </w:div>
    <w:div w:id="1480998665">
      <w:bodyDiv w:val="1"/>
      <w:marLeft w:val="0"/>
      <w:marRight w:val="0"/>
      <w:marTop w:val="0"/>
      <w:marBottom w:val="0"/>
      <w:divBdr>
        <w:top w:val="none" w:sz="0" w:space="0" w:color="auto"/>
        <w:left w:val="none" w:sz="0" w:space="0" w:color="auto"/>
        <w:bottom w:val="none" w:sz="0" w:space="0" w:color="auto"/>
        <w:right w:val="none" w:sz="0" w:space="0" w:color="auto"/>
      </w:divBdr>
    </w:div>
    <w:div w:id="1487627664">
      <w:bodyDiv w:val="1"/>
      <w:marLeft w:val="0"/>
      <w:marRight w:val="0"/>
      <w:marTop w:val="0"/>
      <w:marBottom w:val="0"/>
      <w:divBdr>
        <w:top w:val="none" w:sz="0" w:space="0" w:color="auto"/>
        <w:left w:val="none" w:sz="0" w:space="0" w:color="auto"/>
        <w:bottom w:val="none" w:sz="0" w:space="0" w:color="auto"/>
        <w:right w:val="none" w:sz="0" w:space="0" w:color="auto"/>
      </w:divBdr>
    </w:div>
    <w:div w:id="1487630654">
      <w:bodyDiv w:val="1"/>
      <w:marLeft w:val="0"/>
      <w:marRight w:val="0"/>
      <w:marTop w:val="0"/>
      <w:marBottom w:val="0"/>
      <w:divBdr>
        <w:top w:val="none" w:sz="0" w:space="0" w:color="auto"/>
        <w:left w:val="none" w:sz="0" w:space="0" w:color="auto"/>
        <w:bottom w:val="none" w:sz="0" w:space="0" w:color="auto"/>
        <w:right w:val="none" w:sz="0" w:space="0" w:color="auto"/>
      </w:divBdr>
    </w:div>
    <w:div w:id="1489244172">
      <w:bodyDiv w:val="1"/>
      <w:marLeft w:val="0"/>
      <w:marRight w:val="0"/>
      <w:marTop w:val="0"/>
      <w:marBottom w:val="0"/>
      <w:divBdr>
        <w:top w:val="none" w:sz="0" w:space="0" w:color="auto"/>
        <w:left w:val="none" w:sz="0" w:space="0" w:color="auto"/>
        <w:bottom w:val="none" w:sz="0" w:space="0" w:color="auto"/>
        <w:right w:val="none" w:sz="0" w:space="0" w:color="auto"/>
      </w:divBdr>
    </w:div>
    <w:div w:id="1500541503">
      <w:bodyDiv w:val="1"/>
      <w:marLeft w:val="0"/>
      <w:marRight w:val="0"/>
      <w:marTop w:val="0"/>
      <w:marBottom w:val="0"/>
      <w:divBdr>
        <w:top w:val="none" w:sz="0" w:space="0" w:color="auto"/>
        <w:left w:val="none" w:sz="0" w:space="0" w:color="auto"/>
        <w:bottom w:val="none" w:sz="0" w:space="0" w:color="auto"/>
        <w:right w:val="none" w:sz="0" w:space="0" w:color="auto"/>
      </w:divBdr>
    </w:div>
    <w:div w:id="1502041815">
      <w:bodyDiv w:val="1"/>
      <w:marLeft w:val="0"/>
      <w:marRight w:val="0"/>
      <w:marTop w:val="0"/>
      <w:marBottom w:val="0"/>
      <w:divBdr>
        <w:top w:val="none" w:sz="0" w:space="0" w:color="auto"/>
        <w:left w:val="none" w:sz="0" w:space="0" w:color="auto"/>
        <w:bottom w:val="none" w:sz="0" w:space="0" w:color="auto"/>
        <w:right w:val="none" w:sz="0" w:space="0" w:color="auto"/>
      </w:divBdr>
    </w:div>
    <w:div w:id="1508861125">
      <w:bodyDiv w:val="1"/>
      <w:marLeft w:val="0"/>
      <w:marRight w:val="0"/>
      <w:marTop w:val="0"/>
      <w:marBottom w:val="0"/>
      <w:divBdr>
        <w:top w:val="none" w:sz="0" w:space="0" w:color="auto"/>
        <w:left w:val="none" w:sz="0" w:space="0" w:color="auto"/>
        <w:bottom w:val="none" w:sz="0" w:space="0" w:color="auto"/>
        <w:right w:val="none" w:sz="0" w:space="0" w:color="auto"/>
      </w:divBdr>
    </w:div>
    <w:div w:id="1519461960">
      <w:bodyDiv w:val="1"/>
      <w:marLeft w:val="0"/>
      <w:marRight w:val="0"/>
      <w:marTop w:val="0"/>
      <w:marBottom w:val="0"/>
      <w:divBdr>
        <w:top w:val="none" w:sz="0" w:space="0" w:color="auto"/>
        <w:left w:val="none" w:sz="0" w:space="0" w:color="auto"/>
        <w:bottom w:val="none" w:sz="0" w:space="0" w:color="auto"/>
        <w:right w:val="none" w:sz="0" w:space="0" w:color="auto"/>
      </w:divBdr>
    </w:div>
    <w:div w:id="1521817308">
      <w:bodyDiv w:val="1"/>
      <w:marLeft w:val="0"/>
      <w:marRight w:val="0"/>
      <w:marTop w:val="0"/>
      <w:marBottom w:val="0"/>
      <w:divBdr>
        <w:top w:val="none" w:sz="0" w:space="0" w:color="auto"/>
        <w:left w:val="none" w:sz="0" w:space="0" w:color="auto"/>
        <w:bottom w:val="none" w:sz="0" w:space="0" w:color="auto"/>
        <w:right w:val="none" w:sz="0" w:space="0" w:color="auto"/>
      </w:divBdr>
    </w:div>
    <w:div w:id="1529365916">
      <w:bodyDiv w:val="1"/>
      <w:marLeft w:val="0"/>
      <w:marRight w:val="0"/>
      <w:marTop w:val="0"/>
      <w:marBottom w:val="0"/>
      <w:divBdr>
        <w:top w:val="none" w:sz="0" w:space="0" w:color="auto"/>
        <w:left w:val="none" w:sz="0" w:space="0" w:color="auto"/>
        <w:bottom w:val="none" w:sz="0" w:space="0" w:color="auto"/>
        <w:right w:val="none" w:sz="0" w:space="0" w:color="auto"/>
      </w:divBdr>
    </w:div>
    <w:div w:id="1543322156">
      <w:bodyDiv w:val="1"/>
      <w:marLeft w:val="0"/>
      <w:marRight w:val="0"/>
      <w:marTop w:val="0"/>
      <w:marBottom w:val="0"/>
      <w:divBdr>
        <w:top w:val="none" w:sz="0" w:space="0" w:color="auto"/>
        <w:left w:val="none" w:sz="0" w:space="0" w:color="auto"/>
        <w:bottom w:val="none" w:sz="0" w:space="0" w:color="auto"/>
        <w:right w:val="none" w:sz="0" w:space="0" w:color="auto"/>
      </w:divBdr>
    </w:div>
    <w:div w:id="1551574034">
      <w:bodyDiv w:val="1"/>
      <w:marLeft w:val="0"/>
      <w:marRight w:val="0"/>
      <w:marTop w:val="0"/>
      <w:marBottom w:val="0"/>
      <w:divBdr>
        <w:top w:val="none" w:sz="0" w:space="0" w:color="auto"/>
        <w:left w:val="none" w:sz="0" w:space="0" w:color="auto"/>
        <w:bottom w:val="none" w:sz="0" w:space="0" w:color="auto"/>
        <w:right w:val="none" w:sz="0" w:space="0" w:color="auto"/>
      </w:divBdr>
    </w:div>
    <w:div w:id="1577743670">
      <w:bodyDiv w:val="1"/>
      <w:marLeft w:val="0"/>
      <w:marRight w:val="0"/>
      <w:marTop w:val="0"/>
      <w:marBottom w:val="0"/>
      <w:divBdr>
        <w:top w:val="none" w:sz="0" w:space="0" w:color="auto"/>
        <w:left w:val="none" w:sz="0" w:space="0" w:color="auto"/>
        <w:bottom w:val="none" w:sz="0" w:space="0" w:color="auto"/>
        <w:right w:val="none" w:sz="0" w:space="0" w:color="auto"/>
      </w:divBdr>
    </w:div>
    <w:div w:id="1580021721">
      <w:bodyDiv w:val="1"/>
      <w:marLeft w:val="0"/>
      <w:marRight w:val="0"/>
      <w:marTop w:val="0"/>
      <w:marBottom w:val="0"/>
      <w:divBdr>
        <w:top w:val="none" w:sz="0" w:space="0" w:color="auto"/>
        <w:left w:val="none" w:sz="0" w:space="0" w:color="auto"/>
        <w:bottom w:val="none" w:sz="0" w:space="0" w:color="auto"/>
        <w:right w:val="none" w:sz="0" w:space="0" w:color="auto"/>
      </w:divBdr>
    </w:div>
    <w:div w:id="1581334709">
      <w:bodyDiv w:val="1"/>
      <w:marLeft w:val="0"/>
      <w:marRight w:val="0"/>
      <w:marTop w:val="0"/>
      <w:marBottom w:val="0"/>
      <w:divBdr>
        <w:top w:val="none" w:sz="0" w:space="0" w:color="auto"/>
        <w:left w:val="none" w:sz="0" w:space="0" w:color="auto"/>
        <w:bottom w:val="none" w:sz="0" w:space="0" w:color="auto"/>
        <w:right w:val="none" w:sz="0" w:space="0" w:color="auto"/>
      </w:divBdr>
    </w:div>
    <w:div w:id="1581795288">
      <w:bodyDiv w:val="1"/>
      <w:marLeft w:val="0"/>
      <w:marRight w:val="0"/>
      <w:marTop w:val="0"/>
      <w:marBottom w:val="0"/>
      <w:divBdr>
        <w:top w:val="none" w:sz="0" w:space="0" w:color="auto"/>
        <w:left w:val="none" w:sz="0" w:space="0" w:color="auto"/>
        <w:bottom w:val="none" w:sz="0" w:space="0" w:color="auto"/>
        <w:right w:val="none" w:sz="0" w:space="0" w:color="auto"/>
      </w:divBdr>
    </w:div>
    <w:div w:id="1587419943">
      <w:bodyDiv w:val="1"/>
      <w:marLeft w:val="0"/>
      <w:marRight w:val="0"/>
      <w:marTop w:val="0"/>
      <w:marBottom w:val="0"/>
      <w:divBdr>
        <w:top w:val="none" w:sz="0" w:space="0" w:color="auto"/>
        <w:left w:val="none" w:sz="0" w:space="0" w:color="auto"/>
        <w:bottom w:val="none" w:sz="0" w:space="0" w:color="auto"/>
        <w:right w:val="none" w:sz="0" w:space="0" w:color="auto"/>
      </w:divBdr>
    </w:div>
    <w:div w:id="1594312694">
      <w:bodyDiv w:val="1"/>
      <w:marLeft w:val="0"/>
      <w:marRight w:val="0"/>
      <w:marTop w:val="0"/>
      <w:marBottom w:val="0"/>
      <w:divBdr>
        <w:top w:val="none" w:sz="0" w:space="0" w:color="auto"/>
        <w:left w:val="none" w:sz="0" w:space="0" w:color="auto"/>
        <w:bottom w:val="none" w:sz="0" w:space="0" w:color="auto"/>
        <w:right w:val="none" w:sz="0" w:space="0" w:color="auto"/>
      </w:divBdr>
      <w:divsChild>
        <w:div w:id="1176463276">
          <w:marLeft w:val="0"/>
          <w:marRight w:val="0"/>
          <w:marTop w:val="0"/>
          <w:marBottom w:val="0"/>
          <w:divBdr>
            <w:top w:val="none" w:sz="0" w:space="0" w:color="auto"/>
            <w:left w:val="none" w:sz="0" w:space="0" w:color="auto"/>
            <w:bottom w:val="none" w:sz="0" w:space="0" w:color="auto"/>
            <w:right w:val="none" w:sz="0" w:space="0" w:color="auto"/>
          </w:divBdr>
          <w:divsChild>
            <w:div w:id="1306163020">
              <w:marLeft w:val="0"/>
              <w:marRight w:val="0"/>
              <w:marTop w:val="0"/>
              <w:marBottom w:val="0"/>
              <w:divBdr>
                <w:top w:val="none" w:sz="0" w:space="0" w:color="auto"/>
                <w:left w:val="none" w:sz="0" w:space="0" w:color="auto"/>
                <w:bottom w:val="none" w:sz="0" w:space="0" w:color="auto"/>
                <w:right w:val="none" w:sz="0" w:space="0" w:color="auto"/>
              </w:divBdr>
              <w:divsChild>
                <w:div w:id="1514108598">
                  <w:marLeft w:val="0"/>
                  <w:marRight w:val="0"/>
                  <w:marTop w:val="0"/>
                  <w:marBottom w:val="0"/>
                  <w:divBdr>
                    <w:top w:val="none" w:sz="0" w:space="0" w:color="auto"/>
                    <w:left w:val="none" w:sz="0" w:space="0" w:color="auto"/>
                    <w:bottom w:val="none" w:sz="0" w:space="0" w:color="auto"/>
                    <w:right w:val="none" w:sz="0" w:space="0" w:color="auto"/>
                  </w:divBdr>
                  <w:divsChild>
                    <w:div w:id="359551184">
                      <w:marLeft w:val="0"/>
                      <w:marRight w:val="0"/>
                      <w:marTop w:val="0"/>
                      <w:marBottom w:val="0"/>
                      <w:divBdr>
                        <w:top w:val="none" w:sz="0" w:space="0" w:color="auto"/>
                        <w:left w:val="none" w:sz="0" w:space="0" w:color="auto"/>
                        <w:bottom w:val="none" w:sz="0" w:space="0" w:color="auto"/>
                        <w:right w:val="none" w:sz="0" w:space="0" w:color="auto"/>
                      </w:divBdr>
                      <w:divsChild>
                        <w:div w:id="2021657208">
                          <w:marLeft w:val="0"/>
                          <w:marRight w:val="0"/>
                          <w:marTop w:val="0"/>
                          <w:marBottom w:val="0"/>
                          <w:divBdr>
                            <w:top w:val="none" w:sz="0" w:space="0" w:color="auto"/>
                            <w:left w:val="none" w:sz="0" w:space="0" w:color="auto"/>
                            <w:bottom w:val="none" w:sz="0" w:space="0" w:color="auto"/>
                            <w:right w:val="none" w:sz="0" w:space="0" w:color="auto"/>
                          </w:divBdr>
                          <w:divsChild>
                            <w:div w:id="120148867">
                              <w:marLeft w:val="0"/>
                              <w:marRight w:val="0"/>
                              <w:marTop w:val="0"/>
                              <w:marBottom w:val="0"/>
                              <w:divBdr>
                                <w:top w:val="none" w:sz="0" w:space="0" w:color="auto"/>
                                <w:left w:val="none" w:sz="0" w:space="0" w:color="auto"/>
                                <w:bottom w:val="none" w:sz="0" w:space="0" w:color="auto"/>
                                <w:right w:val="none" w:sz="0" w:space="0" w:color="auto"/>
                              </w:divBdr>
                              <w:divsChild>
                                <w:div w:id="1626429069">
                                  <w:marLeft w:val="0"/>
                                  <w:marRight w:val="0"/>
                                  <w:marTop w:val="0"/>
                                  <w:marBottom w:val="0"/>
                                  <w:divBdr>
                                    <w:top w:val="none" w:sz="0" w:space="0" w:color="auto"/>
                                    <w:left w:val="none" w:sz="0" w:space="0" w:color="auto"/>
                                    <w:bottom w:val="none" w:sz="0" w:space="0" w:color="auto"/>
                                    <w:right w:val="none" w:sz="0" w:space="0" w:color="auto"/>
                                  </w:divBdr>
                                  <w:divsChild>
                                    <w:div w:id="518006612">
                                      <w:marLeft w:val="0"/>
                                      <w:marRight w:val="0"/>
                                      <w:marTop w:val="0"/>
                                      <w:marBottom w:val="0"/>
                                      <w:divBdr>
                                        <w:top w:val="none" w:sz="0" w:space="0" w:color="auto"/>
                                        <w:left w:val="none" w:sz="0" w:space="0" w:color="auto"/>
                                        <w:bottom w:val="none" w:sz="0" w:space="0" w:color="auto"/>
                                        <w:right w:val="none" w:sz="0" w:space="0" w:color="auto"/>
                                      </w:divBdr>
                                      <w:divsChild>
                                        <w:div w:id="793138016">
                                          <w:marLeft w:val="0"/>
                                          <w:marRight w:val="0"/>
                                          <w:marTop w:val="0"/>
                                          <w:marBottom w:val="634"/>
                                          <w:divBdr>
                                            <w:top w:val="none" w:sz="0" w:space="0" w:color="auto"/>
                                            <w:left w:val="none" w:sz="0" w:space="0" w:color="auto"/>
                                            <w:bottom w:val="none" w:sz="0" w:space="0" w:color="auto"/>
                                            <w:right w:val="none" w:sz="0" w:space="0" w:color="auto"/>
                                          </w:divBdr>
                                          <w:divsChild>
                                            <w:div w:id="15694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818663">
      <w:bodyDiv w:val="1"/>
      <w:marLeft w:val="0"/>
      <w:marRight w:val="0"/>
      <w:marTop w:val="0"/>
      <w:marBottom w:val="0"/>
      <w:divBdr>
        <w:top w:val="none" w:sz="0" w:space="0" w:color="auto"/>
        <w:left w:val="none" w:sz="0" w:space="0" w:color="auto"/>
        <w:bottom w:val="none" w:sz="0" w:space="0" w:color="auto"/>
        <w:right w:val="none" w:sz="0" w:space="0" w:color="auto"/>
      </w:divBdr>
    </w:div>
    <w:div w:id="1595701040">
      <w:bodyDiv w:val="1"/>
      <w:marLeft w:val="0"/>
      <w:marRight w:val="0"/>
      <w:marTop w:val="0"/>
      <w:marBottom w:val="0"/>
      <w:divBdr>
        <w:top w:val="none" w:sz="0" w:space="0" w:color="auto"/>
        <w:left w:val="none" w:sz="0" w:space="0" w:color="auto"/>
        <w:bottom w:val="none" w:sz="0" w:space="0" w:color="auto"/>
        <w:right w:val="none" w:sz="0" w:space="0" w:color="auto"/>
      </w:divBdr>
    </w:div>
    <w:div w:id="1596742362">
      <w:bodyDiv w:val="1"/>
      <w:marLeft w:val="0"/>
      <w:marRight w:val="0"/>
      <w:marTop w:val="0"/>
      <w:marBottom w:val="0"/>
      <w:divBdr>
        <w:top w:val="none" w:sz="0" w:space="0" w:color="auto"/>
        <w:left w:val="none" w:sz="0" w:space="0" w:color="auto"/>
        <w:bottom w:val="none" w:sz="0" w:space="0" w:color="auto"/>
        <w:right w:val="none" w:sz="0" w:space="0" w:color="auto"/>
      </w:divBdr>
    </w:div>
    <w:div w:id="1598829851">
      <w:bodyDiv w:val="1"/>
      <w:marLeft w:val="0"/>
      <w:marRight w:val="0"/>
      <w:marTop w:val="0"/>
      <w:marBottom w:val="0"/>
      <w:divBdr>
        <w:top w:val="none" w:sz="0" w:space="0" w:color="auto"/>
        <w:left w:val="none" w:sz="0" w:space="0" w:color="auto"/>
        <w:bottom w:val="none" w:sz="0" w:space="0" w:color="auto"/>
        <w:right w:val="none" w:sz="0" w:space="0" w:color="auto"/>
      </w:divBdr>
    </w:div>
    <w:div w:id="1625230290">
      <w:bodyDiv w:val="1"/>
      <w:marLeft w:val="0"/>
      <w:marRight w:val="0"/>
      <w:marTop w:val="0"/>
      <w:marBottom w:val="0"/>
      <w:divBdr>
        <w:top w:val="none" w:sz="0" w:space="0" w:color="auto"/>
        <w:left w:val="none" w:sz="0" w:space="0" w:color="auto"/>
        <w:bottom w:val="none" w:sz="0" w:space="0" w:color="auto"/>
        <w:right w:val="none" w:sz="0" w:space="0" w:color="auto"/>
      </w:divBdr>
    </w:div>
    <w:div w:id="1626160731">
      <w:bodyDiv w:val="1"/>
      <w:marLeft w:val="0"/>
      <w:marRight w:val="0"/>
      <w:marTop w:val="0"/>
      <w:marBottom w:val="0"/>
      <w:divBdr>
        <w:top w:val="none" w:sz="0" w:space="0" w:color="auto"/>
        <w:left w:val="none" w:sz="0" w:space="0" w:color="auto"/>
        <w:bottom w:val="none" w:sz="0" w:space="0" w:color="auto"/>
        <w:right w:val="none" w:sz="0" w:space="0" w:color="auto"/>
      </w:divBdr>
    </w:div>
    <w:div w:id="1636839150">
      <w:bodyDiv w:val="1"/>
      <w:marLeft w:val="0"/>
      <w:marRight w:val="0"/>
      <w:marTop w:val="0"/>
      <w:marBottom w:val="0"/>
      <w:divBdr>
        <w:top w:val="none" w:sz="0" w:space="0" w:color="auto"/>
        <w:left w:val="none" w:sz="0" w:space="0" w:color="auto"/>
        <w:bottom w:val="none" w:sz="0" w:space="0" w:color="auto"/>
        <w:right w:val="none" w:sz="0" w:space="0" w:color="auto"/>
      </w:divBdr>
    </w:div>
    <w:div w:id="1652060606">
      <w:bodyDiv w:val="1"/>
      <w:marLeft w:val="0"/>
      <w:marRight w:val="0"/>
      <w:marTop w:val="0"/>
      <w:marBottom w:val="0"/>
      <w:divBdr>
        <w:top w:val="none" w:sz="0" w:space="0" w:color="auto"/>
        <w:left w:val="none" w:sz="0" w:space="0" w:color="auto"/>
        <w:bottom w:val="none" w:sz="0" w:space="0" w:color="auto"/>
        <w:right w:val="none" w:sz="0" w:space="0" w:color="auto"/>
      </w:divBdr>
    </w:div>
    <w:div w:id="1653675398">
      <w:bodyDiv w:val="1"/>
      <w:marLeft w:val="0"/>
      <w:marRight w:val="0"/>
      <w:marTop w:val="0"/>
      <w:marBottom w:val="0"/>
      <w:divBdr>
        <w:top w:val="none" w:sz="0" w:space="0" w:color="auto"/>
        <w:left w:val="none" w:sz="0" w:space="0" w:color="auto"/>
        <w:bottom w:val="none" w:sz="0" w:space="0" w:color="auto"/>
        <w:right w:val="none" w:sz="0" w:space="0" w:color="auto"/>
      </w:divBdr>
    </w:div>
    <w:div w:id="1660962737">
      <w:bodyDiv w:val="1"/>
      <w:marLeft w:val="0"/>
      <w:marRight w:val="0"/>
      <w:marTop w:val="0"/>
      <w:marBottom w:val="0"/>
      <w:divBdr>
        <w:top w:val="none" w:sz="0" w:space="0" w:color="auto"/>
        <w:left w:val="none" w:sz="0" w:space="0" w:color="auto"/>
        <w:bottom w:val="none" w:sz="0" w:space="0" w:color="auto"/>
        <w:right w:val="none" w:sz="0" w:space="0" w:color="auto"/>
      </w:divBdr>
    </w:div>
    <w:div w:id="1670012442">
      <w:bodyDiv w:val="1"/>
      <w:marLeft w:val="0"/>
      <w:marRight w:val="0"/>
      <w:marTop w:val="0"/>
      <w:marBottom w:val="0"/>
      <w:divBdr>
        <w:top w:val="none" w:sz="0" w:space="0" w:color="auto"/>
        <w:left w:val="none" w:sz="0" w:space="0" w:color="auto"/>
        <w:bottom w:val="none" w:sz="0" w:space="0" w:color="auto"/>
        <w:right w:val="none" w:sz="0" w:space="0" w:color="auto"/>
      </w:divBdr>
    </w:div>
    <w:div w:id="1677268727">
      <w:bodyDiv w:val="1"/>
      <w:marLeft w:val="0"/>
      <w:marRight w:val="0"/>
      <w:marTop w:val="0"/>
      <w:marBottom w:val="0"/>
      <w:divBdr>
        <w:top w:val="none" w:sz="0" w:space="0" w:color="auto"/>
        <w:left w:val="none" w:sz="0" w:space="0" w:color="auto"/>
        <w:bottom w:val="none" w:sz="0" w:space="0" w:color="auto"/>
        <w:right w:val="none" w:sz="0" w:space="0" w:color="auto"/>
      </w:divBdr>
    </w:div>
    <w:div w:id="1703742640">
      <w:bodyDiv w:val="1"/>
      <w:marLeft w:val="0"/>
      <w:marRight w:val="0"/>
      <w:marTop w:val="0"/>
      <w:marBottom w:val="0"/>
      <w:divBdr>
        <w:top w:val="none" w:sz="0" w:space="0" w:color="auto"/>
        <w:left w:val="none" w:sz="0" w:space="0" w:color="auto"/>
        <w:bottom w:val="none" w:sz="0" w:space="0" w:color="auto"/>
        <w:right w:val="none" w:sz="0" w:space="0" w:color="auto"/>
      </w:divBdr>
    </w:div>
    <w:div w:id="1706363875">
      <w:bodyDiv w:val="1"/>
      <w:marLeft w:val="0"/>
      <w:marRight w:val="0"/>
      <w:marTop w:val="0"/>
      <w:marBottom w:val="0"/>
      <w:divBdr>
        <w:top w:val="none" w:sz="0" w:space="0" w:color="auto"/>
        <w:left w:val="none" w:sz="0" w:space="0" w:color="auto"/>
        <w:bottom w:val="none" w:sz="0" w:space="0" w:color="auto"/>
        <w:right w:val="none" w:sz="0" w:space="0" w:color="auto"/>
      </w:divBdr>
    </w:div>
    <w:div w:id="1715497987">
      <w:bodyDiv w:val="1"/>
      <w:marLeft w:val="0"/>
      <w:marRight w:val="0"/>
      <w:marTop w:val="0"/>
      <w:marBottom w:val="0"/>
      <w:divBdr>
        <w:top w:val="none" w:sz="0" w:space="0" w:color="auto"/>
        <w:left w:val="none" w:sz="0" w:space="0" w:color="auto"/>
        <w:bottom w:val="none" w:sz="0" w:space="0" w:color="auto"/>
        <w:right w:val="none" w:sz="0" w:space="0" w:color="auto"/>
      </w:divBdr>
    </w:div>
    <w:div w:id="1733381527">
      <w:bodyDiv w:val="1"/>
      <w:marLeft w:val="0"/>
      <w:marRight w:val="0"/>
      <w:marTop w:val="0"/>
      <w:marBottom w:val="0"/>
      <w:divBdr>
        <w:top w:val="none" w:sz="0" w:space="0" w:color="auto"/>
        <w:left w:val="none" w:sz="0" w:space="0" w:color="auto"/>
        <w:bottom w:val="none" w:sz="0" w:space="0" w:color="auto"/>
        <w:right w:val="none" w:sz="0" w:space="0" w:color="auto"/>
      </w:divBdr>
    </w:div>
    <w:div w:id="1734617342">
      <w:bodyDiv w:val="1"/>
      <w:marLeft w:val="0"/>
      <w:marRight w:val="0"/>
      <w:marTop w:val="0"/>
      <w:marBottom w:val="0"/>
      <w:divBdr>
        <w:top w:val="none" w:sz="0" w:space="0" w:color="auto"/>
        <w:left w:val="none" w:sz="0" w:space="0" w:color="auto"/>
        <w:bottom w:val="none" w:sz="0" w:space="0" w:color="auto"/>
        <w:right w:val="none" w:sz="0" w:space="0" w:color="auto"/>
      </w:divBdr>
    </w:div>
    <w:div w:id="1747605699">
      <w:bodyDiv w:val="1"/>
      <w:marLeft w:val="0"/>
      <w:marRight w:val="0"/>
      <w:marTop w:val="0"/>
      <w:marBottom w:val="0"/>
      <w:divBdr>
        <w:top w:val="none" w:sz="0" w:space="0" w:color="auto"/>
        <w:left w:val="none" w:sz="0" w:space="0" w:color="auto"/>
        <w:bottom w:val="none" w:sz="0" w:space="0" w:color="auto"/>
        <w:right w:val="none" w:sz="0" w:space="0" w:color="auto"/>
      </w:divBdr>
    </w:div>
    <w:div w:id="1783113978">
      <w:bodyDiv w:val="1"/>
      <w:marLeft w:val="0"/>
      <w:marRight w:val="0"/>
      <w:marTop w:val="0"/>
      <w:marBottom w:val="0"/>
      <w:divBdr>
        <w:top w:val="none" w:sz="0" w:space="0" w:color="auto"/>
        <w:left w:val="none" w:sz="0" w:space="0" w:color="auto"/>
        <w:bottom w:val="none" w:sz="0" w:space="0" w:color="auto"/>
        <w:right w:val="none" w:sz="0" w:space="0" w:color="auto"/>
      </w:divBdr>
    </w:div>
    <w:div w:id="1786383065">
      <w:bodyDiv w:val="1"/>
      <w:marLeft w:val="0"/>
      <w:marRight w:val="0"/>
      <w:marTop w:val="0"/>
      <w:marBottom w:val="0"/>
      <w:divBdr>
        <w:top w:val="none" w:sz="0" w:space="0" w:color="auto"/>
        <w:left w:val="none" w:sz="0" w:space="0" w:color="auto"/>
        <w:bottom w:val="none" w:sz="0" w:space="0" w:color="auto"/>
        <w:right w:val="none" w:sz="0" w:space="0" w:color="auto"/>
      </w:divBdr>
    </w:div>
    <w:div w:id="1787583627">
      <w:bodyDiv w:val="1"/>
      <w:marLeft w:val="0"/>
      <w:marRight w:val="0"/>
      <w:marTop w:val="0"/>
      <w:marBottom w:val="0"/>
      <w:divBdr>
        <w:top w:val="none" w:sz="0" w:space="0" w:color="auto"/>
        <w:left w:val="none" w:sz="0" w:space="0" w:color="auto"/>
        <w:bottom w:val="none" w:sz="0" w:space="0" w:color="auto"/>
        <w:right w:val="none" w:sz="0" w:space="0" w:color="auto"/>
      </w:divBdr>
    </w:div>
    <w:div w:id="1793594025">
      <w:bodyDiv w:val="1"/>
      <w:marLeft w:val="0"/>
      <w:marRight w:val="0"/>
      <w:marTop w:val="0"/>
      <w:marBottom w:val="0"/>
      <w:divBdr>
        <w:top w:val="none" w:sz="0" w:space="0" w:color="auto"/>
        <w:left w:val="none" w:sz="0" w:space="0" w:color="auto"/>
        <w:bottom w:val="none" w:sz="0" w:space="0" w:color="auto"/>
        <w:right w:val="none" w:sz="0" w:space="0" w:color="auto"/>
      </w:divBdr>
    </w:div>
    <w:div w:id="1816602092">
      <w:bodyDiv w:val="1"/>
      <w:marLeft w:val="0"/>
      <w:marRight w:val="0"/>
      <w:marTop w:val="0"/>
      <w:marBottom w:val="0"/>
      <w:divBdr>
        <w:top w:val="none" w:sz="0" w:space="0" w:color="auto"/>
        <w:left w:val="none" w:sz="0" w:space="0" w:color="auto"/>
        <w:bottom w:val="none" w:sz="0" w:space="0" w:color="auto"/>
        <w:right w:val="none" w:sz="0" w:space="0" w:color="auto"/>
      </w:divBdr>
    </w:div>
    <w:div w:id="1828861010">
      <w:bodyDiv w:val="1"/>
      <w:marLeft w:val="0"/>
      <w:marRight w:val="0"/>
      <w:marTop w:val="0"/>
      <w:marBottom w:val="0"/>
      <w:divBdr>
        <w:top w:val="none" w:sz="0" w:space="0" w:color="auto"/>
        <w:left w:val="none" w:sz="0" w:space="0" w:color="auto"/>
        <w:bottom w:val="none" w:sz="0" w:space="0" w:color="auto"/>
        <w:right w:val="none" w:sz="0" w:space="0" w:color="auto"/>
      </w:divBdr>
    </w:div>
    <w:div w:id="1831096869">
      <w:bodyDiv w:val="1"/>
      <w:marLeft w:val="0"/>
      <w:marRight w:val="0"/>
      <w:marTop w:val="0"/>
      <w:marBottom w:val="0"/>
      <w:divBdr>
        <w:top w:val="none" w:sz="0" w:space="0" w:color="auto"/>
        <w:left w:val="none" w:sz="0" w:space="0" w:color="auto"/>
        <w:bottom w:val="none" w:sz="0" w:space="0" w:color="auto"/>
        <w:right w:val="none" w:sz="0" w:space="0" w:color="auto"/>
      </w:divBdr>
    </w:div>
    <w:div w:id="1831822115">
      <w:bodyDiv w:val="1"/>
      <w:marLeft w:val="0"/>
      <w:marRight w:val="0"/>
      <w:marTop w:val="0"/>
      <w:marBottom w:val="0"/>
      <w:divBdr>
        <w:top w:val="none" w:sz="0" w:space="0" w:color="auto"/>
        <w:left w:val="none" w:sz="0" w:space="0" w:color="auto"/>
        <w:bottom w:val="none" w:sz="0" w:space="0" w:color="auto"/>
        <w:right w:val="none" w:sz="0" w:space="0" w:color="auto"/>
      </w:divBdr>
    </w:div>
    <w:div w:id="1867064354">
      <w:bodyDiv w:val="1"/>
      <w:marLeft w:val="0"/>
      <w:marRight w:val="0"/>
      <w:marTop w:val="0"/>
      <w:marBottom w:val="0"/>
      <w:divBdr>
        <w:top w:val="none" w:sz="0" w:space="0" w:color="auto"/>
        <w:left w:val="none" w:sz="0" w:space="0" w:color="auto"/>
        <w:bottom w:val="none" w:sz="0" w:space="0" w:color="auto"/>
        <w:right w:val="none" w:sz="0" w:space="0" w:color="auto"/>
      </w:divBdr>
    </w:div>
    <w:div w:id="1869638762">
      <w:bodyDiv w:val="1"/>
      <w:marLeft w:val="0"/>
      <w:marRight w:val="0"/>
      <w:marTop w:val="0"/>
      <w:marBottom w:val="0"/>
      <w:divBdr>
        <w:top w:val="none" w:sz="0" w:space="0" w:color="auto"/>
        <w:left w:val="none" w:sz="0" w:space="0" w:color="auto"/>
        <w:bottom w:val="none" w:sz="0" w:space="0" w:color="auto"/>
        <w:right w:val="none" w:sz="0" w:space="0" w:color="auto"/>
      </w:divBdr>
    </w:div>
    <w:div w:id="1875843464">
      <w:bodyDiv w:val="1"/>
      <w:marLeft w:val="0"/>
      <w:marRight w:val="0"/>
      <w:marTop w:val="0"/>
      <w:marBottom w:val="0"/>
      <w:divBdr>
        <w:top w:val="none" w:sz="0" w:space="0" w:color="auto"/>
        <w:left w:val="none" w:sz="0" w:space="0" w:color="auto"/>
        <w:bottom w:val="none" w:sz="0" w:space="0" w:color="auto"/>
        <w:right w:val="none" w:sz="0" w:space="0" w:color="auto"/>
      </w:divBdr>
    </w:div>
    <w:div w:id="1882549089">
      <w:bodyDiv w:val="1"/>
      <w:marLeft w:val="0"/>
      <w:marRight w:val="0"/>
      <w:marTop w:val="0"/>
      <w:marBottom w:val="0"/>
      <w:divBdr>
        <w:top w:val="none" w:sz="0" w:space="0" w:color="auto"/>
        <w:left w:val="none" w:sz="0" w:space="0" w:color="auto"/>
        <w:bottom w:val="none" w:sz="0" w:space="0" w:color="auto"/>
        <w:right w:val="none" w:sz="0" w:space="0" w:color="auto"/>
      </w:divBdr>
    </w:div>
    <w:div w:id="1899124514">
      <w:bodyDiv w:val="1"/>
      <w:marLeft w:val="0"/>
      <w:marRight w:val="0"/>
      <w:marTop w:val="0"/>
      <w:marBottom w:val="0"/>
      <w:divBdr>
        <w:top w:val="none" w:sz="0" w:space="0" w:color="auto"/>
        <w:left w:val="none" w:sz="0" w:space="0" w:color="auto"/>
        <w:bottom w:val="none" w:sz="0" w:space="0" w:color="auto"/>
        <w:right w:val="none" w:sz="0" w:space="0" w:color="auto"/>
      </w:divBdr>
    </w:div>
    <w:div w:id="1908950911">
      <w:bodyDiv w:val="1"/>
      <w:marLeft w:val="0"/>
      <w:marRight w:val="0"/>
      <w:marTop w:val="0"/>
      <w:marBottom w:val="0"/>
      <w:divBdr>
        <w:top w:val="none" w:sz="0" w:space="0" w:color="auto"/>
        <w:left w:val="none" w:sz="0" w:space="0" w:color="auto"/>
        <w:bottom w:val="none" w:sz="0" w:space="0" w:color="auto"/>
        <w:right w:val="none" w:sz="0" w:space="0" w:color="auto"/>
      </w:divBdr>
    </w:div>
    <w:div w:id="1914731042">
      <w:bodyDiv w:val="1"/>
      <w:marLeft w:val="0"/>
      <w:marRight w:val="0"/>
      <w:marTop w:val="0"/>
      <w:marBottom w:val="0"/>
      <w:divBdr>
        <w:top w:val="none" w:sz="0" w:space="0" w:color="auto"/>
        <w:left w:val="none" w:sz="0" w:space="0" w:color="auto"/>
        <w:bottom w:val="none" w:sz="0" w:space="0" w:color="auto"/>
        <w:right w:val="none" w:sz="0" w:space="0" w:color="auto"/>
      </w:divBdr>
    </w:div>
    <w:div w:id="1919173574">
      <w:bodyDiv w:val="1"/>
      <w:marLeft w:val="0"/>
      <w:marRight w:val="0"/>
      <w:marTop w:val="0"/>
      <w:marBottom w:val="0"/>
      <w:divBdr>
        <w:top w:val="none" w:sz="0" w:space="0" w:color="auto"/>
        <w:left w:val="none" w:sz="0" w:space="0" w:color="auto"/>
        <w:bottom w:val="none" w:sz="0" w:space="0" w:color="auto"/>
        <w:right w:val="none" w:sz="0" w:space="0" w:color="auto"/>
      </w:divBdr>
    </w:div>
    <w:div w:id="1925802725">
      <w:bodyDiv w:val="1"/>
      <w:marLeft w:val="0"/>
      <w:marRight w:val="0"/>
      <w:marTop w:val="0"/>
      <w:marBottom w:val="0"/>
      <w:divBdr>
        <w:top w:val="none" w:sz="0" w:space="0" w:color="auto"/>
        <w:left w:val="none" w:sz="0" w:space="0" w:color="auto"/>
        <w:bottom w:val="none" w:sz="0" w:space="0" w:color="auto"/>
        <w:right w:val="none" w:sz="0" w:space="0" w:color="auto"/>
      </w:divBdr>
    </w:div>
    <w:div w:id="1926919169">
      <w:bodyDiv w:val="1"/>
      <w:marLeft w:val="0"/>
      <w:marRight w:val="0"/>
      <w:marTop w:val="0"/>
      <w:marBottom w:val="0"/>
      <w:divBdr>
        <w:top w:val="none" w:sz="0" w:space="0" w:color="auto"/>
        <w:left w:val="none" w:sz="0" w:space="0" w:color="auto"/>
        <w:bottom w:val="none" w:sz="0" w:space="0" w:color="auto"/>
        <w:right w:val="none" w:sz="0" w:space="0" w:color="auto"/>
      </w:divBdr>
    </w:div>
    <w:div w:id="1933776757">
      <w:bodyDiv w:val="1"/>
      <w:marLeft w:val="0"/>
      <w:marRight w:val="0"/>
      <w:marTop w:val="0"/>
      <w:marBottom w:val="0"/>
      <w:divBdr>
        <w:top w:val="none" w:sz="0" w:space="0" w:color="auto"/>
        <w:left w:val="none" w:sz="0" w:space="0" w:color="auto"/>
        <w:bottom w:val="none" w:sz="0" w:space="0" w:color="auto"/>
        <w:right w:val="none" w:sz="0" w:space="0" w:color="auto"/>
      </w:divBdr>
    </w:div>
    <w:div w:id="1935043911">
      <w:bodyDiv w:val="1"/>
      <w:marLeft w:val="0"/>
      <w:marRight w:val="0"/>
      <w:marTop w:val="0"/>
      <w:marBottom w:val="0"/>
      <w:divBdr>
        <w:top w:val="none" w:sz="0" w:space="0" w:color="auto"/>
        <w:left w:val="none" w:sz="0" w:space="0" w:color="auto"/>
        <w:bottom w:val="none" w:sz="0" w:space="0" w:color="auto"/>
        <w:right w:val="none" w:sz="0" w:space="0" w:color="auto"/>
      </w:divBdr>
    </w:div>
    <w:div w:id="1957177581">
      <w:bodyDiv w:val="1"/>
      <w:marLeft w:val="0"/>
      <w:marRight w:val="0"/>
      <w:marTop w:val="0"/>
      <w:marBottom w:val="0"/>
      <w:divBdr>
        <w:top w:val="none" w:sz="0" w:space="0" w:color="auto"/>
        <w:left w:val="none" w:sz="0" w:space="0" w:color="auto"/>
        <w:bottom w:val="none" w:sz="0" w:space="0" w:color="auto"/>
        <w:right w:val="none" w:sz="0" w:space="0" w:color="auto"/>
      </w:divBdr>
    </w:div>
    <w:div w:id="1970549278">
      <w:bodyDiv w:val="1"/>
      <w:marLeft w:val="0"/>
      <w:marRight w:val="0"/>
      <w:marTop w:val="0"/>
      <w:marBottom w:val="0"/>
      <w:divBdr>
        <w:top w:val="none" w:sz="0" w:space="0" w:color="auto"/>
        <w:left w:val="none" w:sz="0" w:space="0" w:color="auto"/>
        <w:bottom w:val="none" w:sz="0" w:space="0" w:color="auto"/>
        <w:right w:val="none" w:sz="0" w:space="0" w:color="auto"/>
      </w:divBdr>
    </w:div>
    <w:div w:id="1992437895">
      <w:bodyDiv w:val="1"/>
      <w:marLeft w:val="0"/>
      <w:marRight w:val="0"/>
      <w:marTop w:val="0"/>
      <w:marBottom w:val="0"/>
      <w:divBdr>
        <w:top w:val="none" w:sz="0" w:space="0" w:color="auto"/>
        <w:left w:val="none" w:sz="0" w:space="0" w:color="auto"/>
        <w:bottom w:val="none" w:sz="0" w:space="0" w:color="auto"/>
        <w:right w:val="none" w:sz="0" w:space="0" w:color="auto"/>
      </w:divBdr>
    </w:div>
    <w:div w:id="2004504835">
      <w:bodyDiv w:val="1"/>
      <w:marLeft w:val="0"/>
      <w:marRight w:val="0"/>
      <w:marTop w:val="0"/>
      <w:marBottom w:val="0"/>
      <w:divBdr>
        <w:top w:val="none" w:sz="0" w:space="0" w:color="auto"/>
        <w:left w:val="none" w:sz="0" w:space="0" w:color="auto"/>
        <w:bottom w:val="none" w:sz="0" w:space="0" w:color="auto"/>
        <w:right w:val="none" w:sz="0" w:space="0" w:color="auto"/>
      </w:divBdr>
    </w:div>
    <w:div w:id="2018728665">
      <w:bodyDiv w:val="1"/>
      <w:marLeft w:val="0"/>
      <w:marRight w:val="0"/>
      <w:marTop w:val="0"/>
      <w:marBottom w:val="0"/>
      <w:divBdr>
        <w:top w:val="none" w:sz="0" w:space="0" w:color="auto"/>
        <w:left w:val="none" w:sz="0" w:space="0" w:color="auto"/>
        <w:bottom w:val="none" w:sz="0" w:space="0" w:color="auto"/>
        <w:right w:val="none" w:sz="0" w:space="0" w:color="auto"/>
      </w:divBdr>
    </w:div>
    <w:div w:id="2022585582">
      <w:bodyDiv w:val="1"/>
      <w:marLeft w:val="0"/>
      <w:marRight w:val="0"/>
      <w:marTop w:val="0"/>
      <w:marBottom w:val="0"/>
      <w:divBdr>
        <w:top w:val="none" w:sz="0" w:space="0" w:color="auto"/>
        <w:left w:val="none" w:sz="0" w:space="0" w:color="auto"/>
        <w:bottom w:val="none" w:sz="0" w:space="0" w:color="auto"/>
        <w:right w:val="none" w:sz="0" w:space="0" w:color="auto"/>
      </w:divBdr>
    </w:div>
    <w:div w:id="2025278256">
      <w:bodyDiv w:val="1"/>
      <w:marLeft w:val="0"/>
      <w:marRight w:val="0"/>
      <w:marTop w:val="0"/>
      <w:marBottom w:val="0"/>
      <w:divBdr>
        <w:top w:val="none" w:sz="0" w:space="0" w:color="auto"/>
        <w:left w:val="none" w:sz="0" w:space="0" w:color="auto"/>
        <w:bottom w:val="none" w:sz="0" w:space="0" w:color="auto"/>
        <w:right w:val="none" w:sz="0" w:space="0" w:color="auto"/>
      </w:divBdr>
    </w:div>
    <w:div w:id="2030793764">
      <w:bodyDiv w:val="1"/>
      <w:marLeft w:val="0"/>
      <w:marRight w:val="0"/>
      <w:marTop w:val="0"/>
      <w:marBottom w:val="0"/>
      <w:divBdr>
        <w:top w:val="none" w:sz="0" w:space="0" w:color="auto"/>
        <w:left w:val="none" w:sz="0" w:space="0" w:color="auto"/>
        <w:bottom w:val="none" w:sz="0" w:space="0" w:color="auto"/>
        <w:right w:val="none" w:sz="0" w:space="0" w:color="auto"/>
      </w:divBdr>
    </w:div>
    <w:div w:id="2033916136">
      <w:bodyDiv w:val="1"/>
      <w:marLeft w:val="0"/>
      <w:marRight w:val="0"/>
      <w:marTop w:val="0"/>
      <w:marBottom w:val="0"/>
      <w:divBdr>
        <w:top w:val="none" w:sz="0" w:space="0" w:color="auto"/>
        <w:left w:val="none" w:sz="0" w:space="0" w:color="auto"/>
        <w:bottom w:val="none" w:sz="0" w:space="0" w:color="auto"/>
        <w:right w:val="none" w:sz="0" w:space="0" w:color="auto"/>
      </w:divBdr>
    </w:div>
    <w:div w:id="2033988970">
      <w:bodyDiv w:val="1"/>
      <w:marLeft w:val="0"/>
      <w:marRight w:val="0"/>
      <w:marTop w:val="0"/>
      <w:marBottom w:val="0"/>
      <w:divBdr>
        <w:top w:val="none" w:sz="0" w:space="0" w:color="auto"/>
        <w:left w:val="none" w:sz="0" w:space="0" w:color="auto"/>
        <w:bottom w:val="none" w:sz="0" w:space="0" w:color="auto"/>
        <w:right w:val="none" w:sz="0" w:space="0" w:color="auto"/>
      </w:divBdr>
    </w:div>
    <w:div w:id="2046757425">
      <w:bodyDiv w:val="1"/>
      <w:marLeft w:val="0"/>
      <w:marRight w:val="0"/>
      <w:marTop w:val="0"/>
      <w:marBottom w:val="0"/>
      <w:divBdr>
        <w:top w:val="none" w:sz="0" w:space="0" w:color="auto"/>
        <w:left w:val="none" w:sz="0" w:space="0" w:color="auto"/>
        <w:bottom w:val="none" w:sz="0" w:space="0" w:color="auto"/>
        <w:right w:val="none" w:sz="0" w:space="0" w:color="auto"/>
      </w:divBdr>
    </w:div>
    <w:div w:id="2049407378">
      <w:bodyDiv w:val="1"/>
      <w:marLeft w:val="0"/>
      <w:marRight w:val="0"/>
      <w:marTop w:val="0"/>
      <w:marBottom w:val="0"/>
      <w:divBdr>
        <w:top w:val="none" w:sz="0" w:space="0" w:color="auto"/>
        <w:left w:val="none" w:sz="0" w:space="0" w:color="auto"/>
        <w:bottom w:val="none" w:sz="0" w:space="0" w:color="auto"/>
        <w:right w:val="none" w:sz="0" w:space="0" w:color="auto"/>
      </w:divBdr>
    </w:div>
    <w:div w:id="2050303851">
      <w:bodyDiv w:val="1"/>
      <w:marLeft w:val="0"/>
      <w:marRight w:val="0"/>
      <w:marTop w:val="0"/>
      <w:marBottom w:val="0"/>
      <w:divBdr>
        <w:top w:val="none" w:sz="0" w:space="0" w:color="auto"/>
        <w:left w:val="none" w:sz="0" w:space="0" w:color="auto"/>
        <w:bottom w:val="none" w:sz="0" w:space="0" w:color="auto"/>
        <w:right w:val="none" w:sz="0" w:space="0" w:color="auto"/>
      </w:divBdr>
    </w:div>
    <w:div w:id="2078429871">
      <w:bodyDiv w:val="1"/>
      <w:marLeft w:val="0"/>
      <w:marRight w:val="0"/>
      <w:marTop w:val="0"/>
      <w:marBottom w:val="0"/>
      <w:divBdr>
        <w:top w:val="none" w:sz="0" w:space="0" w:color="auto"/>
        <w:left w:val="none" w:sz="0" w:space="0" w:color="auto"/>
        <w:bottom w:val="none" w:sz="0" w:space="0" w:color="auto"/>
        <w:right w:val="none" w:sz="0" w:space="0" w:color="auto"/>
      </w:divBdr>
    </w:div>
    <w:div w:id="2083790892">
      <w:bodyDiv w:val="1"/>
      <w:marLeft w:val="0"/>
      <w:marRight w:val="0"/>
      <w:marTop w:val="0"/>
      <w:marBottom w:val="0"/>
      <w:divBdr>
        <w:top w:val="none" w:sz="0" w:space="0" w:color="auto"/>
        <w:left w:val="none" w:sz="0" w:space="0" w:color="auto"/>
        <w:bottom w:val="none" w:sz="0" w:space="0" w:color="auto"/>
        <w:right w:val="none" w:sz="0" w:space="0" w:color="auto"/>
      </w:divBdr>
    </w:div>
    <w:div w:id="2085762920">
      <w:bodyDiv w:val="1"/>
      <w:marLeft w:val="0"/>
      <w:marRight w:val="0"/>
      <w:marTop w:val="0"/>
      <w:marBottom w:val="0"/>
      <w:divBdr>
        <w:top w:val="none" w:sz="0" w:space="0" w:color="auto"/>
        <w:left w:val="none" w:sz="0" w:space="0" w:color="auto"/>
        <w:bottom w:val="none" w:sz="0" w:space="0" w:color="auto"/>
        <w:right w:val="none" w:sz="0" w:space="0" w:color="auto"/>
      </w:divBdr>
    </w:div>
    <w:div w:id="2086954642">
      <w:bodyDiv w:val="1"/>
      <w:marLeft w:val="0"/>
      <w:marRight w:val="0"/>
      <w:marTop w:val="0"/>
      <w:marBottom w:val="0"/>
      <w:divBdr>
        <w:top w:val="none" w:sz="0" w:space="0" w:color="auto"/>
        <w:left w:val="none" w:sz="0" w:space="0" w:color="auto"/>
        <w:bottom w:val="none" w:sz="0" w:space="0" w:color="auto"/>
        <w:right w:val="none" w:sz="0" w:space="0" w:color="auto"/>
      </w:divBdr>
    </w:div>
    <w:div w:id="2088460525">
      <w:bodyDiv w:val="1"/>
      <w:marLeft w:val="0"/>
      <w:marRight w:val="0"/>
      <w:marTop w:val="0"/>
      <w:marBottom w:val="0"/>
      <w:divBdr>
        <w:top w:val="none" w:sz="0" w:space="0" w:color="auto"/>
        <w:left w:val="none" w:sz="0" w:space="0" w:color="auto"/>
        <w:bottom w:val="none" w:sz="0" w:space="0" w:color="auto"/>
        <w:right w:val="none" w:sz="0" w:space="0" w:color="auto"/>
      </w:divBdr>
    </w:div>
    <w:div w:id="2092238399">
      <w:bodyDiv w:val="1"/>
      <w:marLeft w:val="0"/>
      <w:marRight w:val="0"/>
      <w:marTop w:val="0"/>
      <w:marBottom w:val="0"/>
      <w:divBdr>
        <w:top w:val="none" w:sz="0" w:space="0" w:color="auto"/>
        <w:left w:val="none" w:sz="0" w:space="0" w:color="auto"/>
        <w:bottom w:val="none" w:sz="0" w:space="0" w:color="auto"/>
        <w:right w:val="none" w:sz="0" w:space="0" w:color="auto"/>
      </w:divBdr>
    </w:div>
    <w:div w:id="2093812268">
      <w:bodyDiv w:val="1"/>
      <w:marLeft w:val="0"/>
      <w:marRight w:val="0"/>
      <w:marTop w:val="0"/>
      <w:marBottom w:val="0"/>
      <w:divBdr>
        <w:top w:val="none" w:sz="0" w:space="0" w:color="auto"/>
        <w:left w:val="none" w:sz="0" w:space="0" w:color="auto"/>
        <w:bottom w:val="none" w:sz="0" w:space="0" w:color="auto"/>
        <w:right w:val="none" w:sz="0" w:space="0" w:color="auto"/>
      </w:divBdr>
    </w:div>
    <w:div w:id="2095011727">
      <w:bodyDiv w:val="1"/>
      <w:marLeft w:val="0"/>
      <w:marRight w:val="0"/>
      <w:marTop w:val="0"/>
      <w:marBottom w:val="0"/>
      <w:divBdr>
        <w:top w:val="none" w:sz="0" w:space="0" w:color="auto"/>
        <w:left w:val="none" w:sz="0" w:space="0" w:color="auto"/>
        <w:bottom w:val="none" w:sz="0" w:space="0" w:color="auto"/>
        <w:right w:val="none" w:sz="0" w:space="0" w:color="auto"/>
      </w:divBdr>
    </w:div>
    <w:div w:id="2099134648">
      <w:bodyDiv w:val="1"/>
      <w:marLeft w:val="0"/>
      <w:marRight w:val="0"/>
      <w:marTop w:val="0"/>
      <w:marBottom w:val="0"/>
      <w:divBdr>
        <w:top w:val="none" w:sz="0" w:space="0" w:color="auto"/>
        <w:left w:val="none" w:sz="0" w:space="0" w:color="auto"/>
        <w:bottom w:val="none" w:sz="0" w:space="0" w:color="auto"/>
        <w:right w:val="none" w:sz="0" w:space="0" w:color="auto"/>
      </w:divBdr>
    </w:div>
    <w:div w:id="2100101809">
      <w:bodyDiv w:val="1"/>
      <w:marLeft w:val="0"/>
      <w:marRight w:val="0"/>
      <w:marTop w:val="0"/>
      <w:marBottom w:val="0"/>
      <w:divBdr>
        <w:top w:val="none" w:sz="0" w:space="0" w:color="auto"/>
        <w:left w:val="none" w:sz="0" w:space="0" w:color="auto"/>
        <w:bottom w:val="none" w:sz="0" w:space="0" w:color="auto"/>
        <w:right w:val="none" w:sz="0" w:space="0" w:color="auto"/>
      </w:divBdr>
    </w:div>
    <w:div w:id="2131246101">
      <w:bodyDiv w:val="1"/>
      <w:marLeft w:val="0"/>
      <w:marRight w:val="0"/>
      <w:marTop w:val="0"/>
      <w:marBottom w:val="0"/>
      <w:divBdr>
        <w:top w:val="none" w:sz="0" w:space="0" w:color="auto"/>
        <w:left w:val="none" w:sz="0" w:space="0" w:color="auto"/>
        <w:bottom w:val="none" w:sz="0" w:space="0" w:color="auto"/>
        <w:right w:val="none" w:sz="0" w:space="0" w:color="auto"/>
      </w:divBdr>
    </w:div>
    <w:div w:id="2135563919">
      <w:bodyDiv w:val="1"/>
      <w:marLeft w:val="0"/>
      <w:marRight w:val="0"/>
      <w:marTop w:val="0"/>
      <w:marBottom w:val="0"/>
      <w:divBdr>
        <w:top w:val="none" w:sz="0" w:space="0" w:color="auto"/>
        <w:left w:val="none" w:sz="0" w:space="0" w:color="auto"/>
        <w:bottom w:val="none" w:sz="0" w:space="0" w:color="auto"/>
        <w:right w:val="none" w:sz="0" w:space="0" w:color="auto"/>
      </w:divBdr>
    </w:div>
    <w:div w:id="2137286969">
      <w:bodyDiv w:val="1"/>
      <w:marLeft w:val="0"/>
      <w:marRight w:val="0"/>
      <w:marTop w:val="0"/>
      <w:marBottom w:val="0"/>
      <w:divBdr>
        <w:top w:val="none" w:sz="0" w:space="0" w:color="auto"/>
        <w:left w:val="none" w:sz="0" w:space="0" w:color="auto"/>
        <w:bottom w:val="none" w:sz="0" w:space="0" w:color="auto"/>
        <w:right w:val="none" w:sz="0" w:space="0" w:color="auto"/>
      </w:divBdr>
    </w:div>
    <w:div w:id="21427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tochkamp.com/" TargetMode="External"/><Relationship Id="rId39" Type="http://schemas.openxmlformats.org/officeDocument/2006/relationships/hyperlink" Target="https://best-edu.ru/ratings/national/reyting-monitoringa-effektivnosti-vuzov" TargetMode="External"/><Relationship Id="rId21" Type="http://schemas.openxmlformats.org/officeDocument/2006/relationships/header" Target="header6.xml"/><Relationship Id="rId34" Type="http://schemas.openxmlformats.org/officeDocument/2006/relationships/header" Target="header8.xml"/><Relationship Id="rId42" Type="http://schemas.openxmlformats.org/officeDocument/2006/relationships/hyperlink" Target="https://raex-rr.com/files/analytics/UESG2025_Analytica_Web.pdf" TargetMode="External"/><Relationship Id="rId47" Type="http://schemas.openxmlformats.org/officeDocument/2006/relationships/hyperlink" Target="https://orcid.org/0009-0000-8494-9691" TargetMode="External"/><Relationship Id="rId50" Type="http://schemas.openxmlformats.org/officeDocument/2006/relationships/header" Target="header9.xml"/><Relationship Id="rId55" Type="http://schemas.openxmlformats.org/officeDocument/2006/relationships/hyperlink" Target="https://chat.deepseek.com"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hyperlink" Target="https://cyberleninka.ru/journal/n/ekonomicheskaya-bezopasnost-i-kachestvo" TargetMode="External"/><Relationship Id="rId29" Type="http://schemas.openxmlformats.org/officeDocument/2006/relationships/hyperlink" Target="https://www.markswebb.ru/report/business-internet-banking-rank-2024/?utm_source" TargetMode="External"/><Relationship Id="rId41" Type="http://schemas.openxmlformats.org/officeDocument/2006/relationships/hyperlink" Target="https://best-edu.ru/ratings/national/reyting-monitoringa-effektivnosti-vuzov" TargetMode="External"/><Relationship Id="rId54" Type="http://schemas.openxmlformats.org/officeDocument/2006/relationships/hyperlink" Target="https://chat.deepseek.com" TargetMode="External"/><Relationship Id="rId62" Type="http://schemas.openxmlformats.org/officeDocument/2006/relationships/footer" Target="footer8.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image" Target="media/image1.jpg"/><Relationship Id="rId37" Type="http://schemas.openxmlformats.org/officeDocument/2006/relationships/hyperlink" Target="https://cyberleninka.ru/article/n/osobennosti-formirovaniya-obrazovatelnyh-traektoriy-rossiyskih-studentov-otsenka-i-vozmozhnosti/viewer" TargetMode="External"/><Relationship Id="rId40" Type="http://schemas.openxmlformats.org/officeDocument/2006/relationships/hyperlink" Target="https://raex-rr.com/files/analytics/UESG2025_Analytica_Web.pdf" TargetMode="External"/><Relationship Id="rId45" Type="http://schemas.openxmlformats.org/officeDocument/2006/relationships/hyperlink" Target="mailto:svetatunz@gmail.com" TargetMode="Externa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hart" Target="charts/chart1.xml"/><Relationship Id="rId28" Type="http://schemas.openxmlformats.org/officeDocument/2006/relationships/hyperlink" Target="https://frankrg.com/research/nebankovskie-servisy-dlya-malogo-biznesa-2024?ysclid=mam7sx9b1e8431709" TargetMode="External"/><Relationship Id="rId36" Type="http://schemas.openxmlformats.org/officeDocument/2006/relationships/image" Target="media/image2.jpeg"/><Relationship Id="rId49" Type="http://schemas.openxmlformats.org/officeDocument/2006/relationships/hyperlink" Target="https://orcid.org/0000-0003-4857-4727" TargetMode="External"/><Relationship Id="rId57" Type="http://schemas.openxmlformats.org/officeDocument/2006/relationships/hyperlink" Target="https://orcid.org/0000-0002-%207507-3613" TargetMode="External"/><Relationship Id="rId61"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orcid.org/0000-0001-9691-1121" TargetMode="External"/><Relationship Id="rId44" Type="http://schemas.openxmlformats.org/officeDocument/2006/relationships/hyperlink" Target="mailto:lora_tretyakova@mail.ru" TargetMode="External"/><Relationship Id="rId52" Type="http://schemas.openxmlformats.org/officeDocument/2006/relationships/header" Target="header10.xml"/><Relationship Id="rId60" Type="http://schemas.openxmlformats.org/officeDocument/2006/relationships/header" Target="head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yperlink" Target="https://icss.ru/images/macro/20240205_%D0%98%D0%9A%D0%A1%D0%98%20%D0%9C%D0%A1%D0%9F%20(6).pdf" TargetMode="External"/><Relationship Id="rId30" Type="http://schemas.openxmlformats.org/officeDocument/2006/relationships/hyperlink" Target="https://orcid.org/0000-0002-6517-7590" TargetMode="External"/><Relationship Id="rId35" Type="http://schemas.openxmlformats.org/officeDocument/2006/relationships/chart" Target="charts/chart4.xml"/><Relationship Id="rId43" Type="http://schemas.openxmlformats.org/officeDocument/2006/relationships/hyperlink" Target="https://orcid.org/0009-0005-5301-9439" TargetMode="External"/><Relationship Id="rId48" Type="http://schemas.openxmlformats.org/officeDocument/2006/relationships/hyperlink" Target="https://orcid.org/0000-0002-0030-4341" TargetMode="External"/><Relationship Id="rId56" Type="http://schemas.openxmlformats.org/officeDocument/2006/relationships/hyperlink" Target="mailto:yakovlev.ivan.g@gmail.co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png"/><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chart" Target="charts/chart3.xml"/><Relationship Id="rId33" Type="http://schemas.openxmlformats.org/officeDocument/2006/relationships/hyperlink" Target="https://orcid.org/0009-0006-3146-9794" TargetMode="External"/><Relationship Id="rId38" Type="http://schemas.openxmlformats.org/officeDocument/2006/relationships/hyperlink" Target="https://raex-rr.com/files/methods/RAEX_ESG-rating_university_2025.pdf" TargetMode="External"/><Relationship Id="rId46" Type="http://schemas.openxmlformats.org/officeDocument/2006/relationships/hyperlink" Target="mailto:mrs.tretyakova.m@yandex.ru" TargetMode="External"/><Relationship Id="rId59" Type="http://schemas.openxmlformats.org/officeDocument/2006/relationships/header" Target="header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Лист1!$B$1</c:f>
              <c:strCache>
                <c:ptCount val="1"/>
                <c:pt idx="0">
                  <c:v>Доля малых предприятий (%)</c:v>
                </c:pt>
              </c:strCache>
            </c:strRef>
          </c:tx>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Оптовая и розничная торговля</c:v>
                </c:pt>
                <c:pt idx="1">
                  <c:v>Обрабатывающие производства</c:v>
                </c:pt>
                <c:pt idx="2">
                  <c:v>Строительство</c:v>
                </c:pt>
                <c:pt idx="3">
                  <c:v>Транспортировка и хранение</c:v>
                </c:pt>
                <c:pt idx="4">
                  <c:v>Операции с недвижимым имуществом</c:v>
                </c:pt>
                <c:pt idx="5">
                  <c:v>Прочие</c:v>
                </c:pt>
              </c:strCache>
            </c:strRef>
          </c:cat>
          <c:val>
            <c:numRef>
              <c:f>Лист1!$B$2:$B$7</c:f>
              <c:numCache>
                <c:formatCode>General</c:formatCode>
                <c:ptCount val="6"/>
                <c:pt idx="0">
                  <c:v>38.200000000000003</c:v>
                </c:pt>
                <c:pt idx="1">
                  <c:v>28.1</c:v>
                </c:pt>
                <c:pt idx="2">
                  <c:v>5.9</c:v>
                </c:pt>
                <c:pt idx="3">
                  <c:v>7.8</c:v>
                </c:pt>
                <c:pt idx="4">
                  <c:v>4.7</c:v>
                </c:pt>
                <c:pt idx="5">
                  <c:v>15.3</c:v>
                </c:pt>
              </c:numCache>
            </c:numRef>
          </c:val>
          <c:extLst>
            <c:ext xmlns:c16="http://schemas.microsoft.com/office/drawing/2014/chart" uri="{C3380CC4-5D6E-409C-BE32-E72D297353CC}">
              <c16:uniqueId val="{00000000-9A0A-44C1-A355-4324BF7E6728}"/>
            </c:ext>
          </c:extLst>
        </c:ser>
        <c:dLbls>
          <c:showLegendKey val="0"/>
          <c:showVal val="0"/>
          <c:showCatName val="0"/>
          <c:showSerName val="0"/>
          <c:showPercent val="0"/>
          <c:showBubbleSize val="0"/>
          <c:showLeaderLines val="1"/>
        </c:dLbls>
        <c:firstSliceAng val="0"/>
      </c:pieChart>
    </c:plotArea>
    <c:legend>
      <c:legendPos val="b"/>
      <c:layout>
        <c:manualLayout>
          <c:xMode val="edge"/>
          <c:yMode val="edge"/>
          <c:x val="1.3977836103820349E-2"/>
          <c:y val="0.78124859392575929"/>
          <c:w val="0.98602216389617958"/>
          <c:h val="0.1949418822647169"/>
        </c:manualLayout>
      </c:layout>
      <c:overlay val="0"/>
      <c:txPr>
        <a:bodyPr rot="0" vert="horz"/>
        <a:lstStyle/>
        <a:p>
          <a:pPr>
            <a:defRPr>
              <a:latin typeface="Times New Roman" pitchFamily="18" charset="0"/>
              <a:cs typeface="Times New Roman" pitchFamily="18" charset="0"/>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Кол-во банков</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Открытие и ведение счетов</c:v>
                </c:pt>
                <c:pt idx="1">
                  <c:v>Онлайн-сервисы</c:v>
                </c:pt>
                <c:pt idx="2">
                  <c:v>Прием платежей</c:v>
                </c:pt>
                <c:pt idx="3">
                  <c:v>Зарплатный проект</c:v>
                </c:pt>
                <c:pt idx="4">
                  <c:v>Регистрация бизнеса</c:v>
                </c:pt>
                <c:pt idx="5">
                  <c:v>Бухгалтерия</c:v>
                </c:pt>
                <c:pt idx="6">
                  <c:v>Маркетплейсы</c:v>
                </c:pt>
              </c:strCache>
            </c:strRef>
          </c:cat>
          <c:val>
            <c:numRef>
              <c:f>Лист1!$B$2:$B$8</c:f>
              <c:numCache>
                <c:formatCode>General</c:formatCode>
                <c:ptCount val="7"/>
                <c:pt idx="0">
                  <c:v>11</c:v>
                </c:pt>
                <c:pt idx="1">
                  <c:v>10</c:v>
                </c:pt>
                <c:pt idx="2">
                  <c:v>10</c:v>
                </c:pt>
                <c:pt idx="3">
                  <c:v>9</c:v>
                </c:pt>
                <c:pt idx="4">
                  <c:v>7</c:v>
                </c:pt>
                <c:pt idx="5">
                  <c:v>4</c:v>
                </c:pt>
                <c:pt idx="6">
                  <c:v>2</c:v>
                </c:pt>
              </c:numCache>
            </c:numRef>
          </c:val>
          <c:extLst>
            <c:ext xmlns:c16="http://schemas.microsoft.com/office/drawing/2014/chart" uri="{C3380CC4-5D6E-409C-BE32-E72D297353CC}">
              <c16:uniqueId val="{00000000-2170-4B23-98D3-60E08EE698F4}"/>
            </c:ext>
          </c:extLst>
        </c:ser>
        <c:dLbls>
          <c:showLegendKey val="0"/>
          <c:showVal val="1"/>
          <c:showCatName val="0"/>
          <c:showSerName val="0"/>
          <c:showPercent val="0"/>
          <c:showBubbleSize val="0"/>
        </c:dLbls>
        <c:gapWidth val="219"/>
        <c:axId val="214354432"/>
        <c:axId val="271241152"/>
      </c:barChart>
      <c:catAx>
        <c:axId val="214354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71241152"/>
        <c:crosses val="autoZero"/>
        <c:auto val="1"/>
        <c:lblAlgn val="ctr"/>
        <c:lblOffset val="100"/>
        <c:noMultiLvlLbl val="0"/>
      </c:catAx>
      <c:valAx>
        <c:axId val="271241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1435443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ru-RU">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Кол-во банков</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Кафе и рестораны</c:v>
                </c:pt>
                <c:pt idx="1">
                  <c:v>Розничный бизнес</c:v>
                </c:pt>
                <c:pt idx="2">
                  <c:v>Онлайн-продажи</c:v>
                </c:pt>
                <c:pt idx="3">
                  <c:v>Сфера услуг</c:v>
                </c:pt>
                <c:pt idx="4">
                  <c:v>Оптовая торговля</c:v>
                </c:pt>
                <c:pt idx="5">
                  <c:v>Строительство</c:v>
                </c:pt>
                <c:pt idx="6">
                  <c:v>Агробизнес и фермерство</c:v>
                </c:pt>
                <c:pt idx="7">
                  <c:v>Производство</c:v>
                </c:pt>
                <c:pt idx="8">
                  <c:v>Цветочный бизнес</c:v>
                </c:pt>
                <c:pt idx="9">
                  <c:v>IT, нотариусы, франшизы и др.</c:v>
                </c:pt>
                <c:pt idx="10">
                  <c:v>ЖКХ, транспорт, франшизы</c:v>
                </c:pt>
              </c:strCache>
            </c:strRef>
          </c:cat>
          <c:val>
            <c:numRef>
              <c:f>Лист1!$B$2:$B$12</c:f>
              <c:numCache>
                <c:formatCode>General</c:formatCode>
                <c:ptCount val="11"/>
                <c:pt idx="0">
                  <c:v>4</c:v>
                </c:pt>
                <c:pt idx="1">
                  <c:v>4</c:v>
                </c:pt>
                <c:pt idx="2">
                  <c:v>3</c:v>
                </c:pt>
                <c:pt idx="3">
                  <c:v>2</c:v>
                </c:pt>
                <c:pt idx="4">
                  <c:v>2</c:v>
                </c:pt>
                <c:pt idx="5">
                  <c:v>2</c:v>
                </c:pt>
                <c:pt idx="6">
                  <c:v>1</c:v>
                </c:pt>
                <c:pt idx="7">
                  <c:v>1</c:v>
                </c:pt>
                <c:pt idx="8">
                  <c:v>1</c:v>
                </c:pt>
                <c:pt idx="9">
                  <c:v>1</c:v>
                </c:pt>
                <c:pt idx="10">
                  <c:v>1</c:v>
                </c:pt>
              </c:numCache>
            </c:numRef>
          </c:val>
          <c:extLst>
            <c:ext xmlns:c16="http://schemas.microsoft.com/office/drawing/2014/chart" uri="{C3380CC4-5D6E-409C-BE32-E72D297353CC}">
              <c16:uniqueId val="{00000000-E5A0-4517-A2B2-4BA8C4BB68D6}"/>
            </c:ext>
          </c:extLst>
        </c:ser>
        <c:dLbls>
          <c:showLegendKey val="0"/>
          <c:showVal val="1"/>
          <c:showCatName val="0"/>
          <c:showSerName val="0"/>
          <c:showPercent val="0"/>
          <c:showBubbleSize val="0"/>
        </c:dLbls>
        <c:gapWidth val="219"/>
        <c:axId val="261095936"/>
        <c:axId val="271917632"/>
      </c:barChart>
      <c:catAx>
        <c:axId val="261095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1917632"/>
        <c:crosses val="autoZero"/>
        <c:auto val="1"/>
        <c:lblAlgn val="ctr"/>
        <c:lblOffset val="100"/>
        <c:noMultiLvlLbl val="0"/>
      </c:catAx>
      <c:valAx>
        <c:axId val="271917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109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НИЯУ МИФИ</c:v>
                </c:pt>
              </c:strCache>
            </c:strRef>
          </c:tx>
          <c:spPr>
            <a:solidFill>
              <a:schemeClr val="accent1">
                <a:alpha val="85000"/>
              </a:schemeClr>
            </a:solidFill>
            <a:ln w="9525" cap="flat" cmpd="sng" algn="ctr">
              <a:solidFill>
                <a:schemeClr val="lt1">
                  <a:alpha val="50000"/>
                </a:schemeClr>
              </a:solidFill>
              <a:round/>
            </a:ln>
            <a:effectLst/>
          </c:spPr>
          <c:invertIfNegative val="0"/>
          <c:cat>
            <c:strRef>
              <c:f>Лист1!$A$2:$A$5</c:f>
              <c:strCache>
                <c:ptCount val="4"/>
                <c:pt idx="0">
                  <c:v>Национальный рейтинг университетов за 2025 год</c:v>
                </c:pt>
                <c:pt idx="1">
                  <c:v>Рейтинг RAEX</c:v>
                </c:pt>
                <c:pt idx="2">
                  <c:v>Рейтинг вузов по данным мониторинга эффективности</c:v>
                </c:pt>
                <c:pt idx="3">
                  <c:v>Национальный рейтинг по трудоустройству выпускников образовательных организаций высшего образования</c:v>
                </c:pt>
              </c:strCache>
            </c:strRef>
          </c:cat>
          <c:val>
            <c:numRef>
              <c:f>Лист1!$B$2:$B$5</c:f>
              <c:numCache>
                <c:formatCode>General</c:formatCode>
                <c:ptCount val="4"/>
                <c:pt idx="0">
                  <c:v>2</c:v>
                </c:pt>
                <c:pt idx="1">
                  <c:v>5</c:v>
                </c:pt>
                <c:pt idx="2">
                  <c:v>1</c:v>
                </c:pt>
                <c:pt idx="3">
                  <c:v>2</c:v>
                </c:pt>
              </c:numCache>
            </c:numRef>
          </c:val>
          <c:extLst>
            <c:ext xmlns:c16="http://schemas.microsoft.com/office/drawing/2014/chart" uri="{C3380CC4-5D6E-409C-BE32-E72D297353CC}">
              <c16:uniqueId val="{00000000-C0F0-4DBC-8B41-52633F9DF50D}"/>
            </c:ext>
          </c:extLst>
        </c:ser>
        <c:ser>
          <c:idx val="1"/>
          <c:order val="1"/>
          <c:tx>
            <c:strRef>
              <c:f>Лист1!$C$1</c:f>
              <c:strCache>
                <c:ptCount val="1"/>
                <c:pt idx="0">
                  <c:v>МФТИ</c:v>
                </c:pt>
              </c:strCache>
            </c:strRef>
          </c:tx>
          <c:spPr>
            <a:solidFill>
              <a:schemeClr val="accent2">
                <a:alpha val="85000"/>
              </a:schemeClr>
            </a:solidFill>
            <a:ln w="9525" cap="flat" cmpd="sng" algn="ctr">
              <a:solidFill>
                <a:schemeClr val="lt1">
                  <a:alpha val="50000"/>
                </a:schemeClr>
              </a:solidFill>
              <a:round/>
            </a:ln>
            <a:effectLst/>
          </c:spPr>
          <c:invertIfNegative val="0"/>
          <c:cat>
            <c:strRef>
              <c:f>Лист1!$A$2:$A$5</c:f>
              <c:strCache>
                <c:ptCount val="4"/>
                <c:pt idx="0">
                  <c:v>Национальный рейтинг университетов за 2025 год</c:v>
                </c:pt>
                <c:pt idx="1">
                  <c:v>Рейтинг RAEX</c:v>
                </c:pt>
                <c:pt idx="2">
                  <c:v>Рейтинг вузов по данным мониторинга эффективности</c:v>
                </c:pt>
                <c:pt idx="3">
                  <c:v>Национальный рейтинг по трудоустройству выпускников образовательных организаций высшего образования</c:v>
                </c:pt>
              </c:strCache>
            </c:strRef>
          </c:cat>
          <c:val>
            <c:numRef>
              <c:f>Лист1!$C$2:$C$5</c:f>
              <c:numCache>
                <c:formatCode>General</c:formatCode>
                <c:ptCount val="4"/>
                <c:pt idx="0">
                  <c:v>3</c:v>
                </c:pt>
                <c:pt idx="1">
                  <c:v>3</c:v>
                </c:pt>
                <c:pt idx="2">
                  <c:v>1</c:v>
                </c:pt>
                <c:pt idx="3">
                  <c:v>9</c:v>
                </c:pt>
              </c:numCache>
            </c:numRef>
          </c:val>
          <c:extLst>
            <c:ext xmlns:c16="http://schemas.microsoft.com/office/drawing/2014/chart" uri="{C3380CC4-5D6E-409C-BE32-E72D297353CC}">
              <c16:uniqueId val="{00000001-C0F0-4DBC-8B41-52633F9DF50D}"/>
            </c:ext>
          </c:extLst>
        </c:ser>
        <c:ser>
          <c:idx val="2"/>
          <c:order val="2"/>
          <c:tx>
            <c:strRef>
              <c:f>Лист1!$D$1</c:f>
              <c:strCache>
                <c:ptCount val="1"/>
                <c:pt idx="0">
                  <c:v>НИУ ВШЭ</c:v>
                </c:pt>
              </c:strCache>
            </c:strRef>
          </c:tx>
          <c:spPr>
            <a:solidFill>
              <a:schemeClr val="accent3">
                <a:alpha val="85000"/>
              </a:schemeClr>
            </a:solidFill>
            <a:ln w="9525" cap="flat" cmpd="sng" algn="ctr">
              <a:solidFill>
                <a:schemeClr val="lt1">
                  <a:alpha val="50000"/>
                </a:schemeClr>
              </a:solidFill>
              <a:round/>
            </a:ln>
            <a:effectLst/>
          </c:spPr>
          <c:invertIfNegative val="0"/>
          <c:cat>
            <c:strRef>
              <c:f>Лист1!$A$2:$A$5</c:f>
              <c:strCache>
                <c:ptCount val="4"/>
                <c:pt idx="0">
                  <c:v>Национальный рейтинг университетов за 2025 год</c:v>
                </c:pt>
                <c:pt idx="1">
                  <c:v>Рейтинг RAEX</c:v>
                </c:pt>
                <c:pt idx="2">
                  <c:v>Рейтинг вузов по данным мониторинга эффективности</c:v>
                </c:pt>
                <c:pt idx="3">
                  <c:v>Национальный рейтинг по трудоустройству выпускников образовательных организаций высшего образования</c:v>
                </c:pt>
              </c:strCache>
            </c:strRef>
          </c:cat>
          <c:val>
            <c:numRef>
              <c:f>Лист1!$D$2:$D$5</c:f>
              <c:numCache>
                <c:formatCode>General</c:formatCode>
                <c:ptCount val="4"/>
                <c:pt idx="0">
                  <c:v>4</c:v>
                </c:pt>
                <c:pt idx="1">
                  <c:v>6</c:v>
                </c:pt>
                <c:pt idx="2">
                  <c:v>3</c:v>
                </c:pt>
                <c:pt idx="3">
                  <c:v>3</c:v>
                </c:pt>
              </c:numCache>
            </c:numRef>
          </c:val>
          <c:extLst>
            <c:ext xmlns:c16="http://schemas.microsoft.com/office/drawing/2014/chart" uri="{C3380CC4-5D6E-409C-BE32-E72D297353CC}">
              <c16:uniqueId val="{00000002-C0F0-4DBC-8B41-52633F9DF50D}"/>
            </c:ext>
          </c:extLst>
        </c:ser>
        <c:ser>
          <c:idx val="3"/>
          <c:order val="3"/>
          <c:tx>
            <c:strRef>
              <c:f>Лист1!$E$1</c:f>
              <c:strCache>
                <c:ptCount val="1"/>
                <c:pt idx="0">
                  <c:v>НГУ</c:v>
                </c:pt>
              </c:strCache>
            </c:strRef>
          </c:tx>
          <c:spPr>
            <a:solidFill>
              <a:schemeClr val="accent4">
                <a:alpha val="85000"/>
              </a:schemeClr>
            </a:solidFill>
            <a:ln w="9525" cap="flat" cmpd="sng" algn="ctr">
              <a:solidFill>
                <a:schemeClr val="lt1">
                  <a:alpha val="50000"/>
                </a:schemeClr>
              </a:solidFill>
              <a:round/>
            </a:ln>
            <a:effectLst/>
          </c:spPr>
          <c:invertIfNegative val="0"/>
          <c:cat>
            <c:strRef>
              <c:f>Лист1!$A$2:$A$5</c:f>
              <c:strCache>
                <c:ptCount val="4"/>
                <c:pt idx="0">
                  <c:v>Национальный рейтинг университетов за 2025 год</c:v>
                </c:pt>
                <c:pt idx="1">
                  <c:v>Рейтинг RAEX</c:v>
                </c:pt>
                <c:pt idx="2">
                  <c:v>Рейтинг вузов по данным мониторинга эффективности</c:v>
                </c:pt>
                <c:pt idx="3">
                  <c:v>Национальный рейтинг по трудоустройству выпускников образовательных организаций высшего образования</c:v>
                </c:pt>
              </c:strCache>
            </c:strRef>
          </c:cat>
          <c:val>
            <c:numRef>
              <c:f>Лист1!$E$2:$E$5</c:f>
              <c:numCache>
                <c:formatCode>General</c:formatCode>
                <c:ptCount val="4"/>
                <c:pt idx="0">
                  <c:v>5</c:v>
                </c:pt>
                <c:pt idx="1">
                  <c:v>14</c:v>
                </c:pt>
                <c:pt idx="2">
                  <c:v>2</c:v>
                </c:pt>
                <c:pt idx="3">
                  <c:v>8</c:v>
                </c:pt>
              </c:numCache>
            </c:numRef>
          </c:val>
          <c:extLst>
            <c:ext xmlns:c16="http://schemas.microsoft.com/office/drawing/2014/chart" uri="{C3380CC4-5D6E-409C-BE32-E72D297353CC}">
              <c16:uniqueId val="{00000003-C0F0-4DBC-8B41-52633F9DF50D}"/>
            </c:ext>
          </c:extLst>
        </c:ser>
        <c:ser>
          <c:idx val="4"/>
          <c:order val="4"/>
          <c:tx>
            <c:strRef>
              <c:f>Лист1!$F$1</c:f>
              <c:strCache>
                <c:ptCount val="1"/>
                <c:pt idx="0">
                  <c:v>ТГУ</c:v>
                </c:pt>
              </c:strCache>
            </c:strRef>
          </c:tx>
          <c:spPr>
            <a:solidFill>
              <a:schemeClr val="accent5">
                <a:alpha val="85000"/>
              </a:schemeClr>
            </a:solidFill>
            <a:ln w="9525" cap="flat" cmpd="sng" algn="ctr">
              <a:solidFill>
                <a:schemeClr val="lt1">
                  <a:alpha val="50000"/>
                </a:schemeClr>
              </a:solidFill>
              <a:round/>
            </a:ln>
            <a:effectLst/>
          </c:spPr>
          <c:invertIfNegative val="0"/>
          <c:cat>
            <c:strRef>
              <c:f>Лист1!$A$2:$A$5</c:f>
              <c:strCache>
                <c:ptCount val="4"/>
                <c:pt idx="0">
                  <c:v>Национальный рейтинг университетов за 2025 год</c:v>
                </c:pt>
                <c:pt idx="1">
                  <c:v>Рейтинг RAEX</c:v>
                </c:pt>
                <c:pt idx="2">
                  <c:v>Рейтинг вузов по данным мониторинга эффективности</c:v>
                </c:pt>
                <c:pt idx="3">
                  <c:v>Национальный рейтинг по трудоустройству выпускников образовательных организаций высшего образования</c:v>
                </c:pt>
              </c:strCache>
            </c:strRef>
          </c:cat>
          <c:val>
            <c:numRef>
              <c:f>Лист1!$F$2:$F$5</c:f>
              <c:numCache>
                <c:formatCode>General</c:formatCode>
                <c:ptCount val="4"/>
                <c:pt idx="0">
                  <c:v>6</c:v>
                </c:pt>
                <c:pt idx="1">
                  <c:v>19</c:v>
                </c:pt>
                <c:pt idx="2">
                  <c:v>1</c:v>
                </c:pt>
                <c:pt idx="3">
                  <c:v>37</c:v>
                </c:pt>
              </c:numCache>
            </c:numRef>
          </c:val>
          <c:extLst>
            <c:ext xmlns:c16="http://schemas.microsoft.com/office/drawing/2014/chart" uri="{C3380CC4-5D6E-409C-BE32-E72D297353CC}">
              <c16:uniqueId val="{00000004-C0F0-4DBC-8B41-52633F9DF50D}"/>
            </c:ext>
          </c:extLst>
        </c:ser>
        <c:ser>
          <c:idx val="5"/>
          <c:order val="5"/>
          <c:tx>
            <c:strRef>
              <c:f>Лист1!$G$1</c:f>
              <c:strCache>
                <c:ptCount val="1"/>
                <c:pt idx="0">
                  <c:v>КФУ</c:v>
                </c:pt>
              </c:strCache>
            </c:strRef>
          </c:tx>
          <c:spPr>
            <a:solidFill>
              <a:schemeClr val="accent6">
                <a:alpha val="85000"/>
              </a:schemeClr>
            </a:solidFill>
            <a:ln w="9525" cap="flat" cmpd="sng" algn="ctr">
              <a:solidFill>
                <a:schemeClr val="lt1">
                  <a:alpha val="50000"/>
                </a:schemeClr>
              </a:solidFill>
              <a:round/>
            </a:ln>
            <a:effectLst/>
          </c:spPr>
          <c:invertIfNegative val="0"/>
          <c:cat>
            <c:strRef>
              <c:f>Лист1!$A$2:$A$5</c:f>
              <c:strCache>
                <c:ptCount val="4"/>
                <c:pt idx="0">
                  <c:v>Национальный рейтинг университетов за 2025 год</c:v>
                </c:pt>
                <c:pt idx="1">
                  <c:v>Рейтинг RAEX</c:v>
                </c:pt>
                <c:pt idx="2">
                  <c:v>Рейтинг вузов по данным мониторинга эффективности</c:v>
                </c:pt>
                <c:pt idx="3">
                  <c:v>Национальный рейтинг по трудоустройству выпускников образовательных организаций высшего образования</c:v>
                </c:pt>
              </c:strCache>
            </c:strRef>
          </c:cat>
          <c:val>
            <c:numRef>
              <c:f>Лист1!$G$2:$G$5</c:f>
              <c:numCache>
                <c:formatCode>General</c:formatCode>
                <c:ptCount val="4"/>
                <c:pt idx="0">
                  <c:v>8</c:v>
                </c:pt>
                <c:pt idx="1">
                  <c:v>20</c:v>
                </c:pt>
                <c:pt idx="2">
                  <c:v>2</c:v>
                </c:pt>
                <c:pt idx="3">
                  <c:v>42</c:v>
                </c:pt>
              </c:numCache>
            </c:numRef>
          </c:val>
          <c:extLst>
            <c:ext xmlns:c16="http://schemas.microsoft.com/office/drawing/2014/chart" uri="{C3380CC4-5D6E-409C-BE32-E72D297353CC}">
              <c16:uniqueId val="{00000005-C0F0-4DBC-8B41-52633F9DF50D}"/>
            </c:ext>
          </c:extLst>
        </c:ser>
        <c:dLbls>
          <c:showLegendKey val="0"/>
          <c:showVal val="0"/>
          <c:showCatName val="0"/>
          <c:showSerName val="0"/>
          <c:showPercent val="0"/>
          <c:showBubbleSize val="0"/>
        </c:dLbls>
        <c:gapWidth val="150"/>
        <c:axId val="82241024"/>
        <c:axId val="82242560"/>
      </c:barChart>
      <c:catAx>
        <c:axId val="8224102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lgn="just">
              <a:defRPr/>
            </a:pPr>
            <a:endParaRPr lang="ru-RU"/>
          </a:p>
        </c:txPr>
        <c:crossAx val="82242560"/>
        <c:crosses val="autoZero"/>
        <c:auto val="1"/>
        <c:lblAlgn val="l"/>
        <c:lblOffset val="100"/>
        <c:noMultiLvlLbl val="0"/>
      </c:catAx>
      <c:valAx>
        <c:axId val="8224256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effectLst/>
        </c:spPr>
        <c:txPr>
          <a:bodyPr rot="-60000000" vert="horz"/>
          <a:lstStyle/>
          <a:p>
            <a:pPr>
              <a:defRPr/>
            </a:pPr>
            <a:endParaRPr lang="ru-RU"/>
          </a:p>
        </c:txPr>
        <c:crossAx val="82241024"/>
        <c:crosses val="autoZero"/>
        <c:crossBetween val="between"/>
      </c:valAx>
      <c:dTable>
        <c:showHorzBorder val="1"/>
        <c:showVertBorder val="1"/>
        <c:showOutline val="1"/>
        <c:showKeys val="1"/>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FCC5B-888F-4D72-AEEE-80124F7F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116</Pages>
  <Words>56257</Words>
  <Characters>320668</Characters>
  <Application>Microsoft Office Word</Application>
  <DocSecurity>0</DocSecurity>
  <Lines>2672</Lines>
  <Paragraphs>752</Paragraphs>
  <ScaleCrop>false</ScaleCrop>
  <HeadingPairs>
    <vt:vector size="2" baseType="variant">
      <vt:variant>
        <vt:lpstr>Название</vt:lpstr>
      </vt:variant>
      <vt:variant>
        <vt:i4>1</vt:i4>
      </vt:variant>
    </vt:vector>
  </HeadingPairs>
  <TitlesOfParts>
    <vt:vector size="1" baseType="lpstr">
      <vt:lpstr>Главный редактор</vt:lpstr>
    </vt:vector>
  </TitlesOfParts>
  <Company>CtrlSoft</Company>
  <LinksUpToDate>false</LinksUpToDate>
  <CharactersWithSpaces>376173</CharactersWithSpaces>
  <SharedDoc>false</SharedDoc>
  <HLinks>
    <vt:vector size="12" baseType="variant">
      <vt:variant>
        <vt:i4>4587621</vt:i4>
      </vt:variant>
      <vt:variant>
        <vt:i4>1941</vt:i4>
      </vt:variant>
      <vt:variant>
        <vt:i4>0</vt:i4>
      </vt:variant>
      <vt:variant>
        <vt:i4>5</vt:i4>
      </vt:variant>
      <vt:variant>
        <vt:lpwstr>mailto:potapov@cplire.ru</vt:lpwstr>
      </vt:variant>
      <vt:variant>
        <vt:lpwstr/>
      </vt:variant>
      <vt:variant>
        <vt:i4>4587621</vt:i4>
      </vt:variant>
      <vt:variant>
        <vt:i4>1938</vt:i4>
      </vt:variant>
      <vt:variant>
        <vt:i4>0</vt:i4>
      </vt:variant>
      <vt:variant>
        <vt:i4>5</vt:i4>
      </vt:variant>
      <vt:variant>
        <vt:lpwstr>mailto:potapov@cplire.ru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Главный редактор</dc:title>
  <dc:creator>атто</dc:creator>
  <cp:lastModifiedBy>Мама</cp:lastModifiedBy>
  <cp:revision>43</cp:revision>
  <cp:lastPrinted>2026-03-17T15:52:00Z</cp:lastPrinted>
  <dcterms:created xsi:type="dcterms:W3CDTF">2025-10-03T06:45:00Z</dcterms:created>
  <dcterms:modified xsi:type="dcterms:W3CDTF">2026-03-17T15:54:00Z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