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3A5" w:rsidRPr="0015461B" w:rsidRDefault="000243A5" w:rsidP="000243A5">
      <w:pPr>
        <w:pStyle w:val="a6"/>
      </w:pPr>
    </w:p>
    <w:p w:rsidR="001772E4" w:rsidRDefault="001772E4" w:rsidP="005207E5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 w:rsidR="000E1A0B"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1772E4" w:rsidRDefault="001772E4" w:rsidP="005207E5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1772E4" w:rsidRPr="001772E4" w:rsidRDefault="001772E4" w:rsidP="005207E5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№4 (12) 2016 </w:t>
      </w:r>
    </w:p>
    <w:p w:rsidR="001772E4" w:rsidRDefault="001772E4" w:rsidP="005207E5">
      <w:pPr>
        <w:pStyle w:val="a7"/>
        <w:ind w:firstLine="0"/>
      </w:pPr>
    </w:p>
    <w:p w:rsidR="001772E4" w:rsidRPr="001772E4" w:rsidRDefault="001772E4" w:rsidP="005207E5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1772E4" w:rsidRDefault="001772E4" w:rsidP="000243A5">
      <w:pPr>
        <w:pStyle w:val="a7"/>
      </w:pPr>
    </w:p>
    <w:p w:rsidR="000243A5" w:rsidRPr="00915731" w:rsidRDefault="000243A5" w:rsidP="000243A5">
      <w:pPr>
        <w:pStyle w:val="a7"/>
      </w:pPr>
      <w:r>
        <w:t xml:space="preserve">М.В. </w:t>
      </w:r>
      <w:proofErr w:type="spellStart"/>
      <w:r>
        <w:t>Бгашев</w:t>
      </w:r>
      <w:proofErr w:type="spellEnd"/>
      <w:r w:rsidRPr="00915731">
        <w:t xml:space="preserve"> </w:t>
      </w:r>
    </w:p>
    <w:p w:rsidR="000243A5" w:rsidRPr="00C954BF" w:rsidRDefault="000243A5" w:rsidP="000243A5">
      <w:pPr>
        <w:pStyle w:val="a8"/>
      </w:pPr>
      <w:r w:rsidRPr="00C954BF">
        <w:t xml:space="preserve">ЗАБЛУЖДЕНИЯ О ЛИДЕРСТВЕ В МЕНЕДЖМЕНТЕ: </w:t>
      </w:r>
      <w:r w:rsidRPr="00491CAE">
        <w:br/>
      </w:r>
      <w:r w:rsidRPr="00C954BF">
        <w:t>ГЕНДЕРНЫЙ</w:t>
      </w:r>
      <w:r>
        <w:t xml:space="preserve"> </w:t>
      </w:r>
      <w:r w:rsidRPr="00C954BF">
        <w:t>АСПЕКТ</w:t>
      </w:r>
    </w:p>
    <w:p w:rsidR="000243A5" w:rsidRPr="0092233C" w:rsidRDefault="000243A5" w:rsidP="000243A5">
      <w:pPr>
        <w:pStyle w:val="a9"/>
      </w:pPr>
      <w:r w:rsidRPr="0092233C">
        <w:t>Рассматриваются существующие подходы и определения лидерства, дается разграничение понятий «власть» и «влияние», а также формального и неформального лидерства. Отражены области гендерных аспектов лидерства.</w:t>
      </w:r>
    </w:p>
    <w:p w:rsidR="000243A5" w:rsidRPr="0092233C" w:rsidRDefault="000243A5" w:rsidP="000243A5">
      <w:pPr>
        <w:pStyle w:val="a9"/>
      </w:pPr>
      <w:r w:rsidRPr="0092233C">
        <w:rPr>
          <w:i/>
        </w:rPr>
        <w:t xml:space="preserve">Ключевые слова: </w:t>
      </w:r>
      <w:r w:rsidRPr="0092233C">
        <w:t>лидерство, лидер, власть и влияние, последователи, формальное лидерство, гендерные аспекты лидерства</w:t>
      </w:r>
    </w:p>
    <w:p w:rsidR="000243A5" w:rsidRPr="0092233C" w:rsidRDefault="000243A5" w:rsidP="000243A5">
      <w:pPr>
        <w:pStyle w:val="a9"/>
      </w:pPr>
    </w:p>
    <w:p w:rsidR="001772E4" w:rsidRDefault="001772E4" w:rsidP="000243A5">
      <w:pPr>
        <w:pStyle w:val="a7"/>
      </w:pPr>
    </w:p>
    <w:p w:rsidR="000243A5" w:rsidRDefault="000243A5" w:rsidP="000243A5">
      <w:pPr>
        <w:pStyle w:val="a7"/>
      </w:pPr>
      <w:r w:rsidRPr="00041584">
        <w:t>Ю.О. Глушкова, Е.М. Калиничева</w:t>
      </w:r>
      <w:r>
        <w:t>,</w:t>
      </w:r>
      <w:r w:rsidRPr="00041584">
        <w:t xml:space="preserve"> М.М. Кульков</w:t>
      </w:r>
      <w:r>
        <w:t>,</w:t>
      </w:r>
      <w:r w:rsidRPr="00041584">
        <w:t xml:space="preserve"> </w:t>
      </w:r>
      <w:r>
        <w:t>Я.Ю. Павлюкова</w:t>
      </w:r>
    </w:p>
    <w:p w:rsidR="000243A5" w:rsidRPr="00D668EB" w:rsidRDefault="000243A5" w:rsidP="000243A5">
      <w:pPr>
        <w:pStyle w:val="a8"/>
      </w:pPr>
      <w:r w:rsidRPr="00D668EB">
        <w:t xml:space="preserve">ИССЛЕДОВАНИЕ ВНЕШНЕЭКОНОМИЧЕСКОЙ ДЕЯТЕЛЬНОСТИ СТРАН – ЧЛЕНОВ </w:t>
      </w:r>
      <w:r w:rsidRPr="00D668EB">
        <w:rPr>
          <w:rFonts w:eastAsia="Times New Roman"/>
        </w:rPr>
        <w:t>ЕАЭС</w:t>
      </w:r>
    </w:p>
    <w:p w:rsidR="000243A5" w:rsidRPr="00E80DF5" w:rsidRDefault="000243A5" w:rsidP="000243A5">
      <w:pPr>
        <w:pStyle w:val="a9"/>
        <w:rPr>
          <w:spacing w:val="-2"/>
        </w:rPr>
      </w:pPr>
      <w:r w:rsidRPr="00E80DF5">
        <w:rPr>
          <w:spacing w:val="-2"/>
        </w:rPr>
        <w:t xml:space="preserve">Рассмотрена внешнеэкономическая деятельность </w:t>
      </w:r>
      <w:r w:rsidRPr="00E80DF5">
        <w:rPr>
          <w:bCs/>
          <w:spacing w:val="-2"/>
          <w:shd w:val="clear" w:color="auto" w:fill="FFFFFF"/>
        </w:rPr>
        <w:t>Евразийского </w:t>
      </w:r>
      <w:hyperlink r:id="rId6" w:tooltip="Экономический союз" w:history="1">
        <w:r w:rsidRPr="00E80DF5">
          <w:rPr>
            <w:rFonts w:eastAsiaTheme="majorEastAsia"/>
            <w:spacing w:val="-2"/>
            <w:shd w:val="clear" w:color="auto" w:fill="FFFFFF"/>
          </w:rPr>
          <w:t>экономического союз</w:t>
        </w:r>
      </w:hyperlink>
      <w:r w:rsidRPr="00E80DF5">
        <w:rPr>
          <w:bCs/>
          <w:spacing w:val="-2"/>
          <w:shd w:val="clear" w:color="auto" w:fill="FFFFFF"/>
        </w:rPr>
        <w:t xml:space="preserve">а, </w:t>
      </w:r>
      <w:r w:rsidRPr="00E80DF5">
        <w:rPr>
          <w:spacing w:val="-2"/>
        </w:rPr>
        <w:t xml:space="preserve">являющейся </w:t>
      </w:r>
      <w:r w:rsidRPr="00E80DF5">
        <w:rPr>
          <w:spacing w:val="-2"/>
          <w:shd w:val="clear" w:color="auto" w:fill="FFFFFF"/>
        </w:rPr>
        <w:t xml:space="preserve">международной организацией </w:t>
      </w:r>
      <w:hyperlink r:id="rId7" w:tooltip="Международная экономическая интеграция" w:history="1">
        <w:r w:rsidRPr="00E80DF5">
          <w:rPr>
            <w:rFonts w:eastAsiaTheme="majorEastAsia"/>
            <w:spacing w:val="-2"/>
            <w:shd w:val="clear" w:color="auto" w:fill="FFFFFF"/>
          </w:rPr>
          <w:t>региональной экономической интеграции</w:t>
        </w:r>
      </w:hyperlink>
      <w:r w:rsidRPr="00E80DF5">
        <w:rPr>
          <w:spacing w:val="-2"/>
        </w:rPr>
        <w:t xml:space="preserve">. Проанализированы статистические данные показателей экспорта и импорта по странам и по годам. </w:t>
      </w:r>
    </w:p>
    <w:p w:rsidR="000243A5" w:rsidRPr="00D668EB" w:rsidRDefault="000243A5" w:rsidP="000243A5">
      <w:pPr>
        <w:pStyle w:val="a9"/>
        <w:rPr>
          <w:shd w:val="clear" w:color="auto" w:fill="FFFFFF"/>
        </w:rPr>
      </w:pPr>
      <w:r w:rsidRPr="00D668EB">
        <w:rPr>
          <w:i/>
        </w:rPr>
        <w:t>Ключевые слова</w:t>
      </w:r>
      <w:r w:rsidRPr="00D668EB">
        <w:t xml:space="preserve">: внешнеэкономическая деятельность, </w:t>
      </w:r>
      <w:r w:rsidRPr="00D668EB">
        <w:rPr>
          <w:bCs/>
          <w:shd w:val="clear" w:color="auto" w:fill="FFFFFF"/>
        </w:rPr>
        <w:t>Евразийский </w:t>
      </w:r>
      <w:hyperlink r:id="rId8" w:tooltip="Экономический союз" w:history="1">
        <w:r w:rsidRPr="00D668EB">
          <w:rPr>
            <w:rFonts w:eastAsiaTheme="majorEastAsia"/>
            <w:shd w:val="clear" w:color="auto" w:fill="FFFFFF"/>
          </w:rPr>
          <w:t>экономический союз</w:t>
        </w:r>
      </w:hyperlink>
      <w:r w:rsidRPr="00D668EB">
        <w:t>, экспорт, импорт, страны</w:t>
      </w:r>
    </w:p>
    <w:p w:rsidR="000243A5" w:rsidRDefault="000243A5" w:rsidP="000243A5">
      <w:pPr>
        <w:pStyle w:val="a9"/>
        <w:rPr>
          <w:shd w:val="clear" w:color="auto" w:fill="FFFFFF"/>
        </w:rPr>
      </w:pPr>
    </w:p>
    <w:p w:rsidR="001772E4" w:rsidRDefault="001772E4" w:rsidP="000243A5">
      <w:pPr>
        <w:pStyle w:val="a7"/>
      </w:pPr>
    </w:p>
    <w:p w:rsidR="000243A5" w:rsidRPr="00915731" w:rsidRDefault="000243A5" w:rsidP="000243A5">
      <w:pPr>
        <w:pStyle w:val="a7"/>
      </w:pPr>
      <w:r w:rsidRPr="00FD4036">
        <w:t>Н.</w:t>
      </w:r>
      <w:r>
        <w:t xml:space="preserve">А. </w:t>
      </w:r>
      <w:proofErr w:type="spellStart"/>
      <w:r>
        <w:t>Заматырина</w:t>
      </w:r>
      <w:proofErr w:type="spellEnd"/>
      <w:r w:rsidRPr="00915731">
        <w:t xml:space="preserve"> </w:t>
      </w:r>
    </w:p>
    <w:p w:rsidR="000243A5" w:rsidRPr="00C94712" w:rsidRDefault="000243A5" w:rsidP="000243A5">
      <w:pPr>
        <w:pStyle w:val="a8"/>
      </w:pPr>
      <w:r w:rsidRPr="00926C13">
        <w:t>ФОРМИРОВАНИЕ И ОЦЕНКА НАЛОГОВОГО ПОТЕНЦИАЛА</w:t>
      </w:r>
      <w:r>
        <w:t xml:space="preserve"> </w:t>
      </w:r>
      <w:r w:rsidRPr="00926C13">
        <w:t>РЕГИОНА</w:t>
      </w:r>
    </w:p>
    <w:p w:rsidR="000243A5" w:rsidRPr="00FD4036" w:rsidRDefault="000243A5" w:rsidP="000243A5">
      <w:pPr>
        <w:pStyle w:val="a9"/>
        <w:rPr>
          <w:highlight w:val="yellow"/>
        </w:rPr>
      </w:pPr>
      <w:r>
        <w:t>Разработаны методические</w:t>
      </w:r>
      <w:r w:rsidRPr="00FD4036">
        <w:t xml:space="preserve"> основ</w:t>
      </w:r>
      <w:r>
        <w:t>ы</w:t>
      </w:r>
      <w:r w:rsidRPr="00FD4036">
        <w:t xml:space="preserve"> формирования и оценки налогового потенциала региона в условиях структурных трансформаций, которые включают разработку практических рекомендаций относительно повышения эффективности использования финансовых ресурсов на региональном уровне.</w:t>
      </w:r>
    </w:p>
    <w:p w:rsidR="000243A5" w:rsidRPr="00FD4036" w:rsidRDefault="000243A5" w:rsidP="000243A5">
      <w:pPr>
        <w:pStyle w:val="a9"/>
        <w:rPr>
          <w:highlight w:val="yellow"/>
        </w:rPr>
      </w:pPr>
      <w:r w:rsidRPr="00FD4036">
        <w:rPr>
          <w:i/>
        </w:rPr>
        <w:t>Ключевые слова</w:t>
      </w:r>
      <w:r w:rsidRPr="00FD4036">
        <w:t>: налоговый потенциал региона, структура налогового потенциала, налоговые отношения, налоговое планирование и прогнозирование, местные налоги</w:t>
      </w:r>
    </w:p>
    <w:p w:rsidR="000243A5" w:rsidRDefault="000243A5" w:rsidP="000243A5">
      <w:pPr>
        <w:pStyle w:val="a9"/>
      </w:pPr>
    </w:p>
    <w:p w:rsidR="001772E4" w:rsidRDefault="001772E4" w:rsidP="000243A5">
      <w:pPr>
        <w:pStyle w:val="a7"/>
      </w:pPr>
    </w:p>
    <w:p w:rsidR="000243A5" w:rsidRPr="000D18D6" w:rsidRDefault="000243A5" w:rsidP="000243A5">
      <w:pPr>
        <w:pStyle w:val="a7"/>
        <w:rPr>
          <w:rFonts w:eastAsia="TimesNewRomanPSMT"/>
          <w:sz w:val="16"/>
          <w:szCs w:val="16"/>
        </w:rPr>
      </w:pPr>
      <w:r>
        <w:t xml:space="preserve">Н.В. Казакова, И.К. </w:t>
      </w:r>
      <w:proofErr w:type="spellStart"/>
      <w:r>
        <w:t>Вадюнина</w:t>
      </w:r>
      <w:proofErr w:type="spellEnd"/>
      <w:r w:rsidRPr="00915731">
        <w:t xml:space="preserve"> </w:t>
      </w:r>
    </w:p>
    <w:p w:rsidR="000243A5" w:rsidRPr="00FA0C0E" w:rsidRDefault="000243A5" w:rsidP="000243A5">
      <w:pPr>
        <w:pStyle w:val="a8"/>
      </w:pPr>
      <w:r w:rsidRPr="00FA0C0E">
        <w:t>НЕКОТОРЫЕ АСПЕКТЫ ИНТЕГРАЦИИ ВУЗОВСКОЙ НАУКИ</w:t>
      </w:r>
      <w:r>
        <w:t xml:space="preserve"> </w:t>
      </w:r>
      <w:r>
        <w:br/>
      </w:r>
      <w:r w:rsidRPr="00FA0C0E">
        <w:t>В НАЦИОНАЛЬНУЮ ИННОВАЦИОННУЮ СИСТЕМУ</w:t>
      </w:r>
    </w:p>
    <w:p w:rsidR="000243A5" w:rsidRDefault="000243A5" w:rsidP="000243A5">
      <w:pPr>
        <w:pStyle w:val="a9"/>
      </w:pPr>
      <w:r>
        <w:t>Р</w:t>
      </w:r>
      <w:r w:rsidRPr="00FA0C0E">
        <w:t>ассматриваются процессы</w:t>
      </w:r>
      <w:r>
        <w:t xml:space="preserve"> и основные направления</w:t>
      </w:r>
      <w:r w:rsidRPr="00FA0C0E">
        <w:t xml:space="preserve"> интеграции вузовской науки в национальную инновационную систему. Показано, что современный университет становится ключевым фактором в развитии национальной и региональной экономики и источником кадров. </w:t>
      </w:r>
    </w:p>
    <w:p w:rsidR="000243A5" w:rsidRPr="00FA0C0E" w:rsidRDefault="000243A5" w:rsidP="000243A5">
      <w:pPr>
        <w:pStyle w:val="a9"/>
      </w:pPr>
      <w:r w:rsidRPr="00FA0C0E">
        <w:rPr>
          <w:i/>
        </w:rPr>
        <w:t>Ключевые слова</w:t>
      </w:r>
      <w:r w:rsidRPr="00FA0C0E">
        <w:t>: университет, спин-офф, нац</w:t>
      </w:r>
      <w:r>
        <w:t>иональная инновационная система</w:t>
      </w:r>
    </w:p>
    <w:p w:rsidR="000243A5" w:rsidRPr="00FA0C0E" w:rsidRDefault="000243A5" w:rsidP="000243A5">
      <w:pPr>
        <w:pStyle w:val="a9"/>
        <w:rPr>
          <w:highlight w:val="yellow"/>
        </w:rPr>
      </w:pPr>
    </w:p>
    <w:p w:rsidR="000243A5" w:rsidRPr="0075357A" w:rsidRDefault="000243A5" w:rsidP="000243A5">
      <w:pPr>
        <w:pStyle w:val="a7"/>
        <w:rPr>
          <w:rFonts w:eastAsia="TimesNewRomanPSMT"/>
          <w:sz w:val="16"/>
          <w:szCs w:val="16"/>
        </w:rPr>
      </w:pPr>
      <w:r>
        <w:t>С</w:t>
      </w:r>
      <w:r w:rsidRPr="0075357A">
        <w:t>.</w:t>
      </w:r>
      <w:r>
        <w:t>С</w:t>
      </w:r>
      <w:r w:rsidRPr="0075357A">
        <w:t xml:space="preserve">. </w:t>
      </w:r>
      <w:proofErr w:type="spellStart"/>
      <w:r>
        <w:t>Мунтяев</w:t>
      </w:r>
      <w:proofErr w:type="spellEnd"/>
      <w:r w:rsidRPr="0075357A">
        <w:t xml:space="preserve"> </w:t>
      </w:r>
    </w:p>
    <w:p w:rsidR="000243A5" w:rsidRDefault="000243A5" w:rsidP="000243A5">
      <w:pPr>
        <w:pStyle w:val="a8"/>
        <w:rPr>
          <w:noProof/>
        </w:rPr>
      </w:pPr>
      <w:r>
        <w:rPr>
          <w:noProof/>
        </w:rPr>
        <w:t>СОВРЕМЕННОЕ</w:t>
      </w:r>
      <w:r w:rsidRPr="00FD4F29">
        <w:rPr>
          <w:noProof/>
        </w:rPr>
        <w:t xml:space="preserve"> </w:t>
      </w:r>
      <w:r>
        <w:rPr>
          <w:noProof/>
        </w:rPr>
        <w:t xml:space="preserve">СОСТОЯНИЕ И ПЕРСПЕКТИВЫ РАЗВИТИЯ </w:t>
      </w:r>
      <w:r>
        <w:rPr>
          <w:noProof/>
        </w:rPr>
        <w:br/>
        <w:t>КАЧЕСТВА УСЛУГ СВЯЗИ И ТЕЛЕКОММУНИКАЦИЙ РОССИИ</w:t>
      </w:r>
    </w:p>
    <w:p w:rsidR="000243A5" w:rsidRPr="00FD4F29" w:rsidRDefault="000243A5" w:rsidP="000243A5">
      <w:pPr>
        <w:pStyle w:val="a9"/>
        <w:rPr>
          <w:spacing w:val="-2"/>
        </w:rPr>
      </w:pPr>
      <w:r w:rsidRPr="00FD4F29">
        <w:rPr>
          <w:spacing w:val="-2"/>
        </w:rPr>
        <w:t>Рассмотрены исторические аспекты развития качества услуг стационарной и сотовой связи, перспективы развития рынка телекоммуникационных услуг и услуг сотовой связи в России.</w:t>
      </w:r>
    </w:p>
    <w:p w:rsidR="000243A5" w:rsidRPr="00FD4F29" w:rsidRDefault="000243A5" w:rsidP="000243A5">
      <w:pPr>
        <w:pStyle w:val="a9"/>
        <w:rPr>
          <w:spacing w:val="-2"/>
        </w:rPr>
      </w:pPr>
      <w:r w:rsidRPr="00FD4F29">
        <w:rPr>
          <w:i/>
          <w:spacing w:val="-2"/>
        </w:rPr>
        <w:t>Ключевые слова</w:t>
      </w:r>
      <w:r w:rsidRPr="00FD4F29">
        <w:rPr>
          <w:spacing w:val="-2"/>
        </w:rPr>
        <w:t>: рынок услуг связи, телекоммуникационные услуги, услуги сотовой связи, услуги стационарной связи, качество услуг связи</w:t>
      </w:r>
    </w:p>
    <w:p w:rsidR="000243A5" w:rsidRDefault="000243A5" w:rsidP="000243A5">
      <w:pPr>
        <w:pStyle w:val="a9"/>
      </w:pPr>
    </w:p>
    <w:p w:rsidR="001772E4" w:rsidRDefault="001772E4" w:rsidP="00B166A2">
      <w:pPr>
        <w:pStyle w:val="a7"/>
      </w:pPr>
    </w:p>
    <w:p w:rsidR="00B166A2" w:rsidRPr="000D18D6" w:rsidRDefault="00B166A2" w:rsidP="00B166A2">
      <w:pPr>
        <w:pStyle w:val="a7"/>
        <w:rPr>
          <w:rFonts w:eastAsia="TimesNewRomanPSMT"/>
          <w:sz w:val="16"/>
          <w:szCs w:val="16"/>
        </w:rPr>
      </w:pPr>
      <w:r>
        <w:t>А.Н. Плотников, Д.М. Сычева</w:t>
      </w:r>
      <w:r w:rsidRPr="00915731">
        <w:t xml:space="preserve"> </w:t>
      </w:r>
    </w:p>
    <w:p w:rsidR="00B166A2" w:rsidRPr="009C06CA" w:rsidRDefault="00B166A2" w:rsidP="00B166A2">
      <w:pPr>
        <w:pStyle w:val="a8"/>
      </w:pPr>
      <w:r w:rsidRPr="009C06CA">
        <w:t xml:space="preserve">ОБЗОР СУЩЕСТВУЮЩИХ ПОДХОДОВ К РАСКРЫТИЮ ПОНЯТИЯ </w:t>
      </w:r>
      <w:r>
        <w:br/>
      </w:r>
      <w:r w:rsidRPr="009C06CA">
        <w:t xml:space="preserve">«ИННОВАЦИОННАЯ АКТИВНОСТЬ ПРЕДПРИЯТИЯ» </w:t>
      </w:r>
    </w:p>
    <w:p w:rsidR="00B166A2" w:rsidRPr="00724FDB" w:rsidRDefault="00B166A2" w:rsidP="00B166A2">
      <w:pPr>
        <w:pStyle w:val="a9"/>
      </w:pPr>
      <w:r w:rsidRPr="00724FDB">
        <w:t>Рассматриваются сущность понятия «инновационная активность», а также факторы, влияющие на инновационную активность предприятия. Описываются показатели, характеризующие уровень инновационной активности.</w:t>
      </w:r>
    </w:p>
    <w:p w:rsidR="00B166A2" w:rsidRPr="00724FDB" w:rsidRDefault="00B166A2" w:rsidP="00B166A2">
      <w:pPr>
        <w:pStyle w:val="a9"/>
      </w:pPr>
      <w:r w:rsidRPr="00724FDB">
        <w:rPr>
          <w:i/>
        </w:rPr>
        <w:t>Ключевые слова</w:t>
      </w:r>
      <w:r w:rsidRPr="00724FDB">
        <w:t>: инновационная активность, инновации, инновационная деятельность</w:t>
      </w:r>
    </w:p>
    <w:p w:rsidR="00B166A2" w:rsidRDefault="00B166A2" w:rsidP="00B166A2">
      <w:pPr>
        <w:pStyle w:val="a9"/>
      </w:pPr>
    </w:p>
    <w:p w:rsidR="001772E4" w:rsidRDefault="001772E4" w:rsidP="00B166A2">
      <w:pPr>
        <w:pStyle w:val="a7"/>
      </w:pPr>
    </w:p>
    <w:p w:rsidR="00B166A2" w:rsidRPr="000D18D6" w:rsidRDefault="00B166A2" w:rsidP="00B166A2">
      <w:pPr>
        <w:pStyle w:val="a7"/>
        <w:rPr>
          <w:rFonts w:eastAsia="TimesNewRomanPSMT"/>
          <w:sz w:val="16"/>
          <w:szCs w:val="16"/>
        </w:rPr>
      </w:pPr>
      <w:r>
        <w:t>А.П. Плотников, Д.В. Сафьянов</w:t>
      </w:r>
      <w:r w:rsidRPr="00915731">
        <w:t xml:space="preserve"> </w:t>
      </w:r>
    </w:p>
    <w:p w:rsidR="00B166A2" w:rsidRPr="00F908D6" w:rsidRDefault="00B166A2" w:rsidP="00B166A2">
      <w:pPr>
        <w:pStyle w:val="a8"/>
      </w:pPr>
      <w:r w:rsidRPr="00F908D6">
        <w:t>НЕКОТОРЫЕ АСПЕКТЫ РАЗВИТИЯ ФИНАНСОВОГО ЛИЗИНГА</w:t>
      </w:r>
      <w:r>
        <w:t xml:space="preserve"> </w:t>
      </w:r>
      <w:r>
        <w:br/>
      </w:r>
      <w:r w:rsidRPr="00F908D6">
        <w:t>В СФЕРЕ ПАССАЖИРСКИХ ПЕРЕВОЗОК Г. САРАТОВА</w:t>
      </w:r>
    </w:p>
    <w:p w:rsidR="00B166A2" w:rsidRDefault="00B166A2" w:rsidP="00B166A2">
      <w:pPr>
        <w:pStyle w:val="a9"/>
      </w:pPr>
      <w:r w:rsidRPr="00F908D6">
        <w:t xml:space="preserve">Рассматривается </w:t>
      </w:r>
      <w:r>
        <w:t>вопрос</w:t>
      </w:r>
      <w:r w:rsidRPr="00F908D6">
        <w:t xml:space="preserve"> совершенствования оценки стоимости капитала в процессе лизингов</w:t>
      </w:r>
      <w:r>
        <w:t>ой сделки</w:t>
      </w:r>
      <w:r w:rsidRPr="00F908D6">
        <w:t xml:space="preserve"> и выбор</w:t>
      </w:r>
      <w:r>
        <w:t>а</w:t>
      </w:r>
      <w:r w:rsidRPr="00F908D6">
        <w:t xml:space="preserve"> схемы лизинговых платежей в зависимости от влияния на финансовый результат.</w:t>
      </w:r>
    </w:p>
    <w:p w:rsidR="00B166A2" w:rsidRPr="00F908D6" w:rsidRDefault="00B166A2" w:rsidP="00B166A2">
      <w:pPr>
        <w:pStyle w:val="a9"/>
      </w:pPr>
      <w:r w:rsidRPr="00F908D6">
        <w:t>Ключевые слова</w:t>
      </w:r>
      <w:r w:rsidRPr="00F908D6">
        <w:rPr>
          <w:b/>
        </w:rPr>
        <w:t>:</w:t>
      </w:r>
      <w:r w:rsidRPr="00F908D6">
        <w:t xml:space="preserve"> предприятие, пассажирские перевозки, финансовый лизинг, стоимость капитала, схема лизинговых платежей </w:t>
      </w:r>
    </w:p>
    <w:p w:rsidR="001772E4" w:rsidRDefault="001772E4" w:rsidP="00B166A2">
      <w:pPr>
        <w:pStyle w:val="a7"/>
      </w:pPr>
    </w:p>
    <w:p w:rsidR="001772E4" w:rsidRDefault="001772E4" w:rsidP="00B166A2">
      <w:pPr>
        <w:pStyle w:val="a7"/>
      </w:pPr>
    </w:p>
    <w:p w:rsidR="00B166A2" w:rsidRDefault="00B166A2" w:rsidP="00B166A2">
      <w:pPr>
        <w:pStyle w:val="a7"/>
        <w:rPr>
          <w:rFonts w:eastAsia="TimesNewRomanPSMT" w:cstheme="minorBidi"/>
          <w:sz w:val="16"/>
          <w:szCs w:val="16"/>
          <w:lang w:eastAsia="en-US"/>
        </w:rPr>
      </w:pPr>
      <w:r>
        <w:t>И</w:t>
      </w:r>
      <w:r w:rsidRPr="0075357A">
        <w:t>.</w:t>
      </w:r>
      <w:r>
        <w:t>Н</w:t>
      </w:r>
      <w:r w:rsidRPr="0075357A">
        <w:t xml:space="preserve">. </w:t>
      </w:r>
      <w:r>
        <w:t xml:space="preserve">Пчелинцева, К.А. </w:t>
      </w:r>
      <w:proofErr w:type="spellStart"/>
      <w:r>
        <w:t>Шаповалова</w:t>
      </w:r>
      <w:proofErr w:type="spellEnd"/>
      <w:r>
        <w:t xml:space="preserve"> </w:t>
      </w:r>
    </w:p>
    <w:p w:rsidR="00B166A2" w:rsidRDefault="00B166A2" w:rsidP="00B166A2">
      <w:pPr>
        <w:pStyle w:val="a8"/>
        <w:spacing w:before="240"/>
        <w:rPr>
          <w:rFonts w:eastAsia="Times New Roman"/>
        </w:rPr>
      </w:pPr>
      <w:r>
        <w:rPr>
          <w:rFonts w:eastAsia="Times New Roman"/>
        </w:rPr>
        <w:t xml:space="preserve">СОВРЕМЕННЫЕ ФОРМЫ КРЕДИТОВАНИЯ </w:t>
      </w:r>
      <w:r>
        <w:rPr>
          <w:rFonts w:eastAsia="Times New Roman"/>
        </w:rPr>
        <w:br/>
        <w:t>В РЫНОЧНЫХ УСЛОВИЯХ</w:t>
      </w:r>
    </w:p>
    <w:p w:rsidR="00B166A2" w:rsidRPr="006C3A8E" w:rsidRDefault="00B166A2" w:rsidP="00B166A2">
      <w:pPr>
        <w:pStyle w:val="a9"/>
        <w:rPr>
          <w:rFonts w:eastAsia="Times New Roman"/>
          <w:spacing w:val="-4"/>
        </w:rPr>
      </w:pPr>
      <w:r w:rsidRPr="006C3A8E">
        <w:rPr>
          <w:rFonts w:eastAsia="Times New Roman"/>
          <w:spacing w:val="-4"/>
        </w:rPr>
        <w:t>Приведены классификации современных форм кредитования в рыночных условиях. Обобщены характеристики форм кредита и признаков их классификации. Выделена новая классификация форм кредитования в условиях рынка.</w:t>
      </w:r>
    </w:p>
    <w:p w:rsidR="00B166A2" w:rsidRDefault="00B166A2" w:rsidP="00B166A2">
      <w:pPr>
        <w:pStyle w:val="a9"/>
        <w:rPr>
          <w:rFonts w:eastAsia="Times New Roman"/>
        </w:rPr>
      </w:pPr>
      <w:r>
        <w:rPr>
          <w:rFonts w:eastAsia="Times New Roman"/>
          <w:i/>
        </w:rPr>
        <w:t>Ключевые слова</w:t>
      </w:r>
      <w:r>
        <w:rPr>
          <w:rFonts w:eastAsia="Times New Roman"/>
        </w:rPr>
        <w:t>: формы кредитования, субъект кредитных отношений, срок предоставления кредита, договорной характер кредита, классификационные признаки</w:t>
      </w:r>
    </w:p>
    <w:p w:rsidR="00B166A2" w:rsidRDefault="00B166A2" w:rsidP="00B166A2">
      <w:pPr>
        <w:pStyle w:val="a9"/>
        <w:rPr>
          <w:rFonts w:eastAsia="Times New Roman"/>
        </w:rPr>
      </w:pPr>
    </w:p>
    <w:p w:rsidR="001772E4" w:rsidRDefault="001772E4" w:rsidP="00B166A2">
      <w:pPr>
        <w:pStyle w:val="a7"/>
      </w:pPr>
    </w:p>
    <w:p w:rsidR="00B166A2" w:rsidRDefault="00B166A2" w:rsidP="00B166A2">
      <w:pPr>
        <w:pStyle w:val="a7"/>
      </w:pPr>
      <w:r>
        <w:t>Д</w:t>
      </w:r>
      <w:r w:rsidRPr="0075357A">
        <w:t>.</w:t>
      </w:r>
      <w:r>
        <w:t xml:space="preserve">С. Семенов </w:t>
      </w:r>
    </w:p>
    <w:p w:rsidR="00B166A2" w:rsidRDefault="00B166A2" w:rsidP="00B166A2">
      <w:pPr>
        <w:pStyle w:val="a8"/>
      </w:pPr>
      <w:r>
        <w:t xml:space="preserve">МЕТОДИКА ОЦЕНКИ УРОВНЯ КАЧЕСТВА ПРОДУКЦИИ </w:t>
      </w:r>
      <w:r>
        <w:br/>
        <w:t>НА ПРИМЕРЕ СЕГМЕНТА МАШИНОСТРОИТЕЛЬНЫХ</w:t>
      </w:r>
      <w:r>
        <w:br/>
        <w:t>ПРЕДПРИЯТИЙ</w:t>
      </w:r>
    </w:p>
    <w:p w:rsidR="00B166A2" w:rsidRDefault="00B166A2" w:rsidP="00B166A2">
      <w:pPr>
        <w:pStyle w:val="a9"/>
      </w:pPr>
      <w:r>
        <w:lastRenderedPageBreak/>
        <w:t>Рассматривается методика оценки уровня качества продукции. Представлена модель оценки уровня взаимоотношениями с основными клиентами.</w:t>
      </w:r>
    </w:p>
    <w:p w:rsidR="00B166A2" w:rsidRDefault="00B166A2" w:rsidP="00B166A2">
      <w:pPr>
        <w:pStyle w:val="a9"/>
      </w:pPr>
      <w:r>
        <w:rPr>
          <w:i/>
        </w:rPr>
        <w:t>Ключевые слова</w:t>
      </w:r>
      <w:r>
        <w:t>: качество продукции, уровень удовлетворенности потребителей</w:t>
      </w:r>
    </w:p>
    <w:p w:rsidR="00B166A2" w:rsidRDefault="00B166A2" w:rsidP="00B166A2">
      <w:pPr>
        <w:pStyle w:val="a9"/>
      </w:pPr>
    </w:p>
    <w:p w:rsidR="001772E4" w:rsidRDefault="001772E4" w:rsidP="00B166A2">
      <w:pPr>
        <w:pStyle w:val="a7"/>
      </w:pPr>
    </w:p>
    <w:p w:rsidR="00B166A2" w:rsidRDefault="00B166A2" w:rsidP="00B166A2">
      <w:pPr>
        <w:pStyle w:val="a7"/>
        <w:rPr>
          <w:rFonts w:eastAsia="TimesNewRomanPSMT" w:cstheme="minorBidi"/>
          <w:sz w:val="16"/>
          <w:szCs w:val="16"/>
          <w:lang w:eastAsia="en-US"/>
        </w:rPr>
      </w:pPr>
      <w:r>
        <w:t xml:space="preserve">Т.Р. </w:t>
      </w:r>
      <w:proofErr w:type="spellStart"/>
      <w:r>
        <w:t>Сергазиева</w:t>
      </w:r>
      <w:proofErr w:type="spellEnd"/>
      <w:r>
        <w:t xml:space="preserve"> </w:t>
      </w:r>
    </w:p>
    <w:p w:rsidR="00B166A2" w:rsidRDefault="00B166A2" w:rsidP="00B166A2">
      <w:pPr>
        <w:pStyle w:val="a8"/>
      </w:pPr>
      <w:r>
        <w:t xml:space="preserve">СОЗДАНИЕ ШТАБА УПРАВЛЕНИЯ ВЕДУЩИМ ПРОЕКТОМ </w:t>
      </w:r>
      <w:r>
        <w:br/>
        <w:t xml:space="preserve">В СТРУКТУРЕ МЕНЕДЖМЕНТА ОРГАНИЗАЦИИ </w:t>
      </w:r>
    </w:p>
    <w:p w:rsidR="00B166A2" w:rsidRDefault="00B166A2" w:rsidP="00B166A2">
      <w:pPr>
        <w:pStyle w:val="a9"/>
      </w:pPr>
      <w:r>
        <w:t>Рассматриваются вопросы создания инициативной группы в составе организационной структуры строительного предприятия малого и среднего бизнеса для реализации среднесрочных (и/или долгосрочных) инвестиционных проектов. Выявляются преимущества создания мозгового центра при штабе.</w:t>
      </w:r>
    </w:p>
    <w:p w:rsidR="00B166A2" w:rsidRDefault="00B166A2" w:rsidP="00B166A2">
      <w:pPr>
        <w:pStyle w:val="a9"/>
        <w:rPr>
          <w:szCs w:val="22"/>
        </w:rPr>
      </w:pPr>
      <w:r>
        <w:rPr>
          <w:i/>
          <w:szCs w:val="22"/>
        </w:rPr>
        <w:t>Ключевые слова:</w:t>
      </w:r>
      <w:r>
        <w:rPr>
          <w:szCs w:val="22"/>
        </w:rPr>
        <w:t xml:space="preserve"> штаб управления, организационная структура управления, строительная организация, инициативная группа</w:t>
      </w:r>
    </w:p>
    <w:p w:rsidR="001772E4" w:rsidRDefault="001772E4" w:rsidP="00B166A2">
      <w:pPr>
        <w:pStyle w:val="a7"/>
      </w:pPr>
    </w:p>
    <w:p w:rsidR="001772E4" w:rsidRDefault="001772E4" w:rsidP="00B166A2">
      <w:pPr>
        <w:pStyle w:val="a7"/>
      </w:pPr>
    </w:p>
    <w:p w:rsidR="00B166A2" w:rsidRPr="001772E4" w:rsidRDefault="00B166A2" w:rsidP="00B166A2">
      <w:pPr>
        <w:pStyle w:val="a7"/>
      </w:pPr>
      <w:r>
        <w:t>Л</w:t>
      </w:r>
      <w:r w:rsidRPr="001772E4">
        <w:t>.</w:t>
      </w:r>
      <w:r>
        <w:t>О</w:t>
      </w:r>
      <w:r w:rsidRPr="001772E4">
        <w:t xml:space="preserve">. </w:t>
      </w:r>
      <w:proofErr w:type="spellStart"/>
      <w:r>
        <w:t>Сердюкова</w:t>
      </w:r>
      <w:proofErr w:type="spellEnd"/>
      <w:r w:rsidRPr="001772E4">
        <w:t xml:space="preserve">, </w:t>
      </w:r>
      <w:r>
        <w:t>А</w:t>
      </w:r>
      <w:r w:rsidRPr="001772E4">
        <w:t>.</w:t>
      </w:r>
      <w:r>
        <w:t>А</w:t>
      </w:r>
      <w:r w:rsidRPr="001772E4">
        <w:t xml:space="preserve">. </w:t>
      </w:r>
      <w:r>
        <w:t>Колбасина</w:t>
      </w:r>
      <w:r w:rsidRPr="001772E4">
        <w:t xml:space="preserve"> </w:t>
      </w:r>
    </w:p>
    <w:p w:rsidR="00B166A2" w:rsidRDefault="00B166A2" w:rsidP="00B166A2">
      <w:pPr>
        <w:pStyle w:val="a8"/>
        <w:rPr>
          <w:rFonts w:eastAsia="Calibri"/>
        </w:rPr>
      </w:pPr>
      <w:r>
        <w:t>ПОДХОДЫ И МЕТОДЫ ОЦЕНКИ ИНВЕСТИЦИОННОЙ ПРИВЛЕКАТЕЛЬНОСТИ ПРЕДПРИЯТИЯ</w:t>
      </w:r>
    </w:p>
    <w:p w:rsidR="00B166A2" w:rsidRDefault="00B166A2" w:rsidP="00B166A2">
      <w:pPr>
        <w:pStyle w:val="a9"/>
        <w:rPr>
          <w:color w:val="FF0000"/>
        </w:rPr>
      </w:pPr>
      <w:r>
        <w:t>Рассмотрены подходы, основанные на финансовой отчетности и методы инвестиционной привлекательности предприятий, проведен анализ их достоинств и недостатков, а также их применимость на практике.</w:t>
      </w:r>
    </w:p>
    <w:p w:rsidR="00B166A2" w:rsidRDefault="00B166A2" w:rsidP="00B166A2">
      <w:pPr>
        <w:pStyle w:val="a9"/>
      </w:pPr>
      <w:r>
        <w:rPr>
          <w:i/>
        </w:rPr>
        <w:t>Ключевые слова</w:t>
      </w:r>
      <w:r>
        <w:t>: инвестиции, доходы, инвестор, инвестиционная привлекательность, финансовые показатели</w:t>
      </w:r>
    </w:p>
    <w:p w:rsidR="00B166A2" w:rsidRDefault="00B166A2" w:rsidP="00B166A2">
      <w:pPr>
        <w:pStyle w:val="a9"/>
      </w:pPr>
    </w:p>
    <w:p w:rsidR="001772E4" w:rsidRDefault="001772E4" w:rsidP="00B166A2">
      <w:pPr>
        <w:pStyle w:val="a7"/>
      </w:pPr>
    </w:p>
    <w:p w:rsidR="00B166A2" w:rsidRPr="00D86345" w:rsidRDefault="00B166A2" w:rsidP="00B166A2">
      <w:pPr>
        <w:pStyle w:val="a7"/>
      </w:pPr>
      <w:r>
        <w:t xml:space="preserve">П.В. </w:t>
      </w:r>
      <w:proofErr w:type="spellStart"/>
      <w:r>
        <w:t>Терелянский</w:t>
      </w:r>
      <w:proofErr w:type="spellEnd"/>
      <w:r>
        <w:t>, А.С. Мельников</w:t>
      </w:r>
    </w:p>
    <w:p w:rsidR="00B166A2" w:rsidRDefault="00B166A2" w:rsidP="00B166A2">
      <w:pPr>
        <w:pStyle w:val="a8"/>
      </w:pPr>
      <w:r>
        <w:t>ФАКТОРЫ, ОПРЕДЕЛЯЮЩИЕ ИННОВАЦИОННОЕ РАЗВИТИЕ ГОРОДСКОЙ</w:t>
      </w:r>
      <w:r>
        <w:rPr>
          <w:color w:val="FF0000"/>
        </w:rPr>
        <w:t xml:space="preserve"> </w:t>
      </w:r>
      <w:r>
        <w:t>АГЛОМЕРАЦИИ</w:t>
      </w:r>
    </w:p>
    <w:p w:rsidR="00B166A2" w:rsidRDefault="00B166A2" w:rsidP="00B166A2">
      <w:pPr>
        <w:pStyle w:val="a9"/>
      </w:pPr>
      <w:r>
        <w:t>Рассматриваются вопросы, связанные с развитием городской агломерации. Проанализированы методики оценки уровня развития городской агломерации.</w:t>
      </w:r>
    </w:p>
    <w:p w:rsidR="00B166A2" w:rsidRDefault="00B166A2" w:rsidP="00B166A2">
      <w:pPr>
        <w:pStyle w:val="a9"/>
      </w:pPr>
      <w:r>
        <w:rPr>
          <w:i/>
        </w:rPr>
        <w:t>Ключевые слова</w:t>
      </w:r>
      <w:r>
        <w:t xml:space="preserve">: агломерация, инновационное развитие агломерации, факторы развития агломерации </w:t>
      </w:r>
    </w:p>
    <w:p w:rsidR="00B166A2" w:rsidRDefault="00B166A2" w:rsidP="00B166A2">
      <w:pPr>
        <w:pStyle w:val="a9"/>
      </w:pPr>
    </w:p>
    <w:p w:rsidR="001772E4" w:rsidRDefault="001772E4" w:rsidP="00B166A2">
      <w:pPr>
        <w:pStyle w:val="a7"/>
      </w:pPr>
    </w:p>
    <w:p w:rsidR="00B166A2" w:rsidRPr="000D18D6" w:rsidRDefault="00B166A2" w:rsidP="00B166A2">
      <w:pPr>
        <w:pStyle w:val="a7"/>
        <w:rPr>
          <w:rFonts w:eastAsia="TimesNewRomanPSMT"/>
          <w:sz w:val="16"/>
          <w:szCs w:val="16"/>
        </w:rPr>
      </w:pPr>
      <w:r>
        <w:t>Д</w:t>
      </w:r>
      <w:r w:rsidRPr="0075357A">
        <w:t>.</w:t>
      </w:r>
      <w:r>
        <w:t>В. Филиппов, Я.В. Никанорова</w:t>
      </w:r>
      <w:r w:rsidRPr="00915731">
        <w:t xml:space="preserve"> </w:t>
      </w:r>
    </w:p>
    <w:p w:rsidR="00B166A2" w:rsidRDefault="00B166A2" w:rsidP="00B166A2">
      <w:pPr>
        <w:pStyle w:val="a8"/>
      </w:pPr>
      <w:r w:rsidRPr="00AA58E7">
        <w:t>ПОДХОДЫ К РАЗРАБОТКЕ ФИНАНСОВОЙ СТРАТЕГИИ</w:t>
      </w:r>
      <w:r>
        <w:t xml:space="preserve"> </w:t>
      </w:r>
      <w:r w:rsidRPr="00711CB0">
        <w:br/>
      </w:r>
      <w:r w:rsidRPr="00AA58E7">
        <w:t>ПРЕДПРИЯТИЯ И ПРИНЦИПЫ ЕЕ РАЗРАБОТКИ</w:t>
      </w:r>
    </w:p>
    <w:p w:rsidR="00B166A2" w:rsidRDefault="00B166A2" w:rsidP="00B166A2">
      <w:pPr>
        <w:pStyle w:val="a9"/>
      </w:pPr>
      <w:r>
        <w:t>Рассматриваются процесс и условия разработки финансовой стратегии предприятия. Приведены различные подходы к разработке финансовой стратегии предприятия и принципы ее разработки. Выявлен наиболее эффективный способ разработки финансовой стратегии предприятия.</w:t>
      </w:r>
    </w:p>
    <w:p w:rsidR="00B166A2" w:rsidRDefault="00B166A2" w:rsidP="00B166A2">
      <w:pPr>
        <w:pStyle w:val="a9"/>
      </w:pPr>
      <w:r w:rsidRPr="00C94712">
        <w:rPr>
          <w:i/>
        </w:rPr>
        <w:t>Ключевые слова</w:t>
      </w:r>
      <w:r>
        <w:t>: финансовая стратегия, управление предприятием, разработка финансовой стратегии, принципы финансовой стратегии</w:t>
      </w:r>
    </w:p>
    <w:p w:rsidR="001772E4" w:rsidRDefault="001772E4" w:rsidP="00D109F4">
      <w:pPr>
        <w:pStyle w:val="a7"/>
      </w:pPr>
    </w:p>
    <w:p w:rsidR="001772E4" w:rsidRDefault="001772E4" w:rsidP="00D109F4">
      <w:pPr>
        <w:pStyle w:val="a7"/>
      </w:pPr>
    </w:p>
    <w:p w:rsidR="001772E4" w:rsidRDefault="001772E4" w:rsidP="00D109F4">
      <w:pPr>
        <w:pStyle w:val="a7"/>
      </w:pPr>
    </w:p>
    <w:p w:rsidR="005207E5" w:rsidRPr="005207E5" w:rsidRDefault="005207E5" w:rsidP="005207E5">
      <w:pPr>
        <w:pStyle w:val="a7"/>
        <w:ind w:firstLine="0"/>
        <w:jc w:val="center"/>
        <w:rPr>
          <w:b/>
          <w:sz w:val="28"/>
          <w:szCs w:val="28"/>
        </w:rPr>
      </w:pPr>
      <w:bookmarkStart w:id="0" w:name="_GoBack"/>
      <w:r w:rsidRPr="005207E5">
        <w:rPr>
          <w:b/>
          <w:sz w:val="28"/>
          <w:szCs w:val="28"/>
        </w:rPr>
        <w:lastRenderedPageBreak/>
        <w:t>ПСИХОЛОГ</w:t>
      </w:r>
      <w:r w:rsidR="00975145"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bookmarkEnd w:id="0"/>
    <w:p w:rsidR="005207E5" w:rsidRDefault="005207E5" w:rsidP="00D109F4">
      <w:pPr>
        <w:pStyle w:val="a7"/>
      </w:pPr>
    </w:p>
    <w:p w:rsidR="00D109F4" w:rsidRPr="00CF4626" w:rsidRDefault="00D109F4" w:rsidP="00D109F4">
      <w:pPr>
        <w:pStyle w:val="a7"/>
        <w:rPr>
          <w:sz w:val="16"/>
          <w:szCs w:val="16"/>
        </w:rPr>
      </w:pPr>
      <w:r w:rsidRPr="00784EC3">
        <w:t>О.Г.</w:t>
      </w:r>
      <w:r>
        <w:t xml:space="preserve"> </w:t>
      </w:r>
      <w:r w:rsidRPr="00784EC3">
        <w:t>Грачева, Д.В.</w:t>
      </w:r>
      <w:r>
        <w:t xml:space="preserve"> </w:t>
      </w:r>
      <w:r w:rsidRPr="00784EC3">
        <w:t>Павлищев</w:t>
      </w:r>
    </w:p>
    <w:p w:rsidR="00D109F4" w:rsidRDefault="00D109F4" w:rsidP="00D109F4">
      <w:pPr>
        <w:pStyle w:val="a8"/>
      </w:pPr>
      <w:r w:rsidRPr="00784EC3">
        <w:t xml:space="preserve">ЭМОЦИОНАЛЬНОЕ ВЫГОРАНИЕ СОТРУДНИКОВ </w:t>
      </w:r>
      <w:r>
        <w:br/>
      </w:r>
      <w:r w:rsidRPr="00784EC3">
        <w:t>ПСИХИАТРИЧЕСКОЙ КЛИНИКИ</w:t>
      </w:r>
    </w:p>
    <w:p w:rsidR="00D109F4" w:rsidRPr="00CF4626" w:rsidRDefault="00D109F4" w:rsidP="00D109F4">
      <w:pPr>
        <w:pStyle w:val="a9"/>
      </w:pPr>
      <w:r w:rsidRPr="00CF4626">
        <w:t>Приведена характеристика подходов к объяснению феномена «эмоциональное выгорание» в зарубежной и отечественной психологии. Проанализированы результаты исследования различий в проявлении синдрома «эмоциональное выгорание» у сотрудников психиатрической клиники с разной спецификой профессиональной деятельности.</w:t>
      </w:r>
    </w:p>
    <w:p w:rsidR="00D109F4" w:rsidRPr="008E339E" w:rsidRDefault="00D109F4" w:rsidP="00D109F4">
      <w:pPr>
        <w:pStyle w:val="a9"/>
        <w:rPr>
          <w:spacing w:val="-4"/>
        </w:rPr>
      </w:pPr>
      <w:r w:rsidRPr="008E339E">
        <w:rPr>
          <w:i/>
          <w:spacing w:val="-4"/>
        </w:rPr>
        <w:t>Ключевые слова</w:t>
      </w:r>
      <w:r w:rsidRPr="008E339E">
        <w:rPr>
          <w:spacing w:val="-4"/>
        </w:rPr>
        <w:t>: эмоциональное выгорание, деперсонализация, психотравмирующие факторы, эмоциональное реагирование, фазы выгорания</w:t>
      </w:r>
    </w:p>
    <w:p w:rsidR="00D109F4" w:rsidRDefault="00D109F4" w:rsidP="00D109F4">
      <w:pPr>
        <w:pStyle w:val="a9"/>
        <w:rPr>
          <w:rFonts w:eastAsia="Times New Roman"/>
        </w:rPr>
      </w:pPr>
    </w:p>
    <w:p w:rsidR="005207E5" w:rsidRDefault="005207E5" w:rsidP="00D109F4">
      <w:pPr>
        <w:pStyle w:val="a9"/>
        <w:rPr>
          <w:rFonts w:eastAsia="Times New Roman"/>
        </w:rPr>
      </w:pPr>
    </w:p>
    <w:p w:rsidR="00D109F4" w:rsidRPr="005207E5" w:rsidRDefault="00D109F4" w:rsidP="00D109F4">
      <w:pPr>
        <w:pStyle w:val="a7"/>
        <w:rPr>
          <w:rFonts w:eastAsia="TimesNewRomanPSMT"/>
          <w:sz w:val="16"/>
          <w:szCs w:val="16"/>
        </w:rPr>
      </w:pPr>
      <w:r w:rsidRPr="00DC6538">
        <w:t>Г</w:t>
      </w:r>
      <w:r w:rsidRPr="005207E5">
        <w:t>.</w:t>
      </w:r>
      <w:r w:rsidRPr="00DC6538">
        <w:t>В</w:t>
      </w:r>
      <w:r w:rsidRPr="005207E5">
        <w:t xml:space="preserve">. </w:t>
      </w:r>
      <w:proofErr w:type="spellStart"/>
      <w:r w:rsidRPr="00DC6538">
        <w:t>Эйгелис</w:t>
      </w:r>
      <w:proofErr w:type="spellEnd"/>
      <w:r w:rsidRPr="005207E5">
        <w:t xml:space="preserve">, </w:t>
      </w:r>
      <w:r w:rsidRPr="00DC6538">
        <w:t>М</w:t>
      </w:r>
      <w:r w:rsidRPr="005207E5">
        <w:t>.</w:t>
      </w:r>
      <w:r w:rsidRPr="00DC6538">
        <w:t>С</w:t>
      </w:r>
      <w:r w:rsidRPr="005207E5">
        <w:t xml:space="preserve">. </w:t>
      </w:r>
      <w:r w:rsidRPr="00DC6538">
        <w:t>Пальмова</w:t>
      </w:r>
    </w:p>
    <w:p w:rsidR="00D109F4" w:rsidRPr="00384CE6" w:rsidRDefault="00D109F4" w:rsidP="00D109F4">
      <w:pPr>
        <w:pStyle w:val="a8"/>
      </w:pPr>
      <w:r w:rsidRPr="002F14F8">
        <w:t xml:space="preserve">ФАКТОРЫ, ВЛИЯЮЩИЕ НА ПРОЦЕСС САМОАКТУАЛИЗАЦИИ </w:t>
      </w:r>
      <w:r>
        <w:br/>
      </w:r>
      <w:r w:rsidRPr="002F14F8">
        <w:t>ЛИЧНОСТИ В ПРОФЕССИОНАЛЬНОЙ ДЕЯТЕЛЬНОСТИ</w:t>
      </w:r>
    </w:p>
    <w:p w:rsidR="00D109F4" w:rsidRPr="00DC6538" w:rsidRDefault="00D109F4" w:rsidP="00D109F4">
      <w:pPr>
        <w:pStyle w:val="a9"/>
      </w:pPr>
      <w:r>
        <w:t>П</w:t>
      </w:r>
      <w:r w:rsidRPr="00DC6538">
        <w:t>редставлен краткий теоретический анализ взглядов зарубежных и отечественных психологов на понятие самоактуализации личности. Определяются наиболее значимые факторы, влияющие на процесс самоактуализации личности в профессиональной деятельности.</w:t>
      </w:r>
      <w:r w:rsidRPr="00DC6538">
        <w:rPr>
          <w:color w:val="000000"/>
          <w:shd w:val="clear" w:color="auto" w:fill="FFFFFF"/>
        </w:rPr>
        <w:t xml:space="preserve"> Исследуются взаимосвязи рефлексии, ценностных ориентаций и самоактуализации личности у представителей профессий типа «человек – знаковая система». Выявлены </w:t>
      </w:r>
      <w:r>
        <w:rPr>
          <w:color w:val="000000"/>
          <w:shd w:val="clear" w:color="auto" w:fill="FFFFFF"/>
        </w:rPr>
        <w:t>определе</w:t>
      </w:r>
      <w:r w:rsidRPr="00DC6538">
        <w:rPr>
          <w:color w:val="000000"/>
          <w:shd w:val="clear" w:color="auto" w:fill="FFFFFF"/>
        </w:rPr>
        <w:t xml:space="preserve">нные положительные корреляционные взаимосвязи между шкалами, которые могут быть использованы психологами в практической деятельности. </w:t>
      </w:r>
    </w:p>
    <w:p w:rsidR="00D109F4" w:rsidRPr="00DC6538" w:rsidRDefault="00D109F4" w:rsidP="00D109F4">
      <w:pPr>
        <w:pStyle w:val="a9"/>
      </w:pPr>
      <w:r w:rsidRPr="00DC6538">
        <w:rPr>
          <w:i/>
        </w:rPr>
        <w:t>Ключевые слова</w:t>
      </w:r>
      <w:r w:rsidRPr="00DC6538">
        <w:t xml:space="preserve">: самоактуализация личности, саморазвитие, </w:t>
      </w:r>
      <w:proofErr w:type="spellStart"/>
      <w:r w:rsidRPr="00DC6538">
        <w:t>самопонимание</w:t>
      </w:r>
      <w:proofErr w:type="spellEnd"/>
      <w:r w:rsidRPr="00DC6538">
        <w:t xml:space="preserve">, </w:t>
      </w:r>
      <w:proofErr w:type="spellStart"/>
      <w:r w:rsidRPr="00DC6538">
        <w:t>акмеологический</w:t>
      </w:r>
      <w:proofErr w:type="spellEnd"/>
      <w:r w:rsidRPr="00DC6538">
        <w:t xml:space="preserve"> подход, рефлексия, ценностные ориентации,</w:t>
      </w:r>
      <w:r>
        <w:t xml:space="preserve"> профессиональная деятельность</w:t>
      </w:r>
    </w:p>
    <w:p w:rsidR="00D109F4" w:rsidRDefault="00D109F4" w:rsidP="00D109F4">
      <w:pPr>
        <w:pStyle w:val="a9"/>
      </w:pPr>
    </w:p>
    <w:p w:rsidR="005207E5" w:rsidRDefault="005207E5" w:rsidP="005207E5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109F4" w:rsidRPr="005207E5" w:rsidRDefault="005207E5" w:rsidP="005207E5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5207E5" w:rsidRDefault="005207E5" w:rsidP="00D109F4">
      <w:pPr>
        <w:pStyle w:val="a7"/>
      </w:pPr>
    </w:p>
    <w:p w:rsidR="005207E5" w:rsidRDefault="005207E5" w:rsidP="00D109F4">
      <w:pPr>
        <w:pStyle w:val="a7"/>
      </w:pPr>
    </w:p>
    <w:p w:rsidR="00D109F4" w:rsidRPr="000D18D6" w:rsidRDefault="00D109F4" w:rsidP="00D109F4">
      <w:pPr>
        <w:pStyle w:val="a7"/>
        <w:rPr>
          <w:rFonts w:eastAsia="TimesNewRomanPSMT"/>
          <w:sz w:val="16"/>
          <w:szCs w:val="16"/>
        </w:rPr>
      </w:pPr>
      <w:r w:rsidRPr="00885860">
        <w:t xml:space="preserve">А.Д. Любимова, Ю.Б. </w:t>
      </w:r>
      <w:proofErr w:type="spellStart"/>
      <w:r w:rsidRPr="00885860">
        <w:t>Ламихов</w:t>
      </w:r>
      <w:proofErr w:type="spellEnd"/>
    </w:p>
    <w:p w:rsidR="00D109F4" w:rsidRPr="00F46961" w:rsidRDefault="00D109F4" w:rsidP="00D109F4">
      <w:pPr>
        <w:pStyle w:val="a8"/>
      </w:pPr>
      <w:r w:rsidRPr="00885860">
        <w:t xml:space="preserve">РЕПРЕЗЕНТАЦИИ ПРОГРАММЫ «МАТЕРИНСКИЙ КАПИТАЛ» </w:t>
      </w:r>
      <w:r>
        <w:br/>
      </w:r>
      <w:r w:rsidRPr="00885860">
        <w:t>В СОВРЕМЕННЫХ СМИ</w:t>
      </w:r>
    </w:p>
    <w:p w:rsidR="00D109F4" w:rsidRPr="00F46961" w:rsidRDefault="00D109F4" w:rsidP="00D109F4">
      <w:pPr>
        <w:pStyle w:val="a9"/>
      </w:pPr>
      <w:r>
        <w:t>П</w:t>
      </w:r>
      <w:r w:rsidRPr="00F46961">
        <w:t xml:space="preserve">редпринимается попытка пересмотра дискурсивных стратегий, реализуемых средствами массовой информации, при освещении социальной программы «материнский капитал». </w:t>
      </w:r>
      <w:r>
        <w:t>Ос</w:t>
      </w:r>
      <w:r w:rsidRPr="00F46961">
        <w:t xml:space="preserve">уществлен дискурсивный анализ российского печатного издания «Аргументы и факты» для того, чтобы обозначить способы освещения в СМИ практик оформления и реализации материнского капитала. </w:t>
      </w:r>
      <w:r>
        <w:t>Р</w:t>
      </w:r>
      <w:r w:rsidRPr="00F46961">
        <w:t>аскрыты дискурсивные стратегии масс-медиа, формирующие в обществе представления о материнском капитале и производимых с ним манипуляциях.</w:t>
      </w:r>
    </w:p>
    <w:p w:rsidR="00D109F4" w:rsidRPr="00F46961" w:rsidRDefault="00D109F4" w:rsidP="00D109F4">
      <w:pPr>
        <w:pStyle w:val="a9"/>
      </w:pPr>
      <w:r w:rsidRPr="00F46961">
        <w:rPr>
          <w:i/>
        </w:rPr>
        <w:t>Ключевые слова:</w:t>
      </w:r>
      <w:r>
        <w:t xml:space="preserve"> </w:t>
      </w:r>
      <w:r w:rsidRPr="00F46961">
        <w:t>материнский капитал, семейная политика, дискурс-анализ, государственные программы</w:t>
      </w:r>
    </w:p>
    <w:p w:rsidR="00D109F4" w:rsidRDefault="00D109F4" w:rsidP="00D109F4">
      <w:pPr>
        <w:pStyle w:val="a9"/>
      </w:pPr>
    </w:p>
    <w:p w:rsidR="005207E5" w:rsidRDefault="005207E5" w:rsidP="00D109F4">
      <w:pPr>
        <w:pStyle w:val="a7"/>
      </w:pPr>
    </w:p>
    <w:p w:rsidR="00D109F4" w:rsidRPr="000D18D6" w:rsidRDefault="00D109F4" w:rsidP="00D109F4">
      <w:pPr>
        <w:pStyle w:val="a7"/>
        <w:rPr>
          <w:rFonts w:eastAsia="TimesNewRomanPSMT"/>
          <w:sz w:val="16"/>
          <w:szCs w:val="16"/>
        </w:rPr>
      </w:pPr>
      <w:r>
        <w:t xml:space="preserve">С.И. </w:t>
      </w:r>
      <w:proofErr w:type="spellStart"/>
      <w:r>
        <w:t>Муфаздалов</w:t>
      </w:r>
      <w:proofErr w:type="spellEnd"/>
      <w:r w:rsidRPr="00915731">
        <w:t xml:space="preserve"> </w:t>
      </w:r>
    </w:p>
    <w:p w:rsidR="00D109F4" w:rsidRPr="00EB17FA" w:rsidRDefault="00D109F4" w:rsidP="00D109F4">
      <w:pPr>
        <w:pStyle w:val="a8"/>
        <w:rPr>
          <w:sz w:val="16"/>
          <w:szCs w:val="16"/>
        </w:rPr>
      </w:pPr>
      <w:r w:rsidRPr="00870396">
        <w:t>МОДЕЛЬ ЭФФЕКТИВНОЙ СИСТЕМЫ ОБЩЕСТВЕННОЙ</w:t>
      </w:r>
      <w:r>
        <w:t xml:space="preserve"> </w:t>
      </w:r>
      <w:r w:rsidRPr="00870396">
        <w:t xml:space="preserve">БЕЗОПАСНОСТИ: СОЦИОЛОГИЧЕСКИЙ АНАЛИЗ </w:t>
      </w:r>
    </w:p>
    <w:p w:rsidR="00D109F4" w:rsidRPr="00EB17FA" w:rsidRDefault="00D109F4" w:rsidP="00D109F4">
      <w:pPr>
        <w:pStyle w:val="a9"/>
      </w:pPr>
      <w:r w:rsidRPr="00EB17FA">
        <w:lastRenderedPageBreak/>
        <w:t>Предлагается анализ модели формирования эффективной системы общественной безопасности. Центральное место в этой модели занимает круг факторов, которые позволяют повысить эффективность работы полиции. Описание модели сопровождается анализом публикаций, связанных с соответствующими факторами, влияющими на доверие полиции, ее имидж в современном обществе.</w:t>
      </w:r>
    </w:p>
    <w:p w:rsidR="00D109F4" w:rsidRPr="00EB17FA" w:rsidRDefault="00D109F4" w:rsidP="00D109F4">
      <w:pPr>
        <w:pStyle w:val="a9"/>
      </w:pPr>
      <w:r w:rsidRPr="00EB17FA">
        <w:rPr>
          <w:i/>
        </w:rPr>
        <w:t>Ключевые слова</w:t>
      </w:r>
      <w:r w:rsidRPr="00EB17FA">
        <w:t>: социальное доверие, доверие к полиции, профессиональные сообщества</w:t>
      </w:r>
    </w:p>
    <w:p w:rsidR="00D109F4" w:rsidRDefault="00D109F4" w:rsidP="00D109F4">
      <w:pPr>
        <w:pStyle w:val="a9"/>
      </w:pPr>
    </w:p>
    <w:sectPr w:rsidR="00D109F4" w:rsidSect="000243A5">
      <w:headerReference w:type="default" r:id="rId9"/>
      <w:pgSz w:w="11906" w:h="16838" w:code="9"/>
      <w:pgMar w:top="1021" w:right="1021" w:bottom="1021" w:left="102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E6" w:rsidRDefault="006204E6" w:rsidP="007C528E">
      <w:pPr>
        <w:spacing w:after="0" w:line="240" w:lineRule="auto"/>
      </w:pPr>
      <w:r>
        <w:separator/>
      </w:r>
    </w:p>
  </w:endnote>
  <w:endnote w:type="continuationSeparator" w:id="0">
    <w:p w:rsidR="006204E6" w:rsidRDefault="006204E6" w:rsidP="007C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E6" w:rsidRDefault="006204E6" w:rsidP="007C528E">
      <w:pPr>
        <w:spacing w:after="0" w:line="240" w:lineRule="auto"/>
      </w:pPr>
      <w:r>
        <w:separator/>
      </w:r>
    </w:p>
  </w:footnote>
  <w:footnote w:type="continuationSeparator" w:id="0">
    <w:p w:rsidR="006204E6" w:rsidRDefault="006204E6" w:rsidP="007C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4E6" w:rsidRDefault="006204E6" w:rsidP="00AD36B1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4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12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2D6D51">
      <w:rPr>
        <w:noProof/>
      </w:rPr>
      <mc:AlternateContent>
        <mc:Choice Requires="wps">
          <w:drawing>
            <wp:inline distT="0" distB="0" distL="0" distR="0">
              <wp:extent cx="4175760" cy="60960"/>
              <wp:effectExtent l="9525" t="9525" r="5715" b="5715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7576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04E6" w:rsidRDefault="006204E6" w:rsidP="00AD36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width:328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z69PgIAAG8EAAAOAAAAZHJzL2Uyb0RvYy54bWysVFuO0zAU/UdiD5b/aZLSx0zUdAQzDEIa&#10;BqSBBTiO01j4he02KZuZVfCFxBq6pLm2204Ef4h+RLbv8fG5597b1dUgBdox67hWFS4mOUZMUd1w&#10;tanw1y+3ry4wcp6ohgitWIX3zOGr9csXq96UbKo7LRpmEZAoV/amwp33pswyRzsmiZtowxQEW20l&#10;8bC1m6yxpAd2KbJpni+yXtvGWE2Zc3B6k4J4HfnbllH/qW0d80hUGLT5+LXxW4dvtl6RcmOJ6Tg9&#10;yiD/oEISruDRM9UN8QRtLf+LSnJqtdOtn1AtM922nLKYA2RT5H9k89ARw2IuYI4zZ5vc/6Ol97vP&#10;FvEGaoeRIhJKdHg8/D78OvxERXCnN64E0IMBmB/e6iEgQ6bO3Gn6zQEkG2HSBRfQdf9RN8BHtl7H&#10;G0NrZbgJWSOggXLszyVgg0cUDmfFcr5cQIhCbJFfwjK8QMrTZWOdf8+0RGFRYQsVjuRkd+d8gp4g&#10;UaUWvLnlQsRN6Cp2LSzaEegHP6RMxFaC0nRW5OGX2gLOoXnS+UlGbMxAEUW5MbtQqAfNr+d58mcc&#10;c3ZTn9+NT5wJxzDJPUyD4LLCFyMhHSPNO9VAdqT0hIu0BlOEOrofDE/W+6EeABhKUutmD3WwOnU9&#10;TCksOm1/YNRDx1fYfd8SyzASHxS01GUxm4URiZvZfDmFjR1H6nGEKApUYCJGaXnt01htjeWbDl5K&#10;5ir9Burf8libZ1VH3dDV0cjjBIaxGe8j6vl/Yv0EAAD//wMAUEsDBBQABgAIAAAAIQA1oZg13AAA&#10;AAMBAAAPAAAAZHJzL2Rvd25yZXYueG1sTI9BS8NAEIXvgv9hGcGb3bToVmM2pRQEL0KtWuptkx2T&#10;0Oxsmt026b939KKXgcd7vPdNthhdK07Yh8aThukkAYFUettQpeH97enmHkSIhqxpPaGGMwZY5JcX&#10;mUmtH+gVT5tYCS6hkBoNdYxdKmUoa3QmTHyHxN6X752JLPtK2t4MXO5aOUsSJZ1piBdq0+GqxnK/&#10;OToNt5+HlznSaj1NqqF7/tgedvtCaX19NS4fQUQc418YfvAZHXJmKvyRbBCtBn4k/l721N1cgSg0&#10;PCiQeSb/s+ffAAAA//8DAFBLAQItABQABgAIAAAAIQC2gziS/gAAAOEBAAATAAAAAAAAAAAAAAAA&#10;AAAAAABbQ29udGVudF9UeXBlc10ueG1sUEsBAi0AFAAGAAgAAAAhADj9If/WAAAAlAEAAAsAAAAA&#10;AAAAAAAAAAAALwEAAF9yZWxzLy5yZWxzUEsBAi0AFAAGAAgAAAAhAPzLPr0+AgAAbwQAAA4AAAAA&#10;AAAAAAAAAAAALgIAAGRycy9lMm9Eb2MueG1sUEsBAi0AFAAGAAgAAAAhADWhmDXcAAAAAwEAAA8A&#10;AAAAAAAAAAAAAAAAmAQAAGRycy9kb3ducmV2LnhtbFBLBQYAAAAABAAEAPMAAAChBQAAAAA=&#10;" fillcolor="black [3213]" strokeweight=".5pt">
              <v:path arrowok="t"/>
              <v:textbox>
                <w:txbxContent>
                  <w:p w:rsidR="006204E6" w:rsidRDefault="006204E6" w:rsidP="00AD36B1"/>
                </w:txbxContent>
              </v:textbox>
              <w10:anchorlock/>
            </v:shape>
          </w:pict>
        </mc:Fallback>
      </mc:AlternateContent>
    </w:r>
    <w:r>
      <w:tab/>
    </w:r>
    <w:r w:rsidR="005207E5">
      <w:fldChar w:fldCharType="begin"/>
    </w:r>
    <w:r w:rsidR="005207E5">
      <w:instrText>PAGE   \* MERGEFORMAT</w:instrText>
    </w:r>
    <w:r w:rsidR="005207E5">
      <w:fldChar w:fldCharType="separate"/>
    </w:r>
    <w:r w:rsidR="007F3D12">
      <w:rPr>
        <w:noProof/>
      </w:rPr>
      <w:t>17</w:t>
    </w:r>
    <w:r w:rsidR="005207E5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A5"/>
    <w:rsid w:val="00004E37"/>
    <w:rsid w:val="00017AC1"/>
    <w:rsid w:val="000243A5"/>
    <w:rsid w:val="00025B10"/>
    <w:rsid w:val="00074EC7"/>
    <w:rsid w:val="00084763"/>
    <w:rsid w:val="00096696"/>
    <w:rsid w:val="000B6361"/>
    <w:rsid w:val="000C207B"/>
    <w:rsid w:val="000C6F10"/>
    <w:rsid w:val="000D1168"/>
    <w:rsid w:val="000E1A0B"/>
    <w:rsid w:val="00105B45"/>
    <w:rsid w:val="0011400A"/>
    <w:rsid w:val="00115B32"/>
    <w:rsid w:val="00124CB0"/>
    <w:rsid w:val="0013786F"/>
    <w:rsid w:val="00154CFA"/>
    <w:rsid w:val="0016468C"/>
    <w:rsid w:val="00172D6F"/>
    <w:rsid w:val="001743D9"/>
    <w:rsid w:val="001772E4"/>
    <w:rsid w:val="00191CBF"/>
    <w:rsid w:val="001B701D"/>
    <w:rsid w:val="001B770F"/>
    <w:rsid w:val="001E6E42"/>
    <w:rsid w:val="001F1D84"/>
    <w:rsid w:val="001F7333"/>
    <w:rsid w:val="001F735C"/>
    <w:rsid w:val="0025281B"/>
    <w:rsid w:val="00261898"/>
    <w:rsid w:val="002C1E94"/>
    <w:rsid w:val="002D6D51"/>
    <w:rsid w:val="002E112F"/>
    <w:rsid w:val="002E5AFF"/>
    <w:rsid w:val="002E6B2D"/>
    <w:rsid w:val="002F3051"/>
    <w:rsid w:val="0030526A"/>
    <w:rsid w:val="00351709"/>
    <w:rsid w:val="00360128"/>
    <w:rsid w:val="00374798"/>
    <w:rsid w:val="003837A1"/>
    <w:rsid w:val="003C7EF8"/>
    <w:rsid w:val="003F01BB"/>
    <w:rsid w:val="003F2682"/>
    <w:rsid w:val="00415DF5"/>
    <w:rsid w:val="00462078"/>
    <w:rsid w:val="00462AAC"/>
    <w:rsid w:val="004A7BFB"/>
    <w:rsid w:val="004B59BF"/>
    <w:rsid w:val="004C0C2C"/>
    <w:rsid w:val="004C7167"/>
    <w:rsid w:val="0050162E"/>
    <w:rsid w:val="00502A74"/>
    <w:rsid w:val="00514CB8"/>
    <w:rsid w:val="00515327"/>
    <w:rsid w:val="0051686D"/>
    <w:rsid w:val="005207E5"/>
    <w:rsid w:val="005212B7"/>
    <w:rsid w:val="00536B6C"/>
    <w:rsid w:val="0056135C"/>
    <w:rsid w:val="00561DCA"/>
    <w:rsid w:val="005939E4"/>
    <w:rsid w:val="0059708A"/>
    <w:rsid w:val="005B3F19"/>
    <w:rsid w:val="005C0FCA"/>
    <w:rsid w:val="005C5D66"/>
    <w:rsid w:val="005E713E"/>
    <w:rsid w:val="0061226B"/>
    <w:rsid w:val="006204E6"/>
    <w:rsid w:val="006566AA"/>
    <w:rsid w:val="00686082"/>
    <w:rsid w:val="006876A4"/>
    <w:rsid w:val="00690B73"/>
    <w:rsid w:val="00696366"/>
    <w:rsid w:val="00696EF8"/>
    <w:rsid w:val="006C13E6"/>
    <w:rsid w:val="006D204C"/>
    <w:rsid w:val="006D20A0"/>
    <w:rsid w:val="006E00BC"/>
    <w:rsid w:val="006F0D57"/>
    <w:rsid w:val="006F0E50"/>
    <w:rsid w:val="00704F5A"/>
    <w:rsid w:val="007100FC"/>
    <w:rsid w:val="00710DBA"/>
    <w:rsid w:val="00713D3D"/>
    <w:rsid w:val="00724237"/>
    <w:rsid w:val="0072509C"/>
    <w:rsid w:val="0075302E"/>
    <w:rsid w:val="00787327"/>
    <w:rsid w:val="007B6B79"/>
    <w:rsid w:val="007C48BE"/>
    <w:rsid w:val="007C528E"/>
    <w:rsid w:val="007D5284"/>
    <w:rsid w:val="007F2DB9"/>
    <w:rsid w:val="007F3D12"/>
    <w:rsid w:val="00802916"/>
    <w:rsid w:val="008176BE"/>
    <w:rsid w:val="00844F3C"/>
    <w:rsid w:val="00856519"/>
    <w:rsid w:val="008918DF"/>
    <w:rsid w:val="00894E28"/>
    <w:rsid w:val="008975F0"/>
    <w:rsid w:val="008A080B"/>
    <w:rsid w:val="008F45ED"/>
    <w:rsid w:val="00911636"/>
    <w:rsid w:val="00930FBB"/>
    <w:rsid w:val="009439C9"/>
    <w:rsid w:val="00954E24"/>
    <w:rsid w:val="0095630F"/>
    <w:rsid w:val="00961086"/>
    <w:rsid w:val="00975145"/>
    <w:rsid w:val="00991F96"/>
    <w:rsid w:val="009928DE"/>
    <w:rsid w:val="009C408C"/>
    <w:rsid w:val="009D5905"/>
    <w:rsid w:val="009E1880"/>
    <w:rsid w:val="009E7A12"/>
    <w:rsid w:val="00A02FDA"/>
    <w:rsid w:val="00A04044"/>
    <w:rsid w:val="00A222F4"/>
    <w:rsid w:val="00A33A2C"/>
    <w:rsid w:val="00A417BC"/>
    <w:rsid w:val="00A4228A"/>
    <w:rsid w:val="00A42E5C"/>
    <w:rsid w:val="00A76668"/>
    <w:rsid w:val="00AB6411"/>
    <w:rsid w:val="00AC19D1"/>
    <w:rsid w:val="00AD36B1"/>
    <w:rsid w:val="00AE1352"/>
    <w:rsid w:val="00B14801"/>
    <w:rsid w:val="00B166A2"/>
    <w:rsid w:val="00B62A5E"/>
    <w:rsid w:val="00B93E7C"/>
    <w:rsid w:val="00B97495"/>
    <w:rsid w:val="00BB2BE4"/>
    <w:rsid w:val="00BB6A6B"/>
    <w:rsid w:val="00BF52EF"/>
    <w:rsid w:val="00C01BF0"/>
    <w:rsid w:val="00C15ADE"/>
    <w:rsid w:val="00C262F3"/>
    <w:rsid w:val="00C35EAA"/>
    <w:rsid w:val="00C53B85"/>
    <w:rsid w:val="00C642E4"/>
    <w:rsid w:val="00C64BD3"/>
    <w:rsid w:val="00C71B01"/>
    <w:rsid w:val="00C72A2A"/>
    <w:rsid w:val="00C81DAF"/>
    <w:rsid w:val="00CA5419"/>
    <w:rsid w:val="00CD1CA1"/>
    <w:rsid w:val="00CD291A"/>
    <w:rsid w:val="00D02AF1"/>
    <w:rsid w:val="00D04563"/>
    <w:rsid w:val="00D109F4"/>
    <w:rsid w:val="00D4360F"/>
    <w:rsid w:val="00D540AD"/>
    <w:rsid w:val="00D543E5"/>
    <w:rsid w:val="00D62EC8"/>
    <w:rsid w:val="00D74646"/>
    <w:rsid w:val="00DB0B2B"/>
    <w:rsid w:val="00DB2B87"/>
    <w:rsid w:val="00DC4CEE"/>
    <w:rsid w:val="00DE7D25"/>
    <w:rsid w:val="00E02CCB"/>
    <w:rsid w:val="00E069B1"/>
    <w:rsid w:val="00E41844"/>
    <w:rsid w:val="00E42733"/>
    <w:rsid w:val="00E605C5"/>
    <w:rsid w:val="00E8021E"/>
    <w:rsid w:val="00E94B72"/>
    <w:rsid w:val="00EA779C"/>
    <w:rsid w:val="00EB72B9"/>
    <w:rsid w:val="00EC365B"/>
    <w:rsid w:val="00EC438F"/>
    <w:rsid w:val="00ED1965"/>
    <w:rsid w:val="00EE06BF"/>
    <w:rsid w:val="00EF452A"/>
    <w:rsid w:val="00F14339"/>
    <w:rsid w:val="00F15D0F"/>
    <w:rsid w:val="00F361E4"/>
    <w:rsid w:val="00F42129"/>
    <w:rsid w:val="00F44471"/>
    <w:rsid w:val="00F4490F"/>
    <w:rsid w:val="00F6414F"/>
    <w:rsid w:val="00F96231"/>
    <w:rsid w:val="00FA29D6"/>
    <w:rsid w:val="00FA3314"/>
    <w:rsid w:val="00FB2A79"/>
    <w:rsid w:val="00FE16EF"/>
    <w:rsid w:val="00FF232B"/>
    <w:rsid w:val="00FF762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7A0AB6"/>
  <w15:docId w15:val="{78D99D63-362E-4CA3-8306-95A2492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3A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02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3A5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0243A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0243A5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0243A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qFormat/>
    <w:rsid w:val="000243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0243A5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0243A5"/>
    <w:pPr>
      <w:ind w:firstLine="0"/>
      <w:jc w:val="left"/>
    </w:pPr>
  </w:style>
  <w:style w:type="paragraph" w:styleId="ab">
    <w:name w:val="footer"/>
    <w:basedOn w:val="a"/>
    <w:link w:val="ac"/>
    <w:unhideWhenUsed/>
    <w:rsid w:val="0002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0243A5"/>
    <w:rPr>
      <w:rFonts w:eastAsiaTheme="minorEastAsia" w:cs="Times New Roman"/>
      <w:lang w:eastAsia="ru-RU"/>
    </w:rPr>
  </w:style>
  <w:style w:type="character" w:styleId="ad">
    <w:name w:val="Hyperlink"/>
    <w:basedOn w:val="a0"/>
    <w:uiPriority w:val="99"/>
    <w:unhideWhenUsed/>
    <w:rsid w:val="00B16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1%87%D0%B5%D1%81%D0%BA%D0%B8%D0%B9_%D1%81%D0%BE%D1%8E%D0%B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5%D0%B6%D0%B4%D1%83%D0%BD%D0%B0%D1%80%D0%BE%D0%B4%D0%BD%D0%B0%D1%8F_%D1%8D%D0%BA%D0%BE%D0%BD%D0%BE%D0%BC%D0%B8%D1%87%D0%B5%D1%81%D0%BA%D0%B0%D1%8F_%D0%B8%D0%BD%D1%82%D0%B5%D0%B3%D1%80%D0%B0%D1%86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0%BD%D0%BE%D0%BC%D0%B8%D1%87%D0%B5%D1%81%D0%BA%D0%B8%D0%B9_%D1%81%D0%BE%D1%8E%D0%B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5</cp:revision>
  <dcterms:created xsi:type="dcterms:W3CDTF">2018-04-24T15:31:00Z</dcterms:created>
  <dcterms:modified xsi:type="dcterms:W3CDTF">2018-04-24T18:02:00Z</dcterms:modified>
</cp:coreProperties>
</file>