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CDA" w:rsidRDefault="00D87CDA" w:rsidP="00D87CDA">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D87CDA">
        <w:rPr>
          <w:rStyle w:val="shorttext"/>
          <w:rFonts w:cstheme="minorHAnsi"/>
          <w:b/>
          <w:sz w:val="32"/>
          <w:szCs w:val="32"/>
          <w:lang w:val="en-US"/>
        </w:rPr>
        <w:t>NNOTATIONS OF ARTICLES</w:t>
      </w:r>
      <w:r w:rsidRPr="0071050D">
        <w:rPr>
          <w:rStyle w:val="shorttext"/>
          <w:rFonts w:cstheme="minorHAnsi"/>
          <w:b/>
          <w:sz w:val="32"/>
          <w:szCs w:val="32"/>
          <w:lang w:val="en-US"/>
        </w:rPr>
        <w:t>.</w:t>
      </w:r>
      <w:proofErr w:type="gramEnd"/>
      <w:r w:rsidRPr="0071050D">
        <w:rPr>
          <w:rFonts w:cstheme="minorHAnsi"/>
          <w:b/>
          <w:sz w:val="32"/>
          <w:szCs w:val="32"/>
          <w:lang w:val="en-US"/>
        </w:rPr>
        <w:t xml:space="preserve"> </w:t>
      </w:r>
    </w:p>
    <w:p w:rsidR="00D87CDA" w:rsidRDefault="00D87CDA" w:rsidP="00D87CDA">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D87CDA" w:rsidRPr="002D5488" w:rsidRDefault="00D87CDA" w:rsidP="00D87CDA">
      <w:pPr>
        <w:spacing w:after="0" w:line="240" w:lineRule="auto"/>
        <w:jc w:val="center"/>
        <w:rPr>
          <w:rFonts w:cstheme="minorHAnsi"/>
          <w:b/>
          <w:sz w:val="32"/>
          <w:szCs w:val="32"/>
          <w:lang w:val="en-US"/>
        </w:rPr>
      </w:pPr>
      <w:r>
        <w:rPr>
          <w:rFonts w:cstheme="minorHAnsi"/>
          <w:b/>
          <w:sz w:val="32"/>
          <w:szCs w:val="32"/>
          <w:lang w:val="en-US"/>
        </w:rPr>
        <w:t>№</w:t>
      </w:r>
      <w:r w:rsidR="003C23DB">
        <w:rPr>
          <w:rFonts w:cstheme="minorHAnsi"/>
          <w:b/>
          <w:sz w:val="32"/>
          <w:szCs w:val="32"/>
        </w:rPr>
        <w:t>1</w:t>
      </w:r>
      <w:r>
        <w:rPr>
          <w:rFonts w:cstheme="minorHAnsi"/>
          <w:b/>
          <w:sz w:val="32"/>
          <w:szCs w:val="32"/>
          <w:lang w:val="en-US"/>
        </w:rPr>
        <w:t xml:space="preserve"> (</w:t>
      </w:r>
      <w:r w:rsidR="003C23DB">
        <w:rPr>
          <w:rFonts w:cstheme="minorHAnsi"/>
          <w:b/>
          <w:sz w:val="32"/>
          <w:szCs w:val="32"/>
        </w:rPr>
        <w:t>21</w:t>
      </w:r>
      <w:r>
        <w:rPr>
          <w:rFonts w:cstheme="minorHAnsi"/>
          <w:b/>
          <w:sz w:val="32"/>
          <w:szCs w:val="32"/>
          <w:lang w:val="en-US"/>
        </w:rPr>
        <w:t>) 201</w:t>
      </w:r>
      <w:r w:rsidR="003C23DB">
        <w:rPr>
          <w:rFonts w:cstheme="minorHAnsi"/>
          <w:b/>
          <w:sz w:val="32"/>
          <w:szCs w:val="32"/>
        </w:rPr>
        <w:t>9</w:t>
      </w:r>
      <w:r w:rsidRPr="002D5488">
        <w:rPr>
          <w:rFonts w:cstheme="minorHAnsi"/>
          <w:b/>
          <w:sz w:val="32"/>
          <w:szCs w:val="32"/>
          <w:lang w:val="en-US"/>
        </w:rPr>
        <w:t xml:space="preserve"> </w:t>
      </w:r>
    </w:p>
    <w:p w:rsidR="00D87CDA" w:rsidRPr="002D5488" w:rsidRDefault="00D87CDA" w:rsidP="00D87CDA">
      <w:pPr>
        <w:spacing w:after="0" w:line="240" w:lineRule="auto"/>
        <w:jc w:val="center"/>
        <w:rPr>
          <w:rFonts w:ascii="Calibri" w:eastAsia="Times New Roman" w:hAnsi="Calibri"/>
          <w:b/>
          <w:spacing w:val="60"/>
          <w:sz w:val="28"/>
          <w:szCs w:val="28"/>
          <w:lang w:val="en-US"/>
        </w:rPr>
      </w:pPr>
    </w:p>
    <w:p w:rsidR="00D87CDA" w:rsidRPr="002D5488" w:rsidRDefault="00D87CDA" w:rsidP="00D87CDA">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D87CDA" w:rsidRDefault="00D87CDA" w:rsidP="00D87CDA">
      <w:pPr>
        <w:spacing w:after="0" w:line="240" w:lineRule="auto"/>
        <w:rPr>
          <w:rFonts w:ascii="Times New Roman" w:hAnsi="Times New Roman"/>
          <w:sz w:val="24"/>
          <w:szCs w:val="24"/>
          <w:lang w:val="en-US"/>
        </w:rPr>
      </w:pPr>
    </w:p>
    <w:p w:rsidR="003C23DB" w:rsidRDefault="003C23DB" w:rsidP="003C23DB">
      <w:pPr>
        <w:pStyle w:val="a5"/>
        <w:rPr>
          <w:sz w:val="16"/>
          <w:szCs w:val="16"/>
          <w:lang w:val="en-US"/>
        </w:rPr>
      </w:pPr>
      <w:r>
        <w:rPr>
          <w:lang w:val="en-US"/>
        </w:rPr>
        <w:t xml:space="preserve">D.V. </w:t>
      </w:r>
      <w:proofErr w:type="spellStart"/>
      <w:r>
        <w:rPr>
          <w:lang w:val="en-US"/>
        </w:rPr>
        <w:t>Bashmakov</w:t>
      </w:r>
      <w:proofErr w:type="spellEnd"/>
      <w:r>
        <w:rPr>
          <w:lang w:val="en-US"/>
        </w:rPr>
        <w:t xml:space="preserve"> </w:t>
      </w:r>
    </w:p>
    <w:p w:rsidR="003C23DB" w:rsidRDefault="003C23DB" w:rsidP="003C23DB">
      <w:pPr>
        <w:pStyle w:val="a6"/>
        <w:rPr>
          <w:rFonts w:ascii="Times New Roman" w:hAnsi="Times New Roman"/>
          <w:sz w:val="24"/>
          <w:szCs w:val="24"/>
          <w:lang w:val="en-US"/>
        </w:rPr>
      </w:pPr>
      <w:r>
        <w:rPr>
          <w:lang w:val="en-US"/>
        </w:rPr>
        <w:t>ON THE FORMATION OF CREATIVE TERRITORY</w:t>
      </w:r>
    </w:p>
    <w:p w:rsidR="003C23DB" w:rsidRDefault="003C23DB" w:rsidP="003C23DB">
      <w:pPr>
        <w:pStyle w:val="a7"/>
        <w:rPr>
          <w:lang w:val="en-US" w:eastAsia="en-US"/>
        </w:rPr>
      </w:pPr>
      <w:proofErr w:type="gramStart"/>
      <w:r>
        <w:rPr>
          <w:lang w:val="en-US" w:eastAsia="en-US"/>
        </w:rPr>
        <w:t>Denoting the territory with a dynamic creative economy as an object of research, the author points to the two most well-known approaches to its description.</w:t>
      </w:r>
      <w:proofErr w:type="gramEnd"/>
      <w:r>
        <w:rPr>
          <w:lang w:val="en-US" w:eastAsia="en-US"/>
        </w:rPr>
        <w:t xml:space="preserve"> The first of them, C. Landry's a</w:t>
      </w:r>
      <w:r>
        <w:rPr>
          <w:lang w:val="en-US" w:eastAsia="en-US"/>
        </w:rPr>
        <w:t>p</w:t>
      </w:r>
      <w:r>
        <w:rPr>
          <w:lang w:val="en-US" w:eastAsia="en-US"/>
        </w:rPr>
        <w:t>proach, is based on a creative rethinking of the cultural resources of the territory in the context of its innovative development pol</w:t>
      </w:r>
      <w:r>
        <w:rPr>
          <w:lang w:val="en-US" w:eastAsia="en-US"/>
        </w:rPr>
        <w:t>i</w:t>
      </w:r>
      <w:r>
        <w:rPr>
          <w:lang w:val="en-US" w:eastAsia="en-US"/>
        </w:rPr>
        <w:t>cy. The second approach, authored by R. Florida, focuses on the fo</w:t>
      </w:r>
      <w:r>
        <w:rPr>
          <w:lang w:val="en-US" w:eastAsia="en-US"/>
        </w:rPr>
        <w:t>r</w:t>
      </w:r>
      <w:r>
        <w:rPr>
          <w:lang w:val="en-US" w:eastAsia="en-US"/>
        </w:rPr>
        <w:t>mation of a class of representatives of creative industries and migration flows, leading to the development of mega-urbanization. Despite the diffe</w:t>
      </w:r>
      <w:r>
        <w:rPr>
          <w:lang w:val="en-US" w:eastAsia="en-US"/>
        </w:rPr>
        <w:t>r</w:t>
      </w:r>
      <w:r>
        <w:rPr>
          <w:lang w:val="en-US" w:eastAsia="en-US"/>
        </w:rPr>
        <w:t>ences and criticism, both approaches agree on the need to create and develop creative industries on the terr</w:t>
      </w:r>
      <w:r>
        <w:rPr>
          <w:lang w:val="en-US" w:eastAsia="en-US"/>
        </w:rPr>
        <w:t>i</w:t>
      </w:r>
      <w:r>
        <w:rPr>
          <w:lang w:val="en-US" w:eastAsia="en-US"/>
        </w:rPr>
        <w:t>tory. The paper analyzes a set of conditions that ensure the formation of creative territory. These conditions concern the creation of places for inspiration and spaces for creative interaction, the analysis of everyday life, determined by the level of welfare of the population, the quality of IT and transport infrastructure, links with other sectors of the economy and adequate policies of local go</w:t>
      </w:r>
      <w:r>
        <w:rPr>
          <w:lang w:val="en-US" w:eastAsia="en-US"/>
        </w:rPr>
        <w:t>v</w:t>
      </w:r>
      <w:r>
        <w:rPr>
          <w:lang w:val="en-US" w:eastAsia="en-US"/>
        </w:rPr>
        <w:t>ernments. The proposed conditions take into account the possibilities of employment for the pop</w:t>
      </w:r>
      <w:r>
        <w:rPr>
          <w:lang w:val="en-US" w:eastAsia="en-US"/>
        </w:rPr>
        <w:t>u</w:t>
      </w:r>
      <w:r>
        <w:rPr>
          <w:lang w:val="en-US" w:eastAsia="en-US"/>
        </w:rPr>
        <w:t>lation, the achievement of multiplicative effects in the economy and the improvement of urban spaces. As a conclusion, the native intention of humanity to a creative economy, aimed at overcoming the negative effects of physical labor in conditions of its mechaniz</w:t>
      </w:r>
      <w:r>
        <w:rPr>
          <w:lang w:val="en-US" w:eastAsia="en-US"/>
        </w:rPr>
        <w:t>a</w:t>
      </w:r>
      <w:r>
        <w:rPr>
          <w:lang w:val="en-US" w:eastAsia="en-US"/>
        </w:rPr>
        <w:t>tion and the development of human intellectual efforts in the process of economic reprodu</w:t>
      </w:r>
      <w:r>
        <w:rPr>
          <w:lang w:val="en-US" w:eastAsia="en-US"/>
        </w:rPr>
        <w:t>c</w:t>
      </w:r>
      <w:r>
        <w:rPr>
          <w:lang w:val="en-US" w:eastAsia="en-US"/>
        </w:rPr>
        <w:t>tion.</w:t>
      </w:r>
    </w:p>
    <w:p w:rsidR="003C23DB" w:rsidRDefault="003C23DB" w:rsidP="003C23DB">
      <w:pPr>
        <w:pStyle w:val="a7"/>
        <w:rPr>
          <w:lang w:val="en-US" w:eastAsia="en-US"/>
        </w:rPr>
      </w:pPr>
      <w:r>
        <w:rPr>
          <w:i/>
          <w:lang w:val="en-US" w:eastAsia="en-US"/>
        </w:rPr>
        <w:t>Keywords:</w:t>
      </w:r>
      <w:r>
        <w:rPr>
          <w:lang w:val="en-US" w:eastAsia="en-US"/>
        </w:rPr>
        <w:t xml:space="preserve"> creative territory, creative indu</w:t>
      </w:r>
      <w:r>
        <w:rPr>
          <w:lang w:val="en-US" w:eastAsia="en-US"/>
        </w:rPr>
        <w:t>s</w:t>
      </w:r>
      <w:r>
        <w:rPr>
          <w:lang w:val="en-US" w:eastAsia="en-US"/>
        </w:rPr>
        <w:t>tries, creative economy, creative thinking, post-industrialization</w:t>
      </w:r>
    </w:p>
    <w:p w:rsidR="00C940FE" w:rsidRDefault="00C940FE" w:rsidP="003C23DB">
      <w:pPr>
        <w:pStyle w:val="a5"/>
      </w:pPr>
    </w:p>
    <w:p w:rsidR="003C23DB" w:rsidRDefault="003C23DB" w:rsidP="003C23DB">
      <w:pPr>
        <w:pStyle w:val="a5"/>
        <w:rPr>
          <w:b/>
          <w:sz w:val="16"/>
          <w:szCs w:val="16"/>
          <w:lang w:val="en-US"/>
        </w:rPr>
      </w:pPr>
      <w:r>
        <w:rPr>
          <w:lang w:val="en-US"/>
        </w:rPr>
        <w:t xml:space="preserve">D.A. </w:t>
      </w:r>
      <w:proofErr w:type="spellStart"/>
      <w:r>
        <w:rPr>
          <w:lang w:val="en-US"/>
        </w:rPr>
        <w:t>Golovenkin</w:t>
      </w:r>
      <w:proofErr w:type="spellEnd"/>
      <w:r>
        <w:rPr>
          <w:lang w:val="en-US"/>
        </w:rPr>
        <w:t xml:space="preserve">, </w:t>
      </w:r>
      <w:proofErr w:type="spellStart"/>
      <w:r>
        <w:rPr>
          <w:lang w:val="en-US"/>
        </w:rPr>
        <w:t>S.Yu</w:t>
      </w:r>
      <w:proofErr w:type="spellEnd"/>
      <w:r>
        <w:rPr>
          <w:lang w:val="en-US"/>
        </w:rPr>
        <w:t xml:space="preserve">. </w:t>
      </w:r>
      <w:proofErr w:type="spellStart"/>
      <w:r>
        <w:rPr>
          <w:lang w:val="en-US"/>
        </w:rPr>
        <w:t>Lomonosova</w:t>
      </w:r>
      <w:proofErr w:type="spellEnd"/>
      <w:r>
        <w:rPr>
          <w:lang w:val="en-US"/>
        </w:rPr>
        <w:t xml:space="preserve"> </w:t>
      </w:r>
    </w:p>
    <w:p w:rsidR="003C23DB" w:rsidRDefault="003C23DB" w:rsidP="003C23DB">
      <w:pPr>
        <w:pStyle w:val="a6"/>
        <w:rPr>
          <w:rFonts w:ascii="Times New Roman" w:hAnsi="Times New Roman"/>
          <w:sz w:val="24"/>
          <w:szCs w:val="24"/>
          <w:lang w:val="en-US"/>
        </w:rPr>
      </w:pPr>
      <w:r>
        <w:rPr>
          <w:lang w:val="en-US"/>
        </w:rPr>
        <w:t xml:space="preserve">SHADOW ECONOMY AND ECONOMIC SAFETY – CAUSE DUTILITY </w:t>
      </w:r>
      <w:r>
        <w:rPr>
          <w:lang w:val="en-US"/>
        </w:rPr>
        <w:br/>
        <w:t>AND PECULIARITIES OF INTERACTION ABSTRACT</w:t>
      </w:r>
    </w:p>
    <w:p w:rsidR="003C23DB" w:rsidRPr="003C23DB" w:rsidRDefault="003C23DB" w:rsidP="003C23DB">
      <w:pPr>
        <w:pStyle w:val="a7"/>
        <w:rPr>
          <w:lang w:val="en-US" w:eastAsia="en-US"/>
        </w:rPr>
      </w:pPr>
      <w:r w:rsidRPr="003C23DB">
        <w:rPr>
          <w:lang w:val="en-US" w:eastAsia="en-US"/>
        </w:rPr>
        <w:t xml:space="preserve">The problems of the influence of the shadow economy and economic security are considered. The purely economic and cultural aspects of the shadow economy have been studied. As a result, the author comes to the conclusion that the transfer of the shadow economy to the legal one is impossible without a qualitative change in the economic culture of the population. </w:t>
      </w:r>
    </w:p>
    <w:p w:rsidR="003C23DB" w:rsidRPr="003C23DB" w:rsidRDefault="003C23DB" w:rsidP="00C940FE">
      <w:pPr>
        <w:spacing w:after="0" w:line="240" w:lineRule="auto"/>
        <w:ind w:firstLine="567"/>
        <w:jc w:val="both"/>
        <w:rPr>
          <w:rFonts w:cstheme="minorBidi"/>
          <w:lang w:val="en-US" w:eastAsia="en-US"/>
        </w:rPr>
      </w:pPr>
      <w:r w:rsidRPr="003C23DB">
        <w:rPr>
          <w:rFonts w:ascii="Times New Roman" w:hAnsi="Times New Roman"/>
          <w:i/>
          <w:lang w:val="en-US" w:eastAsia="en-US"/>
        </w:rPr>
        <w:t>Keywords:</w:t>
      </w:r>
      <w:r w:rsidRPr="003C23DB">
        <w:rPr>
          <w:rFonts w:ascii="Times New Roman" w:hAnsi="Times New Roman"/>
          <w:lang w:val="en-US" w:eastAsia="en-US"/>
        </w:rPr>
        <w:t xml:space="preserve"> shadow economy, economic security, state security, informal employment, economic cu</w:t>
      </w:r>
      <w:r w:rsidRPr="003C23DB">
        <w:rPr>
          <w:rFonts w:ascii="Times New Roman" w:hAnsi="Times New Roman"/>
          <w:lang w:val="en-US" w:eastAsia="en-US"/>
        </w:rPr>
        <w:t>l</w:t>
      </w:r>
      <w:r w:rsidRPr="003C23DB">
        <w:rPr>
          <w:rFonts w:ascii="Times New Roman" w:hAnsi="Times New Roman"/>
          <w:lang w:val="en-US" w:eastAsia="en-US"/>
        </w:rPr>
        <w:t>ture</w:t>
      </w:r>
    </w:p>
    <w:p w:rsidR="00C940FE" w:rsidRDefault="00C940FE" w:rsidP="003C23DB">
      <w:pPr>
        <w:pStyle w:val="a5"/>
      </w:pPr>
    </w:p>
    <w:p w:rsidR="003C23DB" w:rsidRPr="00C940FE" w:rsidRDefault="003C23DB" w:rsidP="003C23DB">
      <w:pPr>
        <w:pStyle w:val="a5"/>
        <w:rPr>
          <w:lang w:val="en-US"/>
        </w:rPr>
      </w:pPr>
      <w:r>
        <w:rPr>
          <w:lang w:val="en-US"/>
        </w:rPr>
        <w:t xml:space="preserve">O.V. </w:t>
      </w:r>
      <w:proofErr w:type="spellStart"/>
      <w:r>
        <w:rPr>
          <w:lang w:val="en-US"/>
        </w:rPr>
        <w:t>Grushina</w:t>
      </w:r>
      <w:proofErr w:type="spellEnd"/>
      <w:r>
        <w:rPr>
          <w:lang w:val="en-US"/>
        </w:rPr>
        <w:t xml:space="preserve">, N.N. </w:t>
      </w:r>
      <w:proofErr w:type="spellStart"/>
      <w:r>
        <w:rPr>
          <w:lang w:val="en-US"/>
        </w:rPr>
        <w:t>Shelomentseva</w:t>
      </w:r>
      <w:proofErr w:type="spellEnd"/>
    </w:p>
    <w:p w:rsidR="003C23DB" w:rsidRPr="00C940FE" w:rsidRDefault="003C23DB" w:rsidP="003C23DB">
      <w:pPr>
        <w:pStyle w:val="a5"/>
        <w:rPr>
          <w:sz w:val="16"/>
          <w:szCs w:val="16"/>
          <w:lang w:val="en-US"/>
        </w:rPr>
      </w:pPr>
    </w:p>
    <w:p w:rsidR="003C23DB" w:rsidRPr="003C23DB" w:rsidRDefault="003C23DB" w:rsidP="003C23DB">
      <w:pPr>
        <w:pStyle w:val="a7"/>
        <w:ind w:left="567" w:firstLine="0"/>
        <w:jc w:val="left"/>
        <w:rPr>
          <w:rFonts w:asciiTheme="minorHAnsi" w:eastAsia="Times New Roman" w:hAnsiTheme="minorHAnsi" w:cstheme="minorHAnsi"/>
          <w:b/>
          <w:sz w:val="32"/>
          <w:szCs w:val="32"/>
          <w:lang w:val="en-US" w:eastAsia="en-US"/>
        </w:rPr>
      </w:pPr>
      <w:r w:rsidRPr="003C23DB">
        <w:rPr>
          <w:rFonts w:asciiTheme="minorHAnsi" w:hAnsiTheme="minorHAnsi" w:cstheme="minorHAnsi"/>
          <w:b/>
          <w:sz w:val="32"/>
          <w:szCs w:val="32"/>
          <w:lang w:val="en-US"/>
        </w:rPr>
        <w:t>TO THE PROBLEM OF THE SECURITY OF THE POPUL</w:t>
      </w:r>
      <w:r w:rsidRPr="003C23DB">
        <w:rPr>
          <w:rFonts w:asciiTheme="minorHAnsi" w:hAnsiTheme="minorHAnsi" w:cstheme="minorHAnsi"/>
          <w:b/>
          <w:sz w:val="32"/>
          <w:szCs w:val="32"/>
          <w:lang w:val="en-US"/>
        </w:rPr>
        <w:t>A</w:t>
      </w:r>
      <w:r w:rsidRPr="003C23DB">
        <w:rPr>
          <w:rFonts w:asciiTheme="minorHAnsi" w:hAnsiTheme="minorHAnsi" w:cstheme="minorHAnsi"/>
          <w:b/>
          <w:sz w:val="32"/>
          <w:szCs w:val="32"/>
          <w:lang w:val="en-US"/>
        </w:rPr>
        <w:t xml:space="preserve">TION </w:t>
      </w:r>
      <w:r w:rsidRPr="003C23DB">
        <w:rPr>
          <w:rFonts w:asciiTheme="minorHAnsi" w:hAnsiTheme="minorHAnsi" w:cstheme="minorHAnsi"/>
          <w:b/>
          <w:sz w:val="32"/>
          <w:szCs w:val="32"/>
          <w:lang w:val="en-US"/>
        </w:rPr>
        <w:br/>
        <w:t>AVAILABLE AND COMFORTABLE HOUSING</w:t>
      </w:r>
      <w:r w:rsidRPr="003C23DB">
        <w:rPr>
          <w:rFonts w:asciiTheme="minorHAnsi" w:eastAsia="Times New Roman" w:hAnsiTheme="minorHAnsi" w:cstheme="minorHAnsi"/>
          <w:b/>
          <w:sz w:val="32"/>
          <w:szCs w:val="32"/>
          <w:lang w:val="en-US" w:eastAsia="en-US"/>
        </w:rPr>
        <w:t xml:space="preserve"> </w:t>
      </w:r>
    </w:p>
    <w:p w:rsidR="003C23DB" w:rsidRPr="003C23DB" w:rsidRDefault="003C23DB" w:rsidP="003C23DB">
      <w:pPr>
        <w:pStyle w:val="a7"/>
        <w:spacing w:line="276" w:lineRule="auto"/>
        <w:rPr>
          <w:rFonts w:eastAsia="Times New Roman"/>
          <w:lang w:val="en-US" w:eastAsia="en-US"/>
        </w:rPr>
      </w:pPr>
    </w:p>
    <w:p w:rsidR="003C23DB" w:rsidRDefault="003C23DB" w:rsidP="003C23DB">
      <w:pPr>
        <w:pStyle w:val="a7"/>
        <w:rPr>
          <w:rFonts w:eastAsia="Times New Roman"/>
          <w:lang w:val="en-US" w:eastAsia="en-US"/>
        </w:rPr>
      </w:pPr>
      <w:r>
        <w:rPr>
          <w:rFonts w:eastAsia="Times New Roman"/>
          <w:lang w:val="en-US" w:eastAsia="en-US"/>
        </w:rPr>
        <w:t>The need to improve housing conditions is wanted by households throughout the Russian Federation. The goal of the optimally organized economic system of the state is that all categories of citizens should have one or another state or market opportunity to meet their housing needs. To analyze the structure of such needs, the authors applied the methods of dynamic and stru</w:t>
      </w:r>
      <w:r>
        <w:rPr>
          <w:rFonts w:eastAsia="Times New Roman"/>
          <w:lang w:val="en-US" w:eastAsia="en-US"/>
        </w:rPr>
        <w:t>c</w:t>
      </w:r>
      <w:r>
        <w:rPr>
          <w:rFonts w:eastAsia="Times New Roman"/>
          <w:lang w:val="en-US" w:eastAsia="en-US"/>
        </w:rPr>
        <w:t xml:space="preserve">tural analysis of data for the Irkutsk region. As a result, </w:t>
      </w:r>
      <w:proofErr w:type="gramStart"/>
      <w:r>
        <w:rPr>
          <w:rFonts w:eastAsia="Times New Roman"/>
          <w:lang w:val="en-US" w:eastAsia="en-US"/>
        </w:rPr>
        <w:t>a regularity</w:t>
      </w:r>
      <w:proofErr w:type="gramEnd"/>
      <w:r>
        <w:rPr>
          <w:rFonts w:eastAsia="Times New Roman"/>
          <w:lang w:val="en-US" w:eastAsia="en-US"/>
        </w:rPr>
        <w:t xml:space="preserve"> was found in the structure of existing residential apartments by the number of rooms in the Irkutsk region from 2000 to 2017. The linear approx</w:t>
      </w:r>
      <w:r>
        <w:rPr>
          <w:rFonts w:eastAsia="Times New Roman"/>
          <w:lang w:val="en-US" w:eastAsia="en-US"/>
        </w:rPr>
        <w:t>i</w:t>
      </w:r>
      <w:r>
        <w:rPr>
          <w:rFonts w:eastAsia="Times New Roman"/>
          <w:lang w:val="en-US" w:eastAsia="en-US"/>
        </w:rPr>
        <w:t xml:space="preserve">mation methods show trends in structural changes of </w:t>
      </w:r>
      <w:r>
        <w:rPr>
          <w:rFonts w:eastAsia="Times New Roman"/>
          <w:lang w:val="en-US" w:eastAsia="en-US"/>
        </w:rPr>
        <w:lastRenderedPageBreak/>
        <w:t>residential apartments commissioned by the number of rooms from 2000 to 2017. The “ideal” dwelling structure for 2010 in the Irkutsk region was calculated, which corresponds to the needs of the population a</w:t>
      </w:r>
      <w:r>
        <w:rPr>
          <w:rFonts w:eastAsia="Times New Roman"/>
          <w:lang w:val="en-US" w:eastAsia="en-US"/>
        </w:rPr>
        <w:t>c</w:t>
      </w:r>
      <w:r>
        <w:rPr>
          <w:rFonts w:eastAsia="Times New Roman"/>
          <w:lang w:val="en-US" w:eastAsia="en-US"/>
        </w:rPr>
        <w:t>cording to the 2010 census, shows its di</w:t>
      </w:r>
      <w:r>
        <w:rPr>
          <w:rFonts w:eastAsia="Times New Roman"/>
          <w:lang w:val="en-US" w:eastAsia="en-US"/>
        </w:rPr>
        <w:t>f</w:t>
      </w:r>
      <w:r>
        <w:rPr>
          <w:rFonts w:eastAsia="Times New Roman"/>
          <w:lang w:val="en-US" w:eastAsia="en-US"/>
        </w:rPr>
        <w:t>ferences from the offer of apartments in the period under review. The practical result of the analysis can be a more accurate state planning of housing needs, consisting in a clear structure of the future supply of apartments according to the number of rooms and the division of the offer in accordance with categories of citizens into market and secured by state funding through state pr</w:t>
      </w:r>
      <w:r>
        <w:rPr>
          <w:rFonts w:eastAsia="Times New Roman"/>
          <w:lang w:val="en-US" w:eastAsia="en-US"/>
        </w:rPr>
        <w:t>o</w:t>
      </w:r>
      <w:r>
        <w:rPr>
          <w:rFonts w:eastAsia="Times New Roman"/>
          <w:lang w:val="en-US" w:eastAsia="en-US"/>
        </w:rPr>
        <w:t>grams.</w:t>
      </w:r>
    </w:p>
    <w:p w:rsidR="003C23DB" w:rsidRDefault="003C23DB" w:rsidP="003C23DB">
      <w:pPr>
        <w:pStyle w:val="a7"/>
        <w:rPr>
          <w:rFonts w:eastAsia="Times New Roman"/>
          <w:lang w:val="en-US" w:eastAsia="en-US"/>
        </w:rPr>
      </w:pPr>
      <w:r>
        <w:rPr>
          <w:rFonts w:eastAsia="Times New Roman"/>
          <w:i/>
          <w:lang w:val="en-US" w:eastAsia="en-US"/>
        </w:rPr>
        <w:t>Keywords:</w:t>
      </w:r>
      <w:r>
        <w:rPr>
          <w:rFonts w:eastAsia="Times New Roman"/>
          <w:lang w:val="en-US" w:eastAsia="en-US"/>
        </w:rPr>
        <w:t xml:space="preserve"> affordable housing, residential structure, housing</w:t>
      </w:r>
    </w:p>
    <w:p w:rsidR="003C23DB" w:rsidRDefault="003C23DB" w:rsidP="003C23DB">
      <w:pPr>
        <w:pStyle w:val="a5"/>
      </w:pPr>
    </w:p>
    <w:p w:rsidR="003C23DB" w:rsidRDefault="003C23DB" w:rsidP="003C23DB">
      <w:pPr>
        <w:pStyle w:val="a5"/>
        <w:rPr>
          <w:sz w:val="16"/>
          <w:szCs w:val="16"/>
          <w:lang w:val="en-US"/>
        </w:rPr>
      </w:pPr>
      <w:r>
        <w:rPr>
          <w:lang w:val="en-US"/>
        </w:rPr>
        <w:t xml:space="preserve">S.A. </w:t>
      </w:r>
      <w:proofErr w:type="spellStart"/>
      <w:r>
        <w:rPr>
          <w:lang w:val="en-US"/>
        </w:rPr>
        <w:t>Gusev</w:t>
      </w:r>
      <w:proofErr w:type="spellEnd"/>
      <w:r>
        <w:rPr>
          <w:lang w:val="en-US"/>
        </w:rPr>
        <w:t xml:space="preserve"> </w:t>
      </w:r>
    </w:p>
    <w:p w:rsidR="003C23DB" w:rsidRDefault="003C23DB" w:rsidP="003C23DB">
      <w:pPr>
        <w:pStyle w:val="a6"/>
        <w:rPr>
          <w:rFonts w:ascii="Times New Roman" w:hAnsi="Times New Roman"/>
          <w:lang w:val="en-US"/>
        </w:rPr>
      </w:pPr>
      <w:r>
        <w:rPr>
          <w:lang w:val="en-US"/>
        </w:rPr>
        <w:t xml:space="preserve">IMPROVED METHODS OF ASSESSING FINANCIAL DAMAGE </w:t>
      </w:r>
      <w:r>
        <w:rPr>
          <w:lang w:val="en-US"/>
        </w:rPr>
        <w:br/>
        <w:t>FROM IDLE TIME ON THE LINE BUS, TRAM AND TROLLEYBUS ROUTE</w:t>
      </w:r>
      <w:r>
        <w:rPr>
          <w:rFonts w:ascii="Times New Roman" w:hAnsi="Times New Roman"/>
          <w:lang w:val="en-US"/>
        </w:rPr>
        <w:t xml:space="preserve"> </w:t>
      </w:r>
    </w:p>
    <w:p w:rsidR="003C23DB" w:rsidRPr="003C23DB" w:rsidRDefault="003C23DB" w:rsidP="003C23DB">
      <w:pPr>
        <w:pStyle w:val="a7"/>
        <w:rPr>
          <w:lang w:val="en-US" w:eastAsia="en-US"/>
        </w:rPr>
      </w:pPr>
      <w:r w:rsidRPr="003C23DB">
        <w:rPr>
          <w:lang w:val="en-US" w:eastAsia="en-US"/>
        </w:rPr>
        <w:t>The analysis of the current state and development of public transport is given. The perspective dire</w:t>
      </w:r>
      <w:r w:rsidRPr="003C23DB">
        <w:rPr>
          <w:lang w:val="en-US" w:eastAsia="en-US"/>
        </w:rPr>
        <w:t>c</w:t>
      </w:r>
      <w:r w:rsidRPr="003C23DB">
        <w:rPr>
          <w:lang w:val="en-US" w:eastAsia="en-US"/>
        </w:rPr>
        <w:t>tions of introduction in practice of management of public transport of navigation and communicative tec</w:t>
      </w:r>
      <w:r w:rsidRPr="003C23DB">
        <w:rPr>
          <w:lang w:val="en-US" w:eastAsia="en-US"/>
        </w:rPr>
        <w:t>h</w:t>
      </w:r>
      <w:r w:rsidRPr="003C23DB">
        <w:rPr>
          <w:lang w:val="en-US" w:eastAsia="en-US"/>
        </w:rPr>
        <w:t>nologies as tools in improvement of quality of services in service of a passenger traffic are considered. D</w:t>
      </w:r>
      <w:r w:rsidRPr="003C23DB">
        <w:rPr>
          <w:lang w:val="en-US" w:eastAsia="en-US"/>
        </w:rPr>
        <w:t>i</w:t>
      </w:r>
      <w:r w:rsidRPr="003C23DB">
        <w:rPr>
          <w:lang w:val="en-US" w:eastAsia="en-US"/>
        </w:rPr>
        <w:t>rections in improvement of a technique of definition of material damage from idle time of the rolling stock on the line by inclusion in calculations of the actual information on size of the functioning passenger flows are o</w:t>
      </w:r>
      <w:r w:rsidRPr="003C23DB">
        <w:rPr>
          <w:lang w:val="en-US" w:eastAsia="en-US"/>
        </w:rPr>
        <w:t>f</w:t>
      </w:r>
      <w:r w:rsidRPr="003C23DB">
        <w:rPr>
          <w:lang w:val="en-US" w:eastAsia="en-US"/>
        </w:rPr>
        <w:t>fered.</w:t>
      </w:r>
    </w:p>
    <w:p w:rsidR="003C23DB" w:rsidRPr="003C23DB" w:rsidRDefault="003C23DB" w:rsidP="003C23DB">
      <w:pPr>
        <w:spacing w:after="0" w:line="240" w:lineRule="auto"/>
        <w:ind w:firstLine="567"/>
        <w:rPr>
          <w:rFonts w:ascii="Times New Roman" w:hAnsi="Times New Roman"/>
          <w:lang w:val="en-US" w:eastAsia="en-US"/>
        </w:rPr>
      </w:pPr>
      <w:r w:rsidRPr="003C23DB">
        <w:rPr>
          <w:rFonts w:ascii="Times New Roman" w:hAnsi="Times New Roman"/>
          <w:i/>
          <w:lang w:val="en-US" w:eastAsia="en-US"/>
        </w:rPr>
        <w:t>Keywords</w:t>
      </w:r>
      <w:r w:rsidRPr="003C23DB">
        <w:rPr>
          <w:rFonts w:ascii="Times New Roman" w:hAnsi="Times New Roman"/>
          <w:lang w:val="en-US" w:eastAsia="en-US"/>
        </w:rPr>
        <w:t>: system, management, transport Economics, rate, damage</w:t>
      </w:r>
    </w:p>
    <w:p w:rsidR="003C23DB" w:rsidRDefault="003C23DB" w:rsidP="003C23DB">
      <w:pPr>
        <w:pStyle w:val="a5"/>
      </w:pPr>
    </w:p>
    <w:p w:rsidR="003C23DB" w:rsidRDefault="003C23DB" w:rsidP="003C23DB">
      <w:pPr>
        <w:pStyle w:val="a5"/>
        <w:rPr>
          <w:sz w:val="16"/>
          <w:szCs w:val="16"/>
          <w:lang w:val="en-US"/>
        </w:rPr>
      </w:pPr>
      <w:r>
        <w:rPr>
          <w:lang w:val="en-US"/>
        </w:rPr>
        <w:t>A.I. Dudnik</w:t>
      </w:r>
    </w:p>
    <w:p w:rsidR="003C23DB" w:rsidRDefault="003C23DB" w:rsidP="003C23DB">
      <w:pPr>
        <w:pStyle w:val="a6"/>
        <w:rPr>
          <w:lang w:val="en-US"/>
        </w:rPr>
      </w:pPr>
      <w:r>
        <w:rPr>
          <w:lang w:val="en-US"/>
        </w:rPr>
        <w:t>SOCIAL EFIICIENCY OF INTERNATIONAL JOINT VENTURES</w:t>
      </w:r>
      <w:r>
        <w:rPr>
          <w:lang w:val="en-US"/>
        </w:rPr>
        <w:br/>
        <w:t>IN ENERJY INDUSTRY</w:t>
      </w:r>
    </w:p>
    <w:p w:rsidR="003C23DB" w:rsidRPr="003C23DB" w:rsidRDefault="003C23DB" w:rsidP="003C23DB">
      <w:pPr>
        <w:pStyle w:val="a7"/>
        <w:rPr>
          <w:szCs w:val="22"/>
          <w:lang w:val="en-US" w:eastAsia="en-US"/>
        </w:rPr>
      </w:pPr>
      <w:r w:rsidRPr="003C23DB">
        <w:rPr>
          <w:szCs w:val="22"/>
          <w:lang w:val="en-US" w:eastAsia="en-US"/>
        </w:rPr>
        <w:t>The article explores social efficiency of joint ventures. It describes key features of energy joint ve</w:t>
      </w:r>
      <w:r w:rsidRPr="003C23DB">
        <w:rPr>
          <w:szCs w:val="22"/>
          <w:lang w:val="en-US" w:eastAsia="en-US"/>
        </w:rPr>
        <w:t>n</w:t>
      </w:r>
      <w:r w:rsidRPr="003C23DB">
        <w:rPr>
          <w:szCs w:val="22"/>
          <w:lang w:val="en-US" w:eastAsia="en-US"/>
        </w:rPr>
        <w:t xml:space="preserve">tures and their social effect. It also analyses data which allows </w:t>
      </w:r>
      <w:proofErr w:type="gramStart"/>
      <w:r w:rsidRPr="003C23DB">
        <w:rPr>
          <w:szCs w:val="22"/>
          <w:lang w:val="en-US" w:eastAsia="en-US"/>
        </w:rPr>
        <w:t>to estimate</w:t>
      </w:r>
      <w:proofErr w:type="gramEnd"/>
      <w:r w:rsidRPr="003C23DB">
        <w:rPr>
          <w:szCs w:val="22"/>
          <w:lang w:val="en-US" w:eastAsia="en-US"/>
        </w:rPr>
        <w:t xml:space="preserve"> social effectiveness of this instr</w:t>
      </w:r>
      <w:r w:rsidRPr="003C23DB">
        <w:rPr>
          <w:szCs w:val="22"/>
          <w:lang w:val="en-US" w:eastAsia="en-US"/>
        </w:rPr>
        <w:t>u</w:t>
      </w:r>
      <w:r w:rsidRPr="003C23DB">
        <w:rPr>
          <w:szCs w:val="22"/>
          <w:lang w:val="en-US" w:eastAsia="en-US"/>
        </w:rPr>
        <w:t>ment for achieving social progress and sol</w:t>
      </w:r>
      <w:r w:rsidRPr="003C23DB">
        <w:rPr>
          <w:szCs w:val="22"/>
          <w:lang w:val="en-US" w:eastAsia="en-US"/>
        </w:rPr>
        <w:t>v</w:t>
      </w:r>
      <w:r w:rsidRPr="003C23DB">
        <w:rPr>
          <w:szCs w:val="22"/>
          <w:lang w:val="en-US" w:eastAsia="en-US"/>
        </w:rPr>
        <w:t>ing public problems.</w:t>
      </w:r>
    </w:p>
    <w:p w:rsidR="003C23DB" w:rsidRPr="003C23DB" w:rsidRDefault="003C23DB" w:rsidP="003C23DB">
      <w:pPr>
        <w:pStyle w:val="a7"/>
        <w:rPr>
          <w:szCs w:val="22"/>
          <w:lang w:val="en-US" w:eastAsia="en-US"/>
        </w:rPr>
      </w:pPr>
      <w:r w:rsidRPr="003C23DB">
        <w:rPr>
          <w:i/>
          <w:szCs w:val="22"/>
          <w:lang w:val="en-US" w:eastAsia="en-US"/>
        </w:rPr>
        <w:t>Keywords</w:t>
      </w:r>
      <w:r w:rsidRPr="003C23DB">
        <w:rPr>
          <w:szCs w:val="22"/>
          <w:lang w:val="en-US" w:eastAsia="en-US"/>
        </w:rPr>
        <w:t>: Business structure, joint venture, efficiency, energy industry</w:t>
      </w:r>
    </w:p>
    <w:p w:rsidR="003C23DB" w:rsidRDefault="003C23DB" w:rsidP="003C23DB">
      <w:pPr>
        <w:pStyle w:val="a5"/>
      </w:pPr>
    </w:p>
    <w:p w:rsidR="003C23DB" w:rsidRDefault="003C23DB" w:rsidP="003C23DB">
      <w:pPr>
        <w:pStyle w:val="a5"/>
        <w:rPr>
          <w:sz w:val="16"/>
          <w:szCs w:val="16"/>
          <w:lang w:val="en-US"/>
        </w:rPr>
      </w:pPr>
      <w:r>
        <w:rPr>
          <w:lang w:val="en-US"/>
        </w:rPr>
        <w:t xml:space="preserve">E.S. </w:t>
      </w:r>
      <w:proofErr w:type="spellStart"/>
      <w:r>
        <w:rPr>
          <w:lang w:val="en-US"/>
        </w:rPr>
        <w:t>Dykman</w:t>
      </w:r>
      <w:proofErr w:type="spellEnd"/>
    </w:p>
    <w:p w:rsidR="003C23DB" w:rsidRDefault="003C23DB" w:rsidP="003C23DB">
      <w:pPr>
        <w:pStyle w:val="a6"/>
        <w:rPr>
          <w:lang w:val="en-US"/>
        </w:rPr>
      </w:pPr>
      <w:r>
        <w:rPr>
          <w:lang w:val="en-US"/>
        </w:rPr>
        <w:t xml:space="preserve">PROCESS APPROACH AS A DECISIVE FACTOR </w:t>
      </w:r>
      <w:r>
        <w:rPr>
          <w:lang w:val="en-US"/>
        </w:rPr>
        <w:br/>
        <w:t>IN DIGITAL ENTERPRISE TRANSFORMATION</w:t>
      </w:r>
    </w:p>
    <w:p w:rsidR="003C23DB" w:rsidRPr="003C23DB" w:rsidRDefault="003C23DB" w:rsidP="003C23DB">
      <w:pPr>
        <w:pStyle w:val="a7"/>
        <w:rPr>
          <w:szCs w:val="22"/>
          <w:lang w:val="en-US" w:eastAsia="en-US"/>
        </w:rPr>
      </w:pPr>
      <w:r w:rsidRPr="003C23DB">
        <w:rPr>
          <w:szCs w:val="22"/>
          <w:lang w:val="en-US" w:eastAsia="en-US"/>
        </w:rPr>
        <w:t>The author presents the versatile characteristics of such definitions as digitalization and digital tran</w:t>
      </w:r>
      <w:r w:rsidRPr="003C23DB">
        <w:rPr>
          <w:szCs w:val="22"/>
          <w:lang w:val="en-US" w:eastAsia="en-US"/>
        </w:rPr>
        <w:t>s</w:t>
      </w:r>
      <w:r w:rsidRPr="003C23DB">
        <w:rPr>
          <w:szCs w:val="22"/>
          <w:lang w:val="en-US" w:eastAsia="en-US"/>
        </w:rPr>
        <w:t>formation of an enterprise and identifies the distinctive features of the digital economy, and its impact on the functioning of the enterprise as a whole. It was also revealed that the process a</w:t>
      </w:r>
      <w:r w:rsidRPr="003C23DB">
        <w:rPr>
          <w:szCs w:val="22"/>
          <w:lang w:val="en-US" w:eastAsia="en-US"/>
        </w:rPr>
        <w:t>p</w:t>
      </w:r>
      <w:r w:rsidRPr="003C23DB">
        <w:rPr>
          <w:szCs w:val="22"/>
          <w:lang w:val="en-US" w:eastAsia="en-US"/>
        </w:rPr>
        <w:t>proach allows the company to launch a cycle of continuous improvement, which consists in regularly collecting feedback from consu</w:t>
      </w:r>
      <w:r w:rsidRPr="003C23DB">
        <w:rPr>
          <w:szCs w:val="22"/>
          <w:lang w:val="en-US" w:eastAsia="en-US"/>
        </w:rPr>
        <w:t>m</w:t>
      </w:r>
      <w:r w:rsidRPr="003C23DB">
        <w:rPr>
          <w:szCs w:val="22"/>
          <w:lang w:val="en-US" w:eastAsia="en-US"/>
        </w:rPr>
        <w:t>ers of the business process. Generalized and concretized the principles by which the business process ma</w:t>
      </w:r>
      <w:r w:rsidRPr="003C23DB">
        <w:rPr>
          <w:szCs w:val="22"/>
          <w:lang w:val="en-US" w:eastAsia="en-US"/>
        </w:rPr>
        <w:t>n</w:t>
      </w:r>
      <w:r w:rsidRPr="003C23DB">
        <w:rPr>
          <w:szCs w:val="22"/>
          <w:lang w:val="en-US" w:eastAsia="en-US"/>
        </w:rPr>
        <w:t>agement system becomes an effective tool for digital tran</w:t>
      </w:r>
      <w:r w:rsidRPr="003C23DB">
        <w:rPr>
          <w:szCs w:val="22"/>
          <w:lang w:val="en-US" w:eastAsia="en-US"/>
        </w:rPr>
        <w:t>s</w:t>
      </w:r>
      <w:r w:rsidRPr="003C23DB">
        <w:rPr>
          <w:szCs w:val="22"/>
          <w:lang w:val="en-US" w:eastAsia="en-US"/>
        </w:rPr>
        <w:t>formation of the enterprise.</w:t>
      </w:r>
    </w:p>
    <w:p w:rsidR="003C23DB" w:rsidRPr="003C23DB" w:rsidRDefault="003C23DB" w:rsidP="003C23DB">
      <w:pPr>
        <w:pStyle w:val="a7"/>
        <w:rPr>
          <w:szCs w:val="22"/>
          <w:lang w:val="en-US" w:eastAsia="en-US"/>
        </w:rPr>
      </w:pPr>
      <w:r w:rsidRPr="003C23DB">
        <w:rPr>
          <w:i/>
          <w:szCs w:val="22"/>
          <w:lang w:val="en-US" w:eastAsia="en-US"/>
        </w:rPr>
        <w:t>Keywords:</w:t>
      </w:r>
      <w:r w:rsidRPr="003C23DB">
        <w:rPr>
          <w:szCs w:val="22"/>
          <w:lang w:val="en-US" w:eastAsia="en-US"/>
        </w:rPr>
        <w:t xml:space="preserve"> digitalization, digital economy, company,</w:t>
      </w:r>
      <w:r w:rsidRPr="003C23DB">
        <w:rPr>
          <w:b/>
          <w:szCs w:val="22"/>
          <w:lang w:val="en-US" w:eastAsia="en-US"/>
        </w:rPr>
        <w:t xml:space="preserve"> </w:t>
      </w:r>
      <w:r w:rsidRPr="003C23DB">
        <w:rPr>
          <w:szCs w:val="22"/>
          <w:lang w:val="en-US" w:eastAsia="en-US"/>
        </w:rPr>
        <w:t>digital enterprise transformation, control system, efficiency</w:t>
      </w:r>
      <w:r w:rsidRPr="003C23DB">
        <w:rPr>
          <w:b/>
          <w:szCs w:val="22"/>
          <w:lang w:val="en-US" w:eastAsia="en-US"/>
        </w:rPr>
        <w:t xml:space="preserve">, </w:t>
      </w:r>
      <w:r w:rsidRPr="003C23DB">
        <w:rPr>
          <w:szCs w:val="22"/>
          <w:lang w:val="en-US" w:eastAsia="en-US"/>
        </w:rPr>
        <w:t>business process, process a</w:t>
      </w:r>
      <w:r w:rsidRPr="003C23DB">
        <w:rPr>
          <w:szCs w:val="22"/>
          <w:lang w:val="en-US" w:eastAsia="en-US"/>
        </w:rPr>
        <w:t>p</w:t>
      </w:r>
      <w:r w:rsidRPr="003C23DB">
        <w:rPr>
          <w:szCs w:val="22"/>
          <w:lang w:val="en-US" w:eastAsia="en-US"/>
        </w:rPr>
        <w:t>proach</w:t>
      </w:r>
    </w:p>
    <w:p w:rsidR="0046275C" w:rsidRDefault="0046275C" w:rsidP="003C23DB">
      <w:pPr>
        <w:pStyle w:val="a5"/>
      </w:pPr>
    </w:p>
    <w:p w:rsidR="00C940FE" w:rsidRDefault="00C940FE" w:rsidP="003C23DB">
      <w:pPr>
        <w:pStyle w:val="a5"/>
      </w:pPr>
    </w:p>
    <w:p w:rsidR="00C940FE" w:rsidRDefault="00C940FE" w:rsidP="003C23DB">
      <w:pPr>
        <w:pStyle w:val="a5"/>
      </w:pPr>
    </w:p>
    <w:p w:rsidR="00C940FE" w:rsidRDefault="00C940FE" w:rsidP="003C23DB">
      <w:pPr>
        <w:pStyle w:val="a5"/>
      </w:pPr>
    </w:p>
    <w:p w:rsidR="00C940FE" w:rsidRDefault="00C940FE" w:rsidP="003C23DB">
      <w:pPr>
        <w:pStyle w:val="a5"/>
      </w:pPr>
    </w:p>
    <w:p w:rsidR="00C940FE" w:rsidRDefault="00C940FE" w:rsidP="003C23DB">
      <w:pPr>
        <w:pStyle w:val="a5"/>
      </w:pPr>
    </w:p>
    <w:p w:rsidR="003C23DB" w:rsidRDefault="003C23DB" w:rsidP="003C23DB">
      <w:pPr>
        <w:pStyle w:val="a5"/>
        <w:rPr>
          <w:color w:val="000000"/>
          <w:sz w:val="16"/>
          <w:szCs w:val="16"/>
          <w:lang w:val="en-US"/>
        </w:rPr>
      </w:pPr>
      <w:proofErr w:type="spellStart"/>
      <w:r>
        <w:rPr>
          <w:lang w:val="en-US"/>
        </w:rPr>
        <w:lastRenderedPageBreak/>
        <w:t>Yu.Yu</w:t>
      </w:r>
      <w:proofErr w:type="spellEnd"/>
      <w:r>
        <w:rPr>
          <w:lang w:val="en-US"/>
        </w:rPr>
        <w:t xml:space="preserve">. </w:t>
      </w:r>
      <w:proofErr w:type="spellStart"/>
      <w:r>
        <w:rPr>
          <w:lang w:val="en-US"/>
        </w:rPr>
        <w:t>Kostyukhin</w:t>
      </w:r>
      <w:proofErr w:type="spellEnd"/>
    </w:p>
    <w:p w:rsidR="003C23DB" w:rsidRDefault="003C23DB" w:rsidP="003C23DB">
      <w:pPr>
        <w:pStyle w:val="a6"/>
        <w:rPr>
          <w:lang w:val="en-US"/>
        </w:rPr>
      </w:pPr>
      <w:r>
        <w:rPr>
          <w:lang w:val="en-US"/>
        </w:rPr>
        <w:t xml:space="preserve">METHODOLOGICAL PROVISIONS FOR BUILDING MODELS </w:t>
      </w:r>
      <w:r>
        <w:rPr>
          <w:lang w:val="en-US"/>
        </w:rPr>
        <w:br/>
        <w:t>OF INDUSTRIAL ENTERPRISE POTENTIAL</w:t>
      </w:r>
    </w:p>
    <w:p w:rsidR="0046275C" w:rsidRDefault="0046275C" w:rsidP="0046275C">
      <w:pPr>
        <w:pStyle w:val="a7"/>
        <w:rPr>
          <w:rFonts w:eastAsia="Calibri"/>
          <w:lang w:val="en-US" w:eastAsia="en-US"/>
        </w:rPr>
      </w:pPr>
      <w:proofErr w:type="gramStart"/>
      <w:r>
        <w:rPr>
          <w:rFonts w:eastAsia="Calibri"/>
          <w:lang w:val="en-US" w:eastAsia="en-US"/>
        </w:rPr>
        <w:t>Evaluation of the capabilities of the company, its potential are</w:t>
      </w:r>
      <w:proofErr w:type="gramEnd"/>
      <w:r>
        <w:rPr>
          <w:rFonts w:eastAsia="Calibri"/>
          <w:lang w:val="en-US" w:eastAsia="en-US"/>
        </w:rPr>
        <w:t xml:space="preserve"> of paramount importance for making the necessary decisions for both the current and future development. Based on the general laws of systems, in particular, on the law of develo</w:t>
      </w:r>
      <w:r>
        <w:rPr>
          <w:rFonts w:eastAsia="Calibri"/>
          <w:lang w:val="en-US" w:eastAsia="en-US"/>
        </w:rPr>
        <w:t>p</w:t>
      </w:r>
      <w:r>
        <w:rPr>
          <w:rFonts w:eastAsia="Calibri"/>
          <w:lang w:val="en-US" w:eastAsia="en-US"/>
        </w:rPr>
        <w:t>ment, we can assert that each material system strives to attain the greatest total potential during the passage of all stages of the life cycle. Using the analysis of the main indicators and characteristics of the leading metallurgical companies in Russia, it has been established that the potential of an industrial enterprise is determined by both hard and soft factors, such as technical, economic, psycholog</w:t>
      </w:r>
      <w:r>
        <w:rPr>
          <w:rFonts w:eastAsia="Calibri"/>
          <w:lang w:val="en-US" w:eastAsia="en-US"/>
        </w:rPr>
        <w:t>i</w:t>
      </w:r>
      <w:r>
        <w:rPr>
          <w:rFonts w:eastAsia="Calibri"/>
          <w:lang w:val="en-US" w:eastAsia="en-US"/>
        </w:rPr>
        <w:t>cal and social factors. With the use of situational potentials, a methodology has been developed for a</w:t>
      </w:r>
      <w:r>
        <w:rPr>
          <w:rFonts w:eastAsia="Calibri"/>
          <w:lang w:val="en-US" w:eastAsia="en-US"/>
        </w:rPr>
        <w:t>s</w:t>
      </w:r>
      <w:r>
        <w:rPr>
          <w:rFonts w:eastAsia="Calibri"/>
          <w:lang w:val="en-US" w:eastAsia="en-US"/>
        </w:rPr>
        <w:t xml:space="preserve">sessing the performance of an enterprise, which characterizes the actual level of achievement by the enterprise of the maximum value of the indicator due to exceeding the boundary of the </w:t>
      </w:r>
      <w:proofErr w:type="spellStart"/>
      <w:r>
        <w:rPr>
          <w:rFonts w:eastAsia="Calibri"/>
          <w:lang w:val="en-US" w:eastAsia="en-US"/>
        </w:rPr>
        <w:t>precrisis</w:t>
      </w:r>
      <w:proofErr w:type="spellEnd"/>
      <w:r>
        <w:rPr>
          <w:rFonts w:eastAsia="Calibri"/>
          <w:lang w:val="en-US" w:eastAsia="en-US"/>
        </w:rPr>
        <w:t xml:space="preserve"> state.</w:t>
      </w:r>
    </w:p>
    <w:p w:rsidR="0046275C" w:rsidRDefault="0046275C" w:rsidP="0046275C">
      <w:pPr>
        <w:pStyle w:val="a7"/>
        <w:rPr>
          <w:rFonts w:eastAsia="Calibri"/>
          <w:lang w:val="en-US" w:eastAsia="en-US"/>
        </w:rPr>
      </w:pPr>
      <w:r>
        <w:rPr>
          <w:rFonts w:eastAsia="Calibri"/>
          <w:i/>
          <w:lang w:val="en-US" w:eastAsia="en-US"/>
        </w:rPr>
        <w:t>Keywords</w:t>
      </w:r>
      <w:r>
        <w:rPr>
          <w:rFonts w:eastAsia="Calibri"/>
          <w:lang w:val="en-US" w:eastAsia="en-US"/>
        </w:rPr>
        <w:t>: Ferrous metallurgy, strategy, potential, industrial enterprise, factors, efficiency, estimated vector</w:t>
      </w:r>
    </w:p>
    <w:p w:rsidR="0046275C" w:rsidRDefault="0046275C" w:rsidP="003C23DB">
      <w:pPr>
        <w:pStyle w:val="a5"/>
        <w:rPr>
          <w:shd w:val="clear" w:color="auto" w:fill="FFFFFF"/>
        </w:rPr>
      </w:pPr>
    </w:p>
    <w:p w:rsidR="003C23DB" w:rsidRDefault="003C23DB" w:rsidP="003C23DB">
      <w:pPr>
        <w:pStyle w:val="a5"/>
        <w:rPr>
          <w:sz w:val="16"/>
          <w:szCs w:val="16"/>
          <w:shd w:val="clear" w:color="auto" w:fill="FFFFFF"/>
          <w:lang w:val="en-US"/>
        </w:rPr>
      </w:pPr>
      <w:r>
        <w:rPr>
          <w:shd w:val="clear" w:color="auto" w:fill="FFFFFF"/>
          <w:lang w:val="en-US"/>
        </w:rPr>
        <w:t xml:space="preserve">O.V. </w:t>
      </w:r>
      <w:proofErr w:type="spellStart"/>
      <w:r>
        <w:rPr>
          <w:shd w:val="clear" w:color="auto" w:fill="FFFFFF"/>
          <w:lang w:val="en-US"/>
        </w:rPr>
        <w:t>Krasnova</w:t>
      </w:r>
      <w:proofErr w:type="spellEnd"/>
      <w:r>
        <w:rPr>
          <w:shd w:val="clear" w:color="auto" w:fill="FFFFFF"/>
          <w:lang w:val="en-US"/>
        </w:rPr>
        <w:t xml:space="preserve">, </w:t>
      </w:r>
      <w:proofErr w:type="spellStart"/>
      <w:r>
        <w:rPr>
          <w:shd w:val="clear" w:color="auto" w:fill="FFFFFF"/>
          <w:lang w:val="en-US"/>
        </w:rPr>
        <w:t>Yu.A</w:t>
      </w:r>
      <w:proofErr w:type="spellEnd"/>
      <w:r>
        <w:rPr>
          <w:shd w:val="clear" w:color="auto" w:fill="FFFFFF"/>
          <w:lang w:val="en-US"/>
        </w:rPr>
        <w:t xml:space="preserve">. </w:t>
      </w:r>
      <w:proofErr w:type="spellStart"/>
      <w:r>
        <w:rPr>
          <w:shd w:val="clear" w:color="auto" w:fill="FFFFFF"/>
          <w:lang w:val="en-US"/>
        </w:rPr>
        <w:t>Gurkina</w:t>
      </w:r>
      <w:proofErr w:type="spellEnd"/>
      <w:r>
        <w:rPr>
          <w:shd w:val="clear" w:color="auto" w:fill="FFFFFF"/>
          <w:lang w:val="en-US"/>
        </w:rPr>
        <w:t xml:space="preserve"> </w:t>
      </w:r>
    </w:p>
    <w:p w:rsidR="0046275C" w:rsidRDefault="0046275C" w:rsidP="0046275C">
      <w:pPr>
        <w:pStyle w:val="a7"/>
        <w:spacing w:line="276" w:lineRule="auto"/>
        <w:rPr>
          <w:rFonts w:eastAsia="Times New Roman"/>
        </w:rPr>
      </w:pPr>
    </w:p>
    <w:p w:rsidR="0046275C" w:rsidRPr="0046275C" w:rsidRDefault="003C23DB" w:rsidP="0046275C">
      <w:pPr>
        <w:pStyle w:val="a7"/>
        <w:ind w:left="567" w:firstLine="0"/>
        <w:rPr>
          <w:rFonts w:asciiTheme="minorHAnsi" w:eastAsia="Times New Roman" w:hAnsiTheme="minorHAnsi" w:cstheme="minorHAnsi"/>
          <w:b/>
          <w:sz w:val="32"/>
          <w:szCs w:val="32"/>
          <w:lang w:val="en-US"/>
        </w:rPr>
      </w:pPr>
      <w:r w:rsidRPr="0046275C">
        <w:rPr>
          <w:rFonts w:asciiTheme="minorHAnsi" w:eastAsia="Times New Roman" w:hAnsiTheme="minorHAnsi" w:cstheme="minorHAnsi"/>
          <w:b/>
          <w:sz w:val="32"/>
          <w:szCs w:val="32"/>
          <w:lang w:val="en-US"/>
        </w:rPr>
        <w:t xml:space="preserve">CONCEPTUAL APPROACH TO THE ASSESSMENT OF A REGIONAL </w:t>
      </w:r>
      <w:r w:rsidRPr="0046275C">
        <w:rPr>
          <w:rFonts w:asciiTheme="minorHAnsi" w:eastAsia="Times New Roman" w:hAnsiTheme="minorHAnsi" w:cstheme="minorHAnsi"/>
          <w:b/>
          <w:sz w:val="32"/>
          <w:szCs w:val="32"/>
          <w:lang w:val="en-US"/>
        </w:rPr>
        <w:br/>
        <w:t>INNOVATIVE ENVIRONMENT BASED ON THE INDEX METHOD</w:t>
      </w:r>
    </w:p>
    <w:p w:rsidR="0046275C" w:rsidRPr="0046275C" w:rsidRDefault="0046275C" w:rsidP="0046275C">
      <w:pPr>
        <w:pStyle w:val="a7"/>
        <w:spacing w:line="276" w:lineRule="auto"/>
        <w:rPr>
          <w:rFonts w:eastAsia="Times New Roman"/>
          <w:lang w:val="en-US"/>
        </w:rPr>
      </w:pPr>
    </w:p>
    <w:p w:rsidR="0046275C" w:rsidRPr="0046275C" w:rsidRDefault="0046275C" w:rsidP="0046275C">
      <w:pPr>
        <w:pStyle w:val="a7"/>
        <w:rPr>
          <w:color w:val="212121"/>
          <w:szCs w:val="22"/>
          <w:shd w:val="clear" w:color="auto" w:fill="FFFFFF"/>
          <w:lang w:val="en-US" w:eastAsia="en-US"/>
        </w:rPr>
      </w:pPr>
      <w:r w:rsidRPr="0046275C">
        <w:rPr>
          <w:color w:val="212121"/>
          <w:szCs w:val="22"/>
          <w:shd w:val="clear" w:color="auto" w:fill="FFFFFF"/>
          <w:lang w:val="en-US" w:eastAsia="en-US"/>
        </w:rPr>
        <w:t>This article discusses a conceptual approach to assessing the regional innovation environment based on the index method. The necessity of using a new approach to assessing the innovative potential of the r</w:t>
      </w:r>
      <w:r w:rsidRPr="0046275C">
        <w:rPr>
          <w:color w:val="212121"/>
          <w:szCs w:val="22"/>
          <w:shd w:val="clear" w:color="auto" w:fill="FFFFFF"/>
          <w:lang w:val="en-US" w:eastAsia="en-US"/>
        </w:rPr>
        <w:t>e</w:t>
      </w:r>
      <w:r w:rsidRPr="0046275C">
        <w:rPr>
          <w:color w:val="212121"/>
          <w:szCs w:val="22"/>
          <w:shd w:val="clear" w:color="auto" w:fill="FFFFFF"/>
          <w:lang w:val="en-US" w:eastAsia="en-US"/>
        </w:rPr>
        <w:t>gion is identified and justified. On the basis of the study, the author proposes to use the PRIM index method for the development of programs of innovative development of the regional economy and for the develo</w:t>
      </w:r>
      <w:r w:rsidRPr="0046275C">
        <w:rPr>
          <w:color w:val="212121"/>
          <w:szCs w:val="22"/>
          <w:shd w:val="clear" w:color="auto" w:fill="FFFFFF"/>
          <w:lang w:val="en-US" w:eastAsia="en-US"/>
        </w:rPr>
        <w:t>p</w:t>
      </w:r>
      <w:r w:rsidRPr="0046275C">
        <w:rPr>
          <w:color w:val="212121"/>
          <w:szCs w:val="22"/>
          <w:shd w:val="clear" w:color="auto" w:fill="FFFFFF"/>
          <w:lang w:val="en-US" w:eastAsia="en-US"/>
        </w:rPr>
        <w:t>ment of regional stra</w:t>
      </w:r>
      <w:r w:rsidRPr="0046275C">
        <w:rPr>
          <w:color w:val="212121"/>
          <w:szCs w:val="22"/>
          <w:shd w:val="clear" w:color="auto" w:fill="FFFFFF"/>
          <w:lang w:val="en-US" w:eastAsia="en-US"/>
        </w:rPr>
        <w:t>t</w:t>
      </w:r>
      <w:r w:rsidRPr="0046275C">
        <w:rPr>
          <w:color w:val="212121"/>
          <w:szCs w:val="22"/>
          <w:shd w:val="clear" w:color="auto" w:fill="FFFFFF"/>
          <w:lang w:val="en-US" w:eastAsia="en-US"/>
        </w:rPr>
        <w:t>egy.</w:t>
      </w:r>
    </w:p>
    <w:p w:rsidR="003C23DB" w:rsidRPr="0046275C" w:rsidRDefault="0046275C" w:rsidP="0046275C">
      <w:pPr>
        <w:pStyle w:val="a6"/>
        <w:spacing w:before="0" w:after="0"/>
        <w:rPr>
          <w:rFonts w:ascii="Times New Roman" w:eastAsia="Times New Roman" w:hAnsi="Times New Roman"/>
          <w:b w:val="0"/>
          <w:sz w:val="22"/>
          <w:szCs w:val="22"/>
          <w:lang w:val="en-US"/>
        </w:rPr>
      </w:pPr>
      <w:r>
        <w:rPr>
          <w:rFonts w:ascii="Times New Roman" w:eastAsia="Times New Roman" w:hAnsi="Times New Roman"/>
          <w:b w:val="0"/>
          <w:i/>
          <w:caps w:val="0"/>
          <w:color w:val="212121"/>
          <w:sz w:val="22"/>
          <w:szCs w:val="22"/>
          <w:lang w:val="en-US" w:eastAsia="en-US"/>
        </w:rPr>
        <w:t>K</w:t>
      </w:r>
      <w:r w:rsidRPr="0046275C">
        <w:rPr>
          <w:rFonts w:ascii="Times New Roman" w:eastAsia="Times New Roman" w:hAnsi="Times New Roman"/>
          <w:b w:val="0"/>
          <w:i/>
          <w:caps w:val="0"/>
          <w:color w:val="212121"/>
          <w:sz w:val="22"/>
          <w:szCs w:val="22"/>
          <w:lang w:val="en-US" w:eastAsia="en-US"/>
        </w:rPr>
        <w:t>eywords</w:t>
      </w:r>
      <w:r w:rsidRPr="0046275C">
        <w:rPr>
          <w:rFonts w:ascii="Times New Roman" w:eastAsia="Times New Roman" w:hAnsi="Times New Roman"/>
          <w:b w:val="0"/>
          <w:caps w:val="0"/>
          <w:color w:val="212121"/>
          <w:sz w:val="22"/>
          <w:szCs w:val="22"/>
          <w:lang w:val="en-US" w:eastAsia="en-US"/>
        </w:rPr>
        <w:t>: conceptual approach, innovative environment, index method</w:t>
      </w:r>
    </w:p>
    <w:p w:rsidR="0046275C" w:rsidRDefault="0046275C" w:rsidP="003C23DB">
      <w:pPr>
        <w:pStyle w:val="a5"/>
      </w:pPr>
    </w:p>
    <w:p w:rsidR="003C23DB" w:rsidRDefault="003C23DB" w:rsidP="003C23DB">
      <w:pPr>
        <w:pStyle w:val="a5"/>
        <w:rPr>
          <w:sz w:val="16"/>
          <w:szCs w:val="16"/>
          <w:lang w:val="de-DE"/>
        </w:rPr>
      </w:pPr>
      <w:r>
        <w:rPr>
          <w:lang w:val="de-DE"/>
        </w:rPr>
        <w:t xml:space="preserve">I.M. </w:t>
      </w:r>
      <w:proofErr w:type="spellStart"/>
      <w:r>
        <w:rPr>
          <w:lang w:val="de-DE"/>
        </w:rPr>
        <w:t>Kublin</w:t>
      </w:r>
      <w:proofErr w:type="spellEnd"/>
      <w:r>
        <w:rPr>
          <w:lang w:val="de-DE"/>
        </w:rPr>
        <w:t xml:space="preserve">, R.G. </w:t>
      </w:r>
      <w:proofErr w:type="spellStart"/>
      <w:r>
        <w:rPr>
          <w:lang w:val="de-DE"/>
        </w:rPr>
        <w:t>Guchetl</w:t>
      </w:r>
      <w:proofErr w:type="spellEnd"/>
    </w:p>
    <w:p w:rsidR="003C23DB" w:rsidRDefault="003C23DB" w:rsidP="003C23DB">
      <w:pPr>
        <w:pStyle w:val="a6"/>
        <w:spacing w:after="120"/>
        <w:rPr>
          <w:lang w:val="en-US"/>
        </w:rPr>
      </w:pPr>
      <w:r>
        <w:rPr>
          <w:lang w:val="en-US"/>
        </w:rPr>
        <w:t xml:space="preserve">STUDY OF RUSSIAN AND WORLD SOCIAL MEDIA </w:t>
      </w:r>
      <w:r>
        <w:rPr>
          <w:lang w:val="en-US"/>
        </w:rPr>
        <w:br/>
        <w:t>AS A COMMUNICATION ENVIRONMENT INTERNET MARKETING</w:t>
      </w:r>
    </w:p>
    <w:p w:rsidR="0046275C" w:rsidRPr="0046275C" w:rsidRDefault="0046275C" w:rsidP="0046275C">
      <w:pPr>
        <w:pStyle w:val="a7"/>
        <w:rPr>
          <w:lang w:val="en-US" w:eastAsia="en-US"/>
        </w:rPr>
      </w:pPr>
      <w:r w:rsidRPr="0046275C">
        <w:rPr>
          <w:lang w:val="en-US" w:eastAsia="en-US"/>
        </w:rPr>
        <w:t>The article defines the essence of social media, studies and analyzes the terminology of this category from the perspective of different authors, presents the main types of social media and their classification. Also, an analysis of research conducted by foreign analytical companies and dome</w:t>
      </w:r>
      <w:r w:rsidRPr="0046275C">
        <w:rPr>
          <w:lang w:val="en-US" w:eastAsia="en-US"/>
        </w:rPr>
        <w:t>s</w:t>
      </w:r>
      <w:r w:rsidRPr="0046275C">
        <w:rPr>
          <w:lang w:val="en-US" w:eastAsia="en-US"/>
        </w:rPr>
        <w:t>tic scientists of social media was conducted. Based on the results of this study, conclusions are drawn about the need to use Inte</w:t>
      </w:r>
      <w:r w:rsidRPr="0046275C">
        <w:rPr>
          <w:lang w:val="en-US" w:eastAsia="en-US"/>
        </w:rPr>
        <w:t>r</w:t>
      </w:r>
      <w:r w:rsidRPr="0046275C">
        <w:rPr>
          <w:lang w:val="en-US" w:eastAsia="en-US"/>
        </w:rPr>
        <w:t>net technologies using social media to promote goods and services on the world and domestic markets.</w:t>
      </w:r>
    </w:p>
    <w:p w:rsidR="003C23DB" w:rsidRPr="0046275C" w:rsidRDefault="0046275C" w:rsidP="0046275C">
      <w:pPr>
        <w:spacing w:after="0" w:line="240" w:lineRule="auto"/>
        <w:ind w:firstLine="567"/>
        <w:jc w:val="both"/>
        <w:rPr>
          <w:rFonts w:ascii="Times New Roman" w:hAnsi="Times New Roman"/>
          <w:lang w:val="en-US" w:eastAsia="en-US"/>
        </w:rPr>
      </w:pPr>
      <w:r w:rsidRPr="0046275C">
        <w:rPr>
          <w:rFonts w:ascii="Times New Roman" w:hAnsi="Times New Roman"/>
          <w:i/>
          <w:lang w:val="en-US" w:eastAsia="en-US"/>
        </w:rPr>
        <w:t>Keywords</w:t>
      </w:r>
      <w:r w:rsidRPr="0046275C">
        <w:rPr>
          <w:rFonts w:ascii="Times New Roman" w:hAnsi="Times New Roman"/>
          <w:lang w:val="en-US" w:eastAsia="en-US"/>
        </w:rPr>
        <w:t>: communications, social media, target audiences, Internet technologies, websites, prom</w:t>
      </w:r>
      <w:r w:rsidRPr="0046275C">
        <w:rPr>
          <w:rFonts w:ascii="Times New Roman" w:hAnsi="Times New Roman"/>
          <w:lang w:val="en-US" w:eastAsia="en-US"/>
        </w:rPr>
        <w:t>o</w:t>
      </w:r>
      <w:r w:rsidRPr="0046275C">
        <w:rPr>
          <w:rFonts w:ascii="Times New Roman" w:hAnsi="Times New Roman"/>
          <w:lang w:val="en-US" w:eastAsia="en-US"/>
        </w:rPr>
        <w:t>tion, s</w:t>
      </w:r>
      <w:r w:rsidRPr="0046275C">
        <w:rPr>
          <w:rFonts w:ascii="Times New Roman" w:hAnsi="Times New Roman"/>
          <w:lang w:val="en-US" w:eastAsia="en-US"/>
        </w:rPr>
        <w:t>o</w:t>
      </w:r>
      <w:r w:rsidRPr="0046275C">
        <w:rPr>
          <w:rFonts w:ascii="Times New Roman" w:hAnsi="Times New Roman"/>
          <w:lang w:val="en-US" w:eastAsia="en-US"/>
        </w:rPr>
        <w:t>cial networks</w:t>
      </w:r>
    </w:p>
    <w:p w:rsidR="0046275C" w:rsidRDefault="0046275C" w:rsidP="003C23DB">
      <w:pPr>
        <w:pStyle w:val="a5"/>
      </w:pPr>
    </w:p>
    <w:p w:rsidR="003C23DB" w:rsidRPr="003C23DB" w:rsidRDefault="003C23DB" w:rsidP="003C23DB">
      <w:pPr>
        <w:pStyle w:val="a5"/>
        <w:rPr>
          <w:sz w:val="16"/>
          <w:szCs w:val="16"/>
          <w:lang w:val="en-US"/>
        </w:rPr>
      </w:pPr>
      <w:r>
        <w:rPr>
          <w:lang w:val="en-US"/>
        </w:rPr>
        <w:t>G</w:t>
      </w:r>
      <w:r w:rsidRPr="003C23DB">
        <w:rPr>
          <w:lang w:val="en-US"/>
        </w:rPr>
        <w:t>.</w:t>
      </w:r>
      <w:r>
        <w:rPr>
          <w:lang w:val="en-US"/>
        </w:rPr>
        <w:t>K</w:t>
      </w:r>
      <w:r w:rsidRPr="003C23DB">
        <w:rPr>
          <w:lang w:val="en-US"/>
        </w:rPr>
        <w:t xml:space="preserve">. </w:t>
      </w:r>
      <w:proofErr w:type="spellStart"/>
      <w:r>
        <w:rPr>
          <w:lang w:val="en-US"/>
        </w:rPr>
        <w:t>Kurmanova</w:t>
      </w:r>
      <w:proofErr w:type="spellEnd"/>
      <w:r w:rsidRPr="003C23DB">
        <w:rPr>
          <w:lang w:val="en-US"/>
        </w:rPr>
        <w:t xml:space="preserve">, </w:t>
      </w:r>
      <w:r>
        <w:rPr>
          <w:lang w:val="en-US"/>
        </w:rPr>
        <w:t>A</w:t>
      </w:r>
      <w:r w:rsidRPr="003C23DB">
        <w:rPr>
          <w:lang w:val="en-US"/>
        </w:rPr>
        <w:t>.</w:t>
      </w:r>
      <w:r>
        <w:rPr>
          <w:lang w:val="en-US"/>
        </w:rPr>
        <w:t>A</w:t>
      </w:r>
      <w:r w:rsidRPr="003C23DB">
        <w:rPr>
          <w:lang w:val="en-US"/>
        </w:rPr>
        <w:t xml:space="preserve">. </w:t>
      </w:r>
      <w:r>
        <w:rPr>
          <w:lang w:val="en-US"/>
        </w:rPr>
        <w:t>Kim</w:t>
      </w:r>
      <w:r w:rsidRPr="003C23DB">
        <w:rPr>
          <w:lang w:val="en-US"/>
        </w:rPr>
        <w:t xml:space="preserve">, </w:t>
      </w:r>
      <w:r>
        <w:rPr>
          <w:lang w:val="en-US"/>
        </w:rPr>
        <w:t>B</w:t>
      </w:r>
      <w:r w:rsidRPr="003C23DB">
        <w:rPr>
          <w:lang w:val="en-US"/>
        </w:rPr>
        <w:t>.</w:t>
      </w:r>
      <w:r>
        <w:rPr>
          <w:lang w:val="en-US"/>
        </w:rPr>
        <w:t>B</w:t>
      </w:r>
      <w:r w:rsidRPr="003C23DB">
        <w:rPr>
          <w:lang w:val="en-US"/>
        </w:rPr>
        <w:t xml:space="preserve">. </w:t>
      </w:r>
      <w:proofErr w:type="spellStart"/>
      <w:r>
        <w:rPr>
          <w:lang w:val="en-US"/>
        </w:rPr>
        <w:t>Sukhanberdina</w:t>
      </w:r>
      <w:proofErr w:type="spellEnd"/>
      <w:r w:rsidRPr="003C23DB">
        <w:rPr>
          <w:lang w:val="en-US"/>
        </w:rPr>
        <w:t xml:space="preserve">, </w:t>
      </w:r>
      <w:r>
        <w:rPr>
          <w:lang w:val="en-US"/>
        </w:rPr>
        <w:t>B</w:t>
      </w:r>
      <w:r w:rsidRPr="003C23DB">
        <w:rPr>
          <w:lang w:val="en-US"/>
        </w:rPr>
        <w:t>.</w:t>
      </w:r>
      <w:r>
        <w:rPr>
          <w:lang w:val="en-US"/>
        </w:rPr>
        <w:t>A</w:t>
      </w:r>
      <w:r w:rsidRPr="003C23DB">
        <w:rPr>
          <w:lang w:val="en-US"/>
        </w:rPr>
        <w:t xml:space="preserve">. </w:t>
      </w:r>
      <w:proofErr w:type="spellStart"/>
      <w:r>
        <w:rPr>
          <w:lang w:val="en-US"/>
        </w:rPr>
        <w:t>Urazova</w:t>
      </w:r>
      <w:proofErr w:type="spellEnd"/>
    </w:p>
    <w:p w:rsidR="003C23DB" w:rsidRDefault="003C23DB" w:rsidP="003C23DB">
      <w:pPr>
        <w:pStyle w:val="a6"/>
        <w:rPr>
          <w:lang w:val="en-US"/>
        </w:rPr>
      </w:pPr>
      <w:r>
        <w:rPr>
          <w:lang w:val="en-US"/>
        </w:rPr>
        <w:t>YOUTH LABOR MARKET: NEW CHALLENGES AND OPPORTUNITIES</w:t>
      </w:r>
    </w:p>
    <w:p w:rsidR="0046275C" w:rsidRDefault="0046275C" w:rsidP="0046275C">
      <w:pPr>
        <w:pStyle w:val="a7"/>
        <w:rPr>
          <w:lang w:val="en-US" w:eastAsia="en-US"/>
        </w:rPr>
      </w:pPr>
      <w:r>
        <w:rPr>
          <w:lang w:val="en-US" w:eastAsia="en-US"/>
        </w:rPr>
        <w:t>Questions of labor market and situation in the sphere of employment of the population are one of global current issues as unemployment has a considerable impact on an economic situation in any country. Rise in unemployment among youth leads not only to economic losses for the younger generation, for the personality and family of the young citizen. Scientific, technical, and professio</w:t>
      </w:r>
      <w:r>
        <w:rPr>
          <w:lang w:val="en-US" w:eastAsia="en-US"/>
        </w:rPr>
        <w:t>n</w:t>
      </w:r>
      <w:r>
        <w:rPr>
          <w:lang w:val="en-US" w:eastAsia="en-US"/>
        </w:rPr>
        <w:t xml:space="preserve">al capacity of the enterprises decreases. Bases for future economic growth are undermined. In this article are given the factors affecting </w:t>
      </w:r>
      <w:r>
        <w:rPr>
          <w:lang w:val="en-US" w:eastAsia="en-US"/>
        </w:rPr>
        <w:lastRenderedPageBreak/>
        <w:t>difficulties in job search by young people and some recommend</w:t>
      </w:r>
      <w:r>
        <w:rPr>
          <w:lang w:val="en-US" w:eastAsia="en-US"/>
        </w:rPr>
        <w:t>a</w:t>
      </w:r>
      <w:r>
        <w:rPr>
          <w:lang w:val="en-US" w:eastAsia="en-US"/>
        </w:rPr>
        <w:t>tions concerning forming of future policy directed to decrease in unemployment rate among youth in various countries are offered.</w:t>
      </w:r>
    </w:p>
    <w:p w:rsidR="0046275C" w:rsidRDefault="0046275C" w:rsidP="0046275C">
      <w:pPr>
        <w:pStyle w:val="a7"/>
        <w:rPr>
          <w:lang w:val="en-US" w:eastAsia="en-US"/>
        </w:rPr>
      </w:pPr>
      <w:r>
        <w:rPr>
          <w:i/>
          <w:lang w:val="en-US" w:eastAsia="en-US"/>
        </w:rPr>
        <w:t>Keywords</w:t>
      </w:r>
      <w:r>
        <w:rPr>
          <w:lang w:val="en-US" w:eastAsia="en-US"/>
        </w:rPr>
        <w:t>: youth, unemployment, labor market, youth unemployment rate, The International Labor Organization</w:t>
      </w:r>
    </w:p>
    <w:p w:rsidR="0046275C" w:rsidRDefault="0046275C" w:rsidP="003C23DB">
      <w:pPr>
        <w:pStyle w:val="a5"/>
      </w:pPr>
    </w:p>
    <w:p w:rsidR="003C23DB" w:rsidRDefault="003C23DB" w:rsidP="003C23DB">
      <w:pPr>
        <w:pStyle w:val="a5"/>
        <w:rPr>
          <w:sz w:val="16"/>
          <w:szCs w:val="16"/>
          <w:lang w:val="en-US"/>
        </w:rPr>
      </w:pPr>
      <w:r>
        <w:rPr>
          <w:lang w:val="en-US"/>
        </w:rPr>
        <w:t>N.</w:t>
      </w:r>
      <w:r>
        <w:rPr>
          <w:caps/>
          <w:lang w:val="en-US"/>
        </w:rPr>
        <w:t>v</w:t>
      </w:r>
      <w:r>
        <w:rPr>
          <w:lang w:val="en-US"/>
        </w:rPr>
        <w:t xml:space="preserve">. </w:t>
      </w:r>
      <w:proofErr w:type="spellStart"/>
      <w:r>
        <w:rPr>
          <w:lang w:val="en-US"/>
        </w:rPr>
        <w:t>Medvedeva</w:t>
      </w:r>
      <w:proofErr w:type="spellEnd"/>
      <w:r>
        <w:rPr>
          <w:lang w:val="en-US"/>
        </w:rPr>
        <w:t xml:space="preserve"> </w:t>
      </w:r>
    </w:p>
    <w:p w:rsidR="003C23DB" w:rsidRDefault="003C23DB" w:rsidP="003C23DB">
      <w:pPr>
        <w:pStyle w:val="a6"/>
        <w:rPr>
          <w:lang w:val="en-US"/>
        </w:rPr>
      </w:pPr>
      <w:r>
        <w:rPr>
          <w:lang w:val="en-US"/>
        </w:rPr>
        <w:t xml:space="preserve">THE SPECIFICITY OF MANAGEMENT RISKS </w:t>
      </w:r>
      <w:r>
        <w:rPr>
          <w:lang w:val="en-US"/>
        </w:rPr>
        <w:br/>
        <w:t xml:space="preserve">IN THE RUSSIAN EDUCATIONAL SYSTEM </w:t>
      </w:r>
    </w:p>
    <w:p w:rsidR="0046275C" w:rsidRPr="0046275C" w:rsidRDefault="0046275C" w:rsidP="0046275C">
      <w:pPr>
        <w:pStyle w:val="a7"/>
        <w:rPr>
          <w:lang w:val="en-US" w:eastAsia="en-US"/>
        </w:rPr>
      </w:pPr>
      <w:r w:rsidRPr="0046275C">
        <w:rPr>
          <w:lang w:val="en-US" w:eastAsia="en-US"/>
        </w:rPr>
        <w:t>The existing approaches to the definition of risk are considered in the article, position that the risk should be considered from the perspective of the socio-economic situation for management the statement is proved, role of the information system for risk prediction and assessment in education management is shown, analysis of specific chara</w:t>
      </w:r>
      <w:r w:rsidRPr="0046275C">
        <w:rPr>
          <w:lang w:val="en-US" w:eastAsia="en-US"/>
        </w:rPr>
        <w:t>c</w:t>
      </w:r>
      <w:r w:rsidRPr="0046275C">
        <w:rPr>
          <w:lang w:val="en-US" w:eastAsia="en-US"/>
        </w:rPr>
        <w:t>teristics of educational organizations management which are the cause of risks in education manag</w:t>
      </w:r>
      <w:r w:rsidRPr="0046275C">
        <w:rPr>
          <w:lang w:val="en-US" w:eastAsia="en-US"/>
        </w:rPr>
        <w:t>e</w:t>
      </w:r>
      <w:r w:rsidRPr="0046275C">
        <w:rPr>
          <w:lang w:val="en-US" w:eastAsia="en-US"/>
        </w:rPr>
        <w:t>ment is given.</w:t>
      </w:r>
    </w:p>
    <w:p w:rsidR="003C23DB" w:rsidRPr="003C23DB" w:rsidRDefault="0046275C" w:rsidP="00C940FE">
      <w:pPr>
        <w:spacing w:after="0" w:line="240" w:lineRule="auto"/>
        <w:ind w:firstLine="567"/>
        <w:jc w:val="both"/>
        <w:rPr>
          <w:rFonts w:cstheme="minorBidi"/>
          <w:lang w:val="en-US" w:eastAsia="en-US"/>
        </w:rPr>
      </w:pPr>
      <w:r w:rsidRPr="0046275C">
        <w:rPr>
          <w:rFonts w:ascii="Times New Roman" w:hAnsi="Times New Roman"/>
          <w:i/>
          <w:lang w:val="en-US" w:eastAsia="en-US"/>
        </w:rPr>
        <w:t>Keywords:</w:t>
      </w:r>
      <w:r w:rsidRPr="0046275C">
        <w:rPr>
          <w:rFonts w:ascii="Times New Roman" w:hAnsi="Times New Roman"/>
          <w:lang w:val="en-US" w:eastAsia="en-US"/>
        </w:rPr>
        <w:t xml:space="preserve"> risk, risk situation, management decision-making in risk conditions, the choice of altern</w:t>
      </w:r>
      <w:r w:rsidRPr="0046275C">
        <w:rPr>
          <w:rFonts w:ascii="Times New Roman" w:hAnsi="Times New Roman"/>
          <w:lang w:val="en-US" w:eastAsia="en-US"/>
        </w:rPr>
        <w:t>a</w:t>
      </w:r>
      <w:r w:rsidRPr="0046275C">
        <w:rPr>
          <w:rFonts w:ascii="Times New Roman" w:hAnsi="Times New Roman"/>
          <w:lang w:val="en-US" w:eastAsia="en-US"/>
        </w:rPr>
        <w:t>tives, sources of risk in the leader of the educational organization work, especially the sources of risk in the educ</w:t>
      </w:r>
      <w:r w:rsidRPr="0046275C">
        <w:rPr>
          <w:rFonts w:ascii="Times New Roman" w:hAnsi="Times New Roman"/>
          <w:lang w:val="en-US" w:eastAsia="en-US"/>
        </w:rPr>
        <w:t>a</w:t>
      </w:r>
      <w:r w:rsidRPr="0046275C">
        <w:rPr>
          <w:rFonts w:ascii="Times New Roman" w:hAnsi="Times New Roman"/>
          <w:lang w:val="en-US" w:eastAsia="en-US"/>
        </w:rPr>
        <w:t>tion</w:t>
      </w:r>
    </w:p>
    <w:p w:rsidR="00C940FE" w:rsidRDefault="00C940FE" w:rsidP="003C23DB">
      <w:pPr>
        <w:pStyle w:val="a5"/>
      </w:pPr>
    </w:p>
    <w:p w:rsidR="003C23DB" w:rsidRDefault="003C23DB" w:rsidP="003C23DB">
      <w:pPr>
        <w:pStyle w:val="a5"/>
        <w:rPr>
          <w:sz w:val="16"/>
          <w:szCs w:val="16"/>
          <w:lang w:val="en-US"/>
        </w:rPr>
      </w:pPr>
      <w:r>
        <w:rPr>
          <w:lang w:val="en-US"/>
        </w:rPr>
        <w:t xml:space="preserve">A.A. </w:t>
      </w:r>
      <w:proofErr w:type="spellStart"/>
      <w:r>
        <w:rPr>
          <w:lang w:val="en-US"/>
        </w:rPr>
        <w:t>Minatullaev</w:t>
      </w:r>
      <w:proofErr w:type="spellEnd"/>
      <w:r>
        <w:rPr>
          <w:lang w:val="en-US"/>
        </w:rPr>
        <w:t xml:space="preserve">, H.M. </w:t>
      </w:r>
      <w:proofErr w:type="spellStart"/>
      <w:r>
        <w:rPr>
          <w:lang w:val="en-US"/>
        </w:rPr>
        <w:t>Habibulaev</w:t>
      </w:r>
      <w:proofErr w:type="spellEnd"/>
      <w:r>
        <w:rPr>
          <w:lang w:val="en-US"/>
        </w:rPr>
        <w:t xml:space="preserve"> </w:t>
      </w:r>
    </w:p>
    <w:p w:rsidR="003C23DB" w:rsidRDefault="003C23DB" w:rsidP="003C23DB">
      <w:pPr>
        <w:pStyle w:val="a6"/>
        <w:rPr>
          <w:lang w:val="en-US"/>
        </w:rPr>
      </w:pPr>
      <w:r>
        <w:rPr>
          <w:lang w:val="en-US"/>
        </w:rPr>
        <w:t xml:space="preserve">PROBLEMS OF FORMATION AND FUNCTIONING </w:t>
      </w:r>
      <w:r>
        <w:rPr>
          <w:lang w:val="en-US"/>
        </w:rPr>
        <w:br/>
        <w:t xml:space="preserve">OF AN EFFECTIVE MECHANISM OF STATE REGULATION </w:t>
      </w:r>
      <w:r>
        <w:rPr>
          <w:lang w:val="en-US"/>
        </w:rPr>
        <w:br/>
        <w:t>OF INNOVATION SPHERE OF ECONOMY</w:t>
      </w:r>
    </w:p>
    <w:p w:rsidR="00926F9A" w:rsidRDefault="00926F9A" w:rsidP="00926F9A">
      <w:pPr>
        <w:pStyle w:val="a7"/>
        <w:rPr>
          <w:lang w:val="en-US" w:eastAsia="en-US"/>
        </w:rPr>
      </w:pPr>
      <w:r>
        <w:rPr>
          <w:lang w:val="en-US" w:eastAsia="en-US"/>
        </w:rPr>
        <w:t>The task of disclosing the existing mechanism of state regulation of the innovative sphere of the Ru</w:t>
      </w:r>
      <w:r>
        <w:rPr>
          <w:lang w:val="en-US" w:eastAsia="en-US"/>
        </w:rPr>
        <w:t>s</w:t>
      </w:r>
      <w:r>
        <w:rPr>
          <w:lang w:val="en-US" w:eastAsia="en-US"/>
        </w:rPr>
        <w:t>sian economy is set. Features of financing, forms and methods of stimulation of innovative activity in Russia and Western countries are estimated. The mechanism of financing of small inn</w:t>
      </w:r>
      <w:r>
        <w:rPr>
          <w:lang w:val="en-US" w:eastAsia="en-US"/>
        </w:rPr>
        <w:t>o</w:t>
      </w:r>
      <w:r>
        <w:rPr>
          <w:lang w:val="en-US" w:eastAsia="en-US"/>
        </w:rPr>
        <w:t>vative firms of the USA at all stages of an innovative cycle is opened. The positive aspects of the impact of Western sanctions on inn</w:t>
      </w:r>
      <w:r>
        <w:rPr>
          <w:lang w:val="en-US" w:eastAsia="en-US"/>
        </w:rPr>
        <w:t>o</w:t>
      </w:r>
      <w:r>
        <w:rPr>
          <w:lang w:val="en-US" w:eastAsia="en-US"/>
        </w:rPr>
        <w:t>vation in Ru</w:t>
      </w:r>
      <w:r>
        <w:rPr>
          <w:lang w:val="en-US" w:eastAsia="en-US"/>
        </w:rPr>
        <w:t>s</w:t>
      </w:r>
      <w:r>
        <w:rPr>
          <w:lang w:val="en-US" w:eastAsia="en-US"/>
        </w:rPr>
        <w:t xml:space="preserve">sia are considered. The most effective ways of state regulation of </w:t>
      </w:r>
      <w:proofErr w:type="spellStart"/>
      <w:r>
        <w:rPr>
          <w:lang w:val="en-US" w:eastAsia="en-US"/>
        </w:rPr>
        <w:t>Technopark</w:t>
      </w:r>
      <w:proofErr w:type="spellEnd"/>
      <w:r>
        <w:rPr>
          <w:lang w:val="en-US" w:eastAsia="en-US"/>
        </w:rPr>
        <w:t xml:space="preserve"> structures and small innovative firms in Russia are determined. The mechanism of tax stimulation of innovative activ</w:t>
      </w:r>
      <w:r>
        <w:rPr>
          <w:lang w:val="en-US" w:eastAsia="en-US"/>
        </w:rPr>
        <w:t>i</w:t>
      </w:r>
      <w:r>
        <w:rPr>
          <w:lang w:val="en-US" w:eastAsia="en-US"/>
        </w:rPr>
        <w:t>ties in Russia is explained in detail. The method of calculation of economic efficiency of tax stimulation of innov</w:t>
      </w:r>
      <w:r>
        <w:rPr>
          <w:lang w:val="en-US" w:eastAsia="en-US"/>
        </w:rPr>
        <w:t>a</w:t>
      </w:r>
      <w:r>
        <w:rPr>
          <w:lang w:val="en-US" w:eastAsia="en-US"/>
        </w:rPr>
        <w:t xml:space="preserve">tive activity by the state is offered. </w:t>
      </w:r>
    </w:p>
    <w:p w:rsidR="00926F9A" w:rsidRDefault="00926F9A" w:rsidP="00926F9A">
      <w:pPr>
        <w:pStyle w:val="a7"/>
        <w:rPr>
          <w:lang w:val="en-US" w:eastAsia="en-US"/>
        </w:rPr>
      </w:pPr>
      <w:r>
        <w:rPr>
          <w:i/>
          <w:lang w:val="en-US" w:eastAsia="en-US"/>
        </w:rPr>
        <w:t>Keywords</w:t>
      </w:r>
      <w:r>
        <w:rPr>
          <w:lang w:val="en-US" w:eastAsia="en-US"/>
        </w:rPr>
        <w:t>: incentives, innovation, financing, technological innovation, taxes, grants, penalties, ve</w:t>
      </w:r>
      <w:r>
        <w:rPr>
          <w:lang w:val="en-US" w:eastAsia="en-US"/>
        </w:rPr>
        <w:t>n</w:t>
      </w:r>
      <w:r>
        <w:rPr>
          <w:lang w:val="en-US" w:eastAsia="en-US"/>
        </w:rPr>
        <w:t>ture, innovative update</w:t>
      </w:r>
    </w:p>
    <w:p w:rsidR="00926F9A" w:rsidRDefault="00926F9A" w:rsidP="003C23DB">
      <w:pPr>
        <w:pStyle w:val="a5"/>
      </w:pPr>
    </w:p>
    <w:p w:rsidR="003C23DB" w:rsidRPr="003C23DB" w:rsidRDefault="003C23DB" w:rsidP="003C23DB">
      <w:pPr>
        <w:pStyle w:val="a5"/>
        <w:rPr>
          <w:sz w:val="16"/>
          <w:szCs w:val="16"/>
          <w:lang w:val="en-US"/>
        </w:rPr>
      </w:pPr>
      <w:r>
        <w:rPr>
          <w:lang w:val="en-US"/>
        </w:rPr>
        <w:t>I</w:t>
      </w:r>
      <w:r w:rsidRPr="003C23DB">
        <w:rPr>
          <w:lang w:val="en-US"/>
        </w:rPr>
        <w:t>.</w:t>
      </w:r>
      <w:r>
        <w:rPr>
          <w:lang w:val="en-US"/>
        </w:rPr>
        <w:t>N</w:t>
      </w:r>
      <w:r w:rsidRPr="003C23DB">
        <w:rPr>
          <w:lang w:val="en-US"/>
        </w:rPr>
        <w:t xml:space="preserve">. </w:t>
      </w:r>
      <w:proofErr w:type="spellStart"/>
      <w:r>
        <w:rPr>
          <w:lang w:val="en-US"/>
        </w:rPr>
        <w:t>Misanova</w:t>
      </w:r>
      <w:proofErr w:type="spellEnd"/>
      <w:r w:rsidRPr="003C23DB">
        <w:rPr>
          <w:lang w:val="en-US"/>
        </w:rPr>
        <w:t xml:space="preserve">, </w:t>
      </w:r>
      <w:r>
        <w:rPr>
          <w:lang w:val="en-US"/>
        </w:rPr>
        <w:t>A</w:t>
      </w:r>
      <w:r w:rsidRPr="003C23DB">
        <w:rPr>
          <w:lang w:val="en-US"/>
        </w:rPr>
        <w:t>.</w:t>
      </w:r>
      <w:r>
        <w:rPr>
          <w:lang w:val="en-US"/>
        </w:rPr>
        <w:t>V</w:t>
      </w:r>
      <w:r w:rsidRPr="003C23DB">
        <w:rPr>
          <w:lang w:val="en-US"/>
        </w:rPr>
        <w:t xml:space="preserve">. </w:t>
      </w:r>
      <w:proofErr w:type="spellStart"/>
      <w:r>
        <w:rPr>
          <w:lang w:val="en-US"/>
        </w:rPr>
        <w:t>Vlasov</w:t>
      </w:r>
      <w:proofErr w:type="spellEnd"/>
      <w:r w:rsidRPr="003C23DB">
        <w:rPr>
          <w:lang w:val="en-US"/>
        </w:rPr>
        <w:t xml:space="preserve">, </w:t>
      </w:r>
      <w:r>
        <w:rPr>
          <w:lang w:val="en-US"/>
        </w:rPr>
        <w:t>N</w:t>
      </w:r>
      <w:r w:rsidRPr="003C23DB">
        <w:rPr>
          <w:lang w:val="en-US"/>
        </w:rPr>
        <w:t>.</w:t>
      </w:r>
      <w:r>
        <w:rPr>
          <w:lang w:val="en-US"/>
        </w:rPr>
        <w:t>L</w:t>
      </w:r>
      <w:r w:rsidRPr="003C23DB">
        <w:rPr>
          <w:lang w:val="en-US"/>
        </w:rPr>
        <w:t xml:space="preserve">. </w:t>
      </w:r>
      <w:proofErr w:type="spellStart"/>
      <w:r>
        <w:rPr>
          <w:lang w:val="en-US"/>
        </w:rPr>
        <w:t>Fomenko</w:t>
      </w:r>
      <w:proofErr w:type="spellEnd"/>
    </w:p>
    <w:p w:rsidR="003C23DB" w:rsidRDefault="003C23DB" w:rsidP="003C23DB">
      <w:pPr>
        <w:pStyle w:val="a6"/>
        <w:rPr>
          <w:lang w:val="en-US"/>
        </w:rPr>
      </w:pPr>
      <w:r>
        <w:rPr>
          <w:lang w:val="en-US"/>
        </w:rPr>
        <w:t xml:space="preserve">MODEL OF IMPROVEMENT OF THE SYSTEM OF MANAGEMENT </w:t>
      </w:r>
      <w:r>
        <w:rPr>
          <w:lang w:val="en-US"/>
        </w:rPr>
        <w:br/>
        <w:t>OF MATERIAL AND TECHNICAL RESOURCES</w:t>
      </w:r>
    </w:p>
    <w:p w:rsidR="00926F9A" w:rsidRPr="00926F9A" w:rsidRDefault="00926F9A" w:rsidP="00926F9A">
      <w:pPr>
        <w:pStyle w:val="a7"/>
        <w:rPr>
          <w:bCs/>
          <w:lang w:val="en-US" w:eastAsia="en-US"/>
        </w:rPr>
      </w:pPr>
      <w:proofErr w:type="spellStart"/>
      <w:r w:rsidRPr="00926F9A">
        <w:rPr>
          <w:lang w:val="en-US" w:eastAsia="en-US"/>
        </w:rPr>
        <w:t>Tthe</w:t>
      </w:r>
      <w:proofErr w:type="spellEnd"/>
      <w:r w:rsidRPr="00926F9A">
        <w:rPr>
          <w:lang w:val="en-US" w:eastAsia="en-US"/>
        </w:rPr>
        <w:t xml:space="preserve"> article presents a model of improving the management system of material and technical r</w:t>
      </w:r>
      <w:r w:rsidRPr="00926F9A">
        <w:rPr>
          <w:lang w:val="en-US" w:eastAsia="en-US"/>
        </w:rPr>
        <w:t>e</w:t>
      </w:r>
      <w:r w:rsidRPr="00926F9A">
        <w:rPr>
          <w:lang w:val="en-US" w:eastAsia="en-US"/>
        </w:rPr>
        <w:t xml:space="preserve">sources. </w:t>
      </w:r>
      <w:proofErr w:type="gramStart"/>
      <w:r w:rsidRPr="00926F9A">
        <w:rPr>
          <w:lang w:val="en-US" w:eastAsia="en-US"/>
        </w:rPr>
        <w:t>the</w:t>
      </w:r>
      <w:proofErr w:type="gramEnd"/>
      <w:r w:rsidRPr="00926F9A">
        <w:rPr>
          <w:lang w:val="en-US" w:eastAsia="en-US"/>
        </w:rPr>
        <w:t xml:space="preserve"> relevance of the topic is due to the demand for integral processes of the enterprise in such a d</w:t>
      </w:r>
      <w:r w:rsidRPr="00926F9A">
        <w:rPr>
          <w:lang w:val="en-US" w:eastAsia="en-US"/>
        </w:rPr>
        <w:t>i</w:t>
      </w:r>
      <w:r w:rsidRPr="00926F9A">
        <w:rPr>
          <w:lang w:val="en-US" w:eastAsia="en-US"/>
        </w:rPr>
        <w:t>rection as the management of material and technical resources. The article presents the main criteria for the classification of resources, the basic business processes.</w:t>
      </w:r>
    </w:p>
    <w:p w:rsidR="003C23DB" w:rsidRDefault="00926F9A" w:rsidP="00DF5DB5">
      <w:pPr>
        <w:spacing w:after="0" w:line="240" w:lineRule="auto"/>
        <w:ind w:firstLine="567"/>
        <w:jc w:val="both"/>
        <w:rPr>
          <w:rFonts w:cstheme="minorBidi"/>
          <w:lang w:val="en-US" w:eastAsia="en-US"/>
        </w:rPr>
      </w:pPr>
      <w:r w:rsidRPr="00926F9A">
        <w:rPr>
          <w:rFonts w:ascii="Times New Roman" w:hAnsi="Times New Roman"/>
          <w:i/>
          <w:lang w:val="en-US" w:eastAsia="en-US"/>
        </w:rPr>
        <w:t>Keywords</w:t>
      </w:r>
      <w:r w:rsidRPr="00926F9A">
        <w:rPr>
          <w:rFonts w:ascii="Times New Roman" w:hAnsi="Times New Roman"/>
          <w:lang w:val="en-US" w:eastAsia="en-US"/>
        </w:rPr>
        <w:t>: management system, decision making, material and technical resour</w:t>
      </w:r>
      <w:bookmarkStart w:id="0" w:name="_GoBack"/>
      <w:bookmarkEnd w:id="0"/>
      <w:r w:rsidRPr="00926F9A">
        <w:rPr>
          <w:rFonts w:ascii="Times New Roman" w:hAnsi="Times New Roman"/>
          <w:lang w:val="en-US" w:eastAsia="en-US"/>
        </w:rPr>
        <w:t>ce, economic activity, bus</w:t>
      </w:r>
      <w:r w:rsidRPr="00926F9A">
        <w:rPr>
          <w:rFonts w:ascii="Times New Roman" w:hAnsi="Times New Roman"/>
          <w:lang w:val="en-US" w:eastAsia="en-US"/>
        </w:rPr>
        <w:t>i</w:t>
      </w:r>
      <w:r w:rsidRPr="00926F9A">
        <w:rPr>
          <w:rFonts w:ascii="Times New Roman" w:hAnsi="Times New Roman"/>
          <w:lang w:val="en-US" w:eastAsia="en-US"/>
        </w:rPr>
        <w:t>ness process</w:t>
      </w:r>
    </w:p>
    <w:p w:rsidR="00926F9A" w:rsidRDefault="00926F9A" w:rsidP="003C23DB">
      <w:pPr>
        <w:pStyle w:val="a5"/>
      </w:pPr>
    </w:p>
    <w:p w:rsidR="00C940FE" w:rsidRDefault="00C940FE" w:rsidP="003C23DB">
      <w:pPr>
        <w:pStyle w:val="a5"/>
      </w:pPr>
    </w:p>
    <w:p w:rsidR="00C940FE" w:rsidRDefault="00C940FE" w:rsidP="003C23DB">
      <w:pPr>
        <w:pStyle w:val="a5"/>
      </w:pPr>
    </w:p>
    <w:p w:rsidR="00C940FE" w:rsidRDefault="00C940FE" w:rsidP="003C23DB">
      <w:pPr>
        <w:pStyle w:val="a5"/>
      </w:pPr>
    </w:p>
    <w:p w:rsidR="003C23DB" w:rsidRDefault="003C23DB" w:rsidP="003C23DB">
      <w:pPr>
        <w:pStyle w:val="a5"/>
        <w:rPr>
          <w:sz w:val="16"/>
          <w:szCs w:val="16"/>
          <w:lang w:val="en-US"/>
        </w:rPr>
      </w:pPr>
      <w:r>
        <w:rPr>
          <w:lang w:val="en-US"/>
        </w:rPr>
        <w:lastRenderedPageBreak/>
        <w:t xml:space="preserve">I.A. </w:t>
      </w:r>
      <w:proofErr w:type="spellStart"/>
      <w:r>
        <w:rPr>
          <w:lang w:val="en-US"/>
        </w:rPr>
        <w:t>Raevich</w:t>
      </w:r>
      <w:proofErr w:type="spellEnd"/>
      <w:r>
        <w:rPr>
          <w:lang w:val="en-US"/>
        </w:rPr>
        <w:t xml:space="preserve"> </w:t>
      </w:r>
    </w:p>
    <w:p w:rsidR="003C23DB" w:rsidRDefault="003C23DB" w:rsidP="003C23DB">
      <w:pPr>
        <w:pStyle w:val="a6"/>
        <w:rPr>
          <w:lang w:val="en-US"/>
        </w:rPr>
      </w:pPr>
      <w:r>
        <w:rPr>
          <w:lang w:val="en-US"/>
        </w:rPr>
        <w:t xml:space="preserve">MODERN APPROACHES TO THE DIAGNOSIS </w:t>
      </w:r>
      <w:r>
        <w:rPr>
          <w:lang w:val="en-US"/>
        </w:rPr>
        <w:br/>
        <w:t xml:space="preserve">OF REGIONAL SOCIO-ECONOMIC PROBLEMS </w:t>
      </w:r>
    </w:p>
    <w:p w:rsidR="00926F9A" w:rsidRDefault="00926F9A" w:rsidP="00926F9A">
      <w:pPr>
        <w:pStyle w:val="a7"/>
        <w:rPr>
          <w:rFonts w:eastAsiaTheme="minorHAnsi"/>
          <w:lang w:val="en-US" w:eastAsia="en-US"/>
        </w:rPr>
      </w:pPr>
      <w:r>
        <w:rPr>
          <w:rFonts w:eastAsiaTheme="minorHAnsi"/>
          <w:lang w:val="en-US" w:eastAsia="en-US"/>
        </w:rPr>
        <w:t>Modern approaches to the diagnosis of regional problems are discussed. The problems of the Russian regions in the following areas: economic, budgetary, administrative and social. Foreign approaches to dia</w:t>
      </w:r>
      <w:r>
        <w:rPr>
          <w:rFonts w:eastAsiaTheme="minorHAnsi"/>
          <w:lang w:val="en-US" w:eastAsia="en-US"/>
        </w:rPr>
        <w:t>g</w:t>
      </w:r>
      <w:r>
        <w:rPr>
          <w:rFonts w:eastAsiaTheme="minorHAnsi"/>
          <w:lang w:val="en-US" w:eastAsia="en-US"/>
        </w:rPr>
        <w:t>nostics are considered: human d</w:t>
      </w:r>
      <w:r>
        <w:rPr>
          <w:rFonts w:eastAsiaTheme="minorHAnsi"/>
          <w:lang w:val="en-US" w:eastAsia="en-US"/>
        </w:rPr>
        <w:t>e</w:t>
      </w:r>
      <w:r>
        <w:rPr>
          <w:rFonts w:eastAsiaTheme="minorHAnsi"/>
          <w:lang w:val="en-US" w:eastAsia="en-US"/>
        </w:rPr>
        <w:t xml:space="preserve">velopment index, global competition index, ADB-DB model, </w:t>
      </w:r>
      <w:proofErr w:type="spellStart"/>
      <w:r>
        <w:rPr>
          <w:rFonts w:eastAsiaTheme="minorHAnsi"/>
          <w:lang w:val="en-US" w:eastAsia="en-US"/>
        </w:rPr>
        <w:t>UrbanAudit</w:t>
      </w:r>
      <w:proofErr w:type="spellEnd"/>
      <w:r>
        <w:rPr>
          <w:rFonts w:eastAsiaTheme="minorHAnsi"/>
          <w:lang w:val="en-US" w:eastAsia="en-US"/>
        </w:rPr>
        <w:t xml:space="preserve"> approach and DFID-DTLR model. The features of foreign approaches based on the assessment of Russian regions are revealed. Domestic approaches to diagnosis are considered: the RIA Agency model and the ra</w:t>
      </w:r>
      <w:r>
        <w:rPr>
          <w:rFonts w:eastAsiaTheme="minorHAnsi"/>
          <w:lang w:val="en-US" w:eastAsia="en-US"/>
        </w:rPr>
        <w:t>t</w:t>
      </w:r>
      <w:r>
        <w:rPr>
          <w:rFonts w:eastAsiaTheme="minorHAnsi"/>
          <w:lang w:val="en-US" w:eastAsia="en-US"/>
        </w:rPr>
        <w:t>ing of investment attractiveness of regions, which are based on available local indicators without the poss</w:t>
      </w:r>
      <w:r>
        <w:rPr>
          <w:rFonts w:eastAsiaTheme="minorHAnsi"/>
          <w:lang w:val="en-US" w:eastAsia="en-US"/>
        </w:rPr>
        <w:t>i</w:t>
      </w:r>
      <w:r>
        <w:rPr>
          <w:rFonts w:eastAsiaTheme="minorHAnsi"/>
          <w:lang w:val="en-US" w:eastAsia="en-US"/>
        </w:rPr>
        <w:t>bility of comparison with the regions of other countries, do not take into account the various "starting cond</w:t>
      </w:r>
      <w:r>
        <w:rPr>
          <w:rFonts w:eastAsiaTheme="minorHAnsi"/>
          <w:lang w:val="en-US" w:eastAsia="en-US"/>
        </w:rPr>
        <w:t>i</w:t>
      </w:r>
      <w:r>
        <w:rPr>
          <w:rFonts w:eastAsiaTheme="minorHAnsi"/>
          <w:lang w:val="en-US" w:eastAsia="en-US"/>
        </w:rPr>
        <w:t>tions" and the current socio-economic situation of the regions. The features of single-industry towns that a</w:t>
      </w:r>
      <w:r>
        <w:rPr>
          <w:rFonts w:eastAsiaTheme="minorHAnsi"/>
          <w:lang w:val="en-US" w:eastAsia="en-US"/>
        </w:rPr>
        <w:t>f</w:t>
      </w:r>
      <w:r>
        <w:rPr>
          <w:rFonts w:eastAsiaTheme="minorHAnsi"/>
          <w:lang w:val="en-US" w:eastAsia="en-US"/>
        </w:rPr>
        <w:t>fect the application of the described approaches to the diagnosis of single-industry towns are pr</w:t>
      </w:r>
      <w:r>
        <w:rPr>
          <w:rFonts w:eastAsiaTheme="minorHAnsi"/>
          <w:lang w:val="en-US" w:eastAsia="en-US"/>
        </w:rPr>
        <w:t>e</w:t>
      </w:r>
      <w:r>
        <w:rPr>
          <w:rFonts w:eastAsiaTheme="minorHAnsi"/>
          <w:lang w:val="en-US" w:eastAsia="en-US"/>
        </w:rPr>
        <w:t>sented.</w:t>
      </w:r>
    </w:p>
    <w:p w:rsidR="00926F9A" w:rsidRDefault="00926F9A" w:rsidP="00926F9A">
      <w:pPr>
        <w:pStyle w:val="a7"/>
        <w:rPr>
          <w:color w:val="333333"/>
          <w:lang w:val="en-US" w:eastAsia="en-US"/>
        </w:rPr>
      </w:pPr>
      <w:r>
        <w:rPr>
          <w:i/>
          <w:color w:val="333333"/>
          <w:lang w:val="en-US" w:eastAsia="en-US"/>
        </w:rPr>
        <w:t>Keywords:</w:t>
      </w:r>
      <w:r>
        <w:rPr>
          <w:b/>
          <w:color w:val="333333"/>
          <w:lang w:val="en-US" w:eastAsia="en-US"/>
        </w:rPr>
        <w:t xml:space="preserve"> </w:t>
      </w:r>
      <w:r>
        <w:rPr>
          <w:color w:val="333333"/>
          <w:lang w:val="en-US" w:eastAsia="en-US"/>
        </w:rPr>
        <w:t>regional economy, regional socio-economic problems, problem diagnostics</w:t>
      </w:r>
    </w:p>
    <w:p w:rsidR="00926F9A" w:rsidRDefault="00926F9A" w:rsidP="003C23DB">
      <w:pPr>
        <w:pStyle w:val="a5"/>
      </w:pPr>
    </w:p>
    <w:p w:rsidR="003C23DB" w:rsidRDefault="003C23DB" w:rsidP="003C23DB">
      <w:pPr>
        <w:pStyle w:val="a5"/>
        <w:rPr>
          <w:sz w:val="16"/>
          <w:szCs w:val="16"/>
          <w:lang w:val="en-US"/>
        </w:rPr>
      </w:pPr>
      <w:proofErr w:type="spellStart"/>
      <w:r>
        <w:rPr>
          <w:lang w:val="en-US"/>
        </w:rPr>
        <w:t>E.Yu</w:t>
      </w:r>
      <w:proofErr w:type="spellEnd"/>
      <w:r>
        <w:rPr>
          <w:lang w:val="en-US"/>
        </w:rPr>
        <w:t xml:space="preserve">. </w:t>
      </w:r>
      <w:proofErr w:type="spellStart"/>
      <w:r>
        <w:rPr>
          <w:lang w:val="en-US"/>
        </w:rPr>
        <w:t>Sidorova</w:t>
      </w:r>
      <w:proofErr w:type="spellEnd"/>
      <w:r>
        <w:rPr>
          <w:lang w:val="en-US"/>
        </w:rPr>
        <w:t xml:space="preserve">, G.V. </w:t>
      </w:r>
      <w:proofErr w:type="spellStart"/>
      <w:r>
        <w:rPr>
          <w:lang w:val="en-US"/>
        </w:rPr>
        <w:t>Timochova</w:t>
      </w:r>
      <w:proofErr w:type="spellEnd"/>
      <w:r>
        <w:rPr>
          <w:lang w:val="en-US"/>
        </w:rPr>
        <w:t xml:space="preserve"> </w:t>
      </w:r>
    </w:p>
    <w:p w:rsidR="003C23DB" w:rsidRDefault="003C23DB" w:rsidP="003C23DB">
      <w:pPr>
        <w:pStyle w:val="a6"/>
        <w:rPr>
          <w:lang w:val="en-US"/>
        </w:rPr>
      </w:pPr>
      <w:r>
        <w:rPr>
          <w:lang w:val="en-US"/>
        </w:rPr>
        <w:t xml:space="preserve">IMPROVING THE BUSINESS PROCESSES OF AN INDUSTRIAL </w:t>
      </w:r>
      <w:r>
        <w:rPr>
          <w:lang w:val="en-US"/>
        </w:rPr>
        <w:br/>
        <w:t>ORGANIZATION AS THE BASIS OF ITS SYSTEM DEVELOPMENT</w:t>
      </w:r>
    </w:p>
    <w:p w:rsidR="00926F9A" w:rsidRPr="00926F9A" w:rsidRDefault="00926F9A" w:rsidP="00926F9A">
      <w:pPr>
        <w:pStyle w:val="a7"/>
        <w:rPr>
          <w:lang w:val="en-US" w:eastAsia="en-US"/>
        </w:rPr>
      </w:pPr>
      <w:r w:rsidRPr="00926F9A">
        <w:rPr>
          <w:lang w:val="en-US" w:eastAsia="en-US"/>
        </w:rPr>
        <w:t>The classification of business processes was supplemented with a criterion – the scope of a business process for various types of activity within an enterprise: autonomous processes within one production cycle, cross-cutting business processes. The conclusion was made about the need to preserve three levels of hiera</w:t>
      </w:r>
      <w:r w:rsidRPr="00926F9A">
        <w:rPr>
          <w:lang w:val="en-US" w:eastAsia="en-US"/>
        </w:rPr>
        <w:t>r</w:t>
      </w:r>
      <w:r w:rsidRPr="00926F9A">
        <w:rPr>
          <w:lang w:val="en-US" w:eastAsia="en-US"/>
        </w:rPr>
        <w:t>chy: strategic planning for the development of business processes in an industrial enterprise; the construction of a business process management system in an enterprise (the formation of the system and its continuous improvement); development, on the basis of a strat</w:t>
      </w:r>
      <w:r w:rsidRPr="00926F9A">
        <w:rPr>
          <w:lang w:val="en-US" w:eastAsia="en-US"/>
        </w:rPr>
        <w:t>e</w:t>
      </w:r>
      <w:r w:rsidRPr="00926F9A">
        <w:rPr>
          <w:lang w:val="en-US" w:eastAsia="en-US"/>
        </w:rPr>
        <w:t>gic plan, of a roadmap for the development of the system and individual business processes, the co</w:t>
      </w:r>
      <w:r w:rsidRPr="00926F9A">
        <w:rPr>
          <w:lang w:val="en-US" w:eastAsia="en-US"/>
        </w:rPr>
        <w:t>n</w:t>
      </w:r>
      <w:r w:rsidRPr="00926F9A">
        <w:rPr>
          <w:lang w:val="en-US" w:eastAsia="en-US"/>
        </w:rPr>
        <w:t>struction of maps describing the business processes of an industrial organization.</w:t>
      </w:r>
    </w:p>
    <w:p w:rsidR="003C23DB" w:rsidRDefault="00926F9A" w:rsidP="00926F9A">
      <w:pPr>
        <w:spacing w:after="0" w:line="240" w:lineRule="auto"/>
        <w:ind w:firstLine="567"/>
        <w:rPr>
          <w:rFonts w:cstheme="minorBidi"/>
          <w:lang w:val="en-US" w:eastAsia="en-US"/>
        </w:rPr>
      </w:pPr>
      <w:r w:rsidRPr="00926F9A">
        <w:rPr>
          <w:rFonts w:ascii="Times New Roman" w:hAnsi="Times New Roman"/>
          <w:i/>
          <w:lang w:val="en-US" w:eastAsia="en-US"/>
        </w:rPr>
        <w:t>Keywords:</w:t>
      </w:r>
      <w:r w:rsidRPr="00926F9A">
        <w:rPr>
          <w:rFonts w:ascii="Times New Roman" w:hAnsi="Times New Roman"/>
          <w:lang w:val="en-US" w:eastAsia="en-US"/>
        </w:rPr>
        <w:t xml:space="preserve"> business process, industrial organization, development, sustainability, system a</w:t>
      </w:r>
      <w:r w:rsidRPr="00926F9A">
        <w:rPr>
          <w:rFonts w:ascii="Times New Roman" w:hAnsi="Times New Roman"/>
          <w:lang w:val="en-US" w:eastAsia="en-US"/>
        </w:rPr>
        <w:t>p</w:t>
      </w:r>
      <w:r w:rsidRPr="00926F9A">
        <w:rPr>
          <w:rFonts w:ascii="Times New Roman" w:hAnsi="Times New Roman"/>
          <w:lang w:val="en-US" w:eastAsia="en-US"/>
        </w:rPr>
        <w:t>proach, the card description</w:t>
      </w:r>
    </w:p>
    <w:p w:rsidR="00926F9A" w:rsidRDefault="00926F9A" w:rsidP="003C23DB">
      <w:pPr>
        <w:pStyle w:val="a5"/>
        <w:rPr>
          <w:rFonts w:eastAsia="Times New Roman"/>
        </w:rPr>
      </w:pPr>
    </w:p>
    <w:p w:rsidR="003C23DB" w:rsidRDefault="003C23DB" w:rsidP="003C23DB">
      <w:pPr>
        <w:pStyle w:val="a5"/>
        <w:rPr>
          <w:rFonts w:eastAsia="Times New Roman"/>
          <w:sz w:val="16"/>
          <w:szCs w:val="16"/>
          <w:lang w:val="en-US"/>
        </w:rPr>
      </w:pPr>
      <w:r>
        <w:rPr>
          <w:rFonts w:eastAsia="Times New Roman"/>
          <w:lang w:val="en-US"/>
        </w:rPr>
        <w:t>O.V. Sysoeva</w:t>
      </w:r>
    </w:p>
    <w:p w:rsidR="003C23DB" w:rsidRDefault="003C23DB" w:rsidP="003C23DB">
      <w:pPr>
        <w:pStyle w:val="a6"/>
        <w:rPr>
          <w:rFonts w:ascii="Times New Roman" w:eastAsia="Calibri" w:hAnsi="Times New Roman"/>
          <w:bCs/>
          <w:sz w:val="24"/>
          <w:szCs w:val="24"/>
          <w:lang w:val="en-US"/>
        </w:rPr>
      </w:pPr>
      <w:r>
        <w:rPr>
          <w:rFonts w:eastAsia="Times New Roman"/>
          <w:lang w:val="en-US"/>
        </w:rPr>
        <w:t xml:space="preserve">SMALL INNOVATIVE ENTERPRISES AS AN ELEMENT </w:t>
      </w:r>
      <w:r>
        <w:rPr>
          <w:rFonts w:eastAsia="Times New Roman"/>
          <w:lang w:val="en-US"/>
        </w:rPr>
        <w:br/>
        <w:t>OF DEVELOPMENT OF THE ECONOMY OF KNOWLEDGE</w:t>
      </w:r>
    </w:p>
    <w:p w:rsidR="00926F9A" w:rsidRDefault="00926F9A" w:rsidP="00926F9A">
      <w:pPr>
        <w:pStyle w:val="a7"/>
        <w:rPr>
          <w:rFonts w:eastAsia="Calibri"/>
          <w:lang w:val="en-US" w:eastAsia="en-US"/>
        </w:rPr>
      </w:pPr>
      <w:r>
        <w:rPr>
          <w:rFonts w:eastAsia="Calibri"/>
          <w:lang w:val="en-US" w:eastAsia="en-US"/>
        </w:rPr>
        <w:t>Universities are a fundamental element in the development of an innovative economy of the region and country. In leading economies, the entrepreneurial clusters are developed on their basis where a techno</w:t>
      </w:r>
      <w:r>
        <w:rPr>
          <w:rFonts w:eastAsia="Calibri"/>
          <w:lang w:val="en-US" w:eastAsia="en-US"/>
        </w:rPr>
        <w:t>l</w:t>
      </w:r>
      <w:r>
        <w:rPr>
          <w:rFonts w:eastAsia="Calibri"/>
          <w:lang w:val="en-US" w:eastAsia="en-US"/>
        </w:rPr>
        <w:t xml:space="preserve">ogy transfer takes place. Such clusters can include both small innovative companies and </w:t>
      </w:r>
      <w:proofErr w:type="spellStart"/>
      <w:r>
        <w:rPr>
          <w:rFonts w:eastAsia="Calibri"/>
          <w:lang w:val="en-US" w:eastAsia="en-US"/>
        </w:rPr>
        <w:t>technopark</w:t>
      </w:r>
      <w:proofErr w:type="spellEnd"/>
      <w:r>
        <w:rPr>
          <w:rFonts w:eastAsia="Calibri"/>
          <w:lang w:val="en-US" w:eastAsia="en-US"/>
        </w:rPr>
        <w:t xml:space="preserve"> stru</w:t>
      </w:r>
      <w:r>
        <w:rPr>
          <w:rFonts w:eastAsia="Calibri"/>
          <w:lang w:val="en-US" w:eastAsia="en-US"/>
        </w:rPr>
        <w:t>c</w:t>
      </w:r>
      <w:r>
        <w:rPr>
          <w:rFonts w:eastAsia="Calibri"/>
          <w:lang w:val="en-US" w:eastAsia="en-US"/>
        </w:rPr>
        <w:t>tures. Within the framework of the U-helix model, it is shown that the formation of such an “internal entr</w:t>
      </w:r>
      <w:r>
        <w:rPr>
          <w:rFonts w:eastAsia="Calibri"/>
          <w:lang w:val="en-US" w:eastAsia="en-US"/>
        </w:rPr>
        <w:t>e</w:t>
      </w:r>
      <w:r>
        <w:rPr>
          <w:rFonts w:eastAsia="Calibri"/>
          <w:lang w:val="en-US" w:eastAsia="en-US"/>
        </w:rPr>
        <w:t>preneurship” is a necessary condition, without which a development of “exte</w:t>
      </w:r>
      <w:r>
        <w:rPr>
          <w:rFonts w:eastAsia="Calibri"/>
          <w:lang w:val="en-US" w:eastAsia="en-US"/>
        </w:rPr>
        <w:t>r</w:t>
      </w:r>
      <w:r>
        <w:rPr>
          <w:rFonts w:eastAsia="Calibri"/>
          <w:lang w:val="en-US" w:eastAsia="en-US"/>
        </w:rPr>
        <w:t>nal entrepreneurship” along the university – indu</w:t>
      </w:r>
      <w:r>
        <w:rPr>
          <w:rFonts w:eastAsia="Calibri"/>
          <w:lang w:val="en-US" w:eastAsia="en-US"/>
        </w:rPr>
        <w:t>s</w:t>
      </w:r>
      <w:r>
        <w:rPr>
          <w:rFonts w:eastAsia="Calibri"/>
          <w:lang w:val="en-US" w:eastAsia="en-US"/>
        </w:rPr>
        <w:t>try link will be protracted.</w:t>
      </w:r>
    </w:p>
    <w:p w:rsidR="00926F9A" w:rsidRDefault="00926F9A" w:rsidP="00926F9A">
      <w:pPr>
        <w:pStyle w:val="a7"/>
        <w:rPr>
          <w:rFonts w:eastAsia="Calibri"/>
          <w:b/>
          <w:lang w:val="en-US" w:eastAsia="en-US"/>
        </w:rPr>
      </w:pPr>
      <w:r>
        <w:rPr>
          <w:i/>
          <w:lang w:val="en-US" w:eastAsia="en-US"/>
        </w:rPr>
        <w:t>Keywords</w:t>
      </w:r>
      <w:r>
        <w:rPr>
          <w:lang w:val="en-US" w:eastAsia="en-US"/>
        </w:rPr>
        <w:t xml:space="preserve">: university, innovations, </w:t>
      </w:r>
      <w:proofErr w:type="spellStart"/>
      <w:r>
        <w:rPr>
          <w:lang w:val="en-US" w:eastAsia="en-US"/>
        </w:rPr>
        <w:t>tec</w:t>
      </w:r>
      <w:r>
        <w:rPr>
          <w:lang w:val="en-US" w:eastAsia="en-US"/>
        </w:rPr>
        <w:t>h</w:t>
      </w:r>
      <w:r>
        <w:rPr>
          <w:lang w:val="en-US" w:eastAsia="en-US"/>
        </w:rPr>
        <w:t>nopark</w:t>
      </w:r>
      <w:proofErr w:type="spellEnd"/>
      <w:r>
        <w:rPr>
          <w:lang w:val="en-US" w:eastAsia="en-US"/>
        </w:rPr>
        <w:t>, small innovative enterprises</w:t>
      </w:r>
    </w:p>
    <w:p w:rsidR="003C23DB" w:rsidRDefault="003C23DB" w:rsidP="00926F9A">
      <w:pPr>
        <w:spacing w:after="0" w:line="240" w:lineRule="auto"/>
        <w:rPr>
          <w:rFonts w:eastAsiaTheme="minorHAnsi" w:cstheme="minorBidi"/>
          <w:lang w:val="en-US" w:eastAsia="en-US"/>
        </w:rPr>
      </w:pPr>
    </w:p>
    <w:p w:rsidR="00C940FE" w:rsidRDefault="00C940FE" w:rsidP="003C23DB">
      <w:pPr>
        <w:pStyle w:val="a5"/>
        <w:rPr>
          <w:rFonts w:eastAsia="Calibri"/>
        </w:rPr>
      </w:pPr>
    </w:p>
    <w:p w:rsidR="00C940FE" w:rsidRDefault="00C940FE" w:rsidP="003C23DB">
      <w:pPr>
        <w:pStyle w:val="a5"/>
        <w:rPr>
          <w:rFonts w:eastAsia="Calibri"/>
        </w:rPr>
      </w:pPr>
    </w:p>
    <w:p w:rsidR="00C940FE" w:rsidRDefault="00C940FE" w:rsidP="003C23DB">
      <w:pPr>
        <w:pStyle w:val="a5"/>
        <w:rPr>
          <w:rFonts w:eastAsia="Calibri"/>
        </w:rPr>
      </w:pPr>
    </w:p>
    <w:p w:rsidR="00C940FE" w:rsidRDefault="00C940FE" w:rsidP="003C23DB">
      <w:pPr>
        <w:pStyle w:val="a5"/>
        <w:rPr>
          <w:rFonts w:eastAsia="Calibri"/>
        </w:rPr>
      </w:pPr>
    </w:p>
    <w:p w:rsidR="00C940FE" w:rsidRDefault="00C940FE" w:rsidP="003C23DB">
      <w:pPr>
        <w:pStyle w:val="a5"/>
        <w:rPr>
          <w:rFonts w:eastAsia="Calibri"/>
        </w:rPr>
      </w:pPr>
    </w:p>
    <w:p w:rsidR="00C940FE" w:rsidRDefault="00C940FE" w:rsidP="003C23DB">
      <w:pPr>
        <w:pStyle w:val="a5"/>
        <w:rPr>
          <w:rFonts w:eastAsia="Calibri"/>
        </w:rPr>
      </w:pPr>
    </w:p>
    <w:p w:rsidR="003C23DB" w:rsidRPr="00C940FE" w:rsidRDefault="003C23DB" w:rsidP="003C23DB">
      <w:pPr>
        <w:pStyle w:val="a5"/>
        <w:rPr>
          <w:rFonts w:eastAsia="Calibri"/>
          <w:sz w:val="16"/>
          <w:szCs w:val="16"/>
        </w:rPr>
      </w:pPr>
      <w:r>
        <w:rPr>
          <w:rFonts w:eastAsia="Calibri"/>
          <w:lang w:val="en-US"/>
        </w:rPr>
        <w:lastRenderedPageBreak/>
        <w:t>S</w:t>
      </w:r>
      <w:r w:rsidRPr="00C940FE">
        <w:rPr>
          <w:rFonts w:eastAsia="Calibri"/>
        </w:rPr>
        <w:t>.</w:t>
      </w:r>
      <w:r>
        <w:rPr>
          <w:rFonts w:eastAsia="Calibri"/>
          <w:lang w:val="en-US"/>
        </w:rPr>
        <w:t>A</w:t>
      </w:r>
      <w:r w:rsidRPr="00C940FE">
        <w:rPr>
          <w:rFonts w:eastAsia="Calibri"/>
        </w:rPr>
        <w:t xml:space="preserve">. </w:t>
      </w:r>
      <w:proofErr w:type="spellStart"/>
      <w:r>
        <w:rPr>
          <w:rFonts w:eastAsia="Calibri"/>
          <w:lang w:val="en-US"/>
        </w:rPr>
        <w:t>Shelkovnikov</w:t>
      </w:r>
      <w:proofErr w:type="spellEnd"/>
      <w:r w:rsidRPr="00C940FE">
        <w:rPr>
          <w:rFonts w:eastAsia="Calibri"/>
        </w:rPr>
        <w:t xml:space="preserve">, </w:t>
      </w:r>
      <w:r>
        <w:rPr>
          <w:rFonts w:eastAsia="Calibri"/>
          <w:lang w:val="en-US"/>
        </w:rPr>
        <w:t>L</w:t>
      </w:r>
      <w:r w:rsidRPr="00C940FE">
        <w:rPr>
          <w:rFonts w:eastAsia="Calibri"/>
        </w:rPr>
        <w:t>.</w:t>
      </w:r>
      <w:r>
        <w:rPr>
          <w:rFonts w:eastAsia="Calibri"/>
          <w:lang w:val="en-US"/>
        </w:rPr>
        <w:t>A</w:t>
      </w:r>
      <w:r w:rsidRPr="00C940FE">
        <w:rPr>
          <w:rFonts w:eastAsia="Calibri"/>
        </w:rPr>
        <w:t xml:space="preserve">. </w:t>
      </w:r>
      <w:proofErr w:type="spellStart"/>
      <w:r>
        <w:rPr>
          <w:rFonts w:eastAsia="Calibri"/>
          <w:lang w:val="en-US"/>
        </w:rPr>
        <w:t>Ovsyanko</w:t>
      </w:r>
      <w:proofErr w:type="spellEnd"/>
    </w:p>
    <w:p w:rsidR="003C23DB" w:rsidRDefault="003C23DB" w:rsidP="003C23DB">
      <w:pPr>
        <w:pStyle w:val="a6"/>
        <w:rPr>
          <w:rFonts w:eastAsia="Calibri"/>
          <w:lang w:val="en-US"/>
        </w:rPr>
      </w:pPr>
      <w:r>
        <w:rPr>
          <w:rFonts w:eastAsia="Calibri"/>
          <w:lang w:val="en-US"/>
        </w:rPr>
        <w:t xml:space="preserve">THE CONCEPT OF STATE SUPPORT OF REGIONAL DAIRY </w:t>
      </w:r>
      <w:r>
        <w:rPr>
          <w:rFonts w:eastAsia="Calibri"/>
          <w:lang w:val="en-US"/>
        </w:rPr>
        <w:br/>
        <w:t>SUBCOMPLEXES OF AGRO-INDUSTRIAL COMPLEX</w:t>
      </w:r>
    </w:p>
    <w:p w:rsidR="00926F9A" w:rsidRDefault="00926F9A" w:rsidP="00D8746A">
      <w:pPr>
        <w:pStyle w:val="a7"/>
        <w:rPr>
          <w:rFonts w:eastAsia="Calibri"/>
          <w:lang w:val="en-US" w:eastAsia="en-US"/>
        </w:rPr>
      </w:pPr>
      <w:r>
        <w:rPr>
          <w:rFonts w:eastAsia="Calibri"/>
          <w:lang w:val="en-US" w:eastAsia="en-US"/>
        </w:rPr>
        <w:t xml:space="preserve">The concept of the state support of regional dairy </w:t>
      </w:r>
      <w:proofErr w:type="spellStart"/>
      <w:r>
        <w:rPr>
          <w:rFonts w:eastAsia="Calibri"/>
          <w:lang w:val="en-US" w:eastAsia="en-US"/>
        </w:rPr>
        <w:t>subcomplexes</w:t>
      </w:r>
      <w:proofErr w:type="spellEnd"/>
      <w:r>
        <w:rPr>
          <w:rFonts w:eastAsia="Calibri"/>
          <w:lang w:val="en-US" w:eastAsia="en-US"/>
        </w:rPr>
        <w:t xml:space="preserve"> including its functions, principles, d</w:t>
      </w:r>
      <w:r>
        <w:rPr>
          <w:rFonts w:eastAsia="Calibri"/>
          <w:lang w:val="en-US" w:eastAsia="en-US"/>
        </w:rPr>
        <w:t>i</w:t>
      </w:r>
      <w:r>
        <w:rPr>
          <w:rFonts w:eastAsia="Calibri"/>
          <w:lang w:val="en-US" w:eastAsia="en-US"/>
        </w:rPr>
        <w:t>rections and methods, and also results of innovative development is proved. The functions of state support include: stimulating, guaranteeing and compensating. The fundamental principles – prior</w:t>
      </w:r>
      <w:r>
        <w:rPr>
          <w:rFonts w:eastAsia="Calibri"/>
          <w:lang w:val="en-US" w:eastAsia="en-US"/>
        </w:rPr>
        <w:t>i</w:t>
      </w:r>
      <w:r>
        <w:rPr>
          <w:rFonts w:eastAsia="Calibri"/>
          <w:lang w:val="en-US" w:eastAsia="en-US"/>
        </w:rPr>
        <w:t>ty, delegation of authority, differentiation, stability, predictability, complexity, cost recovery. The directions of implement</w:t>
      </w:r>
      <w:r>
        <w:rPr>
          <w:rFonts w:eastAsia="Calibri"/>
          <w:lang w:val="en-US" w:eastAsia="en-US"/>
        </w:rPr>
        <w:t>a</w:t>
      </w:r>
      <w:r>
        <w:rPr>
          <w:rFonts w:eastAsia="Calibri"/>
          <w:lang w:val="en-US" w:eastAsia="en-US"/>
        </w:rPr>
        <w:t>tion of the concept for each form of public financing: investments, guarantees and subsidies.</w:t>
      </w:r>
    </w:p>
    <w:p w:rsidR="00926F9A" w:rsidRDefault="00926F9A" w:rsidP="00D8746A">
      <w:pPr>
        <w:pStyle w:val="a7"/>
        <w:rPr>
          <w:rFonts w:eastAsia="Calibri"/>
          <w:lang w:val="en-US" w:eastAsia="en-US"/>
        </w:rPr>
      </w:pPr>
      <w:r>
        <w:rPr>
          <w:rFonts w:eastAsia="Calibri"/>
          <w:i/>
          <w:lang w:val="en-US" w:eastAsia="en-US"/>
        </w:rPr>
        <w:t>Keywords</w:t>
      </w:r>
      <w:r>
        <w:rPr>
          <w:rFonts w:eastAsia="Calibri"/>
          <w:lang w:val="en-US" w:eastAsia="en-US"/>
        </w:rPr>
        <w:t>: governmental support, inves</w:t>
      </w:r>
      <w:r>
        <w:rPr>
          <w:rFonts w:eastAsia="Calibri"/>
          <w:lang w:val="en-US" w:eastAsia="en-US"/>
        </w:rPr>
        <w:t>t</w:t>
      </w:r>
      <w:r>
        <w:rPr>
          <w:rFonts w:eastAsia="Calibri"/>
          <w:lang w:val="en-US" w:eastAsia="en-US"/>
        </w:rPr>
        <w:t xml:space="preserve">ments, guarantees, subsidies, dairy </w:t>
      </w:r>
      <w:proofErr w:type="spellStart"/>
      <w:r>
        <w:rPr>
          <w:rFonts w:eastAsia="Calibri"/>
          <w:lang w:val="en-US" w:eastAsia="en-US"/>
        </w:rPr>
        <w:t>subcomplex</w:t>
      </w:r>
      <w:proofErr w:type="spellEnd"/>
      <w:r>
        <w:rPr>
          <w:rFonts w:eastAsia="Calibri"/>
          <w:lang w:val="en-US" w:eastAsia="en-US"/>
        </w:rPr>
        <w:t>, Krasnoyarsk region</w:t>
      </w:r>
    </w:p>
    <w:p w:rsidR="00D8746A" w:rsidRDefault="00D8746A" w:rsidP="003C23DB">
      <w:pPr>
        <w:pStyle w:val="a5"/>
      </w:pPr>
    </w:p>
    <w:p w:rsidR="003C23DB" w:rsidRDefault="003C23DB" w:rsidP="003C23DB">
      <w:pPr>
        <w:pStyle w:val="a5"/>
        <w:rPr>
          <w:sz w:val="16"/>
          <w:szCs w:val="16"/>
          <w:lang w:val="en-US"/>
        </w:rPr>
      </w:pPr>
      <w:r>
        <w:rPr>
          <w:lang w:val="en-US"/>
        </w:rPr>
        <w:t xml:space="preserve">S.N. </w:t>
      </w:r>
      <w:proofErr w:type="spellStart"/>
      <w:r>
        <w:rPr>
          <w:lang w:val="en-US"/>
        </w:rPr>
        <w:t>Yashin</w:t>
      </w:r>
      <w:proofErr w:type="spellEnd"/>
      <w:r>
        <w:rPr>
          <w:lang w:val="en-US"/>
        </w:rPr>
        <w:t xml:space="preserve">, N.A. </w:t>
      </w:r>
      <w:proofErr w:type="spellStart"/>
      <w:r>
        <w:rPr>
          <w:lang w:val="en-US"/>
        </w:rPr>
        <w:t>Nemchinov</w:t>
      </w:r>
      <w:proofErr w:type="spellEnd"/>
      <w:r>
        <w:rPr>
          <w:lang w:val="en-US"/>
        </w:rPr>
        <w:t xml:space="preserve"> </w:t>
      </w:r>
    </w:p>
    <w:p w:rsidR="003C23DB" w:rsidRDefault="003C23DB" w:rsidP="003C23DB">
      <w:pPr>
        <w:pStyle w:val="a6"/>
        <w:rPr>
          <w:lang w:val="en-US"/>
        </w:rPr>
      </w:pPr>
      <w:r>
        <w:rPr>
          <w:lang w:val="en-US"/>
        </w:rPr>
        <w:t xml:space="preserve">DETERMINING THE LEVEL OF COMPETENCE OF MANAGEMENT </w:t>
      </w:r>
      <w:r>
        <w:rPr>
          <w:lang w:val="en-US"/>
        </w:rPr>
        <w:br/>
        <w:t>IN THE PROCESS OF MOTIVATING EMPLOYEES</w:t>
      </w:r>
    </w:p>
    <w:p w:rsidR="00D8746A" w:rsidRDefault="00D8746A" w:rsidP="00D8746A">
      <w:pPr>
        <w:pStyle w:val="a7"/>
        <w:rPr>
          <w:lang w:val="en-US" w:eastAsia="en-US"/>
        </w:rPr>
      </w:pPr>
      <w:r>
        <w:rPr>
          <w:lang w:val="en-US" w:eastAsia="en-US"/>
        </w:rPr>
        <w:t>The issue of identifying various motivational methods and skills used by company leaders in Russia is being considered. To establish the rel</w:t>
      </w:r>
      <w:r>
        <w:rPr>
          <w:lang w:val="en-US" w:eastAsia="en-US"/>
        </w:rPr>
        <w:t>a</w:t>
      </w:r>
      <w:r>
        <w:rPr>
          <w:lang w:val="en-US" w:eastAsia="en-US"/>
        </w:rPr>
        <w:t>tionship between the motivational methods used by management, the study mainly focuses on the ma</w:t>
      </w:r>
      <w:r>
        <w:rPr>
          <w:lang w:val="en-US" w:eastAsia="en-US"/>
        </w:rPr>
        <w:t>n</w:t>
      </w:r>
      <w:r>
        <w:rPr>
          <w:lang w:val="en-US" w:eastAsia="en-US"/>
        </w:rPr>
        <w:t>agers of various organizations. The main goal is the analysis, which consists in determining the level of managerial competencies in the process of motiva</w:t>
      </w:r>
      <w:r>
        <w:rPr>
          <w:lang w:val="en-US" w:eastAsia="en-US"/>
        </w:rPr>
        <w:t>t</w:t>
      </w:r>
      <w:r>
        <w:rPr>
          <w:lang w:val="en-US" w:eastAsia="en-US"/>
        </w:rPr>
        <w:t>ing employees. The scientific hypothesis explores how managerial competencies affect the work and loyalty of employees.</w:t>
      </w:r>
    </w:p>
    <w:p w:rsidR="00D8746A" w:rsidRDefault="00D8746A" w:rsidP="00D8746A">
      <w:pPr>
        <w:pStyle w:val="a7"/>
        <w:rPr>
          <w:lang w:val="en-US" w:eastAsia="en-US"/>
        </w:rPr>
      </w:pPr>
      <w:r>
        <w:rPr>
          <w:i/>
          <w:lang w:val="en-US" w:eastAsia="en-US"/>
        </w:rPr>
        <w:t>Keywords</w:t>
      </w:r>
      <w:r>
        <w:rPr>
          <w:lang w:val="en-US" w:eastAsia="en-US"/>
        </w:rPr>
        <w:t>: motivation, loyalty of employees, labor obligations, leadership ability to motivate</w:t>
      </w:r>
    </w:p>
    <w:p w:rsidR="003C23DB" w:rsidRPr="003C23DB" w:rsidRDefault="003C23DB" w:rsidP="003C23DB">
      <w:pPr>
        <w:rPr>
          <w:rFonts w:cstheme="minorBidi"/>
          <w:lang w:val="en-US" w:eastAsia="en-US"/>
        </w:rPr>
      </w:pPr>
    </w:p>
    <w:p w:rsidR="003C23DB" w:rsidRDefault="003C23DB" w:rsidP="003C23DB">
      <w:pPr>
        <w:rPr>
          <w:rFonts w:cstheme="minorBidi"/>
          <w:lang w:eastAsia="en-US"/>
        </w:rPr>
      </w:pPr>
    </w:p>
    <w:p w:rsidR="003C23DB" w:rsidRPr="003C23DB" w:rsidRDefault="003C23DB" w:rsidP="00C574E0">
      <w:pPr>
        <w:pStyle w:val="a5"/>
        <w:rPr>
          <w:color w:val="222222"/>
        </w:rPr>
      </w:pPr>
    </w:p>
    <w:sectPr w:rsidR="003C23DB" w:rsidRPr="003C23DB" w:rsidSect="006C6FF1">
      <w:headerReference w:type="default" r:id="rId8"/>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78" w:rsidRDefault="00753178" w:rsidP="006C6FF1">
      <w:pPr>
        <w:spacing w:after="0" w:line="240" w:lineRule="auto"/>
      </w:pPr>
      <w:r>
        <w:separator/>
      </w:r>
    </w:p>
  </w:endnote>
  <w:endnote w:type="continuationSeparator" w:id="0">
    <w:p w:rsidR="00753178" w:rsidRDefault="00753178"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78" w:rsidRDefault="00753178" w:rsidP="006C6FF1">
      <w:pPr>
        <w:spacing w:after="0" w:line="240" w:lineRule="auto"/>
      </w:pPr>
      <w:r>
        <w:separator/>
      </w:r>
    </w:p>
  </w:footnote>
  <w:footnote w:type="continuationSeparator" w:id="0">
    <w:p w:rsidR="00753178" w:rsidRDefault="00753178"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DB" w:rsidRDefault="003C23DB" w:rsidP="0061249A">
    <w:pPr>
      <w:pStyle w:val="af0"/>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9</w:t>
    </w:r>
    <w:r w:rsidRPr="000516F3">
      <w:rPr>
        <w:sz w:val="20"/>
        <w:szCs w:val="20"/>
      </w:rPr>
      <w:t xml:space="preserve">. № </w:t>
    </w:r>
    <w:r>
      <w:rPr>
        <w:sz w:val="20"/>
        <w:szCs w:val="20"/>
      </w:rPr>
      <w:t>1 (21</w:t>
    </w:r>
    <w:r w:rsidRPr="000516F3">
      <w:rPr>
        <w:sz w:val="20"/>
        <w:szCs w:val="20"/>
      </w:rPr>
      <w:t>)</w:t>
    </w:r>
    <w:r>
      <w:rPr>
        <w:sz w:val="20"/>
        <w:szCs w:val="20"/>
        <w:lang w:val="en-US"/>
      </w:rPr>
      <w:t xml:space="preserve"> </w:t>
    </w:r>
    <w:r>
      <w:rPr>
        <w:noProof/>
      </w:rPr>
      <mc:AlternateContent>
        <mc:Choice Requires="wps">
          <w:drawing>
            <wp:inline distT="0" distB="0" distL="0" distR="0" wp14:anchorId="4D48CD6D" wp14:editId="7CFD9AA5">
              <wp:extent cx="4248150" cy="60960"/>
              <wp:effectExtent l="9525" t="9525" r="9525" b="5715"/>
              <wp:docPr id="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3C23DB" w:rsidRDefault="003C23DB" w:rsidP="0061249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2"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w:txbxContent>
                  <w:p w:rsidR="003C23DB" w:rsidRDefault="003C23DB" w:rsidP="0061249A"/>
                </w:txbxContent>
              </v:textbox>
              <w10:anchorlock/>
            </v:shape>
          </w:pict>
        </mc:Fallback>
      </mc:AlternateContent>
    </w:r>
    <w:r>
      <w:tab/>
    </w:r>
    <w:r>
      <w:fldChar w:fldCharType="begin"/>
    </w:r>
    <w:r>
      <w:instrText>PAGE   \* MERGEFORMAT</w:instrText>
    </w:r>
    <w:r>
      <w:fldChar w:fldCharType="separate"/>
    </w:r>
    <w:r w:rsidR="00DF5DB5">
      <w:rPr>
        <w:noProof/>
      </w:rPr>
      <w:t>6</w:t>
    </w:r>
    <w:r>
      <w:rPr>
        <w:noProof/>
      </w:rPr>
      <w:fldChar w:fldCharType="end"/>
    </w:r>
  </w:p>
  <w:p w:rsidR="003C23DB" w:rsidRDefault="003C23DB" w:rsidP="0061249A">
    <w:pPr>
      <w:pStyle w:val="af0"/>
    </w:pPr>
  </w:p>
  <w:p w:rsidR="003C23DB" w:rsidRDefault="003C23DB" w:rsidP="000969E9">
    <w:pPr>
      <w:pStyle w:val="af0"/>
    </w:pPr>
  </w:p>
  <w:p w:rsidR="003C23DB" w:rsidRDefault="003C23DB">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507E7"/>
    <w:rsid w:val="00053F81"/>
    <w:rsid w:val="00074EC7"/>
    <w:rsid w:val="00087203"/>
    <w:rsid w:val="00092124"/>
    <w:rsid w:val="00095534"/>
    <w:rsid w:val="00096696"/>
    <w:rsid w:val="000969E9"/>
    <w:rsid w:val="000A5C4A"/>
    <w:rsid w:val="000B2625"/>
    <w:rsid w:val="000B6361"/>
    <w:rsid w:val="000C207B"/>
    <w:rsid w:val="000C2C9C"/>
    <w:rsid w:val="000C6F10"/>
    <w:rsid w:val="000D6BAB"/>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300EF4"/>
    <w:rsid w:val="00313029"/>
    <w:rsid w:val="00313DC7"/>
    <w:rsid w:val="003357A9"/>
    <w:rsid w:val="00363D1A"/>
    <w:rsid w:val="00365B20"/>
    <w:rsid w:val="003C0E55"/>
    <w:rsid w:val="003C23DB"/>
    <w:rsid w:val="003F0B0D"/>
    <w:rsid w:val="003F3336"/>
    <w:rsid w:val="003F5510"/>
    <w:rsid w:val="003F7AD2"/>
    <w:rsid w:val="00411C9E"/>
    <w:rsid w:val="00415DF5"/>
    <w:rsid w:val="00426B7C"/>
    <w:rsid w:val="0043251F"/>
    <w:rsid w:val="00433762"/>
    <w:rsid w:val="00441AF5"/>
    <w:rsid w:val="00444FE4"/>
    <w:rsid w:val="004466FB"/>
    <w:rsid w:val="00462078"/>
    <w:rsid w:val="0046275C"/>
    <w:rsid w:val="004903F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60789F"/>
    <w:rsid w:val="0061249A"/>
    <w:rsid w:val="00626C7C"/>
    <w:rsid w:val="006360A2"/>
    <w:rsid w:val="00637C07"/>
    <w:rsid w:val="006566AA"/>
    <w:rsid w:val="00662A20"/>
    <w:rsid w:val="00690B73"/>
    <w:rsid w:val="006A0007"/>
    <w:rsid w:val="006C6FF1"/>
    <w:rsid w:val="006E00BC"/>
    <w:rsid w:val="007138D3"/>
    <w:rsid w:val="00721924"/>
    <w:rsid w:val="00737BF6"/>
    <w:rsid w:val="00753178"/>
    <w:rsid w:val="0076511F"/>
    <w:rsid w:val="007717A5"/>
    <w:rsid w:val="00781652"/>
    <w:rsid w:val="00783F62"/>
    <w:rsid w:val="00787327"/>
    <w:rsid w:val="007949A0"/>
    <w:rsid w:val="007B3464"/>
    <w:rsid w:val="007D2B39"/>
    <w:rsid w:val="007E753D"/>
    <w:rsid w:val="008424A3"/>
    <w:rsid w:val="00851C0A"/>
    <w:rsid w:val="00861800"/>
    <w:rsid w:val="00872542"/>
    <w:rsid w:val="00890D82"/>
    <w:rsid w:val="008D139C"/>
    <w:rsid w:val="008E717B"/>
    <w:rsid w:val="008F0329"/>
    <w:rsid w:val="00902C27"/>
    <w:rsid w:val="00926F9A"/>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43665"/>
    <w:rsid w:val="00A518F1"/>
    <w:rsid w:val="00A546F8"/>
    <w:rsid w:val="00A76668"/>
    <w:rsid w:val="00AB6380"/>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574E0"/>
    <w:rsid w:val="00C642E4"/>
    <w:rsid w:val="00C72A2A"/>
    <w:rsid w:val="00C81DAF"/>
    <w:rsid w:val="00C85AFE"/>
    <w:rsid w:val="00C940FE"/>
    <w:rsid w:val="00CA5419"/>
    <w:rsid w:val="00CC2248"/>
    <w:rsid w:val="00CD1CA1"/>
    <w:rsid w:val="00CD291A"/>
    <w:rsid w:val="00CE156E"/>
    <w:rsid w:val="00CE49E0"/>
    <w:rsid w:val="00CE4C2A"/>
    <w:rsid w:val="00CF6B6C"/>
    <w:rsid w:val="00D02AF1"/>
    <w:rsid w:val="00D100B1"/>
    <w:rsid w:val="00D26334"/>
    <w:rsid w:val="00D31AC2"/>
    <w:rsid w:val="00D543E5"/>
    <w:rsid w:val="00D5502D"/>
    <w:rsid w:val="00D63DA8"/>
    <w:rsid w:val="00D70ECE"/>
    <w:rsid w:val="00D86D3E"/>
    <w:rsid w:val="00D8746A"/>
    <w:rsid w:val="00D87CDA"/>
    <w:rsid w:val="00DA2FB9"/>
    <w:rsid w:val="00DB586B"/>
    <w:rsid w:val="00DB63B2"/>
    <w:rsid w:val="00DC45D8"/>
    <w:rsid w:val="00DD69D8"/>
    <w:rsid w:val="00DE3C3F"/>
    <w:rsid w:val="00DF036B"/>
    <w:rsid w:val="00DF358E"/>
    <w:rsid w:val="00DF5DB5"/>
    <w:rsid w:val="00E02CCB"/>
    <w:rsid w:val="00E069B1"/>
    <w:rsid w:val="00E06F48"/>
    <w:rsid w:val="00E13E44"/>
    <w:rsid w:val="00E304EC"/>
    <w:rsid w:val="00E34554"/>
    <w:rsid w:val="00E516EA"/>
    <w:rsid w:val="00E5453D"/>
    <w:rsid w:val="00E605C5"/>
    <w:rsid w:val="00E901C7"/>
    <w:rsid w:val="00E910FD"/>
    <w:rsid w:val="00EA692E"/>
    <w:rsid w:val="00EA78F3"/>
    <w:rsid w:val="00EA7D40"/>
    <w:rsid w:val="00EB0972"/>
    <w:rsid w:val="00EB20D2"/>
    <w:rsid w:val="00ED0F02"/>
    <w:rsid w:val="00ED52B2"/>
    <w:rsid w:val="00ED6F1F"/>
    <w:rsid w:val="00F02861"/>
    <w:rsid w:val="00F02C1E"/>
    <w:rsid w:val="00F200E6"/>
    <w:rsid w:val="00F43267"/>
    <w:rsid w:val="00F4490F"/>
    <w:rsid w:val="00F8530A"/>
    <w:rsid w:val="00F91BB2"/>
    <w:rsid w:val="00FA3314"/>
    <w:rsid w:val="00FD2053"/>
    <w:rsid w:val="00FD2D08"/>
    <w:rsid w:val="00FE2F61"/>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D87CDA"/>
    <w:pPr>
      <w:spacing w:after="0" w:line="240" w:lineRule="auto"/>
      <w:ind w:firstLine="567"/>
      <w:jc w:val="both"/>
    </w:pPr>
    <w:rPr>
      <w:rFonts w:cstheme="minorBidi"/>
      <w:sz w:val="24"/>
      <w:szCs w:val="24"/>
    </w:rPr>
  </w:style>
  <w:style w:type="paragraph" w:customStyle="1" w:styleId="ae">
    <w:name w:val="Название статьи"/>
    <w:basedOn w:val="a"/>
    <w:qFormat/>
    <w:rsid w:val="00D87CDA"/>
    <w:pPr>
      <w:spacing w:before="120" w:after="240" w:line="240" w:lineRule="auto"/>
      <w:ind w:left="567"/>
    </w:pPr>
    <w:rPr>
      <w:rFonts w:cstheme="minorBidi"/>
      <w:b/>
      <w:sz w:val="32"/>
      <w:szCs w:val="32"/>
    </w:rPr>
  </w:style>
  <w:style w:type="paragraph" w:customStyle="1" w:styleId="af">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0">
    <w:name w:val="header"/>
    <w:basedOn w:val="a"/>
    <w:link w:val="af1"/>
    <w:uiPriority w:val="99"/>
    <w:unhideWhenUsed/>
    <w:rsid w:val="000969E9"/>
    <w:pPr>
      <w:tabs>
        <w:tab w:val="center" w:pos="4677"/>
        <w:tab w:val="right" w:pos="9355"/>
      </w:tabs>
      <w:spacing w:after="0" w:line="240" w:lineRule="auto"/>
    </w:pPr>
    <w:rPr>
      <w:rFonts w:cstheme="minorBidi"/>
    </w:rPr>
  </w:style>
  <w:style w:type="character" w:customStyle="1" w:styleId="af1">
    <w:name w:val="Верхний колонтитул Знак"/>
    <w:basedOn w:val="a0"/>
    <w:link w:val="af0"/>
    <w:uiPriority w:val="99"/>
    <w:rsid w:val="000969E9"/>
    <w:rPr>
      <w:rFonts w:eastAsiaTheme="minorEastAsia"/>
      <w:lang w:eastAsia="ru-RU"/>
    </w:rPr>
  </w:style>
  <w:style w:type="paragraph" w:styleId="af2">
    <w:name w:val="footer"/>
    <w:basedOn w:val="a"/>
    <w:link w:val="af3"/>
    <w:uiPriority w:val="99"/>
    <w:unhideWhenUsed/>
    <w:rsid w:val="000969E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69E9"/>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6">
    <w:name w:val="Работа"/>
    <w:basedOn w:val="a"/>
    <w:qFormat/>
    <w:rsid w:val="00DC45D8"/>
    <w:pPr>
      <w:spacing w:after="0" w:line="240" w:lineRule="auto"/>
    </w:pPr>
    <w:rPr>
      <w:rFonts w:ascii="Times New Roman" w:hAnsi="Times New Roman" w:cstheme="minorBidi"/>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DC45D8"/>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DC45D8"/>
    <w:pPr>
      <w:spacing w:after="120"/>
      <w:ind w:left="283"/>
    </w:pPr>
    <w:rPr>
      <w:rFonts w:cstheme="minorBidi"/>
    </w:rPr>
  </w:style>
  <w:style w:type="character" w:customStyle="1" w:styleId="af8">
    <w:name w:val="Основной текст с отступом Знак"/>
    <w:basedOn w:val="a0"/>
    <w:link w:val="af7"/>
    <w:uiPriority w:val="99"/>
    <w:rsid w:val="00DC45D8"/>
    <w:rPr>
      <w:rFonts w:eastAsiaTheme="minorEastAsia"/>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a"/>
    <w:uiPriority w:val="99"/>
    <w:rsid w:val="00DC45D8"/>
    <w:pPr>
      <w:spacing w:after="0" w:line="240" w:lineRule="auto"/>
    </w:pPr>
    <w:rPr>
      <w:rFonts w:ascii="Times New Roman" w:eastAsia="Times New Roman" w:hAnsi="Times New Roman"/>
      <w:sz w:val="20"/>
      <w:szCs w:val="20"/>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c">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D87CDA"/>
    <w:pPr>
      <w:spacing w:after="0" w:line="240" w:lineRule="auto"/>
      <w:ind w:firstLine="567"/>
      <w:jc w:val="both"/>
    </w:pPr>
    <w:rPr>
      <w:rFonts w:cstheme="minorBidi"/>
      <w:sz w:val="24"/>
      <w:szCs w:val="24"/>
    </w:rPr>
  </w:style>
  <w:style w:type="paragraph" w:customStyle="1" w:styleId="ae">
    <w:name w:val="Название статьи"/>
    <w:basedOn w:val="a"/>
    <w:qFormat/>
    <w:rsid w:val="00D87CDA"/>
    <w:pPr>
      <w:spacing w:before="120" w:after="240" w:line="240" w:lineRule="auto"/>
      <w:ind w:left="567"/>
    </w:pPr>
    <w:rPr>
      <w:rFonts w:cstheme="minorBidi"/>
      <w:b/>
      <w:sz w:val="32"/>
      <w:szCs w:val="32"/>
    </w:rPr>
  </w:style>
  <w:style w:type="paragraph" w:customStyle="1" w:styleId="af">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0">
    <w:name w:val="header"/>
    <w:basedOn w:val="a"/>
    <w:link w:val="af1"/>
    <w:uiPriority w:val="99"/>
    <w:unhideWhenUsed/>
    <w:rsid w:val="000969E9"/>
    <w:pPr>
      <w:tabs>
        <w:tab w:val="center" w:pos="4677"/>
        <w:tab w:val="right" w:pos="9355"/>
      </w:tabs>
      <w:spacing w:after="0" w:line="240" w:lineRule="auto"/>
    </w:pPr>
    <w:rPr>
      <w:rFonts w:cstheme="minorBidi"/>
    </w:rPr>
  </w:style>
  <w:style w:type="character" w:customStyle="1" w:styleId="af1">
    <w:name w:val="Верхний колонтитул Знак"/>
    <w:basedOn w:val="a0"/>
    <w:link w:val="af0"/>
    <w:uiPriority w:val="99"/>
    <w:rsid w:val="000969E9"/>
    <w:rPr>
      <w:rFonts w:eastAsiaTheme="minorEastAsia"/>
      <w:lang w:eastAsia="ru-RU"/>
    </w:rPr>
  </w:style>
  <w:style w:type="paragraph" w:styleId="af2">
    <w:name w:val="footer"/>
    <w:basedOn w:val="a"/>
    <w:link w:val="af3"/>
    <w:uiPriority w:val="99"/>
    <w:unhideWhenUsed/>
    <w:rsid w:val="000969E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69E9"/>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6">
    <w:name w:val="Работа"/>
    <w:basedOn w:val="a"/>
    <w:qFormat/>
    <w:rsid w:val="00DC45D8"/>
    <w:pPr>
      <w:spacing w:after="0" w:line="240" w:lineRule="auto"/>
    </w:pPr>
    <w:rPr>
      <w:rFonts w:ascii="Times New Roman" w:hAnsi="Times New Roman" w:cstheme="minorBidi"/>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DC45D8"/>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DC45D8"/>
    <w:pPr>
      <w:spacing w:after="120"/>
      <w:ind w:left="283"/>
    </w:pPr>
    <w:rPr>
      <w:rFonts w:cstheme="minorBidi"/>
    </w:rPr>
  </w:style>
  <w:style w:type="character" w:customStyle="1" w:styleId="af8">
    <w:name w:val="Основной текст с отступом Знак"/>
    <w:basedOn w:val="a0"/>
    <w:link w:val="af7"/>
    <w:uiPriority w:val="99"/>
    <w:rsid w:val="00DC45D8"/>
    <w:rPr>
      <w:rFonts w:eastAsiaTheme="minorEastAsia"/>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a"/>
    <w:uiPriority w:val="99"/>
    <w:rsid w:val="00DC45D8"/>
    <w:pPr>
      <w:spacing w:after="0" w:line="240" w:lineRule="auto"/>
    </w:pPr>
    <w:rPr>
      <w:rFonts w:ascii="Times New Roman" w:eastAsia="Times New Roman" w:hAnsi="Times New Roman"/>
      <w:sz w:val="20"/>
      <w:szCs w:val="20"/>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c">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08376">
      <w:bodyDiv w:val="1"/>
      <w:marLeft w:val="0"/>
      <w:marRight w:val="0"/>
      <w:marTop w:val="0"/>
      <w:marBottom w:val="0"/>
      <w:divBdr>
        <w:top w:val="none" w:sz="0" w:space="0" w:color="auto"/>
        <w:left w:val="none" w:sz="0" w:space="0" w:color="auto"/>
        <w:bottom w:val="none" w:sz="0" w:space="0" w:color="auto"/>
        <w:right w:val="none" w:sz="0" w:space="0" w:color="auto"/>
      </w:divBdr>
    </w:div>
    <w:div w:id="17603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D4B6-0AD3-4498-A6BE-A29F7246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2419</Words>
  <Characters>13790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6</cp:revision>
  <dcterms:created xsi:type="dcterms:W3CDTF">2019-05-25T16:22:00Z</dcterms:created>
  <dcterms:modified xsi:type="dcterms:W3CDTF">2019-05-25T16:47:00Z</dcterms:modified>
</cp:coreProperties>
</file>