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299" w:rsidRDefault="00F40299" w:rsidP="00F40299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F40299" w:rsidRDefault="00F40299" w:rsidP="00F40299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F40299" w:rsidRPr="001772E4" w:rsidRDefault="00F40299" w:rsidP="00F40299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>2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6</w:t>
      </w:r>
      <w:r w:rsidRPr="001772E4">
        <w:rPr>
          <w:b/>
          <w:sz w:val="32"/>
          <w:szCs w:val="32"/>
        </w:rPr>
        <w:t>) 201</w:t>
      </w:r>
      <w:r>
        <w:rPr>
          <w:b/>
          <w:sz w:val="32"/>
          <w:szCs w:val="32"/>
        </w:rPr>
        <w:t>5</w:t>
      </w:r>
      <w:r w:rsidRPr="001772E4">
        <w:rPr>
          <w:b/>
          <w:sz w:val="32"/>
          <w:szCs w:val="32"/>
        </w:rPr>
        <w:t xml:space="preserve"> </w:t>
      </w:r>
    </w:p>
    <w:p w:rsidR="00F40299" w:rsidRDefault="00F40299" w:rsidP="00F40299">
      <w:pPr>
        <w:pStyle w:val="a7"/>
        <w:ind w:firstLine="0"/>
      </w:pPr>
    </w:p>
    <w:p w:rsidR="00F40299" w:rsidRDefault="00F40299" w:rsidP="00F40299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2665D6" w:rsidRDefault="002665D6" w:rsidP="002665D6">
      <w:pPr>
        <w:pStyle w:val="a6"/>
        <w:rPr>
          <w:sz w:val="18"/>
        </w:rPr>
      </w:pPr>
    </w:p>
    <w:p w:rsidR="00F40299" w:rsidRPr="00BE63F5" w:rsidRDefault="00F40299" w:rsidP="002665D6">
      <w:pPr>
        <w:pStyle w:val="a6"/>
        <w:rPr>
          <w:sz w:val="18"/>
        </w:rPr>
      </w:pPr>
    </w:p>
    <w:p w:rsidR="002665D6" w:rsidRPr="00DA3C39" w:rsidRDefault="002665D6" w:rsidP="002665D6">
      <w:pPr>
        <w:pStyle w:val="a7"/>
      </w:pPr>
      <w:r w:rsidRPr="00DA3C39">
        <w:t xml:space="preserve">А.Х. Аскарова О.А. </w:t>
      </w:r>
      <w:proofErr w:type="spellStart"/>
      <w:r w:rsidRPr="00DA3C39">
        <w:t>Лукогорская</w:t>
      </w:r>
      <w:proofErr w:type="spellEnd"/>
      <w:r w:rsidRPr="00DA3C39">
        <w:t xml:space="preserve"> </w:t>
      </w:r>
    </w:p>
    <w:p w:rsidR="002665D6" w:rsidRPr="00DA3C39" w:rsidRDefault="002665D6" w:rsidP="002665D6">
      <w:pPr>
        <w:pStyle w:val="a8"/>
      </w:pPr>
      <w:r w:rsidRPr="00DA3C39">
        <w:t xml:space="preserve">ПРОБЛЕМЫ РАЗВИТИЯ ЭЛЕКТРОННЫХ ДЕНЕГ </w:t>
      </w:r>
      <w:r w:rsidRPr="008050EE">
        <w:br/>
      </w:r>
      <w:r w:rsidRPr="00DA3C39">
        <w:t>И ГОСУДАРСТВЕННАЯ ПОЛИТИКА В ОБЛАСТИ РЕГУЛИРОВАНИЯ ИХ ОБОРОТА В РОССИИ</w:t>
      </w:r>
    </w:p>
    <w:p w:rsidR="002665D6" w:rsidRPr="00BE63F5" w:rsidRDefault="002665D6" w:rsidP="002665D6">
      <w:pPr>
        <w:pStyle w:val="a9"/>
        <w:rPr>
          <w:spacing w:val="-4"/>
        </w:rPr>
      </w:pPr>
      <w:r w:rsidRPr="00BE63F5">
        <w:rPr>
          <w:spacing w:val="-4"/>
        </w:rPr>
        <w:t>Проведен анализ характерных особенностей сферы электронных денег, выполняющей функции, подобные другим формам платежей. Рассмотрены природа, сущность, преимущества и недостатки электронной платежной системы, о</w:t>
      </w:r>
      <w:r w:rsidRPr="00BE63F5">
        <w:rPr>
          <w:bCs/>
          <w:spacing w:val="-4"/>
        </w:rPr>
        <w:t>ценено современное состояние и определены перспективы развития рынка электронных финансов. Предложены способы с</w:t>
      </w:r>
      <w:r w:rsidRPr="00BE63F5">
        <w:rPr>
          <w:spacing w:val="-4"/>
        </w:rPr>
        <w:t>овершенствования системы, которые могли бы способствовать развитию рынка электронных денег в России с учетом национальной системы электронной безопасности.</w:t>
      </w:r>
    </w:p>
    <w:p w:rsidR="002665D6" w:rsidRPr="005F6361" w:rsidRDefault="002665D6" w:rsidP="002665D6">
      <w:pPr>
        <w:pStyle w:val="a9"/>
      </w:pPr>
      <w:r w:rsidRPr="005F6361">
        <w:rPr>
          <w:i/>
        </w:rPr>
        <w:t>Ключевые слова</w:t>
      </w:r>
      <w:r w:rsidRPr="005F6361">
        <w:t xml:space="preserve">: электронные деньги, </w:t>
      </w:r>
      <w:r>
        <w:t>национальная платежная система, виртуальный сегмент современной экономики, правовой статус, федеральный закон, безопасность финансовой системы</w:t>
      </w:r>
    </w:p>
    <w:p w:rsidR="002665D6" w:rsidRDefault="002665D6" w:rsidP="002665D6">
      <w:pPr>
        <w:pStyle w:val="a6"/>
        <w:rPr>
          <w:lang w:val="de-DE"/>
        </w:rPr>
      </w:pPr>
    </w:p>
    <w:p w:rsidR="00F40299" w:rsidRPr="002665D6" w:rsidRDefault="00F40299" w:rsidP="002665D6">
      <w:pPr>
        <w:pStyle w:val="a6"/>
        <w:rPr>
          <w:lang w:val="de-DE"/>
        </w:rPr>
      </w:pPr>
    </w:p>
    <w:p w:rsidR="002665D6" w:rsidRPr="00F77E38" w:rsidRDefault="002665D6" w:rsidP="002665D6">
      <w:pPr>
        <w:pStyle w:val="a7"/>
        <w:rPr>
          <w:rFonts w:eastAsia="Times New Roman"/>
        </w:rPr>
      </w:pPr>
      <w:r>
        <w:rPr>
          <w:rFonts w:eastAsia="Times New Roman"/>
        </w:rPr>
        <w:t xml:space="preserve">И.К. </w:t>
      </w:r>
      <w:proofErr w:type="spellStart"/>
      <w:r>
        <w:rPr>
          <w:rFonts w:eastAsia="Times New Roman"/>
        </w:rPr>
        <w:t>Бурмистрова</w:t>
      </w:r>
      <w:proofErr w:type="spellEnd"/>
      <w:r>
        <w:rPr>
          <w:rFonts w:eastAsia="Times New Roman"/>
        </w:rPr>
        <w:t xml:space="preserve">, И.М. </w:t>
      </w:r>
      <w:proofErr w:type="spellStart"/>
      <w:r>
        <w:rPr>
          <w:rFonts w:eastAsia="Times New Roman"/>
        </w:rPr>
        <w:t>Кублин</w:t>
      </w:r>
      <w:proofErr w:type="spellEnd"/>
    </w:p>
    <w:p w:rsidR="002665D6" w:rsidRPr="00C675BB" w:rsidRDefault="002665D6" w:rsidP="002665D6">
      <w:pPr>
        <w:pStyle w:val="a8"/>
      </w:pPr>
      <w:r w:rsidRPr="00C675BB">
        <w:t xml:space="preserve">ПРОБЛЕМЫ ОРИЕНТАЦИИ ИННОВАЦИОННОГО РАЗВИТИЯ </w:t>
      </w:r>
      <w:r>
        <w:br/>
      </w:r>
      <w:r w:rsidRPr="00C675BB">
        <w:t xml:space="preserve">ПРЕДПРИЯТИЙ В НЕСТАБИЛЬНЫХ ЭКОНОМИЧЕСКИХ УСЛОВИЯХ </w:t>
      </w:r>
    </w:p>
    <w:p w:rsidR="002665D6" w:rsidRPr="003F3B4F" w:rsidRDefault="002665D6" w:rsidP="002665D6">
      <w:pPr>
        <w:pStyle w:val="a9"/>
      </w:pPr>
      <w:r>
        <w:t>Рассматриваются проблемы</w:t>
      </w:r>
      <w:r w:rsidRPr="003F3B4F">
        <w:t xml:space="preserve"> инновационного развития промышленных предприятий в нестабильных экономических условиях. Проанализированы некоторые возможные меры по созданию благоприятной обстановки для развития инновационной деятельности промышленных предприятий. Статья подготовлена в рамках государственного задания Минобрнауки РФ (проект № 409-2014).</w:t>
      </w:r>
    </w:p>
    <w:p w:rsidR="002665D6" w:rsidRPr="003F3B4F" w:rsidRDefault="002665D6" w:rsidP="002665D6">
      <w:pPr>
        <w:pStyle w:val="a9"/>
      </w:pPr>
      <w:r w:rsidRPr="003F3B4F">
        <w:rPr>
          <w:i/>
        </w:rPr>
        <w:t>Ключевые слова</w:t>
      </w:r>
      <w:r w:rsidRPr="003F3B4F">
        <w:t>: инновации, промышленные предпр</w:t>
      </w:r>
      <w:r>
        <w:t xml:space="preserve">иятия, теория </w:t>
      </w:r>
      <w:proofErr w:type="spellStart"/>
      <w:r>
        <w:t>Хотеллинга</w:t>
      </w:r>
      <w:proofErr w:type="spellEnd"/>
      <w:r>
        <w:t>, рынок</w:t>
      </w:r>
    </w:p>
    <w:p w:rsidR="002665D6" w:rsidRDefault="002665D6" w:rsidP="002665D6">
      <w:pPr>
        <w:pStyle w:val="a6"/>
        <w:rPr>
          <w:lang w:val="de-DE"/>
        </w:rPr>
      </w:pPr>
    </w:p>
    <w:p w:rsidR="00F40299" w:rsidRPr="002665D6" w:rsidRDefault="00F40299" w:rsidP="002665D6">
      <w:pPr>
        <w:pStyle w:val="a6"/>
        <w:rPr>
          <w:lang w:val="de-DE"/>
        </w:rPr>
      </w:pPr>
    </w:p>
    <w:p w:rsidR="002665D6" w:rsidRPr="006F6078" w:rsidRDefault="002665D6" w:rsidP="002665D6">
      <w:pPr>
        <w:pStyle w:val="a7"/>
      </w:pPr>
      <w:r>
        <w:t xml:space="preserve">О.Ю. </w:t>
      </w:r>
      <w:proofErr w:type="spellStart"/>
      <w:r>
        <w:t>Гордашникова</w:t>
      </w:r>
      <w:proofErr w:type="spellEnd"/>
      <w:r>
        <w:t>, Т.В. Орлова</w:t>
      </w:r>
    </w:p>
    <w:p w:rsidR="002665D6" w:rsidRPr="006F6078" w:rsidRDefault="002665D6" w:rsidP="002665D6">
      <w:pPr>
        <w:pStyle w:val="a8"/>
      </w:pPr>
      <w:r w:rsidRPr="006F6078">
        <w:t xml:space="preserve">РЕЗУЛЬТАТЫ КЛАСТЕРНОГО АНАЛИЗА ФАКТОРОВ, </w:t>
      </w:r>
      <w:r>
        <w:br/>
      </w:r>
      <w:r w:rsidRPr="006F6078">
        <w:t xml:space="preserve">ВЛИЯЮЩИХ НА ЭФФЕКТИВНОСТЬ МЕХАНИЗМА УПРАВЛЕНИЯ </w:t>
      </w:r>
      <w:r>
        <w:br/>
      </w:r>
      <w:r w:rsidRPr="006F6078">
        <w:t>ИННОВАЦИОННЫМ ПОТЕНЦИАЛОМ ПРЕДПРИЯТИЯ</w:t>
      </w:r>
    </w:p>
    <w:p w:rsidR="002665D6" w:rsidRPr="00BE63F5" w:rsidRDefault="002665D6" w:rsidP="002665D6">
      <w:pPr>
        <w:pStyle w:val="a9"/>
        <w:rPr>
          <w:spacing w:val="-4"/>
        </w:rPr>
      </w:pPr>
      <w:r w:rsidRPr="00BE63F5">
        <w:rPr>
          <w:spacing w:val="-4"/>
        </w:rPr>
        <w:t xml:space="preserve">Разработана классификация факторов, </w:t>
      </w:r>
      <w:r w:rsidRPr="00BE63F5">
        <w:rPr>
          <w:spacing w:val="-4"/>
          <w:sz w:val="24"/>
        </w:rPr>
        <w:t xml:space="preserve">оказывающих воздействие на механизм управления инновационным потенциалом предприятия. </w:t>
      </w:r>
      <w:r w:rsidRPr="00BE63F5">
        <w:rPr>
          <w:spacing w:val="-4"/>
        </w:rPr>
        <w:t>Представлены результаты кластерного анализа факторов, влияющих на эффективность механизма управления инновационным потенциалом машиностроительных предприятий.</w:t>
      </w:r>
    </w:p>
    <w:p w:rsidR="002665D6" w:rsidRPr="007B798F" w:rsidRDefault="002665D6" w:rsidP="002665D6">
      <w:pPr>
        <w:pStyle w:val="a9"/>
      </w:pPr>
      <w:r w:rsidRPr="007B798F">
        <w:rPr>
          <w:i/>
        </w:rPr>
        <w:t>Ключевые слова</w:t>
      </w:r>
      <w:r>
        <w:t>: инновационный потенциал</w:t>
      </w:r>
      <w:r w:rsidRPr="007B798F">
        <w:t xml:space="preserve">, </w:t>
      </w:r>
      <w:r>
        <w:t>машиностроительное предприятие, кластерный анализ</w:t>
      </w:r>
    </w:p>
    <w:p w:rsidR="002665D6" w:rsidRDefault="002665D6" w:rsidP="002665D6">
      <w:pPr>
        <w:pStyle w:val="a9"/>
      </w:pPr>
    </w:p>
    <w:p w:rsidR="00F40299" w:rsidRDefault="00F40299" w:rsidP="002665D6">
      <w:pPr>
        <w:pStyle w:val="a7"/>
      </w:pPr>
    </w:p>
    <w:p w:rsidR="00F40299" w:rsidRDefault="00F40299" w:rsidP="002665D6">
      <w:pPr>
        <w:pStyle w:val="a7"/>
      </w:pPr>
    </w:p>
    <w:p w:rsidR="00F40299" w:rsidRDefault="00F40299" w:rsidP="002665D6">
      <w:pPr>
        <w:pStyle w:val="a7"/>
      </w:pPr>
    </w:p>
    <w:p w:rsidR="00F40299" w:rsidRDefault="00F40299" w:rsidP="002665D6">
      <w:pPr>
        <w:pStyle w:val="a7"/>
      </w:pPr>
    </w:p>
    <w:p w:rsidR="002665D6" w:rsidRPr="00F77E38" w:rsidRDefault="002665D6" w:rsidP="002665D6">
      <w:pPr>
        <w:pStyle w:val="a7"/>
        <w:rPr>
          <w:rFonts w:eastAsia="Times New Roman"/>
        </w:rPr>
      </w:pPr>
      <w:r>
        <w:lastRenderedPageBreak/>
        <w:t>В.Г. Карпов, Д.В. Котов</w:t>
      </w:r>
    </w:p>
    <w:p w:rsidR="002665D6" w:rsidRPr="0059750A" w:rsidRDefault="002665D6" w:rsidP="002665D6">
      <w:pPr>
        <w:pStyle w:val="a8"/>
      </w:pPr>
      <w:r w:rsidRPr="0059750A">
        <w:t xml:space="preserve">ЭКОНОМИЧЕСКИЕ И ГЕОИНФОРМАЦИОННЫЕ МЕТОДЫ </w:t>
      </w:r>
      <w:r>
        <w:br/>
      </w:r>
      <w:r w:rsidRPr="0059750A">
        <w:t>ОПТИМИЗАЦИИ ТРАНСПОРТНОЙ ИНФРАСТРУКТУРЫ</w:t>
      </w:r>
    </w:p>
    <w:p w:rsidR="002665D6" w:rsidRPr="0059750A" w:rsidRDefault="002665D6" w:rsidP="002665D6">
      <w:pPr>
        <w:pStyle w:val="a9"/>
      </w:pPr>
      <w:r>
        <w:t>Ра</w:t>
      </w:r>
      <w:r w:rsidRPr="0059750A">
        <w:t xml:space="preserve">ссматриваются вопросы применения геоинформационных систем для решения проблем оптимизации транспортной инфраструктуры на развивающихся территориях. Показана и обоснована актуальность проблемы и ее экономическое содержание. Дана критика существующих математических подходов к решению задач оптимизации транспортной инфраструктуры. Предложено использовать </w:t>
      </w:r>
      <w:proofErr w:type="spellStart"/>
      <w:r w:rsidRPr="0059750A">
        <w:t>геоинформацинные</w:t>
      </w:r>
      <w:proofErr w:type="spellEnd"/>
      <w:r w:rsidRPr="0059750A">
        <w:t xml:space="preserve"> системы в связке с экономическими показателями, характеризующими затраты на перемещение грузов</w:t>
      </w:r>
      <w:r>
        <w:t>. П</w:t>
      </w:r>
      <w:r w:rsidRPr="0059750A">
        <w:t>редлагается формировать варианты развития транспортной инфраструктуры и проводить их оценку методом динамического расчета инвестиций</w:t>
      </w:r>
      <w:r>
        <w:t>.</w:t>
      </w:r>
    </w:p>
    <w:p w:rsidR="002665D6" w:rsidRPr="0059750A" w:rsidRDefault="002665D6" w:rsidP="002665D6">
      <w:pPr>
        <w:pStyle w:val="a9"/>
      </w:pPr>
      <w:r w:rsidRPr="0059750A">
        <w:rPr>
          <w:i/>
        </w:rPr>
        <w:t>Ключевые слова</w:t>
      </w:r>
      <w:r w:rsidRPr="0059750A">
        <w:t>:</w:t>
      </w:r>
      <w:r w:rsidRPr="0059750A">
        <w:rPr>
          <w:b/>
        </w:rPr>
        <w:t xml:space="preserve"> </w:t>
      </w:r>
      <w:r w:rsidRPr="0059750A">
        <w:t xml:space="preserve">оптимизация, транспортная инфраструктура, </w:t>
      </w:r>
      <w:proofErr w:type="spellStart"/>
      <w:r w:rsidRPr="0059750A">
        <w:t>изохроны</w:t>
      </w:r>
      <w:proofErr w:type="spellEnd"/>
      <w:r w:rsidRPr="0059750A">
        <w:t xml:space="preserve">, </w:t>
      </w:r>
      <w:proofErr w:type="spellStart"/>
      <w:r w:rsidRPr="0059750A">
        <w:t>изотэны</w:t>
      </w:r>
      <w:proofErr w:type="spellEnd"/>
      <w:r w:rsidRPr="0059750A">
        <w:t xml:space="preserve">, экономическая эффективность, планирование </w:t>
      </w:r>
    </w:p>
    <w:p w:rsidR="002665D6" w:rsidRDefault="002665D6" w:rsidP="002665D6">
      <w:pPr>
        <w:pStyle w:val="a9"/>
      </w:pPr>
    </w:p>
    <w:p w:rsidR="00F40299" w:rsidRDefault="00F40299" w:rsidP="002665D6">
      <w:pPr>
        <w:pStyle w:val="a7"/>
        <w:rPr>
          <w:rFonts w:eastAsia="Times New Roman"/>
        </w:rPr>
      </w:pPr>
    </w:p>
    <w:p w:rsidR="002665D6" w:rsidRPr="00317A62" w:rsidRDefault="002665D6" w:rsidP="002665D6">
      <w:pPr>
        <w:pStyle w:val="a7"/>
        <w:rPr>
          <w:rFonts w:ascii="Times New Roman" w:hAnsi="Times New Roman"/>
        </w:rPr>
      </w:pPr>
      <w:r>
        <w:rPr>
          <w:rFonts w:eastAsia="Times New Roman"/>
        </w:rPr>
        <w:t>Л.С. Ковальская</w:t>
      </w:r>
    </w:p>
    <w:p w:rsidR="002665D6" w:rsidRPr="00553F8B" w:rsidRDefault="002665D6" w:rsidP="002665D6">
      <w:pPr>
        <w:pStyle w:val="a8"/>
        <w:rPr>
          <w:rFonts w:eastAsia="Times New Roman"/>
        </w:rPr>
      </w:pPr>
      <w:r>
        <w:rPr>
          <w:rFonts w:eastAsia="Times New Roman"/>
        </w:rPr>
        <w:t xml:space="preserve">ПОРТФЕЛЬНЫЙ АНАЛИЗ СТРОИТЕЛЬНОЙ ОТРАСЛИ </w:t>
      </w:r>
      <w:r>
        <w:rPr>
          <w:rFonts w:eastAsia="Times New Roman"/>
        </w:rPr>
        <w:br/>
        <w:t>РЕСПУБЛИКИ КРЫМ</w:t>
      </w:r>
    </w:p>
    <w:p w:rsidR="002665D6" w:rsidRPr="001E6927" w:rsidRDefault="002665D6" w:rsidP="002665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1E6927">
        <w:rPr>
          <w:rFonts w:ascii="Times New Roman" w:eastAsia="Times New Roman" w:hAnsi="Times New Roman"/>
          <w:color w:val="000000"/>
        </w:rPr>
        <w:t xml:space="preserve">Рассматриваются вопросы, связанные с эффективным использованием рыночного потенциала строительной отрасли с целью повышения уровня его конкурентоспособности. Представлена матрица выбора региональных маркетинговых стратегий в зависимости от уровня использования рыночного потенциала строительной отрасли </w:t>
      </w:r>
      <w:r w:rsidRPr="001E6927">
        <w:rPr>
          <w:rFonts w:ascii="Times New Roman" w:hAnsi="Times New Roman"/>
        </w:rPr>
        <w:t>и темпов развития регионального строительного рынка, в соответствии с которой определены соответствующие стратегии, которые должны использовать регионы для повышения своего конкурентного потенциала.</w:t>
      </w:r>
    </w:p>
    <w:p w:rsidR="002665D6" w:rsidRPr="00344146" w:rsidRDefault="002665D6" w:rsidP="002665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</w:rPr>
      </w:pPr>
      <w:r w:rsidRPr="00344146">
        <w:rPr>
          <w:rFonts w:ascii="Times New Roman" w:hAnsi="Times New Roman"/>
          <w:i/>
          <w:spacing w:val="-2"/>
        </w:rPr>
        <w:t>Ключевые слова</w:t>
      </w:r>
      <w:r w:rsidRPr="00344146">
        <w:rPr>
          <w:rFonts w:ascii="Times New Roman" w:hAnsi="Times New Roman"/>
          <w:spacing w:val="-2"/>
        </w:rPr>
        <w:t xml:space="preserve">: регион, строительная отрасль, рыночный потенциал строительной отрасли, </w:t>
      </w:r>
      <w:r w:rsidRPr="00344146">
        <w:rPr>
          <w:rFonts w:ascii="Times New Roman" w:eastAsia="Times New Roman" w:hAnsi="Times New Roman"/>
          <w:spacing w:val="-2"/>
        </w:rPr>
        <w:t>уровень использования потенциала региона</w:t>
      </w:r>
    </w:p>
    <w:p w:rsidR="002665D6" w:rsidRDefault="002665D6" w:rsidP="002665D6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:rsidR="00F40299" w:rsidRDefault="00F40299" w:rsidP="002665D6">
      <w:pPr>
        <w:pStyle w:val="a7"/>
      </w:pPr>
    </w:p>
    <w:p w:rsidR="002665D6" w:rsidRPr="00C62B57" w:rsidRDefault="002665D6" w:rsidP="002665D6">
      <w:pPr>
        <w:pStyle w:val="a7"/>
      </w:pPr>
      <w:r>
        <w:t xml:space="preserve">С.С. Кудрявцева </w:t>
      </w:r>
    </w:p>
    <w:p w:rsidR="002665D6" w:rsidRDefault="002665D6" w:rsidP="002665D6">
      <w:pPr>
        <w:pStyle w:val="a8"/>
      </w:pPr>
      <w:r w:rsidRPr="00CE6EEA">
        <w:t xml:space="preserve">ТЕОРЕТИЧЕСКИЕ ПОДХОДЫ К ИЗУЧЕНИЮ ОТКРЫТЫХ </w:t>
      </w:r>
      <w:r>
        <w:br/>
      </w:r>
      <w:r w:rsidRPr="00CE6EEA">
        <w:t>НАЦИОНАЛЬНЫХ ИННОВАЦИОННЫХ СИСТЕМ</w:t>
      </w:r>
    </w:p>
    <w:p w:rsidR="002665D6" w:rsidRPr="00950920" w:rsidRDefault="002665D6" w:rsidP="002665D6">
      <w:pPr>
        <w:pStyle w:val="a9"/>
      </w:pPr>
      <w:r w:rsidRPr="00950920">
        <w:t>Приведен обзор основных определений национальной инновационной системы. Обобщены теоретические подходы к формированию и развитию открытых национальных инновационных систем. Представлена структура национальных инновационных систем.</w:t>
      </w:r>
    </w:p>
    <w:p w:rsidR="002665D6" w:rsidRPr="00950920" w:rsidRDefault="002665D6" w:rsidP="002665D6">
      <w:pPr>
        <w:pStyle w:val="a9"/>
      </w:pPr>
      <w:r w:rsidRPr="00950920">
        <w:rPr>
          <w:i/>
        </w:rPr>
        <w:t>Ключевые слова</w:t>
      </w:r>
      <w:r w:rsidRPr="00950920">
        <w:t>: инновация, национальная инновационная система, открытая инновация, государственная научно-техническая и инновационная политика</w:t>
      </w:r>
    </w:p>
    <w:p w:rsidR="002665D6" w:rsidRDefault="002665D6" w:rsidP="002665D6">
      <w:pPr>
        <w:pStyle w:val="a9"/>
      </w:pPr>
    </w:p>
    <w:p w:rsidR="002665D6" w:rsidRDefault="002665D6" w:rsidP="002665D6">
      <w:pPr>
        <w:pStyle w:val="a9"/>
      </w:pPr>
    </w:p>
    <w:p w:rsidR="002665D6" w:rsidRPr="000B02AA" w:rsidRDefault="002665D6" w:rsidP="002665D6">
      <w:pPr>
        <w:pStyle w:val="a7"/>
      </w:pPr>
      <w:r>
        <w:t xml:space="preserve">С.М. </w:t>
      </w:r>
      <w:proofErr w:type="spellStart"/>
      <w:r>
        <w:t>Макейкина</w:t>
      </w:r>
      <w:proofErr w:type="spellEnd"/>
      <w:r>
        <w:t>, С.И. Мамкина</w:t>
      </w:r>
    </w:p>
    <w:p w:rsidR="002665D6" w:rsidRDefault="002665D6" w:rsidP="002665D6">
      <w:pPr>
        <w:pStyle w:val="a8"/>
      </w:pPr>
      <w:r>
        <w:t xml:space="preserve">ИССЛЕДОВАНИЕ СОЦИАЛЬНЫХ РАСХОДОВ </w:t>
      </w:r>
      <w:r>
        <w:br/>
        <w:t>РЕГИОНАЛЬНОГО БЮДЖЕТА РЕСПУБЛИКИ МОРДОВИЯ</w:t>
      </w:r>
    </w:p>
    <w:p w:rsidR="002665D6" w:rsidRPr="007C6ECB" w:rsidRDefault="002665D6" w:rsidP="002665D6">
      <w:pPr>
        <w:pStyle w:val="a9"/>
      </w:pPr>
      <w:r>
        <w:t>Рассматриваются</w:t>
      </w:r>
      <w:r w:rsidRPr="007C6ECB">
        <w:t xml:space="preserve"> социальные расходы регионального бюджета Республики Мордовия. </w:t>
      </w:r>
      <w:r>
        <w:t>П</w:t>
      </w:r>
      <w:r w:rsidRPr="007C6ECB">
        <w:t>роанализированы бюджетные расходы на социальную сферу в общей динамике, а также в разрезе отдельно рассматриваемых разделов за ряд лет.</w:t>
      </w:r>
      <w:r>
        <w:t xml:space="preserve"> В</w:t>
      </w:r>
      <w:r w:rsidRPr="007C6ECB">
        <w:t xml:space="preserve">ыявлены </w:t>
      </w:r>
      <w:r>
        <w:t>сдерживающие факторы и</w:t>
      </w:r>
      <w:r w:rsidRPr="007C6ECB">
        <w:t xml:space="preserve"> приоритетные направления финансирования.</w:t>
      </w:r>
    </w:p>
    <w:p w:rsidR="002665D6" w:rsidRPr="00270700" w:rsidRDefault="002665D6" w:rsidP="002665D6">
      <w:pPr>
        <w:pStyle w:val="a9"/>
        <w:rPr>
          <w:spacing w:val="4"/>
        </w:rPr>
      </w:pPr>
      <w:r w:rsidRPr="00270700">
        <w:rPr>
          <w:i/>
          <w:spacing w:val="4"/>
        </w:rPr>
        <w:t>Ключевые слова</w:t>
      </w:r>
      <w:r w:rsidRPr="00270700">
        <w:rPr>
          <w:spacing w:val="4"/>
        </w:rPr>
        <w:t>: региональный бюджет, социальные расходы, здравоохранение, образование, культура, кинематография, физическая культура и спорт, средства массовой информации</w:t>
      </w:r>
    </w:p>
    <w:p w:rsidR="002665D6" w:rsidRDefault="002665D6" w:rsidP="002665D6">
      <w:pPr>
        <w:pStyle w:val="a9"/>
      </w:pPr>
    </w:p>
    <w:p w:rsidR="00F40299" w:rsidRDefault="00F40299" w:rsidP="002665D6">
      <w:pPr>
        <w:pStyle w:val="a7"/>
      </w:pPr>
    </w:p>
    <w:p w:rsidR="002665D6" w:rsidRPr="00C62B57" w:rsidRDefault="002665D6" w:rsidP="002665D6">
      <w:pPr>
        <w:pStyle w:val="a7"/>
      </w:pPr>
      <w:r>
        <w:t xml:space="preserve">В.В. Малахова </w:t>
      </w:r>
    </w:p>
    <w:p w:rsidR="002665D6" w:rsidRPr="009E3724" w:rsidRDefault="002665D6" w:rsidP="002665D6">
      <w:pPr>
        <w:pStyle w:val="a8"/>
      </w:pPr>
      <w:r w:rsidRPr="009E3724">
        <w:t>ПОДХОДЫ К УПРАВЛЕНИЮ СТРОИТЕЛЬНЫМ КОМПЛЕКСОМ</w:t>
      </w:r>
      <w:r>
        <w:br/>
      </w:r>
      <w:r w:rsidRPr="009E3724">
        <w:t xml:space="preserve">РЕГИОНА </w:t>
      </w:r>
    </w:p>
    <w:p w:rsidR="002665D6" w:rsidRPr="00C7767A" w:rsidRDefault="002665D6" w:rsidP="002665D6">
      <w:pPr>
        <w:pStyle w:val="a9"/>
      </w:pPr>
      <w:r>
        <w:t>П</w:t>
      </w:r>
      <w:r w:rsidRPr="00C7767A">
        <w:t>роведен анализ существующих подходов к управлению, определены административно-экономические методы управления строительным комплексом региона и предложен комплексно-адаптивный подход к управлению строительным комплексом региона.</w:t>
      </w:r>
    </w:p>
    <w:p w:rsidR="002665D6" w:rsidRPr="00346BBD" w:rsidRDefault="002665D6" w:rsidP="002665D6">
      <w:pPr>
        <w:pStyle w:val="a9"/>
        <w:rPr>
          <w:spacing w:val="2"/>
        </w:rPr>
      </w:pPr>
      <w:r w:rsidRPr="00346BBD">
        <w:rPr>
          <w:i/>
          <w:spacing w:val="2"/>
        </w:rPr>
        <w:t>Ключевые слова</w:t>
      </w:r>
      <w:r w:rsidRPr="00346BBD">
        <w:rPr>
          <w:spacing w:val="2"/>
        </w:rPr>
        <w:t>:</w:t>
      </w:r>
      <w:r w:rsidRPr="00346BBD">
        <w:rPr>
          <w:b/>
          <w:spacing w:val="2"/>
        </w:rPr>
        <w:t xml:space="preserve"> </w:t>
      </w:r>
      <w:r w:rsidRPr="00346BBD">
        <w:rPr>
          <w:spacing w:val="2"/>
        </w:rPr>
        <w:t>строительный комплекс региона, управление, комплексно-адаптивный подход, административно-экономические методы</w:t>
      </w:r>
    </w:p>
    <w:p w:rsidR="002665D6" w:rsidRDefault="002665D6" w:rsidP="002665D6">
      <w:pPr>
        <w:pStyle w:val="a9"/>
      </w:pPr>
    </w:p>
    <w:p w:rsidR="002665D6" w:rsidRDefault="002665D6" w:rsidP="002665D6">
      <w:pPr>
        <w:pStyle w:val="a9"/>
        <w:rPr>
          <w:lang w:val="de-DE"/>
        </w:rPr>
      </w:pPr>
    </w:p>
    <w:p w:rsidR="002665D6" w:rsidRPr="00C62B57" w:rsidRDefault="002665D6" w:rsidP="002665D6">
      <w:pPr>
        <w:pStyle w:val="a7"/>
      </w:pPr>
      <w:r>
        <w:t xml:space="preserve">Д.С. Малыгин </w:t>
      </w:r>
    </w:p>
    <w:p w:rsidR="002665D6" w:rsidRPr="0031198F" w:rsidRDefault="002665D6" w:rsidP="002665D6">
      <w:pPr>
        <w:pStyle w:val="a8"/>
        <w:rPr>
          <w:color w:val="000000"/>
        </w:rPr>
      </w:pPr>
      <w:r w:rsidRPr="0031198F">
        <w:t xml:space="preserve">КЛАССИФИКАЦИЯ ПРОБЛЕМ ЦЕПЕЙ ПОСТАВОК </w:t>
      </w:r>
      <w:r>
        <w:br/>
      </w:r>
      <w:r w:rsidRPr="0031198F">
        <w:t>ПРИ ПРОИЗВОДСТВЕ ИНДИВИДУАЛИЗИРОВАННОЙ</w:t>
      </w:r>
      <w:r>
        <w:br/>
      </w:r>
      <w:r w:rsidRPr="0031198F">
        <w:t>ПРОМЫШЛЕННОЙ ПРОДУКЦИИ</w:t>
      </w:r>
    </w:p>
    <w:p w:rsidR="002665D6" w:rsidRPr="009B58D1" w:rsidRDefault="002665D6" w:rsidP="002665D6">
      <w:pPr>
        <w:pStyle w:val="a9"/>
      </w:pPr>
      <w:r w:rsidRPr="009B58D1">
        <w:t>Рассматриваются цепи поставок предприятий, производящих индивидуализированную продукцию массового спроса. Дана классификация проблем цепей поставок при производстве индивидуализированной продукции. Выявлены причины возникновения проблем и предложены пути их решения.</w:t>
      </w:r>
    </w:p>
    <w:p w:rsidR="002665D6" w:rsidRPr="009B58D1" w:rsidRDefault="002665D6" w:rsidP="002665D6">
      <w:pPr>
        <w:pStyle w:val="a9"/>
      </w:pPr>
      <w:r w:rsidRPr="009B58D1">
        <w:t>Ключевые слова: производство, логистика, индивидуальный заказ, индивидуализированная продукция, цепь поставок</w:t>
      </w:r>
    </w:p>
    <w:p w:rsidR="002665D6" w:rsidRDefault="002665D6" w:rsidP="002665D6">
      <w:pPr>
        <w:pStyle w:val="a9"/>
      </w:pPr>
    </w:p>
    <w:p w:rsidR="00F40299" w:rsidRDefault="00F40299" w:rsidP="002665D6">
      <w:pPr>
        <w:pStyle w:val="a7"/>
      </w:pPr>
    </w:p>
    <w:p w:rsidR="002665D6" w:rsidRPr="00C62B57" w:rsidRDefault="002665D6" w:rsidP="002665D6">
      <w:pPr>
        <w:pStyle w:val="a7"/>
      </w:pPr>
      <w:r>
        <w:t xml:space="preserve">А.Р. Муратова </w:t>
      </w:r>
    </w:p>
    <w:p w:rsidR="002665D6" w:rsidRPr="005A10EB" w:rsidRDefault="002665D6" w:rsidP="002665D6">
      <w:pPr>
        <w:pStyle w:val="a8"/>
      </w:pPr>
      <w:r w:rsidRPr="001414D3">
        <w:t xml:space="preserve">РАЗВИТИЕ ЧЕЛОВЕЧЕСКОГО ПОТЕНЦИАЛА </w:t>
      </w:r>
      <w:r>
        <w:br/>
      </w:r>
      <w:r w:rsidRPr="001414D3">
        <w:t xml:space="preserve">НА КОРПОРАТИВНОМ УРОВНЕ ЧЕРЕЗ УКРЕПЛЕНИЕ </w:t>
      </w:r>
      <w:r>
        <w:br/>
      </w:r>
      <w:r w:rsidRPr="001414D3">
        <w:t>ПАРТНЕРСКИХ</w:t>
      </w:r>
      <w:r w:rsidRPr="005A10EB">
        <w:t xml:space="preserve"> </w:t>
      </w:r>
      <w:r w:rsidRPr="001414D3">
        <w:t>ОТНОШЕНИЙ</w:t>
      </w:r>
    </w:p>
    <w:p w:rsidR="002665D6" w:rsidRDefault="002665D6" w:rsidP="002665D6">
      <w:pPr>
        <w:pStyle w:val="a9"/>
        <w:rPr>
          <w:rFonts w:eastAsia="Calibri"/>
          <w:lang w:eastAsia="en-US"/>
        </w:rPr>
      </w:pPr>
      <w:r>
        <w:rPr>
          <w:rFonts w:eastAsia="Calibri"/>
          <w:lang w:eastAsia="en-US"/>
        </w:rPr>
        <w:t>Р</w:t>
      </w:r>
      <w:r w:rsidRPr="001414D3">
        <w:rPr>
          <w:rFonts w:eastAsia="Calibri"/>
          <w:lang w:eastAsia="en-US"/>
        </w:rPr>
        <w:t>ассмотрены вопросы, связанные с разрешением конфликтов в социально-трудовой сфере российского общества</w:t>
      </w:r>
      <w:r>
        <w:rPr>
          <w:rFonts w:eastAsia="Calibri"/>
          <w:lang w:eastAsia="en-US"/>
        </w:rPr>
        <w:t xml:space="preserve">. </w:t>
      </w:r>
      <w:r w:rsidRPr="001414D3">
        <w:rPr>
          <w:rFonts w:eastAsia="Calibri"/>
          <w:lang w:eastAsia="en-US"/>
        </w:rPr>
        <w:t>Выделены направления развития социального партнерства на корпоративном уровне</w:t>
      </w:r>
      <w:r>
        <w:rPr>
          <w:rFonts w:eastAsia="Calibri"/>
          <w:lang w:eastAsia="en-US"/>
        </w:rPr>
        <w:t>. Р</w:t>
      </w:r>
      <w:r w:rsidRPr="001414D3">
        <w:rPr>
          <w:rFonts w:eastAsia="Calibri"/>
          <w:lang w:eastAsia="en-US"/>
        </w:rPr>
        <w:t>азработана и представлена система показателей оценки результативности и эффективности реализации стратегии развития социального партнерства на предприятии</w:t>
      </w:r>
      <w:r>
        <w:rPr>
          <w:rFonts w:eastAsia="Calibri"/>
          <w:lang w:eastAsia="en-US"/>
        </w:rPr>
        <w:t>.</w:t>
      </w:r>
    </w:p>
    <w:p w:rsidR="002665D6" w:rsidRPr="001414D3" w:rsidRDefault="002665D6" w:rsidP="002665D6">
      <w:pPr>
        <w:pStyle w:val="a9"/>
        <w:rPr>
          <w:rFonts w:eastAsia="Calibri"/>
          <w:b/>
          <w:lang w:eastAsia="en-US"/>
        </w:rPr>
      </w:pPr>
      <w:r w:rsidRPr="001414D3">
        <w:rPr>
          <w:rFonts w:eastAsia="Calibri"/>
          <w:i/>
          <w:lang w:eastAsia="en-US"/>
        </w:rPr>
        <w:t>Ключевые слова</w:t>
      </w:r>
      <w:r w:rsidRPr="001414D3">
        <w:rPr>
          <w:rFonts w:eastAsia="Calibri"/>
          <w:lang w:eastAsia="en-US"/>
        </w:rPr>
        <w:t>: социальное партнерство, экономика региона, конфликт, противоречие, профсоюз, государство, равенство сторон, государственное регулирование, система сбалансированных показателей, человеческий потенциал</w:t>
      </w:r>
    </w:p>
    <w:p w:rsidR="002665D6" w:rsidRDefault="002665D6" w:rsidP="002665D6">
      <w:pPr>
        <w:pStyle w:val="a9"/>
        <w:rPr>
          <w:szCs w:val="22"/>
        </w:rPr>
      </w:pPr>
    </w:p>
    <w:p w:rsidR="00F40299" w:rsidRDefault="00F40299" w:rsidP="002665D6">
      <w:pPr>
        <w:pStyle w:val="a7"/>
      </w:pPr>
    </w:p>
    <w:p w:rsidR="002665D6" w:rsidRPr="00D2791F" w:rsidRDefault="002665D6" w:rsidP="002665D6">
      <w:pPr>
        <w:pStyle w:val="a7"/>
      </w:pPr>
      <w:r>
        <w:t xml:space="preserve">Т.Е. Романова </w:t>
      </w:r>
    </w:p>
    <w:p w:rsidR="002665D6" w:rsidRDefault="002665D6" w:rsidP="002665D6">
      <w:pPr>
        <w:pStyle w:val="a8"/>
      </w:pPr>
      <w:r w:rsidRPr="005B3C0C">
        <w:t xml:space="preserve">ПЕРСПЕКТИВЫ РАЗВИТИЯ ИНТЕГРАЦИОННЫХ ПРОЦЕССОВ </w:t>
      </w:r>
      <w:r>
        <w:br/>
      </w:r>
      <w:r w:rsidRPr="005B3C0C">
        <w:t xml:space="preserve">В РОССИИ НА ОСНОВЕ ЗАРУБЕЖНОГО ОПЫТА </w:t>
      </w:r>
    </w:p>
    <w:p w:rsidR="002665D6" w:rsidRPr="00D052D4" w:rsidRDefault="002665D6" w:rsidP="002665D6">
      <w:pPr>
        <w:pStyle w:val="a9"/>
      </w:pPr>
      <w:r w:rsidRPr="00D052D4">
        <w:t>Обоснована необходимость развития интеграционных процессов в сельском хозяйстве. Обобщен зарубежный опыт организации интегрированных формирований и оценена возможность его внедрения в России. Предложены направления развития интеграционных процессов в агропромышленном комплексе.</w:t>
      </w:r>
    </w:p>
    <w:p w:rsidR="002665D6" w:rsidRPr="00D052D4" w:rsidRDefault="002665D6" w:rsidP="002665D6">
      <w:pPr>
        <w:pStyle w:val="a9"/>
      </w:pPr>
      <w:r w:rsidRPr="00D052D4">
        <w:rPr>
          <w:i/>
        </w:rPr>
        <w:t>Ключевые слова</w:t>
      </w:r>
      <w:r w:rsidRPr="00D052D4">
        <w:t>: интеграция, интеграционные процессы, сельское хозяйство</w:t>
      </w:r>
    </w:p>
    <w:p w:rsidR="002665D6" w:rsidRDefault="002665D6" w:rsidP="002665D6">
      <w:pPr>
        <w:pStyle w:val="a9"/>
      </w:pPr>
    </w:p>
    <w:p w:rsidR="00F40299" w:rsidRDefault="00F40299" w:rsidP="00D26ACD">
      <w:pPr>
        <w:pStyle w:val="a7"/>
      </w:pPr>
    </w:p>
    <w:p w:rsidR="00D26ACD" w:rsidRPr="00D078B2" w:rsidRDefault="00D26ACD" w:rsidP="00D26ACD">
      <w:pPr>
        <w:pStyle w:val="a7"/>
      </w:pPr>
      <w:r>
        <w:t xml:space="preserve">В.А. </w:t>
      </w:r>
      <w:proofErr w:type="spellStart"/>
      <w:r>
        <w:t>Хамидулина</w:t>
      </w:r>
      <w:proofErr w:type="spellEnd"/>
      <w:r>
        <w:t xml:space="preserve"> </w:t>
      </w:r>
    </w:p>
    <w:p w:rsidR="00D26ACD" w:rsidRPr="00A84E39" w:rsidRDefault="00D26ACD" w:rsidP="00D26ACD">
      <w:pPr>
        <w:pStyle w:val="a8"/>
        <w:rPr>
          <w:rFonts w:ascii="Times New Roman" w:eastAsia="Calibri" w:hAnsi="Times New Roman"/>
          <w:sz w:val="24"/>
          <w:szCs w:val="24"/>
        </w:rPr>
      </w:pPr>
      <w:r w:rsidRPr="00A84E39">
        <w:rPr>
          <w:rFonts w:eastAsia="Arial-BoldMT"/>
        </w:rPr>
        <w:t xml:space="preserve">УЧЕТ ЗАПАСОВ НА ПРЕДПРИЯТИЯХ </w:t>
      </w:r>
      <w:r>
        <w:rPr>
          <w:rFonts w:eastAsia="Arial-BoldMT"/>
        </w:rPr>
        <w:br/>
      </w:r>
      <w:r w:rsidRPr="00A84E39">
        <w:rPr>
          <w:rFonts w:eastAsia="Arial-BoldMT"/>
        </w:rPr>
        <w:t xml:space="preserve">ИНВЕСТИЦИОННО-СТРОИТЕЛЬНОЙ СФЕРЫ В УСЛОВИЯХ </w:t>
      </w:r>
      <w:r>
        <w:rPr>
          <w:rFonts w:eastAsia="Arial-BoldMT"/>
        </w:rPr>
        <w:br/>
      </w:r>
      <w:r w:rsidRPr="00A84E39">
        <w:rPr>
          <w:rFonts w:eastAsia="Arial-BoldMT"/>
        </w:rPr>
        <w:t>ТРАНСФОРМАЦИИ ТРЕБОВАНИЙ К ОТРАЖЕНИЮ В ОТЧЕТНОСТИ</w:t>
      </w:r>
    </w:p>
    <w:p w:rsidR="00D26ACD" w:rsidRPr="00A84E39" w:rsidRDefault="00D26ACD" w:rsidP="00D26ACD">
      <w:pPr>
        <w:pStyle w:val="a9"/>
        <w:rPr>
          <w:color w:val="000000" w:themeColor="text1"/>
        </w:rPr>
      </w:pPr>
      <w:r>
        <w:rPr>
          <w:rFonts w:eastAsia="Calibri"/>
        </w:rPr>
        <w:t>Р</w:t>
      </w:r>
      <w:r w:rsidRPr="00A84E39">
        <w:rPr>
          <w:rFonts w:eastAsia="Calibri"/>
        </w:rPr>
        <w:t>ассматриваются особенности отражения в бухгалтерском учете</w:t>
      </w:r>
      <w:r w:rsidRPr="00A84E39">
        <w:t xml:space="preserve"> запасов на предприятиях инвестиционно-строительной отрасли</w:t>
      </w:r>
      <w:r w:rsidRPr="00A84E39">
        <w:rPr>
          <w:rFonts w:eastAsia="Calibri"/>
        </w:rPr>
        <w:t>.</w:t>
      </w:r>
      <w:r>
        <w:rPr>
          <w:color w:val="000000" w:themeColor="text1"/>
        </w:rPr>
        <w:t xml:space="preserve"> </w:t>
      </w:r>
      <w:r w:rsidRPr="00A84E39">
        <w:rPr>
          <w:rFonts w:eastAsia="Calibri"/>
        </w:rPr>
        <w:t>Проводится анализ ПБУ 5/01, МСФО 2 и проекта ПБУ «Запасы» с целью выявления новых требований и соответствия.</w:t>
      </w:r>
      <w:r w:rsidRPr="00A84E39">
        <w:rPr>
          <w:color w:val="000000" w:themeColor="text1"/>
        </w:rPr>
        <w:t xml:space="preserve"> </w:t>
      </w:r>
    </w:p>
    <w:p w:rsidR="00D26ACD" w:rsidRPr="00A84E39" w:rsidRDefault="00D26ACD" w:rsidP="00D26ACD">
      <w:pPr>
        <w:pStyle w:val="a9"/>
        <w:rPr>
          <w:rFonts w:eastAsia="Calibri"/>
        </w:rPr>
      </w:pPr>
      <w:r w:rsidRPr="00A84E39">
        <w:rPr>
          <w:rFonts w:eastAsia="Calibri"/>
          <w:i/>
        </w:rPr>
        <w:t>Ключевые слова</w:t>
      </w:r>
      <w:r w:rsidRPr="00A84E39">
        <w:rPr>
          <w:rFonts w:eastAsia="Calibri"/>
        </w:rPr>
        <w:t xml:space="preserve">: </w:t>
      </w:r>
      <w:r w:rsidRPr="00A84E39">
        <w:t>строительство, запасы, учет, международные стандарты</w:t>
      </w:r>
    </w:p>
    <w:p w:rsidR="00D26ACD" w:rsidRDefault="00D26ACD" w:rsidP="00D26ACD">
      <w:pPr>
        <w:pStyle w:val="a9"/>
        <w:rPr>
          <w:color w:val="000000"/>
          <w:szCs w:val="22"/>
        </w:rPr>
      </w:pPr>
    </w:p>
    <w:p w:rsidR="00D26ACD" w:rsidRPr="00002E60" w:rsidRDefault="00D26ACD" w:rsidP="00D26ACD">
      <w:pPr>
        <w:pStyle w:val="a9"/>
        <w:rPr>
          <w:lang w:val="en-US"/>
        </w:rPr>
      </w:pPr>
    </w:p>
    <w:p w:rsidR="00D26ACD" w:rsidRPr="00002E60" w:rsidRDefault="00D26ACD" w:rsidP="00D26ACD">
      <w:pPr>
        <w:pStyle w:val="a7"/>
        <w:rPr>
          <w:lang w:val="en-US"/>
        </w:rPr>
      </w:pPr>
      <w:r>
        <w:t>Н</w:t>
      </w:r>
      <w:r w:rsidRPr="00002E60">
        <w:rPr>
          <w:lang w:val="en-US"/>
        </w:rPr>
        <w:t>.</w:t>
      </w:r>
      <w:r>
        <w:t>В</w:t>
      </w:r>
      <w:r w:rsidRPr="00002E60">
        <w:rPr>
          <w:lang w:val="en-US"/>
        </w:rPr>
        <w:t xml:space="preserve">. </w:t>
      </w:r>
      <w:proofErr w:type="spellStart"/>
      <w:r>
        <w:t>Цопа</w:t>
      </w:r>
      <w:proofErr w:type="spellEnd"/>
      <w:r w:rsidRPr="00002E60">
        <w:rPr>
          <w:lang w:val="en-US"/>
        </w:rPr>
        <w:t xml:space="preserve"> </w:t>
      </w:r>
    </w:p>
    <w:p w:rsidR="00D26ACD" w:rsidRDefault="00D26ACD" w:rsidP="00D26ACD">
      <w:pPr>
        <w:pStyle w:val="a8"/>
      </w:pPr>
      <w:r>
        <w:t xml:space="preserve">КОНЦЕПТУАЛЬНЫЕ ОСНОВЫ УПРАВЛЯЕМОГО РАЗВИТИЯ </w:t>
      </w:r>
      <w:r>
        <w:br/>
        <w:t>ИНВЕСТИЦИОННО-СТРОИТЕЛЬНОГО КОМПЛЕКСА</w:t>
      </w:r>
    </w:p>
    <w:p w:rsidR="00D26ACD" w:rsidRDefault="00D26ACD" w:rsidP="00D26ACD">
      <w:pPr>
        <w:pStyle w:val="a9"/>
        <w:rPr>
          <w:rFonts w:eastAsia="Times New Roman"/>
        </w:rPr>
      </w:pPr>
      <w:r>
        <w:rPr>
          <w:rFonts w:eastAsia="Times New Roman"/>
        </w:rPr>
        <w:t xml:space="preserve">Обоснован концептуальный подход управляемого развития инвестиционно-строительного комплекса. Выделено четыре основных блока реализация предлагаемой концепции управляемого развития инвестиционно-строительного комплекса. </w:t>
      </w:r>
    </w:p>
    <w:p w:rsidR="00D26ACD" w:rsidRDefault="00D26ACD" w:rsidP="00D26ACD">
      <w:pPr>
        <w:pStyle w:val="a9"/>
      </w:pPr>
      <w:r>
        <w:rPr>
          <w:i/>
        </w:rPr>
        <w:t>Ключевые слова</w:t>
      </w:r>
      <w:r>
        <w:t>: развитие, управление развитием, управляемое развитие, строительство, строительная отрасль, строительная деятельность, инвестиционно-строительный комплекс</w:t>
      </w:r>
    </w:p>
    <w:p w:rsidR="00D26ACD" w:rsidRDefault="00D26ACD" w:rsidP="00D26ACD">
      <w:pPr>
        <w:pStyle w:val="a9"/>
      </w:pPr>
    </w:p>
    <w:p w:rsidR="00F40299" w:rsidRDefault="00F40299" w:rsidP="00D26ACD">
      <w:pPr>
        <w:pStyle w:val="a7"/>
      </w:pPr>
    </w:p>
    <w:p w:rsidR="00D26ACD" w:rsidRDefault="00D26ACD" w:rsidP="00D26ACD">
      <w:pPr>
        <w:pStyle w:val="a7"/>
      </w:pPr>
      <w:r w:rsidRPr="00DA7A2D">
        <w:t xml:space="preserve">Н.М. </w:t>
      </w:r>
      <w:proofErr w:type="spellStart"/>
      <w:r w:rsidRPr="00DA7A2D">
        <w:t>Чикишева</w:t>
      </w:r>
      <w:proofErr w:type="spellEnd"/>
      <w:r w:rsidRPr="00DA7A2D">
        <w:t xml:space="preserve">, Н.В. </w:t>
      </w:r>
      <w:proofErr w:type="spellStart"/>
      <w:r w:rsidRPr="00DA7A2D">
        <w:t>Меллер</w:t>
      </w:r>
      <w:proofErr w:type="spellEnd"/>
      <w:r w:rsidRPr="00DA7A2D">
        <w:t>, О.С. Талалаева</w:t>
      </w:r>
    </w:p>
    <w:p w:rsidR="00D26ACD" w:rsidRPr="00DA7A2D" w:rsidRDefault="00D26ACD" w:rsidP="00D26ACD">
      <w:pPr>
        <w:pStyle w:val="a8"/>
      </w:pPr>
      <w:r w:rsidRPr="00DA7A2D">
        <w:t>ПОДХОДЫ К ОЦЕНКЕ НАДЕЖНОСТИ ОРГАНИЗАЦИЙ</w:t>
      </w:r>
    </w:p>
    <w:p w:rsidR="00D26ACD" w:rsidRPr="0041299F" w:rsidRDefault="00D26ACD" w:rsidP="00D26ACD">
      <w:pPr>
        <w:pStyle w:val="a9"/>
      </w:pPr>
      <w:r w:rsidRPr="0041299F">
        <w:t>Рассмотрены многофакторные модели прогнозирования вероятности банкротства, модели оценки надежности компаний, проведен анализ существующих методик оценки надежности и кредитоспособности организации.</w:t>
      </w:r>
    </w:p>
    <w:p w:rsidR="00D26ACD" w:rsidRPr="0041299F" w:rsidRDefault="00D26ACD" w:rsidP="00D26ACD">
      <w:pPr>
        <w:pStyle w:val="a9"/>
      </w:pPr>
      <w:r w:rsidRPr="00A05165">
        <w:rPr>
          <w:i/>
        </w:rPr>
        <w:t>Ключевые слов</w:t>
      </w:r>
      <w:r w:rsidRPr="0041299F">
        <w:t>а: модели прогнозирования банкротства, методики оценки финансового состояния, модели оценки надежности компаний</w:t>
      </w:r>
    </w:p>
    <w:p w:rsidR="00D26ACD" w:rsidRDefault="00D26ACD" w:rsidP="00D26ACD">
      <w:pPr>
        <w:pStyle w:val="a9"/>
      </w:pPr>
    </w:p>
    <w:p w:rsidR="00F40299" w:rsidRDefault="00F40299" w:rsidP="00D26ACD">
      <w:pPr>
        <w:pStyle w:val="a7"/>
      </w:pPr>
    </w:p>
    <w:p w:rsidR="00F40299" w:rsidRPr="005207E5" w:rsidRDefault="00F40299" w:rsidP="00F40299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F40299" w:rsidRDefault="00F40299" w:rsidP="00D26ACD">
      <w:pPr>
        <w:pStyle w:val="a7"/>
      </w:pPr>
    </w:p>
    <w:p w:rsidR="00F40299" w:rsidRDefault="00F40299" w:rsidP="00D26ACD">
      <w:pPr>
        <w:pStyle w:val="a7"/>
      </w:pPr>
    </w:p>
    <w:p w:rsidR="00D26ACD" w:rsidRPr="00CE5BC5" w:rsidRDefault="00D26ACD" w:rsidP="00D26ACD">
      <w:pPr>
        <w:pStyle w:val="a7"/>
        <w:rPr>
          <w:b/>
          <w:sz w:val="16"/>
          <w:szCs w:val="16"/>
        </w:rPr>
      </w:pPr>
      <w:r>
        <w:t xml:space="preserve">Н.С. </w:t>
      </w:r>
      <w:proofErr w:type="spellStart"/>
      <w:r>
        <w:t>Аринушкина</w:t>
      </w:r>
      <w:proofErr w:type="spellEnd"/>
      <w:r w:rsidRPr="00DA3C39">
        <w:t xml:space="preserve"> </w:t>
      </w:r>
    </w:p>
    <w:p w:rsidR="00D26ACD" w:rsidRPr="002717E4" w:rsidRDefault="00D26ACD" w:rsidP="00D26ACD">
      <w:pPr>
        <w:pStyle w:val="a8"/>
        <w:rPr>
          <w:rFonts w:ascii="Times New Roman" w:hAnsi="Times New Roman"/>
          <w:sz w:val="24"/>
          <w:szCs w:val="24"/>
        </w:rPr>
      </w:pPr>
      <w:r w:rsidRPr="00CA0219">
        <w:t xml:space="preserve">ФОРМИРОВАНИЕ ПРОФЕССИОНАЛЬНО ВАЖНЫХ КАЧЕСТВ: </w:t>
      </w:r>
      <w:r>
        <w:br/>
      </w:r>
      <w:r w:rsidRPr="00CA0219">
        <w:t>ПОДХОДЫ К ПОНИМАНИЮ</w:t>
      </w:r>
    </w:p>
    <w:p w:rsidR="00D26ACD" w:rsidRDefault="00D26ACD" w:rsidP="00D26ACD">
      <w:pPr>
        <w:pStyle w:val="a9"/>
      </w:pPr>
      <w:r>
        <w:t>Представлены подходы к пониманию феномена «профессионально-важных качеств» специалиста. В рамках методологических подходов дается интерпретация, трактовка понятийного аппарата. Описаны функции и проблемы формирования профессионально важных качеств специалиста.</w:t>
      </w:r>
    </w:p>
    <w:p w:rsidR="00D26ACD" w:rsidRPr="002717E4" w:rsidRDefault="00D26ACD" w:rsidP="00D26ACD">
      <w:pPr>
        <w:pStyle w:val="a9"/>
      </w:pPr>
      <w:r w:rsidRPr="00CA0219">
        <w:rPr>
          <w:i/>
        </w:rPr>
        <w:t>Ключевые слова</w:t>
      </w:r>
      <w:r w:rsidRPr="002717E4">
        <w:t xml:space="preserve">: </w:t>
      </w:r>
      <w:r>
        <w:t>специалист, профессионально важные качества, профессионально значимые качества</w:t>
      </w:r>
    </w:p>
    <w:p w:rsidR="00D26ACD" w:rsidRDefault="00D26ACD" w:rsidP="00D26ACD">
      <w:pPr>
        <w:pStyle w:val="a9"/>
      </w:pPr>
    </w:p>
    <w:p w:rsidR="00F40299" w:rsidRDefault="00F40299" w:rsidP="00D26ACD">
      <w:pPr>
        <w:pStyle w:val="a7"/>
      </w:pPr>
    </w:p>
    <w:p w:rsidR="00F40299" w:rsidRDefault="00F40299" w:rsidP="00D26ACD">
      <w:pPr>
        <w:pStyle w:val="a7"/>
      </w:pPr>
    </w:p>
    <w:p w:rsidR="00F40299" w:rsidRDefault="00F40299" w:rsidP="00D26ACD">
      <w:pPr>
        <w:pStyle w:val="a7"/>
      </w:pPr>
    </w:p>
    <w:p w:rsidR="00D26ACD" w:rsidRPr="00F40299" w:rsidRDefault="00D26ACD" w:rsidP="00D26ACD">
      <w:pPr>
        <w:pStyle w:val="a7"/>
      </w:pPr>
      <w:r>
        <w:lastRenderedPageBreak/>
        <w:t>Г</w:t>
      </w:r>
      <w:r w:rsidRPr="00F40299">
        <w:t>.</w:t>
      </w:r>
      <w:r>
        <w:t>В</w:t>
      </w:r>
      <w:r w:rsidRPr="00F40299">
        <w:t xml:space="preserve">. </w:t>
      </w:r>
      <w:proofErr w:type="spellStart"/>
      <w:r>
        <w:t>Эйгелис</w:t>
      </w:r>
      <w:proofErr w:type="spellEnd"/>
      <w:r w:rsidRPr="00F40299">
        <w:t xml:space="preserve">, </w:t>
      </w:r>
      <w:r>
        <w:t>В</w:t>
      </w:r>
      <w:r w:rsidRPr="00F40299">
        <w:t>.</w:t>
      </w:r>
      <w:r>
        <w:t>Ю</w:t>
      </w:r>
      <w:r w:rsidRPr="00F40299">
        <w:t xml:space="preserve">. </w:t>
      </w:r>
      <w:r>
        <w:t>Говорухина</w:t>
      </w:r>
      <w:r w:rsidRPr="00F40299">
        <w:t xml:space="preserve"> </w:t>
      </w:r>
    </w:p>
    <w:p w:rsidR="00D26ACD" w:rsidRPr="00166C79" w:rsidRDefault="00D26ACD" w:rsidP="00D26ACD">
      <w:pPr>
        <w:pStyle w:val="a8"/>
        <w:rPr>
          <w:caps/>
        </w:rPr>
      </w:pPr>
      <w:r w:rsidRPr="00166C79">
        <w:t xml:space="preserve">СТРАТЕГИИ СОВЛАДАЮЩЕГО ПОВЕДЕНИЯ ЛИЧНОСТИ </w:t>
      </w:r>
      <w:r>
        <w:br/>
      </w:r>
      <w:r w:rsidRPr="00166C79">
        <w:rPr>
          <w:caps/>
        </w:rPr>
        <w:t>В ПЕРИОДЫ возрастных кризисов</w:t>
      </w:r>
    </w:p>
    <w:p w:rsidR="00D26ACD" w:rsidRPr="00166C79" w:rsidRDefault="00D26ACD" w:rsidP="00D26ACD">
      <w:pPr>
        <w:pStyle w:val="a9"/>
      </w:pPr>
      <w:r w:rsidRPr="00166C79">
        <w:t xml:space="preserve">Анализируется теоретическая значимость </w:t>
      </w:r>
      <w:proofErr w:type="spellStart"/>
      <w:r w:rsidRPr="00166C79">
        <w:t>копинг</w:t>
      </w:r>
      <w:proofErr w:type="spellEnd"/>
      <w:r w:rsidRPr="00166C79">
        <w:t xml:space="preserve">-стратегий и эффективность правильного выбора </w:t>
      </w:r>
      <w:proofErr w:type="spellStart"/>
      <w:r w:rsidRPr="00166C79">
        <w:t>копинг</w:t>
      </w:r>
      <w:proofErr w:type="spellEnd"/>
      <w:r w:rsidRPr="00166C79">
        <w:t xml:space="preserve">-поведения. Представлены результаты эмпирического исследования выбора </w:t>
      </w:r>
      <w:proofErr w:type="spellStart"/>
      <w:r w:rsidRPr="00166C79">
        <w:t>копинг</w:t>
      </w:r>
      <w:proofErr w:type="spellEnd"/>
      <w:r w:rsidRPr="00166C79">
        <w:t>-стратегий в разные периоды возрастных кризисов.</w:t>
      </w:r>
    </w:p>
    <w:p w:rsidR="00D26ACD" w:rsidRPr="00166C79" w:rsidRDefault="00D26ACD" w:rsidP="00D26ACD">
      <w:pPr>
        <w:pStyle w:val="a9"/>
      </w:pPr>
      <w:r w:rsidRPr="00166C79">
        <w:rPr>
          <w:i/>
        </w:rPr>
        <w:t>Ключевые слова</w:t>
      </w:r>
      <w:r w:rsidRPr="00166C79">
        <w:t xml:space="preserve">: </w:t>
      </w:r>
      <w:proofErr w:type="spellStart"/>
      <w:r w:rsidRPr="00166C79">
        <w:t>копинг</w:t>
      </w:r>
      <w:proofErr w:type="spellEnd"/>
      <w:r w:rsidRPr="00166C79">
        <w:t xml:space="preserve">-стратегии, возрастные кризисы, </w:t>
      </w:r>
      <w:proofErr w:type="spellStart"/>
      <w:r w:rsidRPr="00166C79">
        <w:t>совладающее</w:t>
      </w:r>
      <w:proofErr w:type="spellEnd"/>
      <w:r w:rsidRPr="00166C79">
        <w:t xml:space="preserve"> поведение, гендерные различия, </w:t>
      </w:r>
      <w:proofErr w:type="spellStart"/>
      <w:r w:rsidRPr="00166C79">
        <w:t>стрессогенные</w:t>
      </w:r>
      <w:proofErr w:type="spellEnd"/>
      <w:r w:rsidRPr="00166C79">
        <w:t xml:space="preserve"> ситуации</w:t>
      </w:r>
    </w:p>
    <w:p w:rsidR="00D26ACD" w:rsidRDefault="00D26ACD" w:rsidP="00D26ACD">
      <w:pPr>
        <w:pStyle w:val="a9"/>
      </w:pPr>
    </w:p>
    <w:p w:rsidR="00F40299" w:rsidRDefault="00F40299" w:rsidP="00D26ACD">
      <w:pPr>
        <w:pStyle w:val="a7"/>
      </w:pPr>
    </w:p>
    <w:p w:rsidR="00F40299" w:rsidRDefault="00F40299" w:rsidP="00F40299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F40299" w:rsidRDefault="00F40299" w:rsidP="00D26ACD">
      <w:pPr>
        <w:pStyle w:val="a7"/>
      </w:pPr>
    </w:p>
    <w:p w:rsidR="00F40299" w:rsidRDefault="00F40299" w:rsidP="00D26ACD">
      <w:pPr>
        <w:pStyle w:val="a7"/>
      </w:pPr>
    </w:p>
    <w:p w:rsidR="00D26ACD" w:rsidRPr="00DA3C39" w:rsidRDefault="00D26ACD" w:rsidP="00D26ACD">
      <w:pPr>
        <w:pStyle w:val="a7"/>
      </w:pPr>
      <w:r>
        <w:t>В.В. Печенкин, Е.В. Потехина</w:t>
      </w:r>
      <w:r w:rsidRPr="00DA3C39">
        <w:t xml:space="preserve"> </w:t>
      </w:r>
    </w:p>
    <w:p w:rsidR="00D26ACD" w:rsidRPr="00EE1625" w:rsidRDefault="00D26ACD" w:rsidP="00D26ACD">
      <w:pPr>
        <w:pStyle w:val="a8"/>
      </w:pPr>
      <w:r w:rsidRPr="00EE1625">
        <w:t xml:space="preserve">БЛОГОСФЕРА КАК ПЛОЩАДКА ПРОФЕССИОНАЛЬНОГО </w:t>
      </w:r>
      <w:r>
        <w:br/>
      </w:r>
      <w:r w:rsidRPr="00EE1625">
        <w:t>САМООПРЕДЕЛЕНИЯ</w:t>
      </w:r>
    </w:p>
    <w:p w:rsidR="00D26ACD" w:rsidRPr="005E015E" w:rsidRDefault="00D26ACD" w:rsidP="00D26ACD">
      <w:pPr>
        <w:pStyle w:val="a9"/>
        <w:rPr>
          <w:highlight w:val="yellow"/>
        </w:rPr>
      </w:pPr>
      <w:r>
        <w:t>П</w:t>
      </w:r>
      <w:r w:rsidRPr="005E015E">
        <w:t>редложены результаты анализа онлайн интервью с молодыми людьми по поводу использования блогов, интернет ресурсов для организации учебной, профессиональной и досуговой деятельности.</w:t>
      </w:r>
    </w:p>
    <w:p w:rsidR="00D26ACD" w:rsidRPr="005E015E" w:rsidRDefault="00D26ACD" w:rsidP="00D26ACD">
      <w:pPr>
        <w:pStyle w:val="a9"/>
      </w:pPr>
      <w:r w:rsidRPr="005E015E">
        <w:rPr>
          <w:i/>
        </w:rPr>
        <w:t>Ключевые слова</w:t>
      </w:r>
      <w:r w:rsidRPr="005E015E">
        <w:t>: блог, блогер</w:t>
      </w:r>
      <w:r>
        <w:t>,</w:t>
      </w:r>
      <w:r w:rsidRPr="005E015E">
        <w:t xml:space="preserve"> сетевая активность, выбор профессии</w:t>
      </w:r>
    </w:p>
    <w:p w:rsidR="00D26ACD" w:rsidRDefault="00D26ACD" w:rsidP="00D26ACD">
      <w:pPr>
        <w:pStyle w:val="a9"/>
      </w:pPr>
    </w:p>
    <w:p w:rsidR="00F40299" w:rsidRDefault="00F40299" w:rsidP="00F40299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26ACD" w:rsidRPr="00DA3C39" w:rsidRDefault="00D26ACD" w:rsidP="00D26ACD">
      <w:pPr>
        <w:pStyle w:val="a7"/>
      </w:pPr>
      <w:bookmarkStart w:id="0" w:name="_GoBack"/>
      <w:bookmarkEnd w:id="0"/>
      <w:r>
        <w:t>Л.С. Яковлев, В.С. Кучеренко</w:t>
      </w:r>
    </w:p>
    <w:p w:rsidR="00D26ACD" w:rsidRDefault="00D26ACD" w:rsidP="00D26ACD">
      <w:pPr>
        <w:pStyle w:val="a8"/>
      </w:pPr>
      <w:r w:rsidRPr="00671F1A">
        <w:t xml:space="preserve">ГЕНДЕРНЫЕ РАЗЛИЧИЯ СТРАТЕГИЙ </w:t>
      </w:r>
      <w:r>
        <w:br/>
      </w:r>
      <w:r w:rsidRPr="00671F1A">
        <w:t>ДОБРАЧНОГО ПОВЕДЕНИЯ МОЛОДЕЖИ</w:t>
      </w:r>
    </w:p>
    <w:p w:rsidR="00D26ACD" w:rsidRDefault="00D26ACD" w:rsidP="00D26AC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5C5">
        <w:rPr>
          <w:rFonts w:ascii="Times New Roman" w:hAnsi="Times New Roman"/>
        </w:rPr>
        <w:t xml:space="preserve">Рассматриваются особенности стратегий добрачного поведения юношей и девушек на материале устных историй. Выявлено несоответствие взаимных ожиданий. </w:t>
      </w:r>
    </w:p>
    <w:p w:rsidR="00D26ACD" w:rsidRPr="006E6587" w:rsidRDefault="00D26ACD" w:rsidP="00D26AC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5C5">
        <w:rPr>
          <w:rFonts w:ascii="Times New Roman" w:hAnsi="Times New Roman"/>
          <w:i/>
        </w:rPr>
        <w:t>Ключевые слова</w:t>
      </w:r>
      <w:r w:rsidRPr="00BC05C5">
        <w:rPr>
          <w:rFonts w:ascii="Times New Roman" w:hAnsi="Times New Roman"/>
        </w:rPr>
        <w:t>: гендерные различия, молодежь, до</w:t>
      </w:r>
      <w:r>
        <w:rPr>
          <w:rFonts w:ascii="Times New Roman" w:hAnsi="Times New Roman"/>
        </w:rPr>
        <w:t>брачные отношения, социализация</w:t>
      </w:r>
    </w:p>
    <w:p w:rsidR="00242380" w:rsidRPr="006E6587" w:rsidRDefault="00242380" w:rsidP="00D26AC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sectPr w:rsidR="00242380" w:rsidRPr="006E6587" w:rsidSect="002665D6">
      <w:headerReference w:type="default" r:id="rId6"/>
      <w:pgSz w:w="11906" w:h="16838" w:code="9"/>
      <w:pgMar w:top="1077" w:right="1021" w:bottom="1021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D78" w:rsidRDefault="004D7D78" w:rsidP="005C5504">
      <w:pPr>
        <w:spacing w:after="0" w:line="240" w:lineRule="auto"/>
      </w:pPr>
      <w:r>
        <w:separator/>
      </w:r>
    </w:p>
  </w:endnote>
  <w:endnote w:type="continuationSeparator" w:id="0">
    <w:p w:rsidR="004D7D78" w:rsidRDefault="004D7D78" w:rsidP="005C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D78" w:rsidRDefault="004D7D78" w:rsidP="005C5504">
      <w:pPr>
        <w:spacing w:after="0" w:line="240" w:lineRule="auto"/>
      </w:pPr>
      <w:r>
        <w:separator/>
      </w:r>
    </w:p>
  </w:footnote>
  <w:footnote w:type="continuationSeparator" w:id="0">
    <w:p w:rsidR="004D7D78" w:rsidRDefault="004D7D78" w:rsidP="005C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D78" w:rsidRDefault="004D7D78" w:rsidP="009D3BCB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  <w:lang w:val="en-US"/>
      </w:rPr>
      <w:t>5</w:t>
    </w:r>
    <w:r w:rsidRPr="000516F3">
      <w:rPr>
        <w:sz w:val="20"/>
        <w:szCs w:val="20"/>
      </w:rPr>
      <w:t xml:space="preserve">. № </w:t>
    </w:r>
    <w:r w:rsidR="006E6587">
      <w:rPr>
        <w:sz w:val="20"/>
        <w:szCs w:val="20"/>
      </w:rPr>
      <w:t>2</w:t>
    </w:r>
    <w:r w:rsidRPr="000516F3">
      <w:rPr>
        <w:sz w:val="20"/>
        <w:szCs w:val="20"/>
      </w:rPr>
      <w:t xml:space="preserve"> (0</w:t>
    </w:r>
    <w:r w:rsidR="006E6587">
      <w:rPr>
        <w:sz w:val="20"/>
        <w:szCs w:val="20"/>
      </w:rPr>
      <w:t>6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8901F8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1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7D78" w:rsidRDefault="004D7D78" w:rsidP="009D3B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" fillcolor="black [3213]" strokeweight=".5pt">
              <v:path arrowok="t"/>
              <v:textbox>
                <w:txbxContent>
                  <w:p w:rsidR="004D7D78" w:rsidRDefault="004D7D78" w:rsidP="009D3BCB"/>
                </w:txbxContent>
              </v:textbox>
              <w10:anchorlock/>
            </v:shape>
          </w:pict>
        </mc:Fallback>
      </mc:AlternateContent>
    </w:r>
    <w:r>
      <w:tab/>
    </w:r>
    <w:r w:rsidR="006E6587">
      <w:fldChar w:fldCharType="begin"/>
    </w:r>
    <w:r w:rsidR="006E6587">
      <w:instrText>PAGE   \* MERGEFORMAT</w:instrText>
    </w:r>
    <w:r w:rsidR="006E6587">
      <w:fldChar w:fldCharType="separate"/>
    </w:r>
    <w:r w:rsidR="00457F1E">
      <w:rPr>
        <w:noProof/>
      </w:rPr>
      <w:t>19</w:t>
    </w:r>
    <w:r w:rsidR="006E6587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D6"/>
    <w:rsid w:val="00002E60"/>
    <w:rsid w:val="00074EC7"/>
    <w:rsid w:val="00096696"/>
    <w:rsid w:val="000B37FD"/>
    <w:rsid w:val="000B6361"/>
    <w:rsid w:val="000C6F10"/>
    <w:rsid w:val="00112B6C"/>
    <w:rsid w:val="00115763"/>
    <w:rsid w:val="0011713F"/>
    <w:rsid w:val="00124CB0"/>
    <w:rsid w:val="0013786F"/>
    <w:rsid w:val="00197A1D"/>
    <w:rsid w:val="001E2D2C"/>
    <w:rsid w:val="001F735C"/>
    <w:rsid w:val="00200EBB"/>
    <w:rsid w:val="002244CA"/>
    <w:rsid w:val="00242380"/>
    <w:rsid w:val="002665D6"/>
    <w:rsid w:val="00334A90"/>
    <w:rsid w:val="00337667"/>
    <w:rsid w:val="0034033C"/>
    <w:rsid w:val="00421C0C"/>
    <w:rsid w:val="00451F6D"/>
    <w:rsid w:val="00457F1E"/>
    <w:rsid w:val="00470ED3"/>
    <w:rsid w:val="004C0C2C"/>
    <w:rsid w:val="004D7D78"/>
    <w:rsid w:val="0052226A"/>
    <w:rsid w:val="005C5504"/>
    <w:rsid w:val="006566AA"/>
    <w:rsid w:val="00670437"/>
    <w:rsid w:val="00695231"/>
    <w:rsid w:val="006A1888"/>
    <w:rsid w:val="006A1BB3"/>
    <w:rsid w:val="006B4AA8"/>
    <w:rsid w:val="006E6587"/>
    <w:rsid w:val="0080351D"/>
    <w:rsid w:val="00856D71"/>
    <w:rsid w:val="00880123"/>
    <w:rsid w:val="008901F8"/>
    <w:rsid w:val="008A0AB3"/>
    <w:rsid w:val="0092767B"/>
    <w:rsid w:val="00944162"/>
    <w:rsid w:val="00994D59"/>
    <w:rsid w:val="009D3BCB"/>
    <w:rsid w:val="009D7D0C"/>
    <w:rsid w:val="009E6D12"/>
    <w:rsid w:val="00A34681"/>
    <w:rsid w:val="00A417BC"/>
    <w:rsid w:val="00A57A04"/>
    <w:rsid w:val="00B02379"/>
    <w:rsid w:val="00B052DE"/>
    <w:rsid w:val="00B11B5B"/>
    <w:rsid w:val="00B97495"/>
    <w:rsid w:val="00BB2BE4"/>
    <w:rsid w:val="00BE26CF"/>
    <w:rsid w:val="00BE2F46"/>
    <w:rsid w:val="00C15ADE"/>
    <w:rsid w:val="00C33F6A"/>
    <w:rsid w:val="00C642E4"/>
    <w:rsid w:val="00C72A2A"/>
    <w:rsid w:val="00CA64CF"/>
    <w:rsid w:val="00CB1012"/>
    <w:rsid w:val="00CD1CA1"/>
    <w:rsid w:val="00CD291A"/>
    <w:rsid w:val="00CF5914"/>
    <w:rsid w:val="00D02AF1"/>
    <w:rsid w:val="00D26ACD"/>
    <w:rsid w:val="00D52E03"/>
    <w:rsid w:val="00DA30EF"/>
    <w:rsid w:val="00DD5EBF"/>
    <w:rsid w:val="00E02CCB"/>
    <w:rsid w:val="00E069B1"/>
    <w:rsid w:val="00E32B82"/>
    <w:rsid w:val="00E723B4"/>
    <w:rsid w:val="00E75037"/>
    <w:rsid w:val="00F25820"/>
    <w:rsid w:val="00F40299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4497B"/>
  <w15:docId w15:val="{37DBA911-8A39-4092-9CDC-DBEDE1F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5D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26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5D6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2665D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2665D6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2665D6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6"/>
    <w:qFormat/>
    <w:rsid w:val="002665D6"/>
    <w:rPr>
      <w:sz w:val="22"/>
    </w:rPr>
  </w:style>
  <w:style w:type="character" w:styleId="aa">
    <w:name w:val="Subtle Reference"/>
    <w:basedOn w:val="a0"/>
    <w:uiPriority w:val="31"/>
    <w:qFormat/>
    <w:rsid w:val="002665D6"/>
    <w:rPr>
      <w:smallCaps/>
      <w:color w:val="C0504D" w:themeColor="accent2"/>
      <w:u w:val="single"/>
    </w:rPr>
  </w:style>
  <w:style w:type="paragraph" w:customStyle="1" w:styleId="02">
    <w:name w:val="Авторы_02"/>
    <w:basedOn w:val="a6"/>
    <w:qFormat/>
    <w:rsid w:val="002665D6"/>
    <w:pPr>
      <w:ind w:firstLine="0"/>
      <w:jc w:val="left"/>
    </w:pPr>
    <w:rPr>
      <w:rFonts w:asciiTheme="minorHAnsi" w:hAnsiTheme="minorHAnsi"/>
      <w:b/>
    </w:rPr>
  </w:style>
  <w:style w:type="paragraph" w:customStyle="1" w:styleId="ab">
    <w:name w:val="Работа"/>
    <w:basedOn w:val="a6"/>
    <w:qFormat/>
    <w:rsid w:val="002665D6"/>
    <w:pPr>
      <w:ind w:firstLine="0"/>
      <w:jc w:val="left"/>
    </w:pPr>
  </w:style>
  <w:style w:type="character" w:styleId="ac">
    <w:name w:val="Hyperlink"/>
    <w:basedOn w:val="a0"/>
    <w:uiPriority w:val="99"/>
    <w:unhideWhenUsed/>
    <w:rsid w:val="002665D6"/>
    <w:rPr>
      <w:color w:val="0000FF" w:themeColor="hyperlink"/>
      <w:u w:val="single"/>
    </w:rPr>
  </w:style>
  <w:style w:type="paragraph" w:styleId="ad">
    <w:name w:val="footer"/>
    <w:basedOn w:val="a"/>
    <w:link w:val="ae"/>
    <w:unhideWhenUsed/>
    <w:rsid w:val="0026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2665D6"/>
    <w:rPr>
      <w:rFonts w:eastAsiaTheme="minorEastAsia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6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65D6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266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3</cp:revision>
  <cp:lastPrinted>2015-08-14T11:01:00Z</cp:lastPrinted>
  <dcterms:created xsi:type="dcterms:W3CDTF">2018-04-26T16:55:00Z</dcterms:created>
  <dcterms:modified xsi:type="dcterms:W3CDTF">2018-04-27T11:53:00Z</dcterms:modified>
</cp:coreProperties>
</file>